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86B2" w14:textId="77777777" w:rsidR="00A51A1D" w:rsidRPr="00940D54" w:rsidRDefault="00A51A1D" w:rsidP="00A51A1D">
      <w:pPr>
        <w:spacing w:after="0" w:line="240" w:lineRule="auto"/>
        <w:outlineLvl w:val="0"/>
        <w:rPr>
          <w:rFonts w:ascii="Times New Roman" w:hAnsi="Times New Roman"/>
          <w:b/>
          <w:lang w:val="lt-LT"/>
        </w:rPr>
      </w:pPr>
    </w:p>
    <w:p w14:paraId="0DD03A20" w14:textId="77777777" w:rsidR="00A51A1D" w:rsidRPr="00940D54" w:rsidRDefault="00A51A1D" w:rsidP="00A51A1D">
      <w:pPr>
        <w:spacing w:after="0" w:line="240" w:lineRule="auto"/>
        <w:outlineLvl w:val="0"/>
        <w:rPr>
          <w:rFonts w:ascii="Times New Roman" w:hAnsi="Times New Roman"/>
          <w:b/>
          <w:lang w:val="lt-LT"/>
        </w:rPr>
      </w:pPr>
    </w:p>
    <w:p w14:paraId="0852A0D7" w14:textId="77777777" w:rsidR="00A51A1D" w:rsidRPr="00940D54" w:rsidRDefault="00A51A1D" w:rsidP="00A51A1D">
      <w:pPr>
        <w:spacing w:after="0" w:line="240" w:lineRule="auto"/>
        <w:outlineLvl w:val="0"/>
        <w:rPr>
          <w:rFonts w:ascii="Times New Roman" w:hAnsi="Times New Roman"/>
          <w:b/>
          <w:lang w:val="lt-LT"/>
        </w:rPr>
      </w:pPr>
    </w:p>
    <w:p w14:paraId="64F108F5" w14:textId="77777777" w:rsidR="00A51A1D" w:rsidRPr="00940D54" w:rsidRDefault="00A51A1D" w:rsidP="00A51A1D">
      <w:pPr>
        <w:spacing w:after="0" w:line="240" w:lineRule="auto"/>
        <w:outlineLvl w:val="0"/>
        <w:rPr>
          <w:rFonts w:ascii="Times New Roman" w:hAnsi="Times New Roman"/>
          <w:b/>
          <w:lang w:val="lt-LT"/>
        </w:rPr>
      </w:pPr>
    </w:p>
    <w:p w14:paraId="0DF18955"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062E2BB1"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344EE66A"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51EA446D"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234FF439"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4D58F464"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68A47751"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08825A36"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0BCB7FCB"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18F24EBD"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22C360C9"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3C64B45E"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7E686092"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054DCCDC"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14B8C54D"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0F75E95A"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3985D506"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5E4A0AEA"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599194A3" w14:textId="77777777" w:rsidR="00A51A1D" w:rsidRPr="00940D54" w:rsidRDefault="00A51A1D" w:rsidP="00A51A1D">
      <w:pPr>
        <w:tabs>
          <w:tab w:val="left" w:pos="-1440"/>
          <w:tab w:val="left" w:pos="-720"/>
        </w:tabs>
        <w:spacing w:after="0" w:line="240" w:lineRule="auto"/>
        <w:rPr>
          <w:rFonts w:ascii="Times New Roman" w:hAnsi="Times New Roman"/>
          <w:b/>
          <w:lang w:val="lt-LT"/>
        </w:rPr>
      </w:pPr>
    </w:p>
    <w:p w14:paraId="4100250E" w14:textId="77777777" w:rsidR="00A51A1D" w:rsidRPr="00940D54" w:rsidRDefault="00A51A1D" w:rsidP="00A51A1D">
      <w:pPr>
        <w:keepNext/>
        <w:tabs>
          <w:tab w:val="left" w:pos="567"/>
        </w:tabs>
        <w:spacing w:after="0" w:line="240" w:lineRule="auto"/>
        <w:jc w:val="center"/>
        <w:outlineLvl w:val="1"/>
        <w:rPr>
          <w:rFonts w:ascii="Times New Roman" w:eastAsiaTheme="minorHAnsi" w:hAnsi="Times New Roman" w:cstheme="minorBidi"/>
          <w:b/>
          <w:lang w:val="lt-LT"/>
        </w:rPr>
      </w:pPr>
      <w:r w:rsidRPr="00940D54">
        <w:rPr>
          <w:rFonts w:ascii="Times New Roman" w:hAnsi="Times New Roman"/>
          <w:b/>
          <w:lang w:val="lt-LT"/>
        </w:rPr>
        <w:t>I PRIEDAS</w:t>
      </w:r>
    </w:p>
    <w:p w14:paraId="3D9A5CE2" w14:textId="77777777" w:rsidR="00A51A1D" w:rsidRPr="00940D54" w:rsidRDefault="00A51A1D" w:rsidP="00A51A1D">
      <w:pPr>
        <w:spacing w:after="0" w:line="240" w:lineRule="auto"/>
        <w:rPr>
          <w:rFonts w:ascii="Times New Roman" w:hAnsi="Times New Roman"/>
          <w:lang w:val="lt-LT"/>
        </w:rPr>
      </w:pPr>
    </w:p>
    <w:p w14:paraId="65EA18ED" w14:textId="77777777" w:rsidR="00A51A1D" w:rsidRPr="00940D54" w:rsidRDefault="00A51A1D" w:rsidP="00A51A1D">
      <w:pPr>
        <w:tabs>
          <w:tab w:val="left" w:pos="-1440"/>
          <w:tab w:val="left" w:pos="-720"/>
        </w:tabs>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PREPARATO CHARAKTERISTIKŲ SANTRAUKA</w:t>
      </w:r>
    </w:p>
    <w:p w14:paraId="60CB193B" w14:textId="77777777" w:rsidR="00A51A1D" w:rsidRPr="00940D54" w:rsidRDefault="00A51A1D" w:rsidP="00A51A1D">
      <w:pPr>
        <w:tabs>
          <w:tab w:val="left" w:pos="-1440"/>
          <w:tab w:val="left" w:pos="-720"/>
        </w:tabs>
        <w:spacing w:after="0" w:line="240" w:lineRule="auto"/>
        <w:jc w:val="center"/>
        <w:rPr>
          <w:rFonts w:ascii="Times New Roman" w:hAnsi="Times New Roman"/>
          <w:lang w:val="lt-LT"/>
        </w:rPr>
      </w:pPr>
      <w:r w:rsidRPr="00940D54">
        <w:rPr>
          <w:rFonts w:ascii="Times New Roman" w:hAnsi="Times New Roman"/>
          <w:lang w:val="lt-LT"/>
        </w:rPr>
        <w:br w:type="page"/>
      </w:r>
    </w:p>
    <w:p w14:paraId="6A93E42B"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lastRenderedPageBreak/>
        <w:t>1.</w:t>
      </w:r>
      <w:r w:rsidRPr="00940D54">
        <w:rPr>
          <w:rFonts w:ascii="Times New Roman" w:hAnsi="Times New Roman"/>
          <w:b/>
          <w:lang w:val="lt-LT"/>
        </w:rPr>
        <w:tab/>
        <w:t>VAISTINIO PREPARATO PAVADINIMAS</w:t>
      </w:r>
    </w:p>
    <w:p w14:paraId="46A52980" w14:textId="77777777" w:rsidR="00A51A1D" w:rsidRPr="00940D54" w:rsidRDefault="00A51A1D" w:rsidP="00A51A1D">
      <w:pPr>
        <w:spacing w:after="0" w:line="240" w:lineRule="auto"/>
        <w:rPr>
          <w:rFonts w:ascii="Times New Roman" w:hAnsi="Times New Roman"/>
          <w:lang w:val="lt-LT"/>
        </w:rPr>
      </w:pPr>
    </w:p>
    <w:p w14:paraId="4935F236" w14:textId="77777777"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2 mg/1 mg plėvele dengtos tabletės</w:t>
      </w:r>
    </w:p>
    <w:p w14:paraId="3599CBDF" w14:textId="77777777" w:rsidR="00A51A1D" w:rsidRPr="00940D54" w:rsidRDefault="00A51A1D" w:rsidP="00A51A1D">
      <w:pPr>
        <w:spacing w:after="0" w:line="240" w:lineRule="auto"/>
        <w:rPr>
          <w:rFonts w:ascii="Times New Roman" w:hAnsi="Times New Roman"/>
          <w:lang w:val="lt-LT"/>
        </w:rPr>
      </w:pPr>
    </w:p>
    <w:p w14:paraId="682F0413" w14:textId="77777777" w:rsidR="00A51A1D" w:rsidRPr="00940D54" w:rsidRDefault="00A51A1D" w:rsidP="00A51A1D">
      <w:pPr>
        <w:spacing w:after="0" w:line="240" w:lineRule="auto"/>
        <w:rPr>
          <w:rFonts w:ascii="Times New Roman" w:hAnsi="Times New Roman"/>
          <w:lang w:val="lt-LT"/>
        </w:rPr>
      </w:pPr>
    </w:p>
    <w:p w14:paraId="6EBC337A"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2.</w:t>
      </w:r>
      <w:r w:rsidRPr="00940D54">
        <w:rPr>
          <w:rFonts w:ascii="Times New Roman" w:hAnsi="Times New Roman"/>
          <w:b/>
          <w:lang w:val="lt-LT"/>
        </w:rPr>
        <w:tab/>
        <w:t>KOKYBINĖ IR KIEKYBINĖ SUDĖTIS</w:t>
      </w:r>
    </w:p>
    <w:p w14:paraId="450FC2B6" w14:textId="77777777" w:rsidR="00A51A1D" w:rsidRPr="00940D54" w:rsidRDefault="00A51A1D" w:rsidP="00A51A1D">
      <w:pPr>
        <w:spacing w:after="0" w:line="240" w:lineRule="auto"/>
        <w:rPr>
          <w:rFonts w:ascii="Times New Roman" w:hAnsi="Times New Roman"/>
          <w:lang w:val="lt-LT"/>
        </w:rPr>
      </w:pPr>
    </w:p>
    <w:p w14:paraId="08AD8F78"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Kiekvienoje plėvele dengtoje tabletėje yra</w:t>
      </w:r>
      <w:r w:rsidRPr="00940D54">
        <w:rPr>
          <w:rFonts w:ascii="Times New Roman" w:hAnsi="Times New Roman"/>
          <w:spacing w:val="-9"/>
          <w:lang w:val="lt-LT"/>
        </w:rPr>
        <w:t xml:space="preserve"> 2,0 mg </w:t>
      </w:r>
      <w:proofErr w:type="spellStart"/>
      <w:r w:rsidRPr="00940D54">
        <w:rPr>
          <w:rFonts w:ascii="Times New Roman" w:hAnsi="Times New Roman"/>
          <w:spacing w:val="-9"/>
          <w:lang w:val="lt-LT"/>
        </w:rPr>
        <w:t>dienogesto</w:t>
      </w:r>
      <w:proofErr w:type="spellEnd"/>
      <w:r w:rsidRPr="00940D54">
        <w:rPr>
          <w:rFonts w:ascii="Times New Roman" w:hAnsi="Times New Roman"/>
          <w:lang w:val="lt-LT"/>
        </w:rPr>
        <w:t xml:space="preserve"> </w:t>
      </w:r>
      <w:r w:rsidRPr="00940D54">
        <w:rPr>
          <w:rFonts w:ascii="Times New Roman" w:hAnsi="Times New Roman"/>
          <w:spacing w:val="-3"/>
          <w:lang w:val="lt-LT"/>
        </w:rPr>
        <w:t>ir</w:t>
      </w:r>
      <w:r w:rsidRPr="00940D54">
        <w:rPr>
          <w:rFonts w:ascii="Times New Roman" w:hAnsi="Times New Roman"/>
          <w:lang w:val="lt-LT"/>
        </w:rPr>
        <w:t xml:space="preserve"> 1,0</w:t>
      </w:r>
      <w:r w:rsidRPr="00940D54">
        <w:rPr>
          <w:rFonts w:ascii="Times New Roman" w:hAnsi="Times New Roman"/>
          <w:spacing w:val="-3"/>
          <w:lang w:val="lt-LT"/>
        </w:rPr>
        <w:t> </w:t>
      </w:r>
      <w:r w:rsidRPr="00940D54">
        <w:rPr>
          <w:rFonts w:ascii="Times New Roman" w:hAnsi="Times New Roman"/>
          <w:lang w:val="lt-LT"/>
        </w:rPr>
        <w:t>mg</w:t>
      </w:r>
      <w:r w:rsidRPr="00940D54">
        <w:rPr>
          <w:rFonts w:ascii="Times New Roman" w:hAnsi="Times New Roman"/>
          <w:spacing w:val="-3"/>
          <w:lang w:val="lt-LT"/>
        </w:rPr>
        <w:t xml:space="preserve"> </w:t>
      </w:r>
      <w:proofErr w:type="spellStart"/>
      <w:r w:rsidRPr="00940D54">
        <w:rPr>
          <w:rFonts w:ascii="Times New Roman" w:hAnsi="Times New Roman"/>
          <w:lang w:val="lt-LT"/>
        </w:rPr>
        <w:t>estra</w:t>
      </w:r>
      <w:r w:rsidRPr="00940D54">
        <w:rPr>
          <w:rFonts w:ascii="Times New Roman" w:hAnsi="Times New Roman"/>
          <w:spacing w:val="-1"/>
          <w:lang w:val="lt-LT"/>
        </w:rPr>
        <w:t>d</w:t>
      </w:r>
      <w:r w:rsidRPr="00940D54">
        <w:rPr>
          <w:rFonts w:ascii="Times New Roman" w:hAnsi="Times New Roman"/>
          <w:lang w:val="lt-LT"/>
        </w:rPr>
        <w:t>i</w:t>
      </w:r>
      <w:r w:rsidRPr="00940D54">
        <w:rPr>
          <w:rFonts w:ascii="Times New Roman" w:hAnsi="Times New Roman"/>
          <w:spacing w:val="-1"/>
          <w:lang w:val="lt-LT"/>
        </w:rPr>
        <w:t>o</w:t>
      </w:r>
      <w:r w:rsidRPr="00940D54">
        <w:rPr>
          <w:rFonts w:ascii="Times New Roman" w:hAnsi="Times New Roman"/>
          <w:lang w:val="lt-LT"/>
        </w:rPr>
        <w:t>lio</w:t>
      </w:r>
      <w:proofErr w:type="spellEnd"/>
      <w:r w:rsidRPr="00940D54">
        <w:rPr>
          <w:rFonts w:ascii="Times New Roman" w:hAnsi="Times New Roman"/>
          <w:spacing w:val="-8"/>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spacing w:val="-8"/>
          <w:lang w:val="lt-LT"/>
        </w:rPr>
        <w:t xml:space="preserve"> </w:t>
      </w:r>
      <w:r w:rsidRPr="00940D54">
        <w:rPr>
          <w:rFonts w:ascii="Times New Roman" w:hAnsi="Times New Roman"/>
          <w:spacing w:val="-3"/>
          <w:lang w:val="lt-LT"/>
        </w:rPr>
        <w:t xml:space="preserve">(atitinka 0,764 mg </w:t>
      </w:r>
      <w:proofErr w:type="spellStart"/>
      <w:r w:rsidRPr="00940D54">
        <w:rPr>
          <w:rFonts w:ascii="Times New Roman" w:hAnsi="Times New Roman"/>
          <w:spacing w:val="-3"/>
          <w:lang w:val="lt-LT"/>
        </w:rPr>
        <w:t>estradiolio</w:t>
      </w:r>
      <w:proofErr w:type="spellEnd"/>
      <w:r w:rsidRPr="00940D54">
        <w:rPr>
          <w:rFonts w:ascii="Times New Roman" w:hAnsi="Times New Roman"/>
          <w:spacing w:val="-3"/>
          <w:lang w:val="lt-LT"/>
        </w:rPr>
        <w:t>)</w:t>
      </w:r>
      <w:r w:rsidRPr="00940D54">
        <w:rPr>
          <w:rFonts w:ascii="Times New Roman" w:hAnsi="Times New Roman"/>
          <w:spacing w:val="-9"/>
          <w:lang w:val="lt-LT"/>
        </w:rPr>
        <w:t>.</w:t>
      </w:r>
    </w:p>
    <w:p w14:paraId="0565AFC9" w14:textId="77777777" w:rsidR="00A51A1D" w:rsidRPr="00940D54" w:rsidRDefault="00A51A1D" w:rsidP="00A51A1D">
      <w:pPr>
        <w:spacing w:after="0" w:line="240" w:lineRule="auto"/>
        <w:rPr>
          <w:rFonts w:ascii="Times New Roman" w:hAnsi="Times New Roman"/>
          <w:lang w:val="lt-LT"/>
        </w:rPr>
      </w:pPr>
    </w:p>
    <w:p w14:paraId="070B30FF" w14:textId="3A721AC5" w:rsidR="002276DF" w:rsidRDefault="00A51A1D" w:rsidP="00A51A1D">
      <w:pPr>
        <w:spacing w:after="0" w:line="240" w:lineRule="auto"/>
        <w:rPr>
          <w:rFonts w:ascii="Times New Roman" w:hAnsi="Times New Roman"/>
          <w:position w:val="-1"/>
          <w:lang w:val="lt-LT"/>
        </w:rPr>
      </w:pPr>
      <w:r w:rsidRPr="00940D54">
        <w:rPr>
          <w:rFonts w:ascii="Times New Roman" w:hAnsi="Times New Roman"/>
          <w:u w:val="single"/>
          <w:lang w:val="lt-LT"/>
        </w:rPr>
        <w:t>Pagalbinė</w:t>
      </w:r>
      <w:r w:rsidR="000E4D2A" w:rsidRPr="00940D54">
        <w:rPr>
          <w:rFonts w:ascii="Times New Roman" w:hAnsi="Times New Roman"/>
          <w:u w:val="single"/>
          <w:lang w:val="lt-LT"/>
        </w:rPr>
        <w:t xml:space="preserve"> </w:t>
      </w:r>
      <w:r w:rsidRPr="00940D54">
        <w:rPr>
          <w:rFonts w:ascii="Times New Roman" w:hAnsi="Times New Roman"/>
          <w:u w:val="single"/>
          <w:lang w:val="lt-LT"/>
        </w:rPr>
        <w:t>medžiag</w:t>
      </w:r>
      <w:r w:rsidR="000E4D2A" w:rsidRPr="00940D54">
        <w:rPr>
          <w:rFonts w:ascii="Times New Roman" w:hAnsi="Times New Roman"/>
          <w:u w:val="single"/>
          <w:lang w:val="lt-LT"/>
        </w:rPr>
        <w:t>a</w:t>
      </w:r>
      <w:r w:rsidRPr="00940D54">
        <w:rPr>
          <w:rFonts w:ascii="Times New Roman" w:hAnsi="Times New Roman"/>
          <w:u w:val="single"/>
          <w:lang w:val="lt-LT"/>
        </w:rPr>
        <w:t>, kuri</w:t>
      </w:r>
      <w:r w:rsidR="000E4D2A" w:rsidRPr="00940D54">
        <w:rPr>
          <w:rFonts w:ascii="Times New Roman" w:hAnsi="Times New Roman"/>
          <w:u w:val="single"/>
          <w:lang w:val="lt-LT"/>
        </w:rPr>
        <w:t>os</w:t>
      </w:r>
      <w:r w:rsidRPr="00940D54">
        <w:rPr>
          <w:rFonts w:ascii="Times New Roman" w:hAnsi="Times New Roman"/>
          <w:u w:val="single"/>
          <w:lang w:val="lt-LT"/>
        </w:rPr>
        <w:t xml:space="preserve"> poveikis žinomas</w:t>
      </w:r>
    </w:p>
    <w:p w14:paraId="2915668C" w14:textId="4679DB25"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Kiekvienoje tabletėje yra</w:t>
      </w:r>
      <w:r w:rsidRPr="00940D54">
        <w:rPr>
          <w:rFonts w:ascii="Times New Roman" w:hAnsi="Times New Roman"/>
          <w:position w:val="-1"/>
          <w:lang w:val="lt-LT"/>
        </w:rPr>
        <w:t xml:space="preserve"> 58,22 mg laktozės </w:t>
      </w:r>
      <w:proofErr w:type="spellStart"/>
      <w:r w:rsidRPr="00940D54">
        <w:rPr>
          <w:rFonts w:ascii="Times New Roman" w:hAnsi="Times New Roman"/>
          <w:position w:val="-1"/>
          <w:lang w:val="lt-LT"/>
        </w:rPr>
        <w:t>monohidrato</w:t>
      </w:r>
      <w:proofErr w:type="spellEnd"/>
      <w:r w:rsidRPr="00940D54">
        <w:rPr>
          <w:rFonts w:ascii="Times New Roman" w:hAnsi="Times New Roman"/>
          <w:position w:val="-1"/>
          <w:lang w:val="lt-LT"/>
        </w:rPr>
        <w:t>.</w:t>
      </w:r>
    </w:p>
    <w:p w14:paraId="350BC900" w14:textId="77777777" w:rsidR="00A51A1D" w:rsidRPr="00940D54" w:rsidRDefault="00A51A1D" w:rsidP="00A51A1D">
      <w:pPr>
        <w:spacing w:after="0" w:line="240" w:lineRule="auto"/>
        <w:rPr>
          <w:rFonts w:ascii="Times New Roman" w:hAnsi="Times New Roman"/>
          <w:lang w:val="lt-LT"/>
        </w:rPr>
      </w:pPr>
    </w:p>
    <w:p w14:paraId="202ACB0F" w14:textId="4BD903A4"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Visos pagalbinės medžiagos išvardytos 6.1</w:t>
      </w:r>
      <w:r w:rsidR="009626A5">
        <w:rPr>
          <w:rFonts w:ascii="Times New Roman" w:hAnsi="Times New Roman"/>
          <w:lang w:val="lt-LT"/>
        </w:rPr>
        <w:t> </w:t>
      </w:r>
      <w:r w:rsidRPr="00940D54">
        <w:rPr>
          <w:rFonts w:ascii="Times New Roman" w:hAnsi="Times New Roman"/>
          <w:lang w:val="lt-LT"/>
        </w:rPr>
        <w:t>skyriuje.</w:t>
      </w:r>
    </w:p>
    <w:p w14:paraId="24BCD1EC" w14:textId="77777777" w:rsidR="00A51A1D" w:rsidRPr="00940D54" w:rsidRDefault="00A51A1D" w:rsidP="00A51A1D">
      <w:pPr>
        <w:spacing w:after="0" w:line="240" w:lineRule="auto"/>
        <w:rPr>
          <w:rFonts w:ascii="Times New Roman" w:hAnsi="Times New Roman"/>
          <w:lang w:val="lt-LT"/>
        </w:rPr>
      </w:pPr>
    </w:p>
    <w:p w14:paraId="7ACE0B8B" w14:textId="77777777" w:rsidR="00A51A1D" w:rsidRPr="00940D54" w:rsidRDefault="00A51A1D" w:rsidP="00A51A1D">
      <w:pPr>
        <w:spacing w:after="0" w:line="240" w:lineRule="auto"/>
        <w:rPr>
          <w:rFonts w:ascii="Times New Roman" w:hAnsi="Times New Roman"/>
          <w:lang w:val="lt-LT"/>
        </w:rPr>
      </w:pPr>
    </w:p>
    <w:p w14:paraId="4D9DD845"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3.</w:t>
      </w:r>
      <w:r w:rsidRPr="00940D54">
        <w:rPr>
          <w:rFonts w:ascii="Times New Roman" w:hAnsi="Times New Roman"/>
          <w:b/>
          <w:lang w:val="lt-LT"/>
        </w:rPr>
        <w:tab/>
        <w:t>FARMACINĖ FORMA</w:t>
      </w:r>
    </w:p>
    <w:p w14:paraId="3B7EA3D0" w14:textId="77777777" w:rsidR="00A51A1D" w:rsidRPr="00940D54" w:rsidRDefault="00A51A1D" w:rsidP="00A51A1D">
      <w:pPr>
        <w:spacing w:after="0" w:line="240" w:lineRule="auto"/>
        <w:rPr>
          <w:rFonts w:ascii="Times New Roman" w:hAnsi="Times New Roman"/>
          <w:lang w:val="lt-LT"/>
        </w:rPr>
      </w:pPr>
    </w:p>
    <w:p w14:paraId="045F26C0"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Plėvele dengta tabletė (tabletė).</w:t>
      </w:r>
    </w:p>
    <w:p w14:paraId="515E5277" w14:textId="77777777" w:rsidR="00A51A1D" w:rsidRPr="00940D54" w:rsidRDefault="00A51A1D" w:rsidP="00A51A1D">
      <w:pPr>
        <w:spacing w:after="0" w:line="240" w:lineRule="auto"/>
        <w:rPr>
          <w:rFonts w:ascii="Times New Roman" w:hAnsi="Times New Roman"/>
          <w:lang w:val="lt-LT"/>
        </w:rPr>
      </w:pPr>
    </w:p>
    <w:p w14:paraId="2A8E7A58"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Tabletės yra šviesiai rausvos, apvalios, maždaug 6 mm skersmens.</w:t>
      </w:r>
    </w:p>
    <w:p w14:paraId="36F85703" w14:textId="77777777" w:rsidR="00A51A1D" w:rsidRPr="00940D54" w:rsidRDefault="00A51A1D" w:rsidP="00A51A1D">
      <w:pPr>
        <w:spacing w:after="0" w:line="240" w:lineRule="auto"/>
        <w:rPr>
          <w:rFonts w:ascii="Times New Roman" w:hAnsi="Times New Roman"/>
          <w:lang w:val="lt-LT"/>
        </w:rPr>
      </w:pPr>
    </w:p>
    <w:p w14:paraId="702EEE25" w14:textId="77777777" w:rsidR="00A51A1D" w:rsidRPr="00940D54" w:rsidRDefault="00A51A1D" w:rsidP="00A51A1D">
      <w:pPr>
        <w:spacing w:after="0" w:line="240" w:lineRule="auto"/>
        <w:rPr>
          <w:rFonts w:ascii="Times New Roman" w:hAnsi="Times New Roman"/>
          <w:lang w:val="lt-LT"/>
        </w:rPr>
      </w:pPr>
    </w:p>
    <w:p w14:paraId="5372FC66"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4.</w:t>
      </w:r>
      <w:r w:rsidRPr="00940D54">
        <w:rPr>
          <w:rFonts w:ascii="Times New Roman" w:hAnsi="Times New Roman"/>
          <w:b/>
          <w:lang w:val="lt-LT"/>
        </w:rPr>
        <w:tab/>
        <w:t>KLINIKINĖ INFORMACIJA</w:t>
      </w:r>
    </w:p>
    <w:p w14:paraId="7D49B1BD" w14:textId="77777777" w:rsidR="00A51A1D" w:rsidRPr="00940D54" w:rsidRDefault="00A51A1D" w:rsidP="00A51A1D">
      <w:pPr>
        <w:spacing w:after="0" w:line="240" w:lineRule="auto"/>
        <w:rPr>
          <w:rFonts w:ascii="Times New Roman" w:hAnsi="Times New Roman"/>
          <w:lang w:val="lt-LT"/>
        </w:rPr>
      </w:pPr>
    </w:p>
    <w:p w14:paraId="0F3493F4"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4.1</w:t>
      </w:r>
      <w:r w:rsidRPr="00940D54">
        <w:rPr>
          <w:rFonts w:ascii="Times New Roman" w:hAnsi="Times New Roman"/>
          <w:b/>
          <w:lang w:val="lt-LT"/>
        </w:rPr>
        <w:tab/>
        <w:t>Terapinės indikacijos</w:t>
      </w:r>
    </w:p>
    <w:p w14:paraId="6F1CA784" w14:textId="77777777" w:rsidR="00A51A1D" w:rsidRPr="00940D54" w:rsidRDefault="00A51A1D" w:rsidP="00A51A1D">
      <w:pPr>
        <w:spacing w:after="0" w:line="240" w:lineRule="auto"/>
        <w:rPr>
          <w:rFonts w:ascii="Times New Roman" w:hAnsi="Times New Roman"/>
          <w:lang w:val="lt-LT"/>
        </w:rPr>
      </w:pPr>
    </w:p>
    <w:p w14:paraId="395375C7"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Pakeičiamoji hormonų terapija (PHT) dėl pasireiškusių estrogenų trūkumo simptomų moterims po menopauzės, praėjus daugiau kaip vieneriems metams po paskutinių mėnesinių.</w:t>
      </w:r>
    </w:p>
    <w:p w14:paraId="51DA32D3" w14:textId="77777777" w:rsidR="00A51A1D" w:rsidRPr="00940D54" w:rsidRDefault="00A51A1D" w:rsidP="00A51A1D">
      <w:pPr>
        <w:spacing w:after="0" w:line="240" w:lineRule="auto"/>
        <w:rPr>
          <w:rFonts w:ascii="Times New Roman" w:hAnsi="Times New Roman"/>
          <w:lang w:val="lt-LT"/>
        </w:rPr>
      </w:pPr>
    </w:p>
    <w:p w14:paraId="3ADCB932"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Vyresnių kaip 65 metų moterų gydymo patirties nepakanka.</w:t>
      </w:r>
    </w:p>
    <w:p w14:paraId="40B98643" w14:textId="77777777" w:rsidR="00A51A1D" w:rsidRPr="00940D54" w:rsidRDefault="00A51A1D" w:rsidP="00A51A1D">
      <w:pPr>
        <w:spacing w:after="0" w:line="240" w:lineRule="auto"/>
        <w:rPr>
          <w:rFonts w:ascii="Times New Roman" w:hAnsi="Times New Roman"/>
          <w:lang w:val="lt-LT"/>
        </w:rPr>
      </w:pPr>
    </w:p>
    <w:p w14:paraId="28607CAD"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4.2</w:t>
      </w:r>
      <w:r w:rsidRPr="00940D54">
        <w:rPr>
          <w:rFonts w:ascii="Times New Roman" w:hAnsi="Times New Roman"/>
          <w:b/>
          <w:lang w:val="lt-LT"/>
        </w:rPr>
        <w:tab/>
        <w:t>Dozavimas ir vartojimo metodas</w:t>
      </w:r>
    </w:p>
    <w:p w14:paraId="189BC581" w14:textId="77777777" w:rsidR="00A51A1D" w:rsidRPr="00940D54" w:rsidRDefault="00A51A1D" w:rsidP="00A51A1D">
      <w:pPr>
        <w:spacing w:after="0" w:line="240" w:lineRule="auto"/>
        <w:rPr>
          <w:rFonts w:ascii="Times New Roman" w:hAnsi="Times New Roman"/>
          <w:lang w:val="lt-LT"/>
        </w:rPr>
      </w:pPr>
    </w:p>
    <w:p w14:paraId="0EFC07C9" w14:textId="77777777" w:rsidR="008D0AC7" w:rsidRPr="00940D54" w:rsidRDefault="008D0AC7" w:rsidP="008D0AC7">
      <w:pPr>
        <w:spacing w:after="0" w:line="240" w:lineRule="auto"/>
        <w:rPr>
          <w:rFonts w:ascii="Times New Roman" w:eastAsiaTheme="minorHAnsi" w:hAnsi="Times New Roman" w:cstheme="minorBidi"/>
          <w:u w:val="single"/>
          <w:lang w:val="lt-LT"/>
        </w:rPr>
      </w:pPr>
      <w:r w:rsidRPr="007E595D">
        <w:rPr>
          <w:rFonts w:ascii="Times New Roman" w:hAnsi="Times New Roman"/>
          <w:u w:val="single"/>
          <w:lang w:val="lt-LT"/>
        </w:rPr>
        <w:t>Dozavimas</w:t>
      </w:r>
    </w:p>
    <w:p w14:paraId="03A01C4F" w14:textId="77777777" w:rsidR="00A51A1D" w:rsidRPr="00940D54" w:rsidRDefault="00A51A1D" w:rsidP="00A51A1D">
      <w:pPr>
        <w:spacing w:after="0" w:line="240" w:lineRule="auto"/>
        <w:rPr>
          <w:rFonts w:ascii="Times New Roman" w:hAnsi="Times New Roman"/>
          <w:lang w:val="lt-LT"/>
        </w:rPr>
      </w:pPr>
    </w:p>
    <w:p w14:paraId="306AB55A"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 xml:space="preserve">Kaip pradėti vartoti </w:t>
      </w:r>
      <w:proofErr w:type="spellStart"/>
      <w:r w:rsidRPr="00940D54">
        <w:rPr>
          <w:rFonts w:ascii="Times New Roman" w:hAnsi="Times New Roman"/>
          <w:u w:val="single"/>
          <w:lang w:val="lt-LT"/>
        </w:rPr>
        <w:t>velbienne</w:t>
      </w:r>
      <w:proofErr w:type="spellEnd"/>
      <w:r w:rsidRPr="00940D54">
        <w:rPr>
          <w:rFonts w:ascii="Times New Roman" w:hAnsi="Times New Roman"/>
          <w:u w:val="single"/>
          <w:lang w:val="lt-LT"/>
        </w:rPr>
        <w:t xml:space="preserve"> 2 mg/1 mg plėvele dengtas tabletes</w:t>
      </w:r>
    </w:p>
    <w:p w14:paraId="08BC0F72"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Moterys, kurios nevartoja pakeičiamosios hormonų terapijos (PHT), arba moterys, kurios šį vaistinį preparatą pradeda vartoti vietoj kitokio nepertraukiamosios kombinuotosios PHT preparato, šį vaistinį preparatą gali pradėti vartoti bet kuriuo laiku.</w:t>
      </w:r>
    </w:p>
    <w:p w14:paraId="31A94269" w14:textId="77777777" w:rsidR="00A51A1D" w:rsidRPr="00940D54" w:rsidRDefault="00A51A1D" w:rsidP="00A51A1D">
      <w:pPr>
        <w:spacing w:after="0" w:line="240" w:lineRule="auto"/>
        <w:rPr>
          <w:rFonts w:ascii="Times New Roman" w:hAnsi="Times New Roman"/>
          <w:lang w:val="lt-LT"/>
        </w:rPr>
      </w:pPr>
    </w:p>
    <w:p w14:paraId="45658040"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Moterys, kurios šį vaistinį preparatą pradeda vartoti vietoj gydymo pagal nepertraukiamosios nuosekliosios PHT planą, šį vaistinį preparatą turi pradėti vartoti kitą dieną po to, kai užbaigia pirmesnį gydymo planą.</w:t>
      </w:r>
    </w:p>
    <w:p w14:paraId="61F5E360" w14:textId="77777777" w:rsidR="00A51A1D" w:rsidRPr="00940D54" w:rsidRDefault="00A51A1D" w:rsidP="00A51A1D">
      <w:pPr>
        <w:spacing w:after="0" w:line="240" w:lineRule="auto"/>
        <w:rPr>
          <w:rFonts w:ascii="Times New Roman" w:hAnsi="Times New Roman"/>
          <w:lang w:val="lt-LT"/>
        </w:rPr>
      </w:pPr>
    </w:p>
    <w:p w14:paraId="3120C8B2"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Moterys, kurios šį vaistinį preparatą pradeda vartoti vietoj gydymo pagal ciklinį PHT planą, šį vaistinį preparatą turi pradėti vartoti kitą dieną po gydymo pertraukos.</w:t>
      </w:r>
    </w:p>
    <w:p w14:paraId="51C020F1" w14:textId="77777777" w:rsidR="00A51A1D" w:rsidRPr="00940D54" w:rsidRDefault="00A51A1D" w:rsidP="00A51A1D">
      <w:pPr>
        <w:spacing w:after="0" w:line="240" w:lineRule="auto"/>
        <w:rPr>
          <w:rFonts w:ascii="Times New Roman" w:hAnsi="Times New Roman"/>
          <w:lang w:val="lt-LT"/>
        </w:rPr>
      </w:pPr>
    </w:p>
    <w:p w14:paraId="27846EF3" w14:textId="5F6D8551"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Reikia gerti po vieną tabletę per parą. Kiekvienoje lizdinių plokštelių pakuotėje yra tiek tablečių, kiek reikia 28</w:t>
      </w:r>
      <w:r w:rsidR="009626A5">
        <w:rPr>
          <w:rFonts w:ascii="Times New Roman" w:hAnsi="Times New Roman"/>
          <w:lang w:val="lt-LT"/>
        </w:rPr>
        <w:t> </w:t>
      </w:r>
      <w:r w:rsidRPr="00940D54">
        <w:rPr>
          <w:rFonts w:ascii="Times New Roman" w:hAnsi="Times New Roman"/>
          <w:lang w:val="lt-LT"/>
        </w:rPr>
        <w:t>dienų gydymui.</w:t>
      </w:r>
    </w:p>
    <w:p w14:paraId="1EA1376C" w14:textId="77777777" w:rsidR="00A51A1D" w:rsidRPr="00940D54" w:rsidRDefault="00A51A1D" w:rsidP="00A51A1D">
      <w:pPr>
        <w:spacing w:after="0" w:line="240" w:lineRule="auto"/>
        <w:rPr>
          <w:rFonts w:ascii="Times New Roman" w:hAnsi="Times New Roman"/>
          <w:lang w:val="lt-LT"/>
        </w:rPr>
      </w:pPr>
    </w:p>
    <w:p w14:paraId="29D7E73A" w14:textId="7A3F926A" w:rsidR="00A51A1D" w:rsidRPr="00940D54" w:rsidRDefault="00A51A1D" w:rsidP="00A51A1D">
      <w:pPr>
        <w:spacing w:after="0" w:line="240" w:lineRule="auto"/>
        <w:rPr>
          <w:rFonts w:ascii="Times New Roman" w:hAnsi="Times New Roman"/>
          <w:u w:val="single"/>
          <w:lang w:val="lt-LT"/>
        </w:rPr>
      </w:pPr>
      <w:r w:rsidRPr="00940D54">
        <w:rPr>
          <w:rFonts w:ascii="Times New Roman" w:hAnsi="Times New Roman"/>
          <w:u w:val="single"/>
          <w:lang w:val="lt-LT"/>
        </w:rPr>
        <w:t>Vartojim</w:t>
      </w:r>
      <w:r w:rsidR="008D0AC7" w:rsidRPr="00940D54">
        <w:rPr>
          <w:rFonts w:ascii="Times New Roman" w:hAnsi="Times New Roman"/>
          <w:u w:val="single"/>
          <w:lang w:val="lt-LT"/>
        </w:rPr>
        <w:t>o metodas</w:t>
      </w:r>
    </w:p>
    <w:p w14:paraId="5C781C87" w14:textId="77777777" w:rsidR="008D0AC7" w:rsidRPr="00940D54" w:rsidRDefault="008D0AC7" w:rsidP="008D0AC7">
      <w:pPr>
        <w:spacing w:after="0" w:line="240" w:lineRule="auto"/>
        <w:rPr>
          <w:rFonts w:ascii="Times New Roman" w:eastAsiaTheme="minorHAnsi" w:hAnsi="Times New Roman" w:cstheme="minorBidi"/>
          <w:lang w:val="lt-LT"/>
        </w:rPr>
      </w:pPr>
      <w:r w:rsidRPr="00940D54">
        <w:rPr>
          <w:rFonts w:ascii="Times New Roman" w:hAnsi="Times New Roman"/>
          <w:lang w:val="lt-LT"/>
        </w:rPr>
        <w:t>Vartoti per burną.</w:t>
      </w:r>
    </w:p>
    <w:p w14:paraId="6AA639A4" w14:textId="77777777" w:rsidR="008D0AC7" w:rsidRPr="00940D54" w:rsidRDefault="008D0AC7" w:rsidP="00A51A1D">
      <w:pPr>
        <w:spacing w:after="0" w:line="240" w:lineRule="auto"/>
        <w:rPr>
          <w:rFonts w:ascii="Times New Roman" w:eastAsiaTheme="minorHAnsi" w:hAnsi="Times New Roman" w:cstheme="minorBidi"/>
          <w:u w:val="single"/>
          <w:lang w:val="lt-LT"/>
        </w:rPr>
      </w:pPr>
    </w:p>
    <w:p w14:paraId="347889E8" w14:textId="07A04CFF" w:rsidR="00A51A1D" w:rsidRPr="00940D54" w:rsidRDefault="00A51A1D" w:rsidP="00A51A1D">
      <w:pPr>
        <w:spacing w:after="0" w:line="240" w:lineRule="auto"/>
        <w:rPr>
          <w:rFonts w:ascii="Times New Roman" w:hAnsi="Times New Roman"/>
          <w:lang w:val="lt-LT"/>
        </w:rPr>
      </w:pPr>
      <w:r w:rsidRPr="00940D54">
        <w:rPr>
          <w:rFonts w:ascii="Times New Roman" w:hAnsi="Times New Roman"/>
          <w:lang w:val="lt-LT"/>
        </w:rPr>
        <w:t xml:space="preserve">Reikia nuryti visą tabletę, užgeriant nedideliu kiekiu skysčio. Gydymas yra nepertraukiamas, tai reiškia, kad kitos pakuotės tabletes reikia pradėti vartoti, nedarant pertraukos. Tabletes geriausia išgerti kiekvieną dieną tuo pačiu laiku. Pamiršus išgerti tabletę, ją reikia išgerti kiek galima greičiau. </w:t>
      </w:r>
      <w:r w:rsidRPr="00940D54">
        <w:rPr>
          <w:rFonts w:ascii="Times New Roman" w:hAnsi="Times New Roman"/>
          <w:lang w:val="lt-LT"/>
        </w:rPr>
        <w:lastRenderedPageBreak/>
        <w:t>Jeigu praėjo daugiau kaip 24 valandos, papildomos tabletės gerti nereikia. Pamiršus išgerti keletą tablečių, gali pasireikšti kraujavimas.</w:t>
      </w:r>
      <w:r w:rsidR="008D0AC7" w:rsidRPr="00940D54">
        <w:rPr>
          <w:rFonts w:ascii="Times New Roman" w:hAnsi="Times New Roman"/>
          <w:lang w:val="lt-LT"/>
        </w:rPr>
        <w:t xml:space="preserve"> </w:t>
      </w:r>
      <w:r w:rsidRPr="00940D54">
        <w:rPr>
          <w:rFonts w:ascii="Times New Roman" w:hAnsi="Times New Roman"/>
          <w:lang w:val="lt-LT"/>
        </w:rPr>
        <w:t>Pradedant gydyti po menopauzės pasireiškusius simptomus ir tęsiant jų gydymą, reikia kiek galima trumpiau vartoti mažiausią veiksmingą dozę (taip pat žr.</w:t>
      </w:r>
      <w:r w:rsidR="002276DF">
        <w:rPr>
          <w:rFonts w:ascii="Times New Roman" w:hAnsi="Times New Roman"/>
          <w:lang w:val="lt-LT"/>
        </w:rPr>
        <w:t> </w:t>
      </w:r>
      <w:r w:rsidRPr="00940D54">
        <w:rPr>
          <w:rFonts w:ascii="Times New Roman" w:hAnsi="Times New Roman"/>
          <w:lang w:val="lt-LT"/>
        </w:rPr>
        <w:t>4.4 skyrių).</w:t>
      </w:r>
    </w:p>
    <w:p w14:paraId="43E078DC" w14:textId="77777777" w:rsidR="008D0AC7" w:rsidRPr="00940D54" w:rsidRDefault="008D0AC7" w:rsidP="00A51A1D">
      <w:pPr>
        <w:spacing w:after="0" w:line="240" w:lineRule="auto"/>
        <w:rPr>
          <w:rFonts w:ascii="Times New Roman" w:eastAsiaTheme="minorHAnsi" w:hAnsi="Times New Roman" w:cstheme="minorBidi"/>
          <w:lang w:val="lt-LT"/>
        </w:rPr>
      </w:pPr>
    </w:p>
    <w:p w14:paraId="00A09CD2" w14:textId="77777777" w:rsidR="008D0AC7" w:rsidRPr="00940D54" w:rsidRDefault="008D0AC7" w:rsidP="008D0AC7">
      <w:pPr>
        <w:autoSpaceDE w:val="0"/>
        <w:autoSpaceDN w:val="0"/>
        <w:adjustRightInd w:val="0"/>
        <w:spacing w:after="0" w:line="240" w:lineRule="auto"/>
        <w:rPr>
          <w:rFonts w:ascii="Times New Roman" w:hAnsi="Times New Roman"/>
          <w:b/>
          <w:bCs/>
          <w:lang w:val="lt-LT"/>
        </w:rPr>
      </w:pPr>
      <w:r w:rsidRPr="00940D54">
        <w:rPr>
          <w:rFonts w:ascii="Times New Roman" w:hAnsi="Times New Roman"/>
          <w:b/>
          <w:bCs/>
          <w:lang w:val="lt-LT"/>
        </w:rPr>
        <w:t>Papildoma informacija ypatingoms pacientų populiacijoms</w:t>
      </w:r>
    </w:p>
    <w:p w14:paraId="2CACE52E" w14:textId="77777777" w:rsidR="008D0AC7" w:rsidRPr="00940D54" w:rsidRDefault="008D0AC7" w:rsidP="008D0AC7">
      <w:pPr>
        <w:autoSpaceDE w:val="0"/>
        <w:autoSpaceDN w:val="0"/>
        <w:adjustRightInd w:val="0"/>
        <w:spacing w:after="0" w:line="240" w:lineRule="auto"/>
        <w:rPr>
          <w:rFonts w:ascii="Times New Roman" w:hAnsi="Times New Roman"/>
          <w:b/>
          <w:bCs/>
          <w:lang w:val="lt-LT"/>
        </w:rPr>
      </w:pPr>
    </w:p>
    <w:p w14:paraId="7FE0D4B9" w14:textId="2BB67A93" w:rsidR="008D0AC7" w:rsidRPr="007116AF" w:rsidRDefault="00733F24" w:rsidP="008D0AC7">
      <w:pPr>
        <w:autoSpaceDE w:val="0"/>
        <w:autoSpaceDN w:val="0"/>
        <w:adjustRightInd w:val="0"/>
        <w:spacing w:after="0" w:line="240" w:lineRule="auto"/>
        <w:rPr>
          <w:rFonts w:ascii="Times New Roman" w:hAnsi="Times New Roman"/>
          <w:bCs/>
          <w:i/>
          <w:lang w:val="lt-LT"/>
        </w:rPr>
      </w:pPr>
      <w:r w:rsidRPr="007116AF">
        <w:rPr>
          <w:rFonts w:ascii="Times New Roman" w:hAnsi="Times New Roman"/>
          <w:bCs/>
          <w:i/>
          <w:lang w:val="lt-LT"/>
        </w:rPr>
        <w:t>Vaikų populiacija</w:t>
      </w:r>
    </w:p>
    <w:p w14:paraId="6F4DBFB1" w14:textId="3B280CAD" w:rsidR="008D0AC7" w:rsidRPr="00940D54" w:rsidRDefault="009906C6" w:rsidP="008D0AC7">
      <w:pPr>
        <w:autoSpaceDE w:val="0"/>
        <w:autoSpaceDN w:val="0"/>
        <w:adjustRightInd w:val="0"/>
        <w:spacing w:after="0" w:line="240" w:lineRule="auto"/>
        <w:rPr>
          <w:rFonts w:ascii="Times New Roman" w:eastAsia="Times New Roman" w:hAnsi="Times New Roman"/>
          <w:lang w:val="lt-LT"/>
        </w:rPr>
      </w:pPr>
      <w:proofErr w:type="spellStart"/>
      <w:r w:rsidRPr="00940D54">
        <w:rPr>
          <w:rFonts w:ascii="Times New Roman" w:eastAsia="Times New Roman" w:hAnsi="Times New Roman"/>
          <w:lang w:val="lt-LT"/>
        </w:rPr>
        <w:t>velbienne</w:t>
      </w:r>
      <w:proofErr w:type="spellEnd"/>
      <w:r w:rsidRPr="00940D54">
        <w:rPr>
          <w:rFonts w:ascii="Times New Roman" w:eastAsia="Times New Roman" w:hAnsi="Times New Roman"/>
          <w:lang w:val="lt-LT"/>
        </w:rPr>
        <w:t xml:space="preserve"> neskirtas vartoti vaikams ir paaugliams.</w:t>
      </w:r>
    </w:p>
    <w:p w14:paraId="14BFE2EA" w14:textId="77777777" w:rsidR="008D0AC7" w:rsidRPr="00940D54" w:rsidRDefault="008D0AC7" w:rsidP="008D0AC7">
      <w:pPr>
        <w:autoSpaceDE w:val="0"/>
        <w:autoSpaceDN w:val="0"/>
        <w:adjustRightInd w:val="0"/>
        <w:spacing w:after="0" w:line="240" w:lineRule="auto"/>
        <w:rPr>
          <w:rFonts w:ascii="Times New Roman" w:eastAsia="Times New Roman" w:hAnsi="Times New Roman"/>
          <w:lang w:val="lt-LT"/>
        </w:rPr>
      </w:pPr>
    </w:p>
    <w:p w14:paraId="2070D6FE" w14:textId="77777777" w:rsidR="008D0AC7" w:rsidRPr="007116AF" w:rsidRDefault="008D0AC7" w:rsidP="008D0AC7">
      <w:pPr>
        <w:autoSpaceDE w:val="0"/>
        <w:autoSpaceDN w:val="0"/>
        <w:adjustRightInd w:val="0"/>
        <w:spacing w:after="0" w:line="240" w:lineRule="auto"/>
        <w:rPr>
          <w:rFonts w:ascii="Times New Roman" w:hAnsi="Times New Roman"/>
          <w:bCs/>
          <w:i/>
          <w:lang w:val="lt-LT"/>
        </w:rPr>
      </w:pPr>
      <w:r w:rsidRPr="007116AF">
        <w:rPr>
          <w:rFonts w:ascii="Times New Roman" w:hAnsi="Times New Roman"/>
          <w:bCs/>
          <w:i/>
          <w:lang w:val="lt-LT"/>
        </w:rPr>
        <w:t>Senyvoms pacientėms</w:t>
      </w:r>
    </w:p>
    <w:p w14:paraId="79B76B2A" w14:textId="336E8F7B" w:rsidR="008D0AC7" w:rsidRPr="00940D54" w:rsidRDefault="00733F24" w:rsidP="008D0AC7">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Duomenų, rodančių, kad senyvoms pacientėms reikia keisti dozę, nėra. Dėl 65 metų ir vyresnių moterų žr.</w:t>
      </w:r>
      <w:r w:rsidR="002276DF">
        <w:rPr>
          <w:rFonts w:ascii="Times New Roman" w:hAnsi="Times New Roman"/>
          <w:lang w:val="lt-LT"/>
        </w:rPr>
        <w:t> </w:t>
      </w:r>
      <w:r w:rsidRPr="00940D54">
        <w:rPr>
          <w:rFonts w:ascii="Times New Roman" w:hAnsi="Times New Roman"/>
          <w:lang w:val="lt-LT"/>
        </w:rPr>
        <w:t>4.4 skyrių.</w:t>
      </w:r>
    </w:p>
    <w:p w14:paraId="570FF718" w14:textId="77777777" w:rsidR="00733F24" w:rsidRPr="00940D54" w:rsidRDefault="00733F24" w:rsidP="008D0AC7">
      <w:pPr>
        <w:autoSpaceDE w:val="0"/>
        <w:autoSpaceDN w:val="0"/>
        <w:adjustRightInd w:val="0"/>
        <w:spacing w:after="0" w:line="240" w:lineRule="auto"/>
        <w:rPr>
          <w:rFonts w:ascii="Times New Roman" w:hAnsi="Times New Roman"/>
          <w:b/>
          <w:bCs/>
          <w:lang w:val="lt-LT"/>
        </w:rPr>
      </w:pPr>
    </w:p>
    <w:p w14:paraId="0C971FC0" w14:textId="77777777" w:rsidR="008D0AC7" w:rsidRPr="007116AF" w:rsidRDefault="008D0AC7" w:rsidP="008D0AC7">
      <w:pPr>
        <w:spacing w:after="0" w:line="240" w:lineRule="auto"/>
        <w:jc w:val="both"/>
        <w:rPr>
          <w:rFonts w:ascii="Times New Roman" w:eastAsia="Times New Roman" w:hAnsi="Times New Roman"/>
          <w:bCs/>
          <w:i/>
          <w:iCs/>
          <w:lang w:val="lt-LT"/>
        </w:rPr>
      </w:pPr>
      <w:r w:rsidRPr="007116AF">
        <w:rPr>
          <w:rFonts w:ascii="Times New Roman" w:eastAsia="Times New Roman" w:hAnsi="Times New Roman"/>
          <w:bCs/>
          <w:i/>
          <w:iCs/>
          <w:lang w:val="lt-LT"/>
        </w:rPr>
        <w:t>Pacientėms, kurių kepenų funkcija sutrikusi</w:t>
      </w:r>
    </w:p>
    <w:p w14:paraId="3592DB29" w14:textId="7C33194A" w:rsidR="008D0AC7" w:rsidRPr="00940D54" w:rsidRDefault="000B528D" w:rsidP="008D0AC7">
      <w:pPr>
        <w:autoSpaceDE w:val="0"/>
        <w:autoSpaceDN w:val="0"/>
        <w:adjustRightInd w:val="0"/>
        <w:spacing w:after="0" w:line="240" w:lineRule="auto"/>
        <w:rPr>
          <w:rFonts w:ascii="Times New Roman" w:eastAsia="Times New Roman" w:hAnsi="Times New Roman"/>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nėra tirtas pacientėms, kurių inkstų funkcija sutrikusi. </w:t>
      </w:r>
      <w:proofErr w:type="spellStart"/>
      <w:r w:rsidRPr="00940D54">
        <w:rPr>
          <w:rFonts w:ascii="Times New Roman" w:hAnsi="Times New Roman"/>
          <w:lang w:val="lt-LT"/>
        </w:rPr>
        <w:t>velbie</w:t>
      </w:r>
      <w:r w:rsidR="005F214F" w:rsidRPr="00940D54">
        <w:rPr>
          <w:rFonts w:ascii="Times New Roman" w:hAnsi="Times New Roman"/>
          <w:lang w:val="lt-LT"/>
        </w:rPr>
        <w:t>n</w:t>
      </w:r>
      <w:r w:rsidRPr="00940D54">
        <w:rPr>
          <w:rFonts w:ascii="Times New Roman" w:hAnsi="Times New Roman"/>
          <w:lang w:val="lt-LT"/>
        </w:rPr>
        <w:t>ne</w:t>
      </w:r>
      <w:proofErr w:type="spellEnd"/>
      <w:r w:rsidRPr="00940D54">
        <w:rPr>
          <w:rFonts w:ascii="Times New Roman" w:hAnsi="Times New Roman"/>
          <w:lang w:val="lt-LT"/>
        </w:rPr>
        <w:t xml:space="preserve"> negalima vartoti moterims, </w:t>
      </w:r>
      <w:r w:rsidR="005F214F" w:rsidRPr="00940D54">
        <w:rPr>
          <w:rFonts w:ascii="Times New Roman" w:hAnsi="Times New Roman"/>
          <w:lang w:val="lt-LT"/>
        </w:rPr>
        <w:t>sergančioms sunkiomis kepenų ligomis</w:t>
      </w:r>
      <w:r w:rsidRPr="00940D54">
        <w:rPr>
          <w:rFonts w:ascii="Times New Roman" w:hAnsi="Times New Roman"/>
          <w:lang w:val="lt-LT"/>
        </w:rPr>
        <w:t xml:space="preserve"> </w:t>
      </w:r>
      <w:r w:rsidRPr="00940D54">
        <w:rPr>
          <w:rFonts w:ascii="Times New Roman" w:eastAsia="Times New Roman" w:hAnsi="Times New Roman"/>
          <w:lang w:val="lt-LT"/>
        </w:rPr>
        <w:t>(žr.</w:t>
      </w:r>
      <w:r w:rsidR="002276DF">
        <w:rPr>
          <w:rFonts w:ascii="Times New Roman" w:eastAsia="Times New Roman" w:hAnsi="Times New Roman"/>
          <w:lang w:val="lt-LT"/>
        </w:rPr>
        <w:t> </w:t>
      </w:r>
      <w:r w:rsidRPr="00940D54">
        <w:rPr>
          <w:rFonts w:ascii="Times New Roman" w:eastAsia="Times New Roman" w:hAnsi="Times New Roman"/>
          <w:lang w:val="lt-LT"/>
        </w:rPr>
        <w:t>4.3</w:t>
      </w:r>
      <w:r w:rsidR="002276DF">
        <w:rPr>
          <w:rFonts w:ascii="Times New Roman" w:eastAsia="Times New Roman" w:hAnsi="Times New Roman"/>
          <w:lang w:val="lt-LT"/>
        </w:rPr>
        <w:t> </w:t>
      </w:r>
      <w:r w:rsidRPr="00940D54">
        <w:rPr>
          <w:rFonts w:ascii="Times New Roman" w:eastAsia="Times New Roman" w:hAnsi="Times New Roman"/>
          <w:lang w:val="lt-LT"/>
        </w:rPr>
        <w:t>sk</w:t>
      </w:r>
      <w:r w:rsidR="002276DF">
        <w:rPr>
          <w:rFonts w:ascii="Times New Roman" w:eastAsia="Times New Roman" w:hAnsi="Times New Roman"/>
          <w:lang w:val="lt-LT"/>
        </w:rPr>
        <w:t>yrių</w:t>
      </w:r>
      <w:r w:rsidRPr="00940D54">
        <w:rPr>
          <w:rFonts w:ascii="Times New Roman" w:eastAsia="Times New Roman" w:hAnsi="Times New Roman"/>
          <w:lang w:val="lt-LT"/>
        </w:rPr>
        <w:t>).</w:t>
      </w:r>
    </w:p>
    <w:p w14:paraId="7CD2F9D8" w14:textId="77777777" w:rsidR="000B528D" w:rsidRPr="00940D54" w:rsidRDefault="000B528D" w:rsidP="008D0AC7">
      <w:pPr>
        <w:autoSpaceDE w:val="0"/>
        <w:autoSpaceDN w:val="0"/>
        <w:adjustRightInd w:val="0"/>
        <w:spacing w:after="0" w:line="240" w:lineRule="auto"/>
        <w:rPr>
          <w:rFonts w:ascii="Times New Roman" w:hAnsi="Times New Roman"/>
          <w:b/>
          <w:bCs/>
          <w:lang w:val="lt-LT"/>
        </w:rPr>
      </w:pPr>
    </w:p>
    <w:p w14:paraId="5DEE72E8" w14:textId="77777777" w:rsidR="008D0AC7" w:rsidRPr="007116AF" w:rsidRDefault="008D0AC7" w:rsidP="008D0AC7">
      <w:pPr>
        <w:autoSpaceDE w:val="0"/>
        <w:autoSpaceDN w:val="0"/>
        <w:adjustRightInd w:val="0"/>
        <w:spacing w:after="0" w:line="240" w:lineRule="auto"/>
        <w:rPr>
          <w:rFonts w:ascii="Times New Roman" w:hAnsi="Times New Roman"/>
          <w:bCs/>
          <w:i/>
          <w:lang w:val="lt-LT"/>
        </w:rPr>
      </w:pPr>
      <w:r w:rsidRPr="007116AF">
        <w:rPr>
          <w:rFonts w:ascii="Times New Roman" w:hAnsi="Times New Roman"/>
          <w:bCs/>
          <w:i/>
          <w:lang w:val="lt-LT"/>
        </w:rPr>
        <w:t>Pacientėms, kurių inkstų funkcija sutrikusi</w:t>
      </w:r>
    </w:p>
    <w:p w14:paraId="1FBB2545" w14:textId="7D25A15B" w:rsidR="008D0AC7" w:rsidRPr="00940D54" w:rsidRDefault="000B528D" w:rsidP="008D0AC7">
      <w:pPr>
        <w:autoSpaceDE w:val="0"/>
        <w:autoSpaceDN w:val="0"/>
        <w:adjustRightInd w:val="0"/>
        <w:spacing w:after="0" w:line="240" w:lineRule="auto"/>
        <w:rPr>
          <w:rFonts w:ascii="Times New Roman" w:hAnsi="Times New Roman"/>
          <w:lang w:val="lt-LT"/>
        </w:rPr>
      </w:pPr>
      <w:proofErr w:type="spellStart"/>
      <w:r w:rsidRPr="00940D54">
        <w:rPr>
          <w:rFonts w:ascii="Times New Roman" w:hAnsi="Times New Roman"/>
          <w:lang w:val="lt-LT"/>
        </w:rPr>
        <w:t>velbienne</w:t>
      </w:r>
      <w:proofErr w:type="spellEnd"/>
      <w:r w:rsidR="008D0AC7" w:rsidRPr="00940D54">
        <w:rPr>
          <w:rFonts w:ascii="Times New Roman" w:hAnsi="Times New Roman"/>
          <w:lang w:val="lt-LT"/>
        </w:rPr>
        <w:t xml:space="preserve"> nėra tirtas pacientėms, kurių inkstų funkcija sutrikusi. </w:t>
      </w:r>
      <w:r w:rsidR="008D0AC7" w:rsidRPr="00940D54">
        <w:rPr>
          <w:rFonts w:ascii="Times New Roman" w:eastAsia="Times New Roman" w:hAnsi="Times New Roman"/>
          <w:lang w:val="lt-LT"/>
        </w:rPr>
        <w:t>Turimi duomenys nerodo, kad šioje pacienčių grupėje reikėtų keisti gydymą.</w:t>
      </w:r>
    </w:p>
    <w:p w14:paraId="4CB361DC" w14:textId="77777777" w:rsidR="008D0AC7" w:rsidRPr="00940D54" w:rsidRDefault="008D0AC7" w:rsidP="00A51A1D">
      <w:pPr>
        <w:spacing w:after="0" w:line="240" w:lineRule="auto"/>
        <w:rPr>
          <w:rFonts w:ascii="Times New Roman" w:hAnsi="Times New Roman"/>
          <w:lang w:val="lt-LT"/>
        </w:rPr>
      </w:pPr>
    </w:p>
    <w:p w14:paraId="73750F9D"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4.3</w:t>
      </w:r>
      <w:r w:rsidRPr="00940D54">
        <w:rPr>
          <w:rFonts w:ascii="Times New Roman" w:hAnsi="Times New Roman"/>
          <w:b/>
          <w:lang w:val="lt-LT"/>
        </w:rPr>
        <w:tab/>
        <w:t>Kontraindikacijos</w:t>
      </w:r>
    </w:p>
    <w:p w14:paraId="6CE4E2A2" w14:textId="77777777" w:rsidR="00A51A1D" w:rsidRPr="00940D54" w:rsidRDefault="00A51A1D" w:rsidP="00A51A1D">
      <w:pPr>
        <w:spacing w:after="0" w:line="240" w:lineRule="auto"/>
        <w:rPr>
          <w:rFonts w:ascii="Times New Roman" w:hAnsi="Times New Roman"/>
          <w:lang w:val="lt-LT"/>
        </w:rPr>
      </w:pPr>
    </w:p>
    <w:p w14:paraId="23D75092"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Diagnozuotas, buvęs arba įtariamas krūties vėžys.</w:t>
      </w:r>
    </w:p>
    <w:p w14:paraId="163AC44A"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Diagnozuoti arba įtariami nuo estrogenų priklausomi piktybiniai navikai (pvz.,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vėžys).</w:t>
      </w:r>
    </w:p>
    <w:p w14:paraId="6788F6CA"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Kraujavimas iš makšties dėl nenustatytos priežasties.</w:t>
      </w:r>
    </w:p>
    <w:p w14:paraId="0C708E29"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Negydyta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w:t>
      </w:r>
    </w:p>
    <w:p w14:paraId="550A6826"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Buvusi arba esama venų tromboembolija (giliųjų venų trombozė, plaučių embolija).</w:t>
      </w:r>
    </w:p>
    <w:p w14:paraId="0B4A6EEC" w14:textId="4F5E1AA0"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Diagnozuoti </w:t>
      </w:r>
      <w:proofErr w:type="spellStart"/>
      <w:r w:rsidRPr="00940D54">
        <w:rPr>
          <w:rFonts w:ascii="Times New Roman" w:hAnsi="Times New Roman"/>
          <w:lang w:val="lt-LT"/>
        </w:rPr>
        <w:t>trombofiliniai</w:t>
      </w:r>
      <w:proofErr w:type="spellEnd"/>
      <w:r w:rsidRPr="00940D54">
        <w:rPr>
          <w:rFonts w:ascii="Times New Roman" w:hAnsi="Times New Roman"/>
          <w:lang w:val="lt-LT"/>
        </w:rPr>
        <w:t xml:space="preserve"> sutrikimai (pvz.: proteino C, proteino S arba </w:t>
      </w:r>
      <w:proofErr w:type="spellStart"/>
      <w:r w:rsidRPr="00940D54">
        <w:rPr>
          <w:rFonts w:ascii="Times New Roman" w:hAnsi="Times New Roman"/>
          <w:lang w:val="lt-LT"/>
        </w:rPr>
        <w:t>antitrombino</w:t>
      </w:r>
      <w:proofErr w:type="spellEnd"/>
      <w:r w:rsidRPr="00940D54">
        <w:rPr>
          <w:rFonts w:ascii="Times New Roman" w:hAnsi="Times New Roman"/>
          <w:lang w:val="lt-LT"/>
        </w:rPr>
        <w:t xml:space="preserve"> trūkumas, žr.</w:t>
      </w:r>
      <w:r w:rsidR="0022758A">
        <w:rPr>
          <w:rFonts w:ascii="Times New Roman" w:hAnsi="Times New Roman"/>
          <w:lang w:val="lt-LT"/>
        </w:rPr>
        <w:t> </w:t>
      </w:r>
      <w:r w:rsidRPr="00940D54">
        <w:rPr>
          <w:rFonts w:ascii="Times New Roman" w:hAnsi="Times New Roman"/>
          <w:lang w:val="lt-LT"/>
        </w:rPr>
        <w:t>4.4 skyrių).</w:t>
      </w:r>
    </w:p>
    <w:p w14:paraId="418E038A"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Aktyvi arba neseniai buvusi arterijų </w:t>
      </w:r>
      <w:proofErr w:type="spellStart"/>
      <w:r w:rsidRPr="00940D54">
        <w:rPr>
          <w:rFonts w:ascii="Times New Roman" w:hAnsi="Times New Roman"/>
          <w:lang w:val="lt-LT"/>
        </w:rPr>
        <w:t>tromboembolinė</w:t>
      </w:r>
      <w:proofErr w:type="spellEnd"/>
      <w:r w:rsidRPr="00940D54">
        <w:rPr>
          <w:rFonts w:ascii="Times New Roman" w:hAnsi="Times New Roman"/>
          <w:lang w:val="lt-LT"/>
        </w:rPr>
        <w:t xml:space="preserve"> liga (pvz.: krūtinės angina, miokardo infarktas).</w:t>
      </w:r>
    </w:p>
    <w:p w14:paraId="002A9AA1"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Ūminė arba buvusi kepenų liga iki tol, kol kepenų funkcijos tyrimų rodmenys sunormalėja.</w:t>
      </w:r>
    </w:p>
    <w:p w14:paraId="7D7ACFA0" w14:textId="32245DC1"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Padidėjęs jautrumas veikliajai arba bet kuriai </w:t>
      </w:r>
      <w:r w:rsidR="00733F24" w:rsidRPr="00253783">
        <w:rPr>
          <w:rFonts w:ascii="Times New Roman" w:eastAsia="Times New Roman" w:hAnsi="Times New Roman"/>
          <w:lang w:val="lt-LT"/>
        </w:rPr>
        <w:t>6.1 skyriuje nurodytai</w:t>
      </w:r>
      <w:r w:rsidR="00733F24" w:rsidRPr="00253783">
        <w:rPr>
          <w:rFonts w:ascii="Times New Roman" w:hAnsi="Times New Roman"/>
          <w:lang w:val="lt-LT"/>
        </w:rPr>
        <w:t xml:space="preserve"> </w:t>
      </w:r>
      <w:r w:rsidRPr="00940D54">
        <w:rPr>
          <w:rFonts w:ascii="Times New Roman" w:hAnsi="Times New Roman"/>
          <w:lang w:val="lt-LT"/>
        </w:rPr>
        <w:t>pagalbinei medžiagai.</w:t>
      </w:r>
    </w:p>
    <w:p w14:paraId="6B7C35B8" w14:textId="77777777" w:rsidR="00A51A1D" w:rsidRPr="00940D54" w:rsidRDefault="00A51A1D" w:rsidP="00A51A1D">
      <w:p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r>
      <w:proofErr w:type="spellStart"/>
      <w:r w:rsidRPr="00940D54">
        <w:rPr>
          <w:rFonts w:ascii="Times New Roman" w:hAnsi="Times New Roman"/>
          <w:lang w:val="lt-LT"/>
        </w:rPr>
        <w:t>Porfirija</w:t>
      </w:r>
      <w:proofErr w:type="spellEnd"/>
      <w:r w:rsidRPr="00940D54">
        <w:rPr>
          <w:rFonts w:ascii="Times New Roman" w:hAnsi="Times New Roman"/>
          <w:lang w:val="lt-LT"/>
        </w:rPr>
        <w:t>.</w:t>
      </w:r>
    </w:p>
    <w:p w14:paraId="1725C12B" w14:textId="77777777" w:rsidR="00A51A1D" w:rsidRPr="00940D54" w:rsidRDefault="00A51A1D" w:rsidP="00A51A1D">
      <w:pPr>
        <w:spacing w:after="0" w:line="240" w:lineRule="auto"/>
        <w:rPr>
          <w:rFonts w:ascii="Times New Roman" w:hAnsi="Times New Roman"/>
          <w:lang w:val="lt-LT"/>
        </w:rPr>
      </w:pPr>
    </w:p>
    <w:p w14:paraId="1E7042B3"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4.4</w:t>
      </w:r>
      <w:r w:rsidRPr="00940D54">
        <w:rPr>
          <w:rFonts w:ascii="Times New Roman" w:hAnsi="Times New Roman"/>
          <w:b/>
          <w:lang w:val="lt-LT"/>
        </w:rPr>
        <w:tab/>
        <w:t>Specialūs įspėjimai ir atsargumo priemonės</w:t>
      </w:r>
    </w:p>
    <w:p w14:paraId="53BB89B8" w14:textId="77777777" w:rsidR="00A51A1D" w:rsidRPr="00940D54" w:rsidRDefault="00A51A1D" w:rsidP="00A51A1D">
      <w:pPr>
        <w:spacing w:after="0" w:line="240" w:lineRule="auto"/>
        <w:rPr>
          <w:rFonts w:ascii="Times New Roman" w:hAnsi="Times New Roman"/>
          <w:lang w:val="lt-LT"/>
        </w:rPr>
      </w:pPr>
    </w:p>
    <w:p w14:paraId="5C9F36A0"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Gydant po menopauzės pasireiškusius simptomus, PHT reikia pradėti tik tuo atveju, kai simptomai nepalankiai veikia gyvenimo kokybę. Visais atvejais bent vieną kartą per metus reikia atidžiai įvertinti riziką bei naudą ir gydymą tęsti tol, kol nauda persveria riziką.</w:t>
      </w:r>
    </w:p>
    <w:p w14:paraId="62FF8FB5" w14:textId="77777777" w:rsidR="00A51A1D" w:rsidRPr="00940D54" w:rsidRDefault="00A51A1D" w:rsidP="00A51A1D">
      <w:pPr>
        <w:spacing w:after="0" w:line="240" w:lineRule="auto"/>
        <w:rPr>
          <w:rFonts w:ascii="Times New Roman" w:hAnsi="Times New Roman"/>
          <w:lang w:val="lt-LT"/>
        </w:rPr>
      </w:pPr>
    </w:p>
    <w:p w14:paraId="01390F10"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Duomenys apie riziką, susijusią su pirmalaikės menopauzės gydymu skiriant PHT, yra riboti. Vis dėlto naudos ir rizikos santykis šioms moterims dėl mažos absoliučios rizikos jaunesnėms moterims laipsnio gali būti palankesnis nei vyresnėms moterims.</w:t>
      </w:r>
    </w:p>
    <w:p w14:paraId="05039968" w14:textId="77777777" w:rsidR="00A51A1D" w:rsidRPr="00940D54" w:rsidRDefault="00A51A1D" w:rsidP="00A51A1D">
      <w:pPr>
        <w:spacing w:after="0" w:line="240" w:lineRule="auto"/>
        <w:rPr>
          <w:rFonts w:ascii="Times New Roman" w:hAnsi="Times New Roman"/>
          <w:lang w:val="lt-LT"/>
        </w:rPr>
      </w:pPr>
    </w:p>
    <w:p w14:paraId="7620CDEC"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u w:val="single"/>
          <w:lang w:val="lt-LT"/>
        </w:rPr>
        <w:t>Medicininis ištyrimas / tolimesnis stebėjimas</w:t>
      </w:r>
    </w:p>
    <w:p w14:paraId="6388C356" w14:textId="39FBB14E"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Prieš pradedant ir atnaujinant pakeičiamąją hormonų terapiją, reikia surinkti išsamią pacientės ir jos šeimos medicininę istoriją. Fizinį (įskaitant dubens ir krūtų) ištyrimą reikia atlikti atsižvelgiant į medicininės istorijos duomenis, kontraindikacijas ir vartojimo įspėjimus. Gydymo metu rekomenduojami periodiniai sveikatos patikrinimai, kurių dažnis ir turinys kiekvienai moteriai yra individualūs. Moterims reikia patarti, kad apie visus atsiradusius krūtų pokyčius pasakytų savo gydytojui arba slaugytojui (žr. toliau skyrelį „Krūties vėžys“). Tyrimai, </w:t>
      </w:r>
      <w:r w:rsidR="00575C35" w:rsidRPr="00253783">
        <w:rPr>
          <w:rFonts w:ascii="Times New Roman" w:hAnsi="Times New Roman"/>
          <w:lang w:val="lt-LT"/>
        </w:rPr>
        <w:t xml:space="preserve">įskaitant vaizdinę diagnostiką, </w:t>
      </w:r>
      <w:r w:rsidR="00575C35" w:rsidRPr="00940D54">
        <w:rPr>
          <w:rFonts w:ascii="Times New Roman" w:hAnsi="Times New Roman"/>
          <w:lang w:val="lt-LT"/>
        </w:rPr>
        <w:t>pvz.,</w:t>
      </w:r>
      <w:r w:rsidRPr="00940D54">
        <w:rPr>
          <w:rFonts w:ascii="Times New Roman" w:hAnsi="Times New Roman"/>
          <w:lang w:val="lt-LT"/>
        </w:rPr>
        <w:t xml:space="preserve"> </w:t>
      </w:r>
      <w:proofErr w:type="spellStart"/>
      <w:r w:rsidRPr="00940D54">
        <w:rPr>
          <w:rFonts w:ascii="Times New Roman" w:hAnsi="Times New Roman"/>
          <w:lang w:val="lt-LT"/>
        </w:rPr>
        <w:t>mamografiją</w:t>
      </w:r>
      <w:proofErr w:type="spellEnd"/>
      <w:r w:rsidRPr="00940D54">
        <w:rPr>
          <w:rFonts w:ascii="Times New Roman" w:hAnsi="Times New Roman"/>
          <w:lang w:val="lt-LT"/>
        </w:rPr>
        <w:t>, turi būti atliekami pagal šiuo metu priimtą stebėjimo praktiką, atsižvelgiant į individualius klinikinius poreikius.</w:t>
      </w:r>
    </w:p>
    <w:p w14:paraId="10BAAAB6" w14:textId="77777777" w:rsidR="00A51A1D" w:rsidRPr="00940D54" w:rsidRDefault="00A51A1D" w:rsidP="00A51A1D">
      <w:pPr>
        <w:spacing w:after="0" w:line="240" w:lineRule="auto"/>
        <w:rPr>
          <w:rFonts w:ascii="Times New Roman" w:hAnsi="Times New Roman"/>
          <w:lang w:val="lt-LT"/>
        </w:rPr>
      </w:pPr>
    </w:p>
    <w:p w14:paraId="6433D43E"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Būklės, kurioms esant, pacientes reikia stebėti</w:t>
      </w:r>
    </w:p>
    <w:p w14:paraId="5AD8253F" w14:textId="683057F2" w:rsidR="00A51A1D" w:rsidRPr="00940D54" w:rsidRDefault="00A51A1D" w:rsidP="00A51A1D">
      <w:pPr>
        <w:spacing w:after="0" w:line="240" w:lineRule="auto"/>
        <w:rPr>
          <w:rFonts w:ascii="Times New Roman" w:hAnsi="Times New Roman"/>
          <w:lang w:val="lt-LT"/>
        </w:rPr>
      </w:pPr>
      <w:r w:rsidRPr="00940D54">
        <w:rPr>
          <w:rFonts w:ascii="Times New Roman" w:hAnsi="Times New Roman"/>
          <w:lang w:val="lt-LT"/>
        </w:rPr>
        <w:t xml:space="preserve">Jeigu toliau išvardytos būklės pasireiškia arba buvo pasireiškusios anksčiau ir (arba) pasunkėjo nėštumo ar pirmesnio gydymo hormonais metu, pacientę reikia atidžiai stebėti. Reikia atsižvelgti į tai, kad šios būklės gali atsinaujinti arba pasunkėti gydymo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metu, ypač:</w:t>
      </w:r>
    </w:p>
    <w:p w14:paraId="3119B848"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proofErr w:type="spellStart"/>
      <w:r w:rsidRPr="00940D54">
        <w:rPr>
          <w:rFonts w:ascii="Times New Roman" w:hAnsi="Times New Roman"/>
          <w:lang w:val="lt-LT"/>
        </w:rPr>
        <w:t>lejomioma</w:t>
      </w:r>
      <w:proofErr w:type="spellEnd"/>
      <w:r w:rsidRPr="00940D54">
        <w:rPr>
          <w:rFonts w:ascii="Times New Roman" w:hAnsi="Times New Roman"/>
          <w:lang w:val="lt-LT"/>
        </w:rPr>
        <w:t xml:space="preserve"> (gimdos </w:t>
      </w:r>
      <w:proofErr w:type="spellStart"/>
      <w:r w:rsidRPr="00940D54">
        <w:rPr>
          <w:rFonts w:ascii="Times New Roman" w:hAnsi="Times New Roman"/>
          <w:lang w:val="lt-LT"/>
        </w:rPr>
        <w:t>fibroma</w:t>
      </w:r>
      <w:proofErr w:type="spellEnd"/>
      <w:r w:rsidRPr="00940D54">
        <w:rPr>
          <w:rFonts w:ascii="Times New Roman" w:hAnsi="Times New Roman"/>
          <w:lang w:val="lt-LT"/>
        </w:rPr>
        <w:t>) arba endometriozė;</w:t>
      </w:r>
    </w:p>
    <w:p w14:paraId="42BF6631"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proofErr w:type="spellStart"/>
      <w:r w:rsidRPr="00940D54">
        <w:rPr>
          <w:rFonts w:ascii="Times New Roman" w:hAnsi="Times New Roman"/>
          <w:lang w:val="lt-LT"/>
        </w:rPr>
        <w:t>tromboembolinių</w:t>
      </w:r>
      <w:proofErr w:type="spellEnd"/>
      <w:r w:rsidRPr="00940D54">
        <w:rPr>
          <w:rFonts w:ascii="Times New Roman" w:hAnsi="Times New Roman"/>
          <w:lang w:val="lt-LT"/>
        </w:rPr>
        <w:t xml:space="preserve"> sutrikimų rizikos veiksniai (žr. toliau);</w:t>
      </w:r>
    </w:p>
    <w:p w14:paraId="43C03CF1"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nuo estrogenų priklausomų navikų rizikos veiksniai (pvz., krūties vėžio pirmojo laipsnio paveldimumas);</w:t>
      </w:r>
    </w:p>
    <w:p w14:paraId="40EECCE8"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hipertenzija;</w:t>
      </w:r>
    </w:p>
    <w:p w14:paraId="2437B494"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kepenų funkcijos sutrikimai (pvz., kepenų adenoma);</w:t>
      </w:r>
    </w:p>
    <w:p w14:paraId="08175282"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cukrinis diabetas su kraujagyslių pažaida arba be kraujagyslių pažaidos;</w:t>
      </w:r>
    </w:p>
    <w:p w14:paraId="01C4F64F"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tulžies pūslės akmenligė;</w:t>
      </w:r>
    </w:p>
    <w:p w14:paraId="7C29E733"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migrena arba (sunkus) galvos skausmas;</w:t>
      </w:r>
    </w:p>
    <w:p w14:paraId="6E9779B3"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sisteminė raudonoji vilkligė;</w:t>
      </w:r>
    </w:p>
    <w:p w14:paraId="4424C7A1"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 xml:space="preserve">buvusi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 xml:space="preserve"> (žr. toliau);</w:t>
      </w:r>
    </w:p>
    <w:p w14:paraId="520B5237"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epilepsija;</w:t>
      </w:r>
    </w:p>
    <w:p w14:paraId="175DE2F2"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astma;</w:t>
      </w:r>
    </w:p>
    <w:p w14:paraId="07D82506"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proofErr w:type="spellStart"/>
      <w:r w:rsidRPr="00940D54">
        <w:rPr>
          <w:rFonts w:ascii="Times New Roman" w:hAnsi="Times New Roman"/>
          <w:lang w:val="lt-LT"/>
        </w:rPr>
        <w:t>otosklerozė</w:t>
      </w:r>
      <w:proofErr w:type="spellEnd"/>
      <w:r w:rsidRPr="00940D54">
        <w:rPr>
          <w:rFonts w:ascii="Times New Roman" w:hAnsi="Times New Roman"/>
          <w:lang w:val="lt-LT"/>
        </w:rPr>
        <w:t>.</w:t>
      </w:r>
    </w:p>
    <w:p w14:paraId="0A11191F" w14:textId="77777777" w:rsidR="00A51A1D" w:rsidRPr="00940D54" w:rsidRDefault="00A51A1D" w:rsidP="00A51A1D">
      <w:pPr>
        <w:spacing w:after="0" w:line="240" w:lineRule="auto"/>
        <w:rPr>
          <w:rFonts w:ascii="Times New Roman" w:hAnsi="Times New Roman"/>
          <w:lang w:val="lt-LT"/>
        </w:rPr>
      </w:pPr>
    </w:p>
    <w:p w14:paraId="4CFD67BE"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Priežastys, dėl kurių gydymą reikia nedelsiant nutraukti</w:t>
      </w:r>
    </w:p>
    <w:p w14:paraId="3081C7AE"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Gydymą reikia nutraukti, atsiradus kontraindikacijai ir toliau išvardytomis aplinkybėmis.</w:t>
      </w:r>
    </w:p>
    <w:p w14:paraId="7DD62803" w14:textId="77777777" w:rsidR="00A51A1D" w:rsidRPr="00940D54" w:rsidRDefault="00A51A1D" w:rsidP="00A51A1D">
      <w:pPr>
        <w:spacing w:after="0" w:line="240" w:lineRule="auto"/>
        <w:rPr>
          <w:rFonts w:ascii="Times New Roman" w:hAnsi="Times New Roman"/>
          <w:lang w:val="lt-LT"/>
        </w:rPr>
      </w:pPr>
    </w:p>
    <w:p w14:paraId="1BC9F813"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Gelta arba kepenų funkcijos blogėjimas.</w:t>
      </w:r>
    </w:p>
    <w:p w14:paraId="2E3EA37B"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Reikšmingas kraujospūdžio padidėjimas.</w:t>
      </w:r>
    </w:p>
    <w:p w14:paraId="34127077"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 xml:space="preserve">Pirmą kartą pasireiškęs </w:t>
      </w:r>
      <w:proofErr w:type="spellStart"/>
      <w:r w:rsidRPr="00940D54">
        <w:rPr>
          <w:rFonts w:ascii="Times New Roman" w:hAnsi="Times New Roman"/>
          <w:lang w:val="lt-LT"/>
        </w:rPr>
        <w:t>migreninio</w:t>
      </w:r>
      <w:proofErr w:type="spellEnd"/>
      <w:r w:rsidRPr="00940D54">
        <w:rPr>
          <w:rFonts w:ascii="Times New Roman" w:hAnsi="Times New Roman"/>
          <w:lang w:val="lt-LT"/>
        </w:rPr>
        <w:t xml:space="preserve"> tipo galvos skausmas.</w:t>
      </w:r>
    </w:p>
    <w:p w14:paraId="42714359" w14:textId="77777777" w:rsidR="00A51A1D" w:rsidRPr="00940D54" w:rsidRDefault="00A51A1D" w:rsidP="00A51A1D">
      <w:pPr>
        <w:numPr>
          <w:ilvl w:val="0"/>
          <w:numId w:val="6"/>
        </w:numPr>
        <w:tabs>
          <w:tab w:val="left" w:pos="567"/>
        </w:tabs>
        <w:spacing w:after="0" w:line="240" w:lineRule="auto"/>
        <w:ind w:left="630" w:hanging="630"/>
        <w:rPr>
          <w:rFonts w:ascii="Times New Roman" w:eastAsiaTheme="minorHAnsi" w:hAnsi="Times New Roman" w:cstheme="minorBidi"/>
          <w:lang w:val="lt-LT"/>
        </w:rPr>
      </w:pPr>
      <w:r w:rsidRPr="00940D54">
        <w:rPr>
          <w:rFonts w:ascii="Times New Roman" w:hAnsi="Times New Roman"/>
          <w:lang w:val="lt-LT"/>
        </w:rPr>
        <w:t>Nėštumas.</w:t>
      </w:r>
    </w:p>
    <w:p w14:paraId="0E317711" w14:textId="77777777" w:rsidR="00A51A1D" w:rsidRPr="00940D54" w:rsidRDefault="00A51A1D" w:rsidP="00A51A1D">
      <w:pPr>
        <w:spacing w:after="0" w:line="240" w:lineRule="auto"/>
        <w:rPr>
          <w:rFonts w:ascii="Times New Roman" w:hAnsi="Times New Roman"/>
          <w:lang w:val="lt-LT"/>
        </w:rPr>
      </w:pPr>
    </w:p>
    <w:p w14:paraId="1AB17077" w14:textId="77777777" w:rsidR="00A51A1D" w:rsidRPr="00940D54" w:rsidRDefault="00A51A1D" w:rsidP="00A51A1D">
      <w:pPr>
        <w:spacing w:after="0" w:line="240" w:lineRule="auto"/>
        <w:rPr>
          <w:rFonts w:ascii="Times New Roman" w:eastAsiaTheme="minorHAnsi" w:hAnsi="Times New Roman" w:cstheme="minorBidi"/>
          <w:u w:val="single"/>
          <w:lang w:val="lt-LT"/>
        </w:rPr>
      </w:pPr>
      <w:proofErr w:type="spellStart"/>
      <w:r w:rsidRPr="00940D54">
        <w:rPr>
          <w:rFonts w:ascii="Times New Roman" w:hAnsi="Times New Roman"/>
          <w:u w:val="single"/>
          <w:lang w:val="lt-LT"/>
        </w:rPr>
        <w:t>Endometriumo</w:t>
      </w:r>
      <w:proofErr w:type="spellEnd"/>
      <w:r w:rsidRPr="00940D54">
        <w:rPr>
          <w:rFonts w:ascii="Times New Roman" w:hAnsi="Times New Roman"/>
          <w:u w:val="single"/>
          <w:lang w:val="lt-LT"/>
        </w:rPr>
        <w:t xml:space="preserve"> </w:t>
      </w:r>
      <w:proofErr w:type="spellStart"/>
      <w:r w:rsidRPr="00940D54">
        <w:rPr>
          <w:rFonts w:ascii="Times New Roman" w:hAnsi="Times New Roman"/>
          <w:u w:val="single"/>
          <w:lang w:val="lt-LT"/>
        </w:rPr>
        <w:t>hiperplazija</w:t>
      </w:r>
      <w:proofErr w:type="spellEnd"/>
      <w:r w:rsidRPr="00940D54">
        <w:rPr>
          <w:rFonts w:ascii="Times New Roman" w:hAnsi="Times New Roman"/>
          <w:u w:val="single"/>
          <w:lang w:val="lt-LT"/>
        </w:rPr>
        <w:t xml:space="preserve"> ir vėžys</w:t>
      </w:r>
    </w:p>
    <w:p w14:paraId="24343BEE" w14:textId="21AAC75E"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Vienus estrogenus ilgą laiką vartojančioms moterims, kurių gimda nepašalinta, padidėja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hiperplazijos</w:t>
      </w:r>
      <w:proofErr w:type="spellEnd"/>
      <w:r w:rsidRPr="00940D54">
        <w:rPr>
          <w:rFonts w:ascii="Times New Roman" w:hAnsi="Times New Roman"/>
          <w:lang w:val="lt-LT"/>
        </w:rPr>
        <w:t xml:space="preserve"> ir vėžio rizika. Pranešta, kad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vėžio rizika vienus estrogenus vartojančioms moterims padidėjo nuo 2 iki 12 kartų ribose, palyginti su jų nevartojančiomis moterimis, priklausomai nuo gydymo trukmės ir estrogenų dozės (žr.</w:t>
      </w:r>
      <w:r w:rsidR="00CF2BF4">
        <w:rPr>
          <w:rFonts w:ascii="Times New Roman" w:hAnsi="Times New Roman"/>
          <w:lang w:val="lt-LT"/>
        </w:rPr>
        <w:t> </w:t>
      </w:r>
      <w:r w:rsidRPr="00940D54">
        <w:rPr>
          <w:rFonts w:ascii="Times New Roman" w:hAnsi="Times New Roman"/>
          <w:lang w:val="lt-LT"/>
        </w:rPr>
        <w:t>4.8 skyrių). Nutraukus gydymą, rizika gali likti padidėjusi mažiausiai 10 metų.</w:t>
      </w:r>
    </w:p>
    <w:p w14:paraId="02EBE3DE" w14:textId="77777777" w:rsidR="00A51A1D" w:rsidRPr="00940D54" w:rsidRDefault="00A51A1D" w:rsidP="00A51A1D">
      <w:pPr>
        <w:spacing w:after="0" w:line="240" w:lineRule="auto"/>
        <w:ind w:left="567"/>
        <w:rPr>
          <w:rFonts w:ascii="Times New Roman" w:hAnsi="Times New Roman"/>
          <w:lang w:val="lt-LT"/>
        </w:rPr>
      </w:pPr>
    </w:p>
    <w:p w14:paraId="2E917D49" w14:textId="6B7B39AA"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Papildomas cikliškas </w:t>
      </w:r>
      <w:proofErr w:type="spellStart"/>
      <w:r w:rsidRPr="00940D54">
        <w:rPr>
          <w:rFonts w:ascii="Times New Roman" w:hAnsi="Times New Roman"/>
          <w:lang w:val="lt-LT"/>
        </w:rPr>
        <w:t>progest</w:t>
      </w:r>
      <w:r w:rsidR="00391BF3">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vartojimas ne trumpiau kaip 12</w:t>
      </w:r>
      <w:r w:rsidR="00CF2BF4">
        <w:rPr>
          <w:rFonts w:ascii="Times New Roman" w:hAnsi="Times New Roman"/>
          <w:lang w:val="lt-LT"/>
        </w:rPr>
        <w:t> </w:t>
      </w:r>
      <w:r w:rsidRPr="00940D54">
        <w:rPr>
          <w:rFonts w:ascii="Times New Roman" w:hAnsi="Times New Roman"/>
          <w:lang w:val="lt-LT"/>
        </w:rPr>
        <w:t>dienų per mėnesį (28</w:t>
      </w:r>
      <w:r w:rsidR="00CF2BF4">
        <w:rPr>
          <w:rFonts w:ascii="Times New Roman" w:hAnsi="Times New Roman"/>
          <w:lang w:val="lt-LT"/>
        </w:rPr>
        <w:t> </w:t>
      </w:r>
      <w:r w:rsidRPr="00940D54">
        <w:rPr>
          <w:rFonts w:ascii="Times New Roman" w:hAnsi="Times New Roman"/>
          <w:lang w:val="lt-LT"/>
        </w:rPr>
        <w:t xml:space="preserve">dienų ciklo metu) arba nepertraukiama kombinuotoji estrogenų ir </w:t>
      </w:r>
      <w:proofErr w:type="spellStart"/>
      <w:r w:rsidRPr="00940D54">
        <w:rPr>
          <w:rFonts w:ascii="Times New Roman" w:hAnsi="Times New Roman"/>
          <w:lang w:val="lt-LT"/>
        </w:rPr>
        <w:t>progest</w:t>
      </w:r>
      <w:r w:rsidR="00391BF3">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terapija apsaugo nuo rizikos perviršio, susijusio su vienų estrogenų PHT, moteris, kurių gimda nepašalinta.</w:t>
      </w:r>
    </w:p>
    <w:p w14:paraId="1E8037DC" w14:textId="77777777" w:rsidR="00A51A1D" w:rsidRPr="00940D54" w:rsidRDefault="00A51A1D" w:rsidP="00A51A1D">
      <w:pPr>
        <w:spacing w:after="0" w:line="240" w:lineRule="auto"/>
        <w:rPr>
          <w:rFonts w:ascii="Times New Roman" w:hAnsi="Times New Roman"/>
          <w:lang w:val="lt-LT"/>
        </w:rPr>
      </w:pPr>
    </w:p>
    <w:p w14:paraId="37EBB157"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Pirmaisiais gydymo mėnesiais gali atsirasti nereguliarus kraujavimas ar kraujingos išskyros. Jeigu nereguliarus kraujavimas ar kraujingos išskyros atsiranda jau kurį laiką vartojant vaistinį preparatą arba neišnyksta nutraukus gydymą, reikia ištirti sutrikimo priežastį, įskaitant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biopsiją, ir įsitikinti, kad nėra piktybinio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naviko.</w:t>
      </w:r>
    </w:p>
    <w:p w14:paraId="67FF15D8" w14:textId="77777777" w:rsidR="00A51A1D" w:rsidRPr="00940D54" w:rsidRDefault="00A51A1D" w:rsidP="00A51A1D">
      <w:pPr>
        <w:spacing w:after="0" w:line="240" w:lineRule="auto"/>
        <w:rPr>
          <w:rFonts w:ascii="Times New Roman" w:hAnsi="Times New Roman"/>
          <w:lang w:val="lt-LT"/>
        </w:rPr>
      </w:pPr>
    </w:p>
    <w:p w14:paraId="3FF5E4FF"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Krūties vėžys</w:t>
      </w:r>
    </w:p>
    <w:p w14:paraId="575EE932" w14:textId="71600C31"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Bendrieji duomenys rodo rizikos susirgti krūties vėžiu padidėjimą moterims, vartojančioms kombinuotąją estrogenų ir </w:t>
      </w:r>
      <w:proofErr w:type="spellStart"/>
      <w:r w:rsidR="005C54EF" w:rsidRPr="00940D54">
        <w:rPr>
          <w:rFonts w:ascii="Times New Roman" w:hAnsi="Times New Roman"/>
          <w:lang w:val="lt-LT"/>
        </w:rPr>
        <w:t>progest</w:t>
      </w:r>
      <w:r w:rsidR="005C54EF">
        <w:rPr>
          <w:rFonts w:ascii="Times New Roman" w:hAnsi="Times New Roman"/>
          <w:lang w:val="lt-LT"/>
        </w:rPr>
        <w:t>o</w:t>
      </w:r>
      <w:r w:rsidR="005C54EF" w:rsidRPr="00940D54">
        <w:rPr>
          <w:rFonts w:ascii="Times New Roman" w:hAnsi="Times New Roman"/>
          <w:lang w:val="lt-LT"/>
        </w:rPr>
        <w:t>genų</w:t>
      </w:r>
      <w:proofErr w:type="spellEnd"/>
      <w:r w:rsidR="005C54EF" w:rsidRPr="00940D54">
        <w:rPr>
          <w:rFonts w:ascii="Times New Roman" w:hAnsi="Times New Roman"/>
          <w:lang w:val="lt-LT"/>
        </w:rPr>
        <w:t xml:space="preserve"> </w:t>
      </w:r>
      <w:r w:rsidR="00416C59" w:rsidRPr="00940D54">
        <w:rPr>
          <w:rFonts w:ascii="Times New Roman" w:hAnsi="Times New Roman"/>
          <w:lang w:val="lt-LT"/>
        </w:rPr>
        <w:t>arba</w:t>
      </w:r>
      <w:r w:rsidRPr="00940D54">
        <w:rPr>
          <w:rFonts w:ascii="Times New Roman" w:hAnsi="Times New Roman"/>
          <w:lang w:val="lt-LT"/>
        </w:rPr>
        <w:t xml:space="preserve"> vienų estrogenų PHT, kuris priklauso nuo PHT trukmės.</w:t>
      </w:r>
    </w:p>
    <w:p w14:paraId="6F2505D8" w14:textId="77777777" w:rsidR="00A51A1D" w:rsidRPr="00940D54" w:rsidRDefault="00A51A1D" w:rsidP="00A51A1D">
      <w:pPr>
        <w:spacing w:after="0" w:line="240" w:lineRule="auto"/>
        <w:rPr>
          <w:rFonts w:ascii="Times New Roman" w:hAnsi="Times New Roman"/>
          <w:lang w:val="lt-LT"/>
        </w:rPr>
      </w:pPr>
    </w:p>
    <w:p w14:paraId="7A5E11C5" w14:textId="0CC0A120"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 xml:space="preserve">Kombinuotoji estrogenų ir </w:t>
      </w:r>
      <w:proofErr w:type="spellStart"/>
      <w:r w:rsidR="005C54EF" w:rsidRPr="00940D54">
        <w:rPr>
          <w:rFonts w:ascii="Times New Roman" w:hAnsi="Times New Roman"/>
          <w:u w:val="single"/>
          <w:lang w:val="lt-LT"/>
        </w:rPr>
        <w:t>progest</w:t>
      </w:r>
      <w:r w:rsidR="005C54EF">
        <w:rPr>
          <w:rFonts w:ascii="Times New Roman" w:hAnsi="Times New Roman"/>
          <w:u w:val="single"/>
          <w:lang w:val="lt-LT"/>
        </w:rPr>
        <w:t>o</w:t>
      </w:r>
      <w:r w:rsidR="005C54EF" w:rsidRPr="00940D54">
        <w:rPr>
          <w:rFonts w:ascii="Times New Roman" w:hAnsi="Times New Roman"/>
          <w:u w:val="single"/>
          <w:lang w:val="lt-LT"/>
        </w:rPr>
        <w:t>genų</w:t>
      </w:r>
      <w:proofErr w:type="spellEnd"/>
      <w:r w:rsidR="005C54EF" w:rsidRPr="00940D54">
        <w:rPr>
          <w:rFonts w:ascii="Times New Roman" w:hAnsi="Times New Roman"/>
          <w:u w:val="single"/>
          <w:lang w:val="lt-LT"/>
        </w:rPr>
        <w:t xml:space="preserve"> </w:t>
      </w:r>
      <w:r w:rsidRPr="00940D54">
        <w:rPr>
          <w:rFonts w:ascii="Times New Roman" w:hAnsi="Times New Roman"/>
          <w:u w:val="single"/>
          <w:lang w:val="lt-LT"/>
        </w:rPr>
        <w:t>terapija</w:t>
      </w:r>
    </w:p>
    <w:p w14:paraId="05DCBEC3" w14:textId="54F1FCB3"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Atsitiktinių imčių placebu kontroliuojamojo moterų sveikatos iniciatyvų tyrimo (angl. </w:t>
      </w:r>
      <w:proofErr w:type="spellStart"/>
      <w:r w:rsidRPr="00940D54">
        <w:rPr>
          <w:rFonts w:ascii="Times New Roman" w:hAnsi="Times New Roman"/>
          <w:i/>
          <w:lang w:val="lt-LT"/>
        </w:rPr>
        <w:t>The</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Women’s</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Health</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Initiative</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study</w:t>
      </w:r>
      <w:proofErr w:type="spellEnd"/>
      <w:r w:rsidRPr="00940D54">
        <w:rPr>
          <w:rFonts w:ascii="Times New Roman" w:hAnsi="Times New Roman"/>
          <w:i/>
          <w:lang w:val="lt-LT"/>
        </w:rPr>
        <w:t xml:space="preserve"> </w:t>
      </w:r>
      <w:r w:rsidRPr="00940D54">
        <w:rPr>
          <w:rFonts w:ascii="Times New Roman" w:hAnsi="Times New Roman"/>
          <w:lang w:val="lt-LT"/>
        </w:rPr>
        <w:t xml:space="preserve">WHI) ir </w:t>
      </w:r>
      <w:proofErr w:type="spellStart"/>
      <w:r w:rsidR="00656F56" w:rsidRPr="00940D54">
        <w:rPr>
          <w:rFonts w:ascii="Times New Roman" w:hAnsi="Times New Roman"/>
          <w:lang w:val="lt-LT"/>
        </w:rPr>
        <w:t>prospektyvinių</w:t>
      </w:r>
      <w:proofErr w:type="spellEnd"/>
      <w:r w:rsidR="00656F56" w:rsidRPr="00940D54">
        <w:rPr>
          <w:rFonts w:ascii="Times New Roman" w:hAnsi="Times New Roman"/>
          <w:lang w:val="lt-LT"/>
        </w:rPr>
        <w:t xml:space="preserve"> </w:t>
      </w:r>
      <w:r w:rsidRPr="00940D54">
        <w:rPr>
          <w:rFonts w:ascii="Times New Roman" w:hAnsi="Times New Roman"/>
          <w:lang w:val="lt-LT"/>
        </w:rPr>
        <w:t xml:space="preserve">epidemiologinių tyrimų </w:t>
      </w:r>
      <w:proofErr w:type="spellStart"/>
      <w:r w:rsidR="00656F56" w:rsidRPr="00940D54">
        <w:rPr>
          <w:rFonts w:ascii="Times New Roman" w:hAnsi="Times New Roman"/>
          <w:lang w:val="lt-LT"/>
        </w:rPr>
        <w:t>metaanalizės</w:t>
      </w:r>
      <w:proofErr w:type="spellEnd"/>
      <w:r w:rsidR="00656F56" w:rsidRPr="00940D54">
        <w:rPr>
          <w:rFonts w:ascii="Times New Roman" w:hAnsi="Times New Roman"/>
          <w:lang w:val="lt-LT"/>
        </w:rPr>
        <w:t xml:space="preserve"> </w:t>
      </w:r>
      <w:r w:rsidRPr="00940D54">
        <w:rPr>
          <w:rFonts w:ascii="Times New Roman" w:hAnsi="Times New Roman"/>
          <w:lang w:val="lt-LT"/>
        </w:rPr>
        <w:t xml:space="preserve">duomenys sutampa ir rodo rizikos susirgti krūties vėžiu padidėjimą moterims, vartojančioms kombinuotąją estrogenų ir </w:t>
      </w:r>
      <w:proofErr w:type="spellStart"/>
      <w:r w:rsidRPr="00940D54">
        <w:rPr>
          <w:rFonts w:ascii="Times New Roman" w:hAnsi="Times New Roman"/>
          <w:lang w:val="lt-LT"/>
        </w:rPr>
        <w:t>progest</w:t>
      </w:r>
      <w:r w:rsidR="005C54EF">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kuris buvo pastebėtas maždaug po 3 </w:t>
      </w:r>
      <w:r w:rsidR="00656F56" w:rsidRPr="00940D54">
        <w:rPr>
          <w:rFonts w:ascii="Times New Roman" w:hAnsi="Times New Roman"/>
          <w:lang w:val="lt-LT"/>
        </w:rPr>
        <w:t>(1-4)</w:t>
      </w:r>
      <w:r w:rsidR="00CF2BF4">
        <w:rPr>
          <w:rFonts w:ascii="Times New Roman" w:hAnsi="Times New Roman"/>
          <w:lang w:val="lt-LT"/>
        </w:rPr>
        <w:t> </w:t>
      </w:r>
      <w:r w:rsidRPr="00940D54">
        <w:rPr>
          <w:rFonts w:ascii="Times New Roman" w:hAnsi="Times New Roman"/>
          <w:lang w:val="lt-LT"/>
        </w:rPr>
        <w:t>metų (žr.</w:t>
      </w:r>
      <w:r w:rsidR="00CF2BF4">
        <w:rPr>
          <w:rFonts w:ascii="Times New Roman" w:hAnsi="Times New Roman"/>
          <w:lang w:val="lt-LT"/>
        </w:rPr>
        <w:t> </w:t>
      </w:r>
      <w:r w:rsidRPr="00940D54">
        <w:rPr>
          <w:rFonts w:ascii="Times New Roman" w:hAnsi="Times New Roman"/>
          <w:lang w:val="lt-LT"/>
        </w:rPr>
        <w:t>4.8 skyrių).</w:t>
      </w:r>
    </w:p>
    <w:p w14:paraId="008EECA0" w14:textId="77777777" w:rsidR="00A51A1D" w:rsidRPr="00940D54" w:rsidRDefault="00A51A1D" w:rsidP="00A51A1D">
      <w:pPr>
        <w:spacing w:after="0" w:line="240" w:lineRule="auto"/>
        <w:rPr>
          <w:rFonts w:ascii="Times New Roman" w:hAnsi="Times New Roman"/>
          <w:lang w:val="lt-LT"/>
        </w:rPr>
      </w:pPr>
    </w:p>
    <w:p w14:paraId="061868EE" w14:textId="77777777" w:rsidR="00A51A1D" w:rsidRPr="00940D54" w:rsidRDefault="00A51A1D" w:rsidP="006815BA">
      <w:pPr>
        <w:keepNext/>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Vienų estrogenų terapija</w:t>
      </w:r>
    </w:p>
    <w:p w14:paraId="717E2BC8" w14:textId="62784215" w:rsidR="00A51A1D" w:rsidRPr="00940D54" w:rsidRDefault="00A51A1D" w:rsidP="006815BA">
      <w:pPr>
        <w:keepNext/>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WHI tyrimas neparodė krūties vėžio rizikos padidėjimo moterims, kurių gimda yra pašalinta, vartojančioms vienų estrogenų PHT. Stebėjimo tyrimų metu dažniausiai buvo pranešta apie nedidelį </w:t>
      </w:r>
      <w:r w:rsidRPr="00940D54">
        <w:rPr>
          <w:rFonts w:ascii="Times New Roman" w:hAnsi="Times New Roman"/>
          <w:lang w:val="lt-LT"/>
        </w:rPr>
        <w:lastRenderedPageBreak/>
        <w:t xml:space="preserve">krūties vėžio diagnozavimo rizikos padidėjimą, kuris buvo žymiai mažesnis už nustatytą moterims, vartojančioms kombinuotąją estrogenų ir </w:t>
      </w:r>
      <w:proofErr w:type="spellStart"/>
      <w:r w:rsidRPr="00940D54">
        <w:rPr>
          <w:rFonts w:ascii="Times New Roman" w:hAnsi="Times New Roman"/>
          <w:lang w:val="lt-LT"/>
        </w:rPr>
        <w:t>progest</w:t>
      </w:r>
      <w:r w:rsidR="00B255D2">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(žr.</w:t>
      </w:r>
      <w:r w:rsidR="009D2D9C">
        <w:rPr>
          <w:rFonts w:ascii="Times New Roman" w:hAnsi="Times New Roman"/>
          <w:lang w:val="lt-LT"/>
        </w:rPr>
        <w:t> </w:t>
      </w:r>
      <w:r w:rsidRPr="00940D54">
        <w:rPr>
          <w:rFonts w:ascii="Times New Roman" w:hAnsi="Times New Roman"/>
          <w:lang w:val="lt-LT"/>
        </w:rPr>
        <w:t>4.8 skyrių).</w:t>
      </w:r>
    </w:p>
    <w:p w14:paraId="10627B46" w14:textId="77777777" w:rsidR="00A51A1D" w:rsidRPr="00940D54" w:rsidRDefault="00A51A1D" w:rsidP="00A51A1D">
      <w:pPr>
        <w:spacing w:after="0" w:line="240" w:lineRule="auto"/>
        <w:rPr>
          <w:rFonts w:ascii="Times New Roman" w:hAnsi="Times New Roman"/>
          <w:lang w:val="lt-LT"/>
        </w:rPr>
      </w:pPr>
    </w:p>
    <w:p w14:paraId="7D6D5857" w14:textId="45B1EC72" w:rsidR="00656F56" w:rsidRPr="00940D54" w:rsidRDefault="00656F56" w:rsidP="00A51A1D">
      <w:pPr>
        <w:spacing w:after="0" w:line="240" w:lineRule="auto"/>
        <w:rPr>
          <w:rFonts w:ascii="Times New Roman" w:hAnsi="Times New Roman"/>
          <w:lang w:val="lt-LT"/>
        </w:rPr>
      </w:pPr>
      <w:r w:rsidRPr="00940D54">
        <w:rPr>
          <w:rFonts w:ascii="Times New Roman" w:hAnsi="Times New Roman"/>
          <w:lang w:val="lt-LT"/>
        </w:rPr>
        <w:t xml:space="preserve">Didelės apimties </w:t>
      </w:r>
      <w:proofErr w:type="spellStart"/>
      <w:r w:rsidRPr="00940D54">
        <w:rPr>
          <w:rFonts w:ascii="Times New Roman" w:hAnsi="Times New Roman"/>
          <w:lang w:val="lt-LT"/>
        </w:rPr>
        <w:t>metaanalizė</w:t>
      </w:r>
      <w:proofErr w:type="spellEnd"/>
      <w:r w:rsidRPr="00940D54">
        <w:rPr>
          <w:rFonts w:ascii="Times New Roman" w:hAnsi="Times New Roman"/>
          <w:lang w:val="lt-LT"/>
        </w:rPr>
        <w:t xml:space="preserve"> atskleidė, kad, nutraukus gydymą padidėjusi rizika ilgainiui sumažės, o laikas, per kurį rizika sumažėja iki pradinio lygio, priklauso nuo anksčiau taikytos PHT trukmės. Jeigu PHT taikyta daugiau kaip 5</w:t>
      </w:r>
      <w:r w:rsidR="009D2D9C">
        <w:rPr>
          <w:rFonts w:ascii="Times New Roman" w:hAnsi="Times New Roman"/>
          <w:lang w:val="lt-LT"/>
        </w:rPr>
        <w:t> </w:t>
      </w:r>
      <w:r w:rsidRPr="00940D54">
        <w:rPr>
          <w:rFonts w:ascii="Times New Roman" w:hAnsi="Times New Roman"/>
          <w:lang w:val="lt-LT"/>
        </w:rPr>
        <w:t>metus, tokia rizika gali išlikti 10</w:t>
      </w:r>
      <w:r w:rsidR="009D2D9C">
        <w:rPr>
          <w:rFonts w:ascii="Times New Roman" w:hAnsi="Times New Roman"/>
          <w:lang w:val="lt-LT"/>
        </w:rPr>
        <w:t> </w:t>
      </w:r>
      <w:r w:rsidRPr="00940D54">
        <w:rPr>
          <w:rFonts w:ascii="Times New Roman" w:hAnsi="Times New Roman"/>
          <w:lang w:val="lt-LT"/>
        </w:rPr>
        <w:t>metų ir ilgiau.</w:t>
      </w:r>
    </w:p>
    <w:p w14:paraId="53FFDD3E" w14:textId="77777777" w:rsidR="00656F56" w:rsidRPr="00940D54" w:rsidRDefault="00656F56" w:rsidP="00A51A1D">
      <w:pPr>
        <w:spacing w:after="0" w:line="240" w:lineRule="auto"/>
        <w:rPr>
          <w:rFonts w:ascii="Times New Roman" w:hAnsi="Times New Roman"/>
          <w:lang w:val="lt-LT"/>
        </w:rPr>
      </w:pPr>
    </w:p>
    <w:p w14:paraId="3919C99F" w14:textId="3A8BFE6A"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PHT, ypač kombinuotasis gydymas estrogenais ir </w:t>
      </w:r>
      <w:proofErr w:type="spellStart"/>
      <w:r w:rsidR="00B255D2" w:rsidRPr="00940D54">
        <w:rPr>
          <w:rFonts w:ascii="Times New Roman" w:hAnsi="Times New Roman"/>
          <w:lang w:val="lt-LT"/>
        </w:rPr>
        <w:t>progest</w:t>
      </w:r>
      <w:r w:rsidR="00B255D2">
        <w:rPr>
          <w:rFonts w:ascii="Times New Roman" w:hAnsi="Times New Roman"/>
          <w:lang w:val="lt-LT"/>
        </w:rPr>
        <w:t>o</w:t>
      </w:r>
      <w:r w:rsidR="00B255D2" w:rsidRPr="00940D54">
        <w:rPr>
          <w:rFonts w:ascii="Times New Roman" w:hAnsi="Times New Roman"/>
          <w:lang w:val="lt-LT"/>
        </w:rPr>
        <w:t>genais</w:t>
      </w:r>
      <w:proofErr w:type="spellEnd"/>
      <w:r w:rsidRPr="00940D54">
        <w:rPr>
          <w:rFonts w:ascii="Times New Roman" w:hAnsi="Times New Roman"/>
          <w:lang w:val="lt-LT"/>
        </w:rPr>
        <w:t xml:space="preserve">, didina </w:t>
      </w:r>
      <w:proofErr w:type="spellStart"/>
      <w:r w:rsidRPr="00940D54">
        <w:rPr>
          <w:rFonts w:ascii="Times New Roman" w:hAnsi="Times New Roman"/>
          <w:lang w:val="lt-LT"/>
        </w:rPr>
        <w:t>mamografijos</w:t>
      </w:r>
      <w:proofErr w:type="spellEnd"/>
      <w:r w:rsidRPr="00940D54">
        <w:rPr>
          <w:rFonts w:ascii="Times New Roman" w:hAnsi="Times New Roman"/>
          <w:lang w:val="lt-LT"/>
        </w:rPr>
        <w:t xml:space="preserve"> vaizdų tankį, o tai nepalankiai veikia krūties vėžio radiologinę diagnostiką.</w:t>
      </w:r>
    </w:p>
    <w:p w14:paraId="2D58A5A4" w14:textId="77777777" w:rsidR="00A51A1D" w:rsidRPr="00940D54" w:rsidRDefault="00A51A1D" w:rsidP="00A51A1D">
      <w:pPr>
        <w:spacing w:after="0" w:line="240" w:lineRule="auto"/>
        <w:rPr>
          <w:rFonts w:ascii="Times New Roman" w:hAnsi="Times New Roman"/>
          <w:lang w:val="lt-LT"/>
        </w:rPr>
      </w:pPr>
    </w:p>
    <w:p w14:paraId="3CD745FE"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Kiaušidžių vėžys</w:t>
      </w:r>
    </w:p>
    <w:p w14:paraId="29A4EAB4"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Kiaušidžių vėžys yra daug retesnis už krūties vėžį. </w:t>
      </w:r>
    </w:p>
    <w:p w14:paraId="36CCD588" w14:textId="77777777" w:rsidR="00A51A1D" w:rsidRPr="00940D54" w:rsidRDefault="00A51A1D" w:rsidP="00A51A1D">
      <w:pPr>
        <w:spacing w:after="0" w:line="240" w:lineRule="auto"/>
        <w:rPr>
          <w:rFonts w:ascii="Times New Roman" w:hAnsi="Times New Roman"/>
          <w:lang w:val="lt-LT"/>
        </w:rPr>
      </w:pPr>
    </w:p>
    <w:p w14:paraId="6B288996" w14:textId="27ABF9BB"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Didelė epidemiologinių tyrimų duomenų </w:t>
      </w:r>
      <w:proofErr w:type="spellStart"/>
      <w:r w:rsidRPr="00940D54">
        <w:rPr>
          <w:rFonts w:ascii="Times New Roman" w:hAnsi="Times New Roman"/>
          <w:lang w:val="lt-LT"/>
        </w:rPr>
        <w:t>metaanalizė</w:t>
      </w:r>
      <w:proofErr w:type="spellEnd"/>
      <w:r w:rsidRPr="00940D54">
        <w:rPr>
          <w:rFonts w:ascii="Times New Roman" w:hAnsi="Times New Roman"/>
          <w:lang w:val="lt-LT"/>
        </w:rPr>
        <w:t xml:space="preserve"> rodo nežymų rizikos padidėjimą vienų estrogenų arba kombinuotąją estrogenų ir </w:t>
      </w:r>
      <w:proofErr w:type="spellStart"/>
      <w:r w:rsidRPr="00940D54">
        <w:rPr>
          <w:rFonts w:ascii="Times New Roman" w:hAnsi="Times New Roman"/>
          <w:lang w:val="lt-LT"/>
        </w:rPr>
        <w:t>progest</w:t>
      </w:r>
      <w:r w:rsidR="00B255D2">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vartojančioms moterims, kuris pastebimas per 5 vartojimo metus ir mažėja nutraukus vartojimą.</w:t>
      </w:r>
    </w:p>
    <w:p w14:paraId="0D332EC4" w14:textId="77777777" w:rsidR="00A51A1D" w:rsidRPr="00940D54" w:rsidRDefault="00A51A1D" w:rsidP="00A51A1D">
      <w:pPr>
        <w:spacing w:after="0" w:line="240" w:lineRule="auto"/>
        <w:rPr>
          <w:rFonts w:ascii="Times New Roman" w:hAnsi="Times New Roman"/>
          <w:lang w:val="lt-LT"/>
        </w:rPr>
      </w:pPr>
    </w:p>
    <w:p w14:paraId="7F95BEA3" w14:textId="55C8AFBF"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Kai kurie kiti tyrimai (įskaitant </w:t>
      </w:r>
      <w:r w:rsidRPr="00940D54">
        <w:rPr>
          <w:rFonts w:ascii="Times New Roman" w:hAnsi="Times New Roman"/>
          <w:i/>
          <w:lang w:val="lt-LT"/>
        </w:rPr>
        <w:t>WHI</w:t>
      </w:r>
      <w:r w:rsidRPr="00940D54">
        <w:rPr>
          <w:rFonts w:ascii="Times New Roman" w:hAnsi="Times New Roman"/>
          <w:lang w:val="lt-LT"/>
        </w:rPr>
        <w:t xml:space="preserve"> tyrimą) rodo, kad PHT gali būti susijusi su panašia ar šiek tiek mažesne rizika (žr.</w:t>
      </w:r>
      <w:r w:rsidR="009D2D9C">
        <w:rPr>
          <w:rFonts w:ascii="Times New Roman" w:hAnsi="Times New Roman"/>
          <w:lang w:val="lt-LT"/>
        </w:rPr>
        <w:t> </w:t>
      </w:r>
      <w:r w:rsidRPr="00940D54">
        <w:rPr>
          <w:rFonts w:ascii="Times New Roman" w:hAnsi="Times New Roman"/>
          <w:lang w:val="lt-LT"/>
        </w:rPr>
        <w:t>4.8 skyrių).</w:t>
      </w:r>
    </w:p>
    <w:p w14:paraId="2EBF5E37" w14:textId="77777777" w:rsidR="00A51A1D" w:rsidRPr="00940D54" w:rsidRDefault="00A51A1D" w:rsidP="00A51A1D">
      <w:pPr>
        <w:spacing w:after="0" w:line="240" w:lineRule="auto"/>
        <w:rPr>
          <w:rFonts w:ascii="Times New Roman" w:hAnsi="Times New Roman"/>
          <w:lang w:val="lt-LT"/>
        </w:rPr>
      </w:pPr>
    </w:p>
    <w:p w14:paraId="7E8E2623"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Venų tromboembolija</w:t>
      </w:r>
    </w:p>
    <w:p w14:paraId="2E5A1BD4" w14:textId="39D1D159"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PHT yra susijusi su 1,3</w:t>
      </w:r>
      <w:r w:rsidRPr="00940D54">
        <w:rPr>
          <w:rFonts w:ascii="Times New Roman" w:hAnsi="Times New Roman"/>
          <w:lang w:val="lt-LT"/>
        </w:rPr>
        <w:noBreakHyphen/>
        <w:t>3 kartais didesne venų tromboembolijos (VTE, pvz.: giliųjų venų trombozės ar plaučių embolijos) atsiradimo rizika. Tokių reiškinių atsiradimo tikimybė yra didesnė pirmaisiais nei vėlesniais PHT metais</w:t>
      </w:r>
      <w:r w:rsidR="00492501" w:rsidRPr="00940D54">
        <w:rPr>
          <w:rFonts w:ascii="Times New Roman" w:hAnsi="Times New Roman"/>
          <w:lang w:val="lt-LT"/>
        </w:rPr>
        <w:t xml:space="preserve"> (žr.</w:t>
      </w:r>
      <w:r w:rsidR="009D2D9C">
        <w:rPr>
          <w:rFonts w:ascii="Times New Roman" w:hAnsi="Times New Roman"/>
          <w:lang w:val="lt-LT"/>
        </w:rPr>
        <w:t> </w:t>
      </w:r>
      <w:r w:rsidR="00492501" w:rsidRPr="00940D54">
        <w:rPr>
          <w:rFonts w:ascii="Times New Roman" w:hAnsi="Times New Roman"/>
          <w:lang w:val="lt-LT"/>
        </w:rPr>
        <w:t>4.8</w:t>
      </w:r>
      <w:r w:rsidR="009D2D9C">
        <w:rPr>
          <w:rFonts w:ascii="Times New Roman" w:hAnsi="Times New Roman"/>
          <w:lang w:val="lt-LT"/>
        </w:rPr>
        <w:t> </w:t>
      </w:r>
      <w:r w:rsidR="00492501" w:rsidRPr="00940D54">
        <w:rPr>
          <w:rFonts w:ascii="Times New Roman" w:hAnsi="Times New Roman"/>
          <w:lang w:val="lt-LT"/>
        </w:rPr>
        <w:t>skyrių)</w:t>
      </w:r>
      <w:r w:rsidRPr="00940D54">
        <w:rPr>
          <w:rFonts w:ascii="Times New Roman" w:hAnsi="Times New Roman"/>
          <w:lang w:val="lt-LT"/>
        </w:rPr>
        <w:t>.</w:t>
      </w:r>
    </w:p>
    <w:p w14:paraId="51EA6B75" w14:textId="77777777" w:rsidR="00A51A1D" w:rsidRPr="00940D54" w:rsidRDefault="00A51A1D" w:rsidP="00A51A1D">
      <w:pPr>
        <w:spacing w:after="0" w:line="240" w:lineRule="auto"/>
        <w:ind w:left="567"/>
        <w:rPr>
          <w:rFonts w:ascii="Times New Roman" w:hAnsi="Times New Roman"/>
          <w:lang w:val="lt-LT"/>
        </w:rPr>
      </w:pPr>
    </w:p>
    <w:p w14:paraId="2929405F" w14:textId="41592809"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Pacientėms, kurioms yra </w:t>
      </w:r>
      <w:proofErr w:type="spellStart"/>
      <w:r w:rsidRPr="00940D54">
        <w:rPr>
          <w:rFonts w:ascii="Times New Roman" w:hAnsi="Times New Roman"/>
          <w:lang w:val="lt-LT"/>
        </w:rPr>
        <w:t>trombofilinių</w:t>
      </w:r>
      <w:proofErr w:type="spellEnd"/>
      <w:r w:rsidRPr="00940D54">
        <w:rPr>
          <w:rFonts w:ascii="Times New Roman" w:hAnsi="Times New Roman"/>
          <w:lang w:val="lt-LT"/>
        </w:rPr>
        <w:t xml:space="preserve"> būklių, VTE rizika yra didesnė ir PHT gali šią riziką papildomai padidinti. Todėl tokioms pacientėms PHT yra </w:t>
      </w:r>
      <w:proofErr w:type="spellStart"/>
      <w:r w:rsidRPr="00940D54">
        <w:rPr>
          <w:rFonts w:ascii="Times New Roman" w:hAnsi="Times New Roman"/>
          <w:lang w:val="lt-LT"/>
        </w:rPr>
        <w:t>kontraindikuotina</w:t>
      </w:r>
      <w:proofErr w:type="spellEnd"/>
      <w:r w:rsidRPr="00940D54">
        <w:rPr>
          <w:rFonts w:ascii="Times New Roman" w:hAnsi="Times New Roman"/>
          <w:lang w:val="lt-LT"/>
        </w:rPr>
        <w:t xml:space="preserve"> (žr.</w:t>
      </w:r>
      <w:r w:rsidR="009D2D9C">
        <w:rPr>
          <w:rFonts w:ascii="Times New Roman" w:hAnsi="Times New Roman"/>
          <w:lang w:val="lt-LT"/>
        </w:rPr>
        <w:t> </w:t>
      </w:r>
      <w:r w:rsidRPr="00940D54">
        <w:rPr>
          <w:rFonts w:ascii="Times New Roman" w:hAnsi="Times New Roman"/>
          <w:lang w:val="lt-LT"/>
        </w:rPr>
        <w:t>4.3 skyrių).</w:t>
      </w:r>
    </w:p>
    <w:p w14:paraId="2E974053" w14:textId="77777777" w:rsidR="00A51A1D" w:rsidRPr="00940D54" w:rsidRDefault="00A51A1D" w:rsidP="00A51A1D">
      <w:pPr>
        <w:spacing w:after="0" w:line="240" w:lineRule="auto"/>
        <w:rPr>
          <w:rFonts w:ascii="Times New Roman" w:hAnsi="Times New Roman"/>
          <w:lang w:val="lt-LT"/>
        </w:rPr>
      </w:pPr>
    </w:p>
    <w:p w14:paraId="7B8B7263"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Visuotinai pripažįstami VTE rizikos veiksniai yra estrogenų vartojimas, vyresnis amžius, didelė chirurginė operacija, ilgalaikė </w:t>
      </w:r>
      <w:proofErr w:type="spellStart"/>
      <w:r w:rsidRPr="00940D54">
        <w:rPr>
          <w:rFonts w:ascii="Times New Roman" w:hAnsi="Times New Roman"/>
          <w:lang w:val="lt-LT"/>
        </w:rPr>
        <w:t>imobilizacija</w:t>
      </w:r>
      <w:proofErr w:type="spellEnd"/>
      <w:r w:rsidRPr="00940D54">
        <w:rPr>
          <w:rFonts w:ascii="Times New Roman" w:hAnsi="Times New Roman"/>
          <w:lang w:val="lt-LT"/>
        </w:rPr>
        <w:t>, nutukimas (KMI &gt; 30 kg/m</w:t>
      </w:r>
      <w:r w:rsidRPr="00940D54">
        <w:rPr>
          <w:rFonts w:ascii="Times New Roman" w:hAnsi="Times New Roman"/>
          <w:vertAlign w:val="superscript"/>
          <w:lang w:val="lt-LT"/>
        </w:rPr>
        <w:t>2</w:t>
      </w:r>
      <w:r w:rsidRPr="00940D54">
        <w:rPr>
          <w:rFonts w:ascii="Times New Roman" w:hAnsi="Times New Roman"/>
          <w:lang w:val="lt-LT"/>
        </w:rPr>
        <w:t xml:space="preserve">), nėštumas ar laikotarpis po gimdymo, sisteminė raudonoji vilkligė (SRV) ir vėžys. Nėra vieningos nuomonės apie galimą </w:t>
      </w:r>
      <w:proofErr w:type="spellStart"/>
      <w:r w:rsidRPr="00940D54">
        <w:rPr>
          <w:rFonts w:ascii="Times New Roman" w:hAnsi="Times New Roman"/>
          <w:lang w:val="lt-LT"/>
        </w:rPr>
        <w:t>varikozinių</w:t>
      </w:r>
      <w:proofErr w:type="spellEnd"/>
      <w:r w:rsidRPr="00940D54">
        <w:rPr>
          <w:rFonts w:ascii="Times New Roman" w:hAnsi="Times New Roman"/>
          <w:lang w:val="lt-LT"/>
        </w:rPr>
        <w:t xml:space="preserve"> venų įtaką VTE atsiradimui.</w:t>
      </w:r>
    </w:p>
    <w:p w14:paraId="2FB02FAF" w14:textId="77777777" w:rsidR="00A51A1D" w:rsidRPr="00940D54" w:rsidRDefault="00A51A1D" w:rsidP="00A51A1D">
      <w:pPr>
        <w:spacing w:after="0" w:line="240" w:lineRule="auto"/>
        <w:rPr>
          <w:rFonts w:ascii="Times New Roman" w:hAnsi="Times New Roman"/>
          <w:lang w:val="lt-LT"/>
        </w:rPr>
      </w:pPr>
    </w:p>
    <w:p w14:paraId="15221FD3"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Kaip ir visiems pacientams po chirurginių operacijų, reikia numatyti profilaktines priemones, kurios apsaugotų nuo VTE po operacijos. Jeigu po planuojamos chirurginės operacijos bus ilgalaikė </w:t>
      </w:r>
      <w:proofErr w:type="spellStart"/>
      <w:r w:rsidRPr="00940D54">
        <w:rPr>
          <w:rFonts w:ascii="Times New Roman" w:hAnsi="Times New Roman"/>
          <w:lang w:val="lt-LT"/>
        </w:rPr>
        <w:t>imobilizacija</w:t>
      </w:r>
      <w:proofErr w:type="spellEnd"/>
      <w:r w:rsidRPr="00940D54">
        <w:rPr>
          <w:rFonts w:ascii="Times New Roman" w:hAnsi="Times New Roman"/>
          <w:lang w:val="lt-LT"/>
        </w:rPr>
        <w:t>, rekomenduojama laikinai pertraukti PHT (likus 4</w:t>
      </w:r>
      <w:r w:rsidRPr="00940D54">
        <w:rPr>
          <w:rFonts w:ascii="Times New Roman" w:hAnsi="Times New Roman"/>
          <w:lang w:val="lt-LT"/>
        </w:rPr>
        <w:noBreakHyphen/>
        <w:t>6 savaitėms iki operacijos). Gydymo atnaujinti negalima tol, kol moters mobilumas vėl pilnai neatsistatys.</w:t>
      </w:r>
    </w:p>
    <w:p w14:paraId="592B8D8F" w14:textId="77777777" w:rsidR="00A51A1D" w:rsidRPr="00940D54" w:rsidRDefault="00A51A1D" w:rsidP="00A51A1D">
      <w:pPr>
        <w:spacing w:after="0" w:line="240" w:lineRule="auto"/>
        <w:rPr>
          <w:rFonts w:ascii="Times New Roman" w:hAnsi="Times New Roman"/>
          <w:lang w:val="lt-LT"/>
        </w:rPr>
      </w:pPr>
    </w:p>
    <w:p w14:paraId="76E291B8"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Moterims, kurios neturi asmeninės VTE istorijos, bet jų pirmos eilės kraujo giminaičiams buvo pasireiškusi trombozė jauname amžiuje, gali būti pasiūlyta patikra po išsamios konsultacijos, atsižvelgiant į patikros ribotumą (tik dalis </w:t>
      </w:r>
      <w:proofErr w:type="spellStart"/>
      <w:r w:rsidRPr="00940D54">
        <w:rPr>
          <w:rFonts w:ascii="Times New Roman" w:hAnsi="Times New Roman"/>
          <w:lang w:val="lt-LT"/>
        </w:rPr>
        <w:t>trombofilinių</w:t>
      </w:r>
      <w:proofErr w:type="spellEnd"/>
      <w:r w:rsidRPr="00940D54">
        <w:rPr>
          <w:rFonts w:ascii="Times New Roman" w:hAnsi="Times New Roman"/>
          <w:lang w:val="lt-LT"/>
        </w:rPr>
        <w:t xml:space="preserve"> sutrikimų gali būti diagnozuoti patikros metu).</w:t>
      </w:r>
    </w:p>
    <w:p w14:paraId="6CFD39D3" w14:textId="77777777" w:rsidR="00A51A1D" w:rsidRPr="00940D54" w:rsidRDefault="00A51A1D" w:rsidP="00A51A1D">
      <w:pPr>
        <w:spacing w:after="0" w:line="240" w:lineRule="auto"/>
        <w:ind w:left="567"/>
        <w:rPr>
          <w:rFonts w:ascii="Times New Roman" w:hAnsi="Times New Roman"/>
          <w:lang w:val="lt-LT"/>
        </w:rPr>
      </w:pPr>
    </w:p>
    <w:p w14:paraId="49A048C4"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Diagnozavus </w:t>
      </w:r>
      <w:proofErr w:type="spellStart"/>
      <w:r w:rsidRPr="00940D54">
        <w:rPr>
          <w:rFonts w:ascii="Times New Roman" w:hAnsi="Times New Roman"/>
          <w:lang w:val="lt-LT"/>
        </w:rPr>
        <w:t>trombofilinį</w:t>
      </w:r>
      <w:proofErr w:type="spellEnd"/>
      <w:r w:rsidRPr="00940D54">
        <w:rPr>
          <w:rFonts w:ascii="Times New Roman" w:hAnsi="Times New Roman"/>
          <w:lang w:val="lt-LT"/>
        </w:rPr>
        <w:t xml:space="preserve"> sutrikimą, kuris yra susijęs su kraujo giminaičių tromboze, arba sunkų sutrikimą (pvz., yra </w:t>
      </w:r>
      <w:proofErr w:type="spellStart"/>
      <w:r w:rsidRPr="00940D54">
        <w:rPr>
          <w:rFonts w:ascii="Times New Roman" w:hAnsi="Times New Roman"/>
          <w:lang w:val="lt-LT"/>
        </w:rPr>
        <w:t>antitrombino</w:t>
      </w:r>
      <w:proofErr w:type="spellEnd"/>
      <w:r w:rsidRPr="00940D54">
        <w:rPr>
          <w:rFonts w:ascii="Times New Roman" w:hAnsi="Times New Roman"/>
          <w:lang w:val="lt-LT"/>
        </w:rPr>
        <w:t>, proteino S ar proteino C trūkumas arba sutrikimų deriniai), PHT skirti negalima.</w:t>
      </w:r>
    </w:p>
    <w:p w14:paraId="25145D73" w14:textId="77777777" w:rsidR="00A51A1D" w:rsidRPr="00940D54" w:rsidRDefault="00A51A1D" w:rsidP="00A51A1D">
      <w:pPr>
        <w:spacing w:after="0" w:line="240" w:lineRule="auto"/>
        <w:rPr>
          <w:rFonts w:ascii="Times New Roman" w:hAnsi="Times New Roman"/>
          <w:lang w:val="lt-LT"/>
        </w:rPr>
      </w:pPr>
    </w:p>
    <w:p w14:paraId="1951BAE1"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Moterims, kurios jau yra ilgą laiką gydomos antikoaguliantais, reikia atidžiai įvertinti PHT naudos ir rizikos santykį.</w:t>
      </w:r>
    </w:p>
    <w:p w14:paraId="6F7B02C2" w14:textId="77777777" w:rsidR="00A51A1D" w:rsidRPr="00940D54" w:rsidRDefault="00A51A1D" w:rsidP="00A51A1D">
      <w:pPr>
        <w:spacing w:after="0" w:line="240" w:lineRule="auto"/>
        <w:rPr>
          <w:rFonts w:ascii="Times New Roman" w:hAnsi="Times New Roman"/>
          <w:lang w:val="lt-LT"/>
        </w:rPr>
      </w:pPr>
    </w:p>
    <w:p w14:paraId="5D25AF15"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pradėjus gydymą pasireiškia VTE, vaistinio preparato vartojimą reikia nutraukti. Pacientėms reikia pasakyti, kad nedelsdamos kreiptųsi į savo gydytoją, jeigu pastebėtų galimos tromboembolijos simptomų (pvz., pasireiškus skausmingam kojų patinimui, staigiam skausmui krūtinėje, dusuliui).</w:t>
      </w:r>
    </w:p>
    <w:p w14:paraId="09BA93F8" w14:textId="77777777" w:rsidR="00A51A1D" w:rsidRPr="00940D54" w:rsidRDefault="00A51A1D" w:rsidP="00A51A1D">
      <w:pPr>
        <w:spacing w:after="0" w:line="240" w:lineRule="auto"/>
        <w:rPr>
          <w:rFonts w:ascii="Times New Roman" w:hAnsi="Times New Roman"/>
          <w:lang w:val="lt-LT"/>
        </w:rPr>
      </w:pPr>
    </w:p>
    <w:p w14:paraId="55CB54AE" w14:textId="77777777" w:rsidR="00A51A1D" w:rsidRPr="00940D54" w:rsidRDefault="00A51A1D" w:rsidP="007116AF">
      <w:pPr>
        <w:keepNext/>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lastRenderedPageBreak/>
        <w:t>Išeminė širdies liga (IŠL)</w:t>
      </w:r>
    </w:p>
    <w:p w14:paraId="747C6AE7" w14:textId="0B9850E1"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Atsitiktinių imčių kontroliuojamųjų tyrimų duomenų apie moterų, kurioms prieš pradedant gydymą yra arba nėra IŠL, vartojančių kombinuotąją estrogenų ir </w:t>
      </w:r>
      <w:proofErr w:type="spellStart"/>
      <w:r w:rsidR="005C54EF" w:rsidRPr="00940D54">
        <w:rPr>
          <w:rFonts w:ascii="Times New Roman" w:hAnsi="Times New Roman"/>
          <w:lang w:val="lt-LT"/>
        </w:rPr>
        <w:t>progest</w:t>
      </w:r>
      <w:r w:rsidR="005C54EF">
        <w:rPr>
          <w:rFonts w:ascii="Times New Roman" w:hAnsi="Times New Roman"/>
          <w:lang w:val="lt-LT"/>
        </w:rPr>
        <w:t>o</w:t>
      </w:r>
      <w:r w:rsidR="005C54EF" w:rsidRPr="00940D54">
        <w:rPr>
          <w:rFonts w:ascii="Times New Roman" w:hAnsi="Times New Roman"/>
          <w:lang w:val="lt-LT"/>
        </w:rPr>
        <w:t>genų</w:t>
      </w:r>
      <w:proofErr w:type="spellEnd"/>
      <w:r w:rsidR="005C54EF" w:rsidRPr="00940D54">
        <w:rPr>
          <w:rFonts w:ascii="Times New Roman" w:hAnsi="Times New Roman"/>
          <w:lang w:val="lt-LT"/>
        </w:rPr>
        <w:t xml:space="preserve"> </w:t>
      </w:r>
      <w:r w:rsidR="00C81F42" w:rsidRPr="00940D54">
        <w:rPr>
          <w:rFonts w:ascii="Times New Roman" w:hAnsi="Times New Roman"/>
          <w:lang w:val="lt-LT"/>
        </w:rPr>
        <w:t xml:space="preserve">ar tik estrogenų </w:t>
      </w:r>
      <w:r w:rsidRPr="00940D54">
        <w:rPr>
          <w:rFonts w:ascii="Times New Roman" w:hAnsi="Times New Roman"/>
          <w:lang w:val="lt-LT"/>
        </w:rPr>
        <w:t>PHT, apsaugą nuo miokardo infarkto nėra.</w:t>
      </w:r>
    </w:p>
    <w:p w14:paraId="641E1BFF" w14:textId="77777777" w:rsidR="00A51A1D" w:rsidRPr="00940D54" w:rsidRDefault="00A51A1D" w:rsidP="00A51A1D">
      <w:pPr>
        <w:spacing w:after="0" w:line="240" w:lineRule="auto"/>
        <w:rPr>
          <w:rFonts w:ascii="Times New Roman" w:hAnsi="Times New Roman"/>
          <w:lang w:val="lt-LT"/>
        </w:rPr>
      </w:pPr>
    </w:p>
    <w:p w14:paraId="7224FE0B" w14:textId="6D638853" w:rsidR="00A51A1D" w:rsidRPr="00940D54" w:rsidRDefault="00A51A1D" w:rsidP="00A51A1D">
      <w:pPr>
        <w:keepNext/>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 xml:space="preserve">Kombinuotoji estrogenų ir </w:t>
      </w:r>
      <w:proofErr w:type="spellStart"/>
      <w:r w:rsidRPr="00F36E6C">
        <w:rPr>
          <w:rFonts w:ascii="Times New Roman" w:hAnsi="Times New Roman"/>
          <w:u w:val="single"/>
          <w:lang w:val="lt-LT"/>
        </w:rPr>
        <w:t>progest</w:t>
      </w:r>
      <w:r w:rsidR="00391BF3" w:rsidRPr="00F36E6C">
        <w:rPr>
          <w:rFonts w:ascii="Times New Roman" w:hAnsi="Times New Roman"/>
          <w:u w:val="single"/>
          <w:lang w:val="lt-LT"/>
        </w:rPr>
        <w:t>o</w:t>
      </w:r>
      <w:r w:rsidRPr="00F36E6C">
        <w:rPr>
          <w:rFonts w:ascii="Times New Roman" w:hAnsi="Times New Roman"/>
          <w:u w:val="single"/>
          <w:lang w:val="lt-LT"/>
        </w:rPr>
        <w:t>genų</w:t>
      </w:r>
      <w:proofErr w:type="spellEnd"/>
      <w:r w:rsidRPr="00940D54">
        <w:rPr>
          <w:rFonts w:ascii="Times New Roman" w:hAnsi="Times New Roman"/>
          <w:u w:val="single"/>
          <w:lang w:val="lt-LT"/>
        </w:rPr>
        <w:t xml:space="preserve"> terapija</w:t>
      </w:r>
    </w:p>
    <w:p w14:paraId="1032E83B" w14:textId="0E134900"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Santykinė IŠL rizika kombinuotosios estrogenų ir </w:t>
      </w:r>
      <w:proofErr w:type="spellStart"/>
      <w:r w:rsidRPr="00940D54">
        <w:rPr>
          <w:rFonts w:ascii="Times New Roman" w:hAnsi="Times New Roman"/>
          <w:lang w:val="lt-LT"/>
        </w:rPr>
        <w:t>progest</w:t>
      </w:r>
      <w:r w:rsidR="00391BF3">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metu šiek tiek padidėja. Kadangi pradinė absoliuti IŠL rizika labai priklauso nuo amžiaus, papildomų IŠL atvejų dėl estrogenų ir </w:t>
      </w:r>
      <w:proofErr w:type="spellStart"/>
      <w:r w:rsidRPr="00940D54">
        <w:rPr>
          <w:rFonts w:ascii="Times New Roman" w:hAnsi="Times New Roman"/>
          <w:lang w:val="lt-LT"/>
        </w:rPr>
        <w:t>progest</w:t>
      </w:r>
      <w:r w:rsidR="00EF1F8D">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vartojimo skaičius sveikoms moterims prieš pat menopauzę yra labai mažas, bet senstant didėja.</w:t>
      </w:r>
    </w:p>
    <w:p w14:paraId="0C03D935" w14:textId="77777777" w:rsidR="00A51A1D" w:rsidRPr="00940D54" w:rsidRDefault="00A51A1D" w:rsidP="00A51A1D">
      <w:pPr>
        <w:spacing w:after="0" w:line="240" w:lineRule="auto"/>
        <w:rPr>
          <w:rFonts w:ascii="Times New Roman" w:hAnsi="Times New Roman"/>
          <w:lang w:val="lt-LT"/>
        </w:rPr>
      </w:pPr>
    </w:p>
    <w:p w14:paraId="0AB07B75" w14:textId="77777777" w:rsidR="00A51A1D" w:rsidRPr="00940D54" w:rsidRDefault="00A51A1D" w:rsidP="00A51A1D">
      <w:pPr>
        <w:keepNext/>
        <w:spacing w:after="0" w:line="240" w:lineRule="auto"/>
        <w:rPr>
          <w:rFonts w:ascii="Times New Roman" w:eastAsiaTheme="minorHAnsi" w:hAnsi="Times New Roman" w:cstheme="minorBidi"/>
          <w:lang w:val="lt-LT"/>
        </w:rPr>
      </w:pPr>
      <w:r w:rsidRPr="00940D54">
        <w:rPr>
          <w:rFonts w:ascii="Times New Roman" w:hAnsi="Times New Roman"/>
          <w:u w:val="single"/>
          <w:lang w:val="lt-LT"/>
        </w:rPr>
        <w:t>Vienų estrogenų vartojimas</w:t>
      </w:r>
    </w:p>
    <w:p w14:paraId="2F7CE9A2"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Atsitiktinių imčių kontroliuojamųjų tyrimų duomenys nerodo IŠL rizikos padidėjimo vienų estrogenų terapijos metu moterims, kurių gimda yra pašalinta.</w:t>
      </w:r>
    </w:p>
    <w:p w14:paraId="661BB32E" w14:textId="77777777" w:rsidR="00A51A1D" w:rsidRPr="00940D54" w:rsidRDefault="00A51A1D" w:rsidP="00A51A1D">
      <w:pPr>
        <w:spacing w:after="0" w:line="240" w:lineRule="auto"/>
        <w:rPr>
          <w:rFonts w:ascii="Times New Roman" w:hAnsi="Times New Roman"/>
          <w:lang w:val="lt-LT"/>
        </w:rPr>
      </w:pPr>
    </w:p>
    <w:p w14:paraId="4FB5E8EA"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Išeminis insultas</w:t>
      </w:r>
    </w:p>
    <w:p w14:paraId="10B546DB" w14:textId="14E44F08"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Kombinuotoji estrogenų ir </w:t>
      </w:r>
      <w:proofErr w:type="spellStart"/>
      <w:r w:rsidRPr="00940D54">
        <w:rPr>
          <w:rFonts w:ascii="Times New Roman" w:hAnsi="Times New Roman"/>
          <w:lang w:val="lt-LT"/>
        </w:rPr>
        <w:t>progest</w:t>
      </w:r>
      <w:r w:rsidR="00391BF3">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terapija bei gydymas vienais estrogenais buvo susiję su iki 1,5 karto didesne išeminio insulto rizika. Santykinė rizika nekinta senstant arba ilgėjant laikotarpiui po menopauzės. Vis dėlto pradinė insulto rizika labai priklauso nuo amžiaus, todėl senstant, bendroji insulto rizika moterims, vartojančioms PHT, didės (žr.</w:t>
      </w:r>
      <w:r w:rsidR="00B33ACC">
        <w:rPr>
          <w:rFonts w:ascii="Times New Roman" w:hAnsi="Times New Roman"/>
          <w:lang w:val="lt-LT"/>
        </w:rPr>
        <w:t> </w:t>
      </w:r>
      <w:r w:rsidRPr="00940D54">
        <w:rPr>
          <w:rFonts w:ascii="Times New Roman" w:hAnsi="Times New Roman"/>
          <w:lang w:val="lt-LT"/>
        </w:rPr>
        <w:t>4.8 skyrių).</w:t>
      </w:r>
    </w:p>
    <w:p w14:paraId="156BFDFA" w14:textId="77777777" w:rsidR="00A51A1D" w:rsidRPr="00940D54" w:rsidRDefault="00A51A1D" w:rsidP="00A51A1D">
      <w:pPr>
        <w:spacing w:after="0" w:line="240" w:lineRule="auto"/>
        <w:rPr>
          <w:rFonts w:ascii="Times New Roman" w:hAnsi="Times New Roman"/>
          <w:lang w:val="lt-LT"/>
        </w:rPr>
      </w:pPr>
    </w:p>
    <w:p w14:paraId="6AFB1F0F"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Kitos būklės</w:t>
      </w:r>
    </w:p>
    <w:p w14:paraId="3EE367FA" w14:textId="4482DD73"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Estrogenai gali skatinti skysčių susilaikymą, todėl reikia atidžiai stebėti pacientes, kurių širdies ar inkstų funkcija yra sutrikusios. Reikia atidžiai stebėti pacientes, kurioms yra galutinės stadijos inkstų nepaka</w:t>
      </w:r>
      <w:r w:rsidR="002D6EE4" w:rsidRPr="00940D54">
        <w:rPr>
          <w:rFonts w:ascii="Times New Roman" w:hAnsi="Times New Roman"/>
          <w:lang w:val="lt-LT"/>
        </w:rPr>
        <w:t>n</w:t>
      </w:r>
      <w:r w:rsidRPr="00940D54">
        <w:rPr>
          <w:rFonts w:ascii="Times New Roman" w:hAnsi="Times New Roman"/>
          <w:lang w:val="lt-LT"/>
        </w:rPr>
        <w:t xml:space="preserve">kamumas, nes numatoma, kad padidės kraujotakoje esančių veikliųjų medžiagų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ir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koncentracijos.</w:t>
      </w:r>
    </w:p>
    <w:p w14:paraId="3518C075" w14:textId="77777777" w:rsidR="00A51A1D" w:rsidRPr="00940D54" w:rsidRDefault="00A51A1D" w:rsidP="00A51A1D">
      <w:pPr>
        <w:spacing w:after="0" w:line="240" w:lineRule="auto"/>
        <w:rPr>
          <w:rFonts w:ascii="Times New Roman" w:hAnsi="Times New Roman"/>
          <w:lang w:val="lt-LT"/>
        </w:rPr>
      </w:pPr>
    </w:p>
    <w:p w14:paraId="119C0BCB"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Reikia atidžiai stebėti pakeičiamosios estrogenų ar pakeičiamosios hormonų terapijos metu moteris, kurioms prieš pradedant gydymą yra </w:t>
      </w:r>
      <w:proofErr w:type="spellStart"/>
      <w:r w:rsidRPr="00940D54">
        <w:rPr>
          <w:rFonts w:ascii="Times New Roman" w:hAnsi="Times New Roman"/>
          <w:lang w:val="lt-LT"/>
        </w:rPr>
        <w:t>hipertrigliceridemija</w:t>
      </w:r>
      <w:proofErr w:type="spellEnd"/>
      <w:r w:rsidRPr="00940D54">
        <w:rPr>
          <w:rFonts w:ascii="Times New Roman" w:hAnsi="Times New Roman"/>
          <w:lang w:val="lt-LT"/>
        </w:rPr>
        <w:t>, nes esant šiai būklei, buvo pranešta apie retus didelio trigliceridų koncentracijų plazmoje padidėjimo, sukėlusio pankreatitą, estrogenų terapijos metu atvejus.</w:t>
      </w:r>
    </w:p>
    <w:p w14:paraId="2A7D2292" w14:textId="77777777" w:rsidR="00A51A1D" w:rsidRPr="00940D54" w:rsidRDefault="00A51A1D" w:rsidP="00A51A1D">
      <w:pPr>
        <w:spacing w:after="0" w:line="240" w:lineRule="auto"/>
        <w:ind w:left="567"/>
        <w:rPr>
          <w:rFonts w:ascii="Times New Roman" w:hAnsi="Times New Roman"/>
          <w:lang w:val="lt-LT"/>
        </w:rPr>
      </w:pPr>
    </w:p>
    <w:p w14:paraId="7A7F8605" w14:textId="03B5B0A3" w:rsidR="00146C30" w:rsidRPr="00940D54" w:rsidRDefault="00146C30" w:rsidP="00A51A1D">
      <w:pPr>
        <w:numPr>
          <w:ilvl w:val="0"/>
          <w:numId w:val="6"/>
        </w:numPr>
        <w:tabs>
          <w:tab w:val="left" w:pos="567"/>
        </w:tabs>
        <w:spacing w:after="0" w:line="240" w:lineRule="auto"/>
        <w:ind w:left="567" w:hanging="567"/>
        <w:rPr>
          <w:rFonts w:ascii="Times New Roman" w:hAnsi="Times New Roman"/>
          <w:lang w:val="lt-LT"/>
        </w:rPr>
      </w:pPr>
      <w:proofErr w:type="spellStart"/>
      <w:r w:rsidRPr="00940D54">
        <w:rPr>
          <w:rFonts w:ascii="Times New Roman" w:hAnsi="Times New Roman"/>
          <w:lang w:val="lt-LT"/>
        </w:rPr>
        <w:t>Egzogeniniai</w:t>
      </w:r>
      <w:proofErr w:type="spellEnd"/>
      <w:r w:rsidRPr="00940D54">
        <w:rPr>
          <w:rFonts w:ascii="Times New Roman" w:hAnsi="Times New Roman"/>
          <w:lang w:val="lt-LT"/>
        </w:rPr>
        <w:t xml:space="preserve"> estrogenai gali sukelti arba pasunkinti </w:t>
      </w:r>
      <w:r w:rsidR="00A309A3" w:rsidRPr="00940D54">
        <w:rPr>
          <w:rFonts w:ascii="Times New Roman" w:hAnsi="Times New Roman"/>
          <w:lang w:val="lt-LT"/>
        </w:rPr>
        <w:t>paveldimos</w:t>
      </w:r>
      <w:r w:rsidRPr="00940D54">
        <w:rPr>
          <w:rFonts w:ascii="Times New Roman" w:hAnsi="Times New Roman"/>
          <w:lang w:val="lt-LT"/>
        </w:rPr>
        <w:t xml:space="preserve"> arba įgytos </w:t>
      </w:r>
      <w:proofErr w:type="spellStart"/>
      <w:r w:rsidRPr="00940D54">
        <w:rPr>
          <w:rFonts w:ascii="Times New Roman" w:hAnsi="Times New Roman"/>
          <w:lang w:val="lt-LT"/>
        </w:rPr>
        <w:t>angioneurozinės</w:t>
      </w:r>
      <w:proofErr w:type="spellEnd"/>
      <w:r w:rsidRPr="00940D54">
        <w:rPr>
          <w:rFonts w:ascii="Times New Roman" w:hAnsi="Times New Roman"/>
          <w:lang w:val="lt-LT"/>
        </w:rPr>
        <w:t xml:space="preserve"> edemos simptomus.</w:t>
      </w:r>
    </w:p>
    <w:p w14:paraId="09456C13" w14:textId="77777777" w:rsidR="00146C30" w:rsidRPr="00940D54" w:rsidRDefault="00146C30" w:rsidP="00146C30">
      <w:pPr>
        <w:tabs>
          <w:tab w:val="left" w:pos="567"/>
        </w:tabs>
        <w:spacing w:after="0" w:line="240" w:lineRule="auto"/>
        <w:ind w:left="567"/>
        <w:rPr>
          <w:rFonts w:ascii="Times New Roman" w:hAnsi="Times New Roman"/>
          <w:lang w:val="lt-LT"/>
        </w:rPr>
      </w:pPr>
    </w:p>
    <w:p w14:paraId="1DA3FAE1" w14:textId="504B7976"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Estrogenai didina skydliaukės hormonus prisijungiančiojo </w:t>
      </w:r>
      <w:proofErr w:type="spellStart"/>
      <w:r w:rsidRPr="00940D54">
        <w:rPr>
          <w:rFonts w:ascii="Times New Roman" w:hAnsi="Times New Roman"/>
          <w:lang w:val="lt-LT"/>
        </w:rPr>
        <w:t>globulino</w:t>
      </w:r>
      <w:proofErr w:type="spellEnd"/>
      <w:r w:rsidRPr="00940D54">
        <w:rPr>
          <w:rFonts w:ascii="Times New Roman" w:hAnsi="Times New Roman"/>
          <w:lang w:val="lt-LT"/>
        </w:rPr>
        <w:t xml:space="preserve"> (angl.</w:t>
      </w:r>
      <w:r w:rsidRPr="00940D54">
        <w:rPr>
          <w:rFonts w:ascii="Times New Roman" w:hAnsi="Times New Roman"/>
          <w:i/>
          <w:lang w:val="lt-LT"/>
        </w:rPr>
        <w:t xml:space="preserve"> </w:t>
      </w:r>
      <w:proofErr w:type="spellStart"/>
      <w:r w:rsidRPr="00940D54">
        <w:rPr>
          <w:rFonts w:ascii="Times New Roman" w:hAnsi="Times New Roman"/>
          <w:i/>
          <w:lang w:val="lt-LT"/>
        </w:rPr>
        <w:t>The</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thyroid</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binding</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globulin</w:t>
      </w:r>
      <w:proofErr w:type="spellEnd"/>
      <w:r w:rsidRPr="00940D54">
        <w:rPr>
          <w:rFonts w:ascii="Times New Roman" w:hAnsi="Times New Roman"/>
          <w:i/>
          <w:lang w:val="lt-LT"/>
        </w:rPr>
        <w:t xml:space="preserve">, </w:t>
      </w:r>
      <w:r w:rsidRPr="00940D54">
        <w:rPr>
          <w:rFonts w:ascii="Times New Roman" w:hAnsi="Times New Roman"/>
          <w:lang w:val="lt-LT"/>
        </w:rPr>
        <w:t xml:space="preserve">TBG) koncentraciją, dėl to kraujotakoje padaugėja visų skydliaukės hormonų, išmatavus su jodu susijungusio baltymo koncentraciją (angl., </w:t>
      </w:r>
      <w:proofErr w:type="spellStart"/>
      <w:r w:rsidRPr="00940D54">
        <w:rPr>
          <w:rFonts w:ascii="Times New Roman" w:hAnsi="Times New Roman"/>
          <w:i/>
          <w:lang w:val="lt-LT"/>
        </w:rPr>
        <w:t>The</w:t>
      </w:r>
      <w:proofErr w:type="spellEnd"/>
      <w:r w:rsidRPr="00940D54">
        <w:rPr>
          <w:rFonts w:ascii="Times New Roman" w:hAnsi="Times New Roman"/>
          <w:lang w:val="lt-LT"/>
        </w:rPr>
        <w:t xml:space="preserve"> </w:t>
      </w:r>
      <w:proofErr w:type="spellStart"/>
      <w:r w:rsidRPr="00940D54">
        <w:rPr>
          <w:rFonts w:ascii="Times New Roman" w:hAnsi="Times New Roman"/>
          <w:i/>
          <w:lang w:val="lt-LT"/>
        </w:rPr>
        <w:t>protein-bound</w:t>
      </w:r>
      <w:proofErr w:type="spellEnd"/>
      <w:r w:rsidRPr="00940D54">
        <w:rPr>
          <w:rFonts w:ascii="Times New Roman" w:hAnsi="Times New Roman"/>
          <w:i/>
          <w:spacing w:val="-14"/>
          <w:lang w:val="lt-LT"/>
        </w:rPr>
        <w:t xml:space="preserve"> </w:t>
      </w:r>
      <w:proofErr w:type="spellStart"/>
      <w:r w:rsidRPr="00940D54">
        <w:rPr>
          <w:rFonts w:ascii="Times New Roman" w:hAnsi="Times New Roman"/>
          <w:i/>
          <w:lang w:val="lt-LT"/>
        </w:rPr>
        <w:t>iodine</w:t>
      </w:r>
      <w:proofErr w:type="spellEnd"/>
      <w:r w:rsidRPr="00940D54">
        <w:rPr>
          <w:rFonts w:ascii="Times New Roman" w:hAnsi="Times New Roman"/>
          <w:i/>
          <w:lang w:val="lt-LT"/>
        </w:rPr>
        <w:t>,</w:t>
      </w:r>
      <w:r w:rsidRPr="00940D54">
        <w:rPr>
          <w:rFonts w:ascii="Times New Roman" w:hAnsi="Times New Roman"/>
          <w:i/>
          <w:spacing w:val="-6"/>
          <w:lang w:val="lt-LT"/>
        </w:rPr>
        <w:t xml:space="preserve"> </w:t>
      </w:r>
      <w:r w:rsidRPr="00940D54">
        <w:rPr>
          <w:rFonts w:ascii="Times New Roman" w:hAnsi="Times New Roman"/>
          <w:lang w:val="lt-LT"/>
        </w:rPr>
        <w:t>PBI), T4 (</w:t>
      </w:r>
      <w:proofErr w:type="spellStart"/>
      <w:r w:rsidRPr="00940D54">
        <w:rPr>
          <w:rFonts w:ascii="Times New Roman" w:hAnsi="Times New Roman"/>
          <w:lang w:val="lt-LT"/>
        </w:rPr>
        <w:t>frakcijiniu</w:t>
      </w:r>
      <w:proofErr w:type="spellEnd"/>
      <w:r w:rsidRPr="00940D54">
        <w:rPr>
          <w:rFonts w:ascii="Times New Roman" w:hAnsi="Times New Roman"/>
          <w:lang w:val="lt-LT"/>
        </w:rPr>
        <w:t xml:space="preserve"> arba </w:t>
      </w:r>
      <w:proofErr w:type="spellStart"/>
      <w:r w:rsidRPr="00940D54">
        <w:rPr>
          <w:rFonts w:ascii="Times New Roman" w:hAnsi="Times New Roman"/>
          <w:lang w:val="lt-LT"/>
        </w:rPr>
        <w:t>radioimuniniu</w:t>
      </w:r>
      <w:proofErr w:type="spellEnd"/>
      <w:r w:rsidRPr="00940D54">
        <w:rPr>
          <w:rFonts w:ascii="Times New Roman" w:hAnsi="Times New Roman"/>
          <w:lang w:val="lt-LT"/>
        </w:rPr>
        <w:t xml:space="preserve"> metodu) ar T3 koncentracijas (</w:t>
      </w:r>
      <w:proofErr w:type="spellStart"/>
      <w:r w:rsidRPr="00940D54">
        <w:rPr>
          <w:rFonts w:ascii="Times New Roman" w:hAnsi="Times New Roman"/>
          <w:lang w:val="lt-LT"/>
        </w:rPr>
        <w:t>radioimuniniu</w:t>
      </w:r>
      <w:proofErr w:type="spellEnd"/>
      <w:r w:rsidRPr="00940D54">
        <w:rPr>
          <w:rFonts w:ascii="Times New Roman" w:hAnsi="Times New Roman"/>
          <w:lang w:val="lt-LT"/>
        </w:rPr>
        <w:t xml:space="preserve"> metodu). T3 pasisavinimas sumažėja, tai rodo </w:t>
      </w:r>
      <w:r w:rsidRPr="00940D54">
        <w:rPr>
          <w:rFonts w:ascii="Times New Roman" w:hAnsi="Times New Roman"/>
          <w:i/>
          <w:lang w:val="lt-LT"/>
        </w:rPr>
        <w:t>TBG</w:t>
      </w:r>
      <w:r w:rsidRPr="00940D54">
        <w:rPr>
          <w:rFonts w:ascii="Times New Roman" w:hAnsi="Times New Roman"/>
          <w:lang w:val="lt-LT"/>
        </w:rPr>
        <w:t xml:space="preserve"> padaugėjimą. Laisvojo T4 ir laisvojo T3 koncentracijos nepakito. Gali padidėti kitų prisijungiančiųjų baltymų koncentracijos serume, pvz.: steroidus prisijungiančiojo </w:t>
      </w:r>
      <w:proofErr w:type="spellStart"/>
      <w:r w:rsidRPr="00940D54">
        <w:rPr>
          <w:rFonts w:ascii="Times New Roman" w:hAnsi="Times New Roman"/>
          <w:lang w:val="lt-LT"/>
        </w:rPr>
        <w:t>globulino</w:t>
      </w:r>
      <w:proofErr w:type="spellEnd"/>
      <w:r w:rsidRPr="00940D54">
        <w:rPr>
          <w:rFonts w:ascii="Times New Roman" w:hAnsi="Times New Roman"/>
          <w:lang w:val="lt-LT"/>
        </w:rPr>
        <w:t xml:space="preserve"> (angl.</w:t>
      </w:r>
      <w:r w:rsidRPr="00940D54">
        <w:rPr>
          <w:rFonts w:ascii="Times New Roman" w:hAnsi="Times New Roman"/>
          <w:i/>
          <w:lang w:val="lt-LT"/>
        </w:rPr>
        <w:t xml:space="preserve"> </w:t>
      </w:r>
      <w:proofErr w:type="spellStart"/>
      <w:r w:rsidRPr="00940D54">
        <w:rPr>
          <w:rFonts w:ascii="Times New Roman" w:hAnsi="Times New Roman"/>
          <w:i/>
          <w:lang w:val="lt-LT"/>
        </w:rPr>
        <w:t>The</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corticoid</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binding</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globulin</w:t>
      </w:r>
      <w:proofErr w:type="spellEnd"/>
      <w:r w:rsidRPr="00940D54">
        <w:rPr>
          <w:rFonts w:ascii="Times New Roman" w:hAnsi="Times New Roman"/>
          <w:i/>
          <w:lang w:val="lt-LT"/>
        </w:rPr>
        <w:t xml:space="preserve">, </w:t>
      </w:r>
      <w:r w:rsidRPr="00940D54">
        <w:rPr>
          <w:rFonts w:ascii="Times New Roman" w:hAnsi="Times New Roman"/>
          <w:lang w:val="lt-LT"/>
        </w:rPr>
        <w:t xml:space="preserve">CBG) ir lytinius hormonus prisijungiančiojo </w:t>
      </w:r>
      <w:proofErr w:type="spellStart"/>
      <w:r w:rsidRPr="00940D54">
        <w:rPr>
          <w:rFonts w:ascii="Times New Roman" w:hAnsi="Times New Roman"/>
          <w:lang w:val="lt-LT"/>
        </w:rPr>
        <w:t>globulino</w:t>
      </w:r>
      <w:proofErr w:type="spellEnd"/>
      <w:r w:rsidRPr="00940D54">
        <w:rPr>
          <w:rFonts w:ascii="Times New Roman" w:hAnsi="Times New Roman"/>
          <w:lang w:val="lt-LT"/>
        </w:rPr>
        <w:t xml:space="preserve"> (angl.</w:t>
      </w:r>
      <w:r w:rsidRPr="00940D54">
        <w:rPr>
          <w:rFonts w:ascii="Times New Roman" w:hAnsi="Times New Roman"/>
          <w:i/>
          <w:lang w:val="lt-LT"/>
        </w:rPr>
        <w:t xml:space="preserve"> </w:t>
      </w:r>
      <w:proofErr w:type="spellStart"/>
      <w:r w:rsidRPr="00940D54">
        <w:rPr>
          <w:rFonts w:ascii="Times New Roman" w:hAnsi="Times New Roman"/>
          <w:i/>
          <w:lang w:val="lt-LT"/>
        </w:rPr>
        <w:t>The</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sex</w:t>
      </w:r>
      <w:proofErr w:type="spellEnd"/>
      <w:r w:rsidRPr="00940D54">
        <w:rPr>
          <w:rFonts w:ascii="Times New Roman" w:hAnsi="Times New Roman"/>
          <w:i/>
          <w:lang w:val="lt-LT"/>
        </w:rPr>
        <w:t>- hormone-</w:t>
      </w:r>
      <w:proofErr w:type="spellStart"/>
      <w:r w:rsidRPr="00940D54">
        <w:rPr>
          <w:rFonts w:ascii="Times New Roman" w:hAnsi="Times New Roman"/>
          <w:i/>
          <w:lang w:val="lt-LT"/>
        </w:rPr>
        <w:t>binding</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globulin</w:t>
      </w:r>
      <w:proofErr w:type="spellEnd"/>
      <w:r w:rsidRPr="00940D54">
        <w:rPr>
          <w:rFonts w:ascii="Times New Roman" w:hAnsi="Times New Roman"/>
          <w:i/>
          <w:lang w:val="lt-LT"/>
        </w:rPr>
        <w:t xml:space="preserve">, </w:t>
      </w:r>
      <w:r w:rsidRPr="00940D54">
        <w:rPr>
          <w:rFonts w:ascii="Times New Roman" w:hAnsi="Times New Roman"/>
          <w:lang w:val="lt-LT"/>
        </w:rPr>
        <w:t>SHBG), o dėl to kraujotakoje padaugėja atitinkamai kortikosteroidų ir lytinių steroidų. Laisvų arba biologiškai aktyvių hormonų koncentracijos nepakito. Plazmoje gali padaugėti ir kitų baltymų (</w:t>
      </w:r>
      <w:proofErr w:type="spellStart"/>
      <w:r w:rsidRPr="00940D54">
        <w:rPr>
          <w:rFonts w:ascii="Times New Roman" w:hAnsi="Times New Roman"/>
          <w:lang w:val="lt-LT"/>
        </w:rPr>
        <w:t>angiotenzinogeno</w:t>
      </w:r>
      <w:proofErr w:type="spellEnd"/>
      <w:r w:rsidRPr="00940D54">
        <w:rPr>
          <w:rFonts w:ascii="Times New Roman" w:hAnsi="Times New Roman"/>
          <w:lang w:val="lt-LT"/>
        </w:rPr>
        <w:t xml:space="preserve"> ar </w:t>
      </w:r>
      <w:proofErr w:type="spellStart"/>
      <w:r w:rsidRPr="00940D54">
        <w:rPr>
          <w:rFonts w:ascii="Times New Roman" w:hAnsi="Times New Roman"/>
          <w:lang w:val="lt-LT"/>
        </w:rPr>
        <w:t>renino</w:t>
      </w:r>
      <w:proofErr w:type="spellEnd"/>
      <w:r w:rsidRPr="00940D54">
        <w:rPr>
          <w:rFonts w:ascii="Times New Roman" w:hAnsi="Times New Roman"/>
          <w:lang w:val="lt-LT"/>
        </w:rPr>
        <w:t xml:space="preserve"> substratų, alfa I </w:t>
      </w:r>
      <w:proofErr w:type="spellStart"/>
      <w:r w:rsidRPr="00940D54">
        <w:rPr>
          <w:rFonts w:ascii="Times New Roman" w:hAnsi="Times New Roman"/>
          <w:lang w:val="lt-LT"/>
        </w:rPr>
        <w:t>antitripsino</w:t>
      </w:r>
      <w:proofErr w:type="spellEnd"/>
      <w:r w:rsidRPr="00940D54">
        <w:rPr>
          <w:rFonts w:ascii="Times New Roman" w:hAnsi="Times New Roman"/>
          <w:lang w:val="lt-LT"/>
        </w:rPr>
        <w:t xml:space="preserve">, </w:t>
      </w:r>
      <w:proofErr w:type="spellStart"/>
      <w:r w:rsidRPr="00940D54">
        <w:rPr>
          <w:rFonts w:ascii="Times New Roman" w:hAnsi="Times New Roman"/>
          <w:lang w:val="lt-LT"/>
        </w:rPr>
        <w:t>ceruloplasmino</w:t>
      </w:r>
      <w:proofErr w:type="spellEnd"/>
      <w:r w:rsidRPr="00940D54">
        <w:rPr>
          <w:rFonts w:ascii="Times New Roman" w:hAnsi="Times New Roman"/>
          <w:lang w:val="lt-LT"/>
        </w:rPr>
        <w:t>).</w:t>
      </w:r>
    </w:p>
    <w:p w14:paraId="36DC5A49" w14:textId="77777777" w:rsidR="00A51A1D" w:rsidRPr="00940D54" w:rsidRDefault="00A51A1D" w:rsidP="00A51A1D">
      <w:pPr>
        <w:spacing w:after="0" w:line="240" w:lineRule="auto"/>
        <w:ind w:left="567"/>
        <w:rPr>
          <w:rFonts w:ascii="Times New Roman" w:hAnsi="Times New Roman"/>
          <w:lang w:val="lt-LT"/>
        </w:rPr>
      </w:pPr>
    </w:p>
    <w:p w14:paraId="3E808679" w14:textId="77777777" w:rsidR="00A51A1D" w:rsidRPr="00940D54" w:rsidRDefault="00A51A1D" w:rsidP="00A51A1D">
      <w:pPr>
        <w:numPr>
          <w:ilvl w:val="0"/>
          <w:numId w:val="6"/>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PHT nepagerino pažintinės funkcijos. Yra duomenų, kad padidėja demencijos rizika moterims, pradėjusioms nepertraukiamą kombinuotąją arba vienų estrogenų PHT po 65 metų.</w:t>
      </w:r>
    </w:p>
    <w:p w14:paraId="63B3B5A2" w14:textId="77777777" w:rsidR="00A51A1D" w:rsidRPr="00940D54" w:rsidRDefault="00A51A1D" w:rsidP="00A51A1D">
      <w:pPr>
        <w:spacing w:after="0" w:line="240" w:lineRule="auto"/>
        <w:rPr>
          <w:rFonts w:ascii="Times New Roman" w:hAnsi="Times New Roman"/>
          <w:lang w:val="lt-LT"/>
        </w:rPr>
      </w:pPr>
    </w:p>
    <w:p w14:paraId="33691B9B" w14:textId="77777777" w:rsidR="00CB7B62" w:rsidRPr="00940D54" w:rsidRDefault="00CB7B62" w:rsidP="00CB7B62">
      <w:pPr>
        <w:spacing w:after="0" w:line="240" w:lineRule="auto"/>
        <w:rPr>
          <w:rFonts w:ascii="Times New Roman" w:hAnsi="Times New Roman"/>
          <w:u w:val="single"/>
          <w:lang w:val="lt-LT"/>
        </w:rPr>
      </w:pPr>
      <w:r w:rsidRPr="00940D54">
        <w:rPr>
          <w:rFonts w:ascii="Times New Roman" w:hAnsi="Times New Roman"/>
          <w:u w:val="single"/>
          <w:lang w:val="lt-LT"/>
        </w:rPr>
        <w:t>ALT aktyvumo padidėjimas</w:t>
      </w:r>
    </w:p>
    <w:p w14:paraId="050809B1" w14:textId="77777777" w:rsidR="00E36574" w:rsidRPr="00940D54" w:rsidRDefault="00E36574" w:rsidP="00CB7B62">
      <w:pPr>
        <w:spacing w:after="0" w:line="240" w:lineRule="auto"/>
        <w:rPr>
          <w:rFonts w:ascii="Times New Roman" w:hAnsi="Times New Roman"/>
          <w:u w:val="single"/>
          <w:lang w:val="lt-LT"/>
        </w:rPr>
      </w:pPr>
    </w:p>
    <w:p w14:paraId="4DC1AB37" w14:textId="7F46A336" w:rsidR="00A96B5A" w:rsidRDefault="00CB7B62" w:rsidP="00CB7B62">
      <w:pPr>
        <w:spacing w:after="0" w:line="240" w:lineRule="auto"/>
        <w:rPr>
          <w:lang w:val="lt-LT"/>
        </w:rPr>
      </w:pPr>
      <w:r w:rsidRPr="00940D54">
        <w:rPr>
          <w:rFonts w:ascii="Times New Roman" w:hAnsi="Times New Roman"/>
          <w:lang w:val="lt-LT"/>
        </w:rPr>
        <w:t xml:space="preserve">Klinikinių tyrimų metu pacientėms, kurioms nuo hepatito C viruso (HCV) infekcijos buvo skiriamas kombinuotasis gydymas </w:t>
      </w:r>
      <w:proofErr w:type="spellStart"/>
      <w:r w:rsidRPr="00940D54">
        <w:rPr>
          <w:rFonts w:ascii="Times New Roman" w:hAnsi="Times New Roman"/>
          <w:lang w:val="lt-LT"/>
        </w:rPr>
        <w:t>ombitasviru</w:t>
      </w:r>
      <w:proofErr w:type="spellEnd"/>
      <w:r w:rsidRPr="00940D54">
        <w:rPr>
          <w:rFonts w:ascii="Times New Roman" w:hAnsi="Times New Roman"/>
          <w:lang w:val="lt-LT"/>
        </w:rPr>
        <w:t>/</w:t>
      </w:r>
      <w:proofErr w:type="spellStart"/>
      <w:r w:rsidRPr="00940D54">
        <w:rPr>
          <w:rFonts w:ascii="Times New Roman" w:hAnsi="Times New Roman"/>
          <w:lang w:val="lt-LT"/>
        </w:rPr>
        <w:t>paritapreviru</w:t>
      </w:r>
      <w:proofErr w:type="spellEnd"/>
      <w:r w:rsidRPr="00940D54">
        <w:rPr>
          <w:rFonts w:ascii="Times New Roman" w:hAnsi="Times New Roman"/>
          <w:lang w:val="lt-LT"/>
        </w:rPr>
        <w:t xml:space="preserve">/ritonaviru </w:t>
      </w:r>
      <w:r w:rsidR="00E204C6">
        <w:rPr>
          <w:rFonts w:ascii="Times New Roman" w:hAnsi="Times New Roman"/>
          <w:lang w:val="lt-LT"/>
        </w:rPr>
        <w:t>ir</w:t>
      </w:r>
      <w:r w:rsidRPr="00940D54">
        <w:rPr>
          <w:rFonts w:ascii="Times New Roman" w:hAnsi="Times New Roman"/>
          <w:lang w:val="lt-LT"/>
        </w:rPr>
        <w:t xml:space="preserve"> </w:t>
      </w:r>
      <w:proofErr w:type="spellStart"/>
      <w:r w:rsidRPr="00940D54">
        <w:rPr>
          <w:rFonts w:ascii="Times New Roman" w:hAnsi="Times New Roman"/>
          <w:lang w:val="lt-LT"/>
        </w:rPr>
        <w:t>dasabuviru</w:t>
      </w:r>
      <w:proofErr w:type="spellEnd"/>
      <w:r w:rsidRPr="00940D54">
        <w:rPr>
          <w:rFonts w:ascii="Times New Roman" w:hAnsi="Times New Roman"/>
          <w:lang w:val="lt-LT"/>
        </w:rPr>
        <w:t xml:space="preserve"> kartu su </w:t>
      </w:r>
      <w:proofErr w:type="spellStart"/>
      <w:r w:rsidR="0032253D">
        <w:rPr>
          <w:rFonts w:ascii="Times New Roman" w:hAnsi="Times New Roman"/>
          <w:lang w:val="lt-LT"/>
        </w:rPr>
        <w:t>ribavirinu</w:t>
      </w:r>
      <w:proofErr w:type="spellEnd"/>
      <w:r w:rsidR="0032253D">
        <w:rPr>
          <w:rFonts w:ascii="Times New Roman" w:hAnsi="Times New Roman"/>
          <w:lang w:val="lt-LT"/>
        </w:rPr>
        <w:t xml:space="preserve"> </w:t>
      </w:r>
      <w:r w:rsidRPr="00940D54">
        <w:rPr>
          <w:rFonts w:ascii="Times New Roman" w:hAnsi="Times New Roman"/>
          <w:lang w:val="lt-LT"/>
        </w:rPr>
        <w:t xml:space="preserve">arba be jo, </w:t>
      </w:r>
      <w:r w:rsidR="00701546" w:rsidRPr="00701546">
        <w:rPr>
          <w:rFonts w:ascii="Times New Roman" w:hAnsi="Times New Roman"/>
          <w:lang w:val="lt-LT"/>
        </w:rPr>
        <w:t>ALT aktyvumo padidėjimas</w:t>
      </w:r>
      <w:r w:rsidR="001019C2">
        <w:rPr>
          <w:rFonts w:ascii="Times New Roman" w:hAnsi="Times New Roman"/>
          <w:lang w:val="lt-LT"/>
        </w:rPr>
        <w:t>,</w:t>
      </w:r>
      <w:r w:rsidR="00701546" w:rsidRPr="00701546">
        <w:rPr>
          <w:rFonts w:ascii="Times New Roman" w:hAnsi="Times New Roman"/>
          <w:lang w:val="lt-LT"/>
        </w:rPr>
        <w:t xml:space="preserve"> </w:t>
      </w:r>
      <w:r w:rsidR="001019C2">
        <w:rPr>
          <w:rFonts w:ascii="Times New Roman" w:hAnsi="Times New Roman"/>
          <w:lang w:val="lt-LT"/>
        </w:rPr>
        <w:t xml:space="preserve">viršijantis </w:t>
      </w:r>
      <w:r w:rsidRPr="00940D54">
        <w:rPr>
          <w:rFonts w:ascii="Times New Roman" w:hAnsi="Times New Roman"/>
          <w:lang w:val="lt-LT"/>
        </w:rPr>
        <w:t xml:space="preserve">viršutinę normos ribą (VNR) </w:t>
      </w:r>
      <w:r w:rsidR="001019C2" w:rsidRPr="001019C2">
        <w:rPr>
          <w:rFonts w:ascii="Times New Roman" w:hAnsi="Times New Roman"/>
          <w:lang w:val="lt-LT"/>
        </w:rPr>
        <w:t>daugiau kaip 5 kartus</w:t>
      </w:r>
      <w:r w:rsidR="001019C2">
        <w:rPr>
          <w:rFonts w:ascii="Times New Roman" w:hAnsi="Times New Roman"/>
          <w:lang w:val="lt-LT"/>
        </w:rPr>
        <w:t>,</w:t>
      </w:r>
      <w:r w:rsidR="001019C2" w:rsidRPr="001019C2">
        <w:rPr>
          <w:rFonts w:ascii="Times New Roman" w:hAnsi="Times New Roman"/>
          <w:lang w:val="lt-LT"/>
        </w:rPr>
        <w:t xml:space="preserve"> </w:t>
      </w:r>
      <w:r w:rsidRPr="00940D54">
        <w:rPr>
          <w:rFonts w:ascii="Times New Roman" w:hAnsi="Times New Roman"/>
          <w:lang w:val="lt-LT"/>
        </w:rPr>
        <w:t xml:space="preserve"> reikšmingai dažniau pasireiškė moterims, vartojusioms vaistinių preparatų, kurių sudėtyje yra </w:t>
      </w:r>
      <w:proofErr w:type="spellStart"/>
      <w:r w:rsidRPr="00940D54">
        <w:rPr>
          <w:rFonts w:ascii="Times New Roman" w:hAnsi="Times New Roman"/>
          <w:lang w:val="lt-LT"/>
        </w:rPr>
        <w:t>etinilestradiolio</w:t>
      </w:r>
      <w:proofErr w:type="spellEnd"/>
      <w:r w:rsidRPr="00940D54">
        <w:rPr>
          <w:rFonts w:ascii="Times New Roman" w:hAnsi="Times New Roman"/>
          <w:lang w:val="lt-LT"/>
        </w:rPr>
        <w:t>, pvz., sudėtinių hormoninių kontraceptikų (SHK).</w:t>
      </w:r>
      <w:r w:rsidRPr="00940D54">
        <w:rPr>
          <w:lang w:val="lt-LT"/>
        </w:rPr>
        <w:t xml:space="preserve"> </w:t>
      </w:r>
      <w:r w:rsidRPr="00940D54">
        <w:rPr>
          <w:rFonts w:ascii="Times New Roman" w:hAnsi="Times New Roman"/>
          <w:lang w:val="lt-LT"/>
        </w:rPr>
        <w:t xml:space="preserve">Be to, </w:t>
      </w:r>
      <w:r w:rsidR="00AB7654" w:rsidRPr="00AB7654">
        <w:rPr>
          <w:rFonts w:ascii="Times New Roman" w:hAnsi="Times New Roman"/>
          <w:lang w:val="lt-LT"/>
        </w:rPr>
        <w:t>tarp pacien</w:t>
      </w:r>
      <w:r w:rsidR="00916588">
        <w:rPr>
          <w:rFonts w:ascii="Times New Roman" w:hAnsi="Times New Roman"/>
          <w:lang w:val="lt-LT"/>
        </w:rPr>
        <w:t>t</w:t>
      </w:r>
      <w:r w:rsidR="00AB7654" w:rsidRPr="00AB7654">
        <w:rPr>
          <w:rFonts w:ascii="Times New Roman" w:hAnsi="Times New Roman"/>
          <w:lang w:val="lt-LT"/>
        </w:rPr>
        <w:t>ų gydytų</w:t>
      </w:r>
      <w:r w:rsidRPr="00940D54">
        <w:rPr>
          <w:rFonts w:ascii="Times New Roman" w:hAnsi="Times New Roman"/>
          <w:lang w:val="lt-LT"/>
        </w:rPr>
        <w:t xml:space="preserve"> </w:t>
      </w:r>
      <w:proofErr w:type="spellStart"/>
      <w:r w:rsidRPr="00940D54">
        <w:rPr>
          <w:rFonts w:ascii="Times New Roman" w:hAnsi="Times New Roman"/>
          <w:lang w:val="lt-LT"/>
        </w:rPr>
        <w:lastRenderedPageBreak/>
        <w:t>gle</w:t>
      </w:r>
      <w:r w:rsidR="00532F97" w:rsidRPr="00940D54">
        <w:rPr>
          <w:rFonts w:ascii="Times New Roman" w:hAnsi="Times New Roman"/>
          <w:lang w:val="lt-LT"/>
        </w:rPr>
        <w:t>k</w:t>
      </w:r>
      <w:r w:rsidRPr="00940D54">
        <w:rPr>
          <w:rFonts w:ascii="Times New Roman" w:hAnsi="Times New Roman"/>
          <w:lang w:val="lt-LT"/>
        </w:rPr>
        <w:t>aprevir</w:t>
      </w:r>
      <w:r w:rsidR="00532F97" w:rsidRPr="00940D54">
        <w:rPr>
          <w:rFonts w:ascii="Times New Roman" w:hAnsi="Times New Roman"/>
          <w:lang w:val="lt-LT"/>
        </w:rPr>
        <w:t>u</w:t>
      </w:r>
      <w:proofErr w:type="spellEnd"/>
      <w:r w:rsidR="0040678B">
        <w:rPr>
          <w:rFonts w:ascii="Times New Roman" w:hAnsi="Times New Roman"/>
          <w:lang w:val="lt-LT"/>
        </w:rPr>
        <w:t> </w:t>
      </w:r>
      <w:r w:rsidRPr="00940D54">
        <w:rPr>
          <w:rFonts w:ascii="Times New Roman" w:hAnsi="Times New Roman"/>
          <w:lang w:val="lt-LT"/>
        </w:rPr>
        <w:t>/</w:t>
      </w:r>
      <w:r w:rsidR="0040678B">
        <w:rPr>
          <w:rFonts w:ascii="Times New Roman" w:hAnsi="Times New Roman"/>
          <w:lang w:val="lt-LT"/>
        </w:rPr>
        <w:t> </w:t>
      </w:r>
      <w:proofErr w:type="spellStart"/>
      <w:r w:rsidRPr="00940D54">
        <w:rPr>
          <w:rFonts w:ascii="Times New Roman" w:hAnsi="Times New Roman"/>
          <w:lang w:val="lt-LT"/>
        </w:rPr>
        <w:t>pibrentasvir</w:t>
      </w:r>
      <w:r w:rsidR="00532F97" w:rsidRPr="00940D54">
        <w:rPr>
          <w:rFonts w:ascii="Times New Roman" w:hAnsi="Times New Roman"/>
          <w:lang w:val="lt-LT"/>
        </w:rPr>
        <w:t>u</w:t>
      </w:r>
      <w:proofErr w:type="spellEnd"/>
      <w:r w:rsidR="00532F97" w:rsidRPr="00940D54">
        <w:rPr>
          <w:rFonts w:ascii="Times New Roman" w:hAnsi="Times New Roman"/>
          <w:lang w:val="lt-LT"/>
        </w:rPr>
        <w:t xml:space="preserve"> </w:t>
      </w:r>
      <w:r w:rsidR="00770A96">
        <w:rPr>
          <w:rFonts w:ascii="Times New Roman" w:hAnsi="Times New Roman"/>
          <w:lang w:val="lt-LT"/>
        </w:rPr>
        <w:t>arba</w:t>
      </w:r>
      <w:r w:rsidR="003712DA" w:rsidRPr="006037C4">
        <w:rPr>
          <w:lang w:val="lt-LT"/>
        </w:rPr>
        <w:t xml:space="preserve"> </w:t>
      </w:r>
      <w:proofErr w:type="spellStart"/>
      <w:r w:rsidR="003712DA" w:rsidRPr="003712DA">
        <w:rPr>
          <w:rFonts w:ascii="Times New Roman" w:hAnsi="Times New Roman"/>
          <w:lang w:val="lt-LT"/>
        </w:rPr>
        <w:t>sofosbuviru</w:t>
      </w:r>
      <w:proofErr w:type="spellEnd"/>
      <w:r w:rsidR="0040678B">
        <w:rPr>
          <w:rFonts w:ascii="Times New Roman" w:hAnsi="Times New Roman"/>
          <w:lang w:val="lt-LT"/>
        </w:rPr>
        <w:t> </w:t>
      </w:r>
      <w:r w:rsidR="003712DA" w:rsidRPr="003712DA">
        <w:rPr>
          <w:rFonts w:ascii="Times New Roman" w:hAnsi="Times New Roman"/>
          <w:lang w:val="lt-LT"/>
        </w:rPr>
        <w:t>/</w:t>
      </w:r>
      <w:r w:rsidR="0040678B">
        <w:rPr>
          <w:rFonts w:ascii="Times New Roman" w:hAnsi="Times New Roman"/>
          <w:lang w:val="lt-LT"/>
        </w:rPr>
        <w:t> </w:t>
      </w:r>
      <w:proofErr w:type="spellStart"/>
      <w:r w:rsidR="003712DA" w:rsidRPr="003712DA">
        <w:rPr>
          <w:rFonts w:ascii="Times New Roman" w:hAnsi="Times New Roman"/>
          <w:lang w:val="lt-LT"/>
        </w:rPr>
        <w:t>velpatasviru</w:t>
      </w:r>
      <w:proofErr w:type="spellEnd"/>
      <w:r w:rsidR="0040678B">
        <w:rPr>
          <w:rFonts w:ascii="Times New Roman" w:hAnsi="Times New Roman"/>
          <w:lang w:val="lt-LT"/>
        </w:rPr>
        <w:t> </w:t>
      </w:r>
      <w:r w:rsidR="003712DA" w:rsidRPr="003712DA">
        <w:rPr>
          <w:rFonts w:ascii="Times New Roman" w:hAnsi="Times New Roman"/>
          <w:lang w:val="lt-LT"/>
        </w:rPr>
        <w:t>/</w:t>
      </w:r>
      <w:r w:rsidR="0040678B">
        <w:rPr>
          <w:rFonts w:ascii="Times New Roman" w:hAnsi="Times New Roman"/>
          <w:lang w:val="lt-LT"/>
        </w:rPr>
        <w:t> </w:t>
      </w:r>
      <w:proofErr w:type="spellStart"/>
      <w:r w:rsidR="003712DA" w:rsidRPr="003712DA">
        <w:rPr>
          <w:rFonts w:ascii="Times New Roman" w:hAnsi="Times New Roman"/>
          <w:lang w:val="lt-LT"/>
        </w:rPr>
        <w:t>voksilapreviru</w:t>
      </w:r>
      <w:proofErr w:type="spellEnd"/>
      <w:r w:rsidRPr="00940D54">
        <w:rPr>
          <w:rFonts w:ascii="Times New Roman" w:hAnsi="Times New Roman"/>
          <w:lang w:val="lt-LT"/>
        </w:rPr>
        <w:t xml:space="preserve">, </w:t>
      </w:r>
      <w:r w:rsidR="0034776D">
        <w:rPr>
          <w:rFonts w:ascii="Times New Roman" w:hAnsi="Times New Roman"/>
          <w:lang w:val="lt-LT"/>
        </w:rPr>
        <w:t>moterims</w:t>
      </w:r>
      <w:r w:rsidRPr="00940D54">
        <w:rPr>
          <w:rFonts w:ascii="Times New Roman" w:hAnsi="Times New Roman"/>
          <w:lang w:val="lt-LT"/>
        </w:rPr>
        <w:t xml:space="preserve"> </w:t>
      </w:r>
      <w:r w:rsidR="00532F97" w:rsidRPr="00940D54">
        <w:rPr>
          <w:rFonts w:ascii="Times New Roman" w:hAnsi="Times New Roman"/>
          <w:lang w:val="lt-LT"/>
        </w:rPr>
        <w:t>vartojusioms vaistini</w:t>
      </w:r>
      <w:r w:rsidR="0034776D">
        <w:rPr>
          <w:rFonts w:ascii="Times New Roman" w:hAnsi="Times New Roman"/>
          <w:lang w:val="lt-LT"/>
        </w:rPr>
        <w:t>us</w:t>
      </w:r>
      <w:r w:rsidR="00532F97" w:rsidRPr="00940D54">
        <w:rPr>
          <w:rFonts w:ascii="Times New Roman" w:hAnsi="Times New Roman"/>
          <w:lang w:val="lt-LT"/>
        </w:rPr>
        <w:t xml:space="preserve"> preparat</w:t>
      </w:r>
      <w:r w:rsidR="0034776D">
        <w:rPr>
          <w:rFonts w:ascii="Times New Roman" w:hAnsi="Times New Roman"/>
          <w:lang w:val="lt-LT"/>
        </w:rPr>
        <w:t>us</w:t>
      </w:r>
      <w:r w:rsidR="00532F97" w:rsidRPr="00940D54">
        <w:rPr>
          <w:rFonts w:ascii="Times New Roman" w:hAnsi="Times New Roman"/>
          <w:lang w:val="lt-LT"/>
        </w:rPr>
        <w:t xml:space="preserve">, kurių sudėtyje yra </w:t>
      </w:r>
      <w:proofErr w:type="spellStart"/>
      <w:r w:rsidR="00532F97" w:rsidRPr="00940D54">
        <w:rPr>
          <w:rFonts w:ascii="Times New Roman" w:hAnsi="Times New Roman"/>
          <w:lang w:val="lt-LT"/>
        </w:rPr>
        <w:t>etinilestradiolio</w:t>
      </w:r>
      <w:proofErr w:type="spellEnd"/>
      <w:r w:rsidR="00532F97" w:rsidRPr="00940D54">
        <w:rPr>
          <w:rFonts w:ascii="Times New Roman" w:hAnsi="Times New Roman"/>
          <w:lang w:val="lt-LT"/>
        </w:rPr>
        <w:t xml:space="preserve">, pvz., SHK, </w:t>
      </w:r>
      <w:r w:rsidR="00A9698A">
        <w:rPr>
          <w:rFonts w:ascii="Times New Roman" w:hAnsi="Times New Roman"/>
          <w:lang w:val="lt-LT"/>
        </w:rPr>
        <w:t>pa</w:t>
      </w:r>
      <w:r w:rsidR="00532F97" w:rsidRPr="00940D54">
        <w:rPr>
          <w:rFonts w:ascii="Times New Roman" w:hAnsi="Times New Roman"/>
          <w:lang w:val="lt-LT"/>
        </w:rPr>
        <w:t>steb</w:t>
      </w:r>
      <w:r w:rsidR="00A9698A">
        <w:rPr>
          <w:rFonts w:ascii="Times New Roman" w:hAnsi="Times New Roman"/>
          <w:lang w:val="lt-LT"/>
        </w:rPr>
        <w:t>ėt</w:t>
      </w:r>
      <w:r w:rsidR="00532F97" w:rsidRPr="00940D54">
        <w:rPr>
          <w:rFonts w:ascii="Times New Roman" w:hAnsi="Times New Roman"/>
          <w:lang w:val="lt-LT"/>
        </w:rPr>
        <w:t>as ALT aktyvumo padidėjimas.</w:t>
      </w:r>
      <w:r w:rsidR="00532F97" w:rsidRPr="00940D54">
        <w:rPr>
          <w:lang w:val="lt-LT"/>
        </w:rPr>
        <w:t xml:space="preserve"> </w:t>
      </w:r>
    </w:p>
    <w:p w14:paraId="7CE9D4C4" w14:textId="7705A79E" w:rsidR="00A51A1D" w:rsidRPr="00940D54" w:rsidRDefault="00532F97" w:rsidP="00CB7B62">
      <w:pPr>
        <w:spacing w:after="0" w:line="240" w:lineRule="auto"/>
        <w:rPr>
          <w:rFonts w:ascii="Times New Roman" w:hAnsi="Times New Roman"/>
          <w:lang w:val="lt-LT"/>
        </w:rPr>
      </w:pPr>
      <w:r w:rsidRPr="00940D54">
        <w:rPr>
          <w:rFonts w:ascii="Times New Roman" w:hAnsi="Times New Roman"/>
          <w:lang w:val="lt-LT"/>
        </w:rPr>
        <w:t>Moterims, v</w:t>
      </w:r>
      <w:r w:rsidR="00A7540A" w:rsidRPr="00940D54">
        <w:rPr>
          <w:rFonts w:ascii="Times New Roman" w:hAnsi="Times New Roman"/>
          <w:lang w:val="lt-LT"/>
        </w:rPr>
        <w:t>ar</w:t>
      </w:r>
      <w:r w:rsidRPr="00940D54">
        <w:rPr>
          <w:rFonts w:ascii="Times New Roman" w:hAnsi="Times New Roman"/>
          <w:lang w:val="lt-LT"/>
        </w:rPr>
        <w:t xml:space="preserve">tojančioms vaistinių preparatų, kurių sudėtyje yra kitokio estrogeno nei </w:t>
      </w:r>
      <w:proofErr w:type="spellStart"/>
      <w:r w:rsidRPr="00940D54">
        <w:rPr>
          <w:rFonts w:ascii="Times New Roman" w:hAnsi="Times New Roman"/>
          <w:lang w:val="lt-LT"/>
        </w:rPr>
        <w:t>etinilestradioli</w:t>
      </w:r>
      <w:r w:rsidR="001F5B14" w:rsidRPr="00940D54">
        <w:rPr>
          <w:rFonts w:ascii="Times New Roman" w:hAnsi="Times New Roman"/>
          <w:lang w:val="lt-LT"/>
        </w:rPr>
        <w:t>o</w:t>
      </w:r>
      <w:proofErr w:type="spellEnd"/>
      <w:r w:rsidRPr="00940D54">
        <w:rPr>
          <w:rFonts w:ascii="Times New Roman" w:hAnsi="Times New Roman"/>
          <w:lang w:val="lt-LT"/>
        </w:rPr>
        <w:t xml:space="preserve">, pvz., </w:t>
      </w:r>
      <w:proofErr w:type="spellStart"/>
      <w:r w:rsidR="00CB7B62" w:rsidRPr="00940D54">
        <w:rPr>
          <w:rFonts w:ascii="Times New Roman" w:hAnsi="Times New Roman"/>
          <w:lang w:val="lt-LT"/>
        </w:rPr>
        <w:t>estradiol</w:t>
      </w:r>
      <w:r w:rsidRPr="00940D54">
        <w:rPr>
          <w:rFonts w:ascii="Times New Roman" w:hAnsi="Times New Roman"/>
          <w:lang w:val="lt-LT"/>
        </w:rPr>
        <w:t>io</w:t>
      </w:r>
      <w:proofErr w:type="spellEnd"/>
      <w:r w:rsidR="00CB7B62" w:rsidRPr="00940D54">
        <w:rPr>
          <w:rFonts w:ascii="Times New Roman" w:hAnsi="Times New Roman"/>
          <w:lang w:val="lt-LT"/>
        </w:rPr>
        <w:t xml:space="preserve">, </w:t>
      </w:r>
      <w:r w:rsidR="00973764">
        <w:rPr>
          <w:rFonts w:ascii="Times New Roman" w:hAnsi="Times New Roman"/>
          <w:lang w:val="lt-LT"/>
        </w:rPr>
        <w:t>ir</w:t>
      </w:r>
      <w:r w:rsidR="00FF4A1C">
        <w:rPr>
          <w:rFonts w:ascii="Times New Roman" w:hAnsi="Times New Roman"/>
          <w:lang w:val="lt-LT"/>
        </w:rPr>
        <w:t xml:space="preserve"> </w:t>
      </w:r>
      <w:proofErr w:type="spellStart"/>
      <w:r w:rsidR="00FF4A1C" w:rsidRPr="00FF4A1C">
        <w:rPr>
          <w:rFonts w:ascii="Times New Roman" w:hAnsi="Times New Roman"/>
          <w:lang w:val="lt-LT"/>
        </w:rPr>
        <w:t>ombitasvir</w:t>
      </w:r>
      <w:r w:rsidR="00A8105D">
        <w:rPr>
          <w:rFonts w:ascii="Times New Roman" w:hAnsi="Times New Roman"/>
          <w:lang w:val="lt-LT"/>
        </w:rPr>
        <w:t>u</w:t>
      </w:r>
      <w:proofErr w:type="spellEnd"/>
      <w:r w:rsidR="0040678B">
        <w:rPr>
          <w:rFonts w:ascii="Times New Roman" w:hAnsi="Times New Roman"/>
          <w:lang w:val="lt-LT"/>
        </w:rPr>
        <w:t> </w:t>
      </w:r>
      <w:r w:rsidR="00FF4A1C" w:rsidRPr="00FF4A1C">
        <w:rPr>
          <w:rFonts w:ascii="Times New Roman" w:hAnsi="Times New Roman"/>
          <w:lang w:val="lt-LT"/>
        </w:rPr>
        <w:t>/</w:t>
      </w:r>
      <w:r w:rsidR="0040678B">
        <w:rPr>
          <w:rFonts w:ascii="Times New Roman" w:hAnsi="Times New Roman"/>
          <w:lang w:val="lt-LT"/>
        </w:rPr>
        <w:t> </w:t>
      </w:r>
      <w:proofErr w:type="spellStart"/>
      <w:r w:rsidR="00FF4A1C" w:rsidRPr="00FF4A1C">
        <w:rPr>
          <w:rFonts w:ascii="Times New Roman" w:hAnsi="Times New Roman"/>
          <w:lang w:val="lt-LT"/>
        </w:rPr>
        <w:t>paritaprevir</w:t>
      </w:r>
      <w:r w:rsidR="00A8105D">
        <w:rPr>
          <w:rFonts w:ascii="Times New Roman" w:hAnsi="Times New Roman"/>
          <w:lang w:val="lt-LT"/>
        </w:rPr>
        <w:t>u</w:t>
      </w:r>
      <w:proofErr w:type="spellEnd"/>
      <w:r w:rsidR="0040678B">
        <w:rPr>
          <w:rFonts w:ascii="Times New Roman" w:hAnsi="Times New Roman"/>
          <w:lang w:val="lt-LT"/>
        </w:rPr>
        <w:t> </w:t>
      </w:r>
      <w:r w:rsidR="00FF4A1C" w:rsidRPr="00FF4A1C">
        <w:rPr>
          <w:rFonts w:ascii="Times New Roman" w:hAnsi="Times New Roman"/>
          <w:lang w:val="lt-LT"/>
        </w:rPr>
        <w:t>/</w:t>
      </w:r>
      <w:r w:rsidR="0040678B">
        <w:rPr>
          <w:rFonts w:ascii="Times New Roman" w:hAnsi="Times New Roman"/>
          <w:lang w:val="lt-LT"/>
        </w:rPr>
        <w:t> </w:t>
      </w:r>
      <w:r w:rsidR="00FF4A1C" w:rsidRPr="00FF4A1C">
        <w:rPr>
          <w:rFonts w:ascii="Times New Roman" w:hAnsi="Times New Roman"/>
          <w:lang w:val="lt-LT"/>
        </w:rPr>
        <w:t>ritonavir</w:t>
      </w:r>
      <w:r w:rsidR="00A8105D">
        <w:rPr>
          <w:rFonts w:ascii="Times New Roman" w:hAnsi="Times New Roman"/>
          <w:lang w:val="lt-LT"/>
        </w:rPr>
        <w:t>u</w:t>
      </w:r>
      <w:r w:rsidR="00FF4A1C" w:rsidRPr="00FF4A1C">
        <w:rPr>
          <w:rFonts w:ascii="Times New Roman" w:hAnsi="Times New Roman"/>
          <w:lang w:val="lt-LT"/>
        </w:rPr>
        <w:t xml:space="preserve"> ir </w:t>
      </w:r>
      <w:proofErr w:type="spellStart"/>
      <w:r w:rsidR="00FF4A1C" w:rsidRPr="00FF4A1C">
        <w:rPr>
          <w:rFonts w:ascii="Times New Roman" w:hAnsi="Times New Roman"/>
          <w:lang w:val="lt-LT"/>
        </w:rPr>
        <w:t>dasabuvir</w:t>
      </w:r>
      <w:r w:rsidR="00A8105D">
        <w:rPr>
          <w:rFonts w:ascii="Times New Roman" w:hAnsi="Times New Roman"/>
          <w:lang w:val="lt-LT"/>
        </w:rPr>
        <w:t>u</w:t>
      </w:r>
      <w:proofErr w:type="spellEnd"/>
      <w:r w:rsidR="00FF4A1C" w:rsidRPr="00FF4A1C">
        <w:rPr>
          <w:rFonts w:ascii="Times New Roman" w:hAnsi="Times New Roman"/>
          <w:lang w:val="lt-LT"/>
        </w:rPr>
        <w:t xml:space="preserve"> </w:t>
      </w:r>
      <w:r w:rsidR="000F2620">
        <w:rPr>
          <w:rFonts w:ascii="Times New Roman" w:hAnsi="Times New Roman"/>
          <w:lang w:val="lt-LT"/>
        </w:rPr>
        <w:t xml:space="preserve">kartu </w:t>
      </w:r>
      <w:r w:rsidR="00FF4A1C" w:rsidRPr="00FF4A1C">
        <w:rPr>
          <w:rFonts w:ascii="Times New Roman" w:hAnsi="Times New Roman"/>
          <w:lang w:val="lt-LT"/>
        </w:rPr>
        <w:t xml:space="preserve">su </w:t>
      </w:r>
      <w:proofErr w:type="spellStart"/>
      <w:r w:rsidR="00FF4A1C" w:rsidRPr="00FF4A1C">
        <w:rPr>
          <w:rFonts w:ascii="Times New Roman" w:hAnsi="Times New Roman"/>
          <w:lang w:val="lt-LT"/>
        </w:rPr>
        <w:t>ribavirinu</w:t>
      </w:r>
      <w:proofErr w:type="spellEnd"/>
      <w:r w:rsidR="00FF4A1C" w:rsidRPr="00FF4A1C">
        <w:rPr>
          <w:rFonts w:ascii="Times New Roman" w:hAnsi="Times New Roman"/>
          <w:lang w:val="lt-LT"/>
        </w:rPr>
        <w:t xml:space="preserve"> arba be jo,</w:t>
      </w:r>
      <w:r w:rsidR="00FF4A1C">
        <w:rPr>
          <w:rFonts w:ascii="Times New Roman" w:hAnsi="Times New Roman"/>
          <w:lang w:val="lt-LT"/>
        </w:rPr>
        <w:t xml:space="preserve"> </w:t>
      </w:r>
      <w:r w:rsidR="00CB7B62" w:rsidRPr="00940D54">
        <w:rPr>
          <w:rFonts w:ascii="Times New Roman" w:hAnsi="Times New Roman"/>
          <w:lang w:val="lt-LT"/>
        </w:rPr>
        <w:t xml:space="preserve">ALT </w:t>
      </w:r>
      <w:r w:rsidRPr="00940D54">
        <w:rPr>
          <w:rFonts w:ascii="Times New Roman" w:hAnsi="Times New Roman"/>
          <w:lang w:val="lt-LT"/>
        </w:rPr>
        <w:t>aktyvumo padidėjimo dažnis buvo panašus į nustatytą moterims, kurios estrogenų nevartoja</w:t>
      </w:r>
      <w:r w:rsidR="00C76D48">
        <w:rPr>
          <w:rFonts w:ascii="Times New Roman" w:hAnsi="Times New Roman"/>
          <w:lang w:val="lt-LT"/>
        </w:rPr>
        <w:t>.</w:t>
      </w:r>
      <w:r w:rsidRPr="00940D54">
        <w:rPr>
          <w:rFonts w:ascii="Times New Roman" w:hAnsi="Times New Roman"/>
          <w:lang w:val="lt-LT"/>
        </w:rPr>
        <w:t xml:space="preserve"> </w:t>
      </w:r>
      <w:r w:rsidR="00C76D48">
        <w:rPr>
          <w:rFonts w:ascii="Times New Roman" w:hAnsi="Times New Roman"/>
          <w:lang w:val="lt-LT"/>
        </w:rPr>
        <w:t>V</w:t>
      </w:r>
      <w:r w:rsidRPr="00940D54">
        <w:rPr>
          <w:rFonts w:ascii="Times New Roman" w:hAnsi="Times New Roman"/>
          <w:lang w:val="lt-LT"/>
        </w:rPr>
        <w:t>is dėlto</w:t>
      </w:r>
      <w:r w:rsidR="003159B9">
        <w:rPr>
          <w:rFonts w:ascii="Times New Roman" w:hAnsi="Times New Roman"/>
          <w:lang w:val="lt-LT"/>
        </w:rPr>
        <w:t>,</w:t>
      </w:r>
      <w:r w:rsidRPr="00940D54">
        <w:rPr>
          <w:rFonts w:ascii="Times New Roman" w:hAnsi="Times New Roman"/>
          <w:lang w:val="lt-LT"/>
        </w:rPr>
        <w:t xml:space="preserve"> </w:t>
      </w:r>
      <w:r w:rsidR="00222283">
        <w:rPr>
          <w:rFonts w:ascii="Times New Roman" w:hAnsi="Times New Roman"/>
          <w:lang w:val="lt-LT"/>
        </w:rPr>
        <w:t>atsižvelgiant į</w:t>
      </w:r>
      <w:r w:rsidRPr="00940D54">
        <w:rPr>
          <w:rFonts w:ascii="Times New Roman" w:hAnsi="Times New Roman"/>
          <w:lang w:val="lt-LT"/>
        </w:rPr>
        <w:t xml:space="preserve"> </w:t>
      </w:r>
      <w:r w:rsidR="00222283" w:rsidRPr="00940D54">
        <w:rPr>
          <w:rFonts w:ascii="Times New Roman" w:hAnsi="Times New Roman"/>
          <w:lang w:val="lt-LT"/>
        </w:rPr>
        <w:t>ribot</w:t>
      </w:r>
      <w:r w:rsidR="00222283">
        <w:rPr>
          <w:rFonts w:ascii="Times New Roman" w:hAnsi="Times New Roman"/>
          <w:lang w:val="lt-LT"/>
        </w:rPr>
        <w:t>ą</w:t>
      </w:r>
      <w:r w:rsidRPr="00940D54">
        <w:rPr>
          <w:rFonts w:ascii="Times New Roman" w:hAnsi="Times New Roman"/>
          <w:lang w:val="lt-LT"/>
        </w:rPr>
        <w:t xml:space="preserve"> moterų, kurios vartojo kitokių estrogenų, skaiči</w:t>
      </w:r>
      <w:r w:rsidR="00222283">
        <w:rPr>
          <w:rFonts w:ascii="Times New Roman" w:hAnsi="Times New Roman"/>
          <w:lang w:val="lt-LT"/>
        </w:rPr>
        <w:t>ų</w:t>
      </w:r>
      <w:r w:rsidR="00484ECF">
        <w:rPr>
          <w:rFonts w:ascii="Times New Roman" w:hAnsi="Times New Roman"/>
          <w:lang w:val="lt-LT"/>
        </w:rPr>
        <w:t>,</w:t>
      </w:r>
      <w:r w:rsidRPr="00940D54">
        <w:rPr>
          <w:rFonts w:ascii="Times New Roman" w:hAnsi="Times New Roman"/>
          <w:lang w:val="lt-LT"/>
        </w:rPr>
        <w:t xml:space="preserve"> š</w:t>
      </w:r>
      <w:r w:rsidR="001F5B14" w:rsidRPr="00940D54">
        <w:rPr>
          <w:rFonts w:ascii="Times New Roman" w:hAnsi="Times New Roman"/>
          <w:lang w:val="lt-LT"/>
        </w:rPr>
        <w:t>io</w:t>
      </w:r>
      <w:r w:rsidRPr="00940D54">
        <w:rPr>
          <w:rFonts w:ascii="Times New Roman" w:hAnsi="Times New Roman"/>
          <w:lang w:val="lt-LT"/>
        </w:rPr>
        <w:t xml:space="preserve"> vaistin</w:t>
      </w:r>
      <w:r w:rsidR="001F5B14" w:rsidRPr="00940D54">
        <w:rPr>
          <w:rFonts w:ascii="Times New Roman" w:hAnsi="Times New Roman"/>
          <w:lang w:val="lt-LT"/>
        </w:rPr>
        <w:t>io</w:t>
      </w:r>
      <w:r w:rsidRPr="00940D54">
        <w:rPr>
          <w:rFonts w:ascii="Times New Roman" w:hAnsi="Times New Roman"/>
          <w:lang w:val="lt-LT"/>
        </w:rPr>
        <w:t xml:space="preserve"> preparat</w:t>
      </w:r>
      <w:r w:rsidR="001F5B14" w:rsidRPr="00940D54">
        <w:rPr>
          <w:rFonts w:ascii="Times New Roman" w:hAnsi="Times New Roman"/>
          <w:lang w:val="lt-LT"/>
        </w:rPr>
        <w:t>o</w:t>
      </w:r>
      <w:r w:rsidRPr="00940D54">
        <w:rPr>
          <w:rFonts w:ascii="Times New Roman" w:hAnsi="Times New Roman"/>
          <w:lang w:val="lt-LT"/>
        </w:rPr>
        <w:t xml:space="preserve"> būtina atsargiai vartoti kartu su </w:t>
      </w:r>
      <w:r w:rsidR="008E040B">
        <w:rPr>
          <w:rFonts w:ascii="Times New Roman" w:hAnsi="Times New Roman"/>
          <w:lang w:val="lt-LT"/>
        </w:rPr>
        <w:t>toliau nurodytais</w:t>
      </w:r>
      <w:r w:rsidR="00D639EE">
        <w:rPr>
          <w:rFonts w:ascii="Times New Roman" w:hAnsi="Times New Roman"/>
          <w:lang w:val="lt-LT"/>
        </w:rPr>
        <w:t xml:space="preserve"> vaistinių preparatų deriniais</w:t>
      </w:r>
      <w:r w:rsidR="004D4ABA">
        <w:rPr>
          <w:rFonts w:ascii="Times New Roman" w:hAnsi="Times New Roman"/>
          <w:lang w:val="lt-LT"/>
        </w:rPr>
        <w:t>:</w:t>
      </w:r>
      <w:r w:rsidR="008E040B">
        <w:rPr>
          <w:rFonts w:ascii="Times New Roman" w:hAnsi="Times New Roman"/>
          <w:lang w:val="lt-LT"/>
        </w:rPr>
        <w:t xml:space="preserve"> </w:t>
      </w:r>
      <w:proofErr w:type="spellStart"/>
      <w:r w:rsidRPr="00940D54">
        <w:rPr>
          <w:rFonts w:ascii="Times New Roman" w:hAnsi="Times New Roman"/>
          <w:lang w:val="lt-LT"/>
        </w:rPr>
        <w:t>ombitasviru</w:t>
      </w:r>
      <w:proofErr w:type="spellEnd"/>
      <w:r w:rsidR="0040678B">
        <w:rPr>
          <w:rFonts w:ascii="Times New Roman" w:hAnsi="Times New Roman"/>
          <w:lang w:val="lt-LT"/>
        </w:rPr>
        <w:t> </w:t>
      </w:r>
      <w:r w:rsidRPr="00940D54">
        <w:rPr>
          <w:rFonts w:ascii="Times New Roman" w:hAnsi="Times New Roman"/>
          <w:lang w:val="lt-LT"/>
        </w:rPr>
        <w:t>/</w:t>
      </w:r>
      <w:r w:rsidR="0040678B">
        <w:rPr>
          <w:rFonts w:ascii="Times New Roman" w:hAnsi="Times New Roman"/>
          <w:lang w:val="lt-LT"/>
        </w:rPr>
        <w:t> </w:t>
      </w:r>
      <w:proofErr w:type="spellStart"/>
      <w:r w:rsidRPr="00940D54">
        <w:rPr>
          <w:rFonts w:ascii="Times New Roman" w:hAnsi="Times New Roman"/>
          <w:lang w:val="lt-LT"/>
        </w:rPr>
        <w:t>paritapreviru</w:t>
      </w:r>
      <w:proofErr w:type="spellEnd"/>
      <w:r w:rsidR="008516EC">
        <w:rPr>
          <w:rFonts w:ascii="Times New Roman" w:hAnsi="Times New Roman"/>
          <w:lang w:val="lt-LT"/>
        </w:rPr>
        <w:t> </w:t>
      </w:r>
      <w:r w:rsidRPr="00940D54">
        <w:rPr>
          <w:rFonts w:ascii="Times New Roman" w:hAnsi="Times New Roman"/>
          <w:lang w:val="lt-LT"/>
        </w:rPr>
        <w:t>/</w:t>
      </w:r>
      <w:r w:rsidR="008516EC">
        <w:rPr>
          <w:rFonts w:ascii="Times New Roman" w:hAnsi="Times New Roman"/>
          <w:lang w:val="lt-LT"/>
        </w:rPr>
        <w:t> </w:t>
      </w:r>
      <w:r w:rsidRPr="00940D54">
        <w:rPr>
          <w:rFonts w:ascii="Times New Roman" w:hAnsi="Times New Roman"/>
          <w:lang w:val="lt-LT"/>
        </w:rPr>
        <w:t xml:space="preserve">ritonaviru </w:t>
      </w:r>
      <w:r w:rsidR="00A73954">
        <w:rPr>
          <w:rFonts w:ascii="Times New Roman" w:hAnsi="Times New Roman"/>
          <w:lang w:val="lt-LT"/>
        </w:rPr>
        <w:t>ir</w:t>
      </w:r>
      <w:r w:rsidRPr="00940D54">
        <w:rPr>
          <w:rFonts w:ascii="Times New Roman" w:hAnsi="Times New Roman"/>
          <w:lang w:val="lt-LT"/>
        </w:rPr>
        <w:t xml:space="preserve"> </w:t>
      </w:r>
      <w:proofErr w:type="spellStart"/>
      <w:r w:rsidRPr="00940D54">
        <w:rPr>
          <w:rFonts w:ascii="Times New Roman" w:hAnsi="Times New Roman"/>
          <w:lang w:val="lt-LT"/>
        </w:rPr>
        <w:t>dasabuviru</w:t>
      </w:r>
      <w:proofErr w:type="spellEnd"/>
      <w:r w:rsidRPr="00940D54">
        <w:rPr>
          <w:rFonts w:ascii="Times New Roman" w:hAnsi="Times New Roman"/>
          <w:lang w:val="lt-LT"/>
        </w:rPr>
        <w:t xml:space="preserve"> kartu su </w:t>
      </w:r>
      <w:proofErr w:type="spellStart"/>
      <w:r w:rsidR="00067311">
        <w:rPr>
          <w:rFonts w:ascii="Times New Roman" w:hAnsi="Times New Roman"/>
          <w:lang w:val="lt-LT"/>
        </w:rPr>
        <w:t>ribavirinu</w:t>
      </w:r>
      <w:proofErr w:type="spellEnd"/>
      <w:r w:rsidR="00067311">
        <w:rPr>
          <w:rFonts w:ascii="Times New Roman" w:hAnsi="Times New Roman"/>
          <w:lang w:val="lt-LT"/>
        </w:rPr>
        <w:t xml:space="preserve"> </w:t>
      </w:r>
      <w:r w:rsidRPr="00940D54">
        <w:rPr>
          <w:rFonts w:ascii="Times New Roman" w:hAnsi="Times New Roman"/>
          <w:lang w:val="lt-LT"/>
        </w:rPr>
        <w:t>arba be jo</w:t>
      </w:r>
      <w:r w:rsidR="004A0D5F">
        <w:rPr>
          <w:rFonts w:ascii="Times New Roman" w:hAnsi="Times New Roman"/>
          <w:lang w:val="lt-LT"/>
        </w:rPr>
        <w:t>,</w:t>
      </w:r>
      <w:r w:rsidRPr="00940D54">
        <w:rPr>
          <w:rFonts w:ascii="Times New Roman" w:hAnsi="Times New Roman"/>
          <w:lang w:val="lt-LT"/>
        </w:rPr>
        <w:t xml:space="preserve"> </w:t>
      </w:r>
      <w:proofErr w:type="spellStart"/>
      <w:r w:rsidR="00CB7B62" w:rsidRPr="00940D54">
        <w:rPr>
          <w:rFonts w:ascii="Times New Roman" w:hAnsi="Times New Roman"/>
          <w:lang w:val="lt-LT"/>
        </w:rPr>
        <w:t>gle</w:t>
      </w:r>
      <w:r w:rsidRPr="00940D54">
        <w:rPr>
          <w:rFonts w:ascii="Times New Roman" w:hAnsi="Times New Roman"/>
          <w:lang w:val="lt-LT"/>
        </w:rPr>
        <w:t>k</w:t>
      </w:r>
      <w:r w:rsidR="00CB7B62" w:rsidRPr="00940D54">
        <w:rPr>
          <w:rFonts w:ascii="Times New Roman" w:hAnsi="Times New Roman"/>
          <w:lang w:val="lt-LT"/>
        </w:rPr>
        <w:t>aprevir</w:t>
      </w:r>
      <w:r w:rsidRPr="00940D54">
        <w:rPr>
          <w:rFonts w:ascii="Times New Roman" w:hAnsi="Times New Roman"/>
          <w:lang w:val="lt-LT"/>
        </w:rPr>
        <w:t>u</w:t>
      </w:r>
      <w:proofErr w:type="spellEnd"/>
      <w:r w:rsidR="008516EC">
        <w:rPr>
          <w:rFonts w:ascii="Times New Roman" w:hAnsi="Times New Roman"/>
          <w:lang w:val="lt-LT"/>
        </w:rPr>
        <w:t> </w:t>
      </w:r>
      <w:r w:rsidR="00CB7B62" w:rsidRPr="00940D54">
        <w:rPr>
          <w:rFonts w:ascii="Times New Roman" w:hAnsi="Times New Roman"/>
          <w:lang w:val="lt-LT"/>
        </w:rPr>
        <w:t>/</w:t>
      </w:r>
      <w:r w:rsidR="008516EC">
        <w:rPr>
          <w:rFonts w:ascii="Times New Roman" w:hAnsi="Times New Roman"/>
          <w:lang w:val="lt-LT"/>
        </w:rPr>
        <w:t> </w:t>
      </w:r>
      <w:proofErr w:type="spellStart"/>
      <w:r w:rsidR="00CB7B62" w:rsidRPr="00940D54">
        <w:rPr>
          <w:rFonts w:ascii="Times New Roman" w:hAnsi="Times New Roman"/>
          <w:lang w:val="lt-LT"/>
        </w:rPr>
        <w:t>pibrentasvir</w:t>
      </w:r>
      <w:r w:rsidRPr="00940D54">
        <w:rPr>
          <w:rFonts w:ascii="Times New Roman" w:hAnsi="Times New Roman"/>
          <w:lang w:val="lt-LT"/>
        </w:rPr>
        <w:t>u</w:t>
      </w:r>
      <w:proofErr w:type="spellEnd"/>
      <w:r w:rsidR="00536249">
        <w:rPr>
          <w:rFonts w:ascii="Times New Roman" w:hAnsi="Times New Roman"/>
          <w:lang w:val="lt-LT"/>
        </w:rPr>
        <w:t xml:space="preserve"> arba</w:t>
      </w:r>
      <w:r w:rsidR="00E2323C">
        <w:rPr>
          <w:rFonts w:ascii="Times New Roman" w:hAnsi="Times New Roman"/>
          <w:lang w:val="lt-LT"/>
        </w:rPr>
        <w:t xml:space="preserve"> </w:t>
      </w:r>
      <w:proofErr w:type="spellStart"/>
      <w:r w:rsidR="00536249" w:rsidRPr="00536249">
        <w:rPr>
          <w:rFonts w:ascii="Times New Roman" w:hAnsi="Times New Roman"/>
          <w:lang w:val="lt-LT"/>
        </w:rPr>
        <w:t>sofosbuvi</w:t>
      </w:r>
      <w:r w:rsidR="00E86989">
        <w:rPr>
          <w:rFonts w:ascii="Times New Roman" w:hAnsi="Times New Roman"/>
          <w:lang w:val="lt-LT"/>
        </w:rPr>
        <w:t>r</w:t>
      </w:r>
      <w:r w:rsidR="00536249">
        <w:rPr>
          <w:rFonts w:ascii="Times New Roman" w:hAnsi="Times New Roman"/>
          <w:lang w:val="lt-LT"/>
        </w:rPr>
        <w:t>u</w:t>
      </w:r>
      <w:proofErr w:type="spellEnd"/>
      <w:r w:rsidR="008516EC">
        <w:rPr>
          <w:rFonts w:ascii="Times New Roman" w:hAnsi="Times New Roman"/>
          <w:lang w:val="lt-LT"/>
        </w:rPr>
        <w:t> </w:t>
      </w:r>
      <w:r w:rsidR="00536249" w:rsidRPr="00536249">
        <w:rPr>
          <w:rFonts w:ascii="Times New Roman" w:hAnsi="Times New Roman"/>
          <w:lang w:val="lt-LT"/>
        </w:rPr>
        <w:t>/</w:t>
      </w:r>
      <w:r w:rsidR="008516EC">
        <w:rPr>
          <w:rFonts w:ascii="Times New Roman" w:hAnsi="Times New Roman"/>
          <w:lang w:val="lt-LT"/>
        </w:rPr>
        <w:t> </w:t>
      </w:r>
      <w:proofErr w:type="spellStart"/>
      <w:r w:rsidR="00536249" w:rsidRPr="00536249">
        <w:rPr>
          <w:rFonts w:ascii="Times New Roman" w:hAnsi="Times New Roman"/>
          <w:lang w:val="lt-LT"/>
        </w:rPr>
        <w:t>velpatasvir</w:t>
      </w:r>
      <w:r w:rsidR="00536249">
        <w:rPr>
          <w:rFonts w:ascii="Times New Roman" w:hAnsi="Times New Roman"/>
          <w:lang w:val="lt-LT"/>
        </w:rPr>
        <w:t>u</w:t>
      </w:r>
      <w:proofErr w:type="spellEnd"/>
      <w:r w:rsidR="008516EC">
        <w:rPr>
          <w:rFonts w:ascii="Times New Roman" w:hAnsi="Times New Roman"/>
          <w:lang w:val="lt-LT"/>
        </w:rPr>
        <w:t> </w:t>
      </w:r>
      <w:r w:rsidR="00536249" w:rsidRPr="00536249">
        <w:rPr>
          <w:rFonts w:ascii="Times New Roman" w:hAnsi="Times New Roman"/>
          <w:lang w:val="lt-LT"/>
        </w:rPr>
        <w:t>/</w:t>
      </w:r>
      <w:r w:rsidR="008516EC">
        <w:rPr>
          <w:rFonts w:ascii="Times New Roman" w:hAnsi="Times New Roman"/>
          <w:lang w:val="lt-LT"/>
        </w:rPr>
        <w:t> </w:t>
      </w:r>
      <w:proofErr w:type="spellStart"/>
      <w:r w:rsidR="00536249" w:rsidRPr="00536249">
        <w:rPr>
          <w:rFonts w:ascii="Times New Roman" w:hAnsi="Times New Roman"/>
          <w:lang w:val="lt-LT"/>
        </w:rPr>
        <w:t>voksilaprevir</w:t>
      </w:r>
      <w:r w:rsidR="00536249">
        <w:rPr>
          <w:rFonts w:ascii="Times New Roman" w:hAnsi="Times New Roman"/>
          <w:lang w:val="lt-LT"/>
        </w:rPr>
        <w:t>u</w:t>
      </w:r>
      <w:proofErr w:type="spellEnd"/>
      <w:r w:rsidR="00CB7B62" w:rsidRPr="00940D54">
        <w:rPr>
          <w:rFonts w:ascii="Times New Roman" w:hAnsi="Times New Roman"/>
          <w:lang w:val="lt-LT"/>
        </w:rPr>
        <w:t>. Žr.</w:t>
      </w:r>
      <w:r w:rsidR="00B33ACC">
        <w:rPr>
          <w:rFonts w:ascii="Times New Roman" w:hAnsi="Times New Roman"/>
          <w:lang w:val="lt-LT"/>
        </w:rPr>
        <w:t> </w:t>
      </w:r>
      <w:r w:rsidR="00CB7B62" w:rsidRPr="00940D54">
        <w:rPr>
          <w:rFonts w:ascii="Times New Roman" w:hAnsi="Times New Roman"/>
          <w:lang w:val="lt-LT"/>
        </w:rPr>
        <w:t>4.5 skyrių.</w:t>
      </w:r>
    </w:p>
    <w:p w14:paraId="666C6DA4" w14:textId="77777777" w:rsidR="00CB7B62" w:rsidRPr="00940D54" w:rsidRDefault="00CB7B62" w:rsidP="00CB7B62">
      <w:pPr>
        <w:spacing w:after="0" w:line="240" w:lineRule="auto"/>
        <w:rPr>
          <w:rFonts w:ascii="Times New Roman" w:hAnsi="Times New Roman"/>
          <w:lang w:val="lt-LT"/>
        </w:rPr>
      </w:pPr>
    </w:p>
    <w:p w14:paraId="31946CA0"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Įspėjimai apie pagalbines medžiagas</w:t>
      </w:r>
    </w:p>
    <w:p w14:paraId="2617FCEF" w14:textId="6409C169" w:rsidR="00A51A1D" w:rsidRPr="00940D54" w:rsidRDefault="00A51A1D" w:rsidP="00A51A1D">
      <w:pPr>
        <w:tabs>
          <w:tab w:val="left" w:pos="3096"/>
        </w:tabs>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Tabletėje yra laktozės. Šio vaistinio preparato negalima vartoti pacientėms, kurioms nustatytas retas paveldimas sutrikimas – </w:t>
      </w:r>
      <w:proofErr w:type="spellStart"/>
      <w:r w:rsidRPr="00940D54">
        <w:rPr>
          <w:rFonts w:ascii="Times New Roman" w:hAnsi="Times New Roman"/>
          <w:lang w:val="lt-LT"/>
        </w:rPr>
        <w:t>galaktozės</w:t>
      </w:r>
      <w:proofErr w:type="spellEnd"/>
      <w:r w:rsidRPr="00940D54">
        <w:rPr>
          <w:rFonts w:ascii="Times New Roman" w:hAnsi="Times New Roman"/>
          <w:lang w:val="lt-LT"/>
        </w:rPr>
        <w:t xml:space="preserve"> netoleravimas,</w:t>
      </w:r>
      <w:r w:rsidRPr="00940D54">
        <w:rPr>
          <w:rFonts w:ascii="Times New Roman" w:hAnsi="Times New Roman"/>
          <w:i/>
          <w:lang w:val="lt-LT"/>
        </w:rPr>
        <w:t xml:space="preserve"> </w:t>
      </w:r>
      <w:r w:rsidR="00D64C33" w:rsidRPr="00940D54">
        <w:rPr>
          <w:rFonts w:ascii="Times New Roman" w:hAnsi="Times New Roman"/>
          <w:iCs/>
          <w:lang w:val="lt-LT"/>
        </w:rPr>
        <w:t xml:space="preserve">visiškas </w:t>
      </w:r>
      <w:r w:rsidRPr="00940D54">
        <w:rPr>
          <w:rFonts w:ascii="Times New Roman" w:hAnsi="Times New Roman"/>
          <w:lang w:val="lt-LT"/>
        </w:rPr>
        <w:t xml:space="preserve">laktazės stygius arba gliukozės ir </w:t>
      </w:r>
      <w:proofErr w:type="spellStart"/>
      <w:r w:rsidRPr="00940D54">
        <w:rPr>
          <w:rFonts w:ascii="Times New Roman" w:hAnsi="Times New Roman"/>
          <w:lang w:val="lt-LT"/>
        </w:rPr>
        <w:t>galaktozės</w:t>
      </w:r>
      <w:proofErr w:type="spellEnd"/>
      <w:r w:rsidRPr="00940D54">
        <w:rPr>
          <w:rFonts w:ascii="Times New Roman" w:hAnsi="Times New Roman"/>
          <w:lang w:val="lt-LT"/>
        </w:rPr>
        <w:t xml:space="preserve"> </w:t>
      </w:r>
      <w:proofErr w:type="spellStart"/>
      <w:r w:rsidRPr="00940D54">
        <w:rPr>
          <w:rFonts w:ascii="Times New Roman" w:hAnsi="Times New Roman"/>
          <w:lang w:val="lt-LT"/>
        </w:rPr>
        <w:t>malabsorbcija</w:t>
      </w:r>
      <w:proofErr w:type="spellEnd"/>
      <w:r w:rsidRPr="00940D54">
        <w:rPr>
          <w:rFonts w:ascii="Times New Roman" w:hAnsi="Times New Roman"/>
          <w:lang w:val="lt-LT"/>
        </w:rPr>
        <w:t>.</w:t>
      </w:r>
    </w:p>
    <w:p w14:paraId="014F2941" w14:textId="77777777" w:rsidR="00A51A1D" w:rsidRPr="00940D54" w:rsidRDefault="00A51A1D" w:rsidP="00A51A1D">
      <w:pPr>
        <w:spacing w:after="0" w:line="240" w:lineRule="auto"/>
        <w:rPr>
          <w:rFonts w:ascii="Times New Roman" w:hAnsi="Times New Roman"/>
          <w:lang w:val="lt-LT"/>
        </w:rPr>
      </w:pPr>
    </w:p>
    <w:p w14:paraId="54EE6094"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4.5</w:t>
      </w:r>
      <w:r w:rsidRPr="00940D54">
        <w:rPr>
          <w:rFonts w:ascii="Times New Roman" w:hAnsi="Times New Roman"/>
          <w:b/>
          <w:lang w:val="lt-LT"/>
        </w:rPr>
        <w:tab/>
        <w:t>Sąveika su kitais vaistiniais preparatais ir kitokia sąveika</w:t>
      </w:r>
    </w:p>
    <w:p w14:paraId="57FBEFEC" w14:textId="77777777" w:rsidR="00A51A1D" w:rsidRPr="00940D54" w:rsidRDefault="00A51A1D" w:rsidP="00A51A1D">
      <w:pPr>
        <w:spacing w:after="0" w:line="240" w:lineRule="auto"/>
        <w:rPr>
          <w:rFonts w:ascii="Times New Roman" w:hAnsi="Times New Roman"/>
          <w:lang w:val="lt-LT"/>
        </w:rPr>
      </w:pPr>
    </w:p>
    <w:p w14:paraId="64EAEEF8" w14:textId="77777777" w:rsidR="00C81F42" w:rsidRPr="00253783" w:rsidRDefault="00C81F42" w:rsidP="00C81F42">
      <w:pPr>
        <w:spacing w:after="0" w:line="240" w:lineRule="auto"/>
        <w:rPr>
          <w:rFonts w:ascii="Times New Roman" w:hAnsi="Times New Roman"/>
          <w:lang w:val="lt-LT"/>
        </w:rPr>
      </w:pPr>
      <w:r w:rsidRPr="00253783">
        <w:rPr>
          <w:rFonts w:ascii="Times New Roman" w:hAnsi="Times New Roman"/>
          <w:lang w:val="lt-LT"/>
        </w:rPr>
        <w:t>Pastaba. Reikia perskaityti kartu vartojamų vaistinių preparatų skyrimo informaciją, kad būtų galima sužinoti apie galimą vaistų sąveiką.</w:t>
      </w:r>
    </w:p>
    <w:p w14:paraId="72686CFB" w14:textId="77777777" w:rsidR="00C81F42" w:rsidRPr="00940D54" w:rsidRDefault="00C81F42" w:rsidP="00A51A1D">
      <w:pPr>
        <w:spacing w:after="0" w:line="240" w:lineRule="auto"/>
        <w:rPr>
          <w:rFonts w:ascii="Times New Roman" w:hAnsi="Times New Roman"/>
          <w:u w:val="single"/>
          <w:lang w:val="lt-LT"/>
        </w:rPr>
      </w:pPr>
    </w:p>
    <w:p w14:paraId="4CA54C68" w14:textId="37490B52" w:rsidR="00C81F42" w:rsidRPr="00253783" w:rsidRDefault="00C81F42" w:rsidP="00A51A1D">
      <w:pPr>
        <w:spacing w:after="0" w:line="240" w:lineRule="auto"/>
        <w:rPr>
          <w:rFonts w:ascii="Times New Roman" w:hAnsi="Times New Roman"/>
          <w:u w:val="single"/>
          <w:lang w:val="lt-LT"/>
        </w:rPr>
      </w:pPr>
      <w:r w:rsidRPr="00253783">
        <w:rPr>
          <w:rFonts w:ascii="Times New Roman" w:hAnsi="Times New Roman"/>
          <w:u w:val="single"/>
          <w:lang w:val="lt-LT"/>
        </w:rPr>
        <w:t xml:space="preserve">Kitų vaistų poveikis vaistiniam preparatui </w:t>
      </w:r>
      <w:proofErr w:type="spellStart"/>
      <w:r w:rsidRPr="00253783">
        <w:rPr>
          <w:rFonts w:ascii="Times New Roman" w:hAnsi="Times New Roman"/>
          <w:u w:val="single"/>
          <w:lang w:val="lt-LT"/>
        </w:rPr>
        <w:t>velbienne</w:t>
      </w:r>
      <w:proofErr w:type="spellEnd"/>
    </w:p>
    <w:p w14:paraId="08442C99" w14:textId="78F63FBB" w:rsidR="00C81F42" w:rsidRPr="00940D54" w:rsidRDefault="00C81F42" w:rsidP="00A51A1D">
      <w:pPr>
        <w:spacing w:after="0" w:line="240" w:lineRule="auto"/>
        <w:rPr>
          <w:rFonts w:ascii="Times New Roman" w:hAnsi="Times New Roman"/>
          <w:u w:val="single"/>
          <w:lang w:val="lt-LT"/>
        </w:rPr>
      </w:pPr>
    </w:p>
    <w:p w14:paraId="3F0835FE" w14:textId="03B9E2A6" w:rsidR="00604C39" w:rsidRPr="00253783" w:rsidRDefault="00604C39" w:rsidP="00604C39">
      <w:pPr>
        <w:spacing w:after="0" w:line="240" w:lineRule="auto"/>
        <w:rPr>
          <w:rFonts w:ascii="Times New Roman" w:eastAsia="Times New Roman" w:hAnsi="Times New Roman"/>
          <w:i/>
          <w:lang w:val="lt-LT"/>
        </w:rPr>
      </w:pPr>
      <w:r w:rsidRPr="00253783">
        <w:rPr>
          <w:rFonts w:ascii="Times New Roman" w:eastAsia="Times New Roman" w:hAnsi="Times New Roman"/>
          <w:i/>
          <w:lang w:val="lt-LT"/>
        </w:rPr>
        <w:t>Medžiagos, didinančios lytinių hormonų klirensą (skatinančios fermentus ir todėl mažinančios veiksmingumą)</w:t>
      </w:r>
      <w:r w:rsidR="00940D54">
        <w:rPr>
          <w:rFonts w:ascii="Times New Roman" w:eastAsia="Times New Roman" w:hAnsi="Times New Roman"/>
          <w:i/>
          <w:lang w:val="lt-LT"/>
        </w:rPr>
        <w:t>:</w:t>
      </w:r>
    </w:p>
    <w:p w14:paraId="2A62FC8D" w14:textId="19B71D34" w:rsidR="00940D54" w:rsidRPr="00253783" w:rsidRDefault="00A51A1D" w:rsidP="00940D54">
      <w:pPr>
        <w:spacing w:after="0" w:line="240" w:lineRule="auto"/>
        <w:rPr>
          <w:rFonts w:ascii="Times New Roman" w:hAnsi="Times New Roman"/>
          <w:lang w:val="lt-LT"/>
        </w:rPr>
      </w:pPr>
      <w:r w:rsidRPr="00940D54">
        <w:rPr>
          <w:rFonts w:ascii="Times New Roman" w:hAnsi="Times New Roman"/>
          <w:lang w:val="lt-LT"/>
        </w:rPr>
        <w:t xml:space="preserve">Gali suintensyvėti estrogeno ir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metabolizmas, vartojant kartu medžiagas, kurios sužadina vaistinį preparatą </w:t>
      </w:r>
      <w:proofErr w:type="spellStart"/>
      <w:r w:rsidRPr="00940D54">
        <w:rPr>
          <w:rFonts w:ascii="Times New Roman" w:hAnsi="Times New Roman"/>
          <w:lang w:val="lt-LT"/>
        </w:rPr>
        <w:t>metabolizuojančius</w:t>
      </w:r>
      <w:proofErr w:type="spellEnd"/>
      <w:r w:rsidRPr="00940D54">
        <w:rPr>
          <w:rFonts w:ascii="Times New Roman" w:hAnsi="Times New Roman"/>
          <w:lang w:val="lt-LT"/>
        </w:rPr>
        <w:t xml:space="preserve"> fermentus, ypač </w:t>
      </w:r>
      <w:proofErr w:type="spellStart"/>
      <w:r w:rsidRPr="00940D54">
        <w:rPr>
          <w:rFonts w:ascii="Times New Roman" w:hAnsi="Times New Roman"/>
          <w:lang w:val="lt-LT"/>
        </w:rPr>
        <w:t>citochromo</w:t>
      </w:r>
      <w:proofErr w:type="spellEnd"/>
      <w:r w:rsidRPr="00940D54">
        <w:rPr>
          <w:rFonts w:ascii="Times New Roman" w:hAnsi="Times New Roman"/>
          <w:lang w:val="lt-LT"/>
        </w:rPr>
        <w:t xml:space="preserve"> P450 fermentus, pavyzdžiui: traukuliams (pvz.: </w:t>
      </w:r>
      <w:r w:rsidR="00940D54">
        <w:rPr>
          <w:rFonts w:ascii="Times New Roman" w:hAnsi="Times New Roman"/>
          <w:lang w:val="lt-LT"/>
        </w:rPr>
        <w:t xml:space="preserve">barbitūratus, </w:t>
      </w:r>
      <w:proofErr w:type="spellStart"/>
      <w:r w:rsidRPr="00940D54">
        <w:rPr>
          <w:rFonts w:ascii="Times New Roman" w:hAnsi="Times New Roman"/>
          <w:lang w:val="lt-LT"/>
        </w:rPr>
        <w:t>fenitoiną</w:t>
      </w:r>
      <w:proofErr w:type="spellEnd"/>
      <w:r w:rsidRPr="00940D54">
        <w:rPr>
          <w:rFonts w:ascii="Times New Roman" w:hAnsi="Times New Roman"/>
          <w:lang w:val="lt-LT"/>
        </w:rPr>
        <w:t xml:space="preserve">, </w:t>
      </w:r>
      <w:proofErr w:type="spellStart"/>
      <w:r w:rsidR="00940D54">
        <w:rPr>
          <w:rFonts w:ascii="Times New Roman" w:hAnsi="Times New Roman"/>
          <w:lang w:val="lt-LT"/>
        </w:rPr>
        <w:t>primidoną</w:t>
      </w:r>
      <w:proofErr w:type="spellEnd"/>
      <w:r w:rsidR="00940D54">
        <w:rPr>
          <w:rFonts w:ascii="Times New Roman" w:hAnsi="Times New Roman"/>
          <w:lang w:val="lt-LT"/>
        </w:rPr>
        <w:t xml:space="preserve">, </w:t>
      </w:r>
      <w:proofErr w:type="spellStart"/>
      <w:r w:rsidRPr="00940D54">
        <w:rPr>
          <w:rFonts w:ascii="Times New Roman" w:hAnsi="Times New Roman"/>
          <w:lang w:val="lt-LT"/>
        </w:rPr>
        <w:t>karbamezapiną</w:t>
      </w:r>
      <w:proofErr w:type="spellEnd"/>
      <w:r w:rsidRPr="00940D54">
        <w:rPr>
          <w:rFonts w:ascii="Times New Roman" w:hAnsi="Times New Roman"/>
          <w:lang w:val="lt-LT"/>
        </w:rPr>
        <w:t xml:space="preserve">) ir infekcinėms ligoms gydyti skiriamus (pvz.: </w:t>
      </w:r>
      <w:proofErr w:type="spellStart"/>
      <w:r w:rsidRPr="00940D54">
        <w:rPr>
          <w:rFonts w:ascii="Times New Roman" w:hAnsi="Times New Roman"/>
          <w:lang w:val="lt-LT"/>
        </w:rPr>
        <w:t>rifampiciną</w:t>
      </w:r>
      <w:proofErr w:type="spellEnd"/>
      <w:r w:rsidRPr="00940D54">
        <w:rPr>
          <w:rFonts w:ascii="Times New Roman" w:hAnsi="Times New Roman"/>
          <w:lang w:val="lt-LT"/>
        </w:rPr>
        <w:t xml:space="preserve">, </w:t>
      </w:r>
      <w:proofErr w:type="spellStart"/>
      <w:r w:rsidRPr="00940D54">
        <w:rPr>
          <w:rFonts w:ascii="Times New Roman" w:hAnsi="Times New Roman"/>
          <w:lang w:val="lt-LT"/>
        </w:rPr>
        <w:t>rifabutiną</w:t>
      </w:r>
      <w:proofErr w:type="spellEnd"/>
      <w:r w:rsidRPr="00940D54">
        <w:rPr>
          <w:rFonts w:ascii="Times New Roman" w:hAnsi="Times New Roman"/>
          <w:lang w:val="lt-LT"/>
        </w:rPr>
        <w:t xml:space="preserve">, </w:t>
      </w:r>
      <w:proofErr w:type="spellStart"/>
      <w:r w:rsidRPr="00940D54">
        <w:rPr>
          <w:rFonts w:ascii="Times New Roman" w:hAnsi="Times New Roman"/>
          <w:lang w:val="lt-LT"/>
        </w:rPr>
        <w:t>nevirapiną</w:t>
      </w:r>
      <w:proofErr w:type="spellEnd"/>
      <w:r w:rsidRPr="00940D54">
        <w:rPr>
          <w:rFonts w:ascii="Times New Roman" w:hAnsi="Times New Roman"/>
          <w:lang w:val="lt-LT"/>
        </w:rPr>
        <w:t xml:space="preserve">, </w:t>
      </w:r>
      <w:proofErr w:type="spellStart"/>
      <w:r w:rsidRPr="00940D54">
        <w:rPr>
          <w:rFonts w:ascii="Times New Roman" w:hAnsi="Times New Roman"/>
          <w:lang w:val="lt-LT"/>
        </w:rPr>
        <w:t>efavirenzą</w:t>
      </w:r>
      <w:proofErr w:type="spellEnd"/>
      <w:r w:rsidRPr="00940D54">
        <w:rPr>
          <w:rFonts w:ascii="Times New Roman" w:hAnsi="Times New Roman"/>
          <w:lang w:val="lt-LT"/>
        </w:rPr>
        <w:t>)</w:t>
      </w:r>
      <w:r w:rsidR="00940D54">
        <w:rPr>
          <w:rFonts w:ascii="Times New Roman" w:hAnsi="Times New Roman"/>
          <w:lang w:val="lt-LT"/>
        </w:rPr>
        <w:t xml:space="preserve"> vaistinius preparatus,</w:t>
      </w:r>
      <w:r w:rsidRPr="00940D54">
        <w:rPr>
          <w:rFonts w:ascii="Times New Roman" w:hAnsi="Times New Roman"/>
          <w:lang w:val="lt-LT"/>
        </w:rPr>
        <w:t xml:space="preserve"> </w:t>
      </w:r>
      <w:r w:rsidR="00940D54" w:rsidRPr="00253783">
        <w:rPr>
          <w:rFonts w:ascii="Times New Roman" w:hAnsi="Times New Roman"/>
          <w:lang w:val="lt-LT"/>
        </w:rPr>
        <w:t xml:space="preserve">galbūt ir </w:t>
      </w:r>
      <w:proofErr w:type="spellStart"/>
      <w:r w:rsidR="00940D54" w:rsidRPr="00253783">
        <w:rPr>
          <w:rFonts w:ascii="Times New Roman" w:hAnsi="Times New Roman"/>
          <w:lang w:val="lt-LT"/>
        </w:rPr>
        <w:t>felbamatą</w:t>
      </w:r>
      <w:proofErr w:type="spellEnd"/>
      <w:r w:rsidR="00940D54" w:rsidRPr="00253783">
        <w:rPr>
          <w:rFonts w:ascii="Times New Roman" w:hAnsi="Times New Roman"/>
          <w:lang w:val="lt-LT"/>
        </w:rPr>
        <w:t xml:space="preserve">, </w:t>
      </w:r>
      <w:proofErr w:type="spellStart"/>
      <w:r w:rsidR="00940D54" w:rsidRPr="00253783">
        <w:rPr>
          <w:rFonts w:ascii="Times New Roman" w:hAnsi="Times New Roman"/>
          <w:lang w:val="lt-LT"/>
        </w:rPr>
        <w:t>grizeofulviną</w:t>
      </w:r>
      <w:proofErr w:type="spellEnd"/>
      <w:r w:rsidR="00940D54" w:rsidRPr="00253783">
        <w:rPr>
          <w:rFonts w:ascii="Times New Roman" w:hAnsi="Times New Roman"/>
          <w:lang w:val="lt-LT"/>
        </w:rPr>
        <w:t xml:space="preserve">, </w:t>
      </w:r>
      <w:proofErr w:type="spellStart"/>
      <w:r w:rsidR="00940D54" w:rsidRPr="00253783">
        <w:rPr>
          <w:rFonts w:ascii="Times New Roman" w:hAnsi="Times New Roman"/>
          <w:lang w:val="lt-LT"/>
        </w:rPr>
        <w:t>okskarbazepiną</w:t>
      </w:r>
      <w:proofErr w:type="spellEnd"/>
      <w:r w:rsidR="00940D54" w:rsidRPr="00253783">
        <w:rPr>
          <w:rFonts w:ascii="Times New Roman" w:hAnsi="Times New Roman"/>
          <w:lang w:val="lt-LT"/>
        </w:rPr>
        <w:t xml:space="preserve">, </w:t>
      </w:r>
      <w:proofErr w:type="spellStart"/>
      <w:r w:rsidR="00940D54" w:rsidRPr="00253783">
        <w:rPr>
          <w:rFonts w:ascii="Times New Roman" w:hAnsi="Times New Roman"/>
          <w:lang w:val="lt-LT"/>
        </w:rPr>
        <w:t>topiramatą</w:t>
      </w:r>
      <w:proofErr w:type="spellEnd"/>
      <w:r w:rsidR="00940D54" w:rsidRPr="00253783">
        <w:rPr>
          <w:rFonts w:ascii="Times New Roman" w:hAnsi="Times New Roman"/>
          <w:lang w:val="lt-LT"/>
        </w:rPr>
        <w:t xml:space="preserve"> ir preparat</w:t>
      </w:r>
      <w:r w:rsidR="00241CFD" w:rsidRPr="00253783">
        <w:rPr>
          <w:rFonts w:ascii="Times New Roman" w:hAnsi="Times New Roman"/>
          <w:lang w:val="lt-LT"/>
        </w:rPr>
        <w:t>us</w:t>
      </w:r>
      <w:r w:rsidR="00940D54" w:rsidRPr="00253783">
        <w:rPr>
          <w:rFonts w:ascii="Times New Roman" w:hAnsi="Times New Roman"/>
          <w:lang w:val="lt-LT"/>
        </w:rPr>
        <w:t xml:space="preserve">, kurių sudėtyje yra augalinio </w:t>
      </w:r>
      <w:r w:rsidR="00241CFD" w:rsidRPr="00253783">
        <w:rPr>
          <w:rFonts w:ascii="Times New Roman" w:hAnsi="Times New Roman"/>
          <w:lang w:val="lt-LT"/>
        </w:rPr>
        <w:t>preparato</w:t>
      </w:r>
      <w:r w:rsidR="00940D54" w:rsidRPr="00253783">
        <w:rPr>
          <w:rFonts w:ascii="Times New Roman" w:hAnsi="Times New Roman"/>
          <w:lang w:val="lt-LT"/>
        </w:rPr>
        <w:t xml:space="preserve"> – jonažolės (</w:t>
      </w:r>
      <w:proofErr w:type="spellStart"/>
      <w:r w:rsidR="00940D54" w:rsidRPr="00253783">
        <w:rPr>
          <w:rFonts w:ascii="Times New Roman" w:hAnsi="Times New Roman"/>
          <w:i/>
          <w:lang w:val="lt-LT"/>
        </w:rPr>
        <w:t>Hypericum</w:t>
      </w:r>
      <w:proofErr w:type="spellEnd"/>
      <w:r w:rsidR="00940D54" w:rsidRPr="00253783">
        <w:rPr>
          <w:rFonts w:ascii="Times New Roman" w:hAnsi="Times New Roman"/>
          <w:i/>
          <w:lang w:val="lt-LT"/>
        </w:rPr>
        <w:t xml:space="preserve"> </w:t>
      </w:r>
      <w:proofErr w:type="spellStart"/>
      <w:r w:rsidR="00940D54" w:rsidRPr="00253783">
        <w:rPr>
          <w:rFonts w:ascii="Times New Roman" w:hAnsi="Times New Roman"/>
          <w:i/>
          <w:lang w:val="lt-LT"/>
        </w:rPr>
        <w:t>perforatum</w:t>
      </w:r>
      <w:proofErr w:type="spellEnd"/>
      <w:r w:rsidR="00940D54" w:rsidRPr="00253783">
        <w:rPr>
          <w:rFonts w:ascii="Times New Roman" w:hAnsi="Times New Roman"/>
          <w:lang w:val="lt-LT"/>
        </w:rPr>
        <w:t>).</w:t>
      </w:r>
    </w:p>
    <w:p w14:paraId="327F700F" w14:textId="77777777" w:rsidR="00940D54" w:rsidRPr="00253783" w:rsidRDefault="00940D54" w:rsidP="00940D54">
      <w:pPr>
        <w:spacing w:after="0" w:line="240" w:lineRule="auto"/>
        <w:ind w:left="567" w:hanging="567"/>
        <w:rPr>
          <w:rFonts w:ascii="Times New Roman" w:hAnsi="Times New Roman"/>
          <w:lang w:val="lt-LT"/>
        </w:rPr>
      </w:pPr>
    </w:p>
    <w:p w14:paraId="7067F217" w14:textId="2F25D2EF" w:rsidR="00A51A1D" w:rsidRPr="00940D54" w:rsidRDefault="00A51A1D" w:rsidP="00A51A1D">
      <w:pPr>
        <w:tabs>
          <w:tab w:val="left" w:pos="3096"/>
        </w:tabs>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Suintensyvėjus estrogeno ir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metabolizmui, kliniškai gali sumažėti poveikis ir keistis kraujavimo iš gimdos pobūdis.</w:t>
      </w:r>
    </w:p>
    <w:p w14:paraId="2F3F03B9" w14:textId="77777777" w:rsidR="00241CFD" w:rsidRPr="00241CFD" w:rsidRDefault="00241CFD" w:rsidP="00241CFD">
      <w:pPr>
        <w:spacing w:after="0" w:line="240" w:lineRule="auto"/>
        <w:rPr>
          <w:rFonts w:ascii="Times New Roman" w:hAnsi="Times New Roman"/>
          <w:lang w:val="lt-LT"/>
        </w:rPr>
      </w:pPr>
      <w:r w:rsidRPr="00241CFD">
        <w:rPr>
          <w:rFonts w:ascii="Times New Roman" w:hAnsi="Times New Roman"/>
          <w:lang w:val="lt-LT"/>
        </w:rPr>
        <w:t>Fermentų indukcija gali būti stebima jau po kelių gydymo dienų. Didžiausia fermentų indukcija įprastai stebima keliomis pirmosiomis gydymo savaitėmis. Nutraukus gydymą vaistu, fermentų indukcija gali išsilaikyti 4 savaites.</w:t>
      </w:r>
    </w:p>
    <w:p w14:paraId="5EBF5776" w14:textId="398C667D" w:rsidR="00A51A1D" w:rsidRDefault="00A51A1D" w:rsidP="00A51A1D">
      <w:pPr>
        <w:spacing w:after="0" w:line="240" w:lineRule="auto"/>
        <w:rPr>
          <w:rFonts w:ascii="Times New Roman" w:hAnsi="Times New Roman"/>
          <w:lang w:val="lt-LT"/>
        </w:rPr>
      </w:pPr>
    </w:p>
    <w:p w14:paraId="49EF513A" w14:textId="77777777" w:rsidR="00241CFD" w:rsidRPr="00253783" w:rsidRDefault="00241CFD" w:rsidP="00241CFD">
      <w:pPr>
        <w:spacing w:after="0" w:line="240" w:lineRule="auto"/>
        <w:rPr>
          <w:rFonts w:ascii="Times New Roman" w:eastAsia="Times New Roman" w:hAnsi="Times New Roman"/>
          <w:i/>
          <w:lang w:val="lt-LT"/>
        </w:rPr>
      </w:pPr>
      <w:r w:rsidRPr="00253783">
        <w:rPr>
          <w:rFonts w:ascii="Times New Roman" w:eastAsia="Times New Roman" w:hAnsi="Times New Roman"/>
          <w:i/>
          <w:lang w:val="lt-LT"/>
        </w:rPr>
        <w:t>Medžiagos, įvairiai veikiančios lytinių hormonų klirensą</w:t>
      </w:r>
    </w:p>
    <w:p w14:paraId="50A82681" w14:textId="77777777" w:rsidR="00241CFD" w:rsidRPr="00253783" w:rsidRDefault="00241CFD" w:rsidP="00241CFD">
      <w:pPr>
        <w:keepNext/>
        <w:keepLines/>
        <w:spacing w:after="0" w:line="240" w:lineRule="auto"/>
        <w:rPr>
          <w:rFonts w:ascii="Times New Roman" w:hAnsi="Times New Roman"/>
          <w:lang w:val="lt-LT"/>
        </w:rPr>
      </w:pPr>
      <w:r w:rsidRPr="00253783">
        <w:rPr>
          <w:rFonts w:ascii="Times New Roman" w:hAnsi="Times New Roman"/>
          <w:lang w:val="lt-LT"/>
        </w:rPr>
        <w:t xml:space="preserve">Kartu su lytiniais hormonais vartojami ŽIV proteazių inhibitorių ir nenukleozidinių atvirkštinės </w:t>
      </w:r>
      <w:proofErr w:type="spellStart"/>
      <w:r w:rsidRPr="00253783">
        <w:rPr>
          <w:rFonts w:ascii="Times New Roman" w:hAnsi="Times New Roman"/>
          <w:lang w:val="lt-LT"/>
        </w:rPr>
        <w:t>transkriptazės</w:t>
      </w:r>
      <w:proofErr w:type="spellEnd"/>
      <w:r w:rsidRPr="00253783">
        <w:rPr>
          <w:rFonts w:ascii="Times New Roman" w:hAnsi="Times New Roman"/>
          <w:lang w:val="lt-LT"/>
        </w:rPr>
        <w:t xml:space="preserve"> inhibitorių deriniai, įskaitant derinius su HCV inhibitoriais, gali padidinti arba sumažinti estrogeno ar </w:t>
      </w:r>
      <w:proofErr w:type="spellStart"/>
      <w:r w:rsidRPr="00253783">
        <w:rPr>
          <w:rFonts w:ascii="Times New Roman" w:hAnsi="Times New Roman"/>
          <w:lang w:val="lt-LT"/>
        </w:rPr>
        <w:t>progestino</w:t>
      </w:r>
      <w:proofErr w:type="spellEnd"/>
      <w:r w:rsidRPr="00253783">
        <w:rPr>
          <w:rFonts w:ascii="Times New Roman" w:hAnsi="Times New Roman"/>
          <w:lang w:val="lt-LT"/>
        </w:rPr>
        <w:t xml:space="preserve"> koncentraciją plazmoje. Kai kuriais atvejais šių pokyčių poveikis gali būti kliniškai reikšmingas.</w:t>
      </w:r>
    </w:p>
    <w:p w14:paraId="6A91F99B" w14:textId="77777777" w:rsidR="008B39C4" w:rsidRDefault="008B39C4" w:rsidP="00241CFD">
      <w:pPr>
        <w:keepNext/>
        <w:keepLines/>
        <w:spacing w:after="0" w:line="240" w:lineRule="auto"/>
        <w:rPr>
          <w:rFonts w:ascii="Times New Roman" w:hAnsi="Times New Roman"/>
          <w:lang w:val="lt-LT"/>
        </w:rPr>
      </w:pPr>
    </w:p>
    <w:p w14:paraId="5DD9FD9A" w14:textId="77777777" w:rsidR="00241CFD" w:rsidRPr="00253783" w:rsidRDefault="00241CFD" w:rsidP="00241CFD">
      <w:pPr>
        <w:keepNext/>
        <w:keepLines/>
        <w:spacing w:after="0" w:line="240" w:lineRule="auto"/>
        <w:rPr>
          <w:rFonts w:ascii="Times New Roman" w:hAnsi="Times New Roman"/>
          <w:lang w:val="lt-LT"/>
        </w:rPr>
      </w:pPr>
      <w:r w:rsidRPr="00253783">
        <w:rPr>
          <w:rFonts w:ascii="Times New Roman" w:hAnsi="Times New Roman"/>
          <w:lang w:val="lt-LT"/>
        </w:rPr>
        <w:t>Reikia perskaityti kartu vartojamų vaistinių preparatų nuo ŽIV/HCV skyrimo informaciją, kad būtų galima sužinoti apie galimą sąveiką ir kitas susijusias rekomendacijas.</w:t>
      </w:r>
    </w:p>
    <w:p w14:paraId="5A44959C" w14:textId="58FF6FC4" w:rsidR="00241CFD" w:rsidRDefault="00241CFD" w:rsidP="00A51A1D">
      <w:pPr>
        <w:spacing w:after="0" w:line="240" w:lineRule="auto"/>
        <w:rPr>
          <w:rFonts w:ascii="Times New Roman" w:hAnsi="Times New Roman"/>
          <w:lang w:val="lt-LT"/>
        </w:rPr>
      </w:pPr>
    </w:p>
    <w:p w14:paraId="1B145950" w14:textId="77777777" w:rsidR="00241CFD" w:rsidRPr="00253783" w:rsidRDefault="00241CFD" w:rsidP="00241CFD">
      <w:pPr>
        <w:spacing w:after="0" w:line="240" w:lineRule="auto"/>
        <w:rPr>
          <w:rFonts w:ascii="Times New Roman" w:eastAsia="Times New Roman" w:hAnsi="Times New Roman"/>
          <w:i/>
          <w:lang w:val="lt-LT"/>
        </w:rPr>
      </w:pPr>
      <w:r w:rsidRPr="00253783">
        <w:rPr>
          <w:rFonts w:ascii="Times New Roman" w:eastAsia="Times New Roman" w:hAnsi="Times New Roman"/>
          <w:i/>
          <w:lang w:val="lt-LT"/>
        </w:rPr>
        <w:t>Medžiagos, mažinančios lytinių hormonų klirensą (fermentų inhibitoriai)</w:t>
      </w:r>
    </w:p>
    <w:p w14:paraId="20E54E19" w14:textId="77777777" w:rsidR="00241CFD" w:rsidRPr="00241CFD" w:rsidRDefault="00241CFD" w:rsidP="00241CFD">
      <w:pPr>
        <w:spacing w:after="0" w:line="240" w:lineRule="auto"/>
        <w:rPr>
          <w:rFonts w:ascii="Times New Roman" w:eastAsia="Times New Roman" w:hAnsi="Times New Roman"/>
          <w:lang w:val="lt-LT"/>
        </w:rPr>
      </w:pPr>
      <w:r w:rsidRPr="00241CFD">
        <w:rPr>
          <w:rFonts w:ascii="Times New Roman" w:eastAsia="Times New Roman" w:hAnsi="Times New Roman"/>
          <w:lang w:val="lt-LT"/>
        </w:rPr>
        <w:t xml:space="preserve">Stipraus ir vidutinio poveikio CYP3A4 inhibitoriai, tokie kaip </w:t>
      </w:r>
      <w:proofErr w:type="spellStart"/>
      <w:r w:rsidRPr="00241CFD">
        <w:rPr>
          <w:rFonts w:ascii="Times New Roman" w:eastAsia="Times New Roman" w:hAnsi="Times New Roman"/>
          <w:lang w:val="lt-LT"/>
        </w:rPr>
        <w:t>azolo</w:t>
      </w:r>
      <w:proofErr w:type="spellEnd"/>
      <w:r w:rsidRPr="00241CFD">
        <w:rPr>
          <w:rFonts w:ascii="Times New Roman" w:eastAsia="Times New Roman" w:hAnsi="Times New Roman"/>
          <w:lang w:val="lt-LT"/>
        </w:rPr>
        <w:t xml:space="preserve"> grupės priešgrybeliniai vaistai (pvz., </w:t>
      </w:r>
      <w:proofErr w:type="spellStart"/>
      <w:r w:rsidRPr="00241CFD">
        <w:rPr>
          <w:rFonts w:ascii="Times New Roman" w:eastAsia="Times New Roman" w:hAnsi="Times New Roman"/>
          <w:lang w:val="lt-LT"/>
        </w:rPr>
        <w:t>flukonazolas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itrakonazolas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ketokonazolas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vorikoazolas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verapamilis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makrolidai</w:t>
      </w:r>
      <w:proofErr w:type="spellEnd"/>
      <w:r w:rsidRPr="00241CFD">
        <w:rPr>
          <w:rFonts w:ascii="Times New Roman" w:eastAsia="Times New Roman" w:hAnsi="Times New Roman"/>
          <w:lang w:val="lt-LT"/>
        </w:rPr>
        <w:t xml:space="preserve"> (pvz., </w:t>
      </w:r>
      <w:proofErr w:type="spellStart"/>
      <w:r w:rsidRPr="00241CFD">
        <w:rPr>
          <w:rFonts w:ascii="Times New Roman" w:eastAsia="Times New Roman" w:hAnsi="Times New Roman"/>
          <w:lang w:val="lt-LT"/>
        </w:rPr>
        <w:t>klaritromicinas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eritromicinas</w:t>
      </w:r>
      <w:proofErr w:type="spellEnd"/>
      <w:r w:rsidRPr="00241CFD">
        <w:rPr>
          <w:rFonts w:ascii="Times New Roman" w:eastAsia="Times New Roman" w:hAnsi="Times New Roman"/>
          <w:lang w:val="lt-LT"/>
        </w:rPr>
        <w:t xml:space="preserve">), </w:t>
      </w:r>
      <w:proofErr w:type="spellStart"/>
      <w:r w:rsidRPr="00241CFD">
        <w:rPr>
          <w:rFonts w:ascii="Times New Roman" w:eastAsia="Times New Roman" w:hAnsi="Times New Roman"/>
          <w:lang w:val="lt-LT"/>
        </w:rPr>
        <w:t>diltiazemas</w:t>
      </w:r>
      <w:proofErr w:type="spellEnd"/>
      <w:r w:rsidRPr="00241CFD">
        <w:rPr>
          <w:rFonts w:ascii="Times New Roman" w:eastAsia="Times New Roman" w:hAnsi="Times New Roman"/>
          <w:lang w:val="lt-LT"/>
        </w:rPr>
        <w:t xml:space="preserve"> ir greipfrutų sultys gali padidinti </w:t>
      </w:r>
      <w:proofErr w:type="spellStart"/>
      <w:r w:rsidRPr="00241CFD">
        <w:rPr>
          <w:rFonts w:ascii="Times New Roman" w:eastAsia="Times New Roman" w:hAnsi="Times New Roman"/>
          <w:lang w:val="lt-LT"/>
        </w:rPr>
        <w:t>progestino</w:t>
      </w:r>
      <w:proofErr w:type="spellEnd"/>
      <w:r w:rsidRPr="00241CFD">
        <w:rPr>
          <w:rFonts w:ascii="Times New Roman" w:eastAsia="Times New Roman" w:hAnsi="Times New Roman"/>
          <w:lang w:val="lt-LT"/>
        </w:rPr>
        <w:t xml:space="preserve"> ar estrogeno, arba jų abiejų koncentracijas plazmoje.</w:t>
      </w:r>
    </w:p>
    <w:p w14:paraId="5A6F855F" w14:textId="77777777" w:rsidR="00241CFD" w:rsidRDefault="00241CFD" w:rsidP="00A51A1D">
      <w:pPr>
        <w:spacing w:after="0" w:line="240" w:lineRule="auto"/>
        <w:rPr>
          <w:rFonts w:ascii="Times New Roman" w:hAnsi="Times New Roman"/>
          <w:lang w:val="lt-LT"/>
        </w:rPr>
      </w:pPr>
    </w:p>
    <w:p w14:paraId="5B714750" w14:textId="0437D3A0" w:rsidR="00817C98" w:rsidRPr="006815BA" w:rsidRDefault="003E1117" w:rsidP="00A51A1D">
      <w:pPr>
        <w:spacing w:after="0" w:line="240" w:lineRule="auto"/>
        <w:rPr>
          <w:rFonts w:ascii="Times New Roman" w:hAnsi="Times New Roman"/>
          <w:b/>
          <w:lang w:val="lt-LT"/>
        </w:rPr>
      </w:pPr>
      <w:r w:rsidRPr="007116AF">
        <w:rPr>
          <w:rFonts w:ascii="Times New Roman" w:hAnsi="Times New Roman"/>
          <w:b/>
          <w:bCs/>
          <w:lang w:val="lt-LT"/>
        </w:rPr>
        <w:t>PHT su estrogenais poveikis kitiems vaist</w:t>
      </w:r>
      <w:r w:rsidR="00BA65C0">
        <w:rPr>
          <w:rFonts w:ascii="Times New Roman" w:hAnsi="Times New Roman"/>
          <w:b/>
          <w:bCs/>
          <w:lang w:val="lt-LT"/>
        </w:rPr>
        <w:t>ini</w:t>
      </w:r>
      <w:r w:rsidRPr="007116AF">
        <w:rPr>
          <w:rFonts w:ascii="Times New Roman" w:hAnsi="Times New Roman"/>
          <w:b/>
          <w:bCs/>
          <w:lang w:val="lt-LT"/>
        </w:rPr>
        <w:t>ams</w:t>
      </w:r>
      <w:r w:rsidR="00BA65C0">
        <w:rPr>
          <w:rFonts w:ascii="Times New Roman" w:hAnsi="Times New Roman"/>
          <w:b/>
          <w:bCs/>
          <w:lang w:val="lt-LT"/>
        </w:rPr>
        <w:t xml:space="preserve"> preparatams</w:t>
      </w:r>
    </w:p>
    <w:p w14:paraId="3EC38908" w14:textId="77777777" w:rsidR="00EF71BD" w:rsidRPr="00F97238" w:rsidRDefault="00EF71BD" w:rsidP="00A51A1D">
      <w:pPr>
        <w:spacing w:after="0" w:line="240" w:lineRule="auto"/>
        <w:rPr>
          <w:rFonts w:ascii="Times New Roman" w:hAnsi="Times New Roman"/>
          <w:b/>
          <w:bCs/>
          <w:lang w:val="lt-LT"/>
        </w:rPr>
      </w:pPr>
    </w:p>
    <w:p w14:paraId="0C9966F6" w14:textId="35329ADD" w:rsidR="00817C98" w:rsidRDefault="00DE19D3" w:rsidP="00A51A1D">
      <w:pPr>
        <w:spacing w:after="0" w:line="240" w:lineRule="auto"/>
        <w:rPr>
          <w:rFonts w:ascii="Times New Roman" w:hAnsi="Times New Roman"/>
          <w:lang w:val="lt-LT"/>
        </w:rPr>
      </w:pPr>
      <w:r w:rsidRPr="00DE19D3">
        <w:rPr>
          <w:rFonts w:ascii="Times New Roman" w:hAnsi="Times New Roman"/>
          <w:lang w:val="lt-LT"/>
        </w:rPr>
        <w:t xml:space="preserve">Nustatyta, kad kartu vartojami hormoniniai kontraceptikai, kurių sudėtyje yra estrogenų, reikšmingai sumažina </w:t>
      </w:r>
      <w:proofErr w:type="spellStart"/>
      <w:r w:rsidRPr="00DE19D3">
        <w:rPr>
          <w:rFonts w:ascii="Times New Roman" w:hAnsi="Times New Roman"/>
          <w:lang w:val="lt-LT"/>
        </w:rPr>
        <w:t>lamotrigino</w:t>
      </w:r>
      <w:proofErr w:type="spellEnd"/>
      <w:r w:rsidRPr="00DE19D3">
        <w:rPr>
          <w:rFonts w:ascii="Times New Roman" w:hAnsi="Times New Roman"/>
          <w:lang w:val="lt-LT"/>
        </w:rPr>
        <w:t xml:space="preserve"> koncentraciją plazmoje dėl </w:t>
      </w:r>
      <w:proofErr w:type="spellStart"/>
      <w:r w:rsidRPr="00DE19D3">
        <w:rPr>
          <w:rFonts w:ascii="Times New Roman" w:hAnsi="Times New Roman"/>
          <w:lang w:val="lt-LT"/>
        </w:rPr>
        <w:t>lamotrigino</w:t>
      </w:r>
      <w:proofErr w:type="spellEnd"/>
      <w:r w:rsidRPr="00DE19D3">
        <w:rPr>
          <w:rFonts w:ascii="Times New Roman" w:hAnsi="Times New Roman"/>
          <w:lang w:val="lt-LT"/>
        </w:rPr>
        <w:t xml:space="preserve"> </w:t>
      </w:r>
      <w:proofErr w:type="spellStart"/>
      <w:r w:rsidRPr="00DE19D3">
        <w:rPr>
          <w:rFonts w:ascii="Times New Roman" w:hAnsi="Times New Roman"/>
          <w:lang w:val="lt-LT"/>
        </w:rPr>
        <w:t>gliukuronizacijos</w:t>
      </w:r>
      <w:proofErr w:type="spellEnd"/>
      <w:r w:rsidRPr="00DE19D3">
        <w:rPr>
          <w:rFonts w:ascii="Times New Roman" w:hAnsi="Times New Roman"/>
          <w:lang w:val="lt-LT"/>
        </w:rPr>
        <w:t xml:space="preserve"> indukcijos. Tai gali </w:t>
      </w:r>
      <w:r w:rsidRPr="00DE19D3">
        <w:rPr>
          <w:rFonts w:ascii="Times New Roman" w:hAnsi="Times New Roman"/>
          <w:lang w:val="lt-LT"/>
        </w:rPr>
        <w:lastRenderedPageBreak/>
        <w:t xml:space="preserve">sumažinti priepuolių kontrolę. Nors galima sąveika tarp pakaitinės hormonų terapijos ir </w:t>
      </w:r>
      <w:proofErr w:type="spellStart"/>
      <w:r w:rsidRPr="00DE19D3">
        <w:rPr>
          <w:rFonts w:ascii="Times New Roman" w:hAnsi="Times New Roman"/>
          <w:lang w:val="lt-LT"/>
        </w:rPr>
        <w:t>lamotrigino</w:t>
      </w:r>
      <w:proofErr w:type="spellEnd"/>
      <w:r w:rsidRPr="00DE19D3">
        <w:rPr>
          <w:rFonts w:ascii="Times New Roman" w:hAnsi="Times New Roman"/>
          <w:lang w:val="lt-LT"/>
        </w:rPr>
        <w:t xml:space="preserve"> netirta, tikėtina, kad sąveika yra panaši, dėl kurios gali susilpnėti priepuolių kontrolė moterims, vartojančioms abu vaist</w:t>
      </w:r>
      <w:r w:rsidR="00BA65C0">
        <w:rPr>
          <w:rFonts w:ascii="Times New Roman" w:hAnsi="Times New Roman"/>
          <w:lang w:val="lt-LT"/>
        </w:rPr>
        <w:t>inius</w:t>
      </w:r>
      <w:r w:rsidR="00E81330">
        <w:rPr>
          <w:rFonts w:ascii="Times New Roman" w:hAnsi="Times New Roman"/>
          <w:lang w:val="lt-LT"/>
        </w:rPr>
        <w:t xml:space="preserve"> </w:t>
      </w:r>
      <w:r w:rsidR="00BA65C0">
        <w:rPr>
          <w:rFonts w:ascii="Times New Roman" w:hAnsi="Times New Roman"/>
          <w:lang w:val="lt-LT"/>
        </w:rPr>
        <w:t xml:space="preserve">preparatus </w:t>
      </w:r>
      <w:r w:rsidRPr="00DE19D3">
        <w:rPr>
          <w:rFonts w:ascii="Times New Roman" w:hAnsi="Times New Roman"/>
          <w:lang w:val="lt-LT"/>
        </w:rPr>
        <w:t>kartu.</w:t>
      </w:r>
    </w:p>
    <w:p w14:paraId="14BE081F" w14:textId="77777777" w:rsidR="00817C98" w:rsidRPr="00940D54" w:rsidRDefault="00817C98" w:rsidP="00A51A1D">
      <w:pPr>
        <w:spacing w:after="0" w:line="240" w:lineRule="auto"/>
        <w:rPr>
          <w:rFonts w:ascii="Times New Roman" w:hAnsi="Times New Roman"/>
          <w:lang w:val="lt-LT"/>
        </w:rPr>
      </w:pPr>
    </w:p>
    <w:p w14:paraId="48ACCFBF" w14:textId="436B643A" w:rsidR="00297380" w:rsidRPr="006815BA" w:rsidRDefault="00297380" w:rsidP="006815BA">
      <w:pPr>
        <w:keepNext/>
        <w:spacing w:after="0" w:line="240" w:lineRule="auto"/>
        <w:rPr>
          <w:rFonts w:ascii="Times New Roman" w:hAnsi="Times New Roman"/>
          <w:b/>
          <w:lang w:val="lt-LT"/>
        </w:rPr>
      </w:pPr>
      <w:proofErr w:type="spellStart"/>
      <w:r w:rsidRPr="007116AF">
        <w:rPr>
          <w:rFonts w:ascii="Times New Roman" w:hAnsi="Times New Roman"/>
          <w:b/>
          <w:bCs/>
          <w:lang w:val="lt-LT"/>
        </w:rPr>
        <w:t>Farmakodinaminė</w:t>
      </w:r>
      <w:proofErr w:type="spellEnd"/>
      <w:r w:rsidRPr="007116AF">
        <w:rPr>
          <w:rFonts w:ascii="Times New Roman" w:hAnsi="Times New Roman"/>
          <w:b/>
          <w:bCs/>
          <w:lang w:val="lt-LT"/>
        </w:rPr>
        <w:t xml:space="preserve"> sąveika</w:t>
      </w:r>
    </w:p>
    <w:p w14:paraId="3191E5F8" w14:textId="77777777" w:rsidR="00A80D45" w:rsidRPr="00F97238" w:rsidRDefault="00A80D45" w:rsidP="00F97238">
      <w:pPr>
        <w:spacing w:after="0" w:line="240" w:lineRule="auto"/>
        <w:rPr>
          <w:rFonts w:ascii="Times New Roman" w:hAnsi="Times New Roman"/>
          <w:b/>
          <w:bCs/>
          <w:lang w:val="lt-LT"/>
        </w:rPr>
      </w:pPr>
    </w:p>
    <w:p w14:paraId="1BC7F6EC" w14:textId="2E699562" w:rsidR="00EB797A" w:rsidRDefault="00297380" w:rsidP="00F97238">
      <w:pPr>
        <w:spacing w:after="0" w:line="240" w:lineRule="auto"/>
        <w:rPr>
          <w:lang w:val="lt-LT"/>
        </w:rPr>
      </w:pPr>
      <w:r w:rsidRPr="00940D54">
        <w:rPr>
          <w:rFonts w:ascii="Times New Roman" w:hAnsi="Times New Roman"/>
          <w:lang w:val="lt-LT"/>
        </w:rPr>
        <w:t xml:space="preserve">Klinikinių tyrimų metu pacientėms, kurioms nuo HCV infekcijos buvo skiriamas kombinuotasis gydymas </w:t>
      </w:r>
      <w:proofErr w:type="spellStart"/>
      <w:r w:rsidRPr="00940D54">
        <w:rPr>
          <w:rFonts w:ascii="Times New Roman" w:hAnsi="Times New Roman"/>
          <w:lang w:val="lt-LT"/>
        </w:rPr>
        <w:t>ombitasviru</w:t>
      </w:r>
      <w:proofErr w:type="spellEnd"/>
      <w:r w:rsidR="00807C6E">
        <w:rPr>
          <w:rFonts w:ascii="Times New Roman" w:hAnsi="Times New Roman"/>
          <w:lang w:val="lt-LT"/>
        </w:rPr>
        <w:t> </w:t>
      </w:r>
      <w:r w:rsidRPr="00940D54">
        <w:rPr>
          <w:rFonts w:ascii="Times New Roman" w:hAnsi="Times New Roman"/>
          <w:lang w:val="lt-LT"/>
        </w:rPr>
        <w:t>/</w:t>
      </w:r>
      <w:r w:rsidR="00807C6E">
        <w:rPr>
          <w:rFonts w:ascii="Times New Roman" w:hAnsi="Times New Roman"/>
          <w:lang w:val="lt-LT"/>
        </w:rPr>
        <w:t> </w:t>
      </w:r>
      <w:proofErr w:type="spellStart"/>
      <w:r w:rsidRPr="00940D54">
        <w:rPr>
          <w:rFonts w:ascii="Times New Roman" w:hAnsi="Times New Roman"/>
          <w:lang w:val="lt-LT"/>
        </w:rPr>
        <w:t>paritapreviru</w:t>
      </w:r>
      <w:proofErr w:type="spellEnd"/>
      <w:r w:rsidR="00807C6E">
        <w:rPr>
          <w:rFonts w:ascii="Times New Roman" w:hAnsi="Times New Roman"/>
          <w:lang w:val="lt-LT"/>
        </w:rPr>
        <w:t> </w:t>
      </w:r>
      <w:r w:rsidRPr="00940D54">
        <w:rPr>
          <w:rFonts w:ascii="Times New Roman" w:hAnsi="Times New Roman"/>
          <w:lang w:val="lt-LT"/>
        </w:rPr>
        <w:t>/</w:t>
      </w:r>
      <w:r w:rsidR="00807C6E">
        <w:rPr>
          <w:rFonts w:ascii="Times New Roman" w:hAnsi="Times New Roman"/>
          <w:lang w:val="lt-LT"/>
        </w:rPr>
        <w:t> </w:t>
      </w:r>
      <w:r w:rsidRPr="00940D54">
        <w:rPr>
          <w:rFonts w:ascii="Times New Roman" w:hAnsi="Times New Roman"/>
          <w:lang w:val="lt-LT"/>
        </w:rPr>
        <w:t xml:space="preserve">ritonaviru </w:t>
      </w:r>
      <w:r w:rsidR="00725C28">
        <w:rPr>
          <w:rFonts w:ascii="Times New Roman" w:hAnsi="Times New Roman"/>
          <w:lang w:val="lt-LT"/>
        </w:rPr>
        <w:t>ir</w:t>
      </w:r>
      <w:r w:rsidRPr="00940D54">
        <w:rPr>
          <w:rFonts w:ascii="Times New Roman" w:hAnsi="Times New Roman"/>
          <w:lang w:val="lt-LT"/>
        </w:rPr>
        <w:t xml:space="preserve"> </w:t>
      </w:r>
      <w:proofErr w:type="spellStart"/>
      <w:r w:rsidRPr="00940D54">
        <w:rPr>
          <w:rFonts w:ascii="Times New Roman" w:hAnsi="Times New Roman"/>
          <w:lang w:val="lt-LT"/>
        </w:rPr>
        <w:t>dasabuviru</w:t>
      </w:r>
      <w:proofErr w:type="spellEnd"/>
      <w:r w:rsidRPr="00940D54">
        <w:rPr>
          <w:rFonts w:ascii="Times New Roman" w:hAnsi="Times New Roman"/>
          <w:lang w:val="lt-LT"/>
        </w:rPr>
        <w:t xml:space="preserve"> </w:t>
      </w:r>
      <w:r w:rsidR="00DA6DD7">
        <w:rPr>
          <w:rFonts w:ascii="Times New Roman" w:hAnsi="Times New Roman"/>
          <w:lang w:val="lt-LT"/>
        </w:rPr>
        <w:t xml:space="preserve">kartu </w:t>
      </w:r>
      <w:r w:rsidR="00725C28">
        <w:rPr>
          <w:rFonts w:ascii="Times New Roman" w:hAnsi="Times New Roman"/>
          <w:lang w:val="lt-LT"/>
        </w:rPr>
        <w:t>su</w:t>
      </w:r>
      <w:r w:rsidR="00DA6DD7">
        <w:rPr>
          <w:rFonts w:ascii="Times New Roman" w:hAnsi="Times New Roman"/>
          <w:lang w:val="lt-LT"/>
        </w:rPr>
        <w:t xml:space="preserve"> </w:t>
      </w:r>
      <w:proofErr w:type="spellStart"/>
      <w:r w:rsidR="00DA6DD7">
        <w:rPr>
          <w:rFonts w:ascii="Times New Roman" w:hAnsi="Times New Roman"/>
          <w:lang w:val="lt-LT"/>
        </w:rPr>
        <w:t>ribavirinu</w:t>
      </w:r>
      <w:proofErr w:type="spellEnd"/>
      <w:r w:rsidR="00DA6DD7">
        <w:rPr>
          <w:rFonts w:ascii="Times New Roman" w:hAnsi="Times New Roman"/>
          <w:lang w:val="lt-LT"/>
        </w:rPr>
        <w:t xml:space="preserve"> </w:t>
      </w:r>
      <w:r w:rsidRPr="00940D54">
        <w:rPr>
          <w:rFonts w:ascii="Times New Roman" w:hAnsi="Times New Roman"/>
          <w:lang w:val="lt-LT"/>
        </w:rPr>
        <w:t xml:space="preserve">arba be jo, </w:t>
      </w:r>
      <w:r w:rsidR="00CD573E" w:rsidRPr="00940D54">
        <w:rPr>
          <w:rFonts w:ascii="Times New Roman" w:hAnsi="Times New Roman"/>
          <w:lang w:val="lt-LT"/>
        </w:rPr>
        <w:t>ALT aktyvumo padidėjimas</w:t>
      </w:r>
      <w:r w:rsidR="00DF206E">
        <w:rPr>
          <w:rFonts w:ascii="Times New Roman" w:hAnsi="Times New Roman"/>
          <w:lang w:val="lt-LT"/>
        </w:rPr>
        <w:t>,</w:t>
      </w:r>
      <w:r w:rsidR="00CD573E" w:rsidRPr="00940D54">
        <w:rPr>
          <w:rFonts w:ascii="Times New Roman" w:hAnsi="Times New Roman"/>
          <w:lang w:val="lt-LT"/>
        </w:rPr>
        <w:t xml:space="preserve"> </w:t>
      </w:r>
      <w:r w:rsidR="00DF206E" w:rsidRPr="00940D54">
        <w:rPr>
          <w:rFonts w:ascii="Times New Roman" w:hAnsi="Times New Roman"/>
          <w:lang w:val="lt-LT"/>
        </w:rPr>
        <w:t xml:space="preserve">viršijantis </w:t>
      </w:r>
      <w:r w:rsidRPr="00940D54">
        <w:rPr>
          <w:rFonts w:ascii="Times New Roman" w:hAnsi="Times New Roman"/>
          <w:lang w:val="lt-LT"/>
        </w:rPr>
        <w:t xml:space="preserve">viršutinę normos ribą (VNR) </w:t>
      </w:r>
      <w:r w:rsidR="00DF206E" w:rsidRPr="00940D54">
        <w:rPr>
          <w:rFonts w:ascii="Times New Roman" w:hAnsi="Times New Roman"/>
          <w:lang w:val="lt-LT"/>
        </w:rPr>
        <w:t>daugiau kaip 5 kartus</w:t>
      </w:r>
      <w:r w:rsidR="00DF206E">
        <w:rPr>
          <w:rFonts w:ascii="Times New Roman" w:hAnsi="Times New Roman"/>
          <w:lang w:val="lt-LT"/>
        </w:rPr>
        <w:t>,</w:t>
      </w:r>
      <w:r w:rsidRPr="00940D54">
        <w:rPr>
          <w:rFonts w:ascii="Times New Roman" w:hAnsi="Times New Roman"/>
          <w:lang w:val="lt-LT"/>
        </w:rPr>
        <w:t xml:space="preserve"> reikšmingai dažniau pasireiškė moterims, vartojusioms vaistinių preparatų, kurių sudėtyje yra </w:t>
      </w:r>
      <w:proofErr w:type="spellStart"/>
      <w:r w:rsidRPr="00940D54">
        <w:rPr>
          <w:rFonts w:ascii="Times New Roman" w:hAnsi="Times New Roman"/>
          <w:lang w:val="lt-LT"/>
        </w:rPr>
        <w:t>etinilestradiolio</w:t>
      </w:r>
      <w:proofErr w:type="spellEnd"/>
      <w:r w:rsidRPr="00940D54">
        <w:rPr>
          <w:rFonts w:ascii="Times New Roman" w:hAnsi="Times New Roman"/>
          <w:lang w:val="lt-LT"/>
        </w:rPr>
        <w:t>, pvz., SHK.</w:t>
      </w:r>
      <w:r w:rsidRPr="006815BA">
        <w:rPr>
          <w:rFonts w:ascii="Times New Roman" w:hAnsi="Times New Roman"/>
          <w:lang w:val="lt-LT"/>
        </w:rPr>
        <w:t xml:space="preserve"> </w:t>
      </w:r>
      <w:r w:rsidR="00B872B5" w:rsidRPr="006037C4">
        <w:rPr>
          <w:rFonts w:ascii="Times New Roman" w:hAnsi="Times New Roman"/>
          <w:lang w:val="lt-LT"/>
        </w:rPr>
        <w:t xml:space="preserve">Be to, </w:t>
      </w:r>
      <w:r w:rsidR="009D6B42">
        <w:rPr>
          <w:rFonts w:ascii="Times New Roman" w:hAnsi="Times New Roman"/>
          <w:lang w:val="lt-LT"/>
        </w:rPr>
        <w:t>tarp paci</w:t>
      </w:r>
      <w:r w:rsidR="007E7A5A">
        <w:rPr>
          <w:rFonts w:ascii="Times New Roman" w:hAnsi="Times New Roman"/>
          <w:lang w:val="lt-LT"/>
        </w:rPr>
        <w:t>en</w:t>
      </w:r>
      <w:r w:rsidR="000A5743">
        <w:rPr>
          <w:rFonts w:ascii="Times New Roman" w:hAnsi="Times New Roman"/>
          <w:lang w:val="lt-LT"/>
        </w:rPr>
        <w:t>t</w:t>
      </w:r>
      <w:r w:rsidR="007E7A5A">
        <w:rPr>
          <w:rFonts w:ascii="Times New Roman" w:hAnsi="Times New Roman"/>
          <w:lang w:val="lt-LT"/>
        </w:rPr>
        <w:t>ų gydytų</w:t>
      </w:r>
      <w:r w:rsidR="00B872B5" w:rsidRPr="006037C4">
        <w:rPr>
          <w:rFonts w:ascii="Times New Roman" w:hAnsi="Times New Roman"/>
          <w:lang w:val="lt-LT"/>
        </w:rPr>
        <w:t xml:space="preserve"> </w:t>
      </w:r>
      <w:proofErr w:type="spellStart"/>
      <w:r w:rsidR="00B872B5" w:rsidRPr="006037C4">
        <w:rPr>
          <w:rFonts w:ascii="Times New Roman" w:hAnsi="Times New Roman"/>
          <w:lang w:val="lt-LT"/>
        </w:rPr>
        <w:t>glekapreviru</w:t>
      </w:r>
      <w:proofErr w:type="spellEnd"/>
      <w:r w:rsidR="00F43A3C">
        <w:rPr>
          <w:rFonts w:ascii="Times New Roman" w:hAnsi="Times New Roman"/>
          <w:lang w:val="lt-LT"/>
        </w:rPr>
        <w:t> </w:t>
      </w:r>
      <w:r w:rsidR="00B872B5" w:rsidRPr="006037C4">
        <w:rPr>
          <w:rFonts w:ascii="Times New Roman" w:hAnsi="Times New Roman"/>
          <w:lang w:val="lt-LT"/>
        </w:rPr>
        <w:t>/</w:t>
      </w:r>
      <w:r w:rsidR="00F43A3C">
        <w:rPr>
          <w:rFonts w:ascii="Times New Roman" w:hAnsi="Times New Roman"/>
          <w:lang w:val="lt-LT"/>
        </w:rPr>
        <w:t> </w:t>
      </w:r>
      <w:proofErr w:type="spellStart"/>
      <w:r w:rsidR="00B872B5" w:rsidRPr="006037C4">
        <w:rPr>
          <w:rFonts w:ascii="Times New Roman" w:hAnsi="Times New Roman"/>
          <w:lang w:val="lt-LT"/>
        </w:rPr>
        <w:t>pibrentasviru</w:t>
      </w:r>
      <w:proofErr w:type="spellEnd"/>
      <w:r w:rsidR="00B872B5" w:rsidRPr="006037C4">
        <w:rPr>
          <w:rFonts w:ascii="Times New Roman" w:hAnsi="Times New Roman"/>
          <w:lang w:val="lt-LT"/>
        </w:rPr>
        <w:t xml:space="preserve"> arba </w:t>
      </w:r>
      <w:proofErr w:type="spellStart"/>
      <w:r w:rsidR="00B872B5" w:rsidRPr="006037C4">
        <w:rPr>
          <w:rFonts w:ascii="Times New Roman" w:hAnsi="Times New Roman"/>
          <w:lang w:val="lt-LT"/>
        </w:rPr>
        <w:t>sofosbuviru</w:t>
      </w:r>
      <w:proofErr w:type="spellEnd"/>
      <w:r w:rsidR="00F43A3C">
        <w:rPr>
          <w:rFonts w:ascii="Times New Roman" w:hAnsi="Times New Roman"/>
          <w:lang w:val="lt-LT"/>
        </w:rPr>
        <w:t> </w:t>
      </w:r>
      <w:r w:rsidR="00B872B5" w:rsidRPr="006037C4">
        <w:rPr>
          <w:rFonts w:ascii="Times New Roman" w:hAnsi="Times New Roman"/>
          <w:lang w:val="lt-LT"/>
        </w:rPr>
        <w:t>/</w:t>
      </w:r>
      <w:r w:rsidR="00F43A3C">
        <w:rPr>
          <w:rFonts w:ascii="Times New Roman" w:hAnsi="Times New Roman"/>
          <w:lang w:val="lt-LT"/>
        </w:rPr>
        <w:t> </w:t>
      </w:r>
      <w:proofErr w:type="spellStart"/>
      <w:r w:rsidR="00B872B5" w:rsidRPr="006037C4">
        <w:rPr>
          <w:rFonts w:ascii="Times New Roman" w:hAnsi="Times New Roman"/>
          <w:lang w:val="lt-LT"/>
        </w:rPr>
        <w:t>velpatasviru</w:t>
      </w:r>
      <w:proofErr w:type="spellEnd"/>
      <w:r w:rsidR="00F43A3C">
        <w:rPr>
          <w:rFonts w:ascii="Times New Roman" w:hAnsi="Times New Roman"/>
          <w:lang w:val="lt-LT"/>
        </w:rPr>
        <w:t> </w:t>
      </w:r>
      <w:r w:rsidR="00B872B5" w:rsidRPr="006037C4">
        <w:rPr>
          <w:rFonts w:ascii="Times New Roman" w:hAnsi="Times New Roman"/>
          <w:lang w:val="lt-LT"/>
        </w:rPr>
        <w:t>/</w:t>
      </w:r>
      <w:r w:rsidR="00F43A3C">
        <w:rPr>
          <w:rFonts w:ascii="Times New Roman" w:hAnsi="Times New Roman"/>
          <w:lang w:val="lt-LT"/>
        </w:rPr>
        <w:t> </w:t>
      </w:r>
      <w:proofErr w:type="spellStart"/>
      <w:r w:rsidR="00B872B5" w:rsidRPr="006037C4">
        <w:rPr>
          <w:rFonts w:ascii="Times New Roman" w:hAnsi="Times New Roman"/>
          <w:lang w:val="lt-LT"/>
        </w:rPr>
        <w:t>voksilapreviru</w:t>
      </w:r>
      <w:proofErr w:type="spellEnd"/>
      <w:r w:rsidR="00B872B5" w:rsidRPr="006037C4">
        <w:rPr>
          <w:rFonts w:ascii="Times New Roman" w:hAnsi="Times New Roman"/>
          <w:lang w:val="lt-LT"/>
        </w:rPr>
        <w:t>, pastebėtas ALT aktyvumo padidėjimas moterims</w:t>
      </w:r>
      <w:r w:rsidR="007D585A">
        <w:rPr>
          <w:rFonts w:ascii="Times New Roman" w:hAnsi="Times New Roman"/>
          <w:lang w:val="lt-LT"/>
        </w:rPr>
        <w:t>,</w:t>
      </w:r>
      <w:r w:rsidR="00B872B5" w:rsidRPr="006037C4">
        <w:rPr>
          <w:rFonts w:ascii="Times New Roman" w:hAnsi="Times New Roman"/>
          <w:lang w:val="lt-LT"/>
        </w:rPr>
        <w:t xml:space="preserve"> vartojančioms vaistinius preparatus, kurių sudėtyje yra </w:t>
      </w:r>
      <w:proofErr w:type="spellStart"/>
      <w:r w:rsidR="00B872B5" w:rsidRPr="006037C4">
        <w:rPr>
          <w:rFonts w:ascii="Times New Roman" w:hAnsi="Times New Roman"/>
          <w:lang w:val="lt-LT"/>
        </w:rPr>
        <w:t>etinilestradiolio</w:t>
      </w:r>
      <w:proofErr w:type="spellEnd"/>
      <w:r w:rsidR="00B872B5" w:rsidRPr="006037C4">
        <w:rPr>
          <w:rFonts w:ascii="Times New Roman" w:hAnsi="Times New Roman"/>
          <w:lang w:val="lt-LT"/>
        </w:rPr>
        <w:t>, pvz., SHK.</w:t>
      </w:r>
      <w:r w:rsidR="00B872B5">
        <w:rPr>
          <w:lang w:val="lt-LT"/>
        </w:rPr>
        <w:t xml:space="preserve"> </w:t>
      </w:r>
    </w:p>
    <w:p w14:paraId="28AAA4F6" w14:textId="6AF8D29D" w:rsidR="00297380" w:rsidRPr="00940D54" w:rsidRDefault="00297380" w:rsidP="00297380">
      <w:pPr>
        <w:spacing w:after="0" w:line="240" w:lineRule="auto"/>
        <w:rPr>
          <w:rFonts w:ascii="Times New Roman" w:hAnsi="Times New Roman"/>
          <w:lang w:val="lt-LT"/>
        </w:rPr>
      </w:pPr>
      <w:r w:rsidRPr="00940D54">
        <w:rPr>
          <w:rFonts w:ascii="Times New Roman" w:hAnsi="Times New Roman"/>
          <w:lang w:val="lt-LT"/>
        </w:rPr>
        <w:t>Moterims, v</w:t>
      </w:r>
      <w:r w:rsidR="00587F07" w:rsidRPr="00940D54">
        <w:rPr>
          <w:rFonts w:ascii="Times New Roman" w:hAnsi="Times New Roman"/>
          <w:lang w:val="lt-LT"/>
        </w:rPr>
        <w:t>ar</w:t>
      </w:r>
      <w:r w:rsidRPr="00940D54">
        <w:rPr>
          <w:rFonts w:ascii="Times New Roman" w:hAnsi="Times New Roman"/>
          <w:lang w:val="lt-LT"/>
        </w:rPr>
        <w:t xml:space="preserve">tojančioms vaistinių preparatų, kurių sudėtyje yra kitokio estrogeno nei </w:t>
      </w:r>
      <w:proofErr w:type="spellStart"/>
      <w:r w:rsidRPr="00940D54">
        <w:rPr>
          <w:rFonts w:ascii="Times New Roman" w:hAnsi="Times New Roman"/>
          <w:lang w:val="lt-LT"/>
        </w:rPr>
        <w:t>etinilestradiolis</w:t>
      </w:r>
      <w:proofErr w:type="spellEnd"/>
      <w:r w:rsidRPr="00940D54">
        <w:rPr>
          <w:rFonts w:ascii="Times New Roman" w:hAnsi="Times New Roman"/>
          <w:lang w:val="lt-LT"/>
        </w:rPr>
        <w:t xml:space="preserve">, pvz.,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r w:rsidR="00EB797A">
        <w:rPr>
          <w:rFonts w:ascii="Times New Roman" w:hAnsi="Times New Roman"/>
          <w:lang w:val="lt-LT"/>
        </w:rPr>
        <w:t xml:space="preserve">ir </w:t>
      </w:r>
      <w:proofErr w:type="spellStart"/>
      <w:r w:rsidR="00B45DB7" w:rsidRPr="00B45DB7">
        <w:rPr>
          <w:rFonts w:ascii="Times New Roman" w:hAnsi="Times New Roman"/>
          <w:lang w:val="lt-LT"/>
        </w:rPr>
        <w:t>ombitasvir</w:t>
      </w:r>
      <w:r w:rsidR="00E12C0A">
        <w:rPr>
          <w:rFonts w:ascii="Times New Roman" w:hAnsi="Times New Roman"/>
          <w:lang w:val="lt-LT"/>
        </w:rPr>
        <w:t>o</w:t>
      </w:r>
      <w:proofErr w:type="spellEnd"/>
      <w:r w:rsidR="00E12C0A">
        <w:rPr>
          <w:rFonts w:ascii="Times New Roman" w:hAnsi="Times New Roman"/>
          <w:lang w:val="lt-LT"/>
        </w:rPr>
        <w:t> </w:t>
      </w:r>
      <w:r w:rsidR="00B45DB7" w:rsidRPr="00B45DB7">
        <w:rPr>
          <w:rFonts w:ascii="Times New Roman" w:hAnsi="Times New Roman"/>
          <w:lang w:val="lt-LT"/>
        </w:rPr>
        <w:t>/</w:t>
      </w:r>
      <w:r w:rsidR="00E12C0A">
        <w:rPr>
          <w:rFonts w:ascii="Times New Roman" w:hAnsi="Times New Roman"/>
          <w:lang w:val="lt-LT"/>
        </w:rPr>
        <w:t> </w:t>
      </w:r>
      <w:proofErr w:type="spellStart"/>
      <w:r w:rsidR="00B45DB7" w:rsidRPr="00B45DB7">
        <w:rPr>
          <w:rFonts w:ascii="Times New Roman" w:hAnsi="Times New Roman"/>
          <w:lang w:val="lt-LT"/>
        </w:rPr>
        <w:t>paritaprevir</w:t>
      </w:r>
      <w:r w:rsidR="00E12C0A">
        <w:rPr>
          <w:rFonts w:ascii="Times New Roman" w:hAnsi="Times New Roman"/>
          <w:lang w:val="lt-LT"/>
        </w:rPr>
        <w:t>o</w:t>
      </w:r>
      <w:proofErr w:type="spellEnd"/>
      <w:r w:rsidR="00E12C0A">
        <w:rPr>
          <w:rFonts w:ascii="Times New Roman" w:hAnsi="Times New Roman"/>
          <w:lang w:val="lt-LT"/>
        </w:rPr>
        <w:t> </w:t>
      </w:r>
      <w:r w:rsidR="00B45DB7" w:rsidRPr="00B45DB7">
        <w:rPr>
          <w:rFonts w:ascii="Times New Roman" w:hAnsi="Times New Roman"/>
          <w:lang w:val="lt-LT"/>
        </w:rPr>
        <w:t>/</w:t>
      </w:r>
      <w:r w:rsidR="006D30C4">
        <w:rPr>
          <w:rFonts w:ascii="Times New Roman" w:hAnsi="Times New Roman"/>
          <w:lang w:val="lt-LT"/>
        </w:rPr>
        <w:t> </w:t>
      </w:r>
      <w:r w:rsidR="00B45DB7" w:rsidRPr="00B45DB7">
        <w:rPr>
          <w:rFonts w:ascii="Times New Roman" w:hAnsi="Times New Roman"/>
          <w:lang w:val="lt-LT"/>
        </w:rPr>
        <w:t>ritonavir</w:t>
      </w:r>
      <w:r w:rsidR="006D30C4">
        <w:rPr>
          <w:rFonts w:ascii="Times New Roman" w:hAnsi="Times New Roman"/>
          <w:lang w:val="lt-LT"/>
        </w:rPr>
        <w:t>o</w:t>
      </w:r>
      <w:r w:rsidR="00B45DB7" w:rsidRPr="00B45DB7">
        <w:rPr>
          <w:rFonts w:ascii="Times New Roman" w:hAnsi="Times New Roman"/>
          <w:lang w:val="lt-LT"/>
        </w:rPr>
        <w:t xml:space="preserve"> ir </w:t>
      </w:r>
      <w:proofErr w:type="spellStart"/>
      <w:r w:rsidR="00B45DB7" w:rsidRPr="00B45DB7">
        <w:rPr>
          <w:rFonts w:ascii="Times New Roman" w:hAnsi="Times New Roman"/>
          <w:lang w:val="lt-LT"/>
        </w:rPr>
        <w:t>dasabuvir</w:t>
      </w:r>
      <w:r w:rsidR="006D30C4">
        <w:rPr>
          <w:rFonts w:ascii="Times New Roman" w:hAnsi="Times New Roman"/>
          <w:lang w:val="lt-LT"/>
        </w:rPr>
        <w:t>o</w:t>
      </w:r>
      <w:proofErr w:type="spellEnd"/>
      <w:r w:rsidR="00B45DB7" w:rsidRPr="00B45DB7">
        <w:rPr>
          <w:rFonts w:ascii="Times New Roman" w:hAnsi="Times New Roman"/>
          <w:lang w:val="lt-LT"/>
        </w:rPr>
        <w:t xml:space="preserve"> </w:t>
      </w:r>
      <w:r w:rsidR="00B45DB7">
        <w:rPr>
          <w:rFonts w:ascii="Times New Roman" w:hAnsi="Times New Roman"/>
          <w:lang w:val="lt-LT"/>
        </w:rPr>
        <w:t xml:space="preserve">kartu </w:t>
      </w:r>
      <w:r w:rsidR="00B45DB7" w:rsidRPr="00B45DB7">
        <w:rPr>
          <w:rFonts w:ascii="Times New Roman" w:hAnsi="Times New Roman"/>
          <w:lang w:val="lt-LT"/>
        </w:rPr>
        <w:t xml:space="preserve">su </w:t>
      </w:r>
      <w:proofErr w:type="spellStart"/>
      <w:r w:rsidR="00B45DB7" w:rsidRPr="00B45DB7">
        <w:rPr>
          <w:rFonts w:ascii="Times New Roman" w:hAnsi="Times New Roman"/>
          <w:lang w:val="lt-LT"/>
        </w:rPr>
        <w:t>ribavirinu</w:t>
      </w:r>
      <w:proofErr w:type="spellEnd"/>
      <w:r w:rsidR="00B45DB7" w:rsidRPr="00B45DB7">
        <w:rPr>
          <w:rFonts w:ascii="Times New Roman" w:hAnsi="Times New Roman"/>
          <w:lang w:val="lt-LT"/>
        </w:rPr>
        <w:t xml:space="preserve"> arba be jo,</w:t>
      </w:r>
      <w:r w:rsidR="00B45DB7">
        <w:rPr>
          <w:rFonts w:ascii="Times New Roman" w:hAnsi="Times New Roman"/>
          <w:lang w:val="lt-LT"/>
        </w:rPr>
        <w:t xml:space="preserve"> </w:t>
      </w:r>
      <w:r w:rsidRPr="00940D54">
        <w:rPr>
          <w:rFonts w:ascii="Times New Roman" w:hAnsi="Times New Roman"/>
          <w:lang w:val="lt-LT"/>
        </w:rPr>
        <w:t>ALT aktyvumo padidėjimo dažnis buvo panašus į nustatytą moterims, kurios estrogenų nevartoja</w:t>
      </w:r>
      <w:r w:rsidR="00475276">
        <w:rPr>
          <w:rFonts w:ascii="Times New Roman" w:hAnsi="Times New Roman"/>
          <w:lang w:val="lt-LT"/>
        </w:rPr>
        <w:t>.</w:t>
      </w:r>
      <w:r w:rsidRPr="00940D54">
        <w:rPr>
          <w:rFonts w:ascii="Times New Roman" w:hAnsi="Times New Roman"/>
          <w:lang w:val="lt-LT"/>
        </w:rPr>
        <w:t xml:space="preserve"> </w:t>
      </w:r>
      <w:r w:rsidR="00475276">
        <w:rPr>
          <w:rFonts w:ascii="Times New Roman" w:hAnsi="Times New Roman"/>
          <w:lang w:val="lt-LT"/>
        </w:rPr>
        <w:t>V</w:t>
      </w:r>
      <w:r w:rsidRPr="00940D54">
        <w:rPr>
          <w:rFonts w:ascii="Times New Roman" w:hAnsi="Times New Roman"/>
          <w:lang w:val="lt-LT"/>
        </w:rPr>
        <w:t>is dėlto</w:t>
      </w:r>
      <w:r w:rsidR="00475276">
        <w:rPr>
          <w:rFonts w:ascii="Times New Roman" w:hAnsi="Times New Roman"/>
          <w:lang w:val="lt-LT"/>
        </w:rPr>
        <w:t>,</w:t>
      </w:r>
      <w:r w:rsidR="003C4E49">
        <w:rPr>
          <w:rFonts w:ascii="Times New Roman" w:hAnsi="Times New Roman"/>
          <w:lang w:val="lt-LT"/>
        </w:rPr>
        <w:t xml:space="preserve"> atsižvelgiant į</w:t>
      </w:r>
      <w:r w:rsidRPr="00940D54">
        <w:rPr>
          <w:rFonts w:ascii="Times New Roman" w:hAnsi="Times New Roman"/>
          <w:lang w:val="lt-LT"/>
        </w:rPr>
        <w:t xml:space="preserve"> </w:t>
      </w:r>
      <w:r w:rsidR="003C4E49" w:rsidRPr="00940D54">
        <w:rPr>
          <w:rFonts w:ascii="Times New Roman" w:hAnsi="Times New Roman"/>
          <w:lang w:val="lt-LT"/>
        </w:rPr>
        <w:t>ribot</w:t>
      </w:r>
      <w:r w:rsidR="003C4E49">
        <w:rPr>
          <w:rFonts w:ascii="Times New Roman" w:hAnsi="Times New Roman"/>
          <w:lang w:val="lt-LT"/>
        </w:rPr>
        <w:t>ą</w:t>
      </w:r>
      <w:r w:rsidRPr="00940D54">
        <w:rPr>
          <w:rFonts w:ascii="Times New Roman" w:hAnsi="Times New Roman"/>
          <w:lang w:val="lt-LT"/>
        </w:rPr>
        <w:t xml:space="preserve"> moterų, kurios vartojo kitokių estrogenų, </w:t>
      </w:r>
      <w:r w:rsidR="00FC6C4D" w:rsidRPr="00940D54">
        <w:rPr>
          <w:rFonts w:ascii="Times New Roman" w:hAnsi="Times New Roman"/>
          <w:lang w:val="lt-LT"/>
        </w:rPr>
        <w:t>skaiči</w:t>
      </w:r>
      <w:r w:rsidR="00FC6C4D">
        <w:rPr>
          <w:rFonts w:ascii="Times New Roman" w:hAnsi="Times New Roman"/>
          <w:lang w:val="lt-LT"/>
        </w:rPr>
        <w:t>ų</w:t>
      </w:r>
      <w:r w:rsidR="003C4E49">
        <w:rPr>
          <w:rFonts w:ascii="Times New Roman" w:hAnsi="Times New Roman"/>
          <w:lang w:val="lt-LT"/>
        </w:rPr>
        <w:t>,</w:t>
      </w:r>
      <w:r w:rsidRPr="00940D54">
        <w:rPr>
          <w:rFonts w:ascii="Times New Roman" w:hAnsi="Times New Roman"/>
          <w:lang w:val="lt-LT"/>
        </w:rPr>
        <w:t xml:space="preserve"> š</w:t>
      </w:r>
      <w:r w:rsidR="00BA553A" w:rsidRPr="00940D54">
        <w:rPr>
          <w:rFonts w:ascii="Times New Roman" w:hAnsi="Times New Roman"/>
          <w:lang w:val="lt-LT"/>
        </w:rPr>
        <w:t>io</w:t>
      </w:r>
      <w:r w:rsidRPr="00940D54">
        <w:rPr>
          <w:rFonts w:ascii="Times New Roman" w:hAnsi="Times New Roman"/>
          <w:lang w:val="lt-LT"/>
        </w:rPr>
        <w:t xml:space="preserve"> vaistin</w:t>
      </w:r>
      <w:r w:rsidR="00BA553A" w:rsidRPr="00940D54">
        <w:rPr>
          <w:rFonts w:ascii="Times New Roman" w:hAnsi="Times New Roman"/>
          <w:lang w:val="lt-LT"/>
        </w:rPr>
        <w:t>io</w:t>
      </w:r>
      <w:r w:rsidRPr="00940D54">
        <w:rPr>
          <w:rFonts w:ascii="Times New Roman" w:hAnsi="Times New Roman"/>
          <w:lang w:val="lt-LT"/>
        </w:rPr>
        <w:t xml:space="preserve"> preparat</w:t>
      </w:r>
      <w:r w:rsidR="00BA553A" w:rsidRPr="00940D54">
        <w:rPr>
          <w:rFonts w:ascii="Times New Roman" w:hAnsi="Times New Roman"/>
          <w:lang w:val="lt-LT"/>
        </w:rPr>
        <w:t>o</w:t>
      </w:r>
      <w:r w:rsidRPr="00940D54">
        <w:rPr>
          <w:rFonts w:ascii="Times New Roman" w:hAnsi="Times New Roman"/>
          <w:lang w:val="lt-LT"/>
        </w:rPr>
        <w:t xml:space="preserve"> būtina atsargiai vartoti kartu su </w:t>
      </w:r>
      <w:r w:rsidR="00D22410" w:rsidRPr="00D22410">
        <w:rPr>
          <w:rFonts w:ascii="Times New Roman" w:hAnsi="Times New Roman"/>
          <w:lang w:val="lt-LT"/>
        </w:rPr>
        <w:t xml:space="preserve">toliau nurodytais vaistinių preparatų deriniais: </w:t>
      </w:r>
      <w:proofErr w:type="spellStart"/>
      <w:r w:rsidRPr="00940D54">
        <w:rPr>
          <w:rFonts w:ascii="Times New Roman" w:hAnsi="Times New Roman"/>
          <w:lang w:val="lt-LT"/>
        </w:rPr>
        <w:t>ombitasviru</w:t>
      </w:r>
      <w:proofErr w:type="spellEnd"/>
      <w:r w:rsidR="006A0829">
        <w:rPr>
          <w:rFonts w:ascii="Times New Roman" w:hAnsi="Times New Roman"/>
          <w:lang w:val="lt-LT"/>
        </w:rPr>
        <w:t> </w:t>
      </w:r>
      <w:r w:rsidRPr="00940D54">
        <w:rPr>
          <w:rFonts w:ascii="Times New Roman" w:hAnsi="Times New Roman"/>
          <w:lang w:val="lt-LT"/>
        </w:rPr>
        <w:t>/</w:t>
      </w:r>
      <w:r w:rsidR="006A0829">
        <w:rPr>
          <w:rFonts w:ascii="Times New Roman" w:hAnsi="Times New Roman"/>
          <w:lang w:val="lt-LT"/>
        </w:rPr>
        <w:t> </w:t>
      </w:r>
      <w:proofErr w:type="spellStart"/>
      <w:r w:rsidRPr="00940D54">
        <w:rPr>
          <w:rFonts w:ascii="Times New Roman" w:hAnsi="Times New Roman"/>
          <w:lang w:val="lt-LT"/>
        </w:rPr>
        <w:t>paritapreviru</w:t>
      </w:r>
      <w:proofErr w:type="spellEnd"/>
      <w:r w:rsidR="006A0829">
        <w:rPr>
          <w:rFonts w:ascii="Times New Roman" w:hAnsi="Times New Roman"/>
          <w:lang w:val="lt-LT"/>
        </w:rPr>
        <w:t> </w:t>
      </w:r>
      <w:r w:rsidRPr="00940D54">
        <w:rPr>
          <w:rFonts w:ascii="Times New Roman" w:hAnsi="Times New Roman"/>
          <w:lang w:val="lt-LT"/>
        </w:rPr>
        <w:t>/</w:t>
      </w:r>
      <w:r w:rsidR="006A0829">
        <w:rPr>
          <w:rFonts w:ascii="Times New Roman" w:hAnsi="Times New Roman"/>
          <w:lang w:val="lt-LT"/>
        </w:rPr>
        <w:t> </w:t>
      </w:r>
      <w:r w:rsidRPr="00940D54">
        <w:rPr>
          <w:rFonts w:ascii="Times New Roman" w:hAnsi="Times New Roman"/>
          <w:lang w:val="lt-LT"/>
        </w:rPr>
        <w:t xml:space="preserve">ritonaviru </w:t>
      </w:r>
      <w:r w:rsidR="00224D58" w:rsidRPr="00224D58">
        <w:rPr>
          <w:rFonts w:ascii="Times New Roman" w:hAnsi="Times New Roman"/>
          <w:lang w:val="lt-LT"/>
        </w:rPr>
        <w:t>ir</w:t>
      </w:r>
      <w:r w:rsidRPr="00940D54">
        <w:rPr>
          <w:rFonts w:ascii="Times New Roman" w:hAnsi="Times New Roman"/>
          <w:lang w:val="lt-LT"/>
        </w:rPr>
        <w:t xml:space="preserve"> </w:t>
      </w:r>
      <w:proofErr w:type="spellStart"/>
      <w:r w:rsidRPr="00940D54">
        <w:rPr>
          <w:rFonts w:ascii="Times New Roman" w:hAnsi="Times New Roman"/>
          <w:lang w:val="lt-LT"/>
        </w:rPr>
        <w:t>dasabuviru</w:t>
      </w:r>
      <w:proofErr w:type="spellEnd"/>
      <w:r w:rsidRPr="00940D54">
        <w:rPr>
          <w:rFonts w:ascii="Times New Roman" w:hAnsi="Times New Roman"/>
          <w:lang w:val="lt-LT"/>
        </w:rPr>
        <w:t xml:space="preserve"> kartu su </w:t>
      </w:r>
      <w:proofErr w:type="spellStart"/>
      <w:r w:rsidR="00DA3E5E">
        <w:rPr>
          <w:rFonts w:ascii="Times New Roman" w:hAnsi="Times New Roman"/>
          <w:lang w:val="lt-LT"/>
        </w:rPr>
        <w:t>ribavirinu</w:t>
      </w:r>
      <w:proofErr w:type="spellEnd"/>
      <w:r w:rsidR="00950C1B">
        <w:rPr>
          <w:rFonts w:ascii="Times New Roman" w:hAnsi="Times New Roman"/>
          <w:lang w:val="lt-LT"/>
        </w:rPr>
        <w:t xml:space="preserve"> </w:t>
      </w:r>
      <w:r w:rsidRPr="00940D54">
        <w:rPr>
          <w:rFonts w:ascii="Times New Roman" w:hAnsi="Times New Roman"/>
          <w:lang w:val="lt-LT"/>
        </w:rPr>
        <w:t>arba be jo</w:t>
      </w:r>
      <w:r w:rsidR="00DA3E5E">
        <w:rPr>
          <w:rFonts w:ascii="Times New Roman" w:hAnsi="Times New Roman"/>
          <w:lang w:val="lt-LT"/>
        </w:rPr>
        <w:t>,</w:t>
      </w:r>
      <w:r w:rsidR="00950C1B">
        <w:rPr>
          <w:rFonts w:ascii="Times New Roman" w:hAnsi="Times New Roman"/>
          <w:lang w:val="lt-LT"/>
        </w:rPr>
        <w:t xml:space="preserve"> </w:t>
      </w:r>
      <w:proofErr w:type="spellStart"/>
      <w:r w:rsidRPr="00940D54">
        <w:rPr>
          <w:rFonts w:ascii="Times New Roman" w:hAnsi="Times New Roman"/>
          <w:lang w:val="lt-LT"/>
        </w:rPr>
        <w:t>glekapreviru</w:t>
      </w:r>
      <w:proofErr w:type="spellEnd"/>
      <w:r w:rsidR="006A0829">
        <w:rPr>
          <w:rFonts w:ascii="Times New Roman" w:hAnsi="Times New Roman"/>
          <w:lang w:val="lt-LT"/>
        </w:rPr>
        <w:t> </w:t>
      </w:r>
      <w:r w:rsidRPr="00940D54">
        <w:rPr>
          <w:rFonts w:ascii="Times New Roman" w:hAnsi="Times New Roman"/>
          <w:lang w:val="lt-LT"/>
        </w:rPr>
        <w:t>/</w:t>
      </w:r>
      <w:r w:rsidR="006A0829">
        <w:rPr>
          <w:rFonts w:ascii="Times New Roman" w:hAnsi="Times New Roman"/>
          <w:lang w:val="lt-LT"/>
        </w:rPr>
        <w:t> </w:t>
      </w:r>
      <w:proofErr w:type="spellStart"/>
      <w:r w:rsidRPr="00940D54">
        <w:rPr>
          <w:rFonts w:ascii="Times New Roman" w:hAnsi="Times New Roman"/>
          <w:lang w:val="lt-LT"/>
        </w:rPr>
        <w:t>pibrentasviru</w:t>
      </w:r>
      <w:proofErr w:type="spellEnd"/>
      <w:r w:rsidR="00C65610">
        <w:rPr>
          <w:rFonts w:ascii="Times New Roman" w:hAnsi="Times New Roman"/>
          <w:lang w:val="lt-LT"/>
        </w:rPr>
        <w:t xml:space="preserve"> </w:t>
      </w:r>
      <w:r w:rsidR="00DA3E5E">
        <w:rPr>
          <w:rFonts w:ascii="Times New Roman" w:hAnsi="Times New Roman"/>
          <w:lang w:val="lt-LT"/>
        </w:rPr>
        <w:t xml:space="preserve">arba </w:t>
      </w:r>
      <w:proofErr w:type="spellStart"/>
      <w:r w:rsidR="00DA3E5E" w:rsidRPr="00DA3E5E">
        <w:rPr>
          <w:rFonts w:ascii="Times New Roman" w:hAnsi="Times New Roman"/>
          <w:lang w:val="lt-LT"/>
        </w:rPr>
        <w:t>sofosbuvi</w:t>
      </w:r>
      <w:r w:rsidR="00F31A0D">
        <w:rPr>
          <w:rFonts w:ascii="Times New Roman" w:hAnsi="Times New Roman"/>
          <w:lang w:val="lt-LT"/>
        </w:rPr>
        <w:t>r</w:t>
      </w:r>
      <w:r w:rsidR="00DA3E5E" w:rsidRPr="00DA3E5E">
        <w:rPr>
          <w:rFonts w:ascii="Times New Roman" w:hAnsi="Times New Roman"/>
          <w:lang w:val="lt-LT"/>
        </w:rPr>
        <w:t>u</w:t>
      </w:r>
      <w:proofErr w:type="spellEnd"/>
      <w:r w:rsidR="002D0790">
        <w:rPr>
          <w:rFonts w:ascii="Times New Roman" w:hAnsi="Times New Roman"/>
          <w:lang w:val="lt-LT"/>
        </w:rPr>
        <w:t> </w:t>
      </w:r>
      <w:r w:rsidR="00DA3E5E" w:rsidRPr="00DA3E5E">
        <w:rPr>
          <w:rFonts w:ascii="Times New Roman" w:hAnsi="Times New Roman"/>
          <w:lang w:val="lt-LT"/>
        </w:rPr>
        <w:t>/</w:t>
      </w:r>
      <w:r w:rsidR="002D0790">
        <w:rPr>
          <w:rFonts w:ascii="Times New Roman" w:hAnsi="Times New Roman"/>
          <w:lang w:val="lt-LT"/>
        </w:rPr>
        <w:t> </w:t>
      </w:r>
      <w:proofErr w:type="spellStart"/>
      <w:r w:rsidR="00DA3E5E" w:rsidRPr="00DA3E5E">
        <w:rPr>
          <w:rFonts w:ascii="Times New Roman" w:hAnsi="Times New Roman"/>
          <w:lang w:val="lt-LT"/>
        </w:rPr>
        <w:t>velpatasviru</w:t>
      </w:r>
      <w:proofErr w:type="spellEnd"/>
      <w:r w:rsidR="002D0790">
        <w:rPr>
          <w:rFonts w:ascii="Times New Roman" w:hAnsi="Times New Roman"/>
          <w:lang w:val="lt-LT"/>
        </w:rPr>
        <w:t> </w:t>
      </w:r>
      <w:r w:rsidR="00DA3E5E" w:rsidRPr="00DA3E5E">
        <w:rPr>
          <w:rFonts w:ascii="Times New Roman" w:hAnsi="Times New Roman"/>
          <w:lang w:val="lt-LT"/>
        </w:rPr>
        <w:t>/</w:t>
      </w:r>
      <w:r w:rsidR="002D0790">
        <w:rPr>
          <w:rFonts w:ascii="Times New Roman" w:hAnsi="Times New Roman"/>
          <w:lang w:val="lt-LT"/>
        </w:rPr>
        <w:t> </w:t>
      </w:r>
      <w:proofErr w:type="spellStart"/>
      <w:r w:rsidR="00DA3E5E" w:rsidRPr="00DA3E5E">
        <w:rPr>
          <w:rFonts w:ascii="Times New Roman" w:hAnsi="Times New Roman"/>
          <w:lang w:val="lt-LT"/>
        </w:rPr>
        <w:t>voksilapreviru</w:t>
      </w:r>
      <w:proofErr w:type="spellEnd"/>
      <w:r w:rsidR="00DA3E5E" w:rsidRPr="00DA3E5E">
        <w:rPr>
          <w:rFonts w:ascii="Times New Roman" w:hAnsi="Times New Roman"/>
          <w:lang w:val="lt-LT"/>
        </w:rPr>
        <w:t>.</w:t>
      </w:r>
      <w:r w:rsidR="00C65610">
        <w:rPr>
          <w:rFonts w:ascii="Times New Roman" w:hAnsi="Times New Roman"/>
          <w:lang w:val="lt-LT"/>
        </w:rPr>
        <w:t xml:space="preserve"> (ž</w:t>
      </w:r>
      <w:r w:rsidRPr="00940D54">
        <w:rPr>
          <w:rFonts w:ascii="Times New Roman" w:hAnsi="Times New Roman"/>
          <w:lang w:val="lt-LT"/>
        </w:rPr>
        <w:t>r.</w:t>
      </w:r>
      <w:r w:rsidR="00FB523D">
        <w:rPr>
          <w:rFonts w:ascii="Times New Roman" w:hAnsi="Times New Roman"/>
          <w:lang w:val="lt-LT"/>
        </w:rPr>
        <w:t> </w:t>
      </w:r>
      <w:r w:rsidRPr="00940D54">
        <w:rPr>
          <w:rFonts w:ascii="Times New Roman" w:hAnsi="Times New Roman"/>
          <w:lang w:val="lt-LT"/>
        </w:rPr>
        <w:t>4.</w:t>
      </w:r>
      <w:r w:rsidR="00C65610">
        <w:rPr>
          <w:rFonts w:ascii="Times New Roman" w:hAnsi="Times New Roman"/>
          <w:lang w:val="lt-LT"/>
        </w:rPr>
        <w:t>4</w:t>
      </w:r>
      <w:r w:rsidRPr="00940D54">
        <w:rPr>
          <w:rFonts w:ascii="Times New Roman" w:hAnsi="Times New Roman"/>
          <w:lang w:val="lt-LT"/>
        </w:rPr>
        <w:t> skyrių</w:t>
      </w:r>
      <w:r w:rsidR="00C65610">
        <w:rPr>
          <w:rFonts w:ascii="Times New Roman" w:hAnsi="Times New Roman"/>
          <w:lang w:val="lt-LT"/>
        </w:rPr>
        <w:t>)</w:t>
      </w:r>
      <w:r w:rsidRPr="00940D54">
        <w:rPr>
          <w:rFonts w:ascii="Times New Roman" w:hAnsi="Times New Roman"/>
          <w:lang w:val="lt-LT"/>
        </w:rPr>
        <w:t>.</w:t>
      </w:r>
    </w:p>
    <w:p w14:paraId="403EEA3C" w14:textId="53F65871" w:rsidR="00297380" w:rsidRDefault="00297380" w:rsidP="00A51A1D">
      <w:pPr>
        <w:spacing w:after="0" w:line="240" w:lineRule="auto"/>
        <w:rPr>
          <w:rFonts w:ascii="Times New Roman" w:hAnsi="Times New Roman"/>
          <w:lang w:val="lt-LT"/>
        </w:rPr>
      </w:pPr>
    </w:p>
    <w:p w14:paraId="2CABC05E" w14:textId="47102056" w:rsidR="00C65610" w:rsidRDefault="00C65610" w:rsidP="00A51A1D">
      <w:pPr>
        <w:spacing w:after="0" w:line="240" w:lineRule="auto"/>
        <w:rPr>
          <w:rFonts w:ascii="Times New Roman" w:hAnsi="Times New Roman"/>
          <w:u w:val="single"/>
          <w:lang w:val="lt-LT"/>
        </w:rPr>
      </w:pPr>
      <w:r w:rsidRPr="00253783">
        <w:rPr>
          <w:rFonts w:ascii="Times New Roman" w:hAnsi="Times New Roman"/>
          <w:u w:val="single"/>
          <w:lang w:val="lt-LT"/>
        </w:rPr>
        <w:t>Kitos sąveikos</w:t>
      </w:r>
    </w:p>
    <w:p w14:paraId="50B55DFB" w14:textId="77777777" w:rsidR="00C65610" w:rsidRPr="00253783" w:rsidRDefault="00C65610" w:rsidP="00A51A1D">
      <w:pPr>
        <w:spacing w:after="0" w:line="240" w:lineRule="auto"/>
        <w:rPr>
          <w:rFonts w:ascii="Times New Roman" w:hAnsi="Times New Roman"/>
          <w:u w:val="single"/>
          <w:lang w:val="lt-LT"/>
        </w:rPr>
      </w:pPr>
    </w:p>
    <w:p w14:paraId="15157351" w14:textId="77777777" w:rsidR="00C65610" w:rsidRPr="00253783" w:rsidRDefault="00C65610" w:rsidP="00A51A1D">
      <w:pPr>
        <w:spacing w:after="0" w:line="240" w:lineRule="auto"/>
        <w:rPr>
          <w:rFonts w:ascii="Times New Roman" w:hAnsi="Times New Roman"/>
          <w:i/>
          <w:iCs/>
          <w:lang w:val="lt-LT"/>
        </w:rPr>
      </w:pPr>
      <w:r w:rsidRPr="00253783">
        <w:rPr>
          <w:rFonts w:ascii="Times New Roman" w:hAnsi="Times New Roman"/>
          <w:i/>
          <w:iCs/>
          <w:lang w:val="lt-LT"/>
        </w:rPr>
        <w:t>Laboratoriniai tyrimai</w:t>
      </w:r>
    </w:p>
    <w:p w14:paraId="640BA1AC" w14:textId="63D77803" w:rsidR="00C65610" w:rsidRDefault="00C65610" w:rsidP="00A51A1D">
      <w:pPr>
        <w:spacing w:after="0" w:line="240" w:lineRule="auto"/>
        <w:rPr>
          <w:rFonts w:ascii="Times New Roman" w:hAnsi="Times New Roman"/>
          <w:b/>
          <w:bCs/>
          <w:u w:val="single"/>
          <w:lang w:val="lt-LT"/>
        </w:rPr>
      </w:pPr>
      <w:r w:rsidRPr="00253783">
        <w:rPr>
          <w:rFonts w:ascii="Times New Roman" w:hAnsi="Times New Roman"/>
          <w:lang w:val="lt-LT"/>
        </w:rPr>
        <w:t xml:space="preserve">Vartojami lytiniai steroidai gali veikti kai kuriuos laboratorinių tyrimų, įskaitant biocheminius kepenų, skydliaukės, antinksčių ir inkstų funkcijos parametrus, nešančiųjų baltymų, pvz., lytinius hormonus prisijungiančio </w:t>
      </w:r>
      <w:proofErr w:type="spellStart"/>
      <w:r w:rsidRPr="00253783">
        <w:rPr>
          <w:rFonts w:ascii="Times New Roman" w:hAnsi="Times New Roman"/>
          <w:lang w:val="lt-LT"/>
        </w:rPr>
        <w:t>globulino</w:t>
      </w:r>
      <w:proofErr w:type="spellEnd"/>
      <w:r w:rsidRPr="00253783">
        <w:rPr>
          <w:rFonts w:ascii="Times New Roman" w:hAnsi="Times New Roman"/>
          <w:lang w:val="lt-LT"/>
        </w:rPr>
        <w:t xml:space="preserve"> ir lipidų bei lipoproteinų frakcijų, koncentraciją plazmoje, angliavandenių apykaitos, krešėjimo ir </w:t>
      </w:r>
      <w:proofErr w:type="spellStart"/>
      <w:r w:rsidRPr="00253783">
        <w:rPr>
          <w:rFonts w:ascii="Times New Roman" w:hAnsi="Times New Roman"/>
          <w:lang w:val="lt-LT"/>
        </w:rPr>
        <w:t>fibrinolizės</w:t>
      </w:r>
      <w:proofErr w:type="spellEnd"/>
      <w:r w:rsidRPr="00253783">
        <w:rPr>
          <w:rFonts w:ascii="Times New Roman" w:hAnsi="Times New Roman"/>
          <w:lang w:val="lt-LT"/>
        </w:rPr>
        <w:t>, rodmenis</w:t>
      </w:r>
      <w:r>
        <w:rPr>
          <w:rFonts w:ascii="Times New Roman" w:hAnsi="Times New Roman"/>
          <w:lang w:val="lt-LT"/>
        </w:rPr>
        <w:t xml:space="preserve">. </w:t>
      </w:r>
      <w:r w:rsidRPr="00253783">
        <w:rPr>
          <w:rFonts w:ascii="Times New Roman" w:hAnsi="Times New Roman"/>
          <w:lang w:val="lt-LT"/>
        </w:rPr>
        <w:t>Šie pokyčiai dažniausiai būna normos ribose. Daugiau informacijos žr.</w:t>
      </w:r>
      <w:r w:rsidR="00453AA9">
        <w:rPr>
          <w:rFonts w:ascii="Times New Roman" w:hAnsi="Times New Roman"/>
          <w:lang w:val="lt-LT"/>
        </w:rPr>
        <w:t> </w:t>
      </w:r>
      <w:r w:rsidRPr="00253783">
        <w:rPr>
          <w:rFonts w:ascii="Times New Roman" w:hAnsi="Times New Roman"/>
          <w:lang w:val="lt-LT"/>
        </w:rPr>
        <w:t>4.4</w:t>
      </w:r>
      <w:r w:rsidR="00453AA9">
        <w:rPr>
          <w:rFonts w:ascii="Times New Roman" w:hAnsi="Times New Roman"/>
          <w:lang w:val="lt-LT"/>
        </w:rPr>
        <w:t> </w:t>
      </w:r>
      <w:r w:rsidRPr="00253783">
        <w:rPr>
          <w:rFonts w:ascii="Times New Roman" w:hAnsi="Times New Roman"/>
          <w:lang w:val="lt-LT"/>
        </w:rPr>
        <w:t>skyriuje</w:t>
      </w:r>
      <w:r>
        <w:rPr>
          <w:rFonts w:ascii="Times New Roman" w:hAnsi="Times New Roman"/>
          <w:lang w:val="lt-LT"/>
        </w:rPr>
        <w:t xml:space="preserve"> „Kitos būklės“.</w:t>
      </w:r>
    </w:p>
    <w:p w14:paraId="48D9B064" w14:textId="77777777" w:rsidR="00C65610" w:rsidRPr="00253783" w:rsidRDefault="00C65610" w:rsidP="00A51A1D">
      <w:pPr>
        <w:spacing w:after="0" w:line="240" w:lineRule="auto"/>
        <w:rPr>
          <w:rFonts w:ascii="Times New Roman" w:hAnsi="Times New Roman"/>
          <w:b/>
          <w:bCs/>
          <w:u w:val="single"/>
          <w:lang w:val="lt-LT"/>
        </w:rPr>
      </w:pPr>
    </w:p>
    <w:p w14:paraId="6D8B347D"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4.6</w:t>
      </w:r>
      <w:r w:rsidRPr="00940D54">
        <w:rPr>
          <w:rFonts w:ascii="Times New Roman" w:hAnsi="Times New Roman"/>
          <w:b/>
          <w:lang w:val="lt-LT"/>
        </w:rPr>
        <w:tab/>
        <w:t>Vaisingumas, nėštumo ir žindymo laikotarpis</w:t>
      </w:r>
    </w:p>
    <w:p w14:paraId="10698B76" w14:textId="77777777" w:rsidR="00A51A1D" w:rsidRPr="00940D54" w:rsidRDefault="00A51A1D" w:rsidP="00A51A1D">
      <w:pPr>
        <w:spacing w:after="0" w:line="240" w:lineRule="auto"/>
        <w:rPr>
          <w:rFonts w:ascii="Times New Roman" w:hAnsi="Times New Roman"/>
          <w:lang w:val="lt-LT"/>
        </w:rPr>
      </w:pPr>
    </w:p>
    <w:p w14:paraId="3C17DEA5"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color w:val="0D0D0D"/>
          <w:u w:val="single"/>
          <w:lang w:val="lt-LT"/>
        </w:rPr>
        <w:t>Nėštumas</w:t>
      </w:r>
    </w:p>
    <w:p w14:paraId="7AC5434B" w14:textId="77777777" w:rsidR="00A51A1D" w:rsidRPr="00940D54" w:rsidRDefault="00A51A1D" w:rsidP="00A51A1D">
      <w:pPr>
        <w:tabs>
          <w:tab w:val="left" w:pos="3096"/>
        </w:tabs>
        <w:spacing w:after="0" w:line="240" w:lineRule="auto"/>
        <w:rPr>
          <w:rFonts w:ascii="Times New Roman" w:eastAsiaTheme="minorHAnsi" w:hAnsi="Times New Roman" w:cstheme="minorBidi"/>
          <w:lang w:val="lt-LT"/>
        </w:rPr>
      </w:pPr>
      <w:proofErr w:type="spellStart"/>
      <w:r w:rsidRPr="00253783">
        <w:rPr>
          <w:rFonts w:ascii="Times New Roman" w:hAnsi="Times New Roman"/>
          <w:b/>
          <w:bCs/>
          <w:lang w:val="lt-LT"/>
        </w:rPr>
        <w:t>velbienne</w:t>
      </w:r>
      <w:proofErr w:type="spellEnd"/>
      <w:r w:rsidRPr="00940D54">
        <w:rPr>
          <w:rFonts w:ascii="Times New Roman" w:hAnsi="Times New Roman"/>
          <w:lang w:val="lt-LT"/>
        </w:rPr>
        <w:t xml:space="preserve"> neskiriamas vartoti nėštumo metu. Jeigu moteris pastojo vartodama </w:t>
      </w:r>
      <w:proofErr w:type="spellStart"/>
      <w:r w:rsidRPr="00253783">
        <w:rPr>
          <w:rFonts w:ascii="Times New Roman" w:hAnsi="Times New Roman"/>
          <w:b/>
          <w:bCs/>
          <w:lang w:val="lt-LT"/>
        </w:rPr>
        <w:t>velbienne</w:t>
      </w:r>
      <w:proofErr w:type="spellEnd"/>
      <w:r w:rsidRPr="00940D54">
        <w:rPr>
          <w:rFonts w:ascii="Times New Roman" w:hAnsi="Times New Roman"/>
          <w:lang w:val="lt-LT"/>
        </w:rPr>
        <w:t>, gydymą reikia nedelsiant nutraukti.</w:t>
      </w:r>
    </w:p>
    <w:p w14:paraId="7CB38EE6" w14:textId="77777777" w:rsidR="00A51A1D" w:rsidRPr="00940D54" w:rsidRDefault="00A51A1D" w:rsidP="00A51A1D">
      <w:pPr>
        <w:tabs>
          <w:tab w:val="left" w:pos="3096"/>
        </w:tabs>
        <w:spacing w:after="0" w:line="240" w:lineRule="auto"/>
        <w:rPr>
          <w:rFonts w:ascii="Times New Roman" w:hAnsi="Times New Roman"/>
          <w:lang w:val="lt-LT"/>
        </w:rPr>
      </w:pPr>
    </w:p>
    <w:p w14:paraId="0F7E1B19" w14:textId="4153285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Nėra klinikinių duomenų apie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vartojimą nėštumo metu. Tyrimai su gyvūnais neparodė toksinio poveikio reprodukcijai, kuris galėtų būti susijęs su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w:t>
      </w:r>
      <w:proofErr w:type="spellStart"/>
      <w:r w:rsidRPr="00940D54">
        <w:rPr>
          <w:rFonts w:ascii="Times New Roman" w:hAnsi="Times New Roman"/>
          <w:lang w:val="lt-LT"/>
        </w:rPr>
        <w:t>progest</w:t>
      </w:r>
      <w:r w:rsidR="00391BF3">
        <w:rPr>
          <w:rFonts w:ascii="Times New Roman" w:hAnsi="Times New Roman"/>
          <w:lang w:val="lt-LT"/>
        </w:rPr>
        <w:t>o</w:t>
      </w:r>
      <w:r w:rsidRPr="00940D54">
        <w:rPr>
          <w:rFonts w:ascii="Times New Roman" w:hAnsi="Times New Roman"/>
          <w:lang w:val="lt-LT"/>
        </w:rPr>
        <w:t>geniniu</w:t>
      </w:r>
      <w:proofErr w:type="spellEnd"/>
      <w:r w:rsidRPr="00940D54">
        <w:rPr>
          <w:rFonts w:ascii="Times New Roman" w:hAnsi="Times New Roman"/>
          <w:lang w:val="lt-LT"/>
        </w:rPr>
        <w:t xml:space="preserve"> veikimu (žr.</w:t>
      </w:r>
      <w:r w:rsidR="00AD2A0A">
        <w:rPr>
          <w:rFonts w:ascii="Times New Roman" w:hAnsi="Times New Roman"/>
          <w:lang w:val="lt-LT"/>
        </w:rPr>
        <w:t> </w:t>
      </w:r>
      <w:r w:rsidRPr="00940D54">
        <w:rPr>
          <w:rFonts w:ascii="Times New Roman" w:hAnsi="Times New Roman"/>
          <w:lang w:val="lt-LT"/>
        </w:rPr>
        <w:t xml:space="preserve">5.3 skyrių). Galimas pavojus žmogui nežinomas. Dauguma turimų epidemiologinių tyrimų duomenų, susijusių su atsitiktine estrogenų derinių su kitais </w:t>
      </w:r>
      <w:proofErr w:type="spellStart"/>
      <w:r w:rsidRPr="00940D54">
        <w:rPr>
          <w:rFonts w:ascii="Times New Roman" w:hAnsi="Times New Roman"/>
          <w:lang w:val="lt-LT"/>
        </w:rPr>
        <w:t>progest</w:t>
      </w:r>
      <w:r w:rsidR="00391BF3">
        <w:rPr>
          <w:rFonts w:ascii="Times New Roman" w:hAnsi="Times New Roman"/>
          <w:lang w:val="lt-LT"/>
        </w:rPr>
        <w:t>o</w:t>
      </w:r>
      <w:r w:rsidRPr="00940D54">
        <w:rPr>
          <w:rFonts w:ascii="Times New Roman" w:hAnsi="Times New Roman"/>
          <w:lang w:val="lt-LT"/>
        </w:rPr>
        <w:t>genais</w:t>
      </w:r>
      <w:proofErr w:type="spellEnd"/>
      <w:r w:rsidRPr="00940D54">
        <w:rPr>
          <w:rFonts w:ascii="Times New Roman" w:hAnsi="Times New Roman"/>
          <w:lang w:val="lt-LT"/>
        </w:rPr>
        <w:t xml:space="preserve"> ekspozicija vaisiui, nerodo </w:t>
      </w:r>
      <w:proofErr w:type="spellStart"/>
      <w:r w:rsidRPr="00940D54">
        <w:rPr>
          <w:rFonts w:ascii="Times New Roman" w:hAnsi="Times New Roman"/>
          <w:lang w:val="lt-LT"/>
        </w:rPr>
        <w:t>teratogeninio</w:t>
      </w:r>
      <w:proofErr w:type="spellEnd"/>
      <w:r w:rsidRPr="00940D54">
        <w:rPr>
          <w:rFonts w:ascii="Times New Roman" w:hAnsi="Times New Roman"/>
          <w:lang w:val="lt-LT"/>
        </w:rPr>
        <w:t xml:space="preserve"> poveikio arba toksinio poveikio vaisiui.</w:t>
      </w:r>
    </w:p>
    <w:p w14:paraId="73E24633" w14:textId="77777777" w:rsidR="00A51A1D" w:rsidRPr="00940D54" w:rsidRDefault="00A51A1D" w:rsidP="00A51A1D">
      <w:pPr>
        <w:spacing w:after="0" w:line="240" w:lineRule="auto"/>
        <w:rPr>
          <w:rFonts w:ascii="Times New Roman" w:hAnsi="Times New Roman"/>
          <w:color w:val="0D0D0D"/>
          <w:lang w:val="lt-LT"/>
        </w:rPr>
      </w:pPr>
    </w:p>
    <w:p w14:paraId="4AAC149A" w14:textId="77777777" w:rsidR="00A51A1D" w:rsidRPr="00940D54" w:rsidRDefault="00A51A1D" w:rsidP="00A51A1D">
      <w:pPr>
        <w:spacing w:after="0" w:line="240" w:lineRule="auto"/>
        <w:rPr>
          <w:rFonts w:ascii="Times New Roman" w:eastAsiaTheme="minorHAnsi" w:hAnsi="Times New Roman" w:cstheme="minorBidi"/>
          <w:color w:val="0D0D0D"/>
          <w:lang w:val="lt-LT"/>
        </w:rPr>
      </w:pPr>
      <w:r w:rsidRPr="00940D54">
        <w:rPr>
          <w:rFonts w:ascii="Times New Roman" w:hAnsi="Times New Roman"/>
          <w:color w:val="0D0D0D"/>
          <w:u w:val="single"/>
          <w:lang w:val="lt-LT"/>
        </w:rPr>
        <w:t>Žindymas</w:t>
      </w:r>
    </w:p>
    <w:p w14:paraId="469F3E5F" w14:textId="77777777" w:rsidR="00A51A1D" w:rsidRPr="00940D54" w:rsidRDefault="00A51A1D" w:rsidP="00A51A1D">
      <w:pPr>
        <w:spacing w:after="0" w:line="240" w:lineRule="auto"/>
        <w:rPr>
          <w:rFonts w:ascii="Times New Roman" w:eastAsiaTheme="minorHAnsi" w:hAnsi="Times New Roman" w:cstheme="minorBidi"/>
          <w:color w:val="0D0D0D"/>
          <w:lang w:val="lt-LT"/>
        </w:rPr>
      </w:pPr>
      <w:proofErr w:type="spellStart"/>
      <w:r w:rsidRPr="00253783">
        <w:rPr>
          <w:rFonts w:ascii="Times New Roman" w:hAnsi="Times New Roman"/>
          <w:b/>
          <w:bCs/>
          <w:lang w:val="lt-LT"/>
        </w:rPr>
        <w:t>velbienne</w:t>
      </w:r>
      <w:proofErr w:type="spellEnd"/>
      <w:r w:rsidRPr="00940D54">
        <w:rPr>
          <w:rFonts w:ascii="Times New Roman" w:hAnsi="Times New Roman"/>
          <w:lang w:val="lt-LT"/>
        </w:rPr>
        <w:t xml:space="preserve"> neskiriamas vartoti žindymo laikotarpiu</w:t>
      </w:r>
      <w:r w:rsidRPr="00940D54">
        <w:rPr>
          <w:rFonts w:ascii="Times New Roman" w:hAnsi="Times New Roman"/>
          <w:color w:val="0D0D0D"/>
          <w:lang w:val="lt-LT"/>
        </w:rPr>
        <w:t>.</w:t>
      </w:r>
    </w:p>
    <w:p w14:paraId="6628A7F6" w14:textId="77777777" w:rsidR="00A51A1D" w:rsidRPr="00940D54" w:rsidRDefault="00A51A1D" w:rsidP="00A51A1D">
      <w:pPr>
        <w:spacing w:after="0" w:line="240" w:lineRule="auto"/>
        <w:rPr>
          <w:rFonts w:ascii="Times New Roman" w:hAnsi="Times New Roman"/>
          <w:color w:val="0D0D0D"/>
          <w:lang w:val="lt-LT"/>
        </w:rPr>
      </w:pPr>
    </w:p>
    <w:p w14:paraId="40C08652"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4.7</w:t>
      </w:r>
      <w:r w:rsidRPr="00940D54">
        <w:rPr>
          <w:rFonts w:ascii="Times New Roman" w:hAnsi="Times New Roman"/>
          <w:b/>
          <w:lang w:val="lt-LT"/>
        </w:rPr>
        <w:tab/>
        <w:t>Poveikis gebėjimui vairuoti ir valdyti mechanizmus</w:t>
      </w:r>
    </w:p>
    <w:p w14:paraId="34EDDE97" w14:textId="77777777" w:rsidR="00A51A1D" w:rsidRPr="00940D54" w:rsidRDefault="00A51A1D" w:rsidP="00A51A1D">
      <w:pPr>
        <w:spacing w:after="0" w:line="240" w:lineRule="auto"/>
        <w:rPr>
          <w:rFonts w:ascii="Times New Roman" w:hAnsi="Times New Roman"/>
          <w:lang w:val="lt-LT"/>
        </w:rPr>
      </w:pPr>
    </w:p>
    <w:p w14:paraId="248128CA" w14:textId="5E0F6996" w:rsidR="00A51A1D" w:rsidRPr="00940D54" w:rsidRDefault="000F19F2" w:rsidP="00A51A1D">
      <w:pPr>
        <w:spacing w:after="0" w:line="240" w:lineRule="auto"/>
        <w:rPr>
          <w:rFonts w:ascii="Times New Roman" w:eastAsiaTheme="minorHAnsi" w:hAnsi="Times New Roman" w:cstheme="minorBidi"/>
          <w:lang w:val="lt-LT"/>
        </w:rPr>
      </w:pPr>
      <w:r>
        <w:rPr>
          <w:rFonts w:ascii="Times New Roman" w:hAnsi="Times New Roman"/>
          <w:lang w:val="lt-LT"/>
        </w:rPr>
        <w:t>P</w:t>
      </w:r>
      <w:r w:rsidR="00A51A1D" w:rsidRPr="00940D54">
        <w:rPr>
          <w:rFonts w:ascii="Times New Roman" w:hAnsi="Times New Roman"/>
          <w:lang w:val="lt-LT"/>
        </w:rPr>
        <w:t>oveikio gebėjimui vairuoti ir valdyti mechanizmus tyrimų neatlikta.</w:t>
      </w:r>
      <w:r>
        <w:rPr>
          <w:rFonts w:ascii="Times New Roman" w:hAnsi="Times New Roman"/>
          <w:lang w:val="lt-LT"/>
        </w:rPr>
        <w:t xml:space="preserve"> </w:t>
      </w:r>
      <w:proofErr w:type="spellStart"/>
      <w:r>
        <w:rPr>
          <w:rFonts w:ascii="Times New Roman" w:hAnsi="Times New Roman"/>
          <w:lang w:val="lt-LT"/>
        </w:rPr>
        <w:t>velbienne</w:t>
      </w:r>
      <w:proofErr w:type="spellEnd"/>
      <w:r>
        <w:rPr>
          <w:rFonts w:ascii="Times New Roman" w:hAnsi="Times New Roman"/>
          <w:lang w:val="lt-LT"/>
        </w:rPr>
        <w:t xml:space="preserve"> p</w:t>
      </w:r>
      <w:r w:rsidRPr="00940D54">
        <w:rPr>
          <w:rFonts w:ascii="Times New Roman" w:hAnsi="Times New Roman"/>
          <w:lang w:val="lt-LT"/>
        </w:rPr>
        <w:t>oveikio gebėjimui vairuoti ir valdyti mechanizmus ne</w:t>
      </w:r>
      <w:r>
        <w:rPr>
          <w:rFonts w:ascii="Times New Roman" w:hAnsi="Times New Roman"/>
          <w:lang w:val="lt-LT"/>
        </w:rPr>
        <w:t>pastebėta</w:t>
      </w:r>
      <w:r w:rsidRPr="00940D54">
        <w:rPr>
          <w:rFonts w:ascii="Times New Roman" w:hAnsi="Times New Roman"/>
          <w:lang w:val="lt-LT"/>
        </w:rPr>
        <w:t>.</w:t>
      </w:r>
    </w:p>
    <w:p w14:paraId="0A06905F" w14:textId="77777777" w:rsidR="00A51A1D" w:rsidRPr="00940D54" w:rsidRDefault="00A51A1D" w:rsidP="00A51A1D">
      <w:pPr>
        <w:spacing w:after="0" w:line="240" w:lineRule="auto"/>
        <w:rPr>
          <w:rFonts w:ascii="Times New Roman" w:hAnsi="Times New Roman"/>
          <w:lang w:val="lt-LT"/>
        </w:rPr>
      </w:pPr>
    </w:p>
    <w:p w14:paraId="38DD4ED3" w14:textId="77777777" w:rsidR="00A51A1D" w:rsidRPr="00940D54" w:rsidRDefault="00A51A1D" w:rsidP="00BC3039">
      <w:pPr>
        <w:tabs>
          <w:tab w:val="left" w:pos="567"/>
        </w:tabs>
        <w:spacing w:after="0" w:line="240" w:lineRule="auto"/>
        <w:outlineLvl w:val="0"/>
        <w:rPr>
          <w:rFonts w:ascii="Times New Roman" w:eastAsiaTheme="minorHAnsi" w:hAnsi="Times New Roman" w:cstheme="minorBidi"/>
          <w:lang w:val="lt-LT"/>
        </w:rPr>
      </w:pPr>
      <w:r w:rsidRPr="00940D54">
        <w:rPr>
          <w:rFonts w:ascii="Times New Roman" w:hAnsi="Times New Roman"/>
          <w:b/>
          <w:lang w:val="lt-LT"/>
        </w:rPr>
        <w:t>4.8</w:t>
      </w:r>
      <w:r w:rsidRPr="00940D54">
        <w:rPr>
          <w:rFonts w:ascii="Times New Roman" w:hAnsi="Times New Roman"/>
          <w:b/>
          <w:lang w:val="lt-LT"/>
        </w:rPr>
        <w:tab/>
        <w:t>Nepageidaujamas poveikis</w:t>
      </w:r>
    </w:p>
    <w:p w14:paraId="1D25C4FA" w14:textId="77777777" w:rsidR="00A51A1D" w:rsidRPr="00940D54" w:rsidRDefault="00A51A1D" w:rsidP="00A51A1D">
      <w:pPr>
        <w:spacing w:after="0" w:line="240" w:lineRule="auto"/>
        <w:rPr>
          <w:rFonts w:ascii="Times New Roman" w:hAnsi="Times New Roman"/>
          <w:u w:val="single"/>
          <w:lang w:val="lt-LT"/>
        </w:rPr>
      </w:pPr>
    </w:p>
    <w:p w14:paraId="4D0279DF" w14:textId="57E580F7"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Toliau esančioje lentelėje (organų sistemų klasės pagal </w:t>
      </w:r>
      <w:proofErr w:type="spellStart"/>
      <w:r w:rsidRPr="00940D54">
        <w:rPr>
          <w:rFonts w:ascii="Times New Roman" w:hAnsi="Times New Roman"/>
          <w:i/>
          <w:lang w:val="lt-LT"/>
        </w:rPr>
        <w:t>MedDRA</w:t>
      </w:r>
      <w:proofErr w:type="spellEnd"/>
      <w:r w:rsidRPr="00940D54">
        <w:rPr>
          <w:rFonts w:ascii="Times New Roman" w:hAnsi="Times New Roman"/>
          <w:lang w:val="lt-LT"/>
        </w:rPr>
        <w:t xml:space="preserve"> 8.0 versiją) nurodyti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nepageidaujamo poveikio dažniai. Šie nepageidaujamų reikš</w:t>
      </w:r>
      <w:r w:rsidR="002D6EE4" w:rsidRPr="00940D54">
        <w:rPr>
          <w:rFonts w:ascii="Times New Roman" w:hAnsi="Times New Roman"/>
          <w:lang w:val="lt-LT"/>
        </w:rPr>
        <w:t>m</w:t>
      </w:r>
      <w:r w:rsidRPr="00940D54">
        <w:rPr>
          <w:rFonts w:ascii="Times New Roman" w:hAnsi="Times New Roman"/>
          <w:lang w:val="lt-LT"/>
        </w:rPr>
        <w:t xml:space="preserve">ių dažniai yra pagrįsti keturių III fazės klinikinių tyrimų duomenimis (n = 538 moterys) ir laikoma, kad šie reiškiniai yra bent jau susiję su gydymu </w:t>
      </w:r>
      <w:proofErr w:type="spellStart"/>
      <w:r w:rsidRPr="00940D54">
        <w:rPr>
          <w:rFonts w:ascii="Times New Roman" w:hAnsi="Times New Roman"/>
          <w:lang w:val="lt-LT"/>
        </w:rPr>
        <w:t>velbienne</w:t>
      </w:r>
      <w:proofErr w:type="spellEnd"/>
      <w:r w:rsidRPr="00940D54">
        <w:rPr>
          <w:rFonts w:ascii="Times New Roman" w:hAnsi="Times New Roman"/>
          <w:lang w:val="lt-LT"/>
        </w:rPr>
        <w:t>.</w:t>
      </w:r>
    </w:p>
    <w:p w14:paraId="730A2BB0" w14:textId="77777777" w:rsidR="00A51A1D" w:rsidRPr="00940D54" w:rsidRDefault="00A51A1D" w:rsidP="00A51A1D">
      <w:pPr>
        <w:spacing w:after="0" w:line="240" w:lineRule="auto"/>
        <w:contextualSpacing/>
        <w:outlineLvl w:val="0"/>
        <w:rPr>
          <w:rFonts w:ascii="Times New Roman" w:hAnsi="Times New Roman"/>
          <w:lang w:val="lt-LT"/>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3107"/>
        <w:gridCol w:w="3107"/>
      </w:tblGrid>
      <w:tr w:rsidR="00A51A1D" w:rsidRPr="00940D54" w14:paraId="2564C8B7" w14:textId="77777777" w:rsidTr="00BF0B13">
        <w:trPr>
          <w:trHeight w:val="228"/>
        </w:trPr>
        <w:tc>
          <w:tcPr>
            <w:tcW w:w="2999" w:type="dxa"/>
          </w:tcPr>
          <w:p w14:paraId="683AEA4F" w14:textId="77777777" w:rsidR="00A51A1D" w:rsidRPr="00940D54" w:rsidRDefault="00A51A1D" w:rsidP="00BF0B13">
            <w:pPr>
              <w:autoSpaceDE w:val="0"/>
              <w:autoSpaceDN w:val="0"/>
              <w:adjustRightInd w:val="0"/>
              <w:spacing w:after="0" w:line="240" w:lineRule="auto"/>
              <w:rPr>
                <w:rFonts w:ascii="Times New Roman" w:hAnsi="Times New Roman"/>
                <w:b/>
                <w:lang w:val="lt-LT"/>
              </w:rPr>
            </w:pPr>
            <w:r w:rsidRPr="00940D54">
              <w:rPr>
                <w:rFonts w:ascii="Times New Roman" w:hAnsi="Times New Roman"/>
                <w:b/>
                <w:lang w:val="lt-LT"/>
              </w:rPr>
              <w:lastRenderedPageBreak/>
              <w:t xml:space="preserve">Organų sistemų klasės pagal </w:t>
            </w:r>
            <w:proofErr w:type="spellStart"/>
            <w:r w:rsidRPr="00940D54">
              <w:rPr>
                <w:rFonts w:ascii="Times New Roman" w:hAnsi="Times New Roman"/>
                <w:b/>
                <w:i/>
                <w:lang w:val="lt-LT"/>
              </w:rPr>
              <w:t>MedDRA</w:t>
            </w:r>
            <w:proofErr w:type="spellEnd"/>
            <w:r w:rsidRPr="00940D54">
              <w:rPr>
                <w:rFonts w:ascii="Times New Roman" w:hAnsi="Times New Roman"/>
                <w:b/>
                <w:lang w:val="lt-LT"/>
              </w:rPr>
              <w:t xml:space="preserve"> 8.0 versiją</w:t>
            </w:r>
          </w:p>
        </w:tc>
        <w:tc>
          <w:tcPr>
            <w:tcW w:w="3107" w:type="dxa"/>
          </w:tcPr>
          <w:p w14:paraId="373BBDC7" w14:textId="7D8115BF" w:rsidR="00A51A1D" w:rsidRPr="00940D54" w:rsidRDefault="00A51A1D" w:rsidP="00BF0B13">
            <w:pPr>
              <w:autoSpaceDE w:val="0"/>
              <w:autoSpaceDN w:val="0"/>
              <w:adjustRightInd w:val="0"/>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Dažn</w:t>
            </w:r>
            <w:r w:rsidR="00B23EEF" w:rsidRPr="00940D54">
              <w:rPr>
                <w:rFonts w:ascii="Times New Roman" w:hAnsi="Times New Roman"/>
                <w:b/>
                <w:lang w:val="lt-LT"/>
              </w:rPr>
              <w:t>as</w:t>
            </w:r>
          </w:p>
          <w:p w14:paraId="09EC5669" w14:textId="77777777" w:rsidR="00A51A1D" w:rsidRPr="00940D54" w:rsidRDefault="00A51A1D" w:rsidP="00BF0B13">
            <w:pPr>
              <w:autoSpaceDE w:val="0"/>
              <w:autoSpaceDN w:val="0"/>
              <w:adjustRightInd w:val="0"/>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nuo ≥ 1/100 iki &lt; 1/10</w:t>
            </w:r>
          </w:p>
        </w:tc>
        <w:tc>
          <w:tcPr>
            <w:tcW w:w="3107" w:type="dxa"/>
          </w:tcPr>
          <w:p w14:paraId="4ABBA8D3" w14:textId="5C2C3FB0" w:rsidR="00A51A1D" w:rsidRPr="00940D54" w:rsidRDefault="00A51A1D" w:rsidP="00BF0B13">
            <w:pPr>
              <w:autoSpaceDE w:val="0"/>
              <w:autoSpaceDN w:val="0"/>
              <w:adjustRightInd w:val="0"/>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Nedažn</w:t>
            </w:r>
            <w:r w:rsidR="00B23EEF" w:rsidRPr="00940D54">
              <w:rPr>
                <w:rFonts w:ascii="Times New Roman" w:hAnsi="Times New Roman"/>
                <w:b/>
                <w:lang w:val="lt-LT"/>
              </w:rPr>
              <w:t>as</w:t>
            </w:r>
          </w:p>
          <w:p w14:paraId="1C4886B7" w14:textId="77777777" w:rsidR="00A51A1D" w:rsidRPr="00940D54" w:rsidRDefault="00A51A1D" w:rsidP="00BF0B13">
            <w:pPr>
              <w:autoSpaceDE w:val="0"/>
              <w:autoSpaceDN w:val="0"/>
              <w:adjustRightInd w:val="0"/>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nuo ≥ 1/1 000 iki&lt; 1/100</w:t>
            </w:r>
          </w:p>
        </w:tc>
      </w:tr>
      <w:tr w:rsidR="00A51A1D" w:rsidRPr="00940D54" w14:paraId="17A322E4" w14:textId="77777777" w:rsidTr="00BF0B13">
        <w:trPr>
          <w:trHeight w:val="230"/>
        </w:trPr>
        <w:tc>
          <w:tcPr>
            <w:tcW w:w="2999" w:type="dxa"/>
          </w:tcPr>
          <w:p w14:paraId="2674CABB"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Metabolizmo ir mitybos sutrikimai</w:t>
            </w:r>
          </w:p>
        </w:tc>
        <w:tc>
          <w:tcPr>
            <w:tcW w:w="3107" w:type="dxa"/>
          </w:tcPr>
          <w:p w14:paraId="69922EE3"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281DBB32"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Kūno masės padidėjimas</w:t>
            </w:r>
          </w:p>
        </w:tc>
      </w:tr>
      <w:tr w:rsidR="00A51A1D" w:rsidRPr="006815BA" w14:paraId="42E4D6BD" w14:textId="77777777" w:rsidTr="00BF0B13">
        <w:trPr>
          <w:trHeight w:val="1011"/>
        </w:trPr>
        <w:tc>
          <w:tcPr>
            <w:tcW w:w="2999" w:type="dxa"/>
          </w:tcPr>
          <w:p w14:paraId="687E415E"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Psichikos sutrikimai</w:t>
            </w:r>
          </w:p>
        </w:tc>
        <w:tc>
          <w:tcPr>
            <w:tcW w:w="3107" w:type="dxa"/>
          </w:tcPr>
          <w:p w14:paraId="4E9EAA5C"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37FA64E3"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Depresija</w:t>
            </w:r>
          </w:p>
          <w:p w14:paraId="1BFD2DA9"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Nervinė anoreksija</w:t>
            </w:r>
          </w:p>
          <w:p w14:paraId="5ACD7406"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Agresyvumas</w:t>
            </w:r>
          </w:p>
          <w:p w14:paraId="16E8FCE6"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Somnolencija</w:t>
            </w:r>
            <w:proofErr w:type="spellEnd"/>
          </w:p>
          <w:p w14:paraId="033ABA8E"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Nemiga</w:t>
            </w:r>
          </w:p>
          <w:p w14:paraId="7F13997F"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Nervingumas </w:t>
            </w:r>
          </w:p>
          <w:p w14:paraId="2DF49B05"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Orgazmo nebuvimas</w:t>
            </w:r>
          </w:p>
          <w:p w14:paraId="1BEBDF5E"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Lytinio potraukio sumažėjimas</w:t>
            </w:r>
          </w:p>
        </w:tc>
      </w:tr>
      <w:tr w:rsidR="00A51A1D" w:rsidRPr="00940D54" w14:paraId="771E8726" w14:textId="77777777" w:rsidTr="00BF0B13">
        <w:trPr>
          <w:trHeight w:val="490"/>
        </w:trPr>
        <w:tc>
          <w:tcPr>
            <w:tcW w:w="2999" w:type="dxa"/>
          </w:tcPr>
          <w:p w14:paraId="600EF656"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Nervų sistemos sutrikimai</w:t>
            </w:r>
          </w:p>
        </w:tc>
        <w:tc>
          <w:tcPr>
            <w:tcW w:w="3107" w:type="dxa"/>
          </w:tcPr>
          <w:p w14:paraId="390D2DBD"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Galvos skausmas</w:t>
            </w:r>
          </w:p>
        </w:tc>
        <w:tc>
          <w:tcPr>
            <w:tcW w:w="3107" w:type="dxa"/>
          </w:tcPr>
          <w:p w14:paraId="49A08619"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Migrena</w:t>
            </w:r>
          </w:p>
          <w:p w14:paraId="2E455023"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Svaigulys</w:t>
            </w:r>
          </w:p>
          <w:p w14:paraId="34202D80"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Parestezija</w:t>
            </w:r>
            <w:proofErr w:type="spellEnd"/>
          </w:p>
          <w:p w14:paraId="517E58B9"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Hiperkinezija</w:t>
            </w:r>
            <w:proofErr w:type="spellEnd"/>
          </w:p>
        </w:tc>
      </w:tr>
      <w:tr w:rsidR="00A51A1D" w:rsidRPr="00940D54" w14:paraId="56904FAE" w14:textId="77777777" w:rsidTr="00BF0B13">
        <w:trPr>
          <w:trHeight w:val="490"/>
        </w:trPr>
        <w:tc>
          <w:tcPr>
            <w:tcW w:w="2999" w:type="dxa"/>
          </w:tcPr>
          <w:p w14:paraId="6933A3C1"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 xml:space="preserve">Kraujagyslių sutrikimai </w:t>
            </w:r>
          </w:p>
        </w:tc>
        <w:tc>
          <w:tcPr>
            <w:tcW w:w="3107" w:type="dxa"/>
          </w:tcPr>
          <w:p w14:paraId="7D1E1321"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05D0C809"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Venų trombozė (kojų skausmas)</w:t>
            </w:r>
          </w:p>
          <w:p w14:paraId="3596BC3D"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Tromboflebitas</w:t>
            </w:r>
            <w:proofErr w:type="spellEnd"/>
          </w:p>
          <w:p w14:paraId="72C04820"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Hipertenzija</w:t>
            </w:r>
          </w:p>
          <w:p w14:paraId="559BD6E7"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Kraujavimas iš nosies</w:t>
            </w:r>
          </w:p>
        </w:tc>
      </w:tr>
      <w:tr w:rsidR="00A51A1D" w:rsidRPr="006815BA" w14:paraId="5770E10C" w14:textId="77777777" w:rsidTr="00BF0B13">
        <w:trPr>
          <w:trHeight w:val="750"/>
        </w:trPr>
        <w:tc>
          <w:tcPr>
            <w:tcW w:w="2999" w:type="dxa"/>
          </w:tcPr>
          <w:p w14:paraId="794DB866"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 xml:space="preserve">Virškinimo trakto sutrikimai </w:t>
            </w:r>
          </w:p>
        </w:tc>
        <w:tc>
          <w:tcPr>
            <w:tcW w:w="3107" w:type="dxa"/>
          </w:tcPr>
          <w:p w14:paraId="35A81A5D"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Pykinimas</w:t>
            </w:r>
          </w:p>
        </w:tc>
        <w:tc>
          <w:tcPr>
            <w:tcW w:w="3107" w:type="dxa"/>
          </w:tcPr>
          <w:p w14:paraId="0D083EA0"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Pilvo skausmas</w:t>
            </w:r>
          </w:p>
          <w:p w14:paraId="105735A1"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Viduriavimas</w:t>
            </w:r>
          </w:p>
          <w:p w14:paraId="7CB1091F"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Vėmimas</w:t>
            </w:r>
          </w:p>
          <w:p w14:paraId="2EB7EDD6"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Vidurių užkietėjimas</w:t>
            </w:r>
          </w:p>
          <w:p w14:paraId="612C0315"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Dujų kaupimasis virškinimo trakte</w:t>
            </w:r>
          </w:p>
          <w:p w14:paraId="707F1C62"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Burnos džiūvimas</w:t>
            </w:r>
          </w:p>
        </w:tc>
      </w:tr>
      <w:tr w:rsidR="00A51A1D" w:rsidRPr="006815BA" w14:paraId="6FEED7FB" w14:textId="77777777" w:rsidTr="00BF0B13">
        <w:trPr>
          <w:trHeight w:val="99"/>
        </w:trPr>
        <w:tc>
          <w:tcPr>
            <w:tcW w:w="2999" w:type="dxa"/>
          </w:tcPr>
          <w:p w14:paraId="20767688"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 xml:space="preserve">Kepenų, tulžies pūslės ir latakų sutrikimai </w:t>
            </w:r>
          </w:p>
        </w:tc>
        <w:tc>
          <w:tcPr>
            <w:tcW w:w="3107" w:type="dxa"/>
          </w:tcPr>
          <w:p w14:paraId="7BAE0BD4"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5F08CEB5" w14:textId="57D13256" w:rsidR="00A51A1D" w:rsidRPr="00940D54" w:rsidRDefault="00A51A1D" w:rsidP="00652601">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Tulžies </w:t>
            </w:r>
            <w:r w:rsidR="00652601" w:rsidRPr="00940D54">
              <w:rPr>
                <w:rFonts w:ascii="Times New Roman" w:hAnsi="Times New Roman"/>
                <w:lang w:val="lt-LT"/>
              </w:rPr>
              <w:t xml:space="preserve">pūslės ir latakų sutrikimų sukeltas </w:t>
            </w:r>
            <w:r w:rsidRPr="00940D54">
              <w:rPr>
                <w:rFonts w:ascii="Times New Roman" w:hAnsi="Times New Roman"/>
                <w:lang w:val="lt-LT"/>
              </w:rPr>
              <w:t>skausmas</w:t>
            </w:r>
          </w:p>
        </w:tc>
      </w:tr>
      <w:tr w:rsidR="00A51A1D" w:rsidRPr="006815BA" w14:paraId="05099CB1" w14:textId="77777777" w:rsidTr="00BF0B13">
        <w:trPr>
          <w:trHeight w:val="620"/>
        </w:trPr>
        <w:tc>
          <w:tcPr>
            <w:tcW w:w="2999" w:type="dxa"/>
          </w:tcPr>
          <w:p w14:paraId="38E0BD68"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Odos ir poodinio audinio</w:t>
            </w:r>
            <w:r w:rsidRPr="00940D54">
              <w:rPr>
                <w:rFonts w:ascii="Times New Roman" w:hAnsi="Times New Roman"/>
                <w:b/>
                <w:lang w:val="lt-LT"/>
              </w:rPr>
              <w:t xml:space="preserve"> </w:t>
            </w:r>
            <w:r w:rsidRPr="00940D54">
              <w:rPr>
                <w:rFonts w:ascii="Times New Roman" w:hAnsi="Times New Roman"/>
                <w:lang w:val="lt-LT"/>
              </w:rPr>
              <w:t xml:space="preserve">sutrikimai </w:t>
            </w:r>
          </w:p>
        </w:tc>
        <w:tc>
          <w:tcPr>
            <w:tcW w:w="3107" w:type="dxa"/>
          </w:tcPr>
          <w:p w14:paraId="20CF1720"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43B6E005"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Žvynelinė</w:t>
            </w:r>
          </w:p>
          <w:p w14:paraId="59BCFEE6"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Spuogai</w:t>
            </w:r>
          </w:p>
          <w:p w14:paraId="428BAAA7"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Niežėjimas</w:t>
            </w:r>
          </w:p>
          <w:p w14:paraId="031E8E21"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Sustiprėjęs prakaitavimas</w:t>
            </w:r>
          </w:p>
          <w:p w14:paraId="463F4A13"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Odos sausmė</w:t>
            </w:r>
          </w:p>
        </w:tc>
      </w:tr>
      <w:tr w:rsidR="00A51A1D" w:rsidRPr="00940D54" w14:paraId="54D42B44" w14:textId="77777777" w:rsidTr="00BF0B13">
        <w:trPr>
          <w:trHeight w:val="230"/>
        </w:trPr>
        <w:tc>
          <w:tcPr>
            <w:tcW w:w="2999" w:type="dxa"/>
          </w:tcPr>
          <w:p w14:paraId="5CCCD7FD"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Skeleto, raumenų ir jungiamojo audinio</w:t>
            </w:r>
            <w:r w:rsidRPr="00940D54">
              <w:rPr>
                <w:rFonts w:ascii="Times New Roman" w:hAnsi="Times New Roman"/>
                <w:b/>
                <w:lang w:val="lt-LT"/>
              </w:rPr>
              <w:t xml:space="preserve"> </w:t>
            </w:r>
            <w:r w:rsidRPr="00940D54">
              <w:rPr>
                <w:rFonts w:ascii="Times New Roman" w:hAnsi="Times New Roman"/>
                <w:lang w:val="lt-LT"/>
              </w:rPr>
              <w:t xml:space="preserve">sutrikimai </w:t>
            </w:r>
          </w:p>
        </w:tc>
        <w:tc>
          <w:tcPr>
            <w:tcW w:w="3107" w:type="dxa"/>
          </w:tcPr>
          <w:p w14:paraId="3986ECC3"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0835C53E"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Mialgija</w:t>
            </w:r>
            <w:proofErr w:type="spellEnd"/>
          </w:p>
          <w:p w14:paraId="11DC8B2E"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Kojų mėšlungis</w:t>
            </w:r>
          </w:p>
        </w:tc>
      </w:tr>
      <w:tr w:rsidR="00A51A1D" w:rsidRPr="00940D54" w14:paraId="16018299" w14:textId="77777777" w:rsidTr="00BF0B13">
        <w:trPr>
          <w:trHeight w:val="558"/>
        </w:trPr>
        <w:tc>
          <w:tcPr>
            <w:tcW w:w="2999" w:type="dxa"/>
          </w:tcPr>
          <w:p w14:paraId="6A8CBB73"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 xml:space="preserve">Lytinės sistemos ir krūties sutrikimai </w:t>
            </w:r>
          </w:p>
        </w:tc>
        <w:tc>
          <w:tcPr>
            <w:tcW w:w="3107" w:type="dxa"/>
          </w:tcPr>
          <w:p w14:paraId="34000C43"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Kraujavimas iš gimdos ar makšties, įskaitant kraujingas išskyras (nereguliarų kraujavimą, kuris dažniausiai mažėja, tęsiant gydymą)</w:t>
            </w:r>
          </w:p>
          <w:p w14:paraId="00E325E2"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Krūtų skausmas</w:t>
            </w:r>
          </w:p>
          <w:p w14:paraId="253103C7"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Paraudimas su karščio pojūčiu</w:t>
            </w:r>
          </w:p>
        </w:tc>
        <w:tc>
          <w:tcPr>
            <w:tcW w:w="3107" w:type="dxa"/>
          </w:tcPr>
          <w:p w14:paraId="646AB75E"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sutrikimas</w:t>
            </w:r>
          </w:p>
          <w:p w14:paraId="6D0980D4"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Makšties </w:t>
            </w:r>
            <w:proofErr w:type="spellStart"/>
            <w:r w:rsidRPr="00940D54">
              <w:rPr>
                <w:rFonts w:ascii="Times New Roman" w:hAnsi="Times New Roman"/>
                <w:lang w:val="lt-LT"/>
              </w:rPr>
              <w:t>kandidozė</w:t>
            </w:r>
            <w:proofErr w:type="spellEnd"/>
          </w:p>
          <w:p w14:paraId="20A027EC"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Skausmingos menstruacijos</w:t>
            </w:r>
          </w:p>
          <w:p w14:paraId="3B285995"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Lytinių organų niežėjimas</w:t>
            </w:r>
          </w:p>
        </w:tc>
      </w:tr>
      <w:tr w:rsidR="00A51A1D" w:rsidRPr="006815BA" w14:paraId="6B810637" w14:textId="77777777" w:rsidTr="00BF0B13">
        <w:trPr>
          <w:trHeight w:val="360"/>
        </w:trPr>
        <w:tc>
          <w:tcPr>
            <w:tcW w:w="2999" w:type="dxa"/>
          </w:tcPr>
          <w:p w14:paraId="52FBD669" w14:textId="77777777" w:rsidR="00A51A1D" w:rsidRPr="00940D54" w:rsidRDefault="00A51A1D" w:rsidP="00BF0B13">
            <w:pPr>
              <w:autoSpaceDE w:val="0"/>
              <w:autoSpaceDN w:val="0"/>
              <w:adjustRightInd w:val="0"/>
              <w:spacing w:after="0" w:line="240" w:lineRule="auto"/>
              <w:rPr>
                <w:rFonts w:ascii="Times New Roman" w:hAnsi="Times New Roman"/>
                <w:lang w:val="lt-LT"/>
              </w:rPr>
            </w:pPr>
            <w:r w:rsidRPr="00940D54">
              <w:rPr>
                <w:rFonts w:ascii="Times New Roman" w:hAnsi="Times New Roman"/>
                <w:lang w:val="lt-LT"/>
              </w:rPr>
              <w:t>Bendrieji sutrikimai ir vartojimo vietos pažeidimai</w:t>
            </w:r>
          </w:p>
        </w:tc>
        <w:tc>
          <w:tcPr>
            <w:tcW w:w="3107" w:type="dxa"/>
          </w:tcPr>
          <w:p w14:paraId="225D6824" w14:textId="77777777" w:rsidR="00A51A1D" w:rsidRPr="00940D54" w:rsidRDefault="00A51A1D" w:rsidP="00BF0B13">
            <w:pPr>
              <w:autoSpaceDE w:val="0"/>
              <w:autoSpaceDN w:val="0"/>
              <w:adjustRightInd w:val="0"/>
              <w:spacing w:after="0" w:line="240" w:lineRule="auto"/>
              <w:rPr>
                <w:rFonts w:ascii="Times New Roman" w:hAnsi="Times New Roman"/>
                <w:lang w:val="lt-LT"/>
              </w:rPr>
            </w:pPr>
          </w:p>
        </w:tc>
        <w:tc>
          <w:tcPr>
            <w:tcW w:w="3107" w:type="dxa"/>
          </w:tcPr>
          <w:p w14:paraId="7470F96D"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Generalizuota</w:t>
            </w:r>
            <w:proofErr w:type="spellEnd"/>
            <w:r w:rsidRPr="00940D54">
              <w:rPr>
                <w:rFonts w:ascii="Times New Roman" w:hAnsi="Times New Roman"/>
                <w:lang w:val="lt-LT"/>
              </w:rPr>
              <w:t xml:space="preserve"> edema / veido edema / edema </w:t>
            </w:r>
          </w:p>
          <w:p w14:paraId="2D1DCE53"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Nuovargis</w:t>
            </w:r>
          </w:p>
        </w:tc>
      </w:tr>
    </w:tbl>
    <w:p w14:paraId="4FD8516F" w14:textId="77777777" w:rsidR="00A51A1D" w:rsidRPr="00940D54" w:rsidRDefault="00A51A1D" w:rsidP="00A51A1D">
      <w:pPr>
        <w:spacing w:after="0" w:line="240" w:lineRule="auto"/>
        <w:rPr>
          <w:rFonts w:ascii="Times New Roman" w:hAnsi="Times New Roman"/>
          <w:lang w:val="lt-LT"/>
        </w:rPr>
      </w:pPr>
    </w:p>
    <w:p w14:paraId="38B8E711" w14:textId="10529548" w:rsidR="00A51A1D" w:rsidRPr="00940D54" w:rsidRDefault="00A51A1D" w:rsidP="006815BA">
      <w:pPr>
        <w:keepNext/>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u w:val="single"/>
          <w:lang w:val="lt-LT"/>
        </w:rPr>
        <w:t>Krūties vėž</w:t>
      </w:r>
      <w:r w:rsidR="00123EE1">
        <w:rPr>
          <w:rFonts w:ascii="Times New Roman" w:hAnsi="Times New Roman"/>
          <w:u w:val="single"/>
          <w:lang w:val="lt-LT"/>
        </w:rPr>
        <w:t>io rizika</w:t>
      </w:r>
    </w:p>
    <w:p w14:paraId="2885458D" w14:textId="2E3F5F3C" w:rsidR="00A51A1D" w:rsidRPr="00940D54" w:rsidRDefault="00A51A1D" w:rsidP="006815BA">
      <w:pPr>
        <w:keepNext/>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Buvo pranešta, kad moterims, kurioms taikoma kombinuotoji estrogenų ir </w:t>
      </w:r>
      <w:proofErr w:type="spellStart"/>
      <w:r w:rsidRPr="00940D54">
        <w:rPr>
          <w:rFonts w:ascii="Times New Roman" w:hAnsi="Times New Roman"/>
          <w:lang w:val="lt-LT"/>
        </w:rPr>
        <w:t>progest</w:t>
      </w:r>
      <w:r w:rsidR="001D081E">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terapija ilgiau kaip 5 metus, yra iki 2 kartų didesnė tikimybė, kad bus diagnozuotas krūties vėžys.</w:t>
      </w:r>
    </w:p>
    <w:p w14:paraId="1BCA0BEA" w14:textId="77777777" w:rsidR="00A51A1D" w:rsidRPr="00940D54" w:rsidRDefault="00A51A1D" w:rsidP="006815BA">
      <w:pPr>
        <w:keepNext/>
        <w:spacing w:after="0" w:line="240" w:lineRule="auto"/>
        <w:contextualSpacing/>
        <w:outlineLvl w:val="0"/>
        <w:rPr>
          <w:rFonts w:ascii="Times New Roman" w:hAnsi="Times New Roman"/>
          <w:lang w:val="lt-LT"/>
        </w:rPr>
      </w:pPr>
    </w:p>
    <w:p w14:paraId="3137D3BF" w14:textId="50353B2A" w:rsidR="00A51A1D" w:rsidRPr="00940D54" w:rsidRDefault="00AF0416"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Padidėjusi</w:t>
      </w:r>
      <w:r w:rsidR="00A51A1D" w:rsidRPr="00940D54">
        <w:rPr>
          <w:rFonts w:ascii="Times New Roman" w:hAnsi="Times New Roman"/>
          <w:lang w:val="lt-LT"/>
        </w:rPr>
        <w:t xml:space="preserve"> rizika moterims, kurios vartoja vienų estrogenų preparatus, yra mažesnė nei moterims, kurios vartoja estrogenų ir </w:t>
      </w:r>
      <w:proofErr w:type="spellStart"/>
      <w:r w:rsidR="00A51A1D" w:rsidRPr="00940D54">
        <w:rPr>
          <w:rFonts w:ascii="Times New Roman" w:hAnsi="Times New Roman"/>
          <w:lang w:val="lt-LT"/>
        </w:rPr>
        <w:t>progest</w:t>
      </w:r>
      <w:r w:rsidR="001D081E">
        <w:rPr>
          <w:rFonts w:ascii="Times New Roman" w:hAnsi="Times New Roman"/>
          <w:lang w:val="lt-LT"/>
        </w:rPr>
        <w:t>o</w:t>
      </w:r>
      <w:r w:rsidR="00A51A1D" w:rsidRPr="00940D54">
        <w:rPr>
          <w:rFonts w:ascii="Times New Roman" w:hAnsi="Times New Roman"/>
          <w:lang w:val="lt-LT"/>
        </w:rPr>
        <w:t>genų</w:t>
      </w:r>
      <w:proofErr w:type="spellEnd"/>
      <w:r w:rsidR="00A51A1D" w:rsidRPr="00940D54">
        <w:rPr>
          <w:rFonts w:ascii="Times New Roman" w:hAnsi="Times New Roman"/>
          <w:lang w:val="lt-LT"/>
        </w:rPr>
        <w:t xml:space="preserve"> derinius.</w:t>
      </w:r>
    </w:p>
    <w:p w14:paraId="45C301A8" w14:textId="77777777" w:rsidR="00A51A1D" w:rsidRPr="00940D54" w:rsidRDefault="00A51A1D" w:rsidP="00A51A1D">
      <w:pPr>
        <w:spacing w:after="0" w:line="240" w:lineRule="auto"/>
        <w:contextualSpacing/>
        <w:outlineLvl w:val="0"/>
        <w:rPr>
          <w:rFonts w:ascii="Times New Roman" w:hAnsi="Times New Roman"/>
          <w:lang w:val="lt-LT"/>
        </w:rPr>
      </w:pPr>
    </w:p>
    <w:p w14:paraId="65235781" w14:textId="6AE3CFAB"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Rizikos laipsnis priklauso nuo vartojimo trukmės (žr.</w:t>
      </w:r>
      <w:r w:rsidR="00453AA9">
        <w:rPr>
          <w:rFonts w:ascii="Times New Roman" w:hAnsi="Times New Roman"/>
          <w:lang w:val="lt-LT"/>
        </w:rPr>
        <w:t> </w:t>
      </w:r>
      <w:r w:rsidRPr="00940D54">
        <w:rPr>
          <w:rFonts w:ascii="Times New Roman" w:hAnsi="Times New Roman"/>
          <w:lang w:val="lt-LT"/>
        </w:rPr>
        <w:t>4.4 skyrių).</w:t>
      </w:r>
    </w:p>
    <w:p w14:paraId="651A1795" w14:textId="443D6624" w:rsidR="00AF0416" w:rsidRPr="00940D54" w:rsidRDefault="00AF0416" w:rsidP="00AF0416">
      <w:pPr>
        <w:pStyle w:val="Default"/>
        <w:rPr>
          <w:rFonts w:ascii="Verdana" w:eastAsiaTheme="minorHAnsi" w:hAnsi="Verdana" w:cs="Verdana"/>
          <w:lang w:val="lt-LT" w:eastAsia="en-US"/>
        </w:rPr>
      </w:pPr>
    </w:p>
    <w:p w14:paraId="35078AB1" w14:textId="2B7B1CBC" w:rsidR="00AF0416" w:rsidRPr="00940D54" w:rsidRDefault="00AF0416" w:rsidP="00AF0416">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lastRenderedPageBreak/>
        <w:t xml:space="preserve">Pateikiami remiantis didžiausio atsitiktinių imčių, placebu kontroliuojamo tyrimo (WHI) ir didžiausios apimties </w:t>
      </w:r>
      <w:proofErr w:type="spellStart"/>
      <w:r w:rsidRPr="00940D54">
        <w:rPr>
          <w:rFonts w:ascii="Times New Roman" w:eastAsiaTheme="minorHAnsi" w:hAnsi="Times New Roman"/>
          <w:color w:val="000000"/>
          <w:lang w:val="lt-LT"/>
        </w:rPr>
        <w:t>prospektyvinių</w:t>
      </w:r>
      <w:proofErr w:type="spellEnd"/>
      <w:r w:rsidRPr="00940D54">
        <w:rPr>
          <w:rFonts w:ascii="Times New Roman" w:eastAsiaTheme="minorHAnsi" w:hAnsi="Times New Roman"/>
          <w:color w:val="000000"/>
          <w:lang w:val="lt-LT"/>
        </w:rPr>
        <w:t xml:space="preserve"> epidemiologinių tyrimų (MWS) </w:t>
      </w:r>
      <w:proofErr w:type="spellStart"/>
      <w:r w:rsidRPr="00940D54">
        <w:rPr>
          <w:rFonts w:ascii="Times New Roman" w:eastAsiaTheme="minorHAnsi" w:hAnsi="Times New Roman"/>
          <w:color w:val="000000"/>
          <w:lang w:val="lt-LT"/>
        </w:rPr>
        <w:t>metaanalizės</w:t>
      </w:r>
      <w:proofErr w:type="spellEnd"/>
      <w:r w:rsidRPr="00940D54">
        <w:rPr>
          <w:rFonts w:ascii="Times New Roman" w:eastAsiaTheme="minorHAnsi" w:hAnsi="Times New Roman"/>
          <w:color w:val="000000"/>
          <w:lang w:val="lt-LT"/>
        </w:rPr>
        <w:t xml:space="preserve"> rezultatais pagrįsti absoliučios rizikos įverčiai. </w:t>
      </w:r>
    </w:p>
    <w:p w14:paraId="1A81B580" w14:textId="77777777" w:rsidR="00A51A1D" w:rsidRPr="00940D54" w:rsidRDefault="00A51A1D" w:rsidP="00A51A1D">
      <w:pPr>
        <w:spacing w:after="0" w:line="240" w:lineRule="auto"/>
        <w:contextualSpacing/>
        <w:outlineLvl w:val="0"/>
        <w:rPr>
          <w:rFonts w:ascii="Times New Roman" w:hAnsi="Times New Roman"/>
          <w:lang w:val="lt-LT"/>
        </w:rPr>
      </w:pPr>
    </w:p>
    <w:p w14:paraId="2B8351D0" w14:textId="38E4A425" w:rsidR="00AF0416" w:rsidRPr="00940D54" w:rsidRDefault="00AF0416" w:rsidP="00A51A1D">
      <w:pPr>
        <w:keepNext/>
        <w:spacing w:after="0" w:line="240" w:lineRule="auto"/>
        <w:rPr>
          <w:rFonts w:ascii="Times New Roman" w:hAnsi="Times New Roman"/>
          <w:b/>
          <w:bCs/>
          <w:lang w:val="lt-LT"/>
        </w:rPr>
      </w:pPr>
      <w:r w:rsidRPr="00940D54">
        <w:rPr>
          <w:rFonts w:ascii="Times New Roman" w:hAnsi="Times New Roman"/>
          <w:b/>
          <w:bCs/>
          <w:lang w:val="lt-LT"/>
        </w:rPr>
        <w:t xml:space="preserve">Didžiausios apimties </w:t>
      </w:r>
      <w:proofErr w:type="spellStart"/>
      <w:r w:rsidRPr="00940D54">
        <w:rPr>
          <w:rFonts w:ascii="Times New Roman" w:hAnsi="Times New Roman"/>
          <w:b/>
          <w:bCs/>
          <w:lang w:val="lt-LT"/>
        </w:rPr>
        <w:t>prospektyvinių</w:t>
      </w:r>
      <w:proofErr w:type="spellEnd"/>
      <w:r w:rsidRPr="00940D54">
        <w:rPr>
          <w:rFonts w:ascii="Times New Roman" w:hAnsi="Times New Roman"/>
          <w:b/>
          <w:bCs/>
          <w:lang w:val="lt-LT"/>
        </w:rPr>
        <w:t xml:space="preserve"> epidemiologinių tyrimų </w:t>
      </w:r>
      <w:proofErr w:type="spellStart"/>
      <w:r w:rsidRPr="00940D54">
        <w:rPr>
          <w:rFonts w:ascii="Times New Roman" w:hAnsi="Times New Roman"/>
          <w:b/>
          <w:bCs/>
          <w:lang w:val="lt-LT"/>
        </w:rPr>
        <w:t>metaanalizė</w:t>
      </w:r>
      <w:proofErr w:type="spellEnd"/>
    </w:p>
    <w:p w14:paraId="3679ED85" w14:textId="77777777" w:rsidR="008F2E3A" w:rsidRPr="00940D54" w:rsidRDefault="008F2E3A" w:rsidP="00A51A1D">
      <w:pPr>
        <w:keepNext/>
        <w:spacing w:after="0" w:line="240" w:lineRule="auto"/>
        <w:rPr>
          <w:rFonts w:ascii="Times New Roman" w:hAnsi="Times New Roman"/>
          <w:b/>
          <w:bCs/>
          <w:lang w:val="lt-LT"/>
        </w:rPr>
      </w:pPr>
    </w:p>
    <w:p w14:paraId="7D1CC0DE" w14:textId="31900FB1" w:rsidR="00A51A1D" w:rsidRPr="00940D54" w:rsidRDefault="00AF0416" w:rsidP="00A51A1D">
      <w:pPr>
        <w:keepNext/>
        <w:spacing w:after="0" w:line="240" w:lineRule="auto"/>
        <w:rPr>
          <w:rFonts w:ascii="Times New Roman" w:eastAsiaTheme="minorHAnsi" w:hAnsi="Times New Roman"/>
          <w:b/>
          <w:bCs/>
          <w:lang w:val="lt-LT"/>
        </w:rPr>
      </w:pPr>
      <w:r w:rsidRPr="00940D54">
        <w:rPr>
          <w:rFonts w:ascii="Times New Roman" w:hAnsi="Times New Roman"/>
          <w:b/>
          <w:bCs/>
          <w:lang w:val="lt-LT"/>
        </w:rPr>
        <w:t>A</w:t>
      </w:r>
      <w:r w:rsidR="00A51A1D" w:rsidRPr="00940D54">
        <w:rPr>
          <w:rFonts w:ascii="Times New Roman" w:hAnsi="Times New Roman"/>
          <w:b/>
          <w:bCs/>
          <w:lang w:val="lt-LT"/>
        </w:rPr>
        <w:t xml:space="preserve">pskaičiuotoji papildoma krūties vėžio rizika po 5 </w:t>
      </w:r>
      <w:r w:rsidRPr="00940D54">
        <w:rPr>
          <w:rFonts w:ascii="Times New Roman" w:hAnsi="Times New Roman"/>
          <w:b/>
          <w:bCs/>
          <w:lang w:val="lt-LT"/>
        </w:rPr>
        <w:t xml:space="preserve">metų </w:t>
      </w:r>
      <w:r w:rsidR="00A51A1D" w:rsidRPr="00940D54">
        <w:rPr>
          <w:rFonts w:ascii="Times New Roman" w:hAnsi="Times New Roman"/>
          <w:b/>
          <w:bCs/>
          <w:lang w:val="lt-LT"/>
        </w:rPr>
        <w:t>vartojimo</w:t>
      </w:r>
      <w:r w:rsidRPr="00940D54">
        <w:rPr>
          <w:rFonts w:ascii="Times New Roman" w:hAnsi="Times New Roman"/>
          <w:b/>
          <w:bCs/>
          <w:lang w:val="lt-LT"/>
        </w:rPr>
        <w:t>, kylanti moterims, kurių KMI – 27 (kg/m</w:t>
      </w:r>
      <w:r w:rsidRPr="00940D54">
        <w:rPr>
          <w:rFonts w:ascii="Times New Roman" w:hAnsi="Times New Roman"/>
          <w:b/>
          <w:bCs/>
          <w:vertAlign w:val="superscript"/>
          <w:lang w:val="lt-LT"/>
        </w:rPr>
        <w:t>2</w:t>
      </w:r>
      <w:r w:rsidRPr="00940D54">
        <w:rPr>
          <w:rFonts w:ascii="Times New Roman" w:hAnsi="Times New Roman"/>
          <w:b/>
          <w:bCs/>
          <w:lang w:val="lt-LT"/>
        </w:rPr>
        <w:t>)</w:t>
      </w:r>
      <w:r w:rsidR="00A51A1D" w:rsidRPr="00940D54">
        <w:rPr>
          <w:rFonts w:ascii="Times New Roman" w:hAnsi="Times New Roman"/>
          <w:b/>
          <w:bCs/>
          <w:lang w:val="lt-LT"/>
        </w:rPr>
        <w:t xml:space="preserve"> </w:t>
      </w:r>
    </w:p>
    <w:p w14:paraId="53200EE4" w14:textId="77777777" w:rsidR="00A51A1D" w:rsidRPr="00940D54" w:rsidRDefault="00A51A1D" w:rsidP="00A51A1D">
      <w:pPr>
        <w:keepNext/>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36"/>
        <w:gridCol w:w="2335"/>
        <w:gridCol w:w="2336"/>
      </w:tblGrid>
      <w:tr w:rsidR="001E43D9" w:rsidRPr="006815BA" w14:paraId="67E467A8" w14:textId="77777777" w:rsidTr="00BF0B13">
        <w:tc>
          <w:tcPr>
            <w:tcW w:w="1951" w:type="dxa"/>
          </w:tcPr>
          <w:p w14:paraId="0FE81F9E" w14:textId="441E73EA" w:rsidR="00A51A1D" w:rsidRPr="00940D54" w:rsidRDefault="00A51A1D" w:rsidP="00BF0B13">
            <w:pPr>
              <w:keepNext/>
              <w:spacing w:after="0" w:line="240" w:lineRule="auto"/>
              <w:rPr>
                <w:rFonts w:ascii="Times New Roman" w:hAnsi="Times New Roman"/>
                <w:lang w:val="lt-LT"/>
              </w:rPr>
            </w:pPr>
            <w:r w:rsidRPr="00940D54">
              <w:rPr>
                <w:rFonts w:ascii="Times New Roman" w:hAnsi="Times New Roman"/>
                <w:lang w:val="lt-LT"/>
              </w:rPr>
              <w:t>Amžius</w:t>
            </w:r>
            <w:r w:rsidR="001E43D9" w:rsidRPr="00940D54">
              <w:rPr>
                <w:rFonts w:ascii="Times New Roman" w:hAnsi="Times New Roman"/>
                <w:lang w:val="lt-LT"/>
              </w:rPr>
              <w:t xml:space="preserve"> pradedant PHT</w:t>
            </w:r>
            <w:r w:rsidRPr="00940D54">
              <w:rPr>
                <w:rFonts w:ascii="Times New Roman" w:hAnsi="Times New Roman"/>
                <w:lang w:val="lt-LT"/>
              </w:rPr>
              <w:t xml:space="preserve"> (metai)</w:t>
            </w:r>
          </w:p>
        </w:tc>
        <w:tc>
          <w:tcPr>
            <w:tcW w:w="2344" w:type="dxa"/>
          </w:tcPr>
          <w:p w14:paraId="57119B42" w14:textId="41B74725" w:rsidR="00A51A1D" w:rsidRPr="00940D54" w:rsidRDefault="001E43D9"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A</w:t>
            </w:r>
            <w:r w:rsidR="00A51A1D" w:rsidRPr="00940D54">
              <w:rPr>
                <w:rFonts w:ascii="Times New Roman" w:hAnsi="Times New Roman"/>
                <w:lang w:val="lt-LT"/>
              </w:rPr>
              <w:t xml:space="preserve">tvejų </w:t>
            </w:r>
            <w:r w:rsidRPr="00940D54">
              <w:rPr>
                <w:rFonts w:ascii="Times New Roman" w:hAnsi="Times New Roman"/>
                <w:lang w:val="lt-LT"/>
              </w:rPr>
              <w:t xml:space="preserve">skaičius </w:t>
            </w:r>
            <w:r w:rsidR="00A51A1D" w:rsidRPr="00940D54">
              <w:rPr>
                <w:rFonts w:ascii="Times New Roman" w:hAnsi="Times New Roman"/>
                <w:lang w:val="lt-LT"/>
              </w:rPr>
              <w:t>1000</w:t>
            </w:r>
            <w:r w:rsidR="00A51A1D" w:rsidRPr="00940D54">
              <w:rPr>
                <w:rFonts w:ascii="Times New Roman" w:hAnsi="Times New Roman"/>
                <w:lang w:val="lt-LT"/>
              </w:rPr>
              <w:noBreakHyphen/>
              <w:t xml:space="preserve">iui </w:t>
            </w:r>
            <w:r w:rsidRPr="00940D54">
              <w:rPr>
                <w:rFonts w:ascii="Times New Roman" w:hAnsi="Times New Roman"/>
                <w:lang w:val="lt-LT"/>
              </w:rPr>
              <w:t>pacienčių, kurioms netaikyta</w:t>
            </w:r>
            <w:r w:rsidR="00A51A1D" w:rsidRPr="00940D54">
              <w:rPr>
                <w:rFonts w:ascii="Times New Roman" w:hAnsi="Times New Roman"/>
                <w:lang w:val="lt-LT"/>
              </w:rPr>
              <w:t xml:space="preserve"> PHT</w:t>
            </w:r>
            <w:r w:rsidRPr="00940D54">
              <w:rPr>
                <w:rFonts w:ascii="Times New Roman" w:hAnsi="Times New Roman"/>
                <w:lang w:val="lt-LT"/>
              </w:rPr>
              <w:t>,</w:t>
            </w:r>
            <w:r w:rsidR="00A51A1D" w:rsidRPr="00940D54">
              <w:rPr>
                <w:rFonts w:ascii="Times New Roman" w:hAnsi="Times New Roman"/>
                <w:lang w:val="lt-LT"/>
              </w:rPr>
              <w:t xml:space="preserve"> per 5 metų laikotarpį </w:t>
            </w:r>
            <w:r w:rsidRPr="00940D54">
              <w:rPr>
                <w:rFonts w:ascii="Times New Roman" w:hAnsi="Times New Roman"/>
                <w:lang w:val="lt-LT"/>
              </w:rPr>
              <w:t>(50-</w:t>
            </w:r>
            <w:r w:rsidR="003B0C1C" w:rsidRPr="00940D54">
              <w:rPr>
                <w:rFonts w:ascii="Times New Roman" w:hAnsi="Times New Roman"/>
                <w:lang w:val="lt-LT"/>
              </w:rPr>
              <w:t>5</w:t>
            </w:r>
            <w:r w:rsidRPr="00940D54">
              <w:rPr>
                <w:rFonts w:ascii="Times New Roman" w:hAnsi="Times New Roman"/>
                <w:lang w:val="lt-LT"/>
              </w:rPr>
              <w:t>4</w:t>
            </w:r>
            <w:r w:rsidR="00453AA9">
              <w:rPr>
                <w:rFonts w:ascii="Times New Roman" w:hAnsi="Times New Roman"/>
                <w:lang w:val="lt-LT"/>
              </w:rPr>
              <w:t> </w:t>
            </w:r>
            <w:r w:rsidRPr="00940D54">
              <w:rPr>
                <w:rFonts w:ascii="Times New Roman" w:hAnsi="Times New Roman"/>
                <w:lang w:val="lt-LT"/>
              </w:rPr>
              <w:t>metai)</w:t>
            </w:r>
            <w:r w:rsidR="00A51A1D" w:rsidRPr="00940D54">
              <w:rPr>
                <w:rFonts w:ascii="Times New Roman" w:hAnsi="Times New Roman"/>
                <w:lang w:val="lt-LT"/>
              </w:rPr>
              <w:t>*</w:t>
            </w:r>
          </w:p>
        </w:tc>
        <w:tc>
          <w:tcPr>
            <w:tcW w:w="2344" w:type="dxa"/>
          </w:tcPr>
          <w:p w14:paraId="597E08EB" w14:textId="69603628" w:rsidR="00A51A1D" w:rsidRPr="00940D54" w:rsidRDefault="001E43D9"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Rizikos santykis</w:t>
            </w:r>
          </w:p>
        </w:tc>
        <w:tc>
          <w:tcPr>
            <w:tcW w:w="2344" w:type="dxa"/>
          </w:tcPr>
          <w:p w14:paraId="53290652" w14:textId="14E6D59A"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Papildom</w:t>
            </w:r>
            <w:r w:rsidR="001E43D9" w:rsidRPr="00940D54">
              <w:rPr>
                <w:rFonts w:ascii="Times New Roman" w:hAnsi="Times New Roman"/>
                <w:lang w:val="lt-LT"/>
              </w:rPr>
              <w:t>i</w:t>
            </w:r>
            <w:r w:rsidRPr="00940D54">
              <w:rPr>
                <w:rFonts w:ascii="Times New Roman" w:hAnsi="Times New Roman"/>
                <w:lang w:val="lt-LT"/>
              </w:rPr>
              <w:t xml:space="preserve"> atvej</w:t>
            </w:r>
            <w:r w:rsidR="001E43D9" w:rsidRPr="00940D54">
              <w:rPr>
                <w:rFonts w:ascii="Times New Roman" w:hAnsi="Times New Roman"/>
                <w:lang w:val="lt-LT"/>
              </w:rPr>
              <w:t>ai</w:t>
            </w:r>
            <w:r w:rsidRPr="00940D54">
              <w:rPr>
                <w:rFonts w:ascii="Times New Roman" w:hAnsi="Times New Roman"/>
                <w:lang w:val="lt-LT"/>
              </w:rPr>
              <w:t xml:space="preserve"> 1000</w:t>
            </w:r>
            <w:r w:rsidRPr="00940D54">
              <w:rPr>
                <w:rFonts w:ascii="Times New Roman" w:hAnsi="Times New Roman"/>
                <w:lang w:val="lt-LT"/>
              </w:rPr>
              <w:noBreakHyphen/>
              <w:t xml:space="preserve">iui PHT </w:t>
            </w:r>
            <w:r w:rsidR="001E43D9" w:rsidRPr="00940D54">
              <w:rPr>
                <w:rFonts w:ascii="Times New Roman" w:hAnsi="Times New Roman"/>
                <w:lang w:val="lt-LT"/>
              </w:rPr>
              <w:t xml:space="preserve">preparatų </w:t>
            </w:r>
            <w:r w:rsidRPr="00940D54">
              <w:rPr>
                <w:rFonts w:ascii="Times New Roman" w:hAnsi="Times New Roman"/>
                <w:lang w:val="lt-LT"/>
              </w:rPr>
              <w:t>varto</w:t>
            </w:r>
            <w:r w:rsidR="001E43D9" w:rsidRPr="00940D54">
              <w:rPr>
                <w:rFonts w:ascii="Times New Roman" w:hAnsi="Times New Roman"/>
                <w:lang w:val="lt-LT"/>
              </w:rPr>
              <w:t xml:space="preserve">tojų po </w:t>
            </w:r>
            <w:r w:rsidRPr="00940D54">
              <w:rPr>
                <w:rFonts w:ascii="Times New Roman" w:hAnsi="Times New Roman"/>
                <w:lang w:val="lt-LT"/>
              </w:rPr>
              <w:t xml:space="preserve">5 metų </w:t>
            </w:r>
          </w:p>
        </w:tc>
      </w:tr>
      <w:tr w:rsidR="00A51A1D" w:rsidRPr="006815BA" w14:paraId="29591D24" w14:textId="77777777" w:rsidTr="00BF0B13">
        <w:trPr>
          <w:trHeight w:val="179"/>
        </w:trPr>
        <w:tc>
          <w:tcPr>
            <w:tcW w:w="8983" w:type="dxa"/>
            <w:gridSpan w:val="4"/>
          </w:tcPr>
          <w:p w14:paraId="40697923" w14:textId="769D3ADA" w:rsidR="00A51A1D" w:rsidRPr="00940D54" w:rsidRDefault="00A51A1D" w:rsidP="00BF0B13">
            <w:pPr>
              <w:keepNext/>
              <w:spacing w:after="0" w:line="240" w:lineRule="auto"/>
              <w:jc w:val="center"/>
              <w:rPr>
                <w:rFonts w:ascii="Times New Roman" w:hAnsi="Times New Roman"/>
                <w:b/>
                <w:lang w:val="lt-LT"/>
              </w:rPr>
            </w:pPr>
            <w:r w:rsidRPr="00940D54">
              <w:rPr>
                <w:rFonts w:ascii="Times New Roman" w:hAnsi="Times New Roman"/>
                <w:b/>
                <w:lang w:val="lt-LT"/>
              </w:rPr>
              <w:t>PHT</w:t>
            </w:r>
            <w:r w:rsidR="001E43D9" w:rsidRPr="00940D54">
              <w:rPr>
                <w:rFonts w:ascii="Times New Roman" w:hAnsi="Times New Roman"/>
                <w:b/>
                <w:lang w:val="lt-LT"/>
              </w:rPr>
              <w:t xml:space="preserve"> preparatai, kurių sudėtyje yra tik estrogeno</w:t>
            </w:r>
          </w:p>
        </w:tc>
      </w:tr>
      <w:tr w:rsidR="001E43D9" w:rsidRPr="00940D54" w14:paraId="225C2602" w14:textId="77777777" w:rsidTr="00BF0B13">
        <w:tc>
          <w:tcPr>
            <w:tcW w:w="1951" w:type="dxa"/>
          </w:tcPr>
          <w:p w14:paraId="5ABFB75B" w14:textId="5AD64C0F" w:rsidR="00A51A1D" w:rsidRPr="00940D54" w:rsidRDefault="001E43D9"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p>
        </w:tc>
        <w:tc>
          <w:tcPr>
            <w:tcW w:w="2344" w:type="dxa"/>
          </w:tcPr>
          <w:p w14:paraId="07EA10A1" w14:textId="6A30B729" w:rsidR="00A51A1D" w:rsidRPr="00940D54" w:rsidRDefault="001E43D9" w:rsidP="00BF0B13">
            <w:pPr>
              <w:spacing w:after="0" w:line="240" w:lineRule="auto"/>
              <w:contextualSpacing/>
              <w:outlineLvl w:val="0"/>
              <w:rPr>
                <w:rFonts w:ascii="Times New Roman" w:hAnsi="Times New Roman"/>
                <w:lang w:val="lt-LT"/>
              </w:rPr>
            </w:pPr>
            <w:r w:rsidRPr="00940D54">
              <w:rPr>
                <w:rFonts w:ascii="Times New Roman" w:hAnsi="Times New Roman"/>
                <w:lang w:val="lt-LT"/>
              </w:rPr>
              <w:t>13,3</w:t>
            </w:r>
          </w:p>
        </w:tc>
        <w:tc>
          <w:tcPr>
            <w:tcW w:w="2344" w:type="dxa"/>
          </w:tcPr>
          <w:p w14:paraId="398C998D"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1,2</w:t>
            </w:r>
          </w:p>
        </w:tc>
        <w:tc>
          <w:tcPr>
            <w:tcW w:w="2344" w:type="dxa"/>
          </w:tcPr>
          <w:p w14:paraId="61EB7E60" w14:textId="2500DD3E" w:rsidR="00A51A1D" w:rsidRPr="00940D54" w:rsidRDefault="008F2E3A" w:rsidP="00BF0B13">
            <w:pPr>
              <w:spacing w:after="0" w:line="240" w:lineRule="auto"/>
              <w:contextualSpacing/>
              <w:outlineLvl w:val="0"/>
              <w:rPr>
                <w:rFonts w:ascii="Times New Roman" w:hAnsi="Times New Roman"/>
                <w:lang w:val="lt-LT"/>
              </w:rPr>
            </w:pPr>
            <w:r w:rsidRPr="00940D54">
              <w:rPr>
                <w:rFonts w:ascii="Times New Roman" w:hAnsi="Times New Roman"/>
                <w:lang w:val="lt-LT"/>
              </w:rPr>
              <w:t>2,7</w:t>
            </w:r>
          </w:p>
        </w:tc>
      </w:tr>
      <w:tr w:rsidR="00A51A1D" w:rsidRPr="006815BA" w14:paraId="3B299C0F" w14:textId="77777777" w:rsidTr="00BF0B13">
        <w:tc>
          <w:tcPr>
            <w:tcW w:w="8983" w:type="dxa"/>
            <w:gridSpan w:val="4"/>
          </w:tcPr>
          <w:p w14:paraId="442ADB3D" w14:textId="252BA735" w:rsidR="00A51A1D" w:rsidRPr="00940D54" w:rsidRDefault="008F2E3A" w:rsidP="004D7549">
            <w:pPr>
              <w:pStyle w:val="Default"/>
              <w:jc w:val="center"/>
              <w:rPr>
                <w:b/>
                <w:lang w:val="lt-LT"/>
              </w:rPr>
            </w:pPr>
            <w:r w:rsidRPr="00253783">
              <w:rPr>
                <w:b/>
                <w:bCs/>
                <w:sz w:val="22"/>
                <w:szCs w:val="22"/>
                <w:lang w:val="lt-LT"/>
              </w:rPr>
              <w:t xml:space="preserve">Sudėtiniai preparatai, kuriuose yra estrogeno ir </w:t>
            </w:r>
            <w:proofErr w:type="spellStart"/>
            <w:r w:rsidR="00E1018C" w:rsidRPr="00253783">
              <w:rPr>
                <w:b/>
                <w:bCs/>
                <w:sz w:val="22"/>
                <w:szCs w:val="22"/>
                <w:lang w:val="lt-LT"/>
              </w:rPr>
              <w:t>progest</w:t>
            </w:r>
            <w:r w:rsidR="00E1018C">
              <w:rPr>
                <w:b/>
                <w:bCs/>
                <w:sz w:val="22"/>
                <w:szCs w:val="22"/>
                <w:lang w:val="lt-LT"/>
              </w:rPr>
              <w:t>o</w:t>
            </w:r>
            <w:r w:rsidR="00E1018C" w:rsidRPr="00253783">
              <w:rPr>
                <w:b/>
                <w:bCs/>
                <w:sz w:val="22"/>
                <w:szCs w:val="22"/>
                <w:lang w:val="lt-LT"/>
              </w:rPr>
              <w:t>geno</w:t>
            </w:r>
            <w:proofErr w:type="spellEnd"/>
            <w:r w:rsidR="00E1018C" w:rsidRPr="00253783">
              <w:rPr>
                <w:b/>
                <w:bCs/>
                <w:sz w:val="22"/>
                <w:szCs w:val="22"/>
                <w:lang w:val="lt-LT"/>
              </w:rPr>
              <w:t xml:space="preserve"> </w:t>
            </w:r>
            <w:r w:rsidRPr="00253783">
              <w:rPr>
                <w:b/>
                <w:bCs/>
                <w:sz w:val="22"/>
                <w:szCs w:val="22"/>
                <w:lang w:val="lt-LT"/>
              </w:rPr>
              <w:t xml:space="preserve">derinio </w:t>
            </w:r>
          </w:p>
        </w:tc>
      </w:tr>
      <w:tr w:rsidR="001E43D9" w:rsidRPr="00940D54" w14:paraId="54AA0633" w14:textId="77777777" w:rsidTr="00BF0B13">
        <w:tc>
          <w:tcPr>
            <w:tcW w:w="1951" w:type="dxa"/>
          </w:tcPr>
          <w:p w14:paraId="4654D0AD" w14:textId="4EFE1E56"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p>
        </w:tc>
        <w:tc>
          <w:tcPr>
            <w:tcW w:w="2344" w:type="dxa"/>
          </w:tcPr>
          <w:p w14:paraId="3ED665E6" w14:textId="05DEAB2D" w:rsidR="00A51A1D" w:rsidRPr="00940D54" w:rsidRDefault="008F2E3A" w:rsidP="00BF0B13">
            <w:pPr>
              <w:spacing w:after="0" w:line="240" w:lineRule="auto"/>
              <w:contextualSpacing/>
              <w:outlineLvl w:val="0"/>
              <w:rPr>
                <w:rFonts w:ascii="Times New Roman" w:hAnsi="Times New Roman"/>
                <w:lang w:val="lt-LT"/>
              </w:rPr>
            </w:pPr>
            <w:r w:rsidRPr="00940D54">
              <w:rPr>
                <w:rFonts w:ascii="Times New Roman" w:hAnsi="Times New Roman"/>
                <w:lang w:val="lt-LT"/>
              </w:rPr>
              <w:t>13,3</w:t>
            </w:r>
          </w:p>
        </w:tc>
        <w:tc>
          <w:tcPr>
            <w:tcW w:w="2344" w:type="dxa"/>
          </w:tcPr>
          <w:p w14:paraId="420FF55B" w14:textId="4A59A055"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w:t>
            </w:r>
            <w:r w:rsidR="008F2E3A" w:rsidRPr="00940D54">
              <w:rPr>
                <w:rFonts w:ascii="Times New Roman" w:hAnsi="Times New Roman"/>
                <w:lang w:val="lt-LT"/>
              </w:rPr>
              <w:t>6</w:t>
            </w:r>
          </w:p>
        </w:tc>
        <w:tc>
          <w:tcPr>
            <w:tcW w:w="2344" w:type="dxa"/>
          </w:tcPr>
          <w:p w14:paraId="794484DD" w14:textId="6B68C58D" w:rsidR="00A51A1D" w:rsidRPr="00940D54" w:rsidRDefault="008F2E3A"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8,0</w:t>
            </w:r>
          </w:p>
        </w:tc>
      </w:tr>
      <w:tr w:rsidR="00A51A1D" w:rsidRPr="006815BA" w14:paraId="37000983" w14:textId="77777777" w:rsidTr="00BF0B13">
        <w:tc>
          <w:tcPr>
            <w:tcW w:w="8983" w:type="dxa"/>
            <w:gridSpan w:val="4"/>
          </w:tcPr>
          <w:p w14:paraId="19BCAC5E" w14:textId="0ABD46DC"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w:t>
            </w:r>
            <w:r w:rsidR="008F2E3A" w:rsidRPr="00940D54">
              <w:rPr>
                <w:b/>
                <w:bCs/>
                <w:sz w:val="18"/>
                <w:szCs w:val="18"/>
                <w:lang w:val="lt-LT"/>
              </w:rPr>
              <w:t xml:space="preserve"> </w:t>
            </w:r>
            <w:r w:rsidR="008F2E3A" w:rsidRPr="00940D54">
              <w:rPr>
                <w:rFonts w:ascii="Times New Roman" w:hAnsi="Times New Roman"/>
                <w:lang w:val="lt-LT"/>
              </w:rPr>
              <w:t>Remiantis pradiniais atvejų skaičiais, kurie buvo nustatyti Anglijoje 2015</w:t>
            </w:r>
            <w:r w:rsidR="00453AA9">
              <w:rPr>
                <w:rFonts w:ascii="Times New Roman" w:hAnsi="Times New Roman"/>
                <w:lang w:val="lt-LT"/>
              </w:rPr>
              <w:t> </w:t>
            </w:r>
            <w:r w:rsidR="008F2E3A" w:rsidRPr="00940D54">
              <w:rPr>
                <w:rFonts w:ascii="Times New Roman" w:hAnsi="Times New Roman"/>
                <w:lang w:val="lt-LT"/>
              </w:rPr>
              <w:t>m., ištyrus moteris, kurių KMI – 27 (kg/m</w:t>
            </w:r>
            <w:r w:rsidR="008F2E3A" w:rsidRPr="00940D54">
              <w:rPr>
                <w:rFonts w:ascii="Times New Roman" w:hAnsi="Times New Roman"/>
                <w:vertAlign w:val="superscript"/>
                <w:lang w:val="lt-LT"/>
              </w:rPr>
              <w:t>2</w:t>
            </w:r>
            <w:r w:rsidR="008F2E3A" w:rsidRPr="00940D54">
              <w:rPr>
                <w:rFonts w:ascii="Times New Roman" w:hAnsi="Times New Roman"/>
                <w:lang w:val="lt-LT"/>
              </w:rPr>
              <w:t>).</w:t>
            </w:r>
          </w:p>
          <w:p w14:paraId="465B48AE" w14:textId="64AAB264"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Pastaba. </w:t>
            </w:r>
            <w:r w:rsidR="003B0C1C" w:rsidRPr="00940D54">
              <w:rPr>
                <w:rFonts w:ascii="Times New Roman" w:hAnsi="Times New Roman"/>
                <w:lang w:val="lt-LT"/>
              </w:rPr>
              <w:t>Kadangi bendrieji sergamumo krūties vėžiu rodikliai įvairiose ES šalyse yra skirtingi, papildomų krūties vėžio atvejų skaičius taip pat proporcingai keisis.</w:t>
            </w:r>
          </w:p>
        </w:tc>
      </w:tr>
    </w:tbl>
    <w:p w14:paraId="1779B950" w14:textId="2A579AC6" w:rsidR="00A51A1D" w:rsidRPr="00940D54" w:rsidRDefault="00A51A1D" w:rsidP="00A51A1D">
      <w:pPr>
        <w:spacing w:after="0" w:line="240" w:lineRule="auto"/>
        <w:contextualSpacing/>
        <w:outlineLvl w:val="0"/>
        <w:rPr>
          <w:rFonts w:ascii="Times New Roman" w:hAnsi="Times New Roman"/>
          <w:lang w:val="lt-LT"/>
        </w:rPr>
      </w:pPr>
    </w:p>
    <w:p w14:paraId="7DD96735" w14:textId="18594ED2" w:rsidR="008F2E3A" w:rsidRPr="00940D54" w:rsidRDefault="008F2E3A" w:rsidP="00A51A1D">
      <w:pPr>
        <w:spacing w:after="0" w:line="240" w:lineRule="auto"/>
        <w:contextualSpacing/>
        <w:outlineLvl w:val="0"/>
        <w:rPr>
          <w:rFonts w:ascii="Times New Roman" w:hAnsi="Times New Roman"/>
          <w:lang w:val="lt-LT"/>
        </w:rPr>
      </w:pPr>
    </w:p>
    <w:p w14:paraId="35319DCA" w14:textId="1A542A42" w:rsidR="008F2E3A" w:rsidRPr="00940D54" w:rsidRDefault="008F2E3A" w:rsidP="00A51A1D">
      <w:pPr>
        <w:spacing w:after="0" w:line="240" w:lineRule="auto"/>
        <w:contextualSpacing/>
        <w:outlineLvl w:val="0"/>
        <w:rPr>
          <w:rFonts w:ascii="Times New Roman" w:hAnsi="Times New Roman"/>
          <w:b/>
          <w:bCs/>
          <w:lang w:val="lt-LT"/>
        </w:rPr>
      </w:pPr>
      <w:r w:rsidRPr="00940D54">
        <w:rPr>
          <w:rFonts w:ascii="Times New Roman" w:hAnsi="Times New Roman"/>
          <w:b/>
          <w:bCs/>
          <w:lang w:val="lt-LT"/>
        </w:rPr>
        <w:t>Apskaičiuotoji papildoma krūties vėžio rizika po 10</w:t>
      </w:r>
      <w:r w:rsidR="00B83DFA">
        <w:rPr>
          <w:rFonts w:ascii="Times New Roman" w:hAnsi="Times New Roman"/>
          <w:b/>
          <w:bCs/>
          <w:lang w:val="lt-LT"/>
        </w:rPr>
        <w:t> </w:t>
      </w:r>
      <w:r w:rsidRPr="00940D54">
        <w:rPr>
          <w:rFonts w:ascii="Times New Roman" w:hAnsi="Times New Roman"/>
          <w:b/>
          <w:bCs/>
          <w:lang w:val="lt-LT"/>
        </w:rPr>
        <w:t>metų vartojimo, kylanti moterims, kurių KMI – 27 (kg/m</w:t>
      </w:r>
      <w:r w:rsidRPr="00940D54">
        <w:rPr>
          <w:rFonts w:ascii="Times New Roman" w:hAnsi="Times New Roman"/>
          <w:b/>
          <w:bCs/>
          <w:vertAlign w:val="superscript"/>
          <w:lang w:val="lt-LT"/>
        </w:rPr>
        <w:t>2</w:t>
      </w:r>
      <w:r w:rsidRPr="00940D54">
        <w:rPr>
          <w:rFonts w:ascii="Times New Roman" w:hAnsi="Times New Roman"/>
          <w:b/>
          <w:bCs/>
          <w:lang w:val="lt-LT"/>
        </w:rPr>
        <w:t>)</w:t>
      </w:r>
    </w:p>
    <w:p w14:paraId="669BD6DF" w14:textId="038F1044" w:rsidR="008F2E3A" w:rsidRPr="00940D54" w:rsidRDefault="008F2E3A" w:rsidP="00A51A1D">
      <w:pPr>
        <w:spacing w:after="0" w:line="240" w:lineRule="auto"/>
        <w:contextualSpacing/>
        <w:outlineLvl w:val="0"/>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36"/>
        <w:gridCol w:w="2335"/>
        <w:gridCol w:w="2336"/>
      </w:tblGrid>
      <w:tr w:rsidR="008F2E3A" w:rsidRPr="006815BA" w14:paraId="400D46C6" w14:textId="77777777" w:rsidTr="00D64C33">
        <w:tc>
          <w:tcPr>
            <w:tcW w:w="1951" w:type="dxa"/>
          </w:tcPr>
          <w:p w14:paraId="5B716B05" w14:textId="6F6FA281" w:rsidR="008F2E3A" w:rsidRPr="00940D54" w:rsidRDefault="008F2E3A" w:rsidP="00D64C33">
            <w:pPr>
              <w:keepNext/>
              <w:spacing w:after="0" w:line="240" w:lineRule="auto"/>
              <w:rPr>
                <w:rFonts w:ascii="Times New Roman" w:hAnsi="Times New Roman"/>
                <w:lang w:val="lt-LT"/>
              </w:rPr>
            </w:pPr>
            <w:r w:rsidRPr="00940D54">
              <w:rPr>
                <w:rFonts w:ascii="Times New Roman" w:hAnsi="Times New Roman"/>
                <w:lang w:val="lt-LT"/>
              </w:rPr>
              <w:t>Amžius pradedant PHT (metai)</w:t>
            </w:r>
          </w:p>
        </w:tc>
        <w:tc>
          <w:tcPr>
            <w:tcW w:w="2344" w:type="dxa"/>
          </w:tcPr>
          <w:p w14:paraId="2923962E" w14:textId="7599DD5B" w:rsidR="008F2E3A" w:rsidRPr="00940D54" w:rsidRDefault="008F2E3A"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Atvejų skaičius 1000</w:t>
            </w:r>
            <w:r w:rsidRPr="00940D54">
              <w:rPr>
                <w:rFonts w:ascii="Times New Roman" w:hAnsi="Times New Roman"/>
                <w:lang w:val="lt-LT"/>
              </w:rPr>
              <w:noBreakHyphen/>
              <w:t>iui pacienčių, kurioms netaikyta PHT, per 10 metų laikotarpį (50-</w:t>
            </w:r>
            <w:r w:rsidR="003B0C1C" w:rsidRPr="00940D54">
              <w:rPr>
                <w:rFonts w:ascii="Times New Roman" w:hAnsi="Times New Roman"/>
                <w:lang w:val="lt-LT"/>
              </w:rPr>
              <w:t>59</w:t>
            </w:r>
            <w:r w:rsidR="00B83DFA">
              <w:rPr>
                <w:rFonts w:ascii="Times New Roman" w:hAnsi="Times New Roman"/>
                <w:lang w:val="lt-LT"/>
              </w:rPr>
              <w:t> </w:t>
            </w:r>
            <w:r w:rsidRPr="00940D54">
              <w:rPr>
                <w:rFonts w:ascii="Times New Roman" w:hAnsi="Times New Roman"/>
                <w:lang w:val="lt-LT"/>
              </w:rPr>
              <w:t>metai)*</w:t>
            </w:r>
          </w:p>
        </w:tc>
        <w:tc>
          <w:tcPr>
            <w:tcW w:w="2344" w:type="dxa"/>
          </w:tcPr>
          <w:p w14:paraId="554523BF" w14:textId="77777777" w:rsidR="008F2E3A" w:rsidRPr="00940D54" w:rsidRDefault="008F2E3A"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Rizikos santykis</w:t>
            </w:r>
          </w:p>
        </w:tc>
        <w:tc>
          <w:tcPr>
            <w:tcW w:w="2344" w:type="dxa"/>
          </w:tcPr>
          <w:p w14:paraId="587949B3" w14:textId="2118A64D" w:rsidR="008F2E3A" w:rsidRPr="00940D54" w:rsidRDefault="008F2E3A"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Papildomi atvejai 1000</w:t>
            </w:r>
            <w:r w:rsidRPr="00940D54">
              <w:rPr>
                <w:rFonts w:ascii="Times New Roman" w:hAnsi="Times New Roman"/>
                <w:lang w:val="lt-LT"/>
              </w:rPr>
              <w:noBreakHyphen/>
              <w:t xml:space="preserve">iui PHT </w:t>
            </w:r>
            <w:r w:rsidR="00AD4558" w:rsidRPr="00940D54">
              <w:rPr>
                <w:rFonts w:ascii="Times New Roman" w:hAnsi="Times New Roman"/>
                <w:lang w:val="lt-LT"/>
              </w:rPr>
              <w:t xml:space="preserve">vaistinių </w:t>
            </w:r>
            <w:r w:rsidRPr="00940D54">
              <w:rPr>
                <w:rFonts w:ascii="Times New Roman" w:hAnsi="Times New Roman"/>
                <w:lang w:val="lt-LT"/>
              </w:rPr>
              <w:t xml:space="preserve">preparatų vartotojų po 10 metų </w:t>
            </w:r>
          </w:p>
        </w:tc>
      </w:tr>
      <w:tr w:rsidR="008F2E3A" w:rsidRPr="006815BA" w14:paraId="176101AD" w14:textId="77777777" w:rsidTr="00D64C33">
        <w:trPr>
          <w:trHeight w:val="179"/>
        </w:trPr>
        <w:tc>
          <w:tcPr>
            <w:tcW w:w="8983" w:type="dxa"/>
            <w:gridSpan w:val="4"/>
          </w:tcPr>
          <w:p w14:paraId="5860DF3D" w14:textId="2F3819E6" w:rsidR="008F2E3A" w:rsidRPr="00940D54" w:rsidRDefault="008F2E3A" w:rsidP="00D64C33">
            <w:pPr>
              <w:keepNext/>
              <w:spacing w:after="0" w:line="240" w:lineRule="auto"/>
              <w:jc w:val="center"/>
              <w:rPr>
                <w:rFonts w:ascii="Times New Roman" w:hAnsi="Times New Roman"/>
                <w:b/>
                <w:lang w:val="lt-LT"/>
              </w:rPr>
            </w:pPr>
            <w:r w:rsidRPr="00940D54">
              <w:rPr>
                <w:rFonts w:ascii="Times New Roman" w:hAnsi="Times New Roman"/>
                <w:b/>
                <w:lang w:val="lt-LT"/>
              </w:rPr>
              <w:t xml:space="preserve">PHT </w:t>
            </w:r>
            <w:r w:rsidR="00AD4558" w:rsidRPr="00940D54">
              <w:rPr>
                <w:rFonts w:ascii="Times New Roman" w:hAnsi="Times New Roman"/>
                <w:b/>
                <w:lang w:val="lt-LT"/>
              </w:rPr>
              <w:t xml:space="preserve">vaistiniai </w:t>
            </w:r>
            <w:r w:rsidRPr="00940D54">
              <w:rPr>
                <w:rFonts w:ascii="Times New Roman" w:hAnsi="Times New Roman"/>
                <w:b/>
                <w:lang w:val="lt-LT"/>
              </w:rPr>
              <w:t>preparatai, kurių sudėtyje yra tik estrogeno</w:t>
            </w:r>
          </w:p>
        </w:tc>
      </w:tr>
      <w:tr w:rsidR="008F2E3A" w:rsidRPr="00940D54" w14:paraId="550DEFD0" w14:textId="77777777" w:rsidTr="00D64C33">
        <w:tc>
          <w:tcPr>
            <w:tcW w:w="1951" w:type="dxa"/>
          </w:tcPr>
          <w:p w14:paraId="7F8A0D81" w14:textId="77777777" w:rsidR="008F2E3A" w:rsidRPr="00940D54" w:rsidRDefault="008F2E3A" w:rsidP="00D64C33">
            <w:pPr>
              <w:spacing w:after="0" w:line="240" w:lineRule="auto"/>
              <w:contextualSpacing/>
              <w:outlineLvl w:val="0"/>
              <w:rPr>
                <w:rFonts w:ascii="Times New Roman" w:hAnsi="Times New Roman"/>
                <w:lang w:val="lt-LT"/>
              </w:rPr>
            </w:pPr>
            <w:r w:rsidRPr="00940D54">
              <w:rPr>
                <w:rFonts w:ascii="Times New Roman" w:hAnsi="Times New Roman"/>
                <w:lang w:val="lt-LT"/>
              </w:rPr>
              <w:t>50</w:t>
            </w:r>
          </w:p>
        </w:tc>
        <w:tc>
          <w:tcPr>
            <w:tcW w:w="2344" w:type="dxa"/>
          </w:tcPr>
          <w:p w14:paraId="6E350EE3" w14:textId="64EB664D" w:rsidR="008F2E3A" w:rsidRPr="00940D54" w:rsidRDefault="003B0C1C" w:rsidP="00D64C33">
            <w:pPr>
              <w:spacing w:after="0" w:line="240" w:lineRule="auto"/>
              <w:contextualSpacing/>
              <w:outlineLvl w:val="0"/>
              <w:rPr>
                <w:rFonts w:ascii="Times New Roman" w:hAnsi="Times New Roman"/>
                <w:lang w:val="lt-LT"/>
              </w:rPr>
            </w:pPr>
            <w:r w:rsidRPr="00940D54">
              <w:rPr>
                <w:rFonts w:ascii="Times New Roman" w:hAnsi="Times New Roman"/>
                <w:lang w:val="lt-LT"/>
              </w:rPr>
              <w:t>26,6</w:t>
            </w:r>
          </w:p>
        </w:tc>
        <w:tc>
          <w:tcPr>
            <w:tcW w:w="2344" w:type="dxa"/>
          </w:tcPr>
          <w:p w14:paraId="04891294" w14:textId="35A3EA2A" w:rsidR="008F2E3A" w:rsidRPr="00940D54" w:rsidRDefault="008F2E3A"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w:t>
            </w:r>
            <w:r w:rsidR="003B0C1C" w:rsidRPr="00940D54">
              <w:rPr>
                <w:rFonts w:ascii="Times New Roman" w:hAnsi="Times New Roman"/>
                <w:lang w:val="lt-LT"/>
              </w:rPr>
              <w:t>3</w:t>
            </w:r>
          </w:p>
        </w:tc>
        <w:tc>
          <w:tcPr>
            <w:tcW w:w="2344" w:type="dxa"/>
          </w:tcPr>
          <w:p w14:paraId="199A71D6" w14:textId="428AE371" w:rsidR="008F2E3A" w:rsidRPr="00940D54" w:rsidRDefault="003B0C1C" w:rsidP="00D64C33">
            <w:pPr>
              <w:spacing w:after="0" w:line="240" w:lineRule="auto"/>
              <w:contextualSpacing/>
              <w:outlineLvl w:val="0"/>
              <w:rPr>
                <w:rFonts w:ascii="Times New Roman" w:hAnsi="Times New Roman"/>
                <w:lang w:val="lt-LT"/>
              </w:rPr>
            </w:pPr>
            <w:r w:rsidRPr="00940D54">
              <w:rPr>
                <w:rFonts w:ascii="Times New Roman" w:hAnsi="Times New Roman"/>
                <w:lang w:val="lt-LT"/>
              </w:rPr>
              <w:t>7,1</w:t>
            </w:r>
          </w:p>
        </w:tc>
      </w:tr>
      <w:tr w:rsidR="008F2E3A" w:rsidRPr="006815BA" w14:paraId="684F55A7" w14:textId="77777777" w:rsidTr="00D64C33">
        <w:tc>
          <w:tcPr>
            <w:tcW w:w="8983" w:type="dxa"/>
            <w:gridSpan w:val="4"/>
          </w:tcPr>
          <w:p w14:paraId="12B5ECEF" w14:textId="16BA53C7" w:rsidR="008F2E3A" w:rsidRPr="00940D54" w:rsidRDefault="008F2E3A" w:rsidP="00D64C33">
            <w:pPr>
              <w:pStyle w:val="Default"/>
              <w:jc w:val="center"/>
              <w:rPr>
                <w:b/>
                <w:sz w:val="22"/>
                <w:szCs w:val="22"/>
                <w:lang w:val="lt-LT"/>
              </w:rPr>
            </w:pPr>
            <w:r w:rsidRPr="00940D54">
              <w:rPr>
                <w:b/>
                <w:bCs/>
                <w:sz w:val="22"/>
                <w:szCs w:val="22"/>
                <w:lang w:val="lt-LT"/>
              </w:rPr>
              <w:t xml:space="preserve">Sudėtiniai </w:t>
            </w:r>
            <w:r w:rsidR="00AD4558" w:rsidRPr="00940D54">
              <w:rPr>
                <w:b/>
                <w:bCs/>
                <w:sz w:val="22"/>
                <w:szCs w:val="22"/>
                <w:lang w:val="lt-LT"/>
              </w:rPr>
              <w:t xml:space="preserve">vaistiniai </w:t>
            </w:r>
            <w:r w:rsidRPr="00940D54">
              <w:rPr>
                <w:b/>
                <w:bCs/>
                <w:sz w:val="22"/>
                <w:szCs w:val="22"/>
                <w:lang w:val="lt-LT"/>
              </w:rPr>
              <w:t xml:space="preserve">preparatai, kuriuose yra estrogeno ir </w:t>
            </w:r>
            <w:proofErr w:type="spellStart"/>
            <w:r w:rsidR="00CE4827" w:rsidRPr="00940D54">
              <w:rPr>
                <w:b/>
                <w:bCs/>
                <w:sz w:val="22"/>
                <w:szCs w:val="22"/>
                <w:lang w:val="lt-LT"/>
              </w:rPr>
              <w:t>progest</w:t>
            </w:r>
            <w:r w:rsidR="00CE4827">
              <w:rPr>
                <w:b/>
                <w:bCs/>
                <w:sz w:val="22"/>
                <w:szCs w:val="22"/>
                <w:lang w:val="lt-LT"/>
              </w:rPr>
              <w:t>o</w:t>
            </w:r>
            <w:r w:rsidR="00CE4827" w:rsidRPr="00940D54">
              <w:rPr>
                <w:b/>
                <w:bCs/>
                <w:sz w:val="22"/>
                <w:szCs w:val="22"/>
                <w:lang w:val="lt-LT"/>
              </w:rPr>
              <w:t>geno</w:t>
            </w:r>
            <w:proofErr w:type="spellEnd"/>
            <w:r w:rsidR="00CE4827" w:rsidRPr="00940D54">
              <w:rPr>
                <w:b/>
                <w:bCs/>
                <w:sz w:val="22"/>
                <w:szCs w:val="22"/>
                <w:lang w:val="lt-LT"/>
              </w:rPr>
              <w:t xml:space="preserve"> </w:t>
            </w:r>
            <w:r w:rsidRPr="00940D54">
              <w:rPr>
                <w:b/>
                <w:bCs/>
                <w:sz w:val="22"/>
                <w:szCs w:val="22"/>
                <w:lang w:val="lt-LT"/>
              </w:rPr>
              <w:t xml:space="preserve">derinio </w:t>
            </w:r>
          </w:p>
        </w:tc>
      </w:tr>
      <w:tr w:rsidR="008F2E3A" w:rsidRPr="00940D54" w14:paraId="7D24647E" w14:textId="77777777" w:rsidTr="00D64C33">
        <w:tc>
          <w:tcPr>
            <w:tcW w:w="1951" w:type="dxa"/>
          </w:tcPr>
          <w:p w14:paraId="4695D6C9" w14:textId="77777777" w:rsidR="008F2E3A" w:rsidRPr="00940D54" w:rsidRDefault="008F2E3A" w:rsidP="00D64C33">
            <w:pPr>
              <w:spacing w:after="0" w:line="240" w:lineRule="auto"/>
              <w:contextualSpacing/>
              <w:outlineLvl w:val="0"/>
              <w:rPr>
                <w:rFonts w:ascii="Times New Roman" w:hAnsi="Times New Roman"/>
                <w:lang w:val="lt-LT"/>
              </w:rPr>
            </w:pPr>
            <w:r w:rsidRPr="00940D54">
              <w:rPr>
                <w:rFonts w:ascii="Times New Roman" w:hAnsi="Times New Roman"/>
                <w:lang w:val="lt-LT"/>
              </w:rPr>
              <w:t>50</w:t>
            </w:r>
          </w:p>
        </w:tc>
        <w:tc>
          <w:tcPr>
            <w:tcW w:w="2344" w:type="dxa"/>
          </w:tcPr>
          <w:p w14:paraId="7D5DC52B" w14:textId="20DFD3F4" w:rsidR="008F2E3A" w:rsidRPr="00940D54" w:rsidRDefault="003B0C1C" w:rsidP="00D64C33">
            <w:pPr>
              <w:spacing w:after="0" w:line="240" w:lineRule="auto"/>
              <w:contextualSpacing/>
              <w:outlineLvl w:val="0"/>
              <w:rPr>
                <w:rFonts w:ascii="Times New Roman" w:hAnsi="Times New Roman"/>
                <w:lang w:val="lt-LT"/>
              </w:rPr>
            </w:pPr>
            <w:r w:rsidRPr="00940D54">
              <w:rPr>
                <w:rFonts w:ascii="Times New Roman" w:hAnsi="Times New Roman"/>
                <w:lang w:val="lt-LT"/>
              </w:rPr>
              <w:t>26,6</w:t>
            </w:r>
          </w:p>
        </w:tc>
        <w:tc>
          <w:tcPr>
            <w:tcW w:w="2344" w:type="dxa"/>
          </w:tcPr>
          <w:p w14:paraId="1161EEE5" w14:textId="4992588D" w:rsidR="008F2E3A" w:rsidRPr="00940D54" w:rsidRDefault="008F2E3A"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w:t>
            </w:r>
            <w:r w:rsidR="003B0C1C" w:rsidRPr="00940D54">
              <w:rPr>
                <w:rFonts w:ascii="Times New Roman" w:hAnsi="Times New Roman"/>
                <w:lang w:val="lt-LT"/>
              </w:rPr>
              <w:t>8</w:t>
            </w:r>
          </w:p>
        </w:tc>
        <w:tc>
          <w:tcPr>
            <w:tcW w:w="2344" w:type="dxa"/>
          </w:tcPr>
          <w:p w14:paraId="75168CCC" w14:textId="7F7AD989" w:rsidR="008F2E3A" w:rsidRPr="00940D54" w:rsidRDefault="003B0C1C"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20,</w:t>
            </w:r>
            <w:r w:rsidR="008F2E3A" w:rsidRPr="00940D54">
              <w:rPr>
                <w:rFonts w:ascii="Times New Roman" w:hAnsi="Times New Roman"/>
                <w:lang w:val="lt-LT"/>
              </w:rPr>
              <w:t>8</w:t>
            </w:r>
          </w:p>
        </w:tc>
      </w:tr>
      <w:tr w:rsidR="008F2E3A" w:rsidRPr="006815BA" w14:paraId="39F7B88C" w14:textId="77777777" w:rsidTr="00D64C33">
        <w:tc>
          <w:tcPr>
            <w:tcW w:w="8983" w:type="dxa"/>
            <w:gridSpan w:val="4"/>
          </w:tcPr>
          <w:p w14:paraId="783035AC" w14:textId="2ACDE837" w:rsidR="008F2E3A" w:rsidRPr="00940D54" w:rsidRDefault="008F2E3A" w:rsidP="00D64C33">
            <w:pPr>
              <w:spacing w:after="0" w:line="240" w:lineRule="auto"/>
              <w:contextualSpacing/>
              <w:outlineLvl w:val="0"/>
              <w:rPr>
                <w:rFonts w:ascii="Times New Roman" w:hAnsi="Times New Roman"/>
                <w:lang w:val="lt-LT"/>
              </w:rPr>
            </w:pPr>
            <w:r w:rsidRPr="00940D54">
              <w:rPr>
                <w:rFonts w:ascii="Times New Roman" w:hAnsi="Times New Roman"/>
                <w:lang w:val="lt-LT"/>
              </w:rPr>
              <w:t>*</w:t>
            </w:r>
            <w:r w:rsidRPr="00940D54">
              <w:rPr>
                <w:b/>
                <w:bCs/>
                <w:sz w:val="18"/>
                <w:szCs w:val="18"/>
                <w:lang w:val="lt-LT"/>
              </w:rPr>
              <w:t xml:space="preserve"> </w:t>
            </w:r>
            <w:r w:rsidRPr="00940D54">
              <w:rPr>
                <w:rFonts w:ascii="Times New Roman" w:hAnsi="Times New Roman"/>
                <w:lang w:val="lt-LT"/>
              </w:rPr>
              <w:t>Remiantis pradiniais atvejų skaičiais, kurie buvo nustatyti Anglijoje 2015 m., ištyrus moteris, kurių KMI – 27 (kg/m</w:t>
            </w:r>
            <w:r w:rsidRPr="00940D54">
              <w:rPr>
                <w:rFonts w:ascii="Times New Roman" w:hAnsi="Times New Roman"/>
                <w:vertAlign w:val="superscript"/>
                <w:lang w:val="lt-LT"/>
              </w:rPr>
              <w:t>2</w:t>
            </w:r>
            <w:r w:rsidRPr="00940D54">
              <w:rPr>
                <w:rFonts w:ascii="Times New Roman" w:hAnsi="Times New Roman"/>
                <w:lang w:val="lt-LT"/>
              </w:rPr>
              <w:t>).</w:t>
            </w:r>
          </w:p>
          <w:p w14:paraId="6C880A15" w14:textId="15F6D631" w:rsidR="008F2E3A" w:rsidRPr="00940D54" w:rsidRDefault="008F2E3A" w:rsidP="00D64C3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Pastaba. </w:t>
            </w:r>
            <w:r w:rsidR="003B0C1C" w:rsidRPr="00940D54">
              <w:rPr>
                <w:rFonts w:ascii="Times New Roman" w:hAnsi="Times New Roman"/>
                <w:lang w:val="lt-LT"/>
              </w:rPr>
              <w:t>Kadangi bendrieji sergamumo krūties vėžiu rodikliai įvairiose ES šalyse yra skirtingi, papildomų krūties vėžio atvejų skaičius taip pat proporcingai keisis</w:t>
            </w:r>
            <w:r w:rsidRPr="00940D54">
              <w:rPr>
                <w:rFonts w:ascii="Times New Roman" w:hAnsi="Times New Roman"/>
                <w:lang w:val="lt-LT"/>
              </w:rPr>
              <w:t>.</w:t>
            </w:r>
          </w:p>
        </w:tc>
      </w:tr>
    </w:tbl>
    <w:p w14:paraId="226FBFB8" w14:textId="341AC678" w:rsidR="008F2E3A" w:rsidRPr="00940D54" w:rsidRDefault="008F2E3A" w:rsidP="00A51A1D">
      <w:pPr>
        <w:spacing w:after="0" w:line="240" w:lineRule="auto"/>
        <w:contextualSpacing/>
        <w:outlineLvl w:val="0"/>
        <w:rPr>
          <w:rFonts w:ascii="Times New Roman" w:hAnsi="Times New Roman"/>
          <w:lang w:val="lt-LT"/>
        </w:rPr>
      </w:pPr>
    </w:p>
    <w:p w14:paraId="023CAE28" w14:textId="77777777" w:rsidR="008F2E3A" w:rsidRPr="00940D54" w:rsidRDefault="008F2E3A" w:rsidP="00A51A1D">
      <w:pPr>
        <w:spacing w:after="0" w:line="240" w:lineRule="auto"/>
        <w:contextualSpacing/>
        <w:outlineLvl w:val="0"/>
        <w:rPr>
          <w:rFonts w:ascii="Times New Roman" w:hAnsi="Times New Roman"/>
          <w:lang w:val="lt-LT"/>
        </w:rPr>
      </w:pPr>
    </w:p>
    <w:p w14:paraId="33C6F9EB" w14:textId="77777777" w:rsidR="00A51A1D" w:rsidRPr="00940D54" w:rsidRDefault="00A51A1D" w:rsidP="00A51A1D">
      <w:pPr>
        <w:spacing w:after="0" w:line="240" w:lineRule="auto"/>
        <w:contextualSpacing/>
        <w:outlineLvl w:val="0"/>
        <w:rPr>
          <w:rFonts w:ascii="Times New Roman" w:eastAsiaTheme="minorHAnsi" w:hAnsi="Times New Roman" w:cstheme="minorBidi"/>
          <w:b/>
          <w:lang w:val="lt-LT"/>
        </w:rPr>
      </w:pPr>
      <w:r w:rsidRPr="00940D54">
        <w:rPr>
          <w:rFonts w:ascii="Times New Roman" w:hAnsi="Times New Roman"/>
          <w:b/>
          <w:lang w:val="lt-LT"/>
        </w:rPr>
        <w:t xml:space="preserve">JAV </w:t>
      </w:r>
      <w:r w:rsidRPr="00940D54">
        <w:rPr>
          <w:rFonts w:ascii="Times New Roman" w:hAnsi="Times New Roman"/>
          <w:b/>
          <w:i/>
          <w:lang w:val="lt-LT"/>
        </w:rPr>
        <w:t>WHI</w:t>
      </w:r>
      <w:r w:rsidRPr="00940D54">
        <w:rPr>
          <w:rFonts w:ascii="Times New Roman" w:hAnsi="Times New Roman"/>
          <w:b/>
          <w:lang w:val="lt-LT"/>
        </w:rPr>
        <w:t xml:space="preserve"> tyrimai – papildoma krūties vėžio rizika po 5 vartojimo metų</w:t>
      </w:r>
    </w:p>
    <w:p w14:paraId="736E8DA0" w14:textId="77777777" w:rsidR="00A51A1D" w:rsidRPr="00940D54" w:rsidRDefault="00A51A1D" w:rsidP="00A51A1D">
      <w:pPr>
        <w:spacing w:after="0" w:line="240" w:lineRule="auto"/>
        <w:contextualSpacing/>
        <w:outlineLvl w:val="0"/>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36"/>
        <w:gridCol w:w="2335"/>
        <w:gridCol w:w="2336"/>
      </w:tblGrid>
      <w:tr w:rsidR="00A51A1D" w:rsidRPr="006815BA" w14:paraId="451076D4" w14:textId="77777777" w:rsidTr="00BF0B13">
        <w:tc>
          <w:tcPr>
            <w:tcW w:w="1951" w:type="dxa"/>
          </w:tcPr>
          <w:p w14:paraId="733C2A7C"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Amžiaus ribos (metais)</w:t>
            </w:r>
          </w:p>
        </w:tc>
        <w:tc>
          <w:tcPr>
            <w:tcW w:w="2344" w:type="dxa"/>
          </w:tcPr>
          <w:p w14:paraId="6636BE85" w14:textId="038A8F75"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Papildomų atvejų 1 000</w:t>
            </w:r>
            <w:r w:rsidRPr="00940D54">
              <w:rPr>
                <w:rFonts w:ascii="Times New Roman" w:hAnsi="Times New Roman"/>
                <w:lang w:val="lt-LT"/>
              </w:rPr>
              <w:noBreakHyphen/>
              <w:t>iui moterų placebo grupėje skaičius per 5 metų laikotarpį</w:t>
            </w:r>
          </w:p>
        </w:tc>
        <w:tc>
          <w:tcPr>
            <w:tcW w:w="2344" w:type="dxa"/>
          </w:tcPr>
          <w:p w14:paraId="5D37EEAC"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Santykinė rizika ir 95 % PI</w:t>
            </w:r>
          </w:p>
        </w:tc>
        <w:tc>
          <w:tcPr>
            <w:tcW w:w="2344" w:type="dxa"/>
          </w:tcPr>
          <w:p w14:paraId="45CC2E13" w14:textId="38525F12"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Papildomų atvejų 1 000</w:t>
            </w:r>
            <w:r w:rsidRPr="00940D54">
              <w:rPr>
                <w:rFonts w:ascii="Times New Roman" w:hAnsi="Times New Roman"/>
                <w:lang w:val="lt-LT"/>
              </w:rPr>
              <w:noBreakHyphen/>
              <w:t>iui PHT vartojusių moterų skaičius per 5 metų laikotarpį (95</w:t>
            </w:r>
            <w:r w:rsidR="00B83DFA">
              <w:rPr>
                <w:rFonts w:ascii="Times New Roman" w:hAnsi="Times New Roman"/>
                <w:lang w:val="lt-LT"/>
              </w:rPr>
              <w:t> </w:t>
            </w:r>
            <w:r w:rsidRPr="00940D54">
              <w:rPr>
                <w:rFonts w:ascii="Times New Roman" w:hAnsi="Times New Roman"/>
                <w:lang w:val="lt-LT"/>
              </w:rPr>
              <w:t>% PI)</w:t>
            </w:r>
          </w:p>
        </w:tc>
      </w:tr>
      <w:tr w:rsidR="00A51A1D" w:rsidRPr="00940D54" w14:paraId="0482D381" w14:textId="77777777" w:rsidTr="00BF0B13">
        <w:tc>
          <w:tcPr>
            <w:tcW w:w="8983" w:type="dxa"/>
            <w:gridSpan w:val="4"/>
          </w:tcPr>
          <w:p w14:paraId="23AB7A62" w14:textId="77777777" w:rsidR="00A51A1D" w:rsidRPr="00940D54" w:rsidRDefault="00A51A1D" w:rsidP="00BF0B13">
            <w:pPr>
              <w:spacing w:after="0" w:line="240" w:lineRule="auto"/>
              <w:contextualSpacing/>
              <w:jc w:val="center"/>
              <w:outlineLvl w:val="0"/>
              <w:rPr>
                <w:rFonts w:ascii="Times New Roman" w:hAnsi="Times New Roman"/>
                <w:b/>
                <w:lang w:val="lt-LT"/>
              </w:rPr>
            </w:pPr>
            <w:r w:rsidRPr="00940D54">
              <w:rPr>
                <w:rFonts w:ascii="Times New Roman" w:hAnsi="Times New Roman"/>
                <w:b/>
                <w:lang w:val="lt-LT"/>
              </w:rPr>
              <w:t>Vien tik KKE estrogenai</w:t>
            </w:r>
          </w:p>
        </w:tc>
      </w:tr>
      <w:tr w:rsidR="00A51A1D" w:rsidRPr="00940D54" w14:paraId="011E649D" w14:textId="77777777" w:rsidTr="00BF0B13">
        <w:tc>
          <w:tcPr>
            <w:tcW w:w="1951" w:type="dxa"/>
          </w:tcPr>
          <w:p w14:paraId="29F89D6F"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r w:rsidRPr="00940D54">
              <w:rPr>
                <w:rFonts w:ascii="Times New Roman" w:hAnsi="Times New Roman"/>
                <w:lang w:val="lt-LT"/>
              </w:rPr>
              <w:noBreakHyphen/>
              <w:t>79</w:t>
            </w:r>
          </w:p>
        </w:tc>
        <w:tc>
          <w:tcPr>
            <w:tcW w:w="2344" w:type="dxa"/>
          </w:tcPr>
          <w:p w14:paraId="41BC6D30"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21</w:t>
            </w:r>
          </w:p>
        </w:tc>
        <w:tc>
          <w:tcPr>
            <w:tcW w:w="2344" w:type="dxa"/>
          </w:tcPr>
          <w:p w14:paraId="74B59750"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0,8 (0,7</w:t>
            </w:r>
            <w:r w:rsidRPr="00940D54">
              <w:rPr>
                <w:rFonts w:ascii="Times New Roman" w:hAnsi="Times New Roman"/>
                <w:lang w:val="lt-LT"/>
              </w:rPr>
              <w:noBreakHyphen/>
              <w:t>1,0)</w:t>
            </w:r>
          </w:p>
        </w:tc>
        <w:tc>
          <w:tcPr>
            <w:tcW w:w="2344" w:type="dxa"/>
          </w:tcPr>
          <w:p w14:paraId="757ABFD6"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-4 (-6</w:t>
            </w:r>
            <w:r w:rsidRPr="00940D54">
              <w:rPr>
                <w:rFonts w:ascii="Times New Roman" w:hAnsi="Times New Roman"/>
                <w:lang w:val="lt-LT"/>
              </w:rPr>
              <w:noBreakHyphen/>
              <w:t>0) *</w:t>
            </w:r>
          </w:p>
        </w:tc>
      </w:tr>
      <w:tr w:rsidR="00A51A1D" w:rsidRPr="006815BA" w14:paraId="45AFBC97" w14:textId="77777777" w:rsidTr="00BF0B13">
        <w:tc>
          <w:tcPr>
            <w:tcW w:w="8983" w:type="dxa"/>
            <w:gridSpan w:val="4"/>
          </w:tcPr>
          <w:p w14:paraId="060695DC" w14:textId="052CC3A0" w:rsidR="00A51A1D" w:rsidRPr="00940D54" w:rsidRDefault="00A51A1D" w:rsidP="00BF0B13">
            <w:pPr>
              <w:spacing w:after="0" w:line="240" w:lineRule="auto"/>
              <w:contextualSpacing/>
              <w:jc w:val="center"/>
              <w:outlineLvl w:val="0"/>
              <w:rPr>
                <w:rFonts w:ascii="Times New Roman" w:hAnsi="Times New Roman"/>
                <w:b/>
                <w:lang w:val="lt-LT"/>
              </w:rPr>
            </w:pPr>
            <w:r w:rsidRPr="00940D54">
              <w:rPr>
                <w:rFonts w:ascii="Times New Roman" w:hAnsi="Times New Roman"/>
                <w:b/>
                <w:lang w:val="lt-LT"/>
              </w:rPr>
              <w:t xml:space="preserve">KKE + MPA estrogenai ir </w:t>
            </w:r>
            <w:proofErr w:type="spellStart"/>
            <w:r w:rsidR="00E1018C" w:rsidRPr="00940D54">
              <w:rPr>
                <w:rFonts w:ascii="Times New Roman" w:hAnsi="Times New Roman"/>
                <w:b/>
                <w:lang w:val="lt-LT"/>
              </w:rPr>
              <w:t>progest</w:t>
            </w:r>
            <w:r w:rsidR="00E1018C">
              <w:rPr>
                <w:rFonts w:ascii="Times New Roman" w:hAnsi="Times New Roman"/>
                <w:b/>
                <w:lang w:val="lt-LT"/>
              </w:rPr>
              <w:t>o</w:t>
            </w:r>
            <w:r w:rsidR="00E1018C" w:rsidRPr="00940D54">
              <w:rPr>
                <w:rFonts w:ascii="Times New Roman" w:hAnsi="Times New Roman"/>
                <w:b/>
                <w:lang w:val="lt-LT"/>
              </w:rPr>
              <w:t>genai</w:t>
            </w:r>
            <w:proofErr w:type="spellEnd"/>
            <w:r w:rsidR="00E1018C" w:rsidRPr="00940D54">
              <w:rPr>
                <w:rFonts w:ascii="Times New Roman" w:hAnsi="Times New Roman"/>
                <w:b/>
                <w:lang w:val="lt-LT"/>
              </w:rPr>
              <w:t xml:space="preserve"> </w:t>
            </w:r>
            <w:r w:rsidRPr="00940D54">
              <w:rPr>
                <w:rFonts w:ascii="Times New Roman" w:hAnsi="Times New Roman"/>
                <w:b/>
                <w:lang w:val="lt-LT"/>
              </w:rPr>
              <w:t>¹</w:t>
            </w:r>
          </w:p>
        </w:tc>
      </w:tr>
      <w:tr w:rsidR="00A51A1D" w:rsidRPr="00940D54" w14:paraId="77C35936" w14:textId="77777777" w:rsidTr="00BF0B13">
        <w:tc>
          <w:tcPr>
            <w:tcW w:w="1951" w:type="dxa"/>
          </w:tcPr>
          <w:p w14:paraId="01E2BD84"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r w:rsidRPr="00940D54">
              <w:rPr>
                <w:rFonts w:ascii="Times New Roman" w:hAnsi="Times New Roman"/>
                <w:lang w:val="lt-LT"/>
              </w:rPr>
              <w:noBreakHyphen/>
              <w:t>79</w:t>
            </w:r>
          </w:p>
        </w:tc>
        <w:tc>
          <w:tcPr>
            <w:tcW w:w="2344" w:type="dxa"/>
          </w:tcPr>
          <w:p w14:paraId="728D1E35" w14:textId="4B35B350"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w:t>
            </w:r>
            <w:r w:rsidR="00E64270">
              <w:rPr>
                <w:rFonts w:ascii="Times New Roman" w:hAnsi="Times New Roman"/>
                <w:lang w:val="lt-LT"/>
              </w:rPr>
              <w:t>7</w:t>
            </w:r>
          </w:p>
        </w:tc>
        <w:tc>
          <w:tcPr>
            <w:tcW w:w="2344" w:type="dxa"/>
          </w:tcPr>
          <w:p w14:paraId="2ACCCC5F"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1,2 (1,0</w:t>
            </w:r>
            <w:r w:rsidRPr="00940D54">
              <w:rPr>
                <w:rFonts w:ascii="Times New Roman" w:hAnsi="Times New Roman"/>
                <w:lang w:val="lt-LT"/>
              </w:rPr>
              <w:noBreakHyphen/>
              <w:t>1,5)</w:t>
            </w:r>
          </w:p>
        </w:tc>
        <w:tc>
          <w:tcPr>
            <w:tcW w:w="2344" w:type="dxa"/>
          </w:tcPr>
          <w:p w14:paraId="0DC91F53"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+4 (0</w:t>
            </w:r>
            <w:r w:rsidRPr="00940D54">
              <w:rPr>
                <w:rFonts w:ascii="Times New Roman" w:hAnsi="Times New Roman"/>
                <w:lang w:val="lt-LT"/>
              </w:rPr>
              <w:noBreakHyphen/>
              <w:t xml:space="preserve">9) </w:t>
            </w:r>
          </w:p>
        </w:tc>
      </w:tr>
      <w:tr w:rsidR="00A51A1D" w:rsidRPr="006815BA" w14:paraId="0D95B1FC" w14:textId="77777777" w:rsidTr="00BF0B13">
        <w:tc>
          <w:tcPr>
            <w:tcW w:w="8983" w:type="dxa"/>
            <w:gridSpan w:val="4"/>
          </w:tcPr>
          <w:p w14:paraId="1C427750"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 xml:space="preserve">KKE – </w:t>
            </w:r>
            <w:proofErr w:type="spellStart"/>
            <w:r w:rsidRPr="00940D54">
              <w:rPr>
                <w:rFonts w:ascii="Times New Roman" w:hAnsi="Times New Roman"/>
                <w:lang w:val="lt-LT"/>
              </w:rPr>
              <w:t>konjuguoti</w:t>
            </w:r>
            <w:proofErr w:type="spellEnd"/>
            <w:r w:rsidRPr="00940D54">
              <w:rPr>
                <w:rFonts w:ascii="Times New Roman" w:hAnsi="Times New Roman"/>
                <w:lang w:val="lt-LT"/>
              </w:rPr>
              <w:t xml:space="preserve"> kumelių estrogenai. MPA – </w:t>
            </w:r>
            <w:proofErr w:type="spellStart"/>
            <w:r w:rsidRPr="00940D54">
              <w:rPr>
                <w:rFonts w:ascii="Times New Roman" w:hAnsi="Times New Roman"/>
                <w:lang w:val="lt-LT"/>
              </w:rPr>
              <w:t>medroksiprogesterono</w:t>
            </w:r>
            <w:proofErr w:type="spellEnd"/>
            <w:r w:rsidRPr="00940D54">
              <w:rPr>
                <w:rFonts w:ascii="Times New Roman" w:hAnsi="Times New Roman"/>
                <w:lang w:val="lt-LT"/>
              </w:rPr>
              <w:t xml:space="preserve"> acetatas.</w:t>
            </w:r>
          </w:p>
          <w:p w14:paraId="3CE7F3EE"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WHI tyrimas, kuriame dalyvavo gimdos neturinčios moterys, kuris neparodė jokio krūties vėžio rizikos padidėjimo.</w:t>
            </w:r>
          </w:p>
          <w:p w14:paraId="2985D052" w14:textId="4B160E41"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lastRenderedPageBreak/>
              <w:t>¹ Analizuojant vien tik moterų, kurios prieš tyrimą nevartojo PHT, duomenis, rizikos padidėjimas buvo pastebėtas per pirmuosius 5 gydymo metus: po 5</w:t>
            </w:r>
            <w:r w:rsidR="009D76EA">
              <w:rPr>
                <w:rFonts w:ascii="Times New Roman" w:hAnsi="Times New Roman"/>
                <w:lang w:val="lt-LT"/>
              </w:rPr>
              <w:t> </w:t>
            </w:r>
            <w:r w:rsidRPr="00940D54">
              <w:rPr>
                <w:rFonts w:ascii="Times New Roman" w:hAnsi="Times New Roman"/>
                <w:lang w:val="lt-LT"/>
              </w:rPr>
              <w:t>metų rizika buvo didesnė nei moterims, kurios nevartojo PHT.</w:t>
            </w:r>
          </w:p>
        </w:tc>
      </w:tr>
    </w:tbl>
    <w:p w14:paraId="42D9BC01" w14:textId="77777777" w:rsidR="00A51A1D" w:rsidRPr="00940D54" w:rsidRDefault="00A51A1D" w:rsidP="00A51A1D">
      <w:pPr>
        <w:spacing w:after="0" w:line="240" w:lineRule="auto"/>
        <w:contextualSpacing/>
        <w:outlineLvl w:val="0"/>
        <w:rPr>
          <w:rFonts w:ascii="Times New Roman" w:hAnsi="Times New Roman"/>
          <w:lang w:val="lt-LT"/>
        </w:rPr>
      </w:pPr>
    </w:p>
    <w:p w14:paraId="360E59B1" w14:textId="662CDAD4" w:rsidR="00A51A1D" w:rsidRPr="00940D54" w:rsidRDefault="00A51A1D" w:rsidP="00A51A1D">
      <w:pPr>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u w:val="single"/>
          <w:lang w:val="lt-LT"/>
        </w:rPr>
        <w:t>Endometriumo</w:t>
      </w:r>
      <w:proofErr w:type="spellEnd"/>
      <w:r w:rsidRPr="00940D54">
        <w:rPr>
          <w:rFonts w:ascii="Times New Roman" w:hAnsi="Times New Roman"/>
          <w:u w:val="single"/>
          <w:lang w:val="lt-LT"/>
        </w:rPr>
        <w:t xml:space="preserve"> </w:t>
      </w:r>
      <w:r w:rsidRPr="00E64270">
        <w:rPr>
          <w:rFonts w:ascii="Times New Roman" w:hAnsi="Times New Roman"/>
          <w:u w:val="single"/>
          <w:lang w:val="lt-LT"/>
        </w:rPr>
        <w:t>vėž</w:t>
      </w:r>
      <w:r w:rsidR="00E64270" w:rsidRPr="00E64270">
        <w:rPr>
          <w:rFonts w:ascii="Times New Roman" w:hAnsi="Times New Roman"/>
          <w:u w:val="single"/>
          <w:lang w:val="lt-LT"/>
        </w:rPr>
        <w:t>io rizika</w:t>
      </w:r>
    </w:p>
    <w:p w14:paraId="5F93A148" w14:textId="77777777"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Moterys po menopauzės, turinčios gimdą</w:t>
      </w:r>
    </w:p>
    <w:p w14:paraId="3D9F3A06" w14:textId="77777777" w:rsidR="00A51A1D" w:rsidRPr="00940D54" w:rsidRDefault="00A51A1D" w:rsidP="00A51A1D">
      <w:pPr>
        <w:spacing w:after="0" w:line="240" w:lineRule="auto"/>
        <w:contextualSpacing/>
        <w:outlineLvl w:val="0"/>
        <w:rPr>
          <w:rFonts w:ascii="Times New Roman" w:hAnsi="Times New Roman"/>
          <w:lang w:val="lt-LT"/>
        </w:rPr>
      </w:pPr>
    </w:p>
    <w:p w14:paraId="2081BD1E" w14:textId="77777777" w:rsidR="00A51A1D" w:rsidRPr="00940D54" w:rsidRDefault="00A51A1D" w:rsidP="00A51A1D">
      <w:pPr>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vėžio rizika yra maždaug 5 atvejai kiekvienam 1 000</w:t>
      </w:r>
      <w:r w:rsidRPr="00940D54">
        <w:rPr>
          <w:rFonts w:ascii="Times New Roman" w:hAnsi="Times New Roman"/>
          <w:lang w:val="lt-LT"/>
        </w:rPr>
        <w:noBreakHyphen/>
        <w:t xml:space="preserve">čiui </w:t>
      </w:r>
      <w:r w:rsidRPr="006815BA">
        <w:rPr>
          <w:rFonts w:ascii="Times New Roman" w:hAnsi="Times New Roman"/>
          <w:u w:val="single"/>
          <w:lang w:val="lt-LT"/>
        </w:rPr>
        <w:t>moterų</w:t>
      </w:r>
      <w:r w:rsidRPr="00940D54">
        <w:rPr>
          <w:rFonts w:ascii="Times New Roman" w:hAnsi="Times New Roman"/>
          <w:lang w:val="lt-LT"/>
        </w:rPr>
        <w:t>, turinčių gimdą ir nevartojančių PHT.</w:t>
      </w:r>
    </w:p>
    <w:p w14:paraId="2C40DF92" w14:textId="77777777" w:rsidR="00A51A1D" w:rsidRPr="00940D54" w:rsidRDefault="00A51A1D" w:rsidP="00A51A1D">
      <w:pPr>
        <w:spacing w:after="0" w:line="240" w:lineRule="auto"/>
        <w:contextualSpacing/>
        <w:outlineLvl w:val="0"/>
        <w:rPr>
          <w:rFonts w:ascii="Times New Roman" w:hAnsi="Times New Roman"/>
          <w:lang w:val="lt-LT"/>
        </w:rPr>
      </w:pPr>
    </w:p>
    <w:p w14:paraId="4FCDBC4E" w14:textId="282DAFDA"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Moterims, turinčioms gimdą, nerekomenduojama vartoti vienų estrogenų PHT, nes padidėja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vėžio rizika (žr.</w:t>
      </w:r>
      <w:r w:rsidR="00B83DFA">
        <w:rPr>
          <w:rFonts w:ascii="Times New Roman" w:hAnsi="Times New Roman"/>
          <w:lang w:val="lt-LT"/>
        </w:rPr>
        <w:t> </w:t>
      </w:r>
      <w:r w:rsidRPr="00940D54">
        <w:rPr>
          <w:rFonts w:ascii="Times New Roman" w:hAnsi="Times New Roman"/>
          <w:lang w:val="lt-LT"/>
        </w:rPr>
        <w:t>4.4 skyrių).</w:t>
      </w:r>
    </w:p>
    <w:p w14:paraId="22BDD521" w14:textId="77777777" w:rsidR="00A51A1D" w:rsidRPr="00940D54" w:rsidRDefault="00A51A1D" w:rsidP="00A51A1D">
      <w:pPr>
        <w:spacing w:after="0" w:line="240" w:lineRule="auto"/>
        <w:contextualSpacing/>
        <w:outlineLvl w:val="0"/>
        <w:rPr>
          <w:rFonts w:ascii="Times New Roman" w:hAnsi="Times New Roman"/>
          <w:lang w:val="lt-LT"/>
        </w:rPr>
      </w:pPr>
    </w:p>
    <w:p w14:paraId="67A60FD4" w14:textId="77777777"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Priklausomai nuo vienų estrogenų vartojimo trukmės ir estrogenų dozės,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vėžio rizikos padidėjimas epidemiologinių tyrimų metu buvo nuo 5 iki 55 diagnozuotų papildomų atvejų kiekvienam 1 000</w:t>
      </w:r>
      <w:r w:rsidRPr="00940D54">
        <w:rPr>
          <w:rFonts w:ascii="Times New Roman" w:hAnsi="Times New Roman"/>
          <w:lang w:val="lt-LT"/>
        </w:rPr>
        <w:noBreakHyphen/>
        <w:t>čiui moterų nuo 50 iki 65 metų.</w:t>
      </w:r>
    </w:p>
    <w:p w14:paraId="68BA24BC" w14:textId="77777777" w:rsidR="00A51A1D" w:rsidRPr="00940D54" w:rsidRDefault="00A51A1D" w:rsidP="00A51A1D">
      <w:pPr>
        <w:spacing w:after="0" w:line="240" w:lineRule="auto"/>
        <w:contextualSpacing/>
        <w:outlineLvl w:val="0"/>
        <w:rPr>
          <w:rFonts w:ascii="Times New Roman" w:hAnsi="Times New Roman"/>
          <w:lang w:val="lt-LT"/>
        </w:rPr>
      </w:pPr>
    </w:p>
    <w:p w14:paraId="48202FA4" w14:textId="21598BCC"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Vienų estrogenų terapiją papildžius </w:t>
      </w:r>
      <w:proofErr w:type="spellStart"/>
      <w:r w:rsidRPr="00940D54">
        <w:rPr>
          <w:rFonts w:ascii="Times New Roman" w:hAnsi="Times New Roman"/>
          <w:lang w:val="lt-LT"/>
        </w:rPr>
        <w:t>progest</w:t>
      </w:r>
      <w:r w:rsidR="0015069D">
        <w:rPr>
          <w:rFonts w:ascii="Times New Roman" w:hAnsi="Times New Roman"/>
          <w:lang w:val="lt-LT"/>
        </w:rPr>
        <w:t>o</w:t>
      </w:r>
      <w:r w:rsidRPr="00940D54">
        <w:rPr>
          <w:rFonts w:ascii="Times New Roman" w:hAnsi="Times New Roman"/>
          <w:lang w:val="lt-LT"/>
        </w:rPr>
        <w:t>genu</w:t>
      </w:r>
      <w:proofErr w:type="spellEnd"/>
      <w:r w:rsidRPr="00940D54">
        <w:rPr>
          <w:rFonts w:ascii="Times New Roman" w:hAnsi="Times New Roman"/>
          <w:lang w:val="lt-LT"/>
        </w:rPr>
        <w:t xml:space="preserve">, vartojamu ne trumpiau kaip 12 dienų per ciklą, šio rizikos padidėjimo galima išvengti. Milijono moterų tyrimo metu penkerius metus vartojant kombinuotąją (nuosekliąją arba nepertraukiamąją) PHT,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vėžio rizika nepadidėjo (SR 1,0 [0,8</w:t>
      </w:r>
      <w:r w:rsidRPr="00940D54">
        <w:rPr>
          <w:rFonts w:ascii="Times New Roman" w:hAnsi="Times New Roman"/>
          <w:lang w:val="lt-LT"/>
        </w:rPr>
        <w:noBreakHyphen/>
        <w:t>1,2]).</w:t>
      </w:r>
    </w:p>
    <w:p w14:paraId="15D07D46" w14:textId="77777777" w:rsidR="00A51A1D" w:rsidRPr="00940D54" w:rsidRDefault="00A51A1D" w:rsidP="00A51A1D">
      <w:pPr>
        <w:spacing w:after="0" w:line="240" w:lineRule="auto"/>
        <w:contextualSpacing/>
        <w:outlineLvl w:val="0"/>
        <w:rPr>
          <w:rFonts w:ascii="Times New Roman" w:hAnsi="Times New Roman"/>
          <w:lang w:val="lt-LT"/>
        </w:rPr>
      </w:pPr>
    </w:p>
    <w:p w14:paraId="7A629FF9" w14:textId="77777777" w:rsidR="00A51A1D" w:rsidRPr="00940D54" w:rsidRDefault="00A51A1D" w:rsidP="00A51A1D">
      <w:pPr>
        <w:keepNext/>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Kiaušidžių vėžys</w:t>
      </w:r>
    </w:p>
    <w:p w14:paraId="34A0007B" w14:textId="0354CD35"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Vienų estrogenų arba kombinuotoji estrogenų ir </w:t>
      </w:r>
      <w:proofErr w:type="spellStart"/>
      <w:r w:rsidR="00CE4827" w:rsidRPr="00940D54">
        <w:rPr>
          <w:rFonts w:ascii="Times New Roman" w:hAnsi="Times New Roman"/>
          <w:lang w:val="lt-LT"/>
        </w:rPr>
        <w:t>progest</w:t>
      </w:r>
      <w:r w:rsidR="00CE4827">
        <w:rPr>
          <w:rFonts w:ascii="Times New Roman" w:hAnsi="Times New Roman"/>
          <w:lang w:val="lt-LT"/>
        </w:rPr>
        <w:t>o</w:t>
      </w:r>
      <w:r w:rsidR="00CE4827" w:rsidRPr="00940D54">
        <w:rPr>
          <w:rFonts w:ascii="Times New Roman" w:hAnsi="Times New Roman"/>
          <w:lang w:val="lt-LT"/>
        </w:rPr>
        <w:t>genų</w:t>
      </w:r>
      <w:proofErr w:type="spellEnd"/>
      <w:r w:rsidR="00CE4827" w:rsidRPr="00940D54">
        <w:rPr>
          <w:rFonts w:ascii="Times New Roman" w:hAnsi="Times New Roman"/>
          <w:lang w:val="lt-LT"/>
        </w:rPr>
        <w:t xml:space="preserve"> </w:t>
      </w:r>
      <w:r w:rsidRPr="00940D54">
        <w:rPr>
          <w:rFonts w:ascii="Times New Roman" w:hAnsi="Times New Roman"/>
          <w:lang w:val="lt-LT"/>
        </w:rPr>
        <w:t>PHT buvo susijusi su nežymiai didesne rizika, kad bus diagnozuotas kiaušidžių vėžys (žr.</w:t>
      </w:r>
      <w:r w:rsidR="00B83DFA">
        <w:rPr>
          <w:rFonts w:ascii="Times New Roman" w:hAnsi="Times New Roman"/>
          <w:lang w:val="lt-LT"/>
        </w:rPr>
        <w:t> </w:t>
      </w:r>
      <w:r w:rsidRPr="00940D54">
        <w:rPr>
          <w:rFonts w:ascii="Times New Roman" w:hAnsi="Times New Roman"/>
          <w:lang w:val="lt-LT"/>
        </w:rPr>
        <w:t>4.4 skyrių).</w:t>
      </w:r>
    </w:p>
    <w:p w14:paraId="793F2D3F" w14:textId="77777777" w:rsidR="00A51A1D" w:rsidRPr="00940D54" w:rsidRDefault="00A51A1D" w:rsidP="00A51A1D">
      <w:pPr>
        <w:spacing w:after="0" w:line="240" w:lineRule="auto"/>
        <w:rPr>
          <w:rFonts w:ascii="Times New Roman" w:hAnsi="Times New Roman"/>
          <w:lang w:val="lt-LT"/>
        </w:rPr>
      </w:pPr>
    </w:p>
    <w:p w14:paraId="07B7BD6E" w14:textId="77777777"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52 epidemiologinių tyrimų duomenų </w:t>
      </w:r>
      <w:proofErr w:type="spellStart"/>
      <w:r w:rsidRPr="00940D54">
        <w:rPr>
          <w:rFonts w:ascii="Times New Roman" w:hAnsi="Times New Roman"/>
          <w:lang w:val="lt-LT"/>
        </w:rPr>
        <w:t>metaanalizė</w:t>
      </w:r>
      <w:proofErr w:type="spellEnd"/>
      <w:r w:rsidRPr="00940D54">
        <w:rPr>
          <w:rFonts w:ascii="Times New Roman" w:hAnsi="Times New Roman"/>
          <w:lang w:val="lt-LT"/>
        </w:rPr>
        <w:t xml:space="preserve"> parodė kiaušidžių vėžio rizikos padidėjimą moterims, kurios šiuo metu vartoja PHT, palyginti su moterimis, kurios niekada nevartojo PHT (SR 1,43, 95 % PI 1,31</w:t>
      </w:r>
      <w:r w:rsidRPr="00940D54">
        <w:rPr>
          <w:rFonts w:ascii="Times New Roman" w:hAnsi="Times New Roman"/>
          <w:lang w:val="lt-LT"/>
        </w:rPr>
        <w:noBreakHyphen/>
        <w:t>1,56). PHT 5 metus vartojančių nuo 50 iki 54 metų moterų grupėje yra diagnozuojamas maždaug 1 papildomas atvejis 2 000 vartotojų. Maždaug 2 iš 2 000 moterų PHT nevartojančių nuo 50 iki 54 metų moterų grupėje bus diagnozuotas kiaušidžių vėžys per 5 metų laikotarpį.</w:t>
      </w:r>
    </w:p>
    <w:p w14:paraId="2EEADC09" w14:textId="77777777" w:rsidR="00A51A1D" w:rsidRPr="00940D54" w:rsidRDefault="00A51A1D" w:rsidP="00A51A1D">
      <w:pPr>
        <w:spacing w:after="0" w:line="240" w:lineRule="auto"/>
        <w:contextualSpacing/>
        <w:outlineLvl w:val="0"/>
        <w:rPr>
          <w:rFonts w:ascii="Times New Roman" w:hAnsi="Times New Roman"/>
          <w:lang w:val="lt-LT"/>
        </w:rPr>
      </w:pPr>
    </w:p>
    <w:p w14:paraId="03080C28" w14:textId="77777777" w:rsidR="00A51A1D" w:rsidRPr="00940D54" w:rsidRDefault="00A51A1D" w:rsidP="00A51A1D">
      <w:pPr>
        <w:spacing w:after="0" w:line="240" w:lineRule="auto"/>
        <w:contextualSpacing/>
        <w:outlineLvl w:val="0"/>
        <w:rPr>
          <w:rFonts w:ascii="Times New Roman" w:eastAsiaTheme="minorHAnsi" w:hAnsi="Times New Roman" w:cstheme="minorBidi"/>
          <w:u w:val="single"/>
          <w:lang w:val="lt-LT"/>
        </w:rPr>
      </w:pPr>
      <w:r w:rsidRPr="00940D54">
        <w:rPr>
          <w:rFonts w:ascii="Times New Roman" w:hAnsi="Times New Roman"/>
          <w:u w:val="single"/>
          <w:lang w:val="lt-LT"/>
        </w:rPr>
        <w:t>Venų tromboembolijos rizika</w:t>
      </w:r>
    </w:p>
    <w:p w14:paraId="66C70790" w14:textId="11199D75"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PHT yra susijusi su venų tromboembolijos (VTE, pvz.: venų trombozės arba plaučių embolijos) atsiradimo santykinės rizikos padidėjimu 1,3</w:t>
      </w:r>
      <w:r w:rsidRPr="00940D54">
        <w:rPr>
          <w:rFonts w:ascii="Times New Roman" w:hAnsi="Times New Roman"/>
          <w:lang w:val="lt-LT"/>
        </w:rPr>
        <w:noBreakHyphen/>
        <w:t>3 kartais. Tokių reiškinių atsiradimo tikimybė yra didesnė pirmaisiais PHT metais (žr.</w:t>
      </w:r>
      <w:r w:rsidR="00B83DFA">
        <w:rPr>
          <w:rFonts w:ascii="Times New Roman" w:hAnsi="Times New Roman"/>
          <w:lang w:val="lt-LT"/>
        </w:rPr>
        <w:t> </w:t>
      </w:r>
      <w:r w:rsidRPr="00940D54">
        <w:rPr>
          <w:rFonts w:ascii="Times New Roman" w:hAnsi="Times New Roman"/>
          <w:lang w:val="lt-LT"/>
        </w:rPr>
        <w:t>4.4 skyrių). WHI tyrimo duomenys pateikti.</w:t>
      </w:r>
    </w:p>
    <w:p w14:paraId="7C79FF85" w14:textId="77777777" w:rsidR="00A51A1D" w:rsidRPr="00940D54" w:rsidRDefault="00A51A1D" w:rsidP="00A51A1D">
      <w:pPr>
        <w:spacing w:after="0" w:line="240" w:lineRule="auto"/>
        <w:contextualSpacing/>
        <w:outlineLvl w:val="0"/>
        <w:rPr>
          <w:rFonts w:ascii="Times New Roman" w:hAnsi="Times New Roman"/>
          <w:lang w:val="lt-LT"/>
        </w:rPr>
      </w:pPr>
    </w:p>
    <w:p w14:paraId="6F4C8AD9" w14:textId="77777777" w:rsidR="00A51A1D" w:rsidRPr="00940D54" w:rsidRDefault="00A51A1D" w:rsidP="00A51A1D">
      <w:pPr>
        <w:spacing w:after="0" w:line="240" w:lineRule="auto"/>
        <w:contextualSpacing/>
        <w:outlineLvl w:val="0"/>
        <w:rPr>
          <w:rFonts w:ascii="Times New Roman" w:eastAsiaTheme="minorHAnsi" w:hAnsi="Times New Roman" w:cstheme="minorBidi"/>
          <w:b/>
          <w:lang w:val="lt-LT"/>
        </w:rPr>
      </w:pPr>
      <w:r w:rsidRPr="00940D54">
        <w:rPr>
          <w:rFonts w:ascii="Times New Roman" w:hAnsi="Times New Roman"/>
          <w:b/>
          <w:i/>
          <w:lang w:val="lt-LT"/>
        </w:rPr>
        <w:t>WHI</w:t>
      </w:r>
      <w:r w:rsidRPr="00940D54">
        <w:rPr>
          <w:rFonts w:ascii="Times New Roman" w:hAnsi="Times New Roman"/>
          <w:b/>
          <w:lang w:val="lt-LT"/>
        </w:rPr>
        <w:t xml:space="preserve"> tyrimai – papildoma VTE rizika per 5 vartojimo metus</w:t>
      </w:r>
    </w:p>
    <w:p w14:paraId="667798A5" w14:textId="77777777" w:rsidR="00A51A1D" w:rsidRPr="00940D54" w:rsidRDefault="00A51A1D" w:rsidP="00A51A1D">
      <w:pPr>
        <w:spacing w:after="0" w:line="240" w:lineRule="auto"/>
        <w:contextualSpacing/>
        <w:outlineLvl w:val="0"/>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35"/>
        <w:gridCol w:w="2336"/>
        <w:gridCol w:w="2336"/>
      </w:tblGrid>
      <w:tr w:rsidR="00A51A1D" w:rsidRPr="006815BA" w14:paraId="23D8DDAC" w14:textId="77777777" w:rsidTr="00BF0B13">
        <w:tc>
          <w:tcPr>
            <w:tcW w:w="1951" w:type="dxa"/>
          </w:tcPr>
          <w:p w14:paraId="1527EEDA"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Amžiaus ribos (metais)</w:t>
            </w:r>
          </w:p>
        </w:tc>
        <w:tc>
          <w:tcPr>
            <w:tcW w:w="2344" w:type="dxa"/>
          </w:tcPr>
          <w:p w14:paraId="3802CCCE" w14:textId="35644F55"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Dažnis 1 000</w:t>
            </w:r>
            <w:r w:rsidRPr="00940D54">
              <w:rPr>
                <w:rFonts w:ascii="Times New Roman" w:hAnsi="Times New Roman"/>
                <w:lang w:val="lt-LT"/>
              </w:rPr>
              <w:noBreakHyphen/>
              <w:t>iui moterų placebo grupėje per 5 metų laikotarpį</w:t>
            </w:r>
          </w:p>
        </w:tc>
        <w:tc>
          <w:tcPr>
            <w:tcW w:w="2344" w:type="dxa"/>
          </w:tcPr>
          <w:p w14:paraId="5E77C9BC"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Santykinė rizika ir 95 % PI</w:t>
            </w:r>
          </w:p>
        </w:tc>
        <w:tc>
          <w:tcPr>
            <w:tcW w:w="2344" w:type="dxa"/>
          </w:tcPr>
          <w:p w14:paraId="34831567" w14:textId="1EBA456E" w:rsidR="00A51A1D" w:rsidRPr="00E64270"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Papildomų atvejų 1 000</w:t>
            </w:r>
            <w:r w:rsidRPr="00940D54">
              <w:rPr>
                <w:rFonts w:ascii="Times New Roman" w:hAnsi="Times New Roman"/>
                <w:lang w:val="lt-LT"/>
              </w:rPr>
              <w:noBreakHyphen/>
              <w:t>iui PHT vartojusių moterų skaičius</w:t>
            </w:r>
            <w:r w:rsidR="00E64270">
              <w:rPr>
                <w:rFonts w:ascii="Times New Roman" w:hAnsi="Times New Roman"/>
                <w:lang w:val="lt-LT"/>
              </w:rPr>
              <w:t xml:space="preserve"> (95</w:t>
            </w:r>
            <w:r w:rsidR="00B83DFA">
              <w:rPr>
                <w:rFonts w:ascii="Times New Roman" w:hAnsi="Times New Roman"/>
                <w:lang w:val="lt-LT"/>
              </w:rPr>
              <w:t> </w:t>
            </w:r>
            <w:r w:rsidR="00E64270">
              <w:rPr>
                <w:rFonts w:ascii="Times New Roman" w:hAnsi="Times New Roman"/>
                <w:lang w:val="lt-LT"/>
              </w:rPr>
              <w:t>% PI)</w:t>
            </w:r>
          </w:p>
        </w:tc>
      </w:tr>
      <w:tr w:rsidR="00A51A1D" w:rsidRPr="00940D54" w14:paraId="531FB710" w14:textId="77777777" w:rsidTr="00BF0B13">
        <w:tc>
          <w:tcPr>
            <w:tcW w:w="8983" w:type="dxa"/>
            <w:gridSpan w:val="4"/>
          </w:tcPr>
          <w:p w14:paraId="51BCCD60" w14:textId="77777777" w:rsidR="00A51A1D" w:rsidRPr="00940D54" w:rsidRDefault="00A51A1D" w:rsidP="00BF0B13">
            <w:pPr>
              <w:spacing w:after="0" w:line="240" w:lineRule="auto"/>
              <w:contextualSpacing/>
              <w:jc w:val="center"/>
              <w:outlineLvl w:val="0"/>
              <w:rPr>
                <w:rFonts w:ascii="Times New Roman" w:hAnsi="Times New Roman"/>
                <w:b/>
                <w:lang w:val="lt-LT"/>
              </w:rPr>
            </w:pPr>
            <w:r w:rsidRPr="00940D54">
              <w:rPr>
                <w:rFonts w:ascii="Times New Roman" w:hAnsi="Times New Roman"/>
                <w:b/>
                <w:lang w:val="lt-LT"/>
              </w:rPr>
              <w:t>Vieni geriamieji estrogenai *</w:t>
            </w:r>
          </w:p>
        </w:tc>
      </w:tr>
      <w:tr w:rsidR="00A51A1D" w:rsidRPr="00940D54" w14:paraId="2F2EC009" w14:textId="77777777" w:rsidTr="00BF0B13">
        <w:tc>
          <w:tcPr>
            <w:tcW w:w="1951" w:type="dxa"/>
          </w:tcPr>
          <w:p w14:paraId="02BEBCD4"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r w:rsidRPr="00940D54">
              <w:rPr>
                <w:rFonts w:ascii="Times New Roman" w:hAnsi="Times New Roman"/>
                <w:lang w:val="lt-LT"/>
              </w:rPr>
              <w:noBreakHyphen/>
              <w:t>59</w:t>
            </w:r>
          </w:p>
        </w:tc>
        <w:tc>
          <w:tcPr>
            <w:tcW w:w="2344" w:type="dxa"/>
          </w:tcPr>
          <w:p w14:paraId="6A5EC696"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7</w:t>
            </w:r>
          </w:p>
        </w:tc>
        <w:tc>
          <w:tcPr>
            <w:tcW w:w="2344" w:type="dxa"/>
          </w:tcPr>
          <w:p w14:paraId="50F563D3"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1,2 (0,6</w:t>
            </w:r>
            <w:r w:rsidRPr="00940D54">
              <w:rPr>
                <w:rFonts w:ascii="Times New Roman" w:hAnsi="Times New Roman"/>
                <w:lang w:val="lt-LT"/>
              </w:rPr>
              <w:noBreakHyphen/>
              <w:t>2,4)</w:t>
            </w:r>
          </w:p>
        </w:tc>
        <w:tc>
          <w:tcPr>
            <w:tcW w:w="2344" w:type="dxa"/>
          </w:tcPr>
          <w:p w14:paraId="710385BE"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 (-3</w:t>
            </w:r>
            <w:r w:rsidRPr="00940D54">
              <w:rPr>
                <w:rFonts w:ascii="Times New Roman" w:hAnsi="Times New Roman"/>
                <w:lang w:val="lt-LT"/>
              </w:rPr>
              <w:noBreakHyphen/>
              <w:t>10)</w:t>
            </w:r>
          </w:p>
        </w:tc>
      </w:tr>
      <w:tr w:rsidR="00A51A1D" w:rsidRPr="006815BA" w14:paraId="5ABEC527" w14:textId="77777777" w:rsidTr="00BF0B13">
        <w:tc>
          <w:tcPr>
            <w:tcW w:w="8983" w:type="dxa"/>
            <w:gridSpan w:val="4"/>
          </w:tcPr>
          <w:p w14:paraId="2F89F668" w14:textId="6751114A" w:rsidR="00A51A1D" w:rsidRPr="00940D54" w:rsidRDefault="00A51A1D" w:rsidP="00BF0B13">
            <w:pPr>
              <w:spacing w:after="0" w:line="240" w:lineRule="auto"/>
              <w:contextualSpacing/>
              <w:jc w:val="center"/>
              <w:outlineLvl w:val="0"/>
              <w:rPr>
                <w:rFonts w:ascii="Times New Roman" w:hAnsi="Times New Roman"/>
                <w:b/>
                <w:lang w:val="lt-LT"/>
              </w:rPr>
            </w:pPr>
            <w:r w:rsidRPr="00940D54">
              <w:rPr>
                <w:rFonts w:ascii="Times New Roman" w:hAnsi="Times New Roman"/>
                <w:b/>
                <w:lang w:val="lt-LT"/>
              </w:rPr>
              <w:t xml:space="preserve">Kombinuotieji geriamieji estrogenai ir </w:t>
            </w:r>
            <w:proofErr w:type="spellStart"/>
            <w:r w:rsidR="00E1018C" w:rsidRPr="00940D54">
              <w:rPr>
                <w:rFonts w:ascii="Times New Roman" w:hAnsi="Times New Roman"/>
                <w:b/>
                <w:lang w:val="lt-LT"/>
              </w:rPr>
              <w:t>progest</w:t>
            </w:r>
            <w:r w:rsidR="00E1018C">
              <w:rPr>
                <w:rFonts w:ascii="Times New Roman" w:hAnsi="Times New Roman"/>
                <w:b/>
                <w:lang w:val="lt-LT"/>
              </w:rPr>
              <w:t>o</w:t>
            </w:r>
            <w:r w:rsidR="00E1018C" w:rsidRPr="00940D54">
              <w:rPr>
                <w:rFonts w:ascii="Times New Roman" w:hAnsi="Times New Roman"/>
                <w:b/>
                <w:lang w:val="lt-LT"/>
              </w:rPr>
              <w:t>genai</w:t>
            </w:r>
            <w:proofErr w:type="spellEnd"/>
          </w:p>
        </w:tc>
      </w:tr>
      <w:tr w:rsidR="00A51A1D" w:rsidRPr="00940D54" w14:paraId="2AEF8CC7" w14:textId="77777777" w:rsidTr="00BF0B13">
        <w:tc>
          <w:tcPr>
            <w:tcW w:w="1951" w:type="dxa"/>
          </w:tcPr>
          <w:p w14:paraId="639E4D0C"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r w:rsidRPr="00940D54">
              <w:rPr>
                <w:rFonts w:ascii="Times New Roman" w:hAnsi="Times New Roman"/>
                <w:lang w:val="lt-LT"/>
              </w:rPr>
              <w:noBreakHyphen/>
              <w:t>59</w:t>
            </w:r>
          </w:p>
        </w:tc>
        <w:tc>
          <w:tcPr>
            <w:tcW w:w="2344" w:type="dxa"/>
          </w:tcPr>
          <w:p w14:paraId="4AFEA412"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4</w:t>
            </w:r>
          </w:p>
        </w:tc>
        <w:tc>
          <w:tcPr>
            <w:tcW w:w="2344" w:type="dxa"/>
          </w:tcPr>
          <w:p w14:paraId="25E910CB"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2,3 (1,2</w:t>
            </w:r>
            <w:r w:rsidRPr="00940D54">
              <w:rPr>
                <w:rFonts w:ascii="Times New Roman" w:hAnsi="Times New Roman"/>
                <w:lang w:val="lt-LT"/>
              </w:rPr>
              <w:noBreakHyphen/>
              <w:t>4,3)</w:t>
            </w:r>
          </w:p>
        </w:tc>
        <w:tc>
          <w:tcPr>
            <w:tcW w:w="2344" w:type="dxa"/>
          </w:tcPr>
          <w:p w14:paraId="793615CF"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5 (1</w:t>
            </w:r>
            <w:r w:rsidRPr="00940D54">
              <w:rPr>
                <w:rFonts w:ascii="Times New Roman" w:hAnsi="Times New Roman"/>
                <w:lang w:val="lt-LT"/>
              </w:rPr>
              <w:noBreakHyphen/>
              <w:t>13)</w:t>
            </w:r>
          </w:p>
        </w:tc>
      </w:tr>
      <w:tr w:rsidR="00A51A1D" w:rsidRPr="00940D54" w14:paraId="51A2A802" w14:textId="77777777" w:rsidTr="00BF0B13">
        <w:tc>
          <w:tcPr>
            <w:tcW w:w="8983" w:type="dxa"/>
            <w:gridSpan w:val="4"/>
          </w:tcPr>
          <w:p w14:paraId="42F87B65"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 Tyrime dalyvavo moterys, neturinčios gimdos.</w:t>
            </w:r>
          </w:p>
        </w:tc>
      </w:tr>
    </w:tbl>
    <w:p w14:paraId="68143827" w14:textId="77777777" w:rsidR="00A51A1D" w:rsidRPr="00940D54" w:rsidRDefault="00A51A1D" w:rsidP="00A51A1D">
      <w:pPr>
        <w:spacing w:after="0" w:line="240" w:lineRule="auto"/>
        <w:contextualSpacing/>
        <w:outlineLvl w:val="0"/>
        <w:rPr>
          <w:rFonts w:ascii="Times New Roman" w:hAnsi="Times New Roman"/>
          <w:lang w:val="lt-LT"/>
        </w:rPr>
      </w:pPr>
    </w:p>
    <w:p w14:paraId="6ABB31CB" w14:textId="77777777" w:rsidR="00A51A1D" w:rsidRPr="00940D54" w:rsidRDefault="00A51A1D" w:rsidP="00A51A1D">
      <w:pPr>
        <w:spacing w:after="0" w:line="240" w:lineRule="auto"/>
        <w:contextualSpacing/>
        <w:outlineLvl w:val="0"/>
        <w:rPr>
          <w:rFonts w:ascii="Times New Roman" w:eastAsiaTheme="minorHAnsi" w:hAnsi="Times New Roman" w:cstheme="minorBidi"/>
          <w:u w:val="single"/>
          <w:lang w:val="lt-LT"/>
        </w:rPr>
      </w:pPr>
      <w:r w:rsidRPr="00940D54">
        <w:rPr>
          <w:rFonts w:ascii="Times New Roman" w:hAnsi="Times New Roman"/>
          <w:u w:val="single"/>
          <w:lang w:val="lt-LT"/>
        </w:rPr>
        <w:t>Išeminės širdies ligos rizika</w:t>
      </w:r>
    </w:p>
    <w:p w14:paraId="2A721BBA" w14:textId="2C113614"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Išeminės širdies ligos rizika vyresnėms kaip 60 metų amžiaus kombinuotosios estrogenų ir </w:t>
      </w:r>
      <w:proofErr w:type="spellStart"/>
      <w:r w:rsidRPr="00940D54">
        <w:rPr>
          <w:rFonts w:ascii="Times New Roman" w:hAnsi="Times New Roman"/>
          <w:lang w:val="lt-LT"/>
        </w:rPr>
        <w:t>progest</w:t>
      </w:r>
      <w:r w:rsidR="0015069D">
        <w:rPr>
          <w:rFonts w:ascii="Times New Roman" w:hAnsi="Times New Roman"/>
          <w:lang w:val="lt-LT"/>
        </w:rPr>
        <w:t>o</w:t>
      </w:r>
      <w:r w:rsidRPr="00940D54">
        <w:rPr>
          <w:rFonts w:ascii="Times New Roman" w:hAnsi="Times New Roman"/>
          <w:lang w:val="lt-LT"/>
        </w:rPr>
        <w:t>geno</w:t>
      </w:r>
      <w:proofErr w:type="spellEnd"/>
      <w:r w:rsidRPr="00940D54">
        <w:rPr>
          <w:rFonts w:ascii="Times New Roman" w:hAnsi="Times New Roman"/>
          <w:lang w:val="lt-LT"/>
        </w:rPr>
        <w:t xml:space="preserve"> PHT vartotojoms šiek tiek padidėja (žr.</w:t>
      </w:r>
      <w:r w:rsidR="00FE50FA">
        <w:rPr>
          <w:rFonts w:ascii="Times New Roman" w:hAnsi="Times New Roman"/>
          <w:lang w:val="lt-LT"/>
        </w:rPr>
        <w:t> </w:t>
      </w:r>
      <w:r w:rsidRPr="00940D54">
        <w:rPr>
          <w:rFonts w:ascii="Times New Roman" w:hAnsi="Times New Roman"/>
          <w:lang w:val="lt-LT"/>
        </w:rPr>
        <w:t>4.4 skyrių).</w:t>
      </w:r>
    </w:p>
    <w:p w14:paraId="769E8662" w14:textId="77777777" w:rsidR="00A51A1D" w:rsidRPr="00940D54" w:rsidRDefault="00A51A1D" w:rsidP="00A51A1D">
      <w:pPr>
        <w:spacing w:after="0" w:line="240" w:lineRule="auto"/>
        <w:contextualSpacing/>
        <w:outlineLvl w:val="0"/>
        <w:rPr>
          <w:rFonts w:ascii="Times New Roman" w:hAnsi="Times New Roman"/>
          <w:lang w:val="lt-LT"/>
        </w:rPr>
      </w:pPr>
    </w:p>
    <w:p w14:paraId="3A96594F" w14:textId="77777777" w:rsidR="00A51A1D" w:rsidRPr="00940D54" w:rsidRDefault="00A51A1D" w:rsidP="00A51A1D">
      <w:pPr>
        <w:spacing w:after="0" w:line="240" w:lineRule="auto"/>
        <w:contextualSpacing/>
        <w:outlineLvl w:val="0"/>
        <w:rPr>
          <w:rFonts w:ascii="Times New Roman" w:eastAsiaTheme="minorHAnsi" w:hAnsi="Times New Roman" w:cstheme="minorBidi"/>
          <w:u w:val="single"/>
          <w:lang w:val="lt-LT"/>
        </w:rPr>
      </w:pPr>
      <w:r w:rsidRPr="00940D54">
        <w:rPr>
          <w:rFonts w:ascii="Times New Roman" w:hAnsi="Times New Roman"/>
          <w:u w:val="single"/>
          <w:lang w:val="lt-LT"/>
        </w:rPr>
        <w:t>Išeminio insulto rizika</w:t>
      </w:r>
    </w:p>
    <w:p w14:paraId="3F9D0DE7" w14:textId="77777777" w:rsidR="000B0295" w:rsidRPr="00940D54" w:rsidRDefault="000B0295" w:rsidP="00A51A1D">
      <w:pPr>
        <w:spacing w:after="0" w:line="240" w:lineRule="auto"/>
        <w:contextualSpacing/>
        <w:outlineLvl w:val="0"/>
        <w:rPr>
          <w:rFonts w:ascii="Times New Roman" w:eastAsiaTheme="minorHAnsi" w:hAnsi="Times New Roman" w:cstheme="minorBidi"/>
          <w:u w:val="single"/>
          <w:lang w:val="lt-LT"/>
        </w:rPr>
      </w:pPr>
    </w:p>
    <w:p w14:paraId="34ED0158" w14:textId="2B5460DA"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lastRenderedPageBreak/>
        <w:t xml:space="preserve">Vienų estrogenų ar estrogenų ir </w:t>
      </w:r>
      <w:proofErr w:type="spellStart"/>
      <w:r w:rsidRPr="00940D54">
        <w:rPr>
          <w:rFonts w:ascii="Times New Roman" w:hAnsi="Times New Roman"/>
          <w:lang w:val="lt-LT"/>
        </w:rPr>
        <w:t>progest</w:t>
      </w:r>
      <w:r w:rsidR="0015069D">
        <w:rPr>
          <w:rFonts w:ascii="Times New Roman" w:hAnsi="Times New Roman"/>
          <w:lang w:val="lt-LT"/>
        </w:rPr>
        <w:t>o</w:t>
      </w:r>
      <w:r w:rsidRPr="00940D54">
        <w:rPr>
          <w:rFonts w:ascii="Times New Roman" w:hAnsi="Times New Roman"/>
          <w:lang w:val="lt-LT"/>
        </w:rPr>
        <w:t>geno</w:t>
      </w:r>
      <w:proofErr w:type="spellEnd"/>
      <w:r w:rsidRPr="00940D54">
        <w:rPr>
          <w:rFonts w:ascii="Times New Roman" w:hAnsi="Times New Roman"/>
          <w:lang w:val="lt-LT"/>
        </w:rPr>
        <w:t xml:space="preserve"> terapija yra susijusi su išeminio insulto santykinės rizikos padidėjimu 1,5 karto. Hemoraginio insulto rizika PHT vartojimo metu nepadidėjo.</w:t>
      </w:r>
    </w:p>
    <w:p w14:paraId="0359580D" w14:textId="77777777" w:rsidR="00A51A1D" w:rsidRPr="00940D54" w:rsidRDefault="00A51A1D" w:rsidP="00A51A1D">
      <w:pPr>
        <w:spacing w:after="0" w:line="240" w:lineRule="auto"/>
        <w:contextualSpacing/>
        <w:outlineLvl w:val="0"/>
        <w:rPr>
          <w:rFonts w:ascii="Times New Roman" w:hAnsi="Times New Roman"/>
          <w:lang w:val="lt-LT"/>
        </w:rPr>
      </w:pPr>
    </w:p>
    <w:p w14:paraId="15939E5A" w14:textId="6EED804A"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Ši santykinė rizika nepriklauso nuo amžiaus ar vartojimo trukmės, bet pradinė rizika labai priklauso nuo amžiaus, todėl bendroji insulto rizika PHT vartojančioms moterims senstant didės (žr.</w:t>
      </w:r>
      <w:r w:rsidR="00FE50FA">
        <w:rPr>
          <w:rFonts w:ascii="Times New Roman" w:hAnsi="Times New Roman"/>
          <w:lang w:val="lt-LT"/>
        </w:rPr>
        <w:t> </w:t>
      </w:r>
      <w:r w:rsidRPr="00940D54">
        <w:rPr>
          <w:rFonts w:ascii="Times New Roman" w:hAnsi="Times New Roman"/>
          <w:lang w:val="lt-LT"/>
        </w:rPr>
        <w:t>4.4 skyrių).</w:t>
      </w:r>
    </w:p>
    <w:p w14:paraId="5B2E9BF0" w14:textId="77777777" w:rsidR="00A51A1D" w:rsidRPr="00940D54" w:rsidRDefault="00A51A1D" w:rsidP="00A51A1D">
      <w:pPr>
        <w:spacing w:after="0" w:line="240" w:lineRule="auto"/>
        <w:contextualSpacing/>
        <w:outlineLvl w:val="0"/>
        <w:rPr>
          <w:rFonts w:ascii="Times New Roman" w:hAnsi="Times New Roman"/>
          <w:lang w:val="lt-LT"/>
        </w:rPr>
      </w:pPr>
    </w:p>
    <w:p w14:paraId="26213DB3" w14:textId="77777777" w:rsidR="00A51A1D" w:rsidRPr="00940D54" w:rsidRDefault="00A51A1D" w:rsidP="00A51A1D">
      <w:pPr>
        <w:spacing w:after="0" w:line="240" w:lineRule="auto"/>
        <w:contextualSpacing/>
        <w:outlineLvl w:val="0"/>
        <w:rPr>
          <w:rFonts w:ascii="Times New Roman" w:eastAsiaTheme="minorHAnsi" w:hAnsi="Times New Roman" w:cstheme="minorBidi"/>
          <w:b/>
          <w:lang w:val="lt-LT"/>
        </w:rPr>
      </w:pPr>
      <w:r w:rsidRPr="00940D54">
        <w:rPr>
          <w:rFonts w:ascii="Times New Roman" w:hAnsi="Times New Roman"/>
          <w:b/>
          <w:lang w:val="lt-LT"/>
        </w:rPr>
        <w:t xml:space="preserve">Visi WHI tyrimai – papildoma išeminio insulto rizika </w:t>
      </w:r>
      <w:r w:rsidRPr="00940D54">
        <w:rPr>
          <w:rFonts w:ascii="Times New Roman" w:hAnsi="Times New Roman"/>
          <w:lang w:val="lt-LT"/>
        </w:rPr>
        <w:t xml:space="preserve">* </w:t>
      </w:r>
      <w:r w:rsidRPr="00940D54">
        <w:rPr>
          <w:rFonts w:ascii="Times New Roman" w:hAnsi="Times New Roman"/>
          <w:b/>
          <w:lang w:val="lt-LT"/>
        </w:rPr>
        <w:t>per 5 vartojimo metus</w:t>
      </w:r>
    </w:p>
    <w:p w14:paraId="6448CB00" w14:textId="77777777" w:rsidR="00A51A1D" w:rsidRPr="00940D54" w:rsidRDefault="00A51A1D" w:rsidP="00A51A1D">
      <w:pPr>
        <w:spacing w:after="0" w:line="240" w:lineRule="auto"/>
        <w:contextualSpacing/>
        <w:outlineLvl w:val="0"/>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35"/>
        <w:gridCol w:w="2336"/>
        <w:gridCol w:w="2336"/>
      </w:tblGrid>
      <w:tr w:rsidR="00A51A1D" w:rsidRPr="006815BA" w14:paraId="6AD11618" w14:textId="77777777" w:rsidTr="00BF0B13">
        <w:tc>
          <w:tcPr>
            <w:tcW w:w="1951" w:type="dxa"/>
          </w:tcPr>
          <w:p w14:paraId="57A0AA12"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Amžiaus ribos (metais)</w:t>
            </w:r>
          </w:p>
        </w:tc>
        <w:tc>
          <w:tcPr>
            <w:tcW w:w="2344" w:type="dxa"/>
          </w:tcPr>
          <w:p w14:paraId="49A96408" w14:textId="2906BDF3"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Dažnis 1 000</w:t>
            </w:r>
            <w:r w:rsidRPr="00940D54">
              <w:rPr>
                <w:rFonts w:ascii="Times New Roman" w:hAnsi="Times New Roman"/>
                <w:lang w:val="lt-LT"/>
              </w:rPr>
              <w:noBreakHyphen/>
              <w:t>iui moterų placebo grupėje per 5 metų laikotarpį</w:t>
            </w:r>
          </w:p>
        </w:tc>
        <w:tc>
          <w:tcPr>
            <w:tcW w:w="2344" w:type="dxa"/>
          </w:tcPr>
          <w:p w14:paraId="026F6B8A"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Santykinė rizika ir 95 % PI</w:t>
            </w:r>
          </w:p>
        </w:tc>
        <w:tc>
          <w:tcPr>
            <w:tcW w:w="2344" w:type="dxa"/>
          </w:tcPr>
          <w:p w14:paraId="077D3E70" w14:textId="285F8DCC"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Papildomų atvejų 1 000</w:t>
            </w:r>
            <w:r w:rsidRPr="00940D54">
              <w:rPr>
                <w:rFonts w:ascii="Times New Roman" w:hAnsi="Times New Roman"/>
                <w:lang w:val="lt-LT"/>
              </w:rPr>
              <w:noBreakHyphen/>
              <w:t>iui PHT vartojusių moterų skaičius</w:t>
            </w:r>
            <w:r w:rsidR="00E64270">
              <w:rPr>
                <w:rFonts w:ascii="Times New Roman" w:hAnsi="Times New Roman"/>
                <w:lang w:val="lt-LT"/>
              </w:rPr>
              <w:t xml:space="preserve"> (95</w:t>
            </w:r>
            <w:r w:rsidR="004C634D">
              <w:rPr>
                <w:rFonts w:ascii="Times New Roman" w:hAnsi="Times New Roman"/>
                <w:lang w:val="lt-LT"/>
              </w:rPr>
              <w:t> </w:t>
            </w:r>
            <w:r w:rsidR="00E64270">
              <w:rPr>
                <w:rFonts w:ascii="Times New Roman" w:hAnsi="Times New Roman"/>
                <w:lang w:val="lt-LT"/>
              </w:rPr>
              <w:t>% PI)</w:t>
            </w:r>
          </w:p>
        </w:tc>
      </w:tr>
      <w:tr w:rsidR="00A51A1D" w:rsidRPr="00940D54" w14:paraId="2DA39A61" w14:textId="77777777" w:rsidTr="00BF0B13">
        <w:tc>
          <w:tcPr>
            <w:tcW w:w="1951" w:type="dxa"/>
          </w:tcPr>
          <w:p w14:paraId="72498B85"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50</w:t>
            </w:r>
            <w:r w:rsidRPr="00940D54">
              <w:rPr>
                <w:rFonts w:ascii="Times New Roman" w:hAnsi="Times New Roman"/>
                <w:lang w:val="lt-LT"/>
              </w:rPr>
              <w:noBreakHyphen/>
              <w:t>59</w:t>
            </w:r>
          </w:p>
        </w:tc>
        <w:tc>
          <w:tcPr>
            <w:tcW w:w="2344" w:type="dxa"/>
          </w:tcPr>
          <w:p w14:paraId="0A7A6521"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8</w:t>
            </w:r>
          </w:p>
        </w:tc>
        <w:tc>
          <w:tcPr>
            <w:tcW w:w="2344" w:type="dxa"/>
          </w:tcPr>
          <w:p w14:paraId="1486678D"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1,3 (1,1</w:t>
            </w:r>
            <w:r w:rsidRPr="00940D54">
              <w:rPr>
                <w:rFonts w:ascii="Times New Roman" w:hAnsi="Times New Roman"/>
                <w:lang w:val="lt-LT"/>
              </w:rPr>
              <w:noBreakHyphen/>
              <w:t>1,6)</w:t>
            </w:r>
          </w:p>
        </w:tc>
        <w:tc>
          <w:tcPr>
            <w:tcW w:w="2344" w:type="dxa"/>
          </w:tcPr>
          <w:p w14:paraId="033F476C" w14:textId="77777777" w:rsidR="00A51A1D" w:rsidRPr="00940D54" w:rsidRDefault="00A51A1D" w:rsidP="00BF0B1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3 (1</w:t>
            </w:r>
            <w:r w:rsidRPr="00940D54">
              <w:rPr>
                <w:rFonts w:ascii="Times New Roman" w:hAnsi="Times New Roman"/>
                <w:lang w:val="lt-LT"/>
              </w:rPr>
              <w:noBreakHyphen/>
              <w:t>5)</w:t>
            </w:r>
          </w:p>
        </w:tc>
      </w:tr>
      <w:tr w:rsidR="00A51A1D" w:rsidRPr="00940D54" w14:paraId="086AADFD" w14:textId="77777777" w:rsidTr="00BF0B13">
        <w:tc>
          <w:tcPr>
            <w:tcW w:w="8983" w:type="dxa"/>
            <w:gridSpan w:val="4"/>
          </w:tcPr>
          <w:p w14:paraId="78665228" w14:textId="77777777" w:rsidR="00A51A1D" w:rsidRPr="00940D54" w:rsidRDefault="00A51A1D" w:rsidP="00BF0B13">
            <w:pPr>
              <w:spacing w:after="0" w:line="240" w:lineRule="auto"/>
              <w:contextualSpacing/>
              <w:outlineLvl w:val="0"/>
              <w:rPr>
                <w:rFonts w:ascii="Times New Roman" w:hAnsi="Times New Roman"/>
                <w:lang w:val="lt-LT"/>
              </w:rPr>
            </w:pPr>
            <w:r w:rsidRPr="00940D54">
              <w:rPr>
                <w:rFonts w:ascii="Times New Roman" w:hAnsi="Times New Roman"/>
                <w:lang w:val="lt-LT"/>
              </w:rPr>
              <w:t>* Išeminis ir hemoraginis insultai neatskirti.</w:t>
            </w:r>
          </w:p>
        </w:tc>
      </w:tr>
    </w:tbl>
    <w:p w14:paraId="7FA17449" w14:textId="77777777" w:rsidR="00A51A1D" w:rsidRPr="00940D54" w:rsidRDefault="00A51A1D" w:rsidP="00A51A1D">
      <w:pPr>
        <w:spacing w:after="0" w:line="240" w:lineRule="auto"/>
        <w:contextualSpacing/>
        <w:outlineLvl w:val="0"/>
        <w:rPr>
          <w:rFonts w:ascii="Times New Roman" w:hAnsi="Times New Roman"/>
          <w:lang w:val="lt-LT"/>
        </w:rPr>
      </w:pPr>
    </w:p>
    <w:p w14:paraId="6FF70941" w14:textId="5F145EE3" w:rsidR="00A51A1D" w:rsidRPr="00940D54" w:rsidRDefault="00A51A1D" w:rsidP="00A51A1D">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Buvo pranešta </w:t>
      </w:r>
      <w:r w:rsidR="002D6EE4" w:rsidRPr="00940D54">
        <w:rPr>
          <w:rFonts w:ascii="Times New Roman" w:hAnsi="Times New Roman"/>
          <w:lang w:val="lt-LT"/>
        </w:rPr>
        <w:t>a</w:t>
      </w:r>
      <w:r w:rsidRPr="00940D54">
        <w:rPr>
          <w:rFonts w:ascii="Times New Roman" w:hAnsi="Times New Roman"/>
          <w:lang w:val="lt-LT"/>
        </w:rPr>
        <w:t xml:space="preserve">pie kitas nepageidaujamas reakcijas, susijusias su gydymu estrogenais ir </w:t>
      </w:r>
      <w:proofErr w:type="spellStart"/>
      <w:r w:rsidRPr="00940D54">
        <w:rPr>
          <w:rFonts w:ascii="Times New Roman" w:hAnsi="Times New Roman"/>
          <w:lang w:val="lt-LT"/>
        </w:rPr>
        <w:t>progest</w:t>
      </w:r>
      <w:r w:rsidR="00CE4827">
        <w:rPr>
          <w:rFonts w:ascii="Times New Roman" w:hAnsi="Times New Roman"/>
          <w:lang w:val="lt-LT"/>
        </w:rPr>
        <w:t>o</w:t>
      </w:r>
      <w:r w:rsidRPr="00940D54">
        <w:rPr>
          <w:rFonts w:ascii="Times New Roman" w:hAnsi="Times New Roman"/>
          <w:lang w:val="lt-LT"/>
        </w:rPr>
        <w:t>genais</w:t>
      </w:r>
      <w:proofErr w:type="spellEnd"/>
      <w:r w:rsidRPr="00940D54">
        <w:rPr>
          <w:rFonts w:ascii="Times New Roman" w:hAnsi="Times New Roman"/>
          <w:lang w:val="lt-LT"/>
        </w:rPr>
        <w:t>:</w:t>
      </w:r>
    </w:p>
    <w:p w14:paraId="5417DDAC" w14:textId="77777777" w:rsidR="00A51A1D" w:rsidRPr="00940D54" w:rsidRDefault="00A51A1D" w:rsidP="00A51A1D">
      <w:pPr>
        <w:spacing w:after="0" w:line="240" w:lineRule="auto"/>
        <w:ind w:left="567" w:hanging="567"/>
        <w:contextualSpacing/>
        <w:outlineLvl w:val="0"/>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tulžies pūslės liga;</w:t>
      </w:r>
    </w:p>
    <w:p w14:paraId="329FEFEB" w14:textId="77777777" w:rsidR="00A51A1D" w:rsidRPr="00940D54" w:rsidRDefault="00A51A1D" w:rsidP="00A51A1D">
      <w:pPr>
        <w:spacing w:after="0" w:line="240" w:lineRule="auto"/>
        <w:ind w:left="567" w:hanging="567"/>
        <w:contextualSpacing/>
        <w:outlineLvl w:val="0"/>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odos ir poodinio audinio sutrikimai: rudmė, daugiaformė </w:t>
      </w:r>
      <w:proofErr w:type="spellStart"/>
      <w:r w:rsidRPr="00940D54">
        <w:rPr>
          <w:rFonts w:ascii="Times New Roman" w:hAnsi="Times New Roman"/>
          <w:lang w:val="lt-LT"/>
        </w:rPr>
        <w:t>eritema</w:t>
      </w:r>
      <w:proofErr w:type="spellEnd"/>
      <w:r w:rsidRPr="00940D54">
        <w:rPr>
          <w:rFonts w:ascii="Times New Roman" w:hAnsi="Times New Roman"/>
          <w:lang w:val="lt-LT"/>
        </w:rPr>
        <w:t xml:space="preserve">, mazginė </w:t>
      </w:r>
      <w:proofErr w:type="spellStart"/>
      <w:r w:rsidRPr="00940D54">
        <w:rPr>
          <w:rFonts w:ascii="Times New Roman" w:hAnsi="Times New Roman"/>
          <w:lang w:val="lt-LT"/>
        </w:rPr>
        <w:t>eritema</w:t>
      </w:r>
      <w:proofErr w:type="spellEnd"/>
      <w:r w:rsidRPr="00940D54">
        <w:rPr>
          <w:rFonts w:ascii="Times New Roman" w:hAnsi="Times New Roman"/>
          <w:lang w:val="lt-LT"/>
        </w:rPr>
        <w:t>, kraujagyslinė purpura;</w:t>
      </w:r>
    </w:p>
    <w:p w14:paraId="3CC3DB72" w14:textId="58BF0093" w:rsidR="00A51A1D" w:rsidRPr="00940D54" w:rsidRDefault="00A51A1D" w:rsidP="00A51A1D">
      <w:pPr>
        <w:spacing w:after="0" w:line="240" w:lineRule="auto"/>
        <w:ind w:left="567" w:hanging="567"/>
        <w:contextualSpacing/>
        <w:outlineLvl w:val="0"/>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galima demencija vyresnėms kaip 65</w:t>
      </w:r>
      <w:r w:rsidR="004C634D">
        <w:rPr>
          <w:rFonts w:ascii="Times New Roman" w:hAnsi="Times New Roman"/>
          <w:lang w:val="lt-LT"/>
        </w:rPr>
        <w:t> </w:t>
      </w:r>
      <w:r w:rsidRPr="00940D54">
        <w:rPr>
          <w:rFonts w:ascii="Times New Roman" w:hAnsi="Times New Roman"/>
          <w:lang w:val="lt-LT"/>
        </w:rPr>
        <w:t>metų moterims (žr.</w:t>
      </w:r>
      <w:r w:rsidR="004C634D">
        <w:rPr>
          <w:rFonts w:ascii="Times New Roman" w:hAnsi="Times New Roman"/>
          <w:lang w:val="lt-LT"/>
        </w:rPr>
        <w:t> </w:t>
      </w:r>
      <w:r w:rsidRPr="00940D54">
        <w:rPr>
          <w:rFonts w:ascii="Times New Roman" w:hAnsi="Times New Roman"/>
          <w:lang w:val="lt-LT"/>
        </w:rPr>
        <w:t>4.4 skyrių).</w:t>
      </w:r>
    </w:p>
    <w:p w14:paraId="40C66C6C" w14:textId="77777777" w:rsidR="00A51A1D" w:rsidRPr="00940D54" w:rsidRDefault="00A51A1D" w:rsidP="00A51A1D">
      <w:pPr>
        <w:spacing w:after="0" w:line="240" w:lineRule="auto"/>
        <w:ind w:left="567" w:hanging="567"/>
        <w:contextualSpacing/>
        <w:outlineLvl w:val="0"/>
        <w:rPr>
          <w:rFonts w:ascii="Times New Roman" w:hAnsi="Times New Roman"/>
          <w:lang w:val="lt-LT"/>
        </w:rPr>
      </w:pPr>
    </w:p>
    <w:p w14:paraId="173A3411" w14:textId="3285EFEE"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Egzogeninių</w:t>
      </w:r>
      <w:proofErr w:type="spellEnd"/>
      <w:r w:rsidRPr="00940D54">
        <w:rPr>
          <w:rFonts w:ascii="Times New Roman" w:hAnsi="Times New Roman"/>
          <w:lang w:val="lt-LT"/>
        </w:rPr>
        <w:t xml:space="preserve"> estrogenų vartojimas moterims, kurioms yra paveldėta </w:t>
      </w:r>
      <w:proofErr w:type="spellStart"/>
      <w:r w:rsidRPr="00940D54">
        <w:rPr>
          <w:rFonts w:ascii="Times New Roman" w:hAnsi="Times New Roman"/>
          <w:lang w:val="lt-LT"/>
        </w:rPr>
        <w:t>angioneurozinė</w:t>
      </w:r>
      <w:proofErr w:type="spellEnd"/>
      <w:r w:rsidRPr="00940D54">
        <w:rPr>
          <w:rFonts w:ascii="Times New Roman" w:hAnsi="Times New Roman"/>
          <w:lang w:val="lt-LT"/>
        </w:rPr>
        <w:t xml:space="preserve"> edema, gali sustiprinti </w:t>
      </w:r>
      <w:proofErr w:type="spellStart"/>
      <w:r w:rsidRPr="00940D54">
        <w:rPr>
          <w:rFonts w:ascii="Times New Roman" w:hAnsi="Times New Roman"/>
          <w:lang w:val="lt-LT"/>
        </w:rPr>
        <w:t>angioneurozinės</w:t>
      </w:r>
      <w:proofErr w:type="spellEnd"/>
      <w:r w:rsidRPr="00940D54">
        <w:rPr>
          <w:rFonts w:ascii="Times New Roman" w:hAnsi="Times New Roman"/>
          <w:lang w:val="lt-LT"/>
        </w:rPr>
        <w:t xml:space="preserve"> edemos simptomus (žr.</w:t>
      </w:r>
      <w:r w:rsidR="004C634D">
        <w:rPr>
          <w:rFonts w:ascii="Times New Roman" w:hAnsi="Times New Roman"/>
          <w:lang w:val="lt-LT"/>
        </w:rPr>
        <w:t> </w:t>
      </w:r>
      <w:r w:rsidRPr="00940D54">
        <w:rPr>
          <w:rFonts w:ascii="Times New Roman" w:hAnsi="Times New Roman"/>
          <w:lang w:val="lt-LT"/>
        </w:rPr>
        <w:t>4.4 skyrių).</w:t>
      </w:r>
    </w:p>
    <w:p w14:paraId="2EEC38EF" w14:textId="77777777" w:rsidR="00A51A1D" w:rsidRPr="00940D54" w:rsidRDefault="00A51A1D" w:rsidP="00A51A1D">
      <w:pPr>
        <w:spacing w:after="0" w:line="240" w:lineRule="auto"/>
        <w:contextualSpacing/>
        <w:outlineLvl w:val="0"/>
        <w:rPr>
          <w:rFonts w:ascii="Times New Roman" w:hAnsi="Times New Roman"/>
          <w:lang w:val="lt-LT"/>
        </w:rPr>
      </w:pPr>
    </w:p>
    <w:p w14:paraId="3750EA9D" w14:textId="77777777" w:rsidR="00A51A1D" w:rsidRPr="00940D54" w:rsidRDefault="00A51A1D" w:rsidP="00A51A1D">
      <w:pPr>
        <w:autoSpaceDE w:val="0"/>
        <w:autoSpaceDN w:val="0"/>
        <w:adjustRightInd w:val="0"/>
        <w:spacing w:after="0" w:line="240" w:lineRule="auto"/>
        <w:jc w:val="both"/>
        <w:rPr>
          <w:rFonts w:ascii="Times New Roman" w:eastAsiaTheme="minorHAnsi" w:hAnsi="Times New Roman" w:cstheme="minorBidi"/>
          <w:u w:val="single"/>
          <w:lang w:val="lt-LT"/>
        </w:rPr>
      </w:pPr>
      <w:r w:rsidRPr="00940D54">
        <w:rPr>
          <w:rFonts w:ascii="Times New Roman" w:hAnsi="Times New Roman"/>
          <w:u w:val="single"/>
          <w:lang w:val="lt-LT"/>
        </w:rPr>
        <w:t>Pranešimas apie įtariamas nepageidaujamas reakcijas</w:t>
      </w:r>
    </w:p>
    <w:p w14:paraId="3584BCF4" w14:textId="77777777" w:rsidR="00225AB9" w:rsidRPr="005F2F33" w:rsidRDefault="00225AB9" w:rsidP="00225AB9">
      <w:pPr>
        <w:spacing w:after="0" w:line="240" w:lineRule="auto"/>
        <w:jc w:val="both"/>
        <w:rPr>
          <w:rFonts w:ascii="Times New Roman" w:eastAsia="Times New Roman" w:hAnsi="Times New Roman"/>
          <w:snapToGrid w:val="0"/>
          <w:szCs w:val="24"/>
          <w:lang w:val="lt-LT"/>
        </w:rPr>
      </w:pPr>
      <w:r w:rsidRPr="005F2F33">
        <w:rPr>
          <w:rFonts w:ascii="Times New Roman" w:eastAsia="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F2F33">
        <w:rPr>
          <w:rFonts w:ascii="Times New Roman" w:eastAsia="Times New Roman" w:hAnsi="Times New Roman"/>
          <w:color w:val="0000EE"/>
          <w:u w:val="single"/>
          <w:lang w:val="lt-LT" w:eastAsia="lt-LT"/>
        </w:rPr>
        <w:t>https://vvkt.lrv.lt/lt/</w:t>
      </w:r>
      <w:r w:rsidRPr="005F2F33">
        <w:rPr>
          <w:rFonts w:ascii="Times New Roman" w:eastAsia="Times New Roman" w:hAnsi="Times New Roman"/>
          <w:lang w:val="lt-LT" w:eastAsia="lt-LT"/>
        </w:rPr>
        <w:t xml:space="preserve"> nurodytais būdais</w:t>
      </w:r>
      <w:r w:rsidRPr="005F2F33">
        <w:rPr>
          <w:rFonts w:ascii="Times New Roman" w:eastAsia="Times New Roman" w:hAnsi="Times New Roman"/>
          <w:snapToGrid w:val="0"/>
          <w:szCs w:val="24"/>
          <w:lang w:val="lt-LT"/>
        </w:rPr>
        <w:t>.</w:t>
      </w:r>
    </w:p>
    <w:p w14:paraId="1BF25F73" w14:textId="77777777" w:rsidR="00A51A1D" w:rsidRPr="00940D54" w:rsidRDefault="00A51A1D" w:rsidP="00465E20">
      <w:pPr>
        <w:tabs>
          <w:tab w:val="left" w:pos="567"/>
        </w:tabs>
        <w:autoSpaceDE w:val="0"/>
        <w:autoSpaceDN w:val="0"/>
        <w:adjustRightInd w:val="0"/>
        <w:spacing w:after="0" w:line="260" w:lineRule="exact"/>
        <w:jc w:val="both"/>
        <w:rPr>
          <w:rFonts w:ascii="Times New Roman" w:hAnsi="Times New Roman"/>
          <w:lang w:val="lt-LT"/>
        </w:rPr>
      </w:pPr>
    </w:p>
    <w:p w14:paraId="3C4487D5"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4.9</w:t>
      </w:r>
      <w:r w:rsidRPr="00940D54">
        <w:rPr>
          <w:rFonts w:ascii="Times New Roman" w:hAnsi="Times New Roman"/>
          <w:b/>
          <w:lang w:val="lt-LT"/>
        </w:rPr>
        <w:tab/>
        <w:t>Perdozavimas</w:t>
      </w:r>
    </w:p>
    <w:p w14:paraId="2C1BD40A" w14:textId="77777777" w:rsidR="00A51A1D" w:rsidRPr="00940D54" w:rsidRDefault="00A51A1D" w:rsidP="00A51A1D">
      <w:pPr>
        <w:spacing w:after="0" w:line="240" w:lineRule="auto"/>
        <w:rPr>
          <w:rFonts w:ascii="Times New Roman" w:hAnsi="Times New Roman"/>
          <w:lang w:val="lt-LT"/>
        </w:rPr>
      </w:pPr>
    </w:p>
    <w:p w14:paraId="42A25F6C"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Ūminio toksinio poveikio tyrimai parodė, kad atsitiktinai pavartojus net kelis kartus didesnę už gydomąją dozę, ūminio toksinio poveikio rizikos nesitikima. Kai kurioms moterims dėl perdozavimo gali pasireikšti pykinimas ir vėmimas bei nereguliarus kraujavimas. Specialaus priešnuodžio nėra.</w:t>
      </w:r>
    </w:p>
    <w:p w14:paraId="6A337944" w14:textId="77777777" w:rsidR="00A51A1D" w:rsidRPr="00940D54" w:rsidRDefault="00A51A1D" w:rsidP="00A51A1D">
      <w:pPr>
        <w:spacing w:after="0" w:line="240" w:lineRule="auto"/>
        <w:rPr>
          <w:rFonts w:ascii="Times New Roman" w:hAnsi="Times New Roman"/>
          <w:lang w:val="lt-LT"/>
        </w:rPr>
      </w:pPr>
    </w:p>
    <w:p w14:paraId="53C00709" w14:textId="77777777" w:rsidR="00A51A1D" w:rsidRPr="00940D54" w:rsidRDefault="00A51A1D" w:rsidP="00A51A1D">
      <w:pPr>
        <w:spacing w:after="0" w:line="240" w:lineRule="auto"/>
        <w:rPr>
          <w:rFonts w:ascii="Times New Roman" w:hAnsi="Times New Roman"/>
          <w:lang w:val="lt-LT"/>
        </w:rPr>
      </w:pPr>
    </w:p>
    <w:p w14:paraId="08DABC3D"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5.</w:t>
      </w:r>
      <w:r w:rsidRPr="00940D54">
        <w:rPr>
          <w:rFonts w:ascii="Times New Roman" w:hAnsi="Times New Roman"/>
          <w:b/>
          <w:lang w:val="lt-LT"/>
        </w:rPr>
        <w:tab/>
        <w:t>FARMAKOLOGINĖS SAVYBĖS</w:t>
      </w:r>
    </w:p>
    <w:p w14:paraId="4A742D14" w14:textId="77777777" w:rsidR="00A51A1D" w:rsidRPr="00940D54" w:rsidRDefault="00A51A1D" w:rsidP="00A51A1D">
      <w:pPr>
        <w:spacing w:after="0" w:line="240" w:lineRule="auto"/>
        <w:rPr>
          <w:rFonts w:ascii="Times New Roman" w:hAnsi="Times New Roman"/>
          <w:lang w:val="lt-LT"/>
        </w:rPr>
      </w:pPr>
    </w:p>
    <w:p w14:paraId="65F22597"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5.1</w:t>
      </w:r>
      <w:r w:rsidRPr="00940D54">
        <w:rPr>
          <w:rFonts w:ascii="Times New Roman" w:hAnsi="Times New Roman"/>
          <w:b/>
          <w:lang w:val="lt-LT"/>
        </w:rPr>
        <w:tab/>
      </w:r>
      <w:proofErr w:type="spellStart"/>
      <w:r w:rsidRPr="00940D54">
        <w:rPr>
          <w:rFonts w:ascii="Times New Roman" w:hAnsi="Times New Roman"/>
          <w:b/>
          <w:lang w:val="lt-LT"/>
        </w:rPr>
        <w:t>Farmakodinaminės</w:t>
      </w:r>
      <w:proofErr w:type="spellEnd"/>
      <w:r w:rsidRPr="00940D54">
        <w:rPr>
          <w:rFonts w:ascii="Times New Roman" w:hAnsi="Times New Roman"/>
          <w:b/>
          <w:lang w:val="lt-LT"/>
        </w:rPr>
        <w:t xml:space="preserve"> savybės</w:t>
      </w:r>
    </w:p>
    <w:p w14:paraId="1598FD15" w14:textId="77777777" w:rsidR="00A51A1D" w:rsidRPr="00940D54" w:rsidRDefault="00A51A1D" w:rsidP="00A51A1D">
      <w:pPr>
        <w:spacing w:after="0" w:line="240" w:lineRule="auto"/>
        <w:rPr>
          <w:rFonts w:ascii="Times New Roman" w:hAnsi="Times New Roman"/>
          <w:lang w:val="lt-LT"/>
        </w:rPr>
      </w:pPr>
    </w:p>
    <w:p w14:paraId="2931BF56" w14:textId="2B89268C"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Farmakoterapinė</w:t>
      </w:r>
      <w:proofErr w:type="spellEnd"/>
      <w:r w:rsidRPr="00940D54">
        <w:rPr>
          <w:rFonts w:ascii="Times New Roman" w:hAnsi="Times New Roman"/>
          <w:lang w:val="lt-LT"/>
        </w:rPr>
        <w:t xml:space="preserve"> grupė – </w:t>
      </w:r>
      <w:proofErr w:type="spellStart"/>
      <w:r w:rsidRPr="00940D54">
        <w:rPr>
          <w:rFonts w:ascii="Times New Roman" w:hAnsi="Times New Roman"/>
          <w:lang w:val="lt-LT"/>
        </w:rPr>
        <w:t>progest</w:t>
      </w:r>
      <w:r w:rsidR="008516C6">
        <w:rPr>
          <w:rFonts w:ascii="Times New Roman" w:hAnsi="Times New Roman"/>
          <w:lang w:val="lt-LT"/>
        </w:rPr>
        <w:t>o</w:t>
      </w:r>
      <w:r w:rsidRPr="00940D54">
        <w:rPr>
          <w:rFonts w:ascii="Times New Roman" w:hAnsi="Times New Roman"/>
          <w:lang w:val="lt-LT"/>
        </w:rPr>
        <w:t>genai</w:t>
      </w:r>
      <w:proofErr w:type="spellEnd"/>
      <w:r w:rsidRPr="00940D54">
        <w:rPr>
          <w:rFonts w:ascii="Times New Roman" w:hAnsi="Times New Roman"/>
          <w:lang w:val="lt-LT"/>
        </w:rPr>
        <w:t xml:space="preserve"> ir estrogenai, fiksuotų dozių deriniai, ATC kodas – G03FA15.</w:t>
      </w:r>
    </w:p>
    <w:p w14:paraId="7485FC43"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6EE3ED71" w14:textId="5765ED6F" w:rsidR="00A009C9" w:rsidRPr="00253783" w:rsidRDefault="00A009C9" w:rsidP="00A51A1D">
      <w:pPr>
        <w:tabs>
          <w:tab w:val="left" w:pos="0"/>
        </w:tabs>
        <w:spacing w:after="0" w:line="240" w:lineRule="auto"/>
        <w:contextualSpacing/>
        <w:outlineLvl w:val="0"/>
        <w:rPr>
          <w:rFonts w:ascii="Times New Roman" w:hAnsi="Times New Roman"/>
          <w:u w:val="single"/>
          <w:lang w:val="lt-LT"/>
        </w:rPr>
      </w:pPr>
      <w:proofErr w:type="spellStart"/>
      <w:r w:rsidRPr="00253783">
        <w:rPr>
          <w:rFonts w:ascii="Times New Roman" w:hAnsi="Times New Roman"/>
          <w:u w:val="single"/>
          <w:lang w:val="lt-LT"/>
        </w:rPr>
        <w:t>Estradiolio</w:t>
      </w:r>
      <w:proofErr w:type="spellEnd"/>
      <w:r w:rsidRPr="00253783">
        <w:rPr>
          <w:rFonts w:ascii="Times New Roman" w:hAnsi="Times New Roman"/>
          <w:u w:val="single"/>
          <w:lang w:val="lt-LT"/>
        </w:rPr>
        <w:t xml:space="preserve"> </w:t>
      </w:r>
      <w:proofErr w:type="spellStart"/>
      <w:r w:rsidRPr="00253783">
        <w:rPr>
          <w:rFonts w:ascii="Times New Roman" w:hAnsi="Times New Roman"/>
          <w:u w:val="single"/>
          <w:lang w:val="lt-LT"/>
        </w:rPr>
        <w:t>valeratas</w:t>
      </w:r>
      <w:proofErr w:type="spellEnd"/>
    </w:p>
    <w:p w14:paraId="7C52A2CC" w14:textId="77777777" w:rsidR="00A009C9" w:rsidRDefault="00A009C9" w:rsidP="00A51A1D">
      <w:pPr>
        <w:tabs>
          <w:tab w:val="left" w:pos="0"/>
        </w:tabs>
        <w:spacing w:after="0" w:line="240" w:lineRule="auto"/>
        <w:contextualSpacing/>
        <w:outlineLvl w:val="0"/>
        <w:rPr>
          <w:rFonts w:ascii="Times New Roman" w:hAnsi="Times New Roman"/>
          <w:lang w:val="lt-LT"/>
        </w:rPr>
      </w:pPr>
    </w:p>
    <w:p w14:paraId="532B951E" w14:textId="497C50B2" w:rsidR="00A51A1D" w:rsidRPr="00940D54" w:rsidRDefault="00A009C9" w:rsidP="00A51A1D">
      <w:pPr>
        <w:tabs>
          <w:tab w:val="left" w:pos="0"/>
        </w:tabs>
        <w:spacing w:after="0" w:line="240" w:lineRule="auto"/>
        <w:contextualSpacing/>
        <w:outlineLvl w:val="0"/>
        <w:rPr>
          <w:rFonts w:ascii="Times New Roman" w:eastAsiaTheme="minorHAnsi" w:hAnsi="Times New Roman" w:cstheme="minorBidi"/>
          <w:lang w:val="lt-LT"/>
        </w:rPr>
      </w:pPr>
      <w:r>
        <w:rPr>
          <w:rFonts w:ascii="Times New Roman" w:hAnsi="Times New Roman"/>
          <w:lang w:val="lt-LT"/>
        </w:rPr>
        <w:t xml:space="preserve">Aktyvioji medžiaga </w:t>
      </w:r>
      <w:r w:rsidR="00455AB7">
        <w:rPr>
          <w:rFonts w:ascii="Times New Roman" w:hAnsi="Times New Roman"/>
          <w:lang w:val="lt-LT"/>
        </w:rPr>
        <w:t xml:space="preserve">yra </w:t>
      </w:r>
      <w:r>
        <w:rPr>
          <w:rFonts w:ascii="Times New Roman" w:hAnsi="Times New Roman"/>
          <w:lang w:val="lt-LT"/>
        </w:rPr>
        <w:t>sintetinis</w:t>
      </w:r>
      <w:r w:rsidR="00A51A1D" w:rsidRPr="00940D54">
        <w:rPr>
          <w:rFonts w:ascii="Times New Roman" w:hAnsi="Times New Roman"/>
          <w:lang w:val="lt-LT"/>
        </w:rPr>
        <w:t xml:space="preserve"> 17ß-</w:t>
      </w:r>
      <w:r w:rsidRPr="00940D54">
        <w:rPr>
          <w:rFonts w:ascii="Times New Roman" w:hAnsi="Times New Roman"/>
          <w:lang w:val="lt-LT"/>
        </w:rPr>
        <w:t>estradioli</w:t>
      </w:r>
      <w:r>
        <w:rPr>
          <w:rFonts w:ascii="Times New Roman" w:hAnsi="Times New Roman"/>
          <w:lang w:val="lt-LT"/>
        </w:rPr>
        <w:t>s</w:t>
      </w:r>
      <w:r w:rsidR="00A51A1D" w:rsidRPr="00940D54">
        <w:rPr>
          <w:rFonts w:ascii="Times New Roman" w:hAnsi="Times New Roman"/>
          <w:lang w:val="lt-LT"/>
        </w:rPr>
        <w:t xml:space="preserve">, kurio cheminės ir biologinės savybės yra panašios į natūralaus žmogaus organizme gaminamo </w:t>
      </w:r>
      <w:proofErr w:type="spellStart"/>
      <w:r w:rsidR="00A51A1D" w:rsidRPr="00940D54">
        <w:rPr>
          <w:rFonts w:ascii="Times New Roman" w:hAnsi="Times New Roman"/>
          <w:lang w:val="lt-LT"/>
        </w:rPr>
        <w:t>estradiolio</w:t>
      </w:r>
      <w:proofErr w:type="spellEnd"/>
      <w:r w:rsidR="00A51A1D" w:rsidRPr="00940D54">
        <w:rPr>
          <w:rFonts w:ascii="Times New Roman" w:hAnsi="Times New Roman"/>
          <w:lang w:val="lt-LT"/>
        </w:rPr>
        <w:t>. Jis pakeičia sumažėjusią estrogeno gamybą moters po menopauzės organizme ir palengvina menopauzės simptomus.</w:t>
      </w:r>
    </w:p>
    <w:p w14:paraId="4A0486A0"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2AAD8317" w14:textId="0115F883" w:rsidR="00A51A1D" w:rsidRDefault="00A51A1D" w:rsidP="00A51A1D">
      <w:pPr>
        <w:tabs>
          <w:tab w:val="left" w:pos="0"/>
        </w:tabs>
        <w:spacing w:after="0" w:line="240" w:lineRule="auto"/>
        <w:contextualSpacing/>
        <w:outlineLvl w:val="0"/>
        <w:rPr>
          <w:rFonts w:ascii="Times New Roman" w:hAnsi="Times New Roman"/>
          <w:u w:val="single"/>
          <w:lang w:val="lt-LT"/>
        </w:rPr>
      </w:pPr>
      <w:proofErr w:type="spellStart"/>
      <w:r w:rsidRPr="00253783">
        <w:rPr>
          <w:rFonts w:ascii="Times New Roman" w:hAnsi="Times New Roman"/>
          <w:u w:val="single"/>
          <w:lang w:val="lt-LT"/>
        </w:rPr>
        <w:t>Dienogestas</w:t>
      </w:r>
      <w:proofErr w:type="spellEnd"/>
    </w:p>
    <w:p w14:paraId="6F105749" w14:textId="77777777" w:rsidR="00455AB7" w:rsidRPr="00253783" w:rsidRDefault="00455AB7" w:rsidP="00A51A1D">
      <w:pPr>
        <w:tabs>
          <w:tab w:val="left" w:pos="0"/>
        </w:tabs>
        <w:spacing w:after="0" w:line="240" w:lineRule="auto"/>
        <w:contextualSpacing/>
        <w:outlineLvl w:val="0"/>
        <w:rPr>
          <w:rFonts w:ascii="Times New Roman" w:eastAsiaTheme="minorHAnsi" w:hAnsi="Times New Roman" w:cstheme="minorBidi"/>
          <w:u w:val="single"/>
          <w:lang w:val="lt-LT"/>
        </w:rPr>
      </w:pPr>
    </w:p>
    <w:p w14:paraId="5C7396AD" w14:textId="076C67D8" w:rsidR="00455AB7" w:rsidRDefault="00455AB7" w:rsidP="00455AB7">
      <w:pPr>
        <w:widowControl w:val="0"/>
        <w:tabs>
          <w:tab w:val="left" w:pos="220"/>
          <w:tab w:val="left" w:pos="720"/>
        </w:tabs>
        <w:autoSpaceDE w:val="0"/>
        <w:autoSpaceDN w:val="0"/>
        <w:adjustRightInd w:val="0"/>
        <w:spacing w:after="0" w:line="240" w:lineRule="auto"/>
        <w:jc w:val="both"/>
        <w:rPr>
          <w:rFonts w:ascii="Times New Roman" w:eastAsia="Times New Roman" w:hAnsi="Times New Roman"/>
          <w:bCs/>
          <w:szCs w:val="24"/>
          <w:lang w:val="lt-LT" w:eastAsia="es-ES"/>
        </w:rPr>
      </w:pPr>
      <w:r>
        <w:rPr>
          <w:rFonts w:ascii="Times New Roman" w:eastAsia="Times New Roman" w:hAnsi="Times New Roman"/>
          <w:bCs/>
          <w:szCs w:val="24"/>
          <w:lang w:val="lt-LT" w:eastAsia="es-ES"/>
        </w:rPr>
        <w:t>Aktyvioji medžiaga</w:t>
      </w:r>
      <w:r w:rsidRPr="00253783">
        <w:rPr>
          <w:rFonts w:ascii="Times New Roman" w:eastAsia="Times New Roman" w:hAnsi="Times New Roman"/>
          <w:bCs/>
          <w:szCs w:val="24"/>
          <w:lang w:val="lt-LT" w:eastAsia="es-ES"/>
        </w:rPr>
        <w:t xml:space="preserve"> yra 19-nortestosterono darinys, kurio </w:t>
      </w:r>
      <w:proofErr w:type="spellStart"/>
      <w:r w:rsidRPr="00253783">
        <w:rPr>
          <w:rFonts w:ascii="Times New Roman" w:eastAsia="Times New Roman" w:hAnsi="Times New Roman"/>
          <w:bCs/>
          <w:szCs w:val="24"/>
          <w:lang w:val="lt-LT" w:eastAsia="es-ES"/>
        </w:rPr>
        <w:t>afinitetas</w:t>
      </w:r>
      <w:proofErr w:type="spellEnd"/>
      <w:r w:rsidRPr="00253783">
        <w:rPr>
          <w:rFonts w:ascii="Times New Roman" w:eastAsia="Times New Roman" w:hAnsi="Times New Roman"/>
          <w:bCs/>
          <w:szCs w:val="24"/>
          <w:lang w:val="lt-LT" w:eastAsia="es-ES"/>
        </w:rPr>
        <w:t xml:space="preserve"> progesterono receptoriams </w:t>
      </w:r>
      <w:proofErr w:type="spellStart"/>
      <w:r w:rsidRPr="00253783">
        <w:rPr>
          <w:rFonts w:ascii="Times New Roman" w:eastAsia="Times New Roman" w:hAnsi="Times New Roman"/>
          <w:bCs/>
          <w:i/>
          <w:iCs/>
          <w:szCs w:val="24"/>
          <w:lang w:val="lt-LT" w:eastAsia="es-ES"/>
        </w:rPr>
        <w:t>in</w:t>
      </w:r>
      <w:proofErr w:type="spellEnd"/>
      <w:r w:rsidRPr="00253783">
        <w:rPr>
          <w:rFonts w:ascii="Times New Roman" w:eastAsia="Times New Roman" w:hAnsi="Times New Roman"/>
          <w:bCs/>
          <w:i/>
          <w:iCs/>
          <w:szCs w:val="24"/>
          <w:lang w:val="lt-LT" w:eastAsia="es-ES"/>
        </w:rPr>
        <w:t xml:space="preserve"> </w:t>
      </w:r>
      <w:proofErr w:type="spellStart"/>
      <w:r w:rsidRPr="00253783">
        <w:rPr>
          <w:rFonts w:ascii="Times New Roman" w:eastAsia="Times New Roman" w:hAnsi="Times New Roman"/>
          <w:bCs/>
          <w:i/>
          <w:iCs/>
          <w:szCs w:val="24"/>
          <w:lang w:val="lt-LT" w:eastAsia="es-ES"/>
        </w:rPr>
        <w:t>vitro</w:t>
      </w:r>
      <w:proofErr w:type="spellEnd"/>
      <w:r w:rsidRPr="00253783">
        <w:rPr>
          <w:rFonts w:ascii="Times New Roman" w:eastAsia="Times New Roman" w:hAnsi="Times New Roman"/>
          <w:bCs/>
          <w:szCs w:val="24"/>
          <w:lang w:val="lt-LT" w:eastAsia="es-ES"/>
        </w:rPr>
        <w:t xml:space="preserve"> yra 10 - 30 kartų didesnis, palyginti su kitais sintetiniais </w:t>
      </w:r>
      <w:proofErr w:type="spellStart"/>
      <w:r w:rsidRPr="00253783">
        <w:rPr>
          <w:rFonts w:ascii="Times New Roman" w:eastAsia="Times New Roman" w:hAnsi="Times New Roman"/>
          <w:bCs/>
          <w:szCs w:val="24"/>
          <w:lang w:val="lt-LT" w:eastAsia="es-ES"/>
        </w:rPr>
        <w:t>progestogenais</w:t>
      </w:r>
      <w:proofErr w:type="spellEnd"/>
      <w:r w:rsidRPr="00253783">
        <w:rPr>
          <w:rFonts w:ascii="Times New Roman" w:eastAsia="Times New Roman" w:hAnsi="Times New Roman"/>
          <w:bCs/>
          <w:szCs w:val="24"/>
          <w:lang w:val="lt-LT" w:eastAsia="es-ES"/>
        </w:rPr>
        <w:t xml:space="preserve">. Tyrimų su gyvūnais </w:t>
      </w:r>
      <w:proofErr w:type="spellStart"/>
      <w:r w:rsidRPr="00253783">
        <w:rPr>
          <w:rFonts w:ascii="Times New Roman" w:eastAsia="Times New Roman" w:hAnsi="Times New Roman"/>
          <w:bCs/>
          <w:i/>
          <w:iCs/>
          <w:szCs w:val="24"/>
          <w:lang w:val="lt-LT" w:eastAsia="es-ES"/>
        </w:rPr>
        <w:t>in</w:t>
      </w:r>
      <w:proofErr w:type="spellEnd"/>
      <w:r w:rsidRPr="00253783">
        <w:rPr>
          <w:rFonts w:ascii="Times New Roman" w:eastAsia="Times New Roman" w:hAnsi="Times New Roman"/>
          <w:bCs/>
          <w:i/>
          <w:iCs/>
          <w:szCs w:val="24"/>
          <w:lang w:val="lt-LT" w:eastAsia="es-ES"/>
        </w:rPr>
        <w:t xml:space="preserve"> </w:t>
      </w:r>
      <w:proofErr w:type="spellStart"/>
      <w:r w:rsidRPr="00253783">
        <w:rPr>
          <w:rFonts w:ascii="Times New Roman" w:eastAsia="Times New Roman" w:hAnsi="Times New Roman"/>
          <w:bCs/>
          <w:i/>
          <w:iCs/>
          <w:szCs w:val="24"/>
          <w:lang w:val="lt-LT" w:eastAsia="es-ES"/>
        </w:rPr>
        <w:t>vivo</w:t>
      </w:r>
      <w:proofErr w:type="spellEnd"/>
      <w:r w:rsidRPr="00253783">
        <w:rPr>
          <w:rFonts w:ascii="Times New Roman" w:eastAsia="Times New Roman" w:hAnsi="Times New Roman"/>
          <w:bCs/>
          <w:szCs w:val="24"/>
          <w:lang w:val="lt-LT" w:eastAsia="es-ES"/>
        </w:rPr>
        <w:t xml:space="preserve"> duomenys parodė stiprų </w:t>
      </w:r>
      <w:proofErr w:type="spellStart"/>
      <w:r w:rsidRPr="00253783">
        <w:rPr>
          <w:rFonts w:ascii="Times New Roman" w:eastAsia="Times New Roman" w:hAnsi="Times New Roman"/>
          <w:bCs/>
          <w:szCs w:val="24"/>
          <w:lang w:val="lt-LT" w:eastAsia="es-ES"/>
        </w:rPr>
        <w:t>progestogeninį</w:t>
      </w:r>
      <w:proofErr w:type="spellEnd"/>
      <w:r w:rsidRPr="00253783">
        <w:rPr>
          <w:rFonts w:ascii="Times New Roman" w:eastAsia="Times New Roman" w:hAnsi="Times New Roman"/>
          <w:bCs/>
          <w:szCs w:val="24"/>
          <w:lang w:val="lt-LT" w:eastAsia="es-ES"/>
        </w:rPr>
        <w:t xml:space="preserve"> ir </w:t>
      </w:r>
      <w:proofErr w:type="spellStart"/>
      <w:r w:rsidRPr="00253783">
        <w:rPr>
          <w:rFonts w:ascii="Times New Roman" w:eastAsia="Times New Roman" w:hAnsi="Times New Roman"/>
          <w:bCs/>
          <w:szCs w:val="24"/>
          <w:lang w:val="lt-LT" w:eastAsia="es-ES"/>
        </w:rPr>
        <w:t>antiandrogeninį</w:t>
      </w:r>
      <w:proofErr w:type="spellEnd"/>
      <w:r w:rsidRPr="00253783">
        <w:rPr>
          <w:rFonts w:ascii="Times New Roman" w:eastAsia="Times New Roman" w:hAnsi="Times New Roman"/>
          <w:bCs/>
          <w:szCs w:val="24"/>
          <w:lang w:val="lt-LT" w:eastAsia="es-ES"/>
        </w:rPr>
        <w:t xml:space="preserve"> poveikį. </w:t>
      </w:r>
      <w:proofErr w:type="spellStart"/>
      <w:r w:rsidRPr="00253783">
        <w:rPr>
          <w:rFonts w:ascii="Times New Roman" w:eastAsia="Times New Roman" w:hAnsi="Times New Roman"/>
          <w:bCs/>
          <w:szCs w:val="24"/>
          <w:lang w:val="lt-LT" w:eastAsia="es-ES"/>
        </w:rPr>
        <w:t>Dienogestas</w:t>
      </w:r>
      <w:proofErr w:type="spellEnd"/>
      <w:r w:rsidRPr="00253783">
        <w:rPr>
          <w:rFonts w:ascii="Times New Roman" w:eastAsia="Times New Roman" w:hAnsi="Times New Roman"/>
          <w:bCs/>
          <w:szCs w:val="24"/>
          <w:lang w:val="lt-LT" w:eastAsia="es-ES"/>
        </w:rPr>
        <w:t xml:space="preserve"> nesukėlė reikšmingo </w:t>
      </w:r>
      <w:proofErr w:type="spellStart"/>
      <w:r w:rsidRPr="00253783">
        <w:rPr>
          <w:rFonts w:ascii="Times New Roman" w:eastAsia="Times New Roman" w:hAnsi="Times New Roman"/>
          <w:bCs/>
          <w:szCs w:val="24"/>
          <w:lang w:val="lt-LT" w:eastAsia="es-ES"/>
        </w:rPr>
        <w:lastRenderedPageBreak/>
        <w:t>androgeninio</w:t>
      </w:r>
      <w:proofErr w:type="spellEnd"/>
      <w:r w:rsidRPr="00253783">
        <w:rPr>
          <w:rFonts w:ascii="Times New Roman" w:eastAsia="Times New Roman" w:hAnsi="Times New Roman"/>
          <w:bCs/>
          <w:szCs w:val="24"/>
          <w:lang w:val="lt-LT" w:eastAsia="es-ES"/>
        </w:rPr>
        <w:t xml:space="preserve">, </w:t>
      </w:r>
      <w:proofErr w:type="spellStart"/>
      <w:r w:rsidRPr="00253783">
        <w:rPr>
          <w:rFonts w:ascii="Times New Roman" w:eastAsia="Times New Roman" w:hAnsi="Times New Roman"/>
          <w:bCs/>
          <w:szCs w:val="24"/>
          <w:lang w:val="lt-LT" w:eastAsia="es-ES"/>
        </w:rPr>
        <w:t>mineralkortikoidinio</w:t>
      </w:r>
      <w:proofErr w:type="spellEnd"/>
      <w:r w:rsidRPr="00253783">
        <w:rPr>
          <w:rFonts w:ascii="Times New Roman" w:eastAsia="Times New Roman" w:hAnsi="Times New Roman"/>
          <w:bCs/>
          <w:szCs w:val="24"/>
          <w:lang w:val="lt-LT" w:eastAsia="es-ES"/>
        </w:rPr>
        <w:t xml:space="preserve"> ar gliukokortikoidinio poveikio </w:t>
      </w:r>
      <w:proofErr w:type="spellStart"/>
      <w:r w:rsidRPr="00253783">
        <w:rPr>
          <w:rFonts w:ascii="Times New Roman" w:eastAsia="Times New Roman" w:hAnsi="Times New Roman"/>
          <w:bCs/>
          <w:i/>
          <w:iCs/>
          <w:szCs w:val="24"/>
          <w:lang w:val="lt-LT" w:eastAsia="es-ES"/>
        </w:rPr>
        <w:t>in</w:t>
      </w:r>
      <w:proofErr w:type="spellEnd"/>
      <w:r w:rsidRPr="00253783">
        <w:rPr>
          <w:rFonts w:ascii="Times New Roman" w:eastAsia="Times New Roman" w:hAnsi="Times New Roman"/>
          <w:bCs/>
          <w:i/>
          <w:iCs/>
          <w:szCs w:val="24"/>
          <w:lang w:val="lt-LT" w:eastAsia="es-ES"/>
        </w:rPr>
        <w:t xml:space="preserve"> </w:t>
      </w:r>
      <w:proofErr w:type="spellStart"/>
      <w:r w:rsidRPr="00253783">
        <w:rPr>
          <w:rFonts w:ascii="Times New Roman" w:eastAsia="Times New Roman" w:hAnsi="Times New Roman"/>
          <w:bCs/>
          <w:i/>
          <w:iCs/>
          <w:szCs w:val="24"/>
          <w:lang w:val="lt-LT" w:eastAsia="es-ES"/>
        </w:rPr>
        <w:t>vivo</w:t>
      </w:r>
      <w:proofErr w:type="spellEnd"/>
      <w:r w:rsidRPr="00253783">
        <w:rPr>
          <w:rFonts w:ascii="Times New Roman" w:eastAsia="Times New Roman" w:hAnsi="Times New Roman"/>
          <w:bCs/>
          <w:szCs w:val="24"/>
          <w:lang w:val="lt-LT" w:eastAsia="es-ES"/>
        </w:rPr>
        <w:t>.</w:t>
      </w:r>
    </w:p>
    <w:p w14:paraId="5D8AD076"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316C272B" w14:textId="47989AE8"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Kadangi estrogenai skatina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išvešėjimą, vartojant vienus estrogenus, padidėja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hiperplazijos</w:t>
      </w:r>
      <w:proofErr w:type="spellEnd"/>
      <w:r w:rsidRPr="00940D54">
        <w:rPr>
          <w:rFonts w:ascii="Times New Roman" w:hAnsi="Times New Roman"/>
          <w:lang w:val="lt-LT"/>
        </w:rPr>
        <w:t xml:space="preserve"> ir vėžio rizika. Gydymo papildymas </w:t>
      </w:r>
      <w:proofErr w:type="spellStart"/>
      <w:r w:rsidRPr="00940D54">
        <w:rPr>
          <w:rFonts w:ascii="Times New Roman" w:hAnsi="Times New Roman"/>
          <w:lang w:val="lt-LT"/>
        </w:rPr>
        <w:t>progest</w:t>
      </w:r>
      <w:r w:rsidR="008516C6">
        <w:rPr>
          <w:rFonts w:ascii="Times New Roman" w:hAnsi="Times New Roman"/>
          <w:lang w:val="lt-LT"/>
        </w:rPr>
        <w:t>o</w:t>
      </w:r>
      <w:r w:rsidRPr="00940D54">
        <w:rPr>
          <w:rFonts w:ascii="Times New Roman" w:hAnsi="Times New Roman"/>
          <w:lang w:val="lt-LT"/>
        </w:rPr>
        <w:t>genu</w:t>
      </w:r>
      <w:proofErr w:type="spellEnd"/>
      <w:r w:rsidRPr="00940D54">
        <w:rPr>
          <w:rFonts w:ascii="Times New Roman" w:hAnsi="Times New Roman"/>
          <w:lang w:val="lt-LT"/>
        </w:rPr>
        <w:t xml:space="preserve"> labai sumažina estrogenų sukeltos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hiperplazijos</w:t>
      </w:r>
      <w:proofErr w:type="spellEnd"/>
      <w:r w:rsidRPr="00940D54">
        <w:rPr>
          <w:rFonts w:ascii="Times New Roman" w:hAnsi="Times New Roman"/>
          <w:lang w:val="lt-LT"/>
        </w:rPr>
        <w:t xml:space="preserve"> riziką moterims, kurių gimda nepašalinta.</w:t>
      </w:r>
    </w:p>
    <w:p w14:paraId="1D277078"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0D1268E3"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u w:val="single"/>
          <w:lang w:val="lt-LT"/>
        </w:rPr>
        <w:t>Klinikinių tyrimų duomenys</w:t>
      </w:r>
    </w:p>
    <w:p w14:paraId="5FE7ABAF" w14:textId="0ADFE10D" w:rsidR="00A51A1D" w:rsidRPr="00940D54" w:rsidRDefault="00863603" w:rsidP="00253783">
      <w:pPr>
        <w:spacing w:after="0" w:line="240" w:lineRule="auto"/>
        <w:ind w:left="567" w:hanging="567"/>
        <w:contextualSpacing/>
        <w:outlineLvl w:val="0"/>
        <w:rPr>
          <w:rFonts w:ascii="Times New Roman" w:eastAsiaTheme="minorHAnsi" w:hAnsi="Times New Roman"/>
          <w:lang w:val="lt-LT"/>
        </w:rPr>
      </w:pPr>
      <w:r w:rsidRPr="00940D54">
        <w:rPr>
          <w:rFonts w:ascii="Times New Roman" w:hAnsi="Times New Roman"/>
          <w:lang w:val="lt-LT"/>
        </w:rPr>
        <w:t xml:space="preserve">– </w:t>
      </w:r>
      <w:r w:rsidR="00A51A1D" w:rsidRPr="00940D54">
        <w:rPr>
          <w:rFonts w:ascii="Times New Roman" w:hAnsi="Times New Roman"/>
          <w:lang w:val="lt-LT"/>
        </w:rPr>
        <w:t>Menopauzės simptomai palengvėja per pirmąsias keletą gydymo savaičių.</w:t>
      </w:r>
    </w:p>
    <w:p w14:paraId="55B23183" w14:textId="7359822C" w:rsidR="00A51A1D" w:rsidRPr="00253783" w:rsidRDefault="00863603" w:rsidP="00253783">
      <w:pPr>
        <w:spacing w:after="0" w:line="240" w:lineRule="auto"/>
        <w:ind w:left="567" w:hanging="567"/>
        <w:contextualSpacing/>
        <w:outlineLvl w:val="0"/>
        <w:rPr>
          <w:rFonts w:ascii="Times New Roman" w:hAnsi="Times New Roman"/>
          <w:lang w:val="lt-LT"/>
        </w:rPr>
      </w:pPr>
      <w:r w:rsidRPr="00940D54">
        <w:rPr>
          <w:rFonts w:ascii="Times New Roman" w:hAnsi="Times New Roman"/>
          <w:lang w:val="lt-LT"/>
        </w:rPr>
        <w:t xml:space="preserve">– </w:t>
      </w:r>
      <w:r w:rsidR="00A51A1D" w:rsidRPr="00940D54">
        <w:rPr>
          <w:rFonts w:ascii="Times New Roman" w:hAnsi="Times New Roman"/>
          <w:lang w:val="lt-LT"/>
        </w:rPr>
        <w:t>Amenorėja buvo stebėta 89 % moterų per 10</w:t>
      </w:r>
      <w:r w:rsidR="00A51A1D" w:rsidRPr="00940D54">
        <w:rPr>
          <w:rFonts w:ascii="Times New Roman" w:hAnsi="Times New Roman"/>
          <w:lang w:val="lt-LT"/>
        </w:rPr>
        <w:noBreakHyphen/>
        <w:t>12 gydymo mėnesių.</w:t>
      </w:r>
    </w:p>
    <w:p w14:paraId="30225FBC" w14:textId="77777777" w:rsidR="00A51A1D" w:rsidRPr="00940D54" w:rsidRDefault="00A51A1D" w:rsidP="00253783">
      <w:pPr>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Nereguliarus kraujavimas ir (arba) kraujingos išskyros pasireiškė 27,1 % moterų per pirmuosius tris gydymo mėnesius ir 11 % per 10</w:t>
      </w:r>
      <w:r w:rsidRPr="00940D54">
        <w:rPr>
          <w:rFonts w:ascii="Times New Roman" w:hAnsi="Times New Roman"/>
          <w:lang w:val="lt-LT"/>
        </w:rPr>
        <w:noBreakHyphen/>
        <w:t>12 gydymo mėnesių.</w:t>
      </w:r>
    </w:p>
    <w:p w14:paraId="31BF6D6A" w14:textId="77777777" w:rsidR="00A51A1D" w:rsidRPr="00940D54" w:rsidRDefault="00A51A1D" w:rsidP="00A51A1D">
      <w:pPr>
        <w:spacing w:after="0" w:line="240" w:lineRule="auto"/>
        <w:rPr>
          <w:rFonts w:ascii="Times New Roman" w:hAnsi="Times New Roman"/>
          <w:lang w:val="lt-LT"/>
        </w:rPr>
      </w:pPr>
    </w:p>
    <w:p w14:paraId="17D5453D"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5.2</w:t>
      </w:r>
      <w:r w:rsidRPr="00940D54">
        <w:rPr>
          <w:rFonts w:ascii="Times New Roman" w:hAnsi="Times New Roman"/>
          <w:b/>
          <w:lang w:val="lt-LT"/>
        </w:rPr>
        <w:tab/>
      </w:r>
      <w:proofErr w:type="spellStart"/>
      <w:r w:rsidRPr="00940D54">
        <w:rPr>
          <w:rFonts w:ascii="Times New Roman" w:hAnsi="Times New Roman"/>
          <w:b/>
          <w:lang w:val="lt-LT"/>
        </w:rPr>
        <w:t>Farmakokinetinės</w:t>
      </w:r>
      <w:proofErr w:type="spellEnd"/>
      <w:r w:rsidRPr="00940D54">
        <w:rPr>
          <w:rFonts w:ascii="Times New Roman" w:hAnsi="Times New Roman"/>
          <w:b/>
          <w:lang w:val="lt-LT"/>
        </w:rPr>
        <w:t xml:space="preserve"> savybės</w:t>
      </w:r>
    </w:p>
    <w:p w14:paraId="6BCE04CE" w14:textId="77777777" w:rsidR="00A51A1D" w:rsidRPr="00940D54" w:rsidRDefault="00A51A1D" w:rsidP="00A51A1D">
      <w:pPr>
        <w:spacing w:after="0" w:line="240" w:lineRule="auto"/>
        <w:rPr>
          <w:rFonts w:ascii="Times New Roman" w:hAnsi="Times New Roman"/>
          <w:lang w:val="lt-LT"/>
        </w:rPr>
      </w:pPr>
    </w:p>
    <w:p w14:paraId="599B5642" w14:textId="77777777" w:rsidR="00A51A1D" w:rsidRPr="00940D54" w:rsidRDefault="00A51A1D" w:rsidP="00A51A1D">
      <w:pPr>
        <w:spacing w:after="0" w:line="240" w:lineRule="auto"/>
        <w:ind w:right="-142"/>
        <w:rPr>
          <w:rFonts w:ascii="Times New Roman" w:eastAsiaTheme="minorHAnsi" w:hAnsi="Times New Roman" w:cstheme="minorBidi"/>
          <w:lang w:val="lt-LT"/>
        </w:rPr>
      </w:pP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valeratas</w:t>
      </w:r>
      <w:proofErr w:type="spellEnd"/>
    </w:p>
    <w:p w14:paraId="374912E5" w14:textId="77777777" w:rsidR="00A51A1D" w:rsidRPr="00940D54" w:rsidRDefault="00A51A1D" w:rsidP="00A51A1D">
      <w:pPr>
        <w:spacing w:after="0" w:line="240" w:lineRule="auto"/>
        <w:ind w:right="-142"/>
        <w:rPr>
          <w:rFonts w:ascii="Times New Roman" w:hAnsi="Times New Roman"/>
          <w:lang w:val="lt-LT"/>
        </w:rPr>
      </w:pPr>
    </w:p>
    <w:p w14:paraId="0966AAC5" w14:textId="77777777" w:rsidR="00A51A1D" w:rsidRPr="00940D54" w:rsidRDefault="00A51A1D" w:rsidP="00A51A1D">
      <w:pPr>
        <w:spacing w:after="0" w:line="240" w:lineRule="auto"/>
        <w:ind w:right="-142"/>
        <w:rPr>
          <w:rFonts w:ascii="Times New Roman" w:eastAsiaTheme="minorHAnsi" w:hAnsi="Times New Roman" w:cstheme="minorBidi"/>
          <w:u w:val="single"/>
          <w:lang w:val="lt-LT"/>
        </w:rPr>
      </w:pPr>
      <w:r w:rsidRPr="00940D54">
        <w:rPr>
          <w:rFonts w:ascii="Times New Roman" w:hAnsi="Times New Roman"/>
          <w:u w:val="single"/>
          <w:lang w:val="lt-LT"/>
        </w:rPr>
        <w:t>Absorbcija</w:t>
      </w:r>
    </w:p>
    <w:p w14:paraId="42B1F74C"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Visas išgertas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valeratas</w:t>
      </w:r>
      <w:proofErr w:type="spellEnd"/>
      <w:r w:rsidRPr="00940D54">
        <w:rPr>
          <w:rFonts w:ascii="Times New Roman" w:hAnsi="Times New Roman"/>
          <w:lang w:val="lt-LT"/>
        </w:rPr>
        <w:t xml:space="preserve"> yra absorbuojamas ir absorbcijos per žarnos gleivinę ar pirmojo prasiskverbimo per kepenis metu skyla į </w:t>
      </w:r>
      <w:proofErr w:type="spellStart"/>
      <w:r w:rsidRPr="00940D54">
        <w:rPr>
          <w:rFonts w:ascii="Times New Roman" w:hAnsi="Times New Roman"/>
          <w:lang w:val="lt-LT"/>
        </w:rPr>
        <w:t>estradiolį</w:t>
      </w:r>
      <w:proofErr w:type="spellEnd"/>
      <w:r w:rsidRPr="00940D54">
        <w:rPr>
          <w:rFonts w:ascii="Times New Roman" w:hAnsi="Times New Roman"/>
          <w:lang w:val="lt-LT"/>
        </w:rPr>
        <w:t xml:space="preserve"> bei valerijonų rūgštį.</w:t>
      </w:r>
    </w:p>
    <w:p w14:paraId="4068ED22" w14:textId="523FEA17" w:rsidR="00A51A1D" w:rsidRDefault="003D6B45" w:rsidP="00A51A1D">
      <w:pPr>
        <w:tabs>
          <w:tab w:val="left" w:pos="0"/>
        </w:tabs>
        <w:spacing w:after="0" w:line="240" w:lineRule="auto"/>
        <w:contextualSpacing/>
        <w:outlineLvl w:val="0"/>
        <w:rPr>
          <w:rFonts w:ascii="Times New Roman" w:hAnsi="Times New Roman"/>
          <w:lang w:val="lt-LT"/>
        </w:rPr>
      </w:pPr>
      <w:r>
        <w:rPr>
          <w:rFonts w:ascii="Times New Roman" w:hAnsi="Times New Roman"/>
          <w:lang w:val="lt-LT"/>
        </w:rPr>
        <w:t xml:space="preserve">Didžiausia </w:t>
      </w:r>
      <w:proofErr w:type="spellStart"/>
      <w:r>
        <w:rPr>
          <w:rFonts w:ascii="Times New Roman" w:hAnsi="Times New Roman"/>
          <w:lang w:val="lt-LT"/>
        </w:rPr>
        <w:t>estradiolio</w:t>
      </w:r>
      <w:proofErr w:type="spellEnd"/>
      <w:r>
        <w:rPr>
          <w:rFonts w:ascii="Times New Roman" w:hAnsi="Times New Roman"/>
          <w:lang w:val="lt-LT"/>
        </w:rPr>
        <w:t xml:space="preserve"> koncentracija serume (21 </w:t>
      </w:r>
      <w:proofErr w:type="spellStart"/>
      <w:r>
        <w:rPr>
          <w:rFonts w:ascii="Times New Roman" w:hAnsi="Times New Roman"/>
          <w:lang w:val="lt-LT"/>
        </w:rPr>
        <w:t>pg</w:t>
      </w:r>
      <w:proofErr w:type="spellEnd"/>
      <w:r>
        <w:rPr>
          <w:rFonts w:ascii="Times New Roman" w:hAnsi="Times New Roman"/>
          <w:lang w:val="lt-LT"/>
        </w:rPr>
        <w:t>/ml) pasiekiama praėjus 6 val</w:t>
      </w:r>
      <w:r w:rsidR="00DB33BF">
        <w:rPr>
          <w:rFonts w:ascii="Times New Roman" w:hAnsi="Times New Roman"/>
          <w:lang w:val="lt-LT"/>
        </w:rPr>
        <w:t>andoms</w:t>
      </w:r>
      <w:r>
        <w:rPr>
          <w:rFonts w:ascii="Times New Roman" w:hAnsi="Times New Roman"/>
          <w:lang w:val="lt-LT"/>
        </w:rPr>
        <w:t xml:space="preserve"> po </w:t>
      </w:r>
      <w:proofErr w:type="spellStart"/>
      <w:r w:rsidR="00DB33BF">
        <w:rPr>
          <w:rFonts w:ascii="Times New Roman" w:hAnsi="Times New Roman"/>
          <w:lang w:val="lt-LT"/>
        </w:rPr>
        <w:t>e</w:t>
      </w:r>
      <w:r>
        <w:rPr>
          <w:rFonts w:ascii="Times New Roman" w:hAnsi="Times New Roman"/>
          <w:lang w:val="lt-LT"/>
        </w:rPr>
        <w:t>stradiolio</w:t>
      </w:r>
      <w:proofErr w:type="spellEnd"/>
      <w:r>
        <w:rPr>
          <w:rFonts w:ascii="Times New Roman" w:hAnsi="Times New Roman"/>
          <w:lang w:val="lt-LT"/>
        </w:rPr>
        <w:t xml:space="preserve"> </w:t>
      </w:r>
      <w:proofErr w:type="spellStart"/>
      <w:r w:rsidR="00DB33BF">
        <w:rPr>
          <w:rFonts w:ascii="Times New Roman" w:hAnsi="Times New Roman"/>
          <w:lang w:val="lt-LT"/>
        </w:rPr>
        <w:t>v</w:t>
      </w:r>
      <w:r>
        <w:rPr>
          <w:rFonts w:ascii="Times New Roman" w:hAnsi="Times New Roman"/>
          <w:lang w:val="lt-LT"/>
        </w:rPr>
        <w:t>alerato</w:t>
      </w:r>
      <w:proofErr w:type="spellEnd"/>
      <w:r>
        <w:rPr>
          <w:rFonts w:ascii="Times New Roman" w:hAnsi="Times New Roman"/>
          <w:lang w:val="lt-LT"/>
        </w:rPr>
        <w:t xml:space="preserve"> 1 mg</w:t>
      </w:r>
      <w:r w:rsidR="00DB33BF">
        <w:rPr>
          <w:rFonts w:ascii="Times New Roman" w:hAnsi="Times New Roman"/>
          <w:lang w:val="lt-LT"/>
        </w:rPr>
        <w:t xml:space="preserve"> </w:t>
      </w:r>
      <w:r>
        <w:rPr>
          <w:rFonts w:ascii="Times New Roman" w:hAnsi="Times New Roman"/>
          <w:lang w:val="lt-LT"/>
        </w:rPr>
        <w:t>/</w:t>
      </w:r>
      <w:r w:rsidR="00DB33BF">
        <w:rPr>
          <w:rFonts w:ascii="Times New Roman" w:hAnsi="Times New Roman"/>
          <w:lang w:val="lt-LT"/>
        </w:rPr>
        <w:t xml:space="preserve"> </w:t>
      </w:r>
      <w:proofErr w:type="spellStart"/>
      <w:r w:rsidR="00DB33BF">
        <w:rPr>
          <w:rFonts w:ascii="Times New Roman" w:hAnsi="Times New Roman"/>
          <w:lang w:val="lt-LT"/>
        </w:rPr>
        <w:t>d</w:t>
      </w:r>
      <w:r>
        <w:rPr>
          <w:rFonts w:ascii="Times New Roman" w:hAnsi="Times New Roman"/>
          <w:lang w:val="lt-LT"/>
        </w:rPr>
        <w:t>ienogesto</w:t>
      </w:r>
      <w:proofErr w:type="spellEnd"/>
      <w:r>
        <w:rPr>
          <w:rFonts w:ascii="Times New Roman" w:hAnsi="Times New Roman"/>
          <w:lang w:val="lt-LT"/>
        </w:rPr>
        <w:t xml:space="preserve"> 2 mg išgėrimo.</w:t>
      </w:r>
    </w:p>
    <w:p w14:paraId="58936BD3" w14:textId="77777777" w:rsidR="003D6B45" w:rsidRPr="00940D54" w:rsidRDefault="003D6B45" w:rsidP="00A51A1D">
      <w:pPr>
        <w:tabs>
          <w:tab w:val="left" w:pos="0"/>
        </w:tabs>
        <w:spacing w:after="0" w:line="240" w:lineRule="auto"/>
        <w:contextualSpacing/>
        <w:outlineLvl w:val="0"/>
        <w:rPr>
          <w:rFonts w:ascii="Times New Roman" w:hAnsi="Times New Roman"/>
          <w:lang w:val="lt-LT"/>
        </w:rPr>
      </w:pPr>
    </w:p>
    <w:p w14:paraId="145E18FB"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u w:val="single"/>
          <w:lang w:val="lt-LT"/>
        </w:rPr>
        <w:t>Pasiskirstymas</w:t>
      </w:r>
    </w:p>
    <w:p w14:paraId="18FE60F2"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Estradiolis</w:t>
      </w:r>
      <w:proofErr w:type="spellEnd"/>
      <w:r w:rsidRPr="00940D54">
        <w:rPr>
          <w:rFonts w:ascii="Times New Roman" w:hAnsi="Times New Roman"/>
          <w:lang w:val="lt-LT"/>
        </w:rPr>
        <w:t xml:space="preserve"> nespecifiškai prisijungia prie serumo </w:t>
      </w:r>
      <w:proofErr w:type="spellStart"/>
      <w:r w:rsidRPr="00940D54">
        <w:rPr>
          <w:rFonts w:ascii="Times New Roman" w:hAnsi="Times New Roman"/>
          <w:lang w:val="lt-LT"/>
        </w:rPr>
        <w:t>albuminų</w:t>
      </w:r>
      <w:proofErr w:type="spellEnd"/>
      <w:r w:rsidRPr="00940D54">
        <w:rPr>
          <w:rFonts w:ascii="Times New Roman" w:hAnsi="Times New Roman"/>
          <w:lang w:val="lt-LT"/>
        </w:rPr>
        <w:t xml:space="preserve"> ir specifiškai prie SHBG. Tik maždaug 1</w:t>
      </w:r>
      <w:r w:rsidRPr="00940D54">
        <w:rPr>
          <w:rFonts w:ascii="Times New Roman" w:hAnsi="Times New Roman"/>
          <w:lang w:val="lt-LT"/>
        </w:rPr>
        <w:noBreakHyphen/>
        <w:t xml:space="preserve">2 % kraujotakoje esančio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būna laisvo steroido pavidalu, 40</w:t>
      </w:r>
      <w:r w:rsidRPr="00940D54">
        <w:rPr>
          <w:rFonts w:ascii="Times New Roman" w:hAnsi="Times New Roman"/>
          <w:lang w:val="lt-LT"/>
        </w:rPr>
        <w:noBreakHyphen/>
        <w:t xml:space="preserve">45 % prisijungusio prie SHBG. Tariamasis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pasiskirstymo tūris po vienkartinio suleidimo į veną yra maždaug 1 l/kg.</w:t>
      </w:r>
    </w:p>
    <w:p w14:paraId="71D9D477"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4CB8CE0B" w14:textId="77777777"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u w:val="single"/>
          <w:lang w:val="lt-LT"/>
        </w:rPr>
        <w:t>Biotransformacija</w:t>
      </w:r>
      <w:proofErr w:type="spellEnd"/>
    </w:p>
    <w:p w14:paraId="68C55CBA" w14:textId="769B5DCB" w:rsidR="00A51A1D" w:rsidRPr="00940D54" w:rsidRDefault="00DB33BF" w:rsidP="00A51A1D">
      <w:pPr>
        <w:tabs>
          <w:tab w:val="left" w:pos="0"/>
        </w:tabs>
        <w:spacing w:after="0" w:line="240" w:lineRule="auto"/>
        <w:contextualSpacing/>
        <w:outlineLvl w:val="0"/>
        <w:rPr>
          <w:rFonts w:ascii="Times New Roman" w:eastAsiaTheme="minorHAnsi" w:hAnsi="Times New Roman" w:cstheme="minorBidi"/>
          <w:lang w:val="lt-LT"/>
        </w:rPr>
      </w:pPr>
      <w:r>
        <w:rPr>
          <w:rFonts w:ascii="Times New Roman" w:hAnsi="Times New Roman"/>
          <w:lang w:val="lt-LT"/>
        </w:rPr>
        <w:t xml:space="preserve">Skylant </w:t>
      </w:r>
      <w:proofErr w:type="spellStart"/>
      <w:r w:rsidR="008F4499">
        <w:rPr>
          <w:rFonts w:ascii="Times New Roman" w:hAnsi="Times New Roman"/>
          <w:lang w:val="lt-LT"/>
        </w:rPr>
        <w:t>estradioliui</w:t>
      </w:r>
      <w:proofErr w:type="spellEnd"/>
      <w:r w:rsidR="008F4499">
        <w:rPr>
          <w:rFonts w:ascii="Times New Roman" w:hAnsi="Times New Roman"/>
          <w:lang w:val="lt-LT"/>
        </w:rPr>
        <w:t xml:space="preserve"> ir valerijono rūgščiai, p</w:t>
      </w:r>
      <w:r w:rsidR="00A51A1D" w:rsidRPr="00940D54">
        <w:rPr>
          <w:rFonts w:ascii="Times New Roman" w:hAnsi="Times New Roman"/>
          <w:lang w:val="lt-LT"/>
        </w:rPr>
        <w:t xml:space="preserve">adaugėja natūralaus </w:t>
      </w:r>
      <w:proofErr w:type="spellStart"/>
      <w:r w:rsidR="00A51A1D" w:rsidRPr="00940D54">
        <w:rPr>
          <w:rFonts w:ascii="Times New Roman" w:hAnsi="Times New Roman"/>
          <w:lang w:val="lt-LT"/>
        </w:rPr>
        <w:t>estradiolio</w:t>
      </w:r>
      <w:proofErr w:type="spellEnd"/>
      <w:r w:rsidR="00A51A1D" w:rsidRPr="00940D54">
        <w:rPr>
          <w:rFonts w:ascii="Times New Roman" w:hAnsi="Times New Roman"/>
          <w:lang w:val="lt-LT"/>
        </w:rPr>
        <w:t xml:space="preserve"> ir jo metabolitų estrono ir </w:t>
      </w:r>
      <w:proofErr w:type="spellStart"/>
      <w:r w:rsidR="00A51A1D" w:rsidRPr="00940D54">
        <w:rPr>
          <w:rFonts w:ascii="Times New Roman" w:hAnsi="Times New Roman"/>
          <w:lang w:val="lt-LT"/>
        </w:rPr>
        <w:t>estriolio</w:t>
      </w:r>
      <w:proofErr w:type="spellEnd"/>
      <w:r w:rsidR="00A51A1D" w:rsidRPr="00940D54">
        <w:rPr>
          <w:rFonts w:ascii="Times New Roman" w:hAnsi="Times New Roman"/>
          <w:lang w:val="lt-LT"/>
        </w:rPr>
        <w:t xml:space="preserve">. Valerijonų rūgštis yra labai greitai </w:t>
      </w:r>
      <w:proofErr w:type="spellStart"/>
      <w:r w:rsidR="00A51A1D" w:rsidRPr="00940D54">
        <w:rPr>
          <w:rFonts w:ascii="Times New Roman" w:hAnsi="Times New Roman"/>
          <w:lang w:val="lt-LT"/>
        </w:rPr>
        <w:t>metabolizuojama</w:t>
      </w:r>
      <w:proofErr w:type="spellEnd"/>
      <w:r w:rsidR="00A51A1D" w:rsidRPr="00940D54">
        <w:rPr>
          <w:rFonts w:ascii="Times New Roman" w:hAnsi="Times New Roman"/>
          <w:lang w:val="lt-LT"/>
        </w:rPr>
        <w:t>. 3</w:t>
      </w:r>
      <w:r w:rsidR="00A51A1D" w:rsidRPr="00940D54">
        <w:rPr>
          <w:rFonts w:ascii="Times New Roman" w:hAnsi="Times New Roman"/>
          <w:lang w:val="lt-LT"/>
        </w:rPr>
        <w:noBreakHyphen/>
        <w:t xml:space="preserve">6 % išgertos vaistinio preparato dozės pasiekia sisteminę kraujotaką </w:t>
      </w:r>
      <w:proofErr w:type="spellStart"/>
      <w:r w:rsidR="00A51A1D" w:rsidRPr="00940D54">
        <w:rPr>
          <w:rFonts w:ascii="Times New Roman" w:hAnsi="Times New Roman"/>
          <w:lang w:val="lt-LT"/>
        </w:rPr>
        <w:t>estradiolio</w:t>
      </w:r>
      <w:proofErr w:type="spellEnd"/>
      <w:r w:rsidR="00A51A1D" w:rsidRPr="00940D54">
        <w:rPr>
          <w:rFonts w:ascii="Times New Roman" w:hAnsi="Times New Roman"/>
          <w:lang w:val="lt-LT"/>
        </w:rPr>
        <w:t xml:space="preserve"> pavidalu.</w:t>
      </w:r>
    </w:p>
    <w:p w14:paraId="76833883"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2688C23B" w14:textId="77777777" w:rsidR="00A51A1D" w:rsidRPr="00DF2A3D" w:rsidRDefault="00A51A1D" w:rsidP="00A51A1D">
      <w:pPr>
        <w:spacing w:after="0" w:line="240" w:lineRule="auto"/>
        <w:rPr>
          <w:rFonts w:ascii="Times New Roman" w:eastAsiaTheme="minorHAnsi" w:hAnsi="Times New Roman" w:cstheme="minorBidi"/>
          <w:lang w:val="lt-LT"/>
        </w:rPr>
      </w:pPr>
      <w:r w:rsidRPr="00DF2A3D">
        <w:rPr>
          <w:rFonts w:ascii="Times New Roman" w:hAnsi="Times New Roman"/>
          <w:u w:val="single"/>
          <w:lang w:val="lt-LT"/>
        </w:rPr>
        <w:t>Eliminacija</w:t>
      </w:r>
    </w:p>
    <w:p w14:paraId="67900967" w14:textId="1F7EA27B" w:rsidR="00A51A1D" w:rsidRPr="00940D54" w:rsidRDefault="00DF2A3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253783">
        <w:rPr>
          <w:rFonts w:ascii="Times New Roman" w:hAnsi="Times New Roman"/>
          <w:lang w:val="lt-LT"/>
        </w:rPr>
        <w:t>Estradiolio</w:t>
      </w:r>
      <w:proofErr w:type="spellEnd"/>
      <w:r w:rsidRPr="00253783">
        <w:rPr>
          <w:rFonts w:ascii="Times New Roman" w:hAnsi="Times New Roman"/>
          <w:lang w:val="lt-LT"/>
        </w:rPr>
        <w:t xml:space="preserve"> pusinės eliminacijos iš plazmos periodas yra maždaug 90 min. Tačiau kai dozė išgeriama, situacija skiriasi. Dėl didelio cirkuliuojančių estrogeno sulfatų ir </w:t>
      </w:r>
      <w:proofErr w:type="spellStart"/>
      <w:r w:rsidRPr="00253783">
        <w:rPr>
          <w:rFonts w:ascii="Times New Roman" w:hAnsi="Times New Roman"/>
          <w:lang w:val="lt-LT"/>
        </w:rPr>
        <w:t>gliukuronidų</w:t>
      </w:r>
      <w:proofErr w:type="spellEnd"/>
      <w:r w:rsidRPr="00253783">
        <w:rPr>
          <w:rFonts w:ascii="Times New Roman" w:hAnsi="Times New Roman"/>
          <w:lang w:val="lt-LT"/>
        </w:rPr>
        <w:t xml:space="preserve"> kiekio ir </w:t>
      </w:r>
      <w:proofErr w:type="spellStart"/>
      <w:r w:rsidRPr="00253783">
        <w:rPr>
          <w:rFonts w:ascii="Times New Roman" w:hAnsi="Times New Roman"/>
          <w:lang w:val="lt-LT"/>
        </w:rPr>
        <w:t>enterohepatinės</w:t>
      </w:r>
      <w:proofErr w:type="spellEnd"/>
      <w:r w:rsidRPr="00253783">
        <w:rPr>
          <w:rFonts w:ascii="Times New Roman" w:hAnsi="Times New Roman"/>
          <w:lang w:val="lt-LT"/>
        </w:rPr>
        <w:t xml:space="preserve"> </w:t>
      </w:r>
      <w:proofErr w:type="spellStart"/>
      <w:r w:rsidRPr="00253783">
        <w:rPr>
          <w:rFonts w:ascii="Times New Roman" w:hAnsi="Times New Roman"/>
          <w:lang w:val="lt-LT"/>
        </w:rPr>
        <w:t>recirkuliacijos</w:t>
      </w:r>
      <w:proofErr w:type="spellEnd"/>
      <w:r w:rsidRPr="00253783">
        <w:rPr>
          <w:rFonts w:ascii="Times New Roman" w:hAnsi="Times New Roman"/>
          <w:lang w:val="lt-LT"/>
        </w:rPr>
        <w:t xml:space="preserve">, išgėrus vaistinį preparatą, galutinis </w:t>
      </w:r>
      <w:proofErr w:type="spellStart"/>
      <w:r w:rsidRPr="00253783">
        <w:rPr>
          <w:rFonts w:ascii="Times New Roman" w:hAnsi="Times New Roman"/>
          <w:lang w:val="lt-LT"/>
        </w:rPr>
        <w:t>estradiolio</w:t>
      </w:r>
      <w:proofErr w:type="spellEnd"/>
      <w:r w:rsidRPr="00253783">
        <w:rPr>
          <w:rFonts w:ascii="Times New Roman" w:hAnsi="Times New Roman"/>
          <w:lang w:val="lt-LT"/>
        </w:rPr>
        <w:t xml:space="preserve"> pusinės eliminacijos laikas yra sudėtinis parametras, kuris priklauso nuo visų šių procesų ir gali būti nuo 13 iki 20 val.</w:t>
      </w:r>
      <w:r w:rsidRPr="00694502">
        <w:rPr>
          <w:rFonts w:ascii="Times New Roman" w:hAnsi="Times New Roman"/>
          <w:lang w:val="lt-LT"/>
        </w:rPr>
        <w:t xml:space="preserve"> </w:t>
      </w:r>
      <w:r w:rsidR="00A51A1D" w:rsidRPr="00DF2A3D">
        <w:rPr>
          <w:rFonts w:ascii="Times New Roman" w:hAnsi="Times New Roman"/>
          <w:lang w:val="lt-LT"/>
        </w:rPr>
        <w:t>Metabolitai daugiausiai šalinami su šlapimu, tik maždaug 10 % pasišalina su išmatomis.</w:t>
      </w:r>
    </w:p>
    <w:p w14:paraId="1BC5A88F"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08E03E42" w14:textId="77777777" w:rsidR="00A51A1D" w:rsidRPr="00253783" w:rsidRDefault="00A51A1D" w:rsidP="00A51A1D">
      <w:pPr>
        <w:tabs>
          <w:tab w:val="left" w:pos="0"/>
        </w:tabs>
        <w:spacing w:after="0" w:line="240" w:lineRule="auto"/>
        <w:contextualSpacing/>
        <w:outlineLvl w:val="0"/>
        <w:rPr>
          <w:rFonts w:ascii="Times New Roman" w:eastAsiaTheme="minorHAnsi" w:hAnsi="Times New Roman" w:cstheme="minorBidi"/>
          <w:u w:val="single"/>
          <w:lang w:val="lt-LT"/>
        </w:rPr>
      </w:pPr>
      <w:r w:rsidRPr="00253783">
        <w:rPr>
          <w:rFonts w:ascii="Times New Roman" w:hAnsi="Times New Roman"/>
          <w:u w:val="single"/>
          <w:lang w:val="lt-LT"/>
        </w:rPr>
        <w:t>Pusiausvyros apykaitos sąlygos</w:t>
      </w:r>
    </w:p>
    <w:p w14:paraId="16348A10" w14:textId="1913A5F4"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Vaistinį preparatą geriant kasdien, jo koncentracijos serume padidėja 2,2 karto ir pasiekia pusiausvyros apykaitą po 4</w:t>
      </w:r>
      <w:r w:rsidRPr="00940D54">
        <w:rPr>
          <w:rFonts w:ascii="Times New Roman" w:hAnsi="Times New Roman"/>
          <w:lang w:val="lt-LT"/>
        </w:rPr>
        <w:noBreakHyphen/>
        <w:t xml:space="preserve">7 gydymo dienų. Mažiausioji, didžiausioji ir vidutinė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koncentracijos serume pusiausvyros apykaitos sąlygomis yra atitinkamai 21 </w:t>
      </w:r>
      <w:proofErr w:type="spellStart"/>
      <w:r w:rsidRPr="00940D54">
        <w:rPr>
          <w:rFonts w:ascii="Times New Roman" w:hAnsi="Times New Roman"/>
          <w:lang w:val="lt-LT"/>
        </w:rPr>
        <w:t>pg</w:t>
      </w:r>
      <w:proofErr w:type="spellEnd"/>
      <w:r w:rsidRPr="00940D54">
        <w:rPr>
          <w:rFonts w:ascii="Times New Roman" w:hAnsi="Times New Roman"/>
          <w:lang w:val="lt-LT"/>
        </w:rPr>
        <w:t>/ml, 43 </w:t>
      </w:r>
      <w:proofErr w:type="spellStart"/>
      <w:r w:rsidRPr="00940D54">
        <w:rPr>
          <w:rFonts w:ascii="Times New Roman" w:hAnsi="Times New Roman"/>
          <w:lang w:val="lt-LT"/>
        </w:rPr>
        <w:t>pg</w:t>
      </w:r>
      <w:proofErr w:type="spellEnd"/>
      <w:r w:rsidRPr="00940D54">
        <w:rPr>
          <w:rFonts w:ascii="Times New Roman" w:hAnsi="Times New Roman"/>
          <w:lang w:val="lt-LT"/>
        </w:rPr>
        <w:t>/ml ir 33 </w:t>
      </w:r>
      <w:proofErr w:type="spellStart"/>
      <w:r w:rsidRPr="00940D54">
        <w:rPr>
          <w:rFonts w:ascii="Times New Roman" w:hAnsi="Times New Roman"/>
          <w:lang w:val="lt-LT"/>
        </w:rPr>
        <w:t>pg</w:t>
      </w:r>
      <w:proofErr w:type="spellEnd"/>
      <w:r w:rsidRPr="00940D54">
        <w:rPr>
          <w:rFonts w:ascii="Times New Roman" w:hAnsi="Times New Roman"/>
          <w:lang w:val="lt-LT"/>
        </w:rPr>
        <w:t>/ml.</w:t>
      </w:r>
      <w:r w:rsidR="00E86BB4" w:rsidRPr="00E86BB4">
        <w:rPr>
          <w:rFonts w:ascii="Times New Roman" w:hAnsi="Times New Roman"/>
          <w:lang w:val="lt-LT"/>
        </w:rPr>
        <w:t xml:space="preserve"> </w:t>
      </w:r>
      <w:proofErr w:type="spellStart"/>
      <w:r w:rsidR="00E86BB4" w:rsidRPr="00940D54">
        <w:rPr>
          <w:rFonts w:ascii="Times New Roman" w:hAnsi="Times New Roman"/>
          <w:lang w:val="lt-LT"/>
        </w:rPr>
        <w:t>Estradiolio</w:t>
      </w:r>
      <w:proofErr w:type="spellEnd"/>
      <w:r w:rsidR="00E86BB4" w:rsidRPr="00940D54">
        <w:rPr>
          <w:rFonts w:ascii="Times New Roman" w:hAnsi="Times New Roman"/>
          <w:lang w:val="lt-LT"/>
        </w:rPr>
        <w:t xml:space="preserve"> </w:t>
      </w:r>
      <w:proofErr w:type="spellStart"/>
      <w:r w:rsidR="00E86BB4" w:rsidRPr="00940D54">
        <w:rPr>
          <w:rFonts w:ascii="Times New Roman" w:hAnsi="Times New Roman"/>
          <w:lang w:val="lt-LT"/>
        </w:rPr>
        <w:t>farmakokinetinėms</w:t>
      </w:r>
      <w:proofErr w:type="spellEnd"/>
      <w:r w:rsidR="00E86BB4" w:rsidRPr="00940D54">
        <w:rPr>
          <w:rFonts w:ascii="Times New Roman" w:hAnsi="Times New Roman"/>
          <w:lang w:val="lt-LT"/>
        </w:rPr>
        <w:t xml:space="preserve"> savybėms įtakos turi </w:t>
      </w:r>
      <w:r w:rsidR="00E86BB4" w:rsidRPr="00940D54">
        <w:rPr>
          <w:rFonts w:ascii="Times New Roman" w:hAnsi="Times New Roman"/>
          <w:i/>
          <w:lang w:val="lt-LT"/>
        </w:rPr>
        <w:t>SHBG</w:t>
      </w:r>
      <w:r w:rsidR="00E86BB4" w:rsidRPr="00940D54">
        <w:rPr>
          <w:rFonts w:ascii="Times New Roman" w:hAnsi="Times New Roman"/>
          <w:lang w:val="lt-LT"/>
        </w:rPr>
        <w:t xml:space="preserve"> koncentracijos</w:t>
      </w:r>
      <w:r w:rsidR="00E86BB4">
        <w:rPr>
          <w:rFonts w:ascii="Times New Roman" w:hAnsi="Times New Roman"/>
          <w:lang w:val="lt-LT"/>
        </w:rPr>
        <w:t>.</w:t>
      </w:r>
    </w:p>
    <w:p w14:paraId="78A14B18"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5ECADC44"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Dienogestas</w:t>
      </w:r>
      <w:proofErr w:type="spellEnd"/>
    </w:p>
    <w:p w14:paraId="277102FB" w14:textId="77777777" w:rsidR="00A51A1D" w:rsidRPr="00940D54" w:rsidRDefault="00A51A1D" w:rsidP="00A51A1D">
      <w:pPr>
        <w:spacing w:after="0" w:line="240" w:lineRule="auto"/>
        <w:rPr>
          <w:rFonts w:ascii="Times New Roman" w:hAnsi="Times New Roman"/>
          <w:lang w:val="lt-LT"/>
        </w:rPr>
      </w:pPr>
    </w:p>
    <w:p w14:paraId="358C2EB3" w14:textId="77777777" w:rsidR="00A51A1D" w:rsidRPr="00940D54" w:rsidRDefault="00A51A1D" w:rsidP="00A51A1D">
      <w:pPr>
        <w:spacing w:after="0" w:line="240" w:lineRule="auto"/>
        <w:ind w:right="-142"/>
        <w:rPr>
          <w:rFonts w:ascii="Times New Roman" w:eastAsiaTheme="minorHAnsi" w:hAnsi="Times New Roman" w:cstheme="minorBidi"/>
          <w:lang w:val="lt-LT"/>
        </w:rPr>
      </w:pPr>
      <w:r w:rsidRPr="00940D54">
        <w:rPr>
          <w:rFonts w:ascii="Times New Roman" w:hAnsi="Times New Roman"/>
          <w:u w:val="single"/>
          <w:lang w:val="lt-LT"/>
        </w:rPr>
        <w:t>Absorbcija</w:t>
      </w:r>
    </w:p>
    <w:p w14:paraId="5DE868DC"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Beveik visas išgertas </w:t>
      </w: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yra greitai absorbuojamas. Didžiausios 49 </w:t>
      </w:r>
      <w:proofErr w:type="spellStart"/>
      <w:r w:rsidRPr="00940D54">
        <w:rPr>
          <w:rFonts w:ascii="Times New Roman" w:hAnsi="Times New Roman"/>
          <w:lang w:val="lt-LT"/>
        </w:rPr>
        <w:t>ng</w:t>
      </w:r>
      <w:proofErr w:type="spellEnd"/>
      <w:r w:rsidRPr="00940D54">
        <w:rPr>
          <w:rFonts w:ascii="Times New Roman" w:hAnsi="Times New Roman"/>
          <w:lang w:val="lt-LT"/>
        </w:rPr>
        <w:t xml:space="preserve">/ml koncentracijos serume pasiekiamos per maždaug 1,5 valandas po vienkartinės 2 mg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 1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dozės išgėrimo. Biologinis prieinamumas yra maždaug 91 %.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w:t>
      </w:r>
      <w:proofErr w:type="spellStart"/>
      <w:r w:rsidRPr="00940D54">
        <w:rPr>
          <w:rFonts w:ascii="Times New Roman" w:hAnsi="Times New Roman"/>
          <w:lang w:val="lt-LT"/>
        </w:rPr>
        <w:t>farmakokinetinės</w:t>
      </w:r>
      <w:proofErr w:type="spellEnd"/>
      <w:r w:rsidRPr="00940D54">
        <w:rPr>
          <w:rFonts w:ascii="Times New Roman" w:hAnsi="Times New Roman"/>
          <w:lang w:val="lt-LT"/>
        </w:rPr>
        <w:t xml:space="preserve"> savybės 1</w:t>
      </w:r>
      <w:r w:rsidRPr="00940D54">
        <w:rPr>
          <w:rFonts w:ascii="Times New Roman" w:hAnsi="Times New Roman"/>
          <w:lang w:val="lt-LT"/>
        </w:rPr>
        <w:noBreakHyphen/>
        <w:t>8 mg dozių ribose proporcingai priklauso nuo dozės.</w:t>
      </w:r>
    </w:p>
    <w:p w14:paraId="380BA5FA"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31EB2A6F"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u w:val="single"/>
          <w:lang w:val="lt-LT"/>
        </w:rPr>
        <w:t>Pasiskirstymas</w:t>
      </w:r>
    </w:p>
    <w:p w14:paraId="25C7AA29"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prisijungia prie serumo </w:t>
      </w:r>
      <w:proofErr w:type="spellStart"/>
      <w:r w:rsidRPr="00940D54">
        <w:rPr>
          <w:rFonts w:ascii="Times New Roman" w:hAnsi="Times New Roman"/>
          <w:lang w:val="lt-LT"/>
        </w:rPr>
        <w:t>albuminų</w:t>
      </w:r>
      <w:proofErr w:type="spellEnd"/>
      <w:r w:rsidRPr="00940D54">
        <w:rPr>
          <w:rFonts w:ascii="Times New Roman" w:hAnsi="Times New Roman"/>
          <w:lang w:val="lt-LT"/>
        </w:rPr>
        <w:t xml:space="preserve">, bet neprisijungia prie lytinius </w:t>
      </w:r>
      <w:proofErr w:type="spellStart"/>
      <w:r w:rsidRPr="00940D54">
        <w:rPr>
          <w:rFonts w:ascii="Times New Roman" w:hAnsi="Times New Roman"/>
          <w:lang w:val="lt-LT"/>
        </w:rPr>
        <w:t>hormonius</w:t>
      </w:r>
      <w:proofErr w:type="spellEnd"/>
      <w:r w:rsidRPr="00940D54">
        <w:rPr>
          <w:rFonts w:ascii="Times New Roman" w:hAnsi="Times New Roman"/>
          <w:lang w:val="lt-LT"/>
        </w:rPr>
        <w:t xml:space="preserve"> prisijungiančiojo </w:t>
      </w:r>
      <w:proofErr w:type="spellStart"/>
      <w:r w:rsidRPr="00940D54">
        <w:rPr>
          <w:rFonts w:ascii="Times New Roman" w:hAnsi="Times New Roman"/>
          <w:lang w:val="lt-LT"/>
        </w:rPr>
        <w:t>globulino</w:t>
      </w:r>
      <w:proofErr w:type="spellEnd"/>
      <w:r w:rsidRPr="00940D54">
        <w:rPr>
          <w:rFonts w:ascii="Times New Roman" w:hAnsi="Times New Roman"/>
          <w:lang w:val="lt-LT"/>
        </w:rPr>
        <w:t xml:space="preserve"> (SHBG) ar </w:t>
      </w:r>
      <w:proofErr w:type="spellStart"/>
      <w:r w:rsidRPr="00940D54">
        <w:rPr>
          <w:rFonts w:ascii="Times New Roman" w:hAnsi="Times New Roman"/>
          <w:lang w:val="lt-LT"/>
        </w:rPr>
        <w:t>kortikoidus</w:t>
      </w:r>
      <w:proofErr w:type="spellEnd"/>
      <w:r w:rsidRPr="00940D54">
        <w:rPr>
          <w:rFonts w:ascii="Times New Roman" w:hAnsi="Times New Roman"/>
          <w:lang w:val="lt-LT"/>
        </w:rPr>
        <w:t xml:space="preserve"> prisijungiančiojo </w:t>
      </w:r>
      <w:proofErr w:type="spellStart"/>
      <w:r w:rsidRPr="00940D54">
        <w:rPr>
          <w:rFonts w:ascii="Times New Roman" w:hAnsi="Times New Roman"/>
          <w:lang w:val="lt-LT"/>
        </w:rPr>
        <w:t>globulino</w:t>
      </w:r>
      <w:proofErr w:type="spellEnd"/>
      <w:r w:rsidRPr="00940D54">
        <w:rPr>
          <w:rFonts w:ascii="Times New Roman" w:hAnsi="Times New Roman"/>
          <w:lang w:val="lt-LT"/>
        </w:rPr>
        <w:t xml:space="preserve"> (CBG). 10 % visos </w:t>
      </w:r>
      <w:r w:rsidRPr="00940D54">
        <w:rPr>
          <w:rFonts w:ascii="Times New Roman" w:hAnsi="Times New Roman"/>
          <w:lang w:val="lt-LT"/>
        </w:rPr>
        <w:lastRenderedPageBreak/>
        <w:t xml:space="preserve">serume esančio vaistinio preparato koncentracijos sudaro laisvas steroidas, 90 % būna nespecifiškai prisijungę prie </w:t>
      </w:r>
      <w:proofErr w:type="spellStart"/>
      <w:r w:rsidRPr="00940D54">
        <w:rPr>
          <w:rFonts w:ascii="Times New Roman" w:hAnsi="Times New Roman"/>
          <w:lang w:val="lt-LT"/>
        </w:rPr>
        <w:t>albuminų</w:t>
      </w:r>
      <w:proofErr w:type="spellEnd"/>
      <w:r w:rsidRPr="00940D54">
        <w:rPr>
          <w:rFonts w:ascii="Times New Roman" w:hAnsi="Times New Roman"/>
          <w:lang w:val="lt-LT"/>
        </w:rPr>
        <w:t xml:space="preserve">. Tariamasis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pasiskirstymo tūris (</w:t>
      </w:r>
      <w:proofErr w:type="spellStart"/>
      <w:r w:rsidRPr="00940D54">
        <w:rPr>
          <w:rFonts w:ascii="Times New Roman" w:hAnsi="Times New Roman"/>
          <w:i/>
          <w:lang w:val="lt-LT"/>
        </w:rPr>
        <w:t>Vd</w:t>
      </w:r>
      <w:proofErr w:type="spellEnd"/>
      <w:r w:rsidRPr="00940D54">
        <w:rPr>
          <w:rFonts w:ascii="Times New Roman" w:hAnsi="Times New Roman"/>
          <w:i/>
          <w:lang w:val="lt-LT"/>
        </w:rPr>
        <w:t>/F</w:t>
      </w:r>
      <w:r w:rsidRPr="00940D54">
        <w:rPr>
          <w:rFonts w:ascii="Times New Roman" w:hAnsi="Times New Roman"/>
          <w:lang w:val="lt-LT"/>
        </w:rPr>
        <w:t>) moterų po menopauzės organizme yra 51 l.</w:t>
      </w:r>
    </w:p>
    <w:p w14:paraId="77D7A575"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26F36D0C" w14:textId="77777777"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u w:val="single"/>
          <w:lang w:val="lt-LT"/>
        </w:rPr>
        <w:t>Biotransformacija</w:t>
      </w:r>
      <w:proofErr w:type="spellEnd"/>
    </w:p>
    <w:p w14:paraId="61EDC845" w14:textId="5FDD3464" w:rsidR="00DF2A3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DF2A3D">
        <w:rPr>
          <w:rFonts w:ascii="Times New Roman" w:hAnsi="Times New Roman"/>
          <w:lang w:val="lt-LT"/>
        </w:rPr>
        <w:t xml:space="preserve">Beveik visas </w:t>
      </w:r>
      <w:proofErr w:type="spellStart"/>
      <w:r w:rsidRPr="00DF2A3D">
        <w:rPr>
          <w:rFonts w:ascii="Times New Roman" w:hAnsi="Times New Roman"/>
          <w:lang w:val="lt-LT"/>
        </w:rPr>
        <w:t>dienogestas</w:t>
      </w:r>
      <w:proofErr w:type="spellEnd"/>
      <w:r w:rsidRPr="00DF2A3D">
        <w:rPr>
          <w:rFonts w:ascii="Times New Roman" w:hAnsi="Times New Roman"/>
          <w:lang w:val="lt-LT"/>
        </w:rPr>
        <w:t xml:space="preserve"> yra </w:t>
      </w:r>
      <w:proofErr w:type="spellStart"/>
      <w:r w:rsidRPr="00DF2A3D">
        <w:rPr>
          <w:rFonts w:ascii="Times New Roman" w:hAnsi="Times New Roman"/>
          <w:lang w:val="lt-LT"/>
        </w:rPr>
        <w:t>metabolizuojamas</w:t>
      </w:r>
      <w:proofErr w:type="spellEnd"/>
      <w:r w:rsidRPr="00DF2A3D">
        <w:rPr>
          <w:rFonts w:ascii="Times New Roman" w:hAnsi="Times New Roman"/>
          <w:lang w:val="lt-LT"/>
        </w:rPr>
        <w:t xml:space="preserve"> žinomais steroidų metabolizmo būdais (</w:t>
      </w:r>
      <w:proofErr w:type="spellStart"/>
      <w:r w:rsidRPr="00DF2A3D">
        <w:rPr>
          <w:rFonts w:ascii="Times New Roman" w:hAnsi="Times New Roman"/>
          <w:lang w:val="lt-LT"/>
        </w:rPr>
        <w:t>hidroksilinimo</w:t>
      </w:r>
      <w:proofErr w:type="spellEnd"/>
      <w:r w:rsidRPr="00DF2A3D">
        <w:rPr>
          <w:rFonts w:ascii="Times New Roman" w:hAnsi="Times New Roman"/>
          <w:lang w:val="lt-LT"/>
        </w:rPr>
        <w:t xml:space="preserve">, </w:t>
      </w:r>
      <w:proofErr w:type="spellStart"/>
      <w:r w:rsidRPr="00DF2A3D">
        <w:rPr>
          <w:rFonts w:ascii="Times New Roman" w:hAnsi="Times New Roman"/>
          <w:lang w:val="lt-LT"/>
        </w:rPr>
        <w:t>konjugacijos</w:t>
      </w:r>
      <w:proofErr w:type="spellEnd"/>
      <w:r w:rsidRPr="00DF2A3D">
        <w:rPr>
          <w:rFonts w:ascii="Times New Roman" w:hAnsi="Times New Roman"/>
          <w:lang w:val="lt-LT"/>
        </w:rPr>
        <w:t>)</w:t>
      </w:r>
      <w:r w:rsidR="00DF2A3D">
        <w:rPr>
          <w:rFonts w:ascii="Times New Roman" w:hAnsi="Times New Roman"/>
          <w:lang w:val="lt-LT"/>
        </w:rPr>
        <w:t xml:space="preserve">, </w:t>
      </w:r>
      <w:r w:rsidR="00DF2A3D" w:rsidRPr="00253783">
        <w:rPr>
          <w:rFonts w:ascii="Times New Roman" w:hAnsi="Times New Roman"/>
          <w:lang w:val="lt-LT"/>
        </w:rPr>
        <w:t xml:space="preserve">daugiausia veikiant CYP3A4. Farmakologiškai neaktyvūs metabolitai yra greitai pašalinami, todėl </w:t>
      </w:r>
      <w:proofErr w:type="spellStart"/>
      <w:r w:rsidR="00DF2A3D" w:rsidRPr="00253783">
        <w:rPr>
          <w:rFonts w:ascii="Times New Roman" w:hAnsi="Times New Roman"/>
          <w:lang w:val="lt-LT"/>
        </w:rPr>
        <w:t>dienogestas</w:t>
      </w:r>
      <w:proofErr w:type="spellEnd"/>
      <w:r w:rsidR="00DF2A3D" w:rsidRPr="00253783">
        <w:rPr>
          <w:rFonts w:ascii="Times New Roman" w:hAnsi="Times New Roman"/>
          <w:lang w:val="lt-LT"/>
        </w:rPr>
        <w:t xml:space="preserve"> yra pagrindinė plazmos frakcija, sudaranti maždaug 50</w:t>
      </w:r>
      <w:bookmarkStart w:id="0" w:name="OLE_LINK2"/>
      <w:r w:rsidR="00DF2A3D" w:rsidRPr="00253783">
        <w:rPr>
          <w:rFonts w:ascii="Times New Roman" w:hAnsi="Times New Roman"/>
          <w:lang w:val="lt-LT"/>
        </w:rPr>
        <w:t> %</w:t>
      </w:r>
      <w:bookmarkEnd w:id="0"/>
      <w:r w:rsidR="00DF2A3D" w:rsidRPr="00253783">
        <w:rPr>
          <w:rFonts w:ascii="Times New Roman" w:hAnsi="Times New Roman"/>
          <w:lang w:val="lt-LT"/>
        </w:rPr>
        <w:t xml:space="preserve"> junginių, susidariusių iš cirkuliuojančio </w:t>
      </w:r>
      <w:proofErr w:type="spellStart"/>
      <w:r w:rsidR="00DF2A3D" w:rsidRPr="00253783">
        <w:rPr>
          <w:rFonts w:ascii="Times New Roman" w:hAnsi="Times New Roman"/>
          <w:lang w:val="lt-LT"/>
        </w:rPr>
        <w:t>dienogesto</w:t>
      </w:r>
      <w:proofErr w:type="spellEnd"/>
      <w:r w:rsidR="00DF2A3D" w:rsidRPr="00253783">
        <w:rPr>
          <w:rFonts w:ascii="Times New Roman" w:hAnsi="Times New Roman"/>
          <w:lang w:val="lt-LT"/>
        </w:rPr>
        <w:t xml:space="preserve">. Pavartojus į veną </w:t>
      </w:r>
      <w:r w:rsidR="00DF2A3D">
        <w:rPr>
          <w:rFonts w:ascii="Times New Roman" w:hAnsi="Times New Roman"/>
          <w:lang w:val="lt-LT"/>
        </w:rPr>
        <w:t>3</w:t>
      </w:r>
      <w:r w:rsidR="00DF2A3D" w:rsidRPr="00253783">
        <w:rPr>
          <w:rFonts w:ascii="Times New Roman" w:hAnsi="Times New Roman"/>
          <w:lang w:val="lt-LT"/>
        </w:rPr>
        <w:t>H-dienogesto, bendras apskaičiuotas klirensas buvo 5,1 l/val.</w:t>
      </w:r>
    </w:p>
    <w:p w14:paraId="366E9535"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5EB615A5" w14:textId="77777777" w:rsidR="00DF2A3D" w:rsidRPr="00253783" w:rsidRDefault="00DF2A3D" w:rsidP="00A51A1D">
      <w:pPr>
        <w:tabs>
          <w:tab w:val="left" w:pos="0"/>
        </w:tabs>
        <w:spacing w:after="0" w:line="240" w:lineRule="auto"/>
        <w:contextualSpacing/>
        <w:outlineLvl w:val="0"/>
        <w:rPr>
          <w:rFonts w:ascii="Times New Roman" w:hAnsi="Times New Roman"/>
          <w:u w:val="single"/>
          <w:lang w:val="lt-LT"/>
        </w:rPr>
      </w:pPr>
      <w:r w:rsidRPr="00253783">
        <w:rPr>
          <w:rFonts w:ascii="Times New Roman" w:hAnsi="Times New Roman"/>
          <w:u w:val="single"/>
          <w:lang w:val="lt-LT"/>
        </w:rPr>
        <w:t>Eliminacija</w:t>
      </w:r>
    </w:p>
    <w:p w14:paraId="129CF184" w14:textId="0A9A5B88"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DNG galutinės pusinės </w:t>
      </w:r>
      <w:proofErr w:type="spellStart"/>
      <w:r w:rsidRPr="00940D54">
        <w:rPr>
          <w:rFonts w:ascii="Times New Roman" w:hAnsi="Times New Roman"/>
          <w:lang w:val="lt-LT"/>
        </w:rPr>
        <w:t>eliminacijo</w:t>
      </w:r>
      <w:proofErr w:type="spellEnd"/>
      <w:r w:rsidRPr="00940D54">
        <w:rPr>
          <w:rFonts w:ascii="Times New Roman" w:hAnsi="Times New Roman"/>
          <w:lang w:val="lt-LT"/>
        </w:rPr>
        <w:t xml:space="preserve"> periodas moterų po menopauzės, pavartojusių 2 mg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 1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organizme trunka 10,5 valandos. Išgėrus 0,1 mg/kg dozę, </w:t>
      </w: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metabolitų pavidalu šalinamas su šlapimu ir išmatomis santykiu maždaug 3:1. Metabolitų </w:t>
      </w:r>
      <w:proofErr w:type="spellStart"/>
      <w:r w:rsidRPr="00940D54">
        <w:rPr>
          <w:rFonts w:ascii="Times New Roman" w:hAnsi="Times New Roman"/>
          <w:lang w:val="lt-LT"/>
        </w:rPr>
        <w:t>ekskrecijos</w:t>
      </w:r>
      <w:proofErr w:type="spellEnd"/>
      <w:r w:rsidRPr="00940D54">
        <w:rPr>
          <w:rFonts w:ascii="Times New Roman" w:hAnsi="Times New Roman"/>
          <w:lang w:val="lt-LT"/>
        </w:rPr>
        <w:t xml:space="preserve"> su šlapimu pusinis periodas trunka 14 valandų. Išgėrus vaistinio preparato, maždaug 86 % suvartotos dozės eliminuojama per 6 paras, didžiausia dalis šio kiekio pasišalina per pirmąsias 24 valandas, daugiausia su šlapimu.</w:t>
      </w:r>
    </w:p>
    <w:p w14:paraId="29EA111F"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139FA6A2"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u w:val="single"/>
          <w:lang w:val="lt-LT"/>
        </w:rPr>
        <w:t>Pusiausvyros apykaitos sąlygos</w:t>
      </w:r>
    </w:p>
    <w:p w14:paraId="39682EFD" w14:textId="7A52C3C2" w:rsidR="005E5B0D" w:rsidRDefault="00A51A1D" w:rsidP="00A51A1D">
      <w:pPr>
        <w:tabs>
          <w:tab w:val="left" w:pos="0"/>
        </w:tabs>
        <w:spacing w:after="0" w:line="240" w:lineRule="auto"/>
        <w:contextualSpacing/>
        <w:outlineLvl w:val="0"/>
        <w:rPr>
          <w:rFonts w:ascii="Times New Roman" w:hAnsi="Times New Roman"/>
          <w:lang w:val="lt-LT"/>
        </w:rPr>
      </w:pPr>
      <w:r w:rsidRPr="00940D54">
        <w:rPr>
          <w:rFonts w:ascii="Times New Roman" w:hAnsi="Times New Roman"/>
          <w:lang w:val="lt-LT"/>
        </w:rPr>
        <w:t>Vaistinį preparatą geriant kasdien, jo koncentracijos serume padidėja maždaug 1,3 karto ir pasiekia pusiausvyros apykaitą po 3</w:t>
      </w:r>
      <w:r w:rsidRPr="00940D54">
        <w:rPr>
          <w:rFonts w:ascii="Times New Roman" w:hAnsi="Times New Roman"/>
          <w:lang w:val="lt-LT"/>
        </w:rPr>
        <w:noBreakHyphen/>
        <w:t xml:space="preserve">4 gydymo dienų. Vartojant kartotines 2 mg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 1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dozes,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w:t>
      </w:r>
      <w:proofErr w:type="spellStart"/>
      <w:r w:rsidRPr="00940D54">
        <w:rPr>
          <w:rFonts w:ascii="Times New Roman" w:hAnsi="Times New Roman"/>
          <w:lang w:val="lt-LT"/>
        </w:rPr>
        <w:t>farmakokinetines</w:t>
      </w:r>
      <w:proofErr w:type="spellEnd"/>
      <w:r w:rsidRPr="00940D54">
        <w:rPr>
          <w:rFonts w:ascii="Times New Roman" w:hAnsi="Times New Roman"/>
          <w:lang w:val="lt-LT"/>
        </w:rPr>
        <w:t xml:space="preserve"> savybes galima numatyti pagal vienkartinės dozės </w:t>
      </w:r>
      <w:proofErr w:type="spellStart"/>
      <w:r w:rsidRPr="00940D54">
        <w:rPr>
          <w:rFonts w:ascii="Times New Roman" w:hAnsi="Times New Roman"/>
          <w:lang w:val="lt-LT"/>
        </w:rPr>
        <w:t>farmakokinetines</w:t>
      </w:r>
      <w:proofErr w:type="spellEnd"/>
      <w:r w:rsidRPr="00940D54">
        <w:rPr>
          <w:rFonts w:ascii="Times New Roman" w:hAnsi="Times New Roman"/>
          <w:lang w:val="lt-LT"/>
        </w:rPr>
        <w:t xml:space="preserve"> savybes. Mažiausioji, didžiausioji ir vidutinė DNG koncentracijos serume pusiausvyros apykaitos sąlygomis yra atitinkamai 9 </w:t>
      </w:r>
      <w:proofErr w:type="spellStart"/>
      <w:r w:rsidRPr="00940D54">
        <w:rPr>
          <w:rFonts w:ascii="Times New Roman" w:hAnsi="Times New Roman"/>
          <w:lang w:val="lt-LT"/>
        </w:rPr>
        <w:t>ng</w:t>
      </w:r>
      <w:proofErr w:type="spellEnd"/>
      <w:r w:rsidRPr="00940D54">
        <w:rPr>
          <w:rFonts w:ascii="Times New Roman" w:hAnsi="Times New Roman"/>
          <w:lang w:val="lt-LT"/>
        </w:rPr>
        <w:t>/ml, 60 </w:t>
      </w:r>
      <w:proofErr w:type="spellStart"/>
      <w:r w:rsidRPr="00940D54">
        <w:rPr>
          <w:rFonts w:ascii="Times New Roman" w:hAnsi="Times New Roman"/>
          <w:lang w:val="lt-LT"/>
        </w:rPr>
        <w:t>ng</w:t>
      </w:r>
      <w:proofErr w:type="spellEnd"/>
      <w:r w:rsidRPr="00940D54">
        <w:rPr>
          <w:rFonts w:ascii="Times New Roman" w:hAnsi="Times New Roman"/>
          <w:lang w:val="lt-LT"/>
        </w:rPr>
        <w:t>/ml ir 25 </w:t>
      </w:r>
      <w:proofErr w:type="spellStart"/>
      <w:r w:rsidRPr="00940D54">
        <w:rPr>
          <w:rFonts w:ascii="Times New Roman" w:hAnsi="Times New Roman"/>
          <w:lang w:val="lt-LT"/>
        </w:rPr>
        <w:t>ng</w:t>
      </w:r>
      <w:proofErr w:type="spellEnd"/>
      <w:r w:rsidRPr="00940D54">
        <w:rPr>
          <w:rFonts w:ascii="Times New Roman" w:hAnsi="Times New Roman"/>
          <w:lang w:val="lt-LT"/>
        </w:rPr>
        <w:t>/ml.</w:t>
      </w:r>
      <w:r w:rsidR="005E5B0D" w:rsidRPr="005E5B0D">
        <w:rPr>
          <w:rFonts w:ascii="Times New Roman" w:hAnsi="Times New Roman"/>
          <w:lang w:val="lt-LT"/>
        </w:rPr>
        <w:t xml:space="preserve"> </w:t>
      </w:r>
    </w:p>
    <w:p w14:paraId="6EC85C8E" w14:textId="5F7B0CA3" w:rsidR="00A51A1D" w:rsidRPr="00940D54" w:rsidRDefault="005E5B0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SHBG koncentracijos neturi įtakos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w:t>
      </w:r>
      <w:proofErr w:type="spellStart"/>
      <w:r w:rsidRPr="00940D54">
        <w:rPr>
          <w:rFonts w:ascii="Times New Roman" w:hAnsi="Times New Roman"/>
          <w:lang w:val="lt-LT"/>
        </w:rPr>
        <w:t>farmakokinetinėms</w:t>
      </w:r>
      <w:proofErr w:type="spellEnd"/>
      <w:r w:rsidRPr="00940D54">
        <w:rPr>
          <w:rFonts w:ascii="Times New Roman" w:hAnsi="Times New Roman"/>
          <w:lang w:val="lt-LT"/>
        </w:rPr>
        <w:t xml:space="preserve"> savybėms</w:t>
      </w:r>
      <w:r>
        <w:rPr>
          <w:rFonts w:ascii="Times New Roman" w:hAnsi="Times New Roman"/>
          <w:lang w:val="lt-LT"/>
        </w:rPr>
        <w:t>.</w:t>
      </w:r>
    </w:p>
    <w:p w14:paraId="1793AD46"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176B094F"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Duomenų apie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farmakokinetiką pacientų, kuriems yra inkstų ar kepenų nepakankamumas, nėra.</w:t>
      </w:r>
    </w:p>
    <w:p w14:paraId="0050DBFE"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39144CE8"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5.3</w:t>
      </w:r>
      <w:r w:rsidRPr="00940D54">
        <w:rPr>
          <w:rFonts w:ascii="Times New Roman" w:hAnsi="Times New Roman"/>
          <w:b/>
          <w:lang w:val="lt-LT"/>
        </w:rPr>
        <w:tab/>
        <w:t>Ikiklinikinių saugumo tyrimų duomenys</w:t>
      </w:r>
    </w:p>
    <w:p w14:paraId="5AD72B82"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501957F8" w14:textId="592A7419" w:rsidR="005E5B0D" w:rsidRDefault="00A51A1D" w:rsidP="00A51A1D">
      <w:pPr>
        <w:tabs>
          <w:tab w:val="left" w:pos="0"/>
        </w:tabs>
        <w:spacing w:after="0" w:line="240" w:lineRule="auto"/>
        <w:contextualSpacing/>
        <w:outlineLvl w:val="0"/>
        <w:rPr>
          <w:rFonts w:ascii="Times New Roman" w:hAnsi="Times New Roman"/>
          <w:lang w:val="lt-LT"/>
        </w:rPr>
      </w:pPr>
      <w:proofErr w:type="spellStart"/>
      <w:r w:rsidRPr="00940D54">
        <w:rPr>
          <w:rFonts w:ascii="Times New Roman" w:hAnsi="Times New Roman"/>
          <w:lang w:val="lt-LT"/>
        </w:rPr>
        <w:t>Estradioli</w:t>
      </w:r>
      <w:r w:rsidR="005E5B0D">
        <w:rPr>
          <w:rFonts w:ascii="Times New Roman" w:hAnsi="Times New Roman"/>
          <w:lang w:val="lt-LT"/>
        </w:rPr>
        <w:t>o</w:t>
      </w:r>
      <w:proofErr w:type="spellEnd"/>
      <w:r w:rsidR="005E5B0D">
        <w:rPr>
          <w:rFonts w:ascii="Times New Roman" w:hAnsi="Times New Roman"/>
          <w:lang w:val="lt-LT"/>
        </w:rPr>
        <w:t xml:space="preserve"> </w:t>
      </w:r>
      <w:proofErr w:type="spellStart"/>
      <w:r w:rsidR="005E5B0D">
        <w:rPr>
          <w:rFonts w:ascii="Times New Roman" w:hAnsi="Times New Roman"/>
          <w:lang w:val="lt-LT"/>
        </w:rPr>
        <w:t>valeratas</w:t>
      </w:r>
      <w:proofErr w:type="spellEnd"/>
      <w:r w:rsidRPr="00940D54">
        <w:rPr>
          <w:rFonts w:ascii="Times New Roman" w:hAnsi="Times New Roman"/>
          <w:lang w:val="lt-LT"/>
        </w:rPr>
        <w:t xml:space="preserve"> </w:t>
      </w:r>
    </w:p>
    <w:p w14:paraId="0BAD108B" w14:textId="2F46F45D"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toksinis poveikis gerai žinomas. Vaistinį preparatą skiriančiam gydytojui svarbių ikiklinikinių tyrimų duomenų, kurie papildytų informaciją, jau įtrauką į kitus PCS skyrius, nėra.</w:t>
      </w:r>
    </w:p>
    <w:p w14:paraId="096050B5"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197BFE33" w14:textId="447B8C26" w:rsidR="005E5B0D" w:rsidRDefault="00A51A1D" w:rsidP="006815BA">
      <w:pPr>
        <w:keepNext/>
        <w:tabs>
          <w:tab w:val="left" w:pos="0"/>
        </w:tabs>
        <w:spacing w:after="0" w:line="240" w:lineRule="auto"/>
        <w:contextualSpacing/>
        <w:outlineLvl w:val="0"/>
        <w:rPr>
          <w:rFonts w:ascii="Times New Roman" w:hAnsi="Times New Roman"/>
          <w:lang w:val="lt-LT"/>
        </w:rPr>
      </w:pP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w:t>
      </w:r>
    </w:p>
    <w:p w14:paraId="4F04E9AC" w14:textId="4CB4CF21" w:rsidR="00A51A1D" w:rsidRPr="00940D54" w:rsidRDefault="00A51A1D" w:rsidP="006815BA">
      <w:pPr>
        <w:keepNext/>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Įprastų farmakologinio saugumo, vienkartinės ir kartotinių dozių toksiškumo, </w:t>
      </w:r>
      <w:proofErr w:type="spellStart"/>
      <w:r w:rsidRPr="00940D54">
        <w:rPr>
          <w:rFonts w:ascii="Times New Roman" w:hAnsi="Times New Roman"/>
          <w:lang w:val="lt-LT"/>
        </w:rPr>
        <w:t>genotoksiškumo</w:t>
      </w:r>
      <w:proofErr w:type="spellEnd"/>
      <w:r w:rsidRPr="00940D54">
        <w:rPr>
          <w:rFonts w:ascii="Times New Roman" w:hAnsi="Times New Roman"/>
          <w:lang w:val="lt-LT"/>
        </w:rPr>
        <w:t xml:space="preserve">, </w:t>
      </w:r>
      <w:r w:rsidR="005E5B0D" w:rsidRPr="00940D54">
        <w:rPr>
          <w:rFonts w:ascii="Times New Roman" w:hAnsi="Times New Roman"/>
          <w:lang w:val="lt-LT"/>
        </w:rPr>
        <w:t xml:space="preserve">galimo </w:t>
      </w:r>
      <w:proofErr w:type="spellStart"/>
      <w:r w:rsidR="005E5B0D" w:rsidRPr="00940D54">
        <w:rPr>
          <w:rFonts w:ascii="Times New Roman" w:hAnsi="Times New Roman"/>
          <w:lang w:val="lt-LT"/>
        </w:rPr>
        <w:t>kancerogeniškumo</w:t>
      </w:r>
      <w:proofErr w:type="spellEnd"/>
      <w:r w:rsidR="005E5B0D">
        <w:rPr>
          <w:rFonts w:ascii="Times New Roman" w:hAnsi="Times New Roman"/>
          <w:lang w:val="lt-LT"/>
        </w:rPr>
        <w:t>,</w:t>
      </w:r>
      <w:r w:rsidR="005E5B0D" w:rsidRPr="00940D54">
        <w:rPr>
          <w:rFonts w:ascii="Times New Roman" w:hAnsi="Times New Roman"/>
          <w:lang w:val="lt-LT"/>
        </w:rPr>
        <w:t xml:space="preserve"> </w:t>
      </w:r>
      <w:r w:rsidRPr="00940D54">
        <w:rPr>
          <w:rFonts w:ascii="Times New Roman" w:hAnsi="Times New Roman"/>
          <w:lang w:val="lt-LT"/>
        </w:rPr>
        <w:t xml:space="preserve">toksinio poveikio reprodukcijai ir </w:t>
      </w:r>
      <w:r w:rsidR="005E5B0D">
        <w:rPr>
          <w:rFonts w:ascii="Times New Roman" w:hAnsi="Times New Roman"/>
          <w:lang w:val="lt-LT"/>
        </w:rPr>
        <w:t xml:space="preserve">vystymuisi </w:t>
      </w:r>
      <w:r w:rsidRPr="00940D54">
        <w:rPr>
          <w:rFonts w:ascii="Times New Roman" w:hAnsi="Times New Roman"/>
          <w:lang w:val="lt-LT"/>
        </w:rPr>
        <w:t>ikiklinikinių tyrimų duomenys specifinio pavojaus žmogui nerodo.</w:t>
      </w:r>
    </w:p>
    <w:p w14:paraId="0A8554FD"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381A17CC" w14:textId="77777777" w:rsidR="00A51A1D" w:rsidRPr="00940D54" w:rsidRDefault="00A51A1D" w:rsidP="00A51A1D">
      <w:pPr>
        <w:spacing w:after="0" w:line="240" w:lineRule="auto"/>
        <w:rPr>
          <w:rFonts w:ascii="Times New Roman" w:hAnsi="Times New Roman"/>
          <w:lang w:val="lt-LT"/>
        </w:rPr>
      </w:pPr>
    </w:p>
    <w:p w14:paraId="5C0FB530"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6.</w:t>
      </w:r>
      <w:r w:rsidRPr="00940D54">
        <w:rPr>
          <w:rFonts w:ascii="Times New Roman" w:hAnsi="Times New Roman"/>
          <w:b/>
          <w:lang w:val="lt-LT"/>
        </w:rPr>
        <w:tab/>
        <w:t>FARMACINĖ INFORMACIJA</w:t>
      </w:r>
    </w:p>
    <w:p w14:paraId="61A6E899" w14:textId="77777777" w:rsidR="00A51A1D" w:rsidRPr="00940D54" w:rsidRDefault="00A51A1D" w:rsidP="00A51A1D">
      <w:pPr>
        <w:spacing w:after="0" w:line="240" w:lineRule="auto"/>
        <w:rPr>
          <w:rFonts w:ascii="Times New Roman" w:hAnsi="Times New Roman"/>
          <w:lang w:val="lt-LT"/>
        </w:rPr>
      </w:pPr>
    </w:p>
    <w:p w14:paraId="5B362094"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6.1</w:t>
      </w:r>
      <w:r w:rsidRPr="00940D54">
        <w:rPr>
          <w:rFonts w:ascii="Times New Roman" w:hAnsi="Times New Roman"/>
          <w:b/>
          <w:lang w:val="lt-LT"/>
        </w:rPr>
        <w:tab/>
        <w:t>Pagalbinių medžiagų sąrašas</w:t>
      </w:r>
    </w:p>
    <w:p w14:paraId="468CB64A"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1F3A1DA3"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i/>
          <w:lang w:val="lt-LT"/>
        </w:rPr>
      </w:pPr>
      <w:r w:rsidRPr="00940D54">
        <w:rPr>
          <w:rFonts w:ascii="Times New Roman" w:hAnsi="Times New Roman"/>
          <w:i/>
          <w:lang w:val="lt-LT"/>
        </w:rPr>
        <w:t>Tabletės branduolys</w:t>
      </w:r>
    </w:p>
    <w:p w14:paraId="138FA725"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Laktozė </w:t>
      </w:r>
      <w:proofErr w:type="spellStart"/>
      <w:r w:rsidRPr="00940D54">
        <w:rPr>
          <w:rFonts w:ascii="Times New Roman" w:hAnsi="Times New Roman"/>
          <w:lang w:val="lt-LT"/>
        </w:rPr>
        <w:t>monohidratas</w:t>
      </w:r>
      <w:proofErr w:type="spellEnd"/>
      <w:r w:rsidRPr="00940D54">
        <w:rPr>
          <w:rFonts w:ascii="Times New Roman" w:hAnsi="Times New Roman"/>
          <w:lang w:val="lt-LT"/>
        </w:rPr>
        <w:t xml:space="preserve"> </w:t>
      </w:r>
    </w:p>
    <w:p w14:paraId="090C0160"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Kukurūzų krakmolas</w:t>
      </w:r>
    </w:p>
    <w:p w14:paraId="2C9D6591"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Pregelifikuotas</w:t>
      </w:r>
      <w:proofErr w:type="spellEnd"/>
      <w:r w:rsidRPr="00940D54">
        <w:rPr>
          <w:rFonts w:ascii="Times New Roman" w:hAnsi="Times New Roman"/>
          <w:lang w:val="lt-LT"/>
        </w:rPr>
        <w:t xml:space="preserve"> kukurūzų krakmolas</w:t>
      </w:r>
    </w:p>
    <w:p w14:paraId="2D4E2D2A"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Povidonas</w:t>
      </w:r>
      <w:proofErr w:type="spellEnd"/>
      <w:r w:rsidRPr="00940D54">
        <w:rPr>
          <w:rFonts w:ascii="Times New Roman" w:hAnsi="Times New Roman"/>
          <w:lang w:val="lt-LT"/>
        </w:rPr>
        <w:t xml:space="preserve"> K30 </w:t>
      </w:r>
    </w:p>
    <w:p w14:paraId="2B2774A8"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 xml:space="preserve">Magnio </w:t>
      </w:r>
      <w:proofErr w:type="spellStart"/>
      <w:r w:rsidRPr="00940D54">
        <w:rPr>
          <w:rFonts w:ascii="Times New Roman" w:hAnsi="Times New Roman"/>
          <w:lang w:val="lt-LT"/>
        </w:rPr>
        <w:t>stearatas</w:t>
      </w:r>
      <w:proofErr w:type="spellEnd"/>
    </w:p>
    <w:p w14:paraId="23B3270D" w14:textId="77777777" w:rsidR="00A51A1D" w:rsidRPr="00940D54" w:rsidRDefault="00A51A1D" w:rsidP="00A51A1D">
      <w:pPr>
        <w:tabs>
          <w:tab w:val="left" w:pos="0"/>
        </w:tabs>
        <w:spacing w:after="0" w:line="240" w:lineRule="auto"/>
        <w:contextualSpacing/>
        <w:outlineLvl w:val="0"/>
        <w:rPr>
          <w:rFonts w:ascii="Times New Roman" w:hAnsi="Times New Roman"/>
          <w:lang w:val="lt-LT"/>
        </w:rPr>
      </w:pPr>
    </w:p>
    <w:p w14:paraId="2AEDE548"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i/>
          <w:lang w:val="lt-LT"/>
        </w:rPr>
      </w:pPr>
      <w:r w:rsidRPr="00940D54">
        <w:rPr>
          <w:rFonts w:ascii="Times New Roman" w:hAnsi="Times New Roman"/>
          <w:i/>
          <w:lang w:val="lt-LT"/>
        </w:rPr>
        <w:t>Tabletės plėvelė</w:t>
      </w:r>
    </w:p>
    <w:p w14:paraId="0381C08B"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Polivinilo alkoholis</w:t>
      </w:r>
    </w:p>
    <w:p w14:paraId="23C44F9E"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Titano dioksidas (E171)</w:t>
      </w:r>
    </w:p>
    <w:p w14:paraId="3D2F1FF0"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proofErr w:type="spellStart"/>
      <w:r w:rsidRPr="00940D54">
        <w:rPr>
          <w:rFonts w:ascii="Times New Roman" w:hAnsi="Times New Roman"/>
          <w:lang w:val="lt-LT"/>
        </w:rPr>
        <w:t>Makrogolis</w:t>
      </w:r>
      <w:proofErr w:type="spellEnd"/>
      <w:r w:rsidRPr="00940D54">
        <w:rPr>
          <w:rFonts w:ascii="Times New Roman" w:hAnsi="Times New Roman"/>
          <w:lang w:val="lt-LT"/>
        </w:rPr>
        <w:t xml:space="preserve"> / PEG 3350</w:t>
      </w:r>
    </w:p>
    <w:p w14:paraId="53E91539"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lastRenderedPageBreak/>
        <w:t>Talkas</w:t>
      </w:r>
    </w:p>
    <w:p w14:paraId="2FE02026"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Raudonasis geležies oksidas (E172)</w:t>
      </w:r>
    </w:p>
    <w:p w14:paraId="443E0F9F" w14:textId="77777777" w:rsidR="00A51A1D" w:rsidRPr="00940D54" w:rsidRDefault="00A51A1D" w:rsidP="00A51A1D">
      <w:pPr>
        <w:tabs>
          <w:tab w:val="left" w:pos="0"/>
        </w:tabs>
        <w:spacing w:after="0" w:line="240" w:lineRule="auto"/>
        <w:contextualSpacing/>
        <w:outlineLvl w:val="0"/>
        <w:rPr>
          <w:rFonts w:ascii="Times New Roman" w:eastAsiaTheme="minorHAnsi" w:hAnsi="Times New Roman" w:cstheme="minorBidi"/>
          <w:lang w:val="lt-LT"/>
        </w:rPr>
      </w:pPr>
      <w:r w:rsidRPr="00940D54">
        <w:rPr>
          <w:rFonts w:ascii="Times New Roman" w:hAnsi="Times New Roman"/>
          <w:lang w:val="lt-LT"/>
        </w:rPr>
        <w:t>Juodasis geležies oksidas (E172)</w:t>
      </w:r>
    </w:p>
    <w:p w14:paraId="1BEA1AFC" w14:textId="77777777" w:rsidR="00A51A1D" w:rsidRPr="00940D54" w:rsidRDefault="00A51A1D" w:rsidP="00A51A1D">
      <w:pPr>
        <w:spacing w:after="0" w:line="240" w:lineRule="auto"/>
        <w:rPr>
          <w:rFonts w:ascii="Times New Roman" w:hAnsi="Times New Roman"/>
          <w:lang w:val="lt-LT"/>
        </w:rPr>
      </w:pPr>
    </w:p>
    <w:p w14:paraId="7F19EF50"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6.2</w:t>
      </w:r>
      <w:r w:rsidRPr="00940D54">
        <w:rPr>
          <w:rFonts w:ascii="Times New Roman" w:hAnsi="Times New Roman"/>
          <w:b/>
          <w:lang w:val="lt-LT"/>
        </w:rPr>
        <w:tab/>
        <w:t>Nesuderinamumas</w:t>
      </w:r>
    </w:p>
    <w:p w14:paraId="20FED1FE" w14:textId="77777777" w:rsidR="00A51A1D" w:rsidRPr="00940D54" w:rsidRDefault="00A51A1D" w:rsidP="00A51A1D">
      <w:pPr>
        <w:spacing w:after="0" w:line="240" w:lineRule="auto"/>
        <w:rPr>
          <w:rFonts w:ascii="Times New Roman" w:hAnsi="Times New Roman"/>
          <w:lang w:val="lt-LT"/>
        </w:rPr>
      </w:pPr>
    </w:p>
    <w:p w14:paraId="6ACAAF8C"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Duomenys nebūtini.</w:t>
      </w:r>
    </w:p>
    <w:p w14:paraId="7CBD897D" w14:textId="77777777" w:rsidR="00A51A1D" w:rsidRPr="00940D54" w:rsidRDefault="00A51A1D" w:rsidP="00A51A1D">
      <w:pPr>
        <w:spacing w:after="0" w:line="240" w:lineRule="auto"/>
        <w:rPr>
          <w:rFonts w:ascii="Times New Roman" w:hAnsi="Times New Roman"/>
          <w:lang w:val="lt-LT"/>
        </w:rPr>
      </w:pPr>
    </w:p>
    <w:p w14:paraId="0E507587"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6.3</w:t>
      </w:r>
      <w:r w:rsidRPr="00940D54">
        <w:rPr>
          <w:rFonts w:ascii="Times New Roman" w:hAnsi="Times New Roman"/>
          <w:b/>
          <w:lang w:val="lt-LT"/>
        </w:rPr>
        <w:tab/>
        <w:t>Tinkamumo laikas</w:t>
      </w:r>
    </w:p>
    <w:p w14:paraId="3FB96BEC" w14:textId="77777777" w:rsidR="00A51A1D" w:rsidRPr="00940D54" w:rsidRDefault="00A51A1D" w:rsidP="00A51A1D">
      <w:pPr>
        <w:spacing w:after="0" w:line="240" w:lineRule="auto"/>
        <w:rPr>
          <w:rFonts w:ascii="Times New Roman" w:hAnsi="Times New Roman"/>
          <w:lang w:val="lt-LT"/>
        </w:rPr>
      </w:pPr>
    </w:p>
    <w:p w14:paraId="476E1932" w14:textId="09683F21"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3</w:t>
      </w:r>
      <w:r w:rsidR="00021E98">
        <w:rPr>
          <w:rFonts w:ascii="Times New Roman" w:hAnsi="Times New Roman"/>
          <w:lang w:val="lt-LT"/>
        </w:rPr>
        <w:t> </w:t>
      </w:r>
      <w:r w:rsidRPr="00940D54">
        <w:rPr>
          <w:rFonts w:ascii="Times New Roman" w:hAnsi="Times New Roman"/>
          <w:lang w:val="lt-LT"/>
        </w:rPr>
        <w:t>metai.</w:t>
      </w:r>
    </w:p>
    <w:p w14:paraId="65C9728C" w14:textId="77777777" w:rsidR="00A51A1D" w:rsidRPr="00940D54" w:rsidRDefault="00A51A1D" w:rsidP="00A51A1D">
      <w:pPr>
        <w:spacing w:after="0" w:line="240" w:lineRule="auto"/>
        <w:rPr>
          <w:rFonts w:ascii="Times New Roman" w:hAnsi="Times New Roman"/>
          <w:lang w:val="lt-LT"/>
        </w:rPr>
      </w:pPr>
    </w:p>
    <w:p w14:paraId="7C3C4776"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6.4</w:t>
      </w:r>
      <w:r w:rsidRPr="00940D54">
        <w:rPr>
          <w:rFonts w:ascii="Times New Roman" w:hAnsi="Times New Roman"/>
          <w:b/>
          <w:lang w:val="lt-LT"/>
        </w:rPr>
        <w:tab/>
        <w:t>Specialios laikymo sąlygos</w:t>
      </w:r>
    </w:p>
    <w:p w14:paraId="2F8E7B92" w14:textId="77777777" w:rsidR="00A51A1D" w:rsidRPr="00940D54" w:rsidRDefault="00A51A1D" w:rsidP="00A51A1D">
      <w:pPr>
        <w:spacing w:after="0" w:line="240" w:lineRule="auto"/>
        <w:rPr>
          <w:rFonts w:ascii="Times New Roman" w:hAnsi="Times New Roman"/>
          <w:lang w:val="lt-LT"/>
        </w:rPr>
      </w:pPr>
    </w:p>
    <w:p w14:paraId="082753B4" w14:textId="77777777" w:rsidR="00A51A1D" w:rsidRPr="00940D54" w:rsidRDefault="00A51A1D" w:rsidP="00A51A1D">
      <w:pPr>
        <w:spacing w:after="0" w:line="240" w:lineRule="auto"/>
        <w:rPr>
          <w:rFonts w:ascii="Times New Roman" w:eastAsiaTheme="minorHAnsi" w:hAnsi="Times New Roman" w:cstheme="minorBidi"/>
          <w:color w:val="0D0D0D"/>
          <w:lang w:val="lt-LT"/>
        </w:rPr>
      </w:pPr>
      <w:r w:rsidRPr="00940D54">
        <w:rPr>
          <w:rFonts w:ascii="Times New Roman" w:hAnsi="Times New Roman"/>
          <w:lang w:val="lt-LT"/>
        </w:rPr>
        <w:t>Šio vaistinio preparato laikymui specialių temperatūros sąlygų nereikalaujama.</w:t>
      </w:r>
    </w:p>
    <w:p w14:paraId="67C2D4B0" w14:textId="77777777" w:rsidR="00A51A1D" w:rsidRPr="00940D54" w:rsidRDefault="00A51A1D" w:rsidP="00A51A1D">
      <w:pPr>
        <w:spacing w:after="0" w:line="240" w:lineRule="auto"/>
        <w:rPr>
          <w:rFonts w:ascii="Times New Roman" w:hAnsi="Times New Roman"/>
          <w:color w:val="0D0D0D"/>
          <w:lang w:val="lt-LT"/>
        </w:rPr>
      </w:pPr>
    </w:p>
    <w:p w14:paraId="38665BE6" w14:textId="77777777" w:rsidR="00A51A1D" w:rsidRPr="00940D54" w:rsidRDefault="00A51A1D" w:rsidP="00A51A1D">
      <w:pPr>
        <w:spacing w:after="0" w:line="240" w:lineRule="auto"/>
        <w:rPr>
          <w:rFonts w:ascii="Times New Roman" w:eastAsiaTheme="minorHAnsi" w:hAnsi="Times New Roman" w:cstheme="minorBidi"/>
          <w:color w:val="0D0D0D"/>
          <w:lang w:val="lt-LT"/>
        </w:rPr>
      </w:pPr>
      <w:r w:rsidRPr="00940D54">
        <w:rPr>
          <w:rFonts w:ascii="Times New Roman" w:hAnsi="Times New Roman"/>
          <w:color w:val="0D0D0D"/>
          <w:lang w:val="lt-LT"/>
        </w:rPr>
        <w:t xml:space="preserve">Laikyti gamintojo pakuotėje, kad </w:t>
      </w:r>
      <w:r w:rsidR="00871096" w:rsidRPr="00940D54">
        <w:rPr>
          <w:rFonts w:ascii="Times New Roman" w:hAnsi="Times New Roman"/>
          <w:color w:val="0D0D0D"/>
          <w:lang w:val="lt-LT"/>
        </w:rPr>
        <w:t xml:space="preserve">vaistinis </w:t>
      </w:r>
      <w:r w:rsidRPr="00940D54">
        <w:rPr>
          <w:rFonts w:ascii="Times New Roman" w:hAnsi="Times New Roman"/>
          <w:color w:val="0D0D0D"/>
          <w:lang w:val="lt-LT"/>
        </w:rPr>
        <w:t>preparatas būtų apsaugotas nuo šviesos.</w:t>
      </w:r>
    </w:p>
    <w:p w14:paraId="49E058FA" w14:textId="77777777" w:rsidR="00A51A1D" w:rsidRPr="00940D54" w:rsidRDefault="00A51A1D" w:rsidP="00A51A1D">
      <w:pPr>
        <w:spacing w:after="0" w:line="240" w:lineRule="auto"/>
        <w:rPr>
          <w:rFonts w:ascii="Times New Roman" w:hAnsi="Times New Roman"/>
          <w:lang w:val="lt-LT"/>
        </w:rPr>
      </w:pPr>
    </w:p>
    <w:p w14:paraId="3EC2412B"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6.5</w:t>
      </w:r>
      <w:r w:rsidRPr="00940D54">
        <w:rPr>
          <w:rFonts w:ascii="Times New Roman" w:hAnsi="Times New Roman"/>
          <w:b/>
          <w:lang w:val="lt-LT"/>
        </w:rPr>
        <w:tab/>
      </w:r>
      <w:proofErr w:type="spellStart"/>
      <w:r w:rsidRPr="00940D54">
        <w:rPr>
          <w:rFonts w:ascii="Times New Roman" w:hAnsi="Times New Roman"/>
          <w:b/>
          <w:lang w:val="lt-LT"/>
        </w:rPr>
        <w:t>Talpyklės</w:t>
      </w:r>
      <w:proofErr w:type="spellEnd"/>
      <w:r w:rsidRPr="00940D54">
        <w:rPr>
          <w:rFonts w:ascii="Times New Roman" w:hAnsi="Times New Roman"/>
          <w:b/>
          <w:lang w:val="lt-LT"/>
        </w:rPr>
        <w:t xml:space="preserve"> pobūdis ir jos turinys</w:t>
      </w:r>
    </w:p>
    <w:p w14:paraId="3D4ADA00" w14:textId="77777777" w:rsidR="00A51A1D" w:rsidRPr="00940D54" w:rsidRDefault="00A51A1D" w:rsidP="00A51A1D">
      <w:pPr>
        <w:spacing w:after="0" w:line="240" w:lineRule="auto"/>
        <w:rPr>
          <w:rFonts w:ascii="Times New Roman" w:hAnsi="Times New Roman"/>
          <w:lang w:val="lt-LT"/>
        </w:rPr>
      </w:pPr>
    </w:p>
    <w:p w14:paraId="7B9A017F"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PVC / PVDC / aliuminio lizdinė plokštelė.</w:t>
      </w:r>
    </w:p>
    <w:p w14:paraId="5E385A9F" w14:textId="77777777" w:rsidR="00A51A1D" w:rsidRPr="00940D54" w:rsidRDefault="00A51A1D" w:rsidP="00A51A1D">
      <w:pPr>
        <w:spacing w:after="0" w:line="240" w:lineRule="auto"/>
        <w:rPr>
          <w:rFonts w:ascii="Times New Roman" w:hAnsi="Times New Roman"/>
          <w:lang w:val="lt-LT"/>
        </w:rPr>
      </w:pPr>
    </w:p>
    <w:p w14:paraId="32F97EC6"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Tiekiamos kartono dėžutės, kuriose yra 28, 3 x 28 arba 6 x 28 plėvele dengtos tabletės.</w:t>
      </w:r>
    </w:p>
    <w:p w14:paraId="288132D2" w14:textId="77777777" w:rsidR="00A51A1D" w:rsidRPr="00940D54" w:rsidRDefault="00A51A1D" w:rsidP="00A51A1D">
      <w:pPr>
        <w:spacing w:after="0" w:line="240" w:lineRule="auto"/>
        <w:rPr>
          <w:rFonts w:ascii="Times New Roman" w:hAnsi="Times New Roman"/>
          <w:lang w:val="lt-LT"/>
        </w:rPr>
      </w:pPr>
    </w:p>
    <w:p w14:paraId="7F87614D"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Gali būti tiekiamos ne visų dydžių pakuotės.</w:t>
      </w:r>
    </w:p>
    <w:p w14:paraId="07ACBDF6" w14:textId="77777777" w:rsidR="00A51A1D" w:rsidRPr="00940D54" w:rsidRDefault="00A51A1D" w:rsidP="00A51A1D">
      <w:pPr>
        <w:spacing w:after="0" w:line="240" w:lineRule="auto"/>
        <w:rPr>
          <w:rFonts w:ascii="Times New Roman" w:hAnsi="Times New Roman"/>
          <w:lang w:val="lt-LT"/>
        </w:rPr>
      </w:pPr>
    </w:p>
    <w:p w14:paraId="09004AEE"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bookmarkStart w:id="1" w:name="OLE_LINK1"/>
      <w:r w:rsidRPr="00940D54">
        <w:rPr>
          <w:rFonts w:ascii="Times New Roman" w:hAnsi="Times New Roman"/>
          <w:b/>
          <w:lang w:val="lt-LT"/>
        </w:rPr>
        <w:t>6.6</w:t>
      </w:r>
      <w:r w:rsidRPr="00940D54">
        <w:rPr>
          <w:rFonts w:ascii="Times New Roman" w:hAnsi="Times New Roman"/>
          <w:b/>
          <w:lang w:val="lt-LT"/>
        </w:rPr>
        <w:tab/>
        <w:t>Specialūs reikalavimai atliekoms tvarkyti ir vaistiniam preparatui ruošti</w:t>
      </w:r>
    </w:p>
    <w:bookmarkEnd w:id="1"/>
    <w:p w14:paraId="6B4747A7" w14:textId="77777777" w:rsidR="00A51A1D" w:rsidRPr="00940D54" w:rsidRDefault="00A51A1D" w:rsidP="00A51A1D">
      <w:pPr>
        <w:spacing w:after="0" w:line="240" w:lineRule="auto"/>
        <w:rPr>
          <w:rFonts w:ascii="Times New Roman" w:hAnsi="Times New Roman"/>
          <w:lang w:val="lt-LT"/>
        </w:rPr>
      </w:pPr>
    </w:p>
    <w:p w14:paraId="2894BE8A"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Specialių reikalavimų nėra.</w:t>
      </w:r>
    </w:p>
    <w:p w14:paraId="6D5E8B1F" w14:textId="77777777" w:rsidR="00A51A1D" w:rsidRPr="00940D54" w:rsidRDefault="00A51A1D" w:rsidP="00A51A1D">
      <w:pPr>
        <w:spacing w:after="0" w:line="240" w:lineRule="auto"/>
        <w:rPr>
          <w:rFonts w:ascii="Times New Roman" w:hAnsi="Times New Roman"/>
          <w:lang w:val="lt-LT"/>
        </w:rPr>
      </w:pPr>
    </w:p>
    <w:p w14:paraId="5F0C200B"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Nesuvartotą vaistinį preparatą ar atliekas reikia tvarkyti laikantis vietinių reikalavimų.</w:t>
      </w:r>
    </w:p>
    <w:p w14:paraId="6F362288" w14:textId="77777777" w:rsidR="00A51A1D" w:rsidRPr="00940D54" w:rsidRDefault="00A51A1D" w:rsidP="00A51A1D">
      <w:pPr>
        <w:spacing w:after="0" w:line="240" w:lineRule="auto"/>
        <w:rPr>
          <w:rFonts w:ascii="Times New Roman" w:hAnsi="Times New Roman"/>
          <w:lang w:val="lt-LT"/>
        </w:rPr>
      </w:pPr>
    </w:p>
    <w:p w14:paraId="0AD7A1C3" w14:textId="77777777" w:rsidR="00A51A1D" w:rsidRPr="00940D54" w:rsidRDefault="00A51A1D" w:rsidP="00A51A1D">
      <w:pPr>
        <w:spacing w:after="0" w:line="240" w:lineRule="auto"/>
        <w:rPr>
          <w:rFonts w:ascii="Times New Roman" w:hAnsi="Times New Roman"/>
          <w:lang w:val="lt-LT"/>
        </w:rPr>
      </w:pPr>
    </w:p>
    <w:p w14:paraId="0D656E1D"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7.</w:t>
      </w:r>
      <w:r w:rsidRPr="00940D54">
        <w:rPr>
          <w:rFonts w:ascii="Times New Roman" w:hAnsi="Times New Roman"/>
          <w:b/>
          <w:lang w:val="lt-LT"/>
        </w:rPr>
        <w:tab/>
        <w:t>REGISTRUOTOJAS</w:t>
      </w:r>
    </w:p>
    <w:p w14:paraId="073E11D3" w14:textId="77777777" w:rsidR="00A51A1D" w:rsidRPr="00940D54" w:rsidRDefault="00A51A1D" w:rsidP="006815BA">
      <w:pPr>
        <w:keepNext/>
        <w:spacing w:after="0" w:line="240" w:lineRule="auto"/>
        <w:rPr>
          <w:rFonts w:ascii="Times New Roman" w:hAnsi="Times New Roman"/>
          <w:lang w:val="lt-LT"/>
        </w:rPr>
      </w:pPr>
    </w:p>
    <w:p w14:paraId="733E8379" w14:textId="77777777" w:rsidR="00A51A1D" w:rsidRPr="00940D54" w:rsidRDefault="00A51A1D" w:rsidP="006815BA">
      <w:pPr>
        <w:keepNext/>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t>UAB Exeltis Baltics</w:t>
      </w:r>
    </w:p>
    <w:p w14:paraId="1D0E0C8B" w14:textId="546C12D7" w:rsidR="00BA37AC" w:rsidRDefault="00BA37AC" w:rsidP="006815BA">
      <w:pPr>
        <w:keepNext/>
        <w:tabs>
          <w:tab w:val="left" w:pos="-1440"/>
          <w:tab w:val="left" w:pos="-720"/>
        </w:tabs>
        <w:spacing w:after="0" w:line="240" w:lineRule="auto"/>
        <w:rPr>
          <w:rFonts w:ascii="Times New Roman" w:hAnsi="Times New Roman"/>
          <w:lang w:val="lt-LT"/>
        </w:rPr>
      </w:pPr>
      <w:r w:rsidRPr="00BA37AC">
        <w:rPr>
          <w:rFonts w:ascii="Times New Roman" w:hAnsi="Times New Roman"/>
          <w:lang w:val="lt-LT"/>
        </w:rPr>
        <w:t xml:space="preserve">Antano Tumėno g. 4, </w:t>
      </w:r>
    </w:p>
    <w:p w14:paraId="3E9286C7" w14:textId="511BAFBA" w:rsidR="00BA37AC" w:rsidRPr="00940D54" w:rsidRDefault="00BA37AC" w:rsidP="006815BA">
      <w:pPr>
        <w:keepNext/>
        <w:tabs>
          <w:tab w:val="left" w:pos="-1440"/>
          <w:tab w:val="left" w:pos="-720"/>
        </w:tabs>
        <w:spacing w:after="0" w:line="240" w:lineRule="auto"/>
        <w:rPr>
          <w:rFonts w:ascii="Times New Roman" w:eastAsiaTheme="minorHAnsi" w:hAnsi="Times New Roman" w:cstheme="minorBidi"/>
          <w:lang w:val="lt-LT"/>
        </w:rPr>
      </w:pPr>
      <w:r w:rsidRPr="00BA37AC">
        <w:rPr>
          <w:rFonts w:ascii="Times New Roman" w:hAnsi="Times New Roman"/>
          <w:lang w:val="lt-LT"/>
        </w:rPr>
        <w:t>Vilnius, LT-01110</w:t>
      </w:r>
    </w:p>
    <w:p w14:paraId="7D34AB00" w14:textId="77777777" w:rsidR="00A51A1D" w:rsidRPr="00940D54" w:rsidRDefault="00A51A1D" w:rsidP="006815BA">
      <w:pPr>
        <w:keepNext/>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t>Lietuva</w:t>
      </w:r>
    </w:p>
    <w:p w14:paraId="68912B30" w14:textId="77777777" w:rsidR="00A51A1D" w:rsidRPr="00940D54" w:rsidRDefault="00A51A1D" w:rsidP="00A51A1D">
      <w:pPr>
        <w:spacing w:after="0" w:line="240" w:lineRule="auto"/>
        <w:rPr>
          <w:rFonts w:ascii="Times New Roman" w:hAnsi="Times New Roman"/>
          <w:lang w:val="lt-LT"/>
        </w:rPr>
      </w:pPr>
    </w:p>
    <w:p w14:paraId="2432CAF3" w14:textId="77777777" w:rsidR="00A51A1D" w:rsidRPr="00940D54" w:rsidRDefault="00A51A1D" w:rsidP="00A51A1D">
      <w:pPr>
        <w:spacing w:after="0" w:line="240" w:lineRule="auto"/>
        <w:rPr>
          <w:rFonts w:ascii="Times New Roman" w:hAnsi="Times New Roman"/>
          <w:lang w:val="lt-LT"/>
        </w:rPr>
      </w:pPr>
    </w:p>
    <w:p w14:paraId="4BA07F14"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8.</w:t>
      </w:r>
      <w:r w:rsidRPr="00940D54">
        <w:rPr>
          <w:rFonts w:ascii="Times New Roman" w:hAnsi="Times New Roman"/>
          <w:b/>
          <w:lang w:val="lt-LT"/>
        </w:rPr>
        <w:tab/>
        <w:t xml:space="preserve">REGISTRACIJOS PAŽYMĖJIMO NUMERIS (-IAI) </w:t>
      </w:r>
    </w:p>
    <w:p w14:paraId="673801F2" w14:textId="77777777" w:rsidR="00A51A1D" w:rsidRPr="00940D54" w:rsidRDefault="00A51A1D" w:rsidP="00A51A1D">
      <w:pPr>
        <w:spacing w:after="0" w:line="240" w:lineRule="auto"/>
        <w:rPr>
          <w:rFonts w:ascii="Times New Roman" w:hAnsi="Times New Roman"/>
          <w:lang w:val="lt-LT"/>
        </w:rPr>
      </w:pPr>
    </w:p>
    <w:p w14:paraId="48FA65CA" w14:textId="14354EDD" w:rsidR="00677126" w:rsidRPr="00940D54" w:rsidRDefault="00677126" w:rsidP="00677126">
      <w:pPr>
        <w:spacing w:after="0" w:line="240" w:lineRule="auto"/>
        <w:rPr>
          <w:rFonts w:ascii="Times New Roman" w:hAnsi="Times New Roman"/>
          <w:lang w:val="lt-LT"/>
        </w:rPr>
      </w:pPr>
      <w:r w:rsidRPr="00940D54">
        <w:rPr>
          <w:rFonts w:ascii="Times New Roman" w:hAnsi="Times New Roman"/>
          <w:lang w:val="lt-LT"/>
        </w:rPr>
        <w:t>LT/1/14/3618/001 – N28</w:t>
      </w:r>
    </w:p>
    <w:p w14:paraId="491FCF2C" w14:textId="2EA4D1D7" w:rsidR="00677126" w:rsidRPr="00940D54" w:rsidRDefault="00677126" w:rsidP="00677126">
      <w:pPr>
        <w:spacing w:after="0" w:line="240" w:lineRule="auto"/>
        <w:rPr>
          <w:rFonts w:ascii="Times New Roman" w:hAnsi="Times New Roman"/>
          <w:lang w:val="lt-LT"/>
        </w:rPr>
      </w:pPr>
      <w:r w:rsidRPr="00940D54">
        <w:rPr>
          <w:rFonts w:ascii="Times New Roman" w:hAnsi="Times New Roman"/>
          <w:lang w:val="lt-LT"/>
        </w:rPr>
        <w:t>LT/1/14/3618/002 – N3x28</w:t>
      </w:r>
    </w:p>
    <w:p w14:paraId="09599CAD" w14:textId="227ADF12" w:rsidR="00A51A1D" w:rsidRPr="00940D54" w:rsidRDefault="00677126" w:rsidP="00677126">
      <w:pPr>
        <w:spacing w:after="0" w:line="240" w:lineRule="auto"/>
        <w:rPr>
          <w:rFonts w:ascii="Times New Roman" w:hAnsi="Times New Roman"/>
          <w:lang w:val="lt-LT"/>
        </w:rPr>
      </w:pPr>
      <w:r w:rsidRPr="00940D54">
        <w:rPr>
          <w:rFonts w:ascii="Times New Roman" w:hAnsi="Times New Roman"/>
          <w:lang w:val="lt-LT"/>
        </w:rPr>
        <w:t>LT/1/14/3618/003 – N6x28</w:t>
      </w:r>
    </w:p>
    <w:p w14:paraId="26285503" w14:textId="77777777" w:rsidR="00677126" w:rsidRPr="00940D54" w:rsidRDefault="00677126" w:rsidP="00677126">
      <w:pPr>
        <w:spacing w:after="0" w:line="240" w:lineRule="auto"/>
        <w:rPr>
          <w:rFonts w:ascii="Times New Roman" w:hAnsi="Times New Roman"/>
          <w:lang w:val="lt-LT"/>
        </w:rPr>
      </w:pPr>
    </w:p>
    <w:p w14:paraId="4DDC5072" w14:textId="77777777" w:rsidR="00A51A1D" w:rsidRPr="00940D54" w:rsidRDefault="00A51A1D" w:rsidP="00A51A1D">
      <w:pPr>
        <w:spacing w:after="0" w:line="240" w:lineRule="auto"/>
        <w:rPr>
          <w:rFonts w:ascii="Times New Roman" w:hAnsi="Times New Roman"/>
          <w:lang w:val="lt-LT"/>
        </w:rPr>
      </w:pPr>
    </w:p>
    <w:p w14:paraId="1806F6B7"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9.</w:t>
      </w:r>
      <w:r w:rsidRPr="00940D54">
        <w:rPr>
          <w:rFonts w:ascii="Times New Roman" w:hAnsi="Times New Roman"/>
          <w:b/>
          <w:lang w:val="lt-LT"/>
        </w:rPr>
        <w:tab/>
        <w:t>REGISTRAVIMO / PERREGISTRAVIMO DATA</w:t>
      </w:r>
    </w:p>
    <w:p w14:paraId="5E338107" w14:textId="77777777" w:rsidR="00A51A1D" w:rsidRPr="00940D54" w:rsidRDefault="00A51A1D" w:rsidP="00A51A1D">
      <w:pPr>
        <w:spacing w:after="0" w:line="240" w:lineRule="auto"/>
        <w:rPr>
          <w:rFonts w:ascii="Times New Roman" w:hAnsi="Times New Roman"/>
          <w:lang w:val="lt-LT"/>
        </w:rPr>
      </w:pPr>
    </w:p>
    <w:p w14:paraId="78E9CC5F" w14:textId="672608A3"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Registravimo data 2014</w:t>
      </w:r>
      <w:r w:rsidR="00E36190">
        <w:rPr>
          <w:rFonts w:ascii="Times New Roman" w:hAnsi="Times New Roman"/>
          <w:lang w:val="lt-LT"/>
        </w:rPr>
        <w:t> </w:t>
      </w:r>
      <w:r w:rsidRPr="00940D54">
        <w:rPr>
          <w:rFonts w:ascii="Times New Roman" w:hAnsi="Times New Roman"/>
          <w:lang w:val="lt-LT"/>
        </w:rPr>
        <w:t>m. rugsėjo 04</w:t>
      </w:r>
      <w:r w:rsidR="00E36190">
        <w:rPr>
          <w:rFonts w:ascii="Times New Roman" w:hAnsi="Times New Roman"/>
          <w:lang w:val="lt-LT"/>
        </w:rPr>
        <w:t> </w:t>
      </w:r>
      <w:r w:rsidRPr="00940D54">
        <w:rPr>
          <w:rFonts w:ascii="Times New Roman" w:hAnsi="Times New Roman"/>
          <w:lang w:val="lt-LT"/>
        </w:rPr>
        <w:t>d.</w:t>
      </w:r>
    </w:p>
    <w:p w14:paraId="3C5248C1" w14:textId="0B046573" w:rsidR="00A51A1D" w:rsidRPr="00940D54" w:rsidRDefault="00871096" w:rsidP="00A51A1D">
      <w:pPr>
        <w:spacing w:after="0" w:line="240" w:lineRule="auto"/>
        <w:rPr>
          <w:rFonts w:ascii="Times New Roman" w:hAnsi="Times New Roman"/>
          <w:lang w:val="lt-LT"/>
        </w:rPr>
      </w:pPr>
      <w:r w:rsidRPr="00940D54">
        <w:rPr>
          <w:rFonts w:ascii="Times New Roman" w:hAnsi="Times New Roman"/>
          <w:lang w:val="lt-LT"/>
        </w:rPr>
        <w:t>Paskutinio p</w:t>
      </w:r>
      <w:r w:rsidR="00BC3039" w:rsidRPr="00940D54">
        <w:rPr>
          <w:rFonts w:ascii="Times New Roman" w:hAnsi="Times New Roman"/>
          <w:lang w:val="lt-LT"/>
        </w:rPr>
        <w:t xml:space="preserve">erregistravimo data </w:t>
      </w:r>
      <w:r w:rsidR="00677126" w:rsidRPr="00940D54">
        <w:rPr>
          <w:rFonts w:ascii="Times New Roman" w:hAnsi="Times New Roman"/>
          <w:lang w:val="lt-LT"/>
        </w:rPr>
        <w:t>2019</w:t>
      </w:r>
      <w:r w:rsidR="00E36190">
        <w:rPr>
          <w:rFonts w:ascii="Times New Roman" w:hAnsi="Times New Roman"/>
          <w:lang w:val="lt-LT"/>
        </w:rPr>
        <w:t> </w:t>
      </w:r>
      <w:r w:rsidR="00677126" w:rsidRPr="00940D54">
        <w:rPr>
          <w:rFonts w:ascii="Times New Roman" w:hAnsi="Times New Roman"/>
          <w:lang w:val="lt-LT"/>
        </w:rPr>
        <w:t>m. lapkričio 22</w:t>
      </w:r>
      <w:r w:rsidR="00E36190">
        <w:rPr>
          <w:rFonts w:ascii="Times New Roman" w:hAnsi="Times New Roman"/>
          <w:lang w:val="lt-LT"/>
        </w:rPr>
        <w:t> </w:t>
      </w:r>
      <w:r w:rsidR="00677126" w:rsidRPr="00940D54">
        <w:rPr>
          <w:rFonts w:ascii="Times New Roman" w:hAnsi="Times New Roman"/>
          <w:lang w:val="lt-LT"/>
        </w:rPr>
        <w:t>d.</w:t>
      </w:r>
    </w:p>
    <w:p w14:paraId="3BBDF1D9" w14:textId="77777777" w:rsidR="00871096" w:rsidRPr="00940D54" w:rsidRDefault="00871096" w:rsidP="00A51A1D">
      <w:pPr>
        <w:spacing w:after="0" w:line="240" w:lineRule="auto"/>
        <w:rPr>
          <w:rFonts w:ascii="Times New Roman" w:hAnsi="Times New Roman"/>
          <w:lang w:val="lt-LT"/>
        </w:rPr>
      </w:pPr>
    </w:p>
    <w:p w14:paraId="00F3F497" w14:textId="77777777" w:rsidR="00A51A1D" w:rsidRPr="00940D54" w:rsidRDefault="00A51A1D" w:rsidP="00A51A1D">
      <w:pPr>
        <w:spacing w:after="0" w:line="240" w:lineRule="auto"/>
        <w:rPr>
          <w:rFonts w:ascii="Times New Roman" w:hAnsi="Times New Roman"/>
          <w:lang w:val="lt-LT"/>
        </w:rPr>
      </w:pPr>
    </w:p>
    <w:p w14:paraId="29FB07C5" w14:textId="07EDF71C" w:rsidR="00A51A1D" w:rsidRPr="00940D54" w:rsidRDefault="00A51A1D" w:rsidP="00A51A1D">
      <w:pPr>
        <w:keepNext/>
        <w:keepLines/>
        <w:tabs>
          <w:tab w:val="left" w:pos="567"/>
        </w:tabs>
        <w:spacing w:after="0" w:line="240" w:lineRule="auto"/>
        <w:outlineLvl w:val="2"/>
        <w:rPr>
          <w:rFonts w:ascii="Times New Roman" w:hAnsi="Times New Roman"/>
          <w:b/>
          <w:lang w:val="lt-LT"/>
        </w:rPr>
      </w:pPr>
      <w:r w:rsidRPr="00940D54">
        <w:rPr>
          <w:rFonts w:ascii="Times New Roman" w:hAnsi="Times New Roman"/>
          <w:b/>
          <w:lang w:val="lt-LT"/>
        </w:rPr>
        <w:t>10.</w:t>
      </w:r>
      <w:r w:rsidRPr="00940D54">
        <w:rPr>
          <w:rFonts w:ascii="Times New Roman" w:hAnsi="Times New Roman"/>
          <w:b/>
          <w:lang w:val="lt-LT"/>
        </w:rPr>
        <w:tab/>
        <w:t>TEKSTO PERŽIŪROS DATA</w:t>
      </w:r>
    </w:p>
    <w:p w14:paraId="4F2DAE36" w14:textId="3E47FFCE" w:rsidR="00677126" w:rsidRPr="00940D54" w:rsidRDefault="00677126" w:rsidP="00A51A1D">
      <w:pPr>
        <w:keepNext/>
        <w:keepLines/>
        <w:tabs>
          <w:tab w:val="left" w:pos="567"/>
        </w:tabs>
        <w:spacing w:after="0" w:line="240" w:lineRule="auto"/>
        <w:outlineLvl w:val="2"/>
        <w:rPr>
          <w:rFonts w:ascii="Times New Roman" w:hAnsi="Times New Roman"/>
          <w:b/>
          <w:lang w:val="lt-LT"/>
        </w:rPr>
      </w:pPr>
    </w:p>
    <w:p w14:paraId="395AEE10" w14:textId="43EFA976" w:rsidR="00253783" w:rsidRPr="00940D54" w:rsidRDefault="00644605" w:rsidP="00A51A1D">
      <w:pPr>
        <w:spacing w:after="0" w:line="240" w:lineRule="auto"/>
        <w:rPr>
          <w:rFonts w:ascii="Times New Roman" w:hAnsi="Times New Roman"/>
          <w:lang w:val="lt-LT"/>
        </w:rPr>
      </w:pPr>
      <w:r>
        <w:rPr>
          <w:rFonts w:ascii="Times New Roman" w:hAnsi="Times New Roman"/>
          <w:lang w:val="lt-LT"/>
        </w:rPr>
        <w:t>2025</w:t>
      </w:r>
      <w:r w:rsidR="00A34DA1">
        <w:rPr>
          <w:rFonts w:ascii="Times New Roman" w:hAnsi="Times New Roman"/>
          <w:lang w:val="lt-LT"/>
        </w:rPr>
        <w:t> m.</w:t>
      </w:r>
      <w:r w:rsidR="007116AF">
        <w:rPr>
          <w:rFonts w:ascii="Times New Roman" w:hAnsi="Times New Roman"/>
          <w:lang w:val="lt-LT"/>
        </w:rPr>
        <w:t xml:space="preserve"> </w:t>
      </w:r>
      <w:r>
        <w:rPr>
          <w:rFonts w:ascii="Times New Roman" w:hAnsi="Times New Roman"/>
          <w:lang w:val="lt-LT"/>
        </w:rPr>
        <w:t>rugsėj</w:t>
      </w:r>
      <w:r w:rsidR="00075E2C">
        <w:rPr>
          <w:rFonts w:ascii="Times New Roman" w:hAnsi="Times New Roman"/>
          <w:lang w:val="lt-LT"/>
        </w:rPr>
        <w:t>o</w:t>
      </w:r>
      <w:r>
        <w:rPr>
          <w:rFonts w:ascii="Times New Roman" w:hAnsi="Times New Roman"/>
          <w:lang w:val="lt-LT"/>
        </w:rPr>
        <w:t xml:space="preserve"> 13</w:t>
      </w:r>
      <w:r w:rsidR="0031317D">
        <w:rPr>
          <w:rFonts w:ascii="Times New Roman" w:hAnsi="Times New Roman"/>
          <w:lang w:val="lt-LT"/>
        </w:rPr>
        <w:t> d.</w:t>
      </w:r>
    </w:p>
    <w:p w14:paraId="4864CAB9" w14:textId="77777777" w:rsidR="001735BA" w:rsidRPr="00940D54" w:rsidRDefault="001735BA" w:rsidP="00A51A1D">
      <w:pPr>
        <w:spacing w:after="0" w:line="240" w:lineRule="auto"/>
        <w:rPr>
          <w:rFonts w:ascii="Times New Roman" w:hAnsi="Times New Roman"/>
          <w:lang w:val="lt-LT"/>
        </w:rPr>
      </w:pPr>
    </w:p>
    <w:p w14:paraId="01E90B4A" w14:textId="70BB16AE" w:rsidR="00A51A1D" w:rsidRPr="00940D54" w:rsidRDefault="00A51A1D" w:rsidP="00A51A1D">
      <w:pPr>
        <w:tabs>
          <w:tab w:val="left" w:pos="5954"/>
          <w:tab w:val="left" w:pos="6237"/>
          <w:tab w:val="left" w:pos="6663"/>
          <w:tab w:val="left" w:pos="6946"/>
        </w:tabs>
        <w:spacing w:after="0" w:line="240" w:lineRule="auto"/>
        <w:rPr>
          <w:rFonts w:ascii="Times New Roman" w:eastAsiaTheme="minorHAnsi" w:hAnsi="Times New Roman" w:cstheme="minorBidi"/>
          <w:lang w:val="lt-LT"/>
        </w:rPr>
      </w:pPr>
      <w:r w:rsidRPr="00940D54">
        <w:rPr>
          <w:rFonts w:ascii="Times New Roman" w:hAnsi="Times New Roman"/>
          <w:lang w:val="lt-LT"/>
        </w:rPr>
        <w:t>Išsami informacija apie šį vaistinį preparatą pateikiama Valstybinės vaistų kontrolės tarnybos prie Lietuvos Respublikos sveikatos apsaugos ministerijos tinklalapyje</w:t>
      </w:r>
      <w:r w:rsidR="00225AB9">
        <w:rPr>
          <w:rFonts w:ascii="Times New Roman" w:hAnsi="Times New Roman"/>
          <w:lang w:val="lt-LT"/>
        </w:rPr>
        <w:t xml:space="preserve"> </w:t>
      </w:r>
      <w:hyperlink r:id="rId13" w:history="1">
        <w:r w:rsidR="00225AB9" w:rsidRPr="006815BA">
          <w:rPr>
            <w:rStyle w:val="Hipersaitas"/>
            <w:rFonts w:ascii="Times New Roman" w:hAnsi="Times New Roman"/>
            <w:lang w:val="lt-LT"/>
          </w:rPr>
          <w:t>https://vvkt.lrv.lt/lt/</w:t>
        </w:r>
      </w:hyperlink>
      <w:r w:rsidR="00225AB9" w:rsidRPr="005F2F33">
        <w:rPr>
          <w:rFonts w:ascii="Times New Roman" w:eastAsia="Times New Roman" w:hAnsi="Times New Roman"/>
          <w:color w:val="0000FF"/>
          <w:u w:val="single"/>
          <w:lang w:val="lt-LT" w:eastAsia="lt-LT"/>
        </w:rPr>
        <w:t>.</w:t>
      </w:r>
    </w:p>
    <w:p w14:paraId="6462C59C" w14:textId="77777777" w:rsidR="00A51A1D" w:rsidRPr="00940D54" w:rsidRDefault="00A51A1D" w:rsidP="00A51A1D">
      <w:pPr>
        <w:spacing w:after="0" w:line="240" w:lineRule="auto"/>
        <w:rPr>
          <w:rFonts w:ascii="Times New Roman" w:hAnsi="Times New Roman"/>
          <w:lang w:val="lt-LT"/>
        </w:rPr>
      </w:pPr>
      <w:r w:rsidRPr="00940D54">
        <w:rPr>
          <w:rFonts w:ascii="Times New Roman" w:hAnsi="Times New Roman"/>
          <w:lang w:val="lt-LT"/>
        </w:rPr>
        <w:br w:type="page"/>
      </w:r>
    </w:p>
    <w:p w14:paraId="3C43E690" w14:textId="77777777" w:rsidR="00A51A1D" w:rsidRPr="00940D54" w:rsidRDefault="00A51A1D" w:rsidP="00A51A1D">
      <w:pPr>
        <w:spacing w:after="0" w:line="240" w:lineRule="auto"/>
        <w:rPr>
          <w:rFonts w:ascii="Times New Roman" w:hAnsi="Times New Roman"/>
          <w:lang w:val="lt-LT"/>
        </w:rPr>
      </w:pPr>
    </w:p>
    <w:p w14:paraId="13F0FA95" w14:textId="77777777" w:rsidR="00A51A1D" w:rsidRPr="00940D54" w:rsidRDefault="00A51A1D" w:rsidP="00A51A1D">
      <w:pPr>
        <w:spacing w:after="0" w:line="240" w:lineRule="auto"/>
        <w:rPr>
          <w:rFonts w:ascii="Times New Roman" w:hAnsi="Times New Roman"/>
          <w:lang w:val="lt-LT"/>
        </w:rPr>
      </w:pPr>
    </w:p>
    <w:p w14:paraId="1EC9D88F" w14:textId="77777777" w:rsidR="00A51A1D" w:rsidRPr="00940D54" w:rsidRDefault="00A51A1D" w:rsidP="00A51A1D">
      <w:pPr>
        <w:spacing w:after="0" w:line="240" w:lineRule="auto"/>
        <w:rPr>
          <w:rFonts w:ascii="Times New Roman" w:hAnsi="Times New Roman"/>
          <w:lang w:val="lt-LT"/>
        </w:rPr>
      </w:pPr>
    </w:p>
    <w:p w14:paraId="4085A2CB" w14:textId="77777777" w:rsidR="00A51A1D" w:rsidRPr="00940D54" w:rsidRDefault="00A51A1D" w:rsidP="00A51A1D">
      <w:pPr>
        <w:spacing w:after="0" w:line="240" w:lineRule="auto"/>
        <w:rPr>
          <w:rFonts w:ascii="Times New Roman" w:hAnsi="Times New Roman"/>
          <w:lang w:val="lt-LT"/>
        </w:rPr>
      </w:pPr>
    </w:p>
    <w:p w14:paraId="61C30C1A" w14:textId="77777777" w:rsidR="00A51A1D" w:rsidRPr="00940D54" w:rsidRDefault="00A51A1D" w:rsidP="00A51A1D">
      <w:pPr>
        <w:spacing w:after="0" w:line="240" w:lineRule="auto"/>
        <w:rPr>
          <w:rFonts w:ascii="Times New Roman" w:hAnsi="Times New Roman"/>
          <w:lang w:val="lt-LT"/>
        </w:rPr>
      </w:pPr>
    </w:p>
    <w:p w14:paraId="12B430CB" w14:textId="77777777" w:rsidR="00A51A1D" w:rsidRPr="00940D54" w:rsidRDefault="00A51A1D" w:rsidP="00A51A1D">
      <w:pPr>
        <w:spacing w:after="0" w:line="240" w:lineRule="auto"/>
        <w:rPr>
          <w:rFonts w:ascii="Times New Roman" w:hAnsi="Times New Roman"/>
          <w:lang w:val="lt-LT"/>
        </w:rPr>
      </w:pPr>
    </w:p>
    <w:p w14:paraId="25C08C14" w14:textId="77777777" w:rsidR="00A51A1D" w:rsidRPr="00940D54" w:rsidRDefault="00A51A1D" w:rsidP="00A51A1D">
      <w:pPr>
        <w:spacing w:after="0" w:line="240" w:lineRule="auto"/>
        <w:rPr>
          <w:rFonts w:ascii="Times New Roman" w:hAnsi="Times New Roman"/>
          <w:lang w:val="lt-LT"/>
        </w:rPr>
      </w:pPr>
    </w:p>
    <w:p w14:paraId="66CA94CF" w14:textId="77777777" w:rsidR="00A51A1D" w:rsidRPr="00940D54" w:rsidRDefault="00A51A1D" w:rsidP="00A51A1D">
      <w:pPr>
        <w:spacing w:after="0" w:line="240" w:lineRule="auto"/>
        <w:rPr>
          <w:rFonts w:ascii="Times New Roman" w:hAnsi="Times New Roman"/>
          <w:lang w:val="lt-LT"/>
        </w:rPr>
      </w:pPr>
    </w:p>
    <w:p w14:paraId="04BBB639" w14:textId="77777777" w:rsidR="00A51A1D" w:rsidRPr="00940D54" w:rsidRDefault="00A51A1D" w:rsidP="00A51A1D">
      <w:pPr>
        <w:spacing w:after="0" w:line="240" w:lineRule="auto"/>
        <w:rPr>
          <w:rFonts w:ascii="Times New Roman" w:hAnsi="Times New Roman"/>
          <w:lang w:val="lt-LT"/>
        </w:rPr>
      </w:pPr>
    </w:p>
    <w:p w14:paraId="304A6733" w14:textId="77777777" w:rsidR="00A51A1D" w:rsidRPr="00940D54" w:rsidRDefault="00A51A1D" w:rsidP="00A51A1D">
      <w:pPr>
        <w:spacing w:after="0" w:line="240" w:lineRule="auto"/>
        <w:rPr>
          <w:rFonts w:ascii="Times New Roman" w:hAnsi="Times New Roman"/>
          <w:lang w:val="lt-LT"/>
        </w:rPr>
      </w:pPr>
    </w:p>
    <w:p w14:paraId="3165D5BD" w14:textId="77777777" w:rsidR="00A51A1D" w:rsidRPr="00940D54" w:rsidRDefault="00A51A1D" w:rsidP="00A51A1D">
      <w:pPr>
        <w:spacing w:after="0" w:line="240" w:lineRule="auto"/>
        <w:rPr>
          <w:rFonts w:ascii="Times New Roman" w:hAnsi="Times New Roman"/>
          <w:lang w:val="lt-LT"/>
        </w:rPr>
      </w:pPr>
    </w:p>
    <w:p w14:paraId="2AC56EB5" w14:textId="77777777" w:rsidR="00A51A1D" w:rsidRPr="00940D54" w:rsidRDefault="00A51A1D" w:rsidP="00A51A1D">
      <w:pPr>
        <w:spacing w:after="0" w:line="240" w:lineRule="auto"/>
        <w:rPr>
          <w:rFonts w:ascii="Times New Roman" w:hAnsi="Times New Roman"/>
          <w:lang w:val="lt-LT"/>
        </w:rPr>
      </w:pPr>
    </w:p>
    <w:p w14:paraId="7334CE52" w14:textId="77777777" w:rsidR="00A51A1D" w:rsidRPr="00940D54" w:rsidRDefault="00A51A1D" w:rsidP="00A51A1D">
      <w:pPr>
        <w:spacing w:after="0" w:line="240" w:lineRule="auto"/>
        <w:rPr>
          <w:rFonts w:ascii="Times New Roman" w:hAnsi="Times New Roman"/>
          <w:lang w:val="lt-LT"/>
        </w:rPr>
      </w:pPr>
    </w:p>
    <w:p w14:paraId="4BDC2550" w14:textId="77777777" w:rsidR="00A51A1D" w:rsidRPr="00940D54" w:rsidRDefault="00A51A1D" w:rsidP="00A51A1D">
      <w:pPr>
        <w:spacing w:after="0" w:line="240" w:lineRule="auto"/>
        <w:rPr>
          <w:rFonts w:ascii="Times New Roman" w:hAnsi="Times New Roman"/>
          <w:lang w:val="lt-LT"/>
        </w:rPr>
      </w:pPr>
    </w:p>
    <w:p w14:paraId="57903BE9" w14:textId="77777777" w:rsidR="00A51A1D" w:rsidRPr="00940D54" w:rsidRDefault="00A51A1D" w:rsidP="00A51A1D">
      <w:pPr>
        <w:spacing w:after="0" w:line="240" w:lineRule="auto"/>
        <w:rPr>
          <w:rFonts w:ascii="Times New Roman" w:hAnsi="Times New Roman"/>
          <w:lang w:val="lt-LT"/>
        </w:rPr>
      </w:pPr>
    </w:p>
    <w:p w14:paraId="53574F48" w14:textId="77777777" w:rsidR="00A51A1D" w:rsidRPr="00940D54" w:rsidRDefault="00A51A1D" w:rsidP="00A51A1D">
      <w:pPr>
        <w:spacing w:after="0" w:line="240" w:lineRule="auto"/>
        <w:rPr>
          <w:rFonts w:ascii="Times New Roman" w:hAnsi="Times New Roman"/>
          <w:lang w:val="lt-LT"/>
        </w:rPr>
      </w:pPr>
    </w:p>
    <w:p w14:paraId="57895DBD" w14:textId="77777777" w:rsidR="00A51A1D" w:rsidRPr="00940D54" w:rsidRDefault="00A51A1D" w:rsidP="00A51A1D">
      <w:pPr>
        <w:spacing w:after="0" w:line="240" w:lineRule="auto"/>
        <w:rPr>
          <w:rFonts w:ascii="Times New Roman" w:hAnsi="Times New Roman"/>
          <w:lang w:val="lt-LT"/>
        </w:rPr>
      </w:pPr>
    </w:p>
    <w:p w14:paraId="4BDDFAAB" w14:textId="77777777" w:rsidR="00A51A1D" w:rsidRPr="00940D54" w:rsidRDefault="00A51A1D" w:rsidP="00A51A1D">
      <w:pPr>
        <w:spacing w:after="0" w:line="240" w:lineRule="auto"/>
        <w:rPr>
          <w:rFonts w:ascii="Times New Roman" w:hAnsi="Times New Roman"/>
          <w:lang w:val="lt-LT"/>
        </w:rPr>
      </w:pPr>
    </w:p>
    <w:p w14:paraId="1DE65840" w14:textId="77777777" w:rsidR="00A51A1D" w:rsidRPr="00940D54" w:rsidRDefault="00A51A1D" w:rsidP="00A51A1D">
      <w:pPr>
        <w:spacing w:after="0" w:line="240" w:lineRule="auto"/>
        <w:rPr>
          <w:rFonts w:ascii="Times New Roman" w:hAnsi="Times New Roman"/>
          <w:lang w:val="lt-LT"/>
        </w:rPr>
      </w:pPr>
    </w:p>
    <w:p w14:paraId="28D458D5" w14:textId="77777777" w:rsidR="00A51A1D" w:rsidRPr="00940D54" w:rsidRDefault="00A51A1D" w:rsidP="00A51A1D">
      <w:pPr>
        <w:spacing w:after="0" w:line="240" w:lineRule="auto"/>
        <w:rPr>
          <w:rFonts w:ascii="Times New Roman" w:hAnsi="Times New Roman"/>
          <w:lang w:val="lt-LT"/>
        </w:rPr>
      </w:pPr>
    </w:p>
    <w:p w14:paraId="7560A517" w14:textId="77777777" w:rsidR="00A51A1D" w:rsidRPr="00940D54" w:rsidRDefault="00A51A1D" w:rsidP="00A51A1D">
      <w:pPr>
        <w:spacing w:after="0" w:line="240" w:lineRule="auto"/>
        <w:jc w:val="center"/>
        <w:rPr>
          <w:rFonts w:ascii="Times New Roman" w:hAnsi="Times New Roman"/>
          <w:b/>
          <w:lang w:val="lt-LT"/>
        </w:rPr>
      </w:pPr>
    </w:p>
    <w:p w14:paraId="17AA48A9" w14:textId="77777777" w:rsidR="00A51A1D" w:rsidRPr="00940D54" w:rsidRDefault="00A51A1D" w:rsidP="00A51A1D">
      <w:pPr>
        <w:spacing w:after="0" w:line="240" w:lineRule="auto"/>
        <w:jc w:val="center"/>
        <w:rPr>
          <w:rFonts w:ascii="Times New Roman" w:hAnsi="Times New Roman"/>
          <w:b/>
          <w:lang w:val="lt-LT"/>
        </w:rPr>
      </w:pPr>
    </w:p>
    <w:p w14:paraId="7AB2450C" w14:textId="77777777" w:rsidR="00871096" w:rsidRPr="00940D54" w:rsidRDefault="00871096" w:rsidP="00A51A1D">
      <w:pPr>
        <w:spacing w:after="0" w:line="240" w:lineRule="auto"/>
        <w:jc w:val="center"/>
        <w:rPr>
          <w:rFonts w:ascii="Times New Roman" w:hAnsi="Times New Roman"/>
          <w:b/>
          <w:lang w:val="lt-LT"/>
        </w:rPr>
      </w:pPr>
    </w:p>
    <w:p w14:paraId="240FCC68" w14:textId="77777777" w:rsidR="00A51A1D" w:rsidRPr="00940D54" w:rsidRDefault="00A51A1D" w:rsidP="00A51A1D">
      <w:pPr>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II PRIEDAS</w:t>
      </w:r>
    </w:p>
    <w:p w14:paraId="0D216CC1" w14:textId="77777777" w:rsidR="00A51A1D" w:rsidRPr="00940D54" w:rsidRDefault="00A51A1D" w:rsidP="00A51A1D">
      <w:pPr>
        <w:spacing w:after="0" w:line="240" w:lineRule="auto"/>
        <w:ind w:right="1416"/>
        <w:rPr>
          <w:rFonts w:ascii="Times New Roman" w:hAnsi="Times New Roman"/>
          <w:lang w:val="lt-LT"/>
        </w:rPr>
      </w:pPr>
    </w:p>
    <w:p w14:paraId="5655D9B7" w14:textId="77777777" w:rsidR="00A51A1D" w:rsidRPr="00940D54" w:rsidRDefault="00A51A1D" w:rsidP="00A51A1D">
      <w:pPr>
        <w:spacing w:after="0" w:line="240" w:lineRule="auto"/>
        <w:jc w:val="center"/>
        <w:rPr>
          <w:rFonts w:ascii="Times New Roman" w:eastAsiaTheme="minorHAnsi" w:hAnsi="Times New Roman" w:cstheme="minorBidi"/>
          <w:i/>
          <w:lang w:val="lt-LT"/>
        </w:rPr>
      </w:pPr>
      <w:r w:rsidRPr="00940D54">
        <w:rPr>
          <w:rFonts w:ascii="Times New Roman" w:hAnsi="Times New Roman"/>
          <w:b/>
          <w:lang w:val="lt-LT"/>
        </w:rPr>
        <w:t>REGISTRACIJOS SĄLYGOS</w:t>
      </w:r>
    </w:p>
    <w:p w14:paraId="368E24C3" w14:textId="77777777" w:rsidR="00A51A1D" w:rsidRPr="00940D54" w:rsidRDefault="00A51A1D" w:rsidP="00A51A1D">
      <w:pPr>
        <w:spacing w:after="0" w:line="240" w:lineRule="auto"/>
        <w:rPr>
          <w:rFonts w:ascii="Times New Roman" w:hAnsi="Times New Roman"/>
          <w:lang w:val="lt-LT"/>
        </w:rPr>
      </w:pPr>
    </w:p>
    <w:p w14:paraId="06251A2B" w14:textId="4C6500E4" w:rsidR="00A51A1D" w:rsidRPr="00940D54" w:rsidRDefault="00A51A1D" w:rsidP="00A51A1D">
      <w:pPr>
        <w:tabs>
          <w:tab w:val="left" w:pos="1701"/>
        </w:tabs>
        <w:spacing w:after="0" w:line="240" w:lineRule="auto"/>
        <w:ind w:left="1701" w:right="567" w:hanging="567"/>
        <w:rPr>
          <w:rFonts w:ascii="Times New Roman" w:eastAsiaTheme="minorHAnsi" w:hAnsi="Times New Roman" w:cstheme="minorBidi"/>
          <w:b/>
          <w:lang w:val="lt-LT"/>
        </w:rPr>
      </w:pPr>
      <w:r w:rsidRPr="00940D54">
        <w:rPr>
          <w:rFonts w:ascii="Times New Roman" w:hAnsi="Times New Roman"/>
          <w:b/>
          <w:lang w:val="lt-LT"/>
        </w:rPr>
        <w:t>A.</w:t>
      </w:r>
      <w:r w:rsidRPr="00940D54">
        <w:rPr>
          <w:rFonts w:ascii="Times New Roman" w:hAnsi="Times New Roman"/>
          <w:b/>
          <w:lang w:val="lt-LT"/>
        </w:rPr>
        <w:tab/>
      </w:r>
      <w:r w:rsidR="00871096" w:rsidRPr="00940D54">
        <w:rPr>
          <w:rFonts w:ascii="Times New Roman" w:hAnsi="Times New Roman"/>
          <w:b/>
          <w:lang w:val="lt-LT"/>
        </w:rPr>
        <w:t xml:space="preserve">GAMINTOJAS (-AI), ATSAKINGAS (-I) </w:t>
      </w:r>
      <w:r w:rsidRPr="00940D54">
        <w:rPr>
          <w:rFonts w:ascii="Times New Roman" w:hAnsi="Times New Roman"/>
          <w:b/>
          <w:lang w:val="lt-LT"/>
        </w:rPr>
        <w:t>UŽ SERIJŲ IŠLEIDIMĄ</w:t>
      </w:r>
    </w:p>
    <w:p w14:paraId="5869A87B" w14:textId="77777777" w:rsidR="00A51A1D" w:rsidRPr="00940D54" w:rsidRDefault="00A51A1D" w:rsidP="00A51A1D">
      <w:pPr>
        <w:tabs>
          <w:tab w:val="left" w:pos="1701"/>
        </w:tabs>
        <w:spacing w:after="0" w:line="240" w:lineRule="auto"/>
        <w:ind w:left="567" w:right="567" w:hanging="567"/>
        <w:rPr>
          <w:rFonts w:ascii="Times New Roman" w:hAnsi="Times New Roman"/>
          <w:lang w:val="lt-LT"/>
        </w:rPr>
      </w:pPr>
    </w:p>
    <w:p w14:paraId="68714DC0" w14:textId="77777777" w:rsidR="00A51A1D" w:rsidRPr="00940D54" w:rsidRDefault="00A51A1D" w:rsidP="00A51A1D">
      <w:pPr>
        <w:tabs>
          <w:tab w:val="left" w:pos="1701"/>
        </w:tabs>
        <w:spacing w:after="0" w:line="240" w:lineRule="auto"/>
        <w:ind w:left="1701" w:right="567" w:hanging="567"/>
        <w:rPr>
          <w:rFonts w:ascii="Times New Roman" w:eastAsiaTheme="minorHAnsi" w:hAnsi="Times New Roman" w:cstheme="minorBidi"/>
          <w:b/>
          <w:lang w:val="lt-LT"/>
        </w:rPr>
      </w:pPr>
      <w:r w:rsidRPr="00940D54">
        <w:rPr>
          <w:rFonts w:ascii="Times New Roman" w:hAnsi="Times New Roman"/>
          <w:b/>
          <w:lang w:val="lt-LT"/>
        </w:rPr>
        <w:t>B.</w:t>
      </w:r>
      <w:r w:rsidRPr="00940D54">
        <w:rPr>
          <w:rFonts w:ascii="Times New Roman" w:hAnsi="Times New Roman"/>
          <w:b/>
          <w:lang w:val="lt-LT"/>
        </w:rPr>
        <w:tab/>
        <w:t>TIEKIMO IR VARTOJIMO SĄLYGOS AR APRIBOJIMAI</w:t>
      </w:r>
    </w:p>
    <w:p w14:paraId="5DC09B23" w14:textId="77777777" w:rsidR="00A51A1D" w:rsidRPr="00940D54" w:rsidRDefault="00A51A1D" w:rsidP="00A51A1D">
      <w:pPr>
        <w:tabs>
          <w:tab w:val="left" w:pos="1701"/>
        </w:tabs>
        <w:spacing w:after="0" w:line="240" w:lineRule="auto"/>
        <w:ind w:left="567" w:right="567" w:hanging="567"/>
        <w:rPr>
          <w:rFonts w:ascii="Times New Roman" w:hAnsi="Times New Roman"/>
          <w:lang w:val="lt-LT"/>
        </w:rPr>
      </w:pPr>
    </w:p>
    <w:p w14:paraId="410C6621" w14:textId="77777777" w:rsidR="00A51A1D" w:rsidRPr="00940D54" w:rsidRDefault="00A51A1D" w:rsidP="00A51A1D">
      <w:pPr>
        <w:spacing w:after="0" w:line="240" w:lineRule="auto"/>
        <w:ind w:right="-1"/>
        <w:rPr>
          <w:rFonts w:ascii="Times New Roman" w:hAnsi="Times New Roman"/>
          <w:lang w:val="lt-LT"/>
        </w:rPr>
      </w:pPr>
    </w:p>
    <w:p w14:paraId="13B6E6B8" w14:textId="77777777" w:rsidR="00A51A1D" w:rsidRPr="00940D54" w:rsidRDefault="00A51A1D" w:rsidP="00A51A1D">
      <w:pPr>
        <w:spacing w:after="0" w:line="240" w:lineRule="auto"/>
        <w:ind w:left="567" w:hanging="567"/>
        <w:rPr>
          <w:rFonts w:ascii="Times New Roman" w:hAnsi="Times New Roman"/>
          <w:b/>
          <w:lang w:val="lt-LT"/>
        </w:rPr>
      </w:pPr>
      <w:r w:rsidRPr="00940D54">
        <w:rPr>
          <w:rFonts w:ascii="Times New Roman" w:hAnsi="Times New Roman"/>
          <w:lang w:val="lt-LT"/>
        </w:rPr>
        <w:br w:type="page"/>
      </w:r>
      <w:r w:rsidRPr="00940D54">
        <w:rPr>
          <w:rFonts w:ascii="Times New Roman" w:hAnsi="Times New Roman"/>
          <w:b/>
          <w:lang w:val="lt-LT"/>
        </w:rPr>
        <w:lastRenderedPageBreak/>
        <w:t>A.</w:t>
      </w:r>
      <w:r w:rsidRPr="00940D54">
        <w:rPr>
          <w:rFonts w:ascii="Times New Roman" w:hAnsi="Times New Roman"/>
          <w:b/>
          <w:lang w:val="lt-LT"/>
        </w:rPr>
        <w:tab/>
        <w:t>GAMINTOJAS (-AI), ATSAKINGAS (-I) UŽ SERIJŲ IŠLEIDIMĄ</w:t>
      </w:r>
    </w:p>
    <w:p w14:paraId="6ABDD571" w14:textId="77777777" w:rsidR="00A51A1D" w:rsidRPr="00940D54" w:rsidRDefault="00A51A1D" w:rsidP="00A51A1D">
      <w:pPr>
        <w:spacing w:after="0" w:line="240" w:lineRule="auto"/>
        <w:rPr>
          <w:rFonts w:ascii="Times New Roman" w:hAnsi="Times New Roman"/>
          <w:lang w:val="lt-LT"/>
        </w:rPr>
      </w:pPr>
    </w:p>
    <w:p w14:paraId="0FB23D86" w14:textId="77777777" w:rsidR="00A51A1D" w:rsidRPr="00940D54" w:rsidRDefault="00A51A1D" w:rsidP="00A51A1D">
      <w:pPr>
        <w:spacing w:after="0" w:line="240" w:lineRule="auto"/>
        <w:jc w:val="both"/>
        <w:rPr>
          <w:rFonts w:ascii="Times New Roman" w:eastAsiaTheme="minorHAnsi" w:hAnsi="Times New Roman" w:cstheme="minorBidi"/>
          <w:lang w:val="lt-LT"/>
        </w:rPr>
      </w:pPr>
      <w:r w:rsidRPr="00940D54">
        <w:rPr>
          <w:rFonts w:ascii="Times New Roman" w:hAnsi="Times New Roman"/>
          <w:u w:val="single"/>
          <w:lang w:val="lt-LT"/>
        </w:rPr>
        <w:t>Gamintojo (-ų), atsakingo (-ų) už serijų išleidimą, pavadinimas (-ai) ir adresas (-ai)</w:t>
      </w:r>
    </w:p>
    <w:p w14:paraId="43EEFF9E" w14:textId="77777777" w:rsidR="00A51A1D" w:rsidRPr="00940D54" w:rsidRDefault="00A51A1D" w:rsidP="00A51A1D">
      <w:pPr>
        <w:spacing w:after="0" w:line="240" w:lineRule="auto"/>
        <w:rPr>
          <w:rFonts w:ascii="Times New Roman" w:hAnsi="Times New Roman"/>
          <w:lang w:val="lt-LT"/>
        </w:rPr>
      </w:pPr>
    </w:p>
    <w:p w14:paraId="42D1243E" w14:textId="7FA5E50F"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Laboratorios</w:t>
      </w:r>
      <w:proofErr w:type="spellEnd"/>
      <w:r w:rsidRPr="00940D54">
        <w:rPr>
          <w:rFonts w:ascii="Times New Roman" w:hAnsi="Times New Roman"/>
          <w:lang w:val="lt-LT"/>
        </w:rPr>
        <w:t xml:space="preserve"> </w:t>
      </w:r>
      <w:proofErr w:type="spellStart"/>
      <w:r w:rsidRPr="00940D54">
        <w:rPr>
          <w:rFonts w:ascii="Times New Roman" w:hAnsi="Times New Roman"/>
          <w:lang w:val="lt-LT"/>
        </w:rPr>
        <w:t>León</w:t>
      </w:r>
      <w:proofErr w:type="spellEnd"/>
      <w:r w:rsidRPr="00940D54">
        <w:rPr>
          <w:rFonts w:ascii="Times New Roman" w:hAnsi="Times New Roman"/>
          <w:lang w:val="lt-LT"/>
        </w:rPr>
        <w:t xml:space="preserve"> </w:t>
      </w:r>
      <w:proofErr w:type="spellStart"/>
      <w:r w:rsidRPr="00940D54">
        <w:rPr>
          <w:rFonts w:ascii="Times New Roman" w:hAnsi="Times New Roman"/>
          <w:lang w:val="lt-LT"/>
        </w:rPr>
        <w:t>Farma</w:t>
      </w:r>
      <w:proofErr w:type="spellEnd"/>
      <w:r w:rsidRPr="00940D54">
        <w:rPr>
          <w:rFonts w:ascii="Times New Roman" w:hAnsi="Times New Roman"/>
          <w:lang w:val="lt-LT"/>
        </w:rPr>
        <w:t xml:space="preserve"> S.A.</w:t>
      </w:r>
    </w:p>
    <w:p w14:paraId="6C68422D" w14:textId="1A5164AA"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La </w:t>
      </w:r>
      <w:proofErr w:type="spellStart"/>
      <w:r w:rsidRPr="00940D54">
        <w:rPr>
          <w:rFonts w:ascii="Times New Roman" w:hAnsi="Times New Roman"/>
          <w:lang w:val="lt-LT"/>
        </w:rPr>
        <w:t>Vallina</w:t>
      </w:r>
      <w:proofErr w:type="spellEnd"/>
      <w:r w:rsidRPr="00940D54">
        <w:rPr>
          <w:rFonts w:ascii="Times New Roman" w:hAnsi="Times New Roman"/>
          <w:lang w:val="lt-LT"/>
        </w:rPr>
        <w:t xml:space="preserve"> s/n, </w:t>
      </w:r>
      <w:proofErr w:type="spellStart"/>
      <w:r w:rsidRPr="00940D54">
        <w:rPr>
          <w:rFonts w:ascii="Times New Roman" w:hAnsi="Times New Roman"/>
          <w:lang w:val="lt-LT"/>
        </w:rPr>
        <w:t>Pol</w:t>
      </w:r>
      <w:proofErr w:type="spellEnd"/>
      <w:r w:rsidRPr="00940D54">
        <w:rPr>
          <w:rFonts w:ascii="Times New Roman" w:hAnsi="Times New Roman"/>
          <w:lang w:val="lt-LT"/>
        </w:rPr>
        <w:t xml:space="preserve">. </w:t>
      </w:r>
      <w:proofErr w:type="spellStart"/>
      <w:r w:rsidRPr="00940D54">
        <w:rPr>
          <w:rFonts w:ascii="Times New Roman" w:hAnsi="Times New Roman"/>
          <w:lang w:val="lt-LT"/>
        </w:rPr>
        <w:t>Ind</w:t>
      </w:r>
      <w:proofErr w:type="spellEnd"/>
      <w:r w:rsidRPr="00940D54">
        <w:rPr>
          <w:rFonts w:ascii="Times New Roman" w:hAnsi="Times New Roman"/>
          <w:lang w:val="lt-LT"/>
        </w:rPr>
        <w:t xml:space="preserve">. </w:t>
      </w:r>
      <w:proofErr w:type="spellStart"/>
      <w:r w:rsidRPr="00940D54">
        <w:rPr>
          <w:rFonts w:ascii="Times New Roman" w:hAnsi="Times New Roman"/>
          <w:lang w:val="lt-LT"/>
        </w:rPr>
        <w:t>Navatejera</w:t>
      </w:r>
      <w:proofErr w:type="spellEnd"/>
      <w:r w:rsidR="004B5D44">
        <w:rPr>
          <w:rFonts w:ascii="Times New Roman" w:hAnsi="Times New Roman"/>
          <w:lang w:val="lt-LT"/>
        </w:rPr>
        <w:t>,</w:t>
      </w:r>
      <w:r w:rsidRPr="00940D54">
        <w:rPr>
          <w:rFonts w:ascii="Times New Roman" w:hAnsi="Times New Roman"/>
          <w:lang w:val="lt-LT"/>
        </w:rPr>
        <w:t xml:space="preserve"> </w:t>
      </w:r>
    </w:p>
    <w:p w14:paraId="76BFA883" w14:textId="0409F9A5" w:rsidR="00A51A1D" w:rsidRPr="00940D54" w:rsidRDefault="004B5D44" w:rsidP="00A51A1D">
      <w:pPr>
        <w:spacing w:after="0" w:line="240" w:lineRule="auto"/>
        <w:rPr>
          <w:rFonts w:ascii="Times New Roman" w:eastAsiaTheme="minorHAnsi" w:hAnsi="Times New Roman" w:cstheme="minorBidi"/>
          <w:lang w:val="lt-LT"/>
        </w:rPr>
      </w:pPr>
      <w:r w:rsidRPr="00BD0FE7">
        <w:rPr>
          <w:rFonts w:ascii="Times New Roman" w:hAnsi="Times New Roman"/>
          <w:lang w:val="lt-LT"/>
        </w:rPr>
        <w:t>Villaquilambre-24193</w:t>
      </w:r>
      <w:r w:rsidR="00D90746">
        <w:rPr>
          <w:rFonts w:ascii="Times New Roman" w:hAnsi="Times New Roman"/>
          <w:lang w:val="lt-LT"/>
        </w:rPr>
        <w:t xml:space="preserve"> </w:t>
      </w:r>
      <w:proofErr w:type="spellStart"/>
      <w:r w:rsidR="00A51A1D" w:rsidRPr="00940D54">
        <w:rPr>
          <w:rFonts w:ascii="Times New Roman" w:hAnsi="Times New Roman"/>
          <w:lang w:val="lt-LT"/>
        </w:rPr>
        <w:t>Le</w:t>
      </w:r>
      <w:r w:rsidR="004B6292" w:rsidRPr="00BD0FE7">
        <w:rPr>
          <w:rFonts w:ascii="Times New Roman" w:hAnsi="Times New Roman"/>
          <w:lang w:val="lt-LT"/>
        </w:rPr>
        <w:t>ó</w:t>
      </w:r>
      <w:r w:rsidR="00A51A1D" w:rsidRPr="00940D54">
        <w:rPr>
          <w:rFonts w:ascii="Times New Roman" w:hAnsi="Times New Roman"/>
          <w:lang w:val="lt-LT"/>
        </w:rPr>
        <w:t>n</w:t>
      </w:r>
      <w:proofErr w:type="spellEnd"/>
    </w:p>
    <w:p w14:paraId="31B0A6A5"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Ispanija</w:t>
      </w:r>
    </w:p>
    <w:p w14:paraId="60F5E7EC" w14:textId="77777777" w:rsidR="00A51A1D" w:rsidRPr="00940D54" w:rsidRDefault="00A51A1D" w:rsidP="00A51A1D">
      <w:pPr>
        <w:spacing w:after="0" w:line="240" w:lineRule="auto"/>
        <w:rPr>
          <w:rFonts w:ascii="Times New Roman" w:hAnsi="Times New Roman"/>
          <w:lang w:val="lt-LT"/>
        </w:rPr>
      </w:pPr>
    </w:p>
    <w:p w14:paraId="54CF3CB9" w14:textId="77777777" w:rsidR="00A51A1D" w:rsidRPr="00940D54" w:rsidRDefault="00A51A1D" w:rsidP="00A51A1D">
      <w:pPr>
        <w:spacing w:after="0" w:line="240" w:lineRule="auto"/>
        <w:rPr>
          <w:rFonts w:ascii="Times New Roman" w:hAnsi="Times New Roman"/>
          <w:lang w:val="lt-LT"/>
        </w:rPr>
      </w:pPr>
    </w:p>
    <w:p w14:paraId="2D5965F1" w14:textId="77777777" w:rsidR="00A51A1D" w:rsidRPr="00940D54" w:rsidRDefault="00A51A1D" w:rsidP="00A51A1D">
      <w:pPr>
        <w:spacing w:after="0" w:line="240" w:lineRule="auto"/>
        <w:ind w:left="567" w:hanging="567"/>
        <w:rPr>
          <w:rFonts w:ascii="Times New Roman" w:eastAsiaTheme="minorHAnsi" w:hAnsi="Times New Roman" w:cstheme="minorBidi"/>
          <w:lang w:val="lt-LT"/>
        </w:rPr>
      </w:pPr>
      <w:r w:rsidRPr="00940D54">
        <w:rPr>
          <w:rFonts w:ascii="Times New Roman" w:hAnsi="Times New Roman"/>
          <w:b/>
          <w:lang w:val="lt-LT"/>
        </w:rPr>
        <w:t>B.</w:t>
      </w:r>
      <w:r w:rsidRPr="00940D54">
        <w:rPr>
          <w:rFonts w:ascii="Times New Roman" w:hAnsi="Times New Roman"/>
          <w:b/>
          <w:lang w:val="lt-LT"/>
        </w:rPr>
        <w:tab/>
        <w:t>TIEKIMO IR VARTOJIMO SĄLYGOS AR APRIBOJIMAI</w:t>
      </w:r>
    </w:p>
    <w:p w14:paraId="59A89522" w14:textId="77777777" w:rsidR="00A51A1D" w:rsidRPr="00940D54" w:rsidRDefault="00A51A1D" w:rsidP="00A51A1D">
      <w:pPr>
        <w:spacing w:after="0" w:line="240" w:lineRule="auto"/>
        <w:rPr>
          <w:rFonts w:ascii="Times New Roman" w:hAnsi="Times New Roman"/>
          <w:lang w:val="lt-LT"/>
        </w:rPr>
      </w:pPr>
    </w:p>
    <w:p w14:paraId="336E173D"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Receptinis vaistinis preparatas.</w:t>
      </w:r>
    </w:p>
    <w:p w14:paraId="217E497E" w14:textId="77777777" w:rsidR="00A51A1D" w:rsidRPr="00940D54" w:rsidRDefault="00A51A1D" w:rsidP="00A51A1D">
      <w:pPr>
        <w:spacing w:after="0" w:line="240" w:lineRule="auto"/>
        <w:rPr>
          <w:rFonts w:ascii="Times New Roman" w:hAnsi="Times New Roman"/>
          <w:lang w:val="lt-LT"/>
        </w:rPr>
      </w:pPr>
    </w:p>
    <w:p w14:paraId="04D62172" w14:textId="77777777" w:rsidR="00A51A1D" w:rsidRPr="00940D54" w:rsidRDefault="00A51A1D" w:rsidP="00A51A1D">
      <w:pPr>
        <w:spacing w:after="0" w:line="240" w:lineRule="auto"/>
        <w:rPr>
          <w:rFonts w:ascii="Times New Roman" w:hAnsi="Times New Roman"/>
          <w:lang w:val="lt-LT"/>
        </w:rPr>
      </w:pPr>
    </w:p>
    <w:p w14:paraId="25CDCE82" w14:textId="77777777" w:rsidR="00A51A1D" w:rsidRPr="00940D54" w:rsidRDefault="00A51A1D" w:rsidP="00A51A1D">
      <w:pPr>
        <w:spacing w:after="0" w:line="240" w:lineRule="auto"/>
        <w:ind w:right="566"/>
        <w:rPr>
          <w:rFonts w:ascii="Times New Roman" w:hAnsi="Times New Roman"/>
          <w:lang w:val="lt-LT"/>
        </w:rPr>
      </w:pPr>
      <w:r w:rsidRPr="00940D54">
        <w:rPr>
          <w:rFonts w:ascii="Times New Roman" w:hAnsi="Times New Roman"/>
          <w:b/>
          <w:lang w:val="lt-LT"/>
        </w:rPr>
        <w:br w:type="page"/>
      </w:r>
    </w:p>
    <w:p w14:paraId="63781EA0" w14:textId="77777777" w:rsidR="00A51A1D" w:rsidRPr="00940D54" w:rsidRDefault="00A51A1D" w:rsidP="00A51A1D">
      <w:pPr>
        <w:spacing w:after="0" w:line="240" w:lineRule="auto"/>
        <w:rPr>
          <w:rFonts w:ascii="Times New Roman" w:hAnsi="Times New Roman"/>
          <w:lang w:val="lt-LT"/>
        </w:rPr>
      </w:pPr>
    </w:p>
    <w:p w14:paraId="123BD252" w14:textId="77777777" w:rsidR="00A51A1D" w:rsidRPr="00940D54" w:rsidRDefault="00A51A1D" w:rsidP="00A51A1D">
      <w:pPr>
        <w:spacing w:after="0" w:line="240" w:lineRule="auto"/>
        <w:rPr>
          <w:rFonts w:ascii="Times New Roman" w:hAnsi="Times New Roman"/>
          <w:lang w:val="lt-LT"/>
        </w:rPr>
      </w:pPr>
    </w:p>
    <w:p w14:paraId="1C004060" w14:textId="77777777" w:rsidR="00A51A1D" w:rsidRPr="00940D54" w:rsidRDefault="00A51A1D" w:rsidP="00A51A1D">
      <w:pPr>
        <w:spacing w:after="0" w:line="240" w:lineRule="auto"/>
        <w:rPr>
          <w:rFonts w:ascii="Times New Roman" w:hAnsi="Times New Roman"/>
          <w:lang w:val="lt-LT"/>
        </w:rPr>
      </w:pPr>
    </w:p>
    <w:p w14:paraId="50B25946" w14:textId="77777777" w:rsidR="00A51A1D" w:rsidRPr="00940D54" w:rsidRDefault="00A51A1D" w:rsidP="00A51A1D">
      <w:pPr>
        <w:spacing w:after="0" w:line="240" w:lineRule="auto"/>
        <w:rPr>
          <w:rFonts w:ascii="Times New Roman" w:hAnsi="Times New Roman"/>
          <w:lang w:val="lt-LT"/>
        </w:rPr>
      </w:pPr>
    </w:p>
    <w:p w14:paraId="6517A752" w14:textId="77777777" w:rsidR="00A51A1D" w:rsidRPr="00940D54" w:rsidRDefault="00A51A1D" w:rsidP="00A51A1D">
      <w:pPr>
        <w:spacing w:after="0" w:line="240" w:lineRule="auto"/>
        <w:rPr>
          <w:rFonts w:ascii="Times New Roman" w:hAnsi="Times New Roman"/>
          <w:lang w:val="lt-LT"/>
        </w:rPr>
      </w:pPr>
    </w:p>
    <w:p w14:paraId="577AED46" w14:textId="77777777" w:rsidR="00A51A1D" w:rsidRPr="00940D54" w:rsidRDefault="00A51A1D" w:rsidP="00A51A1D">
      <w:pPr>
        <w:spacing w:after="0" w:line="240" w:lineRule="auto"/>
        <w:rPr>
          <w:rFonts w:ascii="Times New Roman" w:hAnsi="Times New Roman"/>
          <w:lang w:val="lt-LT"/>
        </w:rPr>
      </w:pPr>
    </w:p>
    <w:p w14:paraId="21ED7345" w14:textId="77777777" w:rsidR="00A51A1D" w:rsidRPr="00940D54" w:rsidRDefault="00A51A1D" w:rsidP="00A51A1D">
      <w:pPr>
        <w:spacing w:after="0" w:line="240" w:lineRule="auto"/>
        <w:rPr>
          <w:rFonts w:ascii="Times New Roman" w:hAnsi="Times New Roman"/>
          <w:lang w:val="lt-LT"/>
        </w:rPr>
      </w:pPr>
    </w:p>
    <w:p w14:paraId="2D6BD391" w14:textId="77777777" w:rsidR="00A51A1D" w:rsidRPr="00940D54" w:rsidRDefault="00A51A1D" w:rsidP="00A51A1D">
      <w:pPr>
        <w:spacing w:after="0" w:line="240" w:lineRule="auto"/>
        <w:rPr>
          <w:rFonts w:ascii="Times New Roman" w:hAnsi="Times New Roman"/>
          <w:lang w:val="lt-LT"/>
        </w:rPr>
      </w:pPr>
    </w:p>
    <w:p w14:paraId="1CA02FAE" w14:textId="77777777" w:rsidR="00A51A1D" w:rsidRPr="00940D54" w:rsidRDefault="00A51A1D" w:rsidP="00A51A1D">
      <w:pPr>
        <w:spacing w:after="0" w:line="240" w:lineRule="auto"/>
        <w:rPr>
          <w:rFonts w:ascii="Times New Roman" w:hAnsi="Times New Roman"/>
          <w:lang w:val="lt-LT"/>
        </w:rPr>
      </w:pPr>
    </w:p>
    <w:p w14:paraId="4851DD0F" w14:textId="77777777" w:rsidR="00A51A1D" w:rsidRPr="00940D54" w:rsidRDefault="00A51A1D" w:rsidP="00A51A1D">
      <w:pPr>
        <w:spacing w:after="0" w:line="240" w:lineRule="auto"/>
        <w:rPr>
          <w:rFonts w:ascii="Times New Roman" w:hAnsi="Times New Roman"/>
          <w:lang w:val="lt-LT"/>
        </w:rPr>
      </w:pPr>
    </w:p>
    <w:p w14:paraId="079A60CB" w14:textId="77777777" w:rsidR="00A51A1D" w:rsidRPr="00940D54" w:rsidRDefault="00A51A1D" w:rsidP="00A51A1D">
      <w:pPr>
        <w:spacing w:after="0" w:line="240" w:lineRule="auto"/>
        <w:rPr>
          <w:rFonts w:ascii="Times New Roman" w:hAnsi="Times New Roman"/>
          <w:lang w:val="lt-LT"/>
        </w:rPr>
      </w:pPr>
    </w:p>
    <w:p w14:paraId="48800524" w14:textId="77777777" w:rsidR="00A51A1D" w:rsidRPr="00940D54" w:rsidRDefault="00A51A1D" w:rsidP="00A51A1D">
      <w:pPr>
        <w:spacing w:after="0" w:line="240" w:lineRule="auto"/>
        <w:rPr>
          <w:rFonts w:ascii="Times New Roman" w:hAnsi="Times New Roman"/>
          <w:lang w:val="lt-LT"/>
        </w:rPr>
      </w:pPr>
    </w:p>
    <w:p w14:paraId="72521529" w14:textId="77777777" w:rsidR="00A51A1D" w:rsidRPr="00940D54" w:rsidRDefault="00A51A1D" w:rsidP="00A51A1D">
      <w:pPr>
        <w:spacing w:after="0" w:line="240" w:lineRule="auto"/>
        <w:rPr>
          <w:rFonts w:ascii="Times New Roman" w:hAnsi="Times New Roman"/>
          <w:lang w:val="lt-LT"/>
        </w:rPr>
      </w:pPr>
    </w:p>
    <w:p w14:paraId="5202B2FD" w14:textId="77777777" w:rsidR="00A51A1D" w:rsidRPr="00940D54" w:rsidRDefault="00A51A1D" w:rsidP="00A51A1D">
      <w:pPr>
        <w:spacing w:after="0" w:line="240" w:lineRule="auto"/>
        <w:rPr>
          <w:rFonts w:ascii="Times New Roman" w:hAnsi="Times New Roman"/>
          <w:lang w:val="lt-LT"/>
        </w:rPr>
      </w:pPr>
    </w:p>
    <w:p w14:paraId="4C997FBB" w14:textId="77777777" w:rsidR="00A51A1D" w:rsidRPr="00940D54" w:rsidRDefault="00A51A1D" w:rsidP="00A51A1D">
      <w:pPr>
        <w:spacing w:after="0" w:line="240" w:lineRule="auto"/>
        <w:rPr>
          <w:rFonts w:ascii="Times New Roman" w:hAnsi="Times New Roman"/>
          <w:lang w:val="lt-LT"/>
        </w:rPr>
      </w:pPr>
    </w:p>
    <w:p w14:paraId="37C61162" w14:textId="77777777" w:rsidR="00A51A1D" w:rsidRPr="00940D54" w:rsidRDefault="00A51A1D" w:rsidP="00A51A1D">
      <w:pPr>
        <w:spacing w:after="0" w:line="240" w:lineRule="auto"/>
        <w:rPr>
          <w:rFonts w:ascii="Times New Roman" w:hAnsi="Times New Roman"/>
          <w:lang w:val="lt-LT"/>
        </w:rPr>
      </w:pPr>
    </w:p>
    <w:p w14:paraId="4495BE62" w14:textId="77777777" w:rsidR="00A51A1D" w:rsidRPr="00940D54" w:rsidRDefault="00A51A1D" w:rsidP="00A51A1D">
      <w:pPr>
        <w:spacing w:after="0" w:line="240" w:lineRule="auto"/>
        <w:outlineLvl w:val="0"/>
        <w:rPr>
          <w:rFonts w:ascii="Times New Roman" w:hAnsi="Times New Roman"/>
          <w:b/>
          <w:lang w:val="lt-LT"/>
        </w:rPr>
      </w:pPr>
    </w:p>
    <w:p w14:paraId="3FB59104" w14:textId="77777777" w:rsidR="00A51A1D" w:rsidRPr="00940D54" w:rsidRDefault="00A51A1D" w:rsidP="00A51A1D">
      <w:pPr>
        <w:spacing w:after="0" w:line="240" w:lineRule="auto"/>
        <w:outlineLvl w:val="0"/>
        <w:rPr>
          <w:rFonts w:ascii="Times New Roman" w:hAnsi="Times New Roman"/>
          <w:b/>
          <w:lang w:val="lt-LT"/>
        </w:rPr>
      </w:pPr>
    </w:p>
    <w:p w14:paraId="33891102" w14:textId="77777777" w:rsidR="00A51A1D" w:rsidRPr="00940D54" w:rsidRDefault="00A51A1D" w:rsidP="00A51A1D">
      <w:pPr>
        <w:spacing w:after="0" w:line="240" w:lineRule="auto"/>
        <w:outlineLvl w:val="0"/>
        <w:rPr>
          <w:rFonts w:ascii="Times New Roman" w:hAnsi="Times New Roman"/>
          <w:b/>
          <w:lang w:val="lt-LT"/>
        </w:rPr>
      </w:pPr>
    </w:p>
    <w:p w14:paraId="2C5E494D" w14:textId="77777777" w:rsidR="00A51A1D" w:rsidRPr="00940D54" w:rsidRDefault="00A51A1D" w:rsidP="00A51A1D">
      <w:pPr>
        <w:spacing w:after="0" w:line="240" w:lineRule="auto"/>
        <w:outlineLvl w:val="0"/>
        <w:rPr>
          <w:rFonts w:ascii="Times New Roman" w:hAnsi="Times New Roman"/>
          <w:b/>
          <w:lang w:val="lt-LT"/>
        </w:rPr>
      </w:pPr>
    </w:p>
    <w:p w14:paraId="382EE511" w14:textId="77777777" w:rsidR="00A51A1D" w:rsidRPr="00940D54" w:rsidRDefault="00A51A1D" w:rsidP="00A51A1D">
      <w:pPr>
        <w:spacing w:after="0" w:line="240" w:lineRule="auto"/>
        <w:outlineLvl w:val="0"/>
        <w:rPr>
          <w:rFonts w:ascii="Times New Roman" w:hAnsi="Times New Roman"/>
          <w:b/>
          <w:lang w:val="lt-LT"/>
        </w:rPr>
      </w:pPr>
    </w:p>
    <w:p w14:paraId="7A168BB3" w14:textId="77777777" w:rsidR="00A51A1D" w:rsidRPr="00940D54" w:rsidRDefault="00A51A1D" w:rsidP="00A51A1D">
      <w:pPr>
        <w:spacing w:after="0" w:line="240" w:lineRule="auto"/>
        <w:outlineLvl w:val="0"/>
        <w:rPr>
          <w:rFonts w:ascii="Times New Roman" w:hAnsi="Times New Roman"/>
          <w:b/>
          <w:lang w:val="lt-LT"/>
        </w:rPr>
      </w:pPr>
    </w:p>
    <w:p w14:paraId="4DFA39A7" w14:textId="77777777" w:rsidR="00871096" w:rsidRPr="00940D54" w:rsidRDefault="00871096" w:rsidP="00A51A1D">
      <w:pPr>
        <w:spacing w:after="0" w:line="240" w:lineRule="auto"/>
        <w:jc w:val="center"/>
        <w:rPr>
          <w:rFonts w:ascii="Times New Roman" w:hAnsi="Times New Roman"/>
          <w:b/>
          <w:lang w:val="lt-LT"/>
        </w:rPr>
      </w:pPr>
    </w:p>
    <w:p w14:paraId="13829D9A" w14:textId="77777777" w:rsidR="00A51A1D" w:rsidRPr="00940D54" w:rsidRDefault="00A51A1D" w:rsidP="00A51A1D">
      <w:pPr>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III PRIEDAS</w:t>
      </w:r>
    </w:p>
    <w:p w14:paraId="14E4DFEF" w14:textId="77777777" w:rsidR="00A51A1D" w:rsidRPr="00940D54" w:rsidRDefault="00A51A1D" w:rsidP="00A51A1D">
      <w:pPr>
        <w:spacing w:after="0" w:line="240" w:lineRule="auto"/>
        <w:jc w:val="center"/>
        <w:rPr>
          <w:rFonts w:ascii="Times New Roman" w:hAnsi="Times New Roman"/>
          <w:b/>
          <w:lang w:val="lt-LT"/>
        </w:rPr>
      </w:pPr>
    </w:p>
    <w:p w14:paraId="2B6F9623" w14:textId="77777777" w:rsidR="00A51A1D" w:rsidRPr="00940D54" w:rsidRDefault="00A51A1D" w:rsidP="00A51A1D">
      <w:pPr>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ŽENKLINIMAS IR PAKUOTĖS LAPELIS</w:t>
      </w:r>
    </w:p>
    <w:p w14:paraId="72DF8D09" w14:textId="77777777" w:rsidR="00A51A1D" w:rsidRPr="00940D54" w:rsidRDefault="00A51A1D" w:rsidP="00A51A1D">
      <w:pPr>
        <w:spacing w:after="0" w:line="240" w:lineRule="auto"/>
        <w:rPr>
          <w:rFonts w:ascii="Times New Roman" w:hAnsi="Times New Roman"/>
          <w:lang w:val="lt-LT"/>
        </w:rPr>
      </w:pPr>
      <w:r w:rsidRPr="00940D54">
        <w:rPr>
          <w:rFonts w:ascii="Times New Roman" w:hAnsi="Times New Roman"/>
          <w:lang w:val="lt-LT"/>
        </w:rPr>
        <w:br w:type="page"/>
      </w:r>
    </w:p>
    <w:p w14:paraId="053287B0" w14:textId="77777777" w:rsidR="00A51A1D" w:rsidRPr="00940D54" w:rsidRDefault="00A51A1D" w:rsidP="00A51A1D">
      <w:pPr>
        <w:spacing w:after="0" w:line="240" w:lineRule="auto"/>
        <w:rPr>
          <w:rFonts w:ascii="Times New Roman" w:hAnsi="Times New Roman"/>
          <w:lang w:val="lt-LT"/>
        </w:rPr>
      </w:pPr>
    </w:p>
    <w:p w14:paraId="7E8C1053" w14:textId="77777777" w:rsidR="00A51A1D" w:rsidRPr="00940D54" w:rsidRDefault="00A51A1D" w:rsidP="00A51A1D">
      <w:pPr>
        <w:spacing w:after="0" w:line="240" w:lineRule="auto"/>
        <w:rPr>
          <w:rFonts w:ascii="Times New Roman" w:hAnsi="Times New Roman"/>
          <w:lang w:val="lt-LT"/>
        </w:rPr>
      </w:pPr>
    </w:p>
    <w:p w14:paraId="5E5B327E" w14:textId="77777777" w:rsidR="00A51A1D" w:rsidRPr="00940D54" w:rsidRDefault="00A51A1D" w:rsidP="00A51A1D">
      <w:pPr>
        <w:spacing w:after="0" w:line="240" w:lineRule="auto"/>
        <w:rPr>
          <w:rFonts w:ascii="Times New Roman" w:hAnsi="Times New Roman"/>
          <w:lang w:val="lt-LT"/>
        </w:rPr>
      </w:pPr>
    </w:p>
    <w:p w14:paraId="6BACECCE" w14:textId="77777777" w:rsidR="00A51A1D" w:rsidRPr="00940D54" w:rsidRDefault="00A51A1D" w:rsidP="00A51A1D">
      <w:pPr>
        <w:spacing w:after="0" w:line="240" w:lineRule="auto"/>
        <w:rPr>
          <w:rFonts w:ascii="Times New Roman" w:hAnsi="Times New Roman"/>
          <w:lang w:val="lt-LT"/>
        </w:rPr>
      </w:pPr>
    </w:p>
    <w:p w14:paraId="64057D4A" w14:textId="77777777" w:rsidR="00A51A1D" w:rsidRPr="00940D54" w:rsidRDefault="00A51A1D" w:rsidP="00A51A1D">
      <w:pPr>
        <w:spacing w:after="0" w:line="240" w:lineRule="auto"/>
        <w:rPr>
          <w:rFonts w:ascii="Times New Roman" w:hAnsi="Times New Roman"/>
          <w:lang w:val="lt-LT"/>
        </w:rPr>
      </w:pPr>
    </w:p>
    <w:p w14:paraId="41A473CC" w14:textId="77777777" w:rsidR="00A51A1D" w:rsidRPr="00940D54" w:rsidRDefault="00A51A1D" w:rsidP="00A51A1D">
      <w:pPr>
        <w:spacing w:after="0" w:line="240" w:lineRule="auto"/>
        <w:rPr>
          <w:rFonts w:ascii="Times New Roman" w:hAnsi="Times New Roman"/>
          <w:lang w:val="lt-LT"/>
        </w:rPr>
      </w:pPr>
    </w:p>
    <w:p w14:paraId="5CFB32DF" w14:textId="77777777" w:rsidR="00A51A1D" w:rsidRPr="00940D54" w:rsidRDefault="00A51A1D" w:rsidP="00A51A1D">
      <w:pPr>
        <w:spacing w:after="0" w:line="240" w:lineRule="auto"/>
        <w:rPr>
          <w:rFonts w:ascii="Times New Roman" w:hAnsi="Times New Roman"/>
          <w:lang w:val="lt-LT"/>
        </w:rPr>
      </w:pPr>
    </w:p>
    <w:p w14:paraId="2BDB8614" w14:textId="77777777" w:rsidR="00A51A1D" w:rsidRPr="00940D54" w:rsidRDefault="00A51A1D" w:rsidP="00A51A1D">
      <w:pPr>
        <w:spacing w:after="0" w:line="240" w:lineRule="auto"/>
        <w:rPr>
          <w:rFonts w:ascii="Times New Roman" w:hAnsi="Times New Roman"/>
          <w:lang w:val="lt-LT"/>
        </w:rPr>
      </w:pPr>
    </w:p>
    <w:p w14:paraId="1FB38AC7" w14:textId="77777777" w:rsidR="00A51A1D" w:rsidRPr="00940D54" w:rsidRDefault="00A51A1D" w:rsidP="00A51A1D">
      <w:pPr>
        <w:spacing w:after="0" w:line="240" w:lineRule="auto"/>
        <w:rPr>
          <w:rFonts w:ascii="Times New Roman" w:hAnsi="Times New Roman"/>
          <w:lang w:val="lt-LT"/>
        </w:rPr>
      </w:pPr>
    </w:p>
    <w:p w14:paraId="45DFC225" w14:textId="77777777" w:rsidR="00A51A1D" w:rsidRPr="00940D54" w:rsidRDefault="00A51A1D" w:rsidP="00A51A1D">
      <w:pPr>
        <w:spacing w:after="0" w:line="240" w:lineRule="auto"/>
        <w:rPr>
          <w:rFonts w:ascii="Times New Roman" w:hAnsi="Times New Roman"/>
          <w:lang w:val="lt-LT"/>
        </w:rPr>
      </w:pPr>
    </w:p>
    <w:p w14:paraId="3427D4B7" w14:textId="77777777" w:rsidR="00A51A1D" w:rsidRPr="00940D54" w:rsidRDefault="00A51A1D" w:rsidP="00A51A1D">
      <w:pPr>
        <w:spacing w:after="0" w:line="240" w:lineRule="auto"/>
        <w:rPr>
          <w:rFonts w:ascii="Times New Roman" w:hAnsi="Times New Roman"/>
          <w:lang w:val="lt-LT"/>
        </w:rPr>
      </w:pPr>
    </w:p>
    <w:p w14:paraId="7718510F" w14:textId="77777777" w:rsidR="00A51A1D" w:rsidRPr="00940D54" w:rsidRDefault="00A51A1D" w:rsidP="00A51A1D">
      <w:pPr>
        <w:spacing w:after="0" w:line="240" w:lineRule="auto"/>
        <w:rPr>
          <w:rFonts w:ascii="Times New Roman" w:hAnsi="Times New Roman"/>
          <w:lang w:val="lt-LT"/>
        </w:rPr>
      </w:pPr>
    </w:p>
    <w:p w14:paraId="7AEAB1D1" w14:textId="77777777" w:rsidR="00A51A1D" w:rsidRPr="00940D54" w:rsidRDefault="00A51A1D" w:rsidP="00A51A1D">
      <w:pPr>
        <w:spacing w:after="0" w:line="240" w:lineRule="auto"/>
        <w:rPr>
          <w:rFonts w:ascii="Times New Roman" w:hAnsi="Times New Roman"/>
          <w:lang w:val="lt-LT"/>
        </w:rPr>
      </w:pPr>
    </w:p>
    <w:p w14:paraId="18B4AB6B" w14:textId="77777777" w:rsidR="00A51A1D" w:rsidRPr="00940D54" w:rsidRDefault="00A51A1D" w:rsidP="00A51A1D">
      <w:pPr>
        <w:spacing w:after="0" w:line="240" w:lineRule="auto"/>
        <w:rPr>
          <w:rFonts w:ascii="Times New Roman" w:hAnsi="Times New Roman"/>
          <w:lang w:val="lt-LT"/>
        </w:rPr>
      </w:pPr>
    </w:p>
    <w:p w14:paraId="6620F186" w14:textId="77777777" w:rsidR="00A51A1D" w:rsidRPr="00940D54" w:rsidRDefault="00A51A1D" w:rsidP="00A51A1D">
      <w:pPr>
        <w:spacing w:after="0" w:line="240" w:lineRule="auto"/>
        <w:rPr>
          <w:rFonts w:ascii="Times New Roman" w:hAnsi="Times New Roman"/>
          <w:lang w:val="lt-LT"/>
        </w:rPr>
      </w:pPr>
    </w:p>
    <w:p w14:paraId="18DE90BA" w14:textId="77777777" w:rsidR="00A51A1D" w:rsidRPr="00940D54" w:rsidRDefault="00A51A1D" w:rsidP="00A51A1D">
      <w:pPr>
        <w:spacing w:after="0" w:line="240" w:lineRule="auto"/>
        <w:rPr>
          <w:rFonts w:ascii="Times New Roman" w:hAnsi="Times New Roman"/>
          <w:lang w:val="lt-LT"/>
        </w:rPr>
      </w:pPr>
    </w:p>
    <w:p w14:paraId="2D62EA64" w14:textId="77777777" w:rsidR="00A51A1D" w:rsidRPr="00940D54" w:rsidRDefault="00A51A1D" w:rsidP="00A51A1D">
      <w:pPr>
        <w:spacing w:after="0" w:line="240" w:lineRule="auto"/>
        <w:rPr>
          <w:rFonts w:ascii="Times New Roman" w:hAnsi="Times New Roman"/>
          <w:lang w:val="lt-LT"/>
        </w:rPr>
      </w:pPr>
    </w:p>
    <w:p w14:paraId="46C6C85B" w14:textId="77777777" w:rsidR="00A51A1D" w:rsidRPr="00940D54" w:rsidRDefault="00A51A1D" w:rsidP="00A51A1D">
      <w:pPr>
        <w:spacing w:after="0" w:line="240" w:lineRule="auto"/>
        <w:rPr>
          <w:rFonts w:ascii="Times New Roman" w:hAnsi="Times New Roman"/>
          <w:lang w:val="lt-LT"/>
        </w:rPr>
      </w:pPr>
    </w:p>
    <w:p w14:paraId="53013694" w14:textId="77777777" w:rsidR="00A51A1D" w:rsidRPr="00940D54" w:rsidRDefault="00A51A1D" w:rsidP="00A51A1D">
      <w:pPr>
        <w:spacing w:after="0" w:line="240" w:lineRule="auto"/>
        <w:rPr>
          <w:rFonts w:ascii="Times New Roman" w:hAnsi="Times New Roman"/>
          <w:lang w:val="lt-LT"/>
        </w:rPr>
      </w:pPr>
    </w:p>
    <w:p w14:paraId="7097BEB4" w14:textId="77777777" w:rsidR="00A51A1D" w:rsidRPr="00940D54" w:rsidRDefault="00A51A1D" w:rsidP="00A51A1D">
      <w:pPr>
        <w:spacing w:after="0" w:line="240" w:lineRule="auto"/>
        <w:rPr>
          <w:rFonts w:ascii="Times New Roman" w:hAnsi="Times New Roman"/>
          <w:lang w:val="lt-LT"/>
        </w:rPr>
      </w:pPr>
    </w:p>
    <w:p w14:paraId="087BF1A9" w14:textId="77777777" w:rsidR="00A51A1D" w:rsidRPr="00940D54" w:rsidRDefault="00A51A1D" w:rsidP="00A51A1D">
      <w:pPr>
        <w:spacing w:after="0" w:line="240" w:lineRule="auto"/>
        <w:rPr>
          <w:rFonts w:ascii="Times New Roman" w:hAnsi="Times New Roman"/>
          <w:lang w:val="lt-LT"/>
        </w:rPr>
      </w:pPr>
    </w:p>
    <w:p w14:paraId="15F29406" w14:textId="77777777" w:rsidR="00A51A1D" w:rsidRPr="00940D54" w:rsidRDefault="00A51A1D" w:rsidP="00A51A1D">
      <w:pPr>
        <w:spacing w:after="0" w:line="240" w:lineRule="auto"/>
        <w:rPr>
          <w:rFonts w:ascii="Times New Roman" w:hAnsi="Times New Roman"/>
          <w:lang w:val="lt-LT"/>
        </w:rPr>
      </w:pPr>
    </w:p>
    <w:p w14:paraId="1625636E" w14:textId="77777777" w:rsidR="00871096" w:rsidRPr="00940D54" w:rsidRDefault="00871096" w:rsidP="00A51A1D">
      <w:pPr>
        <w:spacing w:after="0" w:line="240" w:lineRule="auto"/>
        <w:jc w:val="center"/>
        <w:rPr>
          <w:rFonts w:ascii="Times New Roman" w:hAnsi="Times New Roman"/>
          <w:b/>
          <w:lang w:val="lt-LT"/>
        </w:rPr>
      </w:pPr>
    </w:p>
    <w:p w14:paraId="33641DBF" w14:textId="77777777" w:rsidR="00A51A1D" w:rsidRPr="00940D54" w:rsidRDefault="00A51A1D" w:rsidP="00A51A1D">
      <w:pPr>
        <w:spacing w:after="0" w:line="240" w:lineRule="auto"/>
        <w:jc w:val="center"/>
        <w:rPr>
          <w:rFonts w:ascii="Times New Roman" w:eastAsiaTheme="minorHAnsi" w:hAnsi="Times New Roman" w:cstheme="minorBidi"/>
          <w:b/>
          <w:lang w:val="lt-LT"/>
        </w:rPr>
      </w:pPr>
      <w:r w:rsidRPr="00940D54">
        <w:rPr>
          <w:rFonts w:ascii="Times New Roman" w:hAnsi="Times New Roman"/>
          <w:b/>
          <w:lang w:val="lt-LT"/>
        </w:rPr>
        <w:t>A. ŽENKLINIMAS</w:t>
      </w:r>
    </w:p>
    <w:p w14:paraId="22D5F75D" w14:textId="77777777" w:rsidR="00A51A1D" w:rsidRPr="00940D54" w:rsidRDefault="00A51A1D" w:rsidP="00A51A1D">
      <w:pPr>
        <w:spacing w:after="0" w:line="240" w:lineRule="auto"/>
        <w:rPr>
          <w:rFonts w:ascii="Times New Roman" w:hAnsi="Times New Roman"/>
          <w:lang w:val="lt-LT"/>
        </w:rPr>
      </w:pPr>
      <w:r w:rsidRPr="00940D54">
        <w:rPr>
          <w:rFonts w:ascii="Times New Roman" w:hAnsi="Times New Roman"/>
          <w:lang w:val="lt-LT"/>
        </w:rPr>
        <w:br w:type="page"/>
      </w:r>
    </w:p>
    <w:p w14:paraId="057F6F80"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940D54">
        <w:rPr>
          <w:rFonts w:ascii="Times New Roman" w:hAnsi="Times New Roman"/>
          <w:b/>
          <w:lang w:val="lt-LT"/>
        </w:rPr>
        <w:lastRenderedPageBreak/>
        <w:t>INFORMACIJA ANT IŠORINĖS PAKUOTĖS</w:t>
      </w:r>
    </w:p>
    <w:p w14:paraId="04E52445"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p>
    <w:p w14:paraId="65AD2954"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940D54">
        <w:rPr>
          <w:rFonts w:ascii="Times New Roman" w:hAnsi="Times New Roman"/>
          <w:b/>
          <w:lang w:val="lt-LT"/>
        </w:rPr>
        <w:t>KARTONO DĖŽUTĖ</w:t>
      </w:r>
    </w:p>
    <w:p w14:paraId="3F17798C" w14:textId="77777777" w:rsidR="00A51A1D" w:rsidRPr="00940D54" w:rsidRDefault="00A51A1D" w:rsidP="00A51A1D">
      <w:pPr>
        <w:spacing w:after="0" w:line="240" w:lineRule="auto"/>
        <w:rPr>
          <w:rFonts w:ascii="Times New Roman" w:hAnsi="Times New Roman"/>
          <w:lang w:val="lt-LT"/>
        </w:rPr>
      </w:pPr>
    </w:p>
    <w:p w14:paraId="029EB745" w14:textId="77777777" w:rsidR="00A51A1D" w:rsidRPr="00940D54" w:rsidRDefault="00A51A1D" w:rsidP="00A51A1D">
      <w:pPr>
        <w:spacing w:after="0" w:line="240" w:lineRule="auto"/>
        <w:rPr>
          <w:rFonts w:ascii="Times New Roman" w:hAnsi="Times New Roman"/>
          <w:lang w:val="lt-LT"/>
        </w:rPr>
      </w:pPr>
    </w:p>
    <w:p w14:paraId="1DE98984"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1.</w:t>
      </w:r>
      <w:r w:rsidRPr="00940D54">
        <w:rPr>
          <w:rFonts w:ascii="Times New Roman" w:hAnsi="Times New Roman"/>
          <w:b/>
          <w:lang w:val="lt-LT"/>
        </w:rPr>
        <w:tab/>
      </w:r>
      <w:r w:rsidRPr="00940D54">
        <w:rPr>
          <w:rFonts w:ascii="Times New Roman" w:hAnsi="Times New Roman"/>
          <w:b/>
          <w:caps/>
          <w:lang w:val="lt-LT"/>
        </w:rPr>
        <w:t>VAISTINIO</w:t>
      </w:r>
      <w:r w:rsidRPr="00940D54">
        <w:rPr>
          <w:rFonts w:ascii="Times New Roman" w:hAnsi="Times New Roman"/>
          <w:b/>
          <w:lang w:val="lt-LT"/>
        </w:rPr>
        <w:t xml:space="preserve"> PREPARATO PAVADINIMAS</w:t>
      </w:r>
    </w:p>
    <w:p w14:paraId="234D5051" w14:textId="77777777" w:rsidR="00A51A1D" w:rsidRPr="00940D54" w:rsidRDefault="00A51A1D" w:rsidP="00A51A1D">
      <w:pPr>
        <w:spacing w:after="0" w:line="240" w:lineRule="auto"/>
        <w:rPr>
          <w:rFonts w:ascii="Times New Roman" w:hAnsi="Times New Roman"/>
          <w:lang w:val="lt-LT"/>
        </w:rPr>
      </w:pPr>
    </w:p>
    <w:p w14:paraId="680F0937" w14:textId="77777777"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position w:val="-1"/>
          <w:lang w:val="lt-LT"/>
        </w:rPr>
        <w:t>velbienne</w:t>
      </w:r>
      <w:proofErr w:type="spellEnd"/>
      <w:r w:rsidRPr="00940D54">
        <w:rPr>
          <w:rFonts w:ascii="Times New Roman" w:hAnsi="Times New Roman"/>
          <w:b/>
          <w:position w:val="-1"/>
          <w:lang w:val="lt-LT"/>
        </w:rPr>
        <w:t xml:space="preserve"> </w:t>
      </w:r>
      <w:r w:rsidRPr="00940D54">
        <w:rPr>
          <w:rFonts w:ascii="Times New Roman" w:hAnsi="Times New Roman"/>
          <w:lang w:val="lt-LT"/>
        </w:rPr>
        <w:t>2 mg/1 mg plėvele dengtos tabletės</w:t>
      </w:r>
    </w:p>
    <w:p w14:paraId="23E1825C"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Dienogestum</w:t>
      </w:r>
      <w:proofErr w:type="spellEnd"/>
      <w:r w:rsidRPr="00940D54">
        <w:rPr>
          <w:rFonts w:ascii="Times New Roman" w:hAnsi="Times New Roman"/>
          <w:color w:val="000000"/>
          <w:lang w:val="lt-LT"/>
        </w:rPr>
        <w:t xml:space="preserve"> / </w:t>
      </w:r>
      <w:proofErr w:type="spellStart"/>
      <w:r w:rsidRPr="00940D54">
        <w:rPr>
          <w:rFonts w:ascii="Times New Roman" w:hAnsi="Times New Roman"/>
          <w:color w:val="000000"/>
          <w:lang w:val="lt-LT"/>
        </w:rPr>
        <w:t>Estradioli</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valeras</w:t>
      </w:r>
      <w:proofErr w:type="spellEnd"/>
    </w:p>
    <w:p w14:paraId="1D52D52C" w14:textId="77777777" w:rsidR="00A51A1D" w:rsidRPr="00940D54" w:rsidRDefault="00A51A1D" w:rsidP="00A51A1D">
      <w:pPr>
        <w:spacing w:after="0" w:line="240" w:lineRule="auto"/>
        <w:rPr>
          <w:rFonts w:ascii="Times New Roman" w:hAnsi="Times New Roman"/>
          <w:lang w:val="lt-LT"/>
        </w:rPr>
      </w:pPr>
    </w:p>
    <w:p w14:paraId="0DC8B2FB" w14:textId="77777777" w:rsidR="00A51A1D" w:rsidRPr="00940D54" w:rsidRDefault="00A51A1D" w:rsidP="00A51A1D">
      <w:pPr>
        <w:spacing w:after="0" w:line="240" w:lineRule="auto"/>
        <w:rPr>
          <w:rFonts w:ascii="Times New Roman" w:hAnsi="Times New Roman"/>
          <w:lang w:val="lt-LT"/>
        </w:rPr>
      </w:pPr>
    </w:p>
    <w:p w14:paraId="67871149"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b/>
          <w:lang w:val="lt-LT"/>
        </w:rPr>
      </w:pPr>
      <w:r w:rsidRPr="00940D54">
        <w:rPr>
          <w:rFonts w:ascii="Times New Roman" w:hAnsi="Times New Roman"/>
          <w:b/>
          <w:lang w:val="lt-LT"/>
        </w:rPr>
        <w:t>2.</w:t>
      </w:r>
      <w:r w:rsidRPr="00940D54">
        <w:rPr>
          <w:rFonts w:ascii="Times New Roman" w:hAnsi="Times New Roman"/>
          <w:b/>
          <w:lang w:val="lt-LT"/>
        </w:rPr>
        <w:tab/>
        <w:t>VEIKLIOJI (-IOS) MEDŽIAGA (-OS) IR JOS (-Ų) KIEKIS (-IAI)</w:t>
      </w:r>
    </w:p>
    <w:p w14:paraId="43AF1003" w14:textId="77777777" w:rsidR="00A51A1D" w:rsidRPr="00940D54" w:rsidRDefault="00A51A1D" w:rsidP="00A51A1D">
      <w:pPr>
        <w:spacing w:after="0" w:line="240" w:lineRule="auto"/>
        <w:rPr>
          <w:rFonts w:ascii="Times New Roman" w:hAnsi="Times New Roman"/>
          <w:lang w:val="lt-LT"/>
        </w:rPr>
      </w:pPr>
    </w:p>
    <w:p w14:paraId="2E060B8C" w14:textId="77777777" w:rsidR="00A51A1D" w:rsidRPr="00940D54" w:rsidRDefault="00A51A1D" w:rsidP="00A51A1D">
      <w:pPr>
        <w:tabs>
          <w:tab w:val="left" w:pos="567"/>
        </w:tabs>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Kiekvienoje plėvele dengtoje tabletėje yra 2 mg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 1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(atitinkančio 0,764 mg </w:t>
      </w:r>
      <w:proofErr w:type="spellStart"/>
      <w:r w:rsidRPr="00940D54">
        <w:rPr>
          <w:rFonts w:ascii="Times New Roman" w:hAnsi="Times New Roman"/>
          <w:lang w:val="lt-LT"/>
        </w:rPr>
        <w:t>estradiolio</w:t>
      </w:r>
      <w:proofErr w:type="spellEnd"/>
      <w:r w:rsidRPr="00940D54">
        <w:rPr>
          <w:rFonts w:ascii="Times New Roman" w:hAnsi="Times New Roman"/>
          <w:lang w:val="lt-LT"/>
        </w:rPr>
        <w:t>)</w:t>
      </w:r>
    </w:p>
    <w:p w14:paraId="38F5C623" w14:textId="77777777" w:rsidR="00A51A1D" w:rsidRPr="00940D54" w:rsidRDefault="00A51A1D" w:rsidP="00A51A1D">
      <w:pPr>
        <w:tabs>
          <w:tab w:val="left" w:pos="567"/>
        </w:tabs>
        <w:spacing w:after="0" w:line="240" w:lineRule="auto"/>
        <w:rPr>
          <w:rFonts w:ascii="Times New Roman" w:hAnsi="Times New Roman"/>
          <w:lang w:val="lt-LT"/>
        </w:rPr>
      </w:pPr>
    </w:p>
    <w:p w14:paraId="47BF031B" w14:textId="77777777" w:rsidR="00A51A1D" w:rsidRPr="00940D54" w:rsidRDefault="00A51A1D" w:rsidP="00A51A1D">
      <w:pPr>
        <w:spacing w:after="0" w:line="240" w:lineRule="auto"/>
        <w:rPr>
          <w:rFonts w:ascii="Times New Roman" w:hAnsi="Times New Roman"/>
          <w:lang w:val="lt-LT"/>
        </w:rPr>
      </w:pPr>
    </w:p>
    <w:p w14:paraId="05E70D36"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3.</w:t>
      </w:r>
      <w:r w:rsidRPr="00940D54">
        <w:rPr>
          <w:rFonts w:ascii="Times New Roman" w:hAnsi="Times New Roman"/>
          <w:b/>
          <w:lang w:val="lt-LT"/>
        </w:rPr>
        <w:tab/>
        <w:t>PAGALBINIŲ MEDŽIAGŲ SĄRAŠAS</w:t>
      </w:r>
    </w:p>
    <w:p w14:paraId="0BF28166" w14:textId="77777777" w:rsidR="00A51A1D" w:rsidRPr="00940D54" w:rsidRDefault="00A51A1D" w:rsidP="00A51A1D">
      <w:pPr>
        <w:spacing w:after="0" w:line="240" w:lineRule="auto"/>
        <w:rPr>
          <w:rFonts w:ascii="Times New Roman" w:hAnsi="Times New Roman"/>
          <w:lang w:val="lt-LT"/>
        </w:rPr>
      </w:pPr>
    </w:p>
    <w:p w14:paraId="715AE30B"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Sudėtyje yra laktozės </w:t>
      </w:r>
      <w:proofErr w:type="spellStart"/>
      <w:r w:rsidRPr="00940D54">
        <w:rPr>
          <w:rFonts w:ascii="Times New Roman" w:hAnsi="Times New Roman"/>
          <w:lang w:val="lt-LT"/>
        </w:rPr>
        <w:t>monohidrato</w:t>
      </w:r>
      <w:proofErr w:type="spellEnd"/>
      <w:r w:rsidRPr="00940D54">
        <w:rPr>
          <w:rFonts w:ascii="Times New Roman" w:hAnsi="Times New Roman"/>
          <w:lang w:val="lt-LT"/>
        </w:rPr>
        <w:t>.</w:t>
      </w:r>
    </w:p>
    <w:p w14:paraId="46C517A7"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Daugiau informacijos žr. pakuotės lapelyje.</w:t>
      </w:r>
    </w:p>
    <w:p w14:paraId="122948D9" w14:textId="77777777" w:rsidR="00A51A1D" w:rsidRPr="00940D54" w:rsidRDefault="00A51A1D" w:rsidP="00A51A1D">
      <w:pPr>
        <w:spacing w:after="0" w:line="240" w:lineRule="auto"/>
        <w:rPr>
          <w:rFonts w:ascii="Times New Roman" w:hAnsi="Times New Roman"/>
          <w:lang w:val="lt-LT"/>
        </w:rPr>
      </w:pPr>
    </w:p>
    <w:p w14:paraId="54DC64E1" w14:textId="77777777" w:rsidR="00A51A1D" w:rsidRPr="00940D54" w:rsidRDefault="00A51A1D" w:rsidP="00A51A1D">
      <w:pPr>
        <w:spacing w:after="0" w:line="240" w:lineRule="auto"/>
        <w:rPr>
          <w:rFonts w:ascii="Times New Roman" w:hAnsi="Times New Roman"/>
          <w:lang w:val="lt-LT"/>
        </w:rPr>
      </w:pPr>
    </w:p>
    <w:p w14:paraId="2616E07C"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4.</w:t>
      </w:r>
      <w:r w:rsidRPr="00940D54">
        <w:rPr>
          <w:rFonts w:ascii="Times New Roman" w:hAnsi="Times New Roman"/>
          <w:b/>
          <w:lang w:val="lt-LT"/>
        </w:rPr>
        <w:tab/>
        <w:t>FARMACINĖ FORMA IR KIEKIS PAKUOTĖJE</w:t>
      </w:r>
    </w:p>
    <w:p w14:paraId="56AEB93B" w14:textId="77777777" w:rsidR="00A51A1D" w:rsidRPr="00940D54" w:rsidRDefault="00A51A1D" w:rsidP="00A51A1D">
      <w:pPr>
        <w:spacing w:after="0" w:line="240" w:lineRule="auto"/>
        <w:rPr>
          <w:rFonts w:ascii="Times New Roman" w:hAnsi="Times New Roman"/>
          <w:lang w:val="lt-LT"/>
        </w:rPr>
      </w:pPr>
    </w:p>
    <w:p w14:paraId="0804F184" w14:textId="77777777" w:rsidR="00A51A1D" w:rsidRPr="00940D54" w:rsidRDefault="00A51A1D" w:rsidP="00A51A1D">
      <w:pPr>
        <w:tabs>
          <w:tab w:val="left" w:pos="567"/>
        </w:tabs>
        <w:spacing w:after="0" w:line="240" w:lineRule="auto"/>
        <w:rPr>
          <w:rFonts w:ascii="Times New Roman" w:eastAsiaTheme="minorHAnsi" w:hAnsi="Times New Roman" w:cstheme="minorBidi"/>
          <w:lang w:val="lt-LT"/>
        </w:rPr>
      </w:pPr>
      <w:r w:rsidRPr="00940D54">
        <w:rPr>
          <w:rFonts w:ascii="Times New Roman" w:hAnsi="Times New Roman"/>
          <w:highlight w:val="lightGray"/>
          <w:lang w:val="lt-LT"/>
        </w:rPr>
        <w:t>Plėvele dengta tabletė</w:t>
      </w:r>
    </w:p>
    <w:p w14:paraId="40B209B4" w14:textId="77777777" w:rsidR="00A51A1D" w:rsidRPr="00940D54" w:rsidRDefault="00A51A1D" w:rsidP="00A51A1D">
      <w:pPr>
        <w:spacing w:after="0" w:line="240" w:lineRule="auto"/>
        <w:rPr>
          <w:rFonts w:ascii="Times New Roman" w:hAnsi="Times New Roman"/>
          <w:lang w:val="lt-LT"/>
        </w:rPr>
      </w:pPr>
    </w:p>
    <w:p w14:paraId="092B1370" w14:textId="77777777" w:rsidR="00A51A1D" w:rsidRPr="00940D54" w:rsidRDefault="00A51A1D" w:rsidP="00A51A1D">
      <w:pPr>
        <w:tabs>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t>28 plėvele dengtos tabletės</w:t>
      </w:r>
    </w:p>
    <w:p w14:paraId="54956962" w14:textId="77777777" w:rsidR="00A51A1D" w:rsidRPr="00940D54" w:rsidRDefault="00A51A1D" w:rsidP="00A51A1D">
      <w:pPr>
        <w:tabs>
          <w:tab w:val="left" w:pos="720"/>
        </w:tabs>
        <w:spacing w:after="0" w:line="240" w:lineRule="auto"/>
        <w:rPr>
          <w:rFonts w:ascii="Times New Roman" w:eastAsiaTheme="minorHAnsi" w:hAnsi="Times New Roman" w:cstheme="minorBidi"/>
          <w:highlight w:val="lightGray"/>
          <w:lang w:val="lt-LT"/>
        </w:rPr>
      </w:pPr>
      <w:r w:rsidRPr="00940D54">
        <w:rPr>
          <w:rFonts w:ascii="Times New Roman" w:hAnsi="Times New Roman"/>
          <w:highlight w:val="lightGray"/>
          <w:lang w:val="lt-LT"/>
        </w:rPr>
        <w:t>3 x 28 plėvele dengtos tabletės</w:t>
      </w:r>
    </w:p>
    <w:p w14:paraId="02F8A933" w14:textId="77777777" w:rsidR="00A51A1D" w:rsidRPr="00940D54" w:rsidRDefault="00A51A1D" w:rsidP="00A51A1D">
      <w:pPr>
        <w:tabs>
          <w:tab w:val="left" w:pos="720"/>
        </w:tabs>
        <w:spacing w:after="0" w:line="240" w:lineRule="auto"/>
        <w:rPr>
          <w:rFonts w:ascii="Times New Roman" w:eastAsiaTheme="minorHAnsi" w:hAnsi="Times New Roman" w:cstheme="minorBidi"/>
          <w:lang w:val="lt-LT"/>
        </w:rPr>
      </w:pPr>
      <w:r w:rsidRPr="00940D54">
        <w:rPr>
          <w:rFonts w:ascii="Times New Roman" w:hAnsi="Times New Roman"/>
          <w:highlight w:val="lightGray"/>
          <w:lang w:val="lt-LT"/>
        </w:rPr>
        <w:t>6 x 28 plėvele dengtos tabletės</w:t>
      </w:r>
    </w:p>
    <w:p w14:paraId="187FBFC7" w14:textId="77777777" w:rsidR="00A51A1D" w:rsidRPr="00940D54" w:rsidRDefault="00A51A1D" w:rsidP="00A51A1D">
      <w:pPr>
        <w:spacing w:after="0" w:line="240" w:lineRule="auto"/>
        <w:rPr>
          <w:rFonts w:ascii="Times New Roman" w:hAnsi="Times New Roman"/>
          <w:lang w:val="lt-LT"/>
        </w:rPr>
      </w:pPr>
    </w:p>
    <w:p w14:paraId="77ECFC40" w14:textId="77777777" w:rsidR="00A51A1D" w:rsidRPr="00940D54" w:rsidRDefault="00A51A1D" w:rsidP="00A51A1D">
      <w:pPr>
        <w:spacing w:after="0" w:line="240" w:lineRule="auto"/>
        <w:rPr>
          <w:rFonts w:ascii="Times New Roman" w:hAnsi="Times New Roman"/>
          <w:lang w:val="lt-LT"/>
        </w:rPr>
      </w:pPr>
    </w:p>
    <w:p w14:paraId="5996149E"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5.</w:t>
      </w:r>
      <w:r w:rsidRPr="00940D54">
        <w:rPr>
          <w:rFonts w:ascii="Times New Roman" w:hAnsi="Times New Roman"/>
          <w:b/>
          <w:lang w:val="lt-LT"/>
        </w:rPr>
        <w:tab/>
        <w:t>VARTOJIMO METODAS IR BŪDAS (-AI)</w:t>
      </w:r>
    </w:p>
    <w:p w14:paraId="6DA1C47E" w14:textId="77777777" w:rsidR="00A51A1D" w:rsidRPr="00940D54" w:rsidRDefault="00A51A1D" w:rsidP="00A51A1D">
      <w:pPr>
        <w:spacing w:after="0" w:line="240" w:lineRule="auto"/>
        <w:rPr>
          <w:rFonts w:ascii="Times New Roman" w:hAnsi="Times New Roman"/>
          <w:lang w:val="lt-LT"/>
        </w:rPr>
      </w:pPr>
    </w:p>
    <w:p w14:paraId="71FC0078"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Prieš vartojimą perskaitykite pakuotės lapelį.</w:t>
      </w:r>
    </w:p>
    <w:p w14:paraId="6BAAEE9B"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Vartoti per burną.</w:t>
      </w:r>
    </w:p>
    <w:p w14:paraId="1790A99F" w14:textId="77777777" w:rsidR="00A51A1D" w:rsidRPr="00940D54" w:rsidRDefault="00A51A1D" w:rsidP="00A51A1D">
      <w:pPr>
        <w:spacing w:after="0" w:line="240" w:lineRule="auto"/>
        <w:rPr>
          <w:rFonts w:ascii="Times New Roman" w:hAnsi="Times New Roman"/>
          <w:lang w:val="lt-LT"/>
        </w:rPr>
      </w:pPr>
    </w:p>
    <w:p w14:paraId="23C7EF3D" w14:textId="77777777" w:rsidR="00A51A1D" w:rsidRPr="00940D54" w:rsidRDefault="00A51A1D" w:rsidP="00A51A1D">
      <w:pPr>
        <w:spacing w:after="0" w:line="240" w:lineRule="auto"/>
        <w:rPr>
          <w:rFonts w:ascii="Times New Roman" w:hAnsi="Times New Roman"/>
          <w:lang w:val="lt-LT"/>
        </w:rPr>
      </w:pPr>
    </w:p>
    <w:p w14:paraId="4831ACA9"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6.</w:t>
      </w:r>
      <w:r w:rsidRPr="00940D54">
        <w:rPr>
          <w:rFonts w:ascii="Times New Roman" w:hAnsi="Times New Roman"/>
          <w:b/>
          <w:lang w:val="lt-LT"/>
        </w:rPr>
        <w:tab/>
        <w:t>SPECIALUS ĮSPĖJIMAS, KAD VAISTINĮ PREPARATĄ BŪTINA LAIKYTI VAIKAMS NEPASTEBIMOJE IR NEPASIEKIAMOJE VIETOJE</w:t>
      </w:r>
    </w:p>
    <w:p w14:paraId="34B99D65" w14:textId="77777777" w:rsidR="00A51A1D" w:rsidRPr="00940D54" w:rsidRDefault="00A51A1D" w:rsidP="00A51A1D">
      <w:pPr>
        <w:spacing w:after="0" w:line="240" w:lineRule="auto"/>
        <w:rPr>
          <w:rFonts w:ascii="Times New Roman" w:hAnsi="Times New Roman"/>
          <w:lang w:val="lt-LT"/>
        </w:rPr>
      </w:pPr>
    </w:p>
    <w:p w14:paraId="4FD808E7"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Laikyti vaikams nepastebimoje ir nepasiekiamoje vietoje.</w:t>
      </w:r>
    </w:p>
    <w:p w14:paraId="2DDA5E43" w14:textId="77777777" w:rsidR="00A51A1D" w:rsidRPr="00940D54" w:rsidRDefault="00A51A1D" w:rsidP="00A51A1D">
      <w:pPr>
        <w:spacing w:after="0" w:line="240" w:lineRule="auto"/>
        <w:rPr>
          <w:rFonts w:ascii="Times New Roman" w:hAnsi="Times New Roman"/>
          <w:lang w:val="lt-LT"/>
        </w:rPr>
      </w:pPr>
    </w:p>
    <w:p w14:paraId="2D5EE9BD" w14:textId="77777777" w:rsidR="00A51A1D" w:rsidRPr="00940D54" w:rsidRDefault="00A51A1D" w:rsidP="00A51A1D">
      <w:pPr>
        <w:spacing w:after="0" w:line="240" w:lineRule="auto"/>
        <w:rPr>
          <w:rFonts w:ascii="Times New Roman" w:hAnsi="Times New Roman"/>
          <w:lang w:val="lt-LT"/>
        </w:rPr>
      </w:pPr>
    </w:p>
    <w:p w14:paraId="2D39B062"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7.</w:t>
      </w:r>
      <w:r w:rsidRPr="00940D54">
        <w:rPr>
          <w:rFonts w:ascii="Times New Roman" w:hAnsi="Times New Roman"/>
          <w:b/>
          <w:lang w:val="lt-LT"/>
        </w:rPr>
        <w:tab/>
        <w:t>KITAS (-I) SPECIALUS (-ŪS) ĮSPĖJIMAS (-AI) (JEI REIKIA)</w:t>
      </w:r>
    </w:p>
    <w:p w14:paraId="19306656" w14:textId="77777777" w:rsidR="00A51A1D" w:rsidRPr="00940D54" w:rsidRDefault="00A51A1D" w:rsidP="00A51A1D">
      <w:pPr>
        <w:spacing w:after="0" w:line="240" w:lineRule="auto"/>
        <w:rPr>
          <w:rFonts w:ascii="Times New Roman" w:hAnsi="Times New Roman"/>
          <w:lang w:val="lt-LT"/>
        </w:rPr>
      </w:pPr>
    </w:p>
    <w:p w14:paraId="70D2B6B3"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Negalima vartoti kaip kontraceptiko.</w:t>
      </w:r>
    </w:p>
    <w:p w14:paraId="5EB7D97A" w14:textId="77777777" w:rsidR="00A51A1D" w:rsidRPr="00940D54" w:rsidRDefault="00A51A1D" w:rsidP="00A51A1D">
      <w:pPr>
        <w:spacing w:after="0" w:line="240" w:lineRule="auto"/>
        <w:rPr>
          <w:rFonts w:ascii="Times New Roman" w:hAnsi="Times New Roman"/>
          <w:lang w:val="lt-LT"/>
        </w:rPr>
      </w:pPr>
    </w:p>
    <w:p w14:paraId="4E1EFF40" w14:textId="77777777" w:rsidR="00A51A1D" w:rsidRPr="00940D54" w:rsidRDefault="00A51A1D" w:rsidP="00A51A1D">
      <w:pPr>
        <w:spacing w:after="0" w:line="240" w:lineRule="auto"/>
        <w:rPr>
          <w:rFonts w:ascii="Times New Roman" w:hAnsi="Times New Roman"/>
          <w:lang w:val="lt-LT"/>
        </w:rPr>
      </w:pPr>
    </w:p>
    <w:p w14:paraId="1633239A"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t>8.</w:t>
      </w:r>
      <w:r w:rsidRPr="00940D54">
        <w:rPr>
          <w:rFonts w:ascii="Times New Roman" w:hAnsi="Times New Roman"/>
          <w:b/>
          <w:lang w:val="lt-LT"/>
        </w:rPr>
        <w:tab/>
        <w:t>TINKAMUMO LAIKAS</w:t>
      </w:r>
    </w:p>
    <w:p w14:paraId="42E98D42" w14:textId="77777777" w:rsidR="00A51A1D" w:rsidRPr="00940D54" w:rsidRDefault="00A51A1D" w:rsidP="00A51A1D">
      <w:pPr>
        <w:spacing w:after="0" w:line="240" w:lineRule="auto"/>
        <w:rPr>
          <w:rFonts w:ascii="Times New Roman" w:hAnsi="Times New Roman"/>
          <w:lang w:val="lt-LT"/>
        </w:rPr>
      </w:pPr>
    </w:p>
    <w:p w14:paraId="14DCED4D" w14:textId="04FA04F3" w:rsidR="00A51A1D" w:rsidRPr="00940D54" w:rsidRDefault="003C6A66"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EXP</w:t>
      </w:r>
      <w:r w:rsidR="00A51A1D" w:rsidRPr="00940D54">
        <w:rPr>
          <w:rFonts w:ascii="Times New Roman" w:hAnsi="Times New Roman"/>
          <w:lang w:val="lt-LT"/>
        </w:rPr>
        <w:t>: mm/MMMM.</w:t>
      </w:r>
    </w:p>
    <w:p w14:paraId="7A887205" w14:textId="77777777" w:rsidR="00A51A1D" w:rsidRPr="00940D54" w:rsidRDefault="00A51A1D" w:rsidP="00A51A1D">
      <w:pPr>
        <w:spacing w:after="0" w:line="240" w:lineRule="auto"/>
        <w:rPr>
          <w:rFonts w:ascii="Times New Roman" w:hAnsi="Times New Roman"/>
          <w:lang w:val="lt-LT"/>
        </w:rPr>
      </w:pPr>
    </w:p>
    <w:p w14:paraId="5F8B1BDB" w14:textId="77777777" w:rsidR="00A51A1D" w:rsidRPr="00940D54" w:rsidRDefault="00A51A1D" w:rsidP="00A51A1D">
      <w:pPr>
        <w:spacing w:after="0" w:line="240" w:lineRule="auto"/>
        <w:rPr>
          <w:rFonts w:ascii="Times New Roman" w:hAnsi="Times New Roman"/>
          <w:lang w:val="lt-LT"/>
        </w:rPr>
      </w:pPr>
    </w:p>
    <w:p w14:paraId="76B88C14" w14:textId="77777777" w:rsidR="00A51A1D" w:rsidRPr="00940D54" w:rsidRDefault="00A51A1D" w:rsidP="00A51A1D">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heme="minorHAnsi" w:hAnsi="Times New Roman" w:cstheme="minorBidi"/>
          <w:lang w:val="lt-LT"/>
        </w:rPr>
      </w:pPr>
      <w:r w:rsidRPr="00940D54">
        <w:rPr>
          <w:rFonts w:ascii="Times New Roman" w:hAnsi="Times New Roman"/>
          <w:b/>
          <w:lang w:val="lt-LT"/>
        </w:rPr>
        <w:lastRenderedPageBreak/>
        <w:t>9.</w:t>
      </w:r>
      <w:r w:rsidRPr="00940D54">
        <w:rPr>
          <w:rFonts w:ascii="Times New Roman" w:hAnsi="Times New Roman"/>
          <w:b/>
          <w:lang w:val="lt-LT"/>
        </w:rPr>
        <w:tab/>
        <w:t>SPECIALIOS LAIKYMO SĄLYGOS</w:t>
      </w:r>
    </w:p>
    <w:p w14:paraId="20E2CE35" w14:textId="77777777" w:rsidR="00A51A1D" w:rsidRPr="00940D54" w:rsidRDefault="00A51A1D" w:rsidP="00A51A1D">
      <w:pPr>
        <w:spacing w:after="0" w:line="240" w:lineRule="auto"/>
        <w:rPr>
          <w:rFonts w:ascii="Times New Roman" w:hAnsi="Times New Roman"/>
          <w:lang w:val="lt-LT"/>
        </w:rPr>
      </w:pPr>
    </w:p>
    <w:p w14:paraId="380D934F"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Laikyti gamintojo pakuotėje, kad </w:t>
      </w:r>
      <w:r w:rsidR="00ED791E" w:rsidRPr="00940D54">
        <w:rPr>
          <w:rFonts w:ascii="Times New Roman" w:hAnsi="Times New Roman"/>
          <w:lang w:val="lt-LT"/>
        </w:rPr>
        <w:t xml:space="preserve">vaistas </w:t>
      </w:r>
      <w:r w:rsidRPr="00940D54">
        <w:rPr>
          <w:rFonts w:ascii="Times New Roman" w:hAnsi="Times New Roman"/>
          <w:lang w:val="lt-LT"/>
        </w:rPr>
        <w:t>būtų apsaugotas nuo šviesos.</w:t>
      </w:r>
    </w:p>
    <w:p w14:paraId="7BD8FF2F" w14:textId="77777777" w:rsidR="00A51A1D" w:rsidRPr="00940D54" w:rsidRDefault="00A51A1D" w:rsidP="00A51A1D">
      <w:pPr>
        <w:spacing w:after="0" w:line="240" w:lineRule="auto"/>
        <w:rPr>
          <w:rFonts w:ascii="Times New Roman" w:hAnsi="Times New Roman"/>
          <w:lang w:val="lt-LT"/>
        </w:rPr>
      </w:pPr>
    </w:p>
    <w:p w14:paraId="4EC2A4D6" w14:textId="77777777" w:rsidR="00A51A1D" w:rsidRPr="00940D54" w:rsidRDefault="00A51A1D" w:rsidP="00A51A1D">
      <w:pPr>
        <w:spacing w:after="0" w:line="240" w:lineRule="auto"/>
        <w:rPr>
          <w:rFonts w:ascii="Times New Roman" w:hAnsi="Times New Roman"/>
          <w:lang w:val="lt-LT"/>
        </w:rPr>
      </w:pPr>
    </w:p>
    <w:p w14:paraId="1C3A7BD6" w14:textId="77777777" w:rsidR="00A51A1D" w:rsidRPr="00940D54" w:rsidRDefault="00A51A1D" w:rsidP="001235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10.</w:t>
      </w:r>
      <w:r w:rsidRPr="00940D54">
        <w:rPr>
          <w:rFonts w:ascii="Times New Roman" w:hAnsi="Times New Roman"/>
          <w:b/>
          <w:lang w:val="lt-LT"/>
        </w:rPr>
        <w:tab/>
        <w:t>SPECIALIOS ATSARGUMO PRIEMONĖS DĖL NESUVARTOTO VAISTINIO PREPARATO AR JO ATLIEKŲ TVARKYMO (JEI REIKIA)</w:t>
      </w:r>
    </w:p>
    <w:p w14:paraId="0AAD8F45" w14:textId="77777777" w:rsidR="00A51A1D" w:rsidRPr="00940D54" w:rsidRDefault="00A51A1D" w:rsidP="00A51A1D">
      <w:pPr>
        <w:spacing w:after="0" w:line="240" w:lineRule="auto"/>
        <w:rPr>
          <w:rFonts w:ascii="Times New Roman" w:hAnsi="Times New Roman"/>
          <w:lang w:val="lt-LT"/>
        </w:rPr>
      </w:pPr>
    </w:p>
    <w:p w14:paraId="3F5E0B54" w14:textId="77777777" w:rsidR="00A51A1D" w:rsidRPr="00940D54" w:rsidRDefault="00A51A1D" w:rsidP="00A51A1D">
      <w:pPr>
        <w:spacing w:after="0" w:line="240" w:lineRule="auto"/>
        <w:rPr>
          <w:rFonts w:ascii="Times New Roman" w:hAnsi="Times New Roman"/>
          <w:lang w:val="lt-LT"/>
        </w:rPr>
      </w:pPr>
    </w:p>
    <w:p w14:paraId="15E57760"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11.</w:t>
      </w:r>
      <w:r w:rsidRPr="00940D54">
        <w:rPr>
          <w:rFonts w:ascii="Times New Roman" w:hAnsi="Times New Roman"/>
          <w:b/>
          <w:lang w:val="lt-LT"/>
        </w:rPr>
        <w:tab/>
      </w:r>
      <w:r w:rsidRPr="00940D54">
        <w:rPr>
          <w:rFonts w:ascii="Times New Roman" w:hAnsi="Times New Roman"/>
          <w:b/>
          <w:caps/>
          <w:lang w:val="lt-LT"/>
        </w:rPr>
        <w:t>REGISTRUOTOJO PAVADINIMAS IR ADRESAS</w:t>
      </w:r>
    </w:p>
    <w:p w14:paraId="1F2159E5" w14:textId="77777777" w:rsidR="00A51A1D" w:rsidRPr="00940D54" w:rsidRDefault="00A51A1D" w:rsidP="00A51A1D">
      <w:pPr>
        <w:spacing w:after="0" w:line="240" w:lineRule="auto"/>
        <w:rPr>
          <w:rFonts w:ascii="Times New Roman" w:hAnsi="Times New Roman"/>
          <w:lang w:val="lt-LT"/>
        </w:rPr>
      </w:pPr>
    </w:p>
    <w:p w14:paraId="5D826C9F" w14:textId="77777777" w:rsidR="00A51A1D" w:rsidRPr="00940D54" w:rsidRDefault="00A51A1D" w:rsidP="00A51A1D">
      <w:pPr>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t>UAB Exeltis Baltics</w:t>
      </w:r>
    </w:p>
    <w:p w14:paraId="526FD8E6" w14:textId="505A0BCE" w:rsidR="00F65E88" w:rsidRDefault="00F65E88" w:rsidP="00A51A1D">
      <w:pPr>
        <w:tabs>
          <w:tab w:val="left" w:pos="0"/>
        </w:tabs>
        <w:spacing w:after="0" w:line="240" w:lineRule="auto"/>
        <w:rPr>
          <w:rFonts w:ascii="Times New Roman" w:hAnsi="Times New Roman"/>
          <w:lang w:val="lt-LT"/>
        </w:rPr>
      </w:pPr>
      <w:r w:rsidRPr="00F65E88">
        <w:rPr>
          <w:rFonts w:ascii="Times New Roman" w:hAnsi="Times New Roman"/>
          <w:lang w:val="lt-LT"/>
        </w:rPr>
        <w:t xml:space="preserve">Antano Tumėno g. 4, </w:t>
      </w:r>
    </w:p>
    <w:p w14:paraId="718607E8" w14:textId="2983B9B3" w:rsidR="00F65E88" w:rsidRPr="005F2F33" w:rsidRDefault="00F65E88" w:rsidP="005F2F33">
      <w:pPr>
        <w:tabs>
          <w:tab w:val="left" w:pos="0"/>
        </w:tabs>
        <w:spacing w:after="0" w:line="240" w:lineRule="auto"/>
        <w:rPr>
          <w:rFonts w:ascii="Times New Roman" w:hAnsi="Times New Roman"/>
          <w:color w:val="000000"/>
          <w:shd w:val="clear" w:color="auto" w:fill="FAFAFA"/>
          <w:lang w:val="lt-LT"/>
        </w:rPr>
      </w:pPr>
      <w:r w:rsidRPr="00F65E88">
        <w:rPr>
          <w:rFonts w:ascii="Times New Roman" w:hAnsi="Times New Roman"/>
          <w:lang w:val="lt-LT"/>
        </w:rPr>
        <w:t>Vilnius, LT-01110</w:t>
      </w:r>
    </w:p>
    <w:p w14:paraId="09ADE867" w14:textId="069C865E" w:rsidR="00A51A1D" w:rsidRPr="00940D54" w:rsidRDefault="00A51A1D" w:rsidP="00A51A1D">
      <w:pPr>
        <w:tabs>
          <w:tab w:val="left" w:pos="0"/>
        </w:tabs>
        <w:spacing w:after="0" w:line="240" w:lineRule="auto"/>
        <w:rPr>
          <w:rFonts w:ascii="Times New Roman" w:hAnsi="Times New Roman"/>
          <w:lang w:val="lt-LT"/>
        </w:rPr>
      </w:pPr>
      <w:r w:rsidRPr="00940D54">
        <w:rPr>
          <w:rFonts w:ascii="Times New Roman" w:hAnsi="Times New Roman"/>
          <w:lang w:val="lt-LT"/>
        </w:rPr>
        <w:t>Lietuva</w:t>
      </w:r>
    </w:p>
    <w:p w14:paraId="6FB97F6C" w14:textId="77777777" w:rsidR="00A51A1D" w:rsidRPr="00940D54" w:rsidRDefault="00A51A1D" w:rsidP="00A51A1D">
      <w:pPr>
        <w:spacing w:after="0" w:line="240" w:lineRule="auto"/>
        <w:rPr>
          <w:rFonts w:ascii="Times New Roman" w:hAnsi="Times New Roman"/>
          <w:lang w:val="lt-LT"/>
        </w:rPr>
      </w:pPr>
    </w:p>
    <w:p w14:paraId="3A5A416E" w14:textId="77777777" w:rsidR="00A51A1D" w:rsidRPr="00940D54" w:rsidRDefault="00A51A1D" w:rsidP="00A51A1D">
      <w:pPr>
        <w:spacing w:after="0" w:line="240" w:lineRule="auto"/>
        <w:rPr>
          <w:rFonts w:ascii="Times New Roman" w:hAnsi="Times New Roman"/>
          <w:lang w:val="lt-LT"/>
        </w:rPr>
      </w:pPr>
    </w:p>
    <w:p w14:paraId="338CE1B8"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lang w:val="lt-LT"/>
        </w:rPr>
      </w:pPr>
      <w:r w:rsidRPr="00940D54">
        <w:rPr>
          <w:rFonts w:ascii="Times New Roman" w:hAnsi="Times New Roman"/>
          <w:b/>
          <w:lang w:val="lt-LT"/>
        </w:rPr>
        <w:t>12.</w:t>
      </w:r>
      <w:r w:rsidRPr="00940D54">
        <w:rPr>
          <w:rFonts w:ascii="Times New Roman" w:hAnsi="Times New Roman"/>
          <w:b/>
          <w:lang w:val="lt-LT"/>
        </w:rPr>
        <w:tab/>
        <w:t xml:space="preserve">REGISTRACIJOS PAŽYMĖJIMO NUMERIS (-IAI) </w:t>
      </w:r>
    </w:p>
    <w:p w14:paraId="3EBC11A2" w14:textId="77777777" w:rsidR="00A51A1D" w:rsidRPr="00940D54" w:rsidRDefault="00A51A1D" w:rsidP="00A51A1D">
      <w:pPr>
        <w:spacing w:after="0" w:line="240" w:lineRule="auto"/>
        <w:rPr>
          <w:rFonts w:ascii="Times New Roman" w:hAnsi="Times New Roman"/>
          <w:lang w:val="lt-LT"/>
        </w:rPr>
      </w:pPr>
    </w:p>
    <w:p w14:paraId="4AB5FD0F" w14:textId="2DB7C435" w:rsidR="00677126" w:rsidRPr="00940D54" w:rsidRDefault="00677126" w:rsidP="00677126">
      <w:pPr>
        <w:spacing w:after="0" w:line="240" w:lineRule="auto"/>
        <w:rPr>
          <w:rFonts w:ascii="Times New Roman" w:hAnsi="Times New Roman"/>
          <w:highlight w:val="lightGray"/>
          <w:lang w:val="lt-LT"/>
        </w:rPr>
      </w:pPr>
      <w:r w:rsidRPr="00940D54">
        <w:rPr>
          <w:rFonts w:ascii="Times New Roman" w:hAnsi="Times New Roman"/>
          <w:lang w:val="lt-LT"/>
        </w:rPr>
        <w:t xml:space="preserve">LT/1/14/3618/001 </w:t>
      </w:r>
      <w:r w:rsidRPr="00940D54">
        <w:rPr>
          <w:rFonts w:ascii="Times New Roman" w:hAnsi="Times New Roman"/>
          <w:highlight w:val="lightGray"/>
          <w:lang w:val="lt-LT"/>
        </w:rPr>
        <w:t>– N28</w:t>
      </w:r>
    </w:p>
    <w:p w14:paraId="42BA11E0" w14:textId="66A048A3" w:rsidR="00677126" w:rsidRPr="00940D54" w:rsidRDefault="00677126" w:rsidP="00677126">
      <w:pPr>
        <w:spacing w:after="0" w:line="240" w:lineRule="auto"/>
        <w:rPr>
          <w:rFonts w:ascii="Times New Roman" w:hAnsi="Times New Roman"/>
          <w:highlight w:val="lightGray"/>
          <w:lang w:val="lt-LT"/>
        </w:rPr>
      </w:pPr>
      <w:r w:rsidRPr="00940D54">
        <w:rPr>
          <w:rFonts w:ascii="Times New Roman" w:hAnsi="Times New Roman"/>
          <w:highlight w:val="lightGray"/>
          <w:lang w:val="lt-LT"/>
        </w:rPr>
        <w:t>LT/1/14/3618/002 – N3x28</w:t>
      </w:r>
    </w:p>
    <w:p w14:paraId="3269B21F" w14:textId="0F1B0FB6" w:rsidR="00A51A1D" w:rsidRPr="00940D54" w:rsidRDefault="00677126" w:rsidP="00677126">
      <w:pPr>
        <w:spacing w:after="0" w:line="240" w:lineRule="auto"/>
        <w:rPr>
          <w:rFonts w:ascii="Times New Roman" w:hAnsi="Times New Roman"/>
          <w:lang w:val="lt-LT"/>
        </w:rPr>
      </w:pPr>
      <w:r w:rsidRPr="00940D54">
        <w:rPr>
          <w:rFonts w:ascii="Times New Roman" w:hAnsi="Times New Roman"/>
          <w:highlight w:val="lightGray"/>
          <w:lang w:val="lt-LT"/>
        </w:rPr>
        <w:t>LT/1/14/3618/003 – N6x28</w:t>
      </w:r>
    </w:p>
    <w:p w14:paraId="7F40FF34" w14:textId="77777777" w:rsidR="00677126" w:rsidRPr="00940D54" w:rsidRDefault="00677126" w:rsidP="00677126">
      <w:pPr>
        <w:spacing w:after="0" w:line="240" w:lineRule="auto"/>
        <w:rPr>
          <w:rFonts w:ascii="Times New Roman" w:hAnsi="Times New Roman"/>
          <w:lang w:val="lt-LT"/>
        </w:rPr>
      </w:pPr>
    </w:p>
    <w:p w14:paraId="1BE32B34" w14:textId="77777777" w:rsidR="00A51A1D" w:rsidRPr="00940D54" w:rsidRDefault="00A51A1D" w:rsidP="00A51A1D">
      <w:pPr>
        <w:spacing w:after="0" w:line="240" w:lineRule="auto"/>
        <w:rPr>
          <w:rFonts w:ascii="Times New Roman" w:hAnsi="Times New Roman"/>
          <w:lang w:val="lt-LT"/>
        </w:rPr>
      </w:pPr>
    </w:p>
    <w:p w14:paraId="74FD187E" w14:textId="77777777" w:rsidR="00A51A1D" w:rsidRPr="00940D54" w:rsidRDefault="00A51A1D" w:rsidP="001235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lang w:val="lt-LT"/>
        </w:rPr>
      </w:pPr>
      <w:r w:rsidRPr="00940D54">
        <w:rPr>
          <w:rFonts w:ascii="Times New Roman" w:hAnsi="Times New Roman"/>
          <w:b/>
          <w:lang w:val="lt-LT"/>
        </w:rPr>
        <w:t>13.</w:t>
      </w:r>
      <w:r w:rsidRPr="00940D54">
        <w:rPr>
          <w:rFonts w:ascii="Times New Roman" w:hAnsi="Times New Roman"/>
          <w:b/>
          <w:lang w:val="lt-LT"/>
        </w:rPr>
        <w:tab/>
        <w:t xml:space="preserve">SERIJOS NUMERIS </w:t>
      </w:r>
    </w:p>
    <w:p w14:paraId="2CA1993A" w14:textId="77777777" w:rsidR="00A51A1D" w:rsidRPr="00940D54" w:rsidRDefault="00A51A1D" w:rsidP="00A51A1D">
      <w:pPr>
        <w:spacing w:after="0" w:line="240" w:lineRule="auto"/>
        <w:rPr>
          <w:rFonts w:ascii="Times New Roman" w:hAnsi="Times New Roman"/>
          <w:lang w:val="lt-LT"/>
        </w:rPr>
      </w:pPr>
    </w:p>
    <w:p w14:paraId="4E801EDC" w14:textId="288E9B08" w:rsidR="00A51A1D" w:rsidRPr="00940D54" w:rsidRDefault="003C6A66"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Lot</w:t>
      </w:r>
    </w:p>
    <w:p w14:paraId="242CC121" w14:textId="77777777" w:rsidR="00A51A1D" w:rsidRPr="00940D54" w:rsidRDefault="00A51A1D" w:rsidP="00A51A1D">
      <w:pPr>
        <w:spacing w:after="0" w:line="240" w:lineRule="auto"/>
        <w:rPr>
          <w:rFonts w:ascii="Times New Roman" w:hAnsi="Times New Roman"/>
          <w:lang w:val="lt-LT"/>
        </w:rPr>
      </w:pPr>
    </w:p>
    <w:p w14:paraId="63F9D558" w14:textId="77777777" w:rsidR="00A51A1D" w:rsidRPr="00940D54" w:rsidRDefault="00A51A1D" w:rsidP="00A51A1D">
      <w:pPr>
        <w:spacing w:after="0" w:line="240" w:lineRule="auto"/>
        <w:rPr>
          <w:rFonts w:ascii="Times New Roman" w:hAnsi="Times New Roman"/>
          <w:lang w:val="lt-LT"/>
        </w:rPr>
      </w:pPr>
    </w:p>
    <w:p w14:paraId="027A8051" w14:textId="77777777" w:rsidR="00A51A1D" w:rsidRPr="00940D54" w:rsidRDefault="00A51A1D" w:rsidP="003C6A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lang w:val="lt-LT"/>
        </w:rPr>
      </w:pPr>
      <w:r w:rsidRPr="00940D54">
        <w:rPr>
          <w:rFonts w:ascii="Times New Roman" w:hAnsi="Times New Roman"/>
          <w:b/>
          <w:lang w:val="lt-LT"/>
        </w:rPr>
        <w:t>14.</w:t>
      </w:r>
      <w:r w:rsidRPr="00940D54">
        <w:rPr>
          <w:rFonts w:ascii="Times New Roman" w:hAnsi="Times New Roman"/>
          <w:b/>
          <w:lang w:val="lt-LT"/>
        </w:rPr>
        <w:tab/>
        <w:t>PARDAVIMO (IŠDAVIMO) TVARKA</w:t>
      </w:r>
    </w:p>
    <w:p w14:paraId="309953C1" w14:textId="77777777" w:rsidR="00A51A1D" w:rsidRPr="00940D54" w:rsidRDefault="00A51A1D" w:rsidP="00A51A1D">
      <w:pPr>
        <w:spacing w:after="0" w:line="240" w:lineRule="auto"/>
        <w:rPr>
          <w:rFonts w:ascii="Times New Roman" w:hAnsi="Times New Roman"/>
          <w:lang w:val="lt-LT"/>
        </w:rPr>
      </w:pPr>
    </w:p>
    <w:p w14:paraId="052EF307"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Receptinis vaistas</w:t>
      </w:r>
    </w:p>
    <w:p w14:paraId="752E0AD6" w14:textId="77777777" w:rsidR="00A51A1D" w:rsidRPr="00940D54" w:rsidRDefault="00A51A1D" w:rsidP="00A51A1D">
      <w:pPr>
        <w:spacing w:after="0" w:line="240" w:lineRule="auto"/>
        <w:rPr>
          <w:rFonts w:ascii="Times New Roman" w:hAnsi="Times New Roman"/>
          <w:lang w:val="lt-LT"/>
        </w:rPr>
      </w:pPr>
    </w:p>
    <w:p w14:paraId="0262B5E6" w14:textId="77777777" w:rsidR="00A51A1D" w:rsidRPr="00940D54" w:rsidRDefault="00A51A1D" w:rsidP="00A51A1D">
      <w:pPr>
        <w:spacing w:after="0" w:line="240" w:lineRule="auto"/>
        <w:rPr>
          <w:rFonts w:ascii="Times New Roman" w:hAnsi="Times New Roman"/>
          <w:lang w:val="lt-LT"/>
        </w:rPr>
      </w:pPr>
    </w:p>
    <w:p w14:paraId="1FE8D94D" w14:textId="77777777" w:rsidR="00A51A1D" w:rsidRPr="00940D54" w:rsidRDefault="00A51A1D" w:rsidP="00BC303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lang w:val="lt-LT"/>
        </w:rPr>
      </w:pPr>
      <w:r w:rsidRPr="00940D54">
        <w:rPr>
          <w:rFonts w:ascii="Times New Roman" w:hAnsi="Times New Roman"/>
          <w:b/>
          <w:lang w:val="lt-LT"/>
        </w:rPr>
        <w:t>15.</w:t>
      </w:r>
      <w:r w:rsidRPr="00940D54">
        <w:rPr>
          <w:rFonts w:ascii="Times New Roman" w:hAnsi="Times New Roman"/>
          <w:b/>
          <w:lang w:val="lt-LT"/>
        </w:rPr>
        <w:tab/>
        <w:t>VARTOJIMO INSTRUKCIJA</w:t>
      </w:r>
    </w:p>
    <w:p w14:paraId="42E520E9" w14:textId="77777777" w:rsidR="00A51A1D" w:rsidRPr="00940D54" w:rsidRDefault="00A51A1D" w:rsidP="00A51A1D">
      <w:pPr>
        <w:spacing w:after="0" w:line="240" w:lineRule="auto"/>
        <w:rPr>
          <w:rFonts w:ascii="Times New Roman" w:hAnsi="Times New Roman"/>
          <w:lang w:val="lt-LT"/>
        </w:rPr>
      </w:pPr>
    </w:p>
    <w:p w14:paraId="6B2C757D" w14:textId="77777777" w:rsidR="00A51A1D" w:rsidRPr="00940D54" w:rsidRDefault="00A51A1D" w:rsidP="00A51A1D">
      <w:pPr>
        <w:spacing w:after="0" w:line="240" w:lineRule="auto"/>
        <w:rPr>
          <w:rFonts w:ascii="Times New Roman" w:hAnsi="Times New Roman"/>
          <w:lang w:val="lt-LT"/>
        </w:rPr>
      </w:pPr>
    </w:p>
    <w:p w14:paraId="23A43D5D" w14:textId="77777777" w:rsidR="00A51A1D" w:rsidRPr="00940D54" w:rsidRDefault="00A51A1D" w:rsidP="00E746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heme="minorHAnsi" w:hAnsi="Times New Roman" w:cstheme="minorBidi"/>
          <w:color w:val="008000"/>
          <w:lang w:val="lt-LT"/>
        </w:rPr>
      </w:pPr>
      <w:r w:rsidRPr="00940D54">
        <w:rPr>
          <w:rFonts w:ascii="Times New Roman" w:hAnsi="Times New Roman"/>
          <w:b/>
          <w:lang w:val="lt-LT"/>
        </w:rPr>
        <w:t>16.</w:t>
      </w:r>
      <w:r w:rsidRPr="00940D54">
        <w:rPr>
          <w:rFonts w:ascii="Times New Roman" w:hAnsi="Times New Roman"/>
          <w:b/>
          <w:lang w:val="lt-LT"/>
        </w:rPr>
        <w:tab/>
        <w:t>INFORMACIJA BRAILIO RAŠTU</w:t>
      </w:r>
    </w:p>
    <w:p w14:paraId="6ED2E37C" w14:textId="77777777" w:rsidR="00A51A1D" w:rsidRPr="00940D54" w:rsidRDefault="00A51A1D" w:rsidP="00A51A1D">
      <w:pPr>
        <w:spacing w:after="0" w:line="240" w:lineRule="auto"/>
        <w:rPr>
          <w:rFonts w:ascii="Times New Roman" w:hAnsi="Times New Roman"/>
          <w:lang w:val="lt-LT"/>
        </w:rPr>
      </w:pPr>
    </w:p>
    <w:p w14:paraId="2B6E0FEC" w14:textId="77777777"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p>
    <w:p w14:paraId="38659E96" w14:textId="77777777" w:rsidR="00A51A1D" w:rsidRPr="00940D54" w:rsidRDefault="00A51A1D" w:rsidP="00A51A1D">
      <w:pPr>
        <w:spacing w:after="0" w:line="240" w:lineRule="auto"/>
        <w:rPr>
          <w:rFonts w:ascii="Times New Roman" w:hAnsi="Times New Roman"/>
          <w:lang w:val="lt-LT"/>
        </w:rPr>
      </w:pPr>
    </w:p>
    <w:p w14:paraId="2D81AFC5" w14:textId="77777777" w:rsidR="00F67AF8" w:rsidRPr="00940D54" w:rsidRDefault="00F67AF8" w:rsidP="00A51A1D">
      <w:pPr>
        <w:spacing w:after="0" w:line="240" w:lineRule="auto"/>
        <w:rPr>
          <w:rFonts w:ascii="Times New Roman" w:hAnsi="Times New Roman"/>
          <w:lang w:val="lt-LT"/>
        </w:rPr>
      </w:pPr>
    </w:p>
    <w:p w14:paraId="6340D2C9" w14:textId="77777777" w:rsidR="00F67AF8" w:rsidRPr="00940D54" w:rsidRDefault="00F67AF8" w:rsidP="00F67AF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940D54">
        <w:rPr>
          <w:rFonts w:ascii="Times New Roman" w:hAnsi="Times New Roman"/>
          <w:b/>
          <w:lang w:val="lt-LT"/>
        </w:rPr>
        <w:t>17.</w:t>
      </w:r>
      <w:r w:rsidRPr="00940D54">
        <w:rPr>
          <w:rFonts w:ascii="Times New Roman" w:hAnsi="Times New Roman"/>
          <w:b/>
          <w:lang w:val="lt-LT"/>
        </w:rPr>
        <w:tab/>
        <w:t>UNIKALUS IDENTIFIKATORIUS – 2D BRŪKŠNINIS KODAS</w:t>
      </w:r>
    </w:p>
    <w:p w14:paraId="48E34807" w14:textId="77777777" w:rsidR="00F67AF8" w:rsidRPr="00940D54" w:rsidRDefault="00F67AF8" w:rsidP="00F67AF8">
      <w:pPr>
        <w:spacing w:after="0" w:line="240" w:lineRule="auto"/>
        <w:rPr>
          <w:rFonts w:ascii="Times New Roman" w:hAnsi="Times New Roman"/>
          <w:lang w:val="lt-LT"/>
        </w:rPr>
      </w:pPr>
    </w:p>
    <w:p w14:paraId="524F1AAB" w14:textId="77777777" w:rsidR="00F67AF8" w:rsidRPr="00940D54" w:rsidRDefault="00F67AF8" w:rsidP="00F67AF8">
      <w:pPr>
        <w:spacing w:after="0" w:line="240" w:lineRule="auto"/>
        <w:rPr>
          <w:rFonts w:ascii="Times New Roman" w:hAnsi="Times New Roman"/>
          <w:lang w:val="lt-LT"/>
        </w:rPr>
      </w:pPr>
      <w:r w:rsidRPr="00940D54">
        <w:rPr>
          <w:rFonts w:ascii="Times New Roman" w:hAnsi="Times New Roman"/>
          <w:shd w:val="clear" w:color="auto" w:fill="BFBFBF"/>
          <w:lang w:val="lt-LT"/>
        </w:rPr>
        <w:t>2D brūkšninis kodas su nurodytu unikaliu identifikatoriumi.</w:t>
      </w:r>
    </w:p>
    <w:p w14:paraId="3FBF0210" w14:textId="77777777" w:rsidR="00F67AF8" w:rsidRPr="00940D54" w:rsidRDefault="00F67AF8" w:rsidP="00F67AF8">
      <w:pPr>
        <w:spacing w:after="0" w:line="240" w:lineRule="auto"/>
        <w:rPr>
          <w:rFonts w:ascii="Times New Roman" w:hAnsi="Times New Roman"/>
          <w:lang w:val="lt-LT"/>
        </w:rPr>
      </w:pPr>
    </w:p>
    <w:p w14:paraId="1DBF07E4" w14:textId="77777777" w:rsidR="00F67AF8" w:rsidRPr="00940D54" w:rsidRDefault="00F67AF8" w:rsidP="00F67AF8">
      <w:pPr>
        <w:spacing w:after="0" w:line="240" w:lineRule="auto"/>
        <w:rPr>
          <w:rFonts w:ascii="Times New Roman" w:hAnsi="Times New Roman"/>
          <w:lang w:val="lt-LT"/>
        </w:rPr>
      </w:pPr>
    </w:p>
    <w:p w14:paraId="449E74C5" w14:textId="77777777" w:rsidR="00F67AF8" w:rsidRPr="00940D54" w:rsidRDefault="00F67AF8" w:rsidP="00F67AF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940D54">
        <w:rPr>
          <w:rFonts w:ascii="Times New Roman" w:hAnsi="Times New Roman"/>
          <w:b/>
          <w:lang w:val="lt-LT"/>
        </w:rPr>
        <w:t>18.</w:t>
      </w:r>
      <w:r w:rsidRPr="00940D54">
        <w:rPr>
          <w:rFonts w:ascii="Times New Roman" w:hAnsi="Times New Roman"/>
          <w:b/>
          <w:lang w:val="lt-LT"/>
        </w:rPr>
        <w:tab/>
        <w:t>UNIKALUS IDENTIFIKATORIUS – ŽMONĖMS SUPRANTAMI DUOMENYS</w:t>
      </w:r>
    </w:p>
    <w:p w14:paraId="0DF27339" w14:textId="77777777" w:rsidR="00F67AF8" w:rsidRPr="00940D54" w:rsidRDefault="00F67AF8" w:rsidP="00F67AF8">
      <w:pPr>
        <w:spacing w:after="0" w:line="240" w:lineRule="auto"/>
        <w:rPr>
          <w:rFonts w:ascii="Times New Roman" w:hAnsi="Times New Roman"/>
          <w:lang w:val="lt-LT"/>
        </w:rPr>
      </w:pPr>
    </w:p>
    <w:p w14:paraId="293B1A64" w14:textId="77777777" w:rsidR="00F67AF8" w:rsidRPr="00940D54" w:rsidRDefault="00F67AF8" w:rsidP="00F67AF8">
      <w:pPr>
        <w:spacing w:after="0" w:line="240" w:lineRule="auto"/>
        <w:rPr>
          <w:rFonts w:ascii="Times New Roman" w:hAnsi="Times New Roman"/>
          <w:lang w:val="lt-LT"/>
        </w:rPr>
      </w:pPr>
      <w:r w:rsidRPr="00940D54">
        <w:rPr>
          <w:rFonts w:ascii="Times New Roman" w:hAnsi="Times New Roman"/>
          <w:lang w:val="lt-LT"/>
        </w:rPr>
        <w:t xml:space="preserve">PC: </w:t>
      </w:r>
      <w:r w:rsidRPr="00940D54">
        <w:rPr>
          <w:rFonts w:ascii="Times New Roman" w:hAnsi="Times New Roman"/>
          <w:shd w:val="clear" w:color="auto" w:fill="BFBFBF"/>
          <w:lang w:val="lt-LT"/>
        </w:rPr>
        <w:t>{numeris}</w:t>
      </w:r>
    </w:p>
    <w:p w14:paraId="5B702925" w14:textId="77777777" w:rsidR="00F67AF8" w:rsidRPr="00940D54" w:rsidRDefault="00F67AF8" w:rsidP="00F67AF8">
      <w:pPr>
        <w:spacing w:after="0" w:line="240" w:lineRule="auto"/>
        <w:rPr>
          <w:rFonts w:ascii="Times New Roman" w:hAnsi="Times New Roman"/>
          <w:lang w:val="lt-LT"/>
        </w:rPr>
      </w:pPr>
      <w:r w:rsidRPr="00940D54">
        <w:rPr>
          <w:rFonts w:ascii="Times New Roman" w:hAnsi="Times New Roman"/>
          <w:lang w:val="lt-LT"/>
        </w:rPr>
        <w:t xml:space="preserve">SN: </w:t>
      </w:r>
      <w:r w:rsidRPr="00940D54">
        <w:rPr>
          <w:rFonts w:ascii="Times New Roman" w:hAnsi="Times New Roman"/>
          <w:shd w:val="clear" w:color="auto" w:fill="BFBFBF"/>
          <w:lang w:val="lt-LT"/>
        </w:rPr>
        <w:t>{numeris}</w:t>
      </w:r>
    </w:p>
    <w:p w14:paraId="78E760D5" w14:textId="77777777" w:rsidR="00A51A1D" w:rsidRPr="00940D54" w:rsidRDefault="00F67AF8" w:rsidP="00A51A1D">
      <w:pPr>
        <w:spacing w:after="0" w:line="240" w:lineRule="auto"/>
        <w:rPr>
          <w:rFonts w:ascii="Times New Roman" w:hAnsi="Times New Roman"/>
          <w:lang w:val="lt-LT"/>
        </w:rPr>
      </w:pPr>
      <w:r w:rsidRPr="00940D54">
        <w:rPr>
          <w:rFonts w:ascii="Times New Roman" w:hAnsi="Times New Roman"/>
          <w:highlight w:val="lightGray"/>
          <w:lang w:val="lt-LT"/>
        </w:rPr>
        <w:t xml:space="preserve">NN: </w:t>
      </w:r>
      <w:r w:rsidRPr="00940D54">
        <w:rPr>
          <w:rFonts w:ascii="Times New Roman" w:hAnsi="Times New Roman"/>
          <w:highlight w:val="lightGray"/>
          <w:shd w:val="clear" w:color="auto" w:fill="BFBFBF"/>
          <w:lang w:val="lt-LT"/>
        </w:rPr>
        <w:t>{numeris}</w:t>
      </w:r>
      <w:r w:rsidR="00A51A1D" w:rsidRPr="00940D54">
        <w:rPr>
          <w:rFonts w:ascii="Times New Roman" w:hAnsi="Times New Roman"/>
          <w:lang w:val="lt-LT"/>
        </w:rPr>
        <w:br w:type="page"/>
      </w:r>
    </w:p>
    <w:p w14:paraId="5F7AB6E6"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940D54">
        <w:rPr>
          <w:rFonts w:ascii="Times New Roman" w:hAnsi="Times New Roman"/>
          <w:b/>
          <w:lang w:val="lt-LT"/>
        </w:rPr>
        <w:lastRenderedPageBreak/>
        <w:t>MINIMALI INFORMACIJA ANT LIZDINIŲ PLOKŠTELIŲ ARBA DVISLUOKSNIŲ JUOSTELIŲ</w:t>
      </w:r>
    </w:p>
    <w:p w14:paraId="01C78893"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p>
    <w:p w14:paraId="5ECF1BE8"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heme="minorHAnsi" w:hAnsi="Times New Roman" w:cstheme="minorBidi"/>
          <w:b/>
          <w:lang w:val="lt-LT"/>
        </w:rPr>
      </w:pPr>
      <w:r w:rsidRPr="00940D54">
        <w:rPr>
          <w:rFonts w:ascii="Times New Roman" w:hAnsi="Times New Roman"/>
          <w:b/>
          <w:lang w:val="lt-LT"/>
        </w:rPr>
        <w:t xml:space="preserve">PVC/PVDC aliuminio folijos lizdinė plokštelė </w:t>
      </w:r>
    </w:p>
    <w:p w14:paraId="4A6E8F71" w14:textId="77777777" w:rsidR="00A51A1D" w:rsidRPr="00940D54" w:rsidRDefault="00A51A1D" w:rsidP="00A51A1D">
      <w:pPr>
        <w:spacing w:after="0" w:line="240" w:lineRule="auto"/>
        <w:rPr>
          <w:rFonts w:ascii="Times New Roman" w:hAnsi="Times New Roman"/>
          <w:lang w:val="lt-LT"/>
        </w:rPr>
      </w:pPr>
    </w:p>
    <w:p w14:paraId="0E81ABB5" w14:textId="77777777" w:rsidR="00A51A1D" w:rsidRPr="00940D54" w:rsidRDefault="00A51A1D" w:rsidP="00A51A1D">
      <w:pPr>
        <w:spacing w:after="0" w:line="240" w:lineRule="auto"/>
        <w:rPr>
          <w:rFonts w:ascii="Times New Roman" w:hAnsi="Times New Roman"/>
          <w:lang w:val="lt-LT"/>
        </w:rPr>
      </w:pPr>
    </w:p>
    <w:p w14:paraId="1FA50770"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1.</w:t>
      </w:r>
      <w:r w:rsidRPr="00940D54">
        <w:rPr>
          <w:rFonts w:ascii="Times New Roman" w:hAnsi="Times New Roman"/>
          <w:b/>
          <w:lang w:val="lt-LT"/>
        </w:rPr>
        <w:tab/>
      </w:r>
      <w:r w:rsidRPr="00940D54">
        <w:rPr>
          <w:rFonts w:ascii="Times New Roman" w:hAnsi="Times New Roman"/>
          <w:b/>
          <w:caps/>
          <w:lang w:val="lt-LT"/>
        </w:rPr>
        <w:t>VAISTINIO</w:t>
      </w:r>
      <w:r w:rsidRPr="00940D54">
        <w:rPr>
          <w:rFonts w:ascii="Times New Roman" w:hAnsi="Times New Roman"/>
          <w:b/>
          <w:lang w:val="lt-LT"/>
        </w:rPr>
        <w:t xml:space="preserve"> PREPARATO PAVADINIMAS</w:t>
      </w:r>
    </w:p>
    <w:p w14:paraId="191B0E82" w14:textId="77777777" w:rsidR="00A51A1D" w:rsidRPr="00940D54" w:rsidRDefault="00A51A1D" w:rsidP="00A51A1D">
      <w:pPr>
        <w:spacing w:after="0" w:line="240" w:lineRule="auto"/>
        <w:rPr>
          <w:rFonts w:ascii="Times New Roman" w:hAnsi="Times New Roman"/>
          <w:lang w:val="lt-LT"/>
        </w:rPr>
      </w:pPr>
    </w:p>
    <w:p w14:paraId="3E085B42" w14:textId="77777777" w:rsidR="00A51A1D" w:rsidRPr="00940D54" w:rsidRDefault="00A51A1D" w:rsidP="00A51A1D">
      <w:pPr>
        <w:tabs>
          <w:tab w:val="left" w:pos="567"/>
        </w:tabs>
        <w:spacing w:after="0" w:line="240" w:lineRule="auto"/>
        <w:rPr>
          <w:rFonts w:ascii="Times New Roman" w:eastAsiaTheme="minorHAnsi" w:hAnsi="Times New Roman" w:cstheme="minorBidi"/>
          <w:lang w:val="lt-LT"/>
        </w:rPr>
      </w:pPr>
      <w:proofErr w:type="spellStart"/>
      <w:r w:rsidRPr="00940D54">
        <w:rPr>
          <w:rFonts w:ascii="Times New Roman" w:hAnsi="Times New Roman"/>
          <w:position w:val="-1"/>
          <w:lang w:val="lt-LT"/>
        </w:rPr>
        <w:t>velbienne</w:t>
      </w:r>
      <w:proofErr w:type="spellEnd"/>
      <w:r w:rsidRPr="00940D54">
        <w:rPr>
          <w:rFonts w:ascii="Times New Roman" w:hAnsi="Times New Roman"/>
          <w:lang w:val="lt-LT"/>
        </w:rPr>
        <w:t xml:space="preserve"> 2 mg/1 mg </w:t>
      </w:r>
      <w:r w:rsidRPr="00940D54">
        <w:rPr>
          <w:rFonts w:ascii="Times New Roman" w:hAnsi="Times New Roman"/>
          <w:highlight w:val="lightGray"/>
          <w:lang w:val="lt-LT"/>
        </w:rPr>
        <w:t>plėvele dengtos</w:t>
      </w:r>
      <w:r w:rsidRPr="00940D54">
        <w:rPr>
          <w:rFonts w:ascii="Times New Roman" w:hAnsi="Times New Roman"/>
          <w:lang w:val="lt-LT"/>
        </w:rPr>
        <w:t xml:space="preserve"> tabletės</w:t>
      </w:r>
    </w:p>
    <w:p w14:paraId="61A1B822"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Dienogestum</w:t>
      </w:r>
      <w:proofErr w:type="spellEnd"/>
      <w:r w:rsidRPr="00940D54">
        <w:rPr>
          <w:rFonts w:ascii="Times New Roman" w:hAnsi="Times New Roman"/>
          <w:color w:val="000000"/>
          <w:lang w:val="lt-LT"/>
        </w:rPr>
        <w:t xml:space="preserve"> / </w:t>
      </w:r>
      <w:proofErr w:type="spellStart"/>
      <w:r w:rsidRPr="00940D54">
        <w:rPr>
          <w:rFonts w:ascii="Times New Roman" w:hAnsi="Times New Roman"/>
          <w:color w:val="000000"/>
          <w:lang w:val="lt-LT"/>
        </w:rPr>
        <w:t>Estradioli</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valeras</w:t>
      </w:r>
      <w:proofErr w:type="spellEnd"/>
    </w:p>
    <w:p w14:paraId="1421E34B" w14:textId="77777777" w:rsidR="00A51A1D" w:rsidRPr="00940D54" w:rsidRDefault="00A51A1D" w:rsidP="00A51A1D">
      <w:pPr>
        <w:spacing w:after="0" w:line="240" w:lineRule="auto"/>
        <w:rPr>
          <w:rFonts w:ascii="Times New Roman" w:hAnsi="Times New Roman"/>
          <w:lang w:val="lt-LT"/>
        </w:rPr>
      </w:pPr>
    </w:p>
    <w:p w14:paraId="73198025" w14:textId="77777777" w:rsidR="00A51A1D" w:rsidRPr="00940D54" w:rsidRDefault="00A51A1D" w:rsidP="00A51A1D">
      <w:pPr>
        <w:spacing w:after="0" w:line="240" w:lineRule="auto"/>
        <w:rPr>
          <w:rFonts w:ascii="Times New Roman" w:hAnsi="Times New Roman"/>
          <w:lang w:val="lt-LT"/>
        </w:rPr>
      </w:pPr>
    </w:p>
    <w:p w14:paraId="34560BB8"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2.</w:t>
      </w:r>
      <w:r w:rsidRPr="00940D54">
        <w:rPr>
          <w:rFonts w:ascii="Times New Roman" w:hAnsi="Times New Roman"/>
          <w:b/>
          <w:lang w:val="lt-LT"/>
        </w:rPr>
        <w:tab/>
      </w:r>
      <w:r w:rsidRPr="00940D54">
        <w:rPr>
          <w:rFonts w:ascii="Times New Roman" w:hAnsi="Times New Roman"/>
          <w:b/>
          <w:caps/>
          <w:lang w:val="lt-LT"/>
        </w:rPr>
        <w:t>REGISTRUOTOJO</w:t>
      </w:r>
      <w:r w:rsidRPr="00940D54" w:rsidDel="00E117F2">
        <w:rPr>
          <w:rFonts w:ascii="Times New Roman" w:hAnsi="Times New Roman"/>
          <w:b/>
          <w:caps/>
          <w:lang w:val="lt-LT"/>
        </w:rPr>
        <w:t xml:space="preserve"> </w:t>
      </w:r>
      <w:r w:rsidRPr="00940D54">
        <w:rPr>
          <w:rFonts w:ascii="Times New Roman" w:hAnsi="Times New Roman"/>
          <w:b/>
          <w:caps/>
          <w:lang w:val="lt-LT"/>
        </w:rPr>
        <w:t>pavadinimas</w:t>
      </w:r>
    </w:p>
    <w:p w14:paraId="640C6A7B" w14:textId="77777777" w:rsidR="00A51A1D" w:rsidRPr="00940D54" w:rsidRDefault="00A51A1D" w:rsidP="00A51A1D">
      <w:pPr>
        <w:spacing w:after="0" w:line="240" w:lineRule="auto"/>
        <w:rPr>
          <w:rFonts w:ascii="Times New Roman" w:hAnsi="Times New Roman"/>
          <w:lang w:val="lt-LT"/>
        </w:rPr>
      </w:pPr>
    </w:p>
    <w:p w14:paraId="4B5DEC51"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Exeltis Baltics</w:t>
      </w:r>
    </w:p>
    <w:p w14:paraId="6D3FAE06" w14:textId="77777777" w:rsidR="00A51A1D" w:rsidRPr="00940D54" w:rsidRDefault="00A51A1D" w:rsidP="00A51A1D">
      <w:pPr>
        <w:spacing w:after="0" w:line="240" w:lineRule="auto"/>
        <w:rPr>
          <w:rFonts w:ascii="Times New Roman" w:hAnsi="Times New Roman"/>
          <w:lang w:val="lt-LT"/>
        </w:rPr>
      </w:pPr>
    </w:p>
    <w:p w14:paraId="3F040AC6" w14:textId="77777777" w:rsidR="00A51A1D" w:rsidRPr="00940D54" w:rsidRDefault="00A51A1D" w:rsidP="00A51A1D">
      <w:pPr>
        <w:spacing w:after="0" w:line="240" w:lineRule="auto"/>
        <w:rPr>
          <w:rFonts w:ascii="Times New Roman" w:hAnsi="Times New Roman"/>
          <w:lang w:val="lt-LT"/>
        </w:rPr>
      </w:pPr>
    </w:p>
    <w:p w14:paraId="191E2BAB" w14:textId="77777777" w:rsidR="00A51A1D" w:rsidRPr="00940D54" w:rsidRDefault="00A51A1D" w:rsidP="00A86326">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3.</w:t>
      </w:r>
      <w:r w:rsidRPr="00940D54">
        <w:rPr>
          <w:rFonts w:ascii="Times New Roman" w:hAnsi="Times New Roman"/>
          <w:b/>
          <w:lang w:val="lt-LT"/>
        </w:rPr>
        <w:tab/>
        <w:t>TINKAMUMO LAIKAS</w:t>
      </w:r>
    </w:p>
    <w:p w14:paraId="357DFB84" w14:textId="77777777" w:rsidR="00A51A1D" w:rsidRPr="00940D54" w:rsidRDefault="00A51A1D" w:rsidP="00A51A1D">
      <w:pPr>
        <w:spacing w:after="0" w:line="240" w:lineRule="auto"/>
        <w:rPr>
          <w:rFonts w:ascii="Times New Roman" w:hAnsi="Times New Roman"/>
          <w:lang w:val="lt-LT"/>
        </w:rPr>
      </w:pPr>
    </w:p>
    <w:p w14:paraId="3D26B9DD"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EXP: mm/MMMM</w:t>
      </w:r>
    </w:p>
    <w:p w14:paraId="11B534FF" w14:textId="77777777" w:rsidR="00A51A1D" w:rsidRPr="00940D54" w:rsidRDefault="00A51A1D" w:rsidP="00A51A1D">
      <w:pPr>
        <w:spacing w:after="0" w:line="240" w:lineRule="auto"/>
        <w:rPr>
          <w:rFonts w:ascii="Times New Roman" w:hAnsi="Times New Roman"/>
          <w:lang w:val="lt-LT"/>
        </w:rPr>
      </w:pPr>
    </w:p>
    <w:p w14:paraId="6FBEC8B7" w14:textId="77777777" w:rsidR="00A51A1D" w:rsidRPr="00940D54" w:rsidRDefault="00A51A1D" w:rsidP="00A51A1D">
      <w:pPr>
        <w:spacing w:after="0" w:line="240" w:lineRule="auto"/>
        <w:rPr>
          <w:rFonts w:ascii="Times New Roman" w:hAnsi="Times New Roman"/>
          <w:lang w:val="lt-LT"/>
        </w:rPr>
      </w:pPr>
    </w:p>
    <w:p w14:paraId="05270986" w14:textId="77777777" w:rsidR="00A51A1D" w:rsidRPr="00940D54" w:rsidRDefault="00A51A1D" w:rsidP="00A8632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4.</w:t>
      </w:r>
      <w:r w:rsidRPr="00940D54">
        <w:rPr>
          <w:rFonts w:ascii="Times New Roman" w:hAnsi="Times New Roman"/>
          <w:b/>
          <w:lang w:val="lt-LT"/>
        </w:rPr>
        <w:tab/>
        <w:t>SERIJOS NUMERIS</w:t>
      </w:r>
    </w:p>
    <w:p w14:paraId="45A502AA" w14:textId="77777777" w:rsidR="00A51A1D" w:rsidRPr="00940D54" w:rsidRDefault="00A51A1D" w:rsidP="00A51A1D">
      <w:pPr>
        <w:spacing w:after="0" w:line="240" w:lineRule="auto"/>
        <w:rPr>
          <w:rFonts w:ascii="Times New Roman" w:hAnsi="Times New Roman"/>
          <w:lang w:val="lt-LT"/>
        </w:rPr>
      </w:pPr>
    </w:p>
    <w:p w14:paraId="66641B4F"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Lot:</w:t>
      </w:r>
    </w:p>
    <w:p w14:paraId="29788097" w14:textId="77777777" w:rsidR="00A51A1D" w:rsidRPr="00940D54" w:rsidRDefault="00A51A1D" w:rsidP="00A51A1D">
      <w:pPr>
        <w:spacing w:after="0" w:line="240" w:lineRule="auto"/>
        <w:rPr>
          <w:rFonts w:ascii="Times New Roman" w:hAnsi="Times New Roman"/>
          <w:lang w:val="lt-LT"/>
        </w:rPr>
      </w:pPr>
    </w:p>
    <w:p w14:paraId="0EE9E0FF" w14:textId="77777777" w:rsidR="00A51A1D" w:rsidRPr="00940D54" w:rsidRDefault="00A51A1D" w:rsidP="00A51A1D">
      <w:pPr>
        <w:spacing w:after="0" w:line="240" w:lineRule="auto"/>
        <w:rPr>
          <w:rFonts w:ascii="Times New Roman" w:hAnsi="Times New Roman"/>
          <w:lang w:val="lt-LT"/>
        </w:rPr>
      </w:pPr>
    </w:p>
    <w:p w14:paraId="3D695CB2"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5.</w:t>
      </w:r>
      <w:r w:rsidRPr="00940D54">
        <w:rPr>
          <w:rFonts w:ascii="Times New Roman" w:hAnsi="Times New Roman"/>
          <w:b/>
          <w:lang w:val="lt-LT"/>
        </w:rPr>
        <w:tab/>
        <w:t>KITA</w:t>
      </w:r>
    </w:p>
    <w:p w14:paraId="0E15EC23" w14:textId="77777777" w:rsidR="00A51A1D" w:rsidRPr="00940D54" w:rsidRDefault="00A51A1D" w:rsidP="00A51A1D">
      <w:pPr>
        <w:spacing w:after="0" w:line="240" w:lineRule="auto"/>
        <w:rPr>
          <w:rFonts w:ascii="Times New Roman" w:hAnsi="Times New Roman"/>
          <w:lang w:val="lt-LT"/>
        </w:rPr>
      </w:pPr>
    </w:p>
    <w:p w14:paraId="7A10BB86" w14:textId="77777777" w:rsidR="00A51A1D" w:rsidRPr="00940D54" w:rsidRDefault="00A51A1D" w:rsidP="00A51A1D">
      <w:pPr>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Tablečių vartojimo dienos pažymėtos rodyklėmis tarp tablečių lizdų.</w:t>
      </w:r>
    </w:p>
    <w:p w14:paraId="6EF70873" w14:textId="77777777" w:rsidR="00A51A1D" w:rsidRPr="00940D54" w:rsidRDefault="00A51A1D" w:rsidP="00A51A1D">
      <w:pPr>
        <w:spacing w:after="0" w:line="240" w:lineRule="auto"/>
        <w:rPr>
          <w:rFonts w:ascii="Times New Roman" w:hAnsi="Times New Roman"/>
          <w:lang w:val="lt-LT"/>
        </w:rPr>
      </w:pPr>
    </w:p>
    <w:p w14:paraId="160C1EE3"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P-&gt;A-&gt;T-&gt;K-&gt;</w:t>
      </w:r>
      <w:proofErr w:type="spellStart"/>
      <w:r w:rsidRPr="00940D54">
        <w:rPr>
          <w:rFonts w:ascii="Times New Roman" w:hAnsi="Times New Roman"/>
          <w:lang w:val="lt-LT"/>
        </w:rPr>
        <w:t>Pn</w:t>
      </w:r>
      <w:proofErr w:type="spellEnd"/>
      <w:r w:rsidRPr="00940D54">
        <w:rPr>
          <w:rFonts w:ascii="Times New Roman" w:hAnsi="Times New Roman"/>
          <w:lang w:val="lt-LT"/>
        </w:rPr>
        <w:t>-&gt;Š-&gt;S-&gt;P-&gt;A-&gt;T-&gt;K-&gt;</w:t>
      </w:r>
      <w:proofErr w:type="spellStart"/>
      <w:r w:rsidRPr="00940D54">
        <w:rPr>
          <w:rFonts w:ascii="Times New Roman" w:hAnsi="Times New Roman"/>
          <w:lang w:val="lt-LT"/>
        </w:rPr>
        <w:t>Pn</w:t>
      </w:r>
      <w:proofErr w:type="spellEnd"/>
      <w:r w:rsidRPr="00940D54">
        <w:rPr>
          <w:rFonts w:ascii="Times New Roman" w:hAnsi="Times New Roman"/>
          <w:lang w:val="lt-LT"/>
        </w:rPr>
        <w:t>-&gt;Š-&gt;S-&gt;P-&gt;A-&gt;T-&gt;K-&gt;</w:t>
      </w:r>
      <w:proofErr w:type="spellStart"/>
      <w:r w:rsidRPr="00940D54">
        <w:rPr>
          <w:rFonts w:ascii="Times New Roman" w:hAnsi="Times New Roman"/>
          <w:lang w:val="lt-LT"/>
        </w:rPr>
        <w:t>Pn</w:t>
      </w:r>
      <w:proofErr w:type="spellEnd"/>
      <w:r w:rsidRPr="00940D54">
        <w:rPr>
          <w:rFonts w:ascii="Times New Roman" w:hAnsi="Times New Roman"/>
          <w:lang w:val="lt-LT"/>
        </w:rPr>
        <w:t>-&gt;Š-&gt;S</w:t>
      </w:r>
    </w:p>
    <w:p w14:paraId="6A09AEB9" w14:textId="77777777" w:rsidR="00A51A1D" w:rsidRPr="00940D54" w:rsidRDefault="00A51A1D" w:rsidP="00A51A1D">
      <w:pPr>
        <w:spacing w:after="0" w:line="240" w:lineRule="auto"/>
        <w:rPr>
          <w:rFonts w:ascii="Times New Roman" w:hAnsi="Times New Roman"/>
          <w:lang w:val="lt-LT"/>
        </w:rPr>
      </w:pPr>
    </w:p>
    <w:p w14:paraId="1080DB42" w14:textId="77777777" w:rsidR="00A51A1D" w:rsidRPr="00940D54" w:rsidRDefault="00A51A1D" w:rsidP="00A51A1D">
      <w:pPr>
        <w:spacing w:line="240" w:lineRule="auto"/>
        <w:rPr>
          <w:rFonts w:ascii="Times New Roman" w:hAnsi="Times New Roman"/>
          <w:lang w:val="lt-LT"/>
        </w:rPr>
      </w:pPr>
      <w:r w:rsidRPr="00940D54">
        <w:rPr>
          <w:rFonts w:ascii="Times New Roman" w:hAnsi="Times New Roman"/>
          <w:lang w:val="lt-LT"/>
        </w:rPr>
        <w:br w:type="page"/>
      </w:r>
    </w:p>
    <w:p w14:paraId="3A68239B"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940D54">
        <w:rPr>
          <w:rFonts w:ascii="Times New Roman" w:hAnsi="Times New Roman"/>
          <w:b/>
          <w:lang w:val="lt-LT"/>
        </w:rPr>
        <w:lastRenderedPageBreak/>
        <w:t>MINIMALI INFORMACIJA ANT LIZDINIŲ PLOKŠTELIŲ LAIKIKLIO</w:t>
      </w:r>
    </w:p>
    <w:p w14:paraId="482AC6BA" w14:textId="77777777" w:rsidR="00A51A1D" w:rsidRPr="00940D54" w:rsidRDefault="00A51A1D" w:rsidP="00A51A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2C16AA1C" w14:textId="77777777" w:rsidR="00A51A1D" w:rsidRPr="00940D54" w:rsidRDefault="00A51A1D" w:rsidP="00A51A1D">
      <w:pPr>
        <w:spacing w:after="0" w:line="240" w:lineRule="auto"/>
        <w:rPr>
          <w:rFonts w:ascii="Times New Roman" w:hAnsi="Times New Roman"/>
          <w:lang w:val="lt-LT"/>
        </w:rPr>
      </w:pPr>
    </w:p>
    <w:p w14:paraId="7C88B428" w14:textId="77777777" w:rsidR="00A51A1D" w:rsidRPr="00940D54" w:rsidRDefault="00A51A1D" w:rsidP="00A51A1D">
      <w:pPr>
        <w:spacing w:after="0" w:line="240" w:lineRule="auto"/>
        <w:rPr>
          <w:rFonts w:ascii="Times New Roman" w:hAnsi="Times New Roman"/>
          <w:lang w:val="lt-LT"/>
        </w:rPr>
      </w:pPr>
    </w:p>
    <w:p w14:paraId="23746762"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1.</w:t>
      </w:r>
      <w:r w:rsidRPr="00940D54">
        <w:rPr>
          <w:rFonts w:ascii="Times New Roman" w:hAnsi="Times New Roman"/>
          <w:b/>
          <w:lang w:val="lt-LT"/>
        </w:rPr>
        <w:tab/>
      </w:r>
      <w:r w:rsidRPr="00940D54">
        <w:rPr>
          <w:rFonts w:ascii="Times New Roman" w:hAnsi="Times New Roman"/>
          <w:b/>
          <w:caps/>
          <w:lang w:val="lt-LT"/>
        </w:rPr>
        <w:t>VAISTINIO</w:t>
      </w:r>
      <w:r w:rsidRPr="00940D54">
        <w:rPr>
          <w:rFonts w:ascii="Times New Roman" w:hAnsi="Times New Roman"/>
          <w:b/>
          <w:lang w:val="lt-LT"/>
        </w:rPr>
        <w:t xml:space="preserve"> PREPARATO PAVADINIMAS</w:t>
      </w:r>
    </w:p>
    <w:p w14:paraId="43AED007" w14:textId="77777777" w:rsidR="00A51A1D" w:rsidRPr="00940D54" w:rsidRDefault="00A51A1D" w:rsidP="00A51A1D">
      <w:pPr>
        <w:spacing w:after="0" w:line="240" w:lineRule="auto"/>
        <w:rPr>
          <w:rFonts w:ascii="Times New Roman" w:hAnsi="Times New Roman"/>
          <w:lang w:val="lt-LT"/>
        </w:rPr>
      </w:pPr>
    </w:p>
    <w:p w14:paraId="246F6394" w14:textId="77777777" w:rsidR="00A51A1D" w:rsidRPr="00940D54" w:rsidRDefault="00A51A1D" w:rsidP="00A51A1D">
      <w:pPr>
        <w:tabs>
          <w:tab w:val="left" w:pos="567"/>
        </w:tabs>
        <w:spacing w:after="0" w:line="240" w:lineRule="auto"/>
        <w:rPr>
          <w:rFonts w:ascii="Times New Roman" w:eastAsiaTheme="minorHAnsi" w:hAnsi="Times New Roman" w:cstheme="minorBidi"/>
          <w:lang w:val="lt-LT"/>
        </w:rPr>
      </w:pPr>
      <w:proofErr w:type="spellStart"/>
      <w:r w:rsidRPr="00940D54">
        <w:rPr>
          <w:rFonts w:ascii="Times New Roman" w:hAnsi="Times New Roman"/>
          <w:position w:val="-1"/>
          <w:lang w:val="lt-LT"/>
        </w:rPr>
        <w:t>velbienne</w:t>
      </w:r>
      <w:proofErr w:type="spellEnd"/>
      <w:r w:rsidRPr="00940D54">
        <w:rPr>
          <w:rFonts w:ascii="Times New Roman" w:hAnsi="Times New Roman"/>
          <w:lang w:val="lt-LT"/>
        </w:rPr>
        <w:t xml:space="preserve"> 2 mg/1 mg </w:t>
      </w:r>
      <w:r w:rsidRPr="00940D54">
        <w:rPr>
          <w:rFonts w:ascii="Times New Roman" w:hAnsi="Times New Roman"/>
          <w:highlight w:val="lightGray"/>
          <w:lang w:val="lt-LT"/>
        </w:rPr>
        <w:t>plėvele dengtos</w:t>
      </w:r>
      <w:r w:rsidRPr="00940D54">
        <w:rPr>
          <w:rFonts w:ascii="Times New Roman" w:hAnsi="Times New Roman"/>
          <w:lang w:val="lt-LT"/>
        </w:rPr>
        <w:t xml:space="preserve"> tabletės</w:t>
      </w:r>
    </w:p>
    <w:p w14:paraId="604BDFBC"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Dienogestum</w:t>
      </w:r>
      <w:proofErr w:type="spellEnd"/>
      <w:r w:rsidRPr="00940D54">
        <w:rPr>
          <w:rFonts w:ascii="Times New Roman" w:hAnsi="Times New Roman"/>
          <w:color w:val="000000"/>
          <w:lang w:val="lt-LT"/>
        </w:rPr>
        <w:t xml:space="preserve"> / </w:t>
      </w:r>
      <w:proofErr w:type="spellStart"/>
      <w:r w:rsidRPr="00940D54">
        <w:rPr>
          <w:rFonts w:ascii="Times New Roman" w:hAnsi="Times New Roman"/>
          <w:color w:val="000000"/>
          <w:lang w:val="lt-LT"/>
        </w:rPr>
        <w:t>Estradioli</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valeras</w:t>
      </w:r>
      <w:proofErr w:type="spellEnd"/>
    </w:p>
    <w:p w14:paraId="59D30743" w14:textId="77777777" w:rsidR="00A51A1D" w:rsidRPr="00940D54" w:rsidRDefault="00A51A1D" w:rsidP="00A51A1D">
      <w:pPr>
        <w:spacing w:after="0" w:line="240" w:lineRule="auto"/>
        <w:rPr>
          <w:rFonts w:ascii="Times New Roman" w:hAnsi="Times New Roman"/>
          <w:lang w:val="lt-LT"/>
        </w:rPr>
      </w:pPr>
    </w:p>
    <w:p w14:paraId="0FCA78A0" w14:textId="77777777" w:rsidR="00A51A1D" w:rsidRPr="00940D54" w:rsidRDefault="00A51A1D" w:rsidP="00A51A1D">
      <w:pPr>
        <w:spacing w:after="0" w:line="240" w:lineRule="auto"/>
        <w:rPr>
          <w:rFonts w:ascii="Times New Roman" w:hAnsi="Times New Roman"/>
          <w:lang w:val="lt-LT"/>
        </w:rPr>
      </w:pPr>
    </w:p>
    <w:p w14:paraId="65823916" w14:textId="77777777" w:rsidR="00A51A1D" w:rsidRPr="00940D54" w:rsidRDefault="00A51A1D" w:rsidP="00A863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2.</w:t>
      </w:r>
      <w:r w:rsidRPr="00940D54">
        <w:rPr>
          <w:rFonts w:ascii="Times New Roman" w:hAnsi="Times New Roman"/>
          <w:b/>
          <w:lang w:val="lt-LT"/>
        </w:rPr>
        <w:tab/>
      </w:r>
      <w:r w:rsidRPr="00940D54">
        <w:rPr>
          <w:rFonts w:ascii="Times New Roman" w:hAnsi="Times New Roman"/>
          <w:b/>
          <w:caps/>
          <w:lang w:val="lt-LT"/>
        </w:rPr>
        <w:t>REGISTRUOTOJO pavadinimas</w:t>
      </w:r>
    </w:p>
    <w:p w14:paraId="4FD4EC37" w14:textId="77777777" w:rsidR="00A51A1D" w:rsidRPr="00940D54" w:rsidRDefault="00A51A1D" w:rsidP="00A51A1D">
      <w:pPr>
        <w:spacing w:after="0" w:line="240" w:lineRule="auto"/>
        <w:rPr>
          <w:rFonts w:ascii="Times New Roman" w:hAnsi="Times New Roman"/>
          <w:lang w:val="lt-LT"/>
        </w:rPr>
      </w:pPr>
    </w:p>
    <w:p w14:paraId="3676D10C"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Exeltis Baltics</w:t>
      </w:r>
    </w:p>
    <w:p w14:paraId="073E95C0" w14:textId="77777777" w:rsidR="00A51A1D" w:rsidRPr="00940D54" w:rsidRDefault="00A51A1D" w:rsidP="00A51A1D">
      <w:pPr>
        <w:spacing w:after="0" w:line="240" w:lineRule="auto"/>
        <w:rPr>
          <w:rFonts w:ascii="Times New Roman" w:hAnsi="Times New Roman"/>
          <w:lang w:val="lt-LT"/>
        </w:rPr>
      </w:pPr>
    </w:p>
    <w:p w14:paraId="070398CE" w14:textId="77777777" w:rsidR="00A51A1D" w:rsidRPr="00940D54" w:rsidRDefault="00A51A1D" w:rsidP="00A51A1D">
      <w:pPr>
        <w:spacing w:after="0" w:line="240" w:lineRule="auto"/>
        <w:rPr>
          <w:rFonts w:ascii="Times New Roman" w:hAnsi="Times New Roman"/>
          <w:lang w:val="lt-LT"/>
        </w:rPr>
      </w:pPr>
    </w:p>
    <w:p w14:paraId="3009D733" w14:textId="77777777" w:rsidR="00A51A1D" w:rsidRPr="00940D54" w:rsidRDefault="00A51A1D" w:rsidP="0012359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3.</w:t>
      </w:r>
      <w:r w:rsidRPr="00940D54">
        <w:rPr>
          <w:rFonts w:ascii="Times New Roman" w:hAnsi="Times New Roman"/>
          <w:b/>
          <w:lang w:val="lt-LT"/>
        </w:rPr>
        <w:tab/>
        <w:t>TINKAMUMO LAIKAS</w:t>
      </w:r>
    </w:p>
    <w:p w14:paraId="04919A7F" w14:textId="77777777" w:rsidR="00A51A1D" w:rsidRPr="00940D54" w:rsidRDefault="00A51A1D" w:rsidP="00A51A1D">
      <w:pPr>
        <w:spacing w:after="0" w:line="240" w:lineRule="auto"/>
        <w:rPr>
          <w:rFonts w:ascii="Times New Roman" w:hAnsi="Times New Roman"/>
          <w:lang w:val="lt-LT"/>
        </w:rPr>
      </w:pPr>
    </w:p>
    <w:p w14:paraId="60E09AE1" w14:textId="77777777" w:rsidR="00A51A1D" w:rsidRPr="00940D54" w:rsidRDefault="00A51A1D" w:rsidP="00A51A1D">
      <w:pPr>
        <w:spacing w:after="0" w:line="240" w:lineRule="auto"/>
        <w:rPr>
          <w:rFonts w:ascii="Times New Roman" w:hAnsi="Times New Roman"/>
          <w:lang w:val="lt-LT"/>
        </w:rPr>
      </w:pPr>
    </w:p>
    <w:p w14:paraId="23A2920A" w14:textId="77777777" w:rsidR="00A51A1D" w:rsidRPr="00940D54" w:rsidRDefault="00A51A1D" w:rsidP="00A8632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4.</w:t>
      </w:r>
      <w:r w:rsidRPr="00940D54">
        <w:rPr>
          <w:rFonts w:ascii="Times New Roman" w:hAnsi="Times New Roman"/>
          <w:b/>
          <w:lang w:val="lt-LT"/>
        </w:rPr>
        <w:tab/>
        <w:t>SERIJOS NUMERIS</w:t>
      </w:r>
    </w:p>
    <w:p w14:paraId="2EC95D7B" w14:textId="77777777" w:rsidR="00A51A1D" w:rsidRPr="00940D54" w:rsidRDefault="00A51A1D" w:rsidP="00A51A1D">
      <w:pPr>
        <w:spacing w:after="0" w:line="240" w:lineRule="auto"/>
        <w:rPr>
          <w:rFonts w:ascii="Times New Roman" w:hAnsi="Times New Roman"/>
          <w:lang w:val="lt-LT"/>
        </w:rPr>
      </w:pPr>
    </w:p>
    <w:p w14:paraId="7E13F4F9" w14:textId="77777777" w:rsidR="00A51A1D" w:rsidRPr="00940D54" w:rsidRDefault="00A51A1D" w:rsidP="00A51A1D">
      <w:pPr>
        <w:spacing w:after="0" w:line="240" w:lineRule="auto"/>
        <w:rPr>
          <w:rFonts w:ascii="Times New Roman" w:hAnsi="Times New Roman"/>
          <w:lang w:val="lt-LT"/>
        </w:rPr>
      </w:pPr>
    </w:p>
    <w:p w14:paraId="5EA9E4A0" w14:textId="77777777" w:rsidR="00A51A1D" w:rsidRPr="00940D54" w:rsidRDefault="00A51A1D" w:rsidP="001235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cstheme="minorBidi"/>
          <w:b/>
          <w:lang w:val="lt-LT"/>
        </w:rPr>
      </w:pPr>
      <w:r w:rsidRPr="00940D54">
        <w:rPr>
          <w:rFonts w:ascii="Times New Roman" w:hAnsi="Times New Roman"/>
          <w:b/>
          <w:lang w:val="lt-LT"/>
        </w:rPr>
        <w:t>5.</w:t>
      </w:r>
      <w:r w:rsidRPr="00940D54">
        <w:rPr>
          <w:rFonts w:ascii="Times New Roman" w:hAnsi="Times New Roman"/>
          <w:b/>
          <w:lang w:val="lt-LT"/>
        </w:rPr>
        <w:tab/>
        <w:t>KITA</w:t>
      </w:r>
    </w:p>
    <w:p w14:paraId="36B4A4D1" w14:textId="77777777" w:rsidR="00A51A1D" w:rsidRPr="00940D54" w:rsidRDefault="00A51A1D" w:rsidP="00A51A1D">
      <w:pPr>
        <w:spacing w:after="0" w:line="240" w:lineRule="auto"/>
        <w:rPr>
          <w:rFonts w:ascii="Times New Roman" w:hAnsi="Times New Roman"/>
          <w:lang w:val="lt-LT"/>
        </w:rPr>
      </w:pPr>
    </w:p>
    <w:p w14:paraId="4B23C5D5" w14:textId="77777777" w:rsidR="00A51A1D" w:rsidRPr="00940D54" w:rsidRDefault="00A51A1D" w:rsidP="00A51A1D">
      <w:pPr>
        <w:spacing w:after="0" w:line="240" w:lineRule="auto"/>
        <w:rPr>
          <w:rFonts w:ascii="Times New Roman" w:hAnsi="Times New Roman"/>
          <w:lang w:val="lt-LT"/>
        </w:rPr>
      </w:pPr>
    </w:p>
    <w:p w14:paraId="36696967" w14:textId="77777777" w:rsidR="00A51A1D" w:rsidRPr="00940D54" w:rsidRDefault="00A51A1D" w:rsidP="00A51A1D">
      <w:pPr>
        <w:tabs>
          <w:tab w:val="left" w:pos="5954"/>
          <w:tab w:val="left" w:pos="6237"/>
          <w:tab w:val="left" w:pos="6663"/>
          <w:tab w:val="left" w:pos="6946"/>
        </w:tabs>
        <w:spacing w:after="0" w:line="240" w:lineRule="auto"/>
        <w:rPr>
          <w:rFonts w:ascii="Times New Roman" w:hAnsi="Times New Roman"/>
          <w:color w:val="000000"/>
          <w:lang w:val="lt-LT"/>
        </w:rPr>
      </w:pPr>
      <w:r w:rsidRPr="00940D54">
        <w:rPr>
          <w:rFonts w:ascii="Times New Roman" w:hAnsi="Times New Roman"/>
          <w:lang w:val="lt-LT"/>
        </w:rPr>
        <w:br w:type="page"/>
      </w:r>
    </w:p>
    <w:p w14:paraId="04FD52E9" w14:textId="77777777" w:rsidR="00A51A1D" w:rsidRPr="00940D54" w:rsidRDefault="00A51A1D" w:rsidP="00A51A1D">
      <w:pPr>
        <w:spacing w:after="0" w:line="240" w:lineRule="auto"/>
        <w:ind w:right="566"/>
        <w:rPr>
          <w:rFonts w:ascii="Times New Roman" w:hAnsi="Times New Roman"/>
          <w:lang w:val="lt-LT"/>
        </w:rPr>
      </w:pPr>
    </w:p>
    <w:p w14:paraId="05627ADB" w14:textId="77777777" w:rsidR="00A51A1D" w:rsidRPr="00940D54" w:rsidRDefault="00A51A1D" w:rsidP="00A51A1D">
      <w:pPr>
        <w:spacing w:after="0" w:line="240" w:lineRule="auto"/>
        <w:rPr>
          <w:rFonts w:ascii="Times New Roman" w:hAnsi="Times New Roman"/>
          <w:lang w:val="lt-LT"/>
        </w:rPr>
      </w:pPr>
    </w:p>
    <w:p w14:paraId="2E0FDE9A" w14:textId="77777777" w:rsidR="00A51A1D" w:rsidRPr="00940D54" w:rsidRDefault="00A51A1D" w:rsidP="00A51A1D">
      <w:pPr>
        <w:spacing w:after="0" w:line="240" w:lineRule="auto"/>
        <w:rPr>
          <w:rFonts w:ascii="Times New Roman" w:hAnsi="Times New Roman"/>
          <w:lang w:val="lt-LT"/>
        </w:rPr>
      </w:pPr>
    </w:p>
    <w:p w14:paraId="31DB98E1" w14:textId="77777777" w:rsidR="00A51A1D" w:rsidRPr="00940D54" w:rsidRDefault="00A51A1D" w:rsidP="00A51A1D">
      <w:pPr>
        <w:spacing w:after="0" w:line="240" w:lineRule="auto"/>
        <w:rPr>
          <w:rFonts w:ascii="Times New Roman" w:hAnsi="Times New Roman"/>
          <w:lang w:val="lt-LT"/>
        </w:rPr>
      </w:pPr>
    </w:p>
    <w:p w14:paraId="5084CEE6" w14:textId="77777777" w:rsidR="00A51A1D" w:rsidRPr="00940D54" w:rsidRDefault="00A51A1D" w:rsidP="00A51A1D">
      <w:pPr>
        <w:spacing w:after="0" w:line="240" w:lineRule="auto"/>
        <w:rPr>
          <w:rFonts w:ascii="Times New Roman" w:hAnsi="Times New Roman"/>
          <w:lang w:val="lt-LT"/>
        </w:rPr>
      </w:pPr>
    </w:p>
    <w:p w14:paraId="12021B42" w14:textId="77777777" w:rsidR="00A51A1D" w:rsidRPr="00940D54" w:rsidRDefault="00A51A1D" w:rsidP="00A51A1D">
      <w:pPr>
        <w:spacing w:after="0" w:line="240" w:lineRule="auto"/>
        <w:rPr>
          <w:rFonts w:ascii="Times New Roman" w:hAnsi="Times New Roman"/>
          <w:lang w:val="lt-LT"/>
        </w:rPr>
      </w:pPr>
    </w:p>
    <w:p w14:paraId="75DC7450" w14:textId="77777777" w:rsidR="00A51A1D" w:rsidRPr="00940D54" w:rsidRDefault="00A51A1D" w:rsidP="00A51A1D">
      <w:pPr>
        <w:spacing w:after="0" w:line="240" w:lineRule="auto"/>
        <w:rPr>
          <w:rFonts w:ascii="Times New Roman" w:hAnsi="Times New Roman"/>
          <w:lang w:val="lt-LT"/>
        </w:rPr>
      </w:pPr>
    </w:p>
    <w:p w14:paraId="256709E4" w14:textId="77777777" w:rsidR="00A51A1D" w:rsidRPr="00940D54" w:rsidRDefault="00A51A1D" w:rsidP="00A51A1D">
      <w:pPr>
        <w:spacing w:after="0" w:line="240" w:lineRule="auto"/>
        <w:rPr>
          <w:rFonts w:ascii="Times New Roman" w:hAnsi="Times New Roman"/>
          <w:lang w:val="lt-LT"/>
        </w:rPr>
      </w:pPr>
    </w:p>
    <w:p w14:paraId="7CF327CC" w14:textId="77777777" w:rsidR="00A51A1D" w:rsidRPr="00940D54" w:rsidRDefault="00A51A1D" w:rsidP="00A51A1D">
      <w:pPr>
        <w:spacing w:after="0" w:line="240" w:lineRule="auto"/>
        <w:rPr>
          <w:rFonts w:ascii="Times New Roman" w:hAnsi="Times New Roman"/>
          <w:lang w:val="lt-LT"/>
        </w:rPr>
      </w:pPr>
    </w:p>
    <w:p w14:paraId="174AB140" w14:textId="77777777" w:rsidR="00A51A1D" w:rsidRPr="00940D54" w:rsidRDefault="00A51A1D" w:rsidP="00A51A1D">
      <w:pPr>
        <w:spacing w:after="0" w:line="240" w:lineRule="auto"/>
        <w:rPr>
          <w:rFonts w:ascii="Times New Roman" w:hAnsi="Times New Roman"/>
          <w:lang w:val="lt-LT"/>
        </w:rPr>
      </w:pPr>
    </w:p>
    <w:p w14:paraId="277EACB5" w14:textId="77777777" w:rsidR="00A51A1D" w:rsidRPr="00940D54" w:rsidRDefault="00A51A1D" w:rsidP="00A51A1D">
      <w:pPr>
        <w:spacing w:after="0" w:line="240" w:lineRule="auto"/>
        <w:rPr>
          <w:rFonts w:ascii="Times New Roman" w:hAnsi="Times New Roman"/>
          <w:lang w:val="lt-LT"/>
        </w:rPr>
      </w:pPr>
    </w:p>
    <w:p w14:paraId="41B46808" w14:textId="77777777" w:rsidR="00A51A1D" w:rsidRPr="00940D54" w:rsidRDefault="00A51A1D" w:rsidP="00A51A1D">
      <w:pPr>
        <w:spacing w:after="0" w:line="240" w:lineRule="auto"/>
        <w:rPr>
          <w:rFonts w:ascii="Times New Roman" w:hAnsi="Times New Roman"/>
          <w:lang w:val="lt-LT"/>
        </w:rPr>
      </w:pPr>
    </w:p>
    <w:p w14:paraId="4107D14D" w14:textId="77777777" w:rsidR="00A51A1D" w:rsidRPr="00940D54" w:rsidRDefault="00A51A1D" w:rsidP="00A51A1D">
      <w:pPr>
        <w:spacing w:after="0" w:line="240" w:lineRule="auto"/>
        <w:rPr>
          <w:rFonts w:ascii="Times New Roman" w:hAnsi="Times New Roman"/>
          <w:lang w:val="lt-LT"/>
        </w:rPr>
      </w:pPr>
    </w:p>
    <w:p w14:paraId="63F53B01" w14:textId="77777777" w:rsidR="00A51A1D" w:rsidRPr="00940D54" w:rsidRDefault="00A51A1D" w:rsidP="00A51A1D">
      <w:pPr>
        <w:spacing w:after="0" w:line="240" w:lineRule="auto"/>
        <w:rPr>
          <w:rFonts w:ascii="Times New Roman" w:hAnsi="Times New Roman"/>
          <w:lang w:val="lt-LT"/>
        </w:rPr>
      </w:pPr>
    </w:p>
    <w:p w14:paraId="51E592DE" w14:textId="77777777" w:rsidR="00A51A1D" w:rsidRPr="00940D54" w:rsidRDefault="00A51A1D" w:rsidP="00A51A1D">
      <w:pPr>
        <w:spacing w:after="0" w:line="240" w:lineRule="auto"/>
        <w:rPr>
          <w:rFonts w:ascii="Times New Roman" w:hAnsi="Times New Roman"/>
          <w:lang w:val="lt-LT"/>
        </w:rPr>
      </w:pPr>
    </w:p>
    <w:p w14:paraId="6F403200" w14:textId="77777777" w:rsidR="00A51A1D" w:rsidRPr="00940D54" w:rsidRDefault="00A51A1D" w:rsidP="00A51A1D">
      <w:pPr>
        <w:spacing w:after="0" w:line="240" w:lineRule="auto"/>
        <w:rPr>
          <w:rFonts w:ascii="Times New Roman" w:hAnsi="Times New Roman"/>
          <w:lang w:val="lt-LT"/>
        </w:rPr>
      </w:pPr>
    </w:p>
    <w:p w14:paraId="0CCB24A9" w14:textId="77777777" w:rsidR="00A51A1D" w:rsidRPr="00940D54" w:rsidRDefault="00A51A1D" w:rsidP="00A51A1D">
      <w:pPr>
        <w:spacing w:after="0" w:line="240" w:lineRule="auto"/>
        <w:rPr>
          <w:rFonts w:ascii="Times New Roman" w:hAnsi="Times New Roman"/>
          <w:lang w:val="lt-LT"/>
        </w:rPr>
      </w:pPr>
    </w:p>
    <w:p w14:paraId="684A2835" w14:textId="77777777" w:rsidR="00A51A1D" w:rsidRPr="00940D54" w:rsidRDefault="00A51A1D" w:rsidP="00A51A1D">
      <w:pPr>
        <w:spacing w:after="0" w:line="240" w:lineRule="auto"/>
        <w:outlineLvl w:val="0"/>
        <w:rPr>
          <w:rFonts w:ascii="Times New Roman" w:hAnsi="Times New Roman"/>
          <w:b/>
          <w:lang w:val="lt-LT"/>
        </w:rPr>
      </w:pPr>
    </w:p>
    <w:p w14:paraId="7FF557A9" w14:textId="77777777" w:rsidR="00A51A1D" w:rsidRPr="00940D54" w:rsidRDefault="00A51A1D" w:rsidP="00A51A1D">
      <w:pPr>
        <w:spacing w:after="0" w:line="240" w:lineRule="auto"/>
        <w:outlineLvl w:val="0"/>
        <w:rPr>
          <w:rFonts w:ascii="Times New Roman" w:hAnsi="Times New Roman"/>
          <w:b/>
          <w:lang w:val="lt-LT"/>
        </w:rPr>
      </w:pPr>
    </w:p>
    <w:p w14:paraId="0230E981" w14:textId="77777777" w:rsidR="00A51A1D" w:rsidRPr="00940D54" w:rsidRDefault="00A51A1D" w:rsidP="00A51A1D">
      <w:pPr>
        <w:spacing w:after="0" w:line="240" w:lineRule="auto"/>
        <w:outlineLvl w:val="0"/>
        <w:rPr>
          <w:rFonts w:ascii="Times New Roman" w:hAnsi="Times New Roman"/>
          <w:b/>
          <w:lang w:val="lt-LT"/>
        </w:rPr>
      </w:pPr>
    </w:p>
    <w:p w14:paraId="297ABE20" w14:textId="77777777" w:rsidR="00A51A1D" w:rsidRPr="00940D54" w:rsidRDefault="00A51A1D" w:rsidP="00A51A1D">
      <w:pPr>
        <w:spacing w:after="0" w:line="240" w:lineRule="auto"/>
        <w:outlineLvl w:val="0"/>
        <w:rPr>
          <w:rFonts w:ascii="Times New Roman" w:hAnsi="Times New Roman"/>
          <w:b/>
          <w:lang w:val="lt-LT"/>
        </w:rPr>
      </w:pPr>
    </w:p>
    <w:p w14:paraId="64DC974F" w14:textId="77777777" w:rsidR="00A51A1D" w:rsidRPr="00940D54" w:rsidRDefault="00A51A1D" w:rsidP="00A51A1D">
      <w:pPr>
        <w:spacing w:after="0" w:line="240" w:lineRule="auto"/>
        <w:outlineLvl w:val="0"/>
        <w:rPr>
          <w:rFonts w:ascii="Times New Roman" w:hAnsi="Times New Roman"/>
          <w:b/>
          <w:lang w:val="lt-LT"/>
        </w:rPr>
      </w:pPr>
    </w:p>
    <w:p w14:paraId="7DA59FB1" w14:textId="77777777" w:rsidR="00871096" w:rsidRPr="00940D54" w:rsidRDefault="00871096" w:rsidP="00A51A1D">
      <w:pPr>
        <w:spacing w:after="0" w:line="240" w:lineRule="auto"/>
        <w:jc w:val="center"/>
        <w:outlineLvl w:val="0"/>
        <w:rPr>
          <w:rFonts w:ascii="Times New Roman" w:hAnsi="Times New Roman"/>
          <w:b/>
          <w:lang w:val="lt-LT"/>
        </w:rPr>
      </w:pPr>
    </w:p>
    <w:p w14:paraId="55EC3C04" w14:textId="77777777" w:rsidR="00A51A1D" w:rsidRPr="00940D54" w:rsidRDefault="00A51A1D" w:rsidP="00A51A1D">
      <w:pPr>
        <w:spacing w:after="0" w:line="240" w:lineRule="auto"/>
        <w:jc w:val="center"/>
        <w:outlineLvl w:val="0"/>
        <w:rPr>
          <w:rFonts w:ascii="Times New Roman" w:eastAsiaTheme="minorHAnsi" w:hAnsi="Times New Roman" w:cstheme="minorBidi"/>
          <w:b/>
          <w:lang w:val="lt-LT"/>
        </w:rPr>
      </w:pPr>
      <w:r w:rsidRPr="00940D54">
        <w:rPr>
          <w:rFonts w:ascii="Times New Roman" w:hAnsi="Times New Roman"/>
          <w:b/>
          <w:lang w:val="lt-LT"/>
        </w:rPr>
        <w:t>B. PAKUOTĖS LAPELIS</w:t>
      </w:r>
    </w:p>
    <w:p w14:paraId="62C742E3" w14:textId="77777777" w:rsidR="00A51A1D" w:rsidRPr="00940D54" w:rsidRDefault="00A51A1D" w:rsidP="00A51A1D">
      <w:pPr>
        <w:keepNext/>
        <w:tabs>
          <w:tab w:val="left" w:pos="567"/>
        </w:tabs>
        <w:spacing w:after="0" w:line="240" w:lineRule="auto"/>
        <w:jc w:val="center"/>
        <w:outlineLvl w:val="1"/>
        <w:rPr>
          <w:rFonts w:ascii="Times New Roman" w:eastAsiaTheme="minorHAnsi" w:hAnsi="Times New Roman" w:cstheme="minorBidi"/>
          <w:b/>
          <w:lang w:val="lt-LT"/>
        </w:rPr>
      </w:pPr>
      <w:r w:rsidRPr="00940D54">
        <w:rPr>
          <w:rFonts w:ascii="Times New Roman" w:hAnsi="Times New Roman"/>
          <w:b/>
          <w:lang w:val="lt-LT"/>
        </w:rPr>
        <w:br w:type="page"/>
      </w:r>
      <w:r w:rsidRPr="00940D54">
        <w:rPr>
          <w:rFonts w:ascii="Times New Roman" w:hAnsi="Times New Roman"/>
          <w:b/>
          <w:lang w:val="lt-LT"/>
        </w:rPr>
        <w:lastRenderedPageBreak/>
        <w:t>Pakuotės lapelis: informacija vartotojui</w:t>
      </w:r>
    </w:p>
    <w:p w14:paraId="115DEBB7" w14:textId="77777777" w:rsidR="00A51A1D" w:rsidRPr="00940D54" w:rsidRDefault="00A51A1D" w:rsidP="00A51A1D">
      <w:pPr>
        <w:numPr>
          <w:ilvl w:val="12"/>
          <w:numId w:val="0"/>
        </w:numPr>
        <w:shd w:val="clear" w:color="auto" w:fill="FFFFFF"/>
        <w:spacing w:after="0" w:line="240" w:lineRule="auto"/>
        <w:jc w:val="center"/>
        <w:rPr>
          <w:rFonts w:ascii="Times New Roman" w:hAnsi="Times New Roman"/>
          <w:lang w:val="lt-LT"/>
        </w:rPr>
      </w:pPr>
    </w:p>
    <w:p w14:paraId="5B287883" w14:textId="77777777" w:rsidR="00A51A1D" w:rsidRPr="00940D54" w:rsidRDefault="00A51A1D" w:rsidP="00A51A1D">
      <w:pPr>
        <w:spacing w:after="0" w:line="240" w:lineRule="auto"/>
        <w:jc w:val="center"/>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2 mg/1 mg plėvele dengtos tabletės</w:t>
      </w:r>
    </w:p>
    <w:p w14:paraId="3AA419CC" w14:textId="77777777" w:rsidR="00A51A1D" w:rsidRPr="00940D54" w:rsidRDefault="00A51A1D" w:rsidP="00A51A1D">
      <w:pPr>
        <w:spacing w:after="0" w:line="240" w:lineRule="auto"/>
        <w:jc w:val="center"/>
        <w:rPr>
          <w:rFonts w:ascii="Times New Roman" w:hAnsi="Times New Roman"/>
          <w:b/>
          <w:lang w:val="lt-LT"/>
        </w:rPr>
      </w:pPr>
    </w:p>
    <w:p w14:paraId="447E89A4" w14:textId="45EC142D" w:rsidR="00A51A1D" w:rsidRPr="00940D54" w:rsidRDefault="00871096" w:rsidP="00A51A1D">
      <w:pPr>
        <w:numPr>
          <w:ilvl w:val="12"/>
          <w:numId w:val="0"/>
        </w:numPr>
        <w:spacing w:after="0" w:line="240" w:lineRule="auto"/>
        <w:jc w:val="center"/>
        <w:rPr>
          <w:rFonts w:ascii="Times New Roman" w:eastAsiaTheme="minorHAnsi" w:hAnsi="Times New Roman" w:cstheme="minorBidi"/>
          <w:lang w:val="lt-LT"/>
        </w:rPr>
      </w:pPr>
      <w:proofErr w:type="spellStart"/>
      <w:r w:rsidRPr="00940D54">
        <w:rPr>
          <w:rFonts w:ascii="Times New Roman" w:hAnsi="Times New Roman"/>
          <w:lang w:val="lt-LT"/>
        </w:rPr>
        <w:t>d</w:t>
      </w:r>
      <w:r w:rsidR="00A51A1D" w:rsidRPr="00940D54">
        <w:rPr>
          <w:rFonts w:ascii="Times New Roman" w:hAnsi="Times New Roman"/>
          <w:lang w:val="lt-LT"/>
        </w:rPr>
        <w:t>ienogestas</w:t>
      </w:r>
      <w:proofErr w:type="spellEnd"/>
      <w:r w:rsidR="00A51A1D" w:rsidRPr="00940D54">
        <w:rPr>
          <w:rFonts w:ascii="Times New Roman" w:hAnsi="Times New Roman"/>
          <w:lang w:val="lt-LT"/>
        </w:rPr>
        <w:t xml:space="preserve"> ir </w:t>
      </w:r>
      <w:proofErr w:type="spellStart"/>
      <w:r w:rsidRPr="00940D54">
        <w:rPr>
          <w:rFonts w:ascii="Times New Roman" w:hAnsi="Times New Roman"/>
          <w:lang w:val="lt-LT"/>
        </w:rPr>
        <w:t>e</w:t>
      </w:r>
      <w:r w:rsidR="00A51A1D" w:rsidRPr="00940D54">
        <w:rPr>
          <w:rFonts w:ascii="Times New Roman" w:hAnsi="Times New Roman"/>
          <w:lang w:val="lt-LT"/>
        </w:rPr>
        <w:t>stradiolio</w:t>
      </w:r>
      <w:proofErr w:type="spellEnd"/>
      <w:r w:rsidR="00A51A1D" w:rsidRPr="00940D54">
        <w:rPr>
          <w:rFonts w:ascii="Times New Roman" w:hAnsi="Times New Roman"/>
          <w:lang w:val="lt-LT"/>
        </w:rPr>
        <w:t xml:space="preserve"> </w:t>
      </w:r>
      <w:proofErr w:type="spellStart"/>
      <w:r w:rsidR="00A51A1D" w:rsidRPr="00940D54">
        <w:rPr>
          <w:rFonts w:ascii="Times New Roman" w:hAnsi="Times New Roman"/>
          <w:lang w:val="lt-LT"/>
        </w:rPr>
        <w:t>valeratas</w:t>
      </w:r>
      <w:proofErr w:type="spellEnd"/>
    </w:p>
    <w:p w14:paraId="45732CF3" w14:textId="77777777" w:rsidR="00A51A1D" w:rsidRPr="00940D54" w:rsidRDefault="002C454C" w:rsidP="00A51A1D">
      <w:pPr>
        <w:spacing w:after="0" w:line="240" w:lineRule="auto"/>
        <w:rPr>
          <w:rFonts w:ascii="Times New Roman" w:hAnsi="Times New Roman"/>
          <w:lang w:val="lt-LT"/>
        </w:rPr>
      </w:pPr>
      <w:r>
        <w:rPr>
          <w:noProof/>
        </w:rPr>
        <mc:AlternateContent>
          <mc:Choice Requires="wpg">
            <w:drawing>
              <wp:anchor distT="0" distB="0" distL="114300" distR="114300" simplePos="0" relativeHeight="251659264" behindDoc="0" locked="0" layoutInCell="1" allowOverlap="1" wp14:anchorId="662E3DC7" wp14:editId="648034D5">
                <wp:simplePos x="0" y="0"/>
                <wp:positionH relativeFrom="margin">
                  <wp:posOffset>-80920</wp:posOffset>
                </wp:positionH>
                <wp:positionV relativeFrom="paragraph">
                  <wp:posOffset>132907</wp:posOffset>
                </wp:positionV>
                <wp:extent cx="5790302" cy="1340329"/>
                <wp:effectExtent l="0" t="0" r="39370" b="12700"/>
                <wp:wrapNone/>
                <wp:docPr id="20" name="Group 9"/>
                <wp:cNvGraphicFramePr/>
                <a:graphic xmlns:a="http://schemas.openxmlformats.org/drawingml/2006/main">
                  <a:graphicData uri="http://schemas.microsoft.com/office/word/2010/wordprocessingGroup">
                    <wpg:wgp>
                      <wpg:cNvGrpSpPr/>
                      <wpg:grpSpPr bwMode="auto">
                        <a:xfrm>
                          <a:off x="0" y="0"/>
                          <a:ext cx="5790302" cy="1340329"/>
                          <a:chOff x="5" y="6"/>
                          <a:chExt cx="9259" cy="2500"/>
                        </a:xfrm>
                      </wpg:grpSpPr>
                      <wpg:grpSp>
                        <wpg:cNvPr id="1796871476" name="Group 1796871476"/>
                        <wpg:cNvGrpSpPr>
                          <a:grpSpLocks/>
                        </wpg:cNvGrpSpPr>
                        <wpg:grpSpPr bwMode="auto">
                          <a:xfrm>
                            <a:off x="5" y="6"/>
                            <a:ext cx="9259" cy="2"/>
                            <a:chOff x="5" y="6"/>
                            <a:chExt cx="9259" cy="2"/>
                          </a:xfrm>
                        </wpg:grpSpPr>
                        <wps:wsp>
                          <wps:cNvPr id="1274870347" name="Freeform 17"/>
                          <wps:cNvSpPr>
                            <a:spLocks/>
                          </wps:cNvSpPr>
                          <wps:spPr bwMode="auto">
                            <a:xfrm>
                              <a:off x="5" y="6"/>
                              <a:ext cx="9259" cy="2"/>
                            </a:xfrm>
                            <a:custGeom>
                              <a:avLst/>
                              <a:gdLst>
                                <a:gd name="T0" fmla="+- 0 1478 1478"/>
                                <a:gd name="T1" fmla="*/ T0 w 9259"/>
                                <a:gd name="T2" fmla="+- 0 10738 1478"/>
                                <a:gd name="T3" fmla="*/ T2 w 9259"/>
                              </a:gdLst>
                              <a:ahLst/>
                              <a:cxnLst>
                                <a:cxn ang="0">
                                  <a:pos x="T1" y="0"/>
                                </a:cxn>
                                <a:cxn ang="0">
                                  <a:pos x="T3" y="0"/>
                                </a:cxn>
                              </a:cxnLst>
                              <a:rect l="0" t="0" r="r" b="b"/>
                              <a:pathLst>
                                <a:path w="9259">
                                  <a:moveTo>
                                    <a:pt x="0" y="0"/>
                                  </a:moveTo>
                                  <a:lnTo>
                                    <a:pt x="92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923518" name="Group 246923518"/>
                        <wpg:cNvGrpSpPr>
                          <a:grpSpLocks/>
                        </wpg:cNvGrpSpPr>
                        <wpg:grpSpPr bwMode="auto">
                          <a:xfrm>
                            <a:off x="10" y="10"/>
                            <a:ext cx="2" cy="2489"/>
                            <a:chOff x="10" y="10"/>
                            <a:chExt cx="2" cy="2489"/>
                          </a:xfrm>
                        </wpg:grpSpPr>
                        <wps:wsp>
                          <wps:cNvPr id="348233077" name="Freeform 15"/>
                          <wps:cNvSpPr>
                            <a:spLocks/>
                          </wps:cNvSpPr>
                          <wps:spPr bwMode="auto">
                            <a:xfrm>
                              <a:off x="10" y="10"/>
                              <a:ext cx="2" cy="2489"/>
                            </a:xfrm>
                            <a:custGeom>
                              <a:avLst/>
                              <a:gdLst>
                                <a:gd name="T0" fmla="+- 0 836 836"/>
                                <a:gd name="T1" fmla="*/ 836 h 2489"/>
                                <a:gd name="T2" fmla="+- 0 3325 836"/>
                                <a:gd name="T3" fmla="*/ 3325 h 2489"/>
                              </a:gdLst>
                              <a:ahLst/>
                              <a:cxnLst>
                                <a:cxn ang="0">
                                  <a:pos x="0" y="T1"/>
                                </a:cxn>
                                <a:cxn ang="0">
                                  <a:pos x="0" y="T3"/>
                                </a:cxn>
                              </a:cxnLst>
                              <a:rect l="0" t="0" r="r" b="b"/>
                              <a:pathLst>
                                <a:path h="2489">
                                  <a:moveTo>
                                    <a:pt x="0" y="0"/>
                                  </a:moveTo>
                                  <a:lnTo>
                                    <a:pt x="0" y="248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572594" name="Group 330572594"/>
                        <wpg:cNvGrpSpPr>
                          <a:grpSpLocks/>
                        </wpg:cNvGrpSpPr>
                        <wpg:grpSpPr bwMode="auto">
                          <a:xfrm>
                            <a:off x="9260" y="10"/>
                            <a:ext cx="2" cy="2489"/>
                            <a:chOff x="9260" y="10"/>
                            <a:chExt cx="2" cy="2489"/>
                          </a:xfrm>
                        </wpg:grpSpPr>
                        <wps:wsp>
                          <wps:cNvPr id="1084554026" name="Freeform 13"/>
                          <wps:cNvSpPr>
                            <a:spLocks/>
                          </wps:cNvSpPr>
                          <wps:spPr bwMode="auto">
                            <a:xfrm>
                              <a:off x="9260" y="10"/>
                              <a:ext cx="2" cy="2489"/>
                            </a:xfrm>
                            <a:custGeom>
                              <a:avLst/>
                              <a:gdLst>
                                <a:gd name="T0" fmla="+- 0 836 836"/>
                                <a:gd name="T1" fmla="*/ 836 h 2489"/>
                                <a:gd name="T2" fmla="+- 0 3325 836"/>
                                <a:gd name="T3" fmla="*/ 3325 h 2489"/>
                              </a:gdLst>
                              <a:ahLst/>
                              <a:cxnLst>
                                <a:cxn ang="0">
                                  <a:pos x="0" y="T1"/>
                                </a:cxn>
                                <a:cxn ang="0">
                                  <a:pos x="0" y="T3"/>
                                </a:cxn>
                              </a:cxnLst>
                              <a:rect l="0" t="0" r="r" b="b"/>
                              <a:pathLst>
                                <a:path h="2489">
                                  <a:moveTo>
                                    <a:pt x="0" y="0"/>
                                  </a:moveTo>
                                  <a:lnTo>
                                    <a:pt x="0" y="24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518229" name="Group 809518229"/>
                        <wpg:cNvGrpSpPr>
                          <a:grpSpLocks/>
                        </wpg:cNvGrpSpPr>
                        <wpg:grpSpPr bwMode="auto">
                          <a:xfrm>
                            <a:off x="5" y="2504"/>
                            <a:ext cx="9259" cy="2"/>
                            <a:chOff x="5" y="2504"/>
                            <a:chExt cx="9259" cy="2"/>
                          </a:xfrm>
                        </wpg:grpSpPr>
                        <wps:wsp>
                          <wps:cNvPr id="2134059523" name="Freeform 11"/>
                          <wps:cNvSpPr>
                            <a:spLocks/>
                          </wps:cNvSpPr>
                          <wps:spPr bwMode="auto">
                            <a:xfrm>
                              <a:off x="5" y="2504"/>
                              <a:ext cx="9259" cy="2"/>
                            </a:xfrm>
                            <a:custGeom>
                              <a:avLst/>
                              <a:gdLst>
                                <a:gd name="T0" fmla="+- 0 1478 1478"/>
                                <a:gd name="T1" fmla="*/ T0 w 9259"/>
                                <a:gd name="T2" fmla="+- 0 10738 1478"/>
                                <a:gd name="T3" fmla="*/ T2 w 9259"/>
                              </a:gdLst>
                              <a:ahLst/>
                              <a:cxnLst>
                                <a:cxn ang="0">
                                  <a:pos x="T1" y="0"/>
                                </a:cxn>
                                <a:cxn ang="0">
                                  <a:pos x="T3" y="0"/>
                                </a:cxn>
                              </a:cxnLst>
                              <a:rect l="0" t="0" r="r" b="b"/>
                              <a:pathLst>
                                <a:path w="9259">
                                  <a:moveTo>
                                    <a:pt x="0" y="0"/>
                                  </a:moveTo>
                                  <a:lnTo>
                                    <a:pt x="92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9508658" id="Group 9" o:spid="_x0000_s1026" style="position:absolute;margin-left:-6.35pt;margin-top:10.45pt;width:455.95pt;height:105.55pt;z-index:251659264;mso-position-horizontal-relative:margin;mso-width-relative:margin;mso-height-relative:margin" coordorigin="5,6" coordsize="9259,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">
                <v:group id="Group 1796871476" o:spid="_x0000_s1027" style="position:absolute;left:5;top:6;width:9259;height:2" coordorigin="5,6"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">
                  <v:shape id="Freeform 17" o:spid="_x0000_s1028" style="position:absolute;left:5;top:6;width:9259;height:2;visibility:visible;mso-wrap-style:square;v-text-anchor:top"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" path="m,l9260,e" filled="f" strokeweight=".20497mm">
                    <v:path arrowok="t" o:connecttype="custom" o:connectlocs="0,0;9260,0" o:connectangles="0,0"/>
                  </v:shape>
                </v:group>
                <v:group id="Group 246923518" o:spid="_x0000_s1029" style="position:absolute;left:10;top:10;width:2;height:2489" coordorigin="10,10"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">
                  <v:shape id="Freeform 15" o:spid="_x0000_s1030" style="position:absolute;left:10;top:10;width:2;height:2489;visibility:visible;mso-wrap-style:square;v-text-anchor:top"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" path="m,l,2489e" filled="f" strokeweight=".20497mm">
                    <v:path arrowok="t" o:connecttype="custom" o:connectlocs="0,836;0,3325" o:connectangles="0,0"/>
                  </v:shape>
                </v:group>
                <v:group id="Group 330572594" o:spid="_x0000_s1031" style="position:absolute;left:9260;top:10;width:2;height:2489" coordorigin="9260,10"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">
                  <v:shape id="Freeform 13" o:spid="_x0000_s1032" style="position:absolute;left:9260;top:10;width:2;height:2489;visibility:visible;mso-wrap-style:square;v-text-anchor:top"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" path="m,l,2489e" filled="f" strokeweight=".58pt">
                    <v:path arrowok="t" o:connecttype="custom" o:connectlocs="0,836;0,3325" o:connectangles="0,0"/>
                  </v:shape>
                </v:group>
                <v:group id="Group 809518229" o:spid="_x0000_s1033" style="position:absolute;left:5;top:2504;width:9259;height:2" coordorigin="5,2504"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">
                  <v:shape id="Freeform 11" o:spid="_x0000_s1034" style="position:absolute;left:5;top:2504;width:9259;height:2;visibility:visible;mso-wrap-style:square;v-text-anchor:top"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" path="m,l9260,e" filled="f" strokeweight=".20497mm">
                    <v:path arrowok="t" o:connecttype="custom" o:connectlocs="0,0;9260,0" o:connectangles="0,0"/>
                  </v:shape>
                </v:group>
                <w10:wrap anchorx="margin"/>
              </v:group>
            </w:pict>
          </mc:Fallback>
        </mc:AlternateContent>
      </w:r>
    </w:p>
    <w:p w14:paraId="6E902DFB" w14:textId="77777777" w:rsidR="00A51A1D" w:rsidRPr="00940D54" w:rsidRDefault="00A51A1D" w:rsidP="00A51A1D">
      <w:pPr>
        <w:suppressAutoHyphens/>
        <w:spacing w:after="0" w:line="240" w:lineRule="auto"/>
        <w:rPr>
          <w:rFonts w:ascii="Times New Roman" w:eastAsiaTheme="minorHAnsi" w:hAnsi="Times New Roman" w:cstheme="minorBidi"/>
          <w:lang w:val="lt-LT"/>
        </w:rPr>
      </w:pPr>
      <w:r w:rsidRPr="00940D54">
        <w:rPr>
          <w:rFonts w:ascii="Times New Roman" w:hAnsi="Times New Roman"/>
          <w:b/>
          <w:lang w:val="lt-LT"/>
        </w:rPr>
        <w:t>Atidžiai perskaitykite visą šį lapelį, prieš pradėdami vartoti vaistą, nes jame pateikiama Jums svarbi informacija.</w:t>
      </w:r>
    </w:p>
    <w:p w14:paraId="2C40EFDE" w14:textId="77777777" w:rsidR="00A51A1D" w:rsidRPr="00940D54" w:rsidRDefault="00A51A1D" w:rsidP="006815BA">
      <w:pPr>
        <w:numPr>
          <w:ilvl w:val="0"/>
          <w:numId w:val="3"/>
        </w:numPr>
        <w:spacing w:after="0" w:line="240" w:lineRule="auto"/>
        <w:ind w:left="288" w:right="-2" w:hanging="288"/>
        <w:rPr>
          <w:rFonts w:ascii="Times New Roman" w:eastAsiaTheme="minorHAnsi" w:hAnsi="Times New Roman" w:cstheme="minorBidi"/>
          <w:lang w:val="lt-LT"/>
        </w:rPr>
      </w:pPr>
      <w:r w:rsidRPr="00940D54">
        <w:rPr>
          <w:rFonts w:ascii="Times New Roman" w:hAnsi="Times New Roman"/>
          <w:lang w:val="lt-LT"/>
        </w:rPr>
        <w:t xml:space="preserve">Neišmeskite šio lapelio, nes vėl gali prireikti jį perskaityti. </w:t>
      </w:r>
    </w:p>
    <w:p w14:paraId="523EF0E3" w14:textId="77777777" w:rsidR="00A51A1D" w:rsidRPr="00940D54" w:rsidRDefault="00A51A1D" w:rsidP="006815BA">
      <w:pPr>
        <w:numPr>
          <w:ilvl w:val="0"/>
          <w:numId w:val="3"/>
        </w:numPr>
        <w:spacing w:after="0" w:line="240" w:lineRule="auto"/>
        <w:ind w:left="288" w:right="-2" w:hanging="288"/>
        <w:rPr>
          <w:rFonts w:ascii="Times New Roman" w:eastAsiaTheme="minorHAnsi" w:hAnsi="Times New Roman" w:cstheme="minorBidi"/>
          <w:lang w:val="lt-LT"/>
        </w:rPr>
      </w:pPr>
      <w:r w:rsidRPr="00940D54">
        <w:rPr>
          <w:rFonts w:ascii="Times New Roman" w:hAnsi="Times New Roman"/>
          <w:lang w:val="lt-LT"/>
        </w:rPr>
        <w:t>Jeigu kiltų daugiau klausimų, kreipkitės į gydytoją arba vaistininką.</w:t>
      </w:r>
    </w:p>
    <w:p w14:paraId="53AC1B1E" w14:textId="77777777" w:rsidR="00A51A1D" w:rsidRPr="00940D54" w:rsidRDefault="00A51A1D" w:rsidP="006815BA">
      <w:pPr>
        <w:spacing w:after="0" w:line="240" w:lineRule="auto"/>
        <w:ind w:left="288" w:right="-2" w:hanging="288"/>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Šis vaistas skirtas tik Jums, todėl kitiems žmonėms jo duoti negalima. Vaistas gali jiems pakenkti (net tiems, kurių ligos požymiai yra tokie patys kaip Jūsų).</w:t>
      </w:r>
    </w:p>
    <w:p w14:paraId="0C9921E6" w14:textId="444C1DA7" w:rsidR="00A51A1D" w:rsidRPr="00940D54" w:rsidRDefault="00A51A1D" w:rsidP="006815BA">
      <w:pPr>
        <w:numPr>
          <w:ilvl w:val="0"/>
          <w:numId w:val="3"/>
        </w:numPr>
        <w:tabs>
          <w:tab w:val="left" w:pos="567"/>
        </w:tabs>
        <w:spacing w:after="0" w:line="240" w:lineRule="auto"/>
        <w:ind w:left="288" w:hanging="288"/>
        <w:rPr>
          <w:rFonts w:ascii="Times New Roman" w:eastAsiaTheme="minorHAnsi" w:hAnsi="Times New Roman" w:cstheme="minorBidi"/>
          <w:lang w:val="lt-LT"/>
        </w:rPr>
      </w:pPr>
      <w:r w:rsidRPr="00940D54">
        <w:rPr>
          <w:rFonts w:ascii="Times New Roman" w:hAnsi="Times New Roman"/>
          <w:lang w:val="lt-LT"/>
        </w:rPr>
        <w:t>Jeigu pasireiškė šalutinis poveikis (net jeigu jis šiame lapelyje nenurodytas), kreipkitės į gydytoją arba vaistininką. Žr.</w:t>
      </w:r>
      <w:r w:rsidR="00E36190">
        <w:rPr>
          <w:rFonts w:ascii="Times New Roman" w:hAnsi="Times New Roman"/>
          <w:lang w:val="lt-LT"/>
        </w:rPr>
        <w:t> </w:t>
      </w:r>
      <w:r w:rsidRPr="00940D54">
        <w:rPr>
          <w:rFonts w:ascii="Times New Roman" w:hAnsi="Times New Roman"/>
          <w:lang w:val="lt-LT"/>
        </w:rPr>
        <w:t>4</w:t>
      </w:r>
      <w:r w:rsidR="00E36190">
        <w:rPr>
          <w:rFonts w:ascii="Times New Roman" w:hAnsi="Times New Roman"/>
          <w:lang w:val="lt-LT"/>
        </w:rPr>
        <w:t> </w:t>
      </w:r>
      <w:r w:rsidRPr="00940D54">
        <w:rPr>
          <w:rFonts w:ascii="Times New Roman" w:hAnsi="Times New Roman"/>
          <w:lang w:val="lt-LT"/>
        </w:rPr>
        <w:t>skyrių.</w:t>
      </w:r>
    </w:p>
    <w:p w14:paraId="69B6196B" w14:textId="77777777" w:rsidR="00A51A1D" w:rsidRPr="00940D54" w:rsidRDefault="00A51A1D" w:rsidP="00A51A1D">
      <w:pPr>
        <w:spacing w:after="0" w:line="240" w:lineRule="auto"/>
        <w:ind w:right="-2"/>
        <w:rPr>
          <w:rFonts w:ascii="Times New Roman" w:hAnsi="Times New Roman"/>
          <w:lang w:val="lt-LT"/>
        </w:rPr>
      </w:pPr>
    </w:p>
    <w:p w14:paraId="09FA05CD" w14:textId="77777777" w:rsidR="00A51A1D" w:rsidRPr="00940D54" w:rsidRDefault="00A51A1D" w:rsidP="00A51A1D">
      <w:pPr>
        <w:spacing w:after="0" w:line="240" w:lineRule="auto"/>
        <w:ind w:right="-2"/>
        <w:rPr>
          <w:rFonts w:ascii="Times New Roman" w:hAnsi="Times New Roman"/>
          <w:lang w:val="lt-LT"/>
        </w:rPr>
      </w:pPr>
    </w:p>
    <w:p w14:paraId="57BD3A7A"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Apie ką rašoma šiame lapelyje?</w:t>
      </w:r>
    </w:p>
    <w:p w14:paraId="11792C38" w14:textId="77777777" w:rsidR="00A51A1D" w:rsidRPr="00940D54" w:rsidRDefault="00A51A1D" w:rsidP="00A51A1D">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1.</w:t>
      </w:r>
      <w:r w:rsidRPr="00940D54">
        <w:rPr>
          <w:rFonts w:ascii="Times New Roman" w:hAnsi="Times New Roman"/>
          <w:lang w:val="lt-LT"/>
        </w:rPr>
        <w:tab/>
        <w:t xml:space="preserve">Kas yra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ir kam jis vartojamas </w:t>
      </w:r>
    </w:p>
    <w:p w14:paraId="70A22846" w14:textId="77777777" w:rsidR="00A51A1D" w:rsidRPr="00940D54" w:rsidRDefault="00A51A1D" w:rsidP="00A51A1D">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2.</w:t>
      </w:r>
      <w:r w:rsidRPr="00940D54">
        <w:rPr>
          <w:rFonts w:ascii="Times New Roman" w:hAnsi="Times New Roman"/>
          <w:lang w:val="lt-LT"/>
        </w:rPr>
        <w:tab/>
        <w:t xml:space="preserve">Kas žinotina prieš vartojant </w:t>
      </w:r>
      <w:proofErr w:type="spellStart"/>
      <w:r w:rsidRPr="00940D54">
        <w:rPr>
          <w:rFonts w:ascii="Times New Roman" w:hAnsi="Times New Roman"/>
          <w:lang w:val="lt-LT"/>
        </w:rPr>
        <w:t>velbienne</w:t>
      </w:r>
      <w:proofErr w:type="spellEnd"/>
    </w:p>
    <w:p w14:paraId="17EFEDA8" w14:textId="77777777" w:rsidR="00A51A1D" w:rsidRPr="00940D54" w:rsidRDefault="00A51A1D" w:rsidP="00A51A1D">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3.</w:t>
      </w:r>
      <w:r w:rsidRPr="00940D54">
        <w:rPr>
          <w:rFonts w:ascii="Times New Roman" w:hAnsi="Times New Roman"/>
          <w:lang w:val="lt-LT"/>
        </w:rPr>
        <w:tab/>
        <w:t xml:space="preserve">Kaip vartoti </w:t>
      </w:r>
      <w:proofErr w:type="spellStart"/>
      <w:r w:rsidRPr="00940D54">
        <w:rPr>
          <w:rFonts w:ascii="Times New Roman" w:hAnsi="Times New Roman"/>
          <w:lang w:val="lt-LT"/>
        </w:rPr>
        <w:t>velbienne</w:t>
      </w:r>
      <w:proofErr w:type="spellEnd"/>
    </w:p>
    <w:p w14:paraId="6A7D12FB" w14:textId="77777777" w:rsidR="00A51A1D" w:rsidRPr="00940D54" w:rsidRDefault="00A51A1D" w:rsidP="00A51A1D">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4.</w:t>
      </w:r>
      <w:r w:rsidRPr="00940D54">
        <w:rPr>
          <w:rFonts w:ascii="Times New Roman" w:hAnsi="Times New Roman"/>
          <w:lang w:val="lt-LT"/>
        </w:rPr>
        <w:tab/>
        <w:t xml:space="preserve">Galimas šalutinis poveikis </w:t>
      </w:r>
    </w:p>
    <w:p w14:paraId="5B4E15ED" w14:textId="77777777" w:rsidR="00A51A1D" w:rsidRPr="00940D54" w:rsidRDefault="00A51A1D" w:rsidP="00A51A1D">
      <w:pPr>
        <w:numPr>
          <w:ilvl w:val="12"/>
          <w:numId w:val="0"/>
        </w:numPr>
        <w:tabs>
          <w:tab w:val="left" w:pos="709"/>
        </w:tabs>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5.</w:t>
      </w:r>
      <w:r w:rsidRPr="00940D54">
        <w:rPr>
          <w:rFonts w:ascii="Times New Roman" w:hAnsi="Times New Roman"/>
          <w:lang w:val="lt-LT"/>
        </w:rPr>
        <w:tab/>
        <w:t xml:space="preserve">Kaip laikyti </w:t>
      </w:r>
      <w:proofErr w:type="spellStart"/>
      <w:r w:rsidRPr="00940D54">
        <w:rPr>
          <w:rFonts w:ascii="Times New Roman" w:hAnsi="Times New Roman"/>
          <w:lang w:val="lt-LT"/>
        </w:rPr>
        <w:t>velbienne</w:t>
      </w:r>
      <w:proofErr w:type="spellEnd"/>
    </w:p>
    <w:p w14:paraId="5DAC10C5" w14:textId="77777777" w:rsidR="00A51A1D" w:rsidRPr="00940D54" w:rsidRDefault="00A51A1D" w:rsidP="00A51A1D">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6.</w:t>
      </w:r>
      <w:r w:rsidRPr="00940D54">
        <w:rPr>
          <w:rFonts w:ascii="Times New Roman" w:hAnsi="Times New Roman"/>
          <w:lang w:val="lt-LT"/>
        </w:rPr>
        <w:tab/>
        <w:t>Pakuotės turinys ir kita informacija</w:t>
      </w:r>
    </w:p>
    <w:p w14:paraId="2D0C3015"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479D594A"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7A77468B"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1.</w:t>
      </w:r>
      <w:r w:rsidRPr="00940D54">
        <w:rPr>
          <w:rFonts w:ascii="Times New Roman" w:hAnsi="Times New Roman"/>
          <w:b/>
          <w:lang w:val="lt-LT"/>
        </w:rPr>
        <w:tab/>
        <w:t xml:space="preserve">Kas yra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ir kam jis vartojamas</w:t>
      </w:r>
    </w:p>
    <w:p w14:paraId="4CDA3A75"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6B016CFF" w14:textId="2DB5EF04"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yra vaistas pakeičiamajai hormonų terapijai (PHT). Šio vaisto sudėtyje yra dviejų rūšių moteriškų hormonų: estrogeno ir </w:t>
      </w:r>
      <w:proofErr w:type="spellStart"/>
      <w:r w:rsidRPr="00940D54">
        <w:rPr>
          <w:rFonts w:ascii="Times New Roman" w:hAnsi="Times New Roman"/>
          <w:lang w:val="lt-LT"/>
        </w:rPr>
        <w:t>progest</w:t>
      </w:r>
      <w:r w:rsidR="008516C6">
        <w:rPr>
          <w:rFonts w:ascii="Times New Roman" w:hAnsi="Times New Roman"/>
          <w:lang w:val="lt-LT"/>
        </w:rPr>
        <w:t>o</w:t>
      </w:r>
      <w:r w:rsidRPr="00940D54">
        <w:rPr>
          <w:rFonts w:ascii="Times New Roman" w:hAnsi="Times New Roman"/>
          <w:lang w:val="lt-LT"/>
        </w:rPr>
        <w:t>geno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vartojamas moterims po menopauzės, praėjus ne mažiau kaip 12</w:t>
      </w:r>
      <w:r w:rsidR="00C958F0">
        <w:rPr>
          <w:rFonts w:ascii="Times New Roman" w:hAnsi="Times New Roman"/>
          <w:lang w:val="lt-LT"/>
        </w:rPr>
        <w:t> </w:t>
      </w:r>
      <w:r w:rsidRPr="00940D54">
        <w:rPr>
          <w:rFonts w:ascii="Times New Roman" w:hAnsi="Times New Roman"/>
          <w:lang w:val="lt-LT"/>
        </w:rPr>
        <w:t>mėnesių po paskutiniųjų natūralių mėnesinių.</w:t>
      </w:r>
    </w:p>
    <w:p w14:paraId="30BF7251"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3B9154AF"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vartojamas simptomams, kurie pasireiškia po menopauzės, palengvinti.</w:t>
      </w:r>
    </w:p>
    <w:p w14:paraId="516A8D72"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7FC14060"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Menopauzėje mažėja estrogenų, kurie gaminami moters organizme, kiekis. Tai gali sukelti simptomus: veido, kaklo ir krūtinės paraudimą su karščio pojūčiu (kraujo </w:t>
      </w:r>
      <w:proofErr w:type="spellStart"/>
      <w:r w:rsidRPr="00940D54">
        <w:rPr>
          <w:rFonts w:ascii="Times New Roman" w:hAnsi="Times New Roman"/>
          <w:lang w:val="lt-LT"/>
        </w:rPr>
        <w:t>samplūdį</w:t>
      </w:r>
      <w:proofErr w:type="spellEnd"/>
      <w:r w:rsidRPr="00940D54">
        <w:rPr>
          <w:rFonts w:ascii="Times New Roman" w:hAnsi="Times New Roman"/>
          <w:lang w:val="lt-LT"/>
        </w:rPr>
        <w:t xml:space="preserve"> į veidą, kaklą ir krūtinę).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sumažina šiuos simptomus po menopauzės.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Jums bus paskirtas tik tuo atveju, jeigu simptomai trukdys Jūsų kasdieniniam gyvenimui.</w:t>
      </w:r>
    </w:p>
    <w:p w14:paraId="33CFADA5"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414555B4"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1BF5AE2A"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2.</w:t>
      </w:r>
      <w:r w:rsidRPr="00940D54">
        <w:rPr>
          <w:rFonts w:ascii="Times New Roman" w:hAnsi="Times New Roman"/>
          <w:b/>
          <w:lang w:val="lt-LT"/>
        </w:rPr>
        <w:tab/>
        <w:t xml:space="preserve">Kas žinotina prieš vartojant </w:t>
      </w:r>
      <w:proofErr w:type="spellStart"/>
      <w:r w:rsidRPr="00940D54">
        <w:rPr>
          <w:rFonts w:ascii="Times New Roman" w:hAnsi="Times New Roman"/>
          <w:b/>
          <w:lang w:val="lt-LT"/>
        </w:rPr>
        <w:t>velbienne</w:t>
      </w:r>
      <w:proofErr w:type="spellEnd"/>
    </w:p>
    <w:p w14:paraId="3B273795"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6A8C1D0D"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Medicininė istorija ir reguliarus sveikatos būklės tikrinimas</w:t>
      </w:r>
    </w:p>
    <w:p w14:paraId="1C437855" w14:textId="77777777" w:rsidR="00A51A1D" w:rsidRPr="00940D54" w:rsidRDefault="00A51A1D" w:rsidP="00A51A1D">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PHT vartojimas kelia riziką, į kurią teks atsižvelgti prieš apsisprendžiant pradėti PHT ir PHT vartojimo metu.</w:t>
      </w:r>
    </w:p>
    <w:p w14:paraId="636C0AFA" w14:textId="77777777" w:rsidR="00A51A1D" w:rsidRPr="00940D54" w:rsidRDefault="00A51A1D" w:rsidP="00A51A1D">
      <w:pPr>
        <w:spacing w:after="0" w:line="240" w:lineRule="auto"/>
        <w:rPr>
          <w:rFonts w:ascii="Times New Roman" w:hAnsi="Times New Roman"/>
          <w:color w:val="000000"/>
          <w:lang w:val="lt-LT"/>
        </w:rPr>
      </w:pPr>
    </w:p>
    <w:p w14:paraId="42EDF834" w14:textId="77777777" w:rsidR="00A51A1D" w:rsidRPr="00940D54" w:rsidRDefault="00A51A1D" w:rsidP="00A51A1D">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Moterų, kurioms pasireiškė ankstyva menopauzė (dėl kiaušidžių funkcijos nepakankamumo ar chirurginės operacijos), gydymo patirtis yra ribota. Jeigu Jums pasireiškė ankstyva menopauzė, PHT keliama rizika gali būti skirtinga. Pasitarkite su savo gydytoju.</w:t>
      </w:r>
    </w:p>
    <w:p w14:paraId="3E57C57F" w14:textId="77777777" w:rsidR="00A51A1D" w:rsidRPr="00940D54" w:rsidRDefault="00A51A1D" w:rsidP="00A51A1D">
      <w:pPr>
        <w:spacing w:after="0" w:line="240" w:lineRule="auto"/>
        <w:rPr>
          <w:rFonts w:ascii="Times New Roman" w:hAnsi="Times New Roman"/>
          <w:color w:val="000000"/>
          <w:lang w:val="lt-LT"/>
        </w:rPr>
      </w:pPr>
    </w:p>
    <w:p w14:paraId="48407479" w14:textId="77777777" w:rsidR="00A51A1D" w:rsidRPr="00940D54" w:rsidRDefault="00A51A1D" w:rsidP="00A51A1D">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Prieš pradedant (arba atnaujinant) PHT, Jūsų gydytojas paklaus apie Jūsų asmeninę ir šeimos medicininę istoriją. Jūsų gydytojas gali nuspręsti atlikti fizinį ištyrimą. Prireikus, šio tyrimo metu gali būti ištirti Jūsų krūtys ir (arba) vidaus organai.</w:t>
      </w:r>
    </w:p>
    <w:p w14:paraId="6BC12FE7" w14:textId="77777777" w:rsidR="00A51A1D" w:rsidRPr="00940D54" w:rsidRDefault="00A51A1D" w:rsidP="00A51A1D">
      <w:pPr>
        <w:spacing w:after="0" w:line="240" w:lineRule="auto"/>
        <w:rPr>
          <w:rFonts w:ascii="Times New Roman" w:hAnsi="Times New Roman"/>
          <w:color w:val="000000"/>
          <w:lang w:val="lt-LT"/>
        </w:rPr>
      </w:pPr>
    </w:p>
    <w:p w14:paraId="6D57AAF9" w14:textId="77777777" w:rsidR="00A51A1D" w:rsidRPr="00940D54" w:rsidRDefault="00A51A1D" w:rsidP="00A51A1D">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Pradėjusi vartoti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turėsite reguliariai tikrintis (bent vieną kartą per metus). Per šias apžiūras aptarkite su savo gydytoju tolimesnio gydymo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naudą ir riziką.</w:t>
      </w:r>
    </w:p>
    <w:p w14:paraId="57470E9D" w14:textId="77777777" w:rsidR="00A51A1D" w:rsidRPr="00940D54" w:rsidRDefault="00A51A1D" w:rsidP="00A51A1D">
      <w:pPr>
        <w:spacing w:after="0" w:line="240" w:lineRule="auto"/>
        <w:rPr>
          <w:rFonts w:ascii="Times New Roman" w:hAnsi="Times New Roman"/>
          <w:color w:val="000000"/>
          <w:lang w:val="lt-LT"/>
        </w:rPr>
      </w:pPr>
    </w:p>
    <w:p w14:paraId="5C087620" w14:textId="77777777" w:rsidR="00A51A1D" w:rsidRPr="00940D54" w:rsidRDefault="00A51A1D" w:rsidP="00A51A1D">
      <w:pPr>
        <w:numPr>
          <w:ilvl w:val="0"/>
          <w:numId w:val="7"/>
        </w:num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Reguliariai tikrinkitės krūtis taip, kaip rekomendavo Jūsų gydytojas.</w:t>
      </w:r>
    </w:p>
    <w:p w14:paraId="4BA88257" w14:textId="77777777" w:rsidR="00A51A1D" w:rsidRPr="00940D54" w:rsidRDefault="00A51A1D" w:rsidP="00A51A1D">
      <w:pPr>
        <w:spacing w:after="0" w:line="240" w:lineRule="auto"/>
        <w:rPr>
          <w:rFonts w:ascii="Times New Roman" w:hAnsi="Times New Roman"/>
          <w:color w:val="000000"/>
          <w:lang w:val="lt-LT"/>
        </w:rPr>
      </w:pPr>
    </w:p>
    <w:p w14:paraId="1A9D1FD8" w14:textId="00E41B74"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vartoti </w:t>
      </w:r>
      <w:r w:rsidR="00465E20" w:rsidRPr="00940D54">
        <w:rPr>
          <w:rFonts w:ascii="Times New Roman" w:hAnsi="Times New Roman"/>
          <w:b/>
          <w:lang w:val="lt-LT"/>
        </w:rPr>
        <w:t>draudžia</w:t>
      </w:r>
      <w:r w:rsidRPr="00940D54">
        <w:rPr>
          <w:rFonts w:ascii="Times New Roman" w:hAnsi="Times New Roman"/>
          <w:b/>
          <w:lang w:val="lt-LT"/>
        </w:rPr>
        <w:t>ma</w:t>
      </w:r>
    </w:p>
    <w:p w14:paraId="18DB6BF3"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Pasitarkite su gydytoju prieš pradėdama vartoti </w:t>
      </w:r>
      <w:proofErr w:type="spellStart"/>
      <w:r w:rsidRPr="00940D54">
        <w:rPr>
          <w:rFonts w:ascii="Times New Roman" w:hAnsi="Times New Roman"/>
          <w:lang w:val="lt-LT"/>
        </w:rPr>
        <w:t>velbienne</w:t>
      </w:r>
      <w:proofErr w:type="spellEnd"/>
      <w:r w:rsidRPr="00940D54">
        <w:rPr>
          <w:rFonts w:ascii="Times New Roman" w:hAnsi="Times New Roman"/>
          <w:lang w:val="lt-LT"/>
        </w:rPr>
        <w:t>, jeigu yra arba abejojate, ar yra toliau išvardytų aplinkybių.</w:t>
      </w:r>
    </w:p>
    <w:p w14:paraId="34C911E2"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7CCD2293" w14:textId="0537C7E5" w:rsidR="00A51A1D" w:rsidRPr="00940D54" w:rsidRDefault="00A51A1D" w:rsidP="00A51A1D">
      <w:pPr>
        <w:numPr>
          <w:ilvl w:val="12"/>
          <w:numId w:val="0"/>
        </w:numPr>
        <w:spacing w:after="0" w:line="240" w:lineRule="auto"/>
        <w:ind w:right="-2"/>
        <w:rPr>
          <w:rFonts w:ascii="Times New Roman" w:hAnsi="Times New Roman"/>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vartoti </w:t>
      </w:r>
      <w:r w:rsidR="00AB6B48">
        <w:rPr>
          <w:rFonts w:ascii="Times New Roman" w:hAnsi="Times New Roman"/>
          <w:lang w:val="lt-LT"/>
        </w:rPr>
        <w:t>draudžiama</w:t>
      </w:r>
      <w:r w:rsidR="006A36E0">
        <w:rPr>
          <w:rFonts w:ascii="Times New Roman" w:hAnsi="Times New Roman"/>
          <w:lang w:val="lt-LT"/>
        </w:rPr>
        <w:t>:</w:t>
      </w:r>
    </w:p>
    <w:p w14:paraId="64B44C8C"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jeigu sergate ar kada nors sirgote arba įtariate,</w:t>
      </w:r>
      <w:r w:rsidRPr="00940D54">
        <w:rPr>
          <w:rFonts w:ascii="Times New Roman" w:hAnsi="Times New Roman"/>
          <w:b/>
          <w:lang w:val="lt-LT"/>
        </w:rPr>
        <w:t xml:space="preserve"> </w:t>
      </w:r>
      <w:r w:rsidRPr="00940D54">
        <w:rPr>
          <w:rFonts w:ascii="Times New Roman" w:hAnsi="Times New Roman"/>
          <w:lang w:val="lt-LT"/>
        </w:rPr>
        <w:t>kad sergate</w:t>
      </w:r>
      <w:r w:rsidRPr="00940D54">
        <w:rPr>
          <w:rFonts w:ascii="Times New Roman" w:hAnsi="Times New Roman"/>
          <w:b/>
          <w:lang w:val="lt-LT"/>
        </w:rPr>
        <w:t xml:space="preserve"> krūties vėžiu</w:t>
      </w:r>
      <w:r w:rsidRPr="00940D54">
        <w:rPr>
          <w:rFonts w:ascii="Times New Roman" w:hAnsi="Times New Roman"/>
          <w:lang w:val="lt-LT"/>
        </w:rPr>
        <w:t>;</w:t>
      </w:r>
    </w:p>
    <w:p w14:paraId="73E98D78"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jeigu sergate</w:t>
      </w:r>
      <w:r w:rsidRPr="00940D54">
        <w:rPr>
          <w:rFonts w:ascii="Times New Roman" w:hAnsi="Times New Roman"/>
          <w:b/>
          <w:lang w:val="lt-LT"/>
        </w:rPr>
        <w:t xml:space="preserve"> estrogenams jautriu vėžiu</w:t>
      </w:r>
      <w:r w:rsidRPr="00940D54">
        <w:rPr>
          <w:rFonts w:ascii="Times New Roman" w:hAnsi="Times New Roman"/>
          <w:lang w:val="lt-LT"/>
        </w:rPr>
        <w:t>, pavyzdžiui, gimdos gleivinės (</w:t>
      </w:r>
      <w:proofErr w:type="spellStart"/>
      <w:r w:rsidRPr="00940D54">
        <w:rPr>
          <w:rFonts w:ascii="Times New Roman" w:hAnsi="Times New Roman"/>
          <w:lang w:val="lt-LT"/>
        </w:rPr>
        <w:t>endometriumo</w:t>
      </w:r>
      <w:proofErr w:type="spellEnd"/>
      <w:r w:rsidRPr="00940D54">
        <w:rPr>
          <w:rFonts w:ascii="Times New Roman" w:hAnsi="Times New Roman"/>
          <w:lang w:val="lt-LT"/>
        </w:rPr>
        <w:t>) vėžiu arba įtariate, kad jis Jums yra;</w:t>
      </w:r>
    </w:p>
    <w:p w14:paraId="61E52309"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w:t>
      </w:r>
      <w:r w:rsidRPr="00940D54">
        <w:rPr>
          <w:rFonts w:ascii="Times New Roman" w:hAnsi="Times New Roman"/>
          <w:b/>
          <w:lang w:val="lt-LT"/>
        </w:rPr>
        <w:t>dėl nežinomų priežasčių kraujuojate iš makšties</w:t>
      </w:r>
      <w:r w:rsidRPr="00940D54">
        <w:rPr>
          <w:rFonts w:ascii="Times New Roman" w:hAnsi="Times New Roman"/>
          <w:lang w:val="lt-LT"/>
        </w:rPr>
        <w:t>;</w:t>
      </w:r>
    </w:p>
    <w:p w14:paraId="2E7E0695"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negydyta </w:t>
      </w:r>
      <w:r w:rsidRPr="00940D54">
        <w:rPr>
          <w:rFonts w:ascii="Times New Roman" w:hAnsi="Times New Roman"/>
          <w:b/>
          <w:lang w:val="lt-LT"/>
        </w:rPr>
        <w:t>pernelyg išvešėjusi gimdos gleivinė</w:t>
      </w:r>
      <w:r w:rsidRPr="00940D54">
        <w:rPr>
          <w:rFonts w:ascii="Times New Roman" w:hAnsi="Times New Roman"/>
          <w:lang w:val="lt-LT"/>
        </w:rPr>
        <w:t xml:space="preserve">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w:t>
      </w:r>
    </w:p>
    <w:p w14:paraId="33CF54B3"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ar kada nors buvo susiformavę </w:t>
      </w:r>
      <w:r w:rsidRPr="00940D54">
        <w:rPr>
          <w:rFonts w:ascii="Times New Roman" w:hAnsi="Times New Roman"/>
          <w:b/>
          <w:lang w:val="lt-LT"/>
        </w:rPr>
        <w:t>kraujo krešulių venose</w:t>
      </w:r>
      <w:r w:rsidRPr="00940D54">
        <w:rPr>
          <w:rFonts w:ascii="Times New Roman" w:hAnsi="Times New Roman"/>
          <w:lang w:val="lt-LT"/>
        </w:rPr>
        <w:t xml:space="preserve"> (trombozė), pavyzdžiui, kojų (giliųjų venų trombozė) ar plaučių (plaučių embolija) venose;</w:t>
      </w:r>
    </w:p>
    <w:p w14:paraId="33F13750"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w:t>
      </w:r>
      <w:r w:rsidRPr="00940D54">
        <w:rPr>
          <w:rFonts w:ascii="Times New Roman" w:hAnsi="Times New Roman"/>
          <w:b/>
          <w:lang w:val="lt-LT"/>
        </w:rPr>
        <w:t>kraujo krešėjimo sutrikimas</w:t>
      </w:r>
      <w:r w:rsidRPr="00940D54">
        <w:rPr>
          <w:rFonts w:ascii="Times New Roman" w:hAnsi="Times New Roman"/>
          <w:lang w:val="lt-LT"/>
        </w:rPr>
        <w:t xml:space="preserve"> (pvz.: </w:t>
      </w:r>
      <w:proofErr w:type="spellStart"/>
      <w:r w:rsidRPr="00940D54">
        <w:rPr>
          <w:rFonts w:ascii="Times New Roman" w:hAnsi="Times New Roman"/>
          <w:lang w:val="lt-LT"/>
        </w:rPr>
        <w:t>protrombino</w:t>
      </w:r>
      <w:proofErr w:type="spellEnd"/>
      <w:r w:rsidRPr="00940D54">
        <w:rPr>
          <w:rFonts w:ascii="Times New Roman" w:hAnsi="Times New Roman"/>
          <w:lang w:val="lt-LT"/>
        </w:rPr>
        <w:t xml:space="preserve"> C, </w:t>
      </w:r>
      <w:proofErr w:type="spellStart"/>
      <w:r w:rsidRPr="00940D54">
        <w:rPr>
          <w:rFonts w:ascii="Times New Roman" w:hAnsi="Times New Roman"/>
          <w:lang w:val="lt-LT"/>
        </w:rPr>
        <w:t>protrombino</w:t>
      </w:r>
      <w:proofErr w:type="spellEnd"/>
      <w:r w:rsidRPr="00940D54">
        <w:rPr>
          <w:rFonts w:ascii="Times New Roman" w:hAnsi="Times New Roman"/>
          <w:lang w:val="lt-LT"/>
        </w:rPr>
        <w:t xml:space="preserve"> S ar </w:t>
      </w:r>
      <w:proofErr w:type="spellStart"/>
      <w:r w:rsidRPr="00940D54">
        <w:rPr>
          <w:rFonts w:ascii="Times New Roman" w:hAnsi="Times New Roman"/>
          <w:lang w:val="lt-LT"/>
        </w:rPr>
        <w:t>antitrombino</w:t>
      </w:r>
      <w:proofErr w:type="spellEnd"/>
      <w:r w:rsidRPr="00940D54">
        <w:rPr>
          <w:rFonts w:ascii="Times New Roman" w:hAnsi="Times New Roman"/>
          <w:lang w:val="lt-LT"/>
        </w:rPr>
        <w:t xml:space="preserve"> trūkumas);</w:t>
      </w:r>
    </w:p>
    <w:p w14:paraId="47E3BB33"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sergate ar neseniai sirgote liga, kurią sukėlė kraujo krešuliai arterijose, pavyzdžiui: ištiko širdies priepuolis, insultas ar </w:t>
      </w:r>
      <w:r w:rsidRPr="00940D54">
        <w:rPr>
          <w:rFonts w:ascii="Times New Roman" w:hAnsi="Times New Roman"/>
          <w:b/>
          <w:lang w:val="lt-LT"/>
        </w:rPr>
        <w:t>angina</w:t>
      </w:r>
      <w:r w:rsidRPr="00940D54">
        <w:rPr>
          <w:rFonts w:ascii="Times New Roman" w:hAnsi="Times New Roman"/>
          <w:lang w:val="lt-LT"/>
        </w:rPr>
        <w:t>;</w:t>
      </w:r>
    </w:p>
    <w:p w14:paraId="069163C8"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sergate ar kada nors sirgote </w:t>
      </w:r>
      <w:r w:rsidRPr="00940D54">
        <w:rPr>
          <w:rFonts w:ascii="Times New Roman" w:hAnsi="Times New Roman"/>
          <w:b/>
          <w:lang w:val="lt-LT"/>
        </w:rPr>
        <w:t>kepenų liga</w:t>
      </w:r>
      <w:r w:rsidRPr="00940D54">
        <w:rPr>
          <w:rFonts w:ascii="Times New Roman" w:hAnsi="Times New Roman"/>
          <w:lang w:val="lt-LT"/>
        </w:rPr>
        <w:t xml:space="preserve"> ir Jūsų kepenų funkcijos rodmenys vis dar yra nenormalūs;</w:t>
      </w:r>
    </w:p>
    <w:p w14:paraId="12AD9161"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turite retą kraujo sutrikimą, vadinamą </w:t>
      </w:r>
      <w:proofErr w:type="spellStart"/>
      <w:r w:rsidRPr="00940D54">
        <w:rPr>
          <w:rFonts w:ascii="Times New Roman" w:hAnsi="Times New Roman"/>
          <w:lang w:val="lt-LT"/>
        </w:rPr>
        <w:t>porfirija</w:t>
      </w:r>
      <w:proofErr w:type="spellEnd"/>
      <w:r w:rsidRPr="00940D54">
        <w:rPr>
          <w:rFonts w:ascii="Times New Roman" w:hAnsi="Times New Roman"/>
          <w:lang w:val="lt-LT"/>
        </w:rPr>
        <w:t>, kuris yra perduodamas kraujo giminaičiams (yra paveldimas);</w:t>
      </w:r>
    </w:p>
    <w:p w14:paraId="27AEDFAD" w14:textId="47FC3EBC" w:rsidR="00A51A1D" w:rsidRPr="00940D54" w:rsidRDefault="00A51A1D" w:rsidP="00A51A1D">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w:t>
      </w:r>
      <w:r w:rsidRPr="00940D54">
        <w:rPr>
          <w:rFonts w:ascii="Times New Roman" w:hAnsi="Times New Roman"/>
          <w:b/>
          <w:lang w:val="lt-LT"/>
        </w:rPr>
        <w:t>alergija</w:t>
      </w:r>
      <w:r w:rsidRPr="00940D54">
        <w:rPr>
          <w:rFonts w:ascii="Times New Roman" w:hAnsi="Times New Roman"/>
          <w:lang w:val="lt-LT"/>
        </w:rPr>
        <w:t xml:space="preserve"> </w:t>
      </w:r>
      <w:proofErr w:type="spellStart"/>
      <w:r w:rsidRPr="00940D54">
        <w:rPr>
          <w:rFonts w:ascii="Times New Roman" w:hAnsi="Times New Roman"/>
          <w:lang w:val="lt-LT"/>
        </w:rPr>
        <w:t>estr</w:t>
      </w:r>
      <w:r w:rsidR="006B25C8">
        <w:rPr>
          <w:rFonts w:ascii="Times New Roman" w:hAnsi="Times New Roman"/>
          <w:lang w:val="lt-LT"/>
        </w:rPr>
        <w:t>adiolio</w:t>
      </w:r>
      <w:proofErr w:type="spellEnd"/>
      <w:r w:rsidR="006B25C8">
        <w:rPr>
          <w:rFonts w:ascii="Times New Roman" w:hAnsi="Times New Roman"/>
          <w:lang w:val="lt-LT"/>
        </w:rPr>
        <w:t xml:space="preserve"> </w:t>
      </w:r>
      <w:proofErr w:type="spellStart"/>
      <w:r w:rsidR="006B25C8">
        <w:rPr>
          <w:rFonts w:ascii="Times New Roman" w:hAnsi="Times New Roman"/>
          <w:lang w:val="lt-LT"/>
        </w:rPr>
        <w:t>valeratui</w:t>
      </w:r>
      <w:proofErr w:type="spellEnd"/>
      <w:r w:rsidR="006B25C8">
        <w:rPr>
          <w:rFonts w:ascii="Times New Roman" w:hAnsi="Times New Roman"/>
          <w:lang w:val="lt-LT"/>
        </w:rPr>
        <w:t xml:space="preserve">, </w:t>
      </w:r>
      <w:proofErr w:type="spellStart"/>
      <w:r w:rsidR="006B25C8">
        <w:rPr>
          <w:rFonts w:ascii="Times New Roman" w:hAnsi="Times New Roman"/>
          <w:lang w:val="lt-LT"/>
        </w:rPr>
        <w:t>dienogestui</w:t>
      </w:r>
      <w:proofErr w:type="spellEnd"/>
      <w:r w:rsidRPr="00940D54">
        <w:rPr>
          <w:rFonts w:ascii="Times New Roman" w:hAnsi="Times New Roman"/>
          <w:lang w:val="lt-LT"/>
        </w:rPr>
        <w:t xml:space="preserve"> arba bet kuriai pagalbinei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medžiagai (jos išvardytos 6</w:t>
      </w:r>
      <w:r w:rsidR="00C958F0">
        <w:rPr>
          <w:rFonts w:ascii="Times New Roman" w:hAnsi="Times New Roman"/>
          <w:lang w:val="lt-LT"/>
        </w:rPr>
        <w:t> </w:t>
      </w:r>
      <w:r w:rsidRPr="00940D54">
        <w:rPr>
          <w:rFonts w:ascii="Times New Roman" w:hAnsi="Times New Roman"/>
          <w:lang w:val="lt-LT"/>
        </w:rPr>
        <w:t>skyriuje).</w:t>
      </w:r>
    </w:p>
    <w:p w14:paraId="7AC7B47B" w14:textId="77777777" w:rsidR="00A51A1D" w:rsidRPr="00940D54" w:rsidRDefault="00A51A1D" w:rsidP="00A51A1D">
      <w:pPr>
        <w:spacing w:after="0" w:line="240" w:lineRule="auto"/>
        <w:rPr>
          <w:rFonts w:ascii="Times New Roman" w:hAnsi="Times New Roman"/>
          <w:color w:val="000000"/>
          <w:lang w:val="lt-LT"/>
        </w:rPr>
      </w:pPr>
    </w:p>
    <w:p w14:paraId="5A63BB35" w14:textId="77777777" w:rsidR="00A51A1D" w:rsidRPr="00940D54" w:rsidRDefault="00A51A1D" w:rsidP="00A51A1D">
      <w:pPr>
        <w:numPr>
          <w:ilvl w:val="0"/>
          <w:numId w:val="7"/>
        </w:num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Jeigu kuri nors pirmiau išvardytų būklių pirmą kartą pasireiškia vartojant </w:t>
      </w:r>
      <w:proofErr w:type="spellStart"/>
      <w:r w:rsidRPr="00940D54">
        <w:rPr>
          <w:rFonts w:ascii="Times New Roman" w:hAnsi="Times New Roman"/>
          <w:lang w:val="lt-LT"/>
        </w:rPr>
        <w:t>velbienne</w:t>
      </w:r>
      <w:proofErr w:type="spellEnd"/>
      <w:r w:rsidRPr="00940D54">
        <w:rPr>
          <w:rFonts w:ascii="Times New Roman" w:hAnsi="Times New Roman"/>
          <w:color w:val="000000"/>
          <w:lang w:val="lt-LT"/>
        </w:rPr>
        <w:t>, iš karto nutraukite vaisto vartojimą ir nedelsdama kreipkitės į savo gydytoją.</w:t>
      </w:r>
    </w:p>
    <w:p w14:paraId="3F11C914"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p>
    <w:p w14:paraId="285BE287"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Įspėjimai ir atsargumo priemonės</w:t>
      </w:r>
    </w:p>
    <w:p w14:paraId="680E1BD9"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Pasakykite savo gydytojui prieš pradėdama gydymą, jeigu kada nors yra buvę toliau išvardytų problemų, nes jos gali atsinaujinti arba pasunkėti gydymo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metu. Jeigu taip yra, turėsite dažniau tikrintis pas savo gydytoją.</w:t>
      </w:r>
    </w:p>
    <w:p w14:paraId="004F46A0"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7C552616"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 xml:space="preserve">Gimdos </w:t>
      </w:r>
      <w:proofErr w:type="spellStart"/>
      <w:r w:rsidRPr="00940D54">
        <w:rPr>
          <w:rFonts w:ascii="Times New Roman" w:hAnsi="Times New Roman"/>
          <w:lang w:val="lt-LT"/>
        </w:rPr>
        <w:t>fibroma</w:t>
      </w:r>
      <w:proofErr w:type="spellEnd"/>
      <w:r w:rsidRPr="00940D54">
        <w:rPr>
          <w:rFonts w:ascii="Times New Roman" w:hAnsi="Times New Roman"/>
          <w:lang w:val="lt-LT"/>
        </w:rPr>
        <w:t>.</w:t>
      </w:r>
    </w:p>
    <w:p w14:paraId="69A32283"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Gimdos gleivinės išvešėjimas už gimdos ribų (endometriozė) arba pernelyg didelio gimdos gleivinės išvešėjimo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 istorija.</w:t>
      </w:r>
    </w:p>
    <w:p w14:paraId="326FE1DE" w14:textId="0F2BDDD9"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Kraujo krešulių susiformavimo rizikos padidėjimas [žr.</w:t>
      </w:r>
      <w:r w:rsidR="00C958F0">
        <w:rPr>
          <w:rFonts w:ascii="Times New Roman" w:hAnsi="Times New Roman"/>
          <w:lang w:val="lt-LT"/>
        </w:rPr>
        <w:t> </w:t>
      </w:r>
      <w:r w:rsidRPr="00940D54">
        <w:rPr>
          <w:rFonts w:ascii="Times New Roman" w:hAnsi="Times New Roman"/>
          <w:lang w:val="lt-LT"/>
        </w:rPr>
        <w:t>2</w:t>
      </w:r>
      <w:r w:rsidR="00C958F0">
        <w:rPr>
          <w:rFonts w:ascii="Times New Roman" w:hAnsi="Times New Roman"/>
          <w:lang w:val="lt-LT"/>
        </w:rPr>
        <w:t> </w:t>
      </w:r>
      <w:r w:rsidRPr="00940D54">
        <w:rPr>
          <w:rFonts w:ascii="Times New Roman" w:hAnsi="Times New Roman"/>
          <w:lang w:val="lt-LT"/>
        </w:rPr>
        <w:t>skyriuje skyrelį „Kraujo krešulių susiformavimas venose (trombozė)”].</w:t>
      </w:r>
    </w:p>
    <w:p w14:paraId="0938D92B"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Padidėjusi rizika, kad atsiras nuo estrogenų priklausomas vėžys (pvz., Jūsų mamai, seseriai ar močiutei buvo krūties vėžys).</w:t>
      </w:r>
    </w:p>
    <w:p w14:paraId="64F00017"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Kraujospūdžio padidėjimas.</w:t>
      </w:r>
    </w:p>
    <w:p w14:paraId="66405868"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Kepenų sutrikimas, pavyzdžiui: gerybinis kepenų navikas.</w:t>
      </w:r>
    </w:p>
    <w:p w14:paraId="4D8C76C1"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Diabetas.</w:t>
      </w:r>
    </w:p>
    <w:p w14:paraId="20B4B650"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Tulžies pūslės akmenys.</w:t>
      </w:r>
    </w:p>
    <w:p w14:paraId="4FC2D9A1"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Migrena arba sunkus galvos skausmas.</w:t>
      </w:r>
    </w:p>
    <w:p w14:paraId="0123C2AB"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Imuninės sistemos liga, kuri pažeidžia daugelį organų organizme (sisteminė raudonoji vilkligė, SRV).</w:t>
      </w:r>
    </w:p>
    <w:p w14:paraId="53EFD10B"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Epilepsija.</w:t>
      </w:r>
    </w:p>
    <w:p w14:paraId="3233724F"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Astma.</w:t>
      </w:r>
    </w:p>
    <w:p w14:paraId="7AB5016F"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Liga, kuri pažeidžia ausies būgnelį ir klausą (</w:t>
      </w:r>
      <w:proofErr w:type="spellStart"/>
      <w:r w:rsidRPr="00940D54">
        <w:rPr>
          <w:rFonts w:ascii="Times New Roman" w:hAnsi="Times New Roman"/>
          <w:lang w:val="lt-LT"/>
        </w:rPr>
        <w:t>otosklerozė</w:t>
      </w:r>
      <w:proofErr w:type="spellEnd"/>
      <w:r w:rsidRPr="00940D54">
        <w:rPr>
          <w:rFonts w:ascii="Times New Roman" w:hAnsi="Times New Roman"/>
          <w:lang w:val="lt-LT"/>
        </w:rPr>
        <w:t>).</w:t>
      </w:r>
    </w:p>
    <w:p w14:paraId="0D04FD22" w14:textId="77777777"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Labai didelė riebiųjų medžiagų (trigliceridų) koncentracija Jūsų kraujyje.</w:t>
      </w:r>
    </w:p>
    <w:p w14:paraId="136FB3EE" w14:textId="2ED262FD" w:rsidR="00A51A1D" w:rsidRPr="00940D54" w:rsidRDefault="00A51A1D"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Skysčių susilaikymas dėl širdies ar inkstų funkcijos sutrikimų.</w:t>
      </w:r>
    </w:p>
    <w:p w14:paraId="582C4193" w14:textId="29193707" w:rsidR="005D2319" w:rsidRPr="00940D54" w:rsidRDefault="00095431" w:rsidP="00A51A1D">
      <w:pPr>
        <w:numPr>
          <w:ilvl w:val="0"/>
          <w:numId w:val="3"/>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Paveldima</w:t>
      </w:r>
      <w:r w:rsidR="005D2319" w:rsidRPr="00940D54">
        <w:rPr>
          <w:rFonts w:ascii="Times New Roman" w:hAnsi="Times New Roman"/>
          <w:lang w:val="lt-LT"/>
        </w:rPr>
        <w:t xml:space="preserve"> ir įgyta </w:t>
      </w:r>
      <w:proofErr w:type="spellStart"/>
      <w:r w:rsidR="005D2319" w:rsidRPr="00940D54">
        <w:rPr>
          <w:rFonts w:ascii="Times New Roman" w:hAnsi="Times New Roman"/>
          <w:lang w:val="lt-LT"/>
        </w:rPr>
        <w:t>angioneurozinė</w:t>
      </w:r>
      <w:proofErr w:type="spellEnd"/>
      <w:r w:rsidR="005D2319" w:rsidRPr="00940D54">
        <w:rPr>
          <w:rFonts w:ascii="Times New Roman" w:hAnsi="Times New Roman"/>
          <w:lang w:val="lt-LT"/>
        </w:rPr>
        <w:t xml:space="preserve"> edema.</w:t>
      </w:r>
    </w:p>
    <w:p w14:paraId="3F567C3D" w14:textId="77777777" w:rsidR="00A51A1D" w:rsidRPr="00940D54" w:rsidRDefault="00A51A1D" w:rsidP="00A51A1D">
      <w:pPr>
        <w:numPr>
          <w:ilvl w:val="12"/>
          <w:numId w:val="0"/>
        </w:numPr>
        <w:spacing w:after="0" w:line="240" w:lineRule="auto"/>
        <w:ind w:left="567" w:hanging="567"/>
        <w:rPr>
          <w:rFonts w:ascii="Times New Roman" w:hAnsi="Times New Roman"/>
          <w:lang w:val="lt-LT"/>
        </w:rPr>
      </w:pPr>
    </w:p>
    <w:p w14:paraId="73E914A3" w14:textId="77777777" w:rsidR="00A51A1D" w:rsidRPr="00940D54" w:rsidRDefault="00A51A1D" w:rsidP="006815BA">
      <w:pPr>
        <w:keepNext/>
        <w:numPr>
          <w:ilvl w:val="12"/>
          <w:numId w:val="0"/>
        </w:numPr>
        <w:spacing w:after="0" w:line="240" w:lineRule="auto"/>
        <w:ind w:left="567" w:hanging="567"/>
        <w:rPr>
          <w:rFonts w:ascii="Times New Roman" w:eastAsiaTheme="minorHAnsi" w:hAnsi="Times New Roman" w:cstheme="minorBidi"/>
          <w:lang w:val="lt-LT"/>
        </w:rPr>
      </w:pPr>
      <w:r w:rsidRPr="00940D54">
        <w:rPr>
          <w:rFonts w:ascii="Times New Roman" w:hAnsi="Times New Roman"/>
          <w:b/>
          <w:lang w:val="lt-LT"/>
        </w:rPr>
        <w:lastRenderedPageBreak/>
        <w:t xml:space="preserve">Nutraukite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vartojimą ir nedelsdama kreipkitės į gydytoją</w:t>
      </w:r>
    </w:p>
    <w:p w14:paraId="4FC9A14F" w14:textId="77777777" w:rsidR="00A51A1D" w:rsidRPr="00940D54" w:rsidRDefault="00A51A1D" w:rsidP="006815BA">
      <w:pPr>
        <w:keepNext/>
        <w:numPr>
          <w:ilvl w:val="12"/>
          <w:numId w:val="0"/>
        </w:numPr>
        <w:spacing w:after="0" w:line="240" w:lineRule="auto"/>
        <w:ind w:right="-2"/>
        <w:rPr>
          <w:rFonts w:ascii="Times New Roman" w:hAnsi="Times New Roman"/>
          <w:lang w:val="lt-LT"/>
        </w:rPr>
      </w:pPr>
    </w:p>
    <w:p w14:paraId="053E235A" w14:textId="77777777" w:rsidR="00A51A1D" w:rsidRPr="00940D54" w:rsidRDefault="00A51A1D" w:rsidP="006815BA">
      <w:pPr>
        <w:keepNext/>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Jeigu PHT metu pastebėjote kurią nors iš toliau išvardytų aplinkybių:</w:t>
      </w:r>
    </w:p>
    <w:p w14:paraId="71D2EF18" w14:textId="20EA941E" w:rsidR="00A51A1D" w:rsidRPr="00940D54" w:rsidRDefault="00A51A1D" w:rsidP="006815BA">
      <w:pPr>
        <w:keepNext/>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atsirado kuri nors būklė, nurodyta skyrelyje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vartoti </w:t>
      </w:r>
      <w:r w:rsidR="006A36E0">
        <w:rPr>
          <w:rFonts w:ascii="Times New Roman" w:hAnsi="Times New Roman"/>
          <w:lang w:val="lt-LT"/>
        </w:rPr>
        <w:t>draudžiama</w:t>
      </w:r>
      <w:r w:rsidRPr="00940D54">
        <w:rPr>
          <w:rFonts w:ascii="Times New Roman" w:hAnsi="Times New Roman"/>
          <w:color w:val="000000"/>
          <w:lang w:val="lt-LT"/>
        </w:rPr>
        <w:t>“;</w:t>
      </w:r>
    </w:p>
    <w:p w14:paraId="6DEBFEF6" w14:textId="57727B0C" w:rsidR="00DA15B4" w:rsidRPr="00940D54" w:rsidRDefault="00DA15B4" w:rsidP="006815BA">
      <w:pPr>
        <w:keepNext/>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veido, liežuvio ir (arba) gerklės patinimas ir (arba) </w:t>
      </w:r>
      <w:r w:rsidR="00C255A1" w:rsidRPr="00940D54">
        <w:rPr>
          <w:rFonts w:ascii="Times New Roman" w:hAnsi="Times New Roman"/>
          <w:color w:val="000000"/>
          <w:lang w:val="lt-LT"/>
        </w:rPr>
        <w:t xml:space="preserve">rijimo pasunkėjimas ar </w:t>
      </w:r>
      <w:r w:rsidRPr="00940D54">
        <w:rPr>
          <w:rFonts w:ascii="Times New Roman" w:hAnsi="Times New Roman"/>
          <w:color w:val="000000"/>
          <w:lang w:val="lt-LT"/>
        </w:rPr>
        <w:t xml:space="preserve">dilgėlinė kartu su kvėpavimo pasunkėjimu (tai gali būti </w:t>
      </w:r>
      <w:proofErr w:type="spellStart"/>
      <w:r w:rsidRPr="00940D54">
        <w:rPr>
          <w:rFonts w:ascii="Times New Roman" w:hAnsi="Times New Roman"/>
          <w:color w:val="000000"/>
          <w:lang w:val="lt-LT"/>
        </w:rPr>
        <w:t>angioneurozinės</w:t>
      </w:r>
      <w:proofErr w:type="spellEnd"/>
      <w:r w:rsidRPr="00940D54">
        <w:rPr>
          <w:rFonts w:ascii="Times New Roman" w:hAnsi="Times New Roman"/>
          <w:color w:val="000000"/>
          <w:lang w:val="lt-LT"/>
        </w:rPr>
        <w:t xml:space="preserve"> edemos požymiai);</w:t>
      </w:r>
    </w:p>
    <w:p w14:paraId="442B53B8" w14:textId="77777777" w:rsidR="00A51A1D" w:rsidRPr="00940D54" w:rsidRDefault="00A51A1D" w:rsidP="006815BA">
      <w:pPr>
        <w:keepNext/>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pagelto Jūsų oda ar akių baltymas (gelta). Tai gali būti kepenų ligos požymiai;</w:t>
      </w:r>
    </w:p>
    <w:p w14:paraId="4D37982E" w14:textId="77777777" w:rsidR="00A51A1D" w:rsidRPr="00940D54" w:rsidRDefault="00A51A1D" w:rsidP="006815BA">
      <w:pPr>
        <w:keepNext/>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labai didelis Jūsų kraujospūdžio padidėjimas (simptomai gali būti galvos skausmas, nuovargis, galvos svaigimas);</w:t>
      </w:r>
    </w:p>
    <w:p w14:paraId="68D5EA7C" w14:textId="77777777" w:rsidR="00A51A1D" w:rsidRPr="00940D54" w:rsidRDefault="00A51A1D" w:rsidP="006815BA">
      <w:pPr>
        <w:keepNext/>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į migreną panašus galvos skausmas, kuris pasireiškia pirmą kartą;</w:t>
      </w:r>
    </w:p>
    <w:p w14:paraId="719185B7" w14:textId="77777777" w:rsidR="00A51A1D" w:rsidRPr="00940D54" w:rsidRDefault="00A51A1D" w:rsidP="006815BA">
      <w:pPr>
        <w:keepNext/>
        <w:numPr>
          <w:ilvl w:val="0"/>
          <w:numId w:val="3"/>
        </w:numPr>
        <w:autoSpaceDE w:val="0"/>
        <w:autoSpaceDN w:val="0"/>
        <w:adjustRightInd w:val="0"/>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jeigu pastojote;</w:t>
      </w:r>
    </w:p>
    <w:p w14:paraId="76C3A22E" w14:textId="77777777" w:rsidR="00A51A1D" w:rsidRPr="00940D54" w:rsidRDefault="00A51A1D" w:rsidP="006815BA">
      <w:pPr>
        <w:keepNext/>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jeigu pastebėjote kraujo krešulių susiformavimo požymių, pavyzdžiui:</w:t>
      </w:r>
    </w:p>
    <w:p w14:paraId="4A31C3B5" w14:textId="77777777" w:rsidR="00A51A1D" w:rsidRPr="00940D54" w:rsidRDefault="00A51A1D" w:rsidP="006815BA">
      <w:pPr>
        <w:keepNext/>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skausmingas kojų patinimas ir paraudimas;</w:t>
      </w:r>
    </w:p>
    <w:p w14:paraId="722DE07A" w14:textId="77777777" w:rsidR="00A51A1D" w:rsidRPr="00940D54" w:rsidRDefault="00A51A1D" w:rsidP="006815BA">
      <w:pPr>
        <w:keepNext/>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staiga pasireiškęs krūtinės skausmas;</w:t>
      </w:r>
    </w:p>
    <w:p w14:paraId="65098D79" w14:textId="77777777" w:rsidR="00A51A1D" w:rsidRPr="00940D54" w:rsidRDefault="00A51A1D" w:rsidP="006815BA">
      <w:pPr>
        <w:keepNext/>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kvėpavimo pasunkėjimas.</w:t>
      </w:r>
    </w:p>
    <w:p w14:paraId="3A853D30" w14:textId="77777777" w:rsidR="00A51A1D" w:rsidRPr="00940D54" w:rsidRDefault="00A51A1D" w:rsidP="00A51A1D">
      <w:pPr>
        <w:numPr>
          <w:ilvl w:val="12"/>
          <w:numId w:val="0"/>
        </w:numPr>
        <w:spacing w:after="0" w:line="240" w:lineRule="auto"/>
        <w:ind w:right="-2"/>
        <w:rPr>
          <w:rFonts w:ascii="Times New Roman" w:hAnsi="Times New Roman"/>
          <w:color w:val="000000"/>
          <w:lang w:val="lt-LT"/>
        </w:rPr>
      </w:pPr>
    </w:p>
    <w:p w14:paraId="2489394C"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color w:val="000000"/>
          <w:lang w:val="lt-LT"/>
        </w:rPr>
        <w:t>Daugiau informacijos žr. „</w:t>
      </w:r>
      <w:r w:rsidRPr="00940D54">
        <w:rPr>
          <w:rFonts w:ascii="Times New Roman" w:hAnsi="Times New Roman"/>
          <w:lang w:val="lt-LT"/>
        </w:rPr>
        <w:t>Kraujo krešulių susiformavimas venose (trombozė)</w:t>
      </w:r>
      <w:r w:rsidRPr="00940D54">
        <w:rPr>
          <w:rFonts w:ascii="Times New Roman" w:hAnsi="Times New Roman"/>
          <w:color w:val="000000"/>
          <w:lang w:val="lt-LT"/>
        </w:rPr>
        <w:t>“.</w:t>
      </w:r>
    </w:p>
    <w:p w14:paraId="3F67F0CD"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118DBA4C"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Pastaba.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nėra kontraceptinė priemonė</w:t>
      </w:r>
      <w:r w:rsidRPr="00940D54">
        <w:rPr>
          <w:rFonts w:ascii="Times New Roman" w:hAnsi="Times New Roman"/>
          <w:color w:val="000000"/>
          <w:lang w:val="lt-LT"/>
        </w:rPr>
        <w:t>. Jeigu praėjo mažiau kaip 12 mėnesių po Jūsų paskutiniųjų menstruacijų arba esate jaunesnė kaip 50 metų, Jūs vis dar turite naudoti papildomą kontracepciją, kad apsisaugotumėte nuo pastojimo. Patarimo kreipkitės į gydytoją.</w:t>
      </w:r>
    </w:p>
    <w:p w14:paraId="0530B693"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38D8EB63"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b/>
          <w:color w:val="000000"/>
          <w:lang w:val="lt-LT"/>
        </w:rPr>
      </w:pPr>
      <w:r w:rsidRPr="00940D54">
        <w:rPr>
          <w:rFonts w:ascii="Times New Roman" w:hAnsi="Times New Roman"/>
          <w:b/>
          <w:color w:val="000000"/>
          <w:lang w:val="lt-LT"/>
        </w:rPr>
        <w:t>PHT ir vėžys</w:t>
      </w:r>
    </w:p>
    <w:p w14:paraId="74CB0177" w14:textId="77777777" w:rsidR="00A51A1D" w:rsidRPr="00940D54" w:rsidRDefault="00A51A1D" w:rsidP="00A51A1D">
      <w:pPr>
        <w:autoSpaceDE w:val="0"/>
        <w:autoSpaceDN w:val="0"/>
        <w:adjustRightInd w:val="0"/>
        <w:spacing w:after="0" w:line="240" w:lineRule="auto"/>
        <w:rPr>
          <w:rFonts w:ascii="Times New Roman" w:hAnsi="Times New Roman"/>
          <w:b/>
          <w:color w:val="000000"/>
          <w:lang w:val="lt-LT"/>
        </w:rPr>
      </w:pPr>
    </w:p>
    <w:p w14:paraId="2B041D88"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b/>
          <w:color w:val="000000"/>
          <w:lang w:val="lt-LT"/>
        </w:rPr>
        <w:t>Pernelyg didelis gimdos gleivinės išvešėjimas (</w:t>
      </w:r>
      <w:proofErr w:type="spellStart"/>
      <w:r w:rsidRPr="00940D54">
        <w:rPr>
          <w:rFonts w:ascii="Times New Roman" w:hAnsi="Times New Roman"/>
          <w:b/>
          <w:color w:val="000000"/>
          <w:lang w:val="lt-LT"/>
        </w:rPr>
        <w:t>endometriumo</w:t>
      </w:r>
      <w:proofErr w:type="spellEnd"/>
      <w:r w:rsidRPr="00940D54">
        <w:rPr>
          <w:rFonts w:ascii="Times New Roman" w:hAnsi="Times New Roman"/>
          <w:b/>
          <w:color w:val="000000"/>
          <w:lang w:val="lt-LT"/>
        </w:rPr>
        <w:t xml:space="preserve"> </w:t>
      </w:r>
      <w:proofErr w:type="spellStart"/>
      <w:r w:rsidRPr="00940D54">
        <w:rPr>
          <w:rFonts w:ascii="Times New Roman" w:hAnsi="Times New Roman"/>
          <w:b/>
          <w:color w:val="000000"/>
          <w:lang w:val="lt-LT"/>
        </w:rPr>
        <w:t>hiperplazija</w:t>
      </w:r>
      <w:proofErr w:type="spellEnd"/>
      <w:r w:rsidRPr="00940D54">
        <w:rPr>
          <w:rFonts w:ascii="Times New Roman" w:hAnsi="Times New Roman"/>
          <w:b/>
          <w:color w:val="000000"/>
          <w:lang w:val="lt-LT"/>
        </w:rPr>
        <w:t>) ir gimdos gleivinės vėžys (</w:t>
      </w:r>
      <w:proofErr w:type="spellStart"/>
      <w:r w:rsidRPr="00940D54">
        <w:rPr>
          <w:rFonts w:ascii="Times New Roman" w:hAnsi="Times New Roman"/>
          <w:b/>
          <w:color w:val="000000"/>
          <w:lang w:val="lt-LT"/>
        </w:rPr>
        <w:t>endometriumo</w:t>
      </w:r>
      <w:proofErr w:type="spellEnd"/>
      <w:r w:rsidRPr="00940D54">
        <w:rPr>
          <w:rFonts w:ascii="Times New Roman" w:hAnsi="Times New Roman"/>
          <w:b/>
          <w:color w:val="000000"/>
          <w:lang w:val="lt-LT"/>
        </w:rPr>
        <w:t xml:space="preserve"> vėžys)</w:t>
      </w:r>
    </w:p>
    <w:p w14:paraId="57EDA214"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526FB188"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Vienų estrogenų PHT didina pernelyg didelio gimdos gleivinės išvešėjimo </w:t>
      </w:r>
      <w:r w:rsidRPr="00940D54">
        <w:rPr>
          <w:rFonts w:ascii="Times New Roman" w:hAnsi="Times New Roman"/>
          <w:color w:val="000000"/>
          <w:lang w:val="lt-LT"/>
        </w:rPr>
        <w:t>(</w:t>
      </w:r>
      <w:proofErr w:type="spellStart"/>
      <w:r w:rsidRPr="00940D54">
        <w:rPr>
          <w:rFonts w:ascii="Times New Roman" w:hAnsi="Times New Roman"/>
          <w:color w:val="000000"/>
          <w:lang w:val="lt-LT"/>
        </w:rPr>
        <w:t>endometriumo</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hiperplazijos</w:t>
      </w:r>
      <w:proofErr w:type="spellEnd"/>
      <w:r w:rsidRPr="00940D54">
        <w:rPr>
          <w:rFonts w:ascii="Times New Roman" w:hAnsi="Times New Roman"/>
          <w:color w:val="000000"/>
          <w:lang w:val="lt-LT"/>
        </w:rPr>
        <w:t xml:space="preserve">) </w:t>
      </w:r>
      <w:r w:rsidRPr="00940D54">
        <w:rPr>
          <w:rFonts w:ascii="Times New Roman" w:hAnsi="Times New Roman"/>
          <w:lang w:val="lt-LT"/>
        </w:rPr>
        <w:t xml:space="preserve">ir gimdos gleivinės vėžio </w:t>
      </w:r>
      <w:r w:rsidRPr="00940D54">
        <w:rPr>
          <w:rFonts w:ascii="Times New Roman" w:hAnsi="Times New Roman"/>
          <w:color w:val="000000"/>
          <w:lang w:val="lt-LT"/>
        </w:rPr>
        <w:t>(</w:t>
      </w:r>
      <w:proofErr w:type="spellStart"/>
      <w:r w:rsidRPr="00940D54">
        <w:rPr>
          <w:rFonts w:ascii="Times New Roman" w:hAnsi="Times New Roman"/>
          <w:color w:val="000000"/>
          <w:lang w:val="lt-LT"/>
        </w:rPr>
        <w:t>endometriumo</w:t>
      </w:r>
      <w:proofErr w:type="spellEnd"/>
      <w:r w:rsidRPr="00940D54">
        <w:rPr>
          <w:rFonts w:ascii="Times New Roman" w:hAnsi="Times New Roman"/>
          <w:color w:val="000000"/>
          <w:lang w:val="lt-LT"/>
        </w:rPr>
        <w:t xml:space="preserve"> vėžio) </w:t>
      </w:r>
      <w:r w:rsidRPr="00940D54">
        <w:rPr>
          <w:rFonts w:ascii="Times New Roman" w:hAnsi="Times New Roman"/>
          <w:lang w:val="lt-LT"/>
        </w:rPr>
        <w:t xml:space="preserve">riziką. </w:t>
      </w:r>
    </w:p>
    <w:p w14:paraId="21FA8733"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23216C5F" w14:textId="379F493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sudėtyje esantis </w:t>
      </w:r>
      <w:proofErr w:type="spellStart"/>
      <w:r w:rsidRPr="00940D54">
        <w:rPr>
          <w:rFonts w:ascii="Times New Roman" w:hAnsi="Times New Roman"/>
          <w:lang w:val="lt-LT"/>
        </w:rPr>
        <w:t>progest</w:t>
      </w:r>
      <w:r w:rsidR="008516C6">
        <w:rPr>
          <w:rFonts w:ascii="Times New Roman" w:hAnsi="Times New Roman"/>
          <w:lang w:val="lt-LT"/>
        </w:rPr>
        <w:t>o</w:t>
      </w:r>
      <w:r w:rsidRPr="00940D54">
        <w:rPr>
          <w:rFonts w:ascii="Times New Roman" w:hAnsi="Times New Roman"/>
          <w:lang w:val="lt-LT"/>
        </w:rPr>
        <w:t>genas</w:t>
      </w:r>
      <w:proofErr w:type="spellEnd"/>
      <w:r w:rsidRPr="00940D54">
        <w:rPr>
          <w:rFonts w:ascii="Times New Roman" w:hAnsi="Times New Roman"/>
          <w:lang w:val="lt-LT"/>
        </w:rPr>
        <w:t xml:space="preserve"> apsaugos Jus nuo šios papildomos rizikos.</w:t>
      </w:r>
    </w:p>
    <w:p w14:paraId="54473EDE"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4C43B9FE"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b/>
          <w:lang w:val="lt-LT"/>
        </w:rPr>
      </w:pPr>
      <w:r w:rsidRPr="00940D54">
        <w:rPr>
          <w:rFonts w:ascii="Times New Roman" w:hAnsi="Times New Roman"/>
          <w:b/>
          <w:lang w:val="lt-LT"/>
        </w:rPr>
        <w:t>Nereguliarus kraujavimas</w:t>
      </w:r>
    </w:p>
    <w:p w14:paraId="5D431BF7" w14:textId="624104E9"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Jums gali pasireikšti nereguliarus kraujavimas arba atsirasti kraujingų (tepių) išskyrų per pirmuosius 3</w:t>
      </w:r>
      <w:r w:rsidRPr="00940D54">
        <w:rPr>
          <w:rFonts w:ascii="Times New Roman" w:hAnsi="Times New Roman"/>
          <w:lang w:val="lt-LT"/>
        </w:rPr>
        <w:noBreakHyphen/>
        <w:t>6</w:t>
      </w:r>
      <w:r w:rsidR="00B35E88">
        <w:rPr>
          <w:rFonts w:ascii="Times New Roman" w:hAnsi="Times New Roman"/>
          <w:lang w:val="lt-LT"/>
        </w:rPr>
        <w:t>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vartojimo mėnesius. Vis dėlto, jeigu nereguliarus kraujavimas:</w:t>
      </w:r>
    </w:p>
    <w:p w14:paraId="7294B2A3"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4D96043C" w14:textId="73663974"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lang w:val="lt-LT"/>
        </w:rPr>
        <w:t>tęsiasi ilgiau</w:t>
      </w:r>
      <w:r w:rsidRPr="00940D54">
        <w:rPr>
          <w:rFonts w:ascii="Times New Roman" w:hAnsi="Times New Roman"/>
          <w:color w:val="000000"/>
          <w:lang w:val="lt-LT"/>
        </w:rPr>
        <w:t xml:space="preserve"> kaip 6</w:t>
      </w:r>
      <w:r w:rsidR="00EB449D">
        <w:rPr>
          <w:rFonts w:ascii="Times New Roman" w:hAnsi="Times New Roman"/>
          <w:color w:val="000000"/>
          <w:lang w:val="lt-LT"/>
        </w:rPr>
        <w:t> </w:t>
      </w:r>
      <w:r w:rsidRPr="00940D54">
        <w:rPr>
          <w:rFonts w:ascii="Times New Roman" w:hAnsi="Times New Roman"/>
          <w:color w:val="000000"/>
          <w:lang w:val="lt-LT"/>
        </w:rPr>
        <w:t>pirmuosius mėnesius,</w:t>
      </w:r>
    </w:p>
    <w:p w14:paraId="0F2D56BB" w14:textId="33B71D0A"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atsiranda vartojant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ilgiau</w:t>
      </w:r>
      <w:r w:rsidRPr="00940D54">
        <w:rPr>
          <w:rFonts w:ascii="Times New Roman" w:hAnsi="Times New Roman"/>
          <w:color w:val="000000"/>
          <w:lang w:val="lt-LT"/>
        </w:rPr>
        <w:t xml:space="preserve"> kaip 6</w:t>
      </w:r>
      <w:r w:rsidR="00B35E88">
        <w:rPr>
          <w:rFonts w:ascii="Times New Roman" w:hAnsi="Times New Roman"/>
          <w:color w:val="000000"/>
          <w:lang w:val="lt-LT"/>
        </w:rPr>
        <w:t> </w:t>
      </w:r>
      <w:r w:rsidRPr="00940D54">
        <w:rPr>
          <w:rFonts w:ascii="Times New Roman" w:hAnsi="Times New Roman"/>
          <w:color w:val="000000"/>
          <w:lang w:val="lt-LT"/>
        </w:rPr>
        <w:t>mėnesius,</w:t>
      </w:r>
    </w:p>
    <w:p w14:paraId="5964EABF"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lang w:val="lt-LT"/>
        </w:rPr>
        <w:t xml:space="preserve">tęsiasi nutraukus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vartojimą, </w:t>
      </w:r>
    </w:p>
    <w:p w14:paraId="0F8E7EAD"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689E6BCA"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b/>
          <w:color w:val="000000"/>
          <w:lang w:val="lt-LT"/>
        </w:rPr>
      </w:pPr>
      <w:r w:rsidRPr="00940D54">
        <w:rPr>
          <w:rFonts w:ascii="Times New Roman" w:hAnsi="Times New Roman"/>
          <w:b/>
          <w:color w:val="000000"/>
          <w:lang w:val="lt-LT"/>
        </w:rPr>
        <w:t>kiek galite greičiau kreipkitės į savo gydytoją.</w:t>
      </w:r>
    </w:p>
    <w:p w14:paraId="209A2663"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54BF5D0F"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b/>
          <w:color w:val="000000"/>
          <w:lang w:val="lt-LT"/>
        </w:rPr>
        <w:t>Krūties vėžys</w:t>
      </w:r>
    </w:p>
    <w:p w14:paraId="4C61F206" w14:textId="74C897DF" w:rsidR="00A51A1D" w:rsidRPr="00940D54" w:rsidRDefault="00ED661D" w:rsidP="00A51A1D">
      <w:pPr>
        <w:autoSpaceDE w:val="0"/>
        <w:autoSpaceDN w:val="0"/>
        <w:adjustRightInd w:val="0"/>
        <w:spacing w:after="0" w:line="240" w:lineRule="auto"/>
        <w:rPr>
          <w:rFonts w:ascii="Times New Roman" w:eastAsiaTheme="minorHAnsi" w:hAnsi="Times New Roman"/>
          <w:lang w:val="lt-LT"/>
        </w:rPr>
      </w:pPr>
      <w:r w:rsidRPr="00940D54">
        <w:rPr>
          <w:rFonts w:ascii="Times New Roman" w:hAnsi="Times New Roman"/>
          <w:lang w:val="lt-LT"/>
        </w:rPr>
        <w:t>Iš bendrų įrodymų matyti</w:t>
      </w:r>
      <w:r w:rsidR="00A51A1D" w:rsidRPr="00940D54">
        <w:rPr>
          <w:rFonts w:ascii="Times New Roman" w:hAnsi="Times New Roman"/>
          <w:lang w:val="lt-LT"/>
        </w:rPr>
        <w:t xml:space="preserve">, </w:t>
      </w:r>
      <w:r w:rsidRPr="00940D54">
        <w:rPr>
          <w:rFonts w:ascii="Times New Roman" w:hAnsi="Times New Roman"/>
          <w:lang w:val="lt-LT"/>
        </w:rPr>
        <w:t xml:space="preserve">kad vartojant sudėtinius pakaitinės hormonų terapijos (PHT) preparatus su estrogeno ir </w:t>
      </w:r>
      <w:proofErr w:type="spellStart"/>
      <w:r w:rsidRPr="00940D54">
        <w:rPr>
          <w:rFonts w:ascii="Times New Roman" w:hAnsi="Times New Roman"/>
          <w:lang w:val="lt-LT"/>
        </w:rPr>
        <w:t>progest</w:t>
      </w:r>
      <w:r w:rsidR="008516C6">
        <w:rPr>
          <w:rFonts w:ascii="Times New Roman" w:hAnsi="Times New Roman"/>
          <w:lang w:val="lt-LT"/>
        </w:rPr>
        <w:t>o</w:t>
      </w:r>
      <w:r w:rsidRPr="00940D54">
        <w:rPr>
          <w:rFonts w:ascii="Times New Roman" w:hAnsi="Times New Roman"/>
          <w:lang w:val="lt-LT"/>
        </w:rPr>
        <w:t>geno</w:t>
      </w:r>
      <w:proofErr w:type="spellEnd"/>
      <w:r w:rsidRPr="00940D54">
        <w:rPr>
          <w:rFonts w:ascii="Times New Roman" w:hAnsi="Times New Roman"/>
          <w:lang w:val="lt-LT"/>
        </w:rPr>
        <w:t xml:space="preserve"> deriniu arba PHT preparatus su vienu estrogenu, kyla didesnė krūties vėžio rizika. Ši padidėjusi rizika priklauso nuo to, kaip ilgai vartojate PHT preparatus. Padidėjusi rizika išryškėja per 3 PHT preparatų vartojimo metus. Nutraukus PHT, ši padidėjusi rizika ilgainiui sumažės, bet tokia rizika gali išlikti 10</w:t>
      </w:r>
      <w:r w:rsidR="00B35E88">
        <w:rPr>
          <w:rFonts w:ascii="Times New Roman" w:hAnsi="Times New Roman"/>
          <w:lang w:val="lt-LT"/>
        </w:rPr>
        <w:t> </w:t>
      </w:r>
      <w:r w:rsidRPr="00940D54">
        <w:rPr>
          <w:rFonts w:ascii="Times New Roman" w:hAnsi="Times New Roman"/>
          <w:lang w:val="lt-LT"/>
        </w:rPr>
        <w:t>metų ar ilgiau, jeigu PHT preparatus vartojote ilgiau nei 5</w:t>
      </w:r>
      <w:r w:rsidR="00B35E88">
        <w:rPr>
          <w:rFonts w:ascii="Times New Roman" w:hAnsi="Times New Roman"/>
          <w:lang w:val="lt-LT"/>
        </w:rPr>
        <w:t> </w:t>
      </w:r>
      <w:r w:rsidRPr="00940D54">
        <w:rPr>
          <w:rFonts w:ascii="Times New Roman" w:hAnsi="Times New Roman"/>
          <w:lang w:val="lt-LT"/>
        </w:rPr>
        <w:t>metus.</w:t>
      </w:r>
    </w:p>
    <w:p w14:paraId="648EA765"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7C78419F" w14:textId="7F44A25F" w:rsidR="00A51A1D" w:rsidRPr="00940D54" w:rsidRDefault="00A51A1D" w:rsidP="00A51A1D">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i/>
          <w:color w:val="000000"/>
          <w:lang w:val="lt-LT"/>
        </w:rPr>
        <w:t>Palyginkite</w:t>
      </w:r>
      <w:r w:rsidR="001A7B49" w:rsidRPr="00940D54">
        <w:rPr>
          <w:rFonts w:ascii="Times New Roman" w:hAnsi="Times New Roman"/>
          <w:i/>
          <w:color w:val="000000"/>
          <w:lang w:val="lt-LT"/>
        </w:rPr>
        <w:t>:</w:t>
      </w:r>
    </w:p>
    <w:p w14:paraId="43678DE0" w14:textId="553F05DD" w:rsidR="0003439E" w:rsidRPr="00940D54" w:rsidRDefault="0003439E" w:rsidP="0003439E">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per 5</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metus PHT preparatų nevartojančių 50–54</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metų amžiaus moterų grupėje krūties vėžys bus diagnozuotas vidutiniškai 13–17 moterų iš 1 000. </w:t>
      </w:r>
    </w:p>
    <w:p w14:paraId="76BAA350" w14:textId="7D39885F" w:rsidR="0003439E" w:rsidRPr="00940D54" w:rsidRDefault="0003439E" w:rsidP="0003439E">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50</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metų amžiaus moterų, kurioms PHT vienu estrogenu bus taikoma 5</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metus, grupėje bus nustatyta 16–17 atvejų 1 000-iui vartotojų (t. y., 0–3 papildomi atvejai). </w:t>
      </w:r>
    </w:p>
    <w:p w14:paraId="2819A9B7" w14:textId="55E6191F" w:rsidR="00382A33" w:rsidRPr="00940D54" w:rsidRDefault="0003439E" w:rsidP="0003439E">
      <w:pPr>
        <w:autoSpaceDE w:val="0"/>
        <w:autoSpaceDN w:val="0"/>
        <w:adjustRightInd w:val="0"/>
        <w:spacing w:after="0" w:line="240" w:lineRule="auto"/>
        <w:rPr>
          <w:rFonts w:ascii="Verdana" w:eastAsiaTheme="minorHAnsi" w:hAnsi="Verdana" w:cs="Verdana"/>
          <w:color w:val="000000"/>
          <w:sz w:val="18"/>
          <w:szCs w:val="18"/>
          <w:lang w:val="lt-LT"/>
        </w:rPr>
      </w:pPr>
      <w:r w:rsidRPr="00940D54">
        <w:rPr>
          <w:rFonts w:ascii="Times New Roman" w:eastAsiaTheme="minorHAnsi" w:hAnsi="Times New Roman"/>
          <w:color w:val="000000"/>
          <w:lang w:val="lt-LT"/>
        </w:rPr>
        <w:t>50</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metų amžiaus moterų, kurioms PHT estrogeno ir </w:t>
      </w:r>
      <w:proofErr w:type="spellStart"/>
      <w:r w:rsidRPr="00940D54">
        <w:rPr>
          <w:rFonts w:ascii="Times New Roman" w:eastAsiaTheme="minorHAnsi" w:hAnsi="Times New Roman"/>
          <w:color w:val="000000"/>
          <w:lang w:val="lt-LT"/>
        </w:rPr>
        <w:t>progestogeno</w:t>
      </w:r>
      <w:proofErr w:type="spellEnd"/>
      <w:r w:rsidRPr="00940D54">
        <w:rPr>
          <w:rFonts w:ascii="Times New Roman" w:eastAsiaTheme="minorHAnsi" w:hAnsi="Times New Roman"/>
          <w:color w:val="000000"/>
          <w:lang w:val="lt-LT"/>
        </w:rPr>
        <w:t xml:space="preserve"> deriniu bus taikoma 5</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metus, grupėje bus nustatytas 21</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atvejis 1 000-iui vartotojų (t. y., 4– 8</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papildomi atvejai).</w:t>
      </w:r>
      <w:r w:rsidRPr="00940D54">
        <w:rPr>
          <w:rFonts w:ascii="Verdana" w:eastAsiaTheme="minorHAnsi" w:hAnsi="Verdana" w:cs="Verdana"/>
          <w:color w:val="000000"/>
          <w:sz w:val="18"/>
          <w:szCs w:val="18"/>
          <w:lang w:val="lt-LT"/>
        </w:rPr>
        <w:t xml:space="preserve"> </w:t>
      </w:r>
    </w:p>
    <w:p w14:paraId="775A5D93" w14:textId="60C4D759" w:rsidR="00382A33" w:rsidRPr="00940D54" w:rsidRDefault="00382A33" w:rsidP="00A51A1D">
      <w:pPr>
        <w:spacing w:after="0" w:line="240" w:lineRule="auto"/>
        <w:rPr>
          <w:rFonts w:ascii="Verdana" w:eastAsiaTheme="minorHAnsi" w:hAnsi="Verdana" w:cs="Verdana"/>
          <w:color w:val="000000"/>
          <w:sz w:val="18"/>
          <w:szCs w:val="18"/>
          <w:lang w:val="lt-LT"/>
        </w:rPr>
      </w:pPr>
    </w:p>
    <w:p w14:paraId="1BB14574" w14:textId="11A84BE9" w:rsidR="00382A33" w:rsidRPr="00940D54" w:rsidRDefault="00382A33" w:rsidP="00382A33">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lastRenderedPageBreak/>
        <w:t>PHT preparatų nevartojančių 50–59</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metų amžiaus moterų grupėje per 10</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metų krūties vėžys bus diagnozuotas 27</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moterims iš 1</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000. </w:t>
      </w:r>
    </w:p>
    <w:p w14:paraId="7AC22830" w14:textId="1DD265C1" w:rsidR="00382A33" w:rsidRPr="00940D54" w:rsidRDefault="00382A33" w:rsidP="00382A33">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50</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metų amžiaus moterų, kurioms PHT vienu estrogenu bus taikoma 10 metų, grupėje bus nustatyti 34 atvejai 1</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000-iui vartotojų (t. y., 7 papildomi atvejai). </w:t>
      </w:r>
    </w:p>
    <w:p w14:paraId="7A86506A" w14:textId="4558B795" w:rsidR="00382A33" w:rsidRPr="00940D54" w:rsidRDefault="00382A33" w:rsidP="00382A33">
      <w:pPr>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50</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metų amžiaus moterų, kurioms PHT estrogeno ir </w:t>
      </w:r>
      <w:proofErr w:type="spellStart"/>
      <w:r w:rsidRPr="00940D54">
        <w:rPr>
          <w:rFonts w:ascii="Times New Roman" w:eastAsiaTheme="minorHAnsi" w:hAnsi="Times New Roman"/>
          <w:color w:val="000000"/>
          <w:lang w:val="lt-LT"/>
        </w:rPr>
        <w:t>progestogeno</w:t>
      </w:r>
      <w:proofErr w:type="spellEnd"/>
      <w:r w:rsidRPr="00940D54">
        <w:rPr>
          <w:rFonts w:ascii="Times New Roman" w:eastAsiaTheme="minorHAnsi" w:hAnsi="Times New Roman"/>
          <w:color w:val="000000"/>
          <w:lang w:val="lt-LT"/>
        </w:rPr>
        <w:t xml:space="preserve"> deriniu bus taikoma 10 metų, grupėje bus nustatyti 48 atvejai 1</w:t>
      </w:r>
      <w:r w:rsidR="00B35E88">
        <w:rPr>
          <w:rFonts w:ascii="Times New Roman" w:eastAsiaTheme="minorHAnsi" w:hAnsi="Times New Roman"/>
          <w:color w:val="000000"/>
          <w:lang w:val="lt-LT"/>
        </w:rPr>
        <w:t> </w:t>
      </w:r>
      <w:r w:rsidRPr="00940D54">
        <w:rPr>
          <w:rFonts w:ascii="Times New Roman" w:eastAsiaTheme="minorHAnsi" w:hAnsi="Times New Roman"/>
          <w:color w:val="000000"/>
          <w:lang w:val="lt-LT"/>
        </w:rPr>
        <w:t>000-iui vartotojų (t. y., 21 papildomas atvejis).</w:t>
      </w:r>
    </w:p>
    <w:p w14:paraId="5C97BA6A" w14:textId="77777777" w:rsidR="0003439E" w:rsidRPr="00940D54" w:rsidRDefault="0003439E" w:rsidP="0003439E">
      <w:pPr>
        <w:autoSpaceDE w:val="0"/>
        <w:autoSpaceDN w:val="0"/>
        <w:adjustRightInd w:val="0"/>
        <w:spacing w:after="0" w:line="240" w:lineRule="auto"/>
        <w:rPr>
          <w:rFonts w:ascii="Times New Roman" w:eastAsiaTheme="minorHAnsi" w:hAnsi="Times New Roman" w:cstheme="minorBidi"/>
          <w:lang w:val="lt-LT"/>
        </w:rPr>
      </w:pPr>
    </w:p>
    <w:p w14:paraId="7257ADF0" w14:textId="77777777" w:rsidR="00A51A1D" w:rsidRPr="00940D54" w:rsidRDefault="00A51A1D" w:rsidP="00A51A1D">
      <w:pPr>
        <w:spacing w:after="0" w:line="240" w:lineRule="auto"/>
        <w:rPr>
          <w:rFonts w:ascii="Times New Roman" w:hAnsi="Times New Roman"/>
          <w:color w:val="000000"/>
          <w:lang w:val="lt-LT"/>
        </w:rPr>
      </w:pPr>
    </w:p>
    <w:p w14:paraId="28B8C1C8" w14:textId="77777777" w:rsidR="00A51A1D" w:rsidRPr="00940D54" w:rsidRDefault="00A51A1D" w:rsidP="00A51A1D">
      <w:pPr>
        <w:numPr>
          <w:ilvl w:val="0"/>
          <w:numId w:val="7"/>
        </w:numPr>
        <w:autoSpaceDE w:val="0"/>
        <w:autoSpaceDN w:val="0"/>
        <w:adjustRightInd w:val="0"/>
        <w:spacing w:after="0" w:line="240" w:lineRule="auto"/>
        <w:rPr>
          <w:rFonts w:ascii="Times New Roman" w:eastAsiaTheme="minorHAnsi" w:hAnsi="Times New Roman" w:cstheme="minorBidi"/>
          <w:b/>
          <w:color w:val="000000"/>
          <w:lang w:val="lt-LT"/>
        </w:rPr>
      </w:pPr>
      <w:r w:rsidRPr="00940D54">
        <w:rPr>
          <w:rFonts w:ascii="Times New Roman" w:hAnsi="Times New Roman"/>
          <w:b/>
          <w:color w:val="000000"/>
          <w:lang w:val="lt-LT"/>
        </w:rPr>
        <w:t xml:space="preserve">Reguliariai tikrinkitės krūtis. </w:t>
      </w:r>
      <w:r w:rsidRPr="00940D54">
        <w:rPr>
          <w:rFonts w:ascii="Times New Roman" w:hAnsi="Times New Roman"/>
          <w:b/>
          <w:lang w:val="lt-LT"/>
        </w:rPr>
        <w:t>Jeigu PHT metu pastebėjote kurį nors iš toliau išvardytų pakitimų,</w:t>
      </w:r>
      <w:r w:rsidRPr="00940D54">
        <w:rPr>
          <w:rFonts w:ascii="Times New Roman" w:hAnsi="Times New Roman"/>
          <w:b/>
          <w:color w:val="000000"/>
          <w:lang w:val="lt-LT"/>
        </w:rPr>
        <w:t xml:space="preserve"> nedelsdama kreipkitės į savo gydytoją.</w:t>
      </w:r>
    </w:p>
    <w:p w14:paraId="52EED738"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2FC356B6"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Odos įdubimas.</w:t>
      </w:r>
    </w:p>
    <w:p w14:paraId="73E25603"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Spenelio pokyčiai.</w:t>
      </w:r>
    </w:p>
    <w:p w14:paraId="4D0A9F6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Bet kokie matomi ar apčiuopiami gumbai.</w:t>
      </w:r>
    </w:p>
    <w:p w14:paraId="2B915AD4"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025643E5"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Be to, rekomenduojame Jums prisijungti prie </w:t>
      </w:r>
      <w:proofErr w:type="spellStart"/>
      <w:r w:rsidRPr="00940D54">
        <w:rPr>
          <w:rFonts w:ascii="Times New Roman" w:hAnsi="Times New Roman"/>
          <w:lang w:val="lt-LT"/>
        </w:rPr>
        <w:t>mamografijos</w:t>
      </w:r>
      <w:proofErr w:type="spellEnd"/>
      <w:r w:rsidRPr="00940D54">
        <w:rPr>
          <w:rFonts w:ascii="Times New Roman" w:hAnsi="Times New Roman"/>
          <w:lang w:val="lt-LT"/>
        </w:rPr>
        <w:t xml:space="preserve"> tyrimo programų, kai tai Jums bus pasiūlyta. Atliekant </w:t>
      </w:r>
      <w:proofErr w:type="spellStart"/>
      <w:r w:rsidRPr="00940D54">
        <w:rPr>
          <w:rFonts w:ascii="Times New Roman" w:hAnsi="Times New Roman"/>
          <w:lang w:val="lt-LT"/>
        </w:rPr>
        <w:t>mamografinę</w:t>
      </w:r>
      <w:proofErr w:type="spellEnd"/>
      <w:r w:rsidRPr="00940D54">
        <w:rPr>
          <w:rFonts w:ascii="Times New Roman" w:hAnsi="Times New Roman"/>
          <w:lang w:val="lt-LT"/>
        </w:rPr>
        <w:t xml:space="preserve"> patikrą, svarbu kad pasakytumėte slaugytojui ar sveikatos priežiūros specialistui, kuris darys rentgenologinį tyrimą, kad vartojate PHT, nes vaistas didina krūtų audinio tankį, o tai gali turėti įtakos </w:t>
      </w:r>
      <w:proofErr w:type="spellStart"/>
      <w:r w:rsidRPr="00940D54">
        <w:rPr>
          <w:rFonts w:ascii="Times New Roman" w:hAnsi="Times New Roman"/>
          <w:lang w:val="lt-LT"/>
        </w:rPr>
        <w:t>mamografijos</w:t>
      </w:r>
      <w:proofErr w:type="spellEnd"/>
      <w:r w:rsidRPr="00940D54">
        <w:rPr>
          <w:rFonts w:ascii="Times New Roman" w:hAnsi="Times New Roman"/>
          <w:lang w:val="lt-LT"/>
        </w:rPr>
        <w:t xml:space="preserve"> duomenimis. Jeigu krūties audinio tankis yra padidėjęs, </w:t>
      </w:r>
      <w:proofErr w:type="spellStart"/>
      <w:r w:rsidRPr="00940D54">
        <w:rPr>
          <w:rFonts w:ascii="Times New Roman" w:hAnsi="Times New Roman"/>
          <w:lang w:val="lt-LT"/>
        </w:rPr>
        <w:t>mamografija</w:t>
      </w:r>
      <w:proofErr w:type="spellEnd"/>
      <w:r w:rsidRPr="00940D54">
        <w:rPr>
          <w:rFonts w:ascii="Times New Roman" w:hAnsi="Times New Roman"/>
          <w:lang w:val="lt-LT"/>
        </w:rPr>
        <w:t xml:space="preserve"> gali neparodyti visų darinių.</w:t>
      </w:r>
    </w:p>
    <w:p w14:paraId="4277699B"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7A1B28BD"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b/>
          <w:lang w:val="lt-LT"/>
        </w:rPr>
        <w:t>Kiaušidžių vėžys</w:t>
      </w:r>
    </w:p>
    <w:p w14:paraId="7EF6CBCC" w14:textId="4E773E7F"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Kiaušidžių vėžys pasireiškia retai – daug rečiau nei krūtų vėžys. Vienų estrogenų arba estrogenų ir </w:t>
      </w:r>
      <w:proofErr w:type="spellStart"/>
      <w:r w:rsidR="00CE4827" w:rsidRPr="00940D54">
        <w:rPr>
          <w:rFonts w:ascii="Times New Roman" w:hAnsi="Times New Roman"/>
          <w:lang w:val="lt-LT"/>
        </w:rPr>
        <w:t>progest</w:t>
      </w:r>
      <w:r w:rsidR="00CE4827">
        <w:rPr>
          <w:rFonts w:ascii="Times New Roman" w:hAnsi="Times New Roman"/>
          <w:lang w:val="lt-LT"/>
        </w:rPr>
        <w:t>o</w:t>
      </w:r>
      <w:r w:rsidR="00CE4827" w:rsidRPr="00940D54">
        <w:rPr>
          <w:rFonts w:ascii="Times New Roman" w:hAnsi="Times New Roman"/>
          <w:lang w:val="lt-LT"/>
        </w:rPr>
        <w:t>genų</w:t>
      </w:r>
      <w:proofErr w:type="spellEnd"/>
      <w:r w:rsidR="00CE4827" w:rsidRPr="00940D54">
        <w:rPr>
          <w:rFonts w:ascii="Times New Roman" w:hAnsi="Times New Roman"/>
          <w:lang w:val="lt-LT"/>
        </w:rPr>
        <w:t xml:space="preserve"> </w:t>
      </w:r>
      <w:r w:rsidRPr="00940D54">
        <w:rPr>
          <w:rFonts w:ascii="Times New Roman" w:hAnsi="Times New Roman"/>
          <w:lang w:val="lt-LT"/>
        </w:rPr>
        <w:t>PHT vartojimas buvo susijęs su nežymiu kiaušidžių rizikos padidėjimu.</w:t>
      </w:r>
    </w:p>
    <w:p w14:paraId="5CF55C1A"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4BDB2930"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Kiaušidžių vėžio rizika kinta su amžiumi. Pavyzdžiui: PHT nevartojančioms nuo 50 iki 54 metų moterims yra diagnozuojami maždaug 2 kiaušidžių vėžio atvejai 2 000 moterų per 5 metus. PHT 5 metus vartojančioms moterims bus diagnozuojami maždaug 3 kiaušidžių vėžio atvejai 2 000 vartotojų (t. y. maždaug 1 papildomas atvejis). </w:t>
      </w:r>
    </w:p>
    <w:p w14:paraId="31C7E4D0"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5CA1D940"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b/>
          <w:lang w:val="lt-LT"/>
        </w:rPr>
      </w:pPr>
      <w:r w:rsidRPr="00940D54">
        <w:rPr>
          <w:rFonts w:ascii="Times New Roman" w:hAnsi="Times New Roman"/>
          <w:b/>
          <w:lang w:val="lt-LT"/>
        </w:rPr>
        <w:t>PHT poveikis širdžiai ir kraujotakai</w:t>
      </w:r>
    </w:p>
    <w:p w14:paraId="48185659" w14:textId="77777777" w:rsidR="00A51A1D" w:rsidRPr="00940D54" w:rsidRDefault="00A51A1D" w:rsidP="00A51A1D">
      <w:pPr>
        <w:autoSpaceDE w:val="0"/>
        <w:autoSpaceDN w:val="0"/>
        <w:adjustRightInd w:val="0"/>
        <w:spacing w:after="0" w:line="240" w:lineRule="auto"/>
        <w:rPr>
          <w:rFonts w:ascii="Times New Roman" w:hAnsi="Times New Roman"/>
          <w:b/>
          <w:lang w:val="lt-LT"/>
        </w:rPr>
      </w:pPr>
    </w:p>
    <w:p w14:paraId="68B575F6"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b/>
          <w:lang w:val="lt-LT"/>
        </w:rPr>
        <w:t>Kraujo krešulių susiformavimas venose (trombozė)</w:t>
      </w:r>
    </w:p>
    <w:p w14:paraId="147B5236"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Kraujo krešulių susiformavimo venose rizika yra maždaug nuo 1,3 iki 3 kartų didesnė moterims, vartojančioms PHT, nei jų nevartojančioms, ypač per pirmuosius vartojimo metus.</w:t>
      </w:r>
    </w:p>
    <w:p w14:paraId="5A0D8E0C"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550F578C"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Kraujo krešulių susiformavimas gali būti sunki būklė, o krešuliui patekus į plaučius, gali pasireikšti krūtinės skausmas, dusulys, apalpimas ar net mirtis.</w:t>
      </w:r>
    </w:p>
    <w:p w14:paraId="489E72FF"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01AE7203"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Senstant, kraujo krešulių susiformavimo Jūsų venose tikimybė didėja, jeigu yra kuri nors iš toliau išvardytų aplinkybių. Pasakykite savo gydytojui, jeigu Jums tinka kuri nors iš toliau nurodytų aplinkybių.</w:t>
      </w:r>
    </w:p>
    <w:p w14:paraId="1C589A9C"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0E300B06" w14:textId="2B402A18"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Negalite ilgą laikotarpį vaikščioti dėl atliktos didelės chirurginės operacijos, patirtos traumos ar ligos (taip pat žr.</w:t>
      </w:r>
      <w:r w:rsidR="00BF07DE">
        <w:rPr>
          <w:rFonts w:ascii="Times New Roman" w:hAnsi="Times New Roman"/>
          <w:lang w:val="lt-LT"/>
        </w:rPr>
        <w:t> </w:t>
      </w:r>
      <w:r w:rsidRPr="00940D54">
        <w:rPr>
          <w:rFonts w:ascii="Times New Roman" w:hAnsi="Times New Roman"/>
          <w:lang w:val="lt-LT"/>
        </w:rPr>
        <w:t>3</w:t>
      </w:r>
      <w:r w:rsidR="00BF07DE">
        <w:rPr>
          <w:rFonts w:ascii="Times New Roman" w:hAnsi="Times New Roman"/>
          <w:lang w:val="lt-LT"/>
        </w:rPr>
        <w:t> </w:t>
      </w:r>
      <w:r w:rsidRPr="00940D54">
        <w:rPr>
          <w:rFonts w:ascii="Times New Roman" w:hAnsi="Times New Roman"/>
          <w:lang w:val="lt-LT"/>
        </w:rPr>
        <w:t>skyriuje skyrelį „Jeigu Jums reikia atlikti chirurginę operaciją“).</w:t>
      </w:r>
    </w:p>
    <w:p w14:paraId="6423A01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turite daug antsvorio (KMI yra &gt; 30 kg/m²).</w:t>
      </w:r>
    </w:p>
    <w:p w14:paraId="45C0C9E6"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turite kokių nors kraujo krešulių formavimosi sutrikimų, kuriuos reikia ilgą laikotarpį gydyti vaistais, neleidžiančiais formuotis kraujo krešuliams.</w:t>
      </w:r>
    </w:p>
    <w:p w14:paraId="100E63F5"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kuriam nors artimam Jūsų kraujo giminaičiui kada nors buvo susiformavę kraujo krešulių kojose, plaučiuose ar kituose organuose.</w:t>
      </w:r>
    </w:p>
    <w:p w14:paraId="131D7AF5"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sergate sistemine raudonąja vilklige (SRV).</w:t>
      </w:r>
    </w:p>
    <w:p w14:paraId="6D02D16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sergate vėžiu.</w:t>
      </w:r>
    </w:p>
    <w:p w14:paraId="20278847"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27A3C005"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Kraujo krešulių susiformavimo požymius žr. „Nutraukite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vartojimą ir nedelsdama kreipkitės į gydytoją”.</w:t>
      </w:r>
    </w:p>
    <w:p w14:paraId="500A4A72"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35D6CDF5"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i/>
          <w:color w:val="000000"/>
          <w:lang w:val="lt-LT"/>
        </w:rPr>
      </w:pPr>
      <w:r w:rsidRPr="00940D54">
        <w:rPr>
          <w:rFonts w:ascii="Times New Roman" w:hAnsi="Times New Roman"/>
          <w:i/>
          <w:color w:val="000000"/>
          <w:lang w:val="lt-LT"/>
        </w:rPr>
        <w:t>Palyginkite</w:t>
      </w:r>
    </w:p>
    <w:p w14:paraId="0CA801FB"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2460A2B9"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Peržiūrėjus 50-mečių moterų, kurios nevartoja PHT, duomenis, tikėtina, kad vidutiniškai nuo 4 iki 7 iš 1 000-čio šių moterų per 5 metų laikotarpį susiformuos kraujo krešulių venose.</w:t>
      </w:r>
    </w:p>
    <w:p w14:paraId="2A4F50F3"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3FE14787" w14:textId="4FA56AF9"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Peržiūrėjus 50-mečių moterų, kurios vartoja estrogenų ir </w:t>
      </w:r>
      <w:proofErr w:type="spellStart"/>
      <w:r w:rsidRPr="00940D54">
        <w:rPr>
          <w:rFonts w:ascii="Times New Roman" w:hAnsi="Times New Roman"/>
          <w:lang w:val="lt-LT"/>
        </w:rPr>
        <w:t>progest</w:t>
      </w:r>
      <w:r w:rsidR="008516C6">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5 metus, bus nuo 9 iki 12 atvejų 1 000-čiui vartotojų (t. y. 5 papildomi atvejai).</w:t>
      </w:r>
    </w:p>
    <w:p w14:paraId="4081EA4C"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530640CC"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Širdies liga (širdies priepuolis)</w:t>
      </w:r>
    </w:p>
    <w:p w14:paraId="31F0AE1F"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Nėra duomenų, kad PHT apsaugotų nuo širdies priepuolio.</w:t>
      </w:r>
    </w:p>
    <w:p w14:paraId="7954B732"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4204F47F" w14:textId="1805AE52"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Moterims, kurioms yra daugiau kaip 60 metų, vartojančioms estrogenų ir </w:t>
      </w:r>
      <w:proofErr w:type="spellStart"/>
      <w:r w:rsidRPr="00940D54">
        <w:rPr>
          <w:rFonts w:ascii="Times New Roman" w:hAnsi="Times New Roman"/>
          <w:color w:val="000000"/>
          <w:lang w:val="lt-LT"/>
        </w:rPr>
        <w:t>progest</w:t>
      </w:r>
      <w:r w:rsidR="008516C6">
        <w:rPr>
          <w:rFonts w:ascii="Times New Roman" w:hAnsi="Times New Roman"/>
          <w:color w:val="000000"/>
          <w:lang w:val="lt-LT"/>
        </w:rPr>
        <w:t>o</w:t>
      </w:r>
      <w:r w:rsidRPr="00940D54">
        <w:rPr>
          <w:rFonts w:ascii="Times New Roman" w:hAnsi="Times New Roman"/>
          <w:color w:val="000000"/>
          <w:lang w:val="lt-LT"/>
        </w:rPr>
        <w:t>genų</w:t>
      </w:r>
      <w:proofErr w:type="spellEnd"/>
      <w:r w:rsidRPr="00940D54">
        <w:rPr>
          <w:rFonts w:ascii="Times New Roman" w:hAnsi="Times New Roman"/>
          <w:color w:val="000000"/>
          <w:lang w:val="lt-LT"/>
        </w:rPr>
        <w:t xml:space="preserve"> PHT, yra šiek tiek didesnė širdies ligos pasireiškimo tikimybė nei toms, kurios nevartoja PHT.</w:t>
      </w:r>
    </w:p>
    <w:p w14:paraId="53248560"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3B1D9A87"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Insultas</w:t>
      </w:r>
    </w:p>
    <w:p w14:paraId="79BE0109"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Rizika, kad ištiks insultas, yra maždaug 1,5 karto didesnė PHT vartotojoms, nei moterims, kurios nevartoja PHT. Papildomų insulto atvejų skaičius vartojant PHT didėja, didėjant amžiui.</w:t>
      </w:r>
    </w:p>
    <w:p w14:paraId="093AA7DD"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2A468AD9"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i/>
          <w:color w:val="000000"/>
          <w:lang w:val="lt-LT"/>
        </w:rPr>
      </w:pPr>
      <w:r w:rsidRPr="00940D54">
        <w:rPr>
          <w:rFonts w:ascii="Times New Roman" w:hAnsi="Times New Roman"/>
          <w:i/>
          <w:color w:val="000000"/>
          <w:lang w:val="lt-LT"/>
        </w:rPr>
        <w:t>Palyginkite</w:t>
      </w:r>
    </w:p>
    <w:p w14:paraId="6F497E32"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717B3C6C"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Peržiūrėjus 50-mečių moterų, kurios nevartoja PHT, duomenis, tikėtina, kad vidutiniškai 8 iš 1 000-čio šių moterų per 5 metų laikotarpį ištiks insultas. Peržiūrėjus 50-mečių moterų, kurios vartoja PHT 5 metus, bus nuo 11 atvejų 1 000-čiui vartotojų per 5 metų laikotarpį (t. y. 3 papildomi atvejai).</w:t>
      </w:r>
    </w:p>
    <w:p w14:paraId="1FC9E99B"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2013A837"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Kitos būklės</w:t>
      </w:r>
    </w:p>
    <w:p w14:paraId="2D2915B5" w14:textId="579BB0A9"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PHT neapsaugo nuo atminties praradimo. Yra duomenų, kurie rodo, jog riz</w:t>
      </w:r>
      <w:r w:rsidR="00863603" w:rsidRPr="00940D54">
        <w:rPr>
          <w:rFonts w:ascii="Times New Roman" w:hAnsi="Times New Roman"/>
          <w:color w:val="000000"/>
          <w:lang w:val="lt-LT"/>
        </w:rPr>
        <w:t>i</w:t>
      </w:r>
      <w:r w:rsidRPr="00940D54">
        <w:rPr>
          <w:rFonts w:ascii="Times New Roman" w:hAnsi="Times New Roman"/>
          <w:color w:val="000000"/>
          <w:lang w:val="lt-LT"/>
        </w:rPr>
        <w:t>ka prarasti atmintį yra didesnė moterims, kurios pradeda vartoti PHT po 65</w:t>
      </w:r>
      <w:r w:rsidR="008039D2">
        <w:rPr>
          <w:rFonts w:ascii="Times New Roman" w:hAnsi="Times New Roman"/>
          <w:color w:val="000000"/>
          <w:lang w:val="lt-LT"/>
        </w:rPr>
        <w:t> </w:t>
      </w:r>
      <w:r w:rsidRPr="00940D54">
        <w:rPr>
          <w:rFonts w:ascii="Times New Roman" w:hAnsi="Times New Roman"/>
          <w:color w:val="000000"/>
          <w:lang w:val="lt-LT"/>
        </w:rPr>
        <w:t xml:space="preserve">metų. Patarimo kreipkitės į gydytoją. </w:t>
      </w:r>
    </w:p>
    <w:p w14:paraId="1C327E6C" w14:textId="77777777" w:rsidR="00A51A1D" w:rsidRPr="00940D54" w:rsidRDefault="00A51A1D" w:rsidP="00A51A1D">
      <w:pPr>
        <w:autoSpaceDE w:val="0"/>
        <w:autoSpaceDN w:val="0"/>
        <w:adjustRightInd w:val="0"/>
        <w:spacing w:after="0" w:line="240" w:lineRule="auto"/>
        <w:rPr>
          <w:rFonts w:ascii="Times New Roman" w:hAnsi="Times New Roman"/>
          <w:lang w:val="lt-LT"/>
        </w:rPr>
      </w:pPr>
    </w:p>
    <w:p w14:paraId="5828BB84"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 xml:space="preserve">Kiti vaistai ir </w:t>
      </w:r>
      <w:proofErr w:type="spellStart"/>
      <w:r w:rsidRPr="00940D54">
        <w:rPr>
          <w:rFonts w:ascii="Times New Roman" w:hAnsi="Times New Roman"/>
          <w:b/>
          <w:lang w:val="lt-LT"/>
        </w:rPr>
        <w:t>velbienne</w:t>
      </w:r>
      <w:proofErr w:type="spellEnd"/>
    </w:p>
    <w:p w14:paraId="4720FEAC" w14:textId="15E10948" w:rsidR="00F07D38" w:rsidRPr="00940D54" w:rsidRDefault="00F07D38" w:rsidP="00F07D38">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lang w:val="lt-LT"/>
        </w:rPr>
        <w:t xml:space="preserve">Jeigu vartojate ar neseniai vartojote kokių nors kitų vaistų, įskaitant </w:t>
      </w:r>
      <w:r>
        <w:rPr>
          <w:rFonts w:ascii="Times New Roman" w:hAnsi="Times New Roman"/>
          <w:lang w:val="lt-LT"/>
        </w:rPr>
        <w:t xml:space="preserve">įsigytų </w:t>
      </w:r>
      <w:r w:rsidRPr="00940D54">
        <w:rPr>
          <w:rFonts w:ascii="Times New Roman" w:hAnsi="Times New Roman"/>
          <w:lang w:val="lt-LT"/>
        </w:rPr>
        <w:t>be recepto</w:t>
      </w:r>
      <w:r>
        <w:rPr>
          <w:rFonts w:ascii="Times New Roman" w:hAnsi="Times New Roman"/>
          <w:lang w:val="lt-LT"/>
        </w:rPr>
        <w:t>, augalinių</w:t>
      </w:r>
      <w:r w:rsidRPr="00940D54">
        <w:rPr>
          <w:rFonts w:ascii="Times New Roman" w:hAnsi="Times New Roman"/>
          <w:lang w:val="lt-LT"/>
        </w:rPr>
        <w:t xml:space="preserve"> preparat</w:t>
      </w:r>
      <w:r>
        <w:rPr>
          <w:rFonts w:ascii="Times New Roman" w:hAnsi="Times New Roman"/>
          <w:lang w:val="lt-LT"/>
        </w:rPr>
        <w:t>ų ir kitų natūralių produktų</w:t>
      </w:r>
      <w:r w:rsidRPr="00940D54">
        <w:rPr>
          <w:rFonts w:ascii="Times New Roman" w:hAnsi="Times New Roman"/>
          <w:lang w:val="lt-LT"/>
        </w:rPr>
        <w:t>, apie tai pasakykite gydytojui arba vaistininkui</w:t>
      </w:r>
      <w:r w:rsidRPr="00940D54">
        <w:rPr>
          <w:rFonts w:ascii="Times New Roman" w:hAnsi="Times New Roman"/>
          <w:color w:val="000000"/>
          <w:lang w:val="lt-LT"/>
        </w:rPr>
        <w:t>.</w:t>
      </w:r>
      <w:r w:rsidR="00885520">
        <w:rPr>
          <w:rFonts w:ascii="Times New Roman" w:hAnsi="Times New Roman"/>
          <w:color w:val="000000"/>
          <w:lang w:val="lt-LT"/>
        </w:rPr>
        <w:t xml:space="preserve"> </w:t>
      </w:r>
      <w:r w:rsidR="0004576A" w:rsidRPr="0004576A">
        <w:rPr>
          <w:rFonts w:ascii="Times New Roman" w:hAnsi="Times New Roman"/>
          <w:color w:val="000000"/>
          <w:lang w:val="lt-LT"/>
        </w:rPr>
        <w:t xml:space="preserve">Jūsų gydytojas </w:t>
      </w:r>
      <w:r w:rsidR="0004576A">
        <w:rPr>
          <w:rFonts w:ascii="Times New Roman" w:hAnsi="Times New Roman"/>
          <w:color w:val="000000"/>
          <w:lang w:val="lt-LT"/>
        </w:rPr>
        <w:t>J</w:t>
      </w:r>
      <w:r w:rsidR="0004576A" w:rsidRPr="0004576A">
        <w:rPr>
          <w:rFonts w:ascii="Times New Roman" w:hAnsi="Times New Roman"/>
          <w:color w:val="000000"/>
          <w:lang w:val="lt-LT"/>
        </w:rPr>
        <w:t>ums patars</w:t>
      </w:r>
      <w:r w:rsidR="0032212B">
        <w:rPr>
          <w:rFonts w:ascii="Times New Roman" w:hAnsi="Times New Roman"/>
          <w:color w:val="000000"/>
          <w:lang w:val="lt-LT"/>
        </w:rPr>
        <w:t xml:space="preserve"> kaip elgtis</w:t>
      </w:r>
      <w:r w:rsidR="0004576A" w:rsidRPr="0004576A">
        <w:rPr>
          <w:rFonts w:ascii="Times New Roman" w:hAnsi="Times New Roman"/>
          <w:color w:val="000000"/>
          <w:lang w:val="lt-LT"/>
        </w:rPr>
        <w:t>.</w:t>
      </w:r>
    </w:p>
    <w:p w14:paraId="44DA377F" w14:textId="77777777" w:rsidR="008039D2" w:rsidRDefault="008039D2" w:rsidP="00A51A1D">
      <w:pPr>
        <w:autoSpaceDE w:val="0"/>
        <w:autoSpaceDN w:val="0"/>
        <w:adjustRightInd w:val="0"/>
        <w:spacing w:after="0" w:line="240" w:lineRule="auto"/>
        <w:rPr>
          <w:rFonts w:ascii="Times New Roman" w:hAnsi="Times New Roman"/>
          <w:color w:val="000000"/>
          <w:lang w:val="lt-LT"/>
        </w:rPr>
      </w:pPr>
    </w:p>
    <w:p w14:paraId="1F233455" w14:textId="2EC661D7" w:rsidR="00A51A1D" w:rsidRPr="00940D54" w:rsidRDefault="00A51A1D" w:rsidP="00A51A1D">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 xml:space="preserve">Kai kurie vaistai gali sąveikauti su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Tai gali lemti nereguliarų kraujavimą. Tokia sąveika būdinga toliau išvardytiems vaistams</w:t>
      </w:r>
      <w:r w:rsidR="008039D2">
        <w:rPr>
          <w:rFonts w:ascii="Times New Roman" w:hAnsi="Times New Roman"/>
          <w:color w:val="000000"/>
          <w:lang w:val="lt-LT"/>
        </w:rPr>
        <w:t>:</w:t>
      </w:r>
    </w:p>
    <w:p w14:paraId="249B5A0D" w14:textId="0BA42FDA"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Vaistai </w:t>
      </w:r>
      <w:r w:rsidRPr="007116AF">
        <w:rPr>
          <w:rFonts w:ascii="Times New Roman" w:hAnsi="Times New Roman"/>
          <w:bCs/>
          <w:lang w:val="lt-LT"/>
        </w:rPr>
        <w:t>epilepsijai</w:t>
      </w:r>
      <w:r w:rsidRPr="00940D54">
        <w:rPr>
          <w:rFonts w:ascii="Times New Roman" w:hAnsi="Times New Roman"/>
          <w:lang w:val="lt-LT"/>
        </w:rPr>
        <w:t xml:space="preserve"> gydyti (pvz.: </w:t>
      </w:r>
      <w:r w:rsidR="00F07D38">
        <w:rPr>
          <w:rFonts w:ascii="Times New Roman" w:hAnsi="Times New Roman"/>
          <w:lang w:val="lt-LT"/>
        </w:rPr>
        <w:t xml:space="preserve">barbitūratai, </w:t>
      </w:r>
      <w:proofErr w:type="spellStart"/>
      <w:r w:rsidRPr="00940D54">
        <w:rPr>
          <w:rFonts w:ascii="Times New Roman" w:hAnsi="Times New Roman"/>
          <w:lang w:val="lt-LT"/>
        </w:rPr>
        <w:t>fenitoinas</w:t>
      </w:r>
      <w:proofErr w:type="spellEnd"/>
      <w:r w:rsidRPr="00940D54">
        <w:rPr>
          <w:rFonts w:ascii="Times New Roman" w:hAnsi="Times New Roman"/>
          <w:lang w:val="lt-LT"/>
        </w:rPr>
        <w:t xml:space="preserve">, </w:t>
      </w:r>
      <w:proofErr w:type="spellStart"/>
      <w:r w:rsidR="00F07D38">
        <w:rPr>
          <w:rFonts w:ascii="Times New Roman" w:hAnsi="Times New Roman"/>
          <w:lang w:val="lt-LT"/>
        </w:rPr>
        <w:t>primidonas</w:t>
      </w:r>
      <w:proofErr w:type="spellEnd"/>
      <w:r w:rsidR="00F07D38">
        <w:rPr>
          <w:rFonts w:ascii="Times New Roman" w:hAnsi="Times New Roman"/>
          <w:lang w:val="lt-LT"/>
        </w:rPr>
        <w:t xml:space="preserve">, </w:t>
      </w:r>
      <w:proofErr w:type="spellStart"/>
      <w:r w:rsidRPr="00940D54">
        <w:rPr>
          <w:rFonts w:ascii="Times New Roman" w:hAnsi="Times New Roman"/>
          <w:lang w:val="lt-LT"/>
        </w:rPr>
        <w:t>karbamazepinas</w:t>
      </w:r>
      <w:proofErr w:type="spellEnd"/>
      <w:r w:rsidR="00F07D38">
        <w:rPr>
          <w:rFonts w:ascii="Times New Roman" w:hAnsi="Times New Roman"/>
          <w:lang w:val="lt-LT"/>
        </w:rPr>
        <w:t xml:space="preserve"> ir galbūt </w:t>
      </w:r>
      <w:proofErr w:type="spellStart"/>
      <w:r w:rsidR="00F07D38" w:rsidRPr="00253783">
        <w:rPr>
          <w:rFonts w:ascii="Times New Roman" w:hAnsi="Times New Roman"/>
          <w:lang w:val="lt-LT"/>
        </w:rPr>
        <w:t>okskarbazepinas</w:t>
      </w:r>
      <w:proofErr w:type="spellEnd"/>
      <w:r w:rsidR="00F07D38" w:rsidRPr="00253783">
        <w:rPr>
          <w:rFonts w:ascii="Times New Roman" w:hAnsi="Times New Roman"/>
          <w:lang w:val="lt-LT"/>
        </w:rPr>
        <w:t xml:space="preserve">, </w:t>
      </w:r>
      <w:proofErr w:type="spellStart"/>
      <w:r w:rsidR="00F07D38" w:rsidRPr="00253783">
        <w:rPr>
          <w:rFonts w:ascii="Times New Roman" w:hAnsi="Times New Roman"/>
          <w:lang w:val="lt-LT"/>
        </w:rPr>
        <w:t>topiramatas</w:t>
      </w:r>
      <w:proofErr w:type="spellEnd"/>
      <w:r w:rsidR="00F07D38" w:rsidRPr="00253783">
        <w:rPr>
          <w:rFonts w:ascii="Times New Roman" w:hAnsi="Times New Roman"/>
          <w:lang w:val="lt-LT"/>
        </w:rPr>
        <w:t xml:space="preserve"> ir </w:t>
      </w:r>
      <w:proofErr w:type="spellStart"/>
      <w:r w:rsidR="00F07D38" w:rsidRPr="00253783">
        <w:rPr>
          <w:rFonts w:ascii="Times New Roman" w:hAnsi="Times New Roman"/>
          <w:lang w:val="lt-LT"/>
        </w:rPr>
        <w:t>felbamatas</w:t>
      </w:r>
      <w:proofErr w:type="spellEnd"/>
      <w:r w:rsidRPr="00940D54">
        <w:rPr>
          <w:rFonts w:ascii="Times New Roman" w:hAnsi="Times New Roman"/>
          <w:lang w:val="lt-LT"/>
        </w:rPr>
        <w:t xml:space="preserve">). </w:t>
      </w:r>
    </w:p>
    <w:p w14:paraId="76DA6EE6"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Vaistai </w:t>
      </w:r>
      <w:r w:rsidRPr="007116AF">
        <w:rPr>
          <w:rFonts w:ascii="Times New Roman" w:hAnsi="Times New Roman"/>
          <w:bCs/>
          <w:lang w:val="lt-LT"/>
        </w:rPr>
        <w:t>tuberkuliozei</w:t>
      </w:r>
      <w:r w:rsidRPr="00940D54">
        <w:rPr>
          <w:rFonts w:ascii="Times New Roman" w:hAnsi="Times New Roman"/>
          <w:lang w:val="lt-LT"/>
        </w:rPr>
        <w:t xml:space="preserve"> gydyti (pvz.: </w:t>
      </w:r>
      <w:proofErr w:type="spellStart"/>
      <w:r w:rsidRPr="00940D54">
        <w:rPr>
          <w:rFonts w:ascii="Times New Roman" w:hAnsi="Times New Roman"/>
          <w:lang w:val="lt-LT"/>
        </w:rPr>
        <w:t>rifampicinas</w:t>
      </w:r>
      <w:proofErr w:type="spellEnd"/>
      <w:r w:rsidRPr="00940D54">
        <w:rPr>
          <w:rFonts w:ascii="Times New Roman" w:hAnsi="Times New Roman"/>
          <w:lang w:val="lt-LT"/>
        </w:rPr>
        <w:t xml:space="preserve"> ir </w:t>
      </w:r>
      <w:proofErr w:type="spellStart"/>
      <w:r w:rsidRPr="00940D54">
        <w:rPr>
          <w:rFonts w:ascii="Times New Roman" w:hAnsi="Times New Roman"/>
          <w:lang w:val="lt-LT"/>
        </w:rPr>
        <w:t>rifabutinas</w:t>
      </w:r>
      <w:proofErr w:type="spellEnd"/>
      <w:r w:rsidRPr="00940D54">
        <w:rPr>
          <w:rFonts w:ascii="Times New Roman" w:hAnsi="Times New Roman"/>
          <w:lang w:val="lt-LT"/>
        </w:rPr>
        <w:t>).</w:t>
      </w:r>
    </w:p>
    <w:p w14:paraId="34DD6704" w14:textId="07BF43B6"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Vaistai </w:t>
      </w:r>
      <w:r w:rsidRPr="007116AF">
        <w:rPr>
          <w:rFonts w:ascii="Times New Roman" w:hAnsi="Times New Roman"/>
          <w:lang w:val="lt-LT"/>
        </w:rPr>
        <w:t>ŽIV</w:t>
      </w:r>
      <w:r w:rsidRPr="00940D54">
        <w:rPr>
          <w:rFonts w:ascii="Times New Roman" w:hAnsi="Times New Roman"/>
          <w:lang w:val="lt-LT"/>
        </w:rPr>
        <w:t xml:space="preserve"> infekcijai </w:t>
      </w:r>
      <w:r w:rsidR="0010786C">
        <w:rPr>
          <w:rFonts w:ascii="Times New Roman" w:hAnsi="Times New Roman"/>
          <w:lang w:val="lt-LT"/>
        </w:rPr>
        <w:t>gydyti</w:t>
      </w:r>
      <w:r w:rsidR="00F07D38" w:rsidRPr="00253783">
        <w:rPr>
          <w:rFonts w:ascii="Times New Roman" w:hAnsi="Times New Roman"/>
          <w:lang w:val="lt-LT"/>
        </w:rPr>
        <w:t xml:space="preserve"> </w:t>
      </w:r>
      <w:r w:rsidR="00F07D38">
        <w:rPr>
          <w:rFonts w:ascii="Times New Roman" w:hAnsi="Times New Roman"/>
          <w:lang w:val="lt-LT"/>
        </w:rPr>
        <w:t>(</w:t>
      </w:r>
      <w:r w:rsidR="00F07D38" w:rsidRPr="00253783">
        <w:rPr>
          <w:rFonts w:ascii="Times New Roman" w:hAnsi="Times New Roman"/>
          <w:lang w:val="lt-LT"/>
        </w:rPr>
        <w:t xml:space="preserve">vadinami proteazių inhibitoriais ir nenukleozidiniais atvirkštinės </w:t>
      </w:r>
      <w:proofErr w:type="spellStart"/>
      <w:r w:rsidR="00F07D38" w:rsidRPr="00253783">
        <w:rPr>
          <w:rFonts w:ascii="Times New Roman" w:hAnsi="Times New Roman"/>
          <w:lang w:val="lt-LT"/>
        </w:rPr>
        <w:t>transkriptazės</w:t>
      </w:r>
      <w:proofErr w:type="spellEnd"/>
      <w:r w:rsidR="00F07D38" w:rsidRPr="00253783">
        <w:rPr>
          <w:rFonts w:ascii="Times New Roman" w:hAnsi="Times New Roman"/>
          <w:lang w:val="lt-LT"/>
        </w:rPr>
        <w:t xml:space="preserve"> inhibitoriais</w:t>
      </w:r>
      <w:r w:rsidR="0010786C">
        <w:rPr>
          <w:rFonts w:ascii="Times New Roman" w:hAnsi="Times New Roman"/>
          <w:lang w:val="lt-LT"/>
        </w:rPr>
        <w:t xml:space="preserve">, </w:t>
      </w:r>
      <w:r w:rsidRPr="00940D54">
        <w:rPr>
          <w:rFonts w:ascii="Times New Roman" w:hAnsi="Times New Roman"/>
          <w:lang w:val="lt-LT"/>
        </w:rPr>
        <w:t xml:space="preserve">pvz.: </w:t>
      </w:r>
      <w:proofErr w:type="spellStart"/>
      <w:r w:rsidRPr="00940D54">
        <w:rPr>
          <w:rFonts w:ascii="Times New Roman" w:hAnsi="Times New Roman"/>
          <w:lang w:val="lt-LT"/>
        </w:rPr>
        <w:t>nevirapinas</w:t>
      </w:r>
      <w:proofErr w:type="spellEnd"/>
      <w:r w:rsidRPr="00940D54">
        <w:rPr>
          <w:rFonts w:ascii="Times New Roman" w:hAnsi="Times New Roman"/>
          <w:lang w:val="lt-LT"/>
        </w:rPr>
        <w:t xml:space="preserve">, </w:t>
      </w:r>
      <w:proofErr w:type="spellStart"/>
      <w:r w:rsidRPr="00940D54">
        <w:rPr>
          <w:rFonts w:ascii="Times New Roman" w:hAnsi="Times New Roman"/>
          <w:lang w:val="lt-LT"/>
        </w:rPr>
        <w:t>efavirenzas</w:t>
      </w:r>
      <w:proofErr w:type="spellEnd"/>
      <w:r w:rsidRPr="00940D54">
        <w:rPr>
          <w:rFonts w:ascii="Times New Roman" w:hAnsi="Times New Roman"/>
          <w:lang w:val="lt-LT"/>
        </w:rPr>
        <w:t xml:space="preserve">, ritonaviras ir </w:t>
      </w:r>
      <w:proofErr w:type="spellStart"/>
      <w:r w:rsidRPr="00940D54">
        <w:rPr>
          <w:rFonts w:ascii="Times New Roman" w:hAnsi="Times New Roman"/>
          <w:lang w:val="lt-LT"/>
        </w:rPr>
        <w:t>nelfinaviras</w:t>
      </w:r>
      <w:proofErr w:type="spellEnd"/>
      <w:r w:rsidRPr="00940D54">
        <w:rPr>
          <w:rFonts w:ascii="Times New Roman" w:hAnsi="Times New Roman"/>
          <w:lang w:val="lt-LT"/>
        </w:rPr>
        <w:t>).</w:t>
      </w:r>
    </w:p>
    <w:p w14:paraId="2CC5C8DD" w14:textId="498158BB" w:rsidR="00A51A1D" w:rsidRPr="00940D54" w:rsidRDefault="00E078E8"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Pr>
          <w:rFonts w:ascii="Times New Roman" w:hAnsi="Times New Roman"/>
          <w:lang w:val="lt-LT"/>
        </w:rPr>
        <w:t>Augaliniai</w:t>
      </w:r>
      <w:r w:rsidRPr="00940D54">
        <w:rPr>
          <w:rFonts w:ascii="Times New Roman" w:hAnsi="Times New Roman"/>
          <w:lang w:val="lt-LT"/>
        </w:rPr>
        <w:t xml:space="preserve"> </w:t>
      </w:r>
      <w:r w:rsidR="00A51A1D" w:rsidRPr="00940D54">
        <w:rPr>
          <w:rFonts w:ascii="Times New Roman" w:hAnsi="Times New Roman"/>
          <w:lang w:val="lt-LT"/>
        </w:rPr>
        <w:t xml:space="preserve">preparatai, kurių sudėtyje yra </w:t>
      </w:r>
      <w:r w:rsidR="00A51A1D" w:rsidRPr="00253783">
        <w:rPr>
          <w:rFonts w:ascii="Times New Roman" w:hAnsi="Times New Roman"/>
          <w:b/>
          <w:bCs/>
          <w:lang w:val="lt-LT"/>
        </w:rPr>
        <w:t>jonažolių</w:t>
      </w:r>
      <w:r w:rsidR="00A51A1D" w:rsidRPr="00940D54">
        <w:rPr>
          <w:rFonts w:ascii="Times New Roman" w:hAnsi="Times New Roman"/>
          <w:lang w:val="lt-LT"/>
        </w:rPr>
        <w:t xml:space="preserve"> (</w:t>
      </w:r>
      <w:proofErr w:type="spellStart"/>
      <w:r w:rsidR="00A51A1D" w:rsidRPr="00940D54">
        <w:rPr>
          <w:rFonts w:ascii="Times New Roman" w:hAnsi="Times New Roman"/>
          <w:i/>
          <w:lang w:val="lt-LT"/>
        </w:rPr>
        <w:t>Hypericum</w:t>
      </w:r>
      <w:proofErr w:type="spellEnd"/>
      <w:r w:rsidR="00A51A1D" w:rsidRPr="00940D54">
        <w:rPr>
          <w:rFonts w:ascii="Times New Roman" w:hAnsi="Times New Roman"/>
          <w:i/>
          <w:lang w:val="lt-LT"/>
        </w:rPr>
        <w:t xml:space="preserve"> </w:t>
      </w:r>
      <w:proofErr w:type="spellStart"/>
      <w:r w:rsidR="00A51A1D" w:rsidRPr="00940D54">
        <w:rPr>
          <w:rFonts w:ascii="Times New Roman" w:hAnsi="Times New Roman"/>
          <w:i/>
          <w:lang w:val="lt-LT"/>
        </w:rPr>
        <w:t>perforatum</w:t>
      </w:r>
      <w:proofErr w:type="spellEnd"/>
      <w:r w:rsidR="00A51A1D" w:rsidRPr="00940D54">
        <w:rPr>
          <w:rFonts w:ascii="Times New Roman" w:hAnsi="Times New Roman"/>
          <w:lang w:val="lt-LT"/>
        </w:rPr>
        <w:t>).</w:t>
      </w:r>
    </w:p>
    <w:p w14:paraId="0D529235" w14:textId="72A9EF9C" w:rsidR="00E078E8" w:rsidRPr="00E078E8" w:rsidRDefault="00E078E8" w:rsidP="00253783">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V</w:t>
      </w:r>
      <w:r w:rsidRPr="00E078E8">
        <w:rPr>
          <w:rFonts w:ascii="Times New Roman" w:hAnsi="Times New Roman"/>
          <w:lang w:val="lt-LT"/>
        </w:rPr>
        <w:t xml:space="preserve">aistai grybelinių infekcijų gydymui (tokie kaip </w:t>
      </w:r>
      <w:proofErr w:type="spellStart"/>
      <w:r w:rsidRPr="00E078E8">
        <w:rPr>
          <w:rFonts w:ascii="Times New Roman" w:hAnsi="Times New Roman"/>
          <w:lang w:val="lt-LT"/>
        </w:rPr>
        <w:t>grizeofulvinas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itrakonazolas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ketokonazolas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vorikonazolas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flukonazolas</w:t>
      </w:r>
      <w:proofErr w:type="spellEnd"/>
      <w:r w:rsidRPr="00E078E8">
        <w:rPr>
          <w:rFonts w:ascii="Times New Roman" w:hAnsi="Times New Roman"/>
          <w:lang w:val="lt-LT"/>
        </w:rPr>
        <w:t>);</w:t>
      </w:r>
    </w:p>
    <w:p w14:paraId="33BFB51A" w14:textId="548AAD81" w:rsidR="00E078E8" w:rsidRPr="00E078E8" w:rsidRDefault="00E078E8" w:rsidP="00253783">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V</w:t>
      </w:r>
      <w:r w:rsidRPr="00E078E8">
        <w:rPr>
          <w:rFonts w:ascii="Times New Roman" w:hAnsi="Times New Roman"/>
          <w:lang w:val="lt-LT"/>
        </w:rPr>
        <w:t xml:space="preserve">aistai bakterinių infekcijų gydymui (tokie kaip </w:t>
      </w:r>
      <w:proofErr w:type="spellStart"/>
      <w:r w:rsidRPr="00E078E8">
        <w:rPr>
          <w:rFonts w:ascii="Times New Roman" w:hAnsi="Times New Roman"/>
          <w:lang w:val="lt-LT"/>
        </w:rPr>
        <w:t>klaritromicinas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eritromicinas</w:t>
      </w:r>
      <w:proofErr w:type="spellEnd"/>
      <w:r w:rsidRPr="00E078E8">
        <w:rPr>
          <w:rFonts w:ascii="Times New Roman" w:hAnsi="Times New Roman"/>
          <w:lang w:val="lt-LT"/>
        </w:rPr>
        <w:t>);</w:t>
      </w:r>
    </w:p>
    <w:p w14:paraId="5C93629C" w14:textId="0DB0762F" w:rsidR="00E078E8" w:rsidRPr="00E078E8" w:rsidRDefault="00E078E8" w:rsidP="00253783">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V</w:t>
      </w:r>
      <w:r w:rsidRPr="00E078E8">
        <w:rPr>
          <w:rFonts w:ascii="Times New Roman" w:hAnsi="Times New Roman"/>
          <w:lang w:val="lt-LT"/>
        </w:rPr>
        <w:t xml:space="preserve">aistai tam tikrų širdies ligų, padidėjusio kraujospūdžio gydymui (tokie kaip </w:t>
      </w:r>
      <w:proofErr w:type="spellStart"/>
      <w:r w:rsidRPr="00E078E8">
        <w:rPr>
          <w:rFonts w:ascii="Times New Roman" w:hAnsi="Times New Roman"/>
          <w:lang w:val="lt-LT"/>
        </w:rPr>
        <w:t>verapamilis</w:t>
      </w:r>
      <w:proofErr w:type="spellEnd"/>
      <w:r w:rsidRPr="00E078E8">
        <w:rPr>
          <w:rFonts w:ascii="Times New Roman" w:hAnsi="Times New Roman"/>
          <w:lang w:val="lt-LT"/>
        </w:rPr>
        <w:t xml:space="preserve">, </w:t>
      </w:r>
      <w:proofErr w:type="spellStart"/>
      <w:r w:rsidRPr="00E078E8">
        <w:rPr>
          <w:rFonts w:ascii="Times New Roman" w:hAnsi="Times New Roman"/>
          <w:lang w:val="lt-LT"/>
        </w:rPr>
        <w:t>diltiazemas</w:t>
      </w:r>
      <w:proofErr w:type="spellEnd"/>
      <w:r w:rsidRPr="00E078E8">
        <w:rPr>
          <w:rFonts w:ascii="Times New Roman" w:hAnsi="Times New Roman"/>
          <w:lang w:val="lt-LT"/>
        </w:rPr>
        <w:t>);</w:t>
      </w:r>
    </w:p>
    <w:p w14:paraId="1D3AF568" w14:textId="6BDBB7DC" w:rsidR="00E078E8" w:rsidRPr="00E078E8" w:rsidRDefault="00E078E8" w:rsidP="00253783">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G</w:t>
      </w:r>
      <w:r w:rsidRPr="00E078E8">
        <w:rPr>
          <w:rFonts w:ascii="Times New Roman" w:hAnsi="Times New Roman"/>
          <w:lang w:val="lt-LT"/>
        </w:rPr>
        <w:t>reipfrutų sultys.</w:t>
      </w:r>
    </w:p>
    <w:p w14:paraId="58449113" w14:textId="77777777" w:rsidR="00A51A1D" w:rsidRDefault="00A51A1D" w:rsidP="00A51A1D">
      <w:pPr>
        <w:numPr>
          <w:ilvl w:val="12"/>
          <w:numId w:val="0"/>
        </w:numPr>
        <w:spacing w:after="0" w:line="240" w:lineRule="auto"/>
        <w:ind w:right="-2"/>
        <w:rPr>
          <w:rFonts w:ascii="Times New Roman" w:hAnsi="Times New Roman"/>
          <w:lang w:val="lt-LT"/>
        </w:rPr>
      </w:pPr>
    </w:p>
    <w:p w14:paraId="14C7A6F1" w14:textId="12FBB957" w:rsidR="00EB719B" w:rsidRDefault="00EB719B" w:rsidP="00A51A1D">
      <w:pPr>
        <w:numPr>
          <w:ilvl w:val="12"/>
          <w:numId w:val="0"/>
        </w:numPr>
        <w:spacing w:after="0" w:line="240" w:lineRule="auto"/>
        <w:ind w:right="-2"/>
        <w:rPr>
          <w:rFonts w:ascii="Times New Roman" w:hAnsi="Times New Roman"/>
          <w:lang w:val="lt-LT"/>
        </w:rPr>
      </w:pPr>
      <w:r w:rsidRPr="00EB719B">
        <w:rPr>
          <w:rFonts w:ascii="Times New Roman" w:hAnsi="Times New Roman"/>
          <w:lang w:val="lt-LT"/>
        </w:rPr>
        <w:t>PHT gali turėti įtakos kai kurių kitų vaistų veikimui:</w:t>
      </w:r>
    </w:p>
    <w:p w14:paraId="09740B3B" w14:textId="7D227A78" w:rsidR="008F492A" w:rsidRPr="007116AF" w:rsidRDefault="008F492A" w:rsidP="007116AF">
      <w:pPr>
        <w:pStyle w:val="Sraopastraipa"/>
        <w:numPr>
          <w:ilvl w:val="0"/>
          <w:numId w:val="12"/>
        </w:numPr>
        <w:spacing w:line="240" w:lineRule="auto"/>
        <w:ind w:right="-2" w:hanging="720"/>
        <w:rPr>
          <w:lang w:val="lt-LT"/>
        </w:rPr>
      </w:pPr>
      <w:r w:rsidRPr="007116AF">
        <w:rPr>
          <w:lang w:val="lt-LT"/>
        </w:rPr>
        <w:t>Vaistas nuo epilepsijos (</w:t>
      </w:r>
      <w:proofErr w:type="spellStart"/>
      <w:r w:rsidRPr="007116AF">
        <w:rPr>
          <w:lang w:val="lt-LT"/>
        </w:rPr>
        <w:t>lamotriginas</w:t>
      </w:r>
      <w:proofErr w:type="spellEnd"/>
      <w:r w:rsidRPr="007116AF">
        <w:rPr>
          <w:lang w:val="lt-LT"/>
        </w:rPr>
        <w:t>), nes gali padažnėti priepuoliai</w:t>
      </w:r>
      <w:r w:rsidR="004874C3">
        <w:rPr>
          <w:lang w:val="lt-LT"/>
        </w:rPr>
        <w:t>.</w:t>
      </w:r>
    </w:p>
    <w:p w14:paraId="7E821BF7" w14:textId="7F347CC2" w:rsidR="00925D1E" w:rsidRDefault="00925D1E" w:rsidP="007116AF">
      <w:pPr>
        <w:numPr>
          <w:ilvl w:val="0"/>
          <w:numId w:val="12"/>
        </w:numPr>
        <w:tabs>
          <w:tab w:val="left" w:pos="567"/>
        </w:tabs>
        <w:spacing w:after="0" w:line="240" w:lineRule="auto"/>
        <w:ind w:left="567" w:hanging="567"/>
        <w:rPr>
          <w:rFonts w:ascii="Times New Roman" w:hAnsi="Times New Roman"/>
          <w:lang w:val="lt-LT"/>
        </w:rPr>
      </w:pPr>
      <w:r w:rsidRPr="00940D54">
        <w:rPr>
          <w:rFonts w:ascii="Times New Roman" w:hAnsi="Times New Roman"/>
          <w:lang w:val="lt-LT"/>
        </w:rPr>
        <w:t xml:space="preserve">Vaistai nuo hepatito C viruso (HCV) infekcijos (pvz., </w:t>
      </w:r>
      <w:r w:rsidR="0010786C">
        <w:rPr>
          <w:rFonts w:ascii="Times New Roman" w:hAnsi="Times New Roman"/>
          <w:lang w:val="lt-LT"/>
        </w:rPr>
        <w:t xml:space="preserve">deriniai </w:t>
      </w:r>
      <w:proofErr w:type="spellStart"/>
      <w:r w:rsidR="0010786C" w:rsidRPr="00940D54">
        <w:rPr>
          <w:rFonts w:ascii="Times New Roman" w:hAnsi="Times New Roman"/>
          <w:lang w:val="lt-LT"/>
        </w:rPr>
        <w:t>ombitasvir</w:t>
      </w:r>
      <w:r w:rsidR="0010786C">
        <w:rPr>
          <w:rFonts w:ascii="Times New Roman" w:hAnsi="Times New Roman"/>
          <w:lang w:val="lt-LT"/>
        </w:rPr>
        <w:t>as</w:t>
      </w:r>
      <w:proofErr w:type="spellEnd"/>
      <w:r w:rsidR="00565075">
        <w:rPr>
          <w:rFonts w:ascii="Times New Roman" w:hAnsi="Times New Roman"/>
          <w:lang w:val="lt-LT"/>
        </w:rPr>
        <w:t> </w:t>
      </w:r>
      <w:r w:rsidRPr="00940D54">
        <w:rPr>
          <w:rFonts w:ascii="Times New Roman" w:hAnsi="Times New Roman"/>
          <w:lang w:val="lt-LT"/>
        </w:rPr>
        <w:t>/</w:t>
      </w:r>
      <w:r w:rsidR="00565075">
        <w:rPr>
          <w:rFonts w:ascii="Times New Roman" w:hAnsi="Times New Roman"/>
          <w:lang w:val="lt-LT"/>
        </w:rPr>
        <w:t> </w:t>
      </w:r>
      <w:proofErr w:type="spellStart"/>
      <w:r w:rsidR="0010786C" w:rsidRPr="00940D54">
        <w:rPr>
          <w:rFonts w:ascii="Times New Roman" w:hAnsi="Times New Roman"/>
          <w:lang w:val="lt-LT"/>
        </w:rPr>
        <w:t>paritaprevir</w:t>
      </w:r>
      <w:r w:rsidR="0010786C">
        <w:rPr>
          <w:rFonts w:ascii="Times New Roman" w:hAnsi="Times New Roman"/>
          <w:lang w:val="lt-LT"/>
        </w:rPr>
        <w:t>as</w:t>
      </w:r>
      <w:proofErr w:type="spellEnd"/>
      <w:r w:rsidR="00565075">
        <w:rPr>
          <w:rFonts w:ascii="Times New Roman" w:hAnsi="Times New Roman"/>
          <w:lang w:val="lt-LT"/>
        </w:rPr>
        <w:t> </w:t>
      </w:r>
      <w:r w:rsidRPr="00940D54">
        <w:rPr>
          <w:rFonts w:ascii="Times New Roman" w:hAnsi="Times New Roman"/>
          <w:lang w:val="lt-LT"/>
        </w:rPr>
        <w:t>/</w:t>
      </w:r>
      <w:r w:rsidR="00565075">
        <w:rPr>
          <w:rFonts w:ascii="Times New Roman" w:hAnsi="Times New Roman"/>
          <w:lang w:val="lt-LT"/>
        </w:rPr>
        <w:t> </w:t>
      </w:r>
      <w:r w:rsidR="0010786C" w:rsidRPr="00940D54">
        <w:rPr>
          <w:rFonts w:ascii="Times New Roman" w:hAnsi="Times New Roman"/>
          <w:lang w:val="lt-LT"/>
        </w:rPr>
        <w:t>ritonavir</w:t>
      </w:r>
      <w:r w:rsidR="0010786C">
        <w:rPr>
          <w:rFonts w:ascii="Times New Roman" w:hAnsi="Times New Roman"/>
          <w:lang w:val="lt-LT"/>
        </w:rPr>
        <w:t>as</w:t>
      </w:r>
      <w:r w:rsidR="0078476C">
        <w:rPr>
          <w:rFonts w:ascii="Times New Roman" w:hAnsi="Times New Roman"/>
          <w:lang w:val="lt-LT"/>
        </w:rPr>
        <w:t xml:space="preserve"> ir </w:t>
      </w:r>
      <w:proofErr w:type="spellStart"/>
      <w:r w:rsidRPr="00940D54">
        <w:rPr>
          <w:rFonts w:ascii="Times New Roman" w:hAnsi="Times New Roman"/>
          <w:lang w:val="lt-LT"/>
        </w:rPr>
        <w:t>dasabuvir</w:t>
      </w:r>
      <w:r w:rsidR="0078476C">
        <w:rPr>
          <w:rFonts w:ascii="Times New Roman" w:hAnsi="Times New Roman"/>
          <w:lang w:val="lt-LT"/>
        </w:rPr>
        <w:t>as</w:t>
      </w:r>
      <w:proofErr w:type="spellEnd"/>
      <w:r w:rsidRPr="00940D54">
        <w:rPr>
          <w:rFonts w:ascii="Times New Roman" w:hAnsi="Times New Roman"/>
          <w:lang w:val="lt-LT"/>
        </w:rPr>
        <w:t xml:space="preserve"> kartu su </w:t>
      </w:r>
      <w:proofErr w:type="spellStart"/>
      <w:r w:rsidR="0078476C">
        <w:rPr>
          <w:rFonts w:ascii="Times New Roman" w:hAnsi="Times New Roman"/>
          <w:lang w:val="lt-LT"/>
        </w:rPr>
        <w:t>ribavirinu</w:t>
      </w:r>
      <w:proofErr w:type="spellEnd"/>
      <w:r w:rsidRPr="00940D54">
        <w:rPr>
          <w:rFonts w:ascii="Times New Roman" w:hAnsi="Times New Roman"/>
          <w:lang w:val="lt-LT"/>
        </w:rPr>
        <w:t xml:space="preserve"> arba be jo</w:t>
      </w:r>
      <w:r w:rsidR="0078476C">
        <w:rPr>
          <w:rFonts w:ascii="Times New Roman" w:hAnsi="Times New Roman"/>
          <w:lang w:val="lt-LT"/>
        </w:rPr>
        <w:t>;</w:t>
      </w:r>
      <w:r w:rsidRPr="00940D54">
        <w:rPr>
          <w:rFonts w:ascii="Times New Roman" w:hAnsi="Times New Roman"/>
          <w:lang w:val="lt-LT"/>
        </w:rPr>
        <w:t xml:space="preserve"> </w:t>
      </w:r>
      <w:proofErr w:type="spellStart"/>
      <w:r w:rsidRPr="00940D54">
        <w:rPr>
          <w:rFonts w:ascii="Times New Roman" w:hAnsi="Times New Roman"/>
          <w:lang w:val="lt-LT"/>
        </w:rPr>
        <w:t>glekapreviras</w:t>
      </w:r>
      <w:proofErr w:type="spellEnd"/>
      <w:r w:rsidR="00AD4A35">
        <w:rPr>
          <w:rFonts w:ascii="Times New Roman" w:hAnsi="Times New Roman"/>
          <w:lang w:val="lt-LT"/>
        </w:rPr>
        <w:t> </w:t>
      </w:r>
      <w:r w:rsidRPr="00940D54">
        <w:rPr>
          <w:rFonts w:ascii="Times New Roman" w:hAnsi="Times New Roman"/>
          <w:lang w:val="lt-LT"/>
        </w:rPr>
        <w:t>/</w:t>
      </w:r>
      <w:r w:rsidR="00AD4A35">
        <w:rPr>
          <w:rFonts w:ascii="Times New Roman" w:hAnsi="Times New Roman"/>
          <w:lang w:val="lt-LT"/>
        </w:rPr>
        <w:t> </w:t>
      </w:r>
      <w:proofErr w:type="spellStart"/>
      <w:r w:rsidRPr="00940D54">
        <w:rPr>
          <w:rFonts w:ascii="Times New Roman" w:hAnsi="Times New Roman"/>
          <w:lang w:val="lt-LT"/>
        </w:rPr>
        <w:t>pibrentasviras</w:t>
      </w:r>
      <w:proofErr w:type="spellEnd"/>
      <w:r w:rsidR="001313A4">
        <w:rPr>
          <w:rFonts w:ascii="Times New Roman" w:hAnsi="Times New Roman"/>
          <w:lang w:val="lt-LT"/>
        </w:rPr>
        <w:t xml:space="preserve"> arba</w:t>
      </w:r>
      <w:r w:rsidR="000206EF">
        <w:rPr>
          <w:rFonts w:ascii="Times New Roman" w:hAnsi="Times New Roman"/>
          <w:lang w:val="lt-LT"/>
        </w:rPr>
        <w:t xml:space="preserve"> </w:t>
      </w:r>
      <w:proofErr w:type="spellStart"/>
      <w:r w:rsidR="004A0AF0" w:rsidRPr="004A0AF0">
        <w:rPr>
          <w:rFonts w:ascii="Times New Roman" w:hAnsi="Times New Roman"/>
          <w:lang w:val="lt-LT"/>
        </w:rPr>
        <w:t>sofosbuviras</w:t>
      </w:r>
      <w:proofErr w:type="spellEnd"/>
      <w:r w:rsidR="00AD4A35">
        <w:rPr>
          <w:rFonts w:ascii="Times New Roman" w:hAnsi="Times New Roman"/>
          <w:lang w:val="lt-LT"/>
        </w:rPr>
        <w:t> </w:t>
      </w:r>
      <w:r w:rsidR="004A0AF0" w:rsidRPr="004A0AF0">
        <w:rPr>
          <w:rFonts w:ascii="Times New Roman" w:hAnsi="Times New Roman"/>
          <w:lang w:val="lt-LT"/>
        </w:rPr>
        <w:t>/</w:t>
      </w:r>
      <w:r w:rsidR="00AD4A35">
        <w:rPr>
          <w:rFonts w:ascii="Times New Roman" w:hAnsi="Times New Roman"/>
          <w:lang w:val="lt-LT"/>
        </w:rPr>
        <w:t> </w:t>
      </w:r>
      <w:proofErr w:type="spellStart"/>
      <w:r w:rsidR="004A0AF0" w:rsidRPr="004A0AF0">
        <w:rPr>
          <w:rFonts w:ascii="Times New Roman" w:hAnsi="Times New Roman"/>
          <w:lang w:val="lt-LT"/>
        </w:rPr>
        <w:t>velpatasviras</w:t>
      </w:r>
      <w:proofErr w:type="spellEnd"/>
      <w:r w:rsidR="00AD4A35">
        <w:rPr>
          <w:rFonts w:ascii="Times New Roman" w:hAnsi="Times New Roman"/>
          <w:lang w:val="lt-LT"/>
        </w:rPr>
        <w:t> </w:t>
      </w:r>
      <w:r w:rsidR="004A0AF0" w:rsidRPr="004A0AF0">
        <w:rPr>
          <w:rFonts w:ascii="Times New Roman" w:hAnsi="Times New Roman"/>
          <w:lang w:val="lt-LT"/>
        </w:rPr>
        <w:t>/</w:t>
      </w:r>
      <w:r w:rsidR="00AD4A35">
        <w:rPr>
          <w:rFonts w:ascii="Times New Roman" w:hAnsi="Times New Roman"/>
          <w:lang w:val="lt-LT"/>
        </w:rPr>
        <w:t> </w:t>
      </w:r>
      <w:proofErr w:type="spellStart"/>
      <w:r w:rsidR="004A0AF0" w:rsidRPr="004A0AF0">
        <w:rPr>
          <w:rFonts w:ascii="Times New Roman" w:hAnsi="Times New Roman"/>
          <w:lang w:val="lt-LT"/>
        </w:rPr>
        <w:t>voksilapreviras</w:t>
      </w:r>
      <w:proofErr w:type="spellEnd"/>
      <w:r w:rsidRPr="00940D54">
        <w:rPr>
          <w:rFonts w:ascii="Times New Roman" w:hAnsi="Times New Roman"/>
          <w:lang w:val="lt-LT"/>
        </w:rPr>
        <w:t xml:space="preserve">) gali sukelti kepenų funkciją atspindinčių kraujo tyrimų rodmenų padidėjimą (kepenų fermento ALT aktyvumo padidėjimą) </w:t>
      </w:r>
      <w:r w:rsidR="00410FCD">
        <w:rPr>
          <w:rFonts w:ascii="Times New Roman" w:hAnsi="Times New Roman"/>
          <w:lang w:val="lt-LT"/>
        </w:rPr>
        <w:t>SHK</w:t>
      </w:r>
      <w:r w:rsidRPr="00940D54">
        <w:rPr>
          <w:rFonts w:ascii="Times New Roman" w:hAnsi="Times New Roman"/>
          <w:lang w:val="lt-LT"/>
        </w:rPr>
        <w:t xml:space="preserve">, kurių sudėtyje yra </w:t>
      </w:r>
      <w:proofErr w:type="spellStart"/>
      <w:r w:rsidRPr="00940D54">
        <w:rPr>
          <w:rFonts w:ascii="Times New Roman" w:hAnsi="Times New Roman"/>
          <w:lang w:val="lt-LT"/>
        </w:rPr>
        <w:t>etinilestradiolio</w:t>
      </w:r>
      <w:proofErr w:type="spellEnd"/>
      <w:r w:rsidRPr="00940D54">
        <w:rPr>
          <w:rFonts w:ascii="Times New Roman" w:hAnsi="Times New Roman"/>
          <w:lang w:val="lt-LT"/>
        </w:rPr>
        <w:t xml:space="preserve">, vartojančioms moterims.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sudėtyje yra ne </w:t>
      </w:r>
      <w:proofErr w:type="spellStart"/>
      <w:r w:rsidRPr="00940D54">
        <w:rPr>
          <w:rFonts w:ascii="Times New Roman" w:hAnsi="Times New Roman"/>
          <w:lang w:val="lt-LT"/>
        </w:rPr>
        <w:t>etinilestradiolio</w:t>
      </w:r>
      <w:proofErr w:type="spellEnd"/>
      <w:r w:rsidRPr="00940D54">
        <w:rPr>
          <w:rFonts w:ascii="Times New Roman" w:hAnsi="Times New Roman"/>
          <w:lang w:val="lt-LT"/>
        </w:rPr>
        <w:t xml:space="preserve">, o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Nėra žinoma, ar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vartojimas, taikant tokį kombinuotąjį gydymą nuo HCV infekcijos, sukels kepenų fermento ALT aktyvumo padidėjimą.</w:t>
      </w:r>
    </w:p>
    <w:p w14:paraId="6A34A380" w14:textId="77777777" w:rsidR="00EB719B" w:rsidRPr="00694502" w:rsidRDefault="00EB719B" w:rsidP="00A51A1D">
      <w:pPr>
        <w:numPr>
          <w:ilvl w:val="12"/>
          <w:numId w:val="0"/>
        </w:numPr>
        <w:spacing w:after="0" w:line="240" w:lineRule="auto"/>
        <w:ind w:right="-2"/>
        <w:rPr>
          <w:rFonts w:ascii="Times New Roman" w:hAnsi="Times New Roman"/>
          <w:lang w:val="lt-LT"/>
        </w:rPr>
      </w:pPr>
    </w:p>
    <w:p w14:paraId="597E5B65"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Laboratoriniai tyrimai</w:t>
      </w:r>
    </w:p>
    <w:p w14:paraId="5F851532" w14:textId="77777777" w:rsidR="00A51A1D" w:rsidRPr="00940D54" w:rsidRDefault="00A51A1D" w:rsidP="00A51A1D">
      <w:pPr>
        <w:numPr>
          <w:ilvl w:val="12"/>
          <w:numId w:val="0"/>
        </w:num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Jeigu reikia ištirti Jūsų kraują, pasakykite savo gydytojui arba laboratorijos personalui, kad vartojate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nes šis vaistas gali paveikti kai kurių tyrimų duomenis.</w:t>
      </w:r>
    </w:p>
    <w:p w14:paraId="0F8B0166" w14:textId="77777777" w:rsidR="00A51A1D" w:rsidRPr="00940D54" w:rsidRDefault="00A51A1D" w:rsidP="00A51A1D">
      <w:pPr>
        <w:numPr>
          <w:ilvl w:val="12"/>
          <w:numId w:val="0"/>
        </w:numPr>
        <w:spacing w:after="0" w:line="240" w:lineRule="auto"/>
        <w:rPr>
          <w:rFonts w:ascii="Times New Roman" w:hAnsi="Times New Roman"/>
          <w:lang w:val="lt-LT"/>
        </w:rPr>
      </w:pPr>
    </w:p>
    <w:p w14:paraId="62C15E8C"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Nėštumas ir žindymo laikotarpis</w:t>
      </w:r>
    </w:p>
    <w:p w14:paraId="2F551F6A" w14:textId="77777777" w:rsidR="00A51A1D" w:rsidRPr="00940D54" w:rsidRDefault="00A51A1D" w:rsidP="00A51A1D">
      <w:pPr>
        <w:numPr>
          <w:ilvl w:val="12"/>
          <w:numId w:val="0"/>
        </w:numPr>
        <w:spacing w:after="0" w:line="240" w:lineRule="auto"/>
        <w:rPr>
          <w:rFonts w:ascii="Times New Roman" w:eastAsiaTheme="minorHAnsi" w:hAnsi="Times New Roman" w:cstheme="minorBidi"/>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yra skirtas vartoti tik moterims po menopauzės</w:t>
      </w:r>
      <w:r w:rsidRPr="00940D54">
        <w:rPr>
          <w:rFonts w:ascii="Times New Roman" w:hAnsi="Times New Roman"/>
          <w:lang w:val="lt-LT"/>
        </w:rPr>
        <w:t xml:space="preserve">. Jeigu pastojote, nutraukite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vartojimą ir kreipkitės į savo </w:t>
      </w:r>
      <w:r w:rsidRPr="00940D54">
        <w:rPr>
          <w:rFonts w:ascii="Times New Roman" w:hAnsi="Times New Roman"/>
          <w:lang w:val="lt-LT"/>
        </w:rPr>
        <w:t>gydytoją.</w:t>
      </w:r>
    </w:p>
    <w:p w14:paraId="6FA2F754" w14:textId="77777777" w:rsidR="00A51A1D" w:rsidRPr="00940D54" w:rsidRDefault="00A51A1D" w:rsidP="00A51A1D">
      <w:pPr>
        <w:numPr>
          <w:ilvl w:val="12"/>
          <w:numId w:val="0"/>
        </w:numPr>
        <w:spacing w:after="0" w:line="240" w:lineRule="auto"/>
        <w:rPr>
          <w:rFonts w:ascii="Times New Roman" w:hAnsi="Times New Roman"/>
          <w:lang w:val="lt-LT"/>
        </w:rPr>
      </w:pPr>
    </w:p>
    <w:p w14:paraId="59F738D7"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Vairavimas ir mechanizmų valdymas</w:t>
      </w:r>
    </w:p>
    <w:p w14:paraId="7C4C7C86" w14:textId="6CDC8C11" w:rsidR="00A51A1D" w:rsidRPr="00940D54" w:rsidRDefault="00105C51" w:rsidP="00A51A1D">
      <w:pPr>
        <w:numPr>
          <w:ilvl w:val="12"/>
          <w:numId w:val="0"/>
        </w:numPr>
        <w:spacing w:after="0" w:line="240" w:lineRule="auto"/>
        <w:ind w:right="-2"/>
        <w:rPr>
          <w:rFonts w:ascii="Times New Roman" w:eastAsiaTheme="minorHAnsi" w:hAnsi="Times New Roman" w:cstheme="minorBidi"/>
          <w:lang w:val="lt-LT"/>
        </w:rPr>
      </w:pPr>
      <w:r>
        <w:rPr>
          <w:rFonts w:ascii="Times New Roman" w:hAnsi="Times New Roman"/>
          <w:lang w:val="lt-LT"/>
        </w:rPr>
        <w:t>Poveikio, kad</w:t>
      </w:r>
      <w:r w:rsidR="00A51A1D" w:rsidRPr="00940D54">
        <w:rPr>
          <w:rFonts w:ascii="Times New Roman" w:hAnsi="Times New Roman"/>
          <w:lang w:val="lt-LT"/>
        </w:rPr>
        <w:t xml:space="preserve"> </w:t>
      </w:r>
      <w:proofErr w:type="spellStart"/>
      <w:r w:rsidR="00A51A1D" w:rsidRPr="00940D54">
        <w:rPr>
          <w:rFonts w:ascii="Times New Roman" w:hAnsi="Times New Roman"/>
          <w:color w:val="000000"/>
          <w:lang w:val="lt-LT"/>
        </w:rPr>
        <w:t>velbienne</w:t>
      </w:r>
      <w:proofErr w:type="spellEnd"/>
      <w:r w:rsidR="00A51A1D" w:rsidRPr="00940D54">
        <w:rPr>
          <w:rFonts w:ascii="Times New Roman" w:hAnsi="Times New Roman"/>
          <w:color w:val="000000"/>
          <w:lang w:val="lt-LT"/>
        </w:rPr>
        <w:t xml:space="preserve"> veikia gebėjimą vairuoti ar valdyti mechanizmus</w:t>
      </w:r>
      <w:r>
        <w:rPr>
          <w:rFonts w:ascii="Times New Roman" w:hAnsi="Times New Roman"/>
          <w:lang w:val="lt-LT"/>
        </w:rPr>
        <w:t>, nepastebėta.</w:t>
      </w:r>
    </w:p>
    <w:p w14:paraId="1D521A84"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71CFFAEA" w14:textId="77777777" w:rsidR="00A51A1D" w:rsidRPr="00940D54" w:rsidRDefault="00A51A1D" w:rsidP="00A51A1D">
      <w:pPr>
        <w:keepNext/>
        <w:tabs>
          <w:tab w:val="left" w:pos="567"/>
        </w:tabs>
        <w:spacing w:after="0" w:line="240" w:lineRule="auto"/>
        <w:outlineLvl w:val="3"/>
        <w:rPr>
          <w:rFonts w:ascii="Times New Roman" w:eastAsiaTheme="minorHAnsi" w:hAnsi="Times New Roman" w:cstheme="minorBidi"/>
          <w:b/>
          <w:lang w:val="lt-LT"/>
        </w:rPr>
      </w:pPr>
      <w:r w:rsidRPr="00940D54">
        <w:rPr>
          <w:rFonts w:ascii="Times New Roman" w:hAnsi="Times New Roman"/>
          <w:b/>
          <w:lang w:val="lt-LT"/>
        </w:rPr>
        <w:t xml:space="preserve">Svarbi informacija apie kai kurias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sudėtyje esančias </w:t>
      </w:r>
      <w:r w:rsidRPr="00940D54">
        <w:rPr>
          <w:rFonts w:ascii="Times New Roman" w:hAnsi="Times New Roman"/>
          <w:b/>
          <w:color w:val="000000"/>
          <w:lang w:val="lt-LT"/>
        </w:rPr>
        <w:t>pagalbines medžiagas</w:t>
      </w:r>
    </w:p>
    <w:p w14:paraId="133B7EAE" w14:textId="53BB9327" w:rsidR="00644222" w:rsidRPr="00940D54" w:rsidRDefault="00A51A1D" w:rsidP="004F6996">
      <w:pPr>
        <w:autoSpaceDE w:val="0"/>
        <w:autoSpaceDN w:val="0"/>
        <w:adjustRightInd w:val="0"/>
        <w:spacing w:after="0" w:line="240" w:lineRule="auto"/>
        <w:rPr>
          <w:rFonts w:ascii="Times New Roman" w:eastAsiaTheme="minorHAnsi" w:hAnsi="Times New Roman"/>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sudėtyje yra laktozės (cukraus rūšis</w:t>
      </w:r>
      <w:r w:rsidRPr="00940D54">
        <w:rPr>
          <w:rFonts w:ascii="Times New Roman" w:hAnsi="Times New Roman"/>
          <w:lang w:val="lt-LT"/>
        </w:rPr>
        <w:t xml:space="preserve">). </w:t>
      </w:r>
      <w:r w:rsidR="00644222" w:rsidRPr="00940D54">
        <w:rPr>
          <w:rFonts w:ascii="Times New Roman" w:eastAsiaTheme="minorHAnsi" w:hAnsi="Times New Roman"/>
          <w:lang w:val="lt-LT"/>
        </w:rPr>
        <w:t>Jeigu gydytojas Jums yra sakęs, kad netoleruojate</w:t>
      </w:r>
    </w:p>
    <w:p w14:paraId="52D9CF5A" w14:textId="71667D38" w:rsidR="00A51A1D" w:rsidRPr="00940D54" w:rsidRDefault="00644222" w:rsidP="00E746AB">
      <w:pPr>
        <w:autoSpaceDE w:val="0"/>
        <w:autoSpaceDN w:val="0"/>
        <w:adjustRightInd w:val="0"/>
        <w:spacing w:after="0" w:line="240" w:lineRule="auto"/>
        <w:rPr>
          <w:rFonts w:ascii="Times New Roman" w:eastAsiaTheme="minorHAnsi" w:hAnsi="Times New Roman"/>
          <w:lang w:val="lt-LT"/>
        </w:rPr>
      </w:pPr>
      <w:r w:rsidRPr="00940D54">
        <w:rPr>
          <w:rFonts w:ascii="Times New Roman" w:eastAsiaTheme="minorHAnsi" w:hAnsi="Times New Roman"/>
          <w:lang w:val="lt-LT"/>
        </w:rPr>
        <w:t>kokių nors angliavandenių, kreipkitės į jį prieš pradėdami vartoti šį vaistą.</w:t>
      </w:r>
      <w:r w:rsidRPr="00940D54">
        <w:rPr>
          <w:rFonts w:ascii="Times New Roman" w:hAnsi="Times New Roman"/>
          <w:lang w:val="lt-LT"/>
        </w:rPr>
        <w:t xml:space="preserve"> </w:t>
      </w:r>
    </w:p>
    <w:p w14:paraId="08F4A2B7"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2C12F2FD"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6E00A9B3"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3.</w:t>
      </w:r>
      <w:r w:rsidRPr="00940D54">
        <w:rPr>
          <w:rFonts w:ascii="Times New Roman" w:hAnsi="Times New Roman"/>
          <w:b/>
          <w:lang w:val="lt-LT"/>
        </w:rPr>
        <w:tab/>
        <w:t xml:space="preserve">Kaip vartoti </w:t>
      </w:r>
      <w:proofErr w:type="spellStart"/>
      <w:r w:rsidRPr="00940D54">
        <w:rPr>
          <w:rFonts w:ascii="Times New Roman" w:hAnsi="Times New Roman"/>
          <w:b/>
          <w:lang w:val="lt-LT"/>
        </w:rPr>
        <w:t>velbienne</w:t>
      </w:r>
      <w:proofErr w:type="spellEnd"/>
    </w:p>
    <w:p w14:paraId="2A7B3768" w14:textId="77777777" w:rsidR="00A51A1D" w:rsidRPr="00940D54" w:rsidRDefault="00A51A1D" w:rsidP="00A51A1D">
      <w:pPr>
        <w:spacing w:after="0" w:line="240" w:lineRule="auto"/>
        <w:rPr>
          <w:rFonts w:ascii="Times New Roman" w:hAnsi="Times New Roman"/>
          <w:lang w:val="lt-LT"/>
        </w:rPr>
      </w:pPr>
    </w:p>
    <w:p w14:paraId="54096287" w14:textId="77777777" w:rsidR="00A51A1D" w:rsidRPr="00940D54" w:rsidRDefault="00A51A1D" w:rsidP="00A51A1D">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Jūsų gydytojas stengsis paskirti kiek galima trumpesniam laikotarpiui mažiausią simptomus malšinančią dozę. Pasitarkite su gydytoju, jeigu galvojate, kad ši dozė veikia per stipriai arba nepakankamai stipriai.</w:t>
      </w:r>
    </w:p>
    <w:p w14:paraId="0715B568" w14:textId="77777777" w:rsidR="00A51A1D" w:rsidRPr="00940D54" w:rsidRDefault="00A51A1D" w:rsidP="00A51A1D">
      <w:pPr>
        <w:spacing w:after="0" w:line="240" w:lineRule="auto"/>
        <w:rPr>
          <w:rFonts w:ascii="Times New Roman" w:hAnsi="Times New Roman"/>
          <w:color w:val="000000"/>
          <w:lang w:val="lt-LT"/>
        </w:rPr>
      </w:pPr>
    </w:p>
    <w:p w14:paraId="66DCFA85"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Visada vartokite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w:t>
      </w:r>
      <w:r w:rsidRPr="00940D54">
        <w:rPr>
          <w:rFonts w:ascii="Times New Roman" w:hAnsi="Times New Roman"/>
          <w:lang w:val="lt-LT"/>
        </w:rPr>
        <w:t xml:space="preserve">tiksliai kaip nurodė Jūsų gydytojas. Jeigu abejojate, kreipkitės į savo gydytoją arba vaistininką. Jūsų gydytojas nuspręs, kiek laiko turėsite vartoti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w:t>
      </w:r>
    </w:p>
    <w:p w14:paraId="4683B2CF"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32EBF337" w14:textId="77777777" w:rsidR="00DE0DF5" w:rsidRDefault="00105C51" w:rsidP="00A51A1D">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Rekomenduojama dozė yra</w:t>
      </w:r>
      <w:r w:rsidR="00A51A1D" w:rsidRPr="00940D54">
        <w:rPr>
          <w:rFonts w:ascii="Times New Roman" w:hAnsi="Times New Roman"/>
          <w:color w:val="000000"/>
          <w:lang w:val="lt-LT"/>
        </w:rPr>
        <w:t xml:space="preserve"> vien</w:t>
      </w:r>
      <w:r>
        <w:rPr>
          <w:rFonts w:ascii="Times New Roman" w:hAnsi="Times New Roman"/>
          <w:color w:val="000000"/>
          <w:lang w:val="lt-LT"/>
        </w:rPr>
        <w:t>a</w:t>
      </w:r>
      <w:r w:rsidR="00A51A1D" w:rsidRPr="00940D54">
        <w:rPr>
          <w:rFonts w:ascii="Times New Roman" w:hAnsi="Times New Roman"/>
          <w:color w:val="000000"/>
          <w:lang w:val="lt-LT"/>
        </w:rPr>
        <w:t xml:space="preserve"> tablet</w:t>
      </w:r>
      <w:r>
        <w:rPr>
          <w:rFonts w:ascii="Times New Roman" w:hAnsi="Times New Roman"/>
          <w:color w:val="000000"/>
          <w:lang w:val="lt-LT"/>
        </w:rPr>
        <w:t>ė</w:t>
      </w:r>
      <w:r w:rsidR="00A51A1D" w:rsidRPr="00940D54">
        <w:rPr>
          <w:rFonts w:ascii="Times New Roman" w:hAnsi="Times New Roman"/>
          <w:color w:val="000000"/>
          <w:lang w:val="lt-LT"/>
        </w:rPr>
        <w:t xml:space="preserve"> kiekvieną dieną, geriausia tuo pačiu laiku. Nurykite visą tabletę užsigerdama vandeniu. </w:t>
      </w:r>
      <w:proofErr w:type="spellStart"/>
      <w:r w:rsidR="00A51A1D" w:rsidRPr="00940D54">
        <w:rPr>
          <w:rFonts w:ascii="Times New Roman" w:hAnsi="Times New Roman"/>
          <w:color w:val="000000"/>
          <w:lang w:val="lt-LT"/>
        </w:rPr>
        <w:t>velbienne</w:t>
      </w:r>
      <w:proofErr w:type="spellEnd"/>
      <w:r w:rsidR="00A51A1D" w:rsidRPr="00940D54">
        <w:rPr>
          <w:rFonts w:ascii="Times New Roman" w:hAnsi="Times New Roman"/>
          <w:color w:val="000000"/>
          <w:lang w:val="lt-LT"/>
        </w:rPr>
        <w:t xml:space="preserve"> galite išgerti valgydama arba be maisto. Tabletes iš kitos kalendorinės pakuotės pradėkite vartoti kitą dieną po to, kai baigiate vartoti ankstesnės pakuotės tabletes. </w:t>
      </w:r>
    </w:p>
    <w:p w14:paraId="6F685AD8" w14:textId="77777777" w:rsidR="00DE0DF5" w:rsidRDefault="00DE0DF5" w:rsidP="00A51A1D">
      <w:pPr>
        <w:autoSpaceDE w:val="0"/>
        <w:autoSpaceDN w:val="0"/>
        <w:adjustRightInd w:val="0"/>
        <w:spacing w:after="0" w:line="240" w:lineRule="auto"/>
        <w:rPr>
          <w:rFonts w:ascii="Times New Roman" w:hAnsi="Times New Roman"/>
          <w:color w:val="000000"/>
          <w:lang w:val="lt-LT"/>
        </w:rPr>
      </w:pPr>
    </w:p>
    <w:p w14:paraId="456F77A8" w14:textId="4411A721"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Nedarykite pertraukos tarp pakuočių.</w:t>
      </w:r>
    </w:p>
    <w:p w14:paraId="604E344E"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33399118"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Jeigu vartojote kitokį PHT preparatą,</w:t>
      </w:r>
      <w:r w:rsidRPr="00940D54">
        <w:rPr>
          <w:rFonts w:ascii="Times New Roman" w:hAnsi="Times New Roman"/>
          <w:color w:val="000000"/>
          <w:lang w:val="lt-LT"/>
        </w:rPr>
        <w:t xml:space="preserve"> palaukite, kol baigsis dabartinė pakuotė ir išgersite visas šio mėnesio tabletes. Pirmąją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tabletę išgerkite kitą dieną. Nedarykite pertraukos tarp anksčiau gertų tablečių ir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tablečių vartojimo.</w:t>
      </w:r>
    </w:p>
    <w:p w14:paraId="428009C1"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45030841"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Jeigu vartojote PHT su vienos savaitės pertrauka, kai tablečių gerti nereikia, </w:t>
      </w:r>
      <w:r w:rsidRPr="00940D54">
        <w:rPr>
          <w:rFonts w:ascii="Times New Roman" w:hAnsi="Times New Roman"/>
          <w:color w:val="000000"/>
          <w:lang w:val="lt-LT"/>
        </w:rPr>
        <w:t xml:space="preserve">pradėkite gerti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po pertraukos, per kurią tablečių gerti nereikėjo.</w:t>
      </w:r>
    </w:p>
    <w:p w14:paraId="206088F8"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32736664"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Jeigu Jūs pirmą kartą pradėsite PHT, </w:t>
      </w:r>
      <w:r w:rsidRPr="00940D54">
        <w:rPr>
          <w:rFonts w:ascii="Times New Roman" w:hAnsi="Times New Roman"/>
          <w:color w:val="000000"/>
          <w:lang w:val="lt-LT"/>
        </w:rPr>
        <w:t xml:space="preserve">galite pradėti gerti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tabletes bet kuriuo laiku.</w:t>
      </w:r>
    </w:p>
    <w:p w14:paraId="102BCB12"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7B1A229D" w14:textId="4760C0CA"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 xml:space="preserve">Ką daryti pavartojus per didelę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dozę</w:t>
      </w:r>
    </w:p>
    <w:p w14:paraId="34AEE044"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Jeigu per klaidą išgėrėte per daug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tablečių</w:t>
      </w:r>
      <w:r w:rsidRPr="00940D54">
        <w:rPr>
          <w:rFonts w:ascii="Times New Roman" w:hAnsi="Times New Roman"/>
          <w:lang w:val="lt-LT"/>
        </w:rPr>
        <w:t>, gali pasireikšti pykinimas, vėmimas arba į menstruacijas panašus kraujavimas. Specifinio gydymo skirti nereikia, bet turite pasikonsultuoti su savo gydytoju arba vaistininku, jeigu nerimaujate.</w:t>
      </w:r>
    </w:p>
    <w:p w14:paraId="33DE54AA"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7362CDEE"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 xml:space="preserve">Pamiršus pavartoti </w:t>
      </w:r>
      <w:proofErr w:type="spellStart"/>
      <w:r w:rsidRPr="00940D54">
        <w:rPr>
          <w:rFonts w:ascii="Times New Roman" w:hAnsi="Times New Roman"/>
          <w:b/>
          <w:lang w:val="lt-LT"/>
        </w:rPr>
        <w:t>velbienne</w:t>
      </w:r>
      <w:proofErr w:type="spellEnd"/>
    </w:p>
    <w:p w14:paraId="30830AF0" w14:textId="24861486"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Jeigu pamiršote įprastu laiku išgerti tabletę ir vėluojate tai padaryti mažiau kaip 24</w:t>
      </w:r>
      <w:r w:rsidR="005653C1">
        <w:rPr>
          <w:rFonts w:ascii="Times New Roman" w:hAnsi="Times New Roman"/>
          <w:color w:val="000000"/>
          <w:lang w:val="lt-LT"/>
        </w:rPr>
        <w:t> </w:t>
      </w:r>
      <w:r w:rsidRPr="00940D54">
        <w:rPr>
          <w:rFonts w:ascii="Times New Roman" w:hAnsi="Times New Roman"/>
          <w:color w:val="000000"/>
          <w:lang w:val="lt-LT"/>
        </w:rPr>
        <w:t>valandas, išgerkite tabletę, kai tik galėsite. Kitą tabletę reikia išgerti įprastu laiku.</w:t>
      </w:r>
    </w:p>
    <w:p w14:paraId="2E476D2F"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05346F4E" w14:textId="46CE178B"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color w:val="000000"/>
          <w:lang w:val="lt-LT"/>
        </w:rPr>
        <w:t>Jeigu vėluojate išgerti tabletę daugiau kaip 24</w:t>
      </w:r>
      <w:r w:rsidR="005653C1">
        <w:rPr>
          <w:rFonts w:ascii="Times New Roman" w:hAnsi="Times New Roman"/>
          <w:color w:val="000000"/>
          <w:lang w:val="lt-LT"/>
        </w:rPr>
        <w:t> </w:t>
      </w:r>
      <w:r w:rsidRPr="00940D54">
        <w:rPr>
          <w:rFonts w:ascii="Times New Roman" w:hAnsi="Times New Roman"/>
          <w:color w:val="000000"/>
          <w:lang w:val="lt-LT"/>
        </w:rPr>
        <w:t xml:space="preserve">valandas, pamirštąją tabletę palikite pakuotėje. Tęskite likusių tablečių vartojimą įprastu laiku kiekvieną dieną. </w:t>
      </w:r>
      <w:r w:rsidRPr="00940D54">
        <w:rPr>
          <w:rFonts w:ascii="Times New Roman" w:hAnsi="Times New Roman"/>
          <w:lang w:val="lt-LT"/>
        </w:rPr>
        <w:t>Negalima vartoti dvigubos dozės, norint kompensuoti praleistą tabletę.</w:t>
      </w:r>
    </w:p>
    <w:p w14:paraId="479EC4E6"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30F482EC"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Jeigu pamiršote išgerti tabletes keletą dienų, Jums gali pasireikšti kraujavimas.</w:t>
      </w:r>
    </w:p>
    <w:p w14:paraId="2F4F69A2"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149433C9"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lastRenderedPageBreak/>
        <w:t xml:space="preserve">Nustojus vartoti </w:t>
      </w:r>
      <w:proofErr w:type="spellStart"/>
      <w:r w:rsidRPr="00940D54">
        <w:rPr>
          <w:rFonts w:ascii="Times New Roman" w:hAnsi="Times New Roman"/>
          <w:b/>
          <w:lang w:val="lt-LT"/>
        </w:rPr>
        <w:t>velbienne</w:t>
      </w:r>
      <w:proofErr w:type="spellEnd"/>
    </w:p>
    <w:p w14:paraId="149367E2" w14:textId="77777777" w:rsidR="00A51A1D" w:rsidRPr="00940D54" w:rsidRDefault="00A51A1D" w:rsidP="00A51A1D">
      <w:pPr>
        <w:numPr>
          <w:ilvl w:val="12"/>
          <w:numId w:val="0"/>
        </w:numPr>
        <w:spacing w:after="0" w:line="240" w:lineRule="auto"/>
        <w:ind w:right="-29"/>
        <w:rPr>
          <w:rFonts w:ascii="Times New Roman" w:eastAsiaTheme="minorHAnsi" w:hAnsi="Times New Roman" w:cstheme="minorBidi"/>
          <w:lang w:val="lt-LT"/>
        </w:rPr>
      </w:pPr>
      <w:r w:rsidRPr="00940D54">
        <w:rPr>
          <w:rFonts w:ascii="Times New Roman" w:hAnsi="Times New Roman"/>
          <w:lang w:val="lt-LT"/>
        </w:rPr>
        <w:t xml:space="preserve">Jūs vėl galite pajusti menopauzės simptomus, kurie yra: paraudimas su karščio pojūčiu, miego sutrikimas, nervingumas, svaigulys ar makšties sausmė. Be to, nutraukus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w:t>
      </w:r>
      <w:r w:rsidRPr="00940D54">
        <w:rPr>
          <w:rFonts w:ascii="Times New Roman" w:hAnsi="Times New Roman"/>
          <w:lang w:val="lt-LT"/>
        </w:rPr>
        <w:t xml:space="preserve">vartojimą, gali pradėti mažėti kaulų masė. Jeigu norite baigti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tablečių </w:t>
      </w:r>
      <w:r w:rsidRPr="00940D54">
        <w:rPr>
          <w:rFonts w:ascii="Times New Roman" w:hAnsi="Times New Roman"/>
          <w:lang w:val="lt-LT"/>
        </w:rPr>
        <w:t>vartojimą, kreipkitės į savo gydytoją arba vaistininką.</w:t>
      </w:r>
    </w:p>
    <w:p w14:paraId="760515FA" w14:textId="77777777" w:rsidR="00A51A1D" w:rsidRPr="00940D54" w:rsidRDefault="00A51A1D" w:rsidP="00A51A1D">
      <w:pPr>
        <w:numPr>
          <w:ilvl w:val="12"/>
          <w:numId w:val="0"/>
        </w:numPr>
        <w:spacing w:after="0" w:line="240" w:lineRule="auto"/>
        <w:ind w:right="-29"/>
        <w:rPr>
          <w:rFonts w:ascii="Times New Roman" w:hAnsi="Times New Roman"/>
          <w:lang w:val="lt-LT"/>
        </w:rPr>
      </w:pPr>
    </w:p>
    <w:p w14:paraId="3C28FF99"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Jeigu Jums reikia atlikti chirurginę operaciją</w:t>
      </w:r>
    </w:p>
    <w:p w14:paraId="0BE25A17" w14:textId="603C7FA9" w:rsidR="00A51A1D" w:rsidRDefault="00A51A1D" w:rsidP="00A51A1D">
      <w:pPr>
        <w:numPr>
          <w:ilvl w:val="12"/>
          <w:numId w:val="0"/>
        </w:numPr>
        <w:spacing w:after="0" w:line="240" w:lineRule="auto"/>
        <w:rPr>
          <w:rFonts w:ascii="Times New Roman" w:hAnsi="Times New Roman"/>
          <w:color w:val="000000"/>
          <w:lang w:val="lt-LT"/>
        </w:rPr>
      </w:pPr>
      <w:r w:rsidRPr="00940D54">
        <w:rPr>
          <w:rFonts w:ascii="Times New Roman" w:hAnsi="Times New Roman"/>
          <w:color w:val="000000"/>
          <w:lang w:val="lt-LT"/>
        </w:rPr>
        <w:t xml:space="preserve">Jeigu Jūs ruošiatės chirurginei operacijai, pasakykite operuojančiam chirurgui, kad vartojate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Jums gali tekti nutraukti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vartojimą likus maždaug nuo 4 iki 6</w:t>
      </w:r>
      <w:r w:rsidR="003A1FB2">
        <w:rPr>
          <w:rFonts w:ascii="Times New Roman" w:hAnsi="Times New Roman"/>
          <w:color w:val="000000"/>
          <w:lang w:val="lt-LT"/>
        </w:rPr>
        <w:t> </w:t>
      </w:r>
      <w:r w:rsidRPr="00940D54">
        <w:rPr>
          <w:rFonts w:ascii="Times New Roman" w:hAnsi="Times New Roman"/>
          <w:color w:val="000000"/>
          <w:lang w:val="lt-LT"/>
        </w:rPr>
        <w:t>savaičių iki operacijos, kad sumažėtų kraujo krešulių susiformavimo rizika [žr.</w:t>
      </w:r>
      <w:r w:rsidR="003A1FB2">
        <w:rPr>
          <w:rFonts w:ascii="Times New Roman" w:hAnsi="Times New Roman"/>
          <w:color w:val="000000"/>
          <w:lang w:val="lt-LT"/>
        </w:rPr>
        <w:t> </w:t>
      </w:r>
      <w:r w:rsidRPr="00940D54">
        <w:rPr>
          <w:rFonts w:ascii="Times New Roman" w:hAnsi="Times New Roman"/>
          <w:color w:val="000000"/>
          <w:lang w:val="lt-LT"/>
        </w:rPr>
        <w:t>2 skyriuje skyrelį „</w:t>
      </w:r>
      <w:r w:rsidRPr="00940D54">
        <w:rPr>
          <w:rFonts w:ascii="Times New Roman" w:hAnsi="Times New Roman"/>
          <w:lang w:val="lt-LT"/>
        </w:rPr>
        <w:t>Kraujo krešulių susiformavimas venose</w:t>
      </w:r>
      <w:r w:rsidRPr="00940D54">
        <w:rPr>
          <w:rFonts w:ascii="Times New Roman" w:hAnsi="Times New Roman"/>
          <w:color w:val="000000"/>
          <w:lang w:val="lt-LT"/>
        </w:rPr>
        <w:t xml:space="preserve">“]. Kada vėl bus galima pradėti vartoti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klauskite savo gydytojo.</w:t>
      </w:r>
    </w:p>
    <w:p w14:paraId="6048BE58" w14:textId="77777777" w:rsidR="00105C51" w:rsidRPr="00940D54" w:rsidRDefault="00105C51" w:rsidP="00A51A1D">
      <w:pPr>
        <w:numPr>
          <w:ilvl w:val="12"/>
          <w:numId w:val="0"/>
        </w:numPr>
        <w:spacing w:after="0" w:line="240" w:lineRule="auto"/>
        <w:rPr>
          <w:rFonts w:ascii="Times New Roman" w:eastAsiaTheme="minorHAnsi" w:hAnsi="Times New Roman" w:cstheme="minorBidi"/>
          <w:color w:val="000000"/>
          <w:lang w:val="lt-LT"/>
        </w:rPr>
      </w:pPr>
    </w:p>
    <w:p w14:paraId="111D3EBF" w14:textId="77777777" w:rsidR="00105C51" w:rsidRPr="00253783" w:rsidRDefault="00105C51" w:rsidP="00105C51">
      <w:pPr>
        <w:spacing w:after="0"/>
        <w:rPr>
          <w:rFonts w:ascii="Times New Roman" w:hAnsi="Times New Roman"/>
          <w:b/>
          <w:bCs/>
          <w:iCs/>
          <w:lang w:val="lt-LT"/>
        </w:rPr>
      </w:pPr>
      <w:r w:rsidRPr="00253783">
        <w:rPr>
          <w:rFonts w:ascii="Times New Roman" w:hAnsi="Times New Roman"/>
          <w:b/>
          <w:bCs/>
          <w:iCs/>
          <w:lang w:val="lt-LT"/>
        </w:rPr>
        <w:t>Jeigu kiltų daugiau klausimų dėl šio vaisto vartojimo, kreipkitės į gydytoją arba vaistininką.</w:t>
      </w:r>
    </w:p>
    <w:p w14:paraId="05A6DF1A" w14:textId="77777777" w:rsidR="00A51A1D" w:rsidRPr="00940D54" w:rsidRDefault="00A51A1D" w:rsidP="00A51A1D">
      <w:pPr>
        <w:numPr>
          <w:ilvl w:val="12"/>
          <w:numId w:val="0"/>
        </w:numPr>
        <w:spacing w:after="0" w:line="240" w:lineRule="auto"/>
        <w:rPr>
          <w:rFonts w:ascii="Times New Roman" w:hAnsi="Times New Roman"/>
          <w:lang w:val="lt-LT"/>
        </w:rPr>
      </w:pPr>
    </w:p>
    <w:p w14:paraId="6DC9AB81" w14:textId="77777777" w:rsidR="00A51A1D" w:rsidRPr="00940D54" w:rsidRDefault="00A51A1D" w:rsidP="00A51A1D">
      <w:pPr>
        <w:numPr>
          <w:ilvl w:val="12"/>
          <w:numId w:val="0"/>
        </w:numPr>
        <w:spacing w:after="0" w:line="240" w:lineRule="auto"/>
        <w:rPr>
          <w:rFonts w:ascii="Times New Roman" w:hAnsi="Times New Roman"/>
          <w:lang w:val="lt-LT"/>
        </w:rPr>
      </w:pPr>
    </w:p>
    <w:p w14:paraId="6CC56381"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4.</w:t>
      </w:r>
      <w:r w:rsidRPr="00940D54">
        <w:rPr>
          <w:rFonts w:ascii="Times New Roman" w:hAnsi="Times New Roman"/>
          <w:b/>
          <w:lang w:val="lt-LT"/>
        </w:rPr>
        <w:tab/>
        <w:t>Galimas šalutinis poveikis</w:t>
      </w:r>
    </w:p>
    <w:p w14:paraId="6B873E93" w14:textId="77777777" w:rsidR="00A51A1D" w:rsidRPr="00940D54" w:rsidRDefault="00A51A1D" w:rsidP="00A51A1D">
      <w:pPr>
        <w:numPr>
          <w:ilvl w:val="12"/>
          <w:numId w:val="0"/>
        </w:numPr>
        <w:spacing w:after="0" w:line="240" w:lineRule="auto"/>
        <w:rPr>
          <w:rFonts w:ascii="Times New Roman" w:hAnsi="Times New Roman"/>
          <w:lang w:val="lt-LT"/>
        </w:rPr>
      </w:pPr>
    </w:p>
    <w:p w14:paraId="3E789134" w14:textId="268804BA" w:rsidR="00A51A1D" w:rsidRPr="00940D54" w:rsidRDefault="002272EF" w:rsidP="00A51A1D">
      <w:pPr>
        <w:numPr>
          <w:ilvl w:val="12"/>
          <w:numId w:val="0"/>
        </w:numPr>
        <w:spacing w:after="0" w:line="240" w:lineRule="auto"/>
        <w:ind w:right="-29"/>
        <w:rPr>
          <w:rFonts w:ascii="Times New Roman" w:eastAsiaTheme="minorHAnsi" w:hAnsi="Times New Roman" w:cstheme="minorBidi"/>
          <w:lang w:val="lt-LT"/>
        </w:rPr>
      </w:pPr>
      <w:r>
        <w:rPr>
          <w:rFonts w:ascii="Times New Roman" w:hAnsi="Times New Roman"/>
          <w:color w:val="000000"/>
          <w:lang w:val="lt-LT"/>
        </w:rPr>
        <w:t>Šis vaistas</w:t>
      </w:r>
      <w:r w:rsidR="00A51A1D" w:rsidRPr="00940D54">
        <w:rPr>
          <w:rFonts w:ascii="Times New Roman" w:hAnsi="Times New Roman"/>
          <w:lang w:val="lt-LT"/>
        </w:rPr>
        <w:t>, kaip ir visi kiti, gali sukelti šalutinį poveikį, nors jis pasireiškia ne visiems žmonėms.</w:t>
      </w:r>
    </w:p>
    <w:p w14:paraId="32673ED9" w14:textId="77777777" w:rsidR="00A51A1D" w:rsidRPr="00940D54" w:rsidRDefault="00A51A1D" w:rsidP="00A51A1D">
      <w:pPr>
        <w:numPr>
          <w:ilvl w:val="12"/>
          <w:numId w:val="0"/>
        </w:numPr>
        <w:spacing w:after="0" w:line="240" w:lineRule="auto"/>
        <w:ind w:right="-29"/>
        <w:rPr>
          <w:rFonts w:ascii="Times New Roman" w:hAnsi="Times New Roman"/>
          <w:lang w:val="lt-LT"/>
        </w:rPr>
      </w:pPr>
    </w:p>
    <w:p w14:paraId="6C0DF927"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Apie toliau išvardytas ligas dažniau pranešė moterys, vartojančios PHT, palyginti su moterimis, kurios PHT nevartoja.</w:t>
      </w:r>
    </w:p>
    <w:p w14:paraId="6F1C4460"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2A7816C7"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Krūties vėžys.</w:t>
      </w:r>
    </w:p>
    <w:p w14:paraId="5C0EAC87"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Nenormalus gimdos gleivinės išvešėjimas arba gimdos gleivinės vėžys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 xml:space="preserve"> arba vėžys).</w:t>
      </w:r>
    </w:p>
    <w:p w14:paraId="39FDA7E3"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Kiaušidžių vėžys.</w:t>
      </w:r>
    </w:p>
    <w:p w14:paraId="531E781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Kraujo krešulių susiformavimas kojų ar plaučių venose (venų tromboembolija).</w:t>
      </w:r>
    </w:p>
    <w:p w14:paraId="52F124C0"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Širdies liga.</w:t>
      </w:r>
    </w:p>
    <w:p w14:paraId="081BCE44"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Insultas.</w:t>
      </w:r>
    </w:p>
    <w:p w14:paraId="2DC4CB7D" w14:textId="0BFA5748"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Galimas atminties netekimas, jeigu PHT pradedama po 65</w:t>
      </w:r>
      <w:r w:rsidR="008C5A96">
        <w:rPr>
          <w:rFonts w:ascii="Times New Roman" w:hAnsi="Times New Roman"/>
          <w:lang w:val="lt-LT"/>
        </w:rPr>
        <w:t> </w:t>
      </w:r>
      <w:r w:rsidRPr="00940D54">
        <w:rPr>
          <w:rFonts w:ascii="Times New Roman" w:hAnsi="Times New Roman"/>
          <w:lang w:val="lt-LT"/>
        </w:rPr>
        <w:t>metų.</w:t>
      </w:r>
    </w:p>
    <w:p w14:paraId="71BF4A81"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529A3DBC" w14:textId="1138B9B5"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Daugiau informacijos apie š</w:t>
      </w:r>
      <w:r w:rsidR="0066674A" w:rsidRPr="00940D54">
        <w:rPr>
          <w:rFonts w:ascii="Times New Roman" w:hAnsi="Times New Roman"/>
          <w:color w:val="000000"/>
          <w:lang w:val="lt-LT"/>
        </w:rPr>
        <w:t>ios šalutinio poveikio reiškinius</w:t>
      </w:r>
      <w:r w:rsidRPr="00940D54">
        <w:rPr>
          <w:rFonts w:ascii="Times New Roman" w:hAnsi="Times New Roman"/>
          <w:color w:val="000000"/>
          <w:lang w:val="lt-LT"/>
        </w:rPr>
        <w:t xml:space="preserve"> žr.</w:t>
      </w:r>
      <w:r w:rsidR="008C5A96">
        <w:rPr>
          <w:rFonts w:ascii="Times New Roman" w:hAnsi="Times New Roman"/>
          <w:color w:val="000000"/>
          <w:lang w:val="lt-LT"/>
        </w:rPr>
        <w:t> </w:t>
      </w:r>
      <w:r w:rsidRPr="00940D54">
        <w:rPr>
          <w:rFonts w:ascii="Times New Roman" w:hAnsi="Times New Roman"/>
          <w:color w:val="000000"/>
          <w:lang w:val="lt-LT"/>
        </w:rPr>
        <w:t>2</w:t>
      </w:r>
      <w:r w:rsidR="008C5A96">
        <w:rPr>
          <w:rFonts w:ascii="Times New Roman" w:hAnsi="Times New Roman"/>
          <w:color w:val="000000"/>
          <w:lang w:val="lt-LT"/>
        </w:rPr>
        <w:t> </w:t>
      </w:r>
      <w:r w:rsidRPr="00940D54">
        <w:rPr>
          <w:rFonts w:ascii="Times New Roman" w:hAnsi="Times New Roman"/>
          <w:color w:val="000000"/>
          <w:lang w:val="lt-LT"/>
        </w:rPr>
        <w:t>skyriuje.</w:t>
      </w:r>
    </w:p>
    <w:p w14:paraId="023F2D57"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322AB098" w14:textId="441EC4B5" w:rsidR="00441B5E" w:rsidRPr="00441B5E" w:rsidRDefault="00441B5E" w:rsidP="00441B5E">
      <w:pPr>
        <w:spacing w:after="0" w:line="240" w:lineRule="auto"/>
        <w:rPr>
          <w:rFonts w:ascii="Times New Roman" w:hAnsi="Times New Roman"/>
          <w:lang w:val="lt-LT"/>
        </w:rPr>
      </w:pPr>
      <w:r w:rsidRPr="00253783">
        <w:rPr>
          <w:rFonts w:ascii="Times New Roman" w:hAnsi="Times New Roman"/>
          <w:bCs/>
          <w:lang w:val="lt-LT"/>
        </w:rPr>
        <w:t>Netikėtas į mėnesines panašus kraujavimas</w:t>
      </w:r>
      <w:r w:rsidRPr="00441B5E">
        <w:rPr>
          <w:rFonts w:ascii="Times New Roman" w:hAnsi="Times New Roman"/>
          <w:lang w:val="lt-LT"/>
        </w:rPr>
        <w:t xml:space="preserve"> pasireiškia kelių pirmųjų gydymo </w:t>
      </w:r>
      <w:proofErr w:type="spellStart"/>
      <w:r>
        <w:rPr>
          <w:rFonts w:ascii="Times New Roman" w:hAnsi="Times New Roman"/>
          <w:lang w:val="lt-LT"/>
        </w:rPr>
        <w:t>velbienne</w:t>
      </w:r>
      <w:proofErr w:type="spellEnd"/>
      <w:r w:rsidRPr="00441B5E">
        <w:rPr>
          <w:rFonts w:ascii="Times New Roman" w:hAnsi="Times New Roman"/>
          <w:lang w:val="lt-LT"/>
        </w:rPr>
        <w:t xml:space="preserve"> mėnesių laikotarpiu. Jis dažniausiai yra laikinas ir paprastai praeina tęsiant gydymą. Jei kraujavimas nesiliauja, kreipkitės į gydytoją.</w:t>
      </w:r>
    </w:p>
    <w:p w14:paraId="42C078FB"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6CEE116B" w14:textId="48391FD5"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Dažn</w:t>
      </w:r>
      <w:r w:rsidR="00465E20" w:rsidRPr="00940D54">
        <w:rPr>
          <w:rFonts w:ascii="Times New Roman" w:hAnsi="Times New Roman"/>
          <w:b/>
          <w:color w:val="000000"/>
          <w:lang w:val="lt-LT"/>
        </w:rPr>
        <w:t>i</w:t>
      </w:r>
      <w:r w:rsidRPr="00940D54">
        <w:rPr>
          <w:rFonts w:ascii="Times New Roman" w:hAnsi="Times New Roman"/>
          <w:b/>
          <w:color w:val="000000"/>
          <w:lang w:val="lt-LT"/>
        </w:rPr>
        <w:t xml:space="preserve"> šalutini</w:t>
      </w:r>
      <w:r w:rsidR="00465E20" w:rsidRPr="00940D54">
        <w:rPr>
          <w:rFonts w:ascii="Times New Roman" w:hAnsi="Times New Roman"/>
          <w:b/>
          <w:color w:val="000000"/>
          <w:lang w:val="lt-LT"/>
        </w:rPr>
        <w:t>o</w:t>
      </w:r>
      <w:r w:rsidRPr="00940D54">
        <w:rPr>
          <w:rFonts w:ascii="Times New Roman" w:hAnsi="Times New Roman"/>
          <w:b/>
          <w:color w:val="000000"/>
          <w:lang w:val="lt-LT"/>
        </w:rPr>
        <w:t xml:space="preserve"> poveiki</w:t>
      </w:r>
      <w:r w:rsidR="00465E20" w:rsidRPr="00940D54">
        <w:rPr>
          <w:rFonts w:ascii="Times New Roman" w:hAnsi="Times New Roman"/>
          <w:b/>
          <w:color w:val="000000"/>
          <w:lang w:val="lt-LT"/>
        </w:rPr>
        <w:t>o reiškiniai</w:t>
      </w:r>
      <w:r w:rsidRPr="00940D54">
        <w:rPr>
          <w:rFonts w:ascii="Times New Roman" w:hAnsi="Times New Roman"/>
          <w:b/>
          <w:color w:val="000000"/>
          <w:lang w:val="lt-LT"/>
        </w:rPr>
        <w:t xml:space="preserve"> (gali pasireikšti </w:t>
      </w:r>
      <w:r w:rsidR="00652601" w:rsidRPr="00940D54">
        <w:rPr>
          <w:rFonts w:ascii="Times New Roman" w:hAnsi="Times New Roman"/>
          <w:b/>
          <w:color w:val="000000"/>
          <w:lang w:val="lt-LT"/>
        </w:rPr>
        <w:t>rečiau</w:t>
      </w:r>
      <w:r w:rsidRPr="00940D54">
        <w:rPr>
          <w:rFonts w:ascii="Times New Roman" w:hAnsi="Times New Roman"/>
          <w:b/>
          <w:color w:val="000000"/>
          <w:lang w:val="lt-LT"/>
        </w:rPr>
        <w:t xml:space="preserve"> kaip 1 iš 10</w:t>
      </w:r>
      <w:r w:rsidR="008C5A96">
        <w:rPr>
          <w:rFonts w:ascii="Times New Roman" w:hAnsi="Times New Roman"/>
          <w:b/>
          <w:color w:val="000000"/>
          <w:lang w:val="lt-LT"/>
        </w:rPr>
        <w:t> </w:t>
      </w:r>
      <w:r w:rsidR="00465E20" w:rsidRPr="00940D54">
        <w:rPr>
          <w:rFonts w:ascii="Times New Roman" w:hAnsi="Times New Roman"/>
          <w:b/>
          <w:color w:val="000000"/>
          <w:lang w:val="lt-LT"/>
        </w:rPr>
        <w:t>asmen</w:t>
      </w:r>
      <w:r w:rsidRPr="00940D54">
        <w:rPr>
          <w:rFonts w:ascii="Times New Roman" w:hAnsi="Times New Roman"/>
          <w:b/>
          <w:color w:val="000000"/>
          <w:lang w:val="lt-LT"/>
        </w:rPr>
        <w:t>ų)</w:t>
      </w:r>
      <w:r w:rsidR="00465E20" w:rsidRPr="00940D54">
        <w:rPr>
          <w:rFonts w:ascii="Times New Roman" w:hAnsi="Times New Roman"/>
          <w:b/>
          <w:color w:val="000000"/>
          <w:lang w:val="lt-LT"/>
        </w:rPr>
        <w:t>:</w:t>
      </w:r>
    </w:p>
    <w:p w14:paraId="041F26B8"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color w:val="000000"/>
          <w:lang w:val="lt-LT"/>
        </w:rPr>
        <w:t>Galvos skausmas.</w:t>
      </w:r>
    </w:p>
    <w:p w14:paraId="3A1D033D"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color w:val="000000"/>
          <w:lang w:val="lt-LT"/>
        </w:rPr>
        <w:t>Pykinimas.</w:t>
      </w:r>
    </w:p>
    <w:p w14:paraId="0611FCF3"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color w:val="000000"/>
          <w:lang w:val="lt-LT"/>
        </w:rPr>
        <w:t>Krūtų skausmas, kraujavimas iš makšties, paraudimas su karščio pojūčiu.</w:t>
      </w:r>
    </w:p>
    <w:p w14:paraId="7B21BC2F" w14:textId="77777777" w:rsidR="00A51A1D" w:rsidRPr="00940D54" w:rsidRDefault="00A51A1D" w:rsidP="00A51A1D">
      <w:pPr>
        <w:spacing w:after="0" w:line="240" w:lineRule="auto"/>
        <w:rPr>
          <w:rFonts w:ascii="Times New Roman" w:hAnsi="Times New Roman"/>
          <w:b/>
          <w:lang w:val="lt-LT"/>
        </w:rPr>
      </w:pPr>
    </w:p>
    <w:p w14:paraId="583D42F8" w14:textId="5287085E"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Nedažn</w:t>
      </w:r>
      <w:r w:rsidR="00465E20" w:rsidRPr="00940D54">
        <w:rPr>
          <w:rFonts w:ascii="Times New Roman" w:hAnsi="Times New Roman"/>
          <w:b/>
          <w:color w:val="000000"/>
          <w:lang w:val="lt-LT"/>
        </w:rPr>
        <w:t>i</w:t>
      </w:r>
      <w:r w:rsidRPr="00940D54">
        <w:rPr>
          <w:rFonts w:ascii="Times New Roman" w:hAnsi="Times New Roman"/>
          <w:b/>
          <w:color w:val="000000"/>
          <w:lang w:val="lt-LT"/>
        </w:rPr>
        <w:t xml:space="preserve"> šalutini</w:t>
      </w:r>
      <w:r w:rsidR="00465E20" w:rsidRPr="00940D54">
        <w:rPr>
          <w:rFonts w:ascii="Times New Roman" w:hAnsi="Times New Roman"/>
          <w:b/>
          <w:color w:val="000000"/>
          <w:lang w:val="lt-LT"/>
        </w:rPr>
        <w:t>o</w:t>
      </w:r>
      <w:r w:rsidRPr="00940D54">
        <w:rPr>
          <w:rFonts w:ascii="Times New Roman" w:hAnsi="Times New Roman"/>
          <w:b/>
          <w:color w:val="000000"/>
          <w:lang w:val="lt-LT"/>
        </w:rPr>
        <w:t xml:space="preserve"> poveiki</w:t>
      </w:r>
      <w:r w:rsidR="00465E20" w:rsidRPr="00940D54">
        <w:rPr>
          <w:rFonts w:ascii="Times New Roman" w:hAnsi="Times New Roman"/>
          <w:b/>
          <w:color w:val="000000"/>
          <w:lang w:val="lt-LT"/>
        </w:rPr>
        <w:t>o reiškiniai</w:t>
      </w:r>
      <w:r w:rsidRPr="00940D54">
        <w:rPr>
          <w:rFonts w:ascii="Times New Roman" w:hAnsi="Times New Roman"/>
          <w:b/>
          <w:color w:val="000000"/>
          <w:lang w:val="lt-LT"/>
        </w:rPr>
        <w:t xml:space="preserve"> </w:t>
      </w:r>
      <w:r w:rsidRPr="00940D54">
        <w:rPr>
          <w:rFonts w:ascii="Times New Roman" w:hAnsi="Times New Roman"/>
          <w:b/>
          <w:bCs/>
          <w:color w:val="000000"/>
          <w:lang w:val="lt-LT"/>
        </w:rPr>
        <w:t xml:space="preserve">(gali pasireikšti </w:t>
      </w:r>
      <w:r w:rsidR="00652601" w:rsidRPr="00940D54">
        <w:rPr>
          <w:rFonts w:ascii="Times New Roman" w:hAnsi="Times New Roman"/>
          <w:b/>
          <w:bCs/>
          <w:color w:val="000000"/>
          <w:lang w:val="lt-LT"/>
        </w:rPr>
        <w:t>rečiau</w:t>
      </w:r>
      <w:r w:rsidRPr="00940D54">
        <w:rPr>
          <w:rFonts w:ascii="Times New Roman" w:hAnsi="Times New Roman"/>
          <w:b/>
          <w:bCs/>
          <w:color w:val="000000"/>
          <w:lang w:val="lt-LT"/>
        </w:rPr>
        <w:t xml:space="preserve"> kaip 1 iš 100</w:t>
      </w:r>
      <w:r w:rsidR="008C5A96">
        <w:rPr>
          <w:rFonts w:ascii="Times New Roman" w:hAnsi="Times New Roman"/>
          <w:b/>
          <w:bCs/>
          <w:color w:val="000000"/>
          <w:lang w:val="lt-LT"/>
        </w:rPr>
        <w:t> </w:t>
      </w:r>
      <w:r w:rsidR="00465E20" w:rsidRPr="00940D54">
        <w:rPr>
          <w:rFonts w:ascii="Times New Roman" w:hAnsi="Times New Roman"/>
          <w:b/>
          <w:bCs/>
          <w:color w:val="000000"/>
          <w:lang w:val="lt-LT"/>
        </w:rPr>
        <w:t>asmen</w:t>
      </w:r>
      <w:r w:rsidRPr="00940D54">
        <w:rPr>
          <w:rFonts w:ascii="Times New Roman" w:hAnsi="Times New Roman"/>
          <w:b/>
          <w:bCs/>
          <w:color w:val="000000"/>
          <w:lang w:val="lt-LT"/>
        </w:rPr>
        <w:t>ų)</w:t>
      </w:r>
      <w:r w:rsidR="00465E20" w:rsidRPr="00940D54">
        <w:rPr>
          <w:rFonts w:ascii="Times New Roman" w:hAnsi="Times New Roman"/>
          <w:b/>
          <w:bCs/>
          <w:color w:val="000000"/>
          <w:lang w:val="lt-LT"/>
        </w:rPr>
        <w:t>:</w:t>
      </w:r>
    </w:p>
    <w:p w14:paraId="413F1383"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Kūno masės didėjimas.</w:t>
      </w:r>
    </w:p>
    <w:p w14:paraId="2BDC6640"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Nemiga, nervingumas, apetito nebuvimas ir dėl to mažėjanti kūno masė, agresyvumas, depresija, mieguistumas (</w:t>
      </w:r>
      <w:proofErr w:type="spellStart"/>
      <w:r w:rsidRPr="00940D54">
        <w:rPr>
          <w:rFonts w:ascii="Times New Roman" w:hAnsi="Times New Roman"/>
          <w:color w:val="000000"/>
          <w:lang w:val="lt-LT"/>
        </w:rPr>
        <w:t>somnolencija</w:t>
      </w:r>
      <w:proofErr w:type="spellEnd"/>
      <w:r w:rsidRPr="00940D54">
        <w:rPr>
          <w:rFonts w:ascii="Times New Roman" w:hAnsi="Times New Roman"/>
          <w:color w:val="000000"/>
          <w:lang w:val="lt-LT"/>
        </w:rPr>
        <w:t>), lytinio potraukio sumažėjimas, nesugebėjimas pasiekti orgazmo.</w:t>
      </w:r>
    </w:p>
    <w:p w14:paraId="414B810A"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Svaigulys, migrena, pernelyg didelis aktyvumas, dilgčiojimas ir dygsėjimas.</w:t>
      </w:r>
    </w:p>
    <w:p w14:paraId="08A223AB" w14:textId="2158DDC2"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Kraujospūdžio padidėjimas, krešulio kojų venose susiformavimas (kojos skausmas) [taip pat žr.</w:t>
      </w:r>
      <w:r w:rsidR="00FE50FA">
        <w:rPr>
          <w:rFonts w:ascii="Times New Roman" w:hAnsi="Times New Roman"/>
          <w:color w:val="000000"/>
          <w:lang w:val="lt-LT"/>
        </w:rPr>
        <w:t> </w:t>
      </w:r>
      <w:r w:rsidRPr="00940D54">
        <w:rPr>
          <w:rFonts w:ascii="Times New Roman" w:hAnsi="Times New Roman"/>
          <w:color w:val="000000"/>
          <w:lang w:val="lt-LT"/>
        </w:rPr>
        <w:t>2 skyriuje skyrelį „</w:t>
      </w:r>
      <w:r w:rsidRPr="00940D54">
        <w:rPr>
          <w:rFonts w:ascii="Times New Roman" w:hAnsi="Times New Roman"/>
          <w:lang w:val="lt-LT"/>
        </w:rPr>
        <w:t>Kraujo krešulių susiformavimas venose (trombozė)</w:t>
      </w:r>
      <w:r w:rsidRPr="00940D54">
        <w:rPr>
          <w:rFonts w:ascii="Times New Roman" w:hAnsi="Times New Roman"/>
          <w:color w:val="000000"/>
          <w:lang w:val="lt-LT"/>
        </w:rPr>
        <w:t>“], kraujavimai iš nosies.</w:t>
      </w:r>
    </w:p>
    <w:p w14:paraId="4F3F1217"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Dujų kaupimasis virškinimo trakte, pilvo skausmas, vidurių užkietėjimas, viduriavimas, burnos džiūvimas, vėmimas.</w:t>
      </w:r>
    </w:p>
    <w:p w14:paraId="41A5D452" w14:textId="4D7BFD1B"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Tulžies </w:t>
      </w:r>
      <w:r w:rsidR="004C5852" w:rsidRPr="00940D54">
        <w:rPr>
          <w:rFonts w:ascii="Times New Roman" w:hAnsi="Times New Roman"/>
          <w:color w:val="000000"/>
          <w:lang w:val="lt-LT"/>
        </w:rPr>
        <w:t xml:space="preserve">pūslės ir latakų sutrikimų sukeltas </w:t>
      </w:r>
      <w:r w:rsidRPr="00940D54">
        <w:rPr>
          <w:rFonts w:ascii="Times New Roman" w:hAnsi="Times New Roman"/>
          <w:color w:val="000000"/>
          <w:lang w:val="lt-LT"/>
        </w:rPr>
        <w:t>skausmas.</w:t>
      </w:r>
    </w:p>
    <w:p w14:paraId="11CF311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Prakaitavimo sustiprėjimas, spuogai, odos niežėjimas, odos sausmė su raudonais žvynuotais plotais, vadinama žvyneline.</w:t>
      </w:r>
    </w:p>
    <w:p w14:paraId="549A4CDD"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Raumenų skausmas, kojų mėšlungis.</w:t>
      </w:r>
    </w:p>
    <w:p w14:paraId="3E83A58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lastRenderedPageBreak/>
        <w:t>Gimdos gleivinės sutrikimai, skausmingos menstruacijos, lytinių organų niežėjimas, makšties pienligė.</w:t>
      </w:r>
    </w:p>
    <w:p w14:paraId="5B71434B"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Nuovargis, </w:t>
      </w:r>
      <w:proofErr w:type="spellStart"/>
      <w:r w:rsidRPr="00940D54">
        <w:rPr>
          <w:rFonts w:ascii="Times New Roman" w:hAnsi="Times New Roman"/>
          <w:color w:val="000000"/>
          <w:lang w:val="lt-LT"/>
        </w:rPr>
        <w:t>generalizuotas</w:t>
      </w:r>
      <w:proofErr w:type="spellEnd"/>
      <w:r w:rsidRPr="00940D54">
        <w:rPr>
          <w:rFonts w:ascii="Times New Roman" w:hAnsi="Times New Roman"/>
          <w:color w:val="000000"/>
          <w:lang w:val="lt-LT"/>
        </w:rPr>
        <w:t xml:space="preserve"> skysčių susilaikymas, veido patinimas.</w:t>
      </w:r>
    </w:p>
    <w:p w14:paraId="232F70A2"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Edema.</w:t>
      </w:r>
    </w:p>
    <w:p w14:paraId="6E00CF44" w14:textId="77777777" w:rsidR="00A51A1D" w:rsidRPr="00940D54" w:rsidRDefault="00A51A1D" w:rsidP="00A51A1D">
      <w:pPr>
        <w:spacing w:after="0" w:line="240" w:lineRule="auto"/>
        <w:ind w:left="567"/>
        <w:rPr>
          <w:rFonts w:ascii="Times New Roman" w:hAnsi="Times New Roman"/>
          <w:color w:val="000000"/>
          <w:lang w:val="lt-LT"/>
        </w:rPr>
      </w:pPr>
    </w:p>
    <w:p w14:paraId="301C4A6E" w14:textId="6791FFFE"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Apie toliau </w:t>
      </w:r>
      <w:r w:rsidR="0066674A" w:rsidRPr="00940D54">
        <w:rPr>
          <w:rFonts w:ascii="Times New Roman" w:hAnsi="Times New Roman"/>
          <w:color w:val="000000"/>
          <w:lang w:val="lt-LT"/>
        </w:rPr>
        <w:t xml:space="preserve">išvardytus šalutinio poveikio reiškinius </w:t>
      </w:r>
      <w:r w:rsidRPr="00940D54">
        <w:rPr>
          <w:rFonts w:ascii="Times New Roman" w:hAnsi="Times New Roman"/>
          <w:color w:val="000000"/>
          <w:lang w:val="lt-LT"/>
        </w:rPr>
        <w:t xml:space="preserve">buvo pranešta vartojant </w:t>
      </w:r>
      <w:r w:rsidR="0066674A" w:rsidRPr="00940D54">
        <w:rPr>
          <w:rFonts w:ascii="Times New Roman" w:hAnsi="Times New Roman"/>
          <w:color w:val="000000"/>
          <w:lang w:val="lt-LT"/>
        </w:rPr>
        <w:t xml:space="preserve">kitokių </w:t>
      </w:r>
      <w:r w:rsidRPr="00940D54">
        <w:rPr>
          <w:rFonts w:ascii="Times New Roman" w:hAnsi="Times New Roman"/>
          <w:color w:val="000000"/>
          <w:lang w:val="lt-LT"/>
        </w:rPr>
        <w:t xml:space="preserve">PHT </w:t>
      </w:r>
      <w:r w:rsidR="00B34389" w:rsidRPr="00940D54">
        <w:rPr>
          <w:rFonts w:ascii="Times New Roman" w:hAnsi="Times New Roman"/>
          <w:color w:val="000000"/>
          <w:lang w:val="lt-LT"/>
        </w:rPr>
        <w:t>preparatų</w:t>
      </w:r>
      <w:r w:rsidRPr="00940D54">
        <w:rPr>
          <w:rFonts w:ascii="Times New Roman" w:hAnsi="Times New Roman"/>
          <w:color w:val="000000"/>
          <w:lang w:val="lt-LT"/>
        </w:rPr>
        <w:t>.</w:t>
      </w:r>
    </w:p>
    <w:p w14:paraId="48603900" w14:textId="77777777" w:rsidR="00A51A1D" w:rsidRPr="00940D54" w:rsidRDefault="00A51A1D" w:rsidP="00A51A1D">
      <w:pPr>
        <w:autoSpaceDE w:val="0"/>
        <w:autoSpaceDN w:val="0"/>
        <w:adjustRightInd w:val="0"/>
        <w:spacing w:after="0" w:line="240" w:lineRule="auto"/>
        <w:rPr>
          <w:rFonts w:ascii="Times New Roman" w:hAnsi="Times New Roman"/>
          <w:color w:val="000000"/>
          <w:lang w:val="lt-LT"/>
        </w:rPr>
      </w:pPr>
    </w:p>
    <w:p w14:paraId="2E778314"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Tulžies pūslės liga.</w:t>
      </w:r>
    </w:p>
    <w:p w14:paraId="39EC5415" w14:textId="77777777" w:rsidR="00A51A1D" w:rsidRPr="00940D54" w:rsidRDefault="00A51A1D" w:rsidP="00A51A1D">
      <w:pPr>
        <w:numPr>
          <w:ilvl w:val="0"/>
          <w:numId w:val="3"/>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Įvairūs odos sutrikimai:</w:t>
      </w:r>
    </w:p>
    <w:p w14:paraId="3A627DD9" w14:textId="77777777" w:rsidR="00A51A1D" w:rsidRPr="00940D54" w:rsidRDefault="00A51A1D" w:rsidP="00A51A1D">
      <w:pPr>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odos, ypač veido ar kaklo spalvos pokyčiai, kurie vadinami nėščiųjų dėmėmis (rudmė);</w:t>
      </w:r>
    </w:p>
    <w:p w14:paraId="6F82CDF6" w14:textId="77777777" w:rsidR="00A51A1D" w:rsidRPr="00940D54" w:rsidRDefault="00A51A1D" w:rsidP="00A51A1D">
      <w:pPr>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 xml:space="preserve">skausmingi rausvi odos mazgeliai (mazginė </w:t>
      </w:r>
      <w:proofErr w:type="spellStart"/>
      <w:r w:rsidRPr="00940D54">
        <w:rPr>
          <w:rFonts w:ascii="Times New Roman" w:hAnsi="Times New Roman"/>
          <w:color w:val="000000"/>
          <w:lang w:val="lt-LT"/>
        </w:rPr>
        <w:t>eritema</w:t>
      </w:r>
      <w:proofErr w:type="spellEnd"/>
      <w:r w:rsidRPr="00940D54">
        <w:rPr>
          <w:rFonts w:ascii="Times New Roman" w:hAnsi="Times New Roman"/>
          <w:color w:val="000000"/>
          <w:lang w:val="lt-LT"/>
        </w:rPr>
        <w:t>);</w:t>
      </w:r>
    </w:p>
    <w:p w14:paraId="0824584C" w14:textId="77777777" w:rsidR="00A51A1D" w:rsidRPr="00940D54" w:rsidRDefault="00A51A1D" w:rsidP="00A51A1D">
      <w:pPr>
        <w:spacing w:after="0" w:line="240" w:lineRule="auto"/>
        <w:ind w:left="1134" w:hanging="567"/>
        <w:rPr>
          <w:rFonts w:ascii="Times New Roman" w:hAnsi="Times New Roman"/>
          <w:b/>
          <w:lang w:val="lt-LT"/>
        </w:rPr>
      </w:pPr>
      <w:r w:rsidRPr="00940D54">
        <w:rPr>
          <w:rFonts w:ascii="Times New Roman" w:hAnsi="Times New Roman"/>
          <w:color w:val="000000"/>
          <w:lang w:val="lt-LT"/>
        </w:rPr>
        <w:t>-</w:t>
      </w:r>
      <w:r w:rsidRPr="00940D54">
        <w:rPr>
          <w:rFonts w:ascii="Times New Roman" w:hAnsi="Times New Roman"/>
          <w:color w:val="000000"/>
          <w:lang w:val="lt-LT"/>
        </w:rPr>
        <w:tab/>
        <w:t xml:space="preserve">bėrimas, kuris pasireiškia į taikinį panašiu paraudimu ar išopėjimu (daugiaformė </w:t>
      </w:r>
      <w:proofErr w:type="spellStart"/>
      <w:r w:rsidRPr="00940D54">
        <w:rPr>
          <w:rFonts w:ascii="Times New Roman" w:hAnsi="Times New Roman"/>
          <w:color w:val="000000"/>
          <w:lang w:val="lt-LT"/>
        </w:rPr>
        <w:t>eritema</w:t>
      </w:r>
      <w:proofErr w:type="spellEnd"/>
      <w:r w:rsidRPr="00940D54">
        <w:rPr>
          <w:rFonts w:ascii="Times New Roman" w:hAnsi="Times New Roman"/>
          <w:color w:val="000000"/>
          <w:lang w:val="lt-LT"/>
        </w:rPr>
        <w:t>).</w:t>
      </w:r>
    </w:p>
    <w:p w14:paraId="755C0DE2" w14:textId="77777777" w:rsidR="00A51A1D" w:rsidRPr="00940D54" w:rsidRDefault="00A51A1D" w:rsidP="00A51A1D">
      <w:pPr>
        <w:spacing w:after="0" w:line="240" w:lineRule="auto"/>
        <w:rPr>
          <w:rFonts w:ascii="Times New Roman" w:hAnsi="Times New Roman"/>
          <w:b/>
          <w:lang w:val="lt-LT"/>
        </w:rPr>
      </w:pPr>
    </w:p>
    <w:p w14:paraId="678D92BB"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Pranešimas apie šalutinį poveikį</w:t>
      </w:r>
    </w:p>
    <w:p w14:paraId="1824A724" w14:textId="1BA326A0" w:rsidR="00710310" w:rsidRPr="005F2F33" w:rsidRDefault="00710310" w:rsidP="00710310">
      <w:pPr>
        <w:spacing w:after="0" w:line="240" w:lineRule="auto"/>
        <w:rPr>
          <w:rFonts w:ascii="Times New Roman" w:eastAsia="Times New Roman" w:hAnsi="Times New Roman"/>
          <w:lang w:val="lt-LT"/>
        </w:rPr>
      </w:pPr>
      <w:r w:rsidRPr="005F2F33">
        <w:rPr>
          <w:rFonts w:ascii="Times New Roman" w:eastAsia="Times New Roman" w:hAnsi="Times New Roman"/>
          <w:lang w:val="lt-LT"/>
        </w:rPr>
        <w:t xml:space="preserve">Jeigu pasireiškė šalutinis poveikis, įskaitant šiame lapelyje nenurodytą, pasakykite gydytojui, vaistininkui arba slaugytojui. </w:t>
      </w:r>
      <w:r w:rsidRPr="005F2F33">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5F2F33">
        <w:rPr>
          <w:rFonts w:ascii="Times New Roman" w:eastAsia="Times New Roman" w:hAnsi="Times New Roman"/>
          <w:color w:val="0000EE"/>
          <w:u w:val="single"/>
          <w:lang w:val="lt-LT" w:eastAsia="lt-LT"/>
        </w:rPr>
        <w:t>https://vvkt.lrv.lt/lt/</w:t>
      </w:r>
      <w:r w:rsidRPr="005F2F33">
        <w:rPr>
          <w:rFonts w:ascii="Times New Roman" w:eastAsia="Times New Roman" w:hAnsi="Times New Roman"/>
          <w:lang w:val="lt-LT" w:eastAsia="lt-LT"/>
        </w:rPr>
        <w:t xml:space="preserve"> nurodytais būdais arba paskambinti nemokamu telefonu </w:t>
      </w:r>
      <w:r w:rsidR="007E6671">
        <w:rPr>
          <w:rFonts w:ascii="Times New Roman" w:eastAsia="Times New Roman" w:hAnsi="Times New Roman"/>
          <w:lang w:val="lt-LT" w:eastAsia="lt-LT"/>
        </w:rPr>
        <w:t>+370</w:t>
      </w:r>
      <w:r w:rsidRPr="005F2F33">
        <w:rPr>
          <w:rFonts w:ascii="Times New Roman" w:eastAsia="Times New Roman" w:hAnsi="Times New Roman"/>
          <w:lang w:val="lt-LT" w:eastAsia="lt-LT"/>
        </w:rPr>
        <w:t xml:space="preserve"> 800 73 568. Pranešdami apie šalutinį poveikį galite mums padėti gauti daugiau informacijos apie šio vaisto saugumą</w:t>
      </w:r>
      <w:r w:rsidRPr="005F2F33">
        <w:rPr>
          <w:rFonts w:ascii="Times New Roman" w:eastAsia="Times New Roman" w:hAnsi="Times New Roman"/>
          <w:lang w:val="lt-LT"/>
        </w:rPr>
        <w:t>.</w:t>
      </w:r>
    </w:p>
    <w:p w14:paraId="4F257387" w14:textId="77777777" w:rsidR="00A51A1D" w:rsidRPr="00940D54" w:rsidRDefault="00A51A1D" w:rsidP="00A51A1D">
      <w:pPr>
        <w:spacing w:after="0" w:line="240" w:lineRule="auto"/>
        <w:ind w:right="-2"/>
        <w:rPr>
          <w:rFonts w:ascii="Times New Roman" w:hAnsi="Times New Roman"/>
          <w:lang w:val="lt-LT"/>
        </w:rPr>
      </w:pPr>
    </w:p>
    <w:p w14:paraId="6ACDD789" w14:textId="77777777" w:rsidR="00A51A1D" w:rsidRPr="00940D54" w:rsidRDefault="00A51A1D" w:rsidP="00A51A1D">
      <w:pPr>
        <w:spacing w:after="0" w:line="240" w:lineRule="auto"/>
        <w:ind w:right="-449"/>
        <w:rPr>
          <w:rFonts w:ascii="Times New Roman" w:hAnsi="Times New Roman"/>
          <w:lang w:val="lt-LT"/>
        </w:rPr>
      </w:pPr>
    </w:p>
    <w:p w14:paraId="75D28645"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5.</w:t>
      </w:r>
      <w:r w:rsidRPr="00940D54">
        <w:rPr>
          <w:rFonts w:ascii="Times New Roman" w:hAnsi="Times New Roman"/>
          <w:b/>
          <w:lang w:val="lt-LT"/>
        </w:rPr>
        <w:tab/>
        <w:t xml:space="preserve">Kaip laikyti </w:t>
      </w:r>
      <w:proofErr w:type="spellStart"/>
      <w:r w:rsidRPr="00940D54">
        <w:rPr>
          <w:rFonts w:ascii="Times New Roman" w:hAnsi="Times New Roman"/>
          <w:b/>
          <w:lang w:val="lt-LT"/>
        </w:rPr>
        <w:t>velbienne</w:t>
      </w:r>
      <w:proofErr w:type="spellEnd"/>
    </w:p>
    <w:p w14:paraId="28760DAA"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53F6EB54"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Šį vaistą laikykite vaikams nepastebimoje ir nepasiekiamoje vietoje.</w:t>
      </w:r>
    </w:p>
    <w:p w14:paraId="42AED4AD"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4821BE8C" w14:textId="28A9D565"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Ant etiketės, kartono dėžutės ir lizdinės plokštelės po „EXP“ nurodytam tinkamumo laikui pasibaigus,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vartoti negalima. Vaistas tinkamas vartoti iki paskutinės nurodyto mėnesio dienos.</w:t>
      </w:r>
    </w:p>
    <w:p w14:paraId="5197E88F"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4BC19EC6"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Laikyti gamintojo pakuotėje, kad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būtų apsaugotas nuo šviesos.</w:t>
      </w:r>
    </w:p>
    <w:p w14:paraId="5DF4F030"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18AF4E9C"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laikymui specialių temperatūros sąlygų nereikalaujama.</w:t>
      </w:r>
    </w:p>
    <w:p w14:paraId="1867831A"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561D3A69"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Vaistų negalima išmesti į kanalizaciją arba su buitinėmis atliekomis. Kaip išmesti nereikalingus vaistus, klauskite vaistininko. Šios priemonės padės apsaugoti aplinką.</w:t>
      </w:r>
    </w:p>
    <w:p w14:paraId="3A56B04D" w14:textId="77777777" w:rsidR="00A51A1D" w:rsidRPr="00940D54" w:rsidRDefault="00A51A1D" w:rsidP="00A51A1D">
      <w:pPr>
        <w:numPr>
          <w:ilvl w:val="12"/>
          <w:numId w:val="0"/>
        </w:numPr>
        <w:spacing w:after="0" w:line="240" w:lineRule="auto"/>
        <w:ind w:right="-2"/>
        <w:rPr>
          <w:rFonts w:ascii="Times New Roman" w:hAnsi="Times New Roman"/>
          <w:i/>
          <w:lang w:val="lt-LT"/>
        </w:rPr>
      </w:pPr>
    </w:p>
    <w:p w14:paraId="2AB651DD"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2F6F6799" w14:textId="77777777" w:rsidR="00A51A1D" w:rsidRPr="00940D54" w:rsidRDefault="00A51A1D" w:rsidP="00A51A1D">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6.</w:t>
      </w:r>
      <w:r w:rsidRPr="00940D54">
        <w:rPr>
          <w:rFonts w:ascii="Times New Roman" w:hAnsi="Times New Roman"/>
          <w:lang w:val="lt-LT"/>
        </w:rPr>
        <w:tab/>
      </w:r>
      <w:r w:rsidRPr="00940D54">
        <w:rPr>
          <w:rFonts w:ascii="Times New Roman" w:hAnsi="Times New Roman"/>
          <w:b/>
          <w:lang w:val="lt-LT"/>
        </w:rPr>
        <w:t>Pakuotės turinys ir kita informacija</w:t>
      </w:r>
    </w:p>
    <w:p w14:paraId="5FE62A07" w14:textId="77777777" w:rsidR="00A51A1D" w:rsidRPr="00940D54" w:rsidRDefault="00A51A1D" w:rsidP="00A51A1D">
      <w:pPr>
        <w:numPr>
          <w:ilvl w:val="12"/>
          <w:numId w:val="0"/>
        </w:numPr>
        <w:spacing w:after="0" w:line="240" w:lineRule="auto"/>
        <w:rPr>
          <w:rFonts w:ascii="Times New Roman" w:hAnsi="Times New Roman"/>
          <w:lang w:val="lt-LT"/>
        </w:rPr>
      </w:pPr>
    </w:p>
    <w:p w14:paraId="1BE73965"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sudėtis</w:t>
      </w:r>
    </w:p>
    <w:p w14:paraId="10918BEB" w14:textId="77777777" w:rsidR="00A51A1D" w:rsidRPr="00940D54" w:rsidRDefault="00A51A1D" w:rsidP="00A51A1D">
      <w:pPr>
        <w:numPr>
          <w:ilvl w:val="0"/>
          <w:numId w:val="5"/>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 xml:space="preserve">Veikliosios medžiagos yra </w:t>
      </w: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ir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valeratas</w:t>
      </w:r>
      <w:proofErr w:type="spellEnd"/>
      <w:r w:rsidRPr="00940D54">
        <w:rPr>
          <w:rFonts w:ascii="Times New Roman" w:hAnsi="Times New Roman"/>
          <w:lang w:val="lt-LT"/>
        </w:rPr>
        <w:t xml:space="preserve">. Kiekvienoje tabletėje yra 2,0 mg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ir 1,0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(atitinka 0,764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
    <w:p w14:paraId="3AB18100" w14:textId="69402C9F" w:rsidR="00A51A1D" w:rsidRPr="00940D54" w:rsidRDefault="00A51A1D" w:rsidP="00A51A1D">
      <w:pPr>
        <w:numPr>
          <w:ilvl w:val="0"/>
          <w:numId w:val="5"/>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Pagalbinės medžiagos yra</w:t>
      </w:r>
      <w:r w:rsidRPr="00940D54">
        <w:rPr>
          <w:rFonts w:ascii="Times New Roman" w:hAnsi="Times New Roman"/>
          <w:color w:val="000000"/>
          <w:lang w:val="lt-LT"/>
        </w:rPr>
        <w:t xml:space="preserve"> laktozė </w:t>
      </w:r>
      <w:proofErr w:type="spellStart"/>
      <w:r w:rsidRPr="00940D54">
        <w:rPr>
          <w:rFonts w:ascii="Times New Roman" w:hAnsi="Times New Roman"/>
          <w:color w:val="000000"/>
          <w:lang w:val="lt-LT"/>
        </w:rPr>
        <w:t>monohidratas</w:t>
      </w:r>
      <w:proofErr w:type="spellEnd"/>
      <w:r w:rsidRPr="00940D54">
        <w:rPr>
          <w:rFonts w:ascii="Times New Roman" w:hAnsi="Times New Roman"/>
          <w:color w:val="000000"/>
          <w:lang w:val="lt-LT"/>
        </w:rPr>
        <w:t xml:space="preserve">, kukurūzų krakmolas, </w:t>
      </w:r>
      <w:proofErr w:type="spellStart"/>
      <w:r w:rsidRPr="00940D54">
        <w:rPr>
          <w:rFonts w:ascii="Times New Roman" w:hAnsi="Times New Roman"/>
          <w:color w:val="000000"/>
          <w:lang w:val="lt-LT"/>
        </w:rPr>
        <w:t>pregelefikuotas</w:t>
      </w:r>
      <w:proofErr w:type="spellEnd"/>
      <w:r w:rsidRPr="00940D54">
        <w:rPr>
          <w:rFonts w:ascii="Times New Roman" w:hAnsi="Times New Roman"/>
          <w:color w:val="000000"/>
          <w:lang w:val="lt-LT"/>
        </w:rPr>
        <w:t xml:space="preserve"> kukurūzų krakmolas, </w:t>
      </w:r>
      <w:proofErr w:type="spellStart"/>
      <w:r w:rsidRPr="00940D54">
        <w:rPr>
          <w:rFonts w:ascii="Times New Roman" w:hAnsi="Times New Roman"/>
          <w:color w:val="000000"/>
          <w:lang w:val="lt-LT"/>
        </w:rPr>
        <w:t>povidonas</w:t>
      </w:r>
      <w:proofErr w:type="spellEnd"/>
      <w:r w:rsidRPr="00940D54">
        <w:rPr>
          <w:rFonts w:ascii="Times New Roman" w:hAnsi="Times New Roman"/>
          <w:color w:val="000000"/>
          <w:lang w:val="lt-LT"/>
        </w:rPr>
        <w:t xml:space="preserve"> K30, magnio </w:t>
      </w:r>
      <w:proofErr w:type="spellStart"/>
      <w:r w:rsidRPr="00940D54">
        <w:rPr>
          <w:rFonts w:ascii="Times New Roman" w:hAnsi="Times New Roman"/>
          <w:color w:val="000000"/>
          <w:lang w:val="lt-LT"/>
        </w:rPr>
        <w:t>stearatas</w:t>
      </w:r>
      <w:proofErr w:type="spellEnd"/>
      <w:r w:rsidRPr="00940D54">
        <w:rPr>
          <w:rFonts w:ascii="Times New Roman" w:hAnsi="Times New Roman"/>
          <w:color w:val="000000"/>
          <w:lang w:val="lt-LT"/>
        </w:rPr>
        <w:t xml:space="preserve">, polivinilo alkoholis, titano dioksidas (E171), </w:t>
      </w:r>
      <w:proofErr w:type="spellStart"/>
      <w:r w:rsidRPr="00940D54">
        <w:rPr>
          <w:rFonts w:ascii="Times New Roman" w:hAnsi="Times New Roman"/>
          <w:color w:val="000000"/>
          <w:lang w:val="lt-LT"/>
        </w:rPr>
        <w:t>makrogolis</w:t>
      </w:r>
      <w:proofErr w:type="spellEnd"/>
      <w:r w:rsidRPr="00940D54">
        <w:rPr>
          <w:rFonts w:ascii="Times New Roman" w:hAnsi="Times New Roman"/>
          <w:color w:val="000000"/>
          <w:lang w:val="lt-LT"/>
        </w:rPr>
        <w:t xml:space="preserve"> / PEG</w:t>
      </w:r>
      <w:r w:rsidR="008C5A96">
        <w:rPr>
          <w:rFonts w:ascii="Times New Roman" w:hAnsi="Times New Roman"/>
          <w:color w:val="000000"/>
          <w:lang w:val="lt-LT"/>
        </w:rPr>
        <w:t> </w:t>
      </w:r>
      <w:r w:rsidRPr="00940D54">
        <w:rPr>
          <w:rFonts w:ascii="Times New Roman" w:hAnsi="Times New Roman"/>
          <w:color w:val="000000"/>
          <w:lang w:val="lt-LT"/>
        </w:rPr>
        <w:t>3350, talkas, raudonasis geležies oksidas (E172), juodasis geležies oksidas (E172).</w:t>
      </w:r>
    </w:p>
    <w:p w14:paraId="46AEB38B"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372AAD78"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išvaizda ir kiekis pakuotėje</w:t>
      </w:r>
    </w:p>
    <w:p w14:paraId="7B4DA37D" w14:textId="77777777" w:rsidR="00A51A1D" w:rsidRPr="00940D54" w:rsidRDefault="00A51A1D" w:rsidP="00A51A1D">
      <w:pPr>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yra šviesiai rausvos, </w:t>
      </w:r>
      <w:r w:rsidR="009910CE" w:rsidRPr="00940D54">
        <w:rPr>
          <w:rFonts w:ascii="Times New Roman" w:hAnsi="Times New Roman"/>
          <w:lang w:val="lt-LT"/>
        </w:rPr>
        <w:t xml:space="preserve">apvalios, </w:t>
      </w:r>
      <w:r w:rsidRPr="00940D54">
        <w:rPr>
          <w:rFonts w:ascii="Times New Roman" w:hAnsi="Times New Roman"/>
          <w:lang w:val="lt-LT"/>
        </w:rPr>
        <w:t>plėvele dengtos tabletės.</w:t>
      </w:r>
    </w:p>
    <w:p w14:paraId="6C85FCE0" w14:textId="77777777" w:rsidR="00A51A1D" w:rsidRPr="00940D54" w:rsidRDefault="00A51A1D" w:rsidP="00A51A1D">
      <w:pPr>
        <w:spacing w:after="0" w:line="240" w:lineRule="auto"/>
        <w:rPr>
          <w:rFonts w:ascii="Times New Roman" w:hAnsi="Times New Roman"/>
          <w:lang w:val="lt-LT"/>
        </w:rPr>
      </w:pPr>
    </w:p>
    <w:p w14:paraId="6B4310FD"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Tiekiamos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pakuotės, kuriose yra 28, 3 x 28 arba 6 x 28 plėvele dengtos tabletės.</w:t>
      </w:r>
    </w:p>
    <w:p w14:paraId="06EF9E3E" w14:textId="77777777" w:rsidR="00A51A1D" w:rsidRPr="00940D54" w:rsidRDefault="00A51A1D" w:rsidP="00A51A1D">
      <w:pPr>
        <w:spacing w:after="0" w:line="240" w:lineRule="auto"/>
        <w:rPr>
          <w:rFonts w:ascii="Times New Roman" w:hAnsi="Times New Roman"/>
          <w:lang w:val="lt-LT"/>
        </w:rPr>
      </w:pPr>
    </w:p>
    <w:p w14:paraId="31966C64" w14:textId="77777777" w:rsidR="00A51A1D" w:rsidRPr="00940D54" w:rsidRDefault="00A51A1D" w:rsidP="00A51A1D">
      <w:pPr>
        <w:spacing w:after="0" w:line="240" w:lineRule="auto"/>
        <w:rPr>
          <w:rFonts w:ascii="Times New Roman" w:eastAsiaTheme="minorHAnsi" w:hAnsi="Times New Roman" w:cstheme="minorBidi"/>
          <w:lang w:val="lt-LT"/>
        </w:rPr>
      </w:pPr>
      <w:r w:rsidRPr="00940D54">
        <w:rPr>
          <w:rFonts w:ascii="Times New Roman" w:hAnsi="Times New Roman"/>
          <w:lang w:val="lt-LT"/>
        </w:rPr>
        <w:t>Gali būti tiekiamos ne visų dydžių pakuotės.</w:t>
      </w:r>
    </w:p>
    <w:p w14:paraId="72C9172F"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278B64A1" w14:textId="77777777" w:rsidR="00A51A1D" w:rsidRPr="00940D54" w:rsidRDefault="00A51A1D" w:rsidP="00A51A1D">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Registruotojas ir gamintojas</w:t>
      </w:r>
    </w:p>
    <w:p w14:paraId="29A04663"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04B90BE6" w14:textId="77777777" w:rsidR="00A51A1D" w:rsidRPr="00940D54" w:rsidRDefault="00A51A1D" w:rsidP="00A51A1D">
      <w:pPr>
        <w:tabs>
          <w:tab w:val="left" w:pos="-1440"/>
          <w:tab w:val="left" w:pos="-720"/>
        </w:tabs>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Registruotojas</w:t>
      </w:r>
    </w:p>
    <w:p w14:paraId="4A0A386B" w14:textId="77777777" w:rsidR="00A51A1D" w:rsidRPr="00940D54" w:rsidRDefault="00A51A1D" w:rsidP="00A51A1D">
      <w:pPr>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lastRenderedPageBreak/>
        <w:t>UAB Exeltis Baltics</w:t>
      </w:r>
    </w:p>
    <w:p w14:paraId="44D8490E" w14:textId="777A8D12" w:rsidR="00F65E88" w:rsidRDefault="00F65E88" w:rsidP="00A51A1D">
      <w:pPr>
        <w:tabs>
          <w:tab w:val="left" w:pos="-1440"/>
          <w:tab w:val="left" w:pos="-720"/>
        </w:tabs>
        <w:spacing w:after="0" w:line="240" w:lineRule="auto"/>
        <w:rPr>
          <w:rFonts w:ascii="Times New Roman" w:hAnsi="Times New Roman"/>
          <w:lang w:val="lt-LT"/>
        </w:rPr>
      </w:pPr>
      <w:r w:rsidRPr="00F65E88">
        <w:rPr>
          <w:rFonts w:ascii="Times New Roman" w:hAnsi="Times New Roman"/>
          <w:lang w:val="lt-LT"/>
        </w:rPr>
        <w:t xml:space="preserve">Antano Tumėno g. 4, </w:t>
      </w:r>
    </w:p>
    <w:p w14:paraId="3C7D8789" w14:textId="3382E48D" w:rsidR="00F65E88" w:rsidRPr="005F2F33" w:rsidRDefault="00F65E88" w:rsidP="00A51A1D">
      <w:pPr>
        <w:tabs>
          <w:tab w:val="left" w:pos="-1440"/>
          <w:tab w:val="left" w:pos="-720"/>
        </w:tabs>
        <w:spacing w:after="0" w:line="240" w:lineRule="auto"/>
        <w:rPr>
          <w:rFonts w:ascii="Times New Roman" w:hAnsi="Times New Roman"/>
          <w:color w:val="000000"/>
          <w:shd w:val="clear" w:color="auto" w:fill="FAFAFA"/>
          <w:lang w:val="lt-LT"/>
        </w:rPr>
      </w:pPr>
      <w:r w:rsidRPr="00F65E88">
        <w:rPr>
          <w:rFonts w:ascii="Times New Roman" w:hAnsi="Times New Roman"/>
          <w:lang w:val="lt-LT"/>
        </w:rPr>
        <w:t>Vilnius, LT-01110</w:t>
      </w:r>
    </w:p>
    <w:p w14:paraId="370A74B0" w14:textId="77777777" w:rsidR="00A51A1D" w:rsidRPr="00940D54" w:rsidRDefault="00A51A1D" w:rsidP="00A51A1D">
      <w:pPr>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t>Lietuva</w:t>
      </w:r>
      <w:r w:rsidRPr="00940D54" w:rsidDel="003B4E12">
        <w:rPr>
          <w:rFonts w:ascii="Times New Roman" w:hAnsi="Times New Roman"/>
          <w:lang w:val="lt-LT"/>
        </w:rPr>
        <w:t xml:space="preserve"> </w:t>
      </w:r>
    </w:p>
    <w:p w14:paraId="272B5E14" w14:textId="77777777" w:rsidR="00A51A1D" w:rsidRPr="00940D54" w:rsidRDefault="00A51A1D" w:rsidP="00A51A1D">
      <w:pPr>
        <w:numPr>
          <w:ilvl w:val="12"/>
          <w:numId w:val="0"/>
        </w:numPr>
        <w:spacing w:after="0" w:line="240" w:lineRule="auto"/>
        <w:ind w:right="-2"/>
        <w:rPr>
          <w:rFonts w:ascii="Times New Roman" w:hAnsi="Times New Roman"/>
          <w:u w:val="single"/>
          <w:lang w:val="lt-LT"/>
        </w:rPr>
      </w:pPr>
    </w:p>
    <w:p w14:paraId="45C4EC73"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u w:val="single"/>
          <w:lang w:val="lt-LT"/>
        </w:rPr>
      </w:pPr>
      <w:r w:rsidRPr="00940D54">
        <w:rPr>
          <w:rFonts w:ascii="Times New Roman" w:hAnsi="Times New Roman"/>
          <w:u w:val="single"/>
          <w:lang w:val="lt-LT"/>
        </w:rPr>
        <w:t>Gamintojas</w:t>
      </w:r>
    </w:p>
    <w:p w14:paraId="2EAFC0AF" w14:textId="77777777"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Laboratorios</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León</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Farma</w:t>
      </w:r>
      <w:proofErr w:type="spellEnd"/>
      <w:r w:rsidRPr="00940D54">
        <w:rPr>
          <w:rFonts w:ascii="Times New Roman" w:hAnsi="Times New Roman"/>
          <w:color w:val="000000"/>
          <w:lang w:val="lt-LT"/>
        </w:rPr>
        <w:t xml:space="preserve"> S.A. </w:t>
      </w:r>
    </w:p>
    <w:p w14:paraId="277FC94D" w14:textId="48B4E9F3" w:rsidR="00A51A1D" w:rsidRPr="00940D54" w:rsidRDefault="00A51A1D" w:rsidP="00A51A1D">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La </w:t>
      </w:r>
      <w:proofErr w:type="spellStart"/>
      <w:r w:rsidRPr="00940D54">
        <w:rPr>
          <w:rFonts w:ascii="Times New Roman" w:hAnsi="Times New Roman"/>
          <w:color w:val="000000"/>
          <w:lang w:val="lt-LT"/>
        </w:rPr>
        <w:t>Vallina</w:t>
      </w:r>
      <w:proofErr w:type="spellEnd"/>
      <w:r w:rsidRPr="00940D54">
        <w:rPr>
          <w:rFonts w:ascii="Times New Roman" w:hAnsi="Times New Roman"/>
          <w:color w:val="000000"/>
          <w:lang w:val="lt-LT"/>
        </w:rPr>
        <w:t xml:space="preserve"> s/n, </w:t>
      </w:r>
      <w:proofErr w:type="spellStart"/>
      <w:r w:rsidRPr="00940D54">
        <w:rPr>
          <w:rFonts w:ascii="Times New Roman" w:hAnsi="Times New Roman"/>
          <w:color w:val="000000"/>
          <w:lang w:val="lt-LT"/>
        </w:rPr>
        <w:t>Pol</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Ind</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Navatejera</w:t>
      </w:r>
      <w:proofErr w:type="spellEnd"/>
      <w:r w:rsidR="004F4716">
        <w:rPr>
          <w:rFonts w:ascii="Times New Roman" w:hAnsi="Times New Roman"/>
          <w:color w:val="000000"/>
          <w:lang w:val="lt-LT"/>
        </w:rPr>
        <w:t>,</w:t>
      </w:r>
    </w:p>
    <w:p w14:paraId="6C5A4CA3" w14:textId="5F7FE2BF" w:rsidR="00A51A1D" w:rsidRPr="00940D54" w:rsidRDefault="00147AE3" w:rsidP="00A51A1D">
      <w:pPr>
        <w:numPr>
          <w:ilvl w:val="12"/>
          <w:numId w:val="0"/>
        </w:numPr>
        <w:spacing w:after="0" w:line="240" w:lineRule="auto"/>
        <w:ind w:right="-2"/>
        <w:rPr>
          <w:rFonts w:ascii="Times New Roman" w:eastAsiaTheme="minorHAnsi" w:hAnsi="Times New Roman" w:cstheme="minorBidi"/>
          <w:color w:val="000000"/>
          <w:lang w:val="lt-LT"/>
        </w:rPr>
      </w:pPr>
      <w:bookmarkStart w:id="2" w:name="_Hlk163642112"/>
      <w:r w:rsidRPr="00BD0FE7">
        <w:rPr>
          <w:rFonts w:ascii="Times New Roman" w:hAnsi="Times New Roman"/>
          <w:color w:val="000000"/>
          <w:lang w:val="lt-LT"/>
        </w:rPr>
        <w:t>Villaquilambre-24193</w:t>
      </w:r>
      <w:bookmarkEnd w:id="2"/>
      <w:r w:rsidR="00A51A1D" w:rsidRPr="00940D54">
        <w:rPr>
          <w:rFonts w:ascii="Times New Roman" w:hAnsi="Times New Roman"/>
          <w:color w:val="000000"/>
          <w:lang w:val="lt-LT"/>
        </w:rPr>
        <w:t xml:space="preserve"> </w:t>
      </w:r>
      <w:proofErr w:type="spellStart"/>
      <w:r w:rsidR="00A51A1D" w:rsidRPr="00940D54">
        <w:rPr>
          <w:rFonts w:ascii="Times New Roman" w:hAnsi="Times New Roman"/>
          <w:color w:val="000000"/>
          <w:lang w:val="lt-LT"/>
        </w:rPr>
        <w:t>León</w:t>
      </w:r>
      <w:proofErr w:type="spellEnd"/>
    </w:p>
    <w:p w14:paraId="5F3AF5DC" w14:textId="77777777" w:rsidR="00A51A1D" w:rsidRPr="00940D54" w:rsidRDefault="00A51A1D" w:rsidP="00A51A1D">
      <w:pPr>
        <w:numPr>
          <w:ilvl w:val="12"/>
          <w:numId w:val="0"/>
        </w:numPr>
        <w:spacing w:after="0" w:line="240" w:lineRule="auto"/>
        <w:ind w:right="-2"/>
        <w:rPr>
          <w:rFonts w:ascii="Times New Roman" w:eastAsiaTheme="minorHAnsi" w:hAnsi="Times New Roman" w:cstheme="minorBidi"/>
          <w:u w:val="single"/>
          <w:lang w:val="lt-LT"/>
        </w:rPr>
      </w:pPr>
      <w:r w:rsidRPr="00940D54">
        <w:rPr>
          <w:rFonts w:ascii="Times New Roman" w:hAnsi="Times New Roman"/>
          <w:color w:val="000000"/>
          <w:lang w:val="lt-LT"/>
        </w:rPr>
        <w:t>Ispanija</w:t>
      </w:r>
    </w:p>
    <w:p w14:paraId="73F6E172"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6133BB2A" w14:textId="5DFCC519" w:rsidR="00A51A1D" w:rsidRPr="00940D54" w:rsidRDefault="00A51A1D" w:rsidP="00A51A1D">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b/>
          <w:lang w:val="lt-LT"/>
        </w:rPr>
        <w:t xml:space="preserve">Šis vaistas </w:t>
      </w:r>
      <w:r w:rsidR="00E304ED" w:rsidRPr="00940D54">
        <w:rPr>
          <w:rFonts w:ascii="Times New Roman" w:hAnsi="Times New Roman"/>
          <w:b/>
          <w:snapToGrid w:val="0"/>
          <w:lang w:val="lt-LT"/>
        </w:rPr>
        <w:t>Europos ekonominės erdvės</w:t>
      </w:r>
      <w:r w:rsidRPr="00940D54">
        <w:rPr>
          <w:rFonts w:ascii="Times New Roman" w:hAnsi="Times New Roman"/>
          <w:b/>
          <w:lang w:val="lt-LT"/>
        </w:rPr>
        <w:t xml:space="preserve"> valstybėse narėse registruotas tokiais pavadinimais</w:t>
      </w:r>
      <w:r w:rsidRPr="00940D54">
        <w:rPr>
          <w:rFonts w:ascii="Times New Roman" w:hAnsi="Times New Roman"/>
          <w:lang w:val="lt-LT"/>
        </w:rPr>
        <w:t>:</w:t>
      </w:r>
    </w:p>
    <w:p w14:paraId="18A011B4" w14:textId="77777777" w:rsidR="00A51A1D" w:rsidRPr="00940D54" w:rsidRDefault="00A51A1D" w:rsidP="00A51A1D">
      <w:pPr>
        <w:numPr>
          <w:ilvl w:val="12"/>
          <w:numId w:val="0"/>
        </w:numPr>
        <w:spacing w:after="0" w:line="240" w:lineRule="auto"/>
        <w:ind w:right="-2"/>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A51A1D" w:rsidRPr="001D1548" w14:paraId="3412219A" w14:textId="77777777" w:rsidTr="00253783">
        <w:tc>
          <w:tcPr>
            <w:tcW w:w="3397" w:type="dxa"/>
          </w:tcPr>
          <w:p w14:paraId="4FD3D8E4" w14:textId="77777777" w:rsidR="00A51A1D" w:rsidRPr="00940D54" w:rsidRDefault="00A51A1D"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Nyderlandai</w:t>
            </w:r>
          </w:p>
        </w:tc>
        <w:tc>
          <w:tcPr>
            <w:tcW w:w="5663" w:type="dxa"/>
          </w:tcPr>
          <w:p w14:paraId="0D348D01" w14:textId="4AA6F2A0" w:rsidR="00A51A1D" w:rsidRPr="00D44EBA" w:rsidRDefault="00D44EBA" w:rsidP="004D7549">
            <w:pPr>
              <w:pStyle w:val="Pagrindinistekstas"/>
              <w:ind w:right="2035"/>
              <w:rPr>
                <w:rFonts w:eastAsiaTheme="minorHAnsi"/>
                <w:iCs/>
                <w:color w:val="000000"/>
                <w:lang w:val="lt-LT"/>
              </w:rPr>
            </w:pPr>
            <w:r w:rsidRPr="00253783">
              <w:rPr>
                <w:rFonts w:eastAsia="Calibri"/>
                <w:i w:val="0"/>
                <w:color w:val="auto"/>
                <w:spacing w:val="-3"/>
                <w:szCs w:val="22"/>
                <w:lang w:val="nl-NL"/>
              </w:rPr>
              <w:t>E</w:t>
            </w:r>
            <w:r w:rsidRPr="00253783">
              <w:rPr>
                <w:rFonts w:eastAsia="Calibri"/>
                <w:i w:val="0"/>
                <w:color w:val="auto"/>
                <w:szCs w:val="22"/>
                <w:lang w:val="nl-NL"/>
              </w:rPr>
              <w:t>s</w:t>
            </w:r>
            <w:r w:rsidRPr="00253783">
              <w:rPr>
                <w:rFonts w:eastAsia="Calibri"/>
                <w:i w:val="0"/>
                <w:color w:val="auto"/>
                <w:spacing w:val="-2"/>
                <w:szCs w:val="22"/>
                <w:lang w:val="nl-NL"/>
              </w:rPr>
              <w:t>t</w:t>
            </w:r>
            <w:r w:rsidRPr="00253783">
              <w:rPr>
                <w:rFonts w:eastAsia="Calibri"/>
                <w:i w:val="0"/>
                <w:color w:val="auto"/>
                <w:szCs w:val="22"/>
                <w:lang w:val="nl-NL"/>
              </w:rPr>
              <w:t>ra</w:t>
            </w:r>
            <w:r w:rsidRPr="00253783">
              <w:rPr>
                <w:rFonts w:eastAsia="Calibri"/>
                <w:i w:val="0"/>
                <w:color w:val="auto"/>
                <w:spacing w:val="-3"/>
                <w:szCs w:val="22"/>
                <w:lang w:val="nl-NL"/>
              </w:rPr>
              <w:t>d</w:t>
            </w:r>
            <w:r w:rsidRPr="00253783">
              <w:rPr>
                <w:rFonts w:eastAsia="Calibri"/>
                <w:i w:val="0"/>
                <w:color w:val="auto"/>
                <w:spacing w:val="1"/>
                <w:szCs w:val="22"/>
                <w:lang w:val="nl-NL"/>
              </w:rPr>
              <w:t>i</w:t>
            </w:r>
            <w:r w:rsidRPr="00253783">
              <w:rPr>
                <w:rFonts w:eastAsia="Calibri"/>
                <w:i w:val="0"/>
                <w:color w:val="auto"/>
                <w:szCs w:val="22"/>
                <w:lang w:val="nl-NL"/>
              </w:rPr>
              <w:t>ol</w:t>
            </w:r>
            <w:r w:rsidRPr="00253783">
              <w:rPr>
                <w:rFonts w:eastAsia="Calibri"/>
                <w:i w:val="0"/>
                <w:color w:val="auto"/>
                <w:spacing w:val="-2"/>
                <w:szCs w:val="22"/>
                <w:lang w:val="nl-NL"/>
              </w:rPr>
              <w:t xml:space="preserve"> V</w:t>
            </w:r>
            <w:r w:rsidRPr="00253783">
              <w:rPr>
                <w:rFonts w:eastAsia="Calibri"/>
                <w:i w:val="0"/>
                <w:color w:val="auto"/>
                <w:szCs w:val="22"/>
                <w:lang w:val="nl-NL"/>
              </w:rPr>
              <w:t>a</w:t>
            </w:r>
            <w:r w:rsidRPr="00253783">
              <w:rPr>
                <w:rFonts w:eastAsia="Calibri"/>
                <w:i w:val="0"/>
                <w:color w:val="auto"/>
                <w:spacing w:val="1"/>
                <w:szCs w:val="22"/>
                <w:lang w:val="nl-NL"/>
              </w:rPr>
              <w:t>l</w:t>
            </w:r>
            <w:r w:rsidRPr="00253783">
              <w:rPr>
                <w:rFonts w:eastAsia="Calibri"/>
                <w:i w:val="0"/>
                <w:color w:val="auto"/>
                <w:spacing w:val="-3"/>
                <w:szCs w:val="22"/>
                <w:lang w:val="nl-NL"/>
              </w:rPr>
              <w:t>e</w:t>
            </w:r>
            <w:r w:rsidRPr="00253783">
              <w:rPr>
                <w:rFonts w:eastAsia="Calibri"/>
                <w:i w:val="0"/>
                <w:color w:val="auto"/>
                <w:spacing w:val="-2"/>
                <w:szCs w:val="22"/>
                <w:lang w:val="nl-NL"/>
              </w:rPr>
              <w:t>r</w:t>
            </w:r>
            <w:r w:rsidRPr="00253783">
              <w:rPr>
                <w:rFonts w:eastAsia="Calibri"/>
                <w:i w:val="0"/>
                <w:color w:val="auto"/>
                <w:szCs w:val="22"/>
                <w:lang w:val="nl-NL"/>
              </w:rPr>
              <w:t>aat</w:t>
            </w:r>
            <w:r w:rsidRPr="00253783">
              <w:rPr>
                <w:rFonts w:eastAsia="Calibri"/>
                <w:i w:val="0"/>
                <w:color w:val="auto"/>
                <w:spacing w:val="1"/>
                <w:szCs w:val="22"/>
                <w:lang w:val="nl-NL"/>
              </w:rPr>
              <w:t xml:space="preserve"> </w:t>
            </w:r>
            <w:r w:rsidRPr="00253783">
              <w:rPr>
                <w:rFonts w:eastAsia="Calibri"/>
                <w:i w:val="0"/>
                <w:color w:val="auto"/>
                <w:szCs w:val="22"/>
                <w:lang w:val="nl-NL"/>
              </w:rPr>
              <w:t>1</w:t>
            </w:r>
            <w:r w:rsidR="007B6B63">
              <w:rPr>
                <w:rFonts w:eastAsia="Calibri"/>
                <w:i w:val="0"/>
                <w:color w:val="auto"/>
                <w:szCs w:val="22"/>
                <w:lang w:val="nl-NL"/>
              </w:rPr>
              <w:t> </w:t>
            </w:r>
            <w:r w:rsidRPr="00253783">
              <w:rPr>
                <w:rFonts w:eastAsia="Calibri"/>
                <w:i w:val="0"/>
                <w:color w:val="auto"/>
                <w:spacing w:val="-4"/>
                <w:szCs w:val="22"/>
                <w:lang w:val="nl-NL"/>
              </w:rPr>
              <w:t>m</w:t>
            </w:r>
            <w:r w:rsidRPr="00253783">
              <w:rPr>
                <w:rFonts w:eastAsia="Calibri"/>
                <w:i w:val="0"/>
                <w:color w:val="auto"/>
                <w:szCs w:val="22"/>
                <w:lang w:val="nl-NL"/>
              </w:rPr>
              <w:t>g</w:t>
            </w:r>
            <w:r w:rsidRPr="00253783">
              <w:rPr>
                <w:rFonts w:eastAsia="Calibri"/>
                <w:i w:val="0"/>
                <w:color w:val="auto"/>
                <w:spacing w:val="-3"/>
                <w:szCs w:val="22"/>
                <w:lang w:val="nl-NL"/>
              </w:rPr>
              <w:t xml:space="preserve"> </w:t>
            </w:r>
            <w:r w:rsidRPr="00253783">
              <w:rPr>
                <w:rFonts w:eastAsia="Calibri"/>
                <w:i w:val="0"/>
                <w:color w:val="auto"/>
                <w:szCs w:val="22"/>
                <w:lang w:val="nl-NL"/>
              </w:rPr>
              <w:t>/</w:t>
            </w:r>
            <w:r w:rsidRPr="00253783">
              <w:rPr>
                <w:rFonts w:eastAsia="Calibri"/>
                <w:i w:val="0"/>
                <w:color w:val="auto"/>
                <w:spacing w:val="1"/>
                <w:szCs w:val="22"/>
                <w:lang w:val="nl-NL"/>
              </w:rPr>
              <w:t xml:space="preserve"> </w:t>
            </w:r>
            <w:r w:rsidRPr="00253783">
              <w:rPr>
                <w:rFonts w:eastAsia="Calibri"/>
                <w:i w:val="0"/>
                <w:color w:val="auto"/>
                <w:spacing w:val="-1"/>
                <w:szCs w:val="22"/>
                <w:lang w:val="nl-NL"/>
              </w:rPr>
              <w:t>D</w:t>
            </w:r>
            <w:r w:rsidRPr="00253783">
              <w:rPr>
                <w:rFonts w:eastAsia="Calibri"/>
                <w:i w:val="0"/>
                <w:color w:val="auto"/>
                <w:spacing w:val="1"/>
                <w:szCs w:val="22"/>
                <w:lang w:val="nl-NL"/>
              </w:rPr>
              <w:t>i</w:t>
            </w:r>
            <w:r w:rsidRPr="00253783">
              <w:rPr>
                <w:rFonts w:eastAsia="Calibri"/>
                <w:i w:val="0"/>
                <w:color w:val="auto"/>
                <w:szCs w:val="22"/>
                <w:lang w:val="nl-NL"/>
              </w:rPr>
              <w:t>eno</w:t>
            </w:r>
            <w:r w:rsidRPr="00253783">
              <w:rPr>
                <w:rFonts w:eastAsia="Calibri"/>
                <w:i w:val="0"/>
                <w:color w:val="auto"/>
                <w:spacing w:val="-3"/>
                <w:szCs w:val="22"/>
                <w:lang w:val="nl-NL"/>
              </w:rPr>
              <w:t>g</w:t>
            </w:r>
            <w:r w:rsidRPr="00253783">
              <w:rPr>
                <w:rFonts w:eastAsia="Calibri"/>
                <w:i w:val="0"/>
                <w:color w:val="auto"/>
                <w:szCs w:val="22"/>
                <w:lang w:val="nl-NL"/>
              </w:rPr>
              <w:t>est</w:t>
            </w:r>
            <w:r w:rsidR="006E5C3D">
              <w:rPr>
                <w:rFonts w:eastAsia="Calibri"/>
                <w:i w:val="0"/>
                <w:color w:val="auto"/>
                <w:szCs w:val="22"/>
                <w:lang w:val="nl-NL"/>
              </w:rPr>
              <w:t> </w:t>
            </w:r>
            <w:r w:rsidRPr="00253783">
              <w:rPr>
                <w:rFonts w:eastAsia="Calibri"/>
                <w:i w:val="0"/>
                <w:color w:val="auto"/>
                <w:szCs w:val="22"/>
                <w:lang w:val="nl-NL"/>
              </w:rPr>
              <w:t>2</w:t>
            </w:r>
            <w:r w:rsidR="007B6B63">
              <w:rPr>
                <w:rFonts w:eastAsia="Calibri"/>
                <w:i w:val="0"/>
                <w:color w:val="auto"/>
                <w:szCs w:val="22"/>
                <w:lang w:val="nl-NL"/>
              </w:rPr>
              <w:t> </w:t>
            </w:r>
            <w:r w:rsidRPr="00253783">
              <w:rPr>
                <w:rFonts w:eastAsia="Calibri"/>
                <w:i w:val="0"/>
                <w:color w:val="auto"/>
                <w:spacing w:val="-4"/>
                <w:szCs w:val="22"/>
                <w:lang w:val="nl-NL"/>
              </w:rPr>
              <w:t>m</w:t>
            </w:r>
            <w:r w:rsidRPr="00253783">
              <w:rPr>
                <w:rFonts w:eastAsia="Calibri"/>
                <w:i w:val="0"/>
                <w:color w:val="auto"/>
                <w:szCs w:val="22"/>
                <w:lang w:val="nl-NL"/>
              </w:rPr>
              <w:t xml:space="preserve">g </w:t>
            </w:r>
            <w:r w:rsidRPr="00253783">
              <w:rPr>
                <w:rFonts w:eastAsia="Calibri"/>
                <w:i w:val="0"/>
                <w:color w:val="auto"/>
                <w:spacing w:val="-1"/>
                <w:szCs w:val="22"/>
                <w:lang w:val="nl-NL"/>
              </w:rPr>
              <w:t>L</w:t>
            </w:r>
            <w:r w:rsidRPr="00253783">
              <w:rPr>
                <w:rFonts w:eastAsia="Calibri"/>
                <w:i w:val="0"/>
                <w:color w:val="auto"/>
                <w:szCs w:val="22"/>
                <w:lang w:val="nl-NL"/>
              </w:rPr>
              <w:t>abor</w:t>
            </w:r>
            <w:r w:rsidRPr="00253783">
              <w:rPr>
                <w:rFonts w:eastAsia="Calibri"/>
                <w:i w:val="0"/>
                <w:color w:val="auto"/>
                <w:spacing w:val="-3"/>
                <w:szCs w:val="22"/>
                <w:lang w:val="nl-NL"/>
              </w:rPr>
              <w:t>a</w:t>
            </w:r>
            <w:r w:rsidRPr="00253783">
              <w:rPr>
                <w:rFonts w:eastAsia="Calibri"/>
                <w:i w:val="0"/>
                <w:color w:val="auto"/>
                <w:spacing w:val="1"/>
                <w:szCs w:val="22"/>
                <w:lang w:val="nl-NL"/>
              </w:rPr>
              <w:t>t</w:t>
            </w:r>
            <w:r w:rsidRPr="00253783">
              <w:rPr>
                <w:rFonts w:eastAsia="Calibri"/>
                <w:i w:val="0"/>
                <w:color w:val="auto"/>
                <w:spacing w:val="-3"/>
                <w:szCs w:val="22"/>
                <w:lang w:val="nl-NL"/>
              </w:rPr>
              <w:t>o</w:t>
            </w:r>
            <w:r w:rsidRPr="00253783">
              <w:rPr>
                <w:rFonts w:eastAsia="Calibri"/>
                <w:i w:val="0"/>
                <w:color w:val="auto"/>
                <w:szCs w:val="22"/>
                <w:lang w:val="nl-NL"/>
              </w:rPr>
              <w:t>r</w:t>
            </w:r>
            <w:r w:rsidRPr="00253783">
              <w:rPr>
                <w:rFonts w:eastAsia="Calibri"/>
                <w:i w:val="0"/>
                <w:color w:val="auto"/>
                <w:spacing w:val="1"/>
                <w:szCs w:val="22"/>
                <w:lang w:val="nl-NL"/>
              </w:rPr>
              <w:t>i</w:t>
            </w:r>
            <w:r w:rsidRPr="00253783">
              <w:rPr>
                <w:rFonts w:eastAsia="Calibri"/>
                <w:i w:val="0"/>
                <w:color w:val="auto"/>
                <w:spacing w:val="-3"/>
                <w:szCs w:val="22"/>
                <w:lang w:val="nl-NL"/>
              </w:rPr>
              <w:t>o</w:t>
            </w:r>
            <w:r w:rsidRPr="00253783">
              <w:rPr>
                <w:rFonts w:eastAsia="Calibri"/>
                <w:i w:val="0"/>
                <w:color w:val="auto"/>
                <w:szCs w:val="22"/>
                <w:lang w:val="nl-NL"/>
              </w:rPr>
              <w:t xml:space="preserve">s </w:t>
            </w:r>
            <w:r w:rsidRPr="00253783">
              <w:rPr>
                <w:rFonts w:eastAsia="Calibri"/>
                <w:i w:val="0"/>
                <w:color w:val="auto"/>
                <w:spacing w:val="-1"/>
                <w:szCs w:val="22"/>
                <w:lang w:val="nl-NL"/>
              </w:rPr>
              <w:t>L</w:t>
            </w:r>
            <w:r w:rsidRPr="00253783">
              <w:rPr>
                <w:rFonts w:eastAsia="Calibri"/>
                <w:i w:val="0"/>
                <w:color w:val="auto"/>
                <w:szCs w:val="22"/>
                <w:lang w:val="nl-NL"/>
              </w:rPr>
              <w:t xml:space="preserve">eón </w:t>
            </w:r>
            <w:r w:rsidRPr="00253783">
              <w:rPr>
                <w:rFonts w:eastAsia="Calibri"/>
                <w:i w:val="0"/>
                <w:color w:val="auto"/>
                <w:spacing w:val="-3"/>
                <w:szCs w:val="22"/>
                <w:lang w:val="nl-NL"/>
              </w:rPr>
              <w:t>F</w:t>
            </w:r>
            <w:r w:rsidRPr="00253783">
              <w:rPr>
                <w:rFonts w:eastAsia="Calibri"/>
                <w:i w:val="0"/>
                <w:color w:val="auto"/>
                <w:szCs w:val="22"/>
                <w:lang w:val="nl-NL"/>
              </w:rPr>
              <w:t>ar</w:t>
            </w:r>
            <w:r w:rsidRPr="00253783">
              <w:rPr>
                <w:rFonts w:eastAsia="Calibri"/>
                <w:i w:val="0"/>
                <w:color w:val="auto"/>
                <w:spacing w:val="-4"/>
                <w:szCs w:val="22"/>
                <w:lang w:val="nl-NL"/>
              </w:rPr>
              <w:t>m</w:t>
            </w:r>
            <w:r w:rsidRPr="00253783">
              <w:rPr>
                <w:rFonts w:eastAsia="Calibri"/>
                <w:i w:val="0"/>
                <w:color w:val="auto"/>
                <w:szCs w:val="22"/>
                <w:lang w:val="nl-NL"/>
              </w:rPr>
              <w:t>a f</w:t>
            </w:r>
            <w:r w:rsidRPr="00253783">
              <w:rPr>
                <w:rFonts w:eastAsia="Calibri"/>
                <w:i w:val="0"/>
                <w:color w:val="auto"/>
                <w:spacing w:val="-2"/>
                <w:szCs w:val="22"/>
                <w:lang w:val="nl-NL"/>
              </w:rPr>
              <w:t>ilmomhulde tabletten</w:t>
            </w:r>
          </w:p>
        </w:tc>
      </w:tr>
      <w:tr w:rsidR="00A51A1D" w:rsidRPr="00940D54" w14:paraId="1E2E49BF" w14:textId="77777777" w:rsidTr="00253783">
        <w:tc>
          <w:tcPr>
            <w:tcW w:w="3397" w:type="dxa"/>
          </w:tcPr>
          <w:p w14:paraId="369FDA4D" w14:textId="58C833BD" w:rsidR="00A51A1D" w:rsidRPr="00940D54" w:rsidRDefault="00A51A1D" w:rsidP="009910CE">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 xml:space="preserve">Vokietija, Austrija </w:t>
            </w:r>
          </w:p>
        </w:tc>
        <w:tc>
          <w:tcPr>
            <w:tcW w:w="5663" w:type="dxa"/>
          </w:tcPr>
          <w:p w14:paraId="2D868F25" w14:textId="4D4436A9" w:rsidR="00A51A1D" w:rsidRPr="00E04279" w:rsidRDefault="00D44EBA" w:rsidP="00BF0B13">
            <w:pPr>
              <w:autoSpaceDE w:val="0"/>
              <w:autoSpaceDN w:val="0"/>
              <w:adjustRightInd w:val="0"/>
              <w:spacing w:after="0" w:line="240" w:lineRule="auto"/>
              <w:rPr>
                <w:rFonts w:ascii="Times New Roman" w:eastAsiaTheme="minorHAnsi" w:hAnsi="Times New Roman"/>
                <w:color w:val="000000"/>
                <w:lang w:val="lt-LT"/>
              </w:rPr>
            </w:pPr>
            <w:proofErr w:type="spellStart"/>
            <w:r w:rsidRPr="007116AF">
              <w:rPr>
                <w:rFonts w:ascii="Times New Roman" w:hAnsi="Times New Roman"/>
                <w:spacing w:val="-3"/>
              </w:rPr>
              <w:t>Velbienne</w:t>
            </w:r>
            <w:proofErr w:type="spellEnd"/>
            <w:r w:rsidRPr="007116AF">
              <w:rPr>
                <w:rFonts w:ascii="Times New Roman" w:hAnsi="Times New Roman"/>
                <w:spacing w:val="-3"/>
              </w:rPr>
              <w:t xml:space="preserve"> 1</w:t>
            </w:r>
            <w:r w:rsidR="007B6B63" w:rsidRPr="007116AF">
              <w:rPr>
                <w:rFonts w:ascii="Times New Roman" w:hAnsi="Times New Roman"/>
                <w:spacing w:val="-3"/>
              </w:rPr>
              <w:t> </w:t>
            </w:r>
            <w:r w:rsidRPr="007116AF">
              <w:rPr>
                <w:rFonts w:ascii="Times New Roman" w:hAnsi="Times New Roman"/>
                <w:spacing w:val="-3"/>
              </w:rPr>
              <w:t>mg / 2</w:t>
            </w:r>
            <w:r w:rsidR="007B6B63" w:rsidRPr="007116AF">
              <w:rPr>
                <w:rFonts w:ascii="Times New Roman" w:hAnsi="Times New Roman"/>
                <w:spacing w:val="-3"/>
              </w:rPr>
              <w:t> </w:t>
            </w:r>
            <w:r w:rsidRPr="007116AF">
              <w:rPr>
                <w:rFonts w:ascii="Times New Roman" w:hAnsi="Times New Roman"/>
                <w:spacing w:val="-3"/>
              </w:rPr>
              <w:t xml:space="preserve">mg </w:t>
            </w:r>
            <w:proofErr w:type="spellStart"/>
            <w:r w:rsidRPr="007116AF">
              <w:rPr>
                <w:rFonts w:ascii="Times New Roman" w:hAnsi="Times New Roman"/>
                <w:spacing w:val="-3"/>
              </w:rPr>
              <w:t>Filmtabletten</w:t>
            </w:r>
            <w:proofErr w:type="spellEnd"/>
          </w:p>
        </w:tc>
      </w:tr>
      <w:tr w:rsidR="00D44EBA" w:rsidRPr="00F86049" w14:paraId="7A90CBA7" w14:textId="77777777" w:rsidTr="00D44EBA">
        <w:tc>
          <w:tcPr>
            <w:tcW w:w="3397" w:type="dxa"/>
          </w:tcPr>
          <w:p w14:paraId="26C67F12" w14:textId="595576E7" w:rsidR="00D44EBA" w:rsidRPr="00940D54" w:rsidRDefault="00D44EBA"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Slovakija</w:t>
            </w:r>
          </w:p>
        </w:tc>
        <w:tc>
          <w:tcPr>
            <w:tcW w:w="5663" w:type="dxa"/>
          </w:tcPr>
          <w:p w14:paraId="28059E25" w14:textId="14795929" w:rsidR="00D44EBA" w:rsidRPr="007B6B63" w:rsidRDefault="007B6B63" w:rsidP="00BF0B13">
            <w:pPr>
              <w:autoSpaceDE w:val="0"/>
              <w:autoSpaceDN w:val="0"/>
              <w:adjustRightInd w:val="0"/>
              <w:spacing w:after="0" w:line="240" w:lineRule="auto"/>
              <w:rPr>
                <w:rFonts w:ascii="Times New Roman" w:hAnsi="Times New Roman"/>
                <w:color w:val="000000"/>
                <w:lang w:val="lt-LT"/>
              </w:rPr>
            </w:pPr>
            <w:r w:rsidRPr="006815BA">
              <w:rPr>
                <w:rFonts w:ascii="Times New Roman" w:hAnsi="Times New Roman"/>
                <w:lang w:val="lt-LT"/>
              </w:rPr>
              <w:t xml:space="preserve">VELBIENNE 2 mg/1 mg </w:t>
            </w:r>
            <w:proofErr w:type="spellStart"/>
            <w:r w:rsidRPr="006815BA">
              <w:rPr>
                <w:rFonts w:ascii="Times New Roman" w:hAnsi="Times New Roman"/>
                <w:lang w:val="lt-LT"/>
              </w:rPr>
              <w:t>filmom</w:t>
            </w:r>
            <w:proofErr w:type="spellEnd"/>
            <w:r w:rsidRPr="006815BA">
              <w:rPr>
                <w:rFonts w:ascii="Times New Roman" w:hAnsi="Times New Roman"/>
                <w:lang w:val="lt-LT"/>
              </w:rPr>
              <w:t xml:space="preserve"> </w:t>
            </w:r>
            <w:proofErr w:type="spellStart"/>
            <w:r w:rsidRPr="006815BA">
              <w:rPr>
                <w:rFonts w:ascii="Times New Roman" w:hAnsi="Times New Roman"/>
                <w:lang w:val="lt-LT"/>
              </w:rPr>
              <w:t>obalené</w:t>
            </w:r>
            <w:proofErr w:type="spellEnd"/>
            <w:r w:rsidRPr="006815BA">
              <w:rPr>
                <w:rFonts w:ascii="Times New Roman" w:hAnsi="Times New Roman"/>
                <w:lang w:val="lt-LT"/>
              </w:rPr>
              <w:t xml:space="preserve"> </w:t>
            </w:r>
            <w:proofErr w:type="spellStart"/>
            <w:r w:rsidRPr="006815BA">
              <w:rPr>
                <w:rFonts w:ascii="Times New Roman" w:hAnsi="Times New Roman"/>
                <w:lang w:val="lt-LT"/>
              </w:rPr>
              <w:t>tablety</w:t>
            </w:r>
            <w:proofErr w:type="spellEnd"/>
          </w:p>
        </w:tc>
      </w:tr>
      <w:tr w:rsidR="00A51A1D" w:rsidRPr="00F86049" w14:paraId="45906DBF" w14:textId="77777777" w:rsidTr="00253783">
        <w:tc>
          <w:tcPr>
            <w:tcW w:w="3397" w:type="dxa"/>
          </w:tcPr>
          <w:p w14:paraId="70CFECEA" w14:textId="77777777" w:rsidR="00A51A1D" w:rsidRPr="00940D54" w:rsidRDefault="00A51A1D"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Estija</w:t>
            </w:r>
          </w:p>
        </w:tc>
        <w:tc>
          <w:tcPr>
            <w:tcW w:w="5663" w:type="dxa"/>
          </w:tcPr>
          <w:p w14:paraId="73C0C69D" w14:textId="298D4EF9" w:rsidR="00A51A1D" w:rsidRPr="00940D54" w:rsidRDefault="006E5C3D" w:rsidP="00BF0B13">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Pr>
                <w:rFonts w:ascii="Times New Roman" w:hAnsi="Times New Roman"/>
                <w:color w:val="000000"/>
                <w:lang w:val="lt-LT"/>
              </w:rPr>
              <w:t>v</w:t>
            </w:r>
            <w:r w:rsidR="00A51A1D" w:rsidRPr="00940D54">
              <w:rPr>
                <w:rFonts w:ascii="Times New Roman" w:hAnsi="Times New Roman"/>
                <w:color w:val="000000"/>
                <w:lang w:val="lt-LT"/>
              </w:rPr>
              <w:t>elbienne</w:t>
            </w:r>
            <w:proofErr w:type="spellEnd"/>
            <w:r w:rsidR="007B6B63">
              <w:rPr>
                <w:rFonts w:ascii="Times New Roman" w:hAnsi="Times New Roman"/>
                <w:color w:val="000000"/>
                <w:lang w:val="lt-LT"/>
              </w:rPr>
              <w:t xml:space="preserve"> </w:t>
            </w:r>
            <w:r w:rsidR="007B6B63" w:rsidRPr="00940D54">
              <w:rPr>
                <w:rFonts w:ascii="Times New Roman" w:hAnsi="Times New Roman"/>
                <w:color w:val="000000"/>
                <w:lang w:val="lt-LT"/>
              </w:rPr>
              <w:t>2 mg/1 mg</w:t>
            </w:r>
            <w:r>
              <w:rPr>
                <w:rFonts w:ascii="Times New Roman" w:hAnsi="Times New Roman"/>
                <w:color w:val="000000"/>
                <w:lang w:val="lt-LT"/>
              </w:rPr>
              <w:t xml:space="preserve"> </w:t>
            </w:r>
            <w:proofErr w:type="spellStart"/>
            <w:r w:rsidRPr="006815BA">
              <w:rPr>
                <w:rFonts w:ascii="Times New Roman" w:hAnsi="Times New Roman"/>
                <w:lang w:val="lt-LT"/>
              </w:rPr>
              <w:t>ohukese</w:t>
            </w:r>
            <w:proofErr w:type="spellEnd"/>
            <w:r w:rsidRPr="006815BA">
              <w:rPr>
                <w:rFonts w:ascii="Times New Roman" w:hAnsi="Times New Roman"/>
                <w:lang w:val="lt-LT"/>
              </w:rPr>
              <w:t xml:space="preserve"> </w:t>
            </w:r>
            <w:proofErr w:type="spellStart"/>
            <w:r w:rsidRPr="006815BA">
              <w:rPr>
                <w:rFonts w:ascii="Times New Roman" w:hAnsi="Times New Roman"/>
                <w:lang w:val="lt-LT"/>
              </w:rPr>
              <w:t>polümeerikattega</w:t>
            </w:r>
            <w:proofErr w:type="spellEnd"/>
            <w:r w:rsidRPr="006815BA">
              <w:rPr>
                <w:rFonts w:ascii="Times New Roman" w:hAnsi="Times New Roman"/>
                <w:lang w:val="lt-LT"/>
              </w:rPr>
              <w:t xml:space="preserve"> </w:t>
            </w:r>
            <w:proofErr w:type="spellStart"/>
            <w:r w:rsidRPr="006815BA">
              <w:rPr>
                <w:rFonts w:ascii="Times New Roman" w:hAnsi="Times New Roman"/>
                <w:lang w:val="lt-LT"/>
              </w:rPr>
              <w:t>tablett</w:t>
            </w:r>
            <w:proofErr w:type="spellEnd"/>
          </w:p>
        </w:tc>
      </w:tr>
      <w:tr w:rsidR="00A51A1D" w:rsidRPr="006815BA" w14:paraId="2F554368" w14:textId="77777777" w:rsidTr="00253783">
        <w:tc>
          <w:tcPr>
            <w:tcW w:w="3397" w:type="dxa"/>
          </w:tcPr>
          <w:p w14:paraId="50CF03D7" w14:textId="77777777" w:rsidR="00A51A1D" w:rsidRPr="00940D54" w:rsidRDefault="00A51A1D"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Latvija</w:t>
            </w:r>
          </w:p>
        </w:tc>
        <w:tc>
          <w:tcPr>
            <w:tcW w:w="5663" w:type="dxa"/>
          </w:tcPr>
          <w:p w14:paraId="30D32593"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2 mg/1 mg </w:t>
            </w:r>
            <w:proofErr w:type="spellStart"/>
            <w:r w:rsidRPr="00940D54">
              <w:rPr>
                <w:rFonts w:ascii="Times New Roman" w:hAnsi="Times New Roman"/>
                <w:color w:val="000000"/>
                <w:lang w:val="lt-LT"/>
              </w:rPr>
              <w:t>apvalkotās</w:t>
            </w:r>
            <w:proofErr w:type="spellEnd"/>
            <w:r w:rsidRPr="00940D54">
              <w:rPr>
                <w:rFonts w:ascii="Times New Roman" w:hAnsi="Times New Roman"/>
                <w:color w:val="000000"/>
                <w:lang w:val="lt-LT"/>
              </w:rPr>
              <w:t xml:space="preserve"> tabletes</w:t>
            </w:r>
          </w:p>
        </w:tc>
      </w:tr>
      <w:tr w:rsidR="00A51A1D" w:rsidRPr="00940D54" w14:paraId="0F2C3EBE" w14:textId="77777777" w:rsidTr="00253783">
        <w:tc>
          <w:tcPr>
            <w:tcW w:w="3397" w:type="dxa"/>
          </w:tcPr>
          <w:p w14:paraId="7507BFCD" w14:textId="77777777" w:rsidR="00A51A1D" w:rsidRPr="00940D54" w:rsidRDefault="00A51A1D"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Lietuva</w:t>
            </w:r>
          </w:p>
        </w:tc>
        <w:tc>
          <w:tcPr>
            <w:tcW w:w="5663" w:type="dxa"/>
          </w:tcPr>
          <w:p w14:paraId="4555FF34" w14:textId="77777777" w:rsidR="00A51A1D" w:rsidRPr="00940D54" w:rsidRDefault="00A51A1D" w:rsidP="00BF0B13">
            <w:pPr>
              <w:autoSpaceDE w:val="0"/>
              <w:autoSpaceDN w:val="0"/>
              <w:adjustRightInd w:val="0"/>
              <w:spacing w:after="0" w:line="240" w:lineRule="auto"/>
              <w:rPr>
                <w:rFonts w:ascii="Times New Roman" w:eastAsiaTheme="minorHAnsi" w:hAnsi="Times New Roman" w:cstheme="minorBidi"/>
                <w:color w:val="000000"/>
                <w:lang w:val="lt-LT"/>
              </w:rPr>
            </w:pPr>
            <w:bookmarkStart w:id="3" w:name="_Hlk66285038"/>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2 mg/1 mg plėvele dengtos tabletės</w:t>
            </w:r>
            <w:bookmarkEnd w:id="3"/>
          </w:p>
        </w:tc>
      </w:tr>
      <w:tr w:rsidR="00A51A1D" w:rsidRPr="00F86049" w14:paraId="117021EC" w14:textId="77777777" w:rsidTr="00253783">
        <w:tc>
          <w:tcPr>
            <w:tcW w:w="3397" w:type="dxa"/>
          </w:tcPr>
          <w:p w14:paraId="2F6FB220" w14:textId="77777777" w:rsidR="00A51A1D" w:rsidRPr="00940D54" w:rsidRDefault="00A51A1D"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Lenkija</w:t>
            </w:r>
          </w:p>
        </w:tc>
        <w:tc>
          <w:tcPr>
            <w:tcW w:w="5663" w:type="dxa"/>
          </w:tcPr>
          <w:p w14:paraId="6B114AD1" w14:textId="2E4E725F" w:rsidR="00A51A1D" w:rsidRPr="00940D54" w:rsidRDefault="00A51A1D" w:rsidP="00BF0B13">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mini</w:t>
            </w:r>
            <w:r w:rsidR="007B6B63" w:rsidRPr="007116AF">
              <w:rPr>
                <w:rFonts w:ascii="Times New Roman" w:hAnsi="Times New Roman"/>
                <w:lang w:val="lt-LT"/>
              </w:rPr>
              <w:t>,</w:t>
            </w:r>
            <w:r w:rsidR="007B6B63" w:rsidRPr="006815BA">
              <w:rPr>
                <w:rFonts w:ascii="Times New Roman" w:hAnsi="Times New Roman"/>
                <w:lang w:val="lt-LT"/>
              </w:rPr>
              <w:t xml:space="preserve"> 1 mg + 2 mg, </w:t>
            </w:r>
            <w:proofErr w:type="spellStart"/>
            <w:r w:rsidR="007B6B63" w:rsidRPr="006815BA">
              <w:rPr>
                <w:rFonts w:ascii="Times New Roman" w:hAnsi="Times New Roman"/>
                <w:lang w:val="lt-LT"/>
              </w:rPr>
              <w:t>tabletki</w:t>
            </w:r>
            <w:proofErr w:type="spellEnd"/>
            <w:r w:rsidR="007B6B63" w:rsidRPr="006815BA">
              <w:rPr>
                <w:rFonts w:ascii="Times New Roman" w:hAnsi="Times New Roman"/>
                <w:lang w:val="lt-LT"/>
              </w:rPr>
              <w:t xml:space="preserve"> </w:t>
            </w:r>
            <w:proofErr w:type="spellStart"/>
            <w:r w:rsidR="007B6B63" w:rsidRPr="006815BA">
              <w:rPr>
                <w:rFonts w:ascii="Times New Roman" w:hAnsi="Times New Roman"/>
                <w:lang w:val="lt-LT"/>
              </w:rPr>
              <w:t>powlekane</w:t>
            </w:r>
            <w:proofErr w:type="spellEnd"/>
          </w:p>
        </w:tc>
      </w:tr>
      <w:tr w:rsidR="00A51A1D" w:rsidRPr="00940D54" w14:paraId="37DAE6F9" w14:textId="77777777" w:rsidTr="00253783">
        <w:tc>
          <w:tcPr>
            <w:tcW w:w="3397" w:type="dxa"/>
          </w:tcPr>
          <w:p w14:paraId="15D22717" w14:textId="05D8A45D" w:rsidR="00A51A1D" w:rsidRPr="00940D54" w:rsidRDefault="00A51A1D" w:rsidP="009910CE">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Prancūzija</w:t>
            </w:r>
          </w:p>
        </w:tc>
        <w:tc>
          <w:tcPr>
            <w:tcW w:w="5663" w:type="dxa"/>
          </w:tcPr>
          <w:p w14:paraId="3A32545B" w14:textId="2D1B6EC4" w:rsidR="00A51A1D" w:rsidRPr="00940D54" w:rsidRDefault="00CB2441" w:rsidP="00BF0B13">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hAnsi="Times New Roman"/>
                <w:lang w:val="lt-LT"/>
              </w:rPr>
              <w:t>CLIFEMME 2</w:t>
            </w:r>
            <w:r w:rsidR="007B6B63">
              <w:rPr>
                <w:rFonts w:ascii="Times New Roman" w:hAnsi="Times New Roman"/>
                <w:lang w:val="lt-LT"/>
              </w:rPr>
              <w:t> </w:t>
            </w:r>
            <w:r w:rsidRPr="00940D54">
              <w:rPr>
                <w:rFonts w:ascii="Times New Roman" w:hAnsi="Times New Roman"/>
                <w:lang w:val="lt-LT"/>
              </w:rPr>
              <w:t>mg/1</w:t>
            </w:r>
            <w:r w:rsidR="007B6B63">
              <w:rPr>
                <w:rFonts w:ascii="Times New Roman" w:hAnsi="Times New Roman"/>
                <w:lang w:val="lt-LT"/>
              </w:rPr>
              <w:t> </w:t>
            </w:r>
            <w:r w:rsidRPr="00940D54">
              <w:rPr>
                <w:rFonts w:ascii="Times New Roman" w:hAnsi="Times New Roman"/>
                <w:lang w:val="lt-LT"/>
              </w:rPr>
              <w:t>mg</w:t>
            </w:r>
            <w:r w:rsidRPr="00940D54" w:rsidDel="00591773">
              <w:rPr>
                <w:rFonts w:ascii="Times New Roman" w:hAnsi="Times New Roman"/>
                <w:color w:val="000000"/>
                <w:lang w:val="lt-LT"/>
              </w:rPr>
              <w:t xml:space="preserve"> </w:t>
            </w:r>
            <w:r w:rsidR="007B6B63" w:rsidRPr="006815BA">
              <w:rPr>
                <w:rFonts w:ascii="Times New Roman" w:hAnsi="Times New Roman"/>
                <w:lang w:val="fr-FR"/>
              </w:rPr>
              <w:t>comprimé pelliculé</w:t>
            </w:r>
          </w:p>
        </w:tc>
      </w:tr>
      <w:tr w:rsidR="00A51A1D" w:rsidRPr="006815BA" w14:paraId="52F01D0C" w14:textId="77777777" w:rsidTr="00253783">
        <w:tc>
          <w:tcPr>
            <w:tcW w:w="3397" w:type="dxa"/>
          </w:tcPr>
          <w:p w14:paraId="01D97EF4" w14:textId="77777777" w:rsidR="00A51A1D" w:rsidRPr="00940D54" w:rsidRDefault="00A51A1D" w:rsidP="00BF0B13">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Portugalija</w:t>
            </w:r>
          </w:p>
        </w:tc>
        <w:tc>
          <w:tcPr>
            <w:tcW w:w="5663" w:type="dxa"/>
          </w:tcPr>
          <w:p w14:paraId="0FE8040D" w14:textId="615FF877" w:rsidR="00A51A1D" w:rsidRPr="00940D54" w:rsidRDefault="00CB2441" w:rsidP="00BF0B13">
            <w:pPr>
              <w:autoSpaceDE w:val="0"/>
              <w:autoSpaceDN w:val="0"/>
              <w:adjustRightInd w:val="0"/>
              <w:spacing w:after="0" w:line="240" w:lineRule="auto"/>
              <w:rPr>
                <w:rFonts w:ascii="Times New Roman" w:eastAsiaTheme="minorHAnsi" w:hAnsi="Times New Roman"/>
                <w:color w:val="000000"/>
                <w:lang w:val="lt-LT"/>
              </w:rPr>
            </w:pPr>
            <w:proofErr w:type="spellStart"/>
            <w:r w:rsidRPr="00940D54">
              <w:rPr>
                <w:rFonts w:ascii="Times New Roman" w:hAnsi="Times New Roman"/>
                <w:lang w:val="lt-LT"/>
              </w:rPr>
              <w:t>Clifemme</w:t>
            </w:r>
            <w:proofErr w:type="spellEnd"/>
            <w:r w:rsidRPr="00940D54">
              <w:rPr>
                <w:rFonts w:ascii="Times New Roman" w:hAnsi="Times New Roman"/>
                <w:lang w:val="lt-LT"/>
              </w:rPr>
              <w:t xml:space="preserve"> </w:t>
            </w:r>
            <w:r w:rsidR="007B6B63" w:rsidRPr="00253783">
              <w:rPr>
                <w:rFonts w:ascii="Times New Roman" w:hAnsi="Times New Roman"/>
                <w:lang w:val="es-ES"/>
              </w:rPr>
              <w:t>2</w:t>
            </w:r>
            <w:r w:rsidR="007B6B63">
              <w:rPr>
                <w:rFonts w:ascii="Times New Roman" w:hAnsi="Times New Roman"/>
                <w:lang w:val="es-ES"/>
              </w:rPr>
              <w:t> </w:t>
            </w:r>
            <w:r w:rsidR="007B6B63" w:rsidRPr="00253783">
              <w:rPr>
                <w:rFonts w:ascii="Times New Roman" w:hAnsi="Times New Roman"/>
                <w:lang w:val="es-ES"/>
              </w:rPr>
              <w:t>mg + 1</w:t>
            </w:r>
            <w:r w:rsidR="007B6B63">
              <w:rPr>
                <w:rFonts w:ascii="Times New Roman" w:hAnsi="Times New Roman"/>
                <w:lang w:val="es-ES"/>
              </w:rPr>
              <w:t> </w:t>
            </w:r>
            <w:r w:rsidR="007B6B63" w:rsidRPr="00253783">
              <w:rPr>
                <w:rFonts w:ascii="Times New Roman" w:hAnsi="Times New Roman"/>
                <w:lang w:val="es-ES"/>
              </w:rPr>
              <w:t>mg, comprimidos revestidos por película</w:t>
            </w:r>
          </w:p>
        </w:tc>
      </w:tr>
    </w:tbl>
    <w:p w14:paraId="60973A49"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24A3F610" w14:textId="77777777" w:rsidR="00A51A1D" w:rsidRPr="00940D54" w:rsidRDefault="00A51A1D" w:rsidP="00A51A1D">
      <w:pPr>
        <w:numPr>
          <w:ilvl w:val="12"/>
          <w:numId w:val="0"/>
        </w:numPr>
        <w:spacing w:after="0" w:line="240" w:lineRule="auto"/>
        <w:ind w:right="-2"/>
        <w:rPr>
          <w:rFonts w:ascii="Times New Roman" w:hAnsi="Times New Roman"/>
          <w:lang w:val="lt-LT"/>
        </w:rPr>
      </w:pPr>
    </w:p>
    <w:p w14:paraId="41237ABC" w14:textId="107DDA12" w:rsidR="00A51A1D" w:rsidRPr="00940D54" w:rsidRDefault="00A51A1D" w:rsidP="00A51A1D">
      <w:pPr>
        <w:numPr>
          <w:ilvl w:val="12"/>
          <w:numId w:val="0"/>
        </w:numPr>
        <w:spacing w:after="0" w:line="240" w:lineRule="auto"/>
        <w:ind w:right="-2"/>
        <w:rPr>
          <w:rFonts w:ascii="Times New Roman" w:eastAsiaTheme="minorHAnsi" w:hAnsi="Times New Roman" w:cstheme="minorBidi"/>
          <w:b/>
          <w:lang w:val="lt-LT"/>
        </w:rPr>
      </w:pPr>
      <w:r w:rsidRPr="00940D54">
        <w:rPr>
          <w:rFonts w:ascii="Times New Roman" w:hAnsi="Times New Roman"/>
          <w:b/>
          <w:lang w:val="lt-LT"/>
        </w:rPr>
        <w:t>Šis pakuotės lapelis paskutinį kartą peržiūrėtas</w:t>
      </w:r>
      <w:r w:rsidR="00253783">
        <w:rPr>
          <w:rFonts w:ascii="Times New Roman" w:hAnsi="Times New Roman"/>
          <w:b/>
          <w:lang w:val="lt-LT"/>
        </w:rPr>
        <w:t xml:space="preserve"> </w:t>
      </w:r>
      <w:r w:rsidR="00512AA7">
        <w:rPr>
          <w:rFonts w:ascii="Times New Roman" w:hAnsi="Times New Roman"/>
          <w:b/>
          <w:lang w:val="lt-LT"/>
        </w:rPr>
        <w:t>2025-09-13</w:t>
      </w:r>
      <w:r w:rsidR="005F3E4F">
        <w:rPr>
          <w:rFonts w:ascii="Times New Roman" w:hAnsi="Times New Roman"/>
          <w:b/>
          <w:lang w:val="lt-LT"/>
        </w:rPr>
        <w:t>.</w:t>
      </w:r>
    </w:p>
    <w:p w14:paraId="09285D9C" w14:textId="77777777" w:rsidR="00A51A1D" w:rsidRPr="00940D54" w:rsidRDefault="00A51A1D" w:rsidP="00A51A1D">
      <w:pPr>
        <w:numPr>
          <w:ilvl w:val="12"/>
          <w:numId w:val="0"/>
        </w:numPr>
        <w:spacing w:after="0" w:line="240" w:lineRule="auto"/>
        <w:ind w:right="-2"/>
        <w:rPr>
          <w:rFonts w:ascii="Times New Roman" w:hAnsi="Times New Roman"/>
          <w:i/>
          <w:lang w:val="lt-LT"/>
        </w:rPr>
      </w:pPr>
    </w:p>
    <w:p w14:paraId="6C9BDEF2" w14:textId="08CBC399" w:rsidR="00A51A1D" w:rsidRPr="00940D54" w:rsidRDefault="00A51A1D" w:rsidP="00A51A1D">
      <w:pPr>
        <w:numPr>
          <w:ilvl w:val="12"/>
          <w:numId w:val="0"/>
        </w:numPr>
        <w:spacing w:after="0" w:line="240" w:lineRule="auto"/>
        <w:ind w:right="-2"/>
        <w:rPr>
          <w:rFonts w:ascii="Times New Roman" w:eastAsiaTheme="minorHAnsi" w:hAnsi="Times New Roman"/>
          <w:lang w:val="lt-LT"/>
        </w:rPr>
      </w:pPr>
      <w:r w:rsidRPr="00940D54">
        <w:rPr>
          <w:rFonts w:ascii="Times New Roman" w:hAnsi="Times New Roman"/>
          <w:lang w:val="lt-LT"/>
        </w:rPr>
        <w:t>Išsami informacija apie šį vaistą pateikiama Valstybinės vaistų kontrolės tarnybos prie Lietuvos Respublikos sveikatos apsaugos ministerijos tinklalapyje</w:t>
      </w:r>
      <w:r w:rsidRPr="00940D54">
        <w:rPr>
          <w:rFonts w:ascii="Times New Roman" w:hAnsi="Times New Roman"/>
          <w:i/>
          <w:lang w:val="lt-LT"/>
        </w:rPr>
        <w:t xml:space="preserve"> </w:t>
      </w:r>
      <w:hyperlink r:id="rId14" w:history="1">
        <w:r w:rsidR="00710310" w:rsidRPr="005F2F33">
          <w:rPr>
            <w:rFonts w:ascii="Times New Roman" w:eastAsia="Times New Roman" w:hAnsi="Times New Roman"/>
            <w:color w:val="0000FF"/>
            <w:u w:val="single"/>
            <w:lang w:val="lt-LT" w:eastAsia="lt-LT"/>
          </w:rPr>
          <w:t>https://vvkt.lrv.lt/lt/</w:t>
        </w:r>
      </w:hyperlink>
      <w:r w:rsidR="00710310" w:rsidRPr="005F2F33">
        <w:rPr>
          <w:rFonts w:ascii="Times New Roman" w:eastAsia="Times New Roman" w:hAnsi="Times New Roman"/>
          <w:color w:val="0000FF"/>
          <w:u w:val="single"/>
          <w:lang w:val="lt-LT" w:eastAsia="lt-LT"/>
        </w:rPr>
        <w:t>.</w:t>
      </w:r>
    </w:p>
    <w:p w14:paraId="44EF295C" w14:textId="77777777" w:rsidR="00F37194" w:rsidRPr="00940D54" w:rsidRDefault="00F37194" w:rsidP="00E746AB">
      <w:pPr>
        <w:spacing w:after="0" w:line="240" w:lineRule="auto"/>
        <w:rPr>
          <w:rFonts w:ascii="Times New Roman" w:hAnsi="Times New Roman"/>
          <w:lang w:val="lt-LT"/>
        </w:rPr>
      </w:pPr>
    </w:p>
    <w:sectPr w:rsidR="00F37194" w:rsidRPr="00940D54" w:rsidSect="001A74E7">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0AAD" w14:textId="77777777" w:rsidR="00206E1D" w:rsidRDefault="00206E1D">
      <w:pPr>
        <w:spacing w:after="0" w:line="240" w:lineRule="auto"/>
      </w:pPr>
      <w:r>
        <w:separator/>
      </w:r>
    </w:p>
  </w:endnote>
  <w:endnote w:type="continuationSeparator" w:id="0">
    <w:p w14:paraId="414B3FF6" w14:textId="77777777" w:rsidR="00206E1D" w:rsidRDefault="00206E1D">
      <w:pPr>
        <w:spacing w:after="0" w:line="240" w:lineRule="auto"/>
      </w:pPr>
      <w:r>
        <w:continuationSeparator/>
      </w:r>
    </w:p>
  </w:endnote>
  <w:endnote w:type="continuationNotice" w:id="1">
    <w:p w14:paraId="325858BC" w14:textId="77777777" w:rsidR="00206E1D" w:rsidRDefault="00206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8589" w14:textId="1C4AB285" w:rsidR="006C05D4" w:rsidRDefault="006C05D4">
    <w:pPr>
      <w:pStyle w:val="Porat"/>
      <w:jc w:val="center"/>
    </w:pPr>
    <w:r>
      <w:fldChar w:fldCharType="begin"/>
    </w:r>
    <w:r>
      <w:instrText>PAGE   \* MERGEFORMAT</w:instrText>
    </w:r>
    <w:r>
      <w:fldChar w:fldCharType="separate"/>
    </w:r>
    <w:r w:rsidR="00980563" w:rsidRPr="00980563">
      <w:rPr>
        <w:noProof/>
        <w:lang w:val="lt-LT"/>
      </w:rPr>
      <w:t>1</w:t>
    </w:r>
    <w:r>
      <w:fldChar w:fldCharType="end"/>
    </w:r>
  </w:p>
  <w:p w14:paraId="643995AF" w14:textId="77777777" w:rsidR="006C05D4" w:rsidRDefault="006C05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0D36" w14:textId="77777777" w:rsidR="00206E1D" w:rsidRDefault="00206E1D">
      <w:pPr>
        <w:spacing w:after="0" w:line="240" w:lineRule="auto"/>
      </w:pPr>
      <w:r>
        <w:separator/>
      </w:r>
    </w:p>
  </w:footnote>
  <w:footnote w:type="continuationSeparator" w:id="0">
    <w:p w14:paraId="1ACD416D" w14:textId="77777777" w:rsidR="00206E1D" w:rsidRDefault="00206E1D">
      <w:pPr>
        <w:spacing w:after="0" w:line="240" w:lineRule="auto"/>
      </w:pPr>
      <w:r>
        <w:continuationSeparator/>
      </w:r>
    </w:p>
  </w:footnote>
  <w:footnote w:type="continuationNotice" w:id="1">
    <w:p w14:paraId="56AF7D3B" w14:textId="77777777" w:rsidR="00206E1D" w:rsidRDefault="00206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927E" w14:textId="77777777" w:rsidR="00BD0FE7" w:rsidRDefault="00BD0F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42F00"/>
    <w:multiLevelType w:val="hybridMultilevel"/>
    <w:tmpl w:val="9E6C0C88"/>
    <w:lvl w:ilvl="0" w:tplc="FFFFFFFF">
      <w:start w:val="1"/>
      <w:numFmt w:val="bullet"/>
      <w:lvlText w:val="-"/>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070BD"/>
    <w:multiLevelType w:val="hybridMultilevel"/>
    <w:tmpl w:val="C8981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F14AD"/>
    <w:multiLevelType w:val="hybridMultilevel"/>
    <w:tmpl w:val="929049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7136FA"/>
    <w:multiLevelType w:val="hybridMultilevel"/>
    <w:tmpl w:val="846EE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6666F3"/>
    <w:multiLevelType w:val="hybridMultilevel"/>
    <w:tmpl w:val="290AC73A"/>
    <w:lvl w:ilvl="0" w:tplc="FC5620D4">
      <w:start w:val="1"/>
      <w:numFmt w:val="bullet"/>
      <w:lvlText w:val="-"/>
      <w:lvlJc w:val="left"/>
      <w:pPr>
        <w:ind w:left="720" w:hanging="360"/>
      </w:pPr>
      <w:rPr>
        <w:rFonts w:ascii="Times New Roman" w:eastAsia="Times New Roman" w:hAnsi="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C306C1"/>
    <w:multiLevelType w:val="hybridMultilevel"/>
    <w:tmpl w:val="08D0543A"/>
    <w:lvl w:ilvl="0" w:tplc="84669B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7D439A"/>
    <w:multiLevelType w:val="hybridMultilevel"/>
    <w:tmpl w:val="6146230A"/>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0" w15:restartNumberingAfterBreak="0">
    <w:nsid w:val="7DB27A54"/>
    <w:multiLevelType w:val="hybridMultilevel"/>
    <w:tmpl w:val="888CEB0C"/>
    <w:lvl w:ilvl="0" w:tplc="042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48324">
    <w:abstractNumId w:val="3"/>
  </w:num>
  <w:num w:numId="2" w16cid:durableId="835389256">
    <w:abstractNumId w:val="8"/>
  </w:num>
  <w:num w:numId="3" w16cid:durableId="835072461">
    <w:abstractNumId w:val="0"/>
    <w:lvlOverride w:ilvl="0">
      <w:lvl w:ilvl="0">
        <w:start w:val="1"/>
        <w:numFmt w:val="bullet"/>
        <w:lvlText w:val="-"/>
        <w:lvlJc w:val="left"/>
        <w:pPr>
          <w:ind w:left="360" w:hanging="360"/>
        </w:pPr>
      </w:lvl>
    </w:lvlOverride>
  </w:num>
  <w:num w:numId="4" w16cid:durableId="1345552170">
    <w:abstractNumId w:val="0"/>
    <w:lvlOverride w:ilvl="0">
      <w:lvl w:ilvl="0">
        <w:start w:val="1"/>
        <w:numFmt w:val="bullet"/>
        <w:lvlText w:val=""/>
        <w:lvlJc w:val="left"/>
        <w:pPr>
          <w:ind w:left="360" w:hanging="360"/>
        </w:pPr>
        <w:rPr>
          <w:rFonts w:ascii="Symbol" w:hAnsi="Symbol" w:hint="default"/>
        </w:rPr>
      </w:lvl>
    </w:lvlOverride>
  </w:num>
  <w:num w:numId="5" w16cid:durableId="1129006239">
    <w:abstractNumId w:val="0"/>
    <w:lvlOverride w:ilvl="0">
      <w:lvl w:ilvl="0">
        <w:start w:val="1"/>
        <w:numFmt w:val="bullet"/>
        <w:lvlText w:val="-"/>
        <w:lvlJc w:val="left"/>
        <w:pPr>
          <w:ind w:left="360" w:hanging="360"/>
        </w:pPr>
      </w:lvl>
    </w:lvlOverride>
  </w:num>
  <w:num w:numId="6" w16cid:durableId="965157743">
    <w:abstractNumId w:val="7"/>
  </w:num>
  <w:num w:numId="7" w16cid:durableId="2003268659">
    <w:abstractNumId w:val="4"/>
  </w:num>
  <w:num w:numId="8" w16cid:durableId="1606963071">
    <w:abstractNumId w:val="5"/>
  </w:num>
  <w:num w:numId="9" w16cid:durableId="94641478">
    <w:abstractNumId w:val="1"/>
  </w:num>
  <w:num w:numId="10" w16cid:durableId="1549684385">
    <w:abstractNumId w:val="9"/>
  </w:num>
  <w:num w:numId="11" w16cid:durableId="1599948288">
    <w:abstractNumId w:val="10"/>
  </w:num>
  <w:num w:numId="12" w16cid:durableId="463625037">
    <w:abstractNumId w:val="6"/>
  </w:num>
  <w:num w:numId="13" w16cid:durableId="2036466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A1D"/>
    <w:rsid w:val="00006FC4"/>
    <w:rsid w:val="00013424"/>
    <w:rsid w:val="000206EF"/>
    <w:rsid w:val="00021E98"/>
    <w:rsid w:val="00023479"/>
    <w:rsid w:val="00033286"/>
    <w:rsid w:val="0003439E"/>
    <w:rsid w:val="0004576A"/>
    <w:rsid w:val="000656DB"/>
    <w:rsid w:val="00067311"/>
    <w:rsid w:val="00067649"/>
    <w:rsid w:val="000746E3"/>
    <w:rsid w:val="00075E2C"/>
    <w:rsid w:val="000827DD"/>
    <w:rsid w:val="00083F05"/>
    <w:rsid w:val="00090104"/>
    <w:rsid w:val="00095431"/>
    <w:rsid w:val="000A3C7A"/>
    <w:rsid w:val="000A5743"/>
    <w:rsid w:val="000B0295"/>
    <w:rsid w:val="000B528D"/>
    <w:rsid w:val="000C48C2"/>
    <w:rsid w:val="000C5105"/>
    <w:rsid w:val="000E4A34"/>
    <w:rsid w:val="000E4D2A"/>
    <w:rsid w:val="000F19F2"/>
    <w:rsid w:val="000F2620"/>
    <w:rsid w:val="0010105D"/>
    <w:rsid w:val="001019C2"/>
    <w:rsid w:val="0010337F"/>
    <w:rsid w:val="001043DD"/>
    <w:rsid w:val="00105C51"/>
    <w:rsid w:val="0010786C"/>
    <w:rsid w:val="001078AE"/>
    <w:rsid w:val="00113005"/>
    <w:rsid w:val="0011422C"/>
    <w:rsid w:val="00120F9B"/>
    <w:rsid w:val="00123593"/>
    <w:rsid w:val="00123EE1"/>
    <w:rsid w:val="001313A4"/>
    <w:rsid w:val="0013576A"/>
    <w:rsid w:val="001446A7"/>
    <w:rsid w:val="00146C30"/>
    <w:rsid w:val="00147AE3"/>
    <w:rsid w:val="0015069D"/>
    <w:rsid w:val="00152AAB"/>
    <w:rsid w:val="00167070"/>
    <w:rsid w:val="001735BA"/>
    <w:rsid w:val="001828AC"/>
    <w:rsid w:val="00185DDA"/>
    <w:rsid w:val="00185F72"/>
    <w:rsid w:val="00190303"/>
    <w:rsid w:val="0019175C"/>
    <w:rsid w:val="00195D42"/>
    <w:rsid w:val="001A74E7"/>
    <w:rsid w:val="001A7B49"/>
    <w:rsid w:val="001D081E"/>
    <w:rsid w:val="001D1548"/>
    <w:rsid w:val="001D349E"/>
    <w:rsid w:val="001D6A6E"/>
    <w:rsid w:val="001E43D9"/>
    <w:rsid w:val="001F07D6"/>
    <w:rsid w:val="001F5B14"/>
    <w:rsid w:val="00201505"/>
    <w:rsid w:val="00205890"/>
    <w:rsid w:val="00206E1D"/>
    <w:rsid w:val="00206EE4"/>
    <w:rsid w:val="00222283"/>
    <w:rsid w:val="002234EF"/>
    <w:rsid w:val="00224D58"/>
    <w:rsid w:val="00225AB9"/>
    <w:rsid w:val="002272EF"/>
    <w:rsid w:val="0022758A"/>
    <w:rsid w:val="002276DF"/>
    <w:rsid w:val="00241BB4"/>
    <w:rsid w:val="00241CFD"/>
    <w:rsid w:val="00245AE0"/>
    <w:rsid w:val="002460AA"/>
    <w:rsid w:val="00252A2A"/>
    <w:rsid w:val="00252C54"/>
    <w:rsid w:val="00253783"/>
    <w:rsid w:val="00261EC4"/>
    <w:rsid w:val="00262673"/>
    <w:rsid w:val="00262918"/>
    <w:rsid w:val="00270886"/>
    <w:rsid w:val="00271B0C"/>
    <w:rsid w:val="002852C3"/>
    <w:rsid w:val="00292223"/>
    <w:rsid w:val="00292BB9"/>
    <w:rsid w:val="00293620"/>
    <w:rsid w:val="00297380"/>
    <w:rsid w:val="002C454C"/>
    <w:rsid w:val="002D0790"/>
    <w:rsid w:val="002D1793"/>
    <w:rsid w:val="002D636C"/>
    <w:rsid w:val="002D6EE4"/>
    <w:rsid w:val="002E3050"/>
    <w:rsid w:val="002E353A"/>
    <w:rsid w:val="002E3AE6"/>
    <w:rsid w:val="00301902"/>
    <w:rsid w:val="0031317D"/>
    <w:rsid w:val="003159B9"/>
    <w:rsid w:val="00320069"/>
    <w:rsid w:val="0032212B"/>
    <w:rsid w:val="0032253D"/>
    <w:rsid w:val="003230EA"/>
    <w:rsid w:val="00330511"/>
    <w:rsid w:val="00332AE3"/>
    <w:rsid w:val="0034776D"/>
    <w:rsid w:val="00351E50"/>
    <w:rsid w:val="003533E5"/>
    <w:rsid w:val="003712DA"/>
    <w:rsid w:val="00382A33"/>
    <w:rsid w:val="003838ED"/>
    <w:rsid w:val="00391BF3"/>
    <w:rsid w:val="003A1FB2"/>
    <w:rsid w:val="003A277E"/>
    <w:rsid w:val="003A74AB"/>
    <w:rsid w:val="003B0C1C"/>
    <w:rsid w:val="003B3538"/>
    <w:rsid w:val="003B3775"/>
    <w:rsid w:val="003C412C"/>
    <w:rsid w:val="003C4E49"/>
    <w:rsid w:val="003C5293"/>
    <w:rsid w:val="003C6A66"/>
    <w:rsid w:val="003D08ED"/>
    <w:rsid w:val="003D6B45"/>
    <w:rsid w:val="003E1117"/>
    <w:rsid w:val="003F344F"/>
    <w:rsid w:val="00403F78"/>
    <w:rsid w:val="0040678B"/>
    <w:rsid w:val="00410FCD"/>
    <w:rsid w:val="00412989"/>
    <w:rsid w:val="00415E3C"/>
    <w:rsid w:val="0041650F"/>
    <w:rsid w:val="00416C59"/>
    <w:rsid w:val="004255EB"/>
    <w:rsid w:val="00430E43"/>
    <w:rsid w:val="00441B5E"/>
    <w:rsid w:val="00443BEC"/>
    <w:rsid w:val="00451BEC"/>
    <w:rsid w:val="00451E98"/>
    <w:rsid w:val="00453AA9"/>
    <w:rsid w:val="00455AB7"/>
    <w:rsid w:val="004620EB"/>
    <w:rsid w:val="00462ED5"/>
    <w:rsid w:val="00465E20"/>
    <w:rsid w:val="004723D8"/>
    <w:rsid w:val="00475276"/>
    <w:rsid w:val="00476653"/>
    <w:rsid w:val="00484ECF"/>
    <w:rsid w:val="004874C3"/>
    <w:rsid w:val="004905EF"/>
    <w:rsid w:val="00491404"/>
    <w:rsid w:val="00491D49"/>
    <w:rsid w:val="00492501"/>
    <w:rsid w:val="004926B7"/>
    <w:rsid w:val="00495264"/>
    <w:rsid w:val="0049553B"/>
    <w:rsid w:val="004A0AF0"/>
    <w:rsid w:val="004A0D5F"/>
    <w:rsid w:val="004A214C"/>
    <w:rsid w:val="004B5D44"/>
    <w:rsid w:val="004B6292"/>
    <w:rsid w:val="004B7DA7"/>
    <w:rsid w:val="004C5852"/>
    <w:rsid w:val="004C5B97"/>
    <w:rsid w:val="004C634D"/>
    <w:rsid w:val="004D3940"/>
    <w:rsid w:val="004D4ABA"/>
    <w:rsid w:val="004D5C38"/>
    <w:rsid w:val="004D7549"/>
    <w:rsid w:val="004F02DD"/>
    <w:rsid w:val="004F4716"/>
    <w:rsid w:val="004F6996"/>
    <w:rsid w:val="00500445"/>
    <w:rsid w:val="00507A09"/>
    <w:rsid w:val="00512AA7"/>
    <w:rsid w:val="005266E7"/>
    <w:rsid w:val="00532F97"/>
    <w:rsid w:val="00536249"/>
    <w:rsid w:val="00540E9B"/>
    <w:rsid w:val="00541B9E"/>
    <w:rsid w:val="00565075"/>
    <w:rsid w:val="005653C1"/>
    <w:rsid w:val="00575C35"/>
    <w:rsid w:val="005769DC"/>
    <w:rsid w:val="0058646B"/>
    <w:rsid w:val="00587E86"/>
    <w:rsid w:val="00587F07"/>
    <w:rsid w:val="00591773"/>
    <w:rsid w:val="00591EB0"/>
    <w:rsid w:val="00593093"/>
    <w:rsid w:val="0059438C"/>
    <w:rsid w:val="0059479C"/>
    <w:rsid w:val="005B20E3"/>
    <w:rsid w:val="005B7DBB"/>
    <w:rsid w:val="005C2519"/>
    <w:rsid w:val="005C4FCF"/>
    <w:rsid w:val="005C54EF"/>
    <w:rsid w:val="005D2319"/>
    <w:rsid w:val="005E5B0D"/>
    <w:rsid w:val="005F214F"/>
    <w:rsid w:val="005F2F33"/>
    <w:rsid w:val="005F31B2"/>
    <w:rsid w:val="005F3E4F"/>
    <w:rsid w:val="005F4681"/>
    <w:rsid w:val="005F5101"/>
    <w:rsid w:val="006037C4"/>
    <w:rsid w:val="00603F16"/>
    <w:rsid w:val="00604C39"/>
    <w:rsid w:val="0061200D"/>
    <w:rsid w:val="006140B3"/>
    <w:rsid w:val="00614E4C"/>
    <w:rsid w:val="006167F8"/>
    <w:rsid w:val="00622EB4"/>
    <w:rsid w:val="006233CF"/>
    <w:rsid w:val="00635F64"/>
    <w:rsid w:val="00640207"/>
    <w:rsid w:val="00644222"/>
    <w:rsid w:val="0064441F"/>
    <w:rsid w:val="00644605"/>
    <w:rsid w:val="00652601"/>
    <w:rsid w:val="00656F56"/>
    <w:rsid w:val="00663A1C"/>
    <w:rsid w:val="0066674A"/>
    <w:rsid w:val="0066715A"/>
    <w:rsid w:val="00677126"/>
    <w:rsid w:val="006815BA"/>
    <w:rsid w:val="00681921"/>
    <w:rsid w:val="0068246E"/>
    <w:rsid w:val="00686D2F"/>
    <w:rsid w:val="0069071F"/>
    <w:rsid w:val="00693E1B"/>
    <w:rsid w:val="00694502"/>
    <w:rsid w:val="00696B54"/>
    <w:rsid w:val="006A0829"/>
    <w:rsid w:val="006A36E0"/>
    <w:rsid w:val="006B1F19"/>
    <w:rsid w:val="006B25C8"/>
    <w:rsid w:val="006B25ED"/>
    <w:rsid w:val="006B6E47"/>
    <w:rsid w:val="006C05D4"/>
    <w:rsid w:val="006C752F"/>
    <w:rsid w:val="006C76E3"/>
    <w:rsid w:val="006D30C4"/>
    <w:rsid w:val="006D34D1"/>
    <w:rsid w:val="006D4A93"/>
    <w:rsid w:val="006D5BF0"/>
    <w:rsid w:val="006E5C3D"/>
    <w:rsid w:val="00701546"/>
    <w:rsid w:val="00706A1B"/>
    <w:rsid w:val="00710310"/>
    <w:rsid w:val="007116AF"/>
    <w:rsid w:val="00711EAE"/>
    <w:rsid w:val="0072294F"/>
    <w:rsid w:val="00723FE5"/>
    <w:rsid w:val="00725C28"/>
    <w:rsid w:val="00733F24"/>
    <w:rsid w:val="00741FEE"/>
    <w:rsid w:val="0074373A"/>
    <w:rsid w:val="0075001B"/>
    <w:rsid w:val="00755640"/>
    <w:rsid w:val="00755E79"/>
    <w:rsid w:val="007661BD"/>
    <w:rsid w:val="00770A96"/>
    <w:rsid w:val="00774EB5"/>
    <w:rsid w:val="0078476C"/>
    <w:rsid w:val="00787C8C"/>
    <w:rsid w:val="007B08E2"/>
    <w:rsid w:val="007B3F43"/>
    <w:rsid w:val="007B6B63"/>
    <w:rsid w:val="007C03A7"/>
    <w:rsid w:val="007C146E"/>
    <w:rsid w:val="007C4405"/>
    <w:rsid w:val="007D4001"/>
    <w:rsid w:val="007D585A"/>
    <w:rsid w:val="007D5AA1"/>
    <w:rsid w:val="007E53D8"/>
    <w:rsid w:val="007E6446"/>
    <w:rsid w:val="007E6671"/>
    <w:rsid w:val="007E7A5A"/>
    <w:rsid w:val="007F0677"/>
    <w:rsid w:val="00802C98"/>
    <w:rsid w:val="008039D2"/>
    <w:rsid w:val="00807C6E"/>
    <w:rsid w:val="00810E17"/>
    <w:rsid w:val="00811D5E"/>
    <w:rsid w:val="00813434"/>
    <w:rsid w:val="00817C98"/>
    <w:rsid w:val="00820AE2"/>
    <w:rsid w:val="00821A91"/>
    <w:rsid w:val="00822773"/>
    <w:rsid w:val="00823CB7"/>
    <w:rsid w:val="0083028C"/>
    <w:rsid w:val="008318B1"/>
    <w:rsid w:val="008360D4"/>
    <w:rsid w:val="00850239"/>
    <w:rsid w:val="008516C6"/>
    <w:rsid w:val="008516EC"/>
    <w:rsid w:val="00863334"/>
    <w:rsid w:val="00863603"/>
    <w:rsid w:val="00871096"/>
    <w:rsid w:val="00885520"/>
    <w:rsid w:val="0089045F"/>
    <w:rsid w:val="008931EB"/>
    <w:rsid w:val="00894E64"/>
    <w:rsid w:val="008B3918"/>
    <w:rsid w:val="008B39C4"/>
    <w:rsid w:val="008B49E9"/>
    <w:rsid w:val="008C5A96"/>
    <w:rsid w:val="008D0AC7"/>
    <w:rsid w:val="008D7418"/>
    <w:rsid w:val="008E040B"/>
    <w:rsid w:val="008F2E3A"/>
    <w:rsid w:val="008F4499"/>
    <w:rsid w:val="008F492A"/>
    <w:rsid w:val="00912143"/>
    <w:rsid w:val="00913B67"/>
    <w:rsid w:val="00915DC4"/>
    <w:rsid w:val="00916588"/>
    <w:rsid w:val="00925D1E"/>
    <w:rsid w:val="00926DD9"/>
    <w:rsid w:val="00935A7B"/>
    <w:rsid w:val="00940387"/>
    <w:rsid w:val="00940D54"/>
    <w:rsid w:val="0094383C"/>
    <w:rsid w:val="00945BDB"/>
    <w:rsid w:val="00950C1B"/>
    <w:rsid w:val="009626A5"/>
    <w:rsid w:val="00970A83"/>
    <w:rsid w:val="00973764"/>
    <w:rsid w:val="00980563"/>
    <w:rsid w:val="009906C6"/>
    <w:rsid w:val="009910CE"/>
    <w:rsid w:val="00997672"/>
    <w:rsid w:val="009A1122"/>
    <w:rsid w:val="009B53A2"/>
    <w:rsid w:val="009B71DC"/>
    <w:rsid w:val="009C262A"/>
    <w:rsid w:val="009D2D9C"/>
    <w:rsid w:val="009D5658"/>
    <w:rsid w:val="009D6B42"/>
    <w:rsid w:val="009D76EA"/>
    <w:rsid w:val="009E7FE1"/>
    <w:rsid w:val="009F0AD7"/>
    <w:rsid w:val="009F6C4F"/>
    <w:rsid w:val="00A0097B"/>
    <w:rsid w:val="00A009C9"/>
    <w:rsid w:val="00A04F6A"/>
    <w:rsid w:val="00A051BA"/>
    <w:rsid w:val="00A1774D"/>
    <w:rsid w:val="00A21781"/>
    <w:rsid w:val="00A22FC4"/>
    <w:rsid w:val="00A23419"/>
    <w:rsid w:val="00A27358"/>
    <w:rsid w:val="00A309A3"/>
    <w:rsid w:val="00A34DA1"/>
    <w:rsid w:val="00A35503"/>
    <w:rsid w:val="00A35DA6"/>
    <w:rsid w:val="00A436F4"/>
    <w:rsid w:val="00A4474A"/>
    <w:rsid w:val="00A51A1D"/>
    <w:rsid w:val="00A668D8"/>
    <w:rsid w:val="00A73954"/>
    <w:rsid w:val="00A73C6D"/>
    <w:rsid w:val="00A7540A"/>
    <w:rsid w:val="00A804DC"/>
    <w:rsid w:val="00A80D45"/>
    <w:rsid w:val="00A8105D"/>
    <w:rsid w:val="00A8393C"/>
    <w:rsid w:val="00A86326"/>
    <w:rsid w:val="00A93DB1"/>
    <w:rsid w:val="00A9698A"/>
    <w:rsid w:val="00A96B5A"/>
    <w:rsid w:val="00AA3A1E"/>
    <w:rsid w:val="00AB6B48"/>
    <w:rsid w:val="00AB7654"/>
    <w:rsid w:val="00AC5442"/>
    <w:rsid w:val="00AD2A0A"/>
    <w:rsid w:val="00AD4558"/>
    <w:rsid w:val="00AD4A35"/>
    <w:rsid w:val="00AE36E9"/>
    <w:rsid w:val="00AF0416"/>
    <w:rsid w:val="00B11746"/>
    <w:rsid w:val="00B126EC"/>
    <w:rsid w:val="00B23EEF"/>
    <w:rsid w:val="00B255D2"/>
    <w:rsid w:val="00B33ACC"/>
    <w:rsid w:val="00B34389"/>
    <w:rsid w:val="00B35E88"/>
    <w:rsid w:val="00B35FA0"/>
    <w:rsid w:val="00B4035C"/>
    <w:rsid w:val="00B43C34"/>
    <w:rsid w:val="00B452C8"/>
    <w:rsid w:val="00B45DB7"/>
    <w:rsid w:val="00B55B44"/>
    <w:rsid w:val="00B5633F"/>
    <w:rsid w:val="00B5650E"/>
    <w:rsid w:val="00B57760"/>
    <w:rsid w:val="00B7318A"/>
    <w:rsid w:val="00B83DFA"/>
    <w:rsid w:val="00B853B1"/>
    <w:rsid w:val="00B872B5"/>
    <w:rsid w:val="00B93E89"/>
    <w:rsid w:val="00B94B90"/>
    <w:rsid w:val="00BA37AC"/>
    <w:rsid w:val="00BA553A"/>
    <w:rsid w:val="00BA65C0"/>
    <w:rsid w:val="00BB71FD"/>
    <w:rsid w:val="00BB7D74"/>
    <w:rsid w:val="00BC3039"/>
    <w:rsid w:val="00BD0FE7"/>
    <w:rsid w:val="00BD3F2E"/>
    <w:rsid w:val="00BD5866"/>
    <w:rsid w:val="00BE1C59"/>
    <w:rsid w:val="00BE3079"/>
    <w:rsid w:val="00BF07DE"/>
    <w:rsid w:val="00BF0B13"/>
    <w:rsid w:val="00BF3FCA"/>
    <w:rsid w:val="00C033A6"/>
    <w:rsid w:val="00C255A1"/>
    <w:rsid w:val="00C30D8E"/>
    <w:rsid w:val="00C40EB7"/>
    <w:rsid w:val="00C41157"/>
    <w:rsid w:val="00C46500"/>
    <w:rsid w:val="00C605D4"/>
    <w:rsid w:val="00C61E14"/>
    <w:rsid w:val="00C63311"/>
    <w:rsid w:val="00C65610"/>
    <w:rsid w:val="00C662C3"/>
    <w:rsid w:val="00C719FC"/>
    <w:rsid w:val="00C73994"/>
    <w:rsid w:val="00C76D48"/>
    <w:rsid w:val="00C81154"/>
    <w:rsid w:val="00C81F42"/>
    <w:rsid w:val="00C837D8"/>
    <w:rsid w:val="00C9199B"/>
    <w:rsid w:val="00C958F0"/>
    <w:rsid w:val="00C96238"/>
    <w:rsid w:val="00CA2372"/>
    <w:rsid w:val="00CB2441"/>
    <w:rsid w:val="00CB7B62"/>
    <w:rsid w:val="00CC1F55"/>
    <w:rsid w:val="00CC3649"/>
    <w:rsid w:val="00CC43FD"/>
    <w:rsid w:val="00CC504C"/>
    <w:rsid w:val="00CD2A0D"/>
    <w:rsid w:val="00CD573E"/>
    <w:rsid w:val="00CE126C"/>
    <w:rsid w:val="00CE4827"/>
    <w:rsid w:val="00CF2BF4"/>
    <w:rsid w:val="00CF4F37"/>
    <w:rsid w:val="00D166C9"/>
    <w:rsid w:val="00D223CF"/>
    <w:rsid w:val="00D22410"/>
    <w:rsid w:val="00D25096"/>
    <w:rsid w:val="00D32804"/>
    <w:rsid w:val="00D44EBA"/>
    <w:rsid w:val="00D51CB9"/>
    <w:rsid w:val="00D6085F"/>
    <w:rsid w:val="00D639EE"/>
    <w:rsid w:val="00D64C33"/>
    <w:rsid w:val="00D652D1"/>
    <w:rsid w:val="00D661EF"/>
    <w:rsid w:val="00D73FEE"/>
    <w:rsid w:val="00D77B45"/>
    <w:rsid w:val="00D90746"/>
    <w:rsid w:val="00D922B1"/>
    <w:rsid w:val="00DA15B4"/>
    <w:rsid w:val="00DA3E5E"/>
    <w:rsid w:val="00DA5EEA"/>
    <w:rsid w:val="00DA6DD7"/>
    <w:rsid w:val="00DB2019"/>
    <w:rsid w:val="00DB33BF"/>
    <w:rsid w:val="00DB3B7D"/>
    <w:rsid w:val="00DB7EB4"/>
    <w:rsid w:val="00DC0DAE"/>
    <w:rsid w:val="00DC1A62"/>
    <w:rsid w:val="00DC5839"/>
    <w:rsid w:val="00DD0A23"/>
    <w:rsid w:val="00DE0DF5"/>
    <w:rsid w:val="00DE19D3"/>
    <w:rsid w:val="00DE39CD"/>
    <w:rsid w:val="00DE4EA3"/>
    <w:rsid w:val="00DF206E"/>
    <w:rsid w:val="00DF2A3D"/>
    <w:rsid w:val="00DF66C3"/>
    <w:rsid w:val="00E04279"/>
    <w:rsid w:val="00E078E8"/>
    <w:rsid w:val="00E07C71"/>
    <w:rsid w:val="00E1018C"/>
    <w:rsid w:val="00E12C0A"/>
    <w:rsid w:val="00E149F9"/>
    <w:rsid w:val="00E16DBD"/>
    <w:rsid w:val="00E204C6"/>
    <w:rsid w:val="00E2323C"/>
    <w:rsid w:val="00E25A5F"/>
    <w:rsid w:val="00E26853"/>
    <w:rsid w:val="00E304ED"/>
    <w:rsid w:val="00E36190"/>
    <w:rsid w:val="00E362F2"/>
    <w:rsid w:val="00E36574"/>
    <w:rsid w:val="00E37EA9"/>
    <w:rsid w:val="00E44A14"/>
    <w:rsid w:val="00E45456"/>
    <w:rsid w:val="00E4714C"/>
    <w:rsid w:val="00E51405"/>
    <w:rsid w:val="00E57B61"/>
    <w:rsid w:val="00E64270"/>
    <w:rsid w:val="00E734F3"/>
    <w:rsid w:val="00E746AB"/>
    <w:rsid w:val="00E81299"/>
    <w:rsid w:val="00E81330"/>
    <w:rsid w:val="00E86989"/>
    <w:rsid w:val="00E86BB4"/>
    <w:rsid w:val="00E96986"/>
    <w:rsid w:val="00EA09E9"/>
    <w:rsid w:val="00EA0F88"/>
    <w:rsid w:val="00EA2020"/>
    <w:rsid w:val="00EB449D"/>
    <w:rsid w:val="00EB719B"/>
    <w:rsid w:val="00EB797A"/>
    <w:rsid w:val="00EC3748"/>
    <w:rsid w:val="00ED22D0"/>
    <w:rsid w:val="00ED4B6C"/>
    <w:rsid w:val="00ED661D"/>
    <w:rsid w:val="00ED76ED"/>
    <w:rsid w:val="00ED791E"/>
    <w:rsid w:val="00EF1F8D"/>
    <w:rsid w:val="00EF27DF"/>
    <w:rsid w:val="00EF4983"/>
    <w:rsid w:val="00EF71BD"/>
    <w:rsid w:val="00F0572C"/>
    <w:rsid w:val="00F07D38"/>
    <w:rsid w:val="00F12FED"/>
    <w:rsid w:val="00F14839"/>
    <w:rsid w:val="00F2049A"/>
    <w:rsid w:val="00F31A0D"/>
    <w:rsid w:val="00F36E6C"/>
    <w:rsid w:val="00F37194"/>
    <w:rsid w:val="00F379DD"/>
    <w:rsid w:val="00F43A3C"/>
    <w:rsid w:val="00F526B1"/>
    <w:rsid w:val="00F608C2"/>
    <w:rsid w:val="00F65E88"/>
    <w:rsid w:val="00F67AF8"/>
    <w:rsid w:val="00F86049"/>
    <w:rsid w:val="00F9106F"/>
    <w:rsid w:val="00F917DA"/>
    <w:rsid w:val="00F9230B"/>
    <w:rsid w:val="00F92E67"/>
    <w:rsid w:val="00F94FFF"/>
    <w:rsid w:val="00F97238"/>
    <w:rsid w:val="00FA270D"/>
    <w:rsid w:val="00FB523D"/>
    <w:rsid w:val="00FC1496"/>
    <w:rsid w:val="00FC6C4D"/>
    <w:rsid w:val="00FD1E69"/>
    <w:rsid w:val="00FE2604"/>
    <w:rsid w:val="00FE50FA"/>
    <w:rsid w:val="00FF05D5"/>
    <w:rsid w:val="00FF4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7279F"/>
  <w15:chartTrackingRefBased/>
  <w15:docId w15:val="{D5396322-B624-4D32-B940-9F8BA898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91E"/>
    <w:rPr>
      <w:rFonts w:ascii="Calibri" w:eastAsia="Calibri" w:hAnsi="Calibri" w:cs="Times New Roman"/>
      <w:lang w:val="en-US"/>
    </w:rPr>
  </w:style>
  <w:style w:type="paragraph" w:styleId="Antrat1">
    <w:name w:val="heading 1"/>
    <w:basedOn w:val="prastasis"/>
    <w:next w:val="prastasis"/>
    <w:link w:val="Antrat1Diagrama"/>
    <w:uiPriority w:val="99"/>
    <w:qFormat/>
    <w:rsid w:val="00A51A1D"/>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A51A1D"/>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A51A1D"/>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ED791E"/>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A51A1D"/>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A51A1D"/>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A51A1D"/>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A51A1D"/>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A51A1D"/>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51A1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51A1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51A1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51A1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A51A1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51A1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51A1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51A1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51A1D"/>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A51A1D"/>
  </w:style>
  <w:style w:type="paragraph" w:styleId="Porat">
    <w:name w:val="footer"/>
    <w:basedOn w:val="prastasis"/>
    <w:link w:val="PoratDiagrama"/>
    <w:uiPriority w:val="99"/>
    <w:rsid w:val="00A51A1D"/>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A51A1D"/>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A51A1D"/>
    <w:rPr>
      <w:snapToGrid w:val="0"/>
      <w:sz w:val="22"/>
      <w:lang w:val="en-GB" w:eastAsia="en-US"/>
    </w:rPr>
  </w:style>
  <w:style w:type="character" w:styleId="Puslapionumeris">
    <w:name w:val="page number"/>
    <w:uiPriority w:val="99"/>
    <w:rsid w:val="00A51A1D"/>
    <w:rPr>
      <w:rFonts w:cs="Times New Roman"/>
    </w:rPr>
  </w:style>
  <w:style w:type="character" w:styleId="Hipersaitas">
    <w:name w:val="Hyperlink"/>
    <w:uiPriority w:val="99"/>
    <w:rsid w:val="00A51A1D"/>
    <w:rPr>
      <w:color w:val="0000FF"/>
      <w:u w:val="single"/>
    </w:rPr>
  </w:style>
  <w:style w:type="paragraph" w:customStyle="1" w:styleId="BodytextAgency">
    <w:name w:val="Body text (Agency)"/>
    <w:basedOn w:val="prastasis"/>
    <w:link w:val="BodytextAgencyChar"/>
    <w:uiPriority w:val="99"/>
    <w:rsid w:val="00A51A1D"/>
    <w:pPr>
      <w:spacing w:after="140" w:line="280" w:lineRule="atLeast"/>
    </w:pPr>
    <w:rPr>
      <w:rFonts w:ascii="Verdana" w:eastAsia="Times New Roman" w:hAnsi="Verdana"/>
      <w:snapToGrid w:val="0"/>
      <w:sz w:val="18"/>
      <w:szCs w:val="20"/>
      <w:lang w:val="en-GB" w:eastAsia="x-none"/>
    </w:rPr>
  </w:style>
  <w:style w:type="character" w:customStyle="1" w:styleId="BodytextAgencyChar">
    <w:name w:val="Body text (Agency) Char"/>
    <w:link w:val="BodytextAgency"/>
    <w:uiPriority w:val="99"/>
    <w:locked/>
    <w:rsid w:val="00A51A1D"/>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A51A1D"/>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A51A1D"/>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A51A1D"/>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A51A1D"/>
    <w:rPr>
      <w:rFonts w:ascii="Courier New" w:hAnsi="Courier New"/>
      <w:color w:val="00FF00"/>
      <w:sz w:val="40"/>
    </w:rPr>
  </w:style>
  <w:style w:type="character" w:customStyle="1" w:styleId="tw4winTerm">
    <w:name w:val="tw4winTerm"/>
    <w:uiPriority w:val="99"/>
    <w:rsid w:val="00A51A1D"/>
    <w:rPr>
      <w:color w:val="0000FF"/>
    </w:rPr>
  </w:style>
  <w:style w:type="character" w:customStyle="1" w:styleId="tw4winPopup">
    <w:name w:val="tw4winPopup"/>
    <w:uiPriority w:val="99"/>
    <w:rsid w:val="00A51A1D"/>
    <w:rPr>
      <w:rFonts w:ascii="Courier New" w:hAnsi="Courier New"/>
      <w:noProof/>
      <w:color w:val="008000"/>
    </w:rPr>
  </w:style>
  <w:style w:type="character" w:customStyle="1" w:styleId="tw4winJump">
    <w:name w:val="tw4winJump"/>
    <w:uiPriority w:val="99"/>
    <w:rsid w:val="00A51A1D"/>
    <w:rPr>
      <w:rFonts w:ascii="Courier New" w:hAnsi="Courier New"/>
      <w:noProof/>
      <w:color w:val="008080"/>
    </w:rPr>
  </w:style>
  <w:style w:type="character" w:customStyle="1" w:styleId="tw4winExternal">
    <w:name w:val="tw4winExternal"/>
    <w:uiPriority w:val="99"/>
    <w:rsid w:val="00A51A1D"/>
    <w:rPr>
      <w:rFonts w:ascii="Courier New" w:hAnsi="Courier New"/>
      <w:noProof/>
      <w:color w:val="808080"/>
    </w:rPr>
  </w:style>
  <w:style w:type="character" w:customStyle="1" w:styleId="tw4winInternal">
    <w:name w:val="tw4winInternal"/>
    <w:uiPriority w:val="99"/>
    <w:rsid w:val="00A51A1D"/>
    <w:rPr>
      <w:rFonts w:ascii="Courier New" w:hAnsi="Courier New"/>
      <w:noProof/>
      <w:color w:val="FF0000"/>
    </w:rPr>
  </w:style>
  <w:style w:type="character" w:customStyle="1" w:styleId="DONOTTRANSLATE">
    <w:name w:val="DO_NOT_TRANSLATE"/>
    <w:uiPriority w:val="99"/>
    <w:rsid w:val="00A51A1D"/>
    <w:rPr>
      <w:rFonts w:ascii="Courier New" w:hAnsi="Courier New"/>
      <w:noProof/>
      <w:color w:val="800000"/>
    </w:rPr>
  </w:style>
  <w:style w:type="paragraph" w:styleId="Debesliotekstas">
    <w:name w:val="Balloon Text"/>
    <w:basedOn w:val="prastasis"/>
    <w:link w:val="DebesliotekstasDiagrama"/>
    <w:uiPriority w:val="99"/>
    <w:rsid w:val="00A51A1D"/>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A51A1D"/>
    <w:rPr>
      <w:rFonts w:ascii="Tahoma" w:eastAsia="Times New Roman" w:hAnsi="Tahoma" w:cs="Times New Roman"/>
      <w:snapToGrid w:val="0"/>
      <w:sz w:val="16"/>
      <w:szCs w:val="16"/>
      <w:lang w:val="en-GB" w:eastAsia="x-none"/>
    </w:rPr>
  </w:style>
  <w:style w:type="character" w:styleId="Komentaronuoroda">
    <w:name w:val="annotation reference"/>
    <w:uiPriority w:val="99"/>
    <w:rsid w:val="00A51A1D"/>
    <w:rPr>
      <w:sz w:val="16"/>
      <w:szCs w:val="16"/>
    </w:rPr>
  </w:style>
  <w:style w:type="paragraph" w:styleId="Komentarotekstas">
    <w:name w:val="annotation text"/>
    <w:basedOn w:val="prastasis"/>
    <w:link w:val="KomentarotekstasDiagrama"/>
    <w:uiPriority w:val="99"/>
    <w:rsid w:val="00A51A1D"/>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A51A1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51A1D"/>
    <w:rPr>
      <w:b/>
      <w:bCs/>
    </w:rPr>
  </w:style>
  <w:style w:type="character" w:customStyle="1" w:styleId="KomentarotemaDiagrama">
    <w:name w:val="Komentaro tema Diagrama"/>
    <w:basedOn w:val="KomentarotekstasDiagrama"/>
    <w:link w:val="Komentarotema"/>
    <w:uiPriority w:val="99"/>
    <w:rsid w:val="00A51A1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51A1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51A1D"/>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A51A1D"/>
    <w:rPr>
      <w:rFonts w:ascii="Courier New" w:hAnsi="Courier New"/>
      <w:vanish/>
      <w:color w:val="800080"/>
      <w:sz w:val="24"/>
      <w:vertAlign w:val="subscript"/>
    </w:rPr>
  </w:style>
  <w:style w:type="paragraph" w:styleId="Antrats">
    <w:name w:val="header"/>
    <w:basedOn w:val="prastasis"/>
    <w:link w:val="AntratsDiagrama"/>
    <w:uiPriority w:val="99"/>
    <w:rsid w:val="00A51A1D"/>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A51A1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51A1D"/>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A51A1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51A1D"/>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A51A1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51A1D"/>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A51A1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51A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A51A1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51A1D"/>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A51A1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51A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A51A1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51A1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51A1D"/>
    <w:pPr>
      <w:tabs>
        <w:tab w:val="clear" w:pos="720"/>
        <w:tab w:val="num" w:pos="360"/>
      </w:tabs>
      <w:ind w:left="709" w:hanging="425"/>
    </w:pPr>
    <w:rPr>
      <w:sz w:val="22"/>
    </w:rPr>
  </w:style>
  <w:style w:type="paragraph" w:customStyle="1" w:styleId="AHeader3">
    <w:name w:val="AHeader 3"/>
    <w:basedOn w:val="AHeader2"/>
    <w:uiPriority w:val="99"/>
    <w:rsid w:val="00A51A1D"/>
    <w:pPr>
      <w:ind w:left="1276" w:hanging="567"/>
    </w:pPr>
  </w:style>
  <w:style w:type="paragraph" w:customStyle="1" w:styleId="AHeader2abc">
    <w:name w:val="AHeader 2 abc"/>
    <w:basedOn w:val="AHeader3"/>
    <w:uiPriority w:val="99"/>
    <w:rsid w:val="00A51A1D"/>
    <w:pPr>
      <w:jc w:val="both"/>
    </w:pPr>
    <w:rPr>
      <w:b w:val="0"/>
      <w:bCs w:val="0"/>
    </w:rPr>
  </w:style>
  <w:style w:type="paragraph" w:customStyle="1" w:styleId="AHeader3abc">
    <w:name w:val="AHeader 3 abc"/>
    <w:basedOn w:val="AHeader2abc"/>
    <w:uiPriority w:val="99"/>
    <w:rsid w:val="00A51A1D"/>
    <w:pPr>
      <w:ind w:left="1701" w:hanging="425"/>
    </w:pPr>
  </w:style>
  <w:style w:type="paragraph" w:styleId="Pagrindiniotekstotrauka3">
    <w:name w:val="Body Text Indent 3"/>
    <w:basedOn w:val="prastasis"/>
    <w:link w:val="Pagrindiniotekstotrauka3Diagrama"/>
    <w:uiPriority w:val="99"/>
    <w:rsid w:val="00A51A1D"/>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A51A1D"/>
    <w:rPr>
      <w:rFonts w:ascii="Times New Roman" w:eastAsia="SimSun" w:hAnsi="Times New Roman" w:cs="Times New Roman"/>
      <w:szCs w:val="21"/>
      <w:lang w:val="en-GB"/>
    </w:rPr>
  </w:style>
  <w:style w:type="character" w:styleId="Perirtashipersaitas">
    <w:name w:val="FollowedHyperlink"/>
    <w:uiPriority w:val="99"/>
    <w:rsid w:val="00A51A1D"/>
    <w:rPr>
      <w:rFonts w:cs="Times New Roman"/>
      <w:color w:val="800080"/>
      <w:u w:val="single"/>
    </w:rPr>
  </w:style>
  <w:style w:type="character" w:styleId="Grietas">
    <w:name w:val="Strong"/>
    <w:uiPriority w:val="99"/>
    <w:qFormat/>
    <w:rsid w:val="00A51A1D"/>
    <w:rPr>
      <w:rFonts w:cs="Times New Roman"/>
      <w:b/>
      <w:bCs/>
    </w:rPr>
  </w:style>
  <w:style w:type="table" w:customStyle="1" w:styleId="TablegridAgencyblack">
    <w:name w:val="Table grid (Agency) black"/>
    <w:uiPriority w:val="99"/>
    <w:semiHidden/>
    <w:rsid w:val="00A51A1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51A1D"/>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A51A1D"/>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A51A1D"/>
    <w:rPr>
      <w:rFonts w:ascii="Courier New" w:eastAsia="SimSun" w:hAnsi="Courier New" w:cs="Times New Roman"/>
      <w:sz w:val="20"/>
      <w:szCs w:val="20"/>
      <w:lang w:val="en-US"/>
    </w:rPr>
  </w:style>
  <w:style w:type="paragraph" w:customStyle="1" w:styleId="Default">
    <w:name w:val="Default"/>
    <w:rsid w:val="00A51A1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51A1D"/>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uiPriority w:val="99"/>
    <w:rsid w:val="00A51A1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51A1D"/>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A51A1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51A1D"/>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A51A1D"/>
    <w:rPr>
      <w:rFonts w:ascii="Times New Roman" w:eastAsia="SimSun" w:hAnsi="Times New Roman" w:cs="Times New Roman"/>
      <w:noProof/>
      <w:sz w:val="20"/>
      <w:szCs w:val="20"/>
      <w:lang w:val="x-none" w:eastAsia="x-none"/>
    </w:rPr>
  </w:style>
  <w:style w:type="character" w:customStyle="1" w:styleId="CharChar12">
    <w:name w:val="Char Char12"/>
    <w:locked/>
    <w:rsid w:val="00A51A1D"/>
    <w:rPr>
      <w:snapToGrid w:val="0"/>
      <w:lang w:val="en-GB" w:eastAsia="en-US" w:bidi="ar-SA"/>
    </w:rPr>
  </w:style>
  <w:style w:type="character" w:customStyle="1" w:styleId="hps">
    <w:name w:val="hps"/>
    <w:basedOn w:val="Numatytasispastraiposriftas"/>
    <w:rsid w:val="00A51A1D"/>
  </w:style>
  <w:style w:type="character" w:customStyle="1" w:styleId="shorttext">
    <w:name w:val="short_text"/>
    <w:basedOn w:val="Numatytasispastraiposriftas"/>
    <w:rsid w:val="00A51A1D"/>
  </w:style>
  <w:style w:type="paragraph" w:styleId="Sraopastraipa">
    <w:name w:val="List Paragraph"/>
    <w:basedOn w:val="prastasis"/>
    <w:uiPriority w:val="34"/>
    <w:qFormat/>
    <w:rsid w:val="00A51A1D"/>
    <w:pPr>
      <w:tabs>
        <w:tab w:val="left" w:pos="567"/>
      </w:tabs>
      <w:spacing w:after="0" w:line="260" w:lineRule="exact"/>
      <w:ind w:left="1296"/>
    </w:pPr>
    <w:rPr>
      <w:rFonts w:ascii="Times New Roman" w:eastAsia="Times New Roman" w:hAnsi="Times New Roman"/>
      <w:snapToGrid w:val="0"/>
      <w:szCs w:val="20"/>
      <w:lang w:val="en-GB"/>
    </w:rPr>
  </w:style>
  <w:style w:type="paragraph" w:styleId="Betarp">
    <w:name w:val="No Spacing"/>
    <w:uiPriority w:val="1"/>
    <w:qFormat/>
    <w:rsid w:val="00A51A1D"/>
    <w:pPr>
      <w:spacing w:after="0" w:line="240" w:lineRule="auto"/>
    </w:pPr>
    <w:rPr>
      <w:rFonts w:ascii="Calibri" w:eastAsia="Times New Roman" w:hAnsi="Calibri" w:cs="Times New Roman"/>
      <w:lang w:val="en-US"/>
    </w:rPr>
  </w:style>
  <w:style w:type="table" w:styleId="Lentelstinklelis">
    <w:name w:val="Table Grid"/>
    <w:basedOn w:val="prastojilentel"/>
    <w:uiPriority w:val="59"/>
    <w:rsid w:val="00A51A1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51A1D"/>
  </w:style>
  <w:style w:type="numbering" w:customStyle="1" w:styleId="NoList11">
    <w:name w:val="No List11"/>
    <w:next w:val="Sraonra"/>
    <w:uiPriority w:val="99"/>
    <w:semiHidden/>
    <w:unhideWhenUsed/>
    <w:rsid w:val="00ED791E"/>
  </w:style>
  <w:style w:type="character" w:customStyle="1" w:styleId="UnresolvedMention1">
    <w:name w:val="Unresolved Mention1"/>
    <w:basedOn w:val="Numatytasispastraiposriftas"/>
    <w:uiPriority w:val="99"/>
    <w:semiHidden/>
    <w:unhideWhenUsed/>
    <w:rsid w:val="00465E20"/>
    <w:rPr>
      <w:color w:val="605E5C"/>
      <w:shd w:val="clear" w:color="auto" w:fill="E1DFDD"/>
    </w:rPr>
  </w:style>
  <w:style w:type="character" w:customStyle="1" w:styleId="Neapdorotaspaminjimas1">
    <w:name w:val="Neapdorotas paminėjimas1"/>
    <w:basedOn w:val="Numatytasispastraiposriftas"/>
    <w:uiPriority w:val="99"/>
    <w:semiHidden/>
    <w:unhideWhenUsed/>
    <w:rsid w:val="00225AB9"/>
    <w:rPr>
      <w:color w:val="605E5C"/>
      <w:shd w:val="clear" w:color="auto" w:fill="E1DFDD"/>
    </w:rPr>
  </w:style>
  <w:style w:type="character" w:customStyle="1" w:styleId="UnresolvedMention2">
    <w:name w:val="Unresolved Mention2"/>
    <w:basedOn w:val="Numatytasispastraiposriftas"/>
    <w:uiPriority w:val="99"/>
    <w:semiHidden/>
    <w:unhideWhenUsed/>
    <w:rsid w:val="0064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771">
      <w:bodyDiv w:val="1"/>
      <w:marLeft w:val="0"/>
      <w:marRight w:val="0"/>
      <w:marTop w:val="0"/>
      <w:marBottom w:val="0"/>
      <w:divBdr>
        <w:top w:val="none" w:sz="0" w:space="0" w:color="auto"/>
        <w:left w:val="none" w:sz="0" w:space="0" w:color="auto"/>
        <w:bottom w:val="none" w:sz="0" w:space="0" w:color="auto"/>
        <w:right w:val="none" w:sz="0" w:space="0" w:color="auto"/>
      </w:divBdr>
    </w:div>
    <w:div w:id="756050118">
      <w:bodyDiv w:val="1"/>
      <w:marLeft w:val="0"/>
      <w:marRight w:val="0"/>
      <w:marTop w:val="0"/>
      <w:marBottom w:val="0"/>
      <w:divBdr>
        <w:top w:val="none" w:sz="0" w:space="0" w:color="auto"/>
        <w:left w:val="none" w:sz="0" w:space="0" w:color="auto"/>
        <w:bottom w:val="none" w:sz="0" w:space="0" w:color="auto"/>
        <w:right w:val="none" w:sz="0" w:space="0" w:color="auto"/>
      </w:divBdr>
    </w:div>
    <w:div w:id="12915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DAC33-9CE3-40F8-BBB3-72EDB284A34A}">
  <ds:schemaRefs>
    <ds:schemaRef ds:uri="http://schemas.microsoft.com/sharepoint/v3/contenttype/forms"/>
  </ds:schemaRefs>
</ds:datastoreItem>
</file>

<file path=customXml/itemProps2.xml><?xml version="1.0" encoding="utf-8"?>
<ds:datastoreItem xmlns:ds="http://schemas.openxmlformats.org/officeDocument/2006/customXml" ds:itemID="{00A8A567-6265-4E43-93A7-0E91690F1918}">
  <ds:schemaRefs>
    <ds:schemaRef ds:uri="http://schemas.microsoft.com/office/2006/metadata/properties"/>
    <ds:schemaRef ds:uri="http://schemas.microsoft.com/office/infopath/2007/PartnerControls"/>
    <ds:schemaRef ds:uri="9ffebeb5-8a43-4aa4-b90e-9693bcc516e5"/>
    <ds:schemaRef ds:uri="581a385d-c0fd-4bc8-bc70-7ffcad44bad7"/>
  </ds:schemaRefs>
</ds:datastoreItem>
</file>

<file path=customXml/itemProps3.xml><?xml version="1.0" encoding="utf-8"?>
<ds:datastoreItem xmlns:ds="http://schemas.openxmlformats.org/officeDocument/2006/customXml" ds:itemID="{ADD9A1B7-5A25-4C70-BA81-BD4E5052B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EEA64-4F54-44A9-BBBD-8EE0312089AB}">
  <ds:schemaRefs>
    <ds:schemaRef ds:uri="http://schemas.microsoft.com/office/2006/metadata/properties"/>
    <ds:schemaRef ds:uri="http://schemas.microsoft.com/office/infopath/2007/PartnerControls"/>
    <ds:schemaRef ds:uri="9ffebeb5-8a43-4aa4-b90e-9693bcc516e5"/>
    <ds:schemaRef ds:uri="581a385d-c0fd-4bc8-bc70-7ffcad44bad7"/>
  </ds:schemaRefs>
</ds:datastoreItem>
</file>

<file path=customXml/itemProps5.xml><?xml version="1.0" encoding="utf-8"?>
<ds:datastoreItem xmlns:ds="http://schemas.openxmlformats.org/officeDocument/2006/customXml" ds:itemID="{4B58A3F9-645A-4C29-BD14-590586960D24}">
  <ds:schemaRefs>
    <ds:schemaRef ds:uri="http://schemas.microsoft.com/sharepoint/v3/contenttype/forms"/>
  </ds:schemaRefs>
</ds:datastoreItem>
</file>

<file path=customXml/itemProps6.xml><?xml version="1.0" encoding="utf-8"?>
<ds:datastoreItem xmlns:ds="http://schemas.openxmlformats.org/officeDocument/2006/customXml" ds:itemID="{5089E331-1F40-46B3-B5C1-6C8CFFA4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41957</Words>
  <Characters>23916</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2026-01-13T06:19:00Z</dcterms:created>
  <dcterms:modified xsi:type="dcterms:W3CDTF">2026-01-13T06:19:00Z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0x0101006FC6BA25C667264FBF5ECB45865DBA16</vt:lpwstr>
  </property>
</Properties>
</file>