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897C" w14:textId="77777777" w:rsidR="00325A78" w:rsidRPr="00051FD3" w:rsidRDefault="00325A78" w:rsidP="00325A78">
      <w:pPr>
        <w:tabs>
          <w:tab w:val="left" w:pos="3060"/>
        </w:tabs>
        <w:autoSpaceDE w:val="0"/>
        <w:autoSpaceDN w:val="0"/>
        <w:adjustRightInd w:val="0"/>
        <w:rPr>
          <w:b/>
          <w:bCs/>
          <w:sz w:val="22"/>
          <w:szCs w:val="22"/>
        </w:rPr>
      </w:pPr>
    </w:p>
    <w:p w14:paraId="3F8C3A8E" w14:textId="77777777" w:rsidR="00325A78" w:rsidRPr="00051FD3" w:rsidRDefault="00325A78" w:rsidP="00325A78">
      <w:pPr>
        <w:tabs>
          <w:tab w:val="left" w:pos="3060"/>
        </w:tabs>
        <w:autoSpaceDE w:val="0"/>
        <w:autoSpaceDN w:val="0"/>
        <w:adjustRightInd w:val="0"/>
        <w:rPr>
          <w:b/>
          <w:bCs/>
          <w:sz w:val="22"/>
          <w:szCs w:val="22"/>
        </w:rPr>
      </w:pPr>
    </w:p>
    <w:p w14:paraId="01AF31A1" w14:textId="77777777" w:rsidR="00325A78" w:rsidRPr="00051FD3" w:rsidRDefault="00325A78" w:rsidP="00325A78">
      <w:pPr>
        <w:tabs>
          <w:tab w:val="left" w:pos="3060"/>
        </w:tabs>
        <w:autoSpaceDE w:val="0"/>
        <w:autoSpaceDN w:val="0"/>
        <w:adjustRightInd w:val="0"/>
        <w:rPr>
          <w:b/>
          <w:bCs/>
          <w:sz w:val="22"/>
          <w:szCs w:val="22"/>
        </w:rPr>
      </w:pPr>
    </w:p>
    <w:p w14:paraId="390FB160" w14:textId="77777777" w:rsidR="00325A78" w:rsidRPr="00051FD3" w:rsidRDefault="00325A78" w:rsidP="00325A78">
      <w:pPr>
        <w:tabs>
          <w:tab w:val="left" w:pos="3060"/>
        </w:tabs>
        <w:autoSpaceDE w:val="0"/>
        <w:autoSpaceDN w:val="0"/>
        <w:adjustRightInd w:val="0"/>
        <w:rPr>
          <w:b/>
          <w:bCs/>
          <w:sz w:val="22"/>
          <w:szCs w:val="22"/>
        </w:rPr>
      </w:pPr>
    </w:p>
    <w:p w14:paraId="2A147915" w14:textId="77777777" w:rsidR="00325A78" w:rsidRPr="00051FD3" w:rsidRDefault="00325A78" w:rsidP="00325A78">
      <w:pPr>
        <w:tabs>
          <w:tab w:val="left" w:pos="3060"/>
        </w:tabs>
        <w:autoSpaceDE w:val="0"/>
        <w:autoSpaceDN w:val="0"/>
        <w:adjustRightInd w:val="0"/>
        <w:rPr>
          <w:b/>
          <w:bCs/>
          <w:sz w:val="22"/>
          <w:szCs w:val="22"/>
        </w:rPr>
      </w:pPr>
    </w:p>
    <w:p w14:paraId="6E75F6DD" w14:textId="77777777" w:rsidR="00325A78" w:rsidRPr="00051FD3" w:rsidRDefault="00325A78" w:rsidP="00325A78">
      <w:pPr>
        <w:tabs>
          <w:tab w:val="left" w:pos="3060"/>
        </w:tabs>
        <w:autoSpaceDE w:val="0"/>
        <w:autoSpaceDN w:val="0"/>
        <w:adjustRightInd w:val="0"/>
        <w:rPr>
          <w:b/>
          <w:bCs/>
          <w:sz w:val="22"/>
          <w:szCs w:val="22"/>
        </w:rPr>
      </w:pPr>
    </w:p>
    <w:p w14:paraId="3E8C6D21" w14:textId="77777777" w:rsidR="00325A78" w:rsidRPr="00051FD3" w:rsidRDefault="00325A78" w:rsidP="00325A78">
      <w:pPr>
        <w:tabs>
          <w:tab w:val="left" w:pos="3060"/>
        </w:tabs>
        <w:autoSpaceDE w:val="0"/>
        <w:autoSpaceDN w:val="0"/>
        <w:adjustRightInd w:val="0"/>
        <w:rPr>
          <w:b/>
          <w:bCs/>
          <w:sz w:val="22"/>
          <w:szCs w:val="22"/>
        </w:rPr>
      </w:pPr>
    </w:p>
    <w:p w14:paraId="2C4353BF" w14:textId="77777777" w:rsidR="00325A78" w:rsidRPr="00051FD3" w:rsidRDefault="00325A78" w:rsidP="00325A78">
      <w:pPr>
        <w:tabs>
          <w:tab w:val="left" w:pos="3060"/>
        </w:tabs>
        <w:autoSpaceDE w:val="0"/>
        <w:autoSpaceDN w:val="0"/>
        <w:adjustRightInd w:val="0"/>
        <w:rPr>
          <w:b/>
          <w:bCs/>
          <w:sz w:val="22"/>
          <w:szCs w:val="22"/>
        </w:rPr>
      </w:pPr>
    </w:p>
    <w:p w14:paraId="2DF0882D" w14:textId="77777777" w:rsidR="00325A78" w:rsidRPr="00051FD3" w:rsidRDefault="00325A78" w:rsidP="00325A78">
      <w:pPr>
        <w:tabs>
          <w:tab w:val="left" w:pos="3060"/>
        </w:tabs>
        <w:autoSpaceDE w:val="0"/>
        <w:autoSpaceDN w:val="0"/>
        <w:adjustRightInd w:val="0"/>
        <w:rPr>
          <w:b/>
          <w:bCs/>
          <w:sz w:val="22"/>
          <w:szCs w:val="22"/>
        </w:rPr>
      </w:pPr>
    </w:p>
    <w:p w14:paraId="7FA4EC41" w14:textId="77777777" w:rsidR="00325A78" w:rsidRPr="00051FD3" w:rsidRDefault="00325A78" w:rsidP="00325A78">
      <w:pPr>
        <w:tabs>
          <w:tab w:val="left" w:pos="3060"/>
        </w:tabs>
        <w:autoSpaceDE w:val="0"/>
        <w:autoSpaceDN w:val="0"/>
        <w:adjustRightInd w:val="0"/>
        <w:rPr>
          <w:b/>
          <w:bCs/>
          <w:sz w:val="22"/>
          <w:szCs w:val="22"/>
        </w:rPr>
      </w:pPr>
    </w:p>
    <w:p w14:paraId="75086582" w14:textId="77777777" w:rsidR="00325A78" w:rsidRPr="00051FD3" w:rsidRDefault="00325A78" w:rsidP="00325A78">
      <w:pPr>
        <w:tabs>
          <w:tab w:val="left" w:pos="3060"/>
        </w:tabs>
        <w:autoSpaceDE w:val="0"/>
        <w:autoSpaceDN w:val="0"/>
        <w:adjustRightInd w:val="0"/>
        <w:rPr>
          <w:b/>
          <w:bCs/>
          <w:sz w:val="22"/>
          <w:szCs w:val="22"/>
        </w:rPr>
      </w:pPr>
    </w:p>
    <w:p w14:paraId="5E2B1BA5" w14:textId="77777777" w:rsidR="00325A78" w:rsidRPr="00051FD3" w:rsidRDefault="00325A78" w:rsidP="00325A78">
      <w:pPr>
        <w:tabs>
          <w:tab w:val="left" w:pos="3060"/>
        </w:tabs>
        <w:autoSpaceDE w:val="0"/>
        <w:autoSpaceDN w:val="0"/>
        <w:adjustRightInd w:val="0"/>
        <w:rPr>
          <w:b/>
          <w:bCs/>
          <w:sz w:val="22"/>
          <w:szCs w:val="22"/>
        </w:rPr>
      </w:pPr>
    </w:p>
    <w:p w14:paraId="36D066AD" w14:textId="77777777" w:rsidR="00325A78" w:rsidRPr="00051FD3" w:rsidRDefault="00325A78" w:rsidP="00325A78">
      <w:pPr>
        <w:tabs>
          <w:tab w:val="left" w:pos="3060"/>
        </w:tabs>
        <w:autoSpaceDE w:val="0"/>
        <w:autoSpaceDN w:val="0"/>
        <w:adjustRightInd w:val="0"/>
        <w:rPr>
          <w:b/>
          <w:bCs/>
          <w:sz w:val="22"/>
          <w:szCs w:val="22"/>
        </w:rPr>
      </w:pPr>
    </w:p>
    <w:p w14:paraId="73FFDD9A" w14:textId="77777777" w:rsidR="00325A78" w:rsidRPr="00051FD3" w:rsidRDefault="00325A78" w:rsidP="00325A78">
      <w:pPr>
        <w:tabs>
          <w:tab w:val="left" w:pos="3060"/>
        </w:tabs>
        <w:autoSpaceDE w:val="0"/>
        <w:autoSpaceDN w:val="0"/>
        <w:adjustRightInd w:val="0"/>
        <w:rPr>
          <w:b/>
          <w:bCs/>
          <w:sz w:val="22"/>
          <w:szCs w:val="22"/>
        </w:rPr>
      </w:pPr>
    </w:p>
    <w:p w14:paraId="39E54638" w14:textId="77777777" w:rsidR="00325A78" w:rsidRPr="00051FD3" w:rsidRDefault="00325A78" w:rsidP="00325A78">
      <w:pPr>
        <w:tabs>
          <w:tab w:val="left" w:pos="3060"/>
        </w:tabs>
        <w:autoSpaceDE w:val="0"/>
        <w:autoSpaceDN w:val="0"/>
        <w:adjustRightInd w:val="0"/>
        <w:rPr>
          <w:b/>
          <w:bCs/>
          <w:sz w:val="22"/>
          <w:szCs w:val="22"/>
        </w:rPr>
      </w:pPr>
    </w:p>
    <w:p w14:paraId="2BC3B420" w14:textId="77777777" w:rsidR="00325A78" w:rsidRPr="00051FD3" w:rsidRDefault="00325A78" w:rsidP="00325A78">
      <w:pPr>
        <w:tabs>
          <w:tab w:val="left" w:pos="3060"/>
        </w:tabs>
        <w:autoSpaceDE w:val="0"/>
        <w:autoSpaceDN w:val="0"/>
        <w:adjustRightInd w:val="0"/>
        <w:rPr>
          <w:b/>
          <w:bCs/>
          <w:sz w:val="22"/>
          <w:szCs w:val="22"/>
        </w:rPr>
      </w:pPr>
    </w:p>
    <w:p w14:paraId="0DE20B0A" w14:textId="77777777" w:rsidR="00325A78" w:rsidRPr="00051FD3" w:rsidRDefault="00325A78" w:rsidP="00325A78">
      <w:pPr>
        <w:tabs>
          <w:tab w:val="left" w:pos="3060"/>
        </w:tabs>
        <w:autoSpaceDE w:val="0"/>
        <w:autoSpaceDN w:val="0"/>
        <w:adjustRightInd w:val="0"/>
        <w:rPr>
          <w:b/>
          <w:bCs/>
          <w:sz w:val="22"/>
          <w:szCs w:val="22"/>
        </w:rPr>
      </w:pPr>
    </w:p>
    <w:p w14:paraId="33CE4930" w14:textId="77777777" w:rsidR="00325A78" w:rsidRPr="00051FD3" w:rsidRDefault="00325A78" w:rsidP="00325A78">
      <w:pPr>
        <w:tabs>
          <w:tab w:val="left" w:pos="3060"/>
        </w:tabs>
        <w:autoSpaceDE w:val="0"/>
        <w:autoSpaceDN w:val="0"/>
        <w:adjustRightInd w:val="0"/>
        <w:rPr>
          <w:b/>
          <w:bCs/>
          <w:sz w:val="22"/>
          <w:szCs w:val="22"/>
        </w:rPr>
      </w:pPr>
    </w:p>
    <w:p w14:paraId="0BDA8604" w14:textId="77777777" w:rsidR="00325A78" w:rsidRPr="00051FD3" w:rsidRDefault="00325A78" w:rsidP="00325A78">
      <w:pPr>
        <w:tabs>
          <w:tab w:val="left" w:pos="3060"/>
        </w:tabs>
        <w:autoSpaceDE w:val="0"/>
        <w:autoSpaceDN w:val="0"/>
        <w:adjustRightInd w:val="0"/>
        <w:rPr>
          <w:b/>
          <w:bCs/>
          <w:sz w:val="22"/>
          <w:szCs w:val="22"/>
        </w:rPr>
      </w:pPr>
    </w:p>
    <w:p w14:paraId="5953F72E" w14:textId="77777777" w:rsidR="00325A78" w:rsidRPr="00051FD3" w:rsidRDefault="00325A78" w:rsidP="00325A78">
      <w:pPr>
        <w:tabs>
          <w:tab w:val="left" w:pos="3060"/>
        </w:tabs>
        <w:autoSpaceDE w:val="0"/>
        <w:autoSpaceDN w:val="0"/>
        <w:adjustRightInd w:val="0"/>
        <w:rPr>
          <w:b/>
          <w:bCs/>
          <w:sz w:val="22"/>
          <w:szCs w:val="22"/>
        </w:rPr>
      </w:pPr>
    </w:p>
    <w:p w14:paraId="053E949A" w14:textId="77777777" w:rsidR="00325A78" w:rsidRPr="00051FD3" w:rsidRDefault="00325A78" w:rsidP="00325A78">
      <w:pPr>
        <w:tabs>
          <w:tab w:val="left" w:pos="3060"/>
        </w:tabs>
        <w:autoSpaceDE w:val="0"/>
        <w:autoSpaceDN w:val="0"/>
        <w:adjustRightInd w:val="0"/>
        <w:rPr>
          <w:b/>
          <w:bCs/>
          <w:sz w:val="22"/>
          <w:szCs w:val="22"/>
        </w:rPr>
      </w:pPr>
    </w:p>
    <w:p w14:paraId="4CD79935" w14:textId="77777777" w:rsidR="00325A78" w:rsidRPr="00051FD3" w:rsidRDefault="00325A78" w:rsidP="00325A78">
      <w:pPr>
        <w:tabs>
          <w:tab w:val="left" w:pos="3060"/>
        </w:tabs>
        <w:autoSpaceDE w:val="0"/>
        <w:autoSpaceDN w:val="0"/>
        <w:adjustRightInd w:val="0"/>
        <w:rPr>
          <w:b/>
          <w:bCs/>
          <w:sz w:val="22"/>
          <w:szCs w:val="22"/>
        </w:rPr>
      </w:pPr>
    </w:p>
    <w:p w14:paraId="061D681D" w14:textId="77777777" w:rsidR="00325A78" w:rsidRPr="00051FD3" w:rsidRDefault="00325A78" w:rsidP="00325A78">
      <w:pPr>
        <w:tabs>
          <w:tab w:val="left" w:pos="3060"/>
        </w:tabs>
        <w:autoSpaceDE w:val="0"/>
        <w:autoSpaceDN w:val="0"/>
        <w:adjustRightInd w:val="0"/>
        <w:rPr>
          <w:b/>
          <w:bCs/>
          <w:sz w:val="22"/>
          <w:szCs w:val="22"/>
        </w:rPr>
      </w:pPr>
    </w:p>
    <w:p w14:paraId="312FDC8E" w14:textId="77777777" w:rsidR="00325A78" w:rsidRPr="00051FD3" w:rsidRDefault="00325A78" w:rsidP="00325A78">
      <w:pPr>
        <w:tabs>
          <w:tab w:val="left" w:pos="3060"/>
        </w:tabs>
        <w:autoSpaceDE w:val="0"/>
        <w:autoSpaceDN w:val="0"/>
        <w:adjustRightInd w:val="0"/>
        <w:jc w:val="center"/>
        <w:rPr>
          <w:b/>
          <w:bCs/>
          <w:sz w:val="22"/>
          <w:szCs w:val="22"/>
        </w:rPr>
      </w:pPr>
      <w:r w:rsidRPr="00051FD3">
        <w:rPr>
          <w:b/>
          <w:bCs/>
          <w:sz w:val="22"/>
          <w:szCs w:val="22"/>
        </w:rPr>
        <w:t>I PRIEDAS</w:t>
      </w:r>
    </w:p>
    <w:p w14:paraId="142CFA06" w14:textId="77777777" w:rsidR="00325A78" w:rsidRPr="00051FD3" w:rsidRDefault="00325A78" w:rsidP="00325A78">
      <w:pPr>
        <w:tabs>
          <w:tab w:val="left" w:pos="3060"/>
        </w:tabs>
        <w:autoSpaceDE w:val="0"/>
        <w:autoSpaceDN w:val="0"/>
        <w:adjustRightInd w:val="0"/>
        <w:jc w:val="center"/>
        <w:rPr>
          <w:b/>
          <w:bCs/>
          <w:sz w:val="22"/>
          <w:szCs w:val="22"/>
        </w:rPr>
      </w:pPr>
    </w:p>
    <w:p w14:paraId="1C8061C4" w14:textId="77777777" w:rsidR="00325A78" w:rsidRPr="00051FD3" w:rsidRDefault="00325A78" w:rsidP="00325A78">
      <w:pPr>
        <w:tabs>
          <w:tab w:val="left" w:pos="3060"/>
        </w:tabs>
        <w:autoSpaceDE w:val="0"/>
        <w:autoSpaceDN w:val="0"/>
        <w:adjustRightInd w:val="0"/>
        <w:jc w:val="center"/>
        <w:rPr>
          <w:sz w:val="22"/>
          <w:szCs w:val="22"/>
        </w:rPr>
      </w:pPr>
      <w:r w:rsidRPr="00051FD3">
        <w:rPr>
          <w:b/>
          <w:bCs/>
          <w:sz w:val="22"/>
          <w:szCs w:val="22"/>
        </w:rPr>
        <w:t>PREPARATO CHARAKTERISTIKŲ SANTRAUKA</w:t>
      </w:r>
    </w:p>
    <w:p w14:paraId="04336EC7" w14:textId="77777777" w:rsidR="00325A78" w:rsidRPr="00051FD3" w:rsidRDefault="00325A78" w:rsidP="007F39B7">
      <w:pPr>
        <w:tabs>
          <w:tab w:val="left" w:pos="567"/>
        </w:tabs>
        <w:autoSpaceDE w:val="0"/>
        <w:autoSpaceDN w:val="0"/>
        <w:adjustRightInd w:val="0"/>
        <w:rPr>
          <w:b/>
          <w:bCs/>
          <w:sz w:val="22"/>
          <w:szCs w:val="22"/>
        </w:rPr>
      </w:pPr>
    </w:p>
    <w:p w14:paraId="442D8236" w14:textId="77777777" w:rsidR="00325A78" w:rsidRPr="00051FD3" w:rsidRDefault="00325A78" w:rsidP="007F39B7">
      <w:pPr>
        <w:tabs>
          <w:tab w:val="left" w:pos="567"/>
        </w:tabs>
        <w:autoSpaceDE w:val="0"/>
        <w:autoSpaceDN w:val="0"/>
        <w:adjustRightInd w:val="0"/>
        <w:rPr>
          <w:b/>
          <w:bCs/>
          <w:sz w:val="22"/>
          <w:szCs w:val="22"/>
        </w:rPr>
      </w:pPr>
    </w:p>
    <w:p w14:paraId="20E93B1E" w14:textId="77777777" w:rsidR="00325A78" w:rsidRPr="00051FD3" w:rsidRDefault="00325A78" w:rsidP="007F39B7">
      <w:pPr>
        <w:tabs>
          <w:tab w:val="left" w:pos="567"/>
        </w:tabs>
        <w:autoSpaceDE w:val="0"/>
        <w:autoSpaceDN w:val="0"/>
        <w:adjustRightInd w:val="0"/>
        <w:rPr>
          <w:b/>
          <w:bCs/>
          <w:sz w:val="22"/>
          <w:szCs w:val="22"/>
        </w:rPr>
      </w:pPr>
    </w:p>
    <w:p w14:paraId="2E8DBE26" w14:textId="77777777" w:rsidR="00325A78" w:rsidRPr="00051FD3" w:rsidRDefault="00325A78" w:rsidP="007F39B7">
      <w:pPr>
        <w:tabs>
          <w:tab w:val="left" w:pos="567"/>
        </w:tabs>
        <w:autoSpaceDE w:val="0"/>
        <w:autoSpaceDN w:val="0"/>
        <w:adjustRightInd w:val="0"/>
        <w:rPr>
          <w:b/>
          <w:bCs/>
          <w:sz w:val="22"/>
          <w:szCs w:val="22"/>
        </w:rPr>
      </w:pPr>
    </w:p>
    <w:p w14:paraId="0EC47FE4" w14:textId="77777777" w:rsidR="00325A78" w:rsidRPr="00051FD3" w:rsidRDefault="00325A78" w:rsidP="007F39B7">
      <w:pPr>
        <w:tabs>
          <w:tab w:val="left" w:pos="567"/>
        </w:tabs>
        <w:autoSpaceDE w:val="0"/>
        <w:autoSpaceDN w:val="0"/>
        <w:adjustRightInd w:val="0"/>
        <w:rPr>
          <w:b/>
          <w:bCs/>
          <w:sz w:val="22"/>
          <w:szCs w:val="22"/>
        </w:rPr>
      </w:pPr>
    </w:p>
    <w:p w14:paraId="236AF744" w14:textId="77777777" w:rsidR="00325A78" w:rsidRPr="00051FD3" w:rsidRDefault="00325A78" w:rsidP="007F39B7">
      <w:pPr>
        <w:tabs>
          <w:tab w:val="left" w:pos="567"/>
        </w:tabs>
        <w:autoSpaceDE w:val="0"/>
        <w:autoSpaceDN w:val="0"/>
        <w:adjustRightInd w:val="0"/>
        <w:rPr>
          <w:b/>
          <w:bCs/>
          <w:sz w:val="22"/>
          <w:szCs w:val="22"/>
        </w:rPr>
      </w:pPr>
    </w:p>
    <w:p w14:paraId="599CB056" w14:textId="77777777" w:rsidR="00325A78" w:rsidRPr="00051FD3" w:rsidRDefault="00325A78" w:rsidP="007F39B7">
      <w:pPr>
        <w:tabs>
          <w:tab w:val="left" w:pos="567"/>
        </w:tabs>
        <w:autoSpaceDE w:val="0"/>
        <w:autoSpaceDN w:val="0"/>
        <w:adjustRightInd w:val="0"/>
        <w:rPr>
          <w:b/>
          <w:bCs/>
          <w:sz w:val="22"/>
          <w:szCs w:val="22"/>
        </w:rPr>
      </w:pPr>
    </w:p>
    <w:p w14:paraId="6B25BBC4" w14:textId="77777777" w:rsidR="00325A78" w:rsidRPr="00051FD3" w:rsidRDefault="00325A78" w:rsidP="007F39B7">
      <w:pPr>
        <w:tabs>
          <w:tab w:val="left" w:pos="567"/>
        </w:tabs>
        <w:autoSpaceDE w:val="0"/>
        <w:autoSpaceDN w:val="0"/>
        <w:adjustRightInd w:val="0"/>
        <w:rPr>
          <w:b/>
          <w:bCs/>
          <w:sz w:val="22"/>
          <w:szCs w:val="22"/>
        </w:rPr>
      </w:pPr>
    </w:p>
    <w:p w14:paraId="21A136F4" w14:textId="77777777" w:rsidR="00325A78" w:rsidRPr="00051FD3" w:rsidRDefault="00325A78" w:rsidP="007F39B7">
      <w:pPr>
        <w:tabs>
          <w:tab w:val="left" w:pos="567"/>
        </w:tabs>
        <w:autoSpaceDE w:val="0"/>
        <w:autoSpaceDN w:val="0"/>
        <w:adjustRightInd w:val="0"/>
        <w:rPr>
          <w:b/>
          <w:bCs/>
          <w:sz w:val="22"/>
          <w:szCs w:val="22"/>
        </w:rPr>
      </w:pPr>
    </w:p>
    <w:p w14:paraId="40C60615" w14:textId="77777777" w:rsidR="00325A78" w:rsidRPr="00051FD3" w:rsidRDefault="00325A78" w:rsidP="007F39B7">
      <w:pPr>
        <w:tabs>
          <w:tab w:val="left" w:pos="567"/>
        </w:tabs>
        <w:autoSpaceDE w:val="0"/>
        <w:autoSpaceDN w:val="0"/>
        <w:adjustRightInd w:val="0"/>
        <w:rPr>
          <w:b/>
          <w:bCs/>
          <w:sz w:val="22"/>
          <w:szCs w:val="22"/>
        </w:rPr>
      </w:pPr>
    </w:p>
    <w:p w14:paraId="07E42C7F" w14:textId="77777777" w:rsidR="00325A78" w:rsidRPr="00051FD3" w:rsidRDefault="00325A78" w:rsidP="007F39B7">
      <w:pPr>
        <w:tabs>
          <w:tab w:val="left" w:pos="567"/>
        </w:tabs>
        <w:autoSpaceDE w:val="0"/>
        <w:autoSpaceDN w:val="0"/>
        <w:adjustRightInd w:val="0"/>
        <w:rPr>
          <w:b/>
          <w:bCs/>
          <w:sz w:val="22"/>
          <w:szCs w:val="22"/>
        </w:rPr>
      </w:pPr>
    </w:p>
    <w:p w14:paraId="578BC7F2" w14:textId="77777777" w:rsidR="00325A78" w:rsidRPr="00051FD3" w:rsidRDefault="00325A78" w:rsidP="007F39B7">
      <w:pPr>
        <w:tabs>
          <w:tab w:val="left" w:pos="567"/>
        </w:tabs>
        <w:autoSpaceDE w:val="0"/>
        <w:autoSpaceDN w:val="0"/>
        <w:adjustRightInd w:val="0"/>
        <w:rPr>
          <w:b/>
          <w:bCs/>
          <w:sz w:val="22"/>
          <w:szCs w:val="22"/>
        </w:rPr>
      </w:pPr>
    </w:p>
    <w:p w14:paraId="28827784" w14:textId="77777777" w:rsidR="00325A78" w:rsidRPr="00051FD3" w:rsidRDefault="00325A78" w:rsidP="007F39B7">
      <w:pPr>
        <w:tabs>
          <w:tab w:val="left" w:pos="567"/>
        </w:tabs>
        <w:autoSpaceDE w:val="0"/>
        <w:autoSpaceDN w:val="0"/>
        <w:adjustRightInd w:val="0"/>
        <w:rPr>
          <w:b/>
          <w:bCs/>
          <w:sz w:val="22"/>
          <w:szCs w:val="22"/>
        </w:rPr>
      </w:pPr>
    </w:p>
    <w:p w14:paraId="302FCC4F" w14:textId="77777777" w:rsidR="00325A78" w:rsidRPr="00051FD3" w:rsidRDefault="00325A78" w:rsidP="007F39B7">
      <w:pPr>
        <w:tabs>
          <w:tab w:val="left" w:pos="567"/>
        </w:tabs>
        <w:autoSpaceDE w:val="0"/>
        <w:autoSpaceDN w:val="0"/>
        <w:adjustRightInd w:val="0"/>
        <w:rPr>
          <w:b/>
          <w:bCs/>
          <w:sz w:val="22"/>
          <w:szCs w:val="22"/>
        </w:rPr>
      </w:pPr>
    </w:p>
    <w:p w14:paraId="34BDC5DF" w14:textId="77777777" w:rsidR="00325A78" w:rsidRPr="00051FD3" w:rsidRDefault="00325A78" w:rsidP="007F39B7">
      <w:pPr>
        <w:tabs>
          <w:tab w:val="left" w:pos="567"/>
        </w:tabs>
        <w:autoSpaceDE w:val="0"/>
        <w:autoSpaceDN w:val="0"/>
        <w:adjustRightInd w:val="0"/>
        <w:rPr>
          <w:b/>
          <w:bCs/>
          <w:sz w:val="22"/>
          <w:szCs w:val="22"/>
        </w:rPr>
      </w:pPr>
    </w:p>
    <w:p w14:paraId="6F5CC750" w14:textId="77777777" w:rsidR="00325A78" w:rsidRPr="00051FD3" w:rsidRDefault="00325A78" w:rsidP="007F39B7">
      <w:pPr>
        <w:tabs>
          <w:tab w:val="left" w:pos="567"/>
        </w:tabs>
        <w:autoSpaceDE w:val="0"/>
        <w:autoSpaceDN w:val="0"/>
        <w:adjustRightInd w:val="0"/>
        <w:rPr>
          <w:b/>
          <w:bCs/>
          <w:sz w:val="22"/>
          <w:szCs w:val="22"/>
        </w:rPr>
      </w:pPr>
    </w:p>
    <w:p w14:paraId="555736F5" w14:textId="77777777" w:rsidR="00325A78" w:rsidRPr="00051FD3" w:rsidRDefault="00325A78" w:rsidP="007F39B7">
      <w:pPr>
        <w:tabs>
          <w:tab w:val="left" w:pos="567"/>
        </w:tabs>
        <w:autoSpaceDE w:val="0"/>
        <w:autoSpaceDN w:val="0"/>
        <w:adjustRightInd w:val="0"/>
        <w:rPr>
          <w:b/>
          <w:bCs/>
          <w:sz w:val="22"/>
          <w:szCs w:val="22"/>
        </w:rPr>
      </w:pPr>
    </w:p>
    <w:p w14:paraId="0DE42841" w14:textId="77777777" w:rsidR="00325A78" w:rsidRPr="00051FD3" w:rsidRDefault="00325A78" w:rsidP="007F39B7">
      <w:pPr>
        <w:tabs>
          <w:tab w:val="left" w:pos="567"/>
        </w:tabs>
        <w:autoSpaceDE w:val="0"/>
        <w:autoSpaceDN w:val="0"/>
        <w:adjustRightInd w:val="0"/>
        <w:rPr>
          <w:b/>
          <w:bCs/>
          <w:sz w:val="22"/>
          <w:szCs w:val="22"/>
        </w:rPr>
      </w:pPr>
    </w:p>
    <w:p w14:paraId="04E8F186" w14:textId="77777777" w:rsidR="00325A78" w:rsidRPr="00051FD3" w:rsidRDefault="00325A78" w:rsidP="007F39B7">
      <w:pPr>
        <w:tabs>
          <w:tab w:val="left" w:pos="567"/>
        </w:tabs>
        <w:autoSpaceDE w:val="0"/>
        <w:autoSpaceDN w:val="0"/>
        <w:adjustRightInd w:val="0"/>
        <w:rPr>
          <w:b/>
          <w:bCs/>
          <w:sz w:val="22"/>
          <w:szCs w:val="22"/>
        </w:rPr>
      </w:pPr>
    </w:p>
    <w:p w14:paraId="77866616" w14:textId="77777777" w:rsidR="00325A78" w:rsidRPr="00051FD3" w:rsidRDefault="00325A78" w:rsidP="007F39B7">
      <w:pPr>
        <w:tabs>
          <w:tab w:val="left" w:pos="567"/>
        </w:tabs>
        <w:autoSpaceDE w:val="0"/>
        <w:autoSpaceDN w:val="0"/>
        <w:adjustRightInd w:val="0"/>
        <w:rPr>
          <w:b/>
          <w:bCs/>
          <w:sz w:val="22"/>
          <w:szCs w:val="22"/>
        </w:rPr>
      </w:pPr>
    </w:p>
    <w:p w14:paraId="7A0753F9" w14:textId="77777777" w:rsidR="00325A78" w:rsidRPr="00051FD3" w:rsidRDefault="00325A78" w:rsidP="007F39B7">
      <w:pPr>
        <w:tabs>
          <w:tab w:val="left" w:pos="567"/>
        </w:tabs>
        <w:autoSpaceDE w:val="0"/>
        <w:autoSpaceDN w:val="0"/>
        <w:adjustRightInd w:val="0"/>
        <w:rPr>
          <w:b/>
          <w:bCs/>
          <w:sz w:val="22"/>
          <w:szCs w:val="22"/>
        </w:rPr>
      </w:pPr>
    </w:p>
    <w:p w14:paraId="062D6C93" w14:textId="77777777" w:rsidR="00325A78" w:rsidRPr="00051FD3" w:rsidRDefault="00325A78" w:rsidP="007F39B7">
      <w:pPr>
        <w:tabs>
          <w:tab w:val="left" w:pos="567"/>
        </w:tabs>
        <w:autoSpaceDE w:val="0"/>
        <w:autoSpaceDN w:val="0"/>
        <w:adjustRightInd w:val="0"/>
        <w:rPr>
          <w:b/>
          <w:bCs/>
          <w:sz w:val="22"/>
          <w:szCs w:val="22"/>
        </w:rPr>
      </w:pPr>
    </w:p>
    <w:p w14:paraId="17AAF349" w14:textId="77777777" w:rsidR="00325A78" w:rsidRPr="00051FD3" w:rsidRDefault="00325A78" w:rsidP="007F39B7">
      <w:pPr>
        <w:tabs>
          <w:tab w:val="left" w:pos="567"/>
        </w:tabs>
        <w:autoSpaceDE w:val="0"/>
        <w:autoSpaceDN w:val="0"/>
        <w:adjustRightInd w:val="0"/>
        <w:rPr>
          <w:b/>
          <w:bCs/>
          <w:sz w:val="22"/>
          <w:szCs w:val="22"/>
        </w:rPr>
      </w:pPr>
    </w:p>
    <w:p w14:paraId="1443ED9F" w14:textId="77777777" w:rsidR="00325A78" w:rsidRPr="00051FD3" w:rsidRDefault="00325A78" w:rsidP="007F39B7">
      <w:pPr>
        <w:tabs>
          <w:tab w:val="left" w:pos="567"/>
        </w:tabs>
        <w:autoSpaceDE w:val="0"/>
        <w:autoSpaceDN w:val="0"/>
        <w:adjustRightInd w:val="0"/>
        <w:rPr>
          <w:b/>
          <w:bCs/>
          <w:sz w:val="22"/>
          <w:szCs w:val="22"/>
        </w:rPr>
      </w:pPr>
    </w:p>
    <w:p w14:paraId="0CFFA5C9" w14:textId="77777777" w:rsidR="00325A78" w:rsidRPr="00051FD3" w:rsidRDefault="00325A78" w:rsidP="007F39B7">
      <w:pPr>
        <w:tabs>
          <w:tab w:val="left" w:pos="567"/>
        </w:tabs>
        <w:autoSpaceDE w:val="0"/>
        <w:autoSpaceDN w:val="0"/>
        <w:adjustRightInd w:val="0"/>
        <w:rPr>
          <w:b/>
          <w:bCs/>
          <w:sz w:val="22"/>
          <w:szCs w:val="22"/>
        </w:rPr>
      </w:pPr>
    </w:p>
    <w:p w14:paraId="4687CC43" w14:textId="77777777" w:rsidR="00325A78" w:rsidRPr="00051FD3" w:rsidRDefault="00325A78" w:rsidP="007F39B7">
      <w:pPr>
        <w:tabs>
          <w:tab w:val="left" w:pos="567"/>
        </w:tabs>
        <w:autoSpaceDE w:val="0"/>
        <w:autoSpaceDN w:val="0"/>
        <w:adjustRightInd w:val="0"/>
        <w:rPr>
          <w:b/>
          <w:bCs/>
          <w:sz w:val="22"/>
          <w:szCs w:val="22"/>
        </w:rPr>
      </w:pPr>
    </w:p>
    <w:p w14:paraId="62B401AD" w14:textId="77777777" w:rsidR="00325A78" w:rsidRPr="00051FD3" w:rsidRDefault="00325A78" w:rsidP="007F39B7">
      <w:pPr>
        <w:tabs>
          <w:tab w:val="left" w:pos="567"/>
        </w:tabs>
        <w:autoSpaceDE w:val="0"/>
        <w:autoSpaceDN w:val="0"/>
        <w:adjustRightInd w:val="0"/>
        <w:rPr>
          <w:b/>
          <w:bCs/>
          <w:sz w:val="22"/>
          <w:szCs w:val="22"/>
        </w:rPr>
      </w:pPr>
    </w:p>
    <w:p w14:paraId="2EB133CC" w14:textId="77777777" w:rsidR="00325A78" w:rsidRPr="00051FD3" w:rsidRDefault="00325A78" w:rsidP="007F39B7">
      <w:pPr>
        <w:tabs>
          <w:tab w:val="left" w:pos="567"/>
        </w:tabs>
        <w:autoSpaceDE w:val="0"/>
        <w:autoSpaceDN w:val="0"/>
        <w:adjustRightInd w:val="0"/>
        <w:rPr>
          <w:b/>
          <w:bCs/>
          <w:sz w:val="22"/>
          <w:szCs w:val="22"/>
        </w:rPr>
      </w:pPr>
    </w:p>
    <w:p w14:paraId="5F1CECCD" w14:textId="77777777" w:rsidR="00325A78" w:rsidRPr="00051FD3" w:rsidRDefault="00325A78" w:rsidP="007F39B7">
      <w:pPr>
        <w:tabs>
          <w:tab w:val="left" w:pos="567"/>
        </w:tabs>
        <w:autoSpaceDE w:val="0"/>
        <w:autoSpaceDN w:val="0"/>
        <w:adjustRightInd w:val="0"/>
        <w:rPr>
          <w:b/>
          <w:bCs/>
          <w:sz w:val="22"/>
          <w:szCs w:val="22"/>
        </w:rPr>
      </w:pPr>
    </w:p>
    <w:p w14:paraId="73B5708D" w14:textId="77777777" w:rsidR="00325A78" w:rsidRPr="00051FD3" w:rsidRDefault="00325A78" w:rsidP="007F39B7">
      <w:pPr>
        <w:tabs>
          <w:tab w:val="left" w:pos="567"/>
        </w:tabs>
        <w:autoSpaceDE w:val="0"/>
        <w:autoSpaceDN w:val="0"/>
        <w:adjustRightInd w:val="0"/>
        <w:rPr>
          <w:b/>
          <w:bCs/>
          <w:sz w:val="22"/>
          <w:szCs w:val="22"/>
        </w:rPr>
      </w:pPr>
    </w:p>
    <w:p w14:paraId="12ABC9A3" w14:textId="77777777" w:rsidR="00325A78" w:rsidRPr="00051FD3" w:rsidRDefault="00325A78" w:rsidP="007F39B7">
      <w:pPr>
        <w:tabs>
          <w:tab w:val="left" w:pos="567"/>
        </w:tabs>
        <w:autoSpaceDE w:val="0"/>
        <w:autoSpaceDN w:val="0"/>
        <w:adjustRightInd w:val="0"/>
        <w:rPr>
          <w:b/>
          <w:bCs/>
          <w:sz w:val="22"/>
          <w:szCs w:val="22"/>
        </w:rPr>
      </w:pPr>
    </w:p>
    <w:p w14:paraId="636321CB" w14:textId="77777777" w:rsidR="00325A78" w:rsidRPr="00051FD3" w:rsidRDefault="00325A78" w:rsidP="007F39B7">
      <w:pPr>
        <w:tabs>
          <w:tab w:val="left" w:pos="567"/>
        </w:tabs>
        <w:autoSpaceDE w:val="0"/>
        <w:autoSpaceDN w:val="0"/>
        <w:adjustRightInd w:val="0"/>
        <w:rPr>
          <w:b/>
          <w:bCs/>
          <w:sz w:val="22"/>
          <w:szCs w:val="22"/>
        </w:rPr>
      </w:pPr>
    </w:p>
    <w:p w14:paraId="6D144FB2" w14:textId="77777777" w:rsidR="007F39B7" w:rsidRPr="00051FD3" w:rsidRDefault="007F39B7" w:rsidP="007F39B7">
      <w:pPr>
        <w:tabs>
          <w:tab w:val="left" w:pos="567"/>
        </w:tabs>
        <w:autoSpaceDE w:val="0"/>
        <w:autoSpaceDN w:val="0"/>
        <w:adjustRightInd w:val="0"/>
        <w:rPr>
          <w:b/>
          <w:bCs/>
          <w:sz w:val="22"/>
          <w:szCs w:val="22"/>
        </w:rPr>
      </w:pPr>
      <w:r w:rsidRPr="00051FD3">
        <w:rPr>
          <w:b/>
          <w:bCs/>
          <w:sz w:val="22"/>
          <w:szCs w:val="22"/>
        </w:rPr>
        <w:t>1.</w:t>
      </w:r>
      <w:r w:rsidRPr="00051FD3">
        <w:rPr>
          <w:b/>
          <w:bCs/>
          <w:sz w:val="22"/>
          <w:szCs w:val="22"/>
        </w:rPr>
        <w:tab/>
        <w:t>VAISTINIO PREPARATO PAVADINIMAS</w:t>
      </w:r>
    </w:p>
    <w:p w14:paraId="3F424F88" w14:textId="77777777" w:rsidR="007F39B7" w:rsidRPr="00051FD3" w:rsidRDefault="007F39B7" w:rsidP="007F39B7">
      <w:pPr>
        <w:tabs>
          <w:tab w:val="left" w:pos="3060"/>
        </w:tabs>
        <w:autoSpaceDE w:val="0"/>
        <w:autoSpaceDN w:val="0"/>
        <w:adjustRightInd w:val="0"/>
        <w:rPr>
          <w:sz w:val="22"/>
          <w:szCs w:val="22"/>
        </w:rPr>
      </w:pPr>
    </w:p>
    <w:p w14:paraId="6DF1F596" w14:textId="77777777" w:rsidR="007F39B7" w:rsidRPr="00051FD3" w:rsidRDefault="007F39B7" w:rsidP="007F39B7">
      <w:pPr>
        <w:tabs>
          <w:tab w:val="left" w:pos="3060"/>
        </w:tabs>
        <w:autoSpaceDE w:val="0"/>
        <w:autoSpaceDN w:val="0"/>
        <w:adjustRightInd w:val="0"/>
        <w:rPr>
          <w:sz w:val="22"/>
          <w:szCs w:val="22"/>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tabletės</w:t>
      </w:r>
    </w:p>
    <w:p w14:paraId="76676BE2" w14:textId="77777777" w:rsidR="007F39B7" w:rsidRPr="00051FD3" w:rsidRDefault="007F39B7" w:rsidP="007F39B7">
      <w:pPr>
        <w:tabs>
          <w:tab w:val="left" w:pos="3060"/>
        </w:tabs>
        <w:autoSpaceDE w:val="0"/>
        <w:autoSpaceDN w:val="0"/>
        <w:adjustRightInd w:val="0"/>
        <w:rPr>
          <w:b/>
          <w:bCs/>
          <w:sz w:val="22"/>
          <w:szCs w:val="22"/>
        </w:rPr>
      </w:pPr>
    </w:p>
    <w:p w14:paraId="78A2A89F" w14:textId="77777777" w:rsidR="007F39B7" w:rsidRPr="00051FD3" w:rsidRDefault="007F39B7" w:rsidP="007F39B7">
      <w:pPr>
        <w:tabs>
          <w:tab w:val="left" w:pos="3060"/>
        </w:tabs>
        <w:autoSpaceDE w:val="0"/>
        <w:autoSpaceDN w:val="0"/>
        <w:adjustRightInd w:val="0"/>
        <w:rPr>
          <w:b/>
          <w:bCs/>
          <w:sz w:val="22"/>
          <w:szCs w:val="22"/>
        </w:rPr>
      </w:pPr>
    </w:p>
    <w:p w14:paraId="132BCEC8" w14:textId="77777777" w:rsidR="007F39B7" w:rsidRPr="00051FD3" w:rsidRDefault="007F39B7" w:rsidP="007F39B7">
      <w:pPr>
        <w:tabs>
          <w:tab w:val="left" w:pos="505"/>
          <w:tab w:val="left" w:pos="540"/>
          <w:tab w:val="left" w:pos="3060"/>
        </w:tabs>
        <w:autoSpaceDE w:val="0"/>
        <w:autoSpaceDN w:val="0"/>
        <w:adjustRightInd w:val="0"/>
        <w:rPr>
          <w:b/>
          <w:bCs/>
          <w:sz w:val="22"/>
          <w:szCs w:val="22"/>
        </w:rPr>
      </w:pPr>
      <w:r w:rsidRPr="00051FD3">
        <w:rPr>
          <w:b/>
          <w:bCs/>
          <w:sz w:val="22"/>
          <w:szCs w:val="22"/>
        </w:rPr>
        <w:t>2.</w:t>
      </w:r>
      <w:r w:rsidRPr="00051FD3">
        <w:rPr>
          <w:b/>
          <w:bCs/>
          <w:sz w:val="22"/>
          <w:szCs w:val="22"/>
        </w:rPr>
        <w:tab/>
        <w:t>KOKYBINĖ IR KIEKYBINĖ SUDĖTIS</w:t>
      </w:r>
    </w:p>
    <w:p w14:paraId="12A87B3E" w14:textId="77777777" w:rsidR="007F39B7" w:rsidRPr="00051FD3" w:rsidRDefault="007F39B7" w:rsidP="007F39B7">
      <w:pPr>
        <w:tabs>
          <w:tab w:val="left" w:pos="3060"/>
        </w:tabs>
        <w:autoSpaceDE w:val="0"/>
        <w:autoSpaceDN w:val="0"/>
        <w:adjustRightInd w:val="0"/>
        <w:rPr>
          <w:sz w:val="22"/>
          <w:szCs w:val="22"/>
        </w:rPr>
      </w:pPr>
    </w:p>
    <w:p w14:paraId="648CAFEB" w14:textId="77777777" w:rsidR="007F39B7" w:rsidRPr="00051FD3" w:rsidRDefault="007F39B7" w:rsidP="007F39B7">
      <w:pPr>
        <w:tabs>
          <w:tab w:val="left" w:pos="3060"/>
        </w:tabs>
        <w:autoSpaceDE w:val="0"/>
        <w:autoSpaceDN w:val="0"/>
        <w:adjustRightInd w:val="0"/>
        <w:rPr>
          <w:sz w:val="22"/>
          <w:szCs w:val="22"/>
        </w:rPr>
      </w:pPr>
      <w:r w:rsidRPr="00051FD3">
        <w:rPr>
          <w:rFonts w:eastAsia="TimesNewRoman"/>
          <w:sz w:val="22"/>
          <w:szCs w:val="22"/>
          <w:lang w:eastAsia="lt-LT"/>
        </w:rPr>
        <w:t xml:space="preserve">Kiekvienoje tabletėje yra 80 mg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ir 12,5 mg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w:t>
      </w:r>
    </w:p>
    <w:p w14:paraId="0445C5A2" w14:textId="77777777" w:rsidR="007F39B7" w:rsidRPr="00051FD3" w:rsidRDefault="007F39B7" w:rsidP="007F39B7">
      <w:pPr>
        <w:tabs>
          <w:tab w:val="left" w:pos="3060"/>
        </w:tabs>
        <w:autoSpaceDE w:val="0"/>
        <w:autoSpaceDN w:val="0"/>
        <w:adjustRightInd w:val="0"/>
        <w:rPr>
          <w:sz w:val="22"/>
          <w:szCs w:val="22"/>
          <w:highlight w:val="lightGray"/>
        </w:rPr>
      </w:pPr>
    </w:p>
    <w:p w14:paraId="03BB839D" w14:textId="77777777" w:rsidR="007F39B7" w:rsidRPr="00051FD3" w:rsidRDefault="007F39B7" w:rsidP="007F39B7">
      <w:pPr>
        <w:tabs>
          <w:tab w:val="left" w:pos="3060"/>
        </w:tabs>
        <w:autoSpaceDE w:val="0"/>
        <w:autoSpaceDN w:val="0"/>
        <w:adjustRightInd w:val="0"/>
        <w:rPr>
          <w:sz w:val="22"/>
          <w:szCs w:val="22"/>
        </w:rPr>
      </w:pPr>
      <w:r w:rsidRPr="00051FD3">
        <w:rPr>
          <w:sz w:val="22"/>
          <w:szCs w:val="22"/>
        </w:rPr>
        <w:t>Visos pagalbinės medžiagos išvardytos 6.1 skyriuje.</w:t>
      </w:r>
    </w:p>
    <w:p w14:paraId="4BB4D482" w14:textId="77777777" w:rsidR="007F39B7" w:rsidRPr="00051FD3" w:rsidRDefault="007F39B7" w:rsidP="007F39B7">
      <w:pPr>
        <w:tabs>
          <w:tab w:val="left" w:pos="3060"/>
        </w:tabs>
        <w:autoSpaceDE w:val="0"/>
        <w:autoSpaceDN w:val="0"/>
        <w:adjustRightInd w:val="0"/>
        <w:rPr>
          <w:b/>
          <w:bCs/>
          <w:sz w:val="22"/>
          <w:szCs w:val="22"/>
        </w:rPr>
      </w:pPr>
    </w:p>
    <w:p w14:paraId="73495B16" w14:textId="77777777" w:rsidR="007F39B7" w:rsidRPr="00051FD3" w:rsidRDefault="007F39B7" w:rsidP="007F39B7">
      <w:pPr>
        <w:tabs>
          <w:tab w:val="left" w:pos="3060"/>
        </w:tabs>
        <w:autoSpaceDE w:val="0"/>
        <w:autoSpaceDN w:val="0"/>
        <w:adjustRightInd w:val="0"/>
        <w:rPr>
          <w:b/>
          <w:bCs/>
          <w:sz w:val="22"/>
          <w:szCs w:val="22"/>
        </w:rPr>
      </w:pPr>
    </w:p>
    <w:p w14:paraId="60384F5B" w14:textId="77777777" w:rsidR="007F39B7" w:rsidRPr="00051FD3" w:rsidRDefault="007F39B7" w:rsidP="007F39B7">
      <w:pPr>
        <w:tabs>
          <w:tab w:val="left" w:pos="540"/>
          <w:tab w:val="left" w:pos="3060"/>
        </w:tabs>
        <w:autoSpaceDE w:val="0"/>
        <w:autoSpaceDN w:val="0"/>
        <w:adjustRightInd w:val="0"/>
        <w:rPr>
          <w:b/>
          <w:bCs/>
          <w:sz w:val="22"/>
          <w:szCs w:val="22"/>
        </w:rPr>
      </w:pPr>
      <w:r w:rsidRPr="00051FD3">
        <w:rPr>
          <w:b/>
          <w:bCs/>
          <w:sz w:val="22"/>
          <w:szCs w:val="22"/>
        </w:rPr>
        <w:t>3.</w:t>
      </w:r>
      <w:r w:rsidRPr="00051FD3">
        <w:rPr>
          <w:b/>
          <w:bCs/>
          <w:sz w:val="22"/>
          <w:szCs w:val="22"/>
        </w:rPr>
        <w:tab/>
        <w:t>FARMACINĖ FORMA</w:t>
      </w:r>
    </w:p>
    <w:p w14:paraId="6B493358" w14:textId="77777777" w:rsidR="007F39B7" w:rsidRPr="00051FD3" w:rsidRDefault="007F39B7" w:rsidP="007F39B7">
      <w:pPr>
        <w:tabs>
          <w:tab w:val="left" w:pos="3060"/>
        </w:tabs>
        <w:autoSpaceDE w:val="0"/>
        <w:autoSpaceDN w:val="0"/>
        <w:adjustRightInd w:val="0"/>
        <w:rPr>
          <w:sz w:val="22"/>
          <w:szCs w:val="22"/>
        </w:rPr>
      </w:pPr>
    </w:p>
    <w:p w14:paraId="72439646" w14:textId="77777777" w:rsidR="007F39B7" w:rsidRPr="00051FD3" w:rsidRDefault="007F39B7" w:rsidP="007F39B7">
      <w:pPr>
        <w:tabs>
          <w:tab w:val="left" w:pos="3060"/>
        </w:tabs>
        <w:autoSpaceDE w:val="0"/>
        <w:autoSpaceDN w:val="0"/>
        <w:adjustRightInd w:val="0"/>
        <w:rPr>
          <w:sz w:val="22"/>
          <w:szCs w:val="22"/>
        </w:rPr>
      </w:pPr>
      <w:r w:rsidRPr="00051FD3">
        <w:rPr>
          <w:sz w:val="22"/>
          <w:szCs w:val="22"/>
        </w:rPr>
        <w:t>Tabletė.</w:t>
      </w:r>
    </w:p>
    <w:p w14:paraId="25E8FD6F" w14:textId="77777777" w:rsidR="007F39B7" w:rsidRPr="00051FD3" w:rsidRDefault="007F39B7" w:rsidP="007F39B7">
      <w:pPr>
        <w:tabs>
          <w:tab w:val="left" w:pos="3060"/>
        </w:tabs>
        <w:autoSpaceDE w:val="0"/>
        <w:autoSpaceDN w:val="0"/>
        <w:adjustRightInd w:val="0"/>
        <w:rPr>
          <w:sz w:val="22"/>
          <w:szCs w:val="22"/>
        </w:rPr>
      </w:pPr>
    </w:p>
    <w:p w14:paraId="764F447E" w14:textId="60CD04A2" w:rsidR="007F39B7" w:rsidRPr="00051FD3" w:rsidRDefault="007F39B7" w:rsidP="0078549E">
      <w:pPr>
        <w:tabs>
          <w:tab w:val="left" w:pos="3060"/>
        </w:tabs>
        <w:autoSpaceDE w:val="0"/>
        <w:autoSpaceDN w:val="0"/>
        <w:adjustRightInd w:val="0"/>
        <w:rPr>
          <w:rFonts w:eastAsia="TimesNewRoman"/>
          <w:sz w:val="22"/>
          <w:szCs w:val="22"/>
          <w:lang w:eastAsia="lt-LT"/>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tabletės</w:t>
      </w:r>
      <w:r w:rsidRPr="00051FD3">
        <w:rPr>
          <w:rFonts w:eastAsia="TimesNewRoman"/>
          <w:sz w:val="22"/>
          <w:szCs w:val="22"/>
          <w:lang w:eastAsia="lt-LT"/>
        </w:rPr>
        <w:t xml:space="preserve"> </w:t>
      </w:r>
      <w:r w:rsidR="00D32085" w:rsidRPr="00051FD3">
        <w:rPr>
          <w:rFonts w:eastAsia="TimesNewRoman"/>
          <w:sz w:val="22"/>
          <w:szCs w:val="22"/>
          <w:lang w:eastAsia="lt-LT"/>
        </w:rPr>
        <w:t>yra b</w:t>
      </w:r>
      <w:r w:rsidRPr="00051FD3">
        <w:rPr>
          <w:rFonts w:eastAsia="TimesNewRoman"/>
          <w:sz w:val="22"/>
          <w:szCs w:val="22"/>
          <w:lang w:eastAsia="lt-LT"/>
        </w:rPr>
        <w:t>altos arba beveik baltos</w:t>
      </w:r>
      <w:r w:rsidR="00B80A3D" w:rsidRPr="00051FD3">
        <w:rPr>
          <w:rFonts w:eastAsia="TimesNewRoman"/>
          <w:sz w:val="22"/>
          <w:szCs w:val="22"/>
          <w:lang w:eastAsia="lt-LT"/>
        </w:rPr>
        <w:t>,</w:t>
      </w:r>
      <w:r w:rsidRPr="00051FD3">
        <w:rPr>
          <w:rFonts w:eastAsia="TimesNewRoman"/>
          <w:sz w:val="22"/>
          <w:szCs w:val="22"/>
          <w:lang w:eastAsia="lt-LT"/>
        </w:rPr>
        <w:t xml:space="preserve"> kapsulės pavidalo, 9,0 x 17,0</w:t>
      </w:r>
      <w:r w:rsidR="00D32085" w:rsidRPr="00051FD3">
        <w:rPr>
          <w:rFonts w:eastAsia="TimesNewRoman"/>
          <w:sz w:val="22"/>
          <w:szCs w:val="22"/>
          <w:lang w:eastAsia="lt-LT"/>
        </w:rPr>
        <w:t> </w:t>
      </w:r>
      <w:r w:rsidRPr="00051FD3">
        <w:rPr>
          <w:rFonts w:eastAsia="TimesNewRoman"/>
          <w:sz w:val="22"/>
          <w:szCs w:val="22"/>
          <w:lang w:eastAsia="lt-LT"/>
        </w:rPr>
        <w:t xml:space="preserve">mm dydžio, </w:t>
      </w:r>
      <w:r w:rsidR="00D32085" w:rsidRPr="00051FD3">
        <w:rPr>
          <w:rFonts w:eastAsia="TimesNewRoman"/>
          <w:sz w:val="22"/>
          <w:szCs w:val="22"/>
          <w:lang w:eastAsia="lt-LT"/>
        </w:rPr>
        <w:t>j</w:t>
      </w:r>
      <w:r w:rsidRPr="00051FD3">
        <w:rPr>
          <w:rFonts w:eastAsia="TimesNewRoman"/>
          <w:sz w:val="22"/>
          <w:szCs w:val="22"/>
          <w:lang w:eastAsia="lt-LT"/>
        </w:rPr>
        <w:t>ų abiejose pusėse yra įspaudas “TH 12</w:t>
      </w:r>
      <w:r w:rsidR="00046DA4" w:rsidRPr="00051FD3">
        <w:rPr>
          <w:rFonts w:eastAsia="TimesNewRoman"/>
          <w:sz w:val="22"/>
          <w:szCs w:val="22"/>
          <w:lang w:eastAsia="lt-LT"/>
        </w:rPr>
        <w:t>.</w:t>
      </w:r>
      <w:r w:rsidRPr="00051FD3">
        <w:rPr>
          <w:rFonts w:eastAsia="TimesNewRoman"/>
          <w:sz w:val="22"/>
          <w:szCs w:val="22"/>
          <w:lang w:eastAsia="lt-LT"/>
        </w:rPr>
        <w:t>5”.</w:t>
      </w:r>
    </w:p>
    <w:p w14:paraId="5A038651" w14:textId="77777777" w:rsidR="007F39B7" w:rsidRPr="00051FD3" w:rsidRDefault="007F39B7" w:rsidP="007F39B7">
      <w:pPr>
        <w:tabs>
          <w:tab w:val="left" w:pos="3060"/>
        </w:tabs>
        <w:autoSpaceDE w:val="0"/>
        <w:autoSpaceDN w:val="0"/>
        <w:adjustRightInd w:val="0"/>
        <w:rPr>
          <w:sz w:val="22"/>
          <w:szCs w:val="22"/>
          <w:highlight w:val="lightGray"/>
        </w:rPr>
      </w:pPr>
    </w:p>
    <w:p w14:paraId="5444A4AC" w14:textId="77777777" w:rsidR="007F39B7" w:rsidRPr="00051FD3" w:rsidRDefault="007F39B7" w:rsidP="007F39B7">
      <w:pPr>
        <w:tabs>
          <w:tab w:val="left" w:pos="3060"/>
        </w:tabs>
        <w:autoSpaceDE w:val="0"/>
        <w:autoSpaceDN w:val="0"/>
        <w:adjustRightInd w:val="0"/>
        <w:rPr>
          <w:b/>
          <w:bCs/>
          <w:sz w:val="22"/>
          <w:szCs w:val="22"/>
        </w:rPr>
      </w:pPr>
    </w:p>
    <w:p w14:paraId="686E2CC1" w14:textId="77777777" w:rsidR="007F39B7" w:rsidRPr="00051FD3" w:rsidRDefault="007F39B7" w:rsidP="007F39B7">
      <w:pPr>
        <w:tabs>
          <w:tab w:val="left" w:pos="540"/>
          <w:tab w:val="left" w:pos="3060"/>
        </w:tabs>
        <w:autoSpaceDE w:val="0"/>
        <w:autoSpaceDN w:val="0"/>
        <w:adjustRightInd w:val="0"/>
        <w:rPr>
          <w:b/>
          <w:bCs/>
          <w:sz w:val="22"/>
          <w:szCs w:val="22"/>
        </w:rPr>
      </w:pPr>
      <w:r w:rsidRPr="00051FD3">
        <w:rPr>
          <w:b/>
          <w:bCs/>
          <w:sz w:val="22"/>
          <w:szCs w:val="22"/>
        </w:rPr>
        <w:t>4.</w:t>
      </w:r>
      <w:r w:rsidRPr="00051FD3">
        <w:rPr>
          <w:b/>
          <w:bCs/>
          <w:sz w:val="22"/>
          <w:szCs w:val="22"/>
        </w:rPr>
        <w:tab/>
        <w:t>KLINIKINĖ INFORMACIJA</w:t>
      </w:r>
    </w:p>
    <w:p w14:paraId="65B7D2E2" w14:textId="77777777" w:rsidR="007F39B7" w:rsidRPr="00051FD3" w:rsidRDefault="007F39B7" w:rsidP="007F39B7">
      <w:pPr>
        <w:tabs>
          <w:tab w:val="left" w:pos="3060"/>
        </w:tabs>
        <w:autoSpaceDE w:val="0"/>
        <w:autoSpaceDN w:val="0"/>
        <w:adjustRightInd w:val="0"/>
        <w:rPr>
          <w:b/>
          <w:bCs/>
          <w:sz w:val="22"/>
          <w:szCs w:val="22"/>
        </w:rPr>
      </w:pPr>
    </w:p>
    <w:p w14:paraId="58222215" w14:textId="77777777" w:rsidR="007F39B7" w:rsidRPr="00051FD3" w:rsidRDefault="007F39B7" w:rsidP="007F39B7">
      <w:pPr>
        <w:tabs>
          <w:tab w:val="left" w:pos="540"/>
          <w:tab w:val="left" w:pos="3060"/>
        </w:tabs>
        <w:autoSpaceDE w:val="0"/>
        <w:autoSpaceDN w:val="0"/>
        <w:adjustRightInd w:val="0"/>
        <w:rPr>
          <w:b/>
          <w:bCs/>
          <w:sz w:val="22"/>
          <w:szCs w:val="22"/>
        </w:rPr>
      </w:pPr>
      <w:r w:rsidRPr="00051FD3">
        <w:rPr>
          <w:b/>
          <w:bCs/>
          <w:sz w:val="22"/>
          <w:szCs w:val="22"/>
        </w:rPr>
        <w:t>4.1</w:t>
      </w:r>
      <w:r w:rsidRPr="00051FD3">
        <w:rPr>
          <w:b/>
          <w:bCs/>
          <w:sz w:val="22"/>
          <w:szCs w:val="22"/>
        </w:rPr>
        <w:tab/>
        <w:t>Terapinės indikacijos</w:t>
      </w:r>
    </w:p>
    <w:p w14:paraId="308274BE" w14:textId="77777777" w:rsidR="007F39B7" w:rsidRPr="00051FD3" w:rsidRDefault="007F39B7" w:rsidP="007F39B7">
      <w:pPr>
        <w:tabs>
          <w:tab w:val="left" w:pos="3060"/>
        </w:tabs>
        <w:autoSpaceDE w:val="0"/>
        <w:autoSpaceDN w:val="0"/>
        <w:adjustRightInd w:val="0"/>
        <w:rPr>
          <w:sz w:val="22"/>
          <w:szCs w:val="22"/>
        </w:rPr>
      </w:pPr>
    </w:p>
    <w:p w14:paraId="17C57332" w14:textId="77777777" w:rsidR="007F39B7" w:rsidRPr="00051FD3" w:rsidRDefault="007F39B7" w:rsidP="007F39B7">
      <w:pPr>
        <w:autoSpaceDE w:val="0"/>
        <w:autoSpaceDN w:val="0"/>
        <w:adjustRightInd w:val="0"/>
        <w:rPr>
          <w:rFonts w:eastAsia="TimesNewRoman"/>
          <w:sz w:val="22"/>
          <w:szCs w:val="22"/>
          <w:lang w:eastAsia="lt-LT"/>
        </w:rPr>
      </w:pPr>
      <w:r w:rsidRPr="00051FD3">
        <w:rPr>
          <w:rFonts w:eastAsia="TimesNewRoman"/>
          <w:sz w:val="22"/>
          <w:szCs w:val="22"/>
          <w:lang w:eastAsia="lt-LT"/>
        </w:rPr>
        <w:t>Pirminės arterinės hipertenzijos gydymas.</w:t>
      </w:r>
    </w:p>
    <w:p w14:paraId="0CE0F44C" w14:textId="77777777" w:rsidR="007F39B7" w:rsidRPr="00051FD3" w:rsidRDefault="007F39B7" w:rsidP="007F39B7">
      <w:pPr>
        <w:autoSpaceDE w:val="0"/>
        <w:autoSpaceDN w:val="0"/>
        <w:adjustRightInd w:val="0"/>
        <w:rPr>
          <w:rFonts w:eastAsia="TimesNewRoman"/>
          <w:sz w:val="22"/>
          <w:szCs w:val="22"/>
          <w:lang w:eastAsia="lt-LT"/>
        </w:rPr>
      </w:pPr>
    </w:p>
    <w:p w14:paraId="2D08C4C1" w14:textId="77777777"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 fiksuotų dozių deriniu (80 mg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ir 12,5 mg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 xml:space="preserve">) gydomi suaugę pacientai, kurių kraujospūdžio vien </w:t>
      </w:r>
      <w:proofErr w:type="spellStart"/>
      <w:r w:rsidRPr="00051FD3">
        <w:rPr>
          <w:rFonts w:eastAsia="TimesNewRoman"/>
          <w:sz w:val="22"/>
          <w:szCs w:val="22"/>
          <w:lang w:eastAsia="lt-LT"/>
        </w:rPr>
        <w:t>telmisartanas</w:t>
      </w:r>
      <w:proofErr w:type="spellEnd"/>
      <w:r w:rsidRPr="00051FD3">
        <w:rPr>
          <w:rFonts w:eastAsia="TimesNewRoman"/>
          <w:sz w:val="22"/>
          <w:szCs w:val="22"/>
          <w:lang w:eastAsia="lt-LT"/>
        </w:rPr>
        <w:t xml:space="preserve"> tinkamai nesureguliuoja.</w:t>
      </w:r>
    </w:p>
    <w:p w14:paraId="4470DBFB" w14:textId="77777777" w:rsidR="007F39B7" w:rsidRPr="00051FD3" w:rsidRDefault="007F39B7" w:rsidP="007F39B7">
      <w:pPr>
        <w:tabs>
          <w:tab w:val="left" w:pos="3060"/>
        </w:tabs>
        <w:autoSpaceDE w:val="0"/>
        <w:autoSpaceDN w:val="0"/>
        <w:adjustRightInd w:val="0"/>
        <w:rPr>
          <w:b/>
          <w:bCs/>
          <w:sz w:val="22"/>
          <w:szCs w:val="22"/>
        </w:rPr>
      </w:pPr>
    </w:p>
    <w:p w14:paraId="38B40B0B" w14:textId="77777777" w:rsidR="007F39B7" w:rsidRPr="00051FD3" w:rsidRDefault="007F39B7" w:rsidP="007F39B7">
      <w:pPr>
        <w:tabs>
          <w:tab w:val="left" w:pos="540"/>
          <w:tab w:val="left" w:pos="3060"/>
        </w:tabs>
        <w:autoSpaceDE w:val="0"/>
        <w:autoSpaceDN w:val="0"/>
        <w:adjustRightInd w:val="0"/>
        <w:rPr>
          <w:b/>
          <w:bCs/>
          <w:sz w:val="22"/>
          <w:szCs w:val="22"/>
        </w:rPr>
      </w:pPr>
      <w:r w:rsidRPr="00051FD3">
        <w:rPr>
          <w:b/>
          <w:bCs/>
          <w:sz w:val="22"/>
          <w:szCs w:val="22"/>
        </w:rPr>
        <w:t>4.2</w:t>
      </w:r>
      <w:r w:rsidRPr="00051FD3">
        <w:rPr>
          <w:b/>
          <w:bCs/>
          <w:sz w:val="22"/>
          <w:szCs w:val="22"/>
        </w:rPr>
        <w:tab/>
        <w:t>Dozavimas ir vartojimo metodas</w:t>
      </w:r>
    </w:p>
    <w:p w14:paraId="6E187D2F" w14:textId="77777777" w:rsidR="007F39B7" w:rsidRPr="00051FD3" w:rsidRDefault="007F39B7" w:rsidP="007F39B7">
      <w:pPr>
        <w:tabs>
          <w:tab w:val="left" w:pos="3060"/>
        </w:tabs>
        <w:autoSpaceDE w:val="0"/>
        <w:autoSpaceDN w:val="0"/>
        <w:adjustRightInd w:val="0"/>
        <w:rPr>
          <w:sz w:val="22"/>
          <w:szCs w:val="22"/>
        </w:rPr>
      </w:pPr>
    </w:p>
    <w:p w14:paraId="3C876C42" w14:textId="77777777" w:rsidR="007F39B7" w:rsidRPr="00051FD3" w:rsidRDefault="007F39B7" w:rsidP="007F39B7">
      <w:pPr>
        <w:tabs>
          <w:tab w:val="left" w:pos="3060"/>
        </w:tabs>
        <w:autoSpaceDE w:val="0"/>
        <w:autoSpaceDN w:val="0"/>
        <w:adjustRightInd w:val="0"/>
        <w:rPr>
          <w:sz w:val="22"/>
          <w:szCs w:val="22"/>
          <w:u w:val="single"/>
        </w:rPr>
      </w:pPr>
      <w:r w:rsidRPr="00051FD3">
        <w:rPr>
          <w:sz w:val="22"/>
          <w:szCs w:val="22"/>
          <w:u w:val="single"/>
        </w:rPr>
        <w:t>Dozavimas</w:t>
      </w:r>
    </w:p>
    <w:p w14:paraId="3251074E" w14:textId="77777777"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 reikia vartoti pacientams, kurių kraujospūdžio vien </w:t>
      </w:r>
      <w:proofErr w:type="spellStart"/>
      <w:r w:rsidRPr="00051FD3">
        <w:rPr>
          <w:rFonts w:eastAsia="TimesNewRoman"/>
          <w:sz w:val="22"/>
          <w:szCs w:val="22"/>
          <w:lang w:eastAsia="lt-LT"/>
        </w:rPr>
        <w:t>telmisartanas</w:t>
      </w:r>
      <w:proofErr w:type="spellEnd"/>
      <w:r w:rsidRPr="00051FD3">
        <w:rPr>
          <w:rFonts w:eastAsia="TimesNewRoman"/>
          <w:sz w:val="22"/>
          <w:szCs w:val="22"/>
          <w:lang w:eastAsia="lt-LT"/>
        </w:rPr>
        <w:t xml:space="preserve"> tinkamai nesureguliuoja. Prieš gydymą šiuo kompleksiniu preparatu kiekvienos veikliosios medžiagos dozę rekomenduojama nustatyti atskirai. Jeigu kliniškai tinka, </w:t>
      </w:r>
      <w:proofErr w:type="spellStart"/>
      <w:r w:rsidRPr="00051FD3">
        <w:rPr>
          <w:rFonts w:eastAsia="TimesNewRoman"/>
          <w:sz w:val="22"/>
          <w:szCs w:val="22"/>
          <w:lang w:eastAsia="lt-LT"/>
        </w:rPr>
        <w:t>monoterapiją</w:t>
      </w:r>
      <w:proofErr w:type="spellEnd"/>
      <w:r w:rsidRPr="00051FD3">
        <w:rPr>
          <w:rFonts w:eastAsia="TimesNewRoman"/>
          <w:sz w:val="22"/>
          <w:szCs w:val="22"/>
          <w:lang w:eastAsia="lt-LT"/>
        </w:rPr>
        <w:t xml:space="preserve"> galima keisti iš karto kompleksiniu preparatu.</w:t>
      </w:r>
    </w:p>
    <w:p w14:paraId="69920151" w14:textId="77777777" w:rsidR="007F39B7" w:rsidRPr="00051FD3" w:rsidRDefault="007F39B7" w:rsidP="007F39B7">
      <w:pPr>
        <w:autoSpaceDE w:val="0"/>
        <w:autoSpaceDN w:val="0"/>
        <w:adjustRightInd w:val="0"/>
        <w:rPr>
          <w:rFonts w:eastAsia="TimesNewRoman"/>
          <w:sz w:val="22"/>
          <w:szCs w:val="22"/>
          <w:lang w:eastAsia="lt-LT"/>
        </w:rPr>
      </w:pPr>
    </w:p>
    <w:p w14:paraId="2149734B" w14:textId="77777777" w:rsidR="007F39B7" w:rsidRPr="00051FD3" w:rsidRDefault="007F39B7" w:rsidP="00A903AD">
      <w:pPr>
        <w:pStyle w:val="BT-EMEASMCA"/>
        <w:rPr>
          <w:rFonts w:eastAsia="TimesNewRoman"/>
          <w:lang w:eastAsia="lt-LT"/>
        </w:rPr>
      </w:pPr>
      <w:r w:rsidRPr="00051FD3">
        <w:rPr>
          <w:rFonts w:eastAsia="TimesNewRoman"/>
          <w:lang w:eastAsia="lt-LT"/>
        </w:rPr>
        <w:t xml:space="preserve">Telmisartan/Hydrochlorothiazide Teva Pharma 80 mg/12,5 mg vieną kartą per parą doze galima gydyti tuos pacientus, kurių kraujospūdžio tinkamai nesureguliavo 80 mg telmisartano dozė. </w:t>
      </w:r>
    </w:p>
    <w:p w14:paraId="6A0FAB7B" w14:textId="77777777" w:rsidR="001D084D" w:rsidRPr="00051FD3" w:rsidRDefault="001D084D" w:rsidP="007F39B7">
      <w:pPr>
        <w:autoSpaceDE w:val="0"/>
        <w:autoSpaceDN w:val="0"/>
        <w:adjustRightInd w:val="0"/>
        <w:rPr>
          <w:rFonts w:eastAsia="TimesNewRoman"/>
          <w:sz w:val="22"/>
          <w:szCs w:val="22"/>
          <w:u w:val="single"/>
          <w:lang w:eastAsia="lt-LT"/>
        </w:rPr>
      </w:pPr>
    </w:p>
    <w:p w14:paraId="2EBDC2A7" w14:textId="3D6D08C4" w:rsidR="007F39B7" w:rsidRPr="00051FD3" w:rsidRDefault="0087522B" w:rsidP="007F39B7">
      <w:pPr>
        <w:autoSpaceDE w:val="0"/>
        <w:autoSpaceDN w:val="0"/>
        <w:adjustRightInd w:val="0"/>
        <w:rPr>
          <w:rFonts w:eastAsia="TimesNewRoman"/>
          <w:i/>
          <w:sz w:val="22"/>
          <w:szCs w:val="22"/>
          <w:u w:val="single"/>
          <w:lang w:eastAsia="lt-LT"/>
        </w:rPr>
      </w:pPr>
      <w:r w:rsidRPr="00051FD3">
        <w:rPr>
          <w:i/>
          <w:iCs/>
          <w:color w:val="000000"/>
          <w:sz w:val="22"/>
          <w:szCs w:val="22"/>
        </w:rPr>
        <w:t xml:space="preserve">Pacientams, kurių </w:t>
      </w:r>
      <w:r w:rsidRPr="00FA4E83">
        <w:rPr>
          <w:rFonts w:eastAsia="TimesNewRoman"/>
          <w:i/>
          <w:sz w:val="22"/>
          <w:szCs w:val="22"/>
          <w:lang w:eastAsia="lt-LT"/>
        </w:rPr>
        <w:t>i</w:t>
      </w:r>
      <w:r w:rsidR="007F39B7" w:rsidRPr="00FA4E83">
        <w:rPr>
          <w:rFonts w:eastAsia="TimesNewRoman"/>
          <w:i/>
          <w:sz w:val="22"/>
          <w:szCs w:val="22"/>
          <w:lang w:eastAsia="lt-LT"/>
        </w:rPr>
        <w:t>nkstų funkcij</w:t>
      </w:r>
      <w:r w:rsidRPr="00FA4E83">
        <w:rPr>
          <w:rFonts w:eastAsia="TimesNewRoman"/>
          <w:i/>
          <w:sz w:val="22"/>
          <w:szCs w:val="22"/>
          <w:lang w:eastAsia="lt-LT"/>
        </w:rPr>
        <w:t>a</w:t>
      </w:r>
      <w:r w:rsidR="007F39B7" w:rsidRPr="00FA4E83">
        <w:rPr>
          <w:rFonts w:eastAsia="TimesNewRoman"/>
          <w:i/>
          <w:sz w:val="22"/>
          <w:szCs w:val="22"/>
          <w:lang w:eastAsia="lt-LT"/>
        </w:rPr>
        <w:t xml:space="preserve"> sutrik</w:t>
      </w:r>
      <w:r w:rsidRPr="00FA4E83">
        <w:rPr>
          <w:rFonts w:eastAsia="TimesNewRoman"/>
          <w:i/>
          <w:sz w:val="22"/>
          <w:szCs w:val="22"/>
          <w:lang w:eastAsia="lt-LT"/>
        </w:rPr>
        <w:t>usi</w:t>
      </w:r>
    </w:p>
    <w:p w14:paraId="064E3238" w14:textId="44347185" w:rsidR="0087522B" w:rsidRPr="00051FD3" w:rsidRDefault="0087522B" w:rsidP="0087522B">
      <w:pPr>
        <w:pStyle w:val="Default"/>
        <w:rPr>
          <w:sz w:val="22"/>
          <w:szCs w:val="22"/>
          <w:lang w:val="lt-LT"/>
        </w:rPr>
      </w:pPr>
      <w:r w:rsidRPr="00051FD3">
        <w:rPr>
          <w:sz w:val="22"/>
          <w:szCs w:val="22"/>
          <w:lang w:val="lt-LT"/>
        </w:rPr>
        <w:t xml:space="preserve">Lengvu ar vidutinio sunkumo inkstų funkcijos sutrikimu sergančių pacientų gydymo patirtis yra nedidelė, tačiau ji nerodo nepageidaujamo poveikio inkstų funkcijai, todėl manoma, kad dozės koreguoti nebūtina. </w:t>
      </w:r>
      <w:r w:rsidR="007F39B7" w:rsidRPr="00051FD3">
        <w:rPr>
          <w:rFonts w:eastAsia="TimesNewRoman"/>
          <w:sz w:val="22"/>
          <w:szCs w:val="22"/>
          <w:lang w:val="lt-LT" w:eastAsia="lt-LT"/>
        </w:rPr>
        <w:t>Gydymo metu rekomenduojama periodiškai tirti pacientų inkstų funkciją (žr. 4.4 skyrių).</w:t>
      </w:r>
      <w:r w:rsidRPr="00051FD3">
        <w:rPr>
          <w:sz w:val="22"/>
          <w:szCs w:val="22"/>
          <w:lang w:val="lt-LT"/>
        </w:rPr>
        <w:t xml:space="preserve"> Dėl sudedamosios dalies </w:t>
      </w:r>
      <w:proofErr w:type="spellStart"/>
      <w:r w:rsidRPr="00051FD3">
        <w:rPr>
          <w:sz w:val="22"/>
          <w:szCs w:val="22"/>
          <w:lang w:val="lt-LT"/>
        </w:rPr>
        <w:t>hidrochlorotiazido</w:t>
      </w:r>
      <w:proofErr w:type="spellEnd"/>
      <w:r w:rsidRPr="00051FD3">
        <w:rPr>
          <w:sz w:val="22"/>
          <w:szCs w:val="22"/>
          <w:lang w:val="lt-LT"/>
        </w:rPr>
        <w:t xml:space="preserve"> poveikio, sunkiu inkstų funkcijos sutrikimu (kreatinino klirensas &lt;30 ml/min.) sergančius pacientus fiksuotų dozių deriniu gydyti draudžiama (žr. 4.3 skyrių). </w:t>
      </w:r>
    </w:p>
    <w:p w14:paraId="40E15975" w14:textId="00E9548E" w:rsidR="007F39B7" w:rsidRPr="00051FD3" w:rsidRDefault="0087522B" w:rsidP="0087522B">
      <w:pPr>
        <w:autoSpaceDE w:val="0"/>
        <w:autoSpaceDN w:val="0"/>
        <w:adjustRightInd w:val="0"/>
        <w:rPr>
          <w:rFonts w:eastAsia="TimesNewRoman"/>
          <w:sz w:val="22"/>
          <w:szCs w:val="22"/>
          <w:lang w:eastAsia="lt-LT"/>
        </w:rPr>
      </w:pPr>
      <w:proofErr w:type="spellStart"/>
      <w:r w:rsidRPr="00051FD3">
        <w:rPr>
          <w:sz w:val="22"/>
          <w:szCs w:val="22"/>
        </w:rPr>
        <w:t>Telmisartanas</w:t>
      </w:r>
      <w:proofErr w:type="spellEnd"/>
      <w:r w:rsidRPr="00051FD3">
        <w:rPr>
          <w:sz w:val="22"/>
          <w:szCs w:val="22"/>
        </w:rPr>
        <w:t xml:space="preserve"> nepašalinamas iš kraujo </w:t>
      </w:r>
      <w:proofErr w:type="spellStart"/>
      <w:r w:rsidRPr="00051FD3">
        <w:rPr>
          <w:sz w:val="22"/>
          <w:szCs w:val="22"/>
        </w:rPr>
        <w:t>hemofiltracijos</w:t>
      </w:r>
      <w:proofErr w:type="spellEnd"/>
      <w:r w:rsidRPr="00051FD3">
        <w:rPr>
          <w:sz w:val="22"/>
          <w:szCs w:val="22"/>
        </w:rPr>
        <w:t xml:space="preserve"> būdu ir dializės metu.</w:t>
      </w:r>
    </w:p>
    <w:p w14:paraId="2C432D4D" w14:textId="2B055302" w:rsidR="007F39B7" w:rsidRPr="00051FD3" w:rsidRDefault="007F39B7" w:rsidP="0087522B">
      <w:pPr>
        <w:autoSpaceDE w:val="0"/>
        <w:autoSpaceDN w:val="0"/>
        <w:adjustRightInd w:val="0"/>
        <w:rPr>
          <w:rFonts w:eastAsia="TimesNewRoman"/>
          <w:sz w:val="22"/>
          <w:szCs w:val="22"/>
          <w:lang w:eastAsia="lt-LT"/>
        </w:rPr>
      </w:pPr>
    </w:p>
    <w:p w14:paraId="282DB9AB" w14:textId="1BA3E062" w:rsidR="007F39B7" w:rsidRPr="00051FD3" w:rsidRDefault="0087522B" w:rsidP="007F39B7">
      <w:pPr>
        <w:autoSpaceDE w:val="0"/>
        <w:autoSpaceDN w:val="0"/>
        <w:adjustRightInd w:val="0"/>
        <w:rPr>
          <w:rFonts w:eastAsia="TimesNewRoman"/>
          <w:i/>
          <w:sz w:val="22"/>
          <w:szCs w:val="22"/>
          <w:u w:val="single"/>
          <w:lang w:eastAsia="lt-LT"/>
        </w:rPr>
      </w:pPr>
      <w:r w:rsidRPr="00051FD3">
        <w:rPr>
          <w:i/>
          <w:color w:val="000000"/>
          <w:sz w:val="22"/>
          <w:szCs w:val="22"/>
        </w:rPr>
        <w:t xml:space="preserve">Pacientams, kurių </w:t>
      </w:r>
      <w:r w:rsidRPr="00FA4E83">
        <w:rPr>
          <w:rFonts w:eastAsia="TimesNewRoman"/>
          <w:i/>
          <w:sz w:val="22"/>
          <w:szCs w:val="22"/>
          <w:lang w:eastAsia="lt-LT"/>
        </w:rPr>
        <w:t>k</w:t>
      </w:r>
      <w:r w:rsidR="007F39B7" w:rsidRPr="00FA4E83">
        <w:rPr>
          <w:rFonts w:eastAsia="TimesNewRoman"/>
          <w:i/>
          <w:sz w:val="22"/>
          <w:szCs w:val="22"/>
          <w:lang w:eastAsia="lt-LT"/>
        </w:rPr>
        <w:t>epenų funkcij</w:t>
      </w:r>
      <w:r w:rsidRPr="00FA4E83">
        <w:rPr>
          <w:rFonts w:eastAsia="TimesNewRoman"/>
          <w:i/>
          <w:sz w:val="22"/>
          <w:szCs w:val="22"/>
          <w:lang w:eastAsia="lt-LT"/>
        </w:rPr>
        <w:t>a</w:t>
      </w:r>
      <w:r w:rsidR="007F39B7" w:rsidRPr="00FA4E83">
        <w:rPr>
          <w:rFonts w:eastAsia="TimesNewRoman"/>
          <w:i/>
          <w:sz w:val="22"/>
          <w:szCs w:val="22"/>
          <w:lang w:eastAsia="lt-LT"/>
        </w:rPr>
        <w:t xml:space="preserve"> sutrik</w:t>
      </w:r>
      <w:r w:rsidRPr="00FA4E83">
        <w:rPr>
          <w:rFonts w:eastAsia="TimesNewRoman"/>
          <w:i/>
          <w:sz w:val="22"/>
          <w:szCs w:val="22"/>
          <w:lang w:eastAsia="lt-LT"/>
        </w:rPr>
        <w:t>usi</w:t>
      </w:r>
    </w:p>
    <w:p w14:paraId="7D388EAA" w14:textId="715FBB31" w:rsidR="007F39B7" w:rsidRPr="00051FD3" w:rsidRDefault="007F39B7" w:rsidP="007F39B7">
      <w:pPr>
        <w:autoSpaceDE w:val="0"/>
        <w:autoSpaceDN w:val="0"/>
        <w:adjustRightInd w:val="0"/>
        <w:rPr>
          <w:i/>
          <w:iCs/>
          <w:sz w:val="22"/>
          <w:szCs w:val="22"/>
        </w:rPr>
      </w:pPr>
      <w:r w:rsidRPr="00051FD3">
        <w:rPr>
          <w:rFonts w:eastAsia="TimesNewRoman"/>
          <w:sz w:val="22"/>
          <w:szCs w:val="22"/>
          <w:lang w:eastAsia="lt-LT"/>
        </w:rPr>
        <w:t>Pacientams, kuriems yra lengvas arba vidutinio sunkumo kepenų funkcijos sutrikimas,</w:t>
      </w:r>
      <w:r w:rsidR="0087522B" w:rsidRPr="00051FD3">
        <w:rPr>
          <w:rFonts w:eastAsia="TimesNewRoman"/>
          <w:sz w:val="22"/>
          <w:szCs w:val="22"/>
          <w:lang w:eastAsia="lt-LT"/>
        </w:rPr>
        <w:t xml:space="preserve"> </w:t>
      </w:r>
      <w:proofErr w:type="spellStart"/>
      <w:r w:rsidR="0087522B" w:rsidRPr="00051FD3">
        <w:rPr>
          <w:rFonts w:eastAsia="TimesNewRoman"/>
          <w:sz w:val="22"/>
          <w:szCs w:val="22"/>
          <w:lang w:eastAsia="lt-LT"/>
        </w:rPr>
        <w:t>Telmisartan</w:t>
      </w:r>
      <w:proofErr w:type="spellEnd"/>
      <w:r w:rsidR="0087522B" w:rsidRPr="00051FD3">
        <w:rPr>
          <w:rFonts w:eastAsia="TimesNewRoman"/>
          <w:sz w:val="22"/>
          <w:szCs w:val="22"/>
          <w:lang w:eastAsia="lt-LT"/>
        </w:rPr>
        <w:t>/</w:t>
      </w:r>
      <w:proofErr w:type="spellStart"/>
      <w:r w:rsidR="0087522B" w:rsidRPr="00051FD3">
        <w:rPr>
          <w:rFonts w:eastAsia="TimesNewRoman"/>
          <w:sz w:val="22"/>
          <w:szCs w:val="22"/>
          <w:lang w:eastAsia="lt-LT"/>
        </w:rPr>
        <w:t>Hydrochlorothiazide</w:t>
      </w:r>
      <w:proofErr w:type="spellEnd"/>
      <w:r w:rsidR="0087522B" w:rsidRPr="00051FD3">
        <w:rPr>
          <w:rFonts w:eastAsia="TimesNewRoman"/>
          <w:sz w:val="22"/>
          <w:szCs w:val="22"/>
          <w:lang w:eastAsia="lt-LT"/>
        </w:rPr>
        <w:t xml:space="preserve"> </w:t>
      </w:r>
      <w:proofErr w:type="spellStart"/>
      <w:r w:rsidR="0087522B" w:rsidRPr="00051FD3">
        <w:rPr>
          <w:rFonts w:eastAsia="TimesNewRoman"/>
          <w:sz w:val="22"/>
          <w:szCs w:val="22"/>
          <w:lang w:eastAsia="lt-LT"/>
        </w:rPr>
        <w:t>Teva</w:t>
      </w:r>
      <w:proofErr w:type="spellEnd"/>
      <w:r w:rsidR="0087522B" w:rsidRPr="00051FD3">
        <w:rPr>
          <w:rFonts w:eastAsia="TimesNewRoman"/>
          <w:sz w:val="22"/>
          <w:szCs w:val="22"/>
          <w:lang w:eastAsia="lt-LT"/>
        </w:rPr>
        <w:t xml:space="preserve"> Pharma</w:t>
      </w:r>
      <w:r w:rsidRPr="00051FD3">
        <w:rPr>
          <w:rFonts w:eastAsia="TimesNewRoman"/>
          <w:sz w:val="22"/>
          <w:szCs w:val="22"/>
          <w:lang w:eastAsia="lt-LT"/>
        </w:rPr>
        <w:t xml:space="preserve"> </w:t>
      </w:r>
      <w:r w:rsidR="0087522B" w:rsidRPr="00051FD3">
        <w:rPr>
          <w:sz w:val="22"/>
          <w:szCs w:val="22"/>
        </w:rPr>
        <w:t xml:space="preserve">reikia vartoti atsargiai. </w:t>
      </w:r>
      <w:proofErr w:type="spellStart"/>
      <w:r w:rsidR="0087522B" w:rsidRPr="00051FD3">
        <w:rPr>
          <w:sz w:val="22"/>
          <w:szCs w:val="22"/>
        </w:rPr>
        <w:t>Telmisartano</w:t>
      </w:r>
      <w:proofErr w:type="spellEnd"/>
      <w:r w:rsidR="0087522B" w:rsidRPr="00051FD3">
        <w:rPr>
          <w:sz w:val="22"/>
          <w:szCs w:val="22"/>
        </w:rPr>
        <w:t xml:space="preserve"> </w:t>
      </w:r>
      <w:r w:rsidRPr="00051FD3">
        <w:rPr>
          <w:rFonts w:eastAsia="TimesNewRoman"/>
          <w:sz w:val="22"/>
          <w:szCs w:val="22"/>
          <w:lang w:eastAsia="lt-LT"/>
        </w:rPr>
        <w:t>dozė negali viršyti daugiau kaip 40 mg per parą</w:t>
      </w:r>
      <w:r w:rsidR="00312DB5">
        <w:rPr>
          <w:rFonts w:eastAsia="TimesNewRoman"/>
          <w:sz w:val="22"/>
          <w:szCs w:val="22"/>
          <w:lang w:eastAsia="lt-LT"/>
        </w:rPr>
        <w:t xml:space="preserve">. </w:t>
      </w:r>
      <w:proofErr w:type="spellStart"/>
      <w:r w:rsidR="00312DB5" w:rsidRPr="006B3AF8">
        <w:rPr>
          <w:rFonts w:eastAsia="TimesNewRoman"/>
          <w:sz w:val="22"/>
          <w:szCs w:val="22"/>
          <w:lang w:eastAsia="lt-LT"/>
        </w:rPr>
        <w:t>Telmisartan</w:t>
      </w:r>
      <w:proofErr w:type="spellEnd"/>
      <w:r w:rsidR="00312DB5" w:rsidRPr="006B3AF8">
        <w:rPr>
          <w:rFonts w:eastAsia="TimesNewRoman"/>
          <w:sz w:val="22"/>
          <w:szCs w:val="22"/>
          <w:lang w:eastAsia="lt-LT"/>
        </w:rPr>
        <w:t>/</w:t>
      </w:r>
      <w:proofErr w:type="spellStart"/>
      <w:r w:rsidR="00312DB5" w:rsidRPr="006B3AF8">
        <w:rPr>
          <w:rFonts w:eastAsia="TimesNewRoman"/>
          <w:sz w:val="22"/>
          <w:szCs w:val="22"/>
          <w:lang w:eastAsia="lt-LT"/>
        </w:rPr>
        <w:t>Hydrochlorothiazide</w:t>
      </w:r>
      <w:proofErr w:type="spellEnd"/>
      <w:r w:rsidR="00312DB5" w:rsidRPr="006B3AF8">
        <w:rPr>
          <w:rFonts w:eastAsia="TimesNewRoman"/>
          <w:sz w:val="22"/>
          <w:szCs w:val="22"/>
          <w:lang w:eastAsia="lt-LT"/>
        </w:rPr>
        <w:t xml:space="preserve"> </w:t>
      </w:r>
      <w:proofErr w:type="spellStart"/>
      <w:r w:rsidR="00312DB5" w:rsidRPr="006B3AF8">
        <w:rPr>
          <w:rFonts w:eastAsia="TimesNewRoman"/>
          <w:sz w:val="22"/>
          <w:szCs w:val="22"/>
          <w:lang w:eastAsia="lt-LT"/>
        </w:rPr>
        <w:t>Teva</w:t>
      </w:r>
      <w:proofErr w:type="spellEnd"/>
      <w:r w:rsidR="00312DB5" w:rsidRPr="006B3AF8">
        <w:rPr>
          <w:rFonts w:eastAsia="TimesNewRoman"/>
          <w:sz w:val="22"/>
          <w:szCs w:val="22"/>
          <w:lang w:eastAsia="lt-LT"/>
        </w:rPr>
        <w:t xml:space="preserve"> Pharma </w:t>
      </w:r>
      <w:r w:rsidR="00312DB5">
        <w:rPr>
          <w:rFonts w:eastAsia="TimesNewRoman"/>
          <w:sz w:val="22"/>
          <w:szCs w:val="22"/>
          <w:lang w:eastAsia="lt-LT"/>
        </w:rPr>
        <w:t xml:space="preserve">draudžiama vartoti </w:t>
      </w:r>
      <w:r w:rsidR="00312DB5" w:rsidRPr="00051FD3">
        <w:rPr>
          <w:rFonts w:eastAsia="TimesNewRoman"/>
          <w:sz w:val="22"/>
          <w:szCs w:val="22"/>
          <w:lang w:eastAsia="lt-LT"/>
        </w:rPr>
        <w:t>pacientams, kuriems yra sunkus kepenų funkcijos sutrikimas</w:t>
      </w:r>
      <w:r w:rsidR="00DE14AF" w:rsidRPr="00051FD3">
        <w:rPr>
          <w:rFonts w:eastAsia="TimesNewRoman"/>
          <w:sz w:val="22"/>
          <w:szCs w:val="22"/>
          <w:lang w:eastAsia="lt-LT"/>
        </w:rPr>
        <w:t xml:space="preserve"> (žr. 4.3 skyrių).</w:t>
      </w:r>
      <w:r w:rsidRPr="00051FD3">
        <w:rPr>
          <w:rFonts w:eastAsia="TimesNewRoman"/>
          <w:sz w:val="22"/>
          <w:szCs w:val="22"/>
          <w:lang w:eastAsia="lt-LT"/>
        </w:rPr>
        <w:t xml:space="preserve"> </w:t>
      </w:r>
      <w:proofErr w:type="spellStart"/>
      <w:r w:rsidRPr="00051FD3">
        <w:rPr>
          <w:rFonts w:eastAsia="TimesNewRoman"/>
          <w:sz w:val="22"/>
          <w:szCs w:val="22"/>
          <w:lang w:eastAsia="lt-LT"/>
        </w:rPr>
        <w:t>Tiazidų</w:t>
      </w:r>
      <w:proofErr w:type="spellEnd"/>
      <w:r w:rsidRPr="00051FD3">
        <w:rPr>
          <w:rFonts w:eastAsia="TimesNewRoman"/>
          <w:sz w:val="22"/>
          <w:szCs w:val="22"/>
          <w:lang w:eastAsia="lt-LT"/>
        </w:rPr>
        <w:t xml:space="preserve"> turi būti vartojama atsargiai pacientams, kurių kepenų funkcija sutrikusi (žr. 4.4 skyrių).</w:t>
      </w:r>
    </w:p>
    <w:p w14:paraId="2F7F4339" w14:textId="2BC84DFA" w:rsidR="007F39B7" w:rsidRPr="00051FD3" w:rsidRDefault="00BE2DA3" w:rsidP="007F39B7">
      <w:pPr>
        <w:tabs>
          <w:tab w:val="left" w:pos="3060"/>
        </w:tabs>
        <w:autoSpaceDE w:val="0"/>
        <w:autoSpaceDN w:val="0"/>
        <w:adjustRightInd w:val="0"/>
        <w:rPr>
          <w:iCs/>
          <w:sz w:val="22"/>
          <w:szCs w:val="22"/>
          <w:u w:val="single"/>
        </w:rPr>
      </w:pPr>
      <w:r w:rsidRPr="00FA4E83">
        <w:rPr>
          <w:i/>
          <w:sz w:val="22"/>
          <w:szCs w:val="22"/>
        </w:rPr>
        <w:lastRenderedPageBreak/>
        <w:t>Senyvi</w:t>
      </w:r>
      <w:r w:rsidR="008443C8" w:rsidRPr="00FA4E83">
        <w:rPr>
          <w:i/>
          <w:sz w:val="22"/>
          <w:szCs w:val="22"/>
        </w:rPr>
        <w:t>ems</w:t>
      </w:r>
    </w:p>
    <w:p w14:paraId="4042AEF5" w14:textId="77777777" w:rsidR="007F39B7" w:rsidRDefault="00BE2DA3" w:rsidP="007F39B7">
      <w:pPr>
        <w:tabs>
          <w:tab w:val="left" w:pos="3060"/>
        </w:tabs>
        <w:autoSpaceDE w:val="0"/>
        <w:autoSpaceDN w:val="0"/>
        <w:adjustRightInd w:val="0"/>
        <w:rPr>
          <w:sz w:val="22"/>
          <w:szCs w:val="22"/>
        </w:rPr>
      </w:pPr>
      <w:r w:rsidRPr="00051FD3">
        <w:rPr>
          <w:sz w:val="22"/>
          <w:szCs w:val="22"/>
        </w:rPr>
        <w:t>Senyviems</w:t>
      </w:r>
      <w:r w:rsidR="007F39B7" w:rsidRPr="00051FD3">
        <w:rPr>
          <w:sz w:val="22"/>
          <w:szCs w:val="22"/>
        </w:rPr>
        <w:t xml:space="preserve"> pacientams dozės koregavimas nereikalingas.</w:t>
      </w:r>
    </w:p>
    <w:p w14:paraId="2C49413D" w14:textId="77777777" w:rsidR="00D86F27" w:rsidRPr="00051FD3" w:rsidRDefault="00D86F27" w:rsidP="007F39B7">
      <w:pPr>
        <w:tabs>
          <w:tab w:val="left" w:pos="3060"/>
        </w:tabs>
        <w:autoSpaceDE w:val="0"/>
        <w:autoSpaceDN w:val="0"/>
        <w:adjustRightInd w:val="0"/>
        <w:rPr>
          <w:sz w:val="22"/>
          <w:szCs w:val="22"/>
        </w:rPr>
      </w:pPr>
    </w:p>
    <w:p w14:paraId="59EEAC2A" w14:textId="77777777" w:rsidR="007F39B7" w:rsidRPr="00FA4E83" w:rsidRDefault="007F39B7" w:rsidP="007F39B7">
      <w:pPr>
        <w:autoSpaceDE w:val="0"/>
        <w:autoSpaceDN w:val="0"/>
        <w:adjustRightInd w:val="0"/>
        <w:rPr>
          <w:rFonts w:eastAsia="TimesNewRoman"/>
          <w:i/>
          <w:iCs/>
          <w:sz w:val="22"/>
          <w:szCs w:val="22"/>
        </w:rPr>
      </w:pPr>
      <w:r w:rsidRPr="00FA4E83">
        <w:rPr>
          <w:rFonts w:eastAsia="TimesNewRoman"/>
          <w:i/>
          <w:iCs/>
          <w:sz w:val="22"/>
          <w:szCs w:val="22"/>
        </w:rPr>
        <w:t>Vaikų populiacija</w:t>
      </w:r>
    </w:p>
    <w:p w14:paraId="20B8C811" w14:textId="392B8EE8" w:rsidR="00D86F27" w:rsidRPr="00051FD3" w:rsidRDefault="007F39B7" w:rsidP="007F39B7">
      <w:pPr>
        <w:autoSpaceDE w:val="0"/>
        <w:autoSpaceDN w:val="0"/>
        <w:adjustRightInd w:val="0"/>
        <w:rPr>
          <w:sz w:val="22"/>
          <w:szCs w:val="22"/>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w:t>
      </w:r>
      <w:r w:rsidRPr="00051FD3">
        <w:rPr>
          <w:rFonts w:eastAsia="TimesNewRoman"/>
          <w:sz w:val="22"/>
          <w:szCs w:val="22"/>
        </w:rPr>
        <w:t xml:space="preserve"> vartojimo saugumas ir veiksmingumas jaunesniems kaip 18 metų vaikams ir paaugliams neištirtas. </w:t>
      </w:r>
      <w:r w:rsidR="00DE14AF" w:rsidRPr="00051FD3">
        <w:rPr>
          <w:sz w:val="22"/>
          <w:szCs w:val="22"/>
        </w:rPr>
        <w:t xml:space="preserve">Vaikams ir paaugliams </w:t>
      </w:r>
      <w:proofErr w:type="spellStart"/>
      <w:r w:rsidR="00D86F27">
        <w:rPr>
          <w:rFonts w:eastAsia="TimesNewRoman"/>
          <w:sz w:val="22"/>
          <w:szCs w:val="22"/>
          <w:lang w:eastAsia="lt-LT"/>
        </w:rPr>
        <w:t>T</w:t>
      </w:r>
      <w:r w:rsidR="001567FE" w:rsidRPr="00051FD3">
        <w:rPr>
          <w:rFonts w:eastAsia="TimesNewRoman"/>
          <w:sz w:val="22"/>
          <w:szCs w:val="22"/>
          <w:lang w:eastAsia="lt-LT"/>
        </w:rPr>
        <w:t>elmisartan</w:t>
      </w:r>
      <w:proofErr w:type="spellEnd"/>
      <w:r w:rsidR="001567FE" w:rsidRPr="00051FD3">
        <w:rPr>
          <w:rFonts w:eastAsia="TimesNewRoman"/>
          <w:sz w:val="22"/>
          <w:szCs w:val="22"/>
          <w:lang w:eastAsia="lt-LT"/>
        </w:rPr>
        <w:t>/</w:t>
      </w:r>
      <w:proofErr w:type="spellStart"/>
      <w:r w:rsidR="001567FE" w:rsidRPr="00051FD3">
        <w:rPr>
          <w:rFonts w:eastAsia="TimesNewRoman"/>
          <w:sz w:val="22"/>
          <w:szCs w:val="22"/>
          <w:lang w:eastAsia="lt-LT"/>
        </w:rPr>
        <w:t>Hydrochlorothiazide</w:t>
      </w:r>
      <w:proofErr w:type="spellEnd"/>
      <w:r w:rsidR="001567FE" w:rsidRPr="00051FD3">
        <w:rPr>
          <w:rFonts w:eastAsia="TimesNewRoman"/>
          <w:sz w:val="22"/>
          <w:szCs w:val="22"/>
          <w:lang w:eastAsia="lt-LT"/>
        </w:rPr>
        <w:t xml:space="preserve"> </w:t>
      </w:r>
      <w:proofErr w:type="spellStart"/>
      <w:r w:rsidR="001567FE" w:rsidRPr="00051FD3">
        <w:rPr>
          <w:rFonts w:eastAsia="TimesNewRoman"/>
          <w:sz w:val="22"/>
          <w:szCs w:val="22"/>
          <w:lang w:eastAsia="lt-LT"/>
        </w:rPr>
        <w:t>Teva</w:t>
      </w:r>
      <w:proofErr w:type="spellEnd"/>
      <w:r w:rsidR="001567FE" w:rsidRPr="00051FD3">
        <w:rPr>
          <w:rFonts w:eastAsia="TimesNewRoman"/>
          <w:sz w:val="22"/>
          <w:szCs w:val="22"/>
          <w:lang w:eastAsia="lt-LT"/>
        </w:rPr>
        <w:t xml:space="preserve"> Pharma</w:t>
      </w:r>
      <w:r w:rsidR="001567FE" w:rsidRPr="00051FD3">
        <w:rPr>
          <w:rFonts w:eastAsia="TimesNewRoman"/>
          <w:sz w:val="22"/>
          <w:szCs w:val="22"/>
        </w:rPr>
        <w:t xml:space="preserve"> </w:t>
      </w:r>
      <w:r w:rsidR="00DE14AF" w:rsidRPr="00051FD3">
        <w:rPr>
          <w:sz w:val="22"/>
          <w:szCs w:val="22"/>
        </w:rPr>
        <w:t xml:space="preserve">vartoti nerekomenduojama. </w:t>
      </w:r>
    </w:p>
    <w:p w14:paraId="6E376A00" w14:textId="77777777" w:rsidR="007F39B7" w:rsidRPr="00051FD3" w:rsidRDefault="007F39B7" w:rsidP="001567FE">
      <w:pPr>
        <w:autoSpaceDE w:val="0"/>
        <w:autoSpaceDN w:val="0"/>
        <w:adjustRightInd w:val="0"/>
        <w:rPr>
          <w:sz w:val="22"/>
          <w:szCs w:val="22"/>
        </w:rPr>
      </w:pPr>
    </w:p>
    <w:p w14:paraId="5EEA7D55" w14:textId="77777777" w:rsidR="007F39B7" w:rsidRPr="00051FD3" w:rsidRDefault="007F39B7" w:rsidP="007F39B7">
      <w:pPr>
        <w:tabs>
          <w:tab w:val="left" w:pos="3060"/>
        </w:tabs>
        <w:autoSpaceDE w:val="0"/>
        <w:autoSpaceDN w:val="0"/>
        <w:adjustRightInd w:val="0"/>
        <w:rPr>
          <w:sz w:val="22"/>
          <w:szCs w:val="22"/>
          <w:u w:val="single"/>
        </w:rPr>
      </w:pPr>
      <w:r w:rsidRPr="00051FD3">
        <w:rPr>
          <w:sz w:val="22"/>
          <w:szCs w:val="22"/>
          <w:u w:val="single"/>
        </w:rPr>
        <w:t>Vartojimo metodas</w:t>
      </w:r>
    </w:p>
    <w:p w14:paraId="64D6FF1E" w14:textId="0B614959"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w:t>
      </w:r>
      <w:r w:rsidRPr="00051FD3">
        <w:rPr>
          <w:rFonts w:eastAsia="TimesNewRoman"/>
          <w:sz w:val="22"/>
          <w:szCs w:val="22"/>
        </w:rPr>
        <w:t xml:space="preserve"> tabletės skirtos vartoti per burną kartą per parą; jas reikia nuryti </w:t>
      </w:r>
      <w:r w:rsidR="001567FE" w:rsidRPr="00051FD3">
        <w:rPr>
          <w:rFonts w:eastAsia="TimesNewRoman"/>
          <w:sz w:val="22"/>
          <w:szCs w:val="22"/>
        </w:rPr>
        <w:t xml:space="preserve">nesukramtytas, užgeriant skysčiu, </w:t>
      </w:r>
      <w:r w:rsidRPr="00051FD3">
        <w:rPr>
          <w:rFonts w:eastAsia="TimesNewRoman"/>
          <w:sz w:val="22"/>
          <w:szCs w:val="22"/>
        </w:rPr>
        <w:t>valgio metu arba nevalgius</w:t>
      </w:r>
      <w:r w:rsidR="001567FE" w:rsidRPr="00051FD3">
        <w:rPr>
          <w:rFonts w:eastAsia="TimesNewRoman"/>
          <w:sz w:val="22"/>
          <w:szCs w:val="22"/>
        </w:rPr>
        <w:t>.</w:t>
      </w:r>
    </w:p>
    <w:p w14:paraId="2706088D" w14:textId="77777777" w:rsidR="007F39B7" w:rsidRPr="00051FD3" w:rsidRDefault="007F39B7" w:rsidP="007F39B7">
      <w:pPr>
        <w:autoSpaceDE w:val="0"/>
        <w:autoSpaceDN w:val="0"/>
        <w:adjustRightInd w:val="0"/>
        <w:rPr>
          <w:rFonts w:eastAsia="TimesNewRoman"/>
          <w:i/>
          <w:iCs/>
          <w:sz w:val="22"/>
          <w:szCs w:val="22"/>
        </w:rPr>
      </w:pPr>
    </w:p>
    <w:p w14:paraId="2D82DD38" w14:textId="77777777" w:rsidR="007F39B7" w:rsidRPr="00051FD3" w:rsidRDefault="007F39B7" w:rsidP="007F39B7">
      <w:pPr>
        <w:autoSpaceDE w:val="0"/>
        <w:autoSpaceDN w:val="0"/>
        <w:adjustRightInd w:val="0"/>
        <w:rPr>
          <w:rFonts w:eastAsia="TimesNewRoman"/>
          <w:b/>
          <w:bCs/>
          <w:sz w:val="22"/>
          <w:szCs w:val="22"/>
        </w:rPr>
      </w:pPr>
      <w:r w:rsidRPr="00051FD3">
        <w:rPr>
          <w:rFonts w:eastAsia="TimesNewRoman"/>
          <w:b/>
          <w:bCs/>
          <w:sz w:val="22"/>
          <w:szCs w:val="22"/>
        </w:rPr>
        <w:t>4.3</w:t>
      </w:r>
      <w:r w:rsidRPr="00051FD3">
        <w:rPr>
          <w:rFonts w:eastAsia="TimesNewRoman"/>
          <w:b/>
          <w:bCs/>
          <w:sz w:val="22"/>
          <w:szCs w:val="22"/>
        </w:rPr>
        <w:tab/>
        <w:t>Kontraindikacijos</w:t>
      </w:r>
    </w:p>
    <w:p w14:paraId="106D7893" w14:textId="77777777" w:rsidR="007F39B7" w:rsidRPr="00051FD3" w:rsidRDefault="007F39B7" w:rsidP="007F39B7">
      <w:pPr>
        <w:autoSpaceDE w:val="0"/>
        <w:autoSpaceDN w:val="0"/>
        <w:adjustRightInd w:val="0"/>
        <w:rPr>
          <w:rFonts w:eastAsia="TimesNewRoman"/>
          <w:sz w:val="22"/>
          <w:szCs w:val="22"/>
        </w:rPr>
      </w:pPr>
    </w:p>
    <w:p w14:paraId="52B760F7" w14:textId="77777777" w:rsidR="007F39B7" w:rsidRPr="00051FD3" w:rsidRDefault="007F39B7" w:rsidP="007F39B7">
      <w:pPr>
        <w:numPr>
          <w:ilvl w:val="0"/>
          <w:numId w:val="17"/>
        </w:numPr>
        <w:autoSpaceDE w:val="0"/>
        <w:autoSpaceDN w:val="0"/>
        <w:adjustRightInd w:val="0"/>
        <w:ind w:left="567" w:hanging="567"/>
        <w:rPr>
          <w:rFonts w:eastAsia="TimesNewRoman"/>
          <w:sz w:val="22"/>
          <w:szCs w:val="22"/>
        </w:rPr>
      </w:pPr>
      <w:r w:rsidRPr="00051FD3">
        <w:rPr>
          <w:rFonts w:eastAsia="TimesNewRoman"/>
          <w:sz w:val="22"/>
          <w:szCs w:val="22"/>
        </w:rPr>
        <w:t>Padidėjęs jautrumas veikliajai arba bet kuriai 6.1 skyriuje nurodytai pagalbinei medžiagai.</w:t>
      </w:r>
    </w:p>
    <w:p w14:paraId="600FBB18" w14:textId="77777777" w:rsidR="007F39B7" w:rsidRPr="00051FD3" w:rsidRDefault="007F39B7" w:rsidP="007F39B7">
      <w:pPr>
        <w:numPr>
          <w:ilvl w:val="0"/>
          <w:numId w:val="17"/>
        </w:numPr>
        <w:autoSpaceDE w:val="0"/>
        <w:autoSpaceDN w:val="0"/>
        <w:adjustRightInd w:val="0"/>
        <w:ind w:left="567" w:hanging="567"/>
        <w:rPr>
          <w:rFonts w:eastAsia="TimesNewRoman"/>
          <w:sz w:val="22"/>
          <w:szCs w:val="22"/>
        </w:rPr>
      </w:pPr>
      <w:r w:rsidRPr="00051FD3">
        <w:rPr>
          <w:rFonts w:eastAsia="TimesNewRoman"/>
          <w:sz w:val="22"/>
          <w:szCs w:val="22"/>
        </w:rPr>
        <w:t xml:space="preserve">Padidėjęs jautrumas kitiems </w:t>
      </w:r>
      <w:proofErr w:type="spellStart"/>
      <w:r w:rsidRPr="00051FD3">
        <w:rPr>
          <w:rFonts w:eastAsia="TimesNewRoman"/>
          <w:sz w:val="22"/>
          <w:szCs w:val="22"/>
        </w:rPr>
        <w:t>sulfonamidų</w:t>
      </w:r>
      <w:proofErr w:type="spellEnd"/>
      <w:r w:rsidRPr="00051FD3">
        <w:rPr>
          <w:rFonts w:eastAsia="TimesNewRoman"/>
          <w:sz w:val="22"/>
          <w:szCs w:val="22"/>
        </w:rPr>
        <w:t xml:space="preserve"> dariniams (</w:t>
      </w:r>
      <w:proofErr w:type="spellStart"/>
      <w:r w:rsidRPr="00051FD3">
        <w:rPr>
          <w:rFonts w:eastAsia="TimesNewRoman"/>
          <w:sz w:val="22"/>
          <w:szCs w:val="22"/>
        </w:rPr>
        <w:t>hidrochlorotiazidas</w:t>
      </w:r>
      <w:proofErr w:type="spellEnd"/>
      <w:r w:rsidRPr="00051FD3">
        <w:rPr>
          <w:rFonts w:eastAsia="TimesNewRoman"/>
          <w:sz w:val="22"/>
          <w:szCs w:val="22"/>
        </w:rPr>
        <w:t xml:space="preserve"> yra </w:t>
      </w:r>
      <w:proofErr w:type="spellStart"/>
      <w:r w:rsidRPr="00051FD3">
        <w:rPr>
          <w:rFonts w:eastAsia="TimesNewRoman"/>
          <w:sz w:val="22"/>
          <w:szCs w:val="22"/>
        </w:rPr>
        <w:t>sulfonamidų</w:t>
      </w:r>
      <w:proofErr w:type="spellEnd"/>
      <w:r w:rsidRPr="00051FD3">
        <w:rPr>
          <w:rFonts w:eastAsia="TimesNewRoman"/>
          <w:sz w:val="22"/>
          <w:szCs w:val="22"/>
        </w:rPr>
        <w:t xml:space="preserve"> grupės vaistinis preparatas).</w:t>
      </w:r>
    </w:p>
    <w:p w14:paraId="56897FFA" w14:textId="77777777" w:rsidR="007F39B7" w:rsidRPr="00051FD3" w:rsidRDefault="007F39B7" w:rsidP="007F39B7">
      <w:pPr>
        <w:numPr>
          <w:ilvl w:val="0"/>
          <w:numId w:val="17"/>
        </w:numPr>
        <w:autoSpaceDE w:val="0"/>
        <w:autoSpaceDN w:val="0"/>
        <w:adjustRightInd w:val="0"/>
        <w:ind w:left="567" w:hanging="567"/>
        <w:rPr>
          <w:rFonts w:eastAsia="TimesNewRoman"/>
          <w:sz w:val="22"/>
          <w:szCs w:val="22"/>
        </w:rPr>
      </w:pPr>
      <w:r w:rsidRPr="00051FD3">
        <w:rPr>
          <w:rFonts w:eastAsia="TimesNewRoman"/>
          <w:sz w:val="22"/>
          <w:szCs w:val="22"/>
        </w:rPr>
        <w:t>Antras ir trečias nėštumo trimestrai (žr. 4.4 ir 4.6 skyrius).</w:t>
      </w:r>
    </w:p>
    <w:p w14:paraId="73FF881D" w14:textId="77777777" w:rsidR="007F39B7" w:rsidRPr="00051FD3" w:rsidRDefault="007F39B7" w:rsidP="007F39B7">
      <w:pPr>
        <w:numPr>
          <w:ilvl w:val="0"/>
          <w:numId w:val="17"/>
        </w:numPr>
        <w:autoSpaceDE w:val="0"/>
        <w:autoSpaceDN w:val="0"/>
        <w:adjustRightInd w:val="0"/>
        <w:ind w:left="567" w:hanging="567"/>
        <w:rPr>
          <w:rFonts w:eastAsia="TimesNewRoman"/>
          <w:sz w:val="22"/>
          <w:szCs w:val="22"/>
        </w:rPr>
      </w:pPr>
      <w:r w:rsidRPr="00051FD3">
        <w:rPr>
          <w:rFonts w:eastAsia="TimesNewRoman"/>
          <w:sz w:val="22"/>
          <w:szCs w:val="22"/>
        </w:rPr>
        <w:t>Tulžies stazė ir nutekėjimo obstrukcija.</w:t>
      </w:r>
    </w:p>
    <w:p w14:paraId="2D15A8C3" w14:textId="77777777" w:rsidR="007F39B7" w:rsidRPr="00051FD3" w:rsidRDefault="007F39B7" w:rsidP="007F39B7">
      <w:pPr>
        <w:numPr>
          <w:ilvl w:val="0"/>
          <w:numId w:val="17"/>
        </w:numPr>
        <w:autoSpaceDE w:val="0"/>
        <w:autoSpaceDN w:val="0"/>
        <w:adjustRightInd w:val="0"/>
        <w:ind w:left="567" w:hanging="567"/>
        <w:rPr>
          <w:rFonts w:eastAsia="TimesNewRoman"/>
          <w:sz w:val="22"/>
          <w:szCs w:val="22"/>
        </w:rPr>
      </w:pPr>
      <w:r w:rsidRPr="00051FD3">
        <w:rPr>
          <w:rFonts w:eastAsia="TimesNewRoman"/>
          <w:sz w:val="22"/>
          <w:szCs w:val="22"/>
        </w:rPr>
        <w:t>Sunkus kepenų funkcijos sutrikimas.</w:t>
      </w:r>
    </w:p>
    <w:p w14:paraId="32F80DCB" w14:textId="0C6C13C9" w:rsidR="007F39B7" w:rsidRPr="00051FD3" w:rsidRDefault="007F39B7" w:rsidP="007F39B7">
      <w:pPr>
        <w:numPr>
          <w:ilvl w:val="0"/>
          <w:numId w:val="18"/>
        </w:numPr>
        <w:autoSpaceDE w:val="0"/>
        <w:autoSpaceDN w:val="0"/>
        <w:adjustRightInd w:val="0"/>
        <w:ind w:left="567" w:hanging="567"/>
        <w:rPr>
          <w:rFonts w:eastAsia="TimesNewRoman"/>
          <w:sz w:val="22"/>
          <w:szCs w:val="22"/>
        </w:rPr>
      </w:pPr>
      <w:r w:rsidRPr="00051FD3">
        <w:rPr>
          <w:rFonts w:eastAsia="TimesNewRoman"/>
          <w:sz w:val="22"/>
          <w:szCs w:val="22"/>
        </w:rPr>
        <w:t>Sunkus inkstų funkcijos sutrikimas (kreatinino klirensas yra &lt;</w:t>
      </w:r>
      <w:r w:rsidR="001567FE" w:rsidRPr="00051FD3">
        <w:rPr>
          <w:rFonts w:eastAsia="TimesNewRoman"/>
          <w:sz w:val="22"/>
          <w:szCs w:val="22"/>
        </w:rPr>
        <w:t> </w:t>
      </w:r>
      <w:r w:rsidRPr="00051FD3">
        <w:rPr>
          <w:rFonts w:eastAsia="TimesNewRoman"/>
          <w:sz w:val="22"/>
          <w:szCs w:val="22"/>
        </w:rPr>
        <w:t>30</w:t>
      </w:r>
      <w:r w:rsidR="001567FE" w:rsidRPr="00051FD3">
        <w:rPr>
          <w:rFonts w:eastAsia="TimesNewRoman"/>
          <w:sz w:val="22"/>
          <w:szCs w:val="22"/>
        </w:rPr>
        <w:t> </w:t>
      </w:r>
      <w:r w:rsidRPr="00051FD3">
        <w:rPr>
          <w:rFonts w:eastAsia="TimesNewRoman"/>
          <w:sz w:val="22"/>
          <w:szCs w:val="22"/>
        </w:rPr>
        <w:t>ml/min.)</w:t>
      </w:r>
      <w:r w:rsidR="001567FE" w:rsidRPr="00051FD3">
        <w:rPr>
          <w:rFonts w:eastAsia="TimesNewRoman"/>
          <w:sz w:val="22"/>
          <w:szCs w:val="22"/>
        </w:rPr>
        <w:t xml:space="preserve">, </w:t>
      </w:r>
      <w:proofErr w:type="spellStart"/>
      <w:r w:rsidR="001567FE" w:rsidRPr="00051FD3">
        <w:rPr>
          <w:rFonts w:eastAsia="TimesNewRoman"/>
          <w:sz w:val="22"/>
          <w:szCs w:val="22"/>
        </w:rPr>
        <w:t>anurija</w:t>
      </w:r>
      <w:proofErr w:type="spellEnd"/>
      <w:r w:rsidRPr="00051FD3">
        <w:rPr>
          <w:rFonts w:eastAsia="TimesNewRoman"/>
          <w:sz w:val="22"/>
          <w:szCs w:val="22"/>
        </w:rPr>
        <w:t>.</w:t>
      </w:r>
    </w:p>
    <w:p w14:paraId="7135ED20" w14:textId="77777777" w:rsidR="007F39B7" w:rsidRPr="00051FD3" w:rsidRDefault="007F39B7" w:rsidP="007F39B7">
      <w:pPr>
        <w:numPr>
          <w:ilvl w:val="0"/>
          <w:numId w:val="19"/>
        </w:numPr>
        <w:autoSpaceDE w:val="0"/>
        <w:autoSpaceDN w:val="0"/>
        <w:adjustRightInd w:val="0"/>
        <w:ind w:left="567" w:hanging="567"/>
        <w:rPr>
          <w:rFonts w:eastAsia="TimesNewRoman"/>
          <w:sz w:val="22"/>
          <w:szCs w:val="22"/>
        </w:rPr>
      </w:pPr>
      <w:proofErr w:type="spellStart"/>
      <w:r w:rsidRPr="00051FD3">
        <w:rPr>
          <w:rFonts w:eastAsia="TimesNewRoman"/>
          <w:sz w:val="22"/>
          <w:szCs w:val="22"/>
        </w:rPr>
        <w:t>Refrakterinė</w:t>
      </w:r>
      <w:proofErr w:type="spellEnd"/>
      <w:r w:rsidRPr="00051FD3">
        <w:rPr>
          <w:rFonts w:eastAsia="TimesNewRoman"/>
          <w:sz w:val="22"/>
          <w:szCs w:val="22"/>
        </w:rPr>
        <w:t xml:space="preserve"> </w:t>
      </w:r>
      <w:proofErr w:type="spellStart"/>
      <w:r w:rsidRPr="00051FD3">
        <w:rPr>
          <w:rFonts w:eastAsia="TimesNewRoman"/>
          <w:sz w:val="22"/>
          <w:szCs w:val="22"/>
        </w:rPr>
        <w:t>hipokalemija</w:t>
      </w:r>
      <w:proofErr w:type="spellEnd"/>
      <w:r w:rsidRPr="00051FD3">
        <w:rPr>
          <w:rFonts w:eastAsia="TimesNewRoman"/>
          <w:sz w:val="22"/>
          <w:szCs w:val="22"/>
        </w:rPr>
        <w:t xml:space="preserve">, </w:t>
      </w:r>
      <w:proofErr w:type="spellStart"/>
      <w:r w:rsidRPr="00051FD3">
        <w:rPr>
          <w:rFonts w:eastAsia="TimesNewRoman"/>
          <w:sz w:val="22"/>
          <w:szCs w:val="22"/>
        </w:rPr>
        <w:t>hiperkalcemija</w:t>
      </w:r>
      <w:proofErr w:type="spellEnd"/>
      <w:r w:rsidRPr="00051FD3">
        <w:rPr>
          <w:rFonts w:eastAsia="TimesNewRoman"/>
          <w:sz w:val="22"/>
          <w:szCs w:val="22"/>
        </w:rPr>
        <w:t>.</w:t>
      </w:r>
    </w:p>
    <w:p w14:paraId="16DEF378" w14:textId="77777777" w:rsidR="00B824CC" w:rsidRDefault="00B824CC" w:rsidP="00B824CC">
      <w:pPr>
        <w:autoSpaceDE w:val="0"/>
        <w:autoSpaceDN w:val="0"/>
        <w:adjustRightInd w:val="0"/>
        <w:rPr>
          <w:sz w:val="22"/>
          <w:szCs w:val="22"/>
        </w:rPr>
      </w:pPr>
    </w:p>
    <w:p w14:paraId="3CD6D04C" w14:textId="2425BE27" w:rsidR="00524B41" w:rsidRPr="00051FD3" w:rsidRDefault="00524B41" w:rsidP="00FA4E83">
      <w:pPr>
        <w:autoSpaceDE w:val="0"/>
        <w:autoSpaceDN w:val="0"/>
        <w:adjustRightInd w:val="0"/>
        <w:rPr>
          <w:rFonts w:eastAsia="TimesNewRoman"/>
          <w:sz w:val="22"/>
          <w:szCs w:val="22"/>
        </w:rPr>
      </w:pPr>
      <w:r w:rsidRPr="00051FD3">
        <w:rPr>
          <w:sz w:val="22"/>
          <w:szCs w:val="22"/>
        </w:rPr>
        <w:t>Pacientams,</w:t>
      </w:r>
      <w:r w:rsidR="007339BB">
        <w:rPr>
          <w:sz w:val="22"/>
          <w:szCs w:val="22"/>
        </w:rPr>
        <w:t> </w:t>
      </w:r>
      <w:r w:rsidRPr="00051FD3">
        <w:rPr>
          <w:sz w:val="22"/>
          <w:szCs w:val="22"/>
        </w:rPr>
        <w:t>kurie</w:t>
      </w:r>
      <w:r w:rsidR="007339BB">
        <w:rPr>
          <w:sz w:val="22"/>
          <w:szCs w:val="22"/>
        </w:rPr>
        <w:t> </w:t>
      </w:r>
      <w:r w:rsidRPr="00051FD3">
        <w:rPr>
          <w:sz w:val="22"/>
          <w:szCs w:val="22"/>
        </w:rPr>
        <w:t>serga</w:t>
      </w:r>
      <w:r w:rsidR="007339BB">
        <w:rPr>
          <w:sz w:val="22"/>
          <w:szCs w:val="22"/>
        </w:rPr>
        <w:t> </w:t>
      </w:r>
      <w:r w:rsidRPr="00051FD3">
        <w:rPr>
          <w:sz w:val="22"/>
          <w:szCs w:val="22"/>
        </w:rPr>
        <w:t>cukriniu</w:t>
      </w:r>
      <w:r w:rsidR="007339BB">
        <w:rPr>
          <w:sz w:val="22"/>
          <w:szCs w:val="22"/>
        </w:rPr>
        <w:t> </w:t>
      </w:r>
      <w:r w:rsidRPr="00051FD3">
        <w:rPr>
          <w:sz w:val="22"/>
          <w:szCs w:val="22"/>
        </w:rPr>
        <w:t>diabetu</w:t>
      </w:r>
      <w:r w:rsidR="007339BB">
        <w:rPr>
          <w:sz w:val="22"/>
          <w:szCs w:val="22"/>
        </w:rPr>
        <w:t> </w:t>
      </w:r>
      <w:r w:rsidRPr="00051FD3">
        <w:rPr>
          <w:sz w:val="22"/>
          <w:szCs w:val="22"/>
        </w:rPr>
        <w:t>arba</w:t>
      </w:r>
      <w:r w:rsidR="007339BB">
        <w:rPr>
          <w:sz w:val="22"/>
          <w:szCs w:val="22"/>
        </w:rPr>
        <w:t> </w:t>
      </w:r>
      <w:r w:rsidRPr="00051FD3">
        <w:rPr>
          <w:sz w:val="22"/>
          <w:szCs w:val="22"/>
        </w:rPr>
        <w:t>kurių</w:t>
      </w:r>
      <w:r w:rsidR="007339BB">
        <w:rPr>
          <w:sz w:val="22"/>
          <w:szCs w:val="22"/>
        </w:rPr>
        <w:t> </w:t>
      </w:r>
      <w:r w:rsidRPr="00051FD3">
        <w:rPr>
          <w:sz w:val="22"/>
          <w:szCs w:val="22"/>
        </w:rPr>
        <w:t>inkstų</w:t>
      </w:r>
      <w:r w:rsidR="007339BB">
        <w:rPr>
          <w:sz w:val="22"/>
          <w:szCs w:val="22"/>
        </w:rPr>
        <w:t> </w:t>
      </w:r>
      <w:r w:rsidRPr="00051FD3">
        <w:rPr>
          <w:sz w:val="22"/>
          <w:szCs w:val="22"/>
        </w:rPr>
        <w:t>funkcija</w:t>
      </w:r>
      <w:r w:rsidR="007339BB">
        <w:rPr>
          <w:sz w:val="22"/>
          <w:szCs w:val="22"/>
        </w:rPr>
        <w:t> </w:t>
      </w:r>
      <w:r w:rsidRPr="00051FD3">
        <w:rPr>
          <w:sz w:val="22"/>
          <w:szCs w:val="22"/>
        </w:rPr>
        <w:t>sutrikusi</w:t>
      </w:r>
      <w:r w:rsidR="008C4FDD">
        <w:rPr>
          <w:sz w:val="22"/>
          <w:szCs w:val="22"/>
        </w:rPr>
        <w:t> </w:t>
      </w:r>
      <w:r w:rsidR="00751F83">
        <w:rPr>
          <w:sz w:val="22"/>
          <w:szCs w:val="22"/>
        </w:rPr>
        <w:t>(</w:t>
      </w:r>
      <w:r w:rsidRPr="00051FD3">
        <w:rPr>
          <w:sz w:val="22"/>
          <w:szCs w:val="22"/>
        </w:rPr>
        <w:t>GFG</w:t>
      </w:r>
      <w:r w:rsidR="008C4FDD">
        <w:rPr>
          <w:sz w:val="22"/>
          <w:szCs w:val="22"/>
        </w:rPr>
        <w:t> </w:t>
      </w:r>
      <w:r w:rsidRPr="00051FD3">
        <w:rPr>
          <w:sz w:val="22"/>
          <w:szCs w:val="22"/>
        </w:rPr>
        <w:t>&lt;</w:t>
      </w:r>
      <w:r w:rsidR="002A4E4A" w:rsidRPr="00051FD3">
        <w:rPr>
          <w:sz w:val="22"/>
          <w:szCs w:val="22"/>
        </w:rPr>
        <w:t> </w:t>
      </w:r>
      <w:r w:rsidRPr="00051FD3">
        <w:rPr>
          <w:sz w:val="22"/>
          <w:szCs w:val="22"/>
        </w:rPr>
        <w:t>60</w:t>
      </w:r>
      <w:r w:rsidR="002A4E4A" w:rsidRPr="00051FD3">
        <w:rPr>
          <w:sz w:val="22"/>
          <w:szCs w:val="22"/>
        </w:rPr>
        <w:t> </w:t>
      </w:r>
      <w:r w:rsidRPr="00051FD3">
        <w:rPr>
          <w:sz w:val="22"/>
          <w:szCs w:val="22"/>
        </w:rPr>
        <w:t>ml/min./1,73</w:t>
      </w:r>
      <w:r w:rsidR="008C4FDD">
        <w:rPr>
          <w:sz w:val="22"/>
          <w:szCs w:val="22"/>
        </w:rPr>
        <w:t> </w:t>
      </w:r>
      <w:r w:rsidRPr="00051FD3">
        <w:rPr>
          <w:sz w:val="22"/>
          <w:szCs w:val="22"/>
        </w:rPr>
        <w:t>m</w:t>
      </w:r>
      <w:r w:rsidRPr="00051FD3">
        <w:rPr>
          <w:position w:val="8"/>
          <w:sz w:val="22"/>
          <w:szCs w:val="22"/>
          <w:vertAlign w:val="subscript"/>
        </w:rPr>
        <w:t>2</w:t>
      </w:r>
      <w:r w:rsidRPr="00051FD3">
        <w:rPr>
          <w:sz w:val="22"/>
          <w:szCs w:val="22"/>
        </w:rPr>
        <w:t>),</w:t>
      </w:r>
      <w:r w:rsidR="007339BB">
        <w:rPr>
          <w:sz w:val="22"/>
          <w:szCs w:val="22"/>
        </w:rPr>
        <w:t> </w:t>
      </w: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w:t>
      </w:r>
      <w:r w:rsidRPr="00051FD3">
        <w:rPr>
          <w:sz w:val="22"/>
          <w:szCs w:val="22"/>
        </w:rPr>
        <w:t xml:space="preserve"> negalima vartoti kartu su preparatais, kurių</w:t>
      </w:r>
      <w:r w:rsidR="00AB623B">
        <w:rPr>
          <w:sz w:val="22"/>
          <w:szCs w:val="22"/>
        </w:rPr>
        <w:t> </w:t>
      </w:r>
      <w:r w:rsidRPr="00051FD3">
        <w:rPr>
          <w:sz w:val="22"/>
          <w:szCs w:val="22"/>
        </w:rPr>
        <w:t xml:space="preserve">sudėtyje yra </w:t>
      </w:r>
      <w:proofErr w:type="spellStart"/>
      <w:r w:rsidRPr="00051FD3">
        <w:rPr>
          <w:sz w:val="22"/>
          <w:szCs w:val="22"/>
        </w:rPr>
        <w:t>aliskireno</w:t>
      </w:r>
      <w:proofErr w:type="spellEnd"/>
      <w:r w:rsidRPr="00051FD3">
        <w:rPr>
          <w:sz w:val="22"/>
          <w:szCs w:val="22"/>
        </w:rPr>
        <w:t xml:space="preserve"> (žr. 4.5 ir 5.1 skyrius).</w:t>
      </w:r>
    </w:p>
    <w:p w14:paraId="1801CE33" w14:textId="77777777" w:rsidR="007F39B7" w:rsidRPr="00051FD3" w:rsidRDefault="007F39B7" w:rsidP="003146E4">
      <w:pPr>
        <w:autoSpaceDE w:val="0"/>
        <w:autoSpaceDN w:val="0"/>
        <w:adjustRightInd w:val="0"/>
        <w:rPr>
          <w:rFonts w:eastAsia="TimesNewRoman"/>
          <w:sz w:val="22"/>
          <w:szCs w:val="22"/>
          <w:lang w:eastAsia="lt-LT"/>
        </w:rPr>
      </w:pPr>
    </w:p>
    <w:p w14:paraId="18504529" w14:textId="77777777" w:rsidR="007F39B7" w:rsidRPr="00051FD3" w:rsidRDefault="007F39B7" w:rsidP="007F39B7">
      <w:pPr>
        <w:autoSpaceDE w:val="0"/>
        <w:autoSpaceDN w:val="0"/>
        <w:adjustRightInd w:val="0"/>
        <w:rPr>
          <w:rFonts w:eastAsia="TimesNewRoman"/>
          <w:b/>
          <w:bCs/>
          <w:sz w:val="22"/>
          <w:szCs w:val="22"/>
        </w:rPr>
      </w:pPr>
      <w:r w:rsidRPr="00051FD3">
        <w:rPr>
          <w:rFonts w:eastAsia="TimesNewRoman"/>
          <w:b/>
          <w:bCs/>
          <w:sz w:val="22"/>
          <w:szCs w:val="22"/>
        </w:rPr>
        <w:t>4.4</w:t>
      </w:r>
      <w:r w:rsidRPr="00051FD3">
        <w:rPr>
          <w:rFonts w:eastAsia="TimesNewRoman"/>
          <w:b/>
          <w:bCs/>
          <w:sz w:val="22"/>
          <w:szCs w:val="22"/>
        </w:rPr>
        <w:tab/>
        <w:t>Specialūs įspėjimai ir atsargumo priemonės</w:t>
      </w:r>
    </w:p>
    <w:p w14:paraId="5A79E612" w14:textId="77777777" w:rsidR="007F39B7" w:rsidRPr="00051FD3" w:rsidRDefault="007F39B7" w:rsidP="007F39B7">
      <w:pPr>
        <w:autoSpaceDE w:val="0"/>
        <w:autoSpaceDN w:val="0"/>
        <w:adjustRightInd w:val="0"/>
        <w:rPr>
          <w:rFonts w:eastAsia="TimesNewRoman"/>
          <w:sz w:val="22"/>
          <w:szCs w:val="22"/>
        </w:rPr>
      </w:pPr>
    </w:p>
    <w:p w14:paraId="117C38E1"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Nėštumas</w:t>
      </w:r>
    </w:p>
    <w:p w14:paraId="659EB846" w14:textId="56FCA234"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Nėščių moterų pradėti gydyti </w:t>
      </w:r>
      <w:proofErr w:type="spellStart"/>
      <w:r w:rsidRPr="00051FD3">
        <w:rPr>
          <w:rFonts w:eastAsia="TimesNewRoman"/>
          <w:sz w:val="22"/>
          <w:szCs w:val="22"/>
        </w:rPr>
        <w:t>angiotenzino</w:t>
      </w:r>
      <w:proofErr w:type="spellEnd"/>
      <w:r w:rsidRPr="00051FD3">
        <w:rPr>
          <w:rFonts w:eastAsia="TimesNewRoman"/>
          <w:sz w:val="22"/>
          <w:szCs w:val="22"/>
        </w:rPr>
        <w:t xml:space="preserve"> II  receptorių blokatoriais negalima. Išskyrus atvejus, kai tolesnis gydymas </w:t>
      </w:r>
      <w:proofErr w:type="spellStart"/>
      <w:r w:rsidRPr="00051FD3">
        <w:rPr>
          <w:rFonts w:eastAsia="TimesNewRoman"/>
          <w:sz w:val="22"/>
          <w:szCs w:val="22"/>
        </w:rPr>
        <w:t>angiotenzino</w:t>
      </w:r>
      <w:proofErr w:type="spellEnd"/>
      <w:r w:rsidRPr="00051FD3">
        <w:rPr>
          <w:rFonts w:eastAsia="TimesNewRoman"/>
          <w:sz w:val="22"/>
          <w:szCs w:val="22"/>
        </w:rPr>
        <w:t xml:space="preserve"> II receptorių blokatoriais būtinas, pastoti planuojančioms pacientėms juos reikia keisti kitokiais </w:t>
      </w:r>
      <w:proofErr w:type="spellStart"/>
      <w:r w:rsidRPr="00051FD3">
        <w:rPr>
          <w:rFonts w:eastAsia="TimesNewRoman"/>
          <w:sz w:val="22"/>
          <w:szCs w:val="22"/>
        </w:rPr>
        <w:t>antihipertenziniais</w:t>
      </w:r>
      <w:proofErr w:type="spellEnd"/>
      <w:r w:rsidRPr="00051FD3">
        <w:rPr>
          <w:rFonts w:eastAsia="TimesNewRoman"/>
          <w:sz w:val="22"/>
          <w:szCs w:val="22"/>
        </w:rPr>
        <w:t xml:space="preserve"> vaistiniais preparatais, kurių vartojimo saugumas nėštumo metu nustatytas. Nustačius nėštumą, </w:t>
      </w:r>
      <w:proofErr w:type="spellStart"/>
      <w:r w:rsidRPr="00051FD3">
        <w:rPr>
          <w:rFonts w:eastAsia="TimesNewRoman"/>
          <w:sz w:val="22"/>
          <w:szCs w:val="22"/>
        </w:rPr>
        <w:t>angiotenzino</w:t>
      </w:r>
      <w:proofErr w:type="spellEnd"/>
      <w:r w:rsidRPr="00051FD3">
        <w:rPr>
          <w:rFonts w:eastAsia="TimesNewRoman"/>
          <w:sz w:val="22"/>
          <w:szCs w:val="22"/>
        </w:rPr>
        <w:t xml:space="preserve"> II  receptorių blokatorių vartojimą būtina nedelsiant nutraukti ir, prireikus, skirti kitokį tinkamą gydymą (žr. 4.3 ir 4.6 skyrius).</w:t>
      </w:r>
    </w:p>
    <w:p w14:paraId="15103989" w14:textId="77777777" w:rsidR="007F39B7" w:rsidRPr="00051FD3" w:rsidRDefault="007F39B7" w:rsidP="007F39B7">
      <w:pPr>
        <w:autoSpaceDE w:val="0"/>
        <w:autoSpaceDN w:val="0"/>
        <w:adjustRightInd w:val="0"/>
        <w:rPr>
          <w:rFonts w:eastAsia="TimesNewRoman"/>
          <w:sz w:val="22"/>
          <w:szCs w:val="22"/>
        </w:rPr>
      </w:pPr>
    </w:p>
    <w:p w14:paraId="2A7C0A06"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Kepenų funkcijos sutrikimas</w:t>
      </w:r>
    </w:p>
    <w:p w14:paraId="73994611"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Pacientams, kuriems yra tulžies stazė, tulžies nutekėjimo obstrukcija arba sunkus kepenų nepakankamumas, </w:t>
      </w: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w:t>
      </w:r>
      <w:r w:rsidRPr="00051FD3">
        <w:rPr>
          <w:rFonts w:eastAsia="TimesNewRoman"/>
          <w:sz w:val="22"/>
          <w:szCs w:val="22"/>
        </w:rPr>
        <w:t xml:space="preserve"> vartoti negalima, kadangi </w:t>
      </w:r>
      <w:proofErr w:type="spellStart"/>
      <w:r w:rsidRPr="00051FD3">
        <w:rPr>
          <w:rFonts w:eastAsia="TimesNewRoman"/>
          <w:sz w:val="22"/>
          <w:szCs w:val="22"/>
        </w:rPr>
        <w:t>telmisartanas</w:t>
      </w:r>
      <w:proofErr w:type="spellEnd"/>
      <w:r w:rsidRPr="00051FD3">
        <w:rPr>
          <w:rFonts w:eastAsia="TimesNewRoman"/>
          <w:sz w:val="22"/>
          <w:szCs w:val="22"/>
        </w:rPr>
        <w:t xml:space="preserve"> iš organizmo šalinamas daugiausiai su tulžimi (žr. 4.3 skyrių). Manoma, jog tokių </w:t>
      </w:r>
      <w:r w:rsidR="00236324" w:rsidRPr="00051FD3">
        <w:rPr>
          <w:rFonts w:eastAsia="TimesNewRoman"/>
          <w:sz w:val="22"/>
          <w:szCs w:val="22"/>
        </w:rPr>
        <w:t>pacient</w:t>
      </w:r>
      <w:r w:rsidRPr="00051FD3">
        <w:rPr>
          <w:rFonts w:eastAsia="TimesNewRoman"/>
          <w:sz w:val="22"/>
          <w:szCs w:val="22"/>
        </w:rPr>
        <w:t>ų organizme vaisto klirensas kepenyse gali būti mažesnis.</w:t>
      </w:r>
    </w:p>
    <w:p w14:paraId="5A21FBBA" w14:textId="77777777" w:rsidR="007F39B7" w:rsidRPr="00051FD3" w:rsidRDefault="007F39B7" w:rsidP="007F39B7">
      <w:pPr>
        <w:autoSpaceDE w:val="0"/>
        <w:autoSpaceDN w:val="0"/>
        <w:adjustRightInd w:val="0"/>
        <w:rPr>
          <w:rFonts w:eastAsia="TimesNewRoman"/>
          <w:sz w:val="22"/>
          <w:szCs w:val="22"/>
        </w:rPr>
      </w:pPr>
    </w:p>
    <w:p w14:paraId="64C2EAA8"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Be to, atsargiai vaistiniu preparatu reikia gydyti pacientus, kurių kepenų funkcija sutrikusi arba kurie serga progresuojančia kepenų liga, nes net nedidelis skysčių ar elektrolitų pusiausvyros pokytis gali skatinti kepenų komos pasireiškimą. </w:t>
      </w:r>
      <w:r w:rsidR="00236324" w:rsidRPr="00051FD3">
        <w:rPr>
          <w:rFonts w:eastAsia="TimesNewRoman"/>
          <w:sz w:val="22"/>
          <w:szCs w:val="22"/>
        </w:rPr>
        <w:t>Pacient</w:t>
      </w:r>
      <w:r w:rsidRPr="00051FD3">
        <w:rPr>
          <w:rFonts w:eastAsia="TimesNewRoman"/>
          <w:sz w:val="22"/>
          <w:szCs w:val="22"/>
        </w:rPr>
        <w:t xml:space="preserve">ų, kurių kepenų funkcija sutrikusi, gydymo </w:t>
      </w: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w:t>
      </w:r>
      <w:r w:rsidRPr="00051FD3">
        <w:rPr>
          <w:rFonts w:eastAsia="TimesNewRoman"/>
          <w:sz w:val="22"/>
          <w:szCs w:val="22"/>
        </w:rPr>
        <w:t xml:space="preserve"> patirties nėra.</w:t>
      </w:r>
    </w:p>
    <w:p w14:paraId="24B111F0" w14:textId="77777777" w:rsidR="007F39B7" w:rsidRPr="00051FD3" w:rsidRDefault="007F39B7" w:rsidP="007F39B7">
      <w:pPr>
        <w:autoSpaceDE w:val="0"/>
        <w:autoSpaceDN w:val="0"/>
        <w:adjustRightInd w:val="0"/>
        <w:rPr>
          <w:rFonts w:eastAsia="TimesNewRoman"/>
          <w:sz w:val="22"/>
          <w:szCs w:val="22"/>
        </w:rPr>
      </w:pPr>
    </w:p>
    <w:p w14:paraId="3809F509" w14:textId="77777777" w:rsidR="007F39B7" w:rsidRPr="00051FD3" w:rsidRDefault="007F39B7"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Renovaskulinė</w:t>
      </w:r>
      <w:proofErr w:type="spellEnd"/>
      <w:r w:rsidRPr="00051FD3">
        <w:rPr>
          <w:rFonts w:eastAsia="TimesNewRoman"/>
          <w:sz w:val="22"/>
          <w:szCs w:val="22"/>
          <w:u w:val="single"/>
        </w:rPr>
        <w:t xml:space="preserve"> hipertenzija</w:t>
      </w:r>
    </w:p>
    <w:p w14:paraId="710A33BB"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Renino</w:t>
      </w:r>
      <w:proofErr w:type="spellEnd"/>
      <w:r w:rsidRPr="00051FD3">
        <w:rPr>
          <w:rFonts w:eastAsia="TimesNewRoman"/>
          <w:sz w:val="22"/>
          <w:szCs w:val="22"/>
        </w:rPr>
        <w:t xml:space="preserve">, </w:t>
      </w:r>
      <w:proofErr w:type="spellStart"/>
      <w:r w:rsidRPr="00051FD3">
        <w:rPr>
          <w:rFonts w:eastAsia="TimesNewRoman"/>
          <w:sz w:val="22"/>
          <w:szCs w:val="22"/>
        </w:rPr>
        <w:t>angiotenzino</w:t>
      </w:r>
      <w:proofErr w:type="spellEnd"/>
      <w:r w:rsidRPr="00051FD3">
        <w:rPr>
          <w:rFonts w:eastAsia="TimesNewRoman"/>
          <w:sz w:val="22"/>
          <w:szCs w:val="22"/>
        </w:rPr>
        <w:t xml:space="preserve"> ir </w:t>
      </w:r>
      <w:proofErr w:type="spellStart"/>
      <w:r w:rsidRPr="00051FD3">
        <w:rPr>
          <w:rFonts w:eastAsia="TimesNewRoman"/>
          <w:sz w:val="22"/>
          <w:szCs w:val="22"/>
        </w:rPr>
        <w:t>aldosterono</w:t>
      </w:r>
      <w:proofErr w:type="spellEnd"/>
      <w:r w:rsidRPr="00051FD3">
        <w:rPr>
          <w:rFonts w:eastAsia="TimesNewRoman"/>
          <w:sz w:val="22"/>
          <w:szCs w:val="22"/>
        </w:rPr>
        <w:t xml:space="preserve"> sistemą veikiančių preparatų vartojantiems pacientams, </w:t>
      </w:r>
      <w:r w:rsidRPr="000E639C">
        <w:rPr>
          <w:rFonts w:eastAsia="TimesNewRoman"/>
          <w:sz w:val="22"/>
          <w:szCs w:val="22"/>
        </w:rPr>
        <w:t>kurių abiejų inkstų arba vieno, jei funkcionuoja tik vien</w:t>
      </w:r>
      <w:r w:rsidRPr="00051FD3">
        <w:rPr>
          <w:rFonts w:eastAsia="TimesNewRoman"/>
          <w:sz w:val="22"/>
          <w:szCs w:val="22"/>
        </w:rPr>
        <w:t xml:space="preserve">as inkstas, arterijos susiaurėjusios, yra didesnė sunkios </w:t>
      </w:r>
      <w:proofErr w:type="spellStart"/>
      <w:r w:rsidRPr="00051FD3">
        <w:rPr>
          <w:rFonts w:eastAsia="TimesNewRoman"/>
          <w:sz w:val="22"/>
          <w:szCs w:val="22"/>
        </w:rPr>
        <w:t>hipotenzijos</w:t>
      </w:r>
      <w:proofErr w:type="spellEnd"/>
      <w:r w:rsidRPr="00051FD3">
        <w:rPr>
          <w:rFonts w:eastAsia="TimesNewRoman"/>
          <w:sz w:val="22"/>
          <w:szCs w:val="22"/>
        </w:rPr>
        <w:t xml:space="preserve"> ir inkstų nepakankamumo pasireiškimo rizika.</w:t>
      </w:r>
    </w:p>
    <w:p w14:paraId="2F6F887E" w14:textId="77777777" w:rsidR="007F39B7" w:rsidRPr="00051FD3" w:rsidRDefault="007F39B7" w:rsidP="007F39B7">
      <w:pPr>
        <w:autoSpaceDE w:val="0"/>
        <w:autoSpaceDN w:val="0"/>
        <w:adjustRightInd w:val="0"/>
        <w:rPr>
          <w:rFonts w:eastAsia="TimesNewRoman"/>
          <w:sz w:val="22"/>
          <w:szCs w:val="22"/>
        </w:rPr>
      </w:pPr>
    </w:p>
    <w:p w14:paraId="64D4117A"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u w:val="single"/>
        </w:rPr>
        <w:t>Inkstų funkcijos sutrikimas, persodintas inkstas</w:t>
      </w:r>
    </w:p>
    <w:p w14:paraId="2FC547B2" w14:textId="34E77C09" w:rsidR="003146E4" w:rsidRPr="00051FD3" w:rsidRDefault="007F39B7" w:rsidP="007F39B7">
      <w:pPr>
        <w:autoSpaceDE w:val="0"/>
        <w:autoSpaceDN w:val="0"/>
        <w:adjustRightInd w:val="0"/>
        <w:rPr>
          <w:sz w:val="22"/>
          <w:szCs w:val="22"/>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 negalima vartoti p</w:t>
      </w:r>
      <w:r w:rsidRPr="00051FD3">
        <w:rPr>
          <w:rFonts w:eastAsia="TimesNewRoman"/>
          <w:sz w:val="22"/>
          <w:szCs w:val="22"/>
        </w:rPr>
        <w:t>acientams, kuriems yra sunkus inkstų funkcijos sutrikimas (kreatinino klirensas yra &lt; 30</w:t>
      </w:r>
      <w:r w:rsidR="00D475F2" w:rsidRPr="00051FD3">
        <w:rPr>
          <w:rFonts w:eastAsia="TimesNewRoman"/>
          <w:sz w:val="22"/>
          <w:szCs w:val="22"/>
        </w:rPr>
        <w:t> </w:t>
      </w:r>
      <w:r w:rsidRPr="00051FD3">
        <w:rPr>
          <w:rFonts w:eastAsia="TimesNewRoman"/>
          <w:sz w:val="22"/>
          <w:szCs w:val="22"/>
        </w:rPr>
        <w:t>ml/min.) (žr. 4.3 skyrių).</w:t>
      </w:r>
      <w:r w:rsidRPr="00051FD3">
        <w:rPr>
          <w:sz w:val="22"/>
          <w:szCs w:val="22"/>
          <w:lang w:eastAsia="lt-LT"/>
        </w:rPr>
        <w:t xml:space="preserve"> Pacientų, kuriems neseniai persodintas inkstas, gydymo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patirties nėra. </w:t>
      </w:r>
      <w:r w:rsidRPr="00051FD3">
        <w:rPr>
          <w:rFonts w:eastAsia="TimesNewRoman"/>
          <w:sz w:val="22"/>
          <w:szCs w:val="22"/>
        </w:rPr>
        <w:t xml:space="preserve">Kadangi pacientų, kuriems yra lengvas ar vidutinis inkstų nepakankamumas, gydymo </w:t>
      </w:r>
      <w:proofErr w:type="spellStart"/>
      <w:r w:rsidRPr="00051FD3">
        <w:rPr>
          <w:rFonts w:eastAsia="TimesNewRoman"/>
          <w:sz w:val="22"/>
          <w:szCs w:val="22"/>
        </w:rPr>
        <w:lastRenderedPageBreak/>
        <w:t>telmisartanu</w:t>
      </w:r>
      <w:proofErr w:type="spellEnd"/>
      <w:r w:rsidRPr="00051FD3">
        <w:rPr>
          <w:rFonts w:eastAsia="TimesNewRoman"/>
          <w:sz w:val="22"/>
          <w:szCs w:val="22"/>
        </w:rPr>
        <w:t>/</w:t>
      </w:r>
      <w:proofErr w:type="spellStart"/>
      <w:r w:rsidRPr="00051FD3">
        <w:rPr>
          <w:rFonts w:eastAsia="TimesNewRoman"/>
          <w:sz w:val="22"/>
          <w:szCs w:val="22"/>
        </w:rPr>
        <w:t>hidrochlorotiazidu</w:t>
      </w:r>
      <w:proofErr w:type="spellEnd"/>
      <w:r w:rsidRPr="00051FD3">
        <w:rPr>
          <w:rFonts w:eastAsia="TimesNewRoman"/>
          <w:sz w:val="22"/>
          <w:szCs w:val="22"/>
        </w:rPr>
        <w:t xml:space="preserve"> patirtis nedidelė, gydymo metu rekomenduojama periodiškai tirti kalio, kreatinino ir šlapimo rūgšties kiekį kraujo serume. Jeigu inkstų funkcija sutrikusi, gali pasireikšti </w:t>
      </w:r>
      <w:proofErr w:type="spellStart"/>
      <w:r w:rsidRPr="00051FD3">
        <w:rPr>
          <w:rFonts w:eastAsia="TimesNewRoman"/>
          <w:sz w:val="22"/>
          <w:szCs w:val="22"/>
        </w:rPr>
        <w:t>tiazidinių</w:t>
      </w:r>
      <w:proofErr w:type="spellEnd"/>
      <w:r w:rsidRPr="00051FD3">
        <w:rPr>
          <w:rFonts w:eastAsia="TimesNewRoman"/>
          <w:sz w:val="22"/>
          <w:szCs w:val="22"/>
        </w:rPr>
        <w:t xml:space="preserve"> diuretikų sukeliama </w:t>
      </w:r>
      <w:proofErr w:type="spellStart"/>
      <w:r w:rsidRPr="00051FD3">
        <w:rPr>
          <w:rFonts w:eastAsia="TimesNewRoman"/>
          <w:sz w:val="22"/>
          <w:szCs w:val="22"/>
        </w:rPr>
        <w:t>azotemija</w:t>
      </w:r>
      <w:proofErr w:type="spellEnd"/>
      <w:r w:rsidRPr="00051FD3">
        <w:rPr>
          <w:rFonts w:eastAsia="TimesNewRoman"/>
          <w:sz w:val="22"/>
          <w:szCs w:val="22"/>
        </w:rPr>
        <w:t>.</w:t>
      </w:r>
      <w:r w:rsidR="003146E4" w:rsidRPr="00051FD3">
        <w:rPr>
          <w:sz w:val="22"/>
          <w:szCs w:val="22"/>
        </w:rPr>
        <w:t xml:space="preserve"> </w:t>
      </w:r>
    </w:p>
    <w:p w14:paraId="36AF6F01" w14:textId="68A57D50" w:rsidR="007F39B7" w:rsidRPr="00051FD3" w:rsidRDefault="003146E4" w:rsidP="007F39B7">
      <w:pPr>
        <w:autoSpaceDE w:val="0"/>
        <w:autoSpaceDN w:val="0"/>
        <w:adjustRightInd w:val="0"/>
        <w:rPr>
          <w:sz w:val="22"/>
          <w:szCs w:val="22"/>
          <w:lang w:eastAsia="lt-LT"/>
        </w:rPr>
      </w:pPr>
      <w:proofErr w:type="spellStart"/>
      <w:r w:rsidRPr="00051FD3">
        <w:rPr>
          <w:rFonts w:eastAsia="TimesNewRoman"/>
          <w:sz w:val="22"/>
          <w:szCs w:val="22"/>
        </w:rPr>
        <w:t>Telmisartanas</w:t>
      </w:r>
      <w:proofErr w:type="spellEnd"/>
      <w:r w:rsidRPr="00051FD3">
        <w:rPr>
          <w:rFonts w:eastAsia="TimesNewRoman"/>
          <w:sz w:val="22"/>
          <w:szCs w:val="22"/>
        </w:rPr>
        <w:t xml:space="preserve"> nepašalinamas iš kraujo </w:t>
      </w:r>
      <w:proofErr w:type="spellStart"/>
      <w:r w:rsidRPr="00051FD3">
        <w:rPr>
          <w:rFonts w:eastAsia="TimesNewRoman"/>
          <w:sz w:val="22"/>
          <w:szCs w:val="22"/>
        </w:rPr>
        <w:t>hemofiltracijos</w:t>
      </w:r>
      <w:proofErr w:type="spellEnd"/>
      <w:r w:rsidRPr="00051FD3">
        <w:rPr>
          <w:rFonts w:eastAsia="TimesNewRoman"/>
          <w:sz w:val="22"/>
          <w:szCs w:val="22"/>
        </w:rPr>
        <w:t xml:space="preserve"> būdu ir dializės metu.</w:t>
      </w:r>
    </w:p>
    <w:p w14:paraId="0342529B" w14:textId="77777777" w:rsidR="007F39B7" w:rsidRPr="00051FD3" w:rsidRDefault="007F39B7" w:rsidP="007F39B7">
      <w:pPr>
        <w:autoSpaceDE w:val="0"/>
        <w:autoSpaceDN w:val="0"/>
        <w:adjustRightInd w:val="0"/>
        <w:rPr>
          <w:sz w:val="22"/>
          <w:szCs w:val="22"/>
          <w:lang w:eastAsia="lt-LT"/>
        </w:rPr>
      </w:pPr>
    </w:p>
    <w:p w14:paraId="2267C499" w14:textId="2F8E2243" w:rsidR="007F39B7" w:rsidRPr="00051FD3" w:rsidRDefault="003146E4" w:rsidP="007F39B7">
      <w:pPr>
        <w:autoSpaceDE w:val="0"/>
        <w:autoSpaceDN w:val="0"/>
        <w:adjustRightInd w:val="0"/>
        <w:rPr>
          <w:sz w:val="22"/>
          <w:szCs w:val="22"/>
          <w:u w:val="single"/>
          <w:lang w:eastAsia="lt-LT"/>
        </w:rPr>
      </w:pPr>
      <w:r w:rsidRPr="000E639C">
        <w:rPr>
          <w:sz w:val="22"/>
          <w:szCs w:val="22"/>
          <w:u w:val="single"/>
          <w:lang w:eastAsia="lt-LT"/>
        </w:rPr>
        <w:t>Pacientai, kuriems nustatytas skysčių ir (arba) natrio trūkumas</w:t>
      </w:r>
    </w:p>
    <w:p w14:paraId="01EDF595" w14:textId="173A266D" w:rsidR="007F39B7" w:rsidRPr="00051FD3" w:rsidRDefault="007F39B7" w:rsidP="007F39B7">
      <w:pPr>
        <w:autoSpaceDE w:val="0"/>
        <w:autoSpaceDN w:val="0"/>
        <w:adjustRightInd w:val="0"/>
        <w:rPr>
          <w:bCs/>
          <w:sz w:val="22"/>
          <w:szCs w:val="22"/>
        </w:rPr>
      </w:pPr>
      <w:r w:rsidRPr="00051FD3">
        <w:rPr>
          <w:sz w:val="22"/>
          <w:szCs w:val="22"/>
          <w:lang w:eastAsia="lt-LT"/>
        </w:rPr>
        <w:t xml:space="preserve">Išgėrus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ypač pirmą dozę, pacientams, kurių organizme dėl gydymo didele diuretiko doze ar dieta, kurioje yra mažai druskos, arba dėl vėmimo ar viduriavimo trūksta skysčio ir (ar) natrio, gali pasireikšti simptominė </w:t>
      </w:r>
      <w:proofErr w:type="spellStart"/>
      <w:r w:rsidRPr="00051FD3">
        <w:rPr>
          <w:sz w:val="22"/>
          <w:szCs w:val="22"/>
          <w:lang w:eastAsia="lt-LT"/>
        </w:rPr>
        <w:t>hipotenzija</w:t>
      </w:r>
      <w:proofErr w:type="spellEnd"/>
      <w:r w:rsidRPr="00051FD3">
        <w:rPr>
          <w:sz w:val="22"/>
          <w:szCs w:val="22"/>
          <w:lang w:eastAsia="lt-LT"/>
        </w:rPr>
        <w:t xml:space="preserve">. Prieš pradedant gydyti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šias būkles</w:t>
      </w:r>
      <w:r w:rsidR="003146E4" w:rsidRPr="00051FD3">
        <w:rPr>
          <w:sz w:val="22"/>
          <w:szCs w:val="22"/>
          <w:lang w:eastAsia="lt-LT"/>
        </w:rPr>
        <w:t>, ypač skysčių ir (arba) natrio trūkumą,</w:t>
      </w:r>
      <w:r w:rsidRPr="00051FD3">
        <w:rPr>
          <w:sz w:val="22"/>
          <w:szCs w:val="22"/>
          <w:lang w:eastAsia="lt-LT"/>
        </w:rPr>
        <w:t xml:space="preserve"> reikia koreguoti. Prieš gydymą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šiuos sutrikimus reikia normalizuoti.</w:t>
      </w:r>
    </w:p>
    <w:p w14:paraId="20F31100" w14:textId="45A2695C" w:rsidR="007F39B7" w:rsidRPr="00051FD3" w:rsidRDefault="003146E4" w:rsidP="00E35271">
      <w:pPr>
        <w:tabs>
          <w:tab w:val="left" w:pos="567"/>
        </w:tabs>
        <w:rPr>
          <w:bCs/>
          <w:sz w:val="22"/>
          <w:szCs w:val="22"/>
        </w:rPr>
      </w:pPr>
      <w:r w:rsidRPr="00051FD3">
        <w:rPr>
          <w:sz w:val="22"/>
          <w:szCs w:val="22"/>
        </w:rPr>
        <w:t xml:space="preserve">Vartojant </w:t>
      </w:r>
      <w:proofErr w:type="spellStart"/>
      <w:r w:rsidR="00E35271" w:rsidRPr="00051FD3">
        <w:rPr>
          <w:sz w:val="22"/>
          <w:szCs w:val="22"/>
        </w:rPr>
        <w:t>hidrochlorotiazidą</w:t>
      </w:r>
      <w:proofErr w:type="spellEnd"/>
      <w:r w:rsidRPr="00051FD3">
        <w:rPr>
          <w:sz w:val="22"/>
          <w:szCs w:val="22"/>
        </w:rPr>
        <w:t xml:space="preserve"> stebėta pavienių </w:t>
      </w:r>
      <w:proofErr w:type="spellStart"/>
      <w:r w:rsidRPr="00051FD3">
        <w:rPr>
          <w:sz w:val="22"/>
          <w:szCs w:val="22"/>
        </w:rPr>
        <w:t>hiponatremijos</w:t>
      </w:r>
      <w:proofErr w:type="spellEnd"/>
      <w:r w:rsidRPr="00051FD3">
        <w:rPr>
          <w:sz w:val="22"/>
          <w:szCs w:val="22"/>
        </w:rPr>
        <w:t>, pasireiškiančios kartu su neurologiniais simptomais (pykinimu, progresuojančia dezorientacija, apatija), atvejų.</w:t>
      </w:r>
    </w:p>
    <w:p w14:paraId="40520641" w14:textId="77777777" w:rsidR="003146E4" w:rsidRPr="00051FD3" w:rsidRDefault="003146E4" w:rsidP="007F39B7">
      <w:pPr>
        <w:autoSpaceDE w:val="0"/>
        <w:autoSpaceDN w:val="0"/>
        <w:adjustRightInd w:val="0"/>
        <w:rPr>
          <w:sz w:val="22"/>
          <w:szCs w:val="22"/>
          <w:u w:val="single"/>
          <w:lang w:eastAsia="lt-LT"/>
        </w:rPr>
      </w:pPr>
    </w:p>
    <w:p w14:paraId="27DFE580" w14:textId="4DC60246" w:rsidR="007F39B7" w:rsidRPr="00051FD3" w:rsidRDefault="007F39B7" w:rsidP="00E35271">
      <w:pPr>
        <w:autoSpaceDE w:val="0"/>
        <w:autoSpaceDN w:val="0"/>
        <w:adjustRightInd w:val="0"/>
        <w:rPr>
          <w:sz w:val="22"/>
          <w:szCs w:val="22"/>
          <w:u w:val="single"/>
          <w:lang w:eastAsia="lt-LT"/>
        </w:rPr>
      </w:pPr>
      <w:r w:rsidRPr="00051FD3">
        <w:rPr>
          <w:sz w:val="22"/>
          <w:szCs w:val="22"/>
          <w:u w:val="single"/>
          <w:lang w:eastAsia="lt-LT"/>
        </w:rPr>
        <w:t xml:space="preserve">Dviguba </w:t>
      </w:r>
      <w:proofErr w:type="spellStart"/>
      <w:r w:rsidRPr="00051FD3">
        <w:rPr>
          <w:sz w:val="22"/>
          <w:szCs w:val="22"/>
          <w:u w:val="single"/>
          <w:lang w:eastAsia="lt-LT"/>
        </w:rPr>
        <w:t>renino</w:t>
      </w:r>
      <w:proofErr w:type="spellEnd"/>
      <w:r w:rsidRPr="00051FD3">
        <w:rPr>
          <w:sz w:val="22"/>
          <w:szCs w:val="22"/>
          <w:u w:val="single"/>
          <w:lang w:eastAsia="lt-LT"/>
        </w:rPr>
        <w:t xml:space="preserve">, </w:t>
      </w:r>
      <w:proofErr w:type="spellStart"/>
      <w:r w:rsidRPr="00051FD3">
        <w:rPr>
          <w:sz w:val="22"/>
          <w:szCs w:val="22"/>
          <w:u w:val="single"/>
          <w:lang w:eastAsia="lt-LT"/>
        </w:rPr>
        <w:t>angiotenzino</w:t>
      </w:r>
      <w:proofErr w:type="spellEnd"/>
      <w:r w:rsidRPr="00051FD3">
        <w:rPr>
          <w:sz w:val="22"/>
          <w:szCs w:val="22"/>
          <w:u w:val="single"/>
          <w:lang w:eastAsia="lt-LT"/>
        </w:rPr>
        <w:t xml:space="preserve"> ir </w:t>
      </w:r>
      <w:proofErr w:type="spellStart"/>
      <w:r w:rsidRPr="00051FD3">
        <w:rPr>
          <w:sz w:val="22"/>
          <w:szCs w:val="22"/>
          <w:u w:val="single"/>
          <w:lang w:eastAsia="lt-LT"/>
        </w:rPr>
        <w:t>aldosterono</w:t>
      </w:r>
      <w:proofErr w:type="spellEnd"/>
      <w:r w:rsidRPr="00051FD3">
        <w:rPr>
          <w:sz w:val="22"/>
          <w:szCs w:val="22"/>
          <w:u w:val="single"/>
          <w:lang w:eastAsia="lt-LT"/>
        </w:rPr>
        <w:t xml:space="preserve"> sistemos blokada</w:t>
      </w:r>
    </w:p>
    <w:p w14:paraId="53742854" w14:textId="77777777" w:rsidR="00524B41" w:rsidRPr="00051FD3" w:rsidRDefault="00524B41" w:rsidP="00E35271">
      <w:pPr>
        <w:autoSpaceDE w:val="0"/>
        <w:autoSpaceDN w:val="0"/>
        <w:adjustRightInd w:val="0"/>
        <w:rPr>
          <w:rFonts w:eastAsia="Calibri"/>
          <w:color w:val="000000"/>
          <w:sz w:val="22"/>
          <w:szCs w:val="22"/>
        </w:rPr>
      </w:pPr>
      <w:r w:rsidRPr="00051FD3">
        <w:rPr>
          <w:rFonts w:eastAsia="Calibri"/>
          <w:color w:val="000000"/>
          <w:sz w:val="22"/>
          <w:szCs w:val="22"/>
        </w:rPr>
        <w:t xml:space="preserve">Turima įrodymų, kad kartu vartojant AKF inhibitorių, </w:t>
      </w:r>
      <w:proofErr w:type="spellStart"/>
      <w:r w:rsidRPr="00051FD3">
        <w:rPr>
          <w:rFonts w:eastAsia="Calibri"/>
          <w:color w:val="000000"/>
          <w:sz w:val="22"/>
          <w:szCs w:val="22"/>
        </w:rPr>
        <w:t>angiotenzino</w:t>
      </w:r>
      <w:proofErr w:type="spellEnd"/>
      <w:r w:rsidRPr="00051FD3">
        <w:rPr>
          <w:rFonts w:eastAsia="Calibri"/>
          <w:color w:val="000000"/>
          <w:sz w:val="22"/>
          <w:szCs w:val="22"/>
        </w:rPr>
        <w:t xml:space="preserve"> II receptorių blokatorių ar </w:t>
      </w:r>
      <w:proofErr w:type="spellStart"/>
      <w:r w:rsidRPr="00051FD3">
        <w:rPr>
          <w:rFonts w:eastAsia="Calibri"/>
          <w:color w:val="000000"/>
          <w:sz w:val="22"/>
          <w:szCs w:val="22"/>
        </w:rPr>
        <w:t>aliskireną</w:t>
      </w:r>
      <w:proofErr w:type="spellEnd"/>
      <w:r w:rsidRPr="00051FD3">
        <w:rPr>
          <w:rFonts w:eastAsia="Calibri"/>
          <w:color w:val="000000"/>
          <w:sz w:val="22"/>
          <w:szCs w:val="22"/>
        </w:rPr>
        <w:t xml:space="preserve"> padidėja </w:t>
      </w:r>
      <w:proofErr w:type="spellStart"/>
      <w:r w:rsidRPr="00051FD3">
        <w:rPr>
          <w:rFonts w:eastAsia="Calibri"/>
          <w:color w:val="000000"/>
          <w:sz w:val="22"/>
          <w:szCs w:val="22"/>
        </w:rPr>
        <w:t>hipotenzijos</w:t>
      </w:r>
      <w:proofErr w:type="spellEnd"/>
      <w:r w:rsidRPr="00051FD3">
        <w:rPr>
          <w:rFonts w:eastAsia="Calibri"/>
          <w:color w:val="000000"/>
          <w:sz w:val="22"/>
          <w:szCs w:val="22"/>
        </w:rPr>
        <w:t xml:space="preserve">, </w:t>
      </w:r>
      <w:proofErr w:type="spellStart"/>
      <w:r w:rsidRPr="00051FD3">
        <w:rPr>
          <w:rFonts w:eastAsia="Calibri"/>
          <w:color w:val="000000"/>
          <w:sz w:val="22"/>
          <w:szCs w:val="22"/>
        </w:rPr>
        <w:t>hiperkalemijos</w:t>
      </w:r>
      <w:proofErr w:type="spellEnd"/>
      <w:r w:rsidRPr="00051FD3">
        <w:rPr>
          <w:rFonts w:eastAsia="Calibri"/>
          <w:color w:val="000000"/>
          <w:sz w:val="22"/>
          <w:szCs w:val="22"/>
        </w:rPr>
        <w:t xml:space="preserve"> ir inkstų funkcijos susilpnėjimo (įskaitant ūminį inkstų nepakankamumą) rizika. Todėl nerekomenduojama dvigubai nuslopinti RAAS, vartojant AKF inhibitorių, </w:t>
      </w:r>
      <w:proofErr w:type="spellStart"/>
      <w:r w:rsidRPr="00051FD3">
        <w:rPr>
          <w:rFonts w:eastAsia="Calibri"/>
          <w:color w:val="000000"/>
          <w:sz w:val="22"/>
          <w:szCs w:val="22"/>
        </w:rPr>
        <w:t>angiotenzino</w:t>
      </w:r>
      <w:proofErr w:type="spellEnd"/>
      <w:r w:rsidRPr="00051FD3">
        <w:rPr>
          <w:rFonts w:eastAsia="Calibri"/>
          <w:color w:val="000000"/>
          <w:sz w:val="22"/>
          <w:szCs w:val="22"/>
        </w:rPr>
        <w:t xml:space="preserve"> II receptorių blokatorių ar </w:t>
      </w:r>
      <w:proofErr w:type="spellStart"/>
      <w:r w:rsidRPr="00051FD3">
        <w:rPr>
          <w:rFonts w:eastAsia="Calibri"/>
          <w:color w:val="000000"/>
          <w:sz w:val="22"/>
          <w:szCs w:val="22"/>
        </w:rPr>
        <w:t>aliskireno</w:t>
      </w:r>
      <w:proofErr w:type="spellEnd"/>
      <w:r w:rsidRPr="00051FD3">
        <w:rPr>
          <w:rFonts w:eastAsia="Calibri"/>
          <w:color w:val="000000"/>
          <w:sz w:val="22"/>
          <w:szCs w:val="22"/>
        </w:rPr>
        <w:t xml:space="preserve"> derinį (žr. 4.5 ir 5.1 skyrius). </w:t>
      </w:r>
    </w:p>
    <w:p w14:paraId="2A3C0DA3" w14:textId="77777777" w:rsidR="00524B41" w:rsidRPr="00051FD3" w:rsidRDefault="00524B41" w:rsidP="00E35271">
      <w:pPr>
        <w:autoSpaceDE w:val="0"/>
        <w:autoSpaceDN w:val="0"/>
        <w:adjustRightInd w:val="0"/>
        <w:rPr>
          <w:rFonts w:eastAsia="Calibri"/>
          <w:color w:val="000000"/>
          <w:sz w:val="22"/>
          <w:szCs w:val="22"/>
        </w:rPr>
      </w:pPr>
      <w:r w:rsidRPr="00051FD3">
        <w:rPr>
          <w:rFonts w:eastAsia="Calibri"/>
          <w:color w:val="000000"/>
          <w:sz w:val="22"/>
          <w:szCs w:val="22"/>
        </w:rPr>
        <w:t xml:space="preserve">Vis dėlto, jei dvigubas nuslopinimas laikomas absoliučiai būtinu, šis gydymas turi būti atliekamas tik prižiūrint specialistams ir dažnai bei atidžiai tiriant inkstų funkciją, elektrolitų koncentraciją bei kraujospūdį. </w:t>
      </w:r>
    </w:p>
    <w:p w14:paraId="5CE3E800" w14:textId="77777777" w:rsidR="007F39B7" w:rsidRPr="00051FD3" w:rsidRDefault="00524B41" w:rsidP="00E35271">
      <w:pPr>
        <w:autoSpaceDE w:val="0"/>
        <w:autoSpaceDN w:val="0"/>
        <w:adjustRightInd w:val="0"/>
        <w:rPr>
          <w:sz w:val="22"/>
          <w:szCs w:val="22"/>
        </w:rPr>
      </w:pPr>
      <w:r w:rsidRPr="00051FD3">
        <w:rPr>
          <w:rFonts w:eastAsia="Calibri"/>
          <w:color w:val="000000"/>
          <w:sz w:val="22"/>
          <w:szCs w:val="22"/>
        </w:rPr>
        <w:t xml:space="preserve">Pacientams, sergantiems diabetine </w:t>
      </w:r>
      <w:proofErr w:type="spellStart"/>
      <w:r w:rsidRPr="00051FD3">
        <w:rPr>
          <w:rFonts w:eastAsia="Calibri"/>
          <w:color w:val="000000"/>
          <w:sz w:val="22"/>
          <w:szCs w:val="22"/>
        </w:rPr>
        <w:t>nefropatija</w:t>
      </w:r>
      <w:proofErr w:type="spellEnd"/>
      <w:r w:rsidRPr="00051FD3">
        <w:rPr>
          <w:rFonts w:eastAsia="Calibri"/>
          <w:color w:val="000000"/>
          <w:sz w:val="22"/>
          <w:szCs w:val="22"/>
        </w:rPr>
        <w:t xml:space="preserve">, negalima kartu vartoti AKF inhibitorių ir </w:t>
      </w:r>
      <w:proofErr w:type="spellStart"/>
      <w:r w:rsidRPr="00051FD3">
        <w:rPr>
          <w:rFonts w:eastAsia="Calibri"/>
          <w:color w:val="000000"/>
          <w:sz w:val="22"/>
          <w:szCs w:val="22"/>
        </w:rPr>
        <w:t>angiotenzino</w:t>
      </w:r>
      <w:proofErr w:type="spellEnd"/>
      <w:r w:rsidRPr="00051FD3">
        <w:rPr>
          <w:rFonts w:eastAsia="Calibri"/>
          <w:color w:val="000000"/>
          <w:sz w:val="22"/>
          <w:szCs w:val="22"/>
        </w:rPr>
        <w:t xml:space="preserve"> II receptorių blokatorių.</w:t>
      </w:r>
    </w:p>
    <w:p w14:paraId="2E483446" w14:textId="77777777" w:rsidR="007F39B7" w:rsidRPr="00051FD3" w:rsidRDefault="007F39B7" w:rsidP="00D475F2">
      <w:pPr>
        <w:autoSpaceDE w:val="0"/>
        <w:autoSpaceDN w:val="0"/>
        <w:adjustRightInd w:val="0"/>
        <w:rPr>
          <w:sz w:val="22"/>
          <w:szCs w:val="22"/>
          <w:lang w:eastAsia="lt-LT"/>
        </w:rPr>
      </w:pPr>
    </w:p>
    <w:p w14:paraId="230A26F7" w14:textId="77777777"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 xml:space="preserve">Kitokios būklės, kurių metu stimuliuojama </w:t>
      </w:r>
      <w:proofErr w:type="spellStart"/>
      <w:r w:rsidRPr="00051FD3">
        <w:rPr>
          <w:sz w:val="22"/>
          <w:szCs w:val="22"/>
          <w:u w:val="single"/>
          <w:lang w:eastAsia="lt-LT"/>
        </w:rPr>
        <w:t>renino</w:t>
      </w:r>
      <w:proofErr w:type="spellEnd"/>
      <w:r w:rsidRPr="00051FD3">
        <w:rPr>
          <w:sz w:val="22"/>
          <w:szCs w:val="22"/>
          <w:u w:val="single"/>
          <w:lang w:eastAsia="lt-LT"/>
        </w:rPr>
        <w:t xml:space="preserve">, </w:t>
      </w:r>
      <w:proofErr w:type="spellStart"/>
      <w:r w:rsidRPr="00051FD3">
        <w:rPr>
          <w:sz w:val="22"/>
          <w:szCs w:val="22"/>
          <w:u w:val="single"/>
          <w:lang w:eastAsia="lt-LT"/>
        </w:rPr>
        <w:t>angiotenzino</w:t>
      </w:r>
      <w:proofErr w:type="spellEnd"/>
      <w:r w:rsidRPr="00051FD3">
        <w:rPr>
          <w:sz w:val="22"/>
          <w:szCs w:val="22"/>
          <w:u w:val="single"/>
          <w:lang w:eastAsia="lt-LT"/>
        </w:rPr>
        <w:t xml:space="preserve"> ir </w:t>
      </w:r>
      <w:proofErr w:type="spellStart"/>
      <w:r w:rsidRPr="00051FD3">
        <w:rPr>
          <w:sz w:val="22"/>
          <w:szCs w:val="22"/>
          <w:u w:val="single"/>
          <w:lang w:eastAsia="lt-LT"/>
        </w:rPr>
        <w:t>aldosterono</w:t>
      </w:r>
      <w:proofErr w:type="spellEnd"/>
      <w:r w:rsidRPr="00051FD3">
        <w:rPr>
          <w:sz w:val="22"/>
          <w:szCs w:val="22"/>
          <w:u w:val="single"/>
          <w:lang w:eastAsia="lt-LT"/>
        </w:rPr>
        <w:t xml:space="preserve"> sistema</w:t>
      </w:r>
    </w:p>
    <w:p w14:paraId="57859AC9"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Pacientų, kurių kraujagyslių lygiųjų raumenų tonusas ir inkstų funkcija daugiausiai priklauso nuo </w:t>
      </w:r>
      <w:proofErr w:type="spellStart"/>
      <w:r w:rsidRPr="00051FD3">
        <w:rPr>
          <w:sz w:val="22"/>
          <w:szCs w:val="22"/>
          <w:lang w:eastAsia="lt-LT"/>
        </w:rPr>
        <w:t>renino</w:t>
      </w:r>
      <w:proofErr w:type="spellEnd"/>
      <w:r w:rsidRPr="00051FD3">
        <w:rPr>
          <w:sz w:val="22"/>
          <w:szCs w:val="22"/>
          <w:lang w:eastAsia="lt-LT"/>
        </w:rPr>
        <w:t xml:space="preserve">, </w:t>
      </w:r>
      <w:proofErr w:type="spellStart"/>
      <w:r w:rsidRPr="00051FD3">
        <w:rPr>
          <w:sz w:val="22"/>
          <w:szCs w:val="22"/>
          <w:lang w:eastAsia="lt-LT"/>
        </w:rPr>
        <w:t>angiotenzino</w:t>
      </w:r>
      <w:proofErr w:type="spellEnd"/>
      <w:r w:rsidRPr="00051FD3">
        <w:rPr>
          <w:sz w:val="22"/>
          <w:szCs w:val="22"/>
          <w:lang w:eastAsia="lt-LT"/>
        </w:rPr>
        <w:t xml:space="preserve"> ir </w:t>
      </w:r>
      <w:proofErr w:type="spellStart"/>
      <w:r w:rsidRPr="00051FD3">
        <w:rPr>
          <w:sz w:val="22"/>
          <w:szCs w:val="22"/>
          <w:lang w:eastAsia="lt-LT"/>
        </w:rPr>
        <w:t>aldosterono</w:t>
      </w:r>
      <w:proofErr w:type="spellEnd"/>
      <w:r w:rsidRPr="00051FD3">
        <w:rPr>
          <w:sz w:val="22"/>
          <w:szCs w:val="22"/>
          <w:lang w:eastAsia="lt-LT"/>
        </w:rPr>
        <w:t xml:space="preserve"> sistemos tonuso (pvz., sergančius sunkiu </w:t>
      </w:r>
      <w:proofErr w:type="spellStart"/>
      <w:r w:rsidRPr="00051FD3">
        <w:rPr>
          <w:sz w:val="22"/>
          <w:szCs w:val="22"/>
          <w:lang w:eastAsia="lt-LT"/>
        </w:rPr>
        <w:t>staziniu</w:t>
      </w:r>
      <w:proofErr w:type="spellEnd"/>
      <w:r w:rsidRPr="00051FD3">
        <w:rPr>
          <w:sz w:val="22"/>
          <w:szCs w:val="22"/>
          <w:lang w:eastAsia="lt-LT"/>
        </w:rPr>
        <w:t xml:space="preserve"> širdies nepakankamumu arba pagrindine inkstų liga, įskaitant inkstų arterijos susiaurėjimą), gydymas </w:t>
      </w:r>
      <w:proofErr w:type="spellStart"/>
      <w:r w:rsidRPr="00051FD3">
        <w:rPr>
          <w:sz w:val="22"/>
          <w:szCs w:val="22"/>
          <w:lang w:eastAsia="lt-LT"/>
        </w:rPr>
        <w:t>renino</w:t>
      </w:r>
      <w:proofErr w:type="spellEnd"/>
      <w:r w:rsidRPr="00051FD3">
        <w:rPr>
          <w:sz w:val="22"/>
          <w:szCs w:val="22"/>
          <w:lang w:eastAsia="lt-LT"/>
        </w:rPr>
        <w:t xml:space="preserve">, </w:t>
      </w:r>
      <w:proofErr w:type="spellStart"/>
      <w:r w:rsidRPr="00051FD3">
        <w:rPr>
          <w:sz w:val="22"/>
          <w:szCs w:val="22"/>
          <w:lang w:eastAsia="lt-LT"/>
        </w:rPr>
        <w:t>angiotenzino</w:t>
      </w:r>
      <w:proofErr w:type="spellEnd"/>
      <w:r w:rsidRPr="00051FD3">
        <w:rPr>
          <w:sz w:val="22"/>
          <w:szCs w:val="22"/>
          <w:lang w:eastAsia="lt-LT"/>
        </w:rPr>
        <w:t xml:space="preserve"> ir </w:t>
      </w:r>
      <w:proofErr w:type="spellStart"/>
      <w:r w:rsidRPr="00051FD3">
        <w:rPr>
          <w:sz w:val="22"/>
          <w:szCs w:val="22"/>
          <w:lang w:eastAsia="lt-LT"/>
        </w:rPr>
        <w:t>aldosterono</w:t>
      </w:r>
      <w:proofErr w:type="spellEnd"/>
      <w:r w:rsidRPr="00051FD3">
        <w:rPr>
          <w:sz w:val="22"/>
          <w:szCs w:val="22"/>
          <w:lang w:eastAsia="lt-LT"/>
        </w:rPr>
        <w:t xml:space="preserve"> sistemą veikiančiais vaistiniais preparatais buvo susijęs su ūmine </w:t>
      </w:r>
      <w:proofErr w:type="spellStart"/>
      <w:r w:rsidRPr="00051FD3">
        <w:rPr>
          <w:sz w:val="22"/>
          <w:szCs w:val="22"/>
          <w:lang w:eastAsia="lt-LT"/>
        </w:rPr>
        <w:t>hipotenzija</w:t>
      </w:r>
      <w:proofErr w:type="spellEnd"/>
      <w:r w:rsidRPr="00051FD3">
        <w:rPr>
          <w:sz w:val="22"/>
          <w:szCs w:val="22"/>
          <w:lang w:eastAsia="lt-LT"/>
        </w:rPr>
        <w:t xml:space="preserve">, </w:t>
      </w:r>
      <w:proofErr w:type="spellStart"/>
      <w:r w:rsidRPr="00051FD3">
        <w:rPr>
          <w:sz w:val="22"/>
          <w:szCs w:val="22"/>
          <w:lang w:eastAsia="lt-LT"/>
        </w:rPr>
        <w:t>hiperazotemija</w:t>
      </w:r>
      <w:proofErr w:type="spellEnd"/>
      <w:r w:rsidRPr="00051FD3">
        <w:rPr>
          <w:sz w:val="22"/>
          <w:szCs w:val="22"/>
          <w:lang w:eastAsia="lt-LT"/>
        </w:rPr>
        <w:t xml:space="preserve">, </w:t>
      </w:r>
      <w:proofErr w:type="spellStart"/>
      <w:r w:rsidRPr="00051FD3">
        <w:rPr>
          <w:sz w:val="22"/>
          <w:szCs w:val="22"/>
          <w:lang w:eastAsia="lt-LT"/>
        </w:rPr>
        <w:t>oligurija</w:t>
      </w:r>
      <w:proofErr w:type="spellEnd"/>
      <w:r w:rsidRPr="00051FD3">
        <w:rPr>
          <w:sz w:val="22"/>
          <w:szCs w:val="22"/>
          <w:lang w:eastAsia="lt-LT"/>
        </w:rPr>
        <w:t>, retais atvejais − ūminiu inkstų nepakankamumu (žr. 4.8 skyrių).</w:t>
      </w:r>
    </w:p>
    <w:p w14:paraId="3B8FEEAE" w14:textId="77777777" w:rsidR="007F39B7" w:rsidRPr="00051FD3" w:rsidRDefault="007F39B7" w:rsidP="007F39B7">
      <w:pPr>
        <w:autoSpaceDE w:val="0"/>
        <w:autoSpaceDN w:val="0"/>
        <w:adjustRightInd w:val="0"/>
        <w:rPr>
          <w:sz w:val="22"/>
          <w:szCs w:val="22"/>
          <w:lang w:eastAsia="lt-LT"/>
        </w:rPr>
      </w:pPr>
    </w:p>
    <w:p w14:paraId="1BC46500" w14:textId="77777777"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 xml:space="preserve">Pirminis </w:t>
      </w:r>
      <w:proofErr w:type="spellStart"/>
      <w:r w:rsidRPr="00051FD3">
        <w:rPr>
          <w:sz w:val="22"/>
          <w:szCs w:val="22"/>
          <w:u w:val="single"/>
          <w:lang w:eastAsia="lt-LT"/>
        </w:rPr>
        <w:t>aldosteronizmas</w:t>
      </w:r>
      <w:proofErr w:type="spellEnd"/>
    </w:p>
    <w:p w14:paraId="58637808"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Pacientams, kuriems yra pirminis </w:t>
      </w:r>
      <w:proofErr w:type="spellStart"/>
      <w:r w:rsidRPr="00051FD3">
        <w:rPr>
          <w:sz w:val="22"/>
          <w:szCs w:val="22"/>
          <w:lang w:eastAsia="lt-LT"/>
        </w:rPr>
        <w:t>hiperaldosteronizmas</w:t>
      </w:r>
      <w:proofErr w:type="spellEnd"/>
      <w:r w:rsidRPr="00051FD3">
        <w:rPr>
          <w:sz w:val="22"/>
          <w:szCs w:val="22"/>
          <w:lang w:eastAsia="lt-LT"/>
        </w:rPr>
        <w:t xml:space="preserve">, </w:t>
      </w:r>
      <w:proofErr w:type="spellStart"/>
      <w:r w:rsidRPr="00051FD3">
        <w:rPr>
          <w:sz w:val="22"/>
          <w:szCs w:val="22"/>
          <w:lang w:eastAsia="lt-LT"/>
        </w:rPr>
        <w:t>renino</w:t>
      </w:r>
      <w:proofErr w:type="spellEnd"/>
      <w:r w:rsidRPr="00051FD3">
        <w:rPr>
          <w:sz w:val="22"/>
          <w:szCs w:val="22"/>
          <w:lang w:eastAsia="lt-LT"/>
        </w:rPr>
        <w:t xml:space="preserve">, </w:t>
      </w:r>
      <w:proofErr w:type="spellStart"/>
      <w:r w:rsidRPr="00051FD3">
        <w:rPr>
          <w:sz w:val="22"/>
          <w:szCs w:val="22"/>
          <w:lang w:eastAsia="lt-LT"/>
        </w:rPr>
        <w:t>angiotenzino</w:t>
      </w:r>
      <w:proofErr w:type="spellEnd"/>
      <w:r w:rsidRPr="00051FD3">
        <w:rPr>
          <w:sz w:val="22"/>
          <w:szCs w:val="22"/>
          <w:lang w:eastAsia="lt-LT"/>
        </w:rPr>
        <w:t xml:space="preserve"> ir </w:t>
      </w:r>
      <w:proofErr w:type="spellStart"/>
      <w:r w:rsidRPr="00051FD3">
        <w:rPr>
          <w:sz w:val="22"/>
          <w:szCs w:val="22"/>
          <w:lang w:eastAsia="lt-LT"/>
        </w:rPr>
        <w:t>aldosterono</w:t>
      </w:r>
      <w:proofErr w:type="spellEnd"/>
      <w:r w:rsidRPr="00051FD3">
        <w:rPr>
          <w:sz w:val="22"/>
          <w:szCs w:val="22"/>
          <w:lang w:eastAsia="lt-LT"/>
        </w:rPr>
        <w:t xml:space="preserve"> sistemą veikiantys vaistiniai preparatai </w:t>
      </w:r>
      <w:proofErr w:type="spellStart"/>
      <w:r w:rsidRPr="00051FD3">
        <w:rPr>
          <w:sz w:val="22"/>
          <w:szCs w:val="22"/>
          <w:lang w:eastAsia="lt-LT"/>
        </w:rPr>
        <w:t>antihipertenzinio</w:t>
      </w:r>
      <w:proofErr w:type="spellEnd"/>
      <w:r w:rsidRPr="00051FD3">
        <w:rPr>
          <w:sz w:val="22"/>
          <w:szCs w:val="22"/>
          <w:lang w:eastAsia="lt-LT"/>
        </w:rPr>
        <w:t xml:space="preserve"> poveikio paprastai nesukelia, todėl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jų gydyti nerekomenduojama.</w:t>
      </w:r>
    </w:p>
    <w:p w14:paraId="7B00AC3C" w14:textId="77777777" w:rsidR="007F39B7" w:rsidRPr="00051FD3" w:rsidRDefault="007F39B7" w:rsidP="007F39B7">
      <w:pPr>
        <w:autoSpaceDE w:val="0"/>
        <w:autoSpaceDN w:val="0"/>
        <w:adjustRightInd w:val="0"/>
        <w:rPr>
          <w:sz w:val="22"/>
          <w:szCs w:val="22"/>
          <w:lang w:eastAsia="lt-LT"/>
        </w:rPr>
      </w:pPr>
    </w:p>
    <w:p w14:paraId="5771846D" w14:textId="77777777" w:rsidR="003146E4" w:rsidRPr="00037A24" w:rsidRDefault="003146E4" w:rsidP="003146E4">
      <w:pPr>
        <w:pStyle w:val="Default"/>
        <w:rPr>
          <w:sz w:val="22"/>
          <w:szCs w:val="22"/>
          <w:u w:val="single"/>
          <w:lang w:val="lt-LT"/>
        </w:rPr>
      </w:pPr>
      <w:r w:rsidRPr="00037A24">
        <w:rPr>
          <w:sz w:val="22"/>
          <w:szCs w:val="22"/>
          <w:u w:val="single"/>
          <w:lang w:val="lt-LT"/>
        </w:rPr>
        <w:t xml:space="preserve">Žarnyno </w:t>
      </w:r>
      <w:proofErr w:type="spellStart"/>
      <w:r w:rsidRPr="00037A24">
        <w:rPr>
          <w:sz w:val="22"/>
          <w:szCs w:val="22"/>
          <w:u w:val="single"/>
          <w:lang w:val="lt-LT"/>
        </w:rPr>
        <w:t>angioneurozinė</w:t>
      </w:r>
      <w:proofErr w:type="spellEnd"/>
      <w:r w:rsidRPr="00037A24">
        <w:rPr>
          <w:sz w:val="22"/>
          <w:szCs w:val="22"/>
          <w:u w:val="single"/>
          <w:lang w:val="lt-LT"/>
        </w:rPr>
        <w:t xml:space="preserve"> edema </w:t>
      </w:r>
    </w:p>
    <w:p w14:paraId="167FE604" w14:textId="625D923E" w:rsidR="003146E4" w:rsidRPr="00051FD3" w:rsidRDefault="003146E4" w:rsidP="003146E4">
      <w:pPr>
        <w:autoSpaceDE w:val="0"/>
        <w:autoSpaceDN w:val="0"/>
        <w:adjustRightInd w:val="0"/>
        <w:rPr>
          <w:sz w:val="22"/>
          <w:szCs w:val="22"/>
          <w:u w:val="single"/>
          <w:lang w:eastAsia="lt-LT"/>
        </w:rPr>
      </w:pPr>
      <w:r w:rsidRPr="00FA4E83">
        <w:rPr>
          <w:sz w:val="22"/>
          <w:szCs w:val="22"/>
        </w:rPr>
        <w:t xml:space="preserve">Gauta pranešimų apie žarnyno </w:t>
      </w:r>
      <w:proofErr w:type="spellStart"/>
      <w:r w:rsidRPr="00FA4E83">
        <w:rPr>
          <w:sz w:val="22"/>
          <w:szCs w:val="22"/>
        </w:rPr>
        <w:t>angioneurozinės</w:t>
      </w:r>
      <w:proofErr w:type="spellEnd"/>
      <w:r w:rsidRPr="00FA4E83">
        <w:rPr>
          <w:sz w:val="22"/>
          <w:szCs w:val="22"/>
        </w:rPr>
        <w:t xml:space="preserve"> edemos atvejus, pasireiškusius pacientams, gydomiems </w:t>
      </w:r>
      <w:proofErr w:type="spellStart"/>
      <w:r w:rsidRPr="00FA4E83">
        <w:rPr>
          <w:sz w:val="22"/>
          <w:szCs w:val="22"/>
        </w:rPr>
        <w:t>angiotenzino</w:t>
      </w:r>
      <w:proofErr w:type="spellEnd"/>
      <w:r w:rsidRPr="00FA4E83">
        <w:rPr>
          <w:sz w:val="22"/>
          <w:szCs w:val="22"/>
        </w:rPr>
        <w:t xml:space="preserve"> II receptorių </w:t>
      </w:r>
      <w:r w:rsidR="00765FD9" w:rsidRPr="00FA4E83">
        <w:rPr>
          <w:sz w:val="22"/>
          <w:szCs w:val="22"/>
        </w:rPr>
        <w:t>blokatoriais</w:t>
      </w:r>
      <w:r w:rsidRPr="00FA4E83">
        <w:rPr>
          <w:sz w:val="22"/>
          <w:szCs w:val="22"/>
        </w:rPr>
        <w:t xml:space="preserve"> (žr. 4.8 skyrių). Šiems pacientams pasireiškė pilvo skausmas, pykinimas, vėmimas ir viduriavimas. Nutraukus </w:t>
      </w:r>
      <w:proofErr w:type="spellStart"/>
      <w:r w:rsidRPr="00FA4E83">
        <w:rPr>
          <w:sz w:val="22"/>
          <w:szCs w:val="22"/>
        </w:rPr>
        <w:t>angiotenzino</w:t>
      </w:r>
      <w:proofErr w:type="spellEnd"/>
      <w:r w:rsidRPr="00FA4E83">
        <w:rPr>
          <w:sz w:val="22"/>
          <w:szCs w:val="22"/>
        </w:rPr>
        <w:t xml:space="preserve"> II receptorių </w:t>
      </w:r>
      <w:r w:rsidR="00765FD9" w:rsidRPr="00FA4E83">
        <w:rPr>
          <w:sz w:val="22"/>
          <w:szCs w:val="22"/>
        </w:rPr>
        <w:t xml:space="preserve">blokatorių </w:t>
      </w:r>
      <w:r w:rsidRPr="00FA4E83">
        <w:rPr>
          <w:sz w:val="22"/>
          <w:szCs w:val="22"/>
        </w:rPr>
        <w:t xml:space="preserve">vartojimą, simptomai išnyko. Diagnozavus žarnyno </w:t>
      </w:r>
      <w:proofErr w:type="spellStart"/>
      <w:r w:rsidRPr="00FA4E83">
        <w:rPr>
          <w:sz w:val="22"/>
          <w:szCs w:val="22"/>
        </w:rPr>
        <w:t>angioneurozinę</w:t>
      </w:r>
      <w:proofErr w:type="spellEnd"/>
      <w:r w:rsidRPr="00FA4E83">
        <w:rPr>
          <w:sz w:val="22"/>
          <w:szCs w:val="22"/>
        </w:rPr>
        <w:t xml:space="preserve"> edemą, reikia nutraukti </w:t>
      </w:r>
      <w:proofErr w:type="spellStart"/>
      <w:r w:rsidRPr="00FA4E83">
        <w:rPr>
          <w:sz w:val="22"/>
          <w:szCs w:val="22"/>
        </w:rPr>
        <w:t>telmisartano</w:t>
      </w:r>
      <w:proofErr w:type="spellEnd"/>
      <w:r w:rsidRPr="00FA4E83">
        <w:rPr>
          <w:sz w:val="22"/>
          <w:szCs w:val="22"/>
        </w:rPr>
        <w:t xml:space="preserve"> vartojimą ir pradėti atitinkamą stebėseną, kol simptomai visiškai išnyksta.</w:t>
      </w:r>
    </w:p>
    <w:p w14:paraId="0A3D1B85" w14:textId="77777777" w:rsidR="003146E4" w:rsidRPr="00051FD3" w:rsidRDefault="003146E4" w:rsidP="007F39B7">
      <w:pPr>
        <w:autoSpaceDE w:val="0"/>
        <w:autoSpaceDN w:val="0"/>
        <w:adjustRightInd w:val="0"/>
        <w:rPr>
          <w:sz w:val="22"/>
          <w:szCs w:val="22"/>
          <w:u w:val="single"/>
          <w:lang w:eastAsia="lt-LT"/>
        </w:rPr>
      </w:pPr>
    </w:p>
    <w:p w14:paraId="63DC7820" w14:textId="26A104AD"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 xml:space="preserve">Aortos ir </w:t>
      </w:r>
      <w:proofErr w:type="spellStart"/>
      <w:r w:rsidRPr="00051FD3">
        <w:rPr>
          <w:sz w:val="22"/>
          <w:szCs w:val="22"/>
          <w:u w:val="single"/>
          <w:lang w:eastAsia="lt-LT"/>
        </w:rPr>
        <w:t>dviburio</w:t>
      </w:r>
      <w:proofErr w:type="spellEnd"/>
      <w:r w:rsidRPr="00051FD3">
        <w:rPr>
          <w:sz w:val="22"/>
          <w:szCs w:val="22"/>
          <w:u w:val="single"/>
          <w:lang w:eastAsia="lt-LT"/>
        </w:rPr>
        <w:t xml:space="preserve"> vožtuvo stenozė, obstrukcinė </w:t>
      </w:r>
      <w:proofErr w:type="spellStart"/>
      <w:r w:rsidRPr="00051FD3">
        <w:rPr>
          <w:sz w:val="22"/>
          <w:szCs w:val="22"/>
          <w:u w:val="single"/>
          <w:lang w:eastAsia="lt-LT"/>
        </w:rPr>
        <w:t>hipertrofinė</w:t>
      </w:r>
      <w:proofErr w:type="spellEnd"/>
      <w:r w:rsidRPr="00051FD3">
        <w:rPr>
          <w:sz w:val="22"/>
          <w:szCs w:val="22"/>
          <w:u w:val="single"/>
          <w:lang w:eastAsia="lt-LT"/>
        </w:rPr>
        <w:t xml:space="preserve"> kardiomiopatija</w:t>
      </w:r>
    </w:p>
    <w:p w14:paraId="1BF9470F"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Pacientus, kuriems yra aortos arba </w:t>
      </w:r>
      <w:proofErr w:type="spellStart"/>
      <w:r w:rsidRPr="00051FD3">
        <w:rPr>
          <w:sz w:val="22"/>
          <w:szCs w:val="22"/>
          <w:lang w:eastAsia="lt-LT"/>
        </w:rPr>
        <w:t>dviburio</w:t>
      </w:r>
      <w:proofErr w:type="spellEnd"/>
      <w:r w:rsidRPr="00051FD3">
        <w:rPr>
          <w:sz w:val="22"/>
          <w:szCs w:val="22"/>
          <w:lang w:eastAsia="lt-LT"/>
        </w:rPr>
        <w:t xml:space="preserve"> vožtuvo stenozė arba obstrukcinė </w:t>
      </w:r>
      <w:proofErr w:type="spellStart"/>
      <w:r w:rsidRPr="00051FD3">
        <w:rPr>
          <w:sz w:val="22"/>
          <w:szCs w:val="22"/>
          <w:lang w:eastAsia="lt-LT"/>
        </w:rPr>
        <w:t>hipertrofinė</w:t>
      </w:r>
      <w:proofErr w:type="spellEnd"/>
      <w:r w:rsidRPr="00051FD3">
        <w:rPr>
          <w:sz w:val="22"/>
          <w:szCs w:val="22"/>
          <w:lang w:eastAsia="lt-LT"/>
        </w:rPr>
        <w:t xml:space="preserve"> kardiomiopatija, šiuo vaistiniu preparatu, kaip ir kitokiais kraujagysles plečiančiais preparatais, reikia gydyti ypatingai atsargiai.</w:t>
      </w:r>
    </w:p>
    <w:p w14:paraId="4527BF59" w14:textId="77777777" w:rsidR="007F39B7" w:rsidRPr="00051FD3" w:rsidRDefault="007F39B7" w:rsidP="007F39B7">
      <w:pPr>
        <w:autoSpaceDE w:val="0"/>
        <w:autoSpaceDN w:val="0"/>
        <w:adjustRightInd w:val="0"/>
        <w:rPr>
          <w:sz w:val="22"/>
          <w:szCs w:val="22"/>
          <w:lang w:eastAsia="lt-LT"/>
        </w:rPr>
      </w:pPr>
    </w:p>
    <w:p w14:paraId="20E49C51"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Poveikis medžiagų apykaitai ir endokrininei sistemai</w:t>
      </w:r>
    </w:p>
    <w:p w14:paraId="7D4D80E0"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Gydymas </w:t>
      </w:r>
      <w:proofErr w:type="spellStart"/>
      <w:r w:rsidRPr="00051FD3">
        <w:rPr>
          <w:rFonts w:eastAsia="TimesNewRoman"/>
          <w:sz w:val="22"/>
          <w:szCs w:val="22"/>
        </w:rPr>
        <w:t>tiazidiniais</w:t>
      </w:r>
      <w:proofErr w:type="spellEnd"/>
      <w:r w:rsidRPr="00051FD3">
        <w:rPr>
          <w:rFonts w:eastAsia="TimesNewRoman"/>
          <w:sz w:val="22"/>
          <w:szCs w:val="22"/>
        </w:rPr>
        <w:t xml:space="preserve"> diuretikais gali sutrikdyti gliukozės toleravimą, todėl cukriniu diabetu sergantiems pacientams, kurie gydomi insulinu arba kitokiais antidiabetiniais preparatais ir </w:t>
      </w:r>
      <w:proofErr w:type="spellStart"/>
      <w:r w:rsidRPr="00051FD3">
        <w:rPr>
          <w:rFonts w:eastAsia="TimesNewRoman"/>
          <w:sz w:val="22"/>
          <w:szCs w:val="22"/>
        </w:rPr>
        <w:t>telmisartanu</w:t>
      </w:r>
      <w:proofErr w:type="spellEnd"/>
      <w:r w:rsidRPr="00051FD3">
        <w:rPr>
          <w:rFonts w:eastAsia="TimesNewRoman"/>
          <w:sz w:val="22"/>
          <w:szCs w:val="22"/>
        </w:rPr>
        <w:t xml:space="preserve">, gali pasireikšti hipoglikemija. Todėl tokiems pacientams reikia matuoti gliukozės kiekį kraujyje, prireikus gali tekti priderinti  insulino arba kitokių antidiabetinių preparatų dozę. Gydymo </w:t>
      </w:r>
      <w:proofErr w:type="spellStart"/>
      <w:r w:rsidRPr="00051FD3">
        <w:rPr>
          <w:rFonts w:eastAsia="TimesNewRoman"/>
          <w:sz w:val="22"/>
          <w:szCs w:val="22"/>
        </w:rPr>
        <w:t>tiazidiniais</w:t>
      </w:r>
      <w:proofErr w:type="spellEnd"/>
      <w:r w:rsidRPr="00051FD3">
        <w:rPr>
          <w:rFonts w:eastAsia="TimesNewRoman"/>
          <w:sz w:val="22"/>
          <w:szCs w:val="22"/>
        </w:rPr>
        <w:t xml:space="preserve"> diuretikais metu gali tapti pastebimas latentinis cukrinis diabetas.</w:t>
      </w:r>
    </w:p>
    <w:p w14:paraId="21560D15" w14:textId="77777777" w:rsidR="007F39B7" w:rsidRPr="00051FD3" w:rsidRDefault="007F39B7" w:rsidP="007F39B7">
      <w:pPr>
        <w:autoSpaceDE w:val="0"/>
        <w:autoSpaceDN w:val="0"/>
        <w:adjustRightInd w:val="0"/>
        <w:rPr>
          <w:rFonts w:eastAsia="TimesNewRoman"/>
          <w:sz w:val="22"/>
          <w:szCs w:val="22"/>
        </w:rPr>
      </w:pPr>
    </w:p>
    <w:p w14:paraId="7D40B445" w14:textId="77777777" w:rsidR="007F39B7" w:rsidRPr="00051FD3" w:rsidRDefault="007F39B7" w:rsidP="007F39B7">
      <w:pPr>
        <w:autoSpaceDE w:val="0"/>
        <w:autoSpaceDN w:val="0"/>
        <w:adjustRightInd w:val="0"/>
        <w:rPr>
          <w:sz w:val="22"/>
          <w:szCs w:val="22"/>
          <w:lang w:eastAsia="lt-LT"/>
        </w:rPr>
      </w:pPr>
      <w:r w:rsidRPr="00051FD3">
        <w:rPr>
          <w:rFonts w:eastAsia="TimesNewRoman"/>
          <w:sz w:val="22"/>
          <w:szCs w:val="22"/>
        </w:rPr>
        <w:lastRenderedPageBreak/>
        <w:t xml:space="preserve">Su </w:t>
      </w:r>
      <w:proofErr w:type="spellStart"/>
      <w:r w:rsidRPr="00051FD3">
        <w:rPr>
          <w:rFonts w:eastAsia="TimesNewRoman"/>
          <w:sz w:val="22"/>
          <w:szCs w:val="22"/>
        </w:rPr>
        <w:t>tiazidinių</w:t>
      </w:r>
      <w:proofErr w:type="spellEnd"/>
      <w:r w:rsidRPr="00051FD3">
        <w:rPr>
          <w:rFonts w:eastAsia="TimesNewRoman"/>
          <w:sz w:val="22"/>
          <w:szCs w:val="22"/>
        </w:rPr>
        <w:t xml:space="preserve"> diuretikų vartojimu siejamas cholesterolio bei trigliceridų kiekio padidėjimas kraujyje, tačiau pranešama tik apie minimalų </w:t>
      </w:r>
      <w:proofErr w:type="spellStart"/>
      <w:r w:rsidRPr="00051FD3">
        <w:rPr>
          <w:rFonts w:eastAsia="TimesNewRoman"/>
          <w:sz w:val="22"/>
          <w:szCs w:val="22"/>
        </w:rPr>
        <w:t>Telmisartan</w:t>
      </w:r>
      <w:proofErr w:type="spellEnd"/>
      <w:r w:rsidRPr="00051FD3">
        <w:rPr>
          <w:rFonts w:eastAsia="TimesNewRoman"/>
          <w:sz w:val="22"/>
          <w:szCs w:val="22"/>
        </w:rPr>
        <w:t>/</w:t>
      </w:r>
      <w:proofErr w:type="spellStart"/>
      <w:r w:rsidRPr="00051FD3">
        <w:rPr>
          <w:rFonts w:eastAsia="TimesNewRoman"/>
          <w:sz w:val="22"/>
          <w:szCs w:val="22"/>
        </w:rPr>
        <w:t>Hydrochlorothiazide</w:t>
      </w:r>
      <w:proofErr w:type="spellEnd"/>
      <w:r w:rsidRPr="00051FD3">
        <w:rPr>
          <w:rFonts w:eastAsia="TimesNewRoman"/>
          <w:sz w:val="22"/>
          <w:szCs w:val="22"/>
        </w:rPr>
        <w:t xml:space="preserve"> </w:t>
      </w:r>
      <w:proofErr w:type="spellStart"/>
      <w:r w:rsidRPr="00051FD3">
        <w:rPr>
          <w:rFonts w:eastAsia="TimesNewRoman"/>
          <w:sz w:val="22"/>
          <w:szCs w:val="22"/>
        </w:rPr>
        <w:t>Teva</w:t>
      </w:r>
      <w:proofErr w:type="spellEnd"/>
      <w:r w:rsidRPr="00051FD3">
        <w:rPr>
          <w:rFonts w:eastAsia="TimesNewRoman"/>
          <w:sz w:val="22"/>
          <w:szCs w:val="22"/>
        </w:rPr>
        <w:t xml:space="preserve"> Pharma sudėtyje esančios </w:t>
      </w:r>
      <w:proofErr w:type="spellStart"/>
      <w:r w:rsidRPr="00051FD3">
        <w:rPr>
          <w:rFonts w:eastAsia="TimesNewRoman"/>
          <w:sz w:val="22"/>
          <w:szCs w:val="22"/>
        </w:rPr>
        <w:t>hidrochlorotiazido</w:t>
      </w:r>
      <w:proofErr w:type="spellEnd"/>
      <w:r w:rsidRPr="00051FD3">
        <w:rPr>
          <w:rFonts w:eastAsia="TimesNewRoman"/>
          <w:sz w:val="22"/>
          <w:szCs w:val="22"/>
        </w:rPr>
        <w:t xml:space="preserve"> 12,5 mg dozės poveikį arba poveikio nebuvimą. Kai kuriems žmonėms </w:t>
      </w:r>
      <w:proofErr w:type="spellStart"/>
      <w:r w:rsidRPr="00051FD3">
        <w:rPr>
          <w:rFonts w:eastAsia="TimesNewRoman"/>
          <w:sz w:val="22"/>
          <w:szCs w:val="22"/>
        </w:rPr>
        <w:t>tiazidiniai</w:t>
      </w:r>
      <w:proofErr w:type="spellEnd"/>
      <w:r w:rsidRPr="00051FD3">
        <w:rPr>
          <w:rFonts w:eastAsia="TimesNewRoman"/>
          <w:sz w:val="22"/>
          <w:szCs w:val="22"/>
        </w:rPr>
        <w:t xml:space="preserve"> diuretikai gali sukelti </w:t>
      </w:r>
      <w:proofErr w:type="spellStart"/>
      <w:r w:rsidRPr="00051FD3">
        <w:rPr>
          <w:rFonts w:eastAsia="TimesNewRoman"/>
          <w:sz w:val="22"/>
          <w:szCs w:val="22"/>
        </w:rPr>
        <w:t>hiperurikemiją</w:t>
      </w:r>
      <w:proofErr w:type="spellEnd"/>
      <w:r w:rsidRPr="00051FD3">
        <w:rPr>
          <w:rFonts w:eastAsia="TimesNewRoman"/>
          <w:sz w:val="22"/>
          <w:szCs w:val="22"/>
        </w:rPr>
        <w:t>, skatinti podagros pasireiškimą.</w:t>
      </w:r>
    </w:p>
    <w:p w14:paraId="3650AC82" w14:textId="77777777" w:rsidR="007F39B7" w:rsidRPr="00051FD3" w:rsidRDefault="007F39B7" w:rsidP="007F39B7">
      <w:pPr>
        <w:autoSpaceDE w:val="0"/>
        <w:autoSpaceDN w:val="0"/>
        <w:adjustRightInd w:val="0"/>
        <w:rPr>
          <w:sz w:val="22"/>
          <w:szCs w:val="22"/>
          <w:lang w:eastAsia="lt-LT"/>
        </w:rPr>
      </w:pPr>
    </w:p>
    <w:p w14:paraId="4FF6D15D"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Elektrolitų pusiausvyros sutrikimas</w:t>
      </w:r>
    </w:p>
    <w:p w14:paraId="4ACACA54"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Gydant visais diuretikais tinkamais intervalais reikia tirti elektrolitų kiekį kraujo serume.</w:t>
      </w:r>
    </w:p>
    <w:p w14:paraId="60C0E7C8" w14:textId="77777777" w:rsidR="007F39B7" w:rsidRPr="00051FD3" w:rsidRDefault="007F39B7" w:rsidP="007F39B7">
      <w:pPr>
        <w:autoSpaceDE w:val="0"/>
        <w:autoSpaceDN w:val="0"/>
        <w:adjustRightInd w:val="0"/>
        <w:rPr>
          <w:rFonts w:eastAsia="TimesNewRoman"/>
          <w:sz w:val="22"/>
          <w:szCs w:val="22"/>
        </w:rPr>
      </w:pPr>
    </w:p>
    <w:p w14:paraId="6388D9BE"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Tiazidiniai</w:t>
      </w:r>
      <w:proofErr w:type="spellEnd"/>
      <w:r w:rsidRPr="00051FD3">
        <w:rPr>
          <w:rFonts w:eastAsia="TimesNewRoman"/>
          <w:sz w:val="22"/>
          <w:szCs w:val="22"/>
        </w:rPr>
        <w:t xml:space="preserve"> diuretikai, įskaitant </w:t>
      </w:r>
      <w:proofErr w:type="spellStart"/>
      <w:r w:rsidRPr="00051FD3">
        <w:rPr>
          <w:rFonts w:eastAsia="TimesNewRoman"/>
          <w:sz w:val="22"/>
          <w:szCs w:val="22"/>
        </w:rPr>
        <w:t>hidrochlorotiazidą</w:t>
      </w:r>
      <w:proofErr w:type="spellEnd"/>
      <w:r w:rsidRPr="00051FD3">
        <w:rPr>
          <w:rFonts w:eastAsia="TimesNewRoman"/>
          <w:sz w:val="22"/>
          <w:szCs w:val="22"/>
        </w:rPr>
        <w:t xml:space="preserve">, gali sukelti skysčių ar elektrolitų pusiausvyros sutrikimą (įskaitant </w:t>
      </w:r>
      <w:proofErr w:type="spellStart"/>
      <w:r w:rsidRPr="00051FD3">
        <w:rPr>
          <w:rFonts w:eastAsia="TimesNewRoman"/>
          <w:sz w:val="22"/>
          <w:szCs w:val="22"/>
        </w:rPr>
        <w:t>hipokalemiją</w:t>
      </w:r>
      <w:proofErr w:type="spellEnd"/>
      <w:r w:rsidRPr="00051FD3">
        <w:rPr>
          <w:rFonts w:eastAsia="TimesNewRoman"/>
          <w:sz w:val="22"/>
          <w:szCs w:val="22"/>
        </w:rPr>
        <w:t xml:space="preserve">, </w:t>
      </w:r>
      <w:proofErr w:type="spellStart"/>
      <w:r w:rsidRPr="00051FD3">
        <w:rPr>
          <w:rFonts w:eastAsia="TimesNewRoman"/>
          <w:sz w:val="22"/>
          <w:szCs w:val="22"/>
        </w:rPr>
        <w:t>hiponatremiją</w:t>
      </w:r>
      <w:proofErr w:type="spellEnd"/>
      <w:r w:rsidRPr="00051FD3">
        <w:rPr>
          <w:rFonts w:eastAsia="TimesNewRoman"/>
          <w:sz w:val="22"/>
          <w:szCs w:val="22"/>
        </w:rPr>
        <w:t xml:space="preserve"> ir </w:t>
      </w:r>
      <w:proofErr w:type="spellStart"/>
      <w:r w:rsidRPr="00051FD3">
        <w:rPr>
          <w:rFonts w:eastAsia="TimesNewRoman"/>
          <w:sz w:val="22"/>
          <w:szCs w:val="22"/>
        </w:rPr>
        <w:t>hipochloreminę</w:t>
      </w:r>
      <w:proofErr w:type="spellEnd"/>
      <w:r w:rsidRPr="00051FD3">
        <w:rPr>
          <w:rFonts w:eastAsia="TimesNewRoman"/>
          <w:sz w:val="22"/>
          <w:szCs w:val="22"/>
        </w:rPr>
        <w:t xml:space="preserve"> </w:t>
      </w:r>
      <w:proofErr w:type="spellStart"/>
      <w:r w:rsidRPr="00051FD3">
        <w:rPr>
          <w:rFonts w:eastAsia="TimesNewRoman"/>
          <w:sz w:val="22"/>
          <w:szCs w:val="22"/>
        </w:rPr>
        <w:t>alkalozę</w:t>
      </w:r>
      <w:proofErr w:type="spellEnd"/>
      <w:r w:rsidRPr="00051FD3">
        <w:rPr>
          <w:rFonts w:eastAsia="TimesNewRoman"/>
          <w:sz w:val="22"/>
          <w:szCs w:val="22"/>
        </w:rPr>
        <w:t xml:space="preserve">). Įspėjamieji skysčių ir elektrolitų pusiausvyros sutrikimo simptomai yra burnos džiūvimas, troškulys, </w:t>
      </w:r>
      <w:proofErr w:type="spellStart"/>
      <w:r w:rsidRPr="00051FD3">
        <w:rPr>
          <w:rFonts w:eastAsia="TimesNewRoman"/>
          <w:sz w:val="22"/>
          <w:szCs w:val="22"/>
        </w:rPr>
        <w:t>astenija</w:t>
      </w:r>
      <w:proofErr w:type="spellEnd"/>
      <w:r w:rsidRPr="00051FD3">
        <w:rPr>
          <w:rFonts w:eastAsia="TimesNewRoman"/>
          <w:sz w:val="22"/>
          <w:szCs w:val="22"/>
        </w:rPr>
        <w:t xml:space="preserve">, letargija, mieguistumas, neramumas, raumenų skausmas arba mėšlungis, raumenų nuovargis, </w:t>
      </w:r>
      <w:proofErr w:type="spellStart"/>
      <w:r w:rsidRPr="00051FD3">
        <w:rPr>
          <w:rFonts w:eastAsia="TimesNewRoman"/>
          <w:sz w:val="22"/>
          <w:szCs w:val="22"/>
        </w:rPr>
        <w:t>hipotenzija</w:t>
      </w:r>
      <w:proofErr w:type="spellEnd"/>
      <w:r w:rsidRPr="00051FD3">
        <w:rPr>
          <w:rFonts w:eastAsia="TimesNewRoman"/>
          <w:sz w:val="22"/>
          <w:szCs w:val="22"/>
        </w:rPr>
        <w:t xml:space="preserve">, </w:t>
      </w:r>
      <w:proofErr w:type="spellStart"/>
      <w:r w:rsidRPr="00051FD3">
        <w:rPr>
          <w:rFonts w:eastAsia="TimesNewRoman"/>
          <w:sz w:val="22"/>
          <w:szCs w:val="22"/>
        </w:rPr>
        <w:t>oligurija</w:t>
      </w:r>
      <w:proofErr w:type="spellEnd"/>
      <w:r w:rsidRPr="00051FD3">
        <w:rPr>
          <w:rFonts w:eastAsia="TimesNewRoman"/>
          <w:sz w:val="22"/>
          <w:szCs w:val="22"/>
        </w:rPr>
        <w:t>, tachikardija, skrandžio ir žarnyno veiklos sutrikimai - pykinimas, vėmimas (žr. 4.8 skyrių).</w:t>
      </w:r>
    </w:p>
    <w:p w14:paraId="1416320E" w14:textId="77777777" w:rsidR="007F39B7" w:rsidRPr="00051FD3" w:rsidRDefault="007F39B7" w:rsidP="007F39B7">
      <w:pPr>
        <w:autoSpaceDE w:val="0"/>
        <w:autoSpaceDN w:val="0"/>
        <w:adjustRightInd w:val="0"/>
        <w:ind w:left="567" w:hanging="567"/>
        <w:rPr>
          <w:rFonts w:eastAsia="TimesNewRoman"/>
          <w:sz w:val="22"/>
          <w:szCs w:val="22"/>
        </w:rPr>
      </w:pPr>
    </w:p>
    <w:p w14:paraId="328B095F" w14:textId="77777777" w:rsidR="007F39B7" w:rsidRPr="00051FD3" w:rsidRDefault="007F39B7" w:rsidP="007F39B7">
      <w:pPr>
        <w:numPr>
          <w:ilvl w:val="0"/>
          <w:numId w:val="6"/>
        </w:numPr>
        <w:autoSpaceDE w:val="0"/>
        <w:autoSpaceDN w:val="0"/>
        <w:adjustRightInd w:val="0"/>
        <w:ind w:left="567" w:hanging="567"/>
        <w:rPr>
          <w:rFonts w:eastAsia="TimesNewRoman"/>
          <w:sz w:val="22"/>
          <w:szCs w:val="22"/>
        </w:rPr>
      </w:pPr>
      <w:proofErr w:type="spellStart"/>
      <w:r w:rsidRPr="00051FD3">
        <w:rPr>
          <w:rFonts w:eastAsia="TimesNewRoman"/>
          <w:sz w:val="22"/>
          <w:szCs w:val="22"/>
        </w:rPr>
        <w:t>Hipokalemija</w:t>
      </w:r>
      <w:proofErr w:type="spellEnd"/>
    </w:p>
    <w:p w14:paraId="1AF34387"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Nors vartojant </w:t>
      </w:r>
      <w:proofErr w:type="spellStart"/>
      <w:r w:rsidRPr="00051FD3">
        <w:rPr>
          <w:rFonts w:eastAsia="TimesNewRoman"/>
          <w:sz w:val="22"/>
          <w:szCs w:val="22"/>
        </w:rPr>
        <w:t>tiazidinių</w:t>
      </w:r>
      <w:proofErr w:type="spellEnd"/>
      <w:r w:rsidRPr="00051FD3">
        <w:rPr>
          <w:rFonts w:eastAsia="TimesNewRoman"/>
          <w:sz w:val="22"/>
          <w:szCs w:val="22"/>
        </w:rPr>
        <w:t xml:space="preserve"> diuretikų galima </w:t>
      </w:r>
      <w:proofErr w:type="spellStart"/>
      <w:r w:rsidRPr="00051FD3">
        <w:rPr>
          <w:rFonts w:eastAsia="TimesNewRoman"/>
          <w:sz w:val="22"/>
          <w:szCs w:val="22"/>
        </w:rPr>
        <w:t>hipokalemija</w:t>
      </w:r>
      <w:proofErr w:type="spellEnd"/>
      <w:r w:rsidRPr="00051FD3">
        <w:rPr>
          <w:rFonts w:eastAsia="TimesNewRoman"/>
          <w:sz w:val="22"/>
          <w:szCs w:val="22"/>
        </w:rPr>
        <w:t xml:space="preserve">, jos pasireiškimo galimybę gali mažinti kartu vartojamas </w:t>
      </w:r>
      <w:proofErr w:type="spellStart"/>
      <w:r w:rsidRPr="00051FD3">
        <w:rPr>
          <w:rFonts w:eastAsia="TimesNewRoman"/>
          <w:sz w:val="22"/>
          <w:szCs w:val="22"/>
        </w:rPr>
        <w:t>telmisartanas</w:t>
      </w:r>
      <w:proofErr w:type="spellEnd"/>
      <w:r w:rsidRPr="00051FD3">
        <w:rPr>
          <w:rFonts w:eastAsia="TimesNewRoman"/>
          <w:sz w:val="22"/>
          <w:szCs w:val="22"/>
        </w:rPr>
        <w:t xml:space="preserve">. </w:t>
      </w:r>
      <w:proofErr w:type="spellStart"/>
      <w:r w:rsidRPr="00051FD3">
        <w:rPr>
          <w:rFonts w:eastAsia="TimesNewRoman"/>
          <w:sz w:val="22"/>
          <w:szCs w:val="22"/>
        </w:rPr>
        <w:t>Hipokalemijos</w:t>
      </w:r>
      <w:proofErr w:type="spellEnd"/>
      <w:r w:rsidRPr="00051FD3">
        <w:rPr>
          <w:rFonts w:eastAsia="TimesNewRoman"/>
          <w:sz w:val="22"/>
          <w:szCs w:val="22"/>
        </w:rPr>
        <w:t xml:space="preserve"> rizika yra didesnė pacientams, kuriems yra kepenų cirozė, sustiprėjusi diurezė, per mažai vartojantiems geriamųjų elektrolitų ir gydomiems  kortikosteroidais arba </w:t>
      </w:r>
      <w:proofErr w:type="spellStart"/>
      <w:r w:rsidRPr="00051FD3">
        <w:rPr>
          <w:rFonts w:eastAsia="TimesNewRoman"/>
          <w:sz w:val="22"/>
          <w:szCs w:val="22"/>
        </w:rPr>
        <w:t>adrenokortikotropiniu</w:t>
      </w:r>
      <w:proofErr w:type="spellEnd"/>
      <w:r w:rsidRPr="00051FD3">
        <w:rPr>
          <w:rFonts w:eastAsia="TimesNewRoman"/>
          <w:sz w:val="22"/>
          <w:szCs w:val="22"/>
        </w:rPr>
        <w:t xml:space="preserve"> hormonu (AKTH) (žr. 4.5 skyrių).</w:t>
      </w:r>
    </w:p>
    <w:p w14:paraId="0172467F" w14:textId="77777777" w:rsidR="007F39B7" w:rsidRPr="00051FD3" w:rsidRDefault="007F39B7" w:rsidP="007F39B7">
      <w:pPr>
        <w:autoSpaceDE w:val="0"/>
        <w:autoSpaceDN w:val="0"/>
        <w:adjustRightInd w:val="0"/>
        <w:ind w:left="567" w:hanging="567"/>
        <w:rPr>
          <w:rFonts w:eastAsia="TimesNewRoman"/>
          <w:sz w:val="22"/>
          <w:szCs w:val="22"/>
        </w:rPr>
      </w:pPr>
    </w:p>
    <w:p w14:paraId="18072F4F" w14:textId="77777777" w:rsidR="007F39B7" w:rsidRPr="00051FD3" w:rsidRDefault="007F39B7" w:rsidP="007F39B7">
      <w:pPr>
        <w:numPr>
          <w:ilvl w:val="0"/>
          <w:numId w:val="6"/>
        </w:numPr>
        <w:autoSpaceDE w:val="0"/>
        <w:autoSpaceDN w:val="0"/>
        <w:adjustRightInd w:val="0"/>
        <w:ind w:left="567" w:hanging="567"/>
        <w:rPr>
          <w:sz w:val="22"/>
          <w:szCs w:val="22"/>
          <w:lang w:eastAsia="lt-LT"/>
        </w:rPr>
      </w:pPr>
      <w:proofErr w:type="spellStart"/>
      <w:r w:rsidRPr="00051FD3">
        <w:rPr>
          <w:rFonts w:eastAsia="TimesNewRoman"/>
          <w:sz w:val="22"/>
          <w:szCs w:val="22"/>
        </w:rPr>
        <w:t>Hiperkalemija</w:t>
      </w:r>
      <w:proofErr w:type="spellEnd"/>
    </w:p>
    <w:p w14:paraId="66AEB3E1"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Priešingai, </w:t>
      </w:r>
      <w:proofErr w:type="spellStart"/>
      <w:r w:rsidRPr="00051FD3">
        <w:rPr>
          <w:rFonts w:eastAsia="TimesNewRoman"/>
          <w:sz w:val="22"/>
          <w:szCs w:val="22"/>
        </w:rPr>
        <w:t>Telmisartan</w:t>
      </w:r>
      <w:proofErr w:type="spellEnd"/>
      <w:r w:rsidRPr="00051FD3">
        <w:rPr>
          <w:rFonts w:eastAsia="TimesNewRoman"/>
          <w:sz w:val="22"/>
          <w:szCs w:val="22"/>
        </w:rPr>
        <w:t>/</w:t>
      </w:r>
      <w:proofErr w:type="spellStart"/>
      <w:r w:rsidRPr="00051FD3">
        <w:rPr>
          <w:rFonts w:eastAsia="TimesNewRoman"/>
          <w:sz w:val="22"/>
          <w:szCs w:val="22"/>
        </w:rPr>
        <w:t>Hydrochlorothiazide</w:t>
      </w:r>
      <w:proofErr w:type="spellEnd"/>
      <w:r w:rsidRPr="00051FD3">
        <w:rPr>
          <w:rFonts w:eastAsia="TimesNewRoman"/>
          <w:sz w:val="22"/>
          <w:szCs w:val="22"/>
        </w:rPr>
        <w:t xml:space="preserve"> </w:t>
      </w:r>
      <w:proofErr w:type="spellStart"/>
      <w:r w:rsidRPr="00051FD3">
        <w:rPr>
          <w:rFonts w:eastAsia="TimesNewRoman"/>
          <w:sz w:val="22"/>
          <w:szCs w:val="22"/>
        </w:rPr>
        <w:t>Teva</w:t>
      </w:r>
      <w:proofErr w:type="spellEnd"/>
      <w:r w:rsidRPr="00051FD3">
        <w:rPr>
          <w:rFonts w:eastAsia="TimesNewRoman"/>
          <w:sz w:val="22"/>
          <w:szCs w:val="22"/>
        </w:rPr>
        <w:t xml:space="preserve"> Pharma esantis </w:t>
      </w:r>
      <w:proofErr w:type="spellStart"/>
      <w:r w:rsidRPr="00051FD3">
        <w:rPr>
          <w:rFonts w:eastAsia="TimesNewRoman"/>
          <w:sz w:val="22"/>
          <w:szCs w:val="22"/>
        </w:rPr>
        <w:t>angiotenzinui</w:t>
      </w:r>
      <w:proofErr w:type="spellEnd"/>
      <w:r w:rsidRPr="00051FD3">
        <w:rPr>
          <w:rFonts w:eastAsia="TimesNewRoman"/>
          <w:sz w:val="22"/>
          <w:szCs w:val="22"/>
        </w:rPr>
        <w:t xml:space="preserve"> II jautrius receptorius (AT</w:t>
      </w:r>
      <w:r w:rsidRPr="00051FD3">
        <w:rPr>
          <w:rFonts w:eastAsia="TimesNewRoman"/>
          <w:sz w:val="22"/>
          <w:szCs w:val="22"/>
          <w:vertAlign w:val="subscript"/>
        </w:rPr>
        <w:t>1</w:t>
      </w:r>
      <w:r w:rsidRPr="00051FD3">
        <w:rPr>
          <w:rFonts w:eastAsia="TimesNewRoman"/>
          <w:sz w:val="22"/>
          <w:szCs w:val="22"/>
        </w:rPr>
        <w:t xml:space="preserve">) blokuojantis </w:t>
      </w:r>
      <w:proofErr w:type="spellStart"/>
      <w:r w:rsidRPr="00051FD3">
        <w:rPr>
          <w:rFonts w:eastAsia="TimesNewRoman"/>
          <w:sz w:val="22"/>
          <w:szCs w:val="22"/>
        </w:rPr>
        <w:t>telmisartanas</w:t>
      </w:r>
      <w:proofErr w:type="spellEnd"/>
      <w:r w:rsidRPr="00051FD3">
        <w:rPr>
          <w:rFonts w:eastAsia="TimesNewRoman"/>
          <w:sz w:val="22"/>
          <w:szCs w:val="22"/>
        </w:rPr>
        <w:t xml:space="preserve"> gali sukelti </w:t>
      </w:r>
      <w:proofErr w:type="spellStart"/>
      <w:r w:rsidRPr="00051FD3">
        <w:rPr>
          <w:rFonts w:eastAsia="TimesNewRoman"/>
          <w:sz w:val="22"/>
          <w:szCs w:val="22"/>
        </w:rPr>
        <w:t>hiperkalemiją</w:t>
      </w:r>
      <w:proofErr w:type="spellEnd"/>
      <w:r w:rsidRPr="00051FD3">
        <w:rPr>
          <w:rFonts w:eastAsia="TimesNewRoman"/>
          <w:sz w:val="22"/>
          <w:szCs w:val="22"/>
        </w:rPr>
        <w:t xml:space="preserve">. Nors gydymo </w:t>
      </w:r>
      <w:proofErr w:type="spellStart"/>
      <w:r w:rsidRPr="00051FD3">
        <w:rPr>
          <w:rFonts w:eastAsia="TimesNewRoman"/>
          <w:sz w:val="22"/>
          <w:szCs w:val="22"/>
        </w:rPr>
        <w:t>telmisartanu</w:t>
      </w:r>
      <w:proofErr w:type="spellEnd"/>
      <w:r w:rsidRPr="00051FD3">
        <w:rPr>
          <w:rFonts w:eastAsia="TimesNewRoman"/>
          <w:sz w:val="22"/>
          <w:szCs w:val="22"/>
        </w:rPr>
        <w:t xml:space="preserve"> metu klinikai reikšmingos </w:t>
      </w:r>
      <w:proofErr w:type="spellStart"/>
      <w:r w:rsidRPr="00051FD3">
        <w:rPr>
          <w:rFonts w:eastAsia="TimesNewRoman"/>
          <w:sz w:val="22"/>
          <w:szCs w:val="22"/>
        </w:rPr>
        <w:t>hiperkalemijos</w:t>
      </w:r>
      <w:proofErr w:type="spellEnd"/>
      <w:r w:rsidRPr="00051FD3">
        <w:rPr>
          <w:rFonts w:eastAsia="TimesNewRoman"/>
          <w:sz w:val="22"/>
          <w:szCs w:val="22"/>
        </w:rPr>
        <w:t xml:space="preserve"> atvejų nebuvo, tačiau jos pasireiškimą skatina inkstų ir (arba) širdies nepakankamumas, cukrinis diabetas. Kalį organizme sulaikančių diuretikų, kalio papildų, druskos pakaitalų, kuriuose yra kalio, kartu su </w:t>
      </w:r>
      <w:proofErr w:type="spellStart"/>
      <w:r w:rsidRPr="00051FD3">
        <w:rPr>
          <w:rFonts w:eastAsia="TimesNewRoman"/>
          <w:sz w:val="22"/>
          <w:szCs w:val="22"/>
        </w:rPr>
        <w:t>Telmisartan</w:t>
      </w:r>
      <w:proofErr w:type="spellEnd"/>
      <w:r w:rsidRPr="00051FD3">
        <w:rPr>
          <w:rFonts w:eastAsia="TimesNewRoman"/>
          <w:sz w:val="22"/>
          <w:szCs w:val="22"/>
        </w:rPr>
        <w:t>/</w:t>
      </w:r>
      <w:proofErr w:type="spellStart"/>
      <w:r w:rsidRPr="00051FD3">
        <w:rPr>
          <w:rFonts w:eastAsia="TimesNewRoman"/>
          <w:sz w:val="22"/>
          <w:szCs w:val="22"/>
        </w:rPr>
        <w:t>Hydrochlorothiazide</w:t>
      </w:r>
      <w:proofErr w:type="spellEnd"/>
      <w:r w:rsidRPr="00051FD3">
        <w:rPr>
          <w:rFonts w:eastAsia="TimesNewRoman"/>
          <w:sz w:val="22"/>
          <w:szCs w:val="22"/>
        </w:rPr>
        <w:t xml:space="preserve"> </w:t>
      </w:r>
      <w:proofErr w:type="spellStart"/>
      <w:r w:rsidRPr="00051FD3">
        <w:rPr>
          <w:rFonts w:eastAsia="TimesNewRoman"/>
          <w:sz w:val="22"/>
          <w:szCs w:val="22"/>
        </w:rPr>
        <w:t>Teva</w:t>
      </w:r>
      <w:proofErr w:type="spellEnd"/>
      <w:r w:rsidRPr="00051FD3">
        <w:rPr>
          <w:rFonts w:eastAsia="TimesNewRoman"/>
          <w:sz w:val="22"/>
          <w:szCs w:val="22"/>
        </w:rPr>
        <w:t xml:space="preserve"> Pharma reikia vartoti atsargiai (žr. 4.5 skyrių).</w:t>
      </w:r>
    </w:p>
    <w:p w14:paraId="57379D56" w14:textId="77777777" w:rsidR="007F39B7" w:rsidRPr="00051FD3" w:rsidRDefault="007F39B7" w:rsidP="007F39B7">
      <w:pPr>
        <w:autoSpaceDE w:val="0"/>
        <w:autoSpaceDN w:val="0"/>
        <w:adjustRightInd w:val="0"/>
        <w:ind w:left="567" w:hanging="567"/>
        <w:rPr>
          <w:rFonts w:eastAsia="TimesNewRoman"/>
          <w:sz w:val="22"/>
          <w:szCs w:val="22"/>
        </w:rPr>
      </w:pPr>
    </w:p>
    <w:p w14:paraId="0B9BBF44" w14:textId="7B1A85F3" w:rsidR="007F39B7" w:rsidRPr="00051FD3" w:rsidRDefault="00765FD9" w:rsidP="007F39B7">
      <w:pPr>
        <w:numPr>
          <w:ilvl w:val="0"/>
          <w:numId w:val="6"/>
        </w:numPr>
        <w:autoSpaceDE w:val="0"/>
        <w:autoSpaceDN w:val="0"/>
        <w:adjustRightInd w:val="0"/>
        <w:ind w:left="567" w:hanging="567"/>
        <w:rPr>
          <w:rFonts w:eastAsia="TimesNewRoman"/>
          <w:sz w:val="22"/>
          <w:szCs w:val="22"/>
        </w:rPr>
      </w:pPr>
      <w:proofErr w:type="spellStart"/>
      <w:r w:rsidRPr="00051FD3">
        <w:rPr>
          <w:rFonts w:eastAsia="TimesNewRoman"/>
          <w:sz w:val="22"/>
          <w:szCs w:val="22"/>
        </w:rPr>
        <w:t>H</w:t>
      </w:r>
      <w:r w:rsidR="007F39B7" w:rsidRPr="00051FD3">
        <w:rPr>
          <w:rFonts w:eastAsia="TimesNewRoman"/>
          <w:sz w:val="22"/>
          <w:szCs w:val="22"/>
        </w:rPr>
        <w:t>ipochloreminė</w:t>
      </w:r>
      <w:proofErr w:type="spellEnd"/>
      <w:r w:rsidR="007F39B7" w:rsidRPr="00051FD3">
        <w:rPr>
          <w:rFonts w:eastAsia="TimesNewRoman"/>
          <w:sz w:val="22"/>
          <w:szCs w:val="22"/>
        </w:rPr>
        <w:t xml:space="preserve"> </w:t>
      </w:r>
      <w:proofErr w:type="spellStart"/>
      <w:r w:rsidR="007F39B7" w:rsidRPr="00051FD3">
        <w:rPr>
          <w:rFonts w:eastAsia="TimesNewRoman"/>
          <w:sz w:val="22"/>
          <w:szCs w:val="22"/>
        </w:rPr>
        <w:t>alkalozė</w:t>
      </w:r>
      <w:proofErr w:type="spellEnd"/>
    </w:p>
    <w:p w14:paraId="71055111" w14:textId="4391B915" w:rsidR="007F39B7" w:rsidRPr="00051FD3" w:rsidRDefault="007F39B7" w:rsidP="007F39B7">
      <w:pPr>
        <w:autoSpaceDE w:val="0"/>
        <w:autoSpaceDN w:val="0"/>
        <w:adjustRightInd w:val="0"/>
        <w:rPr>
          <w:sz w:val="22"/>
          <w:szCs w:val="22"/>
          <w:lang w:eastAsia="lt-LT"/>
        </w:rPr>
      </w:pPr>
      <w:r w:rsidRPr="00051FD3">
        <w:rPr>
          <w:rFonts w:eastAsia="TimesNewRoman"/>
          <w:sz w:val="22"/>
          <w:szCs w:val="22"/>
        </w:rPr>
        <w:t>Atsirandantis chlorido trūkumas kraujyje paprastai būna mažas, jo gydyti dažniausiai nereikia.</w:t>
      </w:r>
    </w:p>
    <w:p w14:paraId="7403F04F" w14:textId="77777777" w:rsidR="007F39B7" w:rsidRPr="00051FD3" w:rsidRDefault="007F39B7" w:rsidP="007F39B7">
      <w:pPr>
        <w:autoSpaceDE w:val="0"/>
        <w:autoSpaceDN w:val="0"/>
        <w:adjustRightInd w:val="0"/>
        <w:ind w:left="567" w:hanging="567"/>
        <w:rPr>
          <w:sz w:val="22"/>
          <w:szCs w:val="22"/>
          <w:lang w:eastAsia="lt-LT"/>
        </w:rPr>
      </w:pPr>
    </w:p>
    <w:p w14:paraId="5626FFB5" w14:textId="77777777" w:rsidR="007F39B7" w:rsidRPr="00051FD3" w:rsidRDefault="007F39B7" w:rsidP="007F39B7">
      <w:pPr>
        <w:numPr>
          <w:ilvl w:val="0"/>
          <w:numId w:val="6"/>
        </w:numPr>
        <w:autoSpaceDE w:val="0"/>
        <w:autoSpaceDN w:val="0"/>
        <w:adjustRightInd w:val="0"/>
        <w:ind w:left="567" w:hanging="567"/>
        <w:rPr>
          <w:rFonts w:eastAsia="TimesNewRoman"/>
          <w:sz w:val="22"/>
          <w:szCs w:val="22"/>
        </w:rPr>
      </w:pPr>
      <w:proofErr w:type="spellStart"/>
      <w:r w:rsidRPr="00051FD3">
        <w:rPr>
          <w:rFonts w:eastAsia="TimesNewRoman"/>
          <w:sz w:val="22"/>
          <w:szCs w:val="22"/>
        </w:rPr>
        <w:t>Hiperkalcemija</w:t>
      </w:r>
      <w:proofErr w:type="spellEnd"/>
    </w:p>
    <w:p w14:paraId="312CAA15"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Tiazidiniai</w:t>
      </w:r>
      <w:proofErr w:type="spellEnd"/>
      <w:r w:rsidRPr="00051FD3">
        <w:rPr>
          <w:rFonts w:eastAsia="TimesNewRoman"/>
          <w:sz w:val="22"/>
          <w:szCs w:val="22"/>
        </w:rPr>
        <w:t xml:space="preserve"> diuretikai gali mažinti kalcio išsiskyrimą su šlapimu, todėl jo kiekis kraujo serume protarpiais gali šiek tiek arba vidutiniškai padidėti net tuo atveju, kai apykaita nesutrikusi. Ženkli </w:t>
      </w:r>
      <w:proofErr w:type="spellStart"/>
      <w:r w:rsidRPr="00051FD3">
        <w:rPr>
          <w:rFonts w:eastAsia="TimesNewRoman"/>
          <w:sz w:val="22"/>
          <w:szCs w:val="22"/>
        </w:rPr>
        <w:t>hiperkalcemija</w:t>
      </w:r>
      <w:proofErr w:type="spellEnd"/>
      <w:r w:rsidRPr="00051FD3">
        <w:rPr>
          <w:rFonts w:eastAsia="TimesNewRoman"/>
          <w:sz w:val="22"/>
          <w:szCs w:val="22"/>
        </w:rPr>
        <w:t xml:space="preserve"> gali būti slaptojo </w:t>
      </w:r>
      <w:proofErr w:type="spellStart"/>
      <w:r w:rsidRPr="00051FD3">
        <w:rPr>
          <w:rFonts w:eastAsia="TimesNewRoman"/>
          <w:sz w:val="22"/>
          <w:szCs w:val="22"/>
        </w:rPr>
        <w:t>hiperparatiroidizmo</w:t>
      </w:r>
      <w:proofErr w:type="spellEnd"/>
      <w:r w:rsidRPr="00051FD3">
        <w:rPr>
          <w:rFonts w:eastAsia="TimesNewRoman"/>
          <w:sz w:val="22"/>
          <w:szCs w:val="22"/>
        </w:rPr>
        <w:t xml:space="preserve"> požymis. Prieš </w:t>
      </w:r>
      <w:proofErr w:type="spellStart"/>
      <w:r w:rsidRPr="00051FD3">
        <w:rPr>
          <w:rFonts w:eastAsia="TimesNewRoman"/>
          <w:sz w:val="22"/>
          <w:szCs w:val="22"/>
        </w:rPr>
        <w:t>prieskydinės</w:t>
      </w:r>
      <w:proofErr w:type="spellEnd"/>
      <w:r w:rsidRPr="00051FD3">
        <w:rPr>
          <w:rFonts w:eastAsia="TimesNewRoman"/>
          <w:sz w:val="22"/>
          <w:szCs w:val="22"/>
        </w:rPr>
        <w:t xml:space="preserve"> liaukos funkcijos tyrimą </w:t>
      </w:r>
      <w:proofErr w:type="spellStart"/>
      <w:r w:rsidRPr="00051FD3">
        <w:rPr>
          <w:rFonts w:eastAsia="TimesNewRoman"/>
          <w:sz w:val="22"/>
          <w:szCs w:val="22"/>
        </w:rPr>
        <w:t>tiazidų</w:t>
      </w:r>
      <w:proofErr w:type="spellEnd"/>
      <w:r w:rsidRPr="00051FD3">
        <w:rPr>
          <w:rFonts w:eastAsia="TimesNewRoman"/>
          <w:sz w:val="22"/>
          <w:szCs w:val="22"/>
        </w:rPr>
        <w:t xml:space="preserve"> vartojimą reikia nutraukti.</w:t>
      </w:r>
    </w:p>
    <w:p w14:paraId="1985AD9D" w14:textId="77777777" w:rsidR="007F39B7" w:rsidRPr="00051FD3" w:rsidRDefault="007F39B7" w:rsidP="007F39B7">
      <w:pPr>
        <w:autoSpaceDE w:val="0"/>
        <w:autoSpaceDN w:val="0"/>
        <w:adjustRightInd w:val="0"/>
        <w:ind w:left="567"/>
        <w:rPr>
          <w:rFonts w:eastAsia="TimesNewRoman"/>
          <w:sz w:val="22"/>
          <w:szCs w:val="22"/>
        </w:rPr>
      </w:pPr>
    </w:p>
    <w:p w14:paraId="38622C8A" w14:textId="77777777" w:rsidR="007F39B7" w:rsidRPr="00051FD3" w:rsidRDefault="007F39B7" w:rsidP="007F39B7">
      <w:pPr>
        <w:numPr>
          <w:ilvl w:val="0"/>
          <w:numId w:val="6"/>
        </w:numPr>
        <w:autoSpaceDE w:val="0"/>
        <w:autoSpaceDN w:val="0"/>
        <w:adjustRightInd w:val="0"/>
        <w:ind w:left="567" w:hanging="567"/>
        <w:rPr>
          <w:rFonts w:eastAsia="TimesNewRoman"/>
          <w:sz w:val="22"/>
          <w:szCs w:val="22"/>
        </w:rPr>
      </w:pPr>
      <w:proofErr w:type="spellStart"/>
      <w:r w:rsidRPr="00051FD3">
        <w:rPr>
          <w:rFonts w:eastAsia="TimesNewRoman"/>
          <w:sz w:val="22"/>
          <w:szCs w:val="22"/>
        </w:rPr>
        <w:t>Hipomagnezemija</w:t>
      </w:r>
      <w:proofErr w:type="spellEnd"/>
    </w:p>
    <w:p w14:paraId="29536F12"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Tiazidiniai</w:t>
      </w:r>
      <w:proofErr w:type="spellEnd"/>
      <w:r w:rsidRPr="00051FD3">
        <w:rPr>
          <w:rFonts w:eastAsia="TimesNewRoman"/>
          <w:sz w:val="22"/>
          <w:szCs w:val="22"/>
        </w:rPr>
        <w:t xml:space="preserve"> diuretikai didina magnio išsiskyrimą su šlapimu, todėl gali sukelti </w:t>
      </w:r>
      <w:proofErr w:type="spellStart"/>
      <w:r w:rsidRPr="00051FD3">
        <w:rPr>
          <w:rFonts w:eastAsia="TimesNewRoman"/>
          <w:sz w:val="22"/>
          <w:szCs w:val="22"/>
        </w:rPr>
        <w:t>hipomagnezemiją</w:t>
      </w:r>
      <w:proofErr w:type="spellEnd"/>
      <w:r w:rsidRPr="00051FD3">
        <w:rPr>
          <w:rFonts w:eastAsia="TimesNewRoman"/>
          <w:sz w:val="22"/>
          <w:szCs w:val="22"/>
        </w:rPr>
        <w:t xml:space="preserve"> (žr. 4.5 skyrių).</w:t>
      </w:r>
    </w:p>
    <w:p w14:paraId="00D8BD37" w14:textId="77777777" w:rsidR="007F39B7" w:rsidRPr="00051FD3" w:rsidRDefault="007F39B7" w:rsidP="007F39B7">
      <w:pPr>
        <w:autoSpaceDE w:val="0"/>
        <w:autoSpaceDN w:val="0"/>
        <w:adjustRightInd w:val="0"/>
        <w:rPr>
          <w:rFonts w:eastAsia="TimesNewRoman"/>
          <w:sz w:val="22"/>
          <w:szCs w:val="22"/>
        </w:rPr>
      </w:pPr>
    </w:p>
    <w:p w14:paraId="15DF98E3" w14:textId="77777777"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Etniniai skirtumai</w:t>
      </w:r>
    </w:p>
    <w:p w14:paraId="3DF8EEE5"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Remiantis </w:t>
      </w:r>
      <w:proofErr w:type="spellStart"/>
      <w:r w:rsidRPr="00051FD3">
        <w:rPr>
          <w:sz w:val="22"/>
          <w:szCs w:val="22"/>
          <w:lang w:eastAsia="lt-LT"/>
        </w:rPr>
        <w:t>angiotenziną</w:t>
      </w:r>
      <w:proofErr w:type="spellEnd"/>
      <w:r w:rsidRPr="00051FD3">
        <w:rPr>
          <w:sz w:val="22"/>
          <w:szCs w:val="22"/>
          <w:lang w:eastAsia="lt-LT"/>
        </w:rPr>
        <w:t xml:space="preserve"> konvertuojančių fermentų inhibitorių tyrimų rezultatais, galima daryti išvadą, kad </w:t>
      </w:r>
      <w:proofErr w:type="spellStart"/>
      <w:r w:rsidRPr="00051FD3">
        <w:rPr>
          <w:sz w:val="22"/>
          <w:szCs w:val="22"/>
          <w:lang w:eastAsia="lt-LT"/>
        </w:rPr>
        <w:t>telmisartanas</w:t>
      </w:r>
      <w:proofErr w:type="spellEnd"/>
      <w:r w:rsidRPr="00051FD3">
        <w:rPr>
          <w:sz w:val="22"/>
          <w:szCs w:val="22"/>
          <w:lang w:eastAsia="lt-LT"/>
        </w:rPr>
        <w:t xml:space="preserve">, kaip ir kitokie </w:t>
      </w:r>
      <w:proofErr w:type="spellStart"/>
      <w:r w:rsidRPr="00051FD3">
        <w:rPr>
          <w:sz w:val="22"/>
          <w:szCs w:val="22"/>
          <w:lang w:eastAsia="lt-LT"/>
        </w:rPr>
        <w:t>angiotenzino</w:t>
      </w:r>
      <w:proofErr w:type="spellEnd"/>
      <w:r w:rsidRPr="00051FD3">
        <w:rPr>
          <w:sz w:val="22"/>
          <w:szCs w:val="22"/>
          <w:lang w:eastAsia="lt-LT"/>
        </w:rPr>
        <w:t xml:space="preserve"> II receptorių blokatoriai, juodaodžiams kraujospūdį mažina silpniau negu nejuodaodžiams galbūt todėl, kad hipertenzija sergančių juodaodžių kraujyje </w:t>
      </w:r>
      <w:proofErr w:type="spellStart"/>
      <w:r w:rsidRPr="00051FD3">
        <w:rPr>
          <w:sz w:val="22"/>
          <w:szCs w:val="22"/>
          <w:lang w:eastAsia="lt-LT"/>
        </w:rPr>
        <w:t>renino</w:t>
      </w:r>
      <w:proofErr w:type="spellEnd"/>
      <w:r w:rsidRPr="00051FD3">
        <w:rPr>
          <w:sz w:val="22"/>
          <w:szCs w:val="22"/>
          <w:lang w:eastAsia="lt-LT"/>
        </w:rPr>
        <w:t xml:space="preserve"> koncentracija dažniau būna maža.</w:t>
      </w:r>
    </w:p>
    <w:p w14:paraId="11F18F8A" w14:textId="77777777" w:rsidR="007F39B7" w:rsidRPr="00051FD3" w:rsidRDefault="007F39B7" w:rsidP="007F39B7">
      <w:pPr>
        <w:tabs>
          <w:tab w:val="left" w:pos="567"/>
        </w:tabs>
        <w:jc w:val="both"/>
        <w:rPr>
          <w:sz w:val="22"/>
          <w:szCs w:val="22"/>
          <w:lang w:eastAsia="lt-LT"/>
        </w:rPr>
      </w:pPr>
    </w:p>
    <w:p w14:paraId="7B1C4FBC" w14:textId="48763392" w:rsidR="007F39B7" w:rsidRPr="00051FD3" w:rsidRDefault="00765FD9" w:rsidP="007F39B7">
      <w:pPr>
        <w:autoSpaceDE w:val="0"/>
        <w:autoSpaceDN w:val="0"/>
        <w:adjustRightInd w:val="0"/>
        <w:rPr>
          <w:sz w:val="22"/>
          <w:szCs w:val="22"/>
          <w:u w:val="single"/>
          <w:lang w:eastAsia="lt-LT"/>
        </w:rPr>
      </w:pPr>
      <w:r w:rsidRPr="00051FD3">
        <w:rPr>
          <w:sz w:val="22"/>
          <w:szCs w:val="22"/>
          <w:u w:val="single"/>
          <w:lang w:eastAsia="lt-LT"/>
        </w:rPr>
        <w:t>Išeminė širdies liga</w:t>
      </w:r>
    </w:p>
    <w:p w14:paraId="082BDEC1" w14:textId="79A532D0" w:rsidR="007F39B7" w:rsidRPr="00051FD3" w:rsidRDefault="00765FD9" w:rsidP="007F39B7">
      <w:pPr>
        <w:autoSpaceDE w:val="0"/>
        <w:autoSpaceDN w:val="0"/>
        <w:adjustRightInd w:val="0"/>
        <w:rPr>
          <w:sz w:val="22"/>
          <w:szCs w:val="22"/>
          <w:lang w:eastAsia="lt-LT"/>
        </w:rPr>
      </w:pPr>
      <w:r w:rsidRPr="00051FD3">
        <w:rPr>
          <w:sz w:val="22"/>
          <w:szCs w:val="22"/>
          <w:lang w:eastAsia="lt-LT"/>
        </w:rPr>
        <w:t>K</w:t>
      </w:r>
      <w:r w:rsidR="007F39B7" w:rsidRPr="00051FD3">
        <w:rPr>
          <w:sz w:val="22"/>
          <w:szCs w:val="22"/>
          <w:lang w:eastAsia="lt-LT"/>
        </w:rPr>
        <w:t xml:space="preserve">aip ir kitokiais vaistais nuo hipertenzijos gydomiems pacientams, sergantiems išemine </w:t>
      </w:r>
      <w:proofErr w:type="spellStart"/>
      <w:r w:rsidR="007F39B7" w:rsidRPr="00051FD3">
        <w:rPr>
          <w:sz w:val="22"/>
          <w:szCs w:val="22"/>
          <w:lang w:eastAsia="lt-LT"/>
        </w:rPr>
        <w:t>kardiopatija</w:t>
      </w:r>
      <w:proofErr w:type="spellEnd"/>
      <w:r w:rsidR="007F39B7" w:rsidRPr="00051FD3">
        <w:rPr>
          <w:sz w:val="22"/>
          <w:szCs w:val="22"/>
          <w:lang w:eastAsia="lt-LT"/>
        </w:rPr>
        <w:t xml:space="preserve"> arba išemine širdies liga, labai sumažėja kraujospūdis, juos gali ištikti miokardo infarktas arba smegenų insultas.</w:t>
      </w:r>
    </w:p>
    <w:p w14:paraId="160D448B" w14:textId="77777777" w:rsidR="007F39B7" w:rsidRPr="00051FD3" w:rsidRDefault="007F39B7" w:rsidP="007F39B7">
      <w:pPr>
        <w:autoSpaceDE w:val="0"/>
        <w:autoSpaceDN w:val="0"/>
        <w:adjustRightInd w:val="0"/>
        <w:rPr>
          <w:sz w:val="22"/>
          <w:szCs w:val="22"/>
          <w:lang w:eastAsia="lt-LT"/>
        </w:rPr>
      </w:pPr>
    </w:p>
    <w:p w14:paraId="160B4557"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Bendras poveikis</w:t>
      </w:r>
    </w:p>
    <w:p w14:paraId="496FE0F6"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Vartojant </w:t>
      </w:r>
      <w:proofErr w:type="spellStart"/>
      <w:r w:rsidRPr="00051FD3">
        <w:rPr>
          <w:rFonts w:eastAsia="TimesNewRoman"/>
          <w:sz w:val="22"/>
          <w:szCs w:val="22"/>
        </w:rPr>
        <w:t>hidrochlorotiazido</w:t>
      </w:r>
      <w:proofErr w:type="spellEnd"/>
      <w:r w:rsidRPr="00051FD3">
        <w:rPr>
          <w:rFonts w:eastAsia="TimesNewRoman"/>
          <w:sz w:val="22"/>
          <w:szCs w:val="22"/>
        </w:rPr>
        <w:t>, galimos padidėjusio organizmo jautrumo reakcijos. Jos gali prasidėti ir tiems pacientams, kuriems jautrumo padidėjimas ar bronchinė astma buvo pasireiškusi anksčiau, ir tiems, kuriems minėtų būklių nėra buvę, tačiau pirmesnės grupės pacientams ji labiau tikėtina.</w:t>
      </w:r>
    </w:p>
    <w:p w14:paraId="64162CB5"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lastRenderedPageBreak/>
        <w:t>Tiazidiniais</w:t>
      </w:r>
      <w:proofErr w:type="spellEnd"/>
      <w:r w:rsidRPr="00051FD3">
        <w:rPr>
          <w:rFonts w:eastAsia="TimesNewRoman"/>
          <w:sz w:val="22"/>
          <w:szCs w:val="22"/>
        </w:rPr>
        <w:t xml:space="preserve"> diuretikais, įskaitant </w:t>
      </w:r>
      <w:proofErr w:type="spellStart"/>
      <w:r w:rsidRPr="00051FD3">
        <w:rPr>
          <w:rFonts w:eastAsia="TimesNewRoman"/>
          <w:sz w:val="22"/>
          <w:szCs w:val="22"/>
        </w:rPr>
        <w:t>hidrochlorotiazidą</w:t>
      </w:r>
      <w:proofErr w:type="spellEnd"/>
      <w:r w:rsidRPr="00051FD3">
        <w:rPr>
          <w:rFonts w:eastAsia="TimesNewRoman"/>
          <w:sz w:val="22"/>
          <w:szCs w:val="22"/>
        </w:rPr>
        <w:t>, gydomiems pacientams buvo sisteminės raudonosios vilkligės suaktyvėjimo ir pasunkėjimo atvejų.</w:t>
      </w:r>
    </w:p>
    <w:p w14:paraId="41BE18CF"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Tiazidinių</w:t>
      </w:r>
      <w:proofErr w:type="spellEnd"/>
      <w:r w:rsidRPr="00051FD3">
        <w:rPr>
          <w:rFonts w:eastAsia="TimesNewRoman"/>
          <w:sz w:val="22"/>
          <w:szCs w:val="22"/>
        </w:rPr>
        <w:t xml:space="preserve"> diuretikų vartojantiems pacientams buvo padidėjusio jautrumo šviesai reakcijų atvejų (žr. 4.8 skyrių). Jeigu padidėjusio jautrumo šviesai reakcija pasireiškia gydymo metu, gydymą rekomenduojama nutraukti. Nutarus, kad gydymą diuretikais atnaujinti būtina, pacientui reikia rekomenduoti apsaugoti saulės ar dirbtinių ultravioletinių spindulių veikiamas vietas.</w:t>
      </w:r>
    </w:p>
    <w:p w14:paraId="34CA9D1C" w14:textId="77777777" w:rsidR="007F39B7" w:rsidRPr="00051FD3" w:rsidRDefault="007F39B7" w:rsidP="007F39B7">
      <w:pPr>
        <w:autoSpaceDE w:val="0"/>
        <w:autoSpaceDN w:val="0"/>
        <w:adjustRightInd w:val="0"/>
        <w:rPr>
          <w:rFonts w:eastAsia="TimesNewRoman"/>
          <w:sz w:val="22"/>
          <w:szCs w:val="22"/>
        </w:rPr>
      </w:pPr>
    </w:p>
    <w:p w14:paraId="5BFA01D4" w14:textId="77777777" w:rsidR="007F39B7" w:rsidRPr="00051FD3" w:rsidRDefault="00272CF5" w:rsidP="007F39B7">
      <w:pPr>
        <w:autoSpaceDE w:val="0"/>
        <w:autoSpaceDN w:val="0"/>
        <w:adjustRightInd w:val="0"/>
        <w:rPr>
          <w:rFonts w:eastAsia="TimesNewRoman"/>
          <w:sz w:val="22"/>
          <w:szCs w:val="22"/>
          <w:u w:val="single"/>
        </w:rPr>
      </w:pPr>
      <w:r w:rsidRPr="00051FD3">
        <w:rPr>
          <w:rFonts w:eastAsia="TimesNewRoman"/>
          <w:sz w:val="22"/>
          <w:szCs w:val="22"/>
          <w:u w:val="single"/>
        </w:rPr>
        <w:t xml:space="preserve">Skysčio susikaupimas tarp akies </w:t>
      </w:r>
      <w:proofErr w:type="spellStart"/>
      <w:r w:rsidRPr="00051FD3">
        <w:rPr>
          <w:rFonts w:eastAsia="TimesNewRoman"/>
          <w:sz w:val="22"/>
          <w:szCs w:val="22"/>
          <w:u w:val="single"/>
        </w:rPr>
        <w:t>gyslainės</w:t>
      </w:r>
      <w:proofErr w:type="spellEnd"/>
      <w:r w:rsidRPr="00051FD3">
        <w:rPr>
          <w:rFonts w:eastAsia="TimesNewRoman"/>
          <w:sz w:val="22"/>
          <w:szCs w:val="22"/>
          <w:u w:val="single"/>
        </w:rPr>
        <w:t xml:space="preserve"> ir </w:t>
      </w:r>
      <w:proofErr w:type="spellStart"/>
      <w:r w:rsidRPr="00051FD3">
        <w:rPr>
          <w:rFonts w:eastAsia="TimesNewRoman"/>
          <w:sz w:val="22"/>
          <w:szCs w:val="22"/>
          <w:u w:val="single"/>
        </w:rPr>
        <w:t>skleros</w:t>
      </w:r>
      <w:proofErr w:type="spellEnd"/>
      <w:r w:rsidRPr="00051FD3">
        <w:rPr>
          <w:rFonts w:eastAsia="TimesNewRoman"/>
          <w:sz w:val="22"/>
          <w:szCs w:val="22"/>
          <w:u w:val="single"/>
        </w:rPr>
        <w:t>, ū</w:t>
      </w:r>
      <w:r w:rsidR="007F39B7" w:rsidRPr="00051FD3">
        <w:rPr>
          <w:rFonts w:eastAsia="TimesNewRoman"/>
          <w:sz w:val="22"/>
          <w:szCs w:val="22"/>
          <w:u w:val="single"/>
        </w:rPr>
        <w:t>minė trumparegystė ir ūminė uždaro kampo glaukoma</w:t>
      </w:r>
    </w:p>
    <w:p w14:paraId="212506DF"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Sulfonamidas</w:t>
      </w:r>
      <w:proofErr w:type="spellEnd"/>
      <w:r w:rsidRPr="00051FD3">
        <w:rPr>
          <w:rFonts w:eastAsia="TimesNewRoman"/>
          <w:sz w:val="22"/>
          <w:szCs w:val="22"/>
        </w:rPr>
        <w:t xml:space="preserve"> </w:t>
      </w:r>
      <w:proofErr w:type="spellStart"/>
      <w:r w:rsidRPr="00051FD3">
        <w:rPr>
          <w:rFonts w:eastAsia="TimesNewRoman"/>
          <w:sz w:val="22"/>
          <w:szCs w:val="22"/>
        </w:rPr>
        <w:t>hidrochlorotiazidas</w:t>
      </w:r>
      <w:proofErr w:type="spellEnd"/>
      <w:r w:rsidRPr="00051FD3">
        <w:rPr>
          <w:rFonts w:eastAsia="TimesNewRoman"/>
          <w:sz w:val="22"/>
          <w:szCs w:val="22"/>
        </w:rPr>
        <w:t xml:space="preserve"> gali sukelti idiosinkrazijos reakciją </w:t>
      </w:r>
      <w:r w:rsidR="00272CF5" w:rsidRPr="00051FD3">
        <w:rPr>
          <w:rFonts w:eastAsia="TimesNewRoman"/>
          <w:sz w:val="22"/>
          <w:szCs w:val="22"/>
        </w:rPr>
        <w:t xml:space="preserve">ir dėl to gali pasireikšti skysčio susikaupimas tarp akies </w:t>
      </w:r>
      <w:proofErr w:type="spellStart"/>
      <w:r w:rsidR="00272CF5" w:rsidRPr="00051FD3">
        <w:rPr>
          <w:rFonts w:eastAsia="TimesNewRoman"/>
          <w:sz w:val="22"/>
          <w:szCs w:val="22"/>
        </w:rPr>
        <w:t>gyslainės</w:t>
      </w:r>
      <w:proofErr w:type="spellEnd"/>
      <w:r w:rsidR="00272CF5" w:rsidRPr="00051FD3">
        <w:rPr>
          <w:rFonts w:eastAsia="TimesNewRoman"/>
          <w:sz w:val="22"/>
          <w:szCs w:val="22"/>
        </w:rPr>
        <w:t xml:space="preserve"> ir </w:t>
      </w:r>
      <w:proofErr w:type="spellStart"/>
      <w:r w:rsidR="00272CF5" w:rsidRPr="00051FD3">
        <w:rPr>
          <w:rFonts w:eastAsia="TimesNewRoman"/>
          <w:sz w:val="22"/>
          <w:szCs w:val="22"/>
        </w:rPr>
        <w:t>skleros</w:t>
      </w:r>
      <w:proofErr w:type="spellEnd"/>
      <w:r w:rsidR="00272CF5" w:rsidRPr="00051FD3">
        <w:rPr>
          <w:rFonts w:eastAsia="TimesNewRoman"/>
          <w:sz w:val="22"/>
          <w:szCs w:val="22"/>
        </w:rPr>
        <w:t xml:space="preserve"> su regėjimo lauko defektu,</w:t>
      </w:r>
      <w:r w:rsidRPr="00051FD3">
        <w:rPr>
          <w:rFonts w:eastAsia="TimesNewRoman"/>
          <w:sz w:val="22"/>
          <w:szCs w:val="22"/>
        </w:rPr>
        <w:t xml:space="preserve"> ūmin</w:t>
      </w:r>
      <w:r w:rsidR="00272CF5" w:rsidRPr="00051FD3">
        <w:rPr>
          <w:rFonts w:eastAsia="TimesNewRoman"/>
          <w:sz w:val="22"/>
          <w:szCs w:val="22"/>
        </w:rPr>
        <w:t>ė</w:t>
      </w:r>
      <w:r w:rsidRPr="00051FD3">
        <w:rPr>
          <w:rFonts w:eastAsia="TimesNewRoman"/>
          <w:sz w:val="22"/>
          <w:szCs w:val="22"/>
        </w:rPr>
        <w:t xml:space="preserve"> trumpalaik</w:t>
      </w:r>
      <w:r w:rsidR="00272CF5" w:rsidRPr="00051FD3">
        <w:rPr>
          <w:rFonts w:eastAsia="TimesNewRoman"/>
          <w:sz w:val="22"/>
          <w:szCs w:val="22"/>
        </w:rPr>
        <w:t>ė</w:t>
      </w:r>
      <w:r w:rsidRPr="00051FD3">
        <w:rPr>
          <w:rFonts w:eastAsia="TimesNewRoman"/>
          <w:sz w:val="22"/>
          <w:szCs w:val="22"/>
        </w:rPr>
        <w:t xml:space="preserve"> trumparegyst</w:t>
      </w:r>
      <w:r w:rsidR="00272CF5" w:rsidRPr="00051FD3">
        <w:rPr>
          <w:rFonts w:eastAsia="TimesNewRoman"/>
          <w:sz w:val="22"/>
          <w:szCs w:val="22"/>
        </w:rPr>
        <w:t>ė</w:t>
      </w:r>
      <w:r w:rsidRPr="00051FD3">
        <w:rPr>
          <w:rFonts w:eastAsia="TimesNewRoman"/>
          <w:sz w:val="22"/>
          <w:szCs w:val="22"/>
        </w:rPr>
        <w:t xml:space="preserve"> ir ūmin</w:t>
      </w:r>
      <w:r w:rsidR="00272CF5" w:rsidRPr="00051FD3">
        <w:rPr>
          <w:rFonts w:eastAsia="TimesNewRoman"/>
          <w:sz w:val="22"/>
          <w:szCs w:val="22"/>
        </w:rPr>
        <w:t>ė</w:t>
      </w:r>
      <w:r w:rsidRPr="00051FD3">
        <w:rPr>
          <w:rFonts w:eastAsia="TimesNewRoman"/>
          <w:sz w:val="22"/>
          <w:szCs w:val="22"/>
        </w:rPr>
        <w:t xml:space="preserve"> uždaro kampo glaukom</w:t>
      </w:r>
      <w:r w:rsidR="00272CF5" w:rsidRPr="00051FD3">
        <w:rPr>
          <w:rFonts w:eastAsia="TimesNewRoman"/>
          <w:sz w:val="22"/>
          <w:szCs w:val="22"/>
        </w:rPr>
        <w:t>a</w:t>
      </w:r>
      <w:r w:rsidRPr="00051FD3">
        <w:rPr>
          <w:rFonts w:eastAsia="TimesNewRoman"/>
          <w:sz w:val="22"/>
          <w:szCs w:val="22"/>
        </w:rPr>
        <w:t xml:space="preserve">. Simptomai yra staigus regos aštrumo sumažėjimas arba akių skausmas, paprastai atsirandantys per kelias valandas arba savaites nuo vaisto vartojimo pradžios. Negydoma ūminė uždaro kampo glaukoma gali lemti apakimą visam laikui. Svarbiausias gydymas − kuo greičiau nutraukti </w:t>
      </w:r>
      <w:proofErr w:type="spellStart"/>
      <w:r w:rsidRPr="00051FD3">
        <w:rPr>
          <w:rFonts w:eastAsia="TimesNewRoman"/>
          <w:sz w:val="22"/>
          <w:szCs w:val="22"/>
        </w:rPr>
        <w:t>hidrochlorotiazido</w:t>
      </w:r>
      <w:proofErr w:type="spellEnd"/>
      <w:r w:rsidRPr="00051FD3">
        <w:rPr>
          <w:rFonts w:eastAsia="TimesNewRoman"/>
          <w:sz w:val="22"/>
          <w:szCs w:val="22"/>
        </w:rPr>
        <w:t xml:space="preserve"> vartojimą. Jeigu akispūdis išlieka padidėjęs, gali reikėti apsvarstyti skubų medikamentinį arba chirurginį gydymą. Rizikos veiksniai ūminei uždaro kampo glaukomai pasireikšti gali būti anksčiau buvusi alergija </w:t>
      </w:r>
      <w:proofErr w:type="spellStart"/>
      <w:r w:rsidRPr="00051FD3">
        <w:rPr>
          <w:rFonts w:eastAsia="TimesNewRoman"/>
          <w:sz w:val="22"/>
          <w:szCs w:val="22"/>
        </w:rPr>
        <w:t>sulfonamidui</w:t>
      </w:r>
      <w:proofErr w:type="spellEnd"/>
      <w:r w:rsidRPr="00051FD3">
        <w:rPr>
          <w:rFonts w:eastAsia="TimesNewRoman"/>
          <w:sz w:val="22"/>
          <w:szCs w:val="22"/>
        </w:rPr>
        <w:t xml:space="preserve"> arba penicilinui.</w:t>
      </w:r>
    </w:p>
    <w:p w14:paraId="24855F39" w14:textId="77777777" w:rsidR="00775ECF" w:rsidRPr="00051FD3" w:rsidRDefault="00775ECF" w:rsidP="007F39B7">
      <w:pPr>
        <w:autoSpaceDE w:val="0"/>
        <w:autoSpaceDN w:val="0"/>
        <w:adjustRightInd w:val="0"/>
        <w:rPr>
          <w:rFonts w:eastAsia="TimesNewRoman"/>
          <w:sz w:val="22"/>
          <w:szCs w:val="22"/>
        </w:rPr>
      </w:pPr>
    </w:p>
    <w:p w14:paraId="2BA2C8C1" w14:textId="77777777" w:rsidR="00775ECF" w:rsidRPr="00012DBE" w:rsidRDefault="00775ECF" w:rsidP="00775ECF">
      <w:pPr>
        <w:keepNext/>
        <w:autoSpaceDE w:val="0"/>
        <w:autoSpaceDN w:val="0"/>
        <w:adjustRightInd w:val="0"/>
        <w:rPr>
          <w:color w:val="000000"/>
          <w:sz w:val="22"/>
          <w:szCs w:val="22"/>
          <w:u w:val="single"/>
        </w:rPr>
      </w:pPr>
      <w:proofErr w:type="spellStart"/>
      <w:r w:rsidRPr="00012DBE">
        <w:rPr>
          <w:color w:val="000000"/>
          <w:sz w:val="22"/>
          <w:szCs w:val="22"/>
          <w:u w:val="single"/>
        </w:rPr>
        <w:t>Nemelanominis</w:t>
      </w:r>
      <w:proofErr w:type="spellEnd"/>
      <w:r w:rsidRPr="00012DBE">
        <w:rPr>
          <w:color w:val="000000"/>
          <w:sz w:val="22"/>
          <w:szCs w:val="22"/>
          <w:u w:val="single"/>
        </w:rPr>
        <w:t xml:space="preserve"> odos vėžys</w:t>
      </w:r>
    </w:p>
    <w:p w14:paraId="5016B4BC" w14:textId="70814427" w:rsidR="00775ECF" w:rsidRPr="003A7BC8" w:rsidRDefault="00775ECF" w:rsidP="00775ECF">
      <w:pPr>
        <w:autoSpaceDE w:val="0"/>
        <w:autoSpaceDN w:val="0"/>
        <w:adjustRightInd w:val="0"/>
        <w:rPr>
          <w:color w:val="000000"/>
          <w:sz w:val="22"/>
          <w:szCs w:val="22"/>
        </w:rPr>
      </w:pPr>
      <w:r w:rsidRPr="003A7BC8">
        <w:rPr>
          <w:color w:val="000000"/>
          <w:sz w:val="22"/>
          <w:szCs w:val="22"/>
        </w:rPr>
        <w:t>Atlikus du epidemiologinius tyrimus, pagrįstus Danijos nacionalinio vėžio registro duomenimis</w:t>
      </w:r>
      <w:r w:rsidR="00765FD9" w:rsidRPr="003A7BC8">
        <w:rPr>
          <w:color w:val="000000"/>
          <w:sz w:val="22"/>
          <w:szCs w:val="22"/>
        </w:rPr>
        <w:t xml:space="preserve"> (žr. 4.8 skyrių)</w:t>
      </w:r>
      <w:r w:rsidRPr="003A7BC8">
        <w:rPr>
          <w:color w:val="000000"/>
          <w:sz w:val="22"/>
          <w:szCs w:val="22"/>
        </w:rPr>
        <w:t xml:space="preserve">, nustatyta, kad didėjant kumuliacinei </w:t>
      </w:r>
      <w:proofErr w:type="spellStart"/>
      <w:r w:rsidRPr="003A7BC8">
        <w:rPr>
          <w:color w:val="000000"/>
          <w:sz w:val="22"/>
          <w:szCs w:val="22"/>
        </w:rPr>
        <w:t>hidrochlorotiazido</w:t>
      </w:r>
      <w:proofErr w:type="spellEnd"/>
      <w:r w:rsidRPr="003A7BC8">
        <w:rPr>
          <w:color w:val="000000"/>
          <w:sz w:val="22"/>
          <w:szCs w:val="22"/>
        </w:rPr>
        <w:t xml:space="preserve"> (toliau – HCTZ) dozei, didėja </w:t>
      </w:r>
      <w:proofErr w:type="spellStart"/>
      <w:r w:rsidRPr="003A7BC8">
        <w:rPr>
          <w:color w:val="000000"/>
          <w:sz w:val="22"/>
          <w:szCs w:val="22"/>
        </w:rPr>
        <w:t>nemelanominio</w:t>
      </w:r>
      <w:proofErr w:type="spellEnd"/>
      <w:r w:rsidRPr="003A7BC8">
        <w:rPr>
          <w:color w:val="000000"/>
          <w:sz w:val="22"/>
          <w:szCs w:val="22"/>
        </w:rPr>
        <w:t xml:space="preserve"> odos vėžio (NOV) [</w:t>
      </w:r>
      <w:proofErr w:type="spellStart"/>
      <w:r w:rsidRPr="003A7BC8">
        <w:rPr>
          <w:color w:val="000000"/>
          <w:sz w:val="22"/>
          <w:szCs w:val="22"/>
        </w:rPr>
        <w:t>bazalinių</w:t>
      </w:r>
      <w:proofErr w:type="spellEnd"/>
      <w:r w:rsidRPr="003A7BC8">
        <w:rPr>
          <w:color w:val="000000"/>
          <w:sz w:val="22"/>
          <w:szCs w:val="22"/>
        </w:rPr>
        <w:t xml:space="preserve"> ląstelių karcinomos (BLK) ir plokščiųjų ląstelių karcinomos (PLK)] rizika. Gali būti, kad </w:t>
      </w:r>
      <w:proofErr w:type="spellStart"/>
      <w:r w:rsidRPr="003A7BC8">
        <w:rPr>
          <w:color w:val="000000"/>
          <w:sz w:val="22"/>
          <w:szCs w:val="22"/>
        </w:rPr>
        <w:t>fotosensibilizuojantis</w:t>
      </w:r>
      <w:proofErr w:type="spellEnd"/>
      <w:r w:rsidRPr="003A7BC8">
        <w:rPr>
          <w:color w:val="000000"/>
          <w:sz w:val="22"/>
          <w:szCs w:val="22"/>
        </w:rPr>
        <w:t xml:space="preserve"> HCTZ poveikis veikia kaip NOV sukeliantis mechanizmas. 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w:t>
      </w:r>
      <w:proofErr w:type="spellStart"/>
      <w:r w:rsidRPr="003A7BC8">
        <w:rPr>
          <w:color w:val="000000"/>
          <w:sz w:val="22"/>
          <w:szCs w:val="22"/>
        </w:rPr>
        <w:t>biopsinės</w:t>
      </w:r>
      <w:proofErr w:type="spellEnd"/>
      <w:r w:rsidRPr="003A7BC8">
        <w:rPr>
          <w:color w:val="000000"/>
          <w:sz w:val="22"/>
          <w:szCs w:val="22"/>
        </w:rPr>
        <w:t xml:space="preserve"> medžiagos tyrimus. Pacientams, kuriems anksčiau buvo diagnozuotas NOV, taip pat gali tekti persvarstyti galimybę vartoti HCTZ (taip pat žr. 4.8 skyrių)</w:t>
      </w:r>
      <w:r w:rsidR="00322356" w:rsidRPr="003A7BC8">
        <w:rPr>
          <w:color w:val="000000"/>
          <w:sz w:val="22"/>
          <w:szCs w:val="22"/>
        </w:rPr>
        <w:t>.</w:t>
      </w:r>
    </w:p>
    <w:p w14:paraId="12205E00" w14:textId="77777777" w:rsidR="00322356" w:rsidRPr="003A7BC8" w:rsidRDefault="00322356" w:rsidP="00775ECF">
      <w:pPr>
        <w:autoSpaceDE w:val="0"/>
        <w:autoSpaceDN w:val="0"/>
        <w:adjustRightInd w:val="0"/>
        <w:rPr>
          <w:color w:val="000000"/>
          <w:sz w:val="22"/>
          <w:szCs w:val="22"/>
        </w:rPr>
      </w:pPr>
    </w:p>
    <w:p w14:paraId="7EC2E755" w14:textId="77777777" w:rsidR="00322356" w:rsidRPr="003A7BC8" w:rsidRDefault="00322356" w:rsidP="00322356">
      <w:pPr>
        <w:autoSpaceDE w:val="0"/>
        <w:autoSpaceDN w:val="0"/>
        <w:adjustRightInd w:val="0"/>
        <w:rPr>
          <w:color w:val="000000"/>
          <w:sz w:val="22"/>
          <w:szCs w:val="22"/>
          <w:u w:val="single"/>
        </w:rPr>
      </w:pPr>
      <w:r w:rsidRPr="003A7BC8">
        <w:rPr>
          <w:color w:val="000000"/>
          <w:sz w:val="22"/>
          <w:szCs w:val="22"/>
          <w:u w:val="single"/>
        </w:rPr>
        <w:t>Ūmus kvėpavimo takų toksiškumas</w:t>
      </w:r>
    </w:p>
    <w:p w14:paraId="1631B712" w14:textId="519B6067" w:rsidR="00322356" w:rsidRPr="00051FD3" w:rsidRDefault="00322356" w:rsidP="00322356">
      <w:pPr>
        <w:autoSpaceDE w:val="0"/>
        <w:autoSpaceDN w:val="0"/>
        <w:adjustRightInd w:val="0"/>
        <w:rPr>
          <w:sz w:val="22"/>
          <w:szCs w:val="22"/>
          <w:lang w:eastAsia="lt-LT"/>
        </w:rPr>
      </w:pPr>
      <w:r w:rsidRPr="003A7BC8">
        <w:rPr>
          <w:color w:val="000000"/>
          <w:sz w:val="22"/>
          <w:szCs w:val="22"/>
        </w:rPr>
        <w:t xml:space="preserve">Buvo pranešta apie labai retus sunkius ūminio kvėpavimo toksiškumo atvejus, įskaitant ūminį respiracinio </w:t>
      </w:r>
      <w:proofErr w:type="spellStart"/>
      <w:r w:rsidRPr="003A7BC8">
        <w:rPr>
          <w:color w:val="000000"/>
          <w:sz w:val="22"/>
          <w:szCs w:val="22"/>
        </w:rPr>
        <w:t>distreso</w:t>
      </w:r>
      <w:proofErr w:type="spellEnd"/>
      <w:r w:rsidRPr="003A7BC8">
        <w:rPr>
          <w:color w:val="000000"/>
          <w:sz w:val="22"/>
          <w:szCs w:val="22"/>
        </w:rPr>
        <w:t xml:space="preserve"> sindromą (</w:t>
      </w:r>
      <w:r w:rsidRPr="003A7BC8">
        <w:rPr>
          <w:i/>
          <w:color w:val="000000"/>
          <w:sz w:val="22"/>
          <w:szCs w:val="22"/>
        </w:rPr>
        <w:t>angl.</w:t>
      </w:r>
      <w:r w:rsidRPr="003A7BC8">
        <w:rPr>
          <w:color w:val="000000"/>
          <w:sz w:val="22"/>
          <w:szCs w:val="22"/>
        </w:rPr>
        <w:t xml:space="preserve"> </w:t>
      </w:r>
      <w:proofErr w:type="spellStart"/>
      <w:r w:rsidRPr="003A7BC8">
        <w:rPr>
          <w:i/>
          <w:sz w:val="22"/>
          <w:szCs w:val="22"/>
        </w:rPr>
        <w:t>acute</w:t>
      </w:r>
      <w:proofErr w:type="spellEnd"/>
      <w:r w:rsidRPr="003A7BC8">
        <w:rPr>
          <w:i/>
          <w:sz w:val="22"/>
          <w:szCs w:val="22"/>
        </w:rPr>
        <w:t xml:space="preserve"> </w:t>
      </w:r>
      <w:proofErr w:type="spellStart"/>
      <w:r w:rsidRPr="003A7BC8">
        <w:rPr>
          <w:i/>
          <w:sz w:val="22"/>
          <w:szCs w:val="22"/>
        </w:rPr>
        <w:t>respiratory</w:t>
      </w:r>
      <w:proofErr w:type="spellEnd"/>
      <w:r w:rsidRPr="003A7BC8">
        <w:rPr>
          <w:i/>
          <w:sz w:val="22"/>
          <w:szCs w:val="22"/>
        </w:rPr>
        <w:t xml:space="preserve"> </w:t>
      </w:r>
      <w:proofErr w:type="spellStart"/>
      <w:r w:rsidRPr="003A7BC8">
        <w:rPr>
          <w:i/>
          <w:sz w:val="22"/>
          <w:szCs w:val="22"/>
        </w:rPr>
        <w:t>distress</w:t>
      </w:r>
      <w:proofErr w:type="spellEnd"/>
      <w:r w:rsidRPr="003A7BC8">
        <w:rPr>
          <w:i/>
          <w:sz w:val="22"/>
          <w:szCs w:val="22"/>
        </w:rPr>
        <w:t xml:space="preserve"> </w:t>
      </w:r>
      <w:proofErr w:type="spellStart"/>
      <w:r w:rsidRPr="003A7BC8">
        <w:rPr>
          <w:i/>
          <w:sz w:val="22"/>
          <w:szCs w:val="22"/>
        </w:rPr>
        <w:t>syndrome</w:t>
      </w:r>
      <w:proofErr w:type="spellEnd"/>
      <w:r w:rsidR="0017124B">
        <w:rPr>
          <w:i/>
          <w:sz w:val="22"/>
          <w:szCs w:val="22"/>
        </w:rPr>
        <w:t xml:space="preserve">, </w:t>
      </w:r>
      <w:r w:rsidR="0017124B" w:rsidRPr="003A7BC8">
        <w:rPr>
          <w:color w:val="000000"/>
          <w:sz w:val="22"/>
          <w:szCs w:val="22"/>
        </w:rPr>
        <w:t>ARDS</w:t>
      </w:r>
      <w:r w:rsidRPr="003A7BC8">
        <w:rPr>
          <w:i/>
          <w:color w:val="000000"/>
          <w:sz w:val="22"/>
          <w:szCs w:val="22"/>
        </w:rPr>
        <w:t>),</w:t>
      </w:r>
      <w:r w:rsidRPr="003A7BC8">
        <w:rPr>
          <w:color w:val="000000"/>
          <w:sz w:val="22"/>
          <w:szCs w:val="22"/>
        </w:rPr>
        <w:t xml:space="preserve"> pavartojus </w:t>
      </w:r>
      <w:proofErr w:type="spellStart"/>
      <w:r w:rsidRPr="003A7BC8">
        <w:rPr>
          <w:color w:val="000000"/>
          <w:sz w:val="22"/>
          <w:szCs w:val="22"/>
        </w:rPr>
        <w:t>hidrochlorotiazido</w:t>
      </w:r>
      <w:proofErr w:type="spellEnd"/>
      <w:r w:rsidRPr="003A7BC8">
        <w:rPr>
          <w:color w:val="000000"/>
          <w:sz w:val="22"/>
          <w:szCs w:val="22"/>
        </w:rPr>
        <w:t xml:space="preserve">. Plaučių edema paprastai išsivysto per kelias minutes ar valandas po </w:t>
      </w:r>
      <w:proofErr w:type="spellStart"/>
      <w:r w:rsidRPr="003A7BC8">
        <w:rPr>
          <w:color w:val="000000"/>
          <w:sz w:val="22"/>
          <w:szCs w:val="22"/>
        </w:rPr>
        <w:t>hidrochlorotiazido</w:t>
      </w:r>
      <w:proofErr w:type="spellEnd"/>
      <w:r w:rsidRPr="003A7BC8">
        <w:rPr>
          <w:color w:val="000000"/>
          <w:sz w:val="22"/>
          <w:szCs w:val="22"/>
        </w:rPr>
        <w:t xml:space="preserve"> pavartojimo. Iš pradžių simptomai yra dusulys, karščiavimas, plaučių būklės pablogėjimas ir </w:t>
      </w:r>
      <w:proofErr w:type="spellStart"/>
      <w:r w:rsidRPr="003A7BC8">
        <w:rPr>
          <w:color w:val="000000"/>
          <w:sz w:val="22"/>
          <w:szCs w:val="22"/>
        </w:rPr>
        <w:t>hipotenzija</w:t>
      </w:r>
      <w:proofErr w:type="spellEnd"/>
      <w:r w:rsidRPr="003A7BC8">
        <w:rPr>
          <w:color w:val="000000"/>
          <w:sz w:val="22"/>
          <w:szCs w:val="22"/>
        </w:rPr>
        <w:t xml:space="preserve">. Įtarus ARDS diagnozę, reikia nutraukti </w:t>
      </w: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vartojimą</w:t>
      </w:r>
      <w:r w:rsidRPr="00012DBE">
        <w:rPr>
          <w:color w:val="000000"/>
          <w:sz w:val="22"/>
          <w:szCs w:val="22"/>
        </w:rPr>
        <w:t xml:space="preserve"> ir skirti tinkamą gydymą. </w:t>
      </w:r>
      <w:proofErr w:type="spellStart"/>
      <w:r w:rsidRPr="00012DBE">
        <w:rPr>
          <w:color w:val="000000"/>
          <w:sz w:val="22"/>
          <w:szCs w:val="22"/>
        </w:rPr>
        <w:t>Hidrochlorotiazido</w:t>
      </w:r>
      <w:proofErr w:type="spellEnd"/>
      <w:r w:rsidRPr="00012DBE">
        <w:rPr>
          <w:color w:val="000000"/>
          <w:sz w:val="22"/>
          <w:szCs w:val="22"/>
        </w:rPr>
        <w:t xml:space="preserve"> negalima skirti pacientams, kuriems po </w:t>
      </w:r>
      <w:proofErr w:type="spellStart"/>
      <w:r w:rsidRPr="00012DBE">
        <w:rPr>
          <w:color w:val="000000"/>
          <w:sz w:val="22"/>
          <w:szCs w:val="22"/>
        </w:rPr>
        <w:t>hidrochlorotiazido</w:t>
      </w:r>
      <w:proofErr w:type="spellEnd"/>
      <w:r w:rsidRPr="00012DBE">
        <w:rPr>
          <w:color w:val="000000"/>
          <w:sz w:val="22"/>
          <w:szCs w:val="22"/>
        </w:rPr>
        <w:t xml:space="preserve"> vartojimo anksčiau pasireiškė ARDS.</w:t>
      </w:r>
    </w:p>
    <w:p w14:paraId="0C48E584" w14:textId="77777777" w:rsidR="007F39B7" w:rsidRPr="00051FD3" w:rsidRDefault="007F39B7" w:rsidP="007F39B7">
      <w:pPr>
        <w:autoSpaceDE w:val="0"/>
        <w:autoSpaceDN w:val="0"/>
        <w:adjustRightInd w:val="0"/>
        <w:rPr>
          <w:sz w:val="22"/>
          <w:szCs w:val="22"/>
          <w:lang w:eastAsia="lt-LT"/>
        </w:rPr>
      </w:pPr>
    </w:p>
    <w:p w14:paraId="6399A05D" w14:textId="77777777" w:rsidR="001A365D" w:rsidRPr="00051FD3" w:rsidRDefault="001A365D" w:rsidP="007F39B7">
      <w:pPr>
        <w:autoSpaceDE w:val="0"/>
        <w:autoSpaceDN w:val="0"/>
        <w:adjustRightInd w:val="0"/>
        <w:rPr>
          <w:sz w:val="22"/>
          <w:szCs w:val="22"/>
          <w:u w:val="single"/>
          <w:lang w:eastAsia="lt-LT"/>
        </w:rPr>
      </w:pPr>
      <w:r w:rsidRPr="00051FD3">
        <w:rPr>
          <w:sz w:val="22"/>
          <w:szCs w:val="22"/>
          <w:u w:val="single"/>
          <w:lang w:eastAsia="lt-LT"/>
        </w:rPr>
        <w:t>Pagalbinės medžiagos</w:t>
      </w:r>
    </w:p>
    <w:p w14:paraId="17A9FE75" w14:textId="77777777" w:rsidR="001A365D" w:rsidRPr="00051FD3" w:rsidRDefault="001A365D" w:rsidP="007F39B7">
      <w:pPr>
        <w:autoSpaceDE w:val="0"/>
        <w:autoSpaceDN w:val="0"/>
        <w:adjustRightInd w:val="0"/>
        <w:rPr>
          <w:sz w:val="22"/>
          <w:szCs w:val="22"/>
          <w:lang w:eastAsia="lt-LT"/>
        </w:rPr>
      </w:pPr>
    </w:p>
    <w:p w14:paraId="6F938CD7" w14:textId="77777777" w:rsidR="001A365D" w:rsidRPr="00051FD3" w:rsidRDefault="001A365D" w:rsidP="001A365D">
      <w:pPr>
        <w:rPr>
          <w:i/>
          <w:iCs/>
          <w:sz w:val="22"/>
          <w:szCs w:val="22"/>
        </w:rPr>
      </w:pPr>
      <w:r w:rsidRPr="00051FD3">
        <w:rPr>
          <w:i/>
          <w:iCs/>
          <w:sz w:val="22"/>
          <w:szCs w:val="22"/>
        </w:rPr>
        <w:t>Natris</w:t>
      </w:r>
    </w:p>
    <w:p w14:paraId="0A8F191B" w14:textId="77777777" w:rsidR="001A365D" w:rsidRPr="00051FD3" w:rsidRDefault="001A365D" w:rsidP="001A365D">
      <w:pPr>
        <w:autoSpaceDE w:val="0"/>
        <w:autoSpaceDN w:val="0"/>
        <w:adjustRightInd w:val="0"/>
        <w:rPr>
          <w:sz w:val="22"/>
          <w:szCs w:val="22"/>
          <w:lang w:eastAsia="lt-LT"/>
        </w:rPr>
      </w:pPr>
      <w:r w:rsidRPr="00051FD3">
        <w:rPr>
          <w:sz w:val="22"/>
          <w:szCs w:val="22"/>
        </w:rPr>
        <w:t xml:space="preserve">Šio vaistinio preparato tabletėje </w:t>
      </w:r>
      <w:r w:rsidRPr="00051FD3">
        <w:rPr>
          <w:color w:val="000000"/>
          <w:sz w:val="22"/>
          <w:szCs w:val="22"/>
        </w:rPr>
        <w:t>yra mažiau kaip 1 </w:t>
      </w:r>
      <w:proofErr w:type="spellStart"/>
      <w:r w:rsidRPr="00051FD3">
        <w:rPr>
          <w:color w:val="000000"/>
          <w:sz w:val="22"/>
          <w:szCs w:val="22"/>
        </w:rPr>
        <w:t>mmol</w:t>
      </w:r>
      <w:proofErr w:type="spellEnd"/>
      <w:r w:rsidRPr="00051FD3">
        <w:rPr>
          <w:color w:val="000000"/>
          <w:sz w:val="22"/>
          <w:szCs w:val="22"/>
        </w:rPr>
        <w:t xml:space="preserve"> (23 mg) natrio, </w:t>
      </w:r>
      <w:proofErr w:type="spellStart"/>
      <w:r w:rsidRPr="00051FD3">
        <w:rPr>
          <w:color w:val="000000"/>
          <w:sz w:val="22"/>
          <w:szCs w:val="22"/>
        </w:rPr>
        <w:t>t.y</w:t>
      </w:r>
      <w:proofErr w:type="spellEnd"/>
      <w:r w:rsidRPr="00051FD3">
        <w:rPr>
          <w:color w:val="000000"/>
          <w:sz w:val="22"/>
          <w:szCs w:val="22"/>
        </w:rPr>
        <w:t>. jis beveik neturi reikšmės.</w:t>
      </w:r>
    </w:p>
    <w:p w14:paraId="2EC2E42C" w14:textId="77777777" w:rsidR="001A365D" w:rsidRPr="00051FD3" w:rsidRDefault="001A365D" w:rsidP="007F39B7">
      <w:pPr>
        <w:autoSpaceDE w:val="0"/>
        <w:autoSpaceDN w:val="0"/>
        <w:adjustRightInd w:val="0"/>
        <w:rPr>
          <w:sz w:val="22"/>
          <w:szCs w:val="22"/>
          <w:lang w:eastAsia="lt-LT"/>
        </w:rPr>
      </w:pPr>
    </w:p>
    <w:p w14:paraId="05B82AC7" w14:textId="77777777" w:rsidR="007F39B7" w:rsidRPr="000E639C" w:rsidRDefault="007F39B7" w:rsidP="007F39B7">
      <w:pPr>
        <w:tabs>
          <w:tab w:val="left" w:pos="567"/>
        </w:tabs>
        <w:jc w:val="both"/>
        <w:rPr>
          <w:b/>
          <w:bCs/>
          <w:sz w:val="22"/>
          <w:szCs w:val="22"/>
        </w:rPr>
      </w:pPr>
      <w:r w:rsidRPr="000E639C">
        <w:rPr>
          <w:b/>
          <w:bCs/>
          <w:sz w:val="22"/>
          <w:szCs w:val="22"/>
        </w:rPr>
        <w:t>4.5</w:t>
      </w:r>
      <w:r w:rsidRPr="000E639C">
        <w:rPr>
          <w:b/>
          <w:bCs/>
          <w:sz w:val="22"/>
          <w:szCs w:val="22"/>
        </w:rPr>
        <w:tab/>
        <w:t>Sąveika su kitais vaistiniais preparatais ir kitokia sąveika</w:t>
      </w:r>
    </w:p>
    <w:p w14:paraId="054DD004" w14:textId="77777777" w:rsidR="007F39B7" w:rsidRPr="00051FD3" w:rsidRDefault="007F39B7" w:rsidP="007F39B7">
      <w:pPr>
        <w:tabs>
          <w:tab w:val="left" w:pos="567"/>
        </w:tabs>
        <w:jc w:val="both"/>
        <w:rPr>
          <w:b/>
          <w:bCs/>
          <w:sz w:val="22"/>
          <w:szCs w:val="22"/>
        </w:rPr>
      </w:pPr>
    </w:p>
    <w:p w14:paraId="1531D404"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Litis</w:t>
      </w:r>
    </w:p>
    <w:p w14:paraId="339F5786" w14:textId="77777777" w:rsidR="007F39B7" w:rsidRPr="00051FD3" w:rsidRDefault="007F39B7" w:rsidP="007F39B7">
      <w:pPr>
        <w:autoSpaceDE w:val="0"/>
        <w:autoSpaceDN w:val="0"/>
        <w:adjustRightInd w:val="0"/>
        <w:rPr>
          <w:rFonts w:eastAsia="TimesNewRoman"/>
          <w:sz w:val="22"/>
          <w:szCs w:val="22"/>
        </w:rPr>
      </w:pPr>
      <w:r w:rsidRPr="00051FD3">
        <w:rPr>
          <w:sz w:val="22"/>
          <w:szCs w:val="22"/>
          <w:lang w:eastAsia="lt-LT"/>
        </w:rPr>
        <w:t xml:space="preserve">Gauta pranešimų apie tai, kad kartu su ličiu vartojant AKF inhibitorių, buvo laikinas ličio koncentracijos kraujo serume padidėjimas ir jo toksinio poveikio sustiprėjimas. </w:t>
      </w:r>
      <w:r w:rsidRPr="00051FD3">
        <w:rPr>
          <w:rFonts w:eastAsia="TimesNewRoman"/>
          <w:sz w:val="22"/>
          <w:szCs w:val="22"/>
        </w:rPr>
        <w:t xml:space="preserve">Retais atvejais ličio sąveika galima ir su </w:t>
      </w:r>
      <w:proofErr w:type="spellStart"/>
      <w:r w:rsidRPr="00051FD3">
        <w:rPr>
          <w:rFonts w:eastAsia="TimesNewRoman"/>
          <w:sz w:val="22"/>
          <w:szCs w:val="22"/>
        </w:rPr>
        <w:t>angiotenzino</w:t>
      </w:r>
      <w:proofErr w:type="spellEnd"/>
      <w:r w:rsidRPr="00051FD3">
        <w:rPr>
          <w:rFonts w:eastAsia="TimesNewRoman"/>
          <w:sz w:val="22"/>
          <w:szCs w:val="22"/>
        </w:rPr>
        <w:t xml:space="preserve"> II  receptorių blokatoriais (</w:t>
      </w:r>
      <w:r w:rsidRPr="00051FD3">
        <w:rPr>
          <w:sz w:val="22"/>
          <w:szCs w:val="22"/>
          <w:lang w:eastAsia="lt-LT"/>
        </w:rPr>
        <w:t xml:space="preserve">įskaitant vaistinius preparatus, kurių sudėtyje yra </w:t>
      </w:r>
      <w:proofErr w:type="spellStart"/>
      <w:r w:rsidRPr="00051FD3">
        <w:rPr>
          <w:sz w:val="22"/>
          <w:szCs w:val="22"/>
          <w:lang w:eastAsia="lt-LT"/>
        </w:rPr>
        <w:t>telmisartano</w:t>
      </w:r>
      <w:proofErr w:type="spellEnd"/>
      <w:r w:rsidRPr="00051FD3">
        <w:rPr>
          <w:sz w:val="22"/>
          <w:szCs w:val="22"/>
          <w:lang w:eastAsia="lt-LT"/>
        </w:rPr>
        <w:t xml:space="preserve"> ir </w:t>
      </w:r>
      <w:proofErr w:type="spellStart"/>
      <w:r w:rsidRPr="00051FD3">
        <w:rPr>
          <w:sz w:val="22"/>
          <w:szCs w:val="22"/>
          <w:lang w:eastAsia="lt-LT"/>
        </w:rPr>
        <w:t>hidrochlorotiazido</w:t>
      </w:r>
      <w:proofErr w:type="spellEnd"/>
      <w:r w:rsidRPr="00051FD3">
        <w:rPr>
          <w:sz w:val="22"/>
          <w:szCs w:val="22"/>
          <w:lang w:eastAsia="lt-LT"/>
        </w:rPr>
        <w:t>)</w:t>
      </w:r>
      <w:r w:rsidRPr="00051FD3">
        <w:rPr>
          <w:rFonts w:eastAsia="TimesNewRoman"/>
          <w:sz w:val="22"/>
          <w:szCs w:val="22"/>
        </w:rPr>
        <w:t xml:space="preserve">. Ličio kartu su </w:t>
      </w:r>
      <w:proofErr w:type="spellStart"/>
      <w:r w:rsidRPr="00051FD3">
        <w:rPr>
          <w:rFonts w:eastAsia="TimesNewRoman"/>
          <w:sz w:val="22"/>
          <w:szCs w:val="22"/>
        </w:rPr>
        <w:t>Telmisartan</w:t>
      </w:r>
      <w:proofErr w:type="spellEnd"/>
      <w:r w:rsidRPr="00051FD3">
        <w:rPr>
          <w:rFonts w:eastAsia="TimesNewRoman"/>
          <w:sz w:val="22"/>
          <w:szCs w:val="22"/>
        </w:rPr>
        <w:t>/</w:t>
      </w:r>
      <w:proofErr w:type="spellStart"/>
      <w:r w:rsidRPr="00051FD3">
        <w:rPr>
          <w:rFonts w:eastAsia="TimesNewRoman"/>
          <w:sz w:val="22"/>
          <w:szCs w:val="22"/>
        </w:rPr>
        <w:t>Hydrochlorothiazide</w:t>
      </w:r>
      <w:proofErr w:type="spellEnd"/>
      <w:r w:rsidRPr="00051FD3">
        <w:rPr>
          <w:rFonts w:eastAsia="TimesNewRoman"/>
          <w:sz w:val="22"/>
          <w:szCs w:val="22"/>
        </w:rPr>
        <w:t xml:space="preserve"> </w:t>
      </w:r>
      <w:proofErr w:type="spellStart"/>
      <w:r w:rsidRPr="00051FD3">
        <w:rPr>
          <w:rFonts w:eastAsia="TimesNewRoman"/>
          <w:sz w:val="22"/>
          <w:szCs w:val="22"/>
        </w:rPr>
        <w:t>Teva</w:t>
      </w:r>
      <w:proofErr w:type="spellEnd"/>
      <w:r w:rsidRPr="00051FD3">
        <w:rPr>
          <w:rFonts w:eastAsia="TimesNewRoman"/>
          <w:sz w:val="22"/>
          <w:szCs w:val="22"/>
        </w:rPr>
        <w:t xml:space="preserve"> Pharma vartoti nerekomenduojama (žr. 4.4 skyrių). Jeigu taip gydyti būtina, reikia atidžiai sekti ličio kiekį kraujo serume.</w:t>
      </w:r>
    </w:p>
    <w:p w14:paraId="02ED80C2" w14:textId="77777777" w:rsidR="007F39B7" w:rsidRPr="00051FD3" w:rsidRDefault="007F39B7" w:rsidP="007F39B7">
      <w:pPr>
        <w:autoSpaceDE w:val="0"/>
        <w:autoSpaceDN w:val="0"/>
        <w:adjustRightInd w:val="0"/>
        <w:rPr>
          <w:rFonts w:eastAsia="TimesNewRoman"/>
          <w:sz w:val="22"/>
          <w:szCs w:val="22"/>
        </w:rPr>
      </w:pPr>
    </w:p>
    <w:p w14:paraId="6C71341E"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u w:val="single"/>
        </w:rPr>
        <w:lastRenderedPageBreak/>
        <w:t xml:space="preserve">Vaistiniai preparatai, galintys padidinti kalio išskyrimą iš organizmo arba sukelti </w:t>
      </w:r>
      <w:proofErr w:type="spellStart"/>
      <w:r w:rsidRPr="00051FD3">
        <w:rPr>
          <w:rFonts w:eastAsia="TimesNewRoman"/>
          <w:sz w:val="22"/>
          <w:szCs w:val="22"/>
          <w:u w:val="single"/>
        </w:rPr>
        <w:t>hipokalemiją</w:t>
      </w:r>
      <w:proofErr w:type="spellEnd"/>
      <w:r w:rsidRPr="00051FD3">
        <w:rPr>
          <w:rFonts w:eastAsia="TimesNewRoman"/>
          <w:sz w:val="22"/>
          <w:szCs w:val="22"/>
        </w:rPr>
        <w:t xml:space="preserve"> </w:t>
      </w:r>
      <w:r w:rsidRPr="00FA4E83">
        <w:rPr>
          <w:rFonts w:eastAsia="TimesNewRoman"/>
          <w:sz w:val="22"/>
          <w:szCs w:val="22"/>
        </w:rPr>
        <w:t xml:space="preserve">(pvz., kiti kalį iš organizmo išskiriantys diuretikai, vidurius paleidžiantys preparatai, kortikosteroidai, AKTH, </w:t>
      </w:r>
      <w:proofErr w:type="spellStart"/>
      <w:r w:rsidRPr="00FA4E83">
        <w:rPr>
          <w:rFonts w:eastAsia="TimesNewRoman"/>
          <w:sz w:val="22"/>
          <w:szCs w:val="22"/>
        </w:rPr>
        <w:t>amfotericinas</w:t>
      </w:r>
      <w:proofErr w:type="spellEnd"/>
      <w:r w:rsidRPr="00FA4E83">
        <w:rPr>
          <w:rFonts w:eastAsia="TimesNewRoman"/>
          <w:sz w:val="22"/>
          <w:szCs w:val="22"/>
        </w:rPr>
        <w:t xml:space="preserve">, </w:t>
      </w:r>
      <w:proofErr w:type="spellStart"/>
      <w:r w:rsidRPr="00FA4E83">
        <w:rPr>
          <w:rFonts w:eastAsia="TimesNewRoman"/>
          <w:sz w:val="22"/>
          <w:szCs w:val="22"/>
        </w:rPr>
        <w:t>karbenoksolonas</w:t>
      </w:r>
      <w:proofErr w:type="spellEnd"/>
      <w:r w:rsidRPr="00FA4E83">
        <w:rPr>
          <w:rFonts w:eastAsia="TimesNewRoman"/>
          <w:sz w:val="22"/>
          <w:szCs w:val="22"/>
        </w:rPr>
        <w:t>, penicilino G natrio druska, salicilo rūgštis ir jos dariniai).</w:t>
      </w:r>
    </w:p>
    <w:p w14:paraId="4DE95218" w14:textId="77777777" w:rsidR="007F39B7" w:rsidRPr="00051FD3" w:rsidRDefault="007F39B7" w:rsidP="007F39B7">
      <w:pPr>
        <w:autoSpaceDE w:val="0"/>
        <w:autoSpaceDN w:val="0"/>
        <w:adjustRightInd w:val="0"/>
        <w:rPr>
          <w:rFonts w:eastAsia="TimesNewRoman"/>
          <w:sz w:val="22"/>
          <w:szCs w:val="22"/>
        </w:rPr>
      </w:pPr>
    </w:p>
    <w:p w14:paraId="0AFF428E" w14:textId="77777777" w:rsidR="007F39B7" w:rsidRPr="00051FD3" w:rsidRDefault="007F39B7" w:rsidP="007F39B7">
      <w:pPr>
        <w:autoSpaceDE w:val="0"/>
        <w:autoSpaceDN w:val="0"/>
        <w:adjustRightInd w:val="0"/>
        <w:rPr>
          <w:b/>
          <w:bCs/>
          <w:sz w:val="22"/>
          <w:szCs w:val="22"/>
        </w:rPr>
      </w:pPr>
      <w:r w:rsidRPr="00051FD3">
        <w:rPr>
          <w:rFonts w:eastAsia="TimesNewRoman"/>
          <w:sz w:val="22"/>
          <w:szCs w:val="22"/>
        </w:rPr>
        <w:t xml:space="preserve">Gydant minėtomis medžiagomis ir </w:t>
      </w:r>
      <w:proofErr w:type="spellStart"/>
      <w:r w:rsidRPr="00051FD3">
        <w:rPr>
          <w:rFonts w:eastAsia="TimesNewRoman"/>
          <w:sz w:val="22"/>
          <w:szCs w:val="22"/>
        </w:rPr>
        <w:t>Telmisartan</w:t>
      </w:r>
      <w:proofErr w:type="spellEnd"/>
      <w:r w:rsidRPr="00051FD3">
        <w:rPr>
          <w:rFonts w:eastAsia="TimesNewRoman"/>
          <w:sz w:val="22"/>
          <w:szCs w:val="22"/>
        </w:rPr>
        <w:t>/</w:t>
      </w:r>
      <w:proofErr w:type="spellStart"/>
      <w:r w:rsidRPr="00051FD3">
        <w:rPr>
          <w:rFonts w:eastAsia="TimesNewRoman"/>
          <w:sz w:val="22"/>
          <w:szCs w:val="22"/>
        </w:rPr>
        <w:t>Hydrochlorothiazide</w:t>
      </w:r>
      <w:proofErr w:type="spellEnd"/>
      <w:r w:rsidRPr="00051FD3">
        <w:rPr>
          <w:rFonts w:eastAsia="TimesNewRoman"/>
          <w:sz w:val="22"/>
          <w:szCs w:val="22"/>
        </w:rPr>
        <w:t xml:space="preserve"> </w:t>
      </w:r>
      <w:proofErr w:type="spellStart"/>
      <w:r w:rsidRPr="00051FD3">
        <w:rPr>
          <w:rFonts w:eastAsia="TimesNewRoman"/>
          <w:sz w:val="22"/>
          <w:szCs w:val="22"/>
        </w:rPr>
        <w:t>Teva</w:t>
      </w:r>
      <w:proofErr w:type="spellEnd"/>
      <w:r w:rsidRPr="00051FD3">
        <w:rPr>
          <w:rFonts w:eastAsia="TimesNewRoman"/>
          <w:sz w:val="22"/>
          <w:szCs w:val="22"/>
        </w:rPr>
        <w:t xml:space="preserve"> Pharma, patariama sekti kalio kiekį kraujo serume. Minėti vaistiniai preparatai gali stiprinti </w:t>
      </w:r>
      <w:proofErr w:type="spellStart"/>
      <w:r w:rsidRPr="00051FD3">
        <w:rPr>
          <w:rFonts w:eastAsia="TimesNewRoman"/>
          <w:sz w:val="22"/>
          <w:szCs w:val="22"/>
        </w:rPr>
        <w:t>hidrochlorotiazido</w:t>
      </w:r>
      <w:proofErr w:type="spellEnd"/>
      <w:r w:rsidRPr="00051FD3">
        <w:rPr>
          <w:rFonts w:eastAsia="TimesNewRoman"/>
          <w:sz w:val="22"/>
          <w:szCs w:val="22"/>
        </w:rPr>
        <w:t xml:space="preserve"> sukeliamą kalio kiekio mažėjimą kraujo serume (žr. 4.4 skyrių).</w:t>
      </w:r>
    </w:p>
    <w:p w14:paraId="3BF67677" w14:textId="77777777" w:rsidR="00765FD9" w:rsidRPr="00051FD3" w:rsidRDefault="00765FD9" w:rsidP="00765FD9">
      <w:pPr>
        <w:pStyle w:val="Default"/>
        <w:rPr>
          <w:sz w:val="22"/>
          <w:szCs w:val="22"/>
          <w:lang w:val="lt-LT"/>
        </w:rPr>
      </w:pPr>
    </w:p>
    <w:p w14:paraId="646CAD0E" w14:textId="6DFDC834" w:rsidR="00765FD9" w:rsidRPr="00051FD3" w:rsidRDefault="00765FD9" w:rsidP="00D475F2">
      <w:pPr>
        <w:pStyle w:val="Default"/>
        <w:rPr>
          <w:sz w:val="22"/>
          <w:szCs w:val="22"/>
          <w:u w:val="single"/>
          <w:lang w:val="lt-LT"/>
        </w:rPr>
      </w:pPr>
      <w:r w:rsidRPr="00051FD3">
        <w:rPr>
          <w:sz w:val="22"/>
          <w:szCs w:val="22"/>
          <w:u w:val="single"/>
          <w:lang w:val="lt-LT"/>
        </w:rPr>
        <w:t xml:space="preserve">Jodo kontrastinės medžiagos </w:t>
      </w:r>
    </w:p>
    <w:p w14:paraId="7DA90146" w14:textId="3837E63A" w:rsidR="007F39B7" w:rsidRPr="00051FD3" w:rsidRDefault="00765FD9" w:rsidP="00D475F2">
      <w:pPr>
        <w:tabs>
          <w:tab w:val="left" w:pos="567"/>
        </w:tabs>
        <w:rPr>
          <w:b/>
          <w:bCs/>
          <w:sz w:val="22"/>
          <w:szCs w:val="22"/>
        </w:rPr>
      </w:pPr>
      <w:r w:rsidRPr="00051FD3">
        <w:rPr>
          <w:sz w:val="22"/>
          <w:szCs w:val="22"/>
        </w:rPr>
        <w:t xml:space="preserve">Jeigu diuretikai sukėlė dehidrataciją, padidėja ūminio inkstų funkcijos nepakankamumo rizika, ypač leidžiant dideles jodo kontrastinių medžiagų dozes. Prieš skiriant jodo turinčią medžiagą reikia atlikti </w:t>
      </w:r>
      <w:proofErr w:type="spellStart"/>
      <w:r w:rsidRPr="00051FD3">
        <w:rPr>
          <w:sz w:val="22"/>
          <w:szCs w:val="22"/>
        </w:rPr>
        <w:t>rehidrataciją</w:t>
      </w:r>
      <w:proofErr w:type="spellEnd"/>
      <w:r w:rsidRPr="00051FD3">
        <w:rPr>
          <w:sz w:val="22"/>
          <w:szCs w:val="22"/>
        </w:rPr>
        <w:t>.</w:t>
      </w:r>
    </w:p>
    <w:p w14:paraId="56667426" w14:textId="77777777" w:rsidR="00765FD9" w:rsidRPr="00051FD3" w:rsidRDefault="00765FD9" w:rsidP="007F39B7">
      <w:pPr>
        <w:autoSpaceDE w:val="0"/>
        <w:autoSpaceDN w:val="0"/>
        <w:adjustRightInd w:val="0"/>
        <w:rPr>
          <w:rFonts w:eastAsia="TimesNewRoman"/>
          <w:sz w:val="22"/>
          <w:szCs w:val="22"/>
          <w:u w:val="single"/>
        </w:rPr>
      </w:pPr>
    </w:p>
    <w:p w14:paraId="57A2C367" w14:textId="5BE40A2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 xml:space="preserve">Vaistiniai preparatai, galintys padidinti kalio kiekį kraujyje arba sukelti </w:t>
      </w:r>
      <w:proofErr w:type="spellStart"/>
      <w:r w:rsidRPr="00051FD3">
        <w:rPr>
          <w:rFonts w:eastAsia="TimesNewRoman"/>
          <w:sz w:val="22"/>
          <w:szCs w:val="22"/>
          <w:u w:val="single"/>
        </w:rPr>
        <w:t>hiperkalemiją</w:t>
      </w:r>
      <w:proofErr w:type="spellEnd"/>
      <w:r w:rsidRPr="00051FD3">
        <w:rPr>
          <w:rFonts w:eastAsia="TimesNewRoman"/>
          <w:sz w:val="22"/>
          <w:szCs w:val="22"/>
          <w:u w:val="single"/>
        </w:rPr>
        <w:t xml:space="preserve"> (pvz., AKF inhibitoriai, kalį organizme sulaikantys diuretikai, kalio preparatai, druskos pakaitalai, kuriuose yra kalio, </w:t>
      </w:r>
      <w:proofErr w:type="spellStart"/>
      <w:r w:rsidRPr="00051FD3">
        <w:rPr>
          <w:rFonts w:eastAsia="TimesNewRoman"/>
          <w:sz w:val="22"/>
          <w:szCs w:val="22"/>
          <w:u w:val="single"/>
        </w:rPr>
        <w:t>ciklosporinas</w:t>
      </w:r>
      <w:proofErr w:type="spellEnd"/>
      <w:r w:rsidRPr="00051FD3">
        <w:rPr>
          <w:rFonts w:eastAsia="TimesNewRoman"/>
          <w:sz w:val="22"/>
          <w:szCs w:val="22"/>
          <w:u w:val="single"/>
        </w:rPr>
        <w:t xml:space="preserve"> arba kiti vaistai, pvz., heparino natrio druska).</w:t>
      </w:r>
    </w:p>
    <w:p w14:paraId="1A2F32B1" w14:textId="77777777" w:rsidR="007F39B7" w:rsidRPr="00051FD3" w:rsidRDefault="007F39B7" w:rsidP="007F39B7">
      <w:pPr>
        <w:autoSpaceDE w:val="0"/>
        <w:autoSpaceDN w:val="0"/>
        <w:adjustRightInd w:val="0"/>
        <w:rPr>
          <w:rFonts w:eastAsia="TimesNewRoman"/>
          <w:sz w:val="22"/>
          <w:szCs w:val="22"/>
        </w:rPr>
      </w:pPr>
    </w:p>
    <w:p w14:paraId="1FB875D6"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Jeigu minėti vaistiniai preparatai paskiriami vartoti kartu su </w:t>
      </w:r>
      <w:proofErr w:type="spellStart"/>
      <w:r w:rsidRPr="00051FD3">
        <w:rPr>
          <w:rFonts w:eastAsia="TimesNewRoman"/>
          <w:sz w:val="22"/>
          <w:szCs w:val="22"/>
        </w:rPr>
        <w:t>telmisartano</w:t>
      </w:r>
      <w:proofErr w:type="spellEnd"/>
      <w:r w:rsidRPr="00051FD3">
        <w:rPr>
          <w:rFonts w:eastAsia="TimesNewRoman"/>
          <w:sz w:val="22"/>
          <w:szCs w:val="22"/>
        </w:rPr>
        <w:t>/</w:t>
      </w:r>
      <w:proofErr w:type="spellStart"/>
      <w:r w:rsidRPr="00051FD3">
        <w:rPr>
          <w:rFonts w:eastAsia="TimesNewRoman"/>
          <w:sz w:val="22"/>
          <w:szCs w:val="22"/>
        </w:rPr>
        <w:t>hidrochlorotiazido</w:t>
      </w:r>
      <w:proofErr w:type="spellEnd"/>
      <w:r w:rsidRPr="00051FD3">
        <w:rPr>
          <w:rFonts w:eastAsia="TimesNewRoman"/>
          <w:sz w:val="22"/>
          <w:szCs w:val="22"/>
        </w:rPr>
        <w:t xml:space="preserve"> deriniu, patariama sekti kalio kiekį kraujo plazmoje. Gydymo kitais </w:t>
      </w:r>
      <w:proofErr w:type="spellStart"/>
      <w:r w:rsidRPr="00051FD3">
        <w:rPr>
          <w:rFonts w:eastAsia="TimesNewRoman"/>
          <w:sz w:val="22"/>
          <w:szCs w:val="22"/>
        </w:rPr>
        <w:t>renino</w:t>
      </w:r>
      <w:proofErr w:type="spellEnd"/>
      <w:r w:rsidRPr="00051FD3">
        <w:rPr>
          <w:rFonts w:eastAsia="TimesNewRoman"/>
          <w:sz w:val="22"/>
          <w:szCs w:val="22"/>
        </w:rPr>
        <w:t xml:space="preserve"> ir </w:t>
      </w:r>
      <w:proofErr w:type="spellStart"/>
      <w:r w:rsidRPr="00051FD3">
        <w:rPr>
          <w:rFonts w:eastAsia="TimesNewRoman"/>
          <w:sz w:val="22"/>
          <w:szCs w:val="22"/>
        </w:rPr>
        <w:t>angiotenzino</w:t>
      </w:r>
      <w:proofErr w:type="spellEnd"/>
      <w:r w:rsidRPr="00051FD3">
        <w:rPr>
          <w:rFonts w:eastAsia="TimesNewRoman"/>
          <w:sz w:val="22"/>
          <w:szCs w:val="22"/>
        </w:rPr>
        <w:t xml:space="preserve"> sistemą slopinančiais vaistiniais preparatais patirtis rodo, jog jų vartojimas kartu su minėtais kalio kiekį kraujyje didinančiais preparatais gali sukelti kalio kiekio kraujo serume padidėjimą, todėl taip gydyti nerekomenduojama (žr. 4.4 skyrių).</w:t>
      </w:r>
    </w:p>
    <w:p w14:paraId="028D5BCD" w14:textId="77777777" w:rsidR="007F39B7" w:rsidRPr="00051FD3" w:rsidRDefault="007F39B7" w:rsidP="007F39B7">
      <w:pPr>
        <w:autoSpaceDE w:val="0"/>
        <w:autoSpaceDN w:val="0"/>
        <w:adjustRightInd w:val="0"/>
        <w:rPr>
          <w:rFonts w:eastAsia="TimesNewRoman"/>
          <w:sz w:val="22"/>
          <w:szCs w:val="22"/>
        </w:rPr>
      </w:pPr>
    </w:p>
    <w:p w14:paraId="04077EC6"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Vaistiniai preparatai, kurių poveikis gali sutrikti dėl kalio kiekio kraujo serume pakitimų</w:t>
      </w:r>
    </w:p>
    <w:p w14:paraId="2E97275B"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Kartu su </w:t>
      </w:r>
      <w:proofErr w:type="spellStart"/>
      <w:r w:rsidRPr="00051FD3">
        <w:rPr>
          <w:rFonts w:eastAsia="TimesNewRoman"/>
          <w:sz w:val="22"/>
          <w:szCs w:val="22"/>
        </w:rPr>
        <w:t>Telmisartan</w:t>
      </w:r>
      <w:proofErr w:type="spellEnd"/>
      <w:r w:rsidRPr="00051FD3">
        <w:rPr>
          <w:rFonts w:eastAsia="TimesNewRoman"/>
          <w:sz w:val="22"/>
          <w:szCs w:val="22"/>
        </w:rPr>
        <w:t>/</w:t>
      </w:r>
      <w:proofErr w:type="spellStart"/>
      <w:r w:rsidRPr="00051FD3">
        <w:rPr>
          <w:rFonts w:eastAsia="TimesNewRoman"/>
          <w:sz w:val="22"/>
          <w:szCs w:val="22"/>
        </w:rPr>
        <w:t>Hydrochlorothiazide</w:t>
      </w:r>
      <w:proofErr w:type="spellEnd"/>
      <w:r w:rsidRPr="00051FD3">
        <w:rPr>
          <w:rFonts w:eastAsia="TimesNewRoman"/>
          <w:sz w:val="22"/>
          <w:szCs w:val="22"/>
        </w:rPr>
        <w:t xml:space="preserve"> </w:t>
      </w:r>
      <w:proofErr w:type="spellStart"/>
      <w:r w:rsidRPr="00051FD3">
        <w:rPr>
          <w:rFonts w:eastAsia="TimesNewRoman"/>
          <w:sz w:val="22"/>
          <w:szCs w:val="22"/>
        </w:rPr>
        <w:t>Teva</w:t>
      </w:r>
      <w:proofErr w:type="spellEnd"/>
      <w:r w:rsidRPr="00051FD3">
        <w:rPr>
          <w:rFonts w:eastAsia="TimesNewRoman"/>
          <w:sz w:val="22"/>
          <w:szCs w:val="22"/>
        </w:rPr>
        <w:t xml:space="preserve"> Pharma vartojant vaistinių preparatų, kurių poveikis gali sutrikti dėl kalio kiekio pokyčio kraujo serume (pvz., rusmenės glikozidai, vaistiniai preparatai nuo širdies aritmijos) arba kurie (įskaitant ir kai kuriuos vaistinius preparatus nuo širdies aritmijos) gali sukelti </w:t>
      </w:r>
      <w:proofErr w:type="spellStart"/>
      <w:r w:rsidRPr="00051FD3">
        <w:rPr>
          <w:rFonts w:eastAsia="TimesNewRoman"/>
          <w:i/>
          <w:sz w:val="22"/>
          <w:szCs w:val="22"/>
        </w:rPr>
        <w:t>torsades</w:t>
      </w:r>
      <w:proofErr w:type="spellEnd"/>
      <w:r w:rsidRPr="00051FD3">
        <w:rPr>
          <w:rFonts w:eastAsia="TimesNewRoman"/>
          <w:i/>
          <w:sz w:val="22"/>
          <w:szCs w:val="22"/>
        </w:rPr>
        <w:t xml:space="preserve"> de </w:t>
      </w:r>
      <w:proofErr w:type="spellStart"/>
      <w:r w:rsidRPr="00051FD3">
        <w:rPr>
          <w:rFonts w:eastAsia="TimesNewRoman"/>
          <w:i/>
          <w:sz w:val="22"/>
          <w:szCs w:val="22"/>
        </w:rPr>
        <w:t>pointes</w:t>
      </w:r>
      <w:proofErr w:type="spellEnd"/>
      <w:r w:rsidRPr="00051FD3">
        <w:rPr>
          <w:rFonts w:eastAsia="TimesNewRoman"/>
          <w:sz w:val="22"/>
          <w:szCs w:val="22"/>
        </w:rPr>
        <w:t xml:space="preserve"> (</w:t>
      </w:r>
      <w:proofErr w:type="spellStart"/>
      <w:r w:rsidRPr="00051FD3">
        <w:rPr>
          <w:rFonts w:eastAsia="TimesNewRoman"/>
          <w:sz w:val="22"/>
          <w:szCs w:val="22"/>
        </w:rPr>
        <w:t>polimorfinę</w:t>
      </w:r>
      <w:proofErr w:type="spellEnd"/>
      <w:r w:rsidRPr="00051FD3">
        <w:rPr>
          <w:rFonts w:eastAsia="TimesNewRoman"/>
          <w:sz w:val="22"/>
          <w:szCs w:val="22"/>
        </w:rPr>
        <w:t xml:space="preserve"> skilvelių </w:t>
      </w:r>
      <w:proofErr w:type="spellStart"/>
      <w:r w:rsidRPr="00051FD3">
        <w:rPr>
          <w:rFonts w:eastAsia="TimesNewRoman"/>
          <w:sz w:val="22"/>
          <w:szCs w:val="22"/>
        </w:rPr>
        <w:t>paroksizminę</w:t>
      </w:r>
      <w:proofErr w:type="spellEnd"/>
      <w:r w:rsidRPr="00051FD3">
        <w:rPr>
          <w:rFonts w:eastAsia="TimesNewRoman"/>
          <w:sz w:val="22"/>
          <w:szCs w:val="22"/>
        </w:rPr>
        <w:t xml:space="preserve"> tachikardiją) (</w:t>
      </w:r>
      <w:proofErr w:type="spellStart"/>
      <w:r w:rsidRPr="00051FD3">
        <w:rPr>
          <w:rFonts w:eastAsia="TimesNewRoman"/>
          <w:sz w:val="22"/>
          <w:szCs w:val="22"/>
        </w:rPr>
        <w:t>hipokalemija</w:t>
      </w:r>
      <w:proofErr w:type="spellEnd"/>
      <w:r w:rsidRPr="00051FD3">
        <w:rPr>
          <w:rFonts w:eastAsia="TimesNewRoman"/>
          <w:sz w:val="22"/>
          <w:szCs w:val="22"/>
        </w:rPr>
        <w:t xml:space="preserve"> jos pasireiškimą skatina), rekomenduojama periodiškai tirti kalio kiekį kraujo serume ir kontroliuoti EKG. Minėtiems vaistiniams preparatams priklauso šios grupės:</w:t>
      </w:r>
    </w:p>
    <w:p w14:paraId="77CDAC15" w14:textId="77777777" w:rsidR="007F39B7" w:rsidRPr="00051FD3" w:rsidRDefault="007F39B7" w:rsidP="007F39B7">
      <w:pPr>
        <w:numPr>
          <w:ilvl w:val="0"/>
          <w:numId w:val="6"/>
        </w:numPr>
        <w:autoSpaceDE w:val="0"/>
        <w:autoSpaceDN w:val="0"/>
        <w:adjustRightInd w:val="0"/>
        <w:ind w:left="567" w:hanging="567"/>
        <w:rPr>
          <w:rFonts w:eastAsia="TimesNewRoman"/>
          <w:sz w:val="22"/>
          <w:szCs w:val="22"/>
        </w:rPr>
      </w:pPr>
      <w:proofErr w:type="spellStart"/>
      <w:r w:rsidRPr="00051FD3">
        <w:rPr>
          <w:rFonts w:eastAsia="TimesNewRoman"/>
          <w:sz w:val="22"/>
          <w:szCs w:val="22"/>
        </w:rPr>
        <w:t>Ia</w:t>
      </w:r>
      <w:proofErr w:type="spellEnd"/>
      <w:r w:rsidRPr="00051FD3">
        <w:rPr>
          <w:rFonts w:eastAsia="TimesNewRoman"/>
          <w:sz w:val="22"/>
          <w:szCs w:val="22"/>
        </w:rPr>
        <w:t xml:space="preserve"> klasės </w:t>
      </w:r>
      <w:proofErr w:type="spellStart"/>
      <w:r w:rsidRPr="00051FD3">
        <w:rPr>
          <w:rFonts w:eastAsia="TimesNewRoman"/>
          <w:sz w:val="22"/>
          <w:szCs w:val="22"/>
        </w:rPr>
        <w:t>antiaritminiai</w:t>
      </w:r>
      <w:proofErr w:type="spellEnd"/>
      <w:r w:rsidRPr="00051FD3">
        <w:rPr>
          <w:rFonts w:eastAsia="TimesNewRoman"/>
          <w:sz w:val="22"/>
          <w:szCs w:val="22"/>
        </w:rPr>
        <w:t xml:space="preserve"> vaistai (pvz., </w:t>
      </w:r>
      <w:proofErr w:type="spellStart"/>
      <w:r w:rsidRPr="00051FD3">
        <w:rPr>
          <w:rFonts w:eastAsia="TimesNewRoman"/>
          <w:sz w:val="22"/>
          <w:szCs w:val="22"/>
        </w:rPr>
        <w:t>chinidinas</w:t>
      </w:r>
      <w:proofErr w:type="spellEnd"/>
      <w:r w:rsidRPr="00051FD3">
        <w:rPr>
          <w:rFonts w:eastAsia="TimesNewRoman"/>
          <w:sz w:val="22"/>
          <w:szCs w:val="22"/>
        </w:rPr>
        <w:t xml:space="preserve">, </w:t>
      </w:r>
      <w:proofErr w:type="spellStart"/>
      <w:r w:rsidRPr="00051FD3">
        <w:rPr>
          <w:rFonts w:eastAsia="TimesNewRoman"/>
          <w:sz w:val="22"/>
          <w:szCs w:val="22"/>
        </w:rPr>
        <w:t>hidrochinidinas</w:t>
      </w:r>
      <w:proofErr w:type="spellEnd"/>
      <w:r w:rsidRPr="00051FD3">
        <w:rPr>
          <w:rFonts w:eastAsia="TimesNewRoman"/>
          <w:sz w:val="22"/>
          <w:szCs w:val="22"/>
        </w:rPr>
        <w:t xml:space="preserve">, </w:t>
      </w:r>
      <w:proofErr w:type="spellStart"/>
      <w:r w:rsidRPr="00051FD3">
        <w:rPr>
          <w:rFonts w:eastAsia="TimesNewRoman"/>
          <w:sz w:val="22"/>
          <w:szCs w:val="22"/>
        </w:rPr>
        <w:t>dizopiramidas</w:t>
      </w:r>
      <w:proofErr w:type="spellEnd"/>
      <w:r w:rsidRPr="00051FD3">
        <w:rPr>
          <w:rFonts w:eastAsia="TimesNewRoman"/>
          <w:sz w:val="22"/>
          <w:szCs w:val="22"/>
        </w:rPr>
        <w:t>);</w:t>
      </w:r>
    </w:p>
    <w:p w14:paraId="284F9103" w14:textId="77777777" w:rsidR="007F39B7" w:rsidRPr="00051FD3" w:rsidRDefault="007F39B7" w:rsidP="007F39B7">
      <w:pPr>
        <w:numPr>
          <w:ilvl w:val="0"/>
          <w:numId w:val="6"/>
        </w:numPr>
        <w:autoSpaceDE w:val="0"/>
        <w:autoSpaceDN w:val="0"/>
        <w:adjustRightInd w:val="0"/>
        <w:ind w:left="567" w:hanging="567"/>
        <w:rPr>
          <w:rFonts w:eastAsia="TimesNewRoman"/>
          <w:sz w:val="22"/>
          <w:szCs w:val="22"/>
        </w:rPr>
      </w:pPr>
      <w:r w:rsidRPr="00051FD3">
        <w:rPr>
          <w:rFonts w:eastAsia="TimesNewRoman"/>
          <w:sz w:val="22"/>
          <w:szCs w:val="22"/>
        </w:rPr>
        <w:t xml:space="preserve">III klasės </w:t>
      </w:r>
      <w:proofErr w:type="spellStart"/>
      <w:r w:rsidRPr="00051FD3">
        <w:rPr>
          <w:rFonts w:eastAsia="TimesNewRoman"/>
          <w:sz w:val="22"/>
          <w:szCs w:val="22"/>
        </w:rPr>
        <w:t>antiaritminiai</w:t>
      </w:r>
      <w:proofErr w:type="spellEnd"/>
      <w:r w:rsidRPr="00051FD3">
        <w:rPr>
          <w:rFonts w:eastAsia="TimesNewRoman"/>
          <w:sz w:val="22"/>
          <w:szCs w:val="22"/>
        </w:rPr>
        <w:t xml:space="preserve"> vaistai (pvz., </w:t>
      </w:r>
      <w:proofErr w:type="spellStart"/>
      <w:r w:rsidRPr="00051FD3">
        <w:rPr>
          <w:rFonts w:eastAsia="TimesNewRoman"/>
          <w:sz w:val="22"/>
          <w:szCs w:val="22"/>
        </w:rPr>
        <w:t>amjodaronas</w:t>
      </w:r>
      <w:proofErr w:type="spellEnd"/>
      <w:r w:rsidRPr="00051FD3">
        <w:rPr>
          <w:rFonts w:eastAsia="TimesNewRoman"/>
          <w:sz w:val="22"/>
          <w:szCs w:val="22"/>
        </w:rPr>
        <w:t xml:space="preserve">, </w:t>
      </w:r>
      <w:proofErr w:type="spellStart"/>
      <w:r w:rsidRPr="00051FD3">
        <w:rPr>
          <w:rFonts w:eastAsia="TimesNewRoman"/>
          <w:sz w:val="22"/>
          <w:szCs w:val="22"/>
        </w:rPr>
        <w:t>sotalolis</w:t>
      </w:r>
      <w:proofErr w:type="spellEnd"/>
      <w:r w:rsidRPr="00051FD3">
        <w:rPr>
          <w:rFonts w:eastAsia="TimesNewRoman"/>
          <w:sz w:val="22"/>
          <w:szCs w:val="22"/>
        </w:rPr>
        <w:t xml:space="preserve">, </w:t>
      </w:r>
      <w:proofErr w:type="spellStart"/>
      <w:r w:rsidRPr="00051FD3">
        <w:rPr>
          <w:rFonts w:eastAsia="TimesNewRoman"/>
          <w:sz w:val="22"/>
          <w:szCs w:val="22"/>
        </w:rPr>
        <w:t>dofetilidas</w:t>
      </w:r>
      <w:proofErr w:type="spellEnd"/>
      <w:r w:rsidRPr="00051FD3">
        <w:rPr>
          <w:rFonts w:eastAsia="TimesNewRoman"/>
          <w:sz w:val="22"/>
          <w:szCs w:val="22"/>
        </w:rPr>
        <w:t xml:space="preserve">, </w:t>
      </w:r>
      <w:proofErr w:type="spellStart"/>
      <w:r w:rsidRPr="00051FD3">
        <w:rPr>
          <w:rFonts w:eastAsia="TimesNewRoman"/>
          <w:sz w:val="22"/>
          <w:szCs w:val="22"/>
        </w:rPr>
        <w:t>ibutilidas</w:t>
      </w:r>
      <w:proofErr w:type="spellEnd"/>
      <w:r w:rsidRPr="00051FD3">
        <w:rPr>
          <w:rFonts w:eastAsia="TimesNewRoman"/>
          <w:sz w:val="22"/>
          <w:szCs w:val="22"/>
        </w:rPr>
        <w:t>);</w:t>
      </w:r>
    </w:p>
    <w:p w14:paraId="0F7AE733" w14:textId="77777777" w:rsidR="007F39B7" w:rsidRPr="00051FD3" w:rsidRDefault="007F39B7" w:rsidP="007F39B7">
      <w:pPr>
        <w:numPr>
          <w:ilvl w:val="0"/>
          <w:numId w:val="6"/>
        </w:numPr>
        <w:autoSpaceDE w:val="0"/>
        <w:autoSpaceDN w:val="0"/>
        <w:adjustRightInd w:val="0"/>
        <w:ind w:left="567" w:hanging="567"/>
        <w:rPr>
          <w:rFonts w:eastAsia="TimesNewRoman"/>
          <w:sz w:val="22"/>
          <w:szCs w:val="22"/>
        </w:rPr>
      </w:pPr>
      <w:r w:rsidRPr="00051FD3">
        <w:rPr>
          <w:rFonts w:eastAsia="TimesNewRoman"/>
          <w:sz w:val="22"/>
          <w:szCs w:val="22"/>
        </w:rPr>
        <w:t xml:space="preserve">kai kurie vaistai nuo psichozės (pvz., </w:t>
      </w:r>
      <w:proofErr w:type="spellStart"/>
      <w:r w:rsidRPr="00051FD3">
        <w:rPr>
          <w:rFonts w:eastAsia="TimesNewRoman"/>
          <w:sz w:val="22"/>
          <w:szCs w:val="22"/>
        </w:rPr>
        <w:t>tioridazinas</w:t>
      </w:r>
      <w:proofErr w:type="spellEnd"/>
      <w:r w:rsidRPr="00051FD3">
        <w:rPr>
          <w:rFonts w:eastAsia="TimesNewRoman"/>
          <w:sz w:val="22"/>
          <w:szCs w:val="22"/>
        </w:rPr>
        <w:t xml:space="preserve">, </w:t>
      </w:r>
      <w:proofErr w:type="spellStart"/>
      <w:r w:rsidRPr="00051FD3">
        <w:rPr>
          <w:rFonts w:eastAsia="TimesNewRoman"/>
          <w:sz w:val="22"/>
          <w:szCs w:val="22"/>
        </w:rPr>
        <w:t>chlorpromazinas</w:t>
      </w:r>
      <w:proofErr w:type="spellEnd"/>
      <w:r w:rsidRPr="00051FD3">
        <w:rPr>
          <w:rFonts w:eastAsia="TimesNewRoman"/>
          <w:sz w:val="22"/>
          <w:szCs w:val="22"/>
        </w:rPr>
        <w:t xml:space="preserve">, </w:t>
      </w:r>
      <w:proofErr w:type="spellStart"/>
      <w:r w:rsidRPr="00051FD3">
        <w:rPr>
          <w:rFonts w:eastAsia="TimesNewRoman"/>
          <w:sz w:val="22"/>
          <w:szCs w:val="22"/>
        </w:rPr>
        <w:t>levomepromazinas</w:t>
      </w:r>
      <w:proofErr w:type="spellEnd"/>
      <w:r w:rsidRPr="00051FD3">
        <w:rPr>
          <w:rFonts w:eastAsia="TimesNewRoman"/>
          <w:sz w:val="22"/>
          <w:szCs w:val="22"/>
        </w:rPr>
        <w:t xml:space="preserve">, </w:t>
      </w:r>
      <w:proofErr w:type="spellStart"/>
      <w:r w:rsidRPr="00051FD3">
        <w:rPr>
          <w:rFonts w:eastAsia="TimesNewRoman"/>
          <w:sz w:val="22"/>
          <w:szCs w:val="22"/>
        </w:rPr>
        <w:t>trifluoperazinas</w:t>
      </w:r>
      <w:proofErr w:type="spellEnd"/>
      <w:r w:rsidRPr="00051FD3">
        <w:rPr>
          <w:rFonts w:eastAsia="TimesNewRoman"/>
          <w:sz w:val="22"/>
          <w:szCs w:val="22"/>
        </w:rPr>
        <w:t xml:space="preserve">, </w:t>
      </w:r>
      <w:proofErr w:type="spellStart"/>
      <w:r w:rsidRPr="00051FD3">
        <w:rPr>
          <w:rFonts w:eastAsia="TimesNewRoman"/>
          <w:sz w:val="22"/>
          <w:szCs w:val="22"/>
        </w:rPr>
        <w:t>ciamemazinas</w:t>
      </w:r>
      <w:proofErr w:type="spellEnd"/>
      <w:r w:rsidRPr="00051FD3">
        <w:rPr>
          <w:rFonts w:eastAsia="TimesNewRoman"/>
          <w:sz w:val="22"/>
          <w:szCs w:val="22"/>
        </w:rPr>
        <w:t xml:space="preserve">, </w:t>
      </w:r>
      <w:proofErr w:type="spellStart"/>
      <w:r w:rsidRPr="00051FD3">
        <w:rPr>
          <w:rFonts w:eastAsia="TimesNewRoman"/>
          <w:sz w:val="22"/>
          <w:szCs w:val="22"/>
        </w:rPr>
        <w:t>sulpiridas</w:t>
      </w:r>
      <w:proofErr w:type="spellEnd"/>
      <w:r w:rsidRPr="00051FD3">
        <w:rPr>
          <w:rFonts w:eastAsia="TimesNewRoman"/>
          <w:sz w:val="22"/>
          <w:szCs w:val="22"/>
        </w:rPr>
        <w:t xml:space="preserve">, </w:t>
      </w:r>
      <w:proofErr w:type="spellStart"/>
      <w:r w:rsidRPr="00051FD3">
        <w:rPr>
          <w:rFonts w:eastAsia="TimesNewRoman"/>
          <w:sz w:val="22"/>
          <w:szCs w:val="22"/>
        </w:rPr>
        <w:t>sultopridas</w:t>
      </w:r>
      <w:proofErr w:type="spellEnd"/>
      <w:r w:rsidRPr="00051FD3">
        <w:rPr>
          <w:rFonts w:eastAsia="TimesNewRoman"/>
          <w:sz w:val="22"/>
          <w:szCs w:val="22"/>
        </w:rPr>
        <w:t xml:space="preserve">, </w:t>
      </w:r>
      <w:proofErr w:type="spellStart"/>
      <w:r w:rsidRPr="00051FD3">
        <w:rPr>
          <w:rFonts w:eastAsia="TimesNewRoman"/>
          <w:sz w:val="22"/>
          <w:szCs w:val="22"/>
        </w:rPr>
        <w:t>amisulpridas</w:t>
      </w:r>
      <w:proofErr w:type="spellEnd"/>
      <w:r w:rsidRPr="00051FD3">
        <w:rPr>
          <w:rFonts w:eastAsia="TimesNewRoman"/>
          <w:sz w:val="22"/>
          <w:szCs w:val="22"/>
        </w:rPr>
        <w:t xml:space="preserve">, </w:t>
      </w:r>
      <w:proofErr w:type="spellStart"/>
      <w:r w:rsidRPr="00051FD3">
        <w:rPr>
          <w:rFonts w:eastAsia="TimesNewRoman"/>
          <w:sz w:val="22"/>
          <w:szCs w:val="22"/>
        </w:rPr>
        <w:t>tiapridas</w:t>
      </w:r>
      <w:proofErr w:type="spellEnd"/>
      <w:r w:rsidRPr="00051FD3">
        <w:rPr>
          <w:rFonts w:eastAsia="TimesNewRoman"/>
          <w:sz w:val="22"/>
          <w:szCs w:val="22"/>
        </w:rPr>
        <w:t xml:space="preserve">, </w:t>
      </w:r>
      <w:proofErr w:type="spellStart"/>
      <w:r w:rsidRPr="00051FD3">
        <w:rPr>
          <w:rFonts w:eastAsia="TimesNewRoman"/>
          <w:sz w:val="22"/>
          <w:szCs w:val="22"/>
        </w:rPr>
        <w:t>pimozidas</w:t>
      </w:r>
      <w:proofErr w:type="spellEnd"/>
      <w:r w:rsidRPr="00051FD3">
        <w:rPr>
          <w:rFonts w:eastAsia="TimesNewRoman"/>
          <w:sz w:val="22"/>
          <w:szCs w:val="22"/>
        </w:rPr>
        <w:t xml:space="preserve">, </w:t>
      </w:r>
      <w:proofErr w:type="spellStart"/>
      <w:r w:rsidRPr="00051FD3">
        <w:rPr>
          <w:rFonts w:eastAsia="TimesNewRoman"/>
          <w:sz w:val="22"/>
          <w:szCs w:val="22"/>
        </w:rPr>
        <w:t>haloperidolis</w:t>
      </w:r>
      <w:proofErr w:type="spellEnd"/>
      <w:r w:rsidRPr="00051FD3">
        <w:rPr>
          <w:rFonts w:eastAsia="TimesNewRoman"/>
          <w:sz w:val="22"/>
          <w:szCs w:val="22"/>
        </w:rPr>
        <w:t xml:space="preserve">, </w:t>
      </w:r>
      <w:proofErr w:type="spellStart"/>
      <w:r w:rsidRPr="00051FD3">
        <w:rPr>
          <w:rFonts w:eastAsia="TimesNewRoman"/>
          <w:sz w:val="22"/>
          <w:szCs w:val="22"/>
        </w:rPr>
        <w:t>droperidolis</w:t>
      </w:r>
      <w:proofErr w:type="spellEnd"/>
      <w:r w:rsidRPr="00051FD3">
        <w:rPr>
          <w:rFonts w:eastAsia="TimesNewRoman"/>
          <w:sz w:val="22"/>
          <w:szCs w:val="22"/>
        </w:rPr>
        <w:t>);</w:t>
      </w:r>
    </w:p>
    <w:p w14:paraId="79045176" w14:textId="77777777" w:rsidR="007F39B7" w:rsidRPr="00051FD3" w:rsidRDefault="007F39B7" w:rsidP="007F39B7">
      <w:pPr>
        <w:numPr>
          <w:ilvl w:val="0"/>
          <w:numId w:val="6"/>
        </w:numPr>
        <w:autoSpaceDE w:val="0"/>
        <w:autoSpaceDN w:val="0"/>
        <w:adjustRightInd w:val="0"/>
        <w:ind w:left="567" w:hanging="567"/>
        <w:rPr>
          <w:rFonts w:eastAsia="TimesNewRoman"/>
          <w:sz w:val="22"/>
          <w:szCs w:val="22"/>
        </w:rPr>
      </w:pPr>
      <w:r w:rsidRPr="00051FD3">
        <w:rPr>
          <w:rFonts w:eastAsia="TimesNewRoman"/>
          <w:sz w:val="22"/>
          <w:szCs w:val="22"/>
        </w:rPr>
        <w:t xml:space="preserve">kiti vaistiniai preparatai (pvz., </w:t>
      </w:r>
      <w:proofErr w:type="spellStart"/>
      <w:r w:rsidRPr="00051FD3">
        <w:rPr>
          <w:rFonts w:eastAsia="TimesNewRoman"/>
          <w:sz w:val="22"/>
          <w:szCs w:val="22"/>
        </w:rPr>
        <w:t>bepridilis</w:t>
      </w:r>
      <w:proofErr w:type="spellEnd"/>
      <w:r w:rsidRPr="00051FD3">
        <w:rPr>
          <w:rFonts w:eastAsia="TimesNewRoman"/>
          <w:sz w:val="22"/>
          <w:szCs w:val="22"/>
        </w:rPr>
        <w:t xml:space="preserve">, </w:t>
      </w:r>
      <w:proofErr w:type="spellStart"/>
      <w:r w:rsidRPr="00051FD3">
        <w:rPr>
          <w:rFonts w:eastAsia="TimesNewRoman"/>
          <w:sz w:val="22"/>
          <w:szCs w:val="22"/>
        </w:rPr>
        <w:t>cisapridas</w:t>
      </w:r>
      <w:proofErr w:type="spellEnd"/>
      <w:r w:rsidRPr="00051FD3">
        <w:rPr>
          <w:rFonts w:eastAsia="TimesNewRoman"/>
          <w:sz w:val="22"/>
          <w:szCs w:val="22"/>
        </w:rPr>
        <w:t xml:space="preserve">, </w:t>
      </w:r>
      <w:proofErr w:type="spellStart"/>
      <w:r w:rsidRPr="00051FD3">
        <w:rPr>
          <w:rFonts w:eastAsia="TimesNewRoman"/>
          <w:sz w:val="22"/>
          <w:szCs w:val="22"/>
        </w:rPr>
        <w:t>difemanilis</w:t>
      </w:r>
      <w:proofErr w:type="spellEnd"/>
      <w:r w:rsidRPr="00051FD3">
        <w:rPr>
          <w:rFonts w:eastAsia="TimesNewRoman"/>
          <w:sz w:val="22"/>
          <w:szCs w:val="22"/>
        </w:rPr>
        <w:t xml:space="preserve">, į veną leidžiamas </w:t>
      </w:r>
      <w:proofErr w:type="spellStart"/>
      <w:r w:rsidRPr="00051FD3">
        <w:rPr>
          <w:rFonts w:eastAsia="TimesNewRoman"/>
          <w:sz w:val="22"/>
          <w:szCs w:val="22"/>
        </w:rPr>
        <w:t>eritromicinas</w:t>
      </w:r>
      <w:proofErr w:type="spellEnd"/>
      <w:r w:rsidRPr="00051FD3">
        <w:rPr>
          <w:rFonts w:eastAsia="TimesNewRoman"/>
          <w:sz w:val="22"/>
          <w:szCs w:val="22"/>
        </w:rPr>
        <w:t xml:space="preserve">, </w:t>
      </w:r>
      <w:proofErr w:type="spellStart"/>
      <w:r w:rsidRPr="00051FD3">
        <w:rPr>
          <w:rFonts w:eastAsia="TimesNewRoman"/>
          <w:sz w:val="22"/>
          <w:szCs w:val="22"/>
        </w:rPr>
        <w:t>halofantrinas</w:t>
      </w:r>
      <w:proofErr w:type="spellEnd"/>
      <w:r w:rsidRPr="00051FD3">
        <w:rPr>
          <w:rFonts w:eastAsia="TimesNewRoman"/>
          <w:sz w:val="22"/>
          <w:szCs w:val="22"/>
        </w:rPr>
        <w:t xml:space="preserve">, </w:t>
      </w:r>
      <w:proofErr w:type="spellStart"/>
      <w:r w:rsidRPr="00051FD3">
        <w:rPr>
          <w:rFonts w:eastAsia="TimesNewRoman"/>
          <w:sz w:val="22"/>
          <w:szCs w:val="22"/>
        </w:rPr>
        <w:t>mizolastinas</w:t>
      </w:r>
      <w:proofErr w:type="spellEnd"/>
      <w:r w:rsidRPr="00051FD3">
        <w:rPr>
          <w:rFonts w:eastAsia="TimesNewRoman"/>
          <w:sz w:val="22"/>
          <w:szCs w:val="22"/>
        </w:rPr>
        <w:t xml:space="preserve">, </w:t>
      </w:r>
      <w:proofErr w:type="spellStart"/>
      <w:r w:rsidRPr="00051FD3">
        <w:rPr>
          <w:rFonts w:eastAsia="TimesNewRoman"/>
          <w:sz w:val="22"/>
          <w:szCs w:val="22"/>
        </w:rPr>
        <w:t>pentamidinas</w:t>
      </w:r>
      <w:proofErr w:type="spellEnd"/>
      <w:r w:rsidRPr="00051FD3">
        <w:rPr>
          <w:rFonts w:eastAsia="TimesNewRoman"/>
          <w:sz w:val="22"/>
          <w:szCs w:val="22"/>
        </w:rPr>
        <w:t xml:space="preserve">, </w:t>
      </w:r>
      <w:proofErr w:type="spellStart"/>
      <w:r w:rsidRPr="00051FD3">
        <w:rPr>
          <w:rFonts w:eastAsia="TimesNewRoman"/>
          <w:sz w:val="22"/>
          <w:szCs w:val="22"/>
        </w:rPr>
        <w:t>sparfloksacinas</w:t>
      </w:r>
      <w:proofErr w:type="spellEnd"/>
      <w:r w:rsidRPr="00051FD3">
        <w:rPr>
          <w:rFonts w:eastAsia="TimesNewRoman"/>
          <w:sz w:val="22"/>
          <w:szCs w:val="22"/>
        </w:rPr>
        <w:t xml:space="preserve">, </w:t>
      </w:r>
      <w:proofErr w:type="spellStart"/>
      <w:r w:rsidRPr="00051FD3">
        <w:rPr>
          <w:rFonts w:eastAsia="TimesNewRoman"/>
          <w:sz w:val="22"/>
          <w:szCs w:val="22"/>
        </w:rPr>
        <w:t>terfenadinas</w:t>
      </w:r>
      <w:proofErr w:type="spellEnd"/>
      <w:r w:rsidRPr="00051FD3">
        <w:rPr>
          <w:rFonts w:eastAsia="TimesNewRoman"/>
          <w:sz w:val="22"/>
          <w:szCs w:val="22"/>
        </w:rPr>
        <w:t xml:space="preserve">, į veną leidžiamas </w:t>
      </w:r>
      <w:proofErr w:type="spellStart"/>
      <w:r w:rsidRPr="00051FD3">
        <w:rPr>
          <w:rFonts w:eastAsia="TimesNewRoman"/>
          <w:sz w:val="22"/>
          <w:szCs w:val="22"/>
        </w:rPr>
        <w:t>vankomicinas</w:t>
      </w:r>
      <w:proofErr w:type="spellEnd"/>
      <w:r w:rsidRPr="00051FD3">
        <w:rPr>
          <w:rFonts w:eastAsia="TimesNewRoman"/>
          <w:sz w:val="22"/>
          <w:szCs w:val="22"/>
        </w:rPr>
        <w:t>).</w:t>
      </w:r>
    </w:p>
    <w:p w14:paraId="35B61614" w14:textId="77777777" w:rsidR="007F39B7" w:rsidRPr="00051FD3" w:rsidRDefault="007F39B7" w:rsidP="007F39B7">
      <w:pPr>
        <w:autoSpaceDE w:val="0"/>
        <w:autoSpaceDN w:val="0"/>
        <w:adjustRightInd w:val="0"/>
        <w:rPr>
          <w:rFonts w:eastAsia="TimesNewRoman"/>
          <w:sz w:val="22"/>
          <w:szCs w:val="22"/>
        </w:rPr>
      </w:pPr>
    </w:p>
    <w:p w14:paraId="2579BAA2"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Rusmenės glikozidai</w:t>
      </w:r>
    </w:p>
    <w:p w14:paraId="49F9A9A0"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Tiazidų</w:t>
      </w:r>
      <w:proofErr w:type="spellEnd"/>
      <w:r w:rsidRPr="00051FD3">
        <w:rPr>
          <w:rFonts w:eastAsia="TimesNewRoman"/>
          <w:sz w:val="22"/>
          <w:szCs w:val="22"/>
        </w:rPr>
        <w:t xml:space="preserve"> sukeliama </w:t>
      </w:r>
      <w:proofErr w:type="spellStart"/>
      <w:r w:rsidRPr="00051FD3">
        <w:rPr>
          <w:rFonts w:eastAsia="TimesNewRoman"/>
          <w:sz w:val="22"/>
          <w:szCs w:val="22"/>
        </w:rPr>
        <w:t>hipokalemija</w:t>
      </w:r>
      <w:proofErr w:type="spellEnd"/>
      <w:r w:rsidRPr="00051FD3">
        <w:rPr>
          <w:rFonts w:eastAsia="TimesNewRoman"/>
          <w:sz w:val="22"/>
          <w:szCs w:val="22"/>
        </w:rPr>
        <w:t xml:space="preserve"> ir </w:t>
      </w:r>
      <w:proofErr w:type="spellStart"/>
      <w:r w:rsidRPr="00051FD3">
        <w:rPr>
          <w:rFonts w:eastAsia="TimesNewRoman"/>
          <w:sz w:val="22"/>
          <w:szCs w:val="22"/>
        </w:rPr>
        <w:t>hipomagnezemija</w:t>
      </w:r>
      <w:proofErr w:type="spellEnd"/>
      <w:r w:rsidRPr="00051FD3">
        <w:rPr>
          <w:rFonts w:eastAsia="TimesNewRoman"/>
          <w:sz w:val="22"/>
          <w:szCs w:val="22"/>
        </w:rPr>
        <w:t xml:space="preserve"> skatina rusmenės glikozidų sukeliamos aritmijos pasireiškimą (žr. 4.4 skyrių).</w:t>
      </w:r>
    </w:p>
    <w:p w14:paraId="09ED31A0" w14:textId="77777777" w:rsidR="007F39B7" w:rsidRPr="00051FD3" w:rsidRDefault="007F39B7" w:rsidP="007F39B7">
      <w:pPr>
        <w:autoSpaceDE w:val="0"/>
        <w:autoSpaceDN w:val="0"/>
        <w:adjustRightInd w:val="0"/>
        <w:rPr>
          <w:rFonts w:eastAsia="TimesNewRoman"/>
          <w:sz w:val="22"/>
          <w:szCs w:val="22"/>
        </w:rPr>
      </w:pPr>
    </w:p>
    <w:p w14:paraId="6B957A13" w14:textId="77777777" w:rsidR="007F39B7" w:rsidRPr="00051FD3" w:rsidRDefault="00AF6513"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Digoksinas</w:t>
      </w:r>
      <w:proofErr w:type="spellEnd"/>
    </w:p>
    <w:p w14:paraId="60791885" w14:textId="6C5DEF1C"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Kai </w:t>
      </w:r>
      <w:proofErr w:type="spellStart"/>
      <w:r w:rsidRPr="00051FD3">
        <w:rPr>
          <w:rFonts w:eastAsia="TimesNewRoman"/>
          <w:sz w:val="22"/>
          <w:szCs w:val="22"/>
        </w:rPr>
        <w:t>telmisartano</w:t>
      </w:r>
      <w:proofErr w:type="spellEnd"/>
      <w:r w:rsidRPr="00051FD3">
        <w:rPr>
          <w:rFonts w:eastAsia="TimesNewRoman"/>
          <w:sz w:val="22"/>
          <w:szCs w:val="22"/>
        </w:rPr>
        <w:t xml:space="preserve"> buvo vartojama kartu su </w:t>
      </w:r>
      <w:proofErr w:type="spellStart"/>
      <w:r w:rsidRPr="00051FD3">
        <w:rPr>
          <w:rFonts w:eastAsia="TimesNewRoman"/>
          <w:sz w:val="22"/>
          <w:szCs w:val="22"/>
        </w:rPr>
        <w:t>digoksinu</w:t>
      </w:r>
      <w:proofErr w:type="spellEnd"/>
      <w:r w:rsidRPr="00051FD3">
        <w:rPr>
          <w:rFonts w:eastAsia="TimesNewRoman"/>
          <w:sz w:val="22"/>
          <w:szCs w:val="22"/>
        </w:rPr>
        <w:t>, pastebėta, kad padidėjo pastarojo vaistinio preparato maksimalios (49</w:t>
      </w:r>
      <w:r w:rsidR="00EC052D">
        <w:rPr>
          <w:rFonts w:eastAsia="TimesNewRoman"/>
          <w:sz w:val="22"/>
          <w:szCs w:val="22"/>
        </w:rPr>
        <w:t> </w:t>
      </w:r>
      <w:r w:rsidRPr="00051FD3">
        <w:rPr>
          <w:rFonts w:eastAsia="TimesNewRoman"/>
          <w:sz w:val="22"/>
          <w:szCs w:val="22"/>
        </w:rPr>
        <w:t>%) ir žemiausios koncentracijos (20</w:t>
      </w:r>
      <w:r w:rsidR="00EC052D">
        <w:rPr>
          <w:rFonts w:eastAsia="TimesNewRoman"/>
          <w:sz w:val="22"/>
          <w:szCs w:val="22"/>
        </w:rPr>
        <w:t> </w:t>
      </w:r>
      <w:r w:rsidRPr="00051FD3">
        <w:rPr>
          <w:rFonts w:eastAsia="TimesNewRoman"/>
          <w:sz w:val="22"/>
          <w:szCs w:val="22"/>
        </w:rPr>
        <w:t xml:space="preserve">%) kraujo plazmoje mediana. Pradedant vartoti </w:t>
      </w:r>
      <w:proofErr w:type="spellStart"/>
      <w:r w:rsidRPr="00051FD3">
        <w:rPr>
          <w:rFonts w:eastAsia="TimesNewRoman"/>
          <w:sz w:val="22"/>
          <w:szCs w:val="22"/>
        </w:rPr>
        <w:t>telmisartaną</w:t>
      </w:r>
      <w:proofErr w:type="spellEnd"/>
      <w:r w:rsidRPr="00051FD3">
        <w:rPr>
          <w:rFonts w:eastAsia="TimesNewRoman"/>
          <w:sz w:val="22"/>
          <w:szCs w:val="22"/>
        </w:rPr>
        <w:t xml:space="preserve">, keičiant jo dozę ir nutraukiant vartojimą, norint palaikyti </w:t>
      </w:r>
      <w:proofErr w:type="spellStart"/>
      <w:r w:rsidRPr="00051FD3">
        <w:rPr>
          <w:rFonts w:eastAsia="TimesNewRoman"/>
          <w:sz w:val="22"/>
          <w:szCs w:val="22"/>
        </w:rPr>
        <w:t>digoksino</w:t>
      </w:r>
      <w:proofErr w:type="spellEnd"/>
      <w:r w:rsidRPr="00051FD3">
        <w:rPr>
          <w:rFonts w:eastAsia="TimesNewRoman"/>
          <w:sz w:val="22"/>
          <w:szCs w:val="22"/>
        </w:rPr>
        <w:t xml:space="preserve"> terapinę koncentraciją, reikia kontroliuoti jo kiekį plazmoje. </w:t>
      </w:r>
    </w:p>
    <w:p w14:paraId="20AE9CA1"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 </w:t>
      </w:r>
    </w:p>
    <w:p w14:paraId="65BB9F0F"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 xml:space="preserve">Kitokie </w:t>
      </w:r>
      <w:proofErr w:type="spellStart"/>
      <w:r w:rsidRPr="00051FD3">
        <w:rPr>
          <w:rFonts w:eastAsia="TimesNewRoman"/>
          <w:sz w:val="22"/>
          <w:szCs w:val="22"/>
          <w:u w:val="single"/>
        </w:rPr>
        <w:t>antihipertenziniai</w:t>
      </w:r>
      <w:proofErr w:type="spellEnd"/>
      <w:r w:rsidRPr="00051FD3">
        <w:rPr>
          <w:rFonts w:eastAsia="TimesNewRoman"/>
          <w:sz w:val="22"/>
          <w:szCs w:val="22"/>
          <w:u w:val="single"/>
        </w:rPr>
        <w:t xml:space="preserve"> vaistiniai preparatai</w:t>
      </w:r>
    </w:p>
    <w:p w14:paraId="69D1E2BB"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Telmisartanas</w:t>
      </w:r>
      <w:proofErr w:type="spellEnd"/>
      <w:r w:rsidRPr="00051FD3">
        <w:rPr>
          <w:rFonts w:eastAsia="TimesNewRoman"/>
          <w:sz w:val="22"/>
          <w:szCs w:val="22"/>
        </w:rPr>
        <w:t xml:space="preserve"> stiprina kitų </w:t>
      </w:r>
      <w:proofErr w:type="spellStart"/>
      <w:r w:rsidRPr="00051FD3">
        <w:rPr>
          <w:rFonts w:eastAsia="TimesNewRoman"/>
          <w:sz w:val="22"/>
          <w:szCs w:val="22"/>
        </w:rPr>
        <w:t>antihipertenzinių</w:t>
      </w:r>
      <w:proofErr w:type="spellEnd"/>
      <w:r w:rsidRPr="00051FD3">
        <w:rPr>
          <w:rFonts w:eastAsia="TimesNewRoman"/>
          <w:sz w:val="22"/>
          <w:szCs w:val="22"/>
        </w:rPr>
        <w:t xml:space="preserve"> vaistinių preparatų sukeliamą kraujospūdžio mažėjimą.</w:t>
      </w:r>
    </w:p>
    <w:p w14:paraId="33F4096F" w14:textId="425F5149" w:rsidR="00524B41" w:rsidRPr="00051FD3" w:rsidRDefault="00142526" w:rsidP="007F39B7">
      <w:pPr>
        <w:autoSpaceDE w:val="0"/>
        <w:autoSpaceDN w:val="0"/>
        <w:adjustRightInd w:val="0"/>
        <w:rPr>
          <w:rFonts w:eastAsia="TimesNewRoman"/>
          <w:sz w:val="22"/>
          <w:szCs w:val="22"/>
        </w:rPr>
      </w:pPr>
      <w:r w:rsidRPr="00051FD3">
        <w:rPr>
          <w:sz w:val="22"/>
          <w:szCs w:val="22"/>
        </w:rPr>
        <w:t xml:space="preserve">Klinikinių tyrimų duomenys parodė, kad, palyginti su vieno </w:t>
      </w:r>
      <w:proofErr w:type="spellStart"/>
      <w:r w:rsidR="00E35271" w:rsidRPr="00051FD3">
        <w:rPr>
          <w:sz w:val="22"/>
          <w:szCs w:val="22"/>
        </w:rPr>
        <w:t>renino</w:t>
      </w:r>
      <w:proofErr w:type="spellEnd"/>
      <w:r w:rsidR="00E35271" w:rsidRPr="00051FD3">
        <w:rPr>
          <w:sz w:val="22"/>
          <w:szCs w:val="22"/>
        </w:rPr>
        <w:t xml:space="preserve">, </w:t>
      </w:r>
      <w:proofErr w:type="spellStart"/>
      <w:r w:rsidR="00E35271" w:rsidRPr="00051FD3">
        <w:rPr>
          <w:sz w:val="22"/>
          <w:szCs w:val="22"/>
        </w:rPr>
        <w:t>angiotenzino</w:t>
      </w:r>
      <w:proofErr w:type="spellEnd"/>
      <w:r w:rsidR="00E35271" w:rsidRPr="00051FD3">
        <w:rPr>
          <w:sz w:val="22"/>
          <w:szCs w:val="22"/>
        </w:rPr>
        <w:t xml:space="preserve"> ir </w:t>
      </w:r>
      <w:proofErr w:type="spellStart"/>
      <w:r w:rsidR="00E35271" w:rsidRPr="00051FD3">
        <w:rPr>
          <w:sz w:val="22"/>
          <w:szCs w:val="22"/>
        </w:rPr>
        <w:t>aldosterono</w:t>
      </w:r>
      <w:proofErr w:type="spellEnd"/>
      <w:r w:rsidR="00E35271" w:rsidRPr="00051FD3">
        <w:rPr>
          <w:sz w:val="22"/>
          <w:szCs w:val="22"/>
        </w:rPr>
        <w:t xml:space="preserve"> sistemą</w:t>
      </w:r>
      <w:r w:rsidR="00D475F2" w:rsidRPr="00051FD3">
        <w:rPr>
          <w:sz w:val="22"/>
          <w:szCs w:val="22"/>
        </w:rPr>
        <w:t xml:space="preserve"> (</w:t>
      </w:r>
      <w:r w:rsidRPr="00051FD3">
        <w:rPr>
          <w:sz w:val="22"/>
          <w:szCs w:val="22"/>
        </w:rPr>
        <w:t>RAAS</w:t>
      </w:r>
      <w:r w:rsidR="00D475F2" w:rsidRPr="00051FD3">
        <w:rPr>
          <w:sz w:val="22"/>
          <w:szCs w:val="22"/>
        </w:rPr>
        <w:t>)</w:t>
      </w:r>
      <w:r w:rsidRPr="00051FD3">
        <w:rPr>
          <w:sz w:val="22"/>
          <w:szCs w:val="22"/>
        </w:rPr>
        <w:t xml:space="preserve"> veikiančio preparato vartojimu, dvigubas </w:t>
      </w:r>
      <w:proofErr w:type="spellStart"/>
      <w:r w:rsidRPr="00051FD3">
        <w:rPr>
          <w:sz w:val="22"/>
          <w:szCs w:val="22"/>
        </w:rPr>
        <w:t>renino</w:t>
      </w:r>
      <w:proofErr w:type="spellEnd"/>
      <w:r w:rsidRPr="00051FD3">
        <w:rPr>
          <w:sz w:val="22"/>
          <w:szCs w:val="22"/>
        </w:rPr>
        <w:t xml:space="preserve">, </w:t>
      </w:r>
      <w:proofErr w:type="spellStart"/>
      <w:r w:rsidRPr="00051FD3">
        <w:rPr>
          <w:sz w:val="22"/>
          <w:szCs w:val="22"/>
        </w:rPr>
        <w:t>angiotenzino</w:t>
      </w:r>
      <w:proofErr w:type="spellEnd"/>
      <w:r w:rsidRPr="00051FD3">
        <w:rPr>
          <w:sz w:val="22"/>
          <w:szCs w:val="22"/>
        </w:rPr>
        <w:t xml:space="preserve"> ir </w:t>
      </w:r>
      <w:proofErr w:type="spellStart"/>
      <w:r w:rsidRPr="00051FD3">
        <w:rPr>
          <w:sz w:val="22"/>
          <w:szCs w:val="22"/>
        </w:rPr>
        <w:t>aldosterono</w:t>
      </w:r>
      <w:proofErr w:type="spellEnd"/>
      <w:r w:rsidRPr="00051FD3">
        <w:rPr>
          <w:sz w:val="22"/>
          <w:szCs w:val="22"/>
        </w:rPr>
        <w:t xml:space="preserve"> sistemos nuslopinimas, kai vartojamas AKF inhibitorių, </w:t>
      </w:r>
      <w:proofErr w:type="spellStart"/>
      <w:r w:rsidRPr="00051FD3">
        <w:rPr>
          <w:sz w:val="22"/>
          <w:szCs w:val="22"/>
        </w:rPr>
        <w:t>angiotenzino</w:t>
      </w:r>
      <w:proofErr w:type="spellEnd"/>
      <w:r w:rsidRPr="00051FD3">
        <w:rPr>
          <w:sz w:val="22"/>
          <w:szCs w:val="22"/>
        </w:rPr>
        <w:t xml:space="preserve"> II receptorių blokatorių ar </w:t>
      </w:r>
      <w:proofErr w:type="spellStart"/>
      <w:r w:rsidRPr="00051FD3">
        <w:rPr>
          <w:sz w:val="22"/>
          <w:szCs w:val="22"/>
        </w:rPr>
        <w:t>aliskireno</w:t>
      </w:r>
      <w:proofErr w:type="spellEnd"/>
      <w:r w:rsidRPr="00051FD3">
        <w:rPr>
          <w:sz w:val="22"/>
          <w:szCs w:val="22"/>
        </w:rPr>
        <w:t xml:space="preserve"> derinys, siejamas su dažniau pasitaikančiais nepageidaujamais reiškiniais, tokiais kaip </w:t>
      </w:r>
      <w:proofErr w:type="spellStart"/>
      <w:r w:rsidRPr="00051FD3">
        <w:rPr>
          <w:sz w:val="22"/>
          <w:szCs w:val="22"/>
        </w:rPr>
        <w:t>hipotenzija</w:t>
      </w:r>
      <w:proofErr w:type="spellEnd"/>
      <w:r w:rsidRPr="00051FD3">
        <w:rPr>
          <w:sz w:val="22"/>
          <w:szCs w:val="22"/>
        </w:rPr>
        <w:t xml:space="preserve">, </w:t>
      </w:r>
      <w:proofErr w:type="spellStart"/>
      <w:r w:rsidRPr="00051FD3">
        <w:rPr>
          <w:sz w:val="22"/>
          <w:szCs w:val="22"/>
        </w:rPr>
        <w:t>hiperkalemija</w:t>
      </w:r>
      <w:proofErr w:type="spellEnd"/>
      <w:r w:rsidRPr="00051FD3">
        <w:rPr>
          <w:sz w:val="22"/>
          <w:szCs w:val="22"/>
        </w:rPr>
        <w:t xml:space="preserve"> ir inkstų funkcijos susilpnėjimas (įskaitant ūminį inkstų nepakankamumą).(žr. 4.3, 4.4 ir 5.1 skyrius).</w:t>
      </w:r>
    </w:p>
    <w:p w14:paraId="341AB793" w14:textId="77777777" w:rsidR="007F39B7" w:rsidRPr="00051FD3" w:rsidRDefault="007F39B7" w:rsidP="007F39B7">
      <w:pPr>
        <w:autoSpaceDE w:val="0"/>
        <w:autoSpaceDN w:val="0"/>
        <w:adjustRightInd w:val="0"/>
        <w:rPr>
          <w:rFonts w:eastAsia="TimesNewRoman"/>
          <w:sz w:val="22"/>
          <w:szCs w:val="22"/>
        </w:rPr>
      </w:pPr>
    </w:p>
    <w:p w14:paraId="00014A7D"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Vaistiniai preparatai nuo cukrinio diabeto (geriamieji vaistai, insulinas)</w:t>
      </w:r>
    </w:p>
    <w:p w14:paraId="4C9346D8"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Gali reikėti priderinti antidiabetinių vaistinių preparatų dozę (žr. 4.4 skyrių).</w:t>
      </w:r>
    </w:p>
    <w:p w14:paraId="4911B778" w14:textId="77777777" w:rsidR="007F39B7" w:rsidRPr="00051FD3" w:rsidRDefault="007F39B7" w:rsidP="007F39B7">
      <w:pPr>
        <w:autoSpaceDE w:val="0"/>
        <w:autoSpaceDN w:val="0"/>
        <w:adjustRightInd w:val="0"/>
        <w:rPr>
          <w:rFonts w:eastAsia="TimesNewRoman"/>
          <w:sz w:val="22"/>
          <w:szCs w:val="22"/>
        </w:rPr>
      </w:pPr>
    </w:p>
    <w:p w14:paraId="47B8469E" w14:textId="77777777" w:rsidR="007F39B7" w:rsidRPr="00051FD3" w:rsidRDefault="00AF6513"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Metforminas</w:t>
      </w:r>
      <w:proofErr w:type="spellEnd"/>
    </w:p>
    <w:p w14:paraId="0379F4F1"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Metformino</w:t>
      </w:r>
      <w:proofErr w:type="spellEnd"/>
      <w:r w:rsidRPr="00051FD3">
        <w:rPr>
          <w:rFonts w:eastAsia="TimesNewRoman"/>
          <w:sz w:val="22"/>
          <w:szCs w:val="22"/>
        </w:rPr>
        <w:t xml:space="preserve"> kartu su </w:t>
      </w:r>
      <w:proofErr w:type="spellStart"/>
      <w:r w:rsidRPr="00051FD3">
        <w:rPr>
          <w:rFonts w:eastAsia="TimesNewRoman"/>
          <w:sz w:val="22"/>
          <w:szCs w:val="22"/>
        </w:rPr>
        <w:t>telmisartano</w:t>
      </w:r>
      <w:proofErr w:type="spellEnd"/>
      <w:r w:rsidRPr="00051FD3">
        <w:rPr>
          <w:rFonts w:eastAsia="TimesNewRoman"/>
          <w:sz w:val="22"/>
          <w:szCs w:val="22"/>
        </w:rPr>
        <w:t>/</w:t>
      </w:r>
      <w:proofErr w:type="spellStart"/>
      <w:r w:rsidRPr="00051FD3">
        <w:rPr>
          <w:rFonts w:eastAsia="TimesNewRoman"/>
          <w:sz w:val="22"/>
          <w:szCs w:val="22"/>
        </w:rPr>
        <w:t>hidrochlorotiazido</w:t>
      </w:r>
      <w:proofErr w:type="spellEnd"/>
      <w:r w:rsidRPr="00051FD3">
        <w:rPr>
          <w:rFonts w:eastAsia="TimesNewRoman"/>
          <w:sz w:val="22"/>
          <w:szCs w:val="22"/>
        </w:rPr>
        <w:t xml:space="preserve"> deriniu reikia vartoti atsargiai, kadangi pasireiškus </w:t>
      </w:r>
      <w:proofErr w:type="spellStart"/>
      <w:r w:rsidRPr="00051FD3">
        <w:rPr>
          <w:rFonts w:eastAsia="TimesNewRoman"/>
          <w:sz w:val="22"/>
          <w:szCs w:val="22"/>
        </w:rPr>
        <w:t>hidrochlorotiazido</w:t>
      </w:r>
      <w:proofErr w:type="spellEnd"/>
      <w:r w:rsidRPr="00051FD3">
        <w:rPr>
          <w:rFonts w:eastAsia="TimesNewRoman"/>
          <w:sz w:val="22"/>
          <w:szCs w:val="22"/>
        </w:rPr>
        <w:t xml:space="preserve"> sukeliamam funkciniam inkstų nepakankamumui gali padidėti </w:t>
      </w:r>
      <w:proofErr w:type="spellStart"/>
      <w:r w:rsidRPr="00051FD3">
        <w:rPr>
          <w:rFonts w:eastAsia="TimesNewRoman"/>
          <w:sz w:val="22"/>
          <w:szCs w:val="22"/>
        </w:rPr>
        <w:t>laktatacidozės</w:t>
      </w:r>
      <w:proofErr w:type="spellEnd"/>
      <w:r w:rsidRPr="00051FD3">
        <w:rPr>
          <w:rFonts w:eastAsia="TimesNewRoman"/>
          <w:sz w:val="22"/>
          <w:szCs w:val="22"/>
        </w:rPr>
        <w:t xml:space="preserve"> rizika.</w:t>
      </w:r>
    </w:p>
    <w:p w14:paraId="78B67759" w14:textId="77777777" w:rsidR="007F39B7" w:rsidRPr="00051FD3" w:rsidRDefault="007F39B7" w:rsidP="007F39B7">
      <w:pPr>
        <w:autoSpaceDE w:val="0"/>
        <w:autoSpaceDN w:val="0"/>
        <w:adjustRightInd w:val="0"/>
        <w:rPr>
          <w:rFonts w:eastAsia="TimesNewRoman"/>
          <w:sz w:val="22"/>
          <w:szCs w:val="22"/>
        </w:rPr>
      </w:pPr>
    </w:p>
    <w:p w14:paraId="0B0D7B36" w14:textId="77777777" w:rsidR="007F39B7" w:rsidRPr="00051FD3" w:rsidRDefault="007F39B7"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Kolestiraminas</w:t>
      </w:r>
      <w:proofErr w:type="spellEnd"/>
      <w:r w:rsidRPr="00051FD3">
        <w:rPr>
          <w:rFonts w:eastAsia="TimesNewRoman"/>
          <w:sz w:val="22"/>
          <w:szCs w:val="22"/>
          <w:u w:val="single"/>
        </w:rPr>
        <w:t xml:space="preserve">, </w:t>
      </w:r>
      <w:proofErr w:type="spellStart"/>
      <w:r w:rsidRPr="00051FD3">
        <w:rPr>
          <w:rFonts w:eastAsia="TimesNewRoman"/>
          <w:sz w:val="22"/>
          <w:szCs w:val="22"/>
          <w:u w:val="single"/>
        </w:rPr>
        <w:t>kolestipolio</w:t>
      </w:r>
      <w:proofErr w:type="spellEnd"/>
      <w:r w:rsidRPr="00051FD3">
        <w:rPr>
          <w:rFonts w:eastAsia="TimesNewRoman"/>
          <w:sz w:val="22"/>
          <w:szCs w:val="22"/>
          <w:u w:val="single"/>
        </w:rPr>
        <w:t xml:space="preserve"> dervos</w:t>
      </w:r>
    </w:p>
    <w:p w14:paraId="1F3C6D0F"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Anijonų kaitos dervos gali trikdyti </w:t>
      </w:r>
      <w:proofErr w:type="spellStart"/>
      <w:r w:rsidRPr="00051FD3">
        <w:rPr>
          <w:rFonts w:eastAsia="TimesNewRoman"/>
          <w:sz w:val="22"/>
          <w:szCs w:val="22"/>
        </w:rPr>
        <w:t>hidrochlorotiazido</w:t>
      </w:r>
      <w:proofErr w:type="spellEnd"/>
      <w:r w:rsidRPr="00051FD3">
        <w:rPr>
          <w:rFonts w:eastAsia="TimesNewRoman"/>
          <w:sz w:val="22"/>
          <w:szCs w:val="22"/>
        </w:rPr>
        <w:t xml:space="preserve"> absorbciją.</w:t>
      </w:r>
    </w:p>
    <w:p w14:paraId="6C3092E4" w14:textId="77777777" w:rsidR="007F39B7" w:rsidRPr="00051FD3" w:rsidRDefault="007F39B7" w:rsidP="007F39B7">
      <w:pPr>
        <w:autoSpaceDE w:val="0"/>
        <w:autoSpaceDN w:val="0"/>
        <w:adjustRightInd w:val="0"/>
        <w:rPr>
          <w:rFonts w:eastAsia="TimesNewRoman"/>
          <w:sz w:val="22"/>
          <w:szCs w:val="22"/>
        </w:rPr>
      </w:pPr>
    </w:p>
    <w:p w14:paraId="1E8028BF"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Nesteroidiniai vaistai nuo uždegimo</w:t>
      </w:r>
    </w:p>
    <w:p w14:paraId="35A7DADD" w14:textId="4CFA3A22"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Nesteroidiniai vaistai nuo uždegimo (NVNU) (t.</w:t>
      </w:r>
      <w:r w:rsidR="00EC052D">
        <w:rPr>
          <w:rFonts w:eastAsia="TimesNewRoman"/>
          <w:sz w:val="22"/>
          <w:szCs w:val="22"/>
        </w:rPr>
        <w:t> </w:t>
      </w:r>
      <w:r w:rsidRPr="00051FD3">
        <w:rPr>
          <w:rFonts w:eastAsia="TimesNewRoman"/>
          <w:sz w:val="22"/>
          <w:szCs w:val="22"/>
        </w:rPr>
        <w:t xml:space="preserve">y., uždegimą slopinanti </w:t>
      </w:r>
      <w:proofErr w:type="spellStart"/>
      <w:r w:rsidRPr="00051FD3">
        <w:rPr>
          <w:rFonts w:eastAsia="TimesNewRoman"/>
          <w:sz w:val="22"/>
          <w:szCs w:val="22"/>
        </w:rPr>
        <w:t>acetilsalicilo</w:t>
      </w:r>
      <w:proofErr w:type="spellEnd"/>
      <w:r w:rsidRPr="00051FD3">
        <w:rPr>
          <w:rFonts w:eastAsia="TimesNewRoman"/>
          <w:sz w:val="22"/>
          <w:szCs w:val="22"/>
        </w:rPr>
        <w:t xml:space="preserve"> rūgšties dozė, COX-2 inhibitoriai ir neselektyvaus poveikio NVNU) gali silpninti </w:t>
      </w:r>
      <w:proofErr w:type="spellStart"/>
      <w:r w:rsidRPr="00051FD3">
        <w:rPr>
          <w:rFonts w:eastAsia="TimesNewRoman"/>
          <w:sz w:val="22"/>
          <w:szCs w:val="22"/>
        </w:rPr>
        <w:t>diurezinį</w:t>
      </w:r>
      <w:proofErr w:type="spellEnd"/>
      <w:r w:rsidRPr="00051FD3">
        <w:rPr>
          <w:rFonts w:eastAsia="TimesNewRoman"/>
          <w:sz w:val="22"/>
          <w:szCs w:val="22"/>
        </w:rPr>
        <w:t xml:space="preserve">, </w:t>
      </w:r>
      <w:proofErr w:type="spellStart"/>
      <w:r w:rsidRPr="00051FD3">
        <w:rPr>
          <w:rFonts w:eastAsia="TimesNewRoman"/>
          <w:sz w:val="22"/>
          <w:szCs w:val="22"/>
        </w:rPr>
        <w:t>natriurezinį</w:t>
      </w:r>
      <w:proofErr w:type="spellEnd"/>
      <w:r w:rsidRPr="00051FD3">
        <w:rPr>
          <w:rFonts w:eastAsia="TimesNewRoman"/>
          <w:sz w:val="22"/>
          <w:szCs w:val="22"/>
        </w:rPr>
        <w:t xml:space="preserve"> ir </w:t>
      </w:r>
      <w:proofErr w:type="spellStart"/>
      <w:r w:rsidRPr="00051FD3">
        <w:rPr>
          <w:rFonts w:eastAsia="TimesNewRoman"/>
          <w:sz w:val="22"/>
          <w:szCs w:val="22"/>
        </w:rPr>
        <w:t>antihipertenzinį</w:t>
      </w:r>
      <w:proofErr w:type="spellEnd"/>
      <w:r w:rsidRPr="00051FD3">
        <w:rPr>
          <w:rFonts w:eastAsia="TimesNewRoman"/>
          <w:sz w:val="22"/>
          <w:szCs w:val="22"/>
        </w:rPr>
        <w:t xml:space="preserve"> </w:t>
      </w:r>
      <w:proofErr w:type="spellStart"/>
      <w:r w:rsidRPr="00051FD3">
        <w:rPr>
          <w:rFonts w:eastAsia="TimesNewRoman"/>
          <w:sz w:val="22"/>
          <w:szCs w:val="22"/>
        </w:rPr>
        <w:t>tiazidinių</w:t>
      </w:r>
      <w:proofErr w:type="spellEnd"/>
      <w:r w:rsidRPr="00051FD3">
        <w:rPr>
          <w:rFonts w:eastAsia="TimesNewRoman"/>
          <w:sz w:val="22"/>
          <w:szCs w:val="22"/>
        </w:rPr>
        <w:t xml:space="preserve"> diuretikų bei </w:t>
      </w:r>
      <w:proofErr w:type="spellStart"/>
      <w:r w:rsidRPr="00051FD3">
        <w:rPr>
          <w:rFonts w:eastAsia="TimesNewRoman"/>
          <w:sz w:val="22"/>
          <w:szCs w:val="22"/>
        </w:rPr>
        <w:t>antihipertenzinį</w:t>
      </w:r>
      <w:proofErr w:type="spellEnd"/>
      <w:r w:rsidRPr="00051FD3">
        <w:rPr>
          <w:rFonts w:eastAsia="TimesNewRoman"/>
          <w:sz w:val="22"/>
          <w:szCs w:val="22"/>
        </w:rPr>
        <w:t xml:space="preserve"> </w:t>
      </w:r>
      <w:proofErr w:type="spellStart"/>
      <w:r w:rsidRPr="00051FD3">
        <w:rPr>
          <w:rFonts w:eastAsia="TimesNewRoman"/>
          <w:sz w:val="22"/>
          <w:szCs w:val="22"/>
        </w:rPr>
        <w:t>angiotenzino</w:t>
      </w:r>
      <w:proofErr w:type="spellEnd"/>
      <w:r w:rsidRPr="00051FD3">
        <w:rPr>
          <w:rFonts w:eastAsia="TimesNewRoman"/>
          <w:sz w:val="22"/>
          <w:szCs w:val="22"/>
        </w:rPr>
        <w:t xml:space="preserve"> II  receptorių blokatorių poveikį. </w:t>
      </w:r>
    </w:p>
    <w:p w14:paraId="038421F6"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Kai kuriems pacientams, kurių inkstų funkcijai gresia pavojus (pvz., skysčių netekusiems </w:t>
      </w:r>
      <w:r w:rsidR="00236324" w:rsidRPr="00051FD3">
        <w:rPr>
          <w:rFonts w:eastAsia="TimesNewRoman"/>
          <w:sz w:val="22"/>
          <w:szCs w:val="22"/>
        </w:rPr>
        <w:t>pacient</w:t>
      </w:r>
      <w:r w:rsidRPr="00051FD3">
        <w:rPr>
          <w:rFonts w:eastAsia="TimesNewRoman"/>
          <w:sz w:val="22"/>
          <w:szCs w:val="22"/>
        </w:rPr>
        <w:t xml:space="preserve">ams, </w:t>
      </w:r>
      <w:r w:rsidR="00BE2DA3" w:rsidRPr="00051FD3">
        <w:rPr>
          <w:rFonts w:eastAsia="TimesNewRoman"/>
          <w:sz w:val="22"/>
          <w:szCs w:val="22"/>
        </w:rPr>
        <w:t>senyviems</w:t>
      </w:r>
      <w:r w:rsidRPr="00051FD3">
        <w:rPr>
          <w:rFonts w:eastAsia="TimesNewRoman"/>
          <w:sz w:val="22"/>
          <w:szCs w:val="22"/>
        </w:rPr>
        <w:t xml:space="preserve"> pacientams, kurių inkstų funkcija sutrikusi), </w:t>
      </w:r>
      <w:proofErr w:type="spellStart"/>
      <w:r w:rsidRPr="00051FD3">
        <w:rPr>
          <w:rFonts w:eastAsia="TimesNewRoman"/>
          <w:sz w:val="22"/>
          <w:szCs w:val="22"/>
        </w:rPr>
        <w:t>angiotenzino</w:t>
      </w:r>
      <w:proofErr w:type="spellEnd"/>
      <w:r w:rsidRPr="00051FD3">
        <w:rPr>
          <w:rFonts w:eastAsia="TimesNewRoman"/>
          <w:sz w:val="22"/>
          <w:szCs w:val="22"/>
        </w:rPr>
        <w:t xml:space="preserve"> II  receptorių blokatorių vartojimas kartu su </w:t>
      </w:r>
      <w:proofErr w:type="spellStart"/>
      <w:r w:rsidRPr="00051FD3">
        <w:rPr>
          <w:rFonts w:eastAsia="TimesNewRoman"/>
          <w:sz w:val="22"/>
          <w:szCs w:val="22"/>
        </w:rPr>
        <w:t>ciklooksigenazės</w:t>
      </w:r>
      <w:proofErr w:type="spellEnd"/>
      <w:r w:rsidRPr="00051FD3">
        <w:rPr>
          <w:rFonts w:eastAsia="TimesNewRoman"/>
          <w:sz w:val="22"/>
          <w:szCs w:val="22"/>
        </w:rPr>
        <w:t xml:space="preserve"> inhibitoriais gali sukelti tolesnį inkstų funkcijos blogėjimą, įskaitant ūminio inkstų nepakankamumo, kuris paprastai būna laikinas, pasireiškimą. Vadinasi, kartu šiais vaistiniais preparatais reikia gydyti atsargiai, ypač </w:t>
      </w:r>
      <w:r w:rsidR="00BE2DA3" w:rsidRPr="00051FD3">
        <w:rPr>
          <w:rFonts w:eastAsia="TimesNewRoman"/>
          <w:sz w:val="22"/>
          <w:szCs w:val="22"/>
        </w:rPr>
        <w:t>senyvus</w:t>
      </w:r>
      <w:r w:rsidRPr="00051FD3">
        <w:rPr>
          <w:rFonts w:eastAsia="TimesNewRoman"/>
          <w:sz w:val="22"/>
          <w:szCs w:val="22"/>
        </w:rPr>
        <w:t xml:space="preserve"> pacientus. Tokiems pacientams būtinas tinkamas skysčių vartojimas, kompleksinio gydymo pradžioje ir periodiškai tolesnio gydymo metu reikia sekti jų inkstų funkciją.</w:t>
      </w:r>
    </w:p>
    <w:p w14:paraId="7F178D64" w14:textId="77777777" w:rsidR="007F39B7" w:rsidRPr="00051FD3" w:rsidRDefault="007F39B7" w:rsidP="007F39B7">
      <w:pPr>
        <w:autoSpaceDE w:val="0"/>
        <w:autoSpaceDN w:val="0"/>
        <w:adjustRightInd w:val="0"/>
        <w:rPr>
          <w:rFonts w:eastAsia="TimesNewRoman"/>
          <w:sz w:val="22"/>
          <w:szCs w:val="22"/>
        </w:rPr>
      </w:pPr>
    </w:p>
    <w:p w14:paraId="459829EB"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Vieno tyrimo metu </w:t>
      </w:r>
      <w:proofErr w:type="spellStart"/>
      <w:r w:rsidRPr="00051FD3">
        <w:rPr>
          <w:rFonts w:eastAsia="TimesNewRoman"/>
          <w:sz w:val="22"/>
          <w:szCs w:val="22"/>
        </w:rPr>
        <w:t>telmisartano</w:t>
      </w:r>
      <w:proofErr w:type="spellEnd"/>
      <w:r w:rsidRPr="00051FD3">
        <w:rPr>
          <w:rFonts w:eastAsia="TimesNewRoman"/>
          <w:sz w:val="22"/>
          <w:szCs w:val="22"/>
        </w:rPr>
        <w:t xml:space="preserve"> vartojimas kartu su </w:t>
      </w:r>
      <w:proofErr w:type="spellStart"/>
      <w:r w:rsidRPr="00051FD3">
        <w:rPr>
          <w:rFonts w:eastAsia="TimesNewRoman"/>
          <w:sz w:val="22"/>
          <w:szCs w:val="22"/>
        </w:rPr>
        <w:t>ramipriliu</w:t>
      </w:r>
      <w:proofErr w:type="spellEnd"/>
      <w:r w:rsidRPr="00051FD3">
        <w:rPr>
          <w:rFonts w:eastAsia="TimesNewRoman"/>
          <w:sz w:val="22"/>
          <w:szCs w:val="22"/>
        </w:rPr>
        <w:t xml:space="preserve"> lėmė </w:t>
      </w:r>
      <w:proofErr w:type="spellStart"/>
      <w:r w:rsidRPr="00051FD3">
        <w:rPr>
          <w:rFonts w:eastAsia="TimesNewRoman"/>
          <w:sz w:val="22"/>
          <w:szCs w:val="22"/>
        </w:rPr>
        <w:t>ramiprilio</w:t>
      </w:r>
      <w:proofErr w:type="spellEnd"/>
      <w:r w:rsidRPr="00051FD3">
        <w:rPr>
          <w:rFonts w:eastAsia="TimesNewRoman"/>
          <w:sz w:val="22"/>
          <w:szCs w:val="22"/>
        </w:rPr>
        <w:t xml:space="preserve"> ir </w:t>
      </w:r>
      <w:proofErr w:type="spellStart"/>
      <w:r w:rsidRPr="00051FD3">
        <w:rPr>
          <w:rFonts w:eastAsia="TimesNewRoman"/>
          <w:sz w:val="22"/>
          <w:szCs w:val="22"/>
        </w:rPr>
        <w:t>ramiprilato</w:t>
      </w:r>
      <w:proofErr w:type="spellEnd"/>
      <w:r w:rsidRPr="00051FD3">
        <w:rPr>
          <w:rFonts w:eastAsia="TimesNewRoman"/>
          <w:sz w:val="22"/>
          <w:szCs w:val="22"/>
        </w:rPr>
        <w:t xml:space="preserve"> AUC</w:t>
      </w:r>
      <w:r w:rsidRPr="00051FD3">
        <w:rPr>
          <w:rFonts w:eastAsia="TimesNewRoman"/>
          <w:sz w:val="22"/>
          <w:szCs w:val="22"/>
          <w:vertAlign w:val="subscript"/>
        </w:rPr>
        <w:t xml:space="preserve">0-24 </w:t>
      </w:r>
      <w:r w:rsidRPr="00051FD3">
        <w:rPr>
          <w:rFonts w:eastAsia="TimesNewRoman"/>
          <w:sz w:val="22"/>
          <w:szCs w:val="22"/>
        </w:rPr>
        <w:t xml:space="preserve">ir </w:t>
      </w:r>
      <w:proofErr w:type="spellStart"/>
      <w:r w:rsidRPr="00051FD3">
        <w:rPr>
          <w:rFonts w:eastAsia="TimesNewRoman"/>
          <w:sz w:val="22"/>
          <w:szCs w:val="22"/>
        </w:rPr>
        <w:t>C</w:t>
      </w:r>
      <w:r w:rsidRPr="00012DBE">
        <w:rPr>
          <w:rFonts w:eastAsia="TimesNewRoman"/>
          <w:sz w:val="22"/>
          <w:szCs w:val="22"/>
          <w:vertAlign w:val="subscript"/>
        </w:rPr>
        <w:t>max</w:t>
      </w:r>
      <w:proofErr w:type="spellEnd"/>
      <w:r w:rsidRPr="00051FD3">
        <w:rPr>
          <w:rFonts w:eastAsia="TimesNewRoman"/>
          <w:sz w:val="22"/>
          <w:szCs w:val="22"/>
        </w:rPr>
        <w:t xml:space="preserve"> padidėjimą 2,5 karto. Klinikinė šio pokyčio reikšmė nežinoma.</w:t>
      </w:r>
    </w:p>
    <w:p w14:paraId="798CE81F" w14:textId="77777777" w:rsidR="007F39B7" w:rsidRPr="00051FD3" w:rsidRDefault="007F39B7" w:rsidP="007F39B7">
      <w:pPr>
        <w:autoSpaceDE w:val="0"/>
        <w:autoSpaceDN w:val="0"/>
        <w:adjustRightInd w:val="0"/>
        <w:rPr>
          <w:rFonts w:eastAsia="TimesNewRoman"/>
          <w:sz w:val="22"/>
          <w:szCs w:val="22"/>
        </w:rPr>
      </w:pPr>
    </w:p>
    <w:p w14:paraId="2DB1DF9B"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 xml:space="preserve">Kraujagysles sutraukiantys aminai (pvz., </w:t>
      </w:r>
      <w:proofErr w:type="spellStart"/>
      <w:r w:rsidRPr="00051FD3">
        <w:rPr>
          <w:rFonts w:eastAsia="TimesNewRoman"/>
          <w:sz w:val="22"/>
          <w:szCs w:val="22"/>
          <w:u w:val="single"/>
        </w:rPr>
        <w:t>norepinefrinas</w:t>
      </w:r>
      <w:proofErr w:type="spellEnd"/>
      <w:r w:rsidRPr="00051FD3">
        <w:rPr>
          <w:rFonts w:eastAsia="TimesNewRoman"/>
          <w:sz w:val="22"/>
          <w:szCs w:val="22"/>
          <w:u w:val="single"/>
        </w:rPr>
        <w:t>)</w:t>
      </w:r>
    </w:p>
    <w:p w14:paraId="1BDBF7FB"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Gali silpnėti kraujagysles sutraukiančių aminų sukeliamas poveikis.</w:t>
      </w:r>
    </w:p>
    <w:p w14:paraId="60C51446" w14:textId="77777777" w:rsidR="007F39B7" w:rsidRPr="00051FD3" w:rsidRDefault="007F39B7" w:rsidP="007F39B7">
      <w:pPr>
        <w:autoSpaceDE w:val="0"/>
        <w:autoSpaceDN w:val="0"/>
        <w:adjustRightInd w:val="0"/>
        <w:rPr>
          <w:rFonts w:eastAsia="TimesNewRoman"/>
          <w:sz w:val="22"/>
          <w:szCs w:val="22"/>
        </w:rPr>
      </w:pPr>
    </w:p>
    <w:p w14:paraId="03A7B533" w14:textId="77777777" w:rsidR="007F39B7" w:rsidRPr="00051FD3" w:rsidRDefault="007F39B7"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Nedepoliarizuojantys</w:t>
      </w:r>
      <w:proofErr w:type="spellEnd"/>
      <w:r w:rsidRPr="00051FD3">
        <w:rPr>
          <w:rFonts w:eastAsia="TimesNewRoman"/>
          <w:sz w:val="22"/>
          <w:szCs w:val="22"/>
          <w:u w:val="single"/>
        </w:rPr>
        <w:t xml:space="preserve"> griaučių raumenis atpalaiduojantys vaistiniai preparatai (pvz., </w:t>
      </w:r>
      <w:proofErr w:type="spellStart"/>
      <w:r w:rsidRPr="00051FD3">
        <w:rPr>
          <w:rFonts w:eastAsia="TimesNewRoman"/>
          <w:sz w:val="22"/>
          <w:szCs w:val="22"/>
          <w:u w:val="single"/>
        </w:rPr>
        <w:t>tubokurarinas</w:t>
      </w:r>
      <w:proofErr w:type="spellEnd"/>
      <w:r w:rsidRPr="00051FD3">
        <w:rPr>
          <w:rFonts w:eastAsia="TimesNewRoman"/>
          <w:sz w:val="22"/>
          <w:szCs w:val="22"/>
          <w:u w:val="single"/>
        </w:rPr>
        <w:t>)</w:t>
      </w:r>
    </w:p>
    <w:p w14:paraId="53DF0AFE"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Hidrochlorotiazidas</w:t>
      </w:r>
      <w:proofErr w:type="spellEnd"/>
      <w:r w:rsidRPr="00051FD3">
        <w:rPr>
          <w:rFonts w:eastAsia="TimesNewRoman"/>
          <w:sz w:val="22"/>
          <w:szCs w:val="22"/>
        </w:rPr>
        <w:t xml:space="preserve"> gali stiprinti </w:t>
      </w:r>
      <w:proofErr w:type="spellStart"/>
      <w:r w:rsidRPr="00051FD3">
        <w:rPr>
          <w:rFonts w:eastAsia="TimesNewRoman"/>
          <w:sz w:val="22"/>
          <w:szCs w:val="22"/>
        </w:rPr>
        <w:t>nedepoliarizuojančių</w:t>
      </w:r>
      <w:proofErr w:type="spellEnd"/>
      <w:r w:rsidRPr="00051FD3">
        <w:rPr>
          <w:rFonts w:eastAsia="TimesNewRoman"/>
          <w:sz w:val="22"/>
          <w:szCs w:val="22"/>
        </w:rPr>
        <w:t xml:space="preserve"> griaučių raumenis atpalaiduojančių vaistinių preparatų sukeliamą raumenų atsipalaidavimą.</w:t>
      </w:r>
    </w:p>
    <w:p w14:paraId="2EB58538" w14:textId="77777777" w:rsidR="007F39B7" w:rsidRPr="00051FD3" w:rsidRDefault="007F39B7" w:rsidP="007F39B7">
      <w:pPr>
        <w:autoSpaceDE w:val="0"/>
        <w:autoSpaceDN w:val="0"/>
        <w:adjustRightInd w:val="0"/>
        <w:rPr>
          <w:rFonts w:eastAsia="TimesNewRoman"/>
          <w:sz w:val="22"/>
          <w:szCs w:val="22"/>
        </w:rPr>
      </w:pPr>
    </w:p>
    <w:p w14:paraId="04C4921C"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 xml:space="preserve">Vaistiniai preparatai nuo podagros (pvz., </w:t>
      </w:r>
      <w:proofErr w:type="spellStart"/>
      <w:r w:rsidRPr="00051FD3">
        <w:rPr>
          <w:rFonts w:eastAsia="TimesNewRoman"/>
          <w:sz w:val="22"/>
          <w:szCs w:val="22"/>
          <w:u w:val="single"/>
        </w:rPr>
        <w:t>probenecidas</w:t>
      </w:r>
      <w:proofErr w:type="spellEnd"/>
      <w:r w:rsidRPr="00051FD3">
        <w:rPr>
          <w:rFonts w:eastAsia="TimesNewRoman"/>
          <w:sz w:val="22"/>
          <w:szCs w:val="22"/>
          <w:u w:val="single"/>
        </w:rPr>
        <w:t xml:space="preserve">, </w:t>
      </w:r>
      <w:proofErr w:type="spellStart"/>
      <w:r w:rsidRPr="00051FD3">
        <w:rPr>
          <w:rFonts w:eastAsia="TimesNewRoman"/>
          <w:sz w:val="22"/>
          <w:szCs w:val="22"/>
          <w:u w:val="single"/>
        </w:rPr>
        <w:t>sulfinpirazonas</w:t>
      </w:r>
      <w:proofErr w:type="spellEnd"/>
      <w:r w:rsidRPr="00051FD3">
        <w:rPr>
          <w:rFonts w:eastAsia="TimesNewRoman"/>
          <w:sz w:val="22"/>
          <w:szCs w:val="22"/>
          <w:u w:val="single"/>
        </w:rPr>
        <w:t xml:space="preserve">, </w:t>
      </w:r>
      <w:proofErr w:type="spellStart"/>
      <w:r w:rsidRPr="00051FD3">
        <w:rPr>
          <w:rFonts w:eastAsia="TimesNewRoman"/>
          <w:sz w:val="22"/>
          <w:szCs w:val="22"/>
          <w:u w:val="single"/>
        </w:rPr>
        <w:t>alopurinolis</w:t>
      </w:r>
      <w:proofErr w:type="spellEnd"/>
      <w:r w:rsidRPr="00051FD3">
        <w:rPr>
          <w:rFonts w:eastAsia="TimesNewRoman"/>
          <w:sz w:val="22"/>
          <w:szCs w:val="22"/>
          <w:u w:val="single"/>
        </w:rPr>
        <w:t>)</w:t>
      </w:r>
    </w:p>
    <w:p w14:paraId="0425EAB5"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Hidrochlorotiazidas</w:t>
      </w:r>
      <w:proofErr w:type="spellEnd"/>
      <w:r w:rsidRPr="00051FD3">
        <w:rPr>
          <w:rFonts w:eastAsia="TimesNewRoman"/>
          <w:sz w:val="22"/>
          <w:szCs w:val="22"/>
        </w:rPr>
        <w:t xml:space="preserve"> gali didinti šlapimo rūgšties kiekį kraujo serume, todėl gali reikėti priderinti kartu vartojamų šios rūgšties šalinimą iš organizmo skatinančių vaistinių preparatų dozę. Gali prireikti didinti </w:t>
      </w:r>
      <w:proofErr w:type="spellStart"/>
      <w:r w:rsidRPr="00051FD3">
        <w:rPr>
          <w:rFonts w:eastAsia="TimesNewRoman"/>
          <w:sz w:val="22"/>
          <w:szCs w:val="22"/>
        </w:rPr>
        <w:t>probenecido</w:t>
      </w:r>
      <w:proofErr w:type="spellEnd"/>
      <w:r w:rsidRPr="00051FD3">
        <w:rPr>
          <w:rFonts w:eastAsia="TimesNewRoman"/>
          <w:sz w:val="22"/>
          <w:szCs w:val="22"/>
        </w:rPr>
        <w:t xml:space="preserve"> ir </w:t>
      </w:r>
      <w:proofErr w:type="spellStart"/>
      <w:r w:rsidRPr="00051FD3">
        <w:rPr>
          <w:rFonts w:eastAsia="TimesNewRoman"/>
          <w:sz w:val="22"/>
          <w:szCs w:val="22"/>
        </w:rPr>
        <w:t>sulfinpirazono</w:t>
      </w:r>
      <w:proofErr w:type="spellEnd"/>
      <w:r w:rsidRPr="00051FD3">
        <w:rPr>
          <w:rFonts w:eastAsia="TimesNewRoman"/>
          <w:sz w:val="22"/>
          <w:szCs w:val="22"/>
        </w:rPr>
        <w:t xml:space="preserve"> dozę. Kartu vartojami </w:t>
      </w:r>
      <w:proofErr w:type="spellStart"/>
      <w:r w:rsidRPr="00051FD3">
        <w:rPr>
          <w:rFonts w:eastAsia="TimesNewRoman"/>
          <w:sz w:val="22"/>
          <w:szCs w:val="22"/>
        </w:rPr>
        <w:t>tiazidiniai</w:t>
      </w:r>
      <w:proofErr w:type="spellEnd"/>
      <w:r w:rsidRPr="00051FD3">
        <w:rPr>
          <w:rFonts w:eastAsia="TimesNewRoman"/>
          <w:sz w:val="22"/>
          <w:szCs w:val="22"/>
        </w:rPr>
        <w:t xml:space="preserve"> diuretikai gali didinti padidėjusio jautrumo reakcijų </w:t>
      </w:r>
      <w:proofErr w:type="spellStart"/>
      <w:r w:rsidRPr="00051FD3">
        <w:rPr>
          <w:rFonts w:eastAsia="TimesNewRoman"/>
          <w:sz w:val="22"/>
          <w:szCs w:val="22"/>
        </w:rPr>
        <w:t>alopurinoliui</w:t>
      </w:r>
      <w:proofErr w:type="spellEnd"/>
      <w:r w:rsidRPr="00051FD3">
        <w:rPr>
          <w:rFonts w:eastAsia="TimesNewRoman"/>
          <w:sz w:val="22"/>
          <w:szCs w:val="22"/>
        </w:rPr>
        <w:t xml:space="preserve"> dažnį.</w:t>
      </w:r>
    </w:p>
    <w:p w14:paraId="3DA9CD83" w14:textId="77777777" w:rsidR="007F39B7" w:rsidRPr="00051FD3" w:rsidRDefault="007F39B7" w:rsidP="007F39B7">
      <w:pPr>
        <w:autoSpaceDE w:val="0"/>
        <w:autoSpaceDN w:val="0"/>
        <w:adjustRightInd w:val="0"/>
        <w:rPr>
          <w:rFonts w:eastAsia="TimesNewRoman"/>
          <w:sz w:val="22"/>
          <w:szCs w:val="22"/>
        </w:rPr>
      </w:pPr>
    </w:p>
    <w:p w14:paraId="363DF76D"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Kalcio druskos</w:t>
      </w:r>
    </w:p>
    <w:p w14:paraId="0249EC77"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Tiazidiniai</w:t>
      </w:r>
      <w:proofErr w:type="spellEnd"/>
      <w:r w:rsidRPr="00051FD3">
        <w:rPr>
          <w:rFonts w:eastAsia="TimesNewRoman"/>
          <w:sz w:val="22"/>
          <w:szCs w:val="22"/>
        </w:rPr>
        <w:t xml:space="preserve"> diuretikai, mažindami kalcio išsiskyrimą su šlapimu, gali didinti jo kiekį kraujo serume. Jeigu kalcio preparatų </w:t>
      </w:r>
      <w:r w:rsidR="006A171A" w:rsidRPr="00051FD3">
        <w:rPr>
          <w:sz w:val="22"/>
          <w:szCs w:val="22"/>
          <w:lang w:bidi="lt-LT"/>
        </w:rPr>
        <w:t xml:space="preserve">arba kalcį organizme sulaikančių vaistinių preparatų (pvz., vitamino D terapiją) </w:t>
      </w:r>
      <w:r w:rsidRPr="00051FD3">
        <w:rPr>
          <w:rFonts w:eastAsia="TimesNewRoman"/>
          <w:sz w:val="22"/>
          <w:szCs w:val="22"/>
        </w:rPr>
        <w:t xml:space="preserve">vartoti būtina, reikia kontroliuoti kalcio koncentraciją kraujyje ir atitinkamai priderinti kalcio preparatų dozavimą. </w:t>
      </w:r>
    </w:p>
    <w:p w14:paraId="690138DE" w14:textId="77777777" w:rsidR="007F39B7" w:rsidRPr="00051FD3" w:rsidRDefault="007F39B7" w:rsidP="007F39B7">
      <w:pPr>
        <w:autoSpaceDE w:val="0"/>
        <w:autoSpaceDN w:val="0"/>
        <w:adjustRightInd w:val="0"/>
        <w:rPr>
          <w:rFonts w:eastAsia="TimesNewRoman"/>
          <w:sz w:val="22"/>
          <w:szCs w:val="22"/>
        </w:rPr>
      </w:pPr>
    </w:p>
    <w:p w14:paraId="6EEF79DC"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 xml:space="preserve">Beta </w:t>
      </w:r>
      <w:proofErr w:type="spellStart"/>
      <w:r w:rsidRPr="00051FD3">
        <w:rPr>
          <w:rFonts w:eastAsia="TimesNewRoman"/>
          <w:sz w:val="22"/>
          <w:szCs w:val="22"/>
          <w:u w:val="single"/>
        </w:rPr>
        <w:t>adrenoblokatoriai</w:t>
      </w:r>
      <w:proofErr w:type="spellEnd"/>
      <w:r w:rsidRPr="00051FD3">
        <w:rPr>
          <w:rFonts w:eastAsia="TimesNewRoman"/>
          <w:sz w:val="22"/>
          <w:szCs w:val="22"/>
          <w:u w:val="single"/>
        </w:rPr>
        <w:t xml:space="preserve">, </w:t>
      </w:r>
      <w:proofErr w:type="spellStart"/>
      <w:r w:rsidRPr="00051FD3">
        <w:rPr>
          <w:rFonts w:eastAsia="TimesNewRoman"/>
          <w:sz w:val="22"/>
          <w:szCs w:val="22"/>
          <w:u w:val="single"/>
        </w:rPr>
        <w:t>diazoksidas</w:t>
      </w:r>
      <w:proofErr w:type="spellEnd"/>
    </w:p>
    <w:p w14:paraId="7422DC43"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Tiazidiniai</w:t>
      </w:r>
      <w:proofErr w:type="spellEnd"/>
      <w:r w:rsidRPr="00051FD3">
        <w:rPr>
          <w:rFonts w:eastAsia="TimesNewRoman"/>
          <w:sz w:val="22"/>
          <w:szCs w:val="22"/>
        </w:rPr>
        <w:t xml:space="preserve"> diuretikai gali stiprinti beta </w:t>
      </w:r>
      <w:proofErr w:type="spellStart"/>
      <w:r w:rsidRPr="00051FD3">
        <w:rPr>
          <w:rFonts w:eastAsia="TimesNewRoman"/>
          <w:sz w:val="22"/>
          <w:szCs w:val="22"/>
        </w:rPr>
        <w:t>adrenoblokatorių</w:t>
      </w:r>
      <w:proofErr w:type="spellEnd"/>
      <w:r w:rsidRPr="00051FD3">
        <w:rPr>
          <w:rFonts w:eastAsia="TimesNewRoman"/>
          <w:sz w:val="22"/>
          <w:szCs w:val="22"/>
        </w:rPr>
        <w:t xml:space="preserve"> ir </w:t>
      </w:r>
      <w:proofErr w:type="spellStart"/>
      <w:r w:rsidRPr="00051FD3">
        <w:rPr>
          <w:rFonts w:eastAsia="TimesNewRoman"/>
          <w:sz w:val="22"/>
          <w:szCs w:val="22"/>
        </w:rPr>
        <w:t>diazoksido</w:t>
      </w:r>
      <w:proofErr w:type="spellEnd"/>
      <w:r w:rsidRPr="00051FD3">
        <w:rPr>
          <w:rFonts w:eastAsia="TimesNewRoman"/>
          <w:sz w:val="22"/>
          <w:szCs w:val="22"/>
        </w:rPr>
        <w:t xml:space="preserve"> sukeliamą </w:t>
      </w:r>
      <w:proofErr w:type="spellStart"/>
      <w:r w:rsidRPr="00051FD3">
        <w:rPr>
          <w:rFonts w:eastAsia="TimesNewRoman"/>
          <w:sz w:val="22"/>
          <w:szCs w:val="22"/>
        </w:rPr>
        <w:t>hiperglikeminį</w:t>
      </w:r>
      <w:proofErr w:type="spellEnd"/>
      <w:r w:rsidRPr="00051FD3">
        <w:rPr>
          <w:rFonts w:eastAsia="TimesNewRoman"/>
          <w:sz w:val="22"/>
          <w:szCs w:val="22"/>
        </w:rPr>
        <w:t xml:space="preserve"> poveikį.</w:t>
      </w:r>
    </w:p>
    <w:p w14:paraId="7868F38B" w14:textId="77777777" w:rsidR="007F39B7" w:rsidRPr="00051FD3" w:rsidRDefault="007F39B7" w:rsidP="007F39B7">
      <w:pPr>
        <w:autoSpaceDE w:val="0"/>
        <w:autoSpaceDN w:val="0"/>
        <w:adjustRightInd w:val="0"/>
        <w:rPr>
          <w:rFonts w:eastAsia="TimesNewRoman"/>
          <w:sz w:val="22"/>
          <w:szCs w:val="22"/>
        </w:rPr>
      </w:pPr>
    </w:p>
    <w:p w14:paraId="6D54096A" w14:textId="77777777" w:rsidR="007F39B7" w:rsidRPr="00051FD3" w:rsidRDefault="007F39B7"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Anticholinerginiai</w:t>
      </w:r>
      <w:proofErr w:type="spellEnd"/>
      <w:r w:rsidRPr="00051FD3">
        <w:rPr>
          <w:rFonts w:eastAsia="TimesNewRoman"/>
          <w:sz w:val="22"/>
          <w:szCs w:val="22"/>
          <w:u w:val="single"/>
        </w:rPr>
        <w:t xml:space="preserve"> preparatai (pvz., atropinas, </w:t>
      </w:r>
      <w:proofErr w:type="spellStart"/>
      <w:r w:rsidRPr="00051FD3">
        <w:rPr>
          <w:rFonts w:eastAsia="TimesNewRoman"/>
          <w:sz w:val="22"/>
          <w:szCs w:val="22"/>
          <w:u w:val="single"/>
        </w:rPr>
        <w:t>biperidenas</w:t>
      </w:r>
      <w:proofErr w:type="spellEnd"/>
      <w:r w:rsidRPr="00051FD3">
        <w:rPr>
          <w:rFonts w:eastAsia="TimesNewRoman"/>
          <w:sz w:val="22"/>
          <w:szCs w:val="22"/>
          <w:u w:val="single"/>
        </w:rPr>
        <w:t>)</w:t>
      </w:r>
    </w:p>
    <w:p w14:paraId="4BFA1354"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Slopindami skrandžio ir žarnų motoriką ir lėtindami skrandžio ištuštinimą, šie preparatai gali didinti biologinį </w:t>
      </w:r>
      <w:proofErr w:type="spellStart"/>
      <w:r w:rsidRPr="00051FD3">
        <w:rPr>
          <w:rFonts w:eastAsia="TimesNewRoman"/>
          <w:sz w:val="22"/>
          <w:szCs w:val="22"/>
        </w:rPr>
        <w:t>tiazidinių</w:t>
      </w:r>
      <w:proofErr w:type="spellEnd"/>
      <w:r w:rsidRPr="00051FD3">
        <w:rPr>
          <w:rFonts w:eastAsia="TimesNewRoman"/>
          <w:sz w:val="22"/>
          <w:szCs w:val="22"/>
        </w:rPr>
        <w:t xml:space="preserve"> diuretikų biologinį prieinamumą.</w:t>
      </w:r>
    </w:p>
    <w:p w14:paraId="53C4660A" w14:textId="77777777" w:rsidR="007F39B7" w:rsidRPr="00051FD3" w:rsidRDefault="007F39B7" w:rsidP="007F39B7">
      <w:pPr>
        <w:autoSpaceDE w:val="0"/>
        <w:autoSpaceDN w:val="0"/>
        <w:adjustRightInd w:val="0"/>
        <w:rPr>
          <w:rFonts w:eastAsia="TimesNewRoman"/>
          <w:sz w:val="22"/>
          <w:szCs w:val="22"/>
        </w:rPr>
      </w:pPr>
    </w:p>
    <w:p w14:paraId="308B7662" w14:textId="77777777" w:rsidR="007F39B7" w:rsidRPr="00051FD3" w:rsidRDefault="007F39B7"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Amantadinas</w:t>
      </w:r>
      <w:proofErr w:type="spellEnd"/>
    </w:p>
    <w:p w14:paraId="714964E4"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Tiazidiniai</w:t>
      </w:r>
      <w:proofErr w:type="spellEnd"/>
      <w:r w:rsidRPr="00051FD3">
        <w:rPr>
          <w:rFonts w:eastAsia="TimesNewRoman"/>
          <w:sz w:val="22"/>
          <w:szCs w:val="22"/>
        </w:rPr>
        <w:t xml:space="preserve"> diuretikai gali didinti </w:t>
      </w:r>
      <w:proofErr w:type="spellStart"/>
      <w:r w:rsidRPr="00051FD3">
        <w:rPr>
          <w:rFonts w:eastAsia="TimesNewRoman"/>
          <w:sz w:val="22"/>
          <w:szCs w:val="22"/>
        </w:rPr>
        <w:t>amantadino</w:t>
      </w:r>
      <w:proofErr w:type="spellEnd"/>
      <w:r w:rsidRPr="00051FD3">
        <w:rPr>
          <w:rFonts w:eastAsia="TimesNewRoman"/>
          <w:sz w:val="22"/>
          <w:szCs w:val="22"/>
        </w:rPr>
        <w:t xml:space="preserve"> sukeliamo nepageidaujamo poveikio riziką.</w:t>
      </w:r>
    </w:p>
    <w:p w14:paraId="27B0701F" w14:textId="77777777" w:rsidR="007F39B7" w:rsidRPr="00051FD3" w:rsidRDefault="007F39B7" w:rsidP="007F39B7">
      <w:pPr>
        <w:autoSpaceDE w:val="0"/>
        <w:autoSpaceDN w:val="0"/>
        <w:adjustRightInd w:val="0"/>
        <w:rPr>
          <w:rFonts w:eastAsia="TimesNewRoman"/>
          <w:sz w:val="22"/>
          <w:szCs w:val="22"/>
        </w:rPr>
      </w:pPr>
    </w:p>
    <w:p w14:paraId="36CA2151" w14:textId="77777777" w:rsidR="007F39B7" w:rsidRPr="00051FD3" w:rsidRDefault="007F39B7"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lastRenderedPageBreak/>
        <w:t>Citotoksinės</w:t>
      </w:r>
      <w:proofErr w:type="spellEnd"/>
      <w:r w:rsidRPr="00051FD3">
        <w:rPr>
          <w:rFonts w:eastAsia="TimesNewRoman"/>
          <w:sz w:val="22"/>
          <w:szCs w:val="22"/>
          <w:u w:val="single"/>
        </w:rPr>
        <w:t xml:space="preserve"> medžiagos (pvz., </w:t>
      </w:r>
      <w:proofErr w:type="spellStart"/>
      <w:r w:rsidRPr="00051FD3">
        <w:rPr>
          <w:rFonts w:eastAsia="TimesNewRoman"/>
          <w:sz w:val="22"/>
          <w:szCs w:val="22"/>
          <w:u w:val="single"/>
        </w:rPr>
        <w:t>ciklofosfamidas</w:t>
      </w:r>
      <w:proofErr w:type="spellEnd"/>
      <w:r w:rsidRPr="00051FD3">
        <w:rPr>
          <w:rFonts w:eastAsia="TimesNewRoman"/>
          <w:sz w:val="22"/>
          <w:szCs w:val="22"/>
          <w:u w:val="single"/>
        </w:rPr>
        <w:t xml:space="preserve">, </w:t>
      </w:r>
      <w:proofErr w:type="spellStart"/>
      <w:r w:rsidRPr="00051FD3">
        <w:rPr>
          <w:rFonts w:eastAsia="TimesNewRoman"/>
          <w:sz w:val="22"/>
          <w:szCs w:val="22"/>
          <w:u w:val="single"/>
        </w:rPr>
        <w:t>metotreksatas</w:t>
      </w:r>
      <w:proofErr w:type="spellEnd"/>
      <w:r w:rsidRPr="00051FD3">
        <w:rPr>
          <w:rFonts w:eastAsia="TimesNewRoman"/>
          <w:sz w:val="22"/>
          <w:szCs w:val="22"/>
          <w:u w:val="single"/>
        </w:rPr>
        <w:t>)</w:t>
      </w:r>
    </w:p>
    <w:p w14:paraId="036CE1EB"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Tiazidiniai</w:t>
      </w:r>
      <w:proofErr w:type="spellEnd"/>
      <w:r w:rsidRPr="00051FD3">
        <w:rPr>
          <w:rFonts w:eastAsia="TimesNewRoman"/>
          <w:sz w:val="22"/>
          <w:szCs w:val="22"/>
        </w:rPr>
        <w:t xml:space="preserve"> diuretikai gali mažinti </w:t>
      </w:r>
      <w:proofErr w:type="spellStart"/>
      <w:r w:rsidRPr="00051FD3">
        <w:rPr>
          <w:rFonts w:eastAsia="TimesNewRoman"/>
          <w:sz w:val="22"/>
          <w:szCs w:val="22"/>
        </w:rPr>
        <w:t>citotoksinių</w:t>
      </w:r>
      <w:proofErr w:type="spellEnd"/>
      <w:r w:rsidRPr="00051FD3">
        <w:rPr>
          <w:rFonts w:eastAsia="TimesNewRoman"/>
          <w:sz w:val="22"/>
          <w:szCs w:val="22"/>
        </w:rPr>
        <w:t xml:space="preserve"> vaistinių preparatų išsiskyrimą su šlapimu, todėl gali stiprinti jų sukeliamą </w:t>
      </w:r>
      <w:proofErr w:type="spellStart"/>
      <w:r w:rsidRPr="00051FD3">
        <w:rPr>
          <w:rFonts w:eastAsia="TimesNewRoman"/>
          <w:sz w:val="22"/>
          <w:szCs w:val="22"/>
        </w:rPr>
        <w:t>mieloidinio</w:t>
      </w:r>
      <w:proofErr w:type="spellEnd"/>
      <w:r w:rsidRPr="00051FD3">
        <w:rPr>
          <w:rFonts w:eastAsia="TimesNewRoman"/>
          <w:sz w:val="22"/>
          <w:szCs w:val="22"/>
        </w:rPr>
        <w:t xml:space="preserve"> audinio funkcijos slopinimą.</w:t>
      </w:r>
    </w:p>
    <w:p w14:paraId="03239E69" w14:textId="77777777" w:rsidR="007F39B7" w:rsidRPr="00051FD3" w:rsidRDefault="007F39B7" w:rsidP="007F39B7">
      <w:pPr>
        <w:autoSpaceDE w:val="0"/>
        <w:autoSpaceDN w:val="0"/>
        <w:adjustRightInd w:val="0"/>
        <w:rPr>
          <w:rFonts w:eastAsia="TimesNewRoman"/>
          <w:sz w:val="22"/>
          <w:szCs w:val="22"/>
        </w:rPr>
      </w:pPr>
    </w:p>
    <w:p w14:paraId="0880D1CD"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Remiantis </w:t>
      </w:r>
      <w:proofErr w:type="spellStart"/>
      <w:r w:rsidRPr="00051FD3">
        <w:rPr>
          <w:rFonts w:eastAsia="TimesNewRoman"/>
          <w:sz w:val="22"/>
          <w:szCs w:val="22"/>
        </w:rPr>
        <w:t>farmakokinetinėmis</w:t>
      </w:r>
      <w:proofErr w:type="spellEnd"/>
      <w:r w:rsidRPr="00051FD3">
        <w:rPr>
          <w:rFonts w:eastAsia="TimesNewRoman"/>
          <w:sz w:val="22"/>
          <w:szCs w:val="22"/>
        </w:rPr>
        <w:t xml:space="preserve"> savybėmis, tikėtina, kad </w:t>
      </w:r>
      <w:proofErr w:type="spellStart"/>
      <w:r w:rsidRPr="00051FD3">
        <w:rPr>
          <w:rFonts w:eastAsia="TimesNewRoman"/>
          <w:sz w:val="22"/>
          <w:szCs w:val="22"/>
        </w:rPr>
        <w:t>hipotenzinį</w:t>
      </w:r>
      <w:proofErr w:type="spellEnd"/>
      <w:r w:rsidRPr="00051FD3">
        <w:rPr>
          <w:rFonts w:eastAsia="TimesNewRoman"/>
          <w:sz w:val="22"/>
          <w:szCs w:val="22"/>
        </w:rPr>
        <w:t xml:space="preserve"> visų </w:t>
      </w:r>
      <w:proofErr w:type="spellStart"/>
      <w:r w:rsidRPr="00051FD3">
        <w:rPr>
          <w:rFonts w:eastAsia="TimesNewRoman"/>
          <w:sz w:val="22"/>
          <w:szCs w:val="22"/>
        </w:rPr>
        <w:t>antihipertenzinių</w:t>
      </w:r>
      <w:proofErr w:type="spellEnd"/>
      <w:r w:rsidRPr="00051FD3">
        <w:rPr>
          <w:rFonts w:eastAsia="TimesNewRoman"/>
          <w:sz w:val="22"/>
          <w:szCs w:val="22"/>
        </w:rPr>
        <w:t xml:space="preserve"> vaistinių preparatų, įskaitant </w:t>
      </w:r>
      <w:proofErr w:type="spellStart"/>
      <w:r w:rsidRPr="00051FD3">
        <w:rPr>
          <w:rFonts w:eastAsia="TimesNewRoman"/>
          <w:sz w:val="22"/>
          <w:szCs w:val="22"/>
        </w:rPr>
        <w:t>telmisartaną</w:t>
      </w:r>
      <w:proofErr w:type="spellEnd"/>
      <w:r w:rsidRPr="00051FD3">
        <w:rPr>
          <w:rFonts w:eastAsia="TimesNewRoman"/>
          <w:sz w:val="22"/>
          <w:szCs w:val="22"/>
        </w:rPr>
        <w:t xml:space="preserve">, poveikį gali stiprinti </w:t>
      </w:r>
      <w:proofErr w:type="spellStart"/>
      <w:r w:rsidRPr="00051FD3">
        <w:rPr>
          <w:rFonts w:eastAsia="TimesNewRoman"/>
          <w:sz w:val="22"/>
          <w:szCs w:val="22"/>
        </w:rPr>
        <w:t>baklofenas</w:t>
      </w:r>
      <w:proofErr w:type="spellEnd"/>
      <w:r w:rsidRPr="00051FD3">
        <w:rPr>
          <w:rFonts w:eastAsia="TimesNewRoman"/>
          <w:sz w:val="22"/>
          <w:szCs w:val="22"/>
        </w:rPr>
        <w:t xml:space="preserve"> ir </w:t>
      </w:r>
      <w:proofErr w:type="spellStart"/>
      <w:r w:rsidRPr="00051FD3">
        <w:rPr>
          <w:rFonts w:eastAsia="TimesNewRoman"/>
          <w:sz w:val="22"/>
          <w:szCs w:val="22"/>
        </w:rPr>
        <w:t>amifostinas</w:t>
      </w:r>
      <w:proofErr w:type="spellEnd"/>
      <w:r w:rsidRPr="00051FD3">
        <w:rPr>
          <w:rFonts w:eastAsia="TimesNewRoman"/>
          <w:sz w:val="22"/>
          <w:szCs w:val="22"/>
        </w:rPr>
        <w:t>.</w:t>
      </w:r>
    </w:p>
    <w:p w14:paraId="50FD6D08"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Be to, alkoholis, barbitūratai, narkozę sukeliantys preparatai bei antidepresantai gali sunkinti </w:t>
      </w:r>
      <w:proofErr w:type="spellStart"/>
      <w:r w:rsidRPr="00051FD3">
        <w:rPr>
          <w:rFonts w:eastAsia="TimesNewRoman"/>
          <w:sz w:val="22"/>
          <w:szCs w:val="22"/>
        </w:rPr>
        <w:t>ortostatinę</w:t>
      </w:r>
      <w:proofErr w:type="spellEnd"/>
      <w:r w:rsidRPr="00051FD3">
        <w:rPr>
          <w:rFonts w:eastAsia="TimesNewRoman"/>
          <w:sz w:val="22"/>
          <w:szCs w:val="22"/>
        </w:rPr>
        <w:t xml:space="preserve"> </w:t>
      </w:r>
      <w:proofErr w:type="spellStart"/>
      <w:r w:rsidRPr="00051FD3">
        <w:rPr>
          <w:rFonts w:eastAsia="TimesNewRoman"/>
          <w:sz w:val="22"/>
          <w:szCs w:val="22"/>
        </w:rPr>
        <w:t>hipotenziją</w:t>
      </w:r>
      <w:proofErr w:type="spellEnd"/>
      <w:r w:rsidRPr="00051FD3">
        <w:rPr>
          <w:rFonts w:eastAsia="TimesNewRoman"/>
          <w:sz w:val="22"/>
          <w:szCs w:val="22"/>
        </w:rPr>
        <w:t>.</w:t>
      </w:r>
    </w:p>
    <w:p w14:paraId="254CA849" w14:textId="77777777" w:rsidR="007F39B7" w:rsidRPr="00051FD3" w:rsidRDefault="007F39B7" w:rsidP="007F39B7">
      <w:pPr>
        <w:autoSpaceDE w:val="0"/>
        <w:autoSpaceDN w:val="0"/>
        <w:adjustRightInd w:val="0"/>
        <w:rPr>
          <w:sz w:val="22"/>
          <w:szCs w:val="22"/>
          <w:lang w:eastAsia="lt-LT"/>
        </w:rPr>
      </w:pPr>
    </w:p>
    <w:p w14:paraId="08E0C1A7" w14:textId="77777777" w:rsidR="007F39B7" w:rsidRPr="00051FD3" w:rsidRDefault="007F39B7" w:rsidP="007F39B7">
      <w:pPr>
        <w:tabs>
          <w:tab w:val="left" w:pos="567"/>
        </w:tabs>
        <w:rPr>
          <w:b/>
          <w:bCs/>
          <w:sz w:val="22"/>
          <w:szCs w:val="22"/>
        </w:rPr>
      </w:pPr>
      <w:r w:rsidRPr="00051FD3">
        <w:rPr>
          <w:b/>
          <w:bCs/>
          <w:sz w:val="22"/>
          <w:szCs w:val="22"/>
        </w:rPr>
        <w:t>4.6</w:t>
      </w:r>
      <w:r w:rsidRPr="00051FD3">
        <w:rPr>
          <w:b/>
          <w:bCs/>
          <w:sz w:val="22"/>
          <w:szCs w:val="22"/>
        </w:rPr>
        <w:tab/>
        <w:t>Vaisingumas, nėštumo ir žindymo laikotarpis</w:t>
      </w:r>
    </w:p>
    <w:p w14:paraId="3171E1EF" w14:textId="77777777" w:rsidR="007F39B7" w:rsidRPr="00051FD3" w:rsidRDefault="007F39B7" w:rsidP="007F39B7">
      <w:pPr>
        <w:tabs>
          <w:tab w:val="left" w:pos="567"/>
        </w:tabs>
        <w:rPr>
          <w:b/>
          <w:bCs/>
          <w:sz w:val="22"/>
          <w:szCs w:val="22"/>
        </w:rPr>
      </w:pPr>
    </w:p>
    <w:p w14:paraId="78F5657D" w14:textId="77777777"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Nėštumas</w:t>
      </w:r>
    </w:p>
    <w:p w14:paraId="79435A2D" w14:textId="77777777" w:rsidR="007F39B7" w:rsidRPr="00051FD3" w:rsidRDefault="007F39B7" w:rsidP="007F39B7">
      <w:pPr>
        <w:autoSpaceDE w:val="0"/>
        <w:autoSpaceDN w:val="0"/>
        <w:adjustRightInd w:val="0"/>
        <w:rPr>
          <w:sz w:val="22"/>
          <w:szCs w:val="22"/>
          <w:lang w:eastAsia="lt-LT"/>
        </w:rPr>
      </w:pPr>
    </w:p>
    <w:p w14:paraId="27E77499" w14:textId="336CD950" w:rsidR="007F39B7" w:rsidRPr="00051FD3" w:rsidRDefault="000A3555" w:rsidP="007F39B7">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eastAsia="lt-LT"/>
        </w:rPr>
      </w:pPr>
      <w:r w:rsidRPr="00051FD3">
        <w:rPr>
          <w:sz w:val="22"/>
          <w:szCs w:val="22"/>
          <w:lang w:eastAsia="lt-LT"/>
        </w:rPr>
        <w:t>Pirm</w:t>
      </w:r>
      <w:r>
        <w:rPr>
          <w:sz w:val="22"/>
          <w:szCs w:val="22"/>
          <w:lang w:eastAsia="lt-LT"/>
        </w:rPr>
        <w:t>ą</w:t>
      </w:r>
      <w:r w:rsidRPr="00051FD3">
        <w:rPr>
          <w:sz w:val="22"/>
          <w:szCs w:val="22"/>
          <w:lang w:eastAsia="lt-LT"/>
        </w:rPr>
        <w:t>j</w:t>
      </w:r>
      <w:r>
        <w:rPr>
          <w:sz w:val="22"/>
          <w:szCs w:val="22"/>
          <w:lang w:eastAsia="lt-LT"/>
        </w:rPr>
        <w:t>į</w:t>
      </w:r>
      <w:r w:rsidRPr="00051FD3">
        <w:rPr>
          <w:sz w:val="22"/>
          <w:szCs w:val="22"/>
          <w:lang w:eastAsia="lt-LT"/>
        </w:rPr>
        <w:t xml:space="preserve"> </w:t>
      </w:r>
      <w:r w:rsidR="007F39B7" w:rsidRPr="00051FD3">
        <w:rPr>
          <w:sz w:val="22"/>
          <w:szCs w:val="22"/>
          <w:lang w:eastAsia="lt-LT"/>
        </w:rPr>
        <w:t xml:space="preserve">nėštumo </w:t>
      </w:r>
      <w:r w:rsidRPr="00051FD3">
        <w:rPr>
          <w:sz w:val="22"/>
          <w:szCs w:val="22"/>
          <w:lang w:eastAsia="lt-LT"/>
        </w:rPr>
        <w:t>trimestr</w:t>
      </w:r>
      <w:r>
        <w:rPr>
          <w:sz w:val="22"/>
          <w:szCs w:val="22"/>
          <w:lang w:eastAsia="lt-LT"/>
        </w:rPr>
        <w:t xml:space="preserve">ą </w:t>
      </w:r>
      <w:proofErr w:type="spellStart"/>
      <w:r w:rsidR="00775E26" w:rsidRPr="00051FD3">
        <w:rPr>
          <w:sz w:val="22"/>
          <w:szCs w:val="22"/>
          <w:lang w:eastAsia="lt-LT"/>
        </w:rPr>
        <w:t>angiotenzino</w:t>
      </w:r>
      <w:proofErr w:type="spellEnd"/>
      <w:r w:rsidR="00775E26" w:rsidRPr="00051FD3">
        <w:rPr>
          <w:sz w:val="22"/>
          <w:szCs w:val="22"/>
          <w:lang w:eastAsia="lt-LT"/>
        </w:rPr>
        <w:t xml:space="preserve"> II receptorių blokatorių </w:t>
      </w:r>
      <w:r w:rsidR="007F39B7" w:rsidRPr="00051FD3">
        <w:rPr>
          <w:sz w:val="22"/>
          <w:szCs w:val="22"/>
          <w:lang w:eastAsia="lt-LT"/>
        </w:rPr>
        <w:t xml:space="preserve">vartoti nerekomenduojama (žr. 4.4 skyrių). </w:t>
      </w:r>
      <w:r w:rsidRPr="00051FD3">
        <w:rPr>
          <w:sz w:val="22"/>
          <w:szCs w:val="22"/>
          <w:lang w:eastAsia="lt-LT"/>
        </w:rPr>
        <w:t>Antr</w:t>
      </w:r>
      <w:r>
        <w:rPr>
          <w:sz w:val="22"/>
          <w:szCs w:val="22"/>
          <w:lang w:eastAsia="lt-LT"/>
        </w:rPr>
        <w:t>ą</w:t>
      </w:r>
      <w:r w:rsidRPr="00051FD3">
        <w:rPr>
          <w:sz w:val="22"/>
          <w:szCs w:val="22"/>
          <w:lang w:eastAsia="lt-LT"/>
        </w:rPr>
        <w:t>j</w:t>
      </w:r>
      <w:r>
        <w:rPr>
          <w:sz w:val="22"/>
          <w:szCs w:val="22"/>
          <w:lang w:eastAsia="lt-LT"/>
        </w:rPr>
        <w:t>į</w:t>
      </w:r>
      <w:r w:rsidRPr="00051FD3">
        <w:rPr>
          <w:sz w:val="22"/>
          <w:szCs w:val="22"/>
          <w:lang w:eastAsia="lt-LT"/>
        </w:rPr>
        <w:t xml:space="preserve"> </w:t>
      </w:r>
      <w:r w:rsidR="007F39B7" w:rsidRPr="00051FD3">
        <w:rPr>
          <w:sz w:val="22"/>
          <w:szCs w:val="22"/>
          <w:lang w:eastAsia="lt-LT"/>
        </w:rPr>
        <w:t xml:space="preserve">ir </w:t>
      </w:r>
      <w:r w:rsidR="00AA036F" w:rsidRPr="00051FD3">
        <w:rPr>
          <w:sz w:val="22"/>
          <w:szCs w:val="22"/>
          <w:lang w:eastAsia="lt-LT"/>
        </w:rPr>
        <w:t>treči</w:t>
      </w:r>
      <w:r w:rsidR="00AA036F">
        <w:rPr>
          <w:sz w:val="22"/>
          <w:szCs w:val="22"/>
          <w:lang w:eastAsia="lt-LT"/>
        </w:rPr>
        <w:t>ą</w:t>
      </w:r>
      <w:r w:rsidR="00AA036F" w:rsidRPr="00051FD3">
        <w:rPr>
          <w:sz w:val="22"/>
          <w:szCs w:val="22"/>
          <w:lang w:eastAsia="lt-LT"/>
        </w:rPr>
        <w:t>j</w:t>
      </w:r>
      <w:r w:rsidR="00AA036F">
        <w:rPr>
          <w:sz w:val="22"/>
          <w:szCs w:val="22"/>
          <w:lang w:eastAsia="lt-LT"/>
        </w:rPr>
        <w:t>į</w:t>
      </w:r>
      <w:r w:rsidR="00AA036F" w:rsidRPr="00051FD3">
        <w:rPr>
          <w:sz w:val="22"/>
          <w:szCs w:val="22"/>
          <w:lang w:eastAsia="lt-LT"/>
        </w:rPr>
        <w:t xml:space="preserve"> </w:t>
      </w:r>
      <w:r w:rsidR="007F39B7" w:rsidRPr="00051FD3">
        <w:rPr>
          <w:sz w:val="22"/>
          <w:szCs w:val="22"/>
          <w:lang w:eastAsia="lt-LT"/>
        </w:rPr>
        <w:t>nėštumo trimestr</w:t>
      </w:r>
      <w:r w:rsidR="002C5328">
        <w:rPr>
          <w:sz w:val="22"/>
          <w:szCs w:val="22"/>
          <w:lang w:eastAsia="lt-LT"/>
        </w:rPr>
        <w:t>ą</w:t>
      </w:r>
      <w:r w:rsidR="007F39B7" w:rsidRPr="00051FD3">
        <w:rPr>
          <w:sz w:val="22"/>
          <w:szCs w:val="22"/>
          <w:lang w:eastAsia="lt-LT"/>
        </w:rPr>
        <w:t xml:space="preserve"> </w:t>
      </w:r>
      <w:proofErr w:type="spellStart"/>
      <w:r w:rsidR="007F39B7" w:rsidRPr="00051FD3">
        <w:rPr>
          <w:sz w:val="22"/>
          <w:szCs w:val="22"/>
          <w:lang w:eastAsia="lt-LT"/>
        </w:rPr>
        <w:t>angiotenzino</w:t>
      </w:r>
      <w:proofErr w:type="spellEnd"/>
      <w:r w:rsidR="007F39B7" w:rsidRPr="00051FD3">
        <w:rPr>
          <w:sz w:val="22"/>
          <w:szCs w:val="22"/>
          <w:lang w:eastAsia="lt-LT"/>
        </w:rPr>
        <w:t xml:space="preserve"> II receptorių blokatorių vartoti draudžiama (žr. 4.3 ir 4.4 skyrius).</w:t>
      </w:r>
    </w:p>
    <w:p w14:paraId="7570DBFC" w14:textId="77777777" w:rsidR="007F39B7" w:rsidRPr="00051FD3" w:rsidRDefault="007F39B7" w:rsidP="007F39B7">
      <w:pPr>
        <w:autoSpaceDE w:val="0"/>
        <w:autoSpaceDN w:val="0"/>
        <w:adjustRightInd w:val="0"/>
        <w:rPr>
          <w:sz w:val="22"/>
          <w:szCs w:val="22"/>
          <w:lang w:eastAsia="lt-LT"/>
        </w:rPr>
      </w:pPr>
    </w:p>
    <w:p w14:paraId="05B43A8D"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Pakankamų duomenų apie </w:t>
      </w:r>
      <w:proofErr w:type="spellStart"/>
      <w:r w:rsidRPr="00051FD3">
        <w:rPr>
          <w:sz w:val="22"/>
          <w:szCs w:val="22"/>
          <w:lang w:eastAsia="lt-LT"/>
        </w:rPr>
        <w:t>telmisartano</w:t>
      </w:r>
      <w:proofErr w:type="spellEnd"/>
      <w:r w:rsidRPr="00051FD3">
        <w:rPr>
          <w:sz w:val="22"/>
          <w:szCs w:val="22"/>
          <w:lang w:eastAsia="lt-LT"/>
        </w:rPr>
        <w:t>/</w:t>
      </w:r>
      <w:proofErr w:type="spellStart"/>
      <w:r w:rsidRPr="00051FD3">
        <w:rPr>
          <w:sz w:val="22"/>
          <w:szCs w:val="22"/>
          <w:lang w:eastAsia="lt-LT"/>
        </w:rPr>
        <w:t>hidrochlorotiazido</w:t>
      </w:r>
      <w:proofErr w:type="spellEnd"/>
      <w:r w:rsidRPr="00051FD3">
        <w:rPr>
          <w:sz w:val="22"/>
          <w:szCs w:val="22"/>
          <w:lang w:eastAsia="lt-LT"/>
        </w:rPr>
        <w:t xml:space="preserve"> vartojimą nėštumo metu nėra. Su gyvūnais atlikti tyrimai parodė toksinį poveikį reprodukcijai (žr. 5.3 skyrių).</w:t>
      </w:r>
    </w:p>
    <w:p w14:paraId="6E36EB31" w14:textId="77777777" w:rsidR="007F39B7" w:rsidRPr="00051FD3" w:rsidRDefault="007F39B7" w:rsidP="007F39B7">
      <w:pPr>
        <w:autoSpaceDE w:val="0"/>
        <w:autoSpaceDN w:val="0"/>
        <w:adjustRightInd w:val="0"/>
        <w:rPr>
          <w:sz w:val="22"/>
          <w:szCs w:val="22"/>
          <w:lang w:eastAsia="lt-LT"/>
        </w:rPr>
      </w:pPr>
    </w:p>
    <w:p w14:paraId="4BE9AAF0" w14:textId="43463563"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Epidemiologinių tyrimų duomenys dėl </w:t>
      </w:r>
      <w:r w:rsidR="006026B6" w:rsidRPr="00051FD3">
        <w:rPr>
          <w:sz w:val="22"/>
          <w:szCs w:val="22"/>
          <w:lang w:eastAsia="lt-LT"/>
        </w:rPr>
        <w:t>pirm</w:t>
      </w:r>
      <w:r w:rsidR="006026B6">
        <w:rPr>
          <w:sz w:val="22"/>
          <w:szCs w:val="22"/>
          <w:lang w:eastAsia="lt-LT"/>
        </w:rPr>
        <w:t>ąjį</w:t>
      </w:r>
      <w:r w:rsidR="006026B6" w:rsidRPr="00051FD3">
        <w:rPr>
          <w:sz w:val="22"/>
          <w:szCs w:val="22"/>
          <w:lang w:eastAsia="lt-LT"/>
        </w:rPr>
        <w:t xml:space="preserve"> </w:t>
      </w:r>
      <w:r w:rsidRPr="00051FD3">
        <w:rPr>
          <w:sz w:val="22"/>
          <w:szCs w:val="22"/>
          <w:lang w:eastAsia="lt-LT"/>
        </w:rPr>
        <w:t xml:space="preserve">nėštumo </w:t>
      </w:r>
      <w:r w:rsidR="006026B6" w:rsidRPr="00051FD3">
        <w:rPr>
          <w:sz w:val="22"/>
          <w:szCs w:val="22"/>
          <w:lang w:eastAsia="lt-LT"/>
        </w:rPr>
        <w:t>trimestr</w:t>
      </w:r>
      <w:r w:rsidR="006026B6">
        <w:rPr>
          <w:sz w:val="22"/>
          <w:szCs w:val="22"/>
          <w:lang w:eastAsia="lt-LT"/>
        </w:rPr>
        <w:t>ą</w:t>
      </w:r>
      <w:r w:rsidR="006026B6" w:rsidRPr="00051FD3">
        <w:rPr>
          <w:sz w:val="22"/>
          <w:szCs w:val="22"/>
          <w:lang w:eastAsia="lt-LT"/>
        </w:rPr>
        <w:t xml:space="preserve"> </w:t>
      </w:r>
      <w:r w:rsidRPr="00051FD3">
        <w:rPr>
          <w:sz w:val="22"/>
          <w:szCs w:val="22"/>
          <w:lang w:eastAsia="lt-LT"/>
        </w:rPr>
        <w:t xml:space="preserve">vartojamų AKF inhibitorių </w:t>
      </w:r>
      <w:proofErr w:type="spellStart"/>
      <w:r w:rsidRPr="00051FD3">
        <w:rPr>
          <w:sz w:val="22"/>
          <w:szCs w:val="22"/>
          <w:lang w:eastAsia="lt-LT"/>
        </w:rPr>
        <w:t>teratogeninio</w:t>
      </w:r>
      <w:proofErr w:type="spellEnd"/>
      <w:r w:rsidRPr="00051FD3">
        <w:rPr>
          <w:sz w:val="22"/>
          <w:szCs w:val="22"/>
          <w:lang w:eastAsia="lt-LT"/>
        </w:rPr>
        <w:t xml:space="preserve"> poveikio nėra galutiniai, tačiau nedidelio rizikos padidėjimo atmesti negalima. Nors kontrolinių epidemiologinių tyrimų duomenų apie </w:t>
      </w:r>
      <w:proofErr w:type="spellStart"/>
      <w:r w:rsidRPr="00051FD3">
        <w:rPr>
          <w:sz w:val="22"/>
          <w:szCs w:val="22"/>
          <w:lang w:eastAsia="lt-LT"/>
        </w:rPr>
        <w:t>angiotenzino</w:t>
      </w:r>
      <w:proofErr w:type="spellEnd"/>
      <w:r w:rsidRPr="00051FD3">
        <w:rPr>
          <w:sz w:val="22"/>
          <w:szCs w:val="22"/>
          <w:lang w:eastAsia="lt-LT"/>
        </w:rPr>
        <w:t xml:space="preserve"> II receptorių blokatorių keliamą riziką nėra, tačiau ji gali būti tokia pati, kaip ir gydymo kitais šios klasės preparatais metu. Išskyrus tuos atvejus, kai tolesnis gydymas </w:t>
      </w:r>
      <w:proofErr w:type="spellStart"/>
      <w:r w:rsidRPr="00051FD3">
        <w:rPr>
          <w:sz w:val="22"/>
          <w:szCs w:val="22"/>
          <w:lang w:eastAsia="lt-LT"/>
        </w:rPr>
        <w:t>angiotenzino</w:t>
      </w:r>
      <w:proofErr w:type="spellEnd"/>
      <w:r w:rsidRPr="00051FD3">
        <w:rPr>
          <w:sz w:val="22"/>
          <w:szCs w:val="22"/>
          <w:lang w:eastAsia="lt-LT"/>
        </w:rPr>
        <w:t xml:space="preserve"> II receptorių blokatoriais</w:t>
      </w:r>
      <w:r w:rsidRPr="00051FD3" w:rsidDel="00D36D0A">
        <w:rPr>
          <w:sz w:val="22"/>
          <w:szCs w:val="22"/>
          <w:lang w:eastAsia="lt-LT"/>
        </w:rPr>
        <w:t xml:space="preserve"> </w:t>
      </w:r>
      <w:r w:rsidRPr="00051FD3">
        <w:rPr>
          <w:sz w:val="22"/>
          <w:szCs w:val="22"/>
          <w:lang w:eastAsia="lt-LT"/>
        </w:rPr>
        <w:t xml:space="preserve">būtinas, pastoti planuojančioms moterims juos reikia keisti kitokiais </w:t>
      </w:r>
      <w:proofErr w:type="spellStart"/>
      <w:r w:rsidRPr="00051FD3">
        <w:rPr>
          <w:sz w:val="22"/>
          <w:szCs w:val="22"/>
          <w:lang w:eastAsia="lt-LT"/>
        </w:rPr>
        <w:t>antihipertenziniais</w:t>
      </w:r>
      <w:proofErr w:type="spellEnd"/>
      <w:r w:rsidRPr="00051FD3">
        <w:rPr>
          <w:sz w:val="22"/>
          <w:szCs w:val="22"/>
          <w:lang w:eastAsia="lt-LT"/>
        </w:rPr>
        <w:t xml:space="preserve"> vaistais, kurių vartojimas nėštumo metu saugus. Nustačius nėštumą, </w:t>
      </w:r>
      <w:proofErr w:type="spellStart"/>
      <w:r w:rsidRPr="00051FD3">
        <w:rPr>
          <w:sz w:val="22"/>
          <w:szCs w:val="22"/>
          <w:lang w:eastAsia="lt-LT"/>
        </w:rPr>
        <w:t>angiotenzino</w:t>
      </w:r>
      <w:proofErr w:type="spellEnd"/>
      <w:r w:rsidRPr="00051FD3">
        <w:rPr>
          <w:sz w:val="22"/>
          <w:szCs w:val="22"/>
          <w:lang w:eastAsia="lt-LT"/>
        </w:rPr>
        <w:t xml:space="preserve"> II receptorių blokatorių vartojimą būtina nedelsiant nutraukti ir, jei reikia, skirti kitokį tinkamą gydymą. </w:t>
      </w:r>
    </w:p>
    <w:p w14:paraId="5E4FA801" w14:textId="77777777" w:rsidR="007F39B7" w:rsidRPr="00051FD3" w:rsidRDefault="007F39B7" w:rsidP="007F39B7">
      <w:pPr>
        <w:autoSpaceDE w:val="0"/>
        <w:autoSpaceDN w:val="0"/>
        <w:adjustRightInd w:val="0"/>
        <w:rPr>
          <w:sz w:val="22"/>
          <w:szCs w:val="22"/>
          <w:lang w:eastAsia="lt-LT"/>
        </w:rPr>
      </w:pPr>
    </w:p>
    <w:p w14:paraId="30ED2101" w14:textId="705E11A4" w:rsidR="007F39B7" w:rsidRPr="00051FD3" w:rsidRDefault="007F39B7" w:rsidP="007F39B7">
      <w:pPr>
        <w:autoSpaceDE w:val="0"/>
        <w:autoSpaceDN w:val="0"/>
        <w:adjustRightInd w:val="0"/>
        <w:rPr>
          <w:sz w:val="22"/>
          <w:szCs w:val="22"/>
          <w:lang w:eastAsia="lt-LT"/>
        </w:rPr>
      </w:pPr>
      <w:r w:rsidRPr="00051FD3">
        <w:rPr>
          <w:sz w:val="22"/>
          <w:szCs w:val="22"/>
          <w:lang w:eastAsia="lt-LT"/>
        </w:rPr>
        <w:t>Žinoma, kad antr</w:t>
      </w:r>
      <w:r w:rsidR="002C5328">
        <w:rPr>
          <w:sz w:val="22"/>
          <w:szCs w:val="22"/>
          <w:lang w:eastAsia="lt-LT"/>
        </w:rPr>
        <w:t>ąjį</w:t>
      </w:r>
      <w:r w:rsidRPr="00051FD3">
        <w:rPr>
          <w:sz w:val="22"/>
          <w:szCs w:val="22"/>
          <w:lang w:eastAsia="lt-LT"/>
        </w:rPr>
        <w:t xml:space="preserve"> arba treči</w:t>
      </w:r>
      <w:r w:rsidR="002C5328">
        <w:rPr>
          <w:sz w:val="22"/>
          <w:szCs w:val="22"/>
          <w:lang w:eastAsia="lt-LT"/>
        </w:rPr>
        <w:t>ąjį</w:t>
      </w:r>
      <w:r w:rsidRPr="00051FD3">
        <w:rPr>
          <w:sz w:val="22"/>
          <w:szCs w:val="22"/>
          <w:lang w:eastAsia="lt-LT"/>
        </w:rPr>
        <w:t xml:space="preserve"> nėštumo </w:t>
      </w:r>
      <w:r w:rsidR="002C5328" w:rsidRPr="00051FD3">
        <w:rPr>
          <w:sz w:val="22"/>
          <w:szCs w:val="22"/>
          <w:lang w:eastAsia="lt-LT"/>
        </w:rPr>
        <w:t>trimestr</w:t>
      </w:r>
      <w:r w:rsidR="002C5328">
        <w:rPr>
          <w:sz w:val="22"/>
          <w:szCs w:val="22"/>
          <w:lang w:eastAsia="lt-LT"/>
        </w:rPr>
        <w:t>ą</w:t>
      </w:r>
      <w:r w:rsidR="002C5328" w:rsidRPr="00051FD3">
        <w:rPr>
          <w:sz w:val="22"/>
          <w:szCs w:val="22"/>
          <w:lang w:eastAsia="lt-LT"/>
        </w:rPr>
        <w:t xml:space="preserve"> </w:t>
      </w:r>
      <w:r w:rsidRPr="00051FD3">
        <w:rPr>
          <w:sz w:val="22"/>
          <w:szCs w:val="22"/>
          <w:lang w:eastAsia="lt-LT"/>
        </w:rPr>
        <w:t xml:space="preserve">vartojami </w:t>
      </w:r>
      <w:proofErr w:type="spellStart"/>
      <w:r w:rsidRPr="00051FD3">
        <w:rPr>
          <w:sz w:val="22"/>
          <w:szCs w:val="22"/>
          <w:lang w:eastAsia="lt-LT"/>
        </w:rPr>
        <w:t>angiotenzino</w:t>
      </w:r>
      <w:proofErr w:type="spellEnd"/>
      <w:r w:rsidRPr="00051FD3">
        <w:rPr>
          <w:sz w:val="22"/>
          <w:szCs w:val="22"/>
          <w:lang w:eastAsia="lt-LT"/>
        </w:rPr>
        <w:t xml:space="preserve"> II receptorių blokatoriai sukelia toksinį poveikį žmogaus vaisiui (inkstų funkcijos susilpnėjimą, </w:t>
      </w:r>
      <w:proofErr w:type="spellStart"/>
      <w:r w:rsidRPr="00051FD3">
        <w:rPr>
          <w:sz w:val="22"/>
          <w:szCs w:val="22"/>
          <w:lang w:eastAsia="lt-LT"/>
        </w:rPr>
        <w:t>oligohidramnioną</w:t>
      </w:r>
      <w:proofErr w:type="spellEnd"/>
      <w:r w:rsidRPr="00051FD3">
        <w:rPr>
          <w:sz w:val="22"/>
          <w:szCs w:val="22"/>
          <w:lang w:eastAsia="lt-LT"/>
        </w:rPr>
        <w:t xml:space="preserve">, kaukolės kaulėjimo sulėtėjimą) ir naujagimiui (inkstų nepakankamumą, </w:t>
      </w:r>
      <w:proofErr w:type="spellStart"/>
      <w:r w:rsidRPr="00051FD3">
        <w:rPr>
          <w:sz w:val="22"/>
          <w:szCs w:val="22"/>
          <w:lang w:eastAsia="lt-LT"/>
        </w:rPr>
        <w:t>hipotenziją</w:t>
      </w:r>
      <w:proofErr w:type="spellEnd"/>
      <w:r w:rsidRPr="00051FD3">
        <w:rPr>
          <w:sz w:val="22"/>
          <w:szCs w:val="22"/>
          <w:lang w:eastAsia="lt-LT"/>
        </w:rPr>
        <w:t xml:space="preserve">, </w:t>
      </w:r>
      <w:proofErr w:type="spellStart"/>
      <w:r w:rsidRPr="00051FD3">
        <w:rPr>
          <w:sz w:val="22"/>
          <w:szCs w:val="22"/>
          <w:lang w:eastAsia="lt-LT"/>
        </w:rPr>
        <w:t>hiperkalemiją</w:t>
      </w:r>
      <w:proofErr w:type="spellEnd"/>
      <w:r w:rsidRPr="00051FD3">
        <w:rPr>
          <w:sz w:val="22"/>
          <w:szCs w:val="22"/>
          <w:lang w:eastAsia="lt-LT"/>
        </w:rPr>
        <w:t>) (žr. 5.3 skyrių). Jeigu moteris antr</w:t>
      </w:r>
      <w:r w:rsidR="00C76F3E">
        <w:rPr>
          <w:sz w:val="22"/>
          <w:szCs w:val="22"/>
          <w:lang w:eastAsia="lt-LT"/>
        </w:rPr>
        <w:t>ąjį</w:t>
      </w:r>
      <w:r w:rsidRPr="00051FD3">
        <w:rPr>
          <w:sz w:val="22"/>
          <w:szCs w:val="22"/>
          <w:lang w:eastAsia="lt-LT"/>
        </w:rPr>
        <w:t xml:space="preserve"> arba treči</w:t>
      </w:r>
      <w:r w:rsidR="00C76F3E">
        <w:rPr>
          <w:sz w:val="22"/>
          <w:szCs w:val="22"/>
          <w:lang w:eastAsia="lt-LT"/>
        </w:rPr>
        <w:t>ąjį</w:t>
      </w:r>
      <w:r w:rsidRPr="00051FD3">
        <w:rPr>
          <w:sz w:val="22"/>
          <w:szCs w:val="22"/>
          <w:lang w:eastAsia="lt-LT"/>
        </w:rPr>
        <w:t xml:space="preserve"> nėštumo trimestr</w:t>
      </w:r>
      <w:r w:rsidR="00C76F3E">
        <w:rPr>
          <w:sz w:val="22"/>
          <w:szCs w:val="22"/>
          <w:lang w:eastAsia="lt-LT"/>
        </w:rPr>
        <w:t>ą</w:t>
      </w:r>
      <w:r w:rsidRPr="00051FD3">
        <w:rPr>
          <w:sz w:val="22"/>
          <w:szCs w:val="22"/>
          <w:lang w:eastAsia="lt-LT"/>
        </w:rPr>
        <w:t xml:space="preserve"> vartojo </w:t>
      </w:r>
      <w:proofErr w:type="spellStart"/>
      <w:r w:rsidRPr="00051FD3">
        <w:rPr>
          <w:sz w:val="22"/>
          <w:szCs w:val="22"/>
          <w:lang w:eastAsia="lt-LT"/>
        </w:rPr>
        <w:t>angiotenzino</w:t>
      </w:r>
      <w:proofErr w:type="spellEnd"/>
      <w:r w:rsidRPr="00051FD3">
        <w:rPr>
          <w:sz w:val="22"/>
          <w:szCs w:val="22"/>
          <w:lang w:eastAsia="lt-LT"/>
        </w:rPr>
        <w:t xml:space="preserve"> II receptorių blokatorių, rekomenduojama ultragarsu sekti jos vaisiaus inkstų funkciją ir kaukolės kaulėjimą.</w:t>
      </w:r>
    </w:p>
    <w:p w14:paraId="1417F9C2"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Reikia atidžiai stebėti, ar naujagimiams, kurių motinos nėštumo metu vartojo </w:t>
      </w:r>
      <w:proofErr w:type="spellStart"/>
      <w:r w:rsidRPr="00051FD3">
        <w:rPr>
          <w:sz w:val="22"/>
          <w:szCs w:val="22"/>
          <w:lang w:eastAsia="lt-LT"/>
        </w:rPr>
        <w:t>angiotenzino</w:t>
      </w:r>
      <w:proofErr w:type="spellEnd"/>
      <w:r w:rsidRPr="00051FD3">
        <w:rPr>
          <w:sz w:val="22"/>
          <w:szCs w:val="22"/>
          <w:lang w:eastAsia="lt-LT"/>
        </w:rPr>
        <w:t xml:space="preserve"> II receptorių blokatorių, nepasireiškia </w:t>
      </w:r>
      <w:proofErr w:type="spellStart"/>
      <w:r w:rsidRPr="00051FD3">
        <w:rPr>
          <w:sz w:val="22"/>
          <w:szCs w:val="22"/>
          <w:lang w:eastAsia="lt-LT"/>
        </w:rPr>
        <w:t>hipotenzija</w:t>
      </w:r>
      <w:proofErr w:type="spellEnd"/>
      <w:r w:rsidRPr="00051FD3">
        <w:rPr>
          <w:sz w:val="22"/>
          <w:szCs w:val="22"/>
          <w:lang w:eastAsia="lt-LT"/>
        </w:rPr>
        <w:t xml:space="preserve"> (žr. 4.3 ir 4.4 skyrius).</w:t>
      </w:r>
    </w:p>
    <w:p w14:paraId="76D54B82" w14:textId="77777777" w:rsidR="007F39B7" w:rsidRPr="00051FD3" w:rsidRDefault="007F39B7" w:rsidP="007F39B7">
      <w:pPr>
        <w:autoSpaceDE w:val="0"/>
        <w:autoSpaceDN w:val="0"/>
        <w:adjustRightInd w:val="0"/>
        <w:rPr>
          <w:sz w:val="22"/>
          <w:szCs w:val="22"/>
          <w:lang w:eastAsia="lt-LT"/>
        </w:rPr>
      </w:pPr>
    </w:p>
    <w:p w14:paraId="6FBEB7BB" w14:textId="2770A5D1"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Hidrochlorotiazido</w:t>
      </w:r>
      <w:proofErr w:type="spellEnd"/>
      <w:r w:rsidRPr="00051FD3">
        <w:rPr>
          <w:rFonts w:eastAsia="TimesNewRoman"/>
          <w:sz w:val="22"/>
          <w:szCs w:val="22"/>
        </w:rPr>
        <w:t xml:space="preserve"> vartojimo nėštumo metu, ypač </w:t>
      </w:r>
      <w:r w:rsidR="00133370" w:rsidRPr="00051FD3">
        <w:rPr>
          <w:rFonts w:eastAsia="TimesNewRoman"/>
          <w:sz w:val="22"/>
          <w:szCs w:val="22"/>
        </w:rPr>
        <w:t>pirm</w:t>
      </w:r>
      <w:r w:rsidR="00133370">
        <w:rPr>
          <w:rFonts w:eastAsia="TimesNewRoman"/>
          <w:sz w:val="22"/>
          <w:szCs w:val="22"/>
        </w:rPr>
        <w:t>ąjį</w:t>
      </w:r>
      <w:r w:rsidR="00133370" w:rsidRPr="00051FD3">
        <w:rPr>
          <w:rFonts w:eastAsia="TimesNewRoman"/>
          <w:sz w:val="22"/>
          <w:szCs w:val="22"/>
        </w:rPr>
        <w:t xml:space="preserve"> </w:t>
      </w:r>
      <w:r w:rsidRPr="00051FD3">
        <w:rPr>
          <w:rFonts w:eastAsia="TimesNewRoman"/>
          <w:sz w:val="22"/>
          <w:szCs w:val="22"/>
        </w:rPr>
        <w:t>trimestr</w:t>
      </w:r>
      <w:r w:rsidR="00133370">
        <w:rPr>
          <w:rFonts w:eastAsia="TimesNewRoman"/>
          <w:sz w:val="22"/>
          <w:szCs w:val="22"/>
        </w:rPr>
        <w:t>ą</w:t>
      </w:r>
      <w:r w:rsidRPr="00051FD3">
        <w:rPr>
          <w:rFonts w:eastAsia="TimesNewRoman"/>
          <w:sz w:val="22"/>
          <w:szCs w:val="22"/>
        </w:rPr>
        <w:t xml:space="preserve">, patirtis yra ribota. Tyrimų su gyvūnais atlikta nepakankamai. </w:t>
      </w:r>
      <w:proofErr w:type="spellStart"/>
      <w:r w:rsidRPr="00051FD3">
        <w:rPr>
          <w:rFonts w:eastAsia="TimesNewRoman"/>
          <w:sz w:val="22"/>
          <w:szCs w:val="22"/>
        </w:rPr>
        <w:t>Hidrochlorotiazidas</w:t>
      </w:r>
      <w:proofErr w:type="spellEnd"/>
      <w:r w:rsidRPr="00051FD3">
        <w:rPr>
          <w:rFonts w:eastAsia="TimesNewRoman"/>
          <w:sz w:val="22"/>
          <w:szCs w:val="22"/>
        </w:rPr>
        <w:t xml:space="preserve"> prasiskverbia per placentą. Remiantis </w:t>
      </w:r>
      <w:proofErr w:type="spellStart"/>
      <w:r w:rsidRPr="00051FD3">
        <w:rPr>
          <w:rFonts w:eastAsia="TimesNewRoman"/>
          <w:sz w:val="22"/>
          <w:szCs w:val="22"/>
        </w:rPr>
        <w:t>hidrochlorotiazido</w:t>
      </w:r>
      <w:proofErr w:type="spellEnd"/>
      <w:r w:rsidRPr="00051FD3">
        <w:rPr>
          <w:rFonts w:eastAsia="TimesNewRoman"/>
          <w:sz w:val="22"/>
          <w:szCs w:val="22"/>
        </w:rPr>
        <w:t xml:space="preserve"> farmakologinio veikimo mechanizmu, vartojimas antr</w:t>
      </w:r>
      <w:r w:rsidR="00133370">
        <w:rPr>
          <w:rFonts w:eastAsia="TimesNewRoman"/>
          <w:sz w:val="22"/>
          <w:szCs w:val="22"/>
        </w:rPr>
        <w:t>ąjį</w:t>
      </w:r>
      <w:r w:rsidRPr="00051FD3">
        <w:rPr>
          <w:rFonts w:eastAsia="TimesNewRoman"/>
          <w:sz w:val="22"/>
          <w:szCs w:val="22"/>
        </w:rPr>
        <w:t xml:space="preserve"> ir treči</w:t>
      </w:r>
      <w:r w:rsidR="00133370">
        <w:rPr>
          <w:rFonts w:eastAsia="TimesNewRoman"/>
          <w:sz w:val="22"/>
          <w:szCs w:val="22"/>
        </w:rPr>
        <w:t>ąjį</w:t>
      </w:r>
      <w:r w:rsidRPr="00051FD3">
        <w:rPr>
          <w:rFonts w:eastAsia="TimesNewRoman"/>
          <w:sz w:val="22"/>
          <w:szCs w:val="22"/>
        </w:rPr>
        <w:t xml:space="preserve"> nėštumo trimestr</w:t>
      </w:r>
      <w:r w:rsidR="00133370">
        <w:rPr>
          <w:rFonts w:eastAsia="TimesNewRoman"/>
          <w:sz w:val="22"/>
          <w:szCs w:val="22"/>
        </w:rPr>
        <w:t>ą</w:t>
      </w:r>
      <w:r w:rsidRPr="00051FD3">
        <w:rPr>
          <w:rFonts w:eastAsia="TimesNewRoman"/>
          <w:sz w:val="22"/>
          <w:szCs w:val="22"/>
        </w:rPr>
        <w:t xml:space="preserve"> gali trikdyti vaisiaus ir placentos kraujotaką bei vaisiui ir naujagimiui sukelti poveikį, pvz., geltą, elektrolitų pusiausvyros sutrikimą ir </w:t>
      </w:r>
      <w:proofErr w:type="spellStart"/>
      <w:r w:rsidRPr="00051FD3">
        <w:rPr>
          <w:rFonts w:eastAsia="TimesNewRoman"/>
          <w:sz w:val="22"/>
          <w:szCs w:val="22"/>
        </w:rPr>
        <w:t>trombocitopeniją</w:t>
      </w:r>
      <w:proofErr w:type="spellEnd"/>
      <w:r w:rsidRPr="00051FD3">
        <w:rPr>
          <w:rFonts w:eastAsia="TimesNewRoman"/>
          <w:sz w:val="22"/>
          <w:szCs w:val="22"/>
        </w:rPr>
        <w:t xml:space="preserve">. Nėščiųjų edemai, nėščiųjų hipertenzijai ar </w:t>
      </w:r>
      <w:proofErr w:type="spellStart"/>
      <w:r w:rsidRPr="00051FD3">
        <w:rPr>
          <w:rFonts w:eastAsia="TimesNewRoman"/>
          <w:sz w:val="22"/>
          <w:szCs w:val="22"/>
        </w:rPr>
        <w:t>preeklampsijai</w:t>
      </w:r>
      <w:proofErr w:type="spellEnd"/>
      <w:r w:rsidRPr="00051FD3">
        <w:rPr>
          <w:rFonts w:eastAsia="TimesNewRoman"/>
          <w:sz w:val="22"/>
          <w:szCs w:val="22"/>
        </w:rPr>
        <w:t xml:space="preserve"> gydyti </w:t>
      </w:r>
      <w:proofErr w:type="spellStart"/>
      <w:r w:rsidRPr="00051FD3">
        <w:rPr>
          <w:rFonts w:eastAsia="TimesNewRoman"/>
          <w:sz w:val="22"/>
          <w:szCs w:val="22"/>
        </w:rPr>
        <w:t>hidrochlorotiazido</w:t>
      </w:r>
      <w:proofErr w:type="spellEnd"/>
      <w:r w:rsidRPr="00051FD3">
        <w:rPr>
          <w:rFonts w:eastAsia="TimesNewRoman"/>
          <w:sz w:val="22"/>
          <w:szCs w:val="22"/>
        </w:rPr>
        <w:t xml:space="preserve"> vartoti negalima, kadangi gresia plazmos tūrio ir placentos kraujotakos sumažėjimas, o palankus poveikis ligos eigai nepasireiškia.</w:t>
      </w:r>
    </w:p>
    <w:p w14:paraId="029B645E" w14:textId="77777777" w:rsidR="007F39B7" w:rsidRPr="00051FD3" w:rsidRDefault="007F39B7" w:rsidP="007F39B7">
      <w:pPr>
        <w:autoSpaceDE w:val="0"/>
        <w:autoSpaceDN w:val="0"/>
        <w:adjustRightInd w:val="0"/>
        <w:rPr>
          <w:rFonts w:eastAsia="TimesNewRoman"/>
          <w:sz w:val="22"/>
          <w:szCs w:val="22"/>
        </w:rPr>
      </w:pPr>
    </w:p>
    <w:p w14:paraId="1E661F20" w14:textId="77777777" w:rsidR="007F39B7" w:rsidRPr="00051FD3" w:rsidRDefault="007F39B7" w:rsidP="007F39B7">
      <w:pPr>
        <w:autoSpaceDE w:val="0"/>
        <w:autoSpaceDN w:val="0"/>
        <w:adjustRightInd w:val="0"/>
        <w:rPr>
          <w:sz w:val="22"/>
          <w:szCs w:val="22"/>
          <w:lang w:eastAsia="lt-LT"/>
        </w:rPr>
      </w:pPr>
      <w:r w:rsidRPr="00051FD3">
        <w:rPr>
          <w:rFonts w:eastAsia="TimesNewRoman"/>
          <w:sz w:val="22"/>
          <w:szCs w:val="22"/>
        </w:rPr>
        <w:t xml:space="preserve">Nėščių moterų pirminę hipertenziją </w:t>
      </w:r>
      <w:proofErr w:type="spellStart"/>
      <w:r w:rsidRPr="00051FD3">
        <w:rPr>
          <w:rFonts w:eastAsia="TimesNewRoman"/>
          <w:sz w:val="22"/>
          <w:szCs w:val="22"/>
        </w:rPr>
        <w:t>hidrochlorotiazidu</w:t>
      </w:r>
      <w:proofErr w:type="spellEnd"/>
      <w:r w:rsidRPr="00051FD3">
        <w:rPr>
          <w:rFonts w:eastAsia="TimesNewRoman"/>
          <w:sz w:val="22"/>
          <w:szCs w:val="22"/>
        </w:rPr>
        <w:t xml:space="preserve"> gydyti negalima, išskyrus retas aplinkybes, kuriomis kitokio gydymo taikyti negalima.</w:t>
      </w:r>
    </w:p>
    <w:p w14:paraId="4EC4D236" w14:textId="77777777" w:rsidR="007F39B7" w:rsidRPr="00051FD3" w:rsidRDefault="007F39B7" w:rsidP="007F39B7">
      <w:pPr>
        <w:autoSpaceDE w:val="0"/>
        <w:autoSpaceDN w:val="0"/>
        <w:adjustRightInd w:val="0"/>
        <w:rPr>
          <w:sz w:val="22"/>
          <w:szCs w:val="22"/>
          <w:lang w:eastAsia="lt-LT"/>
        </w:rPr>
      </w:pPr>
    </w:p>
    <w:p w14:paraId="6FC14C50" w14:textId="77777777"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Žindymas</w:t>
      </w:r>
    </w:p>
    <w:p w14:paraId="65998C13" w14:textId="77777777" w:rsidR="007F39B7" w:rsidRPr="00051FD3" w:rsidRDefault="007F39B7" w:rsidP="007F39B7">
      <w:pPr>
        <w:autoSpaceDE w:val="0"/>
        <w:autoSpaceDN w:val="0"/>
        <w:adjustRightInd w:val="0"/>
        <w:rPr>
          <w:rFonts w:eastAsia="TimesNewRoman"/>
          <w:sz w:val="22"/>
          <w:szCs w:val="22"/>
        </w:rPr>
      </w:pPr>
      <w:r w:rsidRPr="00051FD3">
        <w:rPr>
          <w:sz w:val="22"/>
          <w:szCs w:val="22"/>
          <w:lang w:eastAsia="lt-LT"/>
        </w:rPr>
        <w:t xml:space="preserve">Kadangi informacijos apie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vartojimą žindymo laikotarpiu nėra, žindyvių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gydyti nerekomenduojama. Žindymo laikotarpiu verčiau gydyti kitokiu būdu, kurio saugumas geriau ištirtas, ypač moteris, maitinančias naujagimius ar neišnešiotus kūdikius.</w:t>
      </w:r>
    </w:p>
    <w:p w14:paraId="4E9FAE36" w14:textId="77777777" w:rsidR="007F39B7" w:rsidRPr="00051FD3" w:rsidRDefault="007F39B7" w:rsidP="007F39B7">
      <w:pPr>
        <w:autoSpaceDE w:val="0"/>
        <w:autoSpaceDN w:val="0"/>
        <w:adjustRightInd w:val="0"/>
        <w:rPr>
          <w:rFonts w:eastAsia="TimesNewRoman"/>
          <w:sz w:val="22"/>
          <w:szCs w:val="22"/>
        </w:rPr>
      </w:pPr>
    </w:p>
    <w:p w14:paraId="5EEB2A60" w14:textId="77777777" w:rsidR="007F39B7" w:rsidRPr="00051FD3" w:rsidRDefault="007F39B7" w:rsidP="007F39B7">
      <w:pPr>
        <w:autoSpaceDE w:val="0"/>
        <w:autoSpaceDN w:val="0"/>
        <w:adjustRightInd w:val="0"/>
        <w:rPr>
          <w:sz w:val="22"/>
          <w:szCs w:val="22"/>
          <w:lang w:eastAsia="lt-LT"/>
        </w:rPr>
      </w:pPr>
      <w:r w:rsidRPr="00051FD3">
        <w:rPr>
          <w:rFonts w:eastAsia="TimesNewRoman"/>
          <w:sz w:val="22"/>
          <w:szCs w:val="22"/>
        </w:rPr>
        <w:t xml:space="preserve">Nedidelis </w:t>
      </w:r>
      <w:proofErr w:type="spellStart"/>
      <w:r w:rsidRPr="00051FD3">
        <w:rPr>
          <w:rFonts w:eastAsia="TimesNewRoman"/>
          <w:sz w:val="22"/>
          <w:szCs w:val="22"/>
        </w:rPr>
        <w:t>hidrochlorotiazido</w:t>
      </w:r>
      <w:proofErr w:type="spellEnd"/>
      <w:r w:rsidRPr="00051FD3">
        <w:rPr>
          <w:rFonts w:eastAsia="TimesNewRoman"/>
          <w:sz w:val="22"/>
          <w:szCs w:val="22"/>
        </w:rPr>
        <w:t xml:space="preserve"> kiekis išsiskiria su moters pienu. Didelės </w:t>
      </w:r>
      <w:proofErr w:type="spellStart"/>
      <w:r w:rsidRPr="00051FD3">
        <w:rPr>
          <w:rFonts w:eastAsia="TimesNewRoman"/>
          <w:sz w:val="22"/>
          <w:szCs w:val="22"/>
        </w:rPr>
        <w:t>tiazidų</w:t>
      </w:r>
      <w:proofErr w:type="spellEnd"/>
      <w:r w:rsidRPr="00051FD3">
        <w:rPr>
          <w:rFonts w:eastAsia="TimesNewRoman"/>
          <w:sz w:val="22"/>
          <w:szCs w:val="22"/>
        </w:rPr>
        <w:t xml:space="preserve"> dozės, sukeliančios stiprią diurezę, gali slopinti pieno gamybą. Žindymo laikotarpiu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lastRenderedPageBreak/>
        <w:t>Teva</w:t>
      </w:r>
      <w:proofErr w:type="spellEnd"/>
      <w:r w:rsidRPr="00051FD3">
        <w:rPr>
          <w:sz w:val="22"/>
          <w:szCs w:val="22"/>
          <w:lang w:eastAsia="lt-LT"/>
        </w:rPr>
        <w:t xml:space="preserve"> Pharma</w:t>
      </w:r>
      <w:r w:rsidRPr="00051FD3">
        <w:rPr>
          <w:rFonts w:eastAsia="TimesNewRoman"/>
          <w:sz w:val="22"/>
          <w:szCs w:val="22"/>
        </w:rPr>
        <w:t xml:space="preserve"> vartoti nerekomenduojama. Jeigu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TimesNewRoman"/>
          <w:sz w:val="22"/>
          <w:szCs w:val="22"/>
        </w:rPr>
        <w:t xml:space="preserve"> gydoma žindymo laikotarpiu, reikia vartoti kiek galima mažesnę jo dozę</w:t>
      </w:r>
      <w:r w:rsidRPr="00051FD3">
        <w:rPr>
          <w:sz w:val="22"/>
          <w:szCs w:val="22"/>
          <w:lang w:eastAsia="lt-LT"/>
        </w:rPr>
        <w:t>.</w:t>
      </w:r>
    </w:p>
    <w:p w14:paraId="7EC5A021" w14:textId="77777777" w:rsidR="007F39B7" w:rsidRPr="00051FD3" w:rsidRDefault="007F39B7" w:rsidP="007F39B7">
      <w:pPr>
        <w:autoSpaceDE w:val="0"/>
        <w:autoSpaceDN w:val="0"/>
        <w:adjustRightInd w:val="0"/>
        <w:rPr>
          <w:sz w:val="22"/>
          <w:szCs w:val="22"/>
          <w:u w:val="single"/>
        </w:rPr>
      </w:pPr>
    </w:p>
    <w:p w14:paraId="7E9D0A78" w14:textId="77777777"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Vaisingumas</w:t>
      </w:r>
    </w:p>
    <w:p w14:paraId="53509DDA" w14:textId="4FDC16CD" w:rsidR="00775E26" w:rsidRPr="00051FD3" w:rsidRDefault="00775E26" w:rsidP="007F39B7">
      <w:pPr>
        <w:autoSpaceDE w:val="0"/>
        <w:autoSpaceDN w:val="0"/>
        <w:adjustRightInd w:val="0"/>
        <w:rPr>
          <w:sz w:val="22"/>
          <w:szCs w:val="22"/>
        </w:rPr>
      </w:pPr>
      <w:r w:rsidRPr="00051FD3">
        <w:rPr>
          <w:sz w:val="22"/>
          <w:szCs w:val="22"/>
        </w:rPr>
        <w:t xml:space="preserve">Žmonių vaisingumo tyrimų su fiksuotų dozių deriniu arba atskirais sudėties komponentais neatlikta. </w:t>
      </w:r>
    </w:p>
    <w:p w14:paraId="69A7A0CA" w14:textId="6330699D" w:rsidR="007F39B7" w:rsidRPr="00051FD3" w:rsidRDefault="007F39B7" w:rsidP="007F39B7">
      <w:pPr>
        <w:autoSpaceDE w:val="0"/>
        <w:autoSpaceDN w:val="0"/>
        <w:adjustRightInd w:val="0"/>
        <w:rPr>
          <w:sz w:val="22"/>
          <w:szCs w:val="22"/>
          <w:lang w:eastAsia="lt-LT"/>
        </w:rPr>
      </w:pPr>
      <w:proofErr w:type="spellStart"/>
      <w:r w:rsidRPr="00051FD3">
        <w:rPr>
          <w:sz w:val="22"/>
          <w:szCs w:val="22"/>
          <w:lang w:eastAsia="lt-LT"/>
        </w:rPr>
        <w:t>Ikiklinikinių</w:t>
      </w:r>
      <w:proofErr w:type="spellEnd"/>
      <w:r w:rsidRPr="00051FD3">
        <w:rPr>
          <w:sz w:val="22"/>
          <w:szCs w:val="22"/>
          <w:lang w:eastAsia="lt-LT"/>
        </w:rPr>
        <w:t xml:space="preserve"> tyrimų metu </w:t>
      </w:r>
      <w:proofErr w:type="spellStart"/>
      <w:r w:rsidRPr="00051FD3">
        <w:rPr>
          <w:sz w:val="22"/>
          <w:szCs w:val="22"/>
          <w:lang w:eastAsia="lt-LT"/>
        </w:rPr>
        <w:t>telmisartano</w:t>
      </w:r>
      <w:proofErr w:type="spellEnd"/>
      <w:r w:rsidRPr="00051FD3">
        <w:rPr>
          <w:sz w:val="22"/>
          <w:szCs w:val="22"/>
          <w:lang w:eastAsia="lt-LT"/>
        </w:rPr>
        <w:t xml:space="preserve"> ir </w:t>
      </w:r>
      <w:proofErr w:type="spellStart"/>
      <w:r w:rsidRPr="00051FD3">
        <w:rPr>
          <w:sz w:val="22"/>
          <w:szCs w:val="22"/>
          <w:lang w:eastAsia="lt-LT"/>
        </w:rPr>
        <w:t>hidrochlorotiazido</w:t>
      </w:r>
      <w:proofErr w:type="spellEnd"/>
      <w:r w:rsidRPr="00051FD3">
        <w:rPr>
          <w:sz w:val="22"/>
          <w:szCs w:val="22"/>
          <w:lang w:eastAsia="lt-LT"/>
        </w:rPr>
        <w:t xml:space="preserve"> poveikio vyriškos ar moteriškos lyties gyvūnų vaisingumui nepastebėta.</w:t>
      </w:r>
    </w:p>
    <w:p w14:paraId="5ED067AE" w14:textId="77777777" w:rsidR="007F39B7" w:rsidRPr="00051FD3" w:rsidRDefault="007F39B7" w:rsidP="007F39B7">
      <w:pPr>
        <w:tabs>
          <w:tab w:val="left" w:pos="567"/>
        </w:tabs>
        <w:rPr>
          <w:sz w:val="22"/>
          <w:szCs w:val="22"/>
        </w:rPr>
      </w:pPr>
    </w:p>
    <w:p w14:paraId="7C26798A" w14:textId="77777777" w:rsidR="007F39B7" w:rsidRPr="00051FD3" w:rsidRDefault="007F39B7" w:rsidP="007F39B7">
      <w:pPr>
        <w:tabs>
          <w:tab w:val="left" w:pos="567"/>
        </w:tabs>
        <w:rPr>
          <w:b/>
          <w:sz w:val="22"/>
          <w:szCs w:val="22"/>
        </w:rPr>
      </w:pPr>
      <w:r w:rsidRPr="00051FD3">
        <w:rPr>
          <w:b/>
          <w:sz w:val="22"/>
          <w:szCs w:val="22"/>
        </w:rPr>
        <w:t>4.7</w:t>
      </w:r>
      <w:r w:rsidRPr="00051FD3">
        <w:rPr>
          <w:b/>
          <w:sz w:val="22"/>
          <w:szCs w:val="22"/>
        </w:rPr>
        <w:tab/>
        <w:t>Poveikis gebėjimui vairuoti ir valdyti mechanizmus</w:t>
      </w:r>
    </w:p>
    <w:p w14:paraId="6B11A295" w14:textId="77777777" w:rsidR="007F39B7" w:rsidRPr="00051FD3" w:rsidRDefault="007F39B7" w:rsidP="007F39B7">
      <w:pPr>
        <w:tabs>
          <w:tab w:val="left" w:pos="567"/>
        </w:tabs>
        <w:rPr>
          <w:sz w:val="22"/>
          <w:szCs w:val="22"/>
        </w:rPr>
      </w:pPr>
    </w:p>
    <w:p w14:paraId="1E972D49" w14:textId="6947461E" w:rsidR="007F39B7" w:rsidRDefault="00852549" w:rsidP="007F39B7">
      <w:pPr>
        <w:widowControl w:val="0"/>
        <w:rPr>
          <w:sz w:val="22"/>
          <w:szCs w:val="22"/>
          <w:lang w:eastAsia="lt-LT"/>
        </w:rPr>
      </w:pP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Calibri"/>
          <w:sz w:val="22"/>
          <w:szCs w:val="22"/>
        </w:rPr>
        <w:t xml:space="preserve"> gali veikti gebėjimą vairuoti ir valdyti mechanizmus.</w:t>
      </w:r>
      <w:r w:rsidR="007F39B7" w:rsidRPr="00051FD3">
        <w:rPr>
          <w:rFonts w:eastAsia="Calibri"/>
          <w:sz w:val="22"/>
          <w:szCs w:val="22"/>
        </w:rPr>
        <w:t xml:space="preserve"> </w:t>
      </w:r>
      <w:r w:rsidR="0041329A" w:rsidRPr="00051FD3">
        <w:rPr>
          <w:rFonts w:eastAsia="Calibri"/>
          <w:sz w:val="22"/>
          <w:szCs w:val="22"/>
        </w:rPr>
        <w:t xml:space="preserve">Vartojant </w:t>
      </w:r>
      <w:proofErr w:type="spellStart"/>
      <w:r w:rsidR="007F39B7" w:rsidRPr="00051FD3">
        <w:rPr>
          <w:sz w:val="22"/>
          <w:szCs w:val="22"/>
          <w:lang w:eastAsia="lt-LT"/>
        </w:rPr>
        <w:t>Telmisartan</w:t>
      </w:r>
      <w:proofErr w:type="spellEnd"/>
      <w:r w:rsidR="007F39B7" w:rsidRPr="00051FD3">
        <w:rPr>
          <w:sz w:val="22"/>
          <w:szCs w:val="22"/>
          <w:lang w:eastAsia="lt-LT"/>
        </w:rPr>
        <w:t>/</w:t>
      </w:r>
      <w:proofErr w:type="spellStart"/>
      <w:r w:rsidR="007F39B7" w:rsidRPr="00051FD3">
        <w:rPr>
          <w:sz w:val="22"/>
          <w:szCs w:val="22"/>
          <w:lang w:eastAsia="lt-LT"/>
        </w:rPr>
        <w:t>Hydrochlorothiazide</w:t>
      </w:r>
      <w:proofErr w:type="spellEnd"/>
      <w:r w:rsidR="007F39B7" w:rsidRPr="00051FD3">
        <w:rPr>
          <w:sz w:val="22"/>
          <w:szCs w:val="22"/>
          <w:lang w:eastAsia="lt-LT"/>
        </w:rPr>
        <w:t xml:space="preserve"> </w:t>
      </w:r>
      <w:proofErr w:type="spellStart"/>
      <w:r w:rsidR="007F39B7" w:rsidRPr="00051FD3">
        <w:rPr>
          <w:sz w:val="22"/>
          <w:szCs w:val="22"/>
          <w:lang w:eastAsia="lt-LT"/>
        </w:rPr>
        <w:t>Teva</w:t>
      </w:r>
      <w:proofErr w:type="spellEnd"/>
      <w:r w:rsidR="007F39B7" w:rsidRPr="00051FD3">
        <w:rPr>
          <w:sz w:val="22"/>
          <w:szCs w:val="22"/>
          <w:lang w:eastAsia="lt-LT"/>
        </w:rPr>
        <w:t xml:space="preserve"> Pharma, retkarčiais gali </w:t>
      </w:r>
      <w:r w:rsidR="0041329A" w:rsidRPr="00051FD3">
        <w:rPr>
          <w:sz w:val="22"/>
          <w:szCs w:val="22"/>
          <w:lang w:eastAsia="lt-LT"/>
        </w:rPr>
        <w:t>pasireikšti svaigulys</w:t>
      </w:r>
      <w:r w:rsidR="00775E26" w:rsidRPr="00051FD3">
        <w:rPr>
          <w:sz w:val="22"/>
          <w:szCs w:val="22"/>
          <w:lang w:eastAsia="lt-LT"/>
        </w:rPr>
        <w:t>, sinkopė</w:t>
      </w:r>
      <w:r w:rsidR="007F39B7" w:rsidRPr="00051FD3">
        <w:rPr>
          <w:sz w:val="22"/>
          <w:szCs w:val="22"/>
          <w:lang w:eastAsia="lt-LT"/>
        </w:rPr>
        <w:t xml:space="preserve"> </w:t>
      </w:r>
      <w:r w:rsidR="00775E26" w:rsidRPr="00051FD3">
        <w:rPr>
          <w:sz w:val="22"/>
          <w:szCs w:val="22"/>
          <w:lang w:eastAsia="lt-LT"/>
        </w:rPr>
        <w:t>(</w:t>
      </w:r>
      <w:r w:rsidR="00775E26" w:rsidRPr="00051FD3">
        <w:rPr>
          <w:rStyle w:val="Emfaz"/>
          <w:bCs/>
          <w:i w:val="0"/>
          <w:iCs w:val="0"/>
          <w:color w:val="767676"/>
          <w:sz w:val="22"/>
          <w:szCs w:val="22"/>
          <w:shd w:val="clear" w:color="auto" w:fill="FFFFFF"/>
        </w:rPr>
        <w:t>a</w:t>
      </w:r>
      <w:r w:rsidR="00500926">
        <w:rPr>
          <w:rStyle w:val="Emfaz"/>
          <w:bCs/>
          <w:i w:val="0"/>
          <w:iCs w:val="0"/>
          <w:color w:val="767676"/>
          <w:sz w:val="22"/>
          <w:szCs w:val="22"/>
          <w:shd w:val="clear" w:color="auto" w:fill="FFFFFF"/>
        </w:rPr>
        <w:t>pa</w:t>
      </w:r>
      <w:r w:rsidR="00775E26" w:rsidRPr="00051FD3">
        <w:rPr>
          <w:rStyle w:val="Emfaz"/>
          <w:bCs/>
          <w:i w:val="0"/>
          <w:iCs w:val="0"/>
          <w:color w:val="767676"/>
          <w:sz w:val="22"/>
          <w:szCs w:val="22"/>
          <w:shd w:val="clear" w:color="auto" w:fill="FFFFFF"/>
        </w:rPr>
        <w:t>lpimas ar sąmonės netekimas)</w:t>
      </w:r>
      <w:r w:rsidR="00775E26" w:rsidRPr="00051FD3">
        <w:rPr>
          <w:sz w:val="22"/>
          <w:szCs w:val="22"/>
          <w:lang w:eastAsia="lt-LT"/>
        </w:rPr>
        <w:t xml:space="preserve"> </w:t>
      </w:r>
      <w:r w:rsidR="007F39B7" w:rsidRPr="00051FD3">
        <w:rPr>
          <w:sz w:val="22"/>
          <w:szCs w:val="22"/>
          <w:lang w:eastAsia="lt-LT"/>
        </w:rPr>
        <w:t>ar</w:t>
      </w:r>
      <w:r w:rsidRPr="00051FD3">
        <w:rPr>
          <w:sz w:val="22"/>
          <w:szCs w:val="22"/>
          <w:lang w:eastAsia="lt-LT"/>
        </w:rPr>
        <w:t xml:space="preserve">ba </w:t>
      </w:r>
      <w:r w:rsidR="00BE3AB7">
        <w:rPr>
          <w:sz w:val="22"/>
          <w:szCs w:val="22"/>
          <w:lang w:eastAsia="lt-LT"/>
        </w:rPr>
        <w:t>galvos sukimasis</w:t>
      </w:r>
      <w:r w:rsidR="00500926">
        <w:rPr>
          <w:sz w:val="22"/>
          <w:szCs w:val="22"/>
          <w:lang w:eastAsia="lt-LT"/>
        </w:rPr>
        <w:t>.</w:t>
      </w:r>
    </w:p>
    <w:p w14:paraId="1A2BCE53" w14:textId="77777777" w:rsidR="003A7BC8" w:rsidRPr="003A7BC8" w:rsidRDefault="003A7BC8" w:rsidP="003A7BC8">
      <w:pPr>
        <w:widowControl w:val="0"/>
        <w:rPr>
          <w:sz w:val="22"/>
          <w:szCs w:val="22"/>
          <w:lang w:eastAsia="lt-LT"/>
        </w:rPr>
      </w:pPr>
      <w:r w:rsidRPr="003A7BC8">
        <w:rPr>
          <w:sz w:val="22"/>
          <w:szCs w:val="22"/>
          <w:lang w:eastAsia="lt-LT"/>
        </w:rPr>
        <w:t>Jei pacientams pasireiškia šie nepageidaujami reiškiniai, jie turi vengti potencialiai pavojingų užduočių, tokių kaip vairavimas ar mechanizmų valdymas.</w:t>
      </w:r>
    </w:p>
    <w:p w14:paraId="13086F4F" w14:textId="77777777" w:rsidR="003A7BC8" w:rsidRPr="00051FD3" w:rsidRDefault="003A7BC8" w:rsidP="007F39B7">
      <w:pPr>
        <w:widowControl w:val="0"/>
        <w:rPr>
          <w:sz w:val="22"/>
          <w:szCs w:val="22"/>
          <w:lang w:eastAsia="lt-LT"/>
        </w:rPr>
      </w:pPr>
    </w:p>
    <w:p w14:paraId="28B10670" w14:textId="77777777" w:rsidR="007F39B7" w:rsidRPr="00051FD3" w:rsidRDefault="007F39B7" w:rsidP="007F39B7">
      <w:pPr>
        <w:tabs>
          <w:tab w:val="left" w:pos="567"/>
        </w:tabs>
        <w:rPr>
          <w:sz w:val="22"/>
          <w:szCs w:val="22"/>
        </w:rPr>
      </w:pPr>
    </w:p>
    <w:p w14:paraId="2A50C404" w14:textId="77777777" w:rsidR="007F39B7" w:rsidRPr="00051FD3" w:rsidRDefault="007F39B7" w:rsidP="007F39B7">
      <w:pPr>
        <w:autoSpaceDE w:val="0"/>
        <w:autoSpaceDN w:val="0"/>
        <w:adjustRightInd w:val="0"/>
        <w:rPr>
          <w:b/>
          <w:bCs/>
          <w:sz w:val="22"/>
          <w:szCs w:val="22"/>
          <w:lang w:eastAsia="lt-LT"/>
        </w:rPr>
      </w:pPr>
      <w:r w:rsidRPr="00051FD3">
        <w:rPr>
          <w:b/>
          <w:bCs/>
          <w:sz w:val="22"/>
          <w:szCs w:val="22"/>
          <w:lang w:eastAsia="lt-LT"/>
        </w:rPr>
        <w:t xml:space="preserve">4.8 </w:t>
      </w:r>
      <w:r w:rsidRPr="00051FD3">
        <w:rPr>
          <w:b/>
          <w:bCs/>
          <w:sz w:val="22"/>
          <w:szCs w:val="22"/>
          <w:lang w:eastAsia="lt-LT"/>
        </w:rPr>
        <w:tab/>
        <w:t>Nepageidaujamas poveikis</w:t>
      </w:r>
    </w:p>
    <w:p w14:paraId="777C924F" w14:textId="77777777" w:rsidR="007F39B7" w:rsidRPr="00051FD3" w:rsidRDefault="007F39B7" w:rsidP="007F39B7">
      <w:pPr>
        <w:autoSpaceDE w:val="0"/>
        <w:autoSpaceDN w:val="0"/>
        <w:adjustRightInd w:val="0"/>
        <w:rPr>
          <w:sz w:val="22"/>
          <w:szCs w:val="22"/>
        </w:rPr>
      </w:pPr>
    </w:p>
    <w:p w14:paraId="0105DE22" w14:textId="77777777" w:rsidR="007F39B7" w:rsidRPr="00051FD3" w:rsidRDefault="007F39B7" w:rsidP="007F39B7">
      <w:pPr>
        <w:autoSpaceDE w:val="0"/>
        <w:autoSpaceDN w:val="0"/>
        <w:adjustRightInd w:val="0"/>
        <w:rPr>
          <w:i/>
          <w:sz w:val="22"/>
          <w:szCs w:val="22"/>
          <w:lang w:eastAsia="lt-LT"/>
        </w:rPr>
      </w:pPr>
      <w:r w:rsidRPr="00051FD3">
        <w:rPr>
          <w:i/>
          <w:sz w:val="22"/>
          <w:szCs w:val="22"/>
          <w:lang w:eastAsia="lt-LT"/>
        </w:rPr>
        <w:t>Saugumo duomenų santrauka</w:t>
      </w:r>
    </w:p>
    <w:p w14:paraId="59277486" w14:textId="2BC4FB1E" w:rsidR="007F39B7" w:rsidRPr="00051FD3" w:rsidRDefault="007F39B7" w:rsidP="007F39B7">
      <w:pPr>
        <w:widowControl w:val="0"/>
        <w:rPr>
          <w:rFonts w:eastAsia="Calibri"/>
          <w:sz w:val="22"/>
          <w:szCs w:val="22"/>
        </w:rPr>
      </w:pPr>
      <w:r w:rsidRPr="00051FD3">
        <w:rPr>
          <w:rFonts w:eastAsia="Calibri"/>
          <w:sz w:val="22"/>
          <w:szCs w:val="22"/>
        </w:rPr>
        <w:t xml:space="preserve">Dažniausiai pasitaikanti nepageidaujama reakcija yra svaigulys. Retai (nuo </w:t>
      </w:r>
      <w:r w:rsidRPr="00051FD3">
        <w:rPr>
          <w:rFonts w:eastAsia="Meiryo"/>
          <w:sz w:val="22"/>
          <w:szCs w:val="22"/>
        </w:rPr>
        <w:t>≥</w:t>
      </w:r>
      <w:r w:rsidR="00504A42">
        <w:rPr>
          <w:rFonts w:eastAsia="Meiryo"/>
          <w:sz w:val="22"/>
          <w:szCs w:val="22"/>
        </w:rPr>
        <w:t> </w:t>
      </w:r>
      <w:r w:rsidRPr="00051FD3">
        <w:rPr>
          <w:rFonts w:eastAsia="Calibri"/>
          <w:sz w:val="22"/>
          <w:szCs w:val="22"/>
        </w:rPr>
        <w:t xml:space="preserve">1/10 000 iki </w:t>
      </w:r>
      <w:r w:rsidRPr="00051FD3">
        <w:rPr>
          <w:rFonts w:eastAsia="Meiryo"/>
          <w:sz w:val="22"/>
          <w:szCs w:val="22"/>
        </w:rPr>
        <w:t>&lt;</w:t>
      </w:r>
      <w:r w:rsidR="00504A42">
        <w:rPr>
          <w:rFonts w:eastAsia="Meiryo"/>
          <w:sz w:val="22"/>
          <w:szCs w:val="22"/>
        </w:rPr>
        <w:t> </w:t>
      </w:r>
      <w:r w:rsidRPr="00051FD3">
        <w:rPr>
          <w:rFonts w:eastAsia="Calibri"/>
          <w:sz w:val="22"/>
          <w:szCs w:val="22"/>
        </w:rPr>
        <w:t>1/1</w:t>
      </w:r>
      <w:r w:rsidR="00504A42">
        <w:rPr>
          <w:rFonts w:eastAsia="Calibri"/>
          <w:sz w:val="22"/>
          <w:szCs w:val="22"/>
        </w:rPr>
        <w:t> </w:t>
      </w:r>
      <w:r w:rsidRPr="00051FD3">
        <w:rPr>
          <w:rFonts w:eastAsia="Calibri"/>
          <w:sz w:val="22"/>
          <w:szCs w:val="22"/>
        </w:rPr>
        <w:t>000)</w:t>
      </w:r>
    </w:p>
    <w:p w14:paraId="59AE1F08" w14:textId="77777777" w:rsidR="007F39B7" w:rsidRPr="00051FD3" w:rsidRDefault="007F39B7" w:rsidP="007F39B7">
      <w:pPr>
        <w:widowControl w:val="0"/>
        <w:rPr>
          <w:rFonts w:eastAsia="Calibri"/>
          <w:sz w:val="22"/>
          <w:szCs w:val="22"/>
        </w:rPr>
      </w:pPr>
      <w:r w:rsidRPr="00051FD3">
        <w:rPr>
          <w:rFonts w:eastAsia="Calibri"/>
          <w:sz w:val="22"/>
          <w:szCs w:val="22"/>
        </w:rPr>
        <w:t xml:space="preserve">gali pasireikšti sunki </w:t>
      </w:r>
      <w:proofErr w:type="spellStart"/>
      <w:r w:rsidRPr="00051FD3">
        <w:rPr>
          <w:rFonts w:eastAsia="Calibri"/>
          <w:sz w:val="22"/>
          <w:szCs w:val="22"/>
        </w:rPr>
        <w:t>angioneurozinė</w:t>
      </w:r>
      <w:proofErr w:type="spellEnd"/>
      <w:r w:rsidRPr="00051FD3">
        <w:rPr>
          <w:rFonts w:eastAsia="Calibri"/>
          <w:sz w:val="22"/>
          <w:szCs w:val="22"/>
        </w:rPr>
        <w:t xml:space="preserve"> edema.</w:t>
      </w:r>
    </w:p>
    <w:p w14:paraId="07E95FDC" w14:textId="77777777" w:rsidR="007F39B7" w:rsidRPr="00051FD3" w:rsidRDefault="007F39B7" w:rsidP="007F39B7">
      <w:pPr>
        <w:autoSpaceDE w:val="0"/>
        <w:autoSpaceDN w:val="0"/>
        <w:adjustRightInd w:val="0"/>
        <w:rPr>
          <w:sz w:val="22"/>
          <w:szCs w:val="22"/>
          <w:lang w:eastAsia="lt-LT"/>
        </w:rPr>
      </w:pPr>
    </w:p>
    <w:p w14:paraId="1F0F2841" w14:textId="77777777" w:rsidR="007F39B7" w:rsidRPr="00051FD3" w:rsidRDefault="007F39B7" w:rsidP="007F39B7">
      <w:pPr>
        <w:autoSpaceDE w:val="0"/>
        <w:autoSpaceDN w:val="0"/>
        <w:adjustRightInd w:val="0"/>
        <w:rPr>
          <w:sz w:val="22"/>
          <w:szCs w:val="22"/>
          <w:lang w:eastAsia="lt-LT"/>
        </w:rPr>
      </w:pPr>
      <w:r w:rsidRPr="00051FD3">
        <w:rPr>
          <w:rFonts w:eastAsia="TimesNewRoman"/>
          <w:sz w:val="22"/>
          <w:szCs w:val="22"/>
        </w:rPr>
        <w:t xml:space="preserve">Atsitiktinių imčių kontrolinių klinikinių tyrimų, kuriuose dalyvavo 1471 pacientas, metu gautų pranešimų apie bendrą nepageidaujamų reiškinių dažnį </w:t>
      </w:r>
      <w:proofErr w:type="spellStart"/>
      <w:r w:rsidRPr="00051FD3">
        <w:rPr>
          <w:rFonts w:eastAsia="TimesNewRoman"/>
          <w:sz w:val="22"/>
          <w:szCs w:val="22"/>
        </w:rPr>
        <w:t>telmisartano</w:t>
      </w:r>
      <w:proofErr w:type="spellEnd"/>
      <w:r w:rsidRPr="00051FD3">
        <w:rPr>
          <w:rFonts w:eastAsia="TimesNewRoman"/>
          <w:sz w:val="22"/>
          <w:szCs w:val="22"/>
        </w:rPr>
        <w:t>/</w:t>
      </w:r>
      <w:proofErr w:type="spellStart"/>
      <w:r w:rsidRPr="00051FD3">
        <w:rPr>
          <w:rFonts w:eastAsia="TimesNewRoman"/>
          <w:sz w:val="22"/>
          <w:szCs w:val="22"/>
        </w:rPr>
        <w:t>hidrochlorotiazido</w:t>
      </w:r>
      <w:proofErr w:type="spellEnd"/>
      <w:r w:rsidRPr="00051FD3">
        <w:rPr>
          <w:rFonts w:eastAsia="TimesNewRoman"/>
          <w:sz w:val="22"/>
          <w:szCs w:val="22"/>
        </w:rPr>
        <w:t xml:space="preserve"> deriniui (vartojo 835 tiriamieji) skaičius buvo panašus kaip vien </w:t>
      </w:r>
      <w:proofErr w:type="spellStart"/>
      <w:r w:rsidRPr="00051FD3">
        <w:rPr>
          <w:rFonts w:eastAsia="TimesNewRoman"/>
          <w:sz w:val="22"/>
          <w:szCs w:val="22"/>
        </w:rPr>
        <w:t>telmisartanui</w:t>
      </w:r>
      <w:proofErr w:type="spellEnd"/>
      <w:r w:rsidRPr="00051FD3">
        <w:rPr>
          <w:rFonts w:eastAsia="TimesNewRoman"/>
          <w:sz w:val="22"/>
          <w:szCs w:val="22"/>
        </w:rPr>
        <w:t xml:space="preserve"> (vartojo 636 tiriamieji). Nepageidaujamų reakcijų priklausomumas nuo dozės nenustatinėtas. Nuo lyties, amžiaus ir rasės jis nepriklausė.</w:t>
      </w:r>
    </w:p>
    <w:p w14:paraId="23881B55" w14:textId="77777777" w:rsidR="007F39B7" w:rsidRPr="00051FD3" w:rsidRDefault="007F39B7" w:rsidP="007F39B7">
      <w:pPr>
        <w:autoSpaceDE w:val="0"/>
        <w:autoSpaceDN w:val="0"/>
        <w:adjustRightInd w:val="0"/>
        <w:rPr>
          <w:sz w:val="22"/>
          <w:szCs w:val="22"/>
          <w:lang w:eastAsia="lt-LT"/>
        </w:rPr>
      </w:pPr>
    </w:p>
    <w:p w14:paraId="378D5DED" w14:textId="77777777" w:rsidR="007F39B7" w:rsidRPr="00051FD3" w:rsidRDefault="007F39B7" w:rsidP="007F39B7">
      <w:pPr>
        <w:autoSpaceDE w:val="0"/>
        <w:autoSpaceDN w:val="0"/>
        <w:adjustRightInd w:val="0"/>
        <w:rPr>
          <w:i/>
          <w:sz w:val="22"/>
          <w:szCs w:val="22"/>
          <w:lang w:eastAsia="lt-LT"/>
        </w:rPr>
      </w:pPr>
      <w:r w:rsidRPr="00051FD3">
        <w:rPr>
          <w:i/>
          <w:iCs/>
          <w:sz w:val="22"/>
          <w:szCs w:val="22"/>
          <w:lang w:eastAsia="lt-LT"/>
        </w:rPr>
        <w:t xml:space="preserve">Nepageidaujamų reakcijų </w:t>
      </w:r>
      <w:r w:rsidR="00FF1DB3" w:rsidRPr="00051FD3">
        <w:rPr>
          <w:i/>
          <w:iCs/>
          <w:sz w:val="22"/>
          <w:szCs w:val="22"/>
          <w:lang w:eastAsia="lt-LT"/>
        </w:rPr>
        <w:t>sąrašas</w:t>
      </w:r>
      <w:r w:rsidR="00711047" w:rsidRPr="00051FD3">
        <w:rPr>
          <w:i/>
          <w:iCs/>
          <w:sz w:val="22"/>
          <w:szCs w:val="22"/>
          <w:lang w:eastAsia="lt-LT"/>
        </w:rPr>
        <w:t xml:space="preserve"> </w:t>
      </w:r>
      <w:r w:rsidRPr="00051FD3">
        <w:rPr>
          <w:i/>
          <w:iCs/>
          <w:sz w:val="22"/>
          <w:szCs w:val="22"/>
          <w:lang w:eastAsia="lt-LT"/>
        </w:rPr>
        <w:t>lentelėje</w:t>
      </w:r>
    </w:p>
    <w:p w14:paraId="455922F7" w14:textId="11A3E4AD" w:rsidR="007F39B7" w:rsidRPr="00051FD3" w:rsidRDefault="007F39B7" w:rsidP="007F39B7">
      <w:pPr>
        <w:autoSpaceDE w:val="0"/>
        <w:autoSpaceDN w:val="0"/>
        <w:adjustRightInd w:val="0"/>
        <w:rPr>
          <w:sz w:val="22"/>
          <w:szCs w:val="22"/>
          <w:lang w:eastAsia="lt-LT"/>
        </w:rPr>
      </w:pPr>
      <w:r w:rsidRPr="00051FD3">
        <w:rPr>
          <w:rFonts w:eastAsia="TimesNewRoman"/>
          <w:sz w:val="22"/>
          <w:szCs w:val="22"/>
        </w:rPr>
        <w:t xml:space="preserve">Nepageidaujamos reakcijos, kurios </w:t>
      </w:r>
      <w:proofErr w:type="spellStart"/>
      <w:r w:rsidRPr="00051FD3">
        <w:rPr>
          <w:rFonts w:eastAsia="TimesNewRoman"/>
          <w:sz w:val="22"/>
          <w:szCs w:val="22"/>
        </w:rPr>
        <w:t>telmisartano</w:t>
      </w:r>
      <w:proofErr w:type="spellEnd"/>
      <w:r w:rsidRPr="00051FD3">
        <w:rPr>
          <w:rFonts w:eastAsia="TimesNewRoman"/>
          <w:sz w:val="22"/>
          <w:szCs w:val="22"/>
        </w:rPr>
        <w:t xml:space="preserve"> ir </w:t>
      </w:r>
      <w:proofErr w:type="spellStart"/>
      <w:r w:rsidRPr="00051FD3">
        <w:rPr>
          <w:rFonts w:eastAsia="TimesNewRoman"/>
          <w:sz w:val="22"/>
          <w:szCs w:val="22"/>
        </w:rPr>
        <w:t>hidrochlorotiazido</w:t>
      </w:r>
      <w:proofErr w:type="spellEnd"/>
      <w:r w:rsidRPr="00051FD3">
        <w:rPr>
          <w:rFonts w:eastAsia="TimesNewRoman"/>
          <w:sz w:val="22"/>
          <w:szCs w:val="22"/>
        </w:rPr>
        <w:t xml:space="preserve"> vartojantiems pacientams pasireiškė dažniau (p</w:t>
      </w:r>
      <w:r w:rsidR="00775E26" w:rsidRPr="00051FD3">
        <w:rPr>
          <w:rFonts w:eastAsia="TimesNewRoman"/>
          <w:sz w:val="22"/>
          <w:szCs w:val="22"/>
        </w:rPr>
        <w:t> </w:t>
      </w:r>
      <w:r w:rsidRPr="00051FD3">
        <w:rPr>
          <w:rFonts w:eastAsia="TimesNewRoman"/>
          <w:sz w:val="22"/>
          <w:szCs w:val="22"/>
        </w:rPr>
        <w:t>≤</w:t>
      </w:r>
      <w:r w:rsidR="00775E26" w:rsidRPr="00051FD3">
        <w:rPr>
          <w:rFonts w:eastAsia="TimesNewRoman"/>
          <w:sz w:val="22"/>
          <w:szCs w:val="22"/>
        </w:rPr>
        <w:t> </w:t>
      </w:r>
      <w:r w:rsidRPr="00051FD3">
        <w:rPr>
          <w:rFonts w:eastAsia="TimesNewRoman"/>
          <w:sz w:val="22"/>
          <w:szCs w:val="22"/>
        </w:rPr>
        <w:t xml:space="preserve">0,05) negu vartojantiems placebo, išvardytos toliau esančioje lentelėje pagal organų sistemas. Gydant </w:t>
      </w:r>
      <w:proofErr w:type="spellStart"/>
      <w:r w:rsidRPr="00051FD3">
        <w:rPr>
          <w:rFonts w:eastAsia="TimesNewRoman"/>
          <w:sz w:val="22"/>
          <w:szCs w:val="22"/>
        </w:rPr>
        <w:t>telmisartano</w:t>
      </w:r>
      <w:proofErr w:type="spellEnd"/>
      <w:r w:rsidRPr="00051FD3">
        <w:rPr>
          <w:rFonts w:eastAsia="TimesNewRoman"/>
          <w:sz w:val="22"/>
          <w:szCs w:val="22"/>
        </w:rPr>
        <w:t>/</w:t>
      </w:r>
      <w:proofErr w:type="spellStart"/>
      <w:r w:rsidRPr="00051FD3">
        <w:rPr>
          <w:rFonts w:eastAsia="TimesNewRoman"/>
          <w:sz w:val="22"/>
          <w:szCs w:val="22"/>
        </w:rPr>
        <w:t>hidrochlorotiazido</w:t>
      </w:r>
      <w:proofErr w:type="spellEnd"/>
      <w:r w:rsidRPr="00051FD3">
        <w:rPr>
          <w:rFonts w:eastAsia="TimesNewRoman"/>
          <w:sz w:val="22"/>
          <w:szCs w:val="22"/>
        </w:rPr>
        <w:t xml:space="preserve"> deriniu gali pasireikšti ir kiekvienos veikliosios šio derinio medžiagos sukeliamos nepageidaujamos reakcijos, nors klinikinių tyrimų metu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TimesNewRoman"/>
          <w:sz w:val="22"/>
          <w:szCs w:val="22"/>
        </w:rPr>
        <w:t xml:space="preserve"> jų nesukėlė.</w:t>
      </w:r>
    </w:p>
    <w:p w14:paraId="079F3DB8" w14:textId="5C5515CF" w:rsidR="007F39B7" w:rsidRPr="00051FD3" w:rsidRDefault="00775E26" w:rsidP="00775E26">
      <w:pPr>
        <w:autoSpaceDE w:val="0"/>
        <w:autoSpaceDN w:val="0"/>
        <w:adjustRightInd w:val="0"/>
        <w:rPr>
          <w:sz w:val="22"/>
          <w:szCs w:val="22"/>
          <w:lang w:eastAsia="lt-LT"/>
        </w:rPr>
      </w:pPr>
      <w:r w:rsidRPr="00051FD3">
        <w:rPr>
          <w:sz w:val="22"/>
          <w:szCs w:val="22"/>
        </w:rPr>
        <w:t xml:space="preserve">Nepageidaujamos reakcijos, apie kurias anksčiau pranešta vartojant vieną iš atskirų veikliųjų medžiagų, gali pasireikšti ir vartojant </w:t>
      </w: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w:t>
      </w:r>
      <w:r w:rsidRPr="00051FD3">
        <w:rPr>
          <w:sz w:val="22"/>
          <w:szCs w:val="22"/>
        </w:rPr>
        <w:t>, net jei jų nestebėta šio vaistinio preparato klinikinių tyrimų metu.</w:t>
      </w:r>
    </w:p>
    <w:p w14:paraId="28022D25" w14:textId="77777777" w:rsidR="00775E26" w:rsidRPr="00051FD3" w:rsidRDefault="00775E26" w:rsidP="007F39B7">
      <w:pPr>
        <w:autoSpaceDE w:val="0"/>
        <w:autoSpaceDN w:val="0"/>
        <w:adjustRightInd w:val="0"/>
        <w:rPr>
          <w:sz w:val="22"/>
          <w:szCs w:val="22"/>
          <w:lang w:eastAsia="lt-LT"/>
        </w:rPr>
      </w:pPr>
    </w:p>
    <w:p w14:paraId="0059E38C" w14:textId="5377254C" w:rsidR="007F39B7" w:rsidRPr="00051FD3" w:rsidRDefault="007F39B7" w:rsidP="00FA4E83">
      <w:pPr>
        <w:autoSpaceDE w:val="0"/>
        <w:autoSpaceDN w:val="0"/>
        <w:adjustRightInd w:val="0"/>
        <w:rPr>
          <w:sz w:val="22"/>
          <w:szCs w:val="22"/>
          <w:lang w:eastAsia="lt-LT"/>
        </w:rPr>
      </w:pPr>
      <w:r w:rsidRPr="00051FD3">
        <w:rPr>
          <w:sz w:val="22"/>
          <w:szCs w:val="22"/>
          <w:lang w:eastAsia="lt-LT"/>
        </w:rPr>
        <w:t>Nepageidaujam</w:t>
      </w:r>
      <w:r w:rsidR="005A1D41">
        <w:rPr>
          <w:sz w:val="22"/>
          <w:szCs w:val="22"/>
          <w:lang w:eastAsia="lt-LT"/>
        </w:rPr>
        <w:t xml:space="preserve">o poveikio </w:t>
      </w:r>
      <w:r w:rsidRPr="00051FD3">
        <w:rPr>
          <w:sz w:val="22"/>
          <w:szCs w:val="22"/>
          <w:lang w:eastAsia="lt-LT"/>
        </w:rPr>
        <w:t>dažn</w:t>
      </w:r>
      <w:r w:rsidR="005D3519" w:rsidRPr="00051FD3">
        <w:rPr>
          <w:sz w:val="22"/>
          <w:szCs w:val="22"/>
          <w:lang w:eastAsia="lt-LT"/>
        </w:rPr>
        <w:t>is apibūdinamas taip:</w:t>
      </w:r>
      <w:r w:rsidRPr="00051FD3">
        <w:rPr>
          <w:sz w:val="22"/>
          <w:szCs w:val="22"/>
          <w:lang w:eastAsia="lt-LT"/>
        </w:rPr>
        <w:t xml:space="preserve"> </w:t>
      </w:r>
      <w:r w:rsidRPr="00FA4E83">
        <w:rPr>
          <w:sz w:val="22"/>
          <w:szCs w:val="22"/>
          <w:lang w:eastAsia="lt-LT"/>
        </w:rPr>
        <w:t>labai dažn</w:t>
      </w:r>
      <w:r w:rsidR="005D3519" w:rsidRPr="00FA4E83">
        <w:rPr>
          <w:sz w:val="22"/>
          <w:szCs w:val="22"/>
          <w:lang w:eastAsia="lt-LT"/>
        </w:rPr>
        <w:t>as</w:t>
      </w:r>
      <w:r w:rsidRPr="00FA4E83">
        <w:rPr>
          <w:sz w:val="22"/>
          <w:szCs w:val="22"/>
          <w:lang w:eastAsia="lt-LT"/>
        </w:rPr>
        <w:t xml:space="preserve"> (≥</w:t>
      </w:r>
      <w:r w:rsidR="005D3519" w:rsidRPr="00FA4E83">
        <w:rPr>
          <w:sz w:val="22"/>
          <w:szCs w:val="22"/>
          <w:lang w:eastAsia="lt-LT"/>
        </w:rPr>
        <w:t> </w:t>
      </w:r>
      <w:r w:rsidRPr="00FA4E83">
        <w:rPr>
          <w:sz w:val="22"/>
          <w:szCs w:val="22"/>
          <w:lang w:eastAsia="lt-LT"/>
        </w:rPr>
        <w:t>1/10);</w:t>
      </w:r>
      <w:r w:rsidR="003144C7">
        <w:rPr>
          <w:sz w:val="22"/>
          <w:szCs w:val="22"/>
          <w:lang w:eastAsia="lt-LT"/>
        </w:rPr>
        <w:t xml:space="preserve"> </w:t>
      </w:r>
      <w:r w:rsidRPr="00051FD3">
        <w:rPr>
          <w:sz w:val="22"/>
          <w:szCs w:val="22"/>
          <w:lang w:eastAsia="lt-LT"/>
        </w:rPr>
        <w:t>dažn</w:t>
      </w:r>
      <w:r w:rsidR="005D3519" w:rsidRPr="00051FD3">
        <w:rPr>
          <w:sz w:val="22"/>
          <w:szCs w:val="22"/>
          <w:lang w:eastAsia="lt-LT"/>
        </w:rPr>
        <w:t>as</w:t>
      </w:r>
      <w:r w:rsidRPr="00051FD3">
        <w:rPr>
          <w:sz w:val="22"/>
          <w:szCs w:val="22"/>
          <w:lang w:eastAsia="lt-LT"/>
        </w:rPr>
        <w:t xml:space="preserve"> (nuo ≥</w:t>
      </w:r>
      <w:r w:rsidR="005D3519" w:rsidRPr="00051FD3">
        <w:rPr>
          <w:sz w:val="22"/>
          <w:szCs w:val="22"/>
          <w:lang w:eastAsia="lt-LT"/>
        </w:rPr>
        <w:t> </w:t>
      </w:r>
      <w:r w:rsidRPr="00051FD3">
        <w:rPr>
          <w:sz w:val="22"/>
          <w:szCs w:val="22"/>
          <w:lang w:eastAsia="lt-LT"/>
        </w:rPr>
        <w:t>1/100 iki &lt;</w:t>
      </w:r>
      <w:r w:rsidR="005D3519" w:rsidRPr="00051FD3">
        <w:rPr>
          <w:sz w:val="22"/>
          <w:szCs w:val="22"/>
          <w:lang w:eastAsia="lt-LT"/>
        </w:rPr>
        <w:t> </w:t>
      </w:r>
      <w:r w:rsidRPr="00051FD3">
        <w:rPr>
          <w:sz w:val="22"/>
          <w:szCs w:val="22"/>
          <w:lang w:eastAsia="lt-LT"/>
        </w:rPr>
        <w:t>1/10);</w:t>
      </w:r>
      <w:r w:rsidR="003144C7">
        <w:rPr>
          <w:sz w:val="22"/>
          <w:szCs w:val="22"/>
          <w:lang w:eastAsia="lt-LT"/>
        </w:rPr>
        <w:t xml:space="preserve"> </w:t>
      </w:r>
      <w:r w:rsidRPr="00051FD3">
        <w:rPr>
          <w:sz w:val="22"/>
          <w:szCs w:val="22"/>
          <w:lang w:eastAsia="lt-LT"/>
        </w:rPr>
        <w:t>nedažn</w:t>
      </w:r>
      <w:r w:rsidR="005D3519" w:rsidRPr="00051FD3">
        <w:rPr>
          <w:sz w:val="22"/>
          <w:szCs w:val="22"/>
          <w:lang w:eastAsia="lt-LT"/>
        </w:rPr>
        <w:t>as</w:t>
      </w:r>
      <w:r w:rsidRPr="00051FD3">
        <w:rPr>
          <w:sz w:val="22"/>
          <w:szCs w:val="22"/>
          <w:lang w:eastAsia="lt-LT"/>
        </w:rPr>
        <w:t xml:space="preserve"> (nuo ≥</w:t>
      </w:r>
      <w:r w:rsidR="005D3519" w:rsidRPr="00051FD3">
        <w:rPr>
          <w:sz w:val="22"/>
          <w:szCs w:val="22"/>
          <w:lang w:eastAsia="lt-LT"/>
        </w:rPr>
        <w:t> </w:t>
      </w:r>
      <w:r w:rsidRPr="00051FD3">
        <w:rPr>
          <w:sz w:val="22"/>
          <w:szCs w:val="22"/>
          <w:lang w:eastAsia="lt-LT"/>
        </w:rPr>
        <w:t>1/1</w:t>
      </w:r>
      <w:r w:rsidR="00EA031F">
        <w:rPr>
          <w:sz w:val="22"/>
          <w:szCs w:val="22"/>
          <w:lang w:eastAsia="lt-LT"/>
        </w:rPr>
        <w:t> </w:t>
      </w:r>
      <w:r w:rsidRPr="00051FD3">
        <w:rPr>
          <w:sz w:val="22"/>
          <w:szCs w:val="22"/>
          <w:lang w:eastAsia="lt-LT"/>
        </w:rPr>
        <w:t>000 iki &lt;</w:t>
      </w:r>
      <w:r w:rsidR="005D3519" w:rsidRPr="00051FD3">
        <w:rPr>
          <w:sz w:val="22"/>
          <w:szCs w:val="22"/>
          <w:lang w:eastAsia="lt-LT"/>
        </w:rPr>
        <w:t> </w:t>
      </w:r>
      <w:r w:rsidRPr="00051FD3">
        <w:rPr>
          <w:sz w:val="22"/>
          <w:szCs w:val="22"/>
          <w:lang w:eastAsia="lt-LT"/>
        </w:rPr>
        <w:t>1/100); ret</w:t>
      </w:r>
      <w:r w:rsidR="005D3519" w:rsidRPr="00051FD3">
        <w:rPr>
          <w:sz w:val="22"/>
          <w:szCs w:val="22"/>
          <w:lang w:eastAsia="lt-LT"/>
        </w:rPr>
        <w:t>as</w:t>
      </w:r>
      <w:r w:rsidRPr="00051FD3">
        <w:rPr>
          <w:sz w:val="22"/>
          <w:szCs w:val="22"/>
          <w:lang w:eastAsia="lt-LT"/>
        </w:rPr>
        <w:t xml:space="preserve"> (nuo ≥</w:t>
      </w:r>
      <w:r w:rsidR="005D3519" w:rsidRPr="00051FD3">
        <w:rPr>
          <w:sz w:val="22"/>
          <w:szCs w:val="22"/>
          <w:lang w:eastAsia="lt-LT"/>
        </w:rPr>
        <w:t> </w:t>
      </w:r>
      <w:r w:rsidRPr="00051FD3">
        <w:rPr>
          <w:sz w:val="22"/>
          <w:szCs w:val="22"/>
          <w:lang w:eastAsia="lt-LT"/>
        </w:rPr>
        <w:t>1/10</w:t>
      </w:r>
      <w:r w:rsidR="00EA031F">
        <w:rPr>
          <w:sz w:val="22"/>
          <w:szCs w:val="22"/>
          <w:lang w:eastAsia="lt-LT"/>
        </w:rPr>
        <w:t> </w:t>
      </w:r>
      <w:r w:rsidRPr="00051FD3">
        <w:rPr>
          <w:sz w:val="22"/>
          <w:szCs w:val="22"/>
          <w:lang w:eastAsia="lt-LT"/>
        </w:rPr>
        <w:t>000 iki &lt;</w:t>
      </w:r>
      <w:r w:rsidR="005D3519" w:rsidRPr="00051FD3">
        <w:rPr>
          <w:sz w:val="22"/>
          <w:szCs w:val="22"/>
          <w:lang w:eastAsia="lt-LT"/>
        </w:rPr>
        <w:t> </w:t>
      </w:r>
      <w:r w:rsidRPr="00051FD3">
        <w:rPr>
          <w:sz w:val="22"/>
          <w:szCs w:val="22"/>
          <w:lang w:eastAsia="lt-LT"/>
        </w:rPr>
        <w:t>1/1</w:t>
      </w:r>
      <w:r w:rsidR="00EA031F">
        <w:rPr>
          <w:sz w:val="22"/>
          <w:szCs w:val="22"/>
          <w:lang w:eastAsia="lt-LT"/>
        </w:rPr>
        <w:t> </w:t>
      </w:r>
      <w:r w:rsidRPr="00051FD3">
        <w:rPr>
          <w:sz w:val="22"/>
          <w:szCs w:val="22"/>
          <w:lang w:eastAsia="lt-LT"/>
        </w:rPr>
        <w:t>000); labai ret</w:t>
      </w:r>
      <w:r w:rsidR="005D3519" w:rsidRPr="00051FD3">
        <w:rPr>
          <w:sz w:val="22"/>
          <w:szCs w:val="22"/>
          <w:lang w:eastAsia="lt-LT"/>
        </w:rPr>
        <w:t>as</w:t>
      </w:r>
      <w:r w:rsidRPr="00051FD3">
        <w:rPr>
          <w:sz w:val="22"/>
          <w:szCs w:val="22"/>
          <w:lang w:eastAsia="lt-LT"/>
        </w:rPr>
        <w:t xml:space="preserve"> (&lt;</w:t>
      </w:r>
      <w:r w:rsidR="005D3519" w:rsidRPr="00051FD3">
        <w:rPr>
          <w:sz w:val="22"/>
          <w:szCs w:val="22"/>
          <w:lang w:eastAsia="lt-LT"/>
        </w:rPr>
        <w:t> </w:t>
      </w:r>
      <w:r w:rsidRPr="00051FD3">
        <w:rPr>
          <w:sz w:val="22"/>
          <w:szCs w:val="22"/>
          <w:lang w:eastAsia="lt-LT"/>
        </w:rPr>
        <w:t>1/10</w:t>
      </w:r>
      <w:r w:rsidR="00EA031F">
        <w:rPr>
          <w:sz w:val="22"/>
          <w:szCs w:val="22"/>
          <w:lang w:eastAsia="lt-LT"/>
        </w:rPr>
        <w:t> </w:t>
      </w:r>
      <w:r w:rsidRPr="00051FD3">
        <w:rPr>
          <w:sz w:val="22"/>
          <w:szCs w:val="22"/>
          <w:lang w:eastAsia="lt-LT"/>
        </w:rPr>
        <w:t>000</w:t>
      </w:r>
      <w:r w:rsidR="00AA198F" w:rsidRPr="00051FD3">
        <w:rPr>
          <w:sz w:val="22"/>
          <w:szCs w:val="22"/>
          <w:lang w:eastAsia="lt-LT"/>
        </w:rPr>
        <w:t>)</w:t>
      </w:r>
      <w:r w:rsidR="00AA198F">
        <w:rPr>
          <w:sz w:val="22"/>
          <w:szCs w:val="22"/>
          <w:lang w:eastAsia="lt-LT"/>
        </w:rPr>
        <w:t xml:space="preserve"> ir </w:t>
      </w:r>
      <w:r w:rsidRPr="00051FD3">
        <w:rPr>
          <w:sz w:val="22"/>
          <w:szCs w:val="22"/>
          <w:lang w:eastAsia="lt-LT"/>
        </w:rPr>
        <w:t xml:space="preserve">nežinomas (negali būti </w:t>
      </w:r>
      <w:r w:rsidR="005D3519" w:rsidRPr="00051FD3">
        <w:rPr>
          <w:sz w:val="22"/>
          <w:szCs w:val="22"/>
          <w:lang w:eastAsia="lt-LT"/>
        </w:rPr>
        <w:t>apskaičiuotas</w:t>
      </w:r>
      <w:r w:rsidRPr="00051FD3">
        <w:rPr>
          <w:sz w:val="22"/>
          <w:szCs w:val="22"/>
          <w:lang w:eastAsia="lt-LT"/>
        </w:rPr>
        <w:t xml:space="preserve"> pagal turimus duomenis).</w:t>
      </w:r>
    </w:p>
    <w:p w14:paraId="1DEFD0D1" w14:textId="4879B668" w:rsidR="005D3519" w:rsidRPr="00051FD3" w:rsidRDefault="005D3519" w:rsidP="005D3519">
      <w:pPr>
        <w:rPr>
          <w:sz w:val="22"/>
          <w:szCs w:val="22"/>
          <w:highlight w:val="yellow"/>
        </w:rPr>
      </w:pPr>
    </w:p>
    <w:p w14:paraId="137B1215" w14:textId="77777777" w:rsidR="007F39B7" w:rsidRPr="00051FD3" w:rsidRDefault="007F39B7" w:rsidP="007F39B7">
      <w:pPr>
        <w:tabs>
          <w:tab w:val="left" w:pos="567"/>
        </w:tabs>
        <w:rPr>
          <w:iCs/>
          <w:sz w:val="22"/>
          <w:szCs w:val="22"/>
        </w:rPr>
      </w:pPr>
      <w:r w:rsidRPr="00051FD3">
        <w:rPr>
          <w:sz w:val="22"/>
          <w:szCs w:val="22"/>
          <w:lang w:eastAsia="lt-LT"/>
        </w:rPr>
        <w:t>Kiekvienoje dažnio grupėje nepageidaujamos reakcijos pateikiamos mažėjančio sunkumo tvarka.</w:t>
      </w:r>
    </w:p>
    <w:p w14:paraId="73717E25" w14:textId="77777777" w:rsidR="007F39B7" w:rsidRPr="00051FD3" w:rsidRDefault="007F39B7" w:rsidP="007F39B7">
      <w:pPr>
        <w:tabs>
          <w:tab w:val="left" w:pos="567"/>
        </w:tabs>
        <w:jc w:val="both"/>
        <w:rPr>
          <w:b/>
          <w:bCs/>
          <w:sz w:val="22"/>
          <w:szCs w:val="22"/>
        </w:rPr>
      </w:pPr>
    </w:p>
    <w:p w14:paraId="2C1C1E7A" w14:textId="77777777" w:rsidR="00775E26" w:rsidRPr="00051FD3" w:rsidRDefault="00775E26" w:rsidP="007F39B7">
      <w:pPr>
        <w:widowControl w:val="0"/>
        <w:tabs>
          <w:tab w:val="left" w:pos="851"/>
        </w:tabs>
        <w:rPr>
          <w:sz w:val="22"/>
          <w:szCs w:val="22"/>
        </w:rPr>
      </w:pPr>
      <w:r w:rsidRPr="00051FD3">
        <w:rPr>
          <w:sz w:val="22"/>
          <w:szCs w:val="22"/>
        </w:rPr>
        <w:t>1 lentelė. Nepageidaujamų reakcijų (</w:t>
      </w:r>
      <w:proofErr w:type="spellStart"/>
      <w:r w:rsidRPr="00051FD3">
        <w:rPr>
          <w:sz w:val="22"/>
          <w:szCs w:val="22"/>
        </w:rPr>
        <w:t>MedDRA</w:t>
      </w:r>
      <w:proofErr w:type="spellEnd"/>
      <w:r w:rsidRPr="00051FD3">
        <w:rPr>
          <w:sz w:val="22"/>
          <w:szCs w:val="22"/>
        </w:rPr>
        <w:t xml:space="preserve">), nustatytų placebu kontroliuojamuose tyrimuose ir </w:t>
      </w:r>
      <w:proofErr w:type="spellStart"/>
      <w:r w:rsidRPr="00051FD3">
        <w:rPr>
          <w:sz w:val="22"/>
          <w:szCs w:val="22"/>
        </w:rPr>
        <w:t>poregistraciniu</w:t>
      </w:r>
      <w:proofErr w:type="spellEnd"/>
      <w:r w:rsidRPr="00051FD3">
        <w:rPr>
          <w:sz w:val="22"/>
          <w:szCs w:val="22"/>
        </w:rPr>
        <w:t xml:space="preserve"> laikotarpiu, santrauka lentelėje </w:t>
      </w:r>
    </w:p>
    <w:p w14:paraId="1D2A30E3" w14:textId="77777777" w:rsidR="00775E26" w:rsidRPr="00051FD3" w:rsidRDefault="00775E26" w:rsidP="007F39B7">
      <w:pPr>
        <w:widowControl w:val="0"/>
        <w:tabs>
          <w:tab w:val="left" w:pos="851"/>
        </w:tabs>
        <w:rPr>
          <w:sz w:val="22"/>
          <w:szCs w:val="22"/>
        </w:rPr>
      </w:pPr>
    </w:p>
    <w:tbl>
      <w:tblPr>
        <w:tblW w:w="5239" w:type="pct"/>
        <w:jc w:val="center"/>
        <w:tblLayout w:type="fixed"/>
        <w:tblLook w:val="04A0" w:firstRow="1" w:lastRow="0" w:firstColumn="1" w:lastColumn="0" w:noHBand="0" w:noVBand="1"/>
      </w:tblPr>
      <w:tblGrid>
        <w:gridCol w:w="1836"/>
        <w:gridCol w:w="2412"/>
        <w:gridCol w:w="1701"/>
        <w:gridCol w:w="1701"/>
        <w:gridCol w:w="1843"/>
      </w:tblGrid>
      <w:tr w:rsidR="00775E26" w:rsidRPr="00051FD3" w14:paraId="2BEDC5BB" w14:textId="77777777" w:rsidTr="00FA4E83">
        <w:trPr>
          <w:trHeight w:val="290"/>
          <w:jc w:val="center"/>
        </w:trPr>
        <w:tc>
          <w:tcPr>
            <w:tcW w:w="1836" w:type="dxa"/>
            <w:vMerge w:val="restart"/>
            <w:tcBorders>
              <w:top w:val="single" w:sz="4" w:space="0" w:color="auto"/>
              <w:left w:val="single" w:sz="4" w:space="0" w:color="auto"/>
              <w:bottom w:val="single" w:sz="4" w:space="0" w:color="auto"/>
              <w:right w:val="single" w:sz="4" w:space="0" w:color="auto"/>
            </w:tcBorders>
            <w:hideMark/>
          </w:tcPr>
          <w:p w14:paraId="35A5DD8A" w14:textId="44A008BF" w:rsidR="00775E26" w:rsidRPr="00051FD3" w:rsidRDefault="00775E26" w:rsidP="00775E26">
            <w:pPr>
              <w:keepNext/>
              <w:keepLines/>
              <w:rPr>
                <w:b/>
                <w:bCs/>
                <w:color w:val="000000"/>
                <w:sz w:val="22"/>
                <w:szCs w:val="22"/>
                <w:lang w:eastAsia="en-GB"/>
              </w:rPr>
            </w:pPr>
            <w:proofErr w:type="spellStart"/>
            <w:r w:rsidRPr="00051FD3">
              <w:rPr>
                <w:b/>
                <w:bCs/>
                <w:color w:val="000000"/>
                <w:sz w:val="22"/>
                <w:szCs w:val="22"/>
                <w:lang w:eastAsia="en-GB"/>
              </w:rPr>
              <w:lastRenderedPageBreak/>
              <w:t>MedDRA</w:t>
            </w:r>
            <w:proofErr w:type="spellEnd"/>
            <w:r w:rsidRPr="00051FD3">
              <w:rPr>
                <w:b/>
                <w:bCs/>
                <w:color w:val="000000"/>
                <w:sz w:val="22"/>
                <w:szCs w:val="22"/>
                <w:lang w:eastAsia="en-GB"/>
              </w:rPr>
              <w:t xml:space="preserve">  organų sistemų klasė</w:t>
            </w:r>
          </w:p>
        </w:tc>
        <w:tc>
          <w:tcPr>
            <w:tcW w:w="2412" w:type="dxa"/>
            <w:vMerge w:val="restart"/>
            <w:tcBorders>
              <w:top w:val="single" w:sz="4" w:space="0" w:color="auto"/>
              <w:left w:val="single" w:sz="4" w:space="0" w:color="auto"/>
              <w:bottom w:val="single" w:sz="4" w:space="0" w:color="auto"/>
              <w:right w:val="single" w:sz="4" w:space="0" w:color="auto"/>
            </w:tcBorders>
            <w:hideMark/>
          </w:tcPr>
          <w:p w14:paraId="3730BEEA" w14:textId="64731307" w:rsidR="00775E26" w:rsidRPr="00051FD3" w:rsidRDefault="00775E26" w:rsidP="00B5059E">
            <w:pPr>
              <w:keepNext/>
              <w:keepLines/>
              <w:rPr>
                <w:b/>
                <w:bCs/>
                <w:color w:val="000000"/>
                <w:sz w:val="22"/>
                <w:szCs w:val="22"/>
                <w:lang w:eastAsia="en-GB"/>
              </w:rPr>
            </w:pPr>
            <w:r w:rsidRPr="00051FD3">
              <w:rPr>
                <w:b/>
                <w:bCs/>
                <w:color w:val="000000"/>
                <w:sz w:val="22"/>
                <w:szCs w:val="22"/>
                <w:lang w:eastAsia="en-GB"/>
              </w:rPr>
              <w:t>Nepageidaujamos reakcijos</w:t>
            </w:r>
          </w:p>
        </w:tc>
        <w:tc>
          <w:tcPr>
            <w:tcW w:w="5245" w:type="dxa"/>
            <w:gridSpan w:val="3"/>
            <w:tcBorders>
              <w:top w:val="single" w:sz="4" w:space="0" w:color="auto"/>
              <w:left w:val="single" w:sz="4" w:space="0" w:color="auto"/>
              <w:bottom w:val="single" w:sz="4" w:space="0" w:color="auto"/>
              <w:right w:val="single" w:sz="4" w:space="0" w:color="auto"/>
            </w:tcBorders>
            <w:hideMark/>
          </w:tcPr>
          <w:p w14:paraId="6418F14B" w14:textId="0C9DC2ED" w:rsidR="00775E26" w:rsidRPr="00051FD3" w:rsidRDefault="00775E26" w:rsidP="00B5059E">
            <w:pPr>
              <w:keepNext/>
              <w:keepLines/>
              <w:jc w:val="center"/>
              <w:rPr>
                <w:b/>
                <w:bCs/>
                <w:color w:val="000000"/>
                <w:sz w:val="22"/>
                <w:szCs w:val="22"/>
                <w:lang w:eastAsia="en-GB"/>
              </w:rPr>
            </w:pPr>
            <w:r w:rsidRPr="00051FD3">
              <w:rPr>
                <w:b/>
                <w:bCs/>
                <w:color w:val="000000"/>
                <w:sz w:val="22"/>
                <w:szCs w:val="22"/>
                <w:lang w:eastAsia="en-GB"/>
              </w:rPr>
              <w:t>Dažnis</w:t>
            </w:r>
          </w:p>
        </w:tc>
      </w:tr>
      <w:tr w:rsidR="00387073" w:rsidRPr="00051FD3" w14:paraId="322CF3BF" w14:textId="77777777" w:rsidTr="00FA4E83">
        <w:trPr>
          <w:trHeight w:val="70"/>
          <w:jc w:val="center"/>
        </w:trPr>
        <w:tc>
          <w:tcPr>
            <w:tcW w:w="1836" w:type="dxa"/>
            <w:vMerge/>
            <w:tcBorders>
              <w:top w:val="single" w:sz="4" w:space="0" w:color="auto"/>
              <w:left w:val="single" w:sz="4" w:space="0" w:color="auto"/>
              <w:bottom w:val="single" w:sz="4" w:space="0" w:color="auto"/>
              <w:right w:val="single" w:sz="4" w:space="0" w:color="auto"/>
            </w:tcBorders>
            <w:hideMark/>
          </w:tcPr>
          <w:p w14:paraId="5BC75798" w14:textId="77777777" w:rsidR="00775E26" w:rsidRPr="00051FD3" w:rsidRDefault="00775E26">
            <w:pPr>
              <w:keepNext/>
              <w:keepLines/>
              <w:rPr>
                <w:b/>
                <w:bCs/>
                <w:color w:val="000000"/>
                <w:sz w:val="22"/>
                <w:szCs w:val="22"/>
                <w:lang w:eastAsia="en-GB"/>
              </w:rPr>
            </w:pPr>
          </w:p>
        </w:tc>
        <w:tc>
          <w:tcPr>
            <w:tcW w:w="2412" w:type="dxa"/>
            <w:vMerge/>
            <w:tcBorders>
              <w:top w:val="single" w:sz="4" w:space="0" w:color="auto"/>
              <w:left w:val="single" w:sz="4" w:space="0" w:color="auto"/>
              <w:bottom w:val="single" w:sz="4" w:space="0" w:color="auto"/>
              <w:right w:val="single" w:sz="4" w:space="0" w:color="auto"/>
            </w:tcBorders>
            <w:hideMark/>
          </w:tcPr>
          <w:p w14:paraId="0978590F" w14:textId="77777777" w:rsidR="00775E26" w:rsidRPr="00051FD3" w:rsidRDefault="00775E26">
            <w:pPr>
              <w:keepNext/>
              <w:keepLines/>
              <w:rPr>
                <w:b/>
                <w:bCs/>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724B611" w14:textId="77777777" w:rsidR="00051FD3" w:rsidRDefault="004E56C0">
            <w:pPr>
              <w:keepNext/>
              <w:keepLines/>
              <w:rPr>
                <w:b/>
                <w:sz w:val="22"/>
                <w:szCs w:val="22"/>
                <w:lang w:eastAsia="lt-LT"/>
              </w:rPr>
            </w:pPr>
            <w:proofErr w:type="spellStart"/>
            <w:r w:rsidRPr="00051FD3">
              <w:rPr>
                <w:b/>
                <w:sz w:val="22"/>
                <w:szCs w:val="22"/>
                <w:lang w:eastAsia="lt-LT"/>
              </w:rPr>
              <w:t>Telmisartan</w:t>
            </w:r>
            <w:proofErr w:type="spellEnd"/>
            <w:r w:rsidRPr="00051FD3">
              <w:rPr>
                <w:b/>
                <w:sz w:val="22"/>
                <w:szCs w:val="22"/>
                <w:lang w:eastAsia="lt-LT"/>
              </w:rPr>
              <w:t>/</w:t>
            </w:r>
          </w:p>
          <w:p w14:paraId="68FD4B12" w14:textId="6C402418" w:rsidR="00775E26" w:rsidRPr="00051FD3" w:rsidRDefault="004E56C0">
            <w:pPr>
              <w:keepNext/>
              <w:keepLines/>
              <w:rPr>
                <w:b/>
                <w:bCs/>
                <w:color w:val="000000"/>
                <w:sz w:val="22"/>
                <w:szCs w:val="22"/>
                <w:lang w:eastAsia="en-GB"/>
              </w:rPr>
            </w:pPr>
            <w:proofErr w:type="spellStart"/>
            <w:r w:rsidRPr="00051FD3">
              <w:rPr>
                <w:b/>
                <w:sz w:val="22"/>
                <w:szCs w:val="22"/>
                <w:lang w:eastAsia="lt-LT"/>
              </w:rPr>
              <w:t>Hydrochloro</w:t>
            </w:r>
            <w:r w:rsidR="00051FD3">
              <w:rPr>
                <w:b/>
                <w:sz w:val="22"/>
                <w:szCs w:val="22"/>
                <w:lang w:eastAsia="lt-LT"/>
              </w:rPr>
              <w:t>-</w:t>
            </w:r>
            <w:r w:rsidRPr="00051FD3">
              <w:rPr>
                <w:b/>
                <w:sz w:val="22"/>
                <w:szCs w:val="22"/>
                <w:lang w:eastAsia="lt-LT"/>
              </w:rPr>
              <w:t>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p>
        </w:tc>
        <w:tc>
          <w:tcPr>
            <w:tcW w:w="1701" w:type="dxa"/>
            <w:tcBorders>
              <w:top w:val="single" w:sz="4" w:space="0" w:color="auto"/>
              <w:left w:val="single" w:sz="4" w:space="0" w:color="auto"/>
              <w:bottom w:val="single" w:sz="4" w:space="0" w:color="auto"/>
              <w:right w:val="single" w:sz="4" w:space="0" w:color="auto"/>
            </w:tcBorders>
            <w:hideMark/>
          </w:tcPr>
          <w:p w14:paraId="5835DB56" w14:textId="3974699B" w:rsidR="00775E26" w:rsidRPr="00051FD3" w:rsidRDefault="00775E26" w:rsidP="00051FD3">
            <w:pPr>
              <w:keepNext/>
              <w:keepLines/>
              <w:spacing w:before="240" w:after="240"/>
              <w:rPr>
                <w:b/>
                <w:bCs/>
                <w:color w:val="000000"/>
                <w:sz w:val="22"/>
                <w:szCs w:val="22"/>
                <w:lang w:eastAsia="en-GB"/>
              </w:rPr>
            </w:pPr>
            <w:proofErr w:type="spellStart"/>
            <w:r w:rsidRPr="00051FD3">
              <w:rPr>
                <w:b/>
                <w:bCs/>
                <w:color w:val="000000"/>
                <w:sz w:val="22"/>
                <w:szCs w:val="22"/>
                <w:lang w:eastAsia="en-GB"/>
              </w:rPr>
              <w:t>Telmisartan</w:t>
            </w:r>
            <w:r w:rsidR="00387073" w:rsidRPr="00051FD3">
              <w:rPr>
                <w:b/>
                <w:bCs/>
                <w:color w:val="000000"/>
                <w:sz w:val="22"/>
                <w:szCs w:val="22"/>
                <w:lang w:eastAsia="en-GB"/>
              </w:rPr>
              <w:t>as</w:t>
            </w:r>
            <w:r w:rsidRPr="00051FD3">
              <w:rPr>
                <w:b/>
                <w:bCs/>
                <w:color w:val="000000"/>
                <w:sz w:val="22"/>
                <w:szCs w:val="22"/>
                <w:vertAlign w:val="superscript"/>
                <w:lang w:eastAsia="en-GB"/>
              </w:rPr>
              <w:t>a</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6FB129A" w14:textId="66B040AD" w:rsidR="004E56C0" w:rsidRPr="00051FD3" w:rsidRDefault="00387073">
            <w:pPr>
              <w:keepNext/>
              <w:keepLines/>
              <w:rPr>
                <w:b/>
                <w:bCs/>
                <w:color w:val="000000"/>
                <w:sz w:val="22"/>
                <w:szCs w:val="22"/>
                <w:lang w:eastAsia="en-GB"/>
              </w:rPr>
            </w:pPr>
            <w:proofErr w:type="spellStart"/>
            <w:r w:rsidRPr="00051FD3">
              <w:rPr>
                <w:b/>
                <w:bCs/>
                <w:color w:val="000000"/>
                <w:sz w:val="22"/>
                <w:szCs w:val="22"/>
                <w:lang w:eastAsia="en-GB"/>
              </w:rPr>
              <w:t>Hi</w:t>
            </w:r>
            <w:r w:rsidR="00775E26" w:rsidRPr="00051FD3">
              <w:rPr>
                <w:b/>
                <w:bCs/>
                <w:color w:val="000000"/>
                <w:sz w:val="22"/>
                <w:szCs w:val="22"/>
                <w:lang w:eastAsia="en-GB"/>
              </w:rPr>
              <w:t>drochloro</w:t>
            </w:r>
            <w:r w:rsidR="00051FD3">
              <w:rPr>
                <w:b/>
                <w:bCs/>
                <w:color w:val="000000"/>
                <w:sz w:val="22"/>
                <w:szCs w:val="22"/>
                <w:lang w:eastAsia="en-GB"/>
              </w:rPr>
              <w:t>ti</w:t>
            </w:r>
            <w:proofErr w:type="spellEnd"/>
            <w:r w:rsidR="004E56C0" w:rsidRPr="00051FD3">
              <w:rPr>
                <w:b/>
                <w:bCs/>
                <w:color w:val="000000"/>
                <w:sz w:val="22"/>
                <w:szCs w:val="22"/>
                <w:lang w:eastAsia="en-GB"/>
              </w:rPr>
              <w:t>-</w:t>
            </w:r>
          </w:p>
          <w:p w14:paraId="252C5E5E" w14:textId="4DC9E5DA" w:rsidR="00775E26" w:rsidRPr="00051FD3" w:rsidRDefault="00775E26">
            <w:pPr>
              <w:keepNext/>
              <w:keepLines/>
              <w:rPr>
                <w:b/>
                <w:bCs/>
                <w:color w:val="000000"/>
                <w:sz w:val="22"/>
                <w:szCs w:val="22"/>
                <w:lang w:eastAsia="en-GB"/>
              </w:rPr>
            </w:pPr>
            <w:r w:rsidRPr="00051FD3">
              <w:rPr>
                <w:b/>
                <w:bCs/>
                <w:color w:val="000000"/>
                <w:sz w:val="22"/>
                <w:szCs w:val="22"/>
                <w:lang w:eastAsia="en-GB"/>
              </w:rPr>
              <w:t>azid</w:t>
            </w:r>
            <w:r w:rsidR="00387073" w:rsidRPr="00051FD3">
              <w:rPr>
                <w:b/>
                <w:bCs/>
                <w:color w:val="000000"/>
                <w:sz w:val="22"/>
                <w:szCs w:val="22"/>
                <w:lang w:eastAsia="en-GB"/>
              </w:rPr>
              <w:t>as</w:t>
            </w:r>
          </w:p>
        </w:tc>
      </w:tr>
      <w:tr w:rsidR="00387073" w:rsidRPr="00051FD3" w14:paraId="2043BD40"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018FB7B0" w14:textId="20F75173" w:rsidR="00775E26" w:rsidRPr="00012DBE" w:rsidRDefault="00EC6A3C" w:rsidP="00B5059E">
            <w:pPr>
              <w:keepNext/>
              <w:keepLines/>
              <w:rPr>
                <w:b/>
                <w:bCs/>
                <w:color w:val="000000"/>
                <w:sz w:val="22"/>
                <w:szCs w:val="22"/>
                <w:lang w:eastAsia="en-GB"/>
              </w:rPr>
            </w:pPr>
            <w:r w:rsidRPr="00012DBE">
              <w:rPr>
                <w:b/>
                <w:bCs/>
                <w:color w:val="000000"/>
                <w:sz w:val="22"/>
                <w:szCs w:val="22"/>
                <w:lang w:eastAsia="en-GB"/>
              </w:rPr>
              <w:t xml:space="preserve">Infekcijos ir </w:t>
            </w:r>
            <w:proofErr w:type="spellStart"/>
            <w:r w:rsidRPr="00012DBE">
              <w:rPr>
                <w:b/>
                <w:bCs/>
                <w:color w:val="000000"/>
                <w:sz w:val="22"/>
                <w:szCs w:val="22"/>
                <w:lang w:eastAsia="en-GB"/>
              </w:rPr>
              <w:t>infestacijos</w:t>
            </w:r>
            <w:proofErr w:type="spellEnd"/>
          </w:p>
        </w:tc>
        <w:tc>
          <w:tcPr>
            <w:tcW w:w="2412" w:type="dxa"/>
            <w:tcBorders>
              <w:top w:val="single" w:sz="4" w:space="0" w:color="auto"/>
              <w:left w:val="single" w:sz="4" w:space="0" w:color="auto"/>
              <w:bottom w:val="single" w:sz="4" w:space="0" w:color="auto"/>
              <w:right w:val="single" w:sz="4" w:space="0" w:color="auto"/>
            </w:tcBorders>
            <w:hideMark/>
          </w:tcPr>
          <w:p w14:paraId="0186917D" w14:textId="381BD798" w:rsidR="00775E26" w:rsidRPr="00012DBE" w:rsidRDefault="007859FE" w:rsidP="00B5059E">
            <w:pPr>
              <w:keepNext/>
              <w:keepLines/>
              <w:rPr>
                <w:color w:val="000000"/>
                <w:sz w:val="22"/>
                <w:szCs w:val="22"/>
                <w:lang w:eastAsia="en-GB"/>
              </w:rPr>
            </w:pPr>
            <w:r w:rsidRPr="00012DBE">
              <w:rPr>
                <w:color w:val="000000"/>
                <w:sz w:val="22"/>
                <w:szCs w:val="22"/>
                <w:lang w:eastAsia="en-GB"/>
              </w:rPr>
              <w:t>Sepsis, įskaitant mirtiną</w:t>
            </w:r>
          </w:p>
        </w:tc>
        <w:tc>
          <w:tcPr>
            <w:tcW w:w="1701" w:type="dxa"/>
            <w:tcBorders>
              <w:top w:val="single" w:sz="4" w:space="0" w:color="auto"/>
              <w:left w:val="single" w:sz="4" w:space="0" w:color="auto"/>
              <w:bottom w:val="single" w:sz="4" w:space="0" w:color="auto"/>
              <w:right w:val="single" w:sz="4" w:space="0" w:color="auto"/>
            </w:tcBorders>
            <w:hideMark/>
          </w:tcPr>
          <w:p w14:paraId="228824E1" w14:textId="77777777" w:rsidR="00775E26" w:rsidRPr="00012DBE" w:rsidRDefault="00775E26" w:rsidP="00B5059E">
            <w:pPr>
              <w:keepNext/>
              <w:keepLines/>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BFBA11E" w14:textId="4D480499" w:rsidR="00775E26" w:rsidRPr="00012DBE" w:rsidRDefault="00662356" w:rsidP="00662356">
            <w:pPr>
              <w:keepNext/>
              <w:keepLines/>
              <w:rPr>
                <w:color w:val="000000"/>
                <w:sz w:val="22"/>
                <w:szCs w:val="22"/>
                <w:lang w:eastAsia="en-GB"/>
              </w:rPr>
            </w:pPr>
            <w:r w:rsidRPr="00012DBE">
              <w:rPr>
                <w:color w:val="000000"/>
                <w:sz w:val="22"/>
                <w:szCs w:val="22"/>
                <w:lang w:eastAsia="en-GB"/>
              </w:rPr>
              <w:t>Retas</w:t>
            </w:r>
            <w:r w:rsidR="00775E26" w:rsidRPr="00012DBE">
              <w:rPr>
                <w:color w:val="000000"/>
                <w:sz w:val="22"/>
                <w:szCs w:val="22"/>
                <w:vertAlign w:val="superscript"/>
                <w:lang w:eastAsia="en-GB"/>
              </w:rPr>
              <w:t>2</w:t>
            </w:r>
          </w:p>
        </w:tc>
        <w:tc>
          <w:tcPr>
            <w:tcW w:w="1843" w:type="dxa"/>
            <w:tcBorders>
              <w:top w:val="single" w:sz="4" w:space="0" w:color="auto"/>
              <w:left w:val="single" w:sz="4" w:space="0" w:color="auto"/>
              <w:bottom w:val="single" w:sz="4" w:space="0" w:color="auto"/>
              <w:right w:val="single" w:sz="4" w:space="0" w:color="auto"/>
            </w:tcBorders>
            <w:hideMark/>
          </w:tcPr>
          <w:p w14:paraId="5F60D121" w14:textId="77777777" w:rsidR="00775E26" w:rsidRPr="00012DBE" w:rsidRDefault="00775E26" w:rsidP="00B5059E">
            <w:pPr>
              <w:keepNext/>
              <w:keepLines/>
              <w:rPr>
                <w:color w:val="000000"/>
                <w:sz w:val="22"/>
                <w:szCs w:val="22"/>
                <w:lang w:eastAsia="en-GB"/>
              </w:rPr>
            </w:pPr>
          </w:p>
        </w:tc>
      </w:tr>
      <w:tr w:rsidR="00387073" w:rsidRPr="00051FD3" w14:paraId="2C889E10" w14:textId="77777777" w:rsidTr="00FA4E83">
        <w:trPr>
          <w:trHeight w:val="289"/>
          <w:jc w:val="center"/>
        </w:trPr>
        <w:tc>
          <w:tcPr>
            <w:tcW w:w="1836" w:type="dxa"/>
            <w:vMerge/>
            <w:tcBorders>
              <w:left w:val="single" w:sz="4" w:space="0" w:color="auto"/>
              <w:right w:val="single" w:sz="4" w:space="0" w:color="auto"/>
            </w:tcBorders>
            <w:hideMark/>
          </w:tcPr>
          <w:p w14:paraId="61C0070E" w14:textId="77777777" w:rsidR="00775E26" w:rsidRPr="00FA4E83" w:rsidRDefault="00775E26" w:rsidP="00B5059E">
            <w:pPr>
              <w:keepNext/>
              <w:keepLines/>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EDB96E1" w14:textId="43ACE4EE" w:rsidR="00775E26" w:rsidRPr="00FA4E83" w:rsidRDefault="007859FE" w:rsidP="00B5059E">
            <w:pPr>
              <w:keepNext/>
              <w:keepLines/>
              <w:rPr>
                <w:color w:val="000000"/>
                <w:sz w:val="22"/>
                <w:szCs w:val="22"/>
                <w:lang w:eastAsia="en-GB"/>
              </w:rPr>
            </w:pPr>
            <w:r w:rsidRPr="00FA4E83">
              <w:rPr>
                <w:color w:val="000000"/>
                <w:sz w:val="22"/>
                <w:szCs w:val="22"/>
                <w:lang w:eastAsia="en-GB"/>
              </w:rPr>
              <w:t>Bronchitas</w:t>
            </w:r>
          </w:p>
        </w:tc>
        <w:tc>
          <w:tcPr>
            <w:tcW w:w="1701" w:type="dxa"/>
            <w:tcBorders>
              <w:top w:val="single" w:sz="4" w:space="0" w:color="auto"/>
              <w:left w:val="single" w:sz="4" w:space="0" w:color="auto"/>
              <w:bottom w:val="single" w:sz="4" w:space="0" w:color="auto"/>
              <w:right w:val="single" w:sz="4" w:space="0" w:color="auto"/>
            </w:tcBorders>
            <w:hideMark/>
          </w:tcPr>
          <w:p w14:paraId="6937F3B4" w14:textId="3E5334AF" w:rsidR="00775E26" w:rsidRPr="00FA4E83" w:rsidRDefault="00662356" w:rsidP="00B5059E">
            <w:pPr>
              <w:keepNext/>
              <w:keepLines/>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228D228C" w14:textId="77777777" w:rsidR="00775E26" w:rsidRPr="00FA4E83" w:rsidRDefault="00775E26" w:rsidP="00B5059E">
            <w:pPr>
              <w:keepNext/>
              <w:keepLines/>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B732CC1" w14:textId="77777777" w:rsidR="00775E26" w:rsidRPr="00FA4E83" w:rsidRDefault="00775E26" w:rsidP="00B5059E">
            <w:pPr>
              <w:keepNext/>
              <w:keepLines/>
              <w:rPr>
                <w:sz w:val="22"/>
                <w:szCs w:val="22"/>
                <w:lang w:eastAsia="en-GB"/>
              </w:rPr>
            </w:pPr>
          </w:p>
        </w:tc>
      </w:tr>
      <w:tr w:rsidR="00387073" w:rsidRPr="00051FD3" w14:paraId="0AB4AF18" w14:textId="77777777" w:rsidTr="00FA4E83">
        <w:trPr>
          <w:trHeight w:val="289"/>
          <w:jc w:val="center"/>
        </w:trPr>
        <w:tc>
          <w:tcPr>
            <w:tcW w:w="1836" w:type="dxa"/>
            <w:vMerge/>
            <w:tcBorders>
              <w:left w:val="single" w:sz="4" w:space="0" w:color="auto"/>
              <w:right w:val="single" w:sz="4" w:space="0" w:color="auto"/>
            </w:tcBorders>
            <w:hideMark/>
          </w:tcPr>
          <w:p w14:paraId="10249D43" w14:textId="77777777" w:rsidR="00775E26" w:rsidRPr="00FA4E83" w:rsidRDefault="00775E26" w:rsidP="00B5059E">
            <w:pPr>
              <w:keepNext/>
              <w:keepLines/>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7B1D7D2" w14:textId="1CDEADED" w:rsidR="00775E26" w:rsidRPr="00FA4E83" w:rsidRDefault="00D43CA8" w:rsidP="00B5059E">
            <w:pPr>
              <w:keepNext/>
              <w:keepLines/>
              <w:rPr>
                <w:color w:val="000000"/>
                <w:sz w:val="22"/>
                <w:szCs w:val="22"/>
                <w:lang w:eastAsia="en-GB"/>
              </w:rPr>
            </w:pPr>
            <w:proofErr w:type="spellStart"/>
            <w:r>
              <w:rPr>
                <w:color w:val="000000"/>
                <w:sz w:val="22"/>
                <w:szCs w:val="22"/>
                <w:lang w:eastAsia="en-GB"/>
              </w:rPr>
              <w:t>Faringitas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CB1943E" w14:textId="2E1B797B" w:rsidR="00775E26" w:rsidRPr="00FA4E83" w:rsidRDefault="00662356" w:rsidP="00B5059E">
            <w:pPr>
              <w:keepNext/>
              <w:keepLines/>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3390D927" w14:textId="77777777" w:rsidR="00775E26" w:rsidRPr="00FA4E83" w:rsidRDefault="00775E26" w:rsidP="00B5059E">
            <w:pPr>
              <w:keepNext/>
              <w:keepLines/>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6E783B6" w14:textId="77777777" w:rsidR="00775E26" w:rsidRPr="00FA4E83" w:rsidRDefault="00775E26" w:rsidP="00B5059E">
            <w:pPr>
              <w:keepNext/>
              <w:keepLines/>
              <w:rPr>
                <w:sz w:val="22"/>
                <w:szCs w:val="22"/>
                <w:lang w:eastAsia="en-GB"/>
              </w:rPr>
            </w:pPr>
          </w:p>
        </w:tc>
      </w:tr>
      <w:tr w:rsidR="00387073" w:rsidRPr="00051FD3" w14:paraId="59E625F4" w14:textId="77777777" w:rsidTr="00FA4E83">
        <w:trPr>
          <w:trHeight w:val="289"/>
          <w:jc w:val="center"/>
        </w:trPr>
        <w:tc>
          <w:tcPr>
            <w:tcW w:w="1836" w:type="dxa"/>
            <w:vMerge/>
            <w:tcBorders>
              <w:left w:val="single" w:sz="4" w:space="0" w:color="auto"/>
              <w:right w:val="single" w:sz="4" w:space="0" w:color="auto"/>
            </w:tcBorders>
            <w:hideMark/>
          </w:tcPr>
          <w:p w14:paraId="50ADD441" w14:textId="77777777" w:rsidR="00775E26" w:rsidRPr="00FA4E83" w:rsidRDefault="00775E26" w:rsidP="00B5059E">
            <w:pPr>
              <w:keepNext/>
              <w:keepLines/>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7B4A5B8" w14:textId="132E678C" w:rsidR="00775E26" w:rsidRPr="00FA4E83" w:rsidRDefault="007859FE" w:rsidP="00B5059E">
            <w:pPr>
              <w:keepNext/>
              <w:keepLines/>
              <w:rPr>
                <w:color w:val="000000"/>
                <w:sz w:val="22"/>
                <w:szCs w:val="22"/>
                <w:lang w:eastAsia="en-GB"/>
              </w:rPr>
            </w:pPr>
            <w:r w:rsidRPr="00FA4E83">
              <w:rPr>
                <w:color w:val="000000"/>
                <w:sz w:val="22"/>
                <w:szCs w:val="22"/>
                <w:lang w:eastAsia="en-GB"/>
              </w:rPr>
              <w:t>Sinusita</w:t>
            </w:r>
            <w:r w:rsidR="00775E26" w:rsidRPr="00FA4E83">
              <w:rPr>
                <w:color w:val="000000"/>
                <w:sz w:val="22"/>
                <w:szCs w:val="22"/>
                <w:lang w:eastAsia="en-GB"/>
              </w:rPr>
              <w:t>s</w:t>
            </w:r>
          </w:p>
        </w:tc>
        <w:tc>
          <w:tcPr>
            <w:tcW w:w="1701" w:type="dxa"/>
            <w:tcBorders>
              <w:top w:val="single" w:sz="4" w:space="0" w:color="auto"/>
              <w:left w:val="single" w:sz="4" w:space="0" w:color="auto"/>
              <w:bottom w:val="single" w:sz="4" w:space="0" w:color="auto"/>
              <w:right w:val="single" w:sz="4" w:space="0" w:color="auto"/>
            </w:tcBorders>
            <w:hideMark/>
          </w:tcPr>
          <w:p w14:paraId="28465119" w14:textId="4D110A36" w:rsidR="00775E26" w:rsidRPr="00FA4E83" w:rsidRDefault="00662356" w:rsidP="00B5059E">
            <w:pPr>
              <w:keepNext/>
              <w:keepLines/>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2CA1E9F9" w14:textId="77777777" w:rsidR="00775E26" w:rsidRPr="00FA4E83" w:rsidRDefault="00775E26" w:rsidP="00B5059E">
            <w:pPr>
              <w:keepNext/>
              <w:keepLines/>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A99D0A5" w14:textId="77777777" w:rsidR="00775E26" w:rsidRPr="00FA4E83" w:rsidRDefault="00775E26" w:rsidP="00B5059E">
            <w:pPr>
              <w:keepNext/>
              <w:keepLines/>
              <w:rPr>
                <w:sz w:val="22"/>
                <w:szCs w:val="22"/>
                <w:lang w:eastAsia="en-GB"/>
              </w:rPr>
            </w:pPr>
          </w:p>
        </w:tc>
      </w:tr>
      <w:tr w:rsidR="00387073" w:rsidRPr="00051FD3" w14:paraId="4D7FD5B4" w14:textId="77777777" w:rsidTr="00FA4E83">
        <w:trPr>
          <w:trHeight w:val="289"/>
          <w:jc w:val="center"/>
        </w:trPr>
        <w:tc>
          <w:tcPr>
            <w:tcW w:w="1836" w:type="dxa"/>
            <w:vMerge/>
            <w:tcBorders>
              <w:left w:val="single" w:sz="4" w:space="0" w:color="auto"/>
              <w:right w:val="single" w:sz="4" w:space="0" w:color="auto"/>
            </w:tcBorders>
            <w:hideMark/>
          </w:tcPr>
          <w:p w14:paraId="6D4ADD93" w14:textId="77777777" w:rsidR="00775E26" w:rsidRPr="00FA4E83" w:rsidRDefault="00775E26" w:rsidP="00B5059E">
            <w:pPr>
              <w:keepNext/>
              <w:keepLines/>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C234BBB" w14:textId="5BAC5253" w:rsidR="00775E26" w:rsidRPr="00FA4E83" w:rsidRDefault="007859FE" w:rsidP="00B5059E">
            <w:pPr>
              <w:keepNext/>
              <w:keepLines/>
              <w:rPr>
                <w:color w:val="000000"/>
                <w:sz w:val="22"/>
                <w:szCs w:val="22"/>
                <w:lang w:eastAsia="en-GB"/>
              </w:rPr>
            </w:pPr>
            <w:r w:rsidRPr="00FA4E83">
              <w:rPr>
                <w:color w:val="000000"/>
                <w:sz w:val="22"/>
                <w:szCs w:val="22"/>
                <w:lang w:eastAsia="en-GB"/>
              </w:rPr>
              <w:t>Viršutinių kvėpavimo takų infekcija</w:t>
            </w:r>
          </w:p>
        </w:tc>
        <w:tc>
          <w:tcPr>
            <w:tcW w:w="1701" w:type="dxa"/>
            <w:tcBorders>
              <w:top w:val="single" w:sz="4" w:space="0" w:color="auto"/>
              <w:left w:val="single" w:sz="4" w:space="0" w:color="auto"/>
              <w:bottom w:val="single" w:sz="4" w:space="0" w:color="auto"/>
              <w:right w:val="single" w:sz="4" w:space="0" w:color="auto"/>
            </w:tcBorders>
            <w:hideMark/>
          </w:tcPr>
          <w:p w14:paraId="211D448A" w14:textId="77777777" w:rsidR="00775E26" w:rsidRPr="00FA4E83" w:rsidRDefault="00775E26" w:rsidP="00B5059E">
            <w:pPr>
              <w:keepNext/>
              <w:keepLines/>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ADB227E" w14:textId="790024F2" w:rsidR="00775E26" w:rsidRPr="00FA4E83" w:rsidRDefault="00662356" w:rsidP="00B5059E">
            <w:pPr>
              <w:keepNext/>
              <w:keepLines/>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43C73D1A" w14:textId="77777777" w:rsidR="00775E26" w:rsidRPr="00FA4E83" w:rsidRDefault="00775E26" w:rsidP="00B5059E">
            <w:pPr>
              <w:keepNext/>
              <w:keepLines/>
              <w:rPr>
                <w:color w:val="000000"/>
                <w:sz w:val="22"/>
                <w:szCs w:val="22"/>
                <w:lang w:eastAsia="en-GB"/>
              </w:rPr>
            </w:pPr>
          </w:p>
        </w:tc>
      </w:tr>
      <w:tr w:rsidR="00662356" w:rsidRPr="00051FD3" w14:paraId="47E1C104" w14:textId="77777777" w:rsidTr="00FA4E83">
        <w:trPr>
          <w:trHeight w:val="289"/>
          <w:jc w:val="center"/>
        </w:trPr>
        <w:tc>
          <w:tcPr>
            <w:tcW w:w="1836" w:type="dxa"/>
            <w:vMerge/>
            <w:tcBorders>
              <w:left w:val="single" w:sz="4" w:space="0" w:color="auto"/>
              <w:right w:val="single" w:sz="4" w:space="0" w:color="auto"/>
            </w:tcBorders>
          </w:tcPr>
          <w:p w14:paraId="3C362A44" w14:textId="77777777" w:rsidR="00662356" w:rsidRPr="00FA4E83" w:rsidRDefault="00662356" w:rsidP="00662356">
            <w:pPr>
              <w:keepNext/>
              <w:keepLines/>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05003E4F" w14:textId="52D5D32E" w:rsidR="00662356" w:rsidRPr="00FA4E83" w:rsidRDefault="00662356" w:rsidP="00662356">
            <w:pPr>
              <w:keepNext/>
              <w:keepLines/>
              <w:rPr>
                <w:color w:val="000000"/>
                <w:sz w:val="22"/>
                <w:szCs w:val="22"/>
                <w:lang w:eastAsia="en-GB"/>
              </w:rPr>
            </w:pPr>
            <w:r w:rsidRPr="00FA4E83">
              <w:rPr>
                <w:color w:val="000000"/>
                <w:sz w:val="22"/>
                <w:szCs w:val="22"/>
                <w:lang w:eastAsia="en-GB"/>
              </w:rPr>
              <w:t>Šlapimo takų infekcija</w:t>
            </w:r>
          </w:p>
        </w:tc>
        <w:tc>
          <w:tcPr>
            <w:tcW w:w="1701" w:type="dxa"/>
            <w:tcBorders>
              <w:top w:val="single" w:sz="4" w:space="0" w:color="auto"/>
              <w:left w:val="single" w:sz="4" w:space="0" w:color="auto"/>
              <w:bottom w:val="single" w:sz="4" w:space="0" w:color="auto"/>
              <w:right w:val="single" w:sz="4" w:space="0" w:color="auto"/>
            </w:tcBorders>
          </w:tcPr>
          <w:p w14:paraId="75631ABD" w14:textId="77777777" w:rsidR="00662356" w:rsidRPr="00FA4E83" w:rsidRDefault="00662356" w:rsidP="00662356">
            <w:pPr>
              <w:keepNext/>
              <w:keepLines/>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7605ADC8" w14:textId="4F34596D" w:rsidR="00662356" w:rsidRPr="00FA4E83" w:rsidRDefault="00662356" w:rsidP="00662356">
            <w:pPr>
              <w:keepNext/>
              <w:keepLines/>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tcPr>
          <w:p w14:paraId="52E8CBDD" w14:textId="77777777" w:rsidR="00662356" w:rsidRPr="00FA4E83" w:rsidRDefault="00662356" w:rsidP="00662356">
            <w:pPr>
              <w:keepNext/>
              <w:keepLines/>
              <w:rPr>
                <w:color w:val="000000"/>
                <w:sz w:val="22"/>
                <w:szCs w:val="22"/>
                <w:lang w:eastAsia="en-GB"/>
              </w:rPr>
            </w:pPr>
          </w:p>
        </w:tc>
      </w:tr>
      <w:tr w:rsidR="00662356" w:rsidRPr="00051FD3" w14:paraId="2FFAFEE9"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3AB6873A" w14:textId="77777777" w:rsidR="00662356" w:rsidRPr="00FA4E83" w:rsidRDefault="00662356" w:rsidP="00662356">
            <w:pPr>
              <w:keepNext/>
              <w:keepLines/>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76E8E92" w14:textId="05BB50DC" w:rsidR="00662356" w:rsidRPr="00FA4E83" w:rsidRDefault="00662356" w:rsidP="00662356">
            <w:pPr>
              <w:keepNext/>
              <w:keepLines/>
              <w:rPr>
                <w:color w:val="000000"/>
                <w:sz w:val="22"/>
                <w:szCs w:val="22"/>
                <w:lang w:eastAsia="en-GB"/>
              </w:rPr>
            </w:pPr>
            <w:r w:rsidRPr="00FA4E83">
              <w:rPr>
                <w:color w:val="000000"/>
                <w:sz w:val="22"/>
                <w:szCs w:val="22"/>
                <w:lang w:eastAsia="en-GB"/>
              </w:rPr>
              <w:t>Cistitas</w:t>
            </w:r>
          </w:p>
        </w:tc>
        <w:tc>
          <w:tcPr>
            <w:tcW w:w="1701" w:type="dxa"/>
            <w:tcBorders>
              <w:top w:val="single" w:sz="4" w:space="0" w:color="auto"/>
              <w:left w:val="single" w:sz="4" w:space="0" w:color="auto"/>
              <w:bottom w:val="single" w:sz="4" w:space="0" w:color="auto"/>
              <w:right w:val="single" w:sz="4" w:space="0" w:color="auto"/>
            </w:tcBorders>
            <w:hideMark/>
          </w:tcPr>
          <w:p w14:paraId="376029FE" w14:textId="77777777" w:rsidR="00662356" w:rsidRPr="00FA4E83" w:rsidRDefault="00662356" w:rsidP="00662356">
            <w:pPr>
              <w:keepNext/>
              <w:keepLines/>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F37BC87" w14:textId="06C2AB63" w:rsidR="00662356" w:rsidRPr="00FA4E83" w:rsidRDefault="00662356" w:rsidP="00662356">
            <w:pPr>
              <w:keepNext/>
              <w:keepLines/>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18487D48" w14:textId="77777777" w:rsidR="00662356" w:rsidRPr="00FA4E83" w:rsidRDefault="00662356" w:rsidP="00662356">
            <w:pPr>
              <w:keepNext/>
              <w:keepLines/>
              <w:rPr>
                <w:color w:val="000000"/>
                <w:sz w:val="22"/>
                <w:szCs w:val="22"/>
                <w:lang w:eastAsia="en-GB"/>
              </w:rPr>
            </w:pPr>
          </w:p>
        </w:tc>
      </w:tr>
      <w:tr w:rsidR="00387073" w:rsidRPr="00051FD3" w14:paraId="67246042" w14:textId="77777777" w:rsidTr="00FA4E83">
        <w:trPr>
          <w:trHeight w:val="289"/>
          <w:jc w:val="center"/>
        </w:trPr>
        <w:tc>
          <w:tcPr>
            <w:tcW w:w="1836" w:type="dxa"/>
            <w:tcBorders>
              <w:top w:val="single" w:sz="4" w:space="0" w:color="auto"/>
              <w:left w:val="single" w:sz="4" w:space="0" w:color="auto"/>
              <w:bottom w:val="single" w:sz="4" w:space="0" w:color="auto"/>
              <w:right w:val="single" w:sz="4" w:space="0" w:color="auto"/>
            </w:tcBorders>
            <w:hideMark/>
          </w:tcPr>
          <w:p w14:paraId="4B11FC9F" w14:textId="554F34DE" w:rsidR="00775E26" w:rsidRPr="00012DBE" w:rsidRDefault="00EC6A3C" w:rsidP="00B5059E">
            <w:pPr>
              <w:keepNext/>
              <w:keepLines/>
              <w:rPr>
                <w:b/>
                <w:bCs/>
                <w:color w:val="000000"/>
                <w:sz w:val="22"/>
                <w:szCs w:val="22"/>
                <w:lang w:eastAsia="en-GB"/>
              </w:rPr>
            </w:pPr>
            <w:r w:rsidRPr="00012DBE">
              <w:rPr>
                <w:b/>
                <w:bCs/>
                <w:color w:val="000000"/>
                <w:sz w:val="22"/>
                <w:szCs w:val="22"/>
                <w:lang w:eastAsia="en-GB"/>
              </w:rPr>
              <w:t>Gerybiniai, piktybiniai ir nepatikslinti navikai (tarp jų cistos ir polipai)</w:t>
            </w:r>
          </w:p>
        </w:tc>
        <w:tc>
          <w:tcPr>
            <w:tcW w:w="2412" w:type="dxa"/>
            <w:tcBorders>
              <w:top w:val="single" w:sz="4" w:space="0" w:color="auto"/>
              <w:left w:val="single" w:sz="4" w:space="0" w:color="auto"/>
              <w:bottom w:val="single" w:sz="4" w:space="0" w:color="auto"/>
              <w:right w:val="single" w:sz="4" w:space="0" w:color="auto"/>
            </w:tcBorders>
            <w:hideMark/>
          </w:tcPr>
          <w:p w14:paraId="0C1540A6" w14:textId="46E19503" w:rsidR="00775E26" w:rsidRPr="00012DBE" w:rsidRDefault="007859FE" w:rsidP="00D475F2">
            <w:pPr>
              <w:keepNext/>
              <w:keepLines/>
              <w:spacing w:after="240"/>
              <w:rPr>
                <w:color w:val="000000"/>
                <w:sz w:val="22"/>
                <w:szCs w:val="22"/>
                <w:lang w:eastAsia="en-GB"/>
              </w:rPr>
            </w:pPr>
            <w:proofErr w:type="spellStart"/>
            <w:r w:rsidRPr="00012DBE">
              <w:rPr>
                <w:color w:val="000000"/>
                <w:sz w:val="22"/>
                <w:szCs w:val="22"/>
                <w:lang w:eastAsia="en-GB"/>
              </w:rPr>
              <w:t>Nemelanominis</w:t>
            </w:r>
            <w:proofErr w:type="spellEnd"/>
            <w:r w:rsidRPr="00012DBE">
              <w:rPr>
                <w:color w:val="000000"/>
                <w:sz w:val="22"/>
                <w:szCs w:val="22"/>
                <w:lang w:eastAsia="en-GB"/>
              </w:rPr>
              <w:t xml:space="preserve"> odos vėžys (</w:t>
            </w:r>
            <w:proofErr w:type="spellStart"/>
            <w:r w:rsidRPr="00012DBE">
              <w:rPr>
                <w:color w:val="000000"/>
                <w:sz w:val="22"/>
                <w:szCs w:val="22"/>
                <w:lang w:eastAsia="en-GB"/>
              </w:rPr>
              <w:t>bazalinių</w:t>
            </w:r>
            <w:proofErr w:type="spellEnd"/>
            <w:r w:rsidRPr="00012DBE">
              <w:rPr>
                <w:color w:val="000000"/>
                <w:sz w:val="22"/>
                <w:szCs w:val="22"/>
                <w:lang w:eastAsia="en-GB"/>
              </w:rPr>
              <w:t xml:space="preserve"> ląstelių karcinoma ir plokščiųjų ląstelių karcinoma)</w:t>
            </w:r>
          </w:p>
        </w:tc>
        <w:tc>
          <w:tcPr>
            <w:tcW w:w="1701" w:type="dxa"/>
            <w:tcBorders>
              <w:top w:val="single" w:sz="4" w:space="0" w:color="auto"/>
              <w:left w:val="single" w:sz="4" w:space="0" w:color="auto"/>
              <w:bottom w:val="single" w:sz="4" w:space="0" w:color="auto"/>
              <w:right w:val="single" w:sz="4" w:space="0" w:color="auto"/>
            </w:tcBorders>
            <w:hideMark/>
          </w:tcPr>
          <w:p w14:paraId="265DCE76" w14:textId="77777777" w:rsidR="00775E26" w:rsidRPr="00012DBE" w:rsidRDefault="00775E26" w:rsidP="00D475F2">
            <w:pPr>
              <w:keepNext/>
              <w:keepLines/>
              <w:spacing w:after="240"/>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7C65A82" w14:textId="77777777" w:rsidR="00775E26" w:rsidRPr="00012DBE" w:rsidRDefault="00775E26" w:rsidP="00D475F2">
            <w:pPr>
              <w:keepNext/>
              <w:keepLines/>
              <w:spacing w:after="240"/>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F8B1EAC" w14:textId="25C3245B" w:rsidR="00775E26" w:rsidRPr="00012DBE" w:rsidRDefault="005D62EF" w:rsidP="00D475F2">
            <w:pPr>
              <w:keepNext/>
              <w:keepLines/>
              <w:spacing w:after="240"/>
              <w:rPr>
                <w:color w:val="000000"/>
                <w:sz w:val="22"/>
                <w:szCs w:val="22"/>
                <w:lang w:eastAsia="en-GB"/>
              </w:rPr>
            </w:pPr>
            <w:r>
              <w:rPr>
                <w:color w:val="000000"/>
                <w:sz w:val="22"/>
                <w:szCs w:val="22"/>
                <w:lang w:eastAsia="en-GB"/>
              </w:rPr>
              <w:t>N</w:t>
            </w:r>
            <w:r w:rsidR="00662356" w:rsidRPr="00012DBE">
              <w:rPr>
                <w:color w:val="000000"/>
                <w:sz w:val="22"/>
                <w:szCs w:val="22"/>
                <w:lang w:eastAsia="en-GB"/>
              </w:rPr>
              <w:t>ežinomas</w:t>
            </w:r>
            <w:r w:rsidR="00775E26" w:rsidRPr="00012DBE">
              <w:rPr>
                <w:color w:val="000000"/>
                <w:sz w:val="22"/>
                <w:szCs w:val="22"/>
                <w:vertAlign w:val="superscript"/>
                <w:lang w:eastAsia="en-GB"/>
              </w:rPr>
              <w:t>2</w:t>
            </w:r>
          </w:p>
        </w:tc>
      </w:tr>
      <w:tr w:rsidR="00387073" w:rsidRPr="00051FD3" w14:paraId="1EC59818"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798DB185" w14:textId="23D0B41C" w:rsidR="00775E26" w:rsidRPr="00012DBE" w:rsidRDefault="00EC6A3C" w:rsidP="00B5059E">
            <w:pPr>
              <w:keepNext/>
              <w:rPr>
                <w:b/>
                <w:bCs/>
                <w:color w:val="000000"/>
                <w:sz w:val="22"/>
                <w:szCs w:val="22"/>
                <w:lang w:eastAsia="en-GB"/>
              </w:rPr>
            </w:pPr>
            <w:r w:rsidRPr="00012DBE">
              <w:rPr>
                <w:b/>
                <w:bCs/>
                <w:color w:val="000000"/>
                <w:sz w:val="22"/>
                <w:szCs w:val="22"/>
                <w:lang w:eastAsia="en-GB"/>
              </w:rPr>
              <w:t>Kraujo ir limfinės sistemos sutrikimai</w:t>
            </w:r>
          </w:p>
        </w:tc>
        <w:tc>
          <w:tcPr>
            <w:tcW w:w="2412" w:type="dxa"/>
            <w:tcBorders>
              <w:top w:val="single" w:sz="4" w:space="0" w:color="auto"/>
              <w:left w:val="single" w:sz="4" w:space="0" w:color="auto"/>
              <w:bottom w:val="single" w:sz="4" w:space="0" w:color="auto"/>
              <w:right w:val="single" w:sz="4" w:space="0" w:color="auto"/>
            </w:tcBorders>
            <w:hideMark/>
          </w:tcPr>
          <w:p w14:paraId="4BE02A96" w14:textId="3325E36B" w:rsidR="00775E26" w:rsidRPr="00012DBE" w:rsidRDefault="007859FE" w:rsidP="00B5059E">
            <w:pPr>
              <w:keepNext/>
              <w:rPr>
                <w:color w:val="000000"/>
                <w:sz w:val="22"/>
                <w:szCs w:val="22"/>
                <w:lang w:eastAsia="en-GB"/>
              </w:rPr>
            </w:pPr>
            <w:r w:rsidRPr="00012DBE">
              <w:rPr>
                <w:color w:val="000000"/>
                <w:sz w:val="22"/>
                <w:szCs w:val="22"/>
                <w:lang w:eastAsia="en-GB"/>
              </w:rPr>
              <w:t>An</w:t>
            </w:r>
            <w:r w:rsidR="00775E26" w:rsidRPr="00012DBE">
              <w:rPr>
                <w:color w:val="000000"/>
                <w:sz w:val="22"/>
                <w:szCs w:val="22"/>
                <w:lang w:eastAsia="en-GB"/>
              </w:rPr>
              <w:t>emi</w:t>
            </w:r>
            <w:r w:rsidRPr="00012DBE">
              <w:rPr>
                <w:color w:val="000000"/>
                <w:sz w:val="22"/>
                <w:szCs w:val="22"/>
                <w:lang w:eastAsia="en-GB"/>
              </w:rPr>
              <w:t>j</w:t>
            </w:r>
            <w:r w:rsidR="00775E26" w:rsidRPr="00012DBE">
              <w:rPr>
                <w:color w:val="000000"/>
                <w:sz w:val="22"/>
                <w:szCs w:val="22"/>
                <w:lang w:eastAsia="en-GB"/>
              </w:rPr>
              <w:t>a</w:t>
            </w:r>
          </w:p>
        </w:tc>
        <w:tc>
          <w:tcPr>
            <w:tcW w:w="1701" w:type="dxa"/>
            <w:tcBorders>
              <w:top w:val="single" w:sz="4" w:space="0" w:color="auto"/>
              <w:left w:val="single" w:sz="4" w:space="0" w:color="auto"/>
              <w:bottom w:val="single" w:sz="4" w:space="0" w:color="auto"/>
              <w:right w:val="single" w:sz="4" w:space="0" w:color="auto"/>
            </w:tcBorders>
            <w:hideMark/>
          </w:tcPr>
          <w:p w14:paraId="71CE8C4A" w14:textId="77777777" w:rsidR="00775E26" w:rsidRPr="00012DBE" w:rsidRDefault="00775E26" w:rsidP="00B5059E">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BE8DDE2" w14:textId="2872435B" w:rsidR="00775E26" w:rsidRPr="00012DBE" w:rsidRDefault="00662356" w:rsidP="00B5059E">
            <w:pPr>
              <w:keepNext/>
              <w:rPr>
                <w:color w:val="000000"/>
                <w:sz w:val="22"/>
                <w:szCs w:val="22"/>
                <w:lang w:eastAsia="en-GB"/>
              </w:rPr>
            </w:pPr>
            <w:r w:rsidRPr="00012DBE">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4F94E943" w14:textId="77777777" w:rsidR="00775E26" w:rsidRPr="00012DBE" w:rsidRDefault="00775E26" w:rsidP="00B5059E">
            <w:pPr>
              <w:keepNext/>
              <w:rPr>
                <w:color w:val="000000"/>
                <w:sz w:val="22"/>
                <w:szCs w:val="22"/>
                <w:lang w:eastAsia="en-GB"/>
              </w:rPr>
            </w:pPr>
          </w:p>
        </w:tc>
      </w:tr>
      <w:tr w:rsidR="00662356" w:rsidRPr="00051FD3" w14:paraId="469A2C8D" w14:textId="77777777" w:rsidTr="00FA4E83">
        <w:trPr>
          <w:trHeight w:val="289"/>
          <w:jc w:val="center"/>
        </w:trPr>
        <w:tc>
          <w:tcPr>
            <w:tcW w:w="1836" w:type="dxa"/>
            <w:vMerge/>
            <w:tcBorders>
              <w:left w:val="single" w:sz="4" w:space="0" w:color="auto"/>
              <w:right w:val="single" w:sz="4" w:space="0" w:color="auto"/>
            </w:tcBorders>
            <w:hideMark/>
          </w:tcPr>
          <w:p w14:paraId="1D6881A6" w14:textId="77777777" w:rsidR="00662356" w:rsidRPr="00FA4E83" w:rsidRDefault="00662356" w:rsidP="00662356">
            <w:pPr>
              <w:keepNext/>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4D42883C" w14:textId="29A8F74C" w:rsidR="00662356" w:rsidRPr="00FA4E83" w:rsidRDefault="00662356" w:rsidP="00662356">
            <w:pPr>
              <w:keepNext/>
              <w:rPr>
                <w:color w:val="000000"/>
                <w:sz w:val="22"/>
                <w:szCs w:val="22"/>
                <w:lang w:eastAsia="en-GB"/>
              </w:rPr>
            </w:pPr>
            <w:proofErr w:type="spellStart"/>
            <w:r w:rsidRPr="00FA4E83">
              <w:rPr>
                <w:color w:val="000000"/>
                <w:sz w:val="22"/>
                <w:szCs w:val="22"/>
                <w:lang w:eastAsia="en-GB"/>
              </w:rPr>
              <w:t>Eozinofilija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C7131DA" w14:textId="77777777" w:rsidR="00662356" w:rsidRPr="00FA4E83" w:rsidRDefault="00662356" w:rsidP="00662356">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D9239AE" w14:textId="2C4FC4A2" w:rsidR="00662356" w:rsidRPr="00FA4E83" w:rsidRDefault="00662356" w:rsidP="00662356">
            <w:pPr>
              <w:keepNext/>
              <w:rPr>
                <w:color w:val="000000"/>
                <w:sz w:val="22"/>
                <w:szCs w:val="22"/>
                <w:lang w:eastAsia="en-GB"/>
              </w:rPr>
            </w:pPr>
            <w:r w:rsidRPr="00FA4E8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1DBBBEFA" w14:textId="77777777" w:rsidR="00662356" w:rsidRPr="00FA4E83" w:rsidRDefault="00662356" w:rsidP="00662356">
            <w:pPr>
              <w:keepNext/>
              <w:rPr>
                <w:color w:val="000000"/>
                <w:sz w:val="22"/>
                <w:szCs w:val="22"/>
                <w:lang w:eastAsia="en-GB"/>
              </w:rPr>
            </w:pPr>
          </w:p>
        </w:tc>
      </w:tr>
      <w:tr w:rsidR="00662356" w:rsidRPr="00051FD3" w14:paraId="758DF7F1" w14:textId="77777777" w:rsidTr="00FA4E83">
        <w:trPr>
          <w:trHeight w:val="289"/>
          <w:jc w:val="center"/>
        </w:trPr>
        <w:tc>
          <w:tcPr>
            <w:tcW w:w="1836" w:type="dxa"/>
            <w:vMerge/>
            <w:tcBorders>
              <w:left w:val="single" w:sz="4" w:space="0" w:color="auto"/>
              <w:right w:val="single" w:sz="4" w:space="0" w:color="auto"/>
            </w:tcBorders>
            <w:hideMark/>
          </w:tcPr>
          <w:p w14:paraId="23ABEBC0" w14:textId="77777777" w:rsidR="00662356" w:rsidRPr="00FA4E83" w:rsidRDefault="00662356" w:rsidP="00662356">
            <w:pPr>
              <w:keepNext/>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57FE604" w14:textId="11389FF2" w:rsidR="00662356" w:rsidRPr="00FA4E83" w:rsidRDefault="00662356" w:rsidP="00662356">
            <w:pPr>
              <w:keepNext/>
              <w:rPr>
                <w:color w:val="000000"/>
                <w:sz w:val="22"/>
                <w:szCs w:val="22"/>
                <w:lang w:eastAsia="en-GB"/>
              </w:rPr>
            </w:pPr>
            <w:proofErr w:type="spellStart"/>
            <w:r w:rsidRPr="00FA4E83">
              <w:rPr>
                <w:color w:val="000000"/>
                <w:sz w:val="22"/>
                <w:szCs w:val="22"/>
                <w:lang w:eastAsia="en-GB"/>
              </w:rPr>
              <w:t>Trombocitopenija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6A7E2F2" w14:textId="77777777" w:rsidR="00662356" w:rsidRPr="00FA4E83" w:rsidRDefault="00662356" w:rsidP="00662356">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1BA404B" w14:textId="64402167" w:rsidR="00662356" w:rsidRPr="00FA4E83" w:rsidRDefault="00662356" w:rsidP="00662356">
            <w:pPr>
              <w:keepNext/>
              <w:rPr>
                <w:color w:val="000000"/>
                <w:sz w:val="22"/>
                <w:szCs w:val="22"/>
                <w:lang w:eastAsia="en-GB"/>
              </w:rPr>
            </w:pPr>
            <w:r w:rsidRPr="00FA4E8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71416A0A" w14:textId="48C1CC3F" w:rsidR="00662356" w:rsidRPr="00FA4E83" w:rsidRDefault="00662356" w:rsidP="00662356">
            <w:pPr>
              <w:keepNext/>
              <w:rPr>
                <w:color w:val="000000"/>
                <w:sz w:val="22"/>
                <w:szCs w:val="22"/>
                <w:lang w:eastAsia="en-GB"/>
              </w:rPr>
            </w:pPr>
            <w:r w:rsidRPr="00FA4E83">
              <w:rPr>
                <w:color w:val="000000"/>
                <w:sz w:val="22"/>
                <w:szCs w:val="22"/>
                <w:lang w:eastAsia="en-GB"/>
              </w:rPr>
              <w:t>Retas</w:t>
            </w:r>
          </w:p>
        </w:tc>
      </w:tr>
      <w:tr w:rsidR="00662356" w:rsidRPr="00051FD3" w14:paraId="5CB11C08" w14:textId="77777777" w:rsidTr="00FA4E83">
        <w:trPr>
          <w:trHeight w:val="289"/>
          <w:jc w:val="center"/>
        </w:trPr>
        <w:tc>
          <w:tcPr>
            <w:tcW w:w="1836" w:type="dxa"/>
            <w:vMerge/>
            <w:tcBorders>
              <w:left w:val="single" w:sz="4" w:space="0" w:color="auto"/>
              <w:right w:val="single" w:sz="4" w:space="0" w:color="auto"/>
            </w:tcBorders>
            <w:hideMark/>
          </w:tcPr>
          <w:p w14:paraId="626DD18F" w14:textId="77777777" w:rsidR="00662356" w:rsidRPr="00FA4E83" w:rsidRDefault="00662356" w:rsidP="00662356">
            <w:pPr>
              <w:keepNext/>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2A0D4247" w14:textId="18CD3A12" w:rsidR="00662356" w:rsidRPr="00FA4E83" w:rsidRDefault="00662356" w:rsidP="00662356">
            <w:pPr>
              <w:keepNext/>
              <w:rPr>
                <w:color w:val="000000"/>
                <w:sz w:val="22"/>
                <w:szCs w:val="22"/>
                <w:lang w:eastAsia="en-GB"/>
              </w:rPr>
            </w:pPr>
            <w:proofErr w:type="spellStart"/>
            <w:r w:rsidRPr="00FA4E83">
              <w:rPr>
                <w:color w:val="000000"/>
                <w:sz w:val="22"/>
                <w:szCs w:val="22"/>
                <w:lang w:eastAsia="en-GB"/>
              </w:rPr>
              <w:t>Trombocitopeninė</w:t>
            </w:r>
            <w:proofErr w:type="spellEnd"/>
            <w:r w:rsidRPr="00FA4E83">
              <w:rPr>
                <w:color w:val="000000"/>
                <w:sz w:val="22"/>
                <w:szCs w:val="22"/>
                <w:lang w:eastAsia="en-GB"/>
              </w:rPr>
              <w:t xml:space="preserve"> purpura</w:t>
            </w:r>
          </w:p>
        </w:tc>
        <w:tc>
          <w:tcPr>
            <w:tcW w:w="1701" w:type="dxa"/>
            <w:tcBorders>
              <w:top w:val="single" w:sz="4" w:space="0" w:color="auto"/>
              <w:left w:val="single" w:sz="4" w:space="0" w:color="auto"/>
              <w:bottom w:val="single" w:sz="4" w:space="0" w:color="auto"/>
              <w:right w:val="single" w:sz="4" w:space="0" w:color="auto"/>
            </w:tcBorders>
            <w:hideMark/>
          </w:tcPr>
          <w:p w14:paraId="59B463C6" w14:textId="77777777" w:rsidR="00662356" w:rsidRPr="00FA4E83" w:rsidRDefault="00662356" w:rsidP="00662356">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86495CB" w14:textId="77777777" w:rsidR="00662356" w:rsidRPr="00FA4E83" w:rsidRDefault="00662356" w:rsidP="00662356">
            <w:pPr>
              <w:keepNext/>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5D3780B" w14:textId="5FA5B31B" w:rsidR="00662356" w:rsidRPr="00FA4E83" w:rsidRDefault="00662356" w:rsidP="00662356">
            <w:pPr>
              <w:keepNext/>
              <w:rPr>
                <w:color w:val="000000"/>
                <w:sz w:val="22"/>
                <w:szCs w:val="22"/>
                <w:lang w:eastAsia="en-GB"/>
              </w:rPr>
            </w:pPr>
            <w:r w:rsidRPr="00FA4E83">
              <w:rPr>
                <w:color w:val="000000"/>
                <w:sz w:val="22"/>
                <w:szCs w:val="22"/>
                <w:lang w:eastAsia="en-GB"/>
              </w:rPr>
              <w:t>Retas</w:t>
            </w:r>
          </w:p>
        </w:tc>
      </w:tr>
      <w:tr w:rsidR="00387073" w:rsidRPr="00051FD3" w14:paraId="733444F1" w14:textId="77777777" w:rsidTr="00FA4E83">
        <w:trPr>
          <w:trHeight w:val="289"/>
          <w:jc w:val="center"/>
        </w:trPr>
        <w:tc>
          <w:tcPr>
            <w:tcW w:w="1836" w:type="dxa"/>
            <w:vMerge/>
            <w:tcBorders>
              <w:left w:val="single" w:sz="4" w:space="0" w:color="auto"/>
              <w:right w:val="single" w:sz="4" w:space="0" w:color="auto"/>
            </w:tcBorders>
            <w:hideMark/>
          </w:tcPr>
          <w:p w14:paraId="118D372D" w14:textId="77777777" w:rsidR="00775E26" w:rsidRPr="00FA4E83" w:rsidRDefault="00775E26" w:rsidP="00B5059E">
            <w:pPr>
              <w:keepNext/>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718A6BC6" w14:textId="2B455EA0" w:rsidR="00775E26" w:rsidRPr="00FA4E83" w:rsidRDefault="007859FE" w:rsidP="00051FD3">
            <w:pPr>
              <w:keepNext/>
              <w:spacing w:after="240"/>
              <w:rPr>
                <w:color w:val="000000"/>
                <w:sz w:val="22"/>
                <w:szCs w:val="22"/>
                <w:lang w:eastAsia="en-GB"/>
              </w:rPr>
            </w:pPr>
            <w:proofErr w:type="spellStart"/>
            <w:r w:rsidRPr="00FA4E83">
              <w:rPr>
                <w:color w:val="000000"/>
                <w:sz w:val="22"/>
                <w:szCs w:val="22"/>
                <w:lang w:eastAsia="en-GB"/>
              </w:rPr>
              <w:t>Aplazinė</w:t>
            </w:r>
            <w:proofErr w:type="spellEnd"/>
            <w:r w:rsidRPr="00FA4E83">
              <w:rPr>
                <w:color w:val="000000"/>
                <w:sz w:val="22"/>
                <w:szCs w:val="22"/>
                <w:lang w:eastAsia="en-GB"/>
              </w:rPr>
              <w:t xml:space="preserve"> anemija</w:t>
            </w:r>
          </w:p>
        </w:tc>
        <w:tc>
          <w:tcPr>
            <w:tcW w:w="1701" w:type="dxa"/>
            <w:tcBorders>
              <w:top w:val="single" w:sz="4" w:space="0" w:color="auto"/>
              <w:left w:val="single" w:sz="4" w:space="0" w:color="auto"/>
              <w:bottom w:val="single" w:sz="4" w:space="0" w:color="auto"/>
              <w:right w:val="single" w:sz="4" w:space="0" w:color="auto"/>
            </w:tcBorders>
            <w:hideMark/>
          </w:tcPr>
          <w:p w14:paraId="66556E22" w14:textId="77777777" w:rsidR="00775E26" w:rsidRPr="00FA4E83" w:rsidRDefault="00775E26" w:rsidP="00B5059E">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66EFB12" w14:textId="77777777" w:rsidR="00775E26" w:rsidRPr="00FA4E83" w:rsidRDefault="00775E26" w:rsidP="00B5059E">
            <w:pPr>
              <w:keepNext/>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AA2D0E3" w14:textId="4A5686EF" w:rsidR="00775E26" w:rsidRPr="00051FD3" w:rsidRDefault="005D62EF" w:rsidP="00B5059E">
            <w:pPr>
              <w:keepNext/>
              <w:rPr>
                <w:color w:val="000000"/>
                <w:sz w:val="22"/>
                <w:szCs w:val="22"/>
                <w:lang w:eastAsia="en-GB"/>
              </w:rPr>
            </w:pPr>
            <w:r>
              <w:rPr>
                <w:color w:val="000000"/>
                <w:sz w:val="22"/>
                <w:szCs w:val="22"/>
                <w:lang w:eastAsia="en-GB"/>
              </w:rPr>
              <w:t>N</w:t>
            </w:r>
            <w:r w:rsidR="00662356" w:rsidRPr="00051FD3">
              <w:rPr>
                <w:color w:val="000000"/>
                <w:sz w:val="22"/>
                <w:szCs w:val="22"/>
                <w:lang w:eastAsia="en-GB"/>
              </w:rPr>
              <w:t>ežinomas</w:t>
            </w:r>
          </w:p>
        </w:tc>
      </w:tr>
      <w:tr w:rsidR="00387073" w:rsidRPr="00051FD3" w14:paraId="249A9E58" w14:textId="77777777" w:rsidTr="00FA4E83">
        <w:trPr>
          <w:trHeight w:val="289"/>
          <w:jc w:val="center"/>
        </w:trPr>
        <w:tc>
          <w:tcPr>
            <w:tcW w:w="1836" w:type="dxa"/>
            <w:vMerge/>
            <w:tcBorders>
              <w:left w:val="single" w:sz="4" w:space="0" w:color="auto"/>
              <w:right w:val="single" w:sz="4" w:space="0" w:color="auto"/>
            </w:tcBorders>
            <w:hideMark/>
          </w:tcPr>
          <w:p w14:paraId="3745BF66" w14:textId="77777777" w:rsidR="00775E26" w:rsidRPr="00FA4E83" w:rsidRDefault="00775E26" w:rsidP="00B5059E">
            <w:pPr>
              <w:keepNext/>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9CC6AA0" w14:textId="4E0D0C17" w:rsidR="00775E26" w:rsidRPr="00FA4E83" w:rsidRDefault="007859FE" w:rsidP="00B5059E">
            <w:pPr>
              <w:keepNext/>
              <w:rPr>
                <w:color w:val="000000"/>
                <w:sz w:val="22"/>
                <w:szCs w:val="22"/>
                <w:lang w:eastAsia="en-GB"/>
              </w:rPr>
            </w:pPr>
            <w:r w:rsidRPr="00FA4E83">
              <w:rPr>
                <w:color w:val="000000"/>
                <w:sz w:val="22"/>
                <w:szCs w:val="22"/>
                <w:lang w:eastAsia="en-GB"/>
              </w:rPr>
              <w:t>Hemolizinė anemija</w:t>
            </w:r>
          </w:p>
        </w:tc>
        <w:tc>
          <w:tcPr>
            <w:tcW w:w="1701" w:type="dxa"/>
            <w:tcBorders>
              <w:top w:val="single" w:sz="4" w:space="0" w:color="auto"/>
              <w:left w:val="single" w:sz="4" w:space="0" w:color="auto"/>
              <w:bottom w:val="single" w:sz="4" w:space="0" w:color="auto"/>
              <w:right w:val="single" w:sz="4" w:space="0" w:color="auto"/>
            </w:tcBorders>
            <w:hideMark/>
          </w:tcPr>
          <w:p w14:paraId="022322F1" w14:textId="77777777" w:rsidR="00775E26" w:rsidRPr="00FA4E83" w:rsidRDefault="00775E26" w:rsidP="00B5059E">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9002E7A" w14:textId="77777777" w:rsidR="00775E26" w:rsidRPr="00FA4E83" w:rsidRDefault="00775E26" w:rsidP="00B5059E">
            <w:pPr>
              <w:keepNext/>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703B745" w14:textId="0D19F5FD" w:rsidR="00775E26" w:rsidRPr="00FA4E83" w:rsidRDefault="00662356" w:rsidP="00B5059E">
            <w:pPr>
              <w:keepNext/>
              <w:rPr>
                <w:color w:val="000000"/>
                <w:sz w:val="22"/>
                <w:szCs w:val="22"/>
                <w:lang w:eastAsia="en-GB"/>
              </w:rPr>
            </w:pPr>
            <w:r w:rsidRPr="00FA4E83">
              <w:rPr>
                <w:color w:val="000000"/>
                <w:sz w:val="22"/>
                <w:szCs w:val="22"/>
                <w:lang w:eastAsia="en-GB"/>
              </w:rPr>
              <w:t>Labai retas</w:t>
            </w:r>
          </w:p>
        </w:tc>
      </w:tr>
      <w:tr w:rsidR="00893BE4" w:rsidRPr="00051FD3" w14:paraId="147675F3" w14:textId="77777777" w:rsidTr="00FA4E83">
        <w:trPr>
          <w:trHeight w:val="289"/>
          <w:jc w:val="center"/>
        </w:trPr>
        <w:tc>
          <w:tcPr>
            <w:tcW w:w="1836" w:type="dxa"/>
            <w:vMerge/>
            <w:tcBorders>
              <w:left w:val="single" w:sz="4" w:space="0" w:color="auto"/>
              <w:right w:val="single" w:sz="4" w:space="0" w:color="auto"/>
            </w:tcBorders>
            <w:hideMark/>
          </w:tcPr>
          <w:p w14:paraId="5AB96C5C" w14:textId="77777777" w:rsidR="00893BE4" w:rsidRPr="00FA4E83" w:rsidRDefault="00893BE4" w:rsidP="00893BE4">
            <w:pPr>
              <w:keepNext/>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67EEFD3" w14:textId="548CC2D6" w:rsidR="00893BE4" w:rsidRPr="00FA4E83" w:rsidRDefault="00893BE4" w:rsidP="00893BE4">
            <w:pPr>
              <w:keepNext/>
              <w:rPr>
                <w:color w:val="000000"/>
                <w:sz w:val="22"/>
                <w:szCs w:val="22"/>
                <w:lang w:eastAsia="en-GB"/>
              </w:rPr>
            </w:pPr>
            <w:r w:rsidRPr="00FA4E83">
              <w:rPr>
                <w:color w:val="000000"/>
                <w:sz w:val="22"/>
                <w:szCs w:val="22"/>
                <w:lang w:eastAsia="en-GB"/>
              </w:rPr>
              <w:t>Kaulų čiulpų funkcijos nepakankamumas</w:t>
            </w:r>
          </w:p>
        </w:tc>
        <w:tc>
          <w:tcPr>
            <w:tcW w:w="1701" w:type="dxa"/>
            <w:tcBorders>
              <w:top w:val="single" w:sz="4" w:space="0" w:color="auto"/>
              <w:left w:val="single" w:sz="4" w:space="0" w:color="auto"/>
              <w:bottom w:val="single" w:sz="4" w:space="0" w:color="auto"/>
              <w:right w:val="single" w:sz="4" w:space="0" w:color="auto"/>
            </w:tcBorders>
            <w:hideMark/>
          </w:tcPr>
          <w:p w14:paraId="1EC3226F" w14:textId="77777777" w:rsidR="00893BE4" w:rsidRPr="00FA4E83" w:rsidRDefault="00893BE4" w:rsidP="00893BE4">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3F0CB951" w14:textId="77777777" w:rsidR="00893BE4" w:rsidRPr="00FA4E83" w:rsidRDefault="00893BE4" w:rsidP="00893BE4">
            <w:pPr>
              <w:keepNext/>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62E2CB8" w14:textId="4B729D88" w:rsidR="00893BE4" w:rsidRPr="00FA4E83" w:rsidRDefault="00893BE4" w:rsidP="00893BE4">
            <w:pPr>
              <w:keepNext/>
              <w:rPr>
                <w:color w:val="000000"/>
                <w:sz w:val="22"/>
                <w:szCs w:val="22"/>
                <w:lang w:eastAsia="en-GB"/>
              </w:rPr>
            </w:pPr>
            <w:r w:rsidRPr="00FA4E83">
              <w:rPr>
                <w:color w:val="000000"/>
                <w:sz w:val="22"/>
                <w:szCs w:val="22"/>
                <w:lang w:eastAsia="en-GB"/>
              </w:rPr>
              <w:t>Labai retas</w:t>
            </w:r>
          </w:p>
        </w:tc>
      </w:tr>
      <w:tr w:rsidR="00893BE4" w:rsidRPr="00051FD3" w14:paraId="50B563AD" w14:textId="77777777" w:rsidTr="00FA4E83">
        <w:trPr>
          <w:trHeight w:val="289"/>
          <w:jc w:val="center"/>
        </w:trPr>
        <w:tc>
          <w:tcPr>
            <w:tcW w:w="1836" w:type="dxa"/>
            <w:vMerge/>
            <w:tcBorders>
              <w:left w:val="single" w:sz="4" w:space="0" w:color="auto"/>
              <w:right w:val="single" w:sz="4" w:space="0" w:color="auto"/>
            </w:tcBorders>
            <w:hideMark/>
          </w:tcPr>
          <w:p w14:paraId="1F979C5C" w14:textId="77777777" w:rsidR="00893BE4" w:rsidRPr="00FA4E83" w:rsidRDefault="00893BE4" w:rsidP="00893BE4">
            <w:pPr>
              <w:keepNext/>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65627ED" w14:textId="65C92694" w:rsidR="00893BE4" w:rsidRPr="00FA4E83" w:rsidRDefault="00893BE4" w:rsidP="00893BE4">
            <w:pPr>
              <w:keepNext/>
              <w:rPr>
                <w:color w:val="000000"/>
                <w:sz w:val="22"/>
                <w:szCs w:val="22"/>
                <w:lang w:eastAsia="en-GB"/>
              </w:rPr>
            </w:pPr>
            <w:proofErr w:type="spellStart"/>
            <w:r w:rsidRPr="00FA4E83">
              <w:rPr>
                <w:color w:val="000000"/>
                <w:sz w:val="22"/>
                <w:szCs w:val="22"/>
                <w:lang w:eastAsia="en-GB"/>
              </w:rPr>
              <w:t>Leukopenija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24672E9" w14:textId="77777777" w:rsidR="00893BE4" w:rsidRPr="00FA4E83" w:rsidRDefault="00893BE4" w:rsidP="00893BE4">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3B316E1" w14:textId="77777777" w:rsidR="00893BE4" w:rsidRPr="00FA4E83" w:rsidRDefault="00893BE4" w:rsidP="00893BE4">
            <w:pPr>
              <w:keepNext/>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881A575" w14:textId="60CB8DD6" w:rsidR="00893BE4" w:rsidRPr="00FA4E83" w:rsidRDefault="00893BE4" w:rsidP="00893BE4">
            <w:pPr>
              <w:keepNext/>
              <w:rPr>
                <w:color w:val="000000"/>
                <w:sz w:val="22"/>
                <w:szCs w:val="22"/>
                <w:lang w:eastAsia="en-GB"/>
              </w:rPr>
            </w:pPr>
            <w:r w:rsidRPr="00FA4E83">
              <w:rPr>
                <w:color w:val="000000"/>
                <w:sz w:val="22"/>
                <w:szCs w:val="22"/>
                <w:lang w:eastAsia="en-GB"/>
              </w:rPr>
              <w:t>Labai retas</w:t>
            </w:r>
          </w:p>
        </w:tc>
      </w:tr>
      <w:tr w:rsidR="00893BE4" w:rsidRPr="00051FD3" w14:paraId="1DA34D83"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59BDCC72" w14:textId="77777777" w:rsidR="00893BE4" w:rsidRPr="00FA4E83" w:rsidRDefault="00893BE4" w:rsidP="00893BE4">
            <w:pPr>
              <w:keepNext/>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1592121" w14:textId="5E30B495" w:rsidR="00893BE4" w:rsidRPr="00FA4E83" w:rsidRDefault="00893BE4" w:rsidP="00893BE4">
            <w:pPr>
              <w:keepNext/>
              <w:rPr>
                <w:color w:val="000000"/>
                <w:sz w:val="22"/>
                <w:szCs w:val="22"/>
                <w:lang w:eastAsia="en-GB"/>
              </w:rPr>
            </w:pPr>
            <w:proofErr w:type="spellStart"/>
            <w:r w:rsidRPr="00FA4E83">
              <w:rPr>
                <w:color w:val="000000"/>
                <w:sz w:val="22"/>
                <w:szCs w:val="22"/>
                <w:lang w:eastAsia="en-GB"/>
              </w:rPr>
              <w:t>Agranulocitozė</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358E886" w14:textId="77777777" w:rsidR="00893BE4" w:rsidRPr="00FA4E83" w:rsidRDefault="00893BE4" w:rsidP="00893BE4">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4DD27FB" w14:textId="77777777" w:rsidR="00893BE4" w:rsidRPr="00FA4E83" w:rsidRDefault="00893BE4" w:rsidP="00893BE4">
            <w:pPr>
              <w:keepNext/>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353B713" w14:textId="211E6456" w:rsidR="00893BE4" w:rsidRPr="00FA4E83" w:rsidRDefault="00893BE4" w:rsidP="00893BE4">
            <w:pPr>
              <w:keepNext/>
              <w:rPr>
                <w:color w:val="000000"/>
                <w:sz w:val="22"/>
                <w:szCs w:val="22"/>
                <w:lang w:eastAsia="en-GB"/>
              </w:rPr>
            </w:pPr>
            <w:r w:rsidRPr="00FA4E83">
              <w:rPr>
                <w:color w:val="000000"/>
                <w:sz w:val="22"/>
                <w:szCs w:val="22"/>
                <w:lang w:eastAsia="en-GB"/>
              </w:rPr>
              <w:t>Labai retas</w:t>
            </w:r>
          </w:p>
        </w:tc>
      </w:tr>
      <w:tr w:rsidR="00387073" w:rsidRPr="00051FD3" w14:paraId="2C04012A"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1CE16CDD" w14:textId="687AE9D1" w:rsidR="00775E26" w:rsidRPr="00012DBE" w:rsidRDefault="00EC6A3C" w:rsidP="00B5059E">
            <w:pPr>
              <w:keepNext/>
              <w:rPr>
                <w:b/>
                <w:bCs/>
                <w:color w:val="000000"/>
                <w:sz w:val="22"/>
                <w:szCs w:val="22"/>
                <w:lang w:eastAsia="en-GB"/>
              </w:rPr>
            </w:pPr>
            <w:r w:rsidRPr="00012DBE">
              <w:rPr>
                <w:b/>
                <w:bCs/>
                <w:color w:val="000000"/>
                <w:sz w:val="22"/>
                <w:szCs w:val="22"/>
                <w:lang w:eastAsia="en-GB"/>
              </w:rPr>
              <w:t>Imuninės sistemos sutrikimai</w:t>
            </w:r>
          </w:p>
        </w:tc>
        <w:tc>
          <w:tcPr>
            <w:tcW w:w="2412" w:type="dxa"/>
            <w:tcBorders>
              <w:top w:val="single" w:sz="4" w:space="0" w:color="auto"/>
              <w:left w:val="single" w:sz="4" w:space="0" w:color="auto"/>
              <w:bottom w:val="single" w:sz="4" w:space="0" w:color="auto"/>
              <w:right w:val="single" w:sz="4" w:space="0" w:color="auto"/>
            </w:tcBorders>
          </w:tcPr>
          <w:p w14:paraId="0F1A1EB3" w14:textId="4DED4E7A" w:rsidR="00775E26" w:rsidRPr="00012DBE" w:rsidRDefault="007859FE" w:rsidP="00B5059E">
            <w:pPr>
              <w:keepNext/>
              <w:rPr>
                <w:color w:val="000000"/>
                <w:sz w:val="22"/>
                <w:szCs w:val="22"/>
                <w:lang w:eastAsia="en-GB"/>
              </w:rPr>
            </w:pPr>
            <w:r w:rsidRPr="00012DBE">
              <w:rPr>
                <w:color w:val="000000"/>
                <w:sz w:val="22"/>
                <w:szCs w:val="22"/>
                <w:lang w:eastAsia="en-GB"/>
              </w:rPr>
              <w:t>Anafilaksinė reakcija</w:t>
            </w:r>
          </w:p>
        </w:tc>
        <w:tc>
          <w:tcPr>
            <w:tcW w:w="1701" w:type="dxa"/>
            <w:tcBorders>
              <w:top w:val="single" w:sz="4" w:space="0" w:color="auto"/>
              <w:left w:val="single" w:sz="4" w:space="0" w:color="auto"/>
              <w:bottom w:val="single" w:sz="4" w:space="0" w:color="auto"/>
              <w:right w:val="single" w:sz="4" w:space="0" w:color="auto"/>
            </w:tcBorders>
          </w:tcPr>
          <w:p w14:paraId="78186648" w14:textId="77777777" w:rsidR="00775E26" w:rsidRPr="00012DBE" w:rsidRDefault="00775E26" w:rsidP="00B5059E">
            <w:pPr>
              <w:keepNext/>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5B18CD45" w14:textId="39E5C824" w:rsidR="00775E26" w:rsidRPr="00012DBE" w:rsidRDefault="00893BE4" w:rsidP="00B5059E">
            <w:pPr>
              <w:keepNext/>
              <w:rPr>
                <w:color w:val="000000"/>
                <w:sz w:val="22"/>
                <w:szCs w:val="22"/>
                <w:lang w:eastAsia="en-GB"/>
              </w:rPr>
            </w:pPr>
            <w:r w:rsidRPr="00012DBE">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tcPr>
          <w:p w14:paraId="6187A64F" w14:textId="77777777" w:rsidR="00775E26" w:rsidRPr="00012DBE" w:rsidRDefault="00775E26" w:rsidP="00B5059E">
            <w:pPr>
              <w:keepNext/>
              <w:rPr>
                <w:color w:val="000000"/>
                <w:sz w:val="22"/>
                <w:szCs w:val="22"/>
                <w:lang w:eastAsia="en-GB"/>
              </w:rPr>
            </w:pPr>
          </w:p>
        </w:tc>
      </w:tr>
      <w:tr w:rsidR="00387073" w:rsidRPr="00051FD3" w14:paraId="408F4921" w14:textId="77777777" w:rsidTr="00FA4E83">
        <w:trPr>
          <w:trHeight w:val="289"/>
          <w:jc w:val="center"/>
        </w:trPr>
        <w:tc>
          <w:tcPr>
            <w:tcW w:w="1836" w:type="dxa"/>
            <w:vMerge/>
            <w:tcBorders>
              <w:left w:val="single" w:sz="4" w:space="0" w:color="auto"/>
              <w:right w:val="single" w:sz="4" w:space="0" w:color="auto"/>
            </w:tcBorders>
          </w:tcPr>
          <w:p w14:paraId="30AD6148" w14:textId="77777777" w:rsidR="00775E26" w:rsidRPr="00FA4E83" w:rsidRDefault="00775E26" w:rsidP="00B5059E">
            <w:pPr>
              <w:keepNext/>
              <w:rPr>
                <w:b/>
                <w:bCs/>
                <w:color w:val="000000"/>
                <w:sz w:val="22"/>
                <w:szCs w:val="22"/>
                <w:lang w:eastAsia="en-GB"/>
              </w:rPr>
            </w:pPr>
          </w:p>
        </w:tc>
        <w:tc>
          <w:tcPr>
            <w:tcW w:w="2412" w:type="dxa"/>
            <w:tcBorders>
              <w:top w:val="single" w:sz="4" w:space="0" w:color="auto"/>
              <w:left w:val="single" w:sz="4" w:space="0" w:color="auto"/>
              <w:right w:val="single" w:sz="4" w:space="0" w:color="auto"/>
            </w:tcBorders>
          </w:tcPr>
          <w:p w14:paraId="0679C367" w14:textId="3773AA15" w:rsidR="00775E26" w:rsidRPr="00FA4E83" w:rsidRDefault="007859FE" w:rsidP="00E93540">
            <w:pPr>
              <w:keepNext/>
              <w:spacing w:after="240"/>
              <w:rPr>
                <w:color w:val="000000"/>
                <w:sz w:val="22"/>
                <w:szCs w:val="22"/>
                <w:lang w:eastAsia="en-GB"/>
              </w:rPr>
            </w:pPr>
            <w:r w:rsidRPr="00FA4E83">
              <w:rPr>
                <w:color w:val="000000"/>
                <w:sz w:val="22"/>
                <w:szCs w:val="22"/>
                <w:lang w:eastAsia="en-GB"/>
              </w:rPr>
              <w:t>Padidėjęs jautrumas</w:t>
            </w:r>
          </w:p>
        </w:tc>
        <w:tc>
          <w:tcPr>
            <w:tcW w:w="1701" w:type="dxa"/>
            <w:tcBorders>
              <w:top w:val="single" w:sz="4" w:space="0" w:color="auto"/>
              <w:left w:val="single" w:sz="4" w:space="0" w:color="auto"/>
              <w:right w:val="single" w:sz="4" w:space="0" w:color="auto"/>
            </w:tcBorders>
          </w:tcPr>
          <w:p w14:paraId="0849FB65" w14:textId="77777777" w:rsidR="00775E26" w:rsidRPr="00FA4E83" w:rsidRDefault="00775E26" w:rsidP="00D475F2">
            <w:pPr>
              <w:keepNext/>
              <w:spacing w:after="240"/>
              <w:rPr>
                <w:color w:val="000000"/>
                <w:sz w:val="22"/>
                <w:szCs w:val="22"/>
                <w:lang w:eastAsia="en-GB"/>
              </w:rPr>
            </w:pPr>
          </w:p>
        </w:tc>
        <w:tc>
          <w:tcPr>
            <w:tcW w:w="1701" w:type="dxa"/>
            <w:tcBorders>
              <w:top w:val="single" w:sz="4" w:space="0" w:color="auto"/>
              <w:left w:val="single" w:sz="4" w:space="0" w:color="auto"/>
              <w:right w:val="single" w:sz="4" w:space="0" w:color="auto"/>
            </w:tcBorders>
          </w:tcPr>
          <w:p w14:paraId="193E1548" w14:textId="7BFD8AE0" w:rsidR="00775E26" w:rsidRPr="00FA4E83" w:rsidRDefault="00893BE4" w:rsidP="00D475F2">
            <w:pPr>
              <w:keepNext/>
              <w:spacing w:after="240"/>
              <w:rPr>
                <w:color w:val="000000"/>
                <w:sz w:val="22"/>
                <w:szCs w:val="22"/>
                <w:lang w:eastAsia="en-GB"/>
              </w:rPr>
            </w:pPr>
            <w:r w:rsidRPr="00FA4E83">
              <w:rPr>
                <w:color w:val="000000"/>
                <w:sz w:val="22"/>
                <w:szCs w:val="22"/>
                <w:lang w:eastAsia="en-GB"/>
              </w:rPr>
              <w:t>Retas</w:t>
            </w:r>
          </w:p>
        </w:tc>
        <w:tc>
          <w:tcPr>
            <w:tcW w:w="1843" w:type="dxa"/>
            <w:tcBorders>
              <w:top w:val="single" w:sz="4" w:space="0" w:color="auto"/>
              <w:left w:val="single" w:sz="4" w:space="0" w:color="auto"/>
              <w:right w:val="single" w:sz="4" w:space="0" w:color="auto"/>
            </w:tcBorders>
          </w:tcPr>
          <w:p w14:paraId="7DC3187C" w14:textId="4A3EF865" w:rsidR="00775E26" w:rsidRPr="00FA4E83" w:rsidRDefault="00893BE4" w:rsidP="00D475F2">
            <w:pPr>
              <w:keepNext/>
              <w:spacing w:after="240"/>
              <w:rPr>
                <w:color w:val="000000"/>
                <w:sz w:val="22"/>
                <w:szCs w:val="22"/>
                <w:lang w:eastAsia="en-GB"/>
              </w:rPr>
            </w:pPr>
            <w:r w:rsidRPr="00FA4E83">
              <w:rPr>
                <w:color w:val="000000"/>
                <w:sz w:val="22"/>
                <w:szCs w:val="22"/>
                <w:lang w:eastAsia="en-GB"/>
              </w:rPr>
              <w:t>Labai retas</w:t>
            </w:r>
          </w:p>
        </w:tc>
      </w:tr>
      <w:tr w:rsidR="00387073" w:rsidRPr="00051FD3" w14:paraId="19604B01"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53F54909" w14:textId="060DAD95" w:rsidR="00775E26" w:rsidRPr="00012DBE" w:rsidRDefault="00EC6A3C" w:rsidP="00B5059E">
            <w:pPr>
              <w:rPr>
                <w:b/>
                <w:bCs/>
                <w:color w:val="000000"/>
                <w:sz w:val="22"/>
                <w:szCs w:val="22"/>
                <w:lang w:eastAsia="en-GB"/>
              </w:rPr>
            </w:pPr>
            <w:r w:rsidRPr="00012DBE">
              <w:rPr>
                <w:b/>
                <w:bCs/>
                <w:color w:val="000000"/>
                <w:sz w:val="22"/>
                <w:szCs w:val="22"/>
                <w:lang w:eastAsia="en-GB"/>
              </w:rPr>
              <w:t>Metabolizmo ir mitybos sutrikimai</w:t>
            </w:r>
          </w:p>
        </w:tc>
        <w:tc>
          <w:tcPr>
            <w:tcW w:w="2412" w:type="dxa"/>
            <w:tcBorders>
              <w:top w:val="single" w:sz="4" w:space="0" w:color="auto"/>
              <w:left w:val="single" w:sz="4" w:space="0" w:color="auto"/>
              <w:bottom w:val="single" w:sz="4" w:space="0" w:color="auto"/>
              <w:right w:val="single" w:sz="4" w:space="0" w:color="auto"/>
            </w:tcBorders>
            <w:hideMark/>
          </w:tcPr>
          <w:p w14:paraId="03FFB424" w14:textId="20983AF0" w:rsidR="00775E26" w:rsidRPr="00012DBE" w:rsidRDefault="00B1126F" w:rsidP="00B5059E">
            <w:pPr>
              <w:rPr>
                <w:color w:val="000000"/>
                <w:sz w:val="22"/>
                <w:szCs w:val="22"/>
                <w:lang w:eastAsia="en-GB"/>
              </w:rPr>
            </w:pPr>
            <w:proofErr w:type="spellStart"/>
            <w:r w:rsidRPr="00012DBE">
              <w:rPr>
                <w:color w:val="000000"/>
                <w:sz w:val="22"/>
                <w:szCs w:val="22"/>
                <w:lang w:eastAsia="en-GB"/>
              </w:rPr>
              <w:t>Hipokal</w:t>
            </w:r>
            <w:r w:rsidR="00775E26" w:rsidRPr="00012DBE">
              <w:rPr>
                <w:color w:val="000000"/>
                <w:sz w:val="22"/>
                <w:szCs w:val="22"/>
                <w:lang w:eastAsia="en-GB"/>
              </w:rPr>
              <w:t>emi</w:t>
            </w:r>
            <w:r w:rsidRPr="00012DBE">
              <w:rPr>
                <w:color w:val="000000"/>
                <w:sz w:val="22"/>
                <w:szCs w:val="22"/>
                <w:lang w:eastAsia="en-GB"/>
              </w:rPr>
              <w:t>j</w:t>
            </w:r>
            <w:r w:rsidR="00775E26" w:rsidRPr="00012DBE">
              <w:rPr>
                <w:color w:val="000000"/>
                <w:sz w:val="22"/>
                <w:szCs w:val="22"/>
                <w:lang w:eastAsia="en-GB"/>
              </w:rPr>
              <w:t>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3AE82B4" w14:textId="2B80363E" w:rsidR="00775E26" w:rsidRPr="00012DBE" w:rsidRDefault="00862996" w:rsidP="00B5059E">
            <w:pPr>
              <w:rPr>
                <w:color w:val="000000"/>
                <w:sz w:val="22"/>
                <w:szCs w:val="22"/>
                <w:lang w:eastAsia="en-GB"/>
              </w:rPr>
            </w:pPr>
            <w:r w:rsidRPr="00012DBE">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58D8DAA7" w14:textId="77777777" w:rsidR="00775E26" w:rsidRPr="00012DBE" w:rsidRDefault="00775E26" w:rsidP="00B5059E">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2491967" w14:textId="6995D591" w:rsidR="00775E26" w:rsidRPr="00012DBE" w:rsidRDefault="00862996" w:rsidP="00B5059E">
            <w:pPr>
              <w:rPr>
                <w:sz w:val="22"/>
                <w:szCs w:val="22"/>
                <w:lang w:eastAsia="en-GB"/>
              </w:rPr>
            </w:pPr>
            <w:r w:rsidRPr="00012DBE">
              <w:rPr>
                <w:sz w:val="22"/>
                <w:szCs w:val="22"/>
                <w:lang w:eastAsia="en-GB"/>
              </w:rPr>
              <w:t>Labai dažnas</w:t>
            </w:r>
          </w:p>
        </w:tc>
      </w:tr>
      <w:tr w:rsidR="00862996" w:rsidRPr="00051FD3" w14:paraId="7346F4FE" w14:textId="77777777" w:rsidTr="00FA4E83">
        <w:trPr>
          <w:trHeight w:val="289"/>
          <w:jc w:val="center"/>
        </w:trPr>
        <w:tc>
          <w:tcPr>
            <w:tcW w:w="1836" w:type="dxa"/>
            <w:vMerge/>
            <w:tcBorders>
              <w:left w:val="single" w:sz="4" w:space="0" w:color="auto"/>
              <w:right w:val="single" w:sz="4" w:space="0" w:color="auto"/>
            </w:tcBorders>
            <w:hideMark/>
          </w:tcPr>
          <w:p w14:paraId="1E2A1CE3"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50A2FACB" w14:textId="0A3C77AB" w:rsidR="00862996" w:rsidRPr="00FA4E83" w:rsidRDefault="00862996" w:rsidP="00862996">
            <w:pPr>
              <w:rPr>
                <w:color w:val="000000"/>
                <w:sz w:val="22"/>
                <w:szCs w:val="22"/>
                <w:lang w:eastAsia="en-GB"/>
              </w:rPr>
            </w:pPr>
            <w:proofErr w:type="spellStart"/>
            <w:r w:rsidRPr="00FA4E83">
              <w:rPr>
                <w:color w:val="000000"/>
                <w:sz w:val="22"/>
                <w:szCs w:val="22"/>
                <w:lang w:eastAsia="en-GB"/>
              </w:rPr>
              <w:t>Hiperurikemija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77C1EC8" w14:textId="5518C57A" w:rsidR="00862996" w:rsidRPr="00FA4E83" w:rsidRDefault="00862996" w:rsidP="00862996">
            <w:pPr>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0FB59AC1" w14:textId="77777777" w:rsidR="00862996" w:rsidRPr="00FA4E8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4FE8527" w14:textId="0779593B" w:rsidR="00862996" w:rsidRPr="00FA4E83" w:rsidRDefault="00862996" w:rsidP="00862996">
            <w:pPr>
              <w:rPr>
                <w:sz w:val="22"/>
                <w:szCs w:val="22"/>
                <w:lang w:eastAsia="en-GB"/>
              </w:rPr>
            </w:pPr>
            <w:r w:rsidRPr="00FA4E83">
              <w:rPr>
                <w:sz w:val="22"/>
                <w:szCs w:val="22"/>
                <w:lang w:eastAsia="en-GB"/>
              </w:rPr>
              <w:t>Dažnas</w:t>
            </w:r>
          </w:p>
        </w:tc>
      </w:tr>
      <w:tr w:rsidR="00862996" w:rsidRPr="00051FD3" w14:paraId="686E3A36" w14:textId="77777777" w:rsidTr="00FA4E83">
        <w:trPr>
          <w:trHeight w:val="289"/>
          <w:jc w:val="center"/>
        </w:trPr>
        <w:tc>
          <w:tcPr>
            <w:tcW w:w="1836" w:type="dxa"/>
            <w:vMerge/>
            <w:tcBorders>
              <w:left w:val="single" w:sz="4" w:space="0" w:color="auto"/>
              <w:right w:val="single" w:sz="4" w:space="0" w:color="auto"/>
            </w:tcBorders>
            <w:hideMark/>
          </w:tcPr>
          <w:p w14:paraId="0431AD96"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0DD09F8" w14:textId="40C80BFB" w:rsidR="00862996" w:rsidRPr="00FA4E83" w:rsidRDefault="00862996" w:rsidP="00862996">
            <w:pPr>
              <w:rPr>
                <w:color w:val="000000"/>
                <w:sz w:val="22"/>
                <w:szCs w:val="22"/>
                <w:lang w:eastAsia="en-GB"/>
              </w:rPr>
            </w:pPr>
            <w:proofErr w:type="spellStart"/>
            <w:r w:rsidRPr="00FA4E83">
              <w:rPr>
                <w:color w:val="000000"/>
                <w:sz w:val="22"/>
                <w:szCs w:val="22"/>
                <w:lang w:eastAsia="en-GB"/>
              </w:rPr>
              <w:t>Hiponatremija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AD42498" w14:textId="2C8DD852" w:rsidR="00862996" w:rsidRPr="00FA4E83" w:rsidRDefault="00862996" w:rsidP="00862996">
            <w:pPr>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778CA938" w14:textId="43F92D3D" w:rsidR="00862996" w:rsidRPr="00FA4E83" w:rsidRDefault="00862996" w:rsidP="00862996">
            <w:pPr>
              <w:rPr>
                <w:color w:val="000000"/>
                <w:sz w:val="22"/>
                <w:szCs w:val="22"/>
                <w:lang w:eastAsia="en-GB"/>
              </w:rPr>
            </w:pPr>
            <w:r w:rsidRPr="00FA4E8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6A44B204" w14:textId="2BA3EFC9" w:rsidR="00862996" w:rsidRPr="00FA4E83" w:rsidRDefault="00862996" w:rsidP="00862996">
            <w:pPr>
              <w:rPr>
                <w:color w:val="000000"/>
                <w:sz w:val="22"/>
                <w:szCs w:val="22"/>
                <w:lang w:eastAsia="en-GB"/>
              </w:rPr>
            </w:pPr>
            <w:r w:rsidRPr="00FA4E83">
              <w:rPr>
                <w:sz w:val="22"/>
                <w:szCs w:val="22"/>
                <w:lang w:eastAsia="en-GB"/>
              </w:rPr>
              <w:t>Dažnas</w:t>
            </w:r>
          </w:p>
        </w:tc>
      </w:tr>
      <w:tr w:rsidR="00387073" w:rsidRPr="00051FD3" w14:paraId="67A19030" w14:textId="77777777" w:rsidTr="00FA4E83">
        <w:trPr>
          <w:trHeight w:val="289"/>
          <w:jc w:val="center"/>
        </w:trPr>
        <w:tc>
          <w:tcPr>
            <w:tcW w:w="1836" w:type="dxa"/>
            <w:vMerge/>
            <w:tcBorders>
              <w:left w:val="single" w:sz="4" w:space="0" w:color="auto"/>
              <w:right w:val="single" w:sz="4" w:space="0" w:color="auto"/>
            </w:tcBorders>
            <w:hideMark/>
          </w:tcPr>
          <w:p w14:paraId="67BC25FF"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80A958F" w14:textId="2468E433" w:rsidR="00775E26" w:rsidRPr="00FA4E83" w:rsidRDefault="00B1126F" w:rsidP="00B5059E">
            <w:pPr>
              <w:rPr>
                <w:color w:val="000000"/>
                <w:sz w:val="22"/>
                <w:szCs w:val="22"/>
                <w:lang w:eastAsia="en-GB"/>
              </w:rPr>
            </w:pPr>
            <w:proofErr w:type="spellStart"/>
            <w:r w:rsidRPr="00FA4E83">
              <w:rPr>
                <w:color w:val="000000"/>
                <w:sz w:val="22"/>
                <w:szCs w:val="22"/>
                <w:lang w:eastAsia="en-GB"/>
              </w:rPr>
              <w:t>Hiperkal</w:t>
            </w:r>
            <w:r w:rsidR="00775E26" w:rsidRPr="00FA4E83">
              <w:rPr>
                <w:color w:val="000000"/>
                <w:sz w:val="22"/>
                <w:szCs w:val="22"/>
                <w:lang w:eastAsia="en-GB"/>
              </w:rPr>
              <w:t>emi</w:t>
            </w:r>
            <w:r w:rsidRPr="00FA4E83">
              <w:rPr>
                <w:color w:val="000000"/>
                <w:sz w:val="22"/>
                <w:szCs w:val="22"/>
                <w:lang w:eastAsia="en-GB"/>
              </w:rPr>
              <w:t>j</w:t>
            </w:r>
            <w:r w:rsidR="00775E26" w:rsidRPr="00FA4E83">
              <w:rPr>
                <w:color w:val="000000"/>
                <w:sz w:val="22"/>
                <w:szCs w:val="22"/>
                <w:lang w:eastAsia="en-GB"/>
              </w:rPr>
              <w:t>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9185456"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568225D" w14:textId="41698A56" w:rsidR="00775E26" w:rsidRPr="00FA4E83" w:rsidRDefault="00D475F2" w:rsidP="00B5059E">
            <w:pPr>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06FB0954" w14:textId="77777777" w:rsidR="00775E26" w:rsidRPr="00FA4E83" w:rsidRDefault="00775E26" w:rsidP="00B5059E">
            <w:pPr>
              <w:rPr>
                <w:color w:val="000000"/>
                <w:sz w:val="22"/>
                <w:szCs w:val="22"/>
                <w:lang w:eastAsia="en-GB"/>
              </w:rPr>
            </w:pPr>
          </w:p>
        </w:tc>
      </w:tr>
      <w:tr w:rsidR="00387073" w:rsidRPr="00051FD3" w14:paraId="720A6185" w14:textId="77777777" w:rsidTr="00FA4E83">
        <w:trPr>
          <w:trHeight w:val="289"/>
          <w:jc w:val="center"/>
        </w:trPr>
        <w:tc>
          <w:tcPr>
            <w:tcW w:w="1836" w:type="dxa"/>
            <w:vMerge/>
            <w:tcBorders>
              <w:left w:val="single" w:sz="4" w:space="0" w:color="auto"/>
              <w:right w:val="single" w:sz="4" w:space="0" w:color="auto"/>
            </w:tcBorders>
            <w:hideMark/>
          </w:tcPr>
          <w:p w14:paraId="3C2575E0" w14:textId="77777777" w:rsidR="00775E26" w:rsidRPr="00FA4E83" w:rsidRDefault="00775E26" w:rsidP="00B5059E">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427F68F" w14:textId="760C5CD2" w:rsidR="00775E26" w:rsidRPr="00FA4E83" w:rsidRDefault="00B1126F" w:rsidP="00B5059E">
            <w:pPr>
              <w:rPr>
                <w:color w:val="000000"/>
                <w:sz w:val="22"/>
                <w:szCs w:val="22"/>
                <w:lang w:eastAsia="en-GB"/>
              </w:rPr>
            </w:pPr>
            <w:r w:rsidRPr="00FA4E83">
              <w:rPr>
                <w:color w:val="000000"/>
                <w:sz w:val="22"/>
                <w:szCs w:val="22"/>
                <w:lang w:eastAsia="en-GB"/>
              </w:rPr>
              <w:t>Hipoglikemija (sergantiems cukriniu diabetu)</w:t>
            </w:r>
          </w:p>
        </w:tc>
        <w:tc>
          <w:tcPr>
            <w:tcW w:w="1701" w:type="dxa"/>
            <w:tcBorders>
              <w:top w:val="single" w:sz="4" w:space="0" w:color="auto"/>
              <w:left w:val="single" w:sz="4" w:space="0" w:color="auto"/>
              <w:bottom w:val="single" w:sz="4" w:space="0" w:color="auto"/>
              <w:right w:val="single" w:sz="4" w:space="0" w:color="auto"/>
            </w:tcBorders>
            <w:hideMark/>
          </w:tcPr>
          <w:p w14:paraId="0C2A79CF"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48FB3F8" w14:textId="2D756B6F" w:rsidR="00775E26" w:rsidRPr="00FA4E83" w:rsidRDefault="00862996" w:rsidP="00B5059E">
            <w:pPr>
              <w:rPr>
                <w:color w:val="000000"/>
                <w:sz w:val="22"/>
                <w:szCs w:val="22"/>
                <w:lang w:eastAsia="en-GB"/>
              </w:rPr>
            </w:pPr>
            <w:r w:rsidRPr="00FA4E8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27F80CA8" w14:textId="77777777" w:rsidR="00775E26" w:rsidRPr="00FA4E83" w:rsidRDefault="00775E26" w:rsidP="00B5059E">
            <w:pPr>
              <w:rPr>
                <w:color w:val="000000"/>
                <w:sz w:val="22"/>
                <w:szCs w:val="22"/>
                <w:lang w:eastAsia="en-GB"/>
              </w:rPr>
            </w:pPr>
          </w:p>
        </w:tc>
      </w:tr>
      <w:tr w:rsidR="00387073" w:rsidRPr="00051FD3" w14:paraId="29915D3F" w14:textId="77777777" w:rsidTr="00FA4E83">
        <w:trPr>
          <w:trHeight w:val="289"/>
          <w:jc w:val="center"/>
        </w:trPr>
        <w:tc>
          <w:tcPr>
            <w:tcW w:w="1836" w:type="dxa"/>
            <w:vMerge/>
            <w:tcBorders>
              <w:left w:val="single" w:sz="4" w:space="0" w:color="auto"/>
              <w:right w:val="single" w:sz="4" w:space="0" w:color="auto"/>
            </w:tcBorders>
            <w:hideMark/>
          </w:tcPr>
          <w:p w14:paraId="134C1904" w14:textId="77777777" w:rsidR="00775E26" w:rsidRPr="00FA4E83" w:rsidRDefault="00775E26" w:rsidP="00B5059E">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9685EEE" w14:textId="3745103F" w:rsidR="00775E26" w:rsidRPr="00FA4E83" w:rsidRDefault="00B1126F" w:rsidP="00B1126F">
            <w:pPr>
              <w:rPr>
                <w:color w:val="000000"/>
                <w:sz w:val="22"/>
                <w:szCs w:val="22"/>
                <w:lang w:eastAsia="en-GB"/>
              </w:rPr>
            </w:pPr>
            <w:proofErr w:type="spellStart"/>
            <w:r w:rsidRPr="00FA4E83">
              <w:rPr>
                <w:color w:val="000000"/>
                <w:sz w:val="22"/>
                <w:szCs w:val="22"/>
                <w:lang w:eastAsia="en-GB"/>
              </w:rPr>
              <w:t>Hi</w:t>
            </w:r>
            <w:r w:rsidR="00775E26" w:rsidRPr="00FA4E83">
              <w:rPr>
                <w:color w:val="000000"/>
                <w:sz w:val="22"/>
                <w:szCs w:val="22"/>
                <w:lang w:eastAsia="en-GB"/>
              </w:rPr>
              <w:t>pomagne</w:t>
            </w:r>
            <w:r w:rsidRPr="00FA4E83">
              <w:rPr>
                <w:color w:val="000000"/>
                <w:sz w:val="22"/>
                <w:szCs w:val="22"/>
                <w:lang w:eastAsia="en-GB"/>
              </w:rPr>
              <w:t>z</w:t>
            </w:r>
            <w:r w:rsidR="00775E26" w:rsidRPr="00FA4E83">
              <w:rPr>
                <w:color w:val="000000"/>
                <w:sz w:val="22"/>
                <w:szCs w:val="22"/>
                <w:lang w:eastAsia="en-GB"/>
              </w:rPr>
              <w:t>emi</w:t>
            </w:r>
            <w:r w:rsidRPr="00FA4E83">
              <w:rPr>
                <w:color w:val="000000"/>
                <w:sz w:val="22"/>
                <w:szCs w:val="22"/>
                <w:lang w:eastAsia="en-GB"/>
              </w:rPr>
              <w:t>j</w:t>
            </w:r>
            <w:r w:rsidR="00775E26" w:rsidRPr="00FA4E83">
              <w:rPr>
                <w:color w:val="000000"/>
                <w:sz w:val="22"/>
                <w:szCs w:val="22"/>
                <w:lang w:eastAsia="en-GB"/>
              </w:rPr>
              <w:t>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40EBE4E"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4A79B1E" w14:textId="77777777" w:rsidR="00775E26" w:rsidRPr="00FA4E8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CF68D23" w14:textId="60576A55" w:rsidR="00775E26" w:rsidRPr="00FA4E83" w:rsidRDefault="00862996" w:rsidP="00B5059E">
            <w:pPr>
              <w:rPr>
                <w:color w:val="000000"/>
                <w:sz w:val="22"/>
                <w:szCs w:val="22"/>
                <w:lang w:eastAsia="en-GB"/>
              </w:rPr>
            </w:pPr>
            <w:r w:rsidRPr="00FA4E83">
              <w:rPr>
                <w:sz w:val="22"/>
                <w:szCs w:val="22"/>
                <w:lang w:eastAsia="en-GB"/>
              </w:rPr>
              <w:t>Dažnas</w:t>
            </w:r>
          </w:p>
        </w:tc>
      </w:tr>
      <w:tr w:rsidR="00387073" w:rsidRPr="00051FD3" w14:paraId="54B27735" w14:textId="77777777" w:rsidTr="00FA4E83">
        <w:trPr>
          <w:trHeight w:val="289"/>
          <w:jc w:val="center"/>
        </w:trPr>
        <w:tc>
          <w:tcPr>
            <w:tcW w:w="1836" w:type="dxa"/>
            <w:vMerge/>
            <w:tcBorders>
              <w:left w:val="single" w:sz="4" w:space="0" w:color="auto"/>
              <w:right w:val="single" w:sz="4" w:space="0" w:color="auto"/>
            </w:tcBorders>
            <w:hideMark/>
          </w:tcPr>
          <w:p w14:paraId="48B2F215"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3FDF250" w14:textId="0D4C0416" w:rsidR="00775E26" w:rsidRPr="00FA4E83" w:rsidRDefault="00775E26" w:rsidP="00B1126F">
            <w:pPr>
              <w:rPr>
                <w:color w:val="000000"/>
                <w:sz w:val="22"/>
                <w:szCs w:val="22"/>
                <w:lang w:eastAsia="en-GB"/>
              </w:rPr>
            </w:pPr>
            <w:proofErr w:type="spellStart"/>
            <w:r w:rsidRPr="00FA4E83">
              <w:rPr>
                <w:color w:val="000000"/>
                <w:sz w:val="22"/>
                <w:szCs w:val="22"/>
                <w:lang w:eastAsia="en-GB"/>
              </w:rPr>
              <w:t>H</w:t>
            </w:r>
            <w:r w:rsidR="00B1126F" w:rsidRPr="00FA4E83">
              <w:rPr>
                <w:color w:val="000000"/>
                <w:sz w:val="22"/>
                <w:szCs w:val="22"/>
                <w:lang w:eastAsia="en-GB"/>
              </w:rPr>
              <w:t>iperkalc</w:t>
            </w:r>
            <w:r w:rsidRPr="00FA4E83">
              <w:rPr>
                <w:color w:val="000000"/>
                <w:sz w:val="22"/>
                <w:szCs w:val="22"/>
                <w:lang w:eastAsia="en-GB"/>
              </w:rPr>
              <w:t>emi</w:t>
            </w:r>
            <w:r w:rsidR="00B1126F" w:rsidRPr="00FA4E83">
              <w:rPr>
                <w:color w:val="000000"/>
                <w:sz w:val="22"/>
                <w:szCs w:val="22"/>
                <w:lang w:eastAsia="en-GB"/>
              </w:rPr>
              <w:t>j</w:t>
            </w:r>
            <w:r w:rsidRPr="00FA4E83">
              <w:rPr>
                <w:color w:val="000000"/>
                <w:sz w:val="22"/>
                <w:szCs w:val="22"/>
                <w:lang w:eastAsia="en-GB"/>
              </w:rPr>
              <w:t>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045A302"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A8B4331" w14:textId="77777777" w:rsidR="00775E26" w:rsidRPr="00FA4E8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B9D82DF" w14:textId="6E6B76BB" w:rsidR="00775E26" w:rsidRPr="00FA4E83" w:rsidRDefault="00862996" w:rsidP="00B5059E">
            <w:pPr>
              <w:rPr>
                <w:color w:val="000000"/>
                <w:sz w:val="22"/>
                <w:szCs w:val="22"/>
                <w:lang w:eastAsia="en-GB"/>
              </w:rPr>
            </w:pPr>
            <w:r w:rsidRPr="00FA4E83">
              <w:rPr>
                <w:color w:val="000000"/>
                <w:sz w:val="22"/>
                <w:szCs w:val="22"/>
                <w:lang w:eastAsia="en-GB"/>
              </w:rPr>
              <w:t>Retas</w:t>
            </w:r>
          </w:p>
        </w:tc>
      </w:tr>
      <w:tr w:rsidR="00387073" w:rsidRPr="00051FD3" w14:paraId="0D4FFBC9" w14:textId="77777777" w:rsidTr="00FA4E83">
        <w:trPr>
          <w:trHeight w:val="289"/>
          <w:jc w:val="center"/>
        </w:trPr>
        <w:tc>
          <w:tcPr>
            <w:tcW w:w="1836" w:type="dxa"/>
            <w:vMerge/>
            <w:tcBorders>
              <w:left w:val="single" w:sz="4" w:space="0" w:color="auto"/>
              <w:right w:val="single" w:sz="4" w:space="0" w:color="auto"/>
            </w:tcBorders>
            <w:hideMark/>
          </w:tcPr>
          <w:p w14:paraId="5D94100F"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438E731" w14:textId="6AEFBE55" w:rsidR="00775E26" w:rsidRPr="00FA4E83" w:rsidRDefault="00B1126F" w:rsidP="00B5059E">
            <w:pPr>
              <w:rPr>
                <w:color w:val="000000"/>
                <w:sz w:val="22"/>
                <w:szCs w:val="22"/>
                <w:lang w:eastAsia="en-GB"/>
              </w:rPr>
            </w:pPr>
            <w:proofErr w:type="spellStart"/>
            <w:r w:rsidRPr="00FA4E83">
              <w:rPr>
                <w:color w:val="000000"/>
                <w:sz w:val="22"/>
                <w:szCs w:val="22"/>
                <w:lang w:eastAsia="en-GB"/>
              </w:rPr>
              <w:t>Hipochloreminė</w:t>
            </w:r>
            <w:proofErr w:type="spellEnd"/>
            <w:r w:rsidRPr="00FA4E83">
              <w:rPr>
                <w:color w:val="000000"/>
                <w:sz w:val="22"/>
                <w:szCs w:val="22"/>
                <w:lang w:eastAsia="en-GB"/>
              </w:rPr>
              <w:t xml:space="preserve"> </w:t>
            </w:r>
            <w:proofErr w:type="spellStart"/>
            <w:r w:rsidRPr="00FA4E83">
              <w:rPr>
                <w:color w:val="000000"/>
                <w:sz w:val="22"/>
                <w:szCs w:val="22"/>
                <w:lang w:eastAsia="en-GB"/>
              </w:rPr>
              <w:t>alkalozė</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60A112C"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B41C50A" w14:textId="77777777" w:rsidR="00775E26" w:rsidRPr="00FA4E8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530D45F" w14:textId="3100D305" w:rsidR="00775E26" w:rsidRPr="00FA4E83" w:rsidRDefault="00862996" w:rsidP="00E93540">
            <w:pPr>
              <w:keepNext/>
              <w:rPr>
                <w:color w:val="000000"/>
                <w:sz w:val="22"/>
                <w:szCs w:val="22"/>
                <w:lang w:eastAsia="en-GB"/>
              </w:rPr>
            </w:pPr>
            <w:r w:rsidRPr="00FA4E83">
              <w:rPr>
                <w:color w:val="000000"/>
                <w:sz w:val="22"/>
                <w:szCs w:val="22"/>
                <w:lang w:eastAsia="en-GB"/>
              </w:rPr>
              <w:t>Labai retas</w:t>
            </w:r>
          </w:p>
        </w:tc>
      </w:tr>
      <w:tr w:rsidR="00387073" w:rsidRPr="00051FD3" w14:paraId="4DBE7C04" w14:textId="77777777" w:rsidTr="00FA4E83">
        <w:trPr>
          <w:trHeight w:val="289"/>
          <w:jc w:val="center"/>
        </w:trPr>
        <w:tc>
          <w:tcPr>
            <w:tcW w:w="1836" w:type="dxa"/>
            <w:vMerge/>
            <w:tcBorders>
              <w:left w:val="single" w:sz="4" w:space="0" w:color="auto"/>
              <w:right w:val="single" w:sz="4" w:space="0" w:color="auto"/>
            </w:tcBorders>
            <w:hideMark/>
          </w:tcPr>
          <w:p w14:paraId="507AF522"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81AEC26" w14:textId="4B0EF99C" w:rsidR="00775E26" w:rsidRPr="00FA4E83" w:rsidRDefault="00B1126F" w:rsidP="00B5059E">
            <w:pPr>
              <w:rPr>
                <w:color w:val="000000"/>
                <w:sz w:val="22"/>
                <w:szCs w:val="22"/>
                <w:lang w:eastAsia="en-GB"/>
              </w:rPr>
            </w:pPr>
            <w:r w:rsidRPr="00FA4E83">
              <w:rPr>
                <w:color w:val="000000"/>
                <w:sz w:val="22"/>
                <w:szCs w:val="22"/>
                <w:lang w:eastAsia="en-GB"/>
              </w:rPr>
              <w:t>Sumažėjęs apetitas</w:t>
            </w:r>
          </w:p>
        </w:tc>
        <w:tc>
          <w:tcPr>
            <w:tcW w:w="1701" w:type="dxa"/>
            <w:tcBorders>
              <w:top w:val="single" w:sz="4" w:space="0" w:color="auto"/>
              <w:left w:val="single" w:sz="4" w:space="0" w:color="auto"/>
              <w:bottom w:val="single" w:sz="4" w:space="0" w:color="auto"/>
              <w:right w:val="single" w:sz="4" w:space="0" w:color="auto"/>
            </w:tcBorders>
            <w:hideMark/>
          </w:tcPr>
          <w:p w14:paraId="5BE23CA1"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13CC9A1" w14:textId="77777777" w:rsidR="00775E26" w:rsidRPr="00FA4E8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40FD07F" w14:textId="4E694C3A" w:rsidR="00775E26" w:rsidRPr="00FA4E83" w:rsidRDefault="00862996" w:rsidP="00B5059E">
            <w:pPr>
              <w:rPr>
                <w:color w:val="000000"/>
                <w:sz w:val="22"/>
                <w:szCs w:val="22"/>
                <w:lang w:eastAsia="en-GB"/>
              </w:rPr>
            </w:pPr>
            <w:r w:rsidRPr="00FA4E83">
              <w:rPr>
                <w:sz w:val="22"/>
                <w:szCs w:val="22"/>
                <w:lang w:eastAsia="en-GB"/>
              </w:rPr>
              <w:t>Dažnas</w:t>
            </w:r>
          </w:p>
        </w:tc>
      </w:tr>
      <w:tr w:rsidR="00387073" w:rsidRPr="00051FD3" w14:paraId="5BC5DE5B" w14:textId="77777777" w:rsidTr="00FA4E83">
        <w:trPr>
          <w:trHeight w:val="289"/>
          <w:jc w:val="center"/>
        </w:trPr>
        <w:tc>
          <w:tcPr>
            <w:tcW w:w="1836" w:type="dxa"/>
            <w:vMerge/>
            <w:tcBorders>
              <w:left w:val="single" w:sz="4" w:space="0" w:color="auto"/>
              <w:right w:val="single" w:sz="4" w:space="0" w:color="auto"/>
            </w:tcBorders>
            <w:hideMark/>
          </w:tcPr>
          <w:p w14:paraId="1FA8842A"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EE30984" w14:textId="5692D2C0" w:rsidR="00775E26" w:rsidRPr="00FA4E83" w:rsidRDefault="00B1126F" w:rsidP="00B5059E">
            <w:pPr>
              <w:rPr>
                <w:color w:val="000000"/>
                <w:sz w:val="22"/>
                <w:szCs w:val="22"/>
                <w:lang w:eastAsia="en-GB"/>
              </w:rPr>
            </w:pPr>
            <w:proofErr w:type="spellStart"/>
            <w:r w:rsidRPr="00FA4E83">
              <w:rPr>
                <w:color w:val="000000"/>
                <w:sz w:val="22"/>
                <w:szCs w:val="22"/>
                <w:lang w:eastAsia="en-GB"/>
              </w:rPr>
              <w:t>Hiperlipid</w:t>
            </w:r>
            <w:r w:rsidR="00775E26" w:rsidRPr="00FA4E83">
              <w:rPr>
                <w:color w:val="000000"/>
                <w:sz w:val="22"/>
                <w:szCs w:val="22"/>
                <w:lang w:eastAsia="en-GB"/>
              </w:rPr>
              <w:t>emi</w:t>
            </w:r>
            <w:r w:rsidRPr="00FA4E83">
              <w:rPr>
                <w:color w:val="000000"/>
                <w:sz w:val="22"/>
                <w:szCs w:val="22"/>
                <w:lang w:eastAsia="en-GB"/>
              </w:rPr>
              <w:t>j</w:t>
            </w:r>
            <w:r w:rsidR="00775E26" w:rsidRPr="00FA4E83">
              <w:rPr>
                <w:color w:val="000000"/>
                <w:sz w:val="22"/>
                <w:szCs w:val="22"/>
                <w:lang w:eastAsia="en-GB"/>
              </w:rPr>
              <w:t>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6F0C0A8"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D1BAD3E" w14:textId="77777777" w:rsidR="00775E26" w:rsidRPr="00FA4E8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9D216EB" w14:textId="2BED02A8" w:rsidR="00775E26" w:rsidRPr="00FA4E83" w:rsidRDefault="00862996" w:rsidP="00B5059E">
            <w:pPr>
              <w:rPr>
                <w:color w:val="000000"/>
                <w:sz w:val="22"/>
                <w:szCs w:val="22"/>
                <w:lang w:eastAsia="en-GB"/>
              </w:rPr>
            </w:pPr>
            <w:r w:rsidRPr="00FA4E83">
              <w:rPr>
                <w:color w:val="000000"/>
                <w:sz w:val="22"/>
                <w:szCs w:val="22"/>
                <w:lang w:eastAsia="en-GB"/>
              </w:rPr>
              <w:t>Labai dažnas</w:t>
            </w:r>
          </w:p>
        </w:tc>
      </w:tr>
      <w:tr w:rsidR="00387073" w:rsidRPr="00051FD3" w14:paraId="04BAFFF7" w14:textId="77777777" w:rsidTr="00FA4E83">
        <w:trPr>
          <w:trHeight w:val="289"/>
          <w:jc w:val="center"/>
        </w:trPr>
        <w:tc>
          <w:tcPr>
            <w:tcW w:w="1836" w:type="dxa"/>
            <w:vMerge/>
            <w:tcBorders>
              <w:left w:val="single" w:sz="4" w:space="0" w:color="auto"/>
              <w:right w:val="single" w:sz="4" w:space="0" w:color="auto"/>
            </w:tcBorders>
            <w:hideMark/>
          </w:tcPr>
          <w:p w14:paraId="50F0309C"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2985AB90" w14:textId="4FC40319" w:rsidR="00775E26" w:rsidRPr="00FA4E83" w:rsidRDefault="00775E26" w:rsidP="00B1126F">
            <w:pPr>
              <w:rPr>
                <w:color w:val="000000"/>
                <w:sz w:val="22"/>
                <w:szCs w:val="22"/>
                <w:lang w:eastAsia="en-GB"/>
              </w:rPr>
            </w:pPr>
            <w:r w:rsidRPr="00FA4E83">
              <w:rPr>
                <w:color w:val="000000"/>
                <w:sz w:val="22"/>
                <w:szCs w:val="22"/>
                <w:lang w:eastAsia="en-GB"/>
              </w:rPr>
              <w:t>H</w:t>
            </w:r>
            <w:r w:rsidR="00B1126F" w:rsidRPr="00FA4E83">
              <w:rPr>
                <w:color w:val="000000"/>
                <w:sz w:val="22"/>
                <w:szCs w:val="22"/>
                <w:lang w:eastAsia="en-GB"/>
              </w:rPr>
              <w:t>iperglik</w:t>
            </w:r>
            <w:r w:rsidRPr="00FA4E83">
              <w:rPr>
                <w:color w:val="000000"/>
                <w:sz w:val="22"/>
                <w:szCs w:val="22"/>
                <w:lang w:eastAsia="en-GB"/>
              </w:rPr>
              <w:t>emi</w:t>
            </w:r>
            <w:r w:rsidR="00B1126F" w:rsidRPr="00FA4E83">
              <w:rPr>
                <w:color w:val="000000"/>
                <w:sz w:val="22"/>
                <w:szCs w:val="22"/>
                <w:lang w:eastAsia="en-GB"/>
              </w:rPr>
              <w:t>j</w:t>
            </w:r>
            <w:r w:rsidRPr="00FA4E83">
              <w:rPr>
                <w:color w:val="000000"/>
                <w:sz w:val="22"/>
                <w:szCs w:val="22"/>
                <w:lang w:eastAsia="en-GB"/>
              </w:rPr>
              <w:t>a</w:t>
            </w:r>
          </w:p>
        </w:tc>
        <w:tc>
          <w:tcPr>
            <w:tcW w:w="1701" w:type="dxa"/>
            <w:tcBorders>
              <w:top w:val="single" w:sz="4" w:space="0" w:color="auto"/>
              <w:left w:val="single" w:sz="4" w:space="0" w:color="auto"/>
              <w:bottom w:val="single" w:sz="4" w:space="0" w:color="auto"/>
              <w:right w:val="single" w:sz="4" w:space="0" w:color="auto"/>
            </w:tcBorders>
            <w:hideMark/>
          </w:tcPr>
          <w:p w14:paraId="08137374"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D40EF32" w14:textId="77777777" w:rsidR="00775E26" w:rsidRPr="00FA4E8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F254AFF" w14:textId="223E6F81" w:rsidR="00775E26" w:rsidRPr="00FA4E83" w:rsidRDefault="00862996" w:rsidP="00B5059E">
            <w:pPr>
              <w:rPr>
                <w:color w:val="000000"/>
                <w:sz w:val="22"/>
                <w:szCs w:val="22"/>
                <w:lang w:eastAsia="en-GB"/>
              </w:rPr>
            </w:pPr>
            <w:r w:rsidRPr="00FA4E83">
              <w:rPr>
                <w:color w:val="000000"/>
                <w:sz w:val="22"/>
                <w:szCs w:val="22"/>
                <w:lang w:eastAsia="en-GB"/>
              </w:rPr>
              <w:t>Retas</w:t>
            </w:r>
          </w:p>
        </w:tc>
      </w:tr>
      <w:tr w:rsidR="00387073" w:rsidRPr="00051FD3" w14:paraId="0B7734DF" w14:textId="77777777" w:rsidTr="00FA4E83">
        <w:trPr>
          <w:trHeight w:val="289"/>
          <w:jc w:val="center"/>
        </w:trPr>
        <w:tc>
          <w:tcPr>
            <w:tcW w:w="1836" w:type="dxa"/>
            <w:vMerge/>
            <w:tcBorders>
              <w:left w:val="single" w:sz="4" w:space="0" w:color="auto"/>
              <w:bottom w:val="single" w:sz="4" w:space="0" w:color="auto"/>
              <w:right w:val="single" w:sz="4" w:space="0" w:color="auto"/>
            </w:tcBorders>
          </w:tcPr>
          <w:p w14:paraId="14FA6CCB"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662C54DA" w14:textId="5E89E5CE" w:rsidR="00775E26" w:rsidRPr="00FA4E83" w:rsidRDefault="00B1126F" w:rsidP="00B5059E">
            <w:pPr>
              <w:rPr>
                <w:color w:val="000000"/>
                <w:sz w:val="22"/>
                <w:szCs w:val="22"/>
                <w:lang w:eastAsia="en-GB"/>
              </w:rPr>
            </w:pPr>
            <w:r w:rsidRPr="00FA4E83">
              <w:rPr>
                <w:color w:val="000000"/>
                <w:sz w:val="22"/>
                <w:szCs w:val="22"/>
                <w:lang w:eastAsia="en-GB"/>
              </w:rPr>
              <w:t>Nepakankama cukrinio diabeto kontrolė</w:t>
            </w:r>
          </w:p>
        </w:tc>
        <w:tc>
          <w:tcPr>
            <w:tcW w:w="1701" w:type="dxa"/>
            <w:tcBorders>
              <w:top w:val="single" w:sz="4" w:space="0" w:color="auto"/>
              <w:left w:val="single" w:sz="4" w:space="0" w:color="auto"/>
              <w:bottom w:val="single" w:sz="4" w:space="0" w:color="auto"/>
              <w:right w:val="single" w:sz="4" w:space="0" w:color="auto"/>
            </w:tcBorders>
          </w:tcPr>
          <w:p w14:paraId="4DC0165F"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5D2718EB" w14:textId="77777777" w:rsidR="00775E26" w:rsidRPr="00FA4E8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tcPr>
          <w:p w14:paraId="3FF3EA7B" w14:textId="5EB24301" w:rsidR="00775E26" w:rsidRPr="00FA4E83" w:rsidRDefault="00862996" w:rsidP="00B5059E">
            <w:pPr>
              <w:rPr>
                <w:color w:val="000000"/>
                <w:sz w:val="22"/>
                <w:szCs w:val="22"/>
                <w:lang w:eastAsia="en-GB"/>
              </w:rPr>
            </w:pPr>
            <w:r w:rsidRPr="00FA4E83">
              <w:rPr>
                <w:color w:val="000000"/>
                <w:sz w:val="22"/>
                <w:szCs w:val="22"/>
                <w:lang w:eastAsia="en-GB"/>
              </w:rPr>
              <w:t>Retas</w:t>
            </w:r>
          </w:p>
        </w:tc>
      </w:tr>
      <w:tr w:rsidR="00387073" w:rsidRPr="00051FD3" w14:paraId="443742B2"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77340DB9" w14:textId="2141CB48" w:rsidR="00775E26" w:rsidRPr="00012DBE" w:rsidRDefault="00EC6A3C" w:rsidP="00B5059E">
            <w:pPr>
              <w:rPr>
                <w:b/>
                <w:bCs/>
                <w:color w:val="000000"/>
                <w:sz w:val="22"/>
                <w:szCs w:val="22"/>
                <w:lang w:eastAsia="en-GB"/>
              </w:rPr>
            </w:pPr>
            <w:r w:rsidRPr="00012DBE">
              <w:rPr>
                <w:b/>
                <w:bCs/>
                <w:color w:val="000000"/>
                <w:sz w:val="22"/>
                <w:szCs w:val="22"/>
                <w:lang w:eastAsia="en-GB"/>
              </w:rPr>
              <w:t>Psichikos sutrikimai</w:t>
            </w:r>
          </w:p>
        </w:tc>
        <w:tc>
          <w:tcPr>
            <w:tcW w:w="2412" w:type="dxa"/>
            <w:tcBorders>
              <w:top w:val="single" w:sz="4" w:space="0" w:color="auto"/>
              <w:left w:val="single" w:sz="4" w:space="0" w:color="auto"/>
              <w:bottom w:val="single" w:sz="4" w:space="0" w:color="auto"/>
              <w:right w:val="single" w:sz="4" w:space="0" w:color="auto"/>
            </w:tcBorders>
            <w:hideMark/>
          </w:tcPr>
          <w:p w14:paraId="22FF73AF" w14:textId="7CFF7404" w:rsidR="00775E26" w:rsidRPr="00012DBE" w:rsidRDefault="00F31A13" w:rsidP="00B5059E">
            <w:pPr>
              <w:rPr>
                <w:color w:val="000000"/>
                <w:sz w:val="22"/>
                <w:szCs w:val="22"/>
                <w:lang w:eastAsia="en-GB"/>
              </w:rPr>
            </w:pPr>
            <w:r w:rsidRPr="00012DBE">
              <w:rPr>
                <w:color w:val="000000"/>
                <w:sz w:val="22"/>
                <w:szCs w:val="22"/>
                <w:lang w:eastAsia="en-GB"/>
              </w:rPr>
              <w:t>Nerimas</w:t>
            </w:r>
          </w:p>
        </w:tc>
        <w:tc>
          <w:tcPr>
            <w:tcW w:w="1701" w:type="dxa"/>
            <w:tcBorders>
              <w:top w:val="single" w:sz="4" w:space="0" w:color="auto"/>
              <w:left w:val="single" w:sz="4" w:space="0" w:color="auto"/>
              <w:bottom w:val="single" w:sz="4" w:space="0" w:color="auto"/>
              <w:right w:val="single" w:sz="4" w:space="0" w:color="auto"/>
            </w:tcBorders>
            <w:hideMark/>
          </w:tcPr>
          <w:p w14:paraId="3D05D59E" w14:textId="75E3BA57" w:rsidR="00775E26" w:rsidRPr="00012DBE" w:rsidRDefault="00862996" w:rsidP="00B5059E">
            <w:pPr>
              <w:rPr>
                <w:color w:val="000000"/>
                <w:sz w:val="22"/>
                <w:szCs w:val="22"/>
                <w:lang w:eastAsia="en-GB"/>
              </w:rPr>
            </w:pPr>
            <w:r w:rsidRPr="00012DBE">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23E0EE75" w14:textId="14ECB9FD" w:rsidR="00775E26" w:rsidRPr="00012DBE" w:rsidRDefault="00862996" w:rsidP="00B5059E">
            <w:pPr>
              <w:rPr>
                <w:color w:val="000000"/>
                <w:sz w:val="22"/>
                <w:szCs w:val="22"/>
                <w:lang w:eastAsia="en-GB"/>
              </w:rPr>
            </w:pPr>
            <w:r w:rsidRPr="00012DBE">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0728D31A" w14:textId="77777777" w:rsidR="00775E26" w:rsidRPr="00012DBE" w:rsidRDefault="00775E26" w:rsidP="00B5059E">
            <w:pPr>
              <w:rPr>
                <w:color w:val="000000"/>
                <w:sz w:val="22"/>
                <w:szCs w:val="22"/>
                <w:lang w:eastAsia="en-GB"/>
              </w:rPr>
            </w:pPr>
          </w:p>
        </w:tc>
      </w:tr>
      <w:tr w:rsidR="00862996" w:rsidRPr="00051FD3" w14:paraId="370A35E6" w14:textId="77777777" w:rsidTr="00FA4E83">
        <w:trPr>
          <w:trHeight w:val="289"/>
          <w:jc w:val="center"/>
        </w:trPr>
        <w:tc>
          <w:tcPr>
            <w:tcW w:w="1836" w:type="dxa"/>
            <w:vMerge/>
            <w:tcBorders>
              <w:left w:val="single" w:sz="4" w:space="0" w:color="auto"/>
              <w:right w:val="single" w:sz="4" w:space="0" w:color="auto"/>
            </w:tcBorders>
            <w:hideMark/>
          </w:tcPr>
          <w:p w14:paraId="17066DA0"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CA8471F" w14:textId="28E000B7" w:rsidR="00862996" w:rsidRPr="00FA4E83" w:rsidRDefault="00862996" w:rsidP="00862996">
            <w:pPr>
              <w:rPr>
                <w:color w:val="000000"/>
                <w:sz w:val="22"/>
                <w:szCs w:val="22"/>
                <w:lang w:eastAsia="en-GB"/>
              </w:rPr>
            </w:pPr>
            <w:r w:rsidRPr="00FA4E83">
              <w:rPr>
                <w:color w:val="000000"/>
                <w:sz w:val="22"/>
                <w:szCs w:val="22"/>
                <w:lang w:eastAsia="en-GB"/>
              </w:rPr>
              <w:t>Depresija</w:t>
            </w:r>
          </w:p>
        </w:tc>
        <w:tc>
          <w:tcPr>
            <w:tcW w:w="1701" w:type="dxa"/>
            <w:tcBorders>
              <w:top w:val="single" w:sz="4" w:space="0" w:color="auto"/>
              <w:left w:val="single" w:sz="4" w:space="0" w:color="auto"/>
              <w:bottom w:val="single" w:sz="4" w:space="0" w:color="auto"/>
              <w:right w:val="single" w:sz="4" w:space="0" w:color="auto"/>
            </w:tcBorders>
            <w:hideMark/>
          </w:tcPr>
          <w:p w14:paraId="0EBD72B7" w14:textId="62BD2D70" w:rsidR="00862996" w:rsidRPr="00FA4E83" w:rsidRDefault="00862996" w:rsidP="00862996">
            <w:pPr>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14E6931A" w14:textId="285DC7E5" w:rsidR="00862996" w:rsidRPr="00FA4E83" w:rsidRDefault="00862996" w:rsidP="00862996">
            <w:pPr>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6CA5FDE5" w14:textId="4D97FA9E" w:rsidR="00862996" w:rsidRPr="00FA4E83" w:rsidRDefault="00862996" w:rsidP="00862996">
            <w:pPr>
              <w:rPr>
                <w:color w:val="000000"/>
                <w:sz w:val="22"/>
                <w:szCs w:val="22"/>
                <w:lang w:eastAsia="en-GB"/>
              </w:rPr>
            </w:pPr>
            <w:r w:rsidRPr="00FA4E83">
              <w:rPr>
                <w:color w:val="000000"/>
                <w:sz w:val="22"/>
                <w:szCs w:val="22"/>
                <w:lang w:eastAsia="en-GB"/>
              </w:rPr>
              <w:t>Retas</w:t>
            </w:r>
          </w:p>
        </w:tc>
      </w:tr>
      <w:tr w:rsidR="00862996" w:rsidRPr="00051FD3" w14:paraId="1D4705C0" w14:textId="77777777" w:rsidTr="00FA4E83">
        <w:trPr>
          <w:trHeight w:val="289"/>
          <w:jc w:val="center"/>
        </w:trPr>
        <w:tc>
          <w:tcPr>
            <w:tcW w:w="1836" w:type="dxa"/>
            <w:vMerge/>
            <w:tcBorders>
              <w:left w:val="single" w:sz="4" w:space="0" w:color="auto"/>
              <w:right w:val="single" w:sz="4" w:space="0" w:color="auto"/>
            </w:tcBorders>
          </w:tcPr>
          <w:p w14:paraId="1DC28E33"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4BD6059B" w14:textId="3409AAFC" w:rsidR="00862996" w:rsidRPr="00FA4E83" w:rsidRDefault="00862996" w:rsidP="00862996">
            <w:pPr>
              <w:rPr>
                <w:color w:val="000000"/>
                <w:sz w:val="22"/>
                <w:szCs w:val="22"/>
                <w:lang w:eastAsia="en-GB"/>
              </w:rPr>
            </w:pPr>
            <w:r w:rsidRPr="00FA4E83">
              <w:rPr>
                <w:color w:val="000000"/>
                <w:sz w:val="22"/>
                <w:szCs w:val="22"/>
                <w:lang w:eastAsia="en-GB"/>
              </w:rPr>
              <w:t>Nemiga</w:t>
            </w:r>
          </w:p>
        </w:tc>
        <w:tc>
          <w:tcPr>
            <w:tcW w:w="1701" w:type="dxa"/>
            <w:tcBorders>
              <w:top w:val="single" w:sz="4" w:space="0" w:color="auto"/>
              <w:left w:val="single" w:sz="4" w:space="0" w:color="auto"/>
              <w:bottom w:val="single" w:sz="4" w:space="0" w:color="auto"/>
              <w:right w:val="single" w:sz="4" w:space="0" w:color="auto"/>
            </w:tcBorders>
          </w:tcPr>
          <w:p w14:paraId="6CA1E54C" w14:textId="22D40C20" w:rsidR="00862996" w:rsidRPr="00FA4E83" w:rsidRDefault="00862996" w:rsidP="00862996">
            <w:pPr>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tcPr>
          <w:p w14:paraId="19E67438" w14:textId="5860510E" w:rsidR="00862996" w:rsidRPr="00FA4E83" w:rsidRDefault="00862996" w:rsidP="00862996">
            <w:pPr>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tcPr>
          <w:p w14:paraId="3905597E" w14:textId="77777777" w:rsidR="00862996" w:rsidRPr="00FA4E83" w:rsidRDefault="00862996" w:rsidP="00862996">
            <w:pPr>
              <w:rPr>
                <w:color w:val="000000"/>
                <w:sz w:val="22"/>
                <w:szCs w:val="22"/>
                <w:lang w:eastAsia="en-GB"/>
              </w:rPr>
            </w:pPr>
          </w:p>
        </w:tc>
      </w:tr>
      <w:tr w:rsidR="00862996" w:rsidRPr="00051FD3" w14:paraId="4C136141" w14:textId="77777777" w:rsidTr="00FA4E83">
        <w:trPr>
          <w:trHeight w:val="289"/>
          <w:jc w:val="center"/>
        </w:trPr>
        <w:tc>
          <w:tcPr>
            <w:tcW w:w="1836" w:type="dxa"/>
            <w:vMerge/>
            <w:tcBorders>
              <w:left w:val="single" w:sz="4" w:space="0" w:color="auto"/>
              <w:bottom w:val="single" w:sz="4" w:space="0" w:color="auto"/>
              <w:right w:val="single" w:sz="4" w:space="0" w:color="auto"/>
            </w:tcBorders>
          </w:tcPr>
          <w:p w14:paraId="48B45B76"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4A2586FF" w14:textId="6E37F9F5" w:rsidR="00862996" w:rsidRPr="00FA4E83" w:rsidRDefault="00862996" w:rsidP="00862996">
            <w:pPr>
              <w:rPr>
                <w:color w:val="000000"/>
                <w:sz w:val="22"/>
                <w:szCs w:val="22"/>
                <w:lang w:eastAsia="en-GB"/>
              </w:rPr>
            </w:pPr>
            <w:r w:rsidRPr="00FA4E83">
              <w:rPr>
                <w:color w:val="000000"/>
                <w:sz w:val="22"/>
                <w:szCs w:val="22"/>
                <w:lang w:eastAsia="en-GB"/>
              </w:rPr>
              <w:t>Miego sutrikimai</w:t>
            </w:r>
          </w:p>
        </w:tc>
        <w:tc>
          <w:tcPr>
            <w:tcW w:w="1701" w:type="dxa"/>
            <w:tcBorders>
              <w:top w:val="single" w:sz="4" w:space="0" w:color="auto"/>
              <w:left w:val="single" w:sz="4" w:space="0" w:color="auto"/>
              <w:bottom w:val="single" w:sz="4" w:space="0" w:color="auto"/>
              <w:right w:val="single" w:sz="4" w:space="0" w:color="auto"/>
            </w:tcBorders>
          </w:tcPr>
          <w:p w14:paraId="1CB8C945" w14:textId="653FE7DA" w:rsidR="00862996" w:rsidRPr="00FA4E83" w:rsidRDefault="00862996" w:rsidP="00862996">
            <w:pPr>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tcPr>
          <w:p w14:paraId="780E0D5E" w14:textId="77777777" w:rsidR="00862996" w:rsidRPr="00FA4E8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tcPr>
          <w:p w14:paraId="4E23BCEB" w14:textId="69D25B72" w:rsidR="00862996" w:rsidRPr="00FA4E83" w:rsidRDefault="00862996" w:rsidP="00862996">
            <w:pPr>
              <w:rPr>
                <w:color w:val="000000"/>
                <w:sz w:val="22"/>
                <w:szCs w:val="22"/>
                <w:lang w:eastAsia="en-GB"/>
              </w:rPr>
            </w:pPr>
            <w:r w:rsidRPr="00FA4E83">
              <w:rPr>
                <w:color w:val="000000"/>
                <w:sz w:val="22"/>
                <w:szCs w:val="22"/>
                <w:lang w:eastAsia="en-GB"/>
              </w:rPr>
              <w:t>Retas</w:t>
            </w:r>
          </w:p>
        </w:tc>
      </w:tr>
      <w:tr w:rsidR="00862996" w:rsidRPr="00051FD3" w14:paraId="40E19653"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1E86EB4F" w14:textId="62C8BAAE" w:rsidR="00862996" w:rsidRPr="00012DBE" w:rsidRDefault="00862996" w:rsidP="00862996">
            <w:pPr>
              <w:rPr>
                <w:b/>
                <w:bCs/>
                <w:color w:val="000000"/>
                <w:sz w:val="22"/>
                <w:szCs w:val="22"/>
                <w:lang w:eastAsia="en-GB"/>
              </w:rPr>
            </w:pPr>
            <w:r w:rsidRPr="00012DBE">
              <w:rPr>
                <w:b/>
                <w:bCs/>
                <w:color w:val="000000"/>
                <w:sz w:val="22"/>
                <w:szCs w:val="22"/>
                <w:lang w:eastAsia="en-GB"/>
              </w:rPr>
              <w:t>Nervų sistemos sutrikimai</w:t>
            </w:r>
          </w:p>
        </w:tc>
        <w:tc>
          <w:tcPr>
            <w:tcW w:w="2412" w:type="dxa"/>
            <w:tcBorders>
              <w:top w:val="single" w:sz="4" w:space="0" w:color="auto"/>
              <w:left w:val="single" w:sz="4" w:space="0" w:color="auto"/>
              <w:bottom w:val="single" w:sz="4" w:space="0" w:color="auto"/>
              <w:right w:val="single" w:sz="4" w:space="0" w:color="auto"/>
            </w:tcBorders>
            <w:hideMark/>
          </w:tcPr>
          <w:p w14:paraId="38FDF05E" w14:textId="25FE887D" w:rsidR="00862996" w:rsidRPr="00012DBE" w:rsidRDefault="00862996" w:rsidP="00862996">
            <w:pPr>
              <w:rPr>
                <w:color w:val="000000"/>
                <w:sz w:val="22"/>
                <w:szCs w:val="22"/>
                <w:lang w:eastAsia="en-GB"/>
              </w:rPr>
            </w:pPr>
            <w:r w:rsidRPr="00012DBE">
              <w:rPr>
                <w:color w:val="000000"/>
                <w:sz w:val="22"/>
                <w:szCs w:val="22"/>
                <w:lang w:eastAsia="en-GB"/>
              </w:rPr>
              <w:t>Svaigulys</w:t>
            </w:r>
          </w:p>
        </w:tc>
        <w:tc>
          <w:tcPr>
            <w:tcW w:w="1701" w:type="dxa"/>
            <w:tcBorders>
              <w:top w:val="single" w:sz="4" w:space="0" w:color="auto"/>
              <w:left w:val="single" w:sz="4" w:space="0" w:color="auto"/>
              <w:bottom w:val="single" w:sz="4" w:space="0" w:color="auto"/>
              <w:right w:val="single" w:sz="4" w:space="0" w:color="auto"/>
            </w:tcBorders>
            <w:hideMark/>
          </w:tcPr>
          <w:p w14:paraId="00FB289C" w14:textId="79832441" w:rsidR="00862996" w:rsidRPr="00012DBE" w:rsidRDefault="00862996" w:rsidP="00862996">
            <w:pPr>
              <w:rPr>
                <w:color w:val="000000"/>
                <w:sz w:val="22"/>
                <w:szCs w:val="22"/>
                <w:lang w:eastAsia="en-GB"/>
              </w:rPr>
            </w:pPr>
            <w:r w:rsidRPr="00012DBE">
              <w:rPr>
                <w:sz w:val="22"/>
                <w:szCs w:val="22"/>
                <w:lang w:eastAsia="en-GB"/>
              </w:rPr>
              <w:t>Dažnas</w:t>
            </w:r>
          </w:p>
        </w:tc>
        <w:tc>
          <w:tcPr>
            <w:tcW w:w="1701" w:type="dxa"/>
            <w:tcBorders>
              <w:top w:val="single" w:sz="4" w:space="0" w:color="auto"/>
              <w:left w:val="single" w:sz="4" w:space="0" w:color="auto"/>
              <w:bottom w:val="single" w:sz="4" w:space="0" w:color="auto"/>
              <w:right w:val="single" w:sz="4" w:space="0" w:color="auto"/>
            </w:tcBorders>
            <w:hideMark/>
          </w:tcPr>
          <w:p w14:paraId="3E518FB6" w14:textId="77777777" w:rsidR="00862996" w:rsidRPr="00012DBE"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A0304F2" w14:textId="346614A0" w:rsidR="00862996" w:rsidRPr="00012DBE" w:rsidRDefault="00862996" w:rsidP="00862996">
            <w:pPr>
              <w:rPr>
                <w:color w:val="000000"/>
                <w:sz w:val="22"/>
                <w:szCs w:val="22"/>
                <w:lang w:eastAsia="en-GB"/>
              </w:rPr>
            </w:pPr>
            <w:r w:rsidRPr="00012DBE">
              <w:rPr>
                <w:color w:val="000000"/>
                <w:sz w:val="22"/>
                <w:szCs w:val="22"/>
                <w:lang w:eastAsia="en-GB"/>
              </w:rPr>
              <w:t>Retas</w:t>
            </w:r>
          </w:p>
        </w:tc>
      </w:tr>
      <w:tr w:rsidR="00862996" w:rsidRPr="00051FD3" w14:paraId="217DDD84" w14:textId="77777777" w:rsidTr="00FA4E83">
        <w:trPr>
          <w:trHeight w:val="289"/>
          <w:jc w:val="center"/>
        </w:trPr>
        <w:tc>
          <w:tcPr>
            <w:tcW w:w="1836" w:type="dxa"/>
            <w:vMerge/>
            <w:tcBorders>
              <w:left w:val="single" w:sz="4" w:space="0" w:color="auto"/>
              <w:right w:val="single" w:sz="4" w:space="0" w:color="auto"/>
            </w:tcBorders>
            <w:hideMark/>
          </w:tcPr>
          <w:p w14:paraId="2950C2E6" w14:textId="77777777" w:rsidR="00862996" w:rsidRPr="00FA4E8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A51B5BE" w14:textId="0DE84BED" w:rsidR="00862996" w:rsidRPr="00FA4E83" w:rsidRDefault="00862996" w:rsidP="00862996">
            <w:pPr>
              <w:rPr>
                <w:color w:val="000000"/>
                <w:sz w:val="22"/>
                <w:szCs w:val="22"/>
                <w:lang w:eastAsia="en-GB"/>
              </w:rPr>
            </w:pPr>
            <w:r w:rsidRPr="00FA4E83">
              <w:rPr>
                <w:color w:val="000000"/>
                <w:sz w:val="22"/>
                <w:szCs w:val="22"/>
                <w:lang w:eastAsia="en-GB"/>
              </w:rPr>
              <w:t>Sinkopė</w:t>
            </w:r>
          </w:p>
        </w:tc>
        <w:tc>
          <w:tcPr>
            <w:tcW w:w="1701" w:type="dxa"/>
            <w:tcBorders>
              <w:top w:val="single" w:sz="4" w:space="0" w:color="auto"/>
              <w:left w:val="single" w:sz="4" w:space="0" w:color="auto"/>
              <w:bottom w:val="single" w:sz="4" w:space="0" w:color="auto"/>
              <w:right w:val="single" w:sz="4" w:space="0" w:color="auto"/>
            </w:tcBorders>
            <w:hideMark/>
          </w:tcPr>
          <w:p w14:paraId="4BB5F8BD" w14:textId="0135EC9B" w:rsidR="00862996" w:rsidRPr="00FA4E83" w:rsidRDefault="00862996" w:rsidP="00862996">
            <w:pPr>
              <w:rPr>
                <w:color w:val="000000"/>
                <w:sz w:val="22"/>
                <w:szCs w:val="22"/>
                <w:lang w:eastAsia="en-GB"/>
              </w:rPr>
            </w:pPr>
            <w:r w:rsidRPr="00FA4E8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1F1445C6" w14:textId="57751F7A" w:rsidR="00862996" w:rsidRPr="00FA4E83" w:rsidRDefault="00862996" w:rsidP="00862996">
            <w:pPr>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67C591F9" w14:textId="77777777" w:rsidR="00862996" w:rsidRPr="00FA4E83" w:rsidRDefault="00862996" w:rsidP="00862996">
            <w:pPr>
              <w:rPr>
                <w:color w:val="000000"/>
                <w:sz w:val="22"/>
                <w:szCs w:val="22"/>
                <w:lang w:eastAsia="en-GB"/>
              </w:rPr>
            </w:pPr>
          </w:p>
        </w:tc>
      </w:tr>
      <w:tr w:rsidR="00862996" w:rsidRPr="00051FD3" w14:paraId="02411B91" w14:textId="77777777" w:rsidTr="00FA4E83">
        <w:trPr>
          <w:trHeight w:val="289"/>
          <w:jc w:val="center"/>
        </w:trPr>
        <w:tc>
          <w:tcPr>
            <w:tcW w:w="1836" w:type="dxa"/>
            <w:vMerge/>
            <w:tcBorders>
              <w:left w:val="single" w:sz="4" w:space="0" w:color="auto"/>
              <w:right w:val="single" w:sz="4" w:space="0" w:color="auto"/>
            </w:tcBorders>
            <w:hideMark/>
          </w:tcPr>
          <w:p w14:paraId="74A7E58B"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81E0878" w14:textId="4266C80F" w:rsidR="00862996" w:rsidRPr="00FA4E83" w:rsidRDefault="00862996" w:rsidP="00862996">
            <w:pPr>
              <w:rPr>
                <w:color w:val="000000"/>
                <w:sz w:val="22"/>
                <w:szCs w:val="22"/>
                <w:lang w:eastAsia="en-GB"/>
              </w:rPr>
            </w:pPr>
            <w:proofErr w:type="spellStart"/>
            <w:r w:rsidRPr="00FA4E83">
              <w:rPr>
                <w:color w:val="000000"/>
                <w:sz w:val="22"/>
                <w:szCs w:val="22"/>
                <w:lang w:eastAsia="en-GB"/>
              </w:rPr>
              <w:t>Parestezija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337D0EA" w14:textId="22D2F760" w:rsidR="00862996" w:rsidRPr="00FA4E83" w:rsidRDefault="00862996" w:rsidP="00862996">
            <w:pPr>
              <w:rPr>
                <w:color w:val="000000"/>
                <w:sz w:val="22"/>
                <w:szCs w:val="22"/>
                <w:lang w:eastAsia="en-GB"/>
              </w:rPr>
            </w:pPr>
            <w:r w:rsidRPr="00FA4E8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6F567B5E" w14:textId="77777777" w:rsidR="00862996" w:rsidRPr="00FA4E8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3C7C799" w14:textId="668457D7" w:rsidR="00862996" w:rsidRPr="00FA4E83" w:rsidRDefault="00862996" w:rsidP="00862996">
            <w:pPr>
              <w:rPr>
                <w:color w:val="000000"/>
                <w:sz w:val="22"/>
                <w:szCs w:val="22"/>
                <w:lang w:eastAsia="en-GB"/>
              </w:rPr>
            </w:pPr>
            <w:r w:rsidRPr="00FA4E83">
              <w:rPr>
                <w:color w:val="000000"/>
                <w:sz w:val="22"/>
                <w:szCs w:val="22"/>
                <w:lang w:eastAsia="en-GB"/>
              </w:rPr>
              <w:t>Retas</w:t>
            </w:r>
          </w:p>
        </w:tc>
      </w:tr>
      <w:tr w:rsidR="00387073" w:rsidRPr="00051FD3" w14:paraId="2CFEF375" w14:textId="77777777" w:rsidTr="00FA4E83">
        <w:trPr>
          <w:trHeight w:val="289"/>
          <w:jc w:val="center"/>
        </w:trPr>
        <w:tc>
          <w:tcPr>
            <w:tcW w:w="1836" w:type="dxa"/>
            <w:vMerge/>
            <w:tcBorders>
              <w:left w:val="single" w:sz="4" w:space="0" w:color="auto"/>
              <w:right w:val="single" w:sz="4" w:space="0" w:color="auto"/>
            </w:tcBorders>
            <w:hideMark/>
          </w:tcPr>
          <w:p w14:paraId="5853931C"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93F83B9" w14:textId="2785AD39" w:rsidR="00775E26" w:rsidRPr="00FA4E83" w:rsidRDefault="00B5059E" w:rsidP="00B5059E">
            <w:pPr>
              <w:rPr>
                <w:color w:val="000000"/>
                <w:sz w:val="22"/>
                <w:szCs w:val="22"/>
                <w:lang w:eastAsia="en-GB"/>
              </w:rPr>
            </w:pPr>
            <w:r w:rsidRPr="00FA4E83">
              <w:rPr>
                <w:color w:val="000000"/>
                <w:sz w:val="22"/>
                <w:szCs w:val="22"/>
                <w:lang w:eastAsia="en-GB"/>
              </w:rPr>
              <w:t>Mieguistumas</w:t>
            </w:r>
          </w:p>
        </w:tc>
        <w:tc>
          <w:tcPr>
            <w:tcW w:w="1701" w:type="dxa"/>
            <w:tcBorders>
              <w:top w:val="single" w:sz="4" w:space="0" w:color="auto"/>
              <w:left w:val="single" w:sz="4" w:space="0" w:color="auto"/>
              <w:bottom w:val="single" w:sz="4" w:space="0" w:color="auto"/>
              <w:right w:val="single" w:sz="4" w:space="0" w:color="auto"/>
            </w:tcBorders>
            <w:hideMark/>
          </w:tcPr>
          <w:p w14:paraId="34AD1A63" w14:textId="77777777" w:rsidR="00775E26" w:rsidRPr="00FA4E8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FDA1B0F" w14:textId="7567EC61" w:rsidR="00775E26" w:rsidRPr="00FA4E83" w:rsidRDefault="00862996" w:rsidP="00B5059E">
            <w:pPr>
              <w:rPr>
                <w:color w:val="000000"/>
                <w:sz w:val="22"/>
                <w:szCs w:val="22"/>
                <w:lang w:eastAsia="en-GB"/>
              </w:rPr>
            </w:pPr>
            <w:r w:rsidRPr="00FA4E8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1D4CF926" w14:textId="77777777" w:rsidR="00775E26" w:rsidRPr="00FA4E83" w:rsidRDefault="00775E26" w:rsidP="00B5059E">
            <w:pPr>
              <w:rPr>
                <w:color w:val="000000"/>
                <w:sz w:val="22"/>
                <w:szCs w:val="22"/>
                <w:lang w:eastAsia="en-GB"/>
              </w:rPr>
            </w:pPr>
          </w:p>
        </w:tc>
      </w:tr>
      <w:tr w:rsidR="00862996" w:rsidRPr="00051FD3" w14:paraId="74B7ED0B"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4BCEA260"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513812AB" w14:textId="261849E0" w:rsidR="00862996" w:rsidRPr="00FA4E83" w:rsidRDefault="00862996" w:rsidP="00862996">
            <w:pPr>
              <w:rPr>
                <w:color w:val="000000"/>
                <w:sz w:val="22"/>
                <w:szCs w:val="22"/>
                <w:lang w:eastAsia="en-GB"/>
              </w:rPr>
            </w:pPr>
            <w:r w:rsidRPr="00FA4E83">
              <w:rPr>
                <w:color w:val="000000"/>
                <w:sz w:val="22"/>
                <w:szCs w:val="22"/>
                <w:lang w:eastAsia="en-GB"/>
              </w:rPr>
              <w:t>Galvos skausmas</w:t>
            </w:r>
          </w:p>
        </w:tc>
        <w:tc>
          <w:tcPr>
            <w:tcW w:w="1701" w:type="dxa"/>
            <w:tcBorders>
              <w:top w:val="single" w:sz="4" w:space="0" w:color="auto"/>
              <w:left w:val="single" w:sz="4" w:space="0" w:color="auto"/>
              <w:bottom w:val="single" w:sz="4" w:space="0" w:color="auto"/>
              <w:right w:val="single" w:sz="4" w:space="0" w:color="auto"/>
            </w:tcBorders>
            <w:hideMark/>
          </w:tcPr>
          <w:p w14:paraId="6F310322" w14:textId="77777777" w:rsidR="00862996" w:rsidRPr="00FA4E8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6522776" w14:textId="77777777" w:rsidR="00862996" w:rsidRPr="00FA4E83" w:rsidRDefault="00862996" w:rsidP="00862996">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8C0BA4C" w14:textId="4D6DC882" w:rsidR="00862996" w:rsidRPr="00FA4E83" w:rsidRDefault="00862996" w:rsidP="00862996">
            <w:pPr>
              <w:rPr>
                <w:color w:val="000000"/>
                <w:sz w:val="22"/>
                <w:szCs w:val="22"/>
                <w:lang w:eastAsia="en-GB"/>
              </w:rPr>
            </w:pPr>
            <w:r w:rsidRPr="00FA4E83">
              <w:rPr>
                <w:color w:val="000000"/>
                <w:sz w:val="22"/>
                <w:szCs w:val="22"/>
                <w:lang w:eastAsia="en-GB"/>
              </w:rPr>
              <w:t>Retas</w:t>
            </w:r>
          </w:p>
        </w:tc>
      </w:tr>
      <w:tr w:rsidR="00862996" w:rsidRPr="00051FD3" w14:paraId="44B80F01"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4F0DAD5D" w14:textId="2A3405A8" w:rsidR="00862996" w:rsidRPr="00012DBE" w:rsidRDefault="00862996" w:rsidP="00862996">
            <w:pPr>
              <w:rPr>
                <w:b/>
                <w:bCs/>
                <w:color w:val="000000"/>
                <w:sz w:val="22"/>
                <w:szCs w:val="22"/>
                <w:lang w:eastAsia="en-GB"/>
              </w:rPr>
            </w:pPr>
            <w:r w:rsidRPr="00012DBE">
              <w:rPr>
                <w:b/>
                <w:bCs/>
                <w:color w:val="000000"/>
                <w:sz w:val="22"/>
                <w:szCs w:val="22"/>
                <w:lang w:eastAsia="en-GB"/>
              </w:rPr>
              <w:t>Akių sutrikimai</w:t>
            </w:r>
          </w:p>
        </w:tc>
        <w:tc>
          <w:tcPr>
            <w:tcW w:w="2412" w:type="dxa"/>
            <w:tcBorders>
              <w:top w:val="single" w:sz="4" w:space="0" w:color="auto"/>
              <w:left w:val="single" w:sz="4" w:space="0" w:color="auto"/>
              <w:bottom w:val="single" w:sz="4" w:space="0" w:color="auto"/>
              <w:right w:val="single" w:sz="4" w:space="0" w:color="auto"/>
            </w:tcBorders>
            <w:hideMark/>
          </w:tcPr>
          <w:p w14:paraId="5AC0B80D" w14:textId="5AB3958D" w:rsidR="00862996" w:rsidRPr="00012DBE" w:rsidRDefault="00862996" w:rsidP="00862996">
            <w:pPr>
              <w:rPr>
                <w:color w:val="000000"/>
                <w:sz w:val="22"/>
                <w:szCs w:val="22"/>
                <w:lang w:eastAsia="en-GB"/>
              </w:rPr>
            </w:pPr>
            <w:r w:rsidRPr="00012DBE">
              <w:rPr>
                <w:color w:val="000000"/>
                <w:sz w:val="22"/>
                <w:szCs w:val="22"/>
                <w:lang w:eastAsia="en-GB"/>
              </w:rPr>
              <w:t>Regos sutrikimas</w:t>
            </w:r>
          </w:p>
        </w:tc>
        <w:tc>
          <w:tcPr>
            <w:tcW w:w="1701" w:type="dxa"/>
            <w:tcBorders>
              <w:top w:val="single" w:sz="4" w:space="0" w:color="auto"/>
              <w:left w:val="single" w:sz="4" w:space="0" w:color="auto"/>
              <w:bottom w:val="single" w:sz="4" w:space="0" w:color="auto"/>
              <w:right w:val="single" w:sz="4" w:space="0" w:color="auto"/>
            </w:tcBorders>
            <w:hideMark/>
          </w:tcPr>
          <w:p w14:paraId="2E61C0D0" w14:textId="36D700F4" w:rsidR="00862996" w:rsidRPr="00012DBE" w:rsidRDefault="00862996" w:rsidP="00862996">
            <w:pPr>
              <w:rPr>
                <w:color w:val="000000"/>
                <w:sz w:val="22"/>
                <w:szCs w:val="22"/>
                <w:lang w:eastAsia="en-GB"/>
              </w:rPr>
            </w:pPr>
            <w:r w:rsidRPr="00012DBE">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772EA93A" w14:textId="196A5BB5" w:rsidR="00862996" w:rsidRPr="00012DBE" w:rsidRDefault="00862996" w:rsidP="00862996">
            <w:pPr>
              <w:rPr>
                <w:color w:val="000000"/>
                <w:sz w:val="22"/>
                <w:szCs w:val="22"/>
                <w:lang w:eastAsia="en-GB"/>
              </w:rPr>
            </w:pPr>
            <w:r w:rsidRPr="00012DBE">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541F02B7" w14:textId="54F26811" w:rsidR="00862996" w:rsidRPr="00012DBE" w:rsidRDefault="00862996" w:rsidP="00862996">
            <w:pPr>
              <w:rPr>
                <w:color w:val="000000"/>
                <w:sz w:val="22"/>
                <w:szCs w:val="22"/>
                <w:lang w:eastAsia="en-GB"/>
              </w:rPr>
            </w:pPr>
            <w:r w:rsidRPr="00012DBE">
              <w:rPr>
                <w:color w:val="000000"/>
                <w:sz w:val="22"/>
                <w:szCs w:val="22"/>
                <w:lang w:eastAsia="en-GB"/>
              </w:rPr>
              <w:t>Retas</w:t>
            </w:r>
          </w:p>
        </w:tc>
      </w:tr>
      <w:tr w:rsidR="00387073" w:rsidRPr="00051FD3" w14:paraId="208ACE87" w14:textId="77777777" w:rsidTr="00FA4E83">
        <w:trPr>
          <w:trHeight w:val="289"/>
          <w:jc w:val="center"/>
        </w:trPr>
        <w:tc>
          <w:tcPr>
            <w:tcW w:w="1836" w:type="dxa"/>
            <w:vMerge/>
            <w:tcBorders>
              <w:left w:val="single" w:sz="4" w:space="0" w:color="auto"/>
              <w:right w:val="single" w:sz="4" w:space="0" w:color="auto"/>
            </w:tcBorders>
            <w:hideMark/>
          </w:tcPr>
          <w:p w14:paraId="6424821C" w14:textId="77777777" w:rsidR="00775E26" w:rsidRPr="00FA4E8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7A069D3" w14:textId="47904252" w:rsidR="00775E26" w:rsidRPr="00FA4E83" w:rsidRDefault="00B5059E" w:rsidP="00B5059E">
            <w:pPr>
              <w:rPr>
                <w:color w:val="000000"/>
                <w:sz w:val="22"/>
                <w:szCs w:val="22"/>
                <w:lang w:eastAsia="en-GB"/>
              </w:rPr>
            </w:pPr>
            <w:r w:rsidRPr="00FA4E83">
              <w:rPr>
                <w:color w:val="000000"/>
                <w:sz w:val="22"/>
                <w:szCs w:val="22"/>
                <w:lang w:eastAsia="en-GB"/>
              </w:rPr>
              <w:t>Daiktų matymas lyg per miglą</w:t>
            </w:r>
          </w:p>
        </w:tc>
        <w:tc>
          <w:tcPr>
            <w:tcW w:w="1701" w:type="dxa"/>
            <w:tcBorders>
              <w:top w:val="single" w:sz="4" w:space="0" w:color="auto"/>
              <w:left w:val="single" w:sz="4" w:space="0" w:color="auto"/>
              <w:bottom w:val="single" w:sz="4" w:space="0" w:color="auto"/>
              <w:right w:val="single" w:sz="4" w:space="0" w:color="auto"/>
            </w:tcBorders>
            <w:hideMark/>
          </w:tcPr>
          <w:p w14:paraId="1008B4F2" w14:textId="2445B96F" w:rsidR="00775E26" w:rsidRPr="00FA4E83" w:rsidRDefault="00862996" w:rsidP="00B5059E">
            <w:pPr>
              <w:rPr>
                <w:color w:val="000000"/>
                <w:sz w:val="22"/>
                <w:szCs w:val="22"/>
                <w:lang w:eastAsia="en-GB"/>
              </w:rPr>
            </w:pPr>
            <w:r w:rsidRPr="00FA4E8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391273F8" w14:textId="77777777" w:rsidR="00775E26" w:rsidRPr="00FA4E83" w:rsidRDefault="00775E26" w:rsidP="00B5059E">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3F7B296" w14:textId="77777777" w:rsidR="00775E26" w:rsidRPr="00FA4E83" w:rsidRDefault="00775E26" w:rsidP="00B5059E">
            <w:pPr>
              <w:rPr>
                <w:sz w:val="22"/>
                <w:szCs w:val="22"/>
                <w:lang w:eastAsia="en-GB"/>
              </w:rPr>
            </w:pPr>
          </w:p>
        </w:tc>
      </w:tr>
      <w:tr w:rsidR="00862996" w:rsidRPr="00051FD3" w14:paraId="687FEBDF" w14:textId="77777777" w:rsidTr="00FA4E83">
        <w:trPr>
          <w:trHeight w:val="289"/>
          <w:jc w:val="center"/>
        </w:trPr>
        <w:tc>
          <w:tcPr>
            <w:tcW w:w="1836" w:type="dxa"/>
            <w:vMerge/>
            <w:tcBorders>
              <w:left w:val="single" w:sz="4" w:space="0" w:color="auto"/>
              <w:right w:val="single" w:sz="4" w:space="0" w:color="auto"/>
            </w:tcBorders>
            <w:hideMark/>
          </w:tcPr>
          <w:p w14:paraId="0821E710"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7AA185F" w14:textId="5AD06D99" w:rsidR="00862996" w:rsidRPr="00FA4E83" w:rsidRDefault="00862996" w:rsidP="00862996">
            <w:pPr>
              <w:rPr>
                <w:color w:val="000000"/>
                <w:sz w:val="22"/>
                <w:szCs w:val="22"/>
                <w:lang w:eastAsia="en-GB"/>
              </w:rPr>
            </w:pPr>
            <w:r w:rsidRPr="00FA4E83">
              <w:rPr>
                <w:color w:val="000000"/>
                <w:sz w:val="22"/>
                <w:szCs w:val="22"/>
                <w:lang w:eastAsia="en-GB"/>
              </w:rPr>
              <w:t>Ūminė uždaro kampo glaukoma</w:t>
            </w:r>
          </w:p>
        </w:tc>
        <w:tc>
          <w:tcPr>
            <w:tcW w:w="1701" w:type="dxa"/>
            <w:tcBorders>
              <w:top w:val="single" w:sz="4" w:space="0" w:color="auto"/>
              <w:left w:val="single" w:sz="4" w:space="0" w:color="auto"/>
              <w:bottom w:val="single" w:sz="4" w:space="0" w:color="auto"/>
              <w:right w:val="single" w:sz="4" w:space="0" w:color="auto"/>
            </w:tcBorders>
            <w:hideMark/>
          </w:tcPr>
          <w:p w14:paraId="7375B9E4" w14:textId="77777777" w:rsidR="00862996" w:rsidRPr="00FA4E8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66967AD" w14:textId="77777777" w:rsidR="00862996" w:rsidRPr="00FA4E83" w:rsidRDefault="00862996" w:rsidP="00862996">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4BB1777" w14:textId="74834A6D" w:rsidR="00862996" w:rsidRPr="00FA4E83" w:rsidRDefault="00C43CD4" w:rsidP="00862996">
            <w:pPr>
              <w:rPr>
                <w:color w:val="000000"/>
                <w:sz w:val="22"/>
                <w:szCs w:val="22"/>
                <w:lang w:eastAsia="en-GB"/>
              </w:rPr>
            </w:pPr>
            <w:r>
              <w:rPr>
                <w:color w:val="000000"/>
                <w:sz w:val="22"/>
                <w:szCs w:val="22"/>
                <w:lang w:eastAsia="en-GB"/>
              </w:rPr>
              <w:t>N</w:t>
            </w:r>
            <w:r w:rsidR="00862996" w:rsidRPr="00FA4E83">
              <w:rPr>
                <w:color w:val="000000"/>
                <w:sz w:val="22"/>
                <w:szCs w:val="22"/>
                <w:lang w:eastAsia="en-GB"/>
              </w:rPr>
              <w:t>ežinomas</w:t>
            </w:r>
          </w:p>
        </w:tc>
      </w:tr>
      <w:tr w:rsidR="00862996" w:rsidRPr="00051FD3" w14:paraId="3A3225C2"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0E88BA55" w14:textId="77777777" w:rsidR="00862996" w:rsidRPr="00FA4E8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2E610D12" w14:textId="03FE7D0C" w:rsidR="00862996" w:rsidRPr="00FA4E83" w:rsidRDefault="00862996" w:rsidP="00862996">
            <w:pPr>
              <w:rPr>
                <w:color w:val="000000"/>
                <w:sz w:val="22"/>
                <w:szCs w:val="22"/>
                <w:lang w:eastAsia="en-GB"/>
              </w:rPr>
            </w:pPr>
            <w:r w:rsidRPr="00FA4E83">
              <w:rPr>
                <w:color w:val="000000"/>
                <w:sz w:val="22"/>
                <w:szCs w:val="22"/>
                <w:lang w:eastAsia="en-GB"/>
              </w:rPr>
              <w:t xml:space="preserve">Skysčio susikaupimas tarp akies </w:t>
            </w:r>
            <w:proofErr w:type="spellStart"/>
            <w:r w:rsidRPr="00FA4E83">
              <w:rPr>
                <w:color w:val="000000"/>
                <w:sz w:val="22"/>
                <w:szCs w:val="22"/>
                <w:lang w:eastAsia="en-GB"/>
              </w:rPr>
              <w:t>gyslainės</w:t>
            </w:r>
            <w:proofErr w:type="spellEnd"/>
            <w:r w:rsidRPr="00FA4E83">
              <w:rPr>
                <w:color w:val="000000"/>
                <w:sz w:val="22"/>
                <w:szCs w:val="22"/>
                <w:lang w:eastAsia="en-GB"/>
              </w:rPr>
              <w:t xml:space="preserve"> ir </w:t>
            </w:r>
            <w:proofErr w:type="spellStart"/>
            <w:r w:rsidRPr="00FA4E83">
              <w:rPr>
                <w:color w:val="000000"/>
                <w:sz w:val="22"/>
                <w:szCs w:val="22"/>
                <w:lang w:eastAsia="en-GB"/>
              </w:rPr>
              <w:t>skleros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C3F3C3C" w14:textId="77777777" w:rsidR="00862996" w:rsidRPr="00FA4E8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0F6BBB1" w14:textId="77777777" w:rsidR="00862996" w:rsidRPr="00FA4E83" w:rsidRDefault="00862996" w:rsidP="00862996">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48B2C60" w14:textId="6BCB1C00" w:rsidR="00862996" w:rsidRPr="00FA4E83" w:rsidRDefault="00C43CD4" w:rsidP="00862996">
            <w:pPr>
              <w:rPr>
                <w:color w:val="000000"/>
                <w:sz w:val="22"/>
                <w:szCs w:val="22"/>
                <w:lang w:eastAsia="en-GB"/>
              </w:rPr>
            </w:pPr>
            <w:r>
              <w:rPr>
                <w:color w:val="000000"/>
                <w:sz w:val="22"/>
                <w:szCs w:val="22"/>
                <w:lang w:eastAsia="en-GB"/>
              </w:rPr>
              <w:t>N</w:t>
            </w:r>
            <w:r w:rsidR="00862996" w:rsidRPr="00FA4E83">
              <w:rPr>
                <w:color w:val="000000"/>
                <w:sz w:val="22"/>
                <w:szCs w:val="22"/>
                <w:lang w:eastAsia="en-GB"/>
              </w:rPr>
              <w:t>ežinomas</w:t>
            </w:r>
          </w:p>
        </w:tc>
      </w:tr>
      <w:tr w:rsidR="00387073" w:rsidRPr="00051FD3" w14:paraId="3D01E4DD" w14:textId="77777777" w:rsidTr="00FA4E83">
        <w:trPr>
          <w:trHeight w:val="289"/>
          <w:jc w:val="center"/>
        </w:trPr>
        <w:tc>
          <w:tcPr>
            <w:tcW w:w="1836" w:type="dxa"/>
            <w:tcBorders>
              <w:top w:val="single" w:sz="4" w:space="0" w:color="auto"/>
              <w:left w:val="single" w:sz="4" w:space="0" w:color="auto"/>
              <w:bottom w:val="single" w:sz="4" w:space="0" w:color="auto"/>
              <w:right w:val="single" w:sz="4" w:space="0" w:color="auto"/>
            </w:tcBorders>
            <w:hideMark/>
          </w:tcPr>
          <w:p w14:paraId="30DF6260" w14:textId="5EFF2918" w:rsidR="00775E26" w:rsidRPr="00012DBE" w:rsidRDefault="00EC6A3C" w:rsidP="00B5059E">
            <w:pPr>
              <w:rPr>
                <w:b/>
                <w:bCs/>
                <w:color w:val="000000"/>
                <w:sz w:val="22"/>
                <w:szCs w:val="22"/>
                <w:lang w:eastAsia="en-GB"/>
              </w:rPr>
            </w:pPr>
            <w:r w:rsidRPr="00012DBE">
              <w:rPr>
                <w:b/>
                <w:bCs/>
                <w:color w:val="000000"/>
                <w:sz w:val="22"/>
                <w:szCs w:val="22"/>
                <w:lang w:eastAsia="en-GB"/>
              </w:rPr>
              <w:t>Ausų ir labirintų sutrikimai</w:t>
            </w:r>
          </w:p>
        </w:tc>
        <w:tc>
          <w:tcPr>
            <w:tcW w:w="2412" w:type="dxa"/>
            <w:tcBorders>
              <w:top w:val="single" w:sz="4" w:space="0" w:color="auto"/>
              <w:left w:val="single" w:sz="4" w:space="0" w:color="auto"/>
              <w:bottom w:val="single" w:sz="4" w:space="0" w:color="auto"/>
              <w:right w:val="single" w:sz="4" w:space="0" w:color="auto"/>
            </w:tcBorders>
            <w:hideMark/>
          </w:tcPr>
          <w:p w14:paraId="04CDC569" w14:textId="77777777" w:rsidR="00775E26" w:rsidRPr="00012DBE" w:rsidRDefault="00775E26" w:rsidP="00C517F4">
            <w:pPr>
              <w:spacing w:after="240"/>
              <w:rPr>
                <w:color w:val="000000"/>
                <w:sz w:val="22"/>
                <w:szCs w:val="22"/>
                <w:lang w:eastAsia="en-GB"/>
              </w:rPr>
            </w:pPr>
            <w:proofErr w:type="spellStart"/>
            <w:r w:rsidRPr="00012DBE">
              <w:rPr>
                <w:color w:val="000000"/>
                <w:sz w:val="22"/>
                <w:szCs w:val="22"/>
                <w:lang w:eastAsia="en-GB"/>
              </w:rPr>
              <w:t>Vertigo</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51AFA06" w14:textId="7E023062" w:rsidR="00775E26" w:rsidRPr="00012DBE" w:rsidRDefault="00862996" w:rsidP="00C517F4">
            <w:pPr>
              <w:spacing w:after="240"/>
              <w:rPr>
                <w:color w:val="000000"/>
                <w:sz w:val="22"/>
                <w:szCs w:val="22"/>
                <w:lang w:eastAsia="en-GB"/>
              </w:rPr>
            </w:pPr>
            <w:r w:rsidRPr="00012DBE">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56F6B0D0" w14:textId="0B3FFD77" w:rsidR="00775E26" w:rsidRPr="00012DBE" w:rsidRDefault="00862996" w:rsidP="00C517F4">
            <w:pPr>
              <w:spacing w:before="240" w:after="240"/>
              <w:rPr>
                <w:color w:val="000000"/>
                <w:sz w:val="22"/>
                <w:szCs w:val="22"/>
                <w:lang w:eastAsia="en-GB"/>
              </w:rPr>
            </w:pPr>
            <w:r w:rsidRPr="00012DBE">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50EA0656" w14:textId="77777777" w:rsidR="00775E26" w:rsidRPr="00012DBE" w:rsidRDefault="00775E26" w:rsidP="00B5059E">
            <w:pPr>
              <w:rPr>
                <w:color w:val="000000"/>
                <w:sz w:val="22"/>
                <w:szCs w:val="22"/>
                <w:lang w:eastAsia="en-GB"/>
              </w:rPr>
            </w:pPr>
          </w:p>
        </w:tc>
      </w:tr>
      <w:tr w:rsidR="00862996" w:rsidRPr="00051FD3" w14:paraId="2632C08E"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0CB5C10A" w14:textId="091A1F6B" w:rsidR="00862996" w:rsidRPr="00012DBE" w:rsidRDefault="00862996" w:rsidP="00862996">
            <w:pPr>
              <w:rPr>
                <w:b/>
                <w:bCs/>
                <w:color w:val="000000"/>
                <w:sz w:val="22"/>
                <w:szCs w:val="22"/>
                <w:lang w:eastAsia="en-GB"/>
              </w:rPr>
            </w:pPr>
            <w:r w:rsidRPr="00012DBE">
              <w:rPr>
                <w:b/>
                <w:bCs/>
                <w:color w:val="000000"/>
                <w:sz w:val="22"/>
                <w:szCs w:val="22"/>
                <w:lang w:eastAsia="en-GB"/>
              </w:rPr>
              <w:t>Širdies sutrikimai</w:t>
            </w:r>
          </w:p>
        </w:tc>
        <w:tc>
          <w:tcPr>
            <w:tcW w:w="2412" w:type="dxa"/>
            <w:tcBorders>
              <w:top w:val="single" w:sz="4" w:space="0" w:color="auto"/>
              <w:left w:val="single" w:sz="4" w:space="0" w:color="auto"/>
              <w:bottom w:val="single" w:sz="4" w:space="0" w:color="auto"/>
              <w:right w:val="single" w:sz="4" w:space="0" w:color="auto"/>
            </w:tcBorders>
            <w:hideMark/>
          </w:tcPr>
          <w:p w14:paraId="33BB4C70" w14:textId="2E22F8CD" w:rsidR="00862996" w:rsidRPr="00012DBE" w:rsidRDefault="00862996" w:rsidP="00862996">
            <w:pPr>
              <w:rPr>
                <w:color w:val="000000"/>
                <w:sz w:val="22"/>
                <w:szCs w:val="22"/>
                <w:lang w:eastAsia="en-GB"/>
              </w:rPr>
            </w:pPr>
            <w:r w:rsidRPr="00012DBE">
              <w:rPr>
                <w:color w:val="000000"/>
                <w:sz w:val="22"/>
                <w:szCs w:val="22"/>
                <w:lang w:eastAsia="en-GB"/>
              </w:rPr>
              <w:t>Tachikardija</w:t>
            </w:r>
          </w:p>
        </w:tc>
        <w:tc>
          <w:tcPr>
            <w:tcW w:w="1701" w:type="dxa"/>
            <w:tcBorders>
              <w:top w:val="single" w:sz="4" w:space="0" w:color="auto"/>
              <w:left w:val="single" w:sz="4" w:space="0" w:color="auto"/>
              <w:bottom w:val="single" w:sz="4" w:space="0" w:color="auto"/>
              <w:right w:val="single" w:sz="4" w:space="0" w:color="auto"/>
            </w:tcBorders>
            <w:hideMark/>
          </w:tcPr>
          <w:p w14:paraId="33703A2F" w14:textId="5819293F" w:rsidR="00862996" w:rsidRPr="00012DBE" w:rsidRDefault="00862996" w:rsidP="00862996">
            <w:pPr>
              <w:rPr>
                <w:color w:val="000000"/>
                <w:sz w:val="22"/>
                <w:szCs w:val="22"/>
                <w:lang w:eastAsia="en-GB"/>
              </w:rPr>
            </w:pPr>
            <w:r w:rsidRPr="00012DBE">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7374DA37" w14:textId="63C04292" w:rsidR="00862996" w:rsidRPr="00012DBE" w:rsidRDefault="00862996" w:rsidP="00862996">
            <w:pPr>
              <w:rPr>
                <w:color w:val="000000"/>
                <w:sz w:val="22"/>
                <w:szCs w:val="22"/>
                <w:lang w:eastAsia="en-GB"/>
              </w:rPr>
            </w:pPr>
            <w:r w:rsidRPr="00012DBE">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64E45236" w14:textId="77777777" w:rsidR="00862996" w:rsidRPr="00012DBE" w:rsidRDefault="00862996" w:rsidP="00862996">
            <w:pPr>
              <w:rPr>
                <w:color w:val="000000"/>
                <w:sz w:val="22"/>
                <w:szCs w:val="22"/>
                <w:lang w:eastAsia="en-GB"/>
              </w:rPr>
            </w:pPr>
          </w:p>
        </w:tc>
      </w:tr>
      <w:tr w:rsidR="00862996" w:rsidRPr="00051FD3" w14:paraId="7062712C" w14:textId="77777777" w:rsidTr="00FA4E83">
        <w:trPr>
          <w:trHeight w:val="289"/>
          <w:jc w:val="center"/>
        </w:trPr>
        <w:tc>
          <w:tcPr>
            <w:tcW w:w="1836" w:type="dxa"/>
            <w:vMerge/>
            <w:tcBorders>
              <w:left w:val="single" w:sz="4" w:space="0" w:color="auto"/>
              <w:right w:val="single" w:sz="4" w:space="0" w:color="auto"/>
            </w:tcBorders>
            <w:hideMark/>
          </w:tcPr>
          <w:p w14:paraId="0411C063"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80E3D4E" w14:textId="353989EE" w:rsidR="00862996" w:rsidRPr="00FA4E83" w:rsidRDefault="00862996" w:rsidP="00862996">
            <w:pPr>
              <w:rPr>
                <w:color w:val="000000"/>
                <w:sz w:val="22"/>
                <w:szCs w:val="22"/>
                <w:lang w:eastAsia="en-GB"/>
              </w:rPr>
            </w:pPr>
            <w:r w:rsidRPr="00FA4E83">
              <w:rPr>
                <w:color w:val="000000"/>
                <w:sz w:val="22"/>
                <w:szCs w:val="22"/>
                <w:lang w:eastAsia="en-GB"/>
              </w:rPr>
              <w:t>Aritmijos</w:t>
            </w:r>
          </w:p>
        </w:tc>
        <w:tc>
          <w:tcPr>
            <w:tcW w:w="1701" w:type="dxa"/>
            <w:tcBorders>
              <w:top w:val="single" w:sz="4" w:space="0" w:color="auto"/>
              <w:left w:val="single" w:sz="4" w:space="0" w:color="auto"/>
              <w:bottom w:val="single" w:sz="4" w:space="0" w:color="auto"/>
              <w:right w:val="single" w:sz="4" w:space="0" w:color="auto"/>
            </w:tcBorders>
            <w:hideMark/>
          </w:tcPr>
          <w:p w14:paraId="15529AAD" w14:textId="17830166" w:rsidR="00862996" w:rsidRPr="00FA4E83" w:rsidRDefault="00862996" w:rsidP="00862996">
            <w:pPr>
              <w:rPr>
                <w:color w:val="000000"/>
                <w:sz w:val="22"/>
                <w:szCs w:val="22"/>
                <w:lang w:eastAsia="en-GB"/>
              </w:rPr>
            </w:pPr>
            <w:r w:rsidRPr="00FA4E8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1D04A150" w14:textId="77777777" w:rsidR="00862996" w:rsidRPr="00FA4E8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5AD31F5" w14:textId="3A9B1CB0" w:rsidR="00862996" w:rsidRPr="00FA4E83" w:rsidRDefault="00862996" w:rsidP="00862996">
            <w:pPr>
              <w:rPr>
                <w:color w:val="000000"/>
                <w:sz w:val="22"/>
                <w:szCs w:val="22"/>
                <w:lang w:eastAsia="en-GB"/>
              </w:rPr>
            </w:pPr>
            <w:r w:rsidRPr="00FA4E83">
              <w:rPr>
                <w:color w:val="000000"/>
                <w:sz w:val="22"/>
                <w:szCs w:val="22"/>
                <w:lang w:eastAsia="en-GB"/>
              </w:rPr>
              <w:t>Retas</w:t>
            </w:r>
          </w:p>
        </w:tc>
      </w:tr>
      <w:tr w:rsidR="00862996" w:rsidRPr="00051FD3" w14:paraId="7DCF5A30"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0B9C97C7" w14:textId="77777777" w:rsidR="00862996" w:rsidRPr="00FA4E8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1776B43" w14:textId="529B96C8" w:rsidR="00862996" w:rsidRPr="00FA4E83" w:rsidRDefault="00862996" w:rsidP="00862996">
            <w:pPr>
              <w:rPr>
                <w:color w:val="000000"/>
                <w:sz w:val="22"/>
                <w:szCs w:val="22"/>
                <w:lang w:eastAsia="en-GB"/>
              </w:rPr>
            </w:pPr>
            <w:r w:rsidRPr="00FA4E83">
              <w:rPr>
                <w:color w:val="000000"/>
                <w:sz w:val="22"/>
                <w:szCs w:val="22"/>
                <w:lang w:eastAsia="en-GB"/>
              </w:rPr>
              <w:t>Bradikardija</w:t>
            </w:r>
          </w:p>
        </w:tc>
        <w:tc>
          <w:tcPr>
            <w:tcW w:w="1701" w:type="dxa"/>
            <w:tcBorders>
              <w:top w:val="single" w:sz="4" w:space="0" w:color="auto"/>
              <w:left w:val="single" w:sz="4" w:space="0" w:color="auto"/>
              <w:bottom w:val="single" w:sz="4" w:space="0" w:color="auto"/>
              <w:right w:val="single" w:sz="4" w:space="0" w:color="auto"/>
            </w:tcBorders>
            <w:hideMark/>
          </w:tcPr>
          <w:p w14:paraId="2D5AA522" w14:textId="77777777" w:rsidR="00862996" w:rsidRPr="00FA4E8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97DE13F" w14:textId="189AC675" w:rsidR="00862996" w:rsidRPr="00FA4E83" w:rsidRDefault="00862996" w:rsidP="00862996">
            <w:pPr>
              <w:rPr>
                <w:color w:val="000000"/>
                <w:sz w:val="22"/>
                <w:szCs w:val="22"/>
                <w:lang w:eastAsia="en-GB"/>
              </w:rPr>
            </w:pPr>
            <w:r w:rsidRPr="00FA4E8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3D36E3D6" w14:textId="77777777" w:rsidR="00862996" w:rsidRPr="00FA4E83" w:rsidRDefault="00862996" w:rsidP="00862996">
            <w:pPr>
              <w:rPr>
                <w:color w:val="000000"/>
                <w:sz w:val="22"/>
                <w:szCs w:val="22"/>
                <w:lang w:eastAsia="en-GB"/>
              </w:rPr>
            </w:pPr>
          </w:p>
        </w:tc>
      </w:tr>
      <w:tr w:rsidR="00862996" w:rsidRPr="00051FD3" w14:paraId="79502A03"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16C3CE4A" w14:textId="525C2402" w:rsidR="00862996" w:rsidRPr="00012DBE" w:rsidRDefault="00862996" w:rsidP="00862996">
            <w:pPr>
              <w:rPr>
                <w:b/>
                <w:bCs/>
                <w:color w:val="000000"/>
                <w:sz w:val="22"/>
                <w:szCs w:val="22"/>
                <w:lang w:eastAsia="en-GB"/>
              </w:rPr>
            </w:pPr>
            <w:r w:rsidRPr="00012DBE">
              <w:rPr>
                <w:b/>
                <w:bCs/>
                <w:color w:val="000000"/>
                <w:sz w:val="22"/>
                <w:szCs w:val="22"/>
                <w:lang w:eastAsia="en-GB"/>
              </w:rPr>
              <w:t>Kraujagyslių sutrikimai</w:t>
            </w:r>
          </w:p>
        </w:tc>
        <w:tc>
          <w:tcPr>
            <w:tcW w:w="2412" w:type="dxa"/>
            <w:tcBorders>
              <w:top w:val="single" w:sz="4" w:space="0" w:color="auto"/>
              <w:left w:val="single" w:sz="4" w:space="0" w:color="auto"/>
              <w:bottom w:val="single" w:sz="4" w:space="0" w:color="auto"/>
              <w:right w:val="single" w:sz="4" w:space="0" w:color="auto"/>
            </w:tcBorders>
            <w:hideMark/>
          </w:tcPr>
          <w:p w14:paraId="70CDA141" w14:textId="6CC8ABC7" w:rsidR="00862996" w:rsidRPr="00012DBE" w:rsidRDefault="00862996" w:rsidP="00862996">
            <w:pPr>
              <w:rPr>
                <w:color w:val="000000"/>
                <w:sz w:val="22"/>
                <w:szCs w:val="22"/>
                <w:lang w:eastAsia="en-GB"/>
              </w:rPr>
            </w:pPr>
            <w:proofErr w:type="spellStart"/>
            <w:r w:rsidRPr="00012DBE">
              <w:rPr>
                <w:color w:val="000000"/>
                <w:sz w:val="22"/>
                <w:szCs w:val="22"/>
                <w:lang w:eastAsia="en-GB"/>
              </w:rPr>
              <w:t>Hipotenzija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BB0398B" w14:textId="78156475" w:rsidR="00862996" w:rsidRPr="00012DBE" w:rsidRDefault="00862996" w:rsidP="00862996">
            <w:pPr>
              <w:rPr>
                <w:color w:val="000000"/>
                <w:sz w:val="22"/>
                <w:szCs w:val="22"/>
                <w:lang w:eastAsia="en-GB"/>
              </w:rPr>
            </w:pPr>
            <w:r w:rsidRPr="00012DBE">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529C57F2" w14:textId="45F60211" w:rsidR="00862996" w:rsidRPr="00012DBE" w:rsidRDefault="00862996" w:rsidP="00862996">
            <w:pPr>
              <w:rPr>
                <w:color w:val="000000"/>
                <w:sz w:val="22"/>
                <w:szCs w:val="22"/>
                <w:lang w:eastAsia="en-GB"/>
              </w:rPr>
            </w:pPr>
            <w:r w:rsidRPr="00012DBE">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52E6BF92" w14:textId="77777777" w:rsidR="00862996" w:rsidRPr="00012DBE" w:rsidRDefault="00862996" w:rsidP="00862996">
            <w:pPr>
              <w:rPr>
                <w:color w:val="000000"/>
                <w:sz w:val="22"/>
                <w:szCs w:val="22"/>
                <w:lang w:eastAsia="en-GB"/>
              </w:rPr>
            </w:pPr>
          </w:p>
        </w:tc>
      </w:tr>
      <w:tr w:rsidR="00862996" w:rsidRPr="00051FD3" w14:paraId="51F35C3D" w14:textId="77777777" w:rsidTr="00FA4E83">
        <w:trPr>
          <w:trHeight w:val="289"/>
          <w:jc w:val="center"/>
        </w:trPr>
        <w:tc>
          <w:tcPr>
            <w:tcW w:w="1836" w:type="dxa"/>
            <w:vMerge/>
            <w:tcBorders>
              <w:left w:val="single" w:sz="4" w:space="0" w:color="auto"/>
              <w:right w:val="single" w:sz="4" w:space="0" w:color="auto"/>
            </w:tcBorders>
            <w:hideMark/>
          </w:tcPr>
          <w:p w14:paraId="1368BD76" w14:textId="77777777" w:rsidR="00862996" w:rsidRPr="00FA4E8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43921D3" w14:textId="22F705A5" w:rsidR="00862996" w:rsidRPr="00051FD3" w:rsidRDefault="00862996" w:rsidP="00E93540">
            <w:pPr>
              <w:pStyle w:val="Default"/>
              <w:rPr>
                <w:sz w:val="22"/>
                <w:szCs w:val="22"/>
                <w:lang w:val="lt-LT" w:eastAsia="en-GB"/>
              </w:rPr>
            </w:pPr>
            <w:proofErr w:type="spellStart"/>
            <w:r w:rsidRPr="00051FD3">
              <w:rPr>
                <w:sz w:val="22"/>
                <w:szCs w:val="22"/>
                <w:lang w:val="lt-LT"/>
              </w:rPr>
              <w:t>Ortostatinė</w:t>
            </w:r>
            <w:proofErr w:type="spellEnd"/>
            <w:r w:rsidRPr="00051FD3">
              <w:rPr>
                <w:sz w:val="22"/>
                <w:szCs w:val="22"/>
                <w:lang w:val="lt-LT"/>
              </w:rPr>
              <w:t xml:space="preserve"> </w:t>
            </w:r>
            <w:proofErr w:type="spellStart"/>
            <w:r w:rsidRPr="00051FD3">
              <w:rPr>
                <w:sz w:val="22"/>
                <w:szCs w:val="22"/>
                <w:lang w:val="lt-LT"/>
              </w:rPr>
              <w:t>hipotenzija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ED359D9" w14:textId="2E848CB1"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5D2A842A" w14:textId="072B7537"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431D3126" w14:textId="69FE151F" w:rsidR="00862996" w:rsidRPr="00051FD3" w:rsidRDefault="001F3FAE" w:rsidP="00862996">
            <w:pPr>
              <w:rPr>
                <w:color w:val="000000"/>
                <w:sz w:val="22"/>
                <w:szCs w:val="22"/>
                <w:lang w:eastAsia="en-GB"/>
              </w:rPr>
            </w:pPr>
            <w:r>
              <w:rPr>
                <w:color w:val="000000"/>
                <w:sz w:val="22"/>
                <w:szCs w:val="22"/>
                <w:lang w:eastAsia="en-GB"/>
              </w:rPr>
              <w:t>D</w:t>
            </w:r>
            <w:r w:rsidR="00862996" w:rsidRPr="00051FD3">
              <w:rPr>
                <w:color w:val="000000"/>
                <w:sz w:val="22"/>
                <w:szCs w:val="22"/>
                <w:lang w:eastAsia="en-GB"/>
              </w:rPr>
              <w:t>ažnas</w:t>
            </w:r>
          </w:p>
        </w:tc>
      </w:tr>
      <w:tr w:rsidR="00387073" w:rsidRPr="00051FD3" w14:paraId="370C12A7"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00267D69"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5FA5D22D" w14:textId="1DDF7153" w:rsidR="00775E26" w:rsidRPr="00051FD3" w:rsidRDefault="00E93540" w:rsidP="00B5059E">
            <w:pPr>
              <w:rPr>
                <w:color w:val="000000"/>
                <w:sz w:val="22"/>
                <w:szCs w:val="22"/>
                <w:lang w:eastAsia="en-GB"/>
              </w:rPr>
            </w:pPr>
            <w:proofErr w:type="spellStart"/>
            <w:r w:rsidRPr="00051FD3">
              <w:rPr>
                <w:color w:val="000000"/>
                <w:sz w:val="22"/>
                <w:szCs w:val="22"/>
                <w:lang w:eastAsia="en-GB"/>
              </w:rPr>
              <w:t>Nekrozuojantis</w:t>
            </w:r>
            <w:proofErr w:type="spellEnd"/>
            <w:r w:rsidRPr="00051FD3">
              <w:rPr>
                <w:color w:val="000000"/>
                <w:sz w:val="22"/>
                <w:szCs w:val="22"/>
                <w:lang w:eastAsia="en-GB"/>
              </w:rPr>
              <w:t xml:space="preserve"> </w:t>
            </w:r>
            <w:proofErr w:type="spellStart"/>
            <w:r w:rsidRPr="00051FD3">
              <w:rPr>
                <w:color w:val="000000"/>
                <w:sz w:val="22"/>
                <w:szCs w:val="22"/>
                <w:lang w:eastAsia="en-GB"/>
              </w:rPr>
              <w:t>vaskulitas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77CE88E"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DF28082"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B38A483" w14:textId="7B5F5264" w:rsidR="00775E26" w:rsidRPr="00051FD3" w:rsidRDefault="00862996" w:rsidP="00E93540">
            <w:pPr>
              <w:keepNext/>
              <w:rPr>
                <w:color w:val="000000"/>
                <w:sz w:val="22"/>
                <w:szCs w:val="22"/>
                <w:lang w:eastAsia="en-GB"/>
              </w:rPr>
            </w:pPr>
            <w:r w:rsidRPr="00051FD3">
              <w:rPr>
                <w:color w:val="000000"/>
                <w:sz w:val="22"/>
                <w:szCs w:val="22"/>
                <w:lang w:eastAsia="en-GB"/>
              </w:rPr>
              <w:t>Labai retas</w:t>
            </w:r>
          </w:p>
        </w:tc>
      </w:tr>
      <w:tr w:rsidR="00387073" w:rsidRPr="00051FD3" w14:paraId="312C30B5"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65345B12" w14:textId="1C1189CB" w:rsidR="00775E26" w:rsidRPr="00051FD3" w:rsidRDefault="00EC6A3C" w:rsidP="00B5059E">
            <w:pPr>
              <w:rPr>
                <w:b/>
                <w:bCs/>
                <w:color w:val="000000"/>
                <w:sz w:val="22"/>
                <w:szCs w:val="22"/>
                <w:lang w:eastAsia="en-GB"/>
              </w:rPr>
            </w:pPr>
            <w:r w:rsidRPr="00051FD3">
              <w:rPr>
                <w:b/>
                <w:bCs/>
                <w:color w:val="000000"/>
                <w:sz w:val="22"/>
                <w:szCs w:val="22"/>
                <w:lang w:eastAsia="en-GB"/>
              </w:rPr>
              <w:t xml:space="preserve">Kvėpavimo sistemos, krūtinės ląstos ir tarpuplaučio </w:t>
            </w:r>
            <w:proofErr w:type="spellStart"/>
            <w:r w:rsidRPr="00051FD3">
              <w:rPr>
                <w:b/>
                <w:bCs/>
                <w:color w:val="000000"/>
                <w:sz w:val="22"/>
                <w:szCs w:val="22"/>
                <w:lang w:eastAsia="en-GB"/>
              </w:rPr>
              <w:t>sutruikimai</w:t>
            </w:r>
            <w:proofErr w:type="spellEnd"/>
          </w:p>
        </w:tc>
        <w:tc>
          <w:tcPr>
            <w:tcW w:w="2412" w:type="dxa"/>
            <w:tcBorders>
              <w:top w:val="single" w:sz="4" w:space="0" w:color="auto"/>
              <w:left w:val="single" w:sz="4" w:space="0" w:color="auto"/>
              <w:bottom w:val="single" w:sz="4" w:space="0" w:color="auto"/>
              <w:right w:val="single" w:sz="4" w:space="0" w:color="auto"/>
            </w:tcBorders>
            <w:hideMark/>
          </w:tcPr>
          <w:p w14:paraId="2496A98B" w14:textId="256A0483" w:rsidR="00775E26" w:rsidRPr="00051FD3" w:rsidRDefault="00B5059E" w:rsidP="00B5059E">
            <w:pPr>
              <w:rPr>
                <w:color w:val="000000"/>
                <w:sz w:val="22"/>
                <w:szCs w:val="22"/>
                <w:lang w:eastAsia="en-GB"/>
              </w:rPr>
            </w:pPr>
            <w:r w:rsidRPr="00051FD3">
              <w:rPr>
                <w:color w:val="000000"/>
                <w:sz w:val="22"/>
                <w:szCs w:val="22"/>
                <w:lang w:eastAsia="en-GB"/>
              </w:rPr>
              <w:t>Dusulys</w:t>
            </w:r>
          </w:p>
        </w:tc>
        <w:tc>
          <w:tcPr>
            <w:tcW w:w="1701" w:type="dxa"/>
            <w:tcBorders>
              <w:top w:val="single" w:sz="4" w:space="0" w:color="auto"/>
              <w:left w:val="single" w:sz="4" w:space="0" w:color="auto"/>
              <w:bottom w:val="single" w:sz="4" w:space="0" w:color="auto"/>
              <w:right w:val="single" w:sz="4" w:space="0" w:color="auto"/>
            </w:tcBorders>
            <w:hideMark/>
          </w:tcPr>
          <w:p w14:paraId="42F2F178" w14:textId="0726BAF1" w:rsidR="00775E26" w:rsidRPr="00051FD3" w:rsidRDefault="00862996" w:rsidP="00B5059E">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7D26565E" w14:textId="60DA8B79" w:rsidR="00775E26" w:rsidRPr="00051FD3" w:rsidRDefault="00862996" w:rsidP="00B5059E">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42CC42D1" w14:textId="77777777" w:rsidR="00775E26" w:rsidRPr="00051FD3" w:rsidRDefault="00775E26" w:rsidP="00B5059E">
            <w:pPr>
              <w:rPr>
                <w:color w:val="000000"/>
                <w:sz w:val="22"/>
                <w:szCs w:val="22"/>
                <w:lang w:eastAsia="en-GB"/>
              </w:rPr>
            </w:pPr>
          </w:p>
        </w:tc>
      </w:tr>
      <w:tr w:rsidR="00862996" w:rsidRPr="00051FD3" w14:paraId="350B4297" w14:textId="77777777" w:rsidTr="00FA4E83">
        <w:trPr>
          <w:trHeight w:val="289"/>
          <w:jc w:val="center"/>
        </w:trPr>
        <w:tc>
          <w:tcPr>
            <w:tcW w:w="1836" w:type="dxa"/>
            <w:vMerge/>
            <w:tcBorders>
              <w:left w:val="single" w:sz="4" w:space="0" w:color="auto"/>
              <w:right w:val="single" w:sz="4" w:space="0" w:color="auto"/>
            </w:tcBorders>
            <w:hideMark/>
          </w:tcPr>
          <w:p w14:paraId="07554EFF"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EC44BCC" w14:textId="4AB71A77" w:rsidR="00862996" w:rsidRPr="00051FD3" w:rsidRDefault="00862996" w:rsidP="00862996">
            <w:pPr>
              <w:rPr>
                <w:color w:val="000000"/>
                <w:sz w:val="22"/>
                <w:szCs w:val="22"/>
                <w:lang w:eastAsia="en-GB"/>
              </w:rPr>
            </w:pPr>
            <w:r w:rsidRPr="00051FD3">
              <w:rPr>
                <w:color w:val="000000"/>
                <w:sz w:val="22"/>
                <w:szCs w:val="22"/>
                <w:lang w:eastAsia="en-GB"/>
              </w:rPr>
              <w:t xml:space="preserve">Kvėpavimo </w:t>
            </w:r>
            <w:proofErr w:type="spellStart"/>
            <w:r w:rsidRPr="00051FD3">
              <w:rPr>
                <w:color w:val="000000"/>
                <w:sz w:val="22"/>
                <w:szCs w:val="22"/>
                <w:lang w:eastAsia="en-GB"/>
              </w:rPr>
              <w:t>distresas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B9CD607" w14:textId="492C0454"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4ACBD3BD" w14:textId="77777777" w:rsidR="00862996" w:rsidRPr="00051FD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886C39E" w14:textId="5041EEB3" w:rsidR="00862996" w:rsidRPr="00051FD3" w:rsidRDefault="00862996" w:rsidP="00862996">
            <w:pPr>
              <w:rPr>
                <w:color w:val="000000"/>
                <w:sz w:val="22"/>
                <w:szCs w:val="22"/>
                <w:lang w:eastAsia="en-GB"/>
              </w:rPr>
            </w:pPr>
            <w:r w:rsidRPr="00051FD3">
              <w:rPr>
                <w:color w:val="000000"/>
                <w:sz w:val="22"/>
                <w:szCs w:val="22"/>
                <w:lang w:eastAsia="en-GB"/>
              </w:rPr>
              <w:t>Labai retas</w:t>
            </w:r>
          </w:p>
        </w:tc>
      </w:tr>
      <w:tr w:rsidR="00862996" w:rsidRPr="00051FD3" w14:paraId="2D8F3D1A" w14:textId="77777777" w:rsidTr="00FA4E83">
        <w:trPr>
          <w:trHeight w:val="289"/>
          <w:jc w:val="center"/>
        </w:trPr>
        <w:tc>
          <w:tcPr>
            <w:tcW w:w="1836" w:type="dxa"/>
            <w:vMerge/>
            <w:tcBorders>
              <w:left w:val="single" w:sz="4" w:space="0" w:color="auto"/>
              <w:right w:val="single" w:sz="4" w:space="0" w:color="auto"/>
            </w:tcBorders>
          </w:tcPr>
          <w:p w14:paraId="0C066B8F"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6D58F21C" w14:textId="3931A016" w:rsidR="00862996" w:rsidRPr="00051FD3" w:rsidRDefault="00862996" w:rsidP="00862996">
            <w:pPr>
              <w:rPr>
                <w:color w:val="000000"/>
                <w:sz w:val="22"/>
                <w:szCs w:val="22"/>
                <w:lang w:eastAsia="en-GB"/>
              </w:rPr>
            </w:pPr>
            <w:proofErr w:type="spellStart"/>
            <w:r w:rsidRPr="00051FD3">
              <w:rPr>
                <w:color w:val="000000"/>
                <w:sz w:val="22"/>
                <w:szCs w:val="22"/>
                <w:lang w:eastAsia="en-GB"/>
              </w:rPr>
              <w:t>Pneumonitas</w:t>
            </w:r>
            <w:proofErr w:type="spellEnd"/>
          </w:p>
        </w:tc>
        <w:tc>
          <w:tcPr>
            <w:tcW w:w="1701" w:type="dxa"/>
            <w:tcBorders>
              <w:top w:val="single" w:sz="4" w:space="0" w:color="auto"/>
              <w:left w:val="single" w:sz="4" w:space="0" w:color="auto"/>
              <w:bottom w:val="single" w:sz="4" w:space="0" w:color="auto"/>
              <w:right w:val="single" w:sz="4" w:space="0" w:color="auto"/>
            </w:tcBorders>
          </w:tcPr>
          <w:p w14:paraId="084D1FF9" w14:textId="283C0B94"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tcPr>
          <w:p w14:paraId="11D05A6B" w14:textId="77777777" w:rsidR="00862996" w:rsidRPr="00051FD3" w:rsidRDefault="00862996" w:rsidP="00862996">
            <w:pPr>
              <w:rPr>
                <w:color w:val="000000"/>
                <w:sz w:val="22"/>
                <w:szCs w:val="22"/>
                <w:highlight w:val="yellow"/>
                <w:lang w:eastAsia="en-GB"/>
              </w:rPr>
            </w:pPr>
          </w:p>
        </w:tc>
        <w:tc>
          <w:tcPr>
            <w:tcW w:w="1843" w:type="dxa"/>
            <w:tcBorders>
              <w:top w:val="single" w:sz="4" w:space="0" w:color="auto"/>
              <w:left w:val="single" w:sz="4" w:space="0" w:color="auto"/>
              <w:bottom w:val="single" w:sz="4" w:space="0" w:color="auto"/>
              <w:right w:val="single" w:sz="4" w:space="0" w:color="auto"/>
            </w:tcBorders>
          </w:tcPr>
          <w:p w14:paraId="01296EE0" w14:textId="1CFB82F2" w:rsidR="00862996" w:rsidRPr="00051FD3" w:rsidRDefault="00862996" w:rsidP="00862996">
            <w:pPr>
              <w:rPr>
                <w:color w:val="000000"/>
                <w:sz w:val="22"/>
                <w:szCs w:val="22"/>
                <w:highlight w:val="yellow"/>
                <w:lang w:eastAsia="en-GB"/>
              </w:rPr>
            </w:pPr>
            <w:r w:rsidRPr="00051FD3">
              <w:rPr>
                <w:color w:val="000000"/>
                <w:sz w:val="22"/>
                <w:szCs w:val="22"/>
                <w:lang w:eastAsia="en-GB"/>
              </w:rPr>
              <w:t>Labai retas</w:t>
            </w:r>
          </w:p>
        </w:tc>
      </w:tr>
      <w:tr w:rsidR="00862996" w:rsidRPr="00051FD3" w14:paraId="62FB7181" w14:textId="77777777" w:rsidTr="00FA4E83">
        <w:trPr>
          <w:trHeight w:val="289"/>
          <w:jc w:val="center"/>
        </w:trPr>
        <w:tc>
          <w:tcPr>
            <w:tcW w:w="1836" w:type="dxa"/>
            <w:vMerge/>
            <w:tcBorders>
              <w:left w:val="single" w:sz="4" w:space="0" w:color="auto"/>
              <w:right w:val="single" w:sz="4" w:space="0" w:color="auto"/>
            </w:tcBorders>
          </w:tcPr>
          <w:p w14:paraId="6B27CAFC"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70A32842" w14:textId="0D7135D5" w:rsidR="00862996" w:rsidRPr="00051FD3" w:rsidRDefault="00862996" w:rsidP="00862996">
            <w:pPr>
              <w:rPr>
                <w:color w:val="000000"/>
                <w:sz w:val="22"/>
                <w:szCs w:val="22"/>
                <w:lang w:eastAsia="en-GB"/>
              </w:rPr>
            </w:pPr>
            <w:r w:rsidRPr="00051FD3">
              <w:rPr>
                <w:color w:val="000000"/>
                <w:sz w:val="22"/>
                <w:szCs w:val="22"/>
                <w:lang w:eastAsia="en-GB"/>
              </w:rPr>
              <w:t>Plaučių edema</w:t>
            </w:r>
          </w:p>
        </w:tc>
        <w:tc>
          <w:tcPr>
            <w:tcW w:w="1701" w:type="dxa"/>
            <w:tcBorders>
              <w:top w:val="single" w:sz="4" w:space="0" w:color="auto"/>
              <w:left w:val="single" w:sz="4" w:space="0" w:color="auto"/>
              <w:bottom w:val="single" w:sz="4" w:space="0" w:color="auto"/>
              <w:right w:val="single" w:sz="4" w:space="0" w:color="auto"/>
            </w:tcBorders>
          </w:tcPr>
          <w:p w14:paraId="3E4C5434" w14:textId="4670E4EB"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tcPr>
          <w:p w14:paraId="11471BD8" w14:textId="77777777" w:rsidR="00862996" w:rsidRPr="00051FD3" w:rsidRDefault="00862996" w:rsidP="00862996">
            <w:pPr>
              <w:rPr>
                <w:color w:val="000000"/>
                <w:sz w:val="22"/>
                <w:szCs w:val="22"/>
                <w:highlight w:val="yellow"/>
                <w:lang w:eastAsia="en-GB"/>
              </w:rPr>
            </w:pPr>
          </w:p>
        </w:tc>
        <w:tc>
          <w:tcPr>
            <w:tcW w:w="1843" w:type="dxa"/>
            <w:tcBorders>
              <w:top w:val="single" w:sz="4" w:space="0" w:color="auto"/>
              <w:left w:val="single" w:sz="4" w:space="0" w:color="auto"/>
              <w:bottom w:val="single" w:sz="4" w:space="0" w:color="auto"/>
              <w:right w:val="single" w:sz="4" w:space="0" w:color="auto"/>
            </w:tcBorders>
          </w:tcPr>
          <w:p w14:paraId="7003F5D9" w14:textId="31A33CBD" w:rsidR="00862996" w:rsidRPr="00051FD3" w:rsidRDefault="00862996" w:rsidP="00862996">
            <w:pPr>
              <w:rPr>
                <w:color w:val="000000"/>
                <w:sz w:val="22"/>
                <w:szCs w:val="22"/>
                <w:highlight w:val="yellow"/>
                <w:lang w:eastAsia="en-GB"/>
              </w:rPr>
            </w:pPr>
            <w:r w:rsidRPr="00051FD3">
              <w:rPr>
                <w:color w:val="000000"/>
                <w:sz w:val="22"/>
                <w:szCs w:val="22"/>
                <w:lang w:eastAsia="en-GB"/>
              </w:rPr>
              <w:t>Labai retas</w:t>
            </w:r>
          </w:p>
        </w:tc>
      </w:tr>
      <w:tr w:rsidR="00387073" w:rsidRPr="00051FD3" w14:paraId="0E2807B7" w14:textId="77777777" w:rsidTr="00FA4E83">
        <w:trPr>
          <w:trHeight w:val="289"/>
          <w:jc w:val="center"/>
        </w:trPr>
        <w:tc>
          <w:tcPr>
            <w:tcW w:w="1836" w:type="dxa"/>
            <w:vMerge/>
            <w:tcBorders>
              <w:left w:val="single" w:sz="4" w:space="0" w:color="auto"/>
              <w:right w:val="single" w:sz="4" w:space="0" w:color="auto"/>
            </w:tcBorders>
            <w:hideMark/>
          </w:tcPr>
          <w:p w14:paraId="633E3C73"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5A1F8C4" w14:textId="6813931F" w:rsidR="00775E26" w:rsidRPr="00051FD3" w:rsidRDefault="00B5059E" w:rsidP="00B5059E">
            <w:pPr>
              <w:rPr>
                <w:color w:val="000000"/>
                <w:sz w:val="22"/>
                <w:szCs w:val="22"/>
                <w:lang w:eastAsia="en-GB"/>
              </w:rPr>
            </w:pPr>
            <w:r w:rsidRPr="00051FD3">
              <w:rPr>
                <w:color w:val="000000"/>
                <w:sz w:val="22"/>
                <w:szCs w:val="22"/>
                <w:lang w:eastAsia="en-GB"/>
              </w:rPr>
              <w:t>Kosulys</w:t>
            </w:r>
          </w:p>
        </w:tc>
        <w:tc>
          <w:tcPr>
            <w:tcW w:w="1701" w:type="dxa"/>
            <w:tcBorders>
              <w:top w:val="single" w:sz="4" w:space="0" w:color="auto"/>
              <w:left w:val="single" w:sz="4" w:space="0" w:color="auto"/>
              <w:bottom w:val="single" w:sz="4" w:space="0" w:color="auto"/>
              <w:right w:val="single" w:sz="4" w:space="0" w:color="auto"/>
            </w:tcBorders>
            <w:hideMark/>
          </w:tcPr>
          <w:p w14:paraId="11D1741D"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2B602825" w14:textId="108859F5" w:rsidR="00775E26" w:rsidRPr="00051FD3" w:rsidRDefault="00862996" w:rsidP="00B5059E">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22F0E258" w14:textId="77777777" w:rsidR="00775E26" w:rsidRPr="00051FD3" w:rsidRDefault="00775E26" w:rsidP="00B5059E">
            <w:pPr>
              <w:rPr>
                <w:color w:val="000000"/>
                <w:sz w:val="22"/>
                <w:szCs w:val="22"/>
                <w:lang w:eastAsia="en-GB"/>
              </w:rPr>
            </w:pPr>
          </w:p>
        </w:tc>
      </w:tr>
      <w:tr w:rsidR="00387073" w:rsidRPr="00051FD3" w14:paraId="6DFC3D89" w14:textId="77777777" w:rsidTr="00FA4E83">
        <w:trPr>
          <w:trHeight w:val="289"/>
          <w:jc w:val="center"/>
        </w:trPr>
        <w:tc>
          <w:tcPr>
            <w:tcW w:w="1836" w:type="dxa"/>
            <w:vMerge/>
            <w:tcBorders>
              <w:left w:val="single" w:sz="4" w:space="0" w:color="auto"/>
              <w:right w:val="single" w:sz="4" w:space="0" w:color="auto"/>
            </w:tcBorders>
            <w:hideMark/>
          </w:tcPr>
          <w:p w14:paraId="30BC9E5F" w14:textId="77777777" w:rsidR="00775E26" w:rsidRPr="00051FD3" w:rsidRDefault="00775E26" w:rsidP="00B5059E">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4F146067" w14:textId="03701FB3" w:rsidR="00775E26" w:rsidRPr="00051FD3" w:rsidRDefault="00B5059E" w:rsidP="00B5059E">
            <w:pPr>
              <w:rPr>
                <w:color w:val="000000"/>
                <w:sz w:val="22"/>
                <w:szCs w:val="22"/>
                <w:lang w:eastAsia="en-GB"/>
              </w:rPr>
            </w:pPr>
            <w:proofErr w:type="spellStart"/>
            <w:r w:rsidRPr="00051FD3">
              <w:rPr>
                <w:color w:val="000000"/>
                <w:sz w:val="22"/>
                <w:szCs w:val="22"/>
                <w:lang w:eastAsia="en-GB"/>
              </w:rPr>
              <w:t>Intersticinė</w:t>
            </w:r>
            <w:proofErr w:type="spellEnd"/>
            <w:r w:rsidRPr="00051FD3">
              <w:rPr>
                <w:color w:val="000000"/>
                <w:sz w:val="22"/>
                <w:szCs w:val="22"/>
                <w:lang w:eastAsia="en-GB"/>
              </w:rPr>
              <w:t xml:space="preserve"> plaučių liga</w:t>
            </w:r>
          </w:p>
        </w:tc>
        <w:tc>
          <w:tcPr>
            <w:tcW w:w="1701" w:type="dxa"/>
            <w:tcBorders>
              <w:top w:val="single" w:sz="4" w:space="0" w:color="auto"/>
              <w:left w:val="single" w:sz="4" w:space="0" w:color="auto"/>
              <w:bottom w:val="single" w:sz="4" w:space="0" w:color="auto"/>
              <w:right w:val="single" w:sz="4" w:space="0" w:color="auto"/>
            </w:tcBorders>
            <w:hideMark/>
          </w:tcPr>
          <w:p w14:paraId="5BC32A9B"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9465851" w14:textId="4A2D3C37" w:rsidR="00775E26" w:rsidRPr="00051FD3" w:rsidRDefault="00862996" w:rsidP="00E93540">
            <w:pPr>
              <w:keepNext/>
              <w:rPr>
                <w:color w:val="000000"/>
                <w:sz w:val="22"/>
                <w:szCs w:val="22"/>
                <w:lang w:eastAsia="en-GB"/>
              </w:rPr>
            </w:pPr>
            <w:r w:rsidRPr="00051FD3">
              <w:rPr>
                <w:color w:val="000000"/>
                <w:sz w:val="22"/>
                <w:szCs w:val="22"/>
                <w:lang w:eastAsia="en-GB"/>
              </w:rPr>
              <w:t>Labai retas</w:t>
            </w:r>
            <w:r w:rsidR="00E93540" w:rsidRPr="00051FD3">
              <w:rPr>
                <w:color w:val="000000"/>
                <w:sz w:val="22"/>
                <w:szCs w:val="22"/>
                <w:vertAlign w:val="superscript"/>
                <w:lang w:eastAsia="en-GB"/>
              </w:rPr>
              <w:t>1</w:t>
            </w:r>
            <w:r w:rsidR="00775E26" w:rsidRPr="00051FD3">
              <w:rPr>
                <w:color w:val="000000"/>
                <w:sz w:val="22"/>
                <w:szCs w:val="22"/>
                <w:vertAlign w:val="superscript"/>
                <w:lang w:eastAsia="en-GB"/>
              </w:rPr>
              <w:t>,2</w:t>
            </w:r>
          </w:p>
        </w:tc>
        <w:tc>
          <w:tcPr>
            <w:tcW w:w="1843" w:type="dxa"/>
            <w:tcBorders>
              <w:top w:val="single" w:sz="4" w:space="0" w:color="auto"/>
              <w:left w:val="single" w:sz="4" w:space="0" w:color="auto"/>
              <w:bottom w:val="single" w:sz="4" w:space="0" w:color="auto"/>
              <w:right w:val="single" w:sz="4" w:space="0" w:color="auto"/>
            </w:tcBorders>
            <w:hideMark/>
          </w:tcPr>
          <w:p w14:paraId="4AB71DBA" w14:textId="77777777" w:rsidR="00775E26" w:rsidRPr="00051FD3" w:rsidRDefault="00775E26" w:rsidP="00B5059E">
            <w:pPr>
              <w:rPr>
                <w:color w:val="000000"/>
                <w:sz w:val="22"/>
                <w:szCs w:val="22"/>
                <w:lang w:eastAsia="en-GB"/>
              </w:rPr>
            </w:pPr>
          </w:p>
        </w:tc>
      </w:tr>
      <w:tr w:rsidR="00387073" w:rsidRPr="00051FD3" w14:paraId="6870C4FF"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00D1B03A" w14:textId="77777777" w:rsidR="00775E26" w:rsidRPr="00051FD3" w:rsidRDefault="00775E26" w:rsidP="00B5059E">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CCA3A73" w14:textId="77777777" w:rsidR="00B5059E" w:rsidRPr="00051FD3" w:rsidRDefault="00B5059E" w:rsidP="00B5059E">
            <w:pPr>
              <w:rPr>
                <w:color w:val="000000"/>
                <w:sz w:val="22"/>
                <w:szCs w:val="22"/>
                <w:lang w:eastAsia="en-GB"/>
              </w:rPr>
            </w:pPr>
            <w:r w:rsidRPr="00051FD3">
              <w:rPr>
                <w:color w:val="000000"/>
                <w:sz w:val="22"/>
                <w:szCs w:val="22"/>
                <w:lang w:eastAsia="en-GB"/>
              </w:rPr>
              <w:t>Ūminis kvėpavimo sutrikimo sindromas (ŪKSS)</w:t>
            </w:r>
          </w:p>
          <w:p w14:paraId="622A1257" w14:textId="153105AD" w:rsidR="00775E26" w:rsidRPr="00051FD3" w:rsidRDefault="00B5059E" w:rsidP="00B5059E">
            <w:pPr>
              <w:rPr>
                <w:color w:val="000000"/>
                <w:sz w:val="22"/>
                <w:szCs w:val="22"/>
                <w:lang w:eastAsia="en-GB"/>
              </w:rPr>
            </w:pPr>
            <w:r w:rsidRPr="00051FD3">
              <w:rPr>
                <w:color w:val="000000"/>
                <w:sz w:val="22"/>
                <w:szCs w:val="22"/>
                <w:lang w:eastAsia="en-GB"/>
              </w:rPr>
              <w:t>(žr. 4.4 skyrių)</w:t>
            </w:r>
          </w:p>
        </w:tc>
        <w:tc>
          <w:tcPr>
            <w:tcW w:w="1701" w:type="dxa"/>
            <w:tcBorders>
              <w:top w:val="single" w:sz="4" w:space="0" w:color="auto"/>
              <w:left w:val="single" w:sz="4" w:space="0" w:color="auto"/>
              <w:bottom w:val="single" w:sz="4" w:space="0" w:color="auto"/>
              <w:right w:val="single" w:sz="4" w:space="0" w:color="auto"/>
            </w:tcBorders>
            <w:hideMark/>
          </w:tcPr>
          <w:p w14:paraId="030E8BD5"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0171BAE"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718DCFFB" w14:textId="208D789F" w:rsidR="00775E26" w:rsidRPr="00051FD3" w:rsidRDefault="00862996" w:rsidP="00E93540">
            <w:pPr>
              <w:keepNext/>
              <w:rPr>
                <w:color w:val="000000"/>
                <w:sz w:val="22"/>
                <w:szCs w:val="22"/>
                <w:lang w:eastAsia="en-GB"/>
              </w:rPr>
            </w:pPr>
            <w:r w:rsidRPr="00051FD3">
              <w:rPr>
                <w:color w:val="000000"/>
                <w:sz w:val="22"/>
                <w:szCs w:val="22"/>
                <w:lang w:eastAsia="en-GB"/>
              </w:rPr>
              <w:t>Labai retas</w:t>
            </w:r>
          </w:p>
        </w:tc>
      </w:tr>
      <w:tr w:rsidR="00862996" w:rsidRPr="00051FD3" w14:paraId="63AAFD57"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49424B5E" w14:textId="7EF6C3AD" w:rsidR="00862996" w:rsidRPr="00051FD3" w:rsidRDefault="00862996" w:rsidP="00862996">
            <w:pPr>
              <w:rPr>
                <w:b/>
                <w:bCs/>
                <w:color w:val="000000"/>
                <w:sz w:val="22"/>
                <w:szCs w:val="22"/>
                <w:lang w:eastAsia="en-GB"/>
              </w:rPr>
            </w:pPr>
            <w:r w:rsidRPr="00051FD3">
              <w:rPr>
                <w:b/>
                <w:bCs/>
                <w:color w:val="000000"/>
                <w:sz w:val="22"/>
                <w:szCs w:val="22"/>
                <w:lang w:eastAsia="en-GB"/>
              </w:rPr>
              <w:t>Virškinimo trakto sutrikimai</w:t>
            </w:r>
          </w:p>
        </w:tc>
        <w:tc>
          <w:tcPr>
            <w:tcW w:w="2412" w:type="dxa"/>
            <w:tcBorders>
              <w:top w:val="single" w:sz="4" w:space="0" w:color="auto"/>
              <w:left w:val="single" w:sz="4" w:space="0" w:color="auto"/>
              <w:bottom w:val="single" w:sz="4" w:space="0" w:color="auto"/>
              <w:right w:val="single" w:sz="4" w:space="0" w:color="auto"/>
            </w:tcBorders>
            <w:hideMark/>
          </w:tcPr>
          <w:p w14:paraId="0F524219" w14:textId="260E23F3" w:rsidR="00862996" w:rsidRPr="00051FD3" w:rsidRDefault="00862996" w:rsidP="00862996">
            <w:pPr>
              <w:rPr>
                <w:color w:val="000000"/>
                <w:sz w:val="22"/>
                <w:szCs w:val="22"/>
                <w:lang w:eastAsia="en-GB"/>
              </w:rPr>
            </w:pPr>
            <w:r w:rsidRPr="00051FD3">
              <w:rPr>
                <w:color w:val="000000"/>
                <w:sz w:val="22"/>
                <w:szCs w:val="22"/>
                <w:lang w:eastAsia="en-GB"/>
              </w:rPr>
              <w:t>Viduriavimas</w:t>
            </w:r>
          </w:p>
        </w:tc>
        <w:tc>
          <w:tcPr>
            <w:tcW w:w="1701" w:type="dxa"/>
            <w:tcBorders>
              <w:top w:val="single" w:sz="4" w:space="0" w:color="auto"/>
              <w:left w:val="single" w:sz="4" w:space="0" w:color="auto"/>
              <w:bottom w:val="single" w:sz="4" w:space="0" w:color="auto"/>
              <w:right w:val="single" w:sz="4" w:space="0" w:color="auto"/>
            </w:tcBorders>
            <w:hideMark/>
          </w:tcPr>
          <w:p w14:paraId="61BE709A" w14:textId="2AE4D7BB"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61F2B4A3" w14:textId="39F7F0AA"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3708B23F" w14:textId="6B04381D" w:rsidR="00862996" w:rsidRPr="00051FD3" w:rsidRDefault="00862996" w:rsidP="00862996">
            <w:pPr>
              <w:rPr>
                <w:color w:val="000000"/>
                <w:sz w:val="22"/>
                <w:szCs w:val="22"/>
                <w:lang w:eastAsia="en-GB"/>
              </w:rPr>
            </w:pPr>
            <w:r w:rsidRPr="00051FD3">
              <w:rPr>
                <w:sz w:val="22"/>
                <w:szCs w:val="22"/>
                <w:lang w:eastAsia="en-GB"/>
              </w:rPr>
              <w:t>Dažnas</w:t>
            </w:r>
          </w:p>
        </w:tc>
      </w:tr>
      <w:tr w:rsidR="00862996" w:rsidRPr="00051FD3" w14:paraId="7550602B" w14:textId="77777777" w:rsidTr="00FA4E83">
        <w:trPr>
          <w:trHeight w:val="289"/>
          <w:jc w:val="center"/>
        </w:trPr>
        <w:tc>
          <w:tcPr>
            <w:tcW w:w="1836" w:type="dxa"/>
            <w:vMerge/>
            <w:tcBorders>
              <w:left w:val="single" w:sz="4" w:space="0" w:color="auto"/>
              <w:right w:val="single" w:sz="4" w:space="0" w:color="auto"/>
            </w:tcBorders>
            <w:hideMark/>
          </w:tcPr>
          <w:p w14:paraId="31C5E65F"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0239658" w14:textId="0B44A6AB" w:rsidR="00862996" w:rsidRPr="00051FD3" w:rsidRDefault="00862996" w:rsidP="00862996">
            <w:pPr>
              <w:rPr>
                <w:color w:val="000000"/>
                <w:sz w:val="22"/>
                <w:szCs w:val="22"/>
                <w:lang w:eastAsia="en-GB"/>
              </w:rPr>
            </w:pPr>
            <w:r w:rsidRPr="00051FD3">
              <w:rPr>
                <w:color w:val="000000"/>
                <w:sz w:val="22"/>
                <w:szCs w:val="22"/>
                <w:lang w:eastAsia="en-GB"/>
              </w:rPr>
              <w:t>Burnos džiūvimas</w:t>
            </w:r>
          </w:p>
        </w:tc>
        <w:tc>
          <w:tcPr>
            <w:tcW w:w="1701" w:type="dxa"/>
            <w:tcBorders>
              <w:top w:val="single" w:sz="4" w:space="0" w:color="auto"/>
              <w:left w:val="single" w:sz="4" w:space="0" w:color="auto"/>
              <w:bottom w:val="single" w:sz="4" w:space="0" w:color="auto"/>
              <w:right w:val="single" w:sz="4" w:space="0" w:color="auto"/>
            </w:tcBorders>
            <w:hideMark/>
          </w:tcPr>
          <w:p w14:paraId="404B5A8D" w14:textId="0EE7E4C2"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25DDAFFC" w14:textId="0B1CC472"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44B52B71" w14:textId="77777777" w:rsidR="00862996" w:rsidRPr="00051FD3" w:rsidRDefault="00862996" w:rsidP="00862996">
            <w:pPr>
              <w:rPr>
                <w:color w:val="000000"/>
                <w:sz w:val="22"/>
                <w:szCs w:val="22"/>
                <w:lang w:eastAsia="en-GB"/>
              </w:rPr>
            </w:pPr>
          </w:p>
        </w:tc>
      </w:tr>
      <w:tr w:rsidR="00862996" w:rsidRPr="00051FD3" w14:paraId="1FD4D4D8" w14:textId="77777777" w:rsidTr="00FA4E83">
        <w:trPr>
          <w:trHeight w:val="289"/>
          <w:jc w:val="center"/>
        </w:trPr>
        <w:tc>
          <w:tcPr>
            <w:tcW w:w="1836" w:type="dxa"/>
            <w:vMerge/>
            <w:tcBorders>
              <w:left w:val="single" w:sz="4" w:space="0" w:color="auto"/>
              <w:right w:val="single" w:sz="4" w:space="0" w:color="auto"/>
            </w:tcBorders>
            <w:hideMark/>
          </w:tcPr>
          <w:p w14:paraId="278654D3"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770D839" w14:textId="7C5079AA" w:rsidR="00862996" w:rsidRPr="00051FD3" w:rsidRDefault="00862996" w:rsidP="00862996">
            <w:pPr>
              <w:rPr>
                <w:color w:val="000000"/>
                <w:sz w:val="22"/>
                <w:szCs w:val="22"/>
                <w:lang w:eastAsia="en-GB"/>
              </w:rPr>
            </w:pPr>
            <w:proofErr w:type="spellStart"/>
            <w:r w:rsidRPr="00051FD3">
              <w:rPr>
                <w:color w:val="000000"/>
                <w:sz w:val="22"/>
                <w:szCs w:val="22"/>
                <w:lang w:eastAsia="en-GB"/>
              </w:rPr>
              <w:t>Meteorizmas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F23FE09" w14:textId="30CE0E22"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52D59EB9" w14:textId="4DE8AF97"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6836F7FF" w14:textId="77777777" w:rsidR="00862996" w:rsidRPr="00051FD3" w:rsidRDefault="00862996" w:rsidP="00862996">
            <w:pPr>
              <w:rPr>
                <w:color w:val="000000"/>
                <w:sz w:val="22"/>
                <w:szCs w:val="22"/>
                <w:lang w:eastAsia="en-GB"/>
              </w:rPr>
            </w:pPr>
          </w:p>
        </w:tc>
      </w:tr>
      <w:tr w:rsidR="00862996" w:rsidRPr="00051FD3" w14:paraId="22B8445C" w14:textId="77777777" w:rsidTr="00FA4E83">
        <w:trPr>
          <w:trHeight w:val="289"/>
          <w:jc w:val="center"/>
        </w:trPr>
        <w:tc>
          <w:tcPr>
            <w:tcW w:w="1836" w:type="dxa"/>
            <w:vMerge/>
            <w:tcBorders>
              <w:left w:val="single" w:sz="4" w:space="0" w:color="auto"/>
              <w:right w:val="single" w:sz="4" w:space="0" w:color="auto"/>
            </w:tcBorders>
            <w:hideMark/>
          </w:tcPr>
          <w:p w14:paraId="42F628D4"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788915FE" w14:textId="4C39D007" w:rsidR="00862996" w:rsidRPr="00051FD3" w:rsidRDefault="00862996" w:rsidP="00862996">
            <w:pPr>
              <w:rPr>
                <w:color w:val="000000"/>
                <w:sz w:val="22"/>
                <w:szCs w:val="22"/>
                <w:lang w:eastAsia="en-GB"/>
              </w:rPr>
            </w:pPr>
            <w:r w:rsidRPr="00051FD3">
              <w:rPr>
                <w:color w:val="000000"/>
                <w:sz w:val="22"/>
                <w:szCs w:val="22"/>
                <w:lang w:eastAsia="en-GB"/>
              </w:rPr>
              <w:t>Pilvo skausmas</w:t>
            </w:r>
          </w:p>
        </w:tc>
        <w:tc>
          <w:tcPr>
            <w:tcW w:w="1701" w:type="dxa"/>
            <w:tcBorders>
              <w:top w:val="single" w:sz="4" w:space="0" w:color="auto"/>
              <w:left w:val="single" w:sz="4" w:space="0" w:color="auto"/>
              <w:bottom w:val="single" w:sz="4" w:space="0" w:color="auto"/>
              <w:right w:val="single" w:sz="4" w:space="0" w:color="auto"/>
            </w:tcBorders>
            <w:hideMark/>
          </w:tcPr>
          <w:p w14:paraId="3E1DAE54" w14:textId="6034C79B"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13B5AC80" w14:textId="3F508B41"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3BA77820" w14:textId="77777777" w:rsidR="00862996" w:rsidRPr="00051FD3" w:rsidRDefault="00862996" w:rsidP="00862996">
            <w:pPr>
              <w:rPr>
                <w:color w:val="000000"/>
                <w:sz w:val="22"/>
                <w:szCs w:val="22"/>
                <w:lang w:eastAsia="en-GB"/>
              </w:rPr>
            </w:pPr>
          </w:p>
        </w:tc>
      </w:tr>
      <w:tr w:rsidR="00862996" w:rsidRPr="00051FD3" w14:paraId="4009C714" w14:textId="77777777" w:rsidTr="00FA4E83">
        <w:trPr>
          <w:trHeight w:val="289"/>
          <w:jc w:val="center"/>
        </w:trPr>
        <w:tc>
          <w:tcPr>
            <w:tcW w:w="1836" w:type="dxa"/>
            <w:vMerge/>
            <w:tcBorders>
              <w:left w:val="single" w:sz="4" w:space="0" w:color="auto"/>
              <w:right w:val="single" w:sz="4" w:space="0" w:color="auto"/>
            </w:tcBorders>
            <w:hideMark/>
          </w:tcPr>
          <w:p w14:paraId="12234402"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DF4B83F" w14:textId="56300BA3" w:rsidR="00862996" w:rsidRPr="00051FD3" w:rsidRDefault="00862996" w:rsidP="00862996">
            <w:pPr>
              <w:rPr>
                <w:color w:val="000000"/>
                <w:sz w:val="22"/>
                <w:szCs w:val="22"/>
                <w:lang w:eastAsia="en-GB"/>
              </w:rPr>
            </w:pPr>
            <w:r w:rsidRPr="00051FD3">
              <w:rPr>
                <w:color w:val="000000"/>
                <w:sz w:val="22"/>
                <w:szCs w:val="22"/>
                <w:lang w:eastAsia="en-GB"/>
              </w:rPr>
              <w:t>Vidurių užkietėjimas</w:t>
            </w:r>
          </w:p>
        </w:tc>
        <w:tc>
          <w:tcPr>
            <w:tcW w:w="1701" w:type="dxa"/>
            <w:tcBorders>
              <w:top w:val="single" w:sz="4" w:space="0" w:color="auto"/>
              <w:left w:val="single" w:sz="4" w:space="0" w:color="auto"/>
              <w:bottom w:val="single" w:sz="4" w:space="0" w:color="auto"/>
              <w:right w:val="single" w:sz="4" w:space="0" w:color="auto"/>
            </w:tcBorders>
            <w:hideMark/>
          </w:tcPr>
          <w:p w14:paraId="604D3994" w14:textId="4E66A51C"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0DA6C3CD" w14:textId="77777777" w:rsidR="00862996" w:rsidRPr="00051FD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1B24B90" w14:textId="6BED45CD" w:rsidR="00862996" w:rsidRPr="00051FD3" w:rsidRDefault="00862996" w:rsidP="00862996">
            <w:pPr>
              <w:rPr>
                <w:color w:val="000000"/>
                <w:sz w:val="22"/>
                <w:szCs w:val="22"/>
                <w:lang w:eastAsia="en-GB"/>
              </w:rPr>
            </w:pPr>
            <w:r w:rsidRPr="00051FD3">
              <w:rPr>
                <w:color w:val="000000"/>
                <w:sz w:val="22"/>
                <w:szCs w:val="22"/>
                <w:lang w:eastAsia="en-GB"/>
              </w:rPr>
              <w:t>Retas</w:t>
            </w:r>
          </w:p>
        </w:tc>
      </w:tr>
      <w:tr w:rsidR="00862996" w:rsidRPr="00051FD3" w14:paraId="2CC3567F" w14:textId="77777777" w:rsidTr="00FA4E83">
        <w:trPr>
          <w:trHeight w:val="289"/>
          <w:jc w:val="center"/>
        </w:trPr>
        <w:tc>
          <w:tcPr>
            <w:tcW w:w="1836" w:type="dxa"/>
            <w:vMerge/>
            <w:tcBorders>
              <w:left w:val="single" w:sz="4" w:space="0" w:color="auto"/>
              <w:right w:val="single" w:sz="4" w:space="0" w:color="auto"/>
            </w:tcBorders>
            <w:hideMark/>
          </w:tcPr>
          <w:p w14:paraId="52271618"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408769AA" w14:textId="598D7CD2" w:rsidR="00862996" w:rsidRPr="00051FD3" w:rsidRDefault="00862996" w:rsidP="00862996">
            <w:pPr>
              <w:rPr>
                <w:color w:val="000000"/>
                <w:sz w:val="22"/>
                <w:szCs w:val="22"/>
                <w:lang w:eastAsia="en-GB"/>
              </w:rPr>
            </w:pPr>
            <w:r w:rsidRPr="00051FD3">
              <w:rPr>
                <w:color w:val="000000"/>
                <w:sz w:val="22"/>
                <w:szCs w:val="22"/>
                <w:lang w:eastAsia="en-GB"/>
              </w:rPr>
              <w:t>Dispepsija</w:t>
            </w:r>
          </w:p>
        </w:tc>
        <w:tc>
          <w:tcPr>
            <w:tcW w:w="1701" w:type="dxa"/>
            <w:tcBorders>
              <w:top w:val="single" w:sz="4" w:space="0" w:color="auto"/>
              <w:left w:val="single" w:sz="4" w:space="0" w:color="auto"/>
              <w:bottom w:val="single" w:sz="4" w:space="0" w:color="auto"/>
              <w:right w:val="single" w:sz="4" w:space="0" w:color="auto"/>
            </w:tcBorders>
            <w:hideMark/>
          </w:tcPr>
          <w:p w14:paraId="25ED7B85" w14:textId="6B019BA7"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22A87236" w14:textId="2CE091C9"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333253BD" w14:textId="77777777" w:rsidR="00862996" w:rsidRPr="00051FD3" w:rsidRDefault="00862996" w:rsidP="00862996">
            <w:pPr>
              <w:rPr>
                <w:color w:val="000000"/>
                <w:sz w:val="22"/>
                <w:szCs w:val="22"/>
                <w:lang w:eastAsia="en-GB"/>
              </w:rPr>
            </w:pPr>
          </w:p>
        </w:tc>
      </w:tr>
      <w:tr w:rsidR="00862996" w:rsidRPr="00051FD3" w14:paraId="5B7C3613" w14:textId="77777777" w:rsidTr="00FA4E83">
        <w:trPr>
          <w:trHeight w:val="289"/>
          <w:jc w:val="center"/>
        </w:trPr>
        <w:tc>
          <w:tcPr>
            <w:tcW w:w="1836" w:type="dxa"/>
            <w:vMerge/>
            <w:tcBorders>
              <w:left w:val="single" w:sz="4" w:space="0" w:color="auto"/>
              <w:right w:val="single" w:sz="4" w:space="0" w:color="auto"/>
            </w:tcBorders>
            <w:hideMark/>
          </w:tcPr>
          <w:p w14:paraId="5CDA21FF"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7572800" w14:textId="6B6AEAD5" w:rsidR="00862996" w:rsidRPr="00051FD3" w:rsidRDefault="00862996" w:rsidP="00862996">
            <w:pPr>
              <w:rPr>
                <w:color w:val="000000"/>
                <w:sz w:val="22"/>
                <w:szCs w:val="22"/>
                <w:lang w:eastAsia="en-GB"/>
              </w:rPr>
            </w:pPr>
            <w:r w:rsidRPr="00051FD3">
              <w:rPr>
                <w:color w:val="000000"/>
                <w:sz w:val="22"/>
                <w:szCs w:val="22"/>
                <w:lang w:eastAsia="en-GB"/>
              </w:rPr>
              <w:t>Vėmimas</w:t>
            </w:r>
          </w:p>
        </w:tc>
        <w:tc>
          <w:tcPr>
            <w:tcW w:w="1701" w:type="dxa"/>
            <w:tcBorders>
              <w:top w:val="single" w:sz="4" w:space="0" w:color="auto"/>
              <w:left w:val="single" w:sz="4" w:space="0" w:color="auto"/>
              <w:bottom w:val="single" w:sz="4" w:space="0" w:color="auto"/>
              <w:right w:val="single" w:sz="4" w:space="0" w:color="auto"/>
            </w:tcBorders>
            <w:hideMark/>
          </w:tcPr>
          <w:p w14:paraId="25A66536" w14:textId="7549611E"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7B85A0F4" w14:textId="0CBA2B7B"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507CB6C3" w14:textId="278B286B" w:rsidR="00862996" w:rsidRPr="00051FD3" w:rsidRDefault="00862996" w:rsidP="00862996">
            <w:pPr>
              <w:rPr>
                <w:color w:val="000000"/>
                <w:sz w:val="22"/>
                <w:szCs w:val="22"/>
                <w:lang w:eastAsia="en-GB"/>
              </w:rPr>
            </w:pPr>
            <w:r w:rsidRPr="00051FD3">
              <w:rPr>
                <w:sz w:val="22"/>
                <w:szCs w:val="22"/>
                <w:lang w:eastAsia="en-GB"/>
              </w:rPr>
              <w:t>Dažnas</w:t>
            </w:r>
          </w:p>
        </w:tc>
      </w:tr>
      <w:tr w:rsidR="00862996" w:rsidRPr="00051FD3" w14:paraId="12BD345D" w14:textId="77777777" w:rsidTr="00FA4E83">
        <w:trPr>
          <w:trHeight w:val="289"/>
          <w:jc w:val="center"/>
        </w:trPr>
        <w:tc>
          <w:tcPr>
            <w:tcW w:w="1836" w:type="dxa"/>
            <w:vMerge/>
            <w:tcBorders>
              <w:left w:val="single" w:sz="4" w:space="0" w:color="auto"/>
              <w:right w:val="single" w:sz="4" w:space="0" w:color="auto"/>
            </w:tcBorders>
            <w:hideMark/>
          </w:tcPr>
          <w:p w14:paraId="47334B92"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5E7039F" w14:textId="45C0B788" w:rsidR="00862996" w:rsidRPr="00051FD3" w:rsidRDefault="00862996" w:rsidP="00862996">
            <w:pPr>
              <w:rPr>
                <w:color w:val="000000"/>
                <w:sz w:val="22"/>
                <w:szCs w:val="22"/>
                <w:lang w:eastAsia="en-GB"/>
              </w:rPr>
            </w:pPr>
            <w:r w:rsidRPr="00051FD3">
              <w:rPr>
                <w:color w:val="000000"/>
                <w:sz w:val="22"/>
                <w:szCs w:val="22"/>
                <w:lang w:eastAsia="en-GB"/>
              </w:rPr>
              <w:t>Gastritas</w:t>
            </w:r>
          </w:p>
        </w:tc>
        <w:tc>
          <w:tcPr>
            <w:tcW w:w="1701" w:type="dxa"/>
            <w:tcBorders>
              <w:top w:val="single" w:sz="4" w:space="0" w:color="auto"/>
              <w:left w:val="single" w:sz="4" w:space="0" w:color="auto"/>
              <w:bottom w:val="single" w:sz="4" w:space="0" w:color="auto"/>
              <w:right w:val="single" w:sz="4" w:space="0" w:color="auto"/>
            </w:tcBorders>
            <w:hideMark/>
          </w:tcPr>
          <w:p w14:paraId="5A82AD99" w14:textId="2B496593"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624AA152" w14:textId="77777777" w:rsidR="00862996" w:rsidRPr="00051FD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641B9F5A" w14:textId="77777777" w:rsidR="00862996" w:rsidRPr="00051FD3" w:rsidRDefault="00862996" w:rsidP="00862996">
            <w:pPr>
              <w:rPr>
                <w:sz w:val="22"/>
                <w:szCs w:val="22"/>
                <w:lang w:eastAsia="en-GB"/>
              </w:rPr>
            </w:pPr>
          </w:p>
        </w:tc>
      </w:tr>
      <w:tr w:rsidR="00862996" w:rsidRPr="00051FD3" w14:paraId="3787DE20" w14:textId="77777777" w:rsidTr="00FA4E83">
        <w:trPr>
          <w:trHeight w:val="289"/>
          <w:jc w:val="center"/>
        </w:trPr>
        <w:tc>
          <w:tcPr>
            <w:tcW w:w="1836" w:type="dxa"/>
            <w:vMerge/>
            <w:tcBorders>
              <w:left w:val="single" w:sz="4" w:space="0" w:color="auto"/>
              <w:right w:val="single" w:sz="4" w:space="0" w:color="auto"/>
            </w:tcBorders>
            <w:hideMark/>
          </w:tcPr>
          <w:p w14:paraId="7F8E8024"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8D6D34D" w14:textId="3AB1BE9C" w:rsidR="00862996" w:rsidRPr="00051FD3" w:rsidRDefault="00862996" w:rsidP="00862996">
            <w:pPr>
              <w:rPr>
                <w:color w:val="000000"/>
                <w:sz w:val="22"/>
                <w:szCs w:val="22"/>
                <w:lang w:eastAsia="en-GB"/>
              </w:rPr>
            </w:pPr>
            <w:r w:rsidRPr="00051FD3">
              <w:rPr>
                <w:color w:val="000000"/>
                <w:sz w:val="22"/>
                <w:szCs w:val="22"/>
                <w:lang w:eastAsia="en-GB"/>
              </w:rPr>
              <w:t>Nemalonus pojūtis skrandyje</w:t>
            </w:r>
          </w:p>
        </w:tc>
        <w:tc>
          <w:tcPr>
            <w:tcW w:w="1701" w:type="dxa"/>
            <w:tcBorders>
              <w:top w:val="single" w:sz="4" w:space="0" w:color="auto"/>
              <w:left w:val="single" w:sz="4" w:space="0" w:color="auto"/>
              <w:bottom w:val="single" w:sz="4" w:space="0" w:color="auto"/>
              <w:right w:val="single" w:sz="4" w:space="0" w:color="auto"/>
            </w:tcBorders>
            <w:hideMark/>
          </w:tcPr>
          <w:p w14:paraId="0474EBF2"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48C5485" w14:textId="5B27A85A"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66932F3B" w14:textId="0F5C2B87" w:rsidR="00862996" w:rsidRPr="00051FD3" w:rsidRDefault="00862996" w:rsidP="00862996">
            <w:pPr>
              <w:rPr>
                <w:color w:val="000000"/>
                <w:sz w:val="22"/>
                <w:szCs w:val="22"/>
                <w:lang w:eastAsia="en-GB"/>
              </w:rPr>
            </w:pPr>
            <w:r w:rsidRPr="00051FD3">
              <w:rPr>
                <w:color w:val="000000"/>
                <w:sz w:val="22"/>
                <w:szCs w:val="22"/>
                <w:lang w:eastAsia="en-GB"/>
              </w:rPr>
              <w:t>Retas</w:t>
            </w:r>
          </w:p>
        </w:tc>
      </w:tr>
      <w:tr w:rsidR="00387073" w:rsidRPr="00051FD3" w14:paraId="0D816885" w14:textId="77777777" w:rsidTr="00FA4E83">
        <w:trPr>
          <w:trHeight w:val="289"/>
          <w:jc w:val="center"/>
        </w:trPr>
        <w:tc>
          <w:tcPr>
            <w:tcW w:w="1836" w:type="dxa"/>
            <w:vMerge/>
            <w:tcBorders>
              <w:left w:val="single" w:sz="4" w:space="0" w:color="auto"/>
              <w:right w:val="single" w:sz="4" w:space="0" w:color="auto"/>
            </w:tcBorders>
            <w:hideMark/>
          </w:tcPr>
          <w:p w14:paraId="7261367B"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6740A1E" w14:textId="7F4BEE6C" w:rsidR="00775E26" w:rsidRPr="00051FD3" w:rsidRDefault="00B5059E" w:rsidP="00B5059E">
            <w:pPr>
              <w:rPr>
                <w:color w:val="000000"/>
                <w:sz w:val="22"/>
                <w:szCs w:val="22"/>
                <w:lang w:eastAsia="en-GB"/>
              </w:rPr>
            </w:pPr>
            <w:r w:rsidRPr="00051FD3">
              <w:rPr>
                <w:color w:val="000000"/>
                <w:sz w:val="22"/>
                <w:szCs w:val="22"/>
                <w:lang w:eastAsia="en-GB"/>
              </w:rPr>
              <w:t>Pykinimas</w:t>
            </w:r>
          </w:p>
        </w:tc>
        <w:tc>
          <w:tcPr>
            <w:tcW w:w="1701" w:type="dxa"/>
            <w:tcBorders>
              <w:top w:val="single" w:sz="4" w:space="0" w:color="auto"/>
              <w:left w:val="single" w:sz="4" w:space="0" w:color="auto"/>
              <w:bottom w:val="single" w:sz="4" w:space="0" w:color="auto"/>
              <w:right w:val="single" w:sz="4" w:space="0" w:color="auto"/>
            </w:tcBorders>
            <w:hideMark/>
          </w:tcPr>
          <w:p w14:paraId="7CB4D711"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0ABB3E4"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6211077" w14:textId="6236A99A" w:rsidR="00775E26" w:rsidRPr="00051FD3" w:rsidRDefault="00862996" w:rsidP="00B5059E">
            <w:pPr>
              <w:rPr>
                <w:color w:val="000000"/>
                <w:sz w:val="22"/>
                <w:szCs w:val="22"/>
                <w:lang w:eastAsia="en-GB"/>
              </w:rPr>
            </w:pPr>
            <w:r w:rsidRPr="00051FD3">
              <w:rPr>
                <w:sz w:val="22"/>
                <w:szCs w:val="22"/>
                <w:lang w:eastAsia="en-GB"/>
              </w:rPr>
              <w:t>Dažnas</w:t>
            </w:r>
          </w:p>
        </w:tc>
      </w:tr>
      <w:tr w:rsidR="00387073" w:rsidRPr="00051FD3" w14:paraId="59B0E240"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38936E24"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AF51AEC" w14:textId="43BDEBEA" w:rsidR="00775E26" w:rsidRPr="00051FD3" w:rsidRDefault="00B5059E" w:rsidP="00B5059E">
            <w:pPr>
              <w:rPr>
                <w:color w:val="000000"/>
                <w:sz w:val="22"/>
                <w:szCs w:val="22"/>
                <w:lang w:eastAsia="en-GB"/>
              </w:rPr>
            </w:pPr>
            <w:r w:rsidRPr="00051FD3">
              <w:rPr>
                <w:color w:val="000000"/>
                <w:sz w:val="22"/>
                <w:szCs w:val="22"/>
                <w:lang w:eastAsia="en-GB"/>
              </w:rPr>
              <w:t>Pankreatitas</w:t>
            </w:r>
          </w:p>
        </w:tc>
        <w:tc>
          <w:tcPr>
            <w:tcW w:w="1701" w:type="dxa"/>
            <w:tcBorders>
              <w:top w:val="single" w:sz="4" w:space="0" w:color="auto"/>
              <w:left w:val="single" w:sz="4" w:space="0" w:color="auto"/>
              <w:bottom w:val="single" w:sz="4" w:space="0" w:color="auto"/>
              <w:right w:val="single" w:sz="4" w:space="0" w:color="auto"/>
            </w:tcBorders>
            <w:hideMark/>
          </w:tcPr>
          <w:p w14:paraId="781679EA"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1501054"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78F25FB" w14:textId="60ECBBEC" w:rsidR="00775E26" w:rsidRPr="00051FD3" w:rsidRDefault="00862996" w:rsidP="00E93540">
            <w:pPr>
              <w:keepNext/>
              <w:rPr>
                <w:color w:val="000000"/>
                <w:sz w:val="22"/>
                <w:szCs w:val="22"/>
                <w:lang w:eastAsia="en-GB"/>
              </w:rPr>
            </w:pPr>
            <w:r w:rsidRPr="00051FD3">
              <w:rPr>
                <w:color w:val="000000"/>
                <w:sz w:val="22"/>
                <w:szCs w:val="22"/>
                <w:lang w:eastAsia="en-GB"/>
              </w:rPr>
              <w:t>Labai retas</w:t>
            </w:r>
          </w:p>
        </w:tc>
      </w:tr>
      <w:tr w:rsidR="00387073" w:rsidRPr="00051FD3" w14:paraId="66C52ED4"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71E4A9CF" w14:textId="26B41231" w:rsidR="00775E26" w:rsidRPr="00051FD3" w:rsidRDefault="00EC6A3C" w:rsidP="00B5059E">
            <w:pPr>
              <w:rPr>
                <w:b/>
                <w:bCs/>
                <w:color w:val="000000"/>
                <w:sz w:val="22"/>
                <w:szCs w:val="22"/>
                <w:lang w:eastAsia="en-GB"/>
              </w:rPr>
            </w:pPr>
            <w:r w:rsidRPr="00051FD3">
              <w:rPr>
                <w:b/>
                <w:bCs/>
                <w:color w:val="000000"/>
                <w:sz w:val="22"/>
                <w:szCs w:val="22"/>
                <w:lang w:eastAsia="en-GB"/>
              </w:rPr>
              <w:t>Kepenų, tulžies pūslės ir latakų sutrikimai</w:t>
            </w:r>
          </w:p>
        </w:tc>
        <w:tc>
          <w:tcPr>
            <w:tcW w:w="2412" w:type="dxa"/>
            <w:tcBorders>
              <w:top w:val="single" w:sz="4" w:space="0" w:color="auto"/>
              <w:left w:val="single" w:sz="4" w:space="0" w:color="auto"/>
              <w:bottom w:val="single" w:sz="4" w:space="0" w:color="auto"/>
              <w:right w:val="single" w:sz="4" w:space="0" w:color="auto"/>
            </w:tcBorders>
          </w:tcPr>
          <w:p w14:paraId="6C534E00" w14:textId="589CB5C8" w:rsidR="00775E26" w:rsidRPr="00051FD3" w:rsidRDefault="00B5059E" w:rsidP="00B5059E">
            <w:pPr>
              <w:rPr>
                <w:color w:val="000000"/>
                <w:sz w:val="22"/>
                <w:szCs w:val="22"/>
                <w:lang w:eastAsia="en-GB"/>
              </w:rPr>
            </w:pPr>
            <w:r w:rsidRPr="00051FD3">
              <w:rPr>
                <w:color w:val="000000"/>
                <w:sz w:val="22"/>
                <w:szCs w:val="22"/>
                <w:lang w:eastAsia="en-GB"/>
              </w:rPr>
              <w:t>Kepenų funkcijos sutrikimas</w:t>
            </w:r>
          </w:p>
        </w:tc>
        <w:tc>
          <w:tcPr>
            <w:tcW w:w="1701" w:type="dxa"/>
            <w:tcBorders>
              <w:top w:val="single" w:sz="4" w:space="0" w:color="auto"/>
              <w:left w:val="single" w:sz="4" w:space="0" w:color="auto"/>
              <w:bottom w:val="single" w:sz="4" w:space="0" w:color="auto"/>
              <w:right w:val="single" w:sz="4" w:space="0" w:color="auto"/>
            </w:tcBorders>
            <w:hideMark/>
          </w:tcPr>
          <w:p w14:paraId="52E4541A" w14:textId="2C75FADB" w:rsidR="00775E26" w:rsidRPr="00051FD3" w:rsidRDefault="00862996" w:rsidP="00B5059E">
            <w:pPr>
              <w:rPr>
                <w:color w:val="000000"/>
                <w:sz w:val="22"/>
                <w:szCs w:val="22"/>
                <w:lang w:eastAsia="en-GB"/>
              </w:rPr>
            </w:pPr>
            <w:r w:rsidRPr="00051FD3">
              <w:rPr>
                <w:color w:val="000000"/>
                <w:sz w:val="22"/>
                <w:szCs w:val="22"/>
                <w:lang w:eastAsia="en-GB"/>
              </w:rPr>
              <w:t>Retas</w:t>
            </w:r>
            <w:r w:rsidRPr="00051FD3">
              <w:rPr>
                <w:color w:val="000000"/>
                <w:sz w:val="22"/>
                <w:szCs w:val="22"/>
                <w:vertAlign w:val="superscript"/>
                <w:lang w:eastAsia="en-GB"/>
              </w:rPr>
              <w:t xml:space="preserve"> </w:t>
            </w:r>
            <w:r w:rsidR="00775E26" w:rsidRPr="00051FD3">
              <w:rPr>
                <w:color w:val="000000"/>
                <w:sz w:val="22"/>
                <w:szCs w:val="22"/>
                <w:vertAlign w:val="superscript"/>
                <w:lang w:eastAsia="en-GB"/>
              </w:rPr>
              <w:t>2</w:t>
            </w:r>
          </w:p>
        </w:tc>
        <w:tc>
          <w:tcPr>
            <w:tcW w:w="1701" w:type="dxa"/>
            <w:tcBorders>
              <w:top w:val="single" w:sz="4" w:space="0" w:color="auto"/>
              <w:left w:val="single" w:sz="4" w:space="0" w:color="auto"/>
              <w:bottom w:val="single" w:sz="4" w:space="0" w:color="auto"/>
              <w:right w:val="single" w:sz="4" w:space="0" w:color="auto"/>
            </w:tcBorders>
            <w:hideMark/>
          </w:tcPr>
          <w:p w14:paraId="1C7B5E43" w14:textId="3F429442" w:rsidR="00775E26" w:rsidRPr="00051FD3" w:rsidRDefault="00862996" w:rsidP="00B5059E">
            <w:pPr>
              <w:rPr>
                <w:color w:val="000000"/>
                <w:sz w:val="22"/>
                <w:szCs w:val="22"/>
                <w:lang w:eastAsia="en-GB"/>
              </w:rPr>
            </w:pPr>
            <w:r w:rsidRPr="00051FD3">
              <w:rPr>
                <w:color w:val="000000"/>
                <w:sz w:val="22"/>
                <w:szCs w:val="22"/>
                <w:lang w:eastAsia="en-GB"/>
              </w:rPr>
              <w:t>Retas</w:t>
            </w:r>
            <w:r w:rsidRPr="00051FD3">
              <w:rPr>
                <w:color w:val="000000"/>
                <w:sz w:val="22"/>
                <w:szCs w:val="22"/>
                <w:vertAlign w:val="superscript"/>
                <w:lang w:eastAsia="en-GB"/>
              </w:rPr>
              <w:t xml:space="preserve"> </w:t>
            </w:r>
            <w:r w:rsidR="00775E26" w:rsidRPr="00051FD3">
              <w:rPr>
                <w:color w:val="000000"/>
                <w:sz w:val="22"/>
                <w:szCs w:val="22"/>
                <w:vertAlign w:val="superscript"/>
                <w:lang w:eastAsia="en-GB"/>
              </w:rPr>
              <w:t>2</w:t>
            </w:r>
          </w:p>
        </w:tc>
        <w:tc>
          <w:tcPr>
            <w:tcW w:w="1843" w:type="dxa"/>
            <w:tcBorders>
              <w:top w:val="single" w:sz="4" w:space="0" w:color="auto"/>
              <w:left w:val="single" w:sz="4" w:space="0" w:color="auto"/>
              <w:bottom w:val="single" w:sz="4" w:space="0" w:color="auto"/>
              <w:right w:val="single" w:sz="4" w:space="0" w:color="auto"/>
            </w:tcBorders>
            <w:hideMark/>
          </w:tcPr>
          <w:p w14:paraId="43DBEAA2" w14:textId="77777777" w:rsidR="00775E26" w:rsidRPr="00051FD3" w:rsidRDefault="00775E26" w:rsidP="00B5059E">
            <w:pPr>
              <w:rPr>
                <w:color w:val="000000"/>
                <w:sz w:val="22"/>
                <w:szCs w:val="22"/>
                <w:lang w:eastAsia="en-GB"/>
              </w:rPr>
            </w:pPr>
          </w:p>
        </w:tc>
      </w:tr>
      <w:tr w:rsidR="00862996" w:rsidRPr="00051FD3" w14:paraId="5659D48D" w14:textId="77777777" w:rsidTr="00FA4E83">
        <w:trPr>
          <w:trHeight w:val="289"/>
          <w:jc w:val="center"/>
        </w:trPr>
        <w:tc>
          <w:tcPr>
            <w:tcW w:w="1836" w:type="dxa"/>
            <w:vMerge/>
            <w:tcBorders>
              <w:left w:val="single" w:sz="4" w:space="0" w:color="auto"/>
              <w:right w:val="single" w:sz="4" w:space="0" w:color="auto"/>
            </w:tcBorders>
            <w:hideMark/>
          </w:tcPr>
          <w:p w14:paraId="35A25D06"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0D77923" w14:textId="2C609870" w:rsidR="00862996" w:rsidRPr="00051FD3" w:rsidRDefault="00862996" w:rsidP="00862996">
            <w:pPr>
              <w:rPr>
                <w:color w:val="000000"/>
                <w:sz w:val="22"/>
                <w:szCs w:val="22"/>
                <w:lang w:eastAsia="en-GB"/>
              </w:rPr>
            </w:pPr>
            <w:r w:rsidRPr="00051FD3">
              <w:rPr>
                <w:color w:val="000000"/>
                <w:sz w:val="22"/>
                <w:szCs w:val="22"/>
                <w:lang w:eastAsia="en-GB"/>
              </w:rPr>
              <w:t>Gelta</w:t>
            </w:r>
          </w:p>
        </w:tc>
        <w:tc>
          <w:tcPr>
            <w:tcW w:w="1701" w:type="dxa"/>
            <w:tcBorders>
              <w:top w:val="single" w:sz="4" w:space="0" w:color="auto"/>
              <w:left w:val="single" w:sz="4" w:space="0" w:color="auto"/>
              <w:bottom w:val="single" w:sz="4" w:space="0" w:color="auto"/>
              <w:right w:val="single" w:sz="4" w:space="0" w:color="auto"/>
            </w:tcBorders>
            <w:hideMark/>
          </w:tcPr>
          <w:p w14:paraId="554EF1E8"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0A321FA" w14:textId="77777777" w:rsidR="00862996" w:rsidRPr="00051FD3" w:rsidRDefault="00862996" w:rsidP="00862996">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D5B65B7" w14:textId="44B05237" w:rsidR="00862996" w:rsidRPr="00051FD3" w:rsidRDefault="00862996" w:rsidP="00862996">
            <w:pPr>
              <w:rPr>
                <w:color w:val="000000"/>
                <w:sz w:val="22"/>
                <w:szCs w:val="22"/>
                <w:lang w:eastAsia="en-GB"/>
              </w:rPr>
            </w:pPr>
            <w:r w:rsidRPr="00051FD3">
              <w:rPr>
                <w:color w:val="000000"/>
                <w:sz w:val="22"/>
                <w:szCs w:val="22"/>
                <w:lang w:eastAsia="en-GB"/>
              </w:rPr>
              <w:t>Retas</w:t>
            </w:r>
          </w:p>
        </w:tc>
      </w:tr>
      <w:tr w:rsidR="00862996" w:rsidRPr="00051FD3" w14:paraId="738C8795"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4F3C1278"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4E9D58FD" w14:textId="46BED9C6" w:rsidR="00862996" w:rsidRPr="00051FD3" w:rsidRDefault="00862996" w:rsidP="00862996">
            <w:pPr>
              <w:rPr>
                <w:color w:val="000000"/>
                <w:sz w:val="22"/>
                <w:szCs w:val="22"/>
                <w:lang w:eastAsia="en-GB"/>
              </w:rPr>
            </w:pPr>
            <w:proofErr w:type="spellStart"/>
            <w:r w:rsidRPr="00051FD3">
              <w:rPr>
                <w:color w:val="000000"/>
                <w:sz w:val="22"/>
                <w:szCs w:val="22"/>
                <w:lang w:eastAsia="en-GB"/>
              </w:rPr>
              <w:t>Cholestazė</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56BC21F"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202DB6F" w14:textId="77777777" w:rsidR="00862996" w:rsidRPr="00051FD3" w:rsidRDefault="00862996" w:rsidP="00862996">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2A8DF55" w14:textId="5EA12B49" w:rsidR="00862996" w:rsidRPr="00051FD3" w:rsidRDefault="00862996" w:rsidP="00862996">
            <w:pPr>
              <w:rPr>
                <w:color w:val="000000"/>
                <w:sz w:val="22"/>
                <w:szCs w:val="22"/>
                <w:lang w:eastAsia="en-GB"/>
              </w:rPr>
            </w:pPr>
            <w:r w:rsidRPr="00051FD3">
              <w:rPr>
                <w:color w:val="000000"/>
                <w:sz w:val="22"/>
                <w:szCs w:val="22"/>
                <w:lang w:eastAsia="en-GB"/>
              </w:rPr>
              <w:t>Retas</w:t>
            </w:r>
          </w:p>
        </w:tc>
      </w:tr>
      <w:tr w:rsidR="00862996" w:rsidRPr="00051FD3" w14:paraId="57BA360A"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713A58CF" w14:textId="6BA6F075" w:rsidR="00862996" w:rsidRPr="00051FD3" w:rsidRDefault="00862996" w:rsidP="00862996">
            <w:pPr>
              <w:rPr>
                <w:b/>
                <w:bCs/>
                <w:color w:val="000000"/>
                <w:sz w:val="22"/>
                <w:szCs w:val="22"/>
                <w:lang w:eastAsia="en-GB"/>
              </w:rPr>
            </w:pPr>
            <w:r w:rsidRPr="00051FD3">
              <w:rPr>
                <w:b/>
                <w:bCs/>
                <w:color w:val="000000"/>
                <w:sz w:val="22"/>
                <w:szCs w:val="22"/>
                <w:lang w:eastAsia="en-GB"/>
              </w:rPr>
              <w:lastRenderedPageBreak/>
              <w:t>Odos ir poodinio audinio sutrikimai</w:t>
            </w:r>
          </w:p>
        </w:tc>
        <w:tc>
          <w:tcPr>
            <w:tcW w:w="2412" w:type="dxa"/>
            <w:tcBorders>
              <w:top w:val="single" w:sz="4" w:space="0" w:color="auto"/>
              <w:left w:val="single" w:sz="4" w:space="0" w:color="auto"/>
              <w:bottom w:val="single" w:sz="4" w:space="0" w:color="auto"/>
              <w:right w:val="single" w:sz="4" w:space="0" w:color="auto"/>
            </w:tcBorders>
            <w:hideMark/>
          </w:tcPr>
          <w:p w14:paraId="666DFCCD" w14:textId="0D1BA473" w:rsidR="00862996" w:rsidRPr="00051FD3" w:rsidRDefault="00862996" w:rsidP="00862996">
            <w:pPr>
              <w:rPr>
                <w:color w:val="000000"/>
                <w:sz w:val="22"/>
                <w:szCs w:val="22"/>
                <w:lang w:eastAsia="en-GB"/>
              </w:rPr>
            </w:pPr>
            <w:proofErr w:type="spellStart"/>
            <w:r w:rsidRPr="00051FD3">
              <w:rPr>
                <w:color w:val="000000"/>
                <w:sz w:val="22"/>
                <w:szCs w:val="22"/>
                <w:lang w:eastAsia="en-GB"/>
              </w:rPr>
              <w:t>Angioneurozinė</w:t>
            </w:r>
            <w:proofErr w:type="spellEnd"/>
            <w:r w:rsidRPr="00051FD3">
              <w:rPr>
                <w:color w:val="000000"/>
                <w:sz w:val="22"/>
                <w:szCs w:val="22"/>
                <w:lang w:eastAsia="en-GB"/>
              </w:rPr>
              <w:t xml:space="preserve"> edema (įskaitant mirtiną)</w:t>
            </w:r>
          </w:p>
        </w:tc>
        <w:tc>
          <w:tcPr>
            <w:tcW w:w="1701" w:type="dxa"/>
            <w:tcBorders>
              <w:top w:val="single" w:sz="4" w:space="0" w:color="auto"/>
              <w:left w:val="single" w:sz="4" w:space="0" w:color="auto"/>
              <w:bottom w:val="single" w:sz="4" w:space="0" w:color="auto"/>
              <w:right w:val="single" w:sz="4" w:space="0" w:color="auto"/>
            </w:tcBorders>
            <w:hideMark/>
          </w:tcPr>
          <w:p w14:paraId="05B16BAE" w14:textId="77777777" w:rsidR="00E93540" w:rsidRPr="00051FD3" w:rsidRDefault="00E93540" w:rsidP="00862996">
            <w:pPr>
              <w:rPr>
                <w:color w:val="000000"/>
                <w:sz w:val="22"/>
                <w:szCs w:val="22"/>
                <w:lang w:eastAsia="en-GB"/>
              </w:rPr>
            </w:pPr>
          </w:p>
          <w:p w14:paraId="504D5BB4" w14:textId="77777777" w:rsidR="00E93540" w:rsidRPr="00051FD3" w:rsidRDefault="00E93540" w:rsidP="00862996">
            <w:pPr>
              <w:rPr>
                <w:color w:val="000000"/>
                <w:sz w:val="22"/>
                <w:szCs w:val="22"/>
                <w:lang w:eastAsia="en-GB"/>
              </w:rPr>
            </w:pPr>
          </w:p>
          <w:p w14:paraId="24882B34" w14:textId="29663008"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2DBB4745" w14:textId="77777777" w:rsidR="00E93540" w:rsidRPr="00051FD3" w:rsidRDefault="00E93540" w:rsidP="00862996">
            <w:pPr>
              <w:rPr>
                <w:color w:val="000000"/>
                <w:sz w:val="22"/>
                <w:szCs w:val="22"/>
                <w:lang w:eastAsia="en-GB"/>
              </w:rPr>
            </w:pPr>
          </w:p>
          <w:p w14:paraId="5B5D2A01" w14:textId="77777777" w:rsidR="00E93540" w:rsidRPr="00051FD3" w:rsidRDefault="00E93540" w:rsidP="00862996">
            <w:pPr>
              <w:rPr>
                <w:color w:val="000000"/>
                <w:sz w:val="22"/>
                <w:szCs w:val="22"/>
                <w:lang w:eastAsia="en-GB"/>
              </w:rPr>
            </w:pPr>
          </w:p>
          <w:p w14:paraId="16EE1E7E" w14:textId="08987214"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48148EE1" w14:textId="77777777" w:rsidR="00862996" w:rsidRPr="00051FD3" w:rsidRDefault="00862996" w:rsidP="00862996">
            <w:pPr>
              <w:rPr>
                <w:color w:val="000000"/>
                <w:sz w:val="22"/>
                <w:szCs w:val="22"/>
                <w:lang w:eastAsia="en-GB"/>
              </w:rPr>
            </w:pPr>
          </w:p>
        </w:tc>
      </w:tr>
      <w:tr w:rsidR="00862996" w:rsidRPr="00051FD3" w14:paraId="47B20382" w14:textId="77777777" w:rsidTr="00FA4E83">
        <w:trPr>
          <w:trHeight w:val="289"/>
          <w:jc w:val="center"/>
        </w:trPr>
        <w:tc>
          <w:tcPr>
            <w:tcW w:w="1836" w:type="dxa"/>
            <w:vMerge/>
            <w:tcBorders>
              <w:left w:val="single" w:sz="4" w:space="0" w:color="auto"/>
              <w:right w:val="single" w:sz="4" w:space="0" w:color="auto"/>
            </w:tcBorders>
            <w:hideMark/>
          </w:tcPr>
          <w:p w14:paraId="1DB7F17B"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4B7B8FA" w14:textId="0430B04E" w:rsidR="00862996" w:rsidRPr="00051FD3" w:rsidRDefault="00862996" w:rsidP="00862996">
            <w:pPr>
              <w:rPr>
                <w:color w:val="000000"/>
                <w:sz w:val="22"/>
                <w:szCs w:val="22"/>
                <w:lang w:eastAsia="en-GB"/>
              </w:rPr>
            </w:pPr>
            <w:proofErr w:type="spellStart"/>
            <w:r w:rsidRPr="00051FD3">
              <w:rPr>
                <w:color w:val="000000"/>
                <w:sz w:val="22"/>
                <w:szCs w:val="22"/>
                <w:lang w:eastAsia="en-GB"/>
              </w:rPr>
              <w:t>Eritema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74018A1" w14:textId="4CADCC8F"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40FD88BE" w14:textId="727845F2"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5973B9F6" w14:textId="77777777" w:rsidR="00862996" w:rsidRPr="00051FD3" w:rsidRDefault="00862996" w:rsidP="00862996">
            <w:pPr>
              <w:rPr>
                <w:color w:val="000000"/>
                <w:sz w:val="22"/>
                <w:szCs w:val="22"/>
                <w:lang w:eastAsia="en-GB"/>
              </w:rPr>
            </w:pPr>
          </w:p>
        </w:tc>
      </w:tr>
      <w:tr w:rsidR="00862996" w:rsidRPr="00051FD3" w14:paraId="35DC9975" w14:textId="77777777" w:rsidTr="00FA4E83">
        <w:trPr>
          <w:trHeight w:val="289"/>
          <w:jc w:val="center"/>
        </w:trPr>
        <w:tc>
          <w:tcPr>
            <w:tcW w:w="1836" w:type="dxa"/>
            <w:vMerge/>
            <w:tcBorders>
              <w:left w:val="single" w:sz="4" w:space="0" w:color="auto"/>
              <w:right w:val="single" w:sz="4" w:space="0" w:color="auto"/>
            </w:tcBorders>
            <w:hideMark/>
          </w:tcPr>
          <w:p w14:paraId="133D76B5"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7FFC77C" w14:textId="4B88608D" w:rsidR="00862996" w:rsidRPr="00051FD3" w:rsidRDefault="00862996" w:rsidP="00862996">
            <w:pPr>
              <w:rPr>
                <w:color w:val="000000"/>
                <w:sz w:val="22"/>
                <w:szCs w:val="22"/>
                <w:lang w:eastAsia="en-GB"/>
              </w:rPr>
            </w:pPr>
            <w:r w:rsidRPr="00051FD3">
              <w:rPr>
                <w:color w:val="000000"/>
                <w:sz w:val="22"/>
                <w:szCs w:val="22"/>
                <w:lang w:eastAsia="en-GB"/>
              </w:rPr>
              <w:t>Niežėjimas</w:t>
            </w:r>
          </w:p>
        </w:tc>
        <w:tc>
          <w:tcPr>
            <w:tcW w:w="1701" w:type="dxa"/>
            <w:tcBorders>
              <w:top w:val="single" w:sz="4" w:space="0" w:color="auto"/>
              <w:left w:val="single" w:sz="4" w:space="0" w:color="auto"/>
              <w:bottom w:val="single" w:sz="4" w:space="0" w:color="auto"/>
              <w:right w:val="single" w:sz="4" w:space="0" w:color="auto"/>
            </w:tcBorders>
            <w:hideMark/>
          </w:tcPr>
          <w:p w14:paraId="6A94AFB2" w14:textId="465C60FE"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65251CB9" w14:textId="6D86D3D4"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5BCBD5F9" w14:textId="77777777" w:rsidR="00862996" w:rsidRPr="00051FD3" w:rsidRDefault="00862996" w:rsidP="00862996">
            <w:pPr>
              <w:rPr>
                <w:color w:val="000000"/>
                <w:sz w:val="22"/>
                <w:szCs w:val="22"/>
                <w:lang w:eastAsia="en-GB"/>
              </w:rPr>
            </w:pPr>
          </w:p>
        </w:tc>
      </w:tr>
      <w:tr w:rsidR="00862996" w:rsidRPr="00051FD3" w14:paraId="72F6A001" w14:textId="77777777" w:rsidTr="00FA4E83">
        <w:trPr>
          <w:trHeight w:val="289"/>
          <w:jc w:val="center"/>
        </w:trPr>
        <w:tc>
          <w:tcPr>
            <w:tcW w:w="1836" w:type="dxa"/>
            <w:vMerge/>
            <w:tcBorders>
              <w:left w:val="single" w:sz="4" w:space="0" w:color="auto"/>
              <w:right w:val="single" w:sz="4" w:space="0" w:color="auto"/>
            </w:tcBorders>
            <w:hideMark/>
          </w:tcPr>
          <w:p w14:paraId="6AF7FBD6"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468534E2" w14:textId="7C0044E0" w:rsidR="00862996" w:rsidRPr="00051FD3" w:rsidRDefault="00862996" w:rsidP="00862996">
            <w:pPr>
              <w:rPr>
                <w:color w:val="000000"/>
                <w:sz w:val="22"/>
                <w:szCs w:val="22"/>
                <w:lang w:eastAsia="en-GB"/>
              </w:rPr>
            </w:pPr>
            <w:r w:rsidRPr="00051FD3">
              <w:rPr>
                <w:color w:val="000000"/>
                <w:sz w:val="22"/>
                <w:szCs w:val="22"/>
                <w:lang w:eastAsia="en-GB"/>
              </w:rPr>
              <w:t>Išbėrimas</w:t>
            </w:r>
          </w:p>
        </w:tc>
        <w:tc>
          <w:tcPr>
            <w:tcW w:w="1701" w:type="dxa"/>
            <w:tcBorders>
              <w:top w:val="single" w:sz="4" w:space="0" w:color="auto"/>
              <w:left w:val="single" w:sz="4" w:space="0" w:color="auto"/>
              <w:bottom w:val="single" w:sz="4" w:space="0" w:color="auto"/>
              <w:right w:val="single" w:sz="4" w:space="0" w:color="auto"/>
            </w:tcBorders>
            <w:hideMark/>
          </w:tcPr>
          <w:p w14:paraId="7F4A8A8E" w14:textId="1D7FA307"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69B25C39" w14:textId="1530D268"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7A88F39C" w14:textId="68B3FDEC" w:rsidR="00862996" w:rsidRPr="00051FD3" w:rsidRDefault="00862996" w:rsidP="00862996">
            <w:pPr>
              <w:rPr>
                <w:color w:val="000000"/>
                <w:sz w:val="22"/>
                <w:szCs w:val="22"/>
                <w:lang w:eastAsia="en-GB"/>
              </w:rPr>
            </w:pPr>
            <w:r w:rsidRPr="00051FD3">
              <w:rPr>
                <w:sz w:val="22"/>
                <w:szCs w:val="22"/>
                <w:lang w:eastAsia="en-GB"/>
              </w:rPr>
              <w:t>Dažnas</w:t>
            </w:r>
          </w:p>
        </w:tc>
      </w:tr>
      <w:tr w:rsidR="00862996" w:rsidRPr="00051FD3" w14:paraId="24E64A4A" w14:textId="77777777" w:rsidTr="00FA4E83">
        <w:trPr>
          <w:trHeight w:val="289"/>
          <w:jc w:val="center"/>
        </w:trPr>
        <w:tc>
          <w:tcPr>
            <w:tcW w:w="1836" w:type="dxa"/>
            <w:vMerge/>
            <w:tcBorders>
              <w:left w:val="single" w:sz="4" w:space="0" w:color="auto"/>
              <w:right w:val="single" w:sz="4" w:space="0" w:color="auto"/>
            </w:tcBorders>
            <w:hideMark/>
          </w:tcPr>
          <w:p w14:paraId="7A653BC6"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8B30D0C" w14:textId="153CA322" w:rsidR="00862996" w:rsidRPr="00051FD3" w:rsidRDefault="00862996" w:rsidP="00862996">
            <w:pPr>
              <w:rPr>
                <w:color w:val="000000"/>
                <w:sz w:val="22"/>
                <w:szCs w:val="22"/>
                <w:lang w:eastAsia="en-GB"/>
              </w:rPr>
            </w:pPr>
            <w:proofErr w:type="spellStart"/>
            <w:r w:rsidRPr="00051FD3">
              <w:rPr>
                <w:color w:val="000000"/>
                <w:sz w:val="22"/>
                <w:szCs w:val="22"/>
                <w:lang w:eastAsia="en-GB"/>
              </w:rPr>
              <w:t>Hiperhidrozė</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808516A" w14:textId="7D2E148F"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622810FE" w14:textId="055B2817"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3620D709" w14:textId="77777777" w:rsidR="00862996" w:rsidRPr="00051FD3" w:rsidRDefault="00862996" w:rsidP="00862996">
            <w:pPr>
              <w:rPr>
                <w:color w:val="000000"/>
                <w:sz w:val="22"/>
                <w:szCs w:val="22"/>
                <w:lang w:eastAsia="en-GB"/>
              </w:rPr>
            </w:pPr>
          </w:p>
        </w:tc>
      </w:tr>
      <w:tr w:rsidR="00862996" w:rsidRPr="00051FD3" w14:paraId="4531211A" w14:textId="77777777" w:rsidTr="00FA4E83">
        <w:trPr>
          <w:trHeight w:val="289"/>
          <w:jc w:val="center"/>
        </w:trPr>
        <w:tc>
          <w:tcPr>
            <w:tcW w:w="1836" w:type="dxa"/>
            <w:vMerge/>
            <w:tcBorders>
              <w:left w:val="single" w:sz="4" w:space="0" w:color="auto"/>
              <w:right w:val="single" w:sz="4" w:space="0" w:color="auto"/>
            </w:tcBorders>
            <w:hideMark/>
          </w:tcPr>
          <w:p w14:paraId="31BCC071"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12F7470" w14:textId="40C6D5CE" w:rsidR="00862996" w:rsidRPr="00051FD3" w:rsidRDefault="00862996" w:rsidP="00862996">
            <w:pPr>
              <w:rPr>
                <w:color w:val="000000"/>
                <w:sz w:val="22"/>
                <w:szCs w:val="22"/>
                <w:lang w:eastAsia="en-GB"/>
              </w:rPr>
            </w:pPr>
            <w:r w:rsidRPr="00051FD3">
              <w:rPr>
                <w:color w:val="000000"/>
                <w:sz w:val="22"/>
                <w:szCs w:val="22"/>
                <w:lang w:eastAsia="en-GB"/>
              </w:rPr>
              <w:t>Dilgėlinė</w:t>
            </w:r>
          </w:p>
        </w:tc>
        <w:tc>
          <w:tcPr>
            <w:tcW w:w="1701" w:type="dxa"/>
            <w:tcBorders>
              <w:top w:val="single" w:sz="4" w:space="0" w:color="auto"/>
              <w:left w:val="single" w:sz="4" w:space="0" w:color="auto"/>
              <w:bottom w:val="single" w:sz="4" w:space="0" w:color="auto"/>
              <w:right w:val="single" w:sz="4" w:space="0" w:color="auto"/>
            </w:tcBorders>
            <w:hideMark/>
          </w:tcPr>
          <w:p w14:paraId="0492A7CF" w14:textId="4D83EC5C"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093C6FBE" w14:textId="25222B13"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6E9780B2" w14:textId="3B0EA2D1" w:rsidR="00862996" w:rsidRPr="00051FD3" w:rsidRDefault="00862996" w:rsidP="00862996">
            <w:pPr>
              <w:rPr>
                <w:color w:val="000000"/>
                <w:sz w:val="22"/>
                <w:szCs w:val="22"/>
                <w:lang w:eastAsia="en-GB"/>
              </w:rPr>
            </w:pPr>
            <w:r w:rsidRPr="00051FD3">
              <w:rPr>
                <w:sz w:val="22"/>
                <w:szCs w:val="22"/>
                <w:lang w:eastAsia="en-GB"/>
              </w:rPr>
              <w:t>Dažnas</w:t>
            </w:r>
          </w:p>
        </w:tc>
      </w:tr>
      <w:tr w:rsidR="00862996" w:rsidRPr="00051FD3" w14:paraId="2E7D777D" w14:textId="77777777" w:rsidTr="00FA4E83">
        <w:trPr>
          <w:trHeight w:val="289"/>
          <w:jc w:val="center"/>
        </w:trPr>
        <w:tc>
          <w:tcPr>
            <w:tcW w:w="1836" w:type="dxa"/>
            <w:vMerge/>
            <w:tcBorders>
              <w:left w:val="single" w:sz="4" w:space="0" w:color="auto"/>
              <w:right w:val="single" w:sz="4" w:space="0" w:color="auto"/>
            </w:tcBorders>
            <w:hideMark/>
          </w:tcPr>
          <w:p w14:paraId="08CFC6C7"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26097C16" w14:textId="576AF7DB" w:rsidR="00862996" w:rsidRPr="00051FD3" w:rsidRDefault="00862996" w:rsidP="00862996">
            <w:pPr>
              <w:rPr>
                <w:color w:val="000000"/>
                <w:sz w:val="22"/>
                <w:szCs w:val="22"/>
                <w:lang w:eastAsia="en-GB"/>
              </w:rPr>
            </w:pPr>
            <w:r w:rsidRPr="00051FD3">
              <w:rPr>
                <w:color w:val="000000"/>
                <w:sz w:val="22"/>
                <w:szCs w:val="22"/>
                <w:lang w:eastAsia="en-GB"/>
              </w:rPr>
              <w:t>Egzema</w:t>
            </w:r>
          </w:p>
        </w:tc>
        <w:tc>
          <w:tcPr>
            <w:tcW w:w="1701" w:type="dxa"/>
            <w:tcBorders>
              <w:top w:val="single" w:sz="4" w:space="0" w:color="auto"/>
              <w:left w:val="single" w:sz="4" w:space="0" w:color="auto"/>
              <w:bottom w:val="single" w:sz="4" w:space="0" w:color="auto"/>
              <w:right w:val="single" w:sz="4" w:space="0" w:color="auto"/>
            </w:tcBorders>
            <w:hideMark/>
          </w:tcPr>
          <w:p w14:paraId="54EA2FE2"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373BCD6A" w14:textId="3A269FD8"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0C442CF5" w14:textId="77777777" w:rsidR="00862996" w:rsidRPr="00051FD3" w:rsidRDefault="00862996" w:rsidP="00862996">
            <w:pPr>
              <w:rPr>
                <w:color w:val="000000"/>
                <w:sz w:val="22"/>
                <w:szCs w:val="22"/>
                <w:lang w:eastAsia="en-GB"/>
              </w:rPr>
            </w:pPr>
          </w:p>
        </w:tc>
      </w:tr>
      <w:tr w:rsidR="00862996" w:rsidRPr="00051FD3" w14:paraId="7EA35D64" w14:textId="77777777" w:rsidTr="00FA4E83">
        <w:trPr>
          <w:trHeight w:val="289"/>
          <w:jc w:val="center"/>
        </w:trPr>
        <w:tc>
          <w:tcPr>
            <w:tcW w:w="1836" w:type="dxa"/>
            <w:vMerge/>
            <w:tcBorders>
              <w:left w:val="single" w:sz="4" w:space="0" w:color="auto"/>
              <w:right w:val="single" w:sz="4" w:space="0" w:color="auto"/>
            </w:tcBorders>
            <w:hideMark/>
          </w:tcPr>
          <w:p w14:paraId="1E5DD100"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027B7A2" w14:textId="4B2DDE90" w:rsidR="00862996" w:rsidRPr="00051FD3" w:rsidRDefault="00862996" w:rsidP="00862996">
            <w:pPr>
              <w:rPr>
                <w:color w:val="000000"/>
                <w:sz w:val="22"/>
                <w:szCs w:val="22"/>
                <w:lang w:eastAsia="en-GB"/>
              </w:rPr>
            </w:pPr>
            <w:r w:rsidRPr="00051FD3">
              <w:rPr>
                <w:color w:val="000000"/>
                <w:sz w:val="22"/>
                <w:szCs w:val="22"/>
                <w:lang w:eastAsia="en-GB"/>
              </w:rPr>
              <w:t>Vaistų sukeltas išbėrimas</w:t>
            </w:r>
          </w:p>
        </w:tc>
        <w:tc>
          <w:tcPr>
            <w:tcW w:w="1701" w:type="dxa"/>
            <w:tcBorders>
              <w:top w:val="single" w:sz="4" w:space="0" w:color="auto"/>
              <w:left w:val="single" w:sz="4" w:space="0" w:color="auto"/>
              <w:bottom w:val="single" w:sz="4" w:space="0" w:color="auto"/>
              <w:right w:val="single" w:sz="4" w:space="0" w:color="auto"/>
            </w:tcBorders>
            <w:hideMark/>
          </w:tcPr>
          <w:p w14:paraId="5EBC7207"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E6F6EE0" w14:textId="6799E62C"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13FD7CA4" w14:textId="77777777" w:rsidR="00862996" w:rsidRPr="00051FD3" w:rsidRDefault="00862996" w:rsidP="00862996">
            <w:pPr>
              <w:rPr>
                <w:color w:val="000000"/>
                <w:sz w:val="22"/>
                <w:szCs w:val="22"/>
                <w:lang w:eastAsia="en-GB"/>
              </w:rPr>
            </w:pPr>
          </w:p>
        </w:tc>
      </w:tr>
      <w:tr w:rsidR="00862996" w:rsidRPr="00051FD3" w14:paraId="64B719ED" w14:textId="77777777" w:rsidTr="00FA4E83">
        <w:trPr>
          <w:trHeight w:val="289"/>
          <w:jc w:val="center"/>
        </w:trPr>
        <w:tc>
          <w:tcPr>
            <w:tcW w:w="1836" w:type="dxa"/>
            <w:vMerge/>
            <w:tcBorders>
              <w:left w:val="single" w:sz="4" w:space="0" w:color="auto"/>
              <w:right w:val="single" w:sz="4" w:space="0" w:color="auto"/>
            </w:tcBorders>
            <w:hideMark/>
          </w:tcPr>
          <w:p w14:paraId="5C42BFE9"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7C92DC8" w14:textId="1B97602C" w:rsidR="00862996" w:rsidRPr="00051FD3" w:rsidRDefault="00862996" w:rsidP="00862996">
            <w:pPr>
              <w:rPr>
                <w:color w:val="000000"/>
                <w:sz w:val="22"/>
                <w:szCs w:val="22"/>
                <w:lang w:eastAsia="en-GB"/>
              </w:rPr>
            </w:pPr>
            <w:r w:rsidRPr="00051FD3">
              <w:rPr>
                <w:color w:val="000000"/>
                <w:sz w:val="22"/>
                <w:szCs w:val="22"/>
                <w:lang w:eastAsia="en-GB"/>
              </w:rPr>
              <w:t>Toksinis odos išbėrimas</w:t>
            </w:r>
          </w:p>
        </w:tc>
        <w:tc>
          <w:tcPr>
            <w:tcW w:w="1701" w:type="dxa"/>
            <w:tcBorders>
              <w:top w:val="single" w:sz="4" w:space="0" w:color="auto"/>
              <w:left w:val="single" w:sz="4" w:space="0" w:color="auto"/>
              <w:bottom w:val="single" w:sz="4" w:space="0" w:color="auto"/>
              <w:right w:val="single" w:sz="4" w:space="0" w:color="auto"/>
            </w:tcBorders>
            <w:hideMark/>
          </w:tcPr>
          <w:p w14:paraId="4BEE06DB"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589D80E" w14:textId="65300D1D"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1432320F" w14:textId="77777777" w:rsidR="00862996" w:rsidRPr="00051FD3" w:rsidRDefault="00862996" w:rsidP="00862996">
            <w:pPr>
              <w:rPr>
                <w:color w:val="000000"/>
                <w:sz w:val="22"/>
                <w:szCs w:val="22"/>
                <w:lang w:eastAsia="en-GB"/>
              </w:rPr>
            </w:pPr>
          </w:p>
        </w:tc>
      </w:tr>
      <w:tr w:rsidR="00387073" w:rsidRPr="00051FD3" w14:paraId="71186536" w14:textId="77777777" w:rsidTr="00FA4E83">
        <w:trPr>
          <w:trHeight w:val="289"/>
          <w:jc w:val="center"/>
        </w:trPr>
        <w:tc>
          <w:tcPr>
            <w:tcW w:w="1836" w:type="dxa"/>
            <w:vMerge/>
            <w:tcBorders>
              <w:left w:val="single" w:sz="4" w:space="0" w:color="auto"/>
              <w:right w:val="single" w:sz="4" w:space="0" w:color="auto"/>
            </w:tcBorders>
            <w:hideMark/>
          </w:tcPr>
          <w:p w14:paraId="5F6A86F1" w14:textId="77777777" w:rsidR="00775E26" w:rsidRPr="00051FD3" w:rsidRDefault="00775E26" w:rsidP="00B5059E">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4C7B055" w14:textId="70B7E9E4" w:rsidR="00775E26" w:rsidRPr="00051FD3" w:rsidRDefault="00B62F99" w:rsidP="00B5059E">
            <w:pPr>
              <w:rPr>
                <w:color w:val="000000"/>
                <w:sz w:val="22"/>
                <w:szCs w:val="22"/>
                <w:lang w:eastAsia="en-GB"/>
              </w:rPr>
            </w:pPr>
            <w:r w:rsidRPr="00051FD3">
              <w:rPr>
                <w:color w:val="000000"/>
                <w:sz w:val="22"/>
                <w:szCs w:val="22"/>
                <w:lang w:eastAsia="en-GB"/>
              </w:rPr>
              <w:t>Į vilkligę panašus sindromas</w:t>
            </w:r>
          </w:p>
        </w:tc>
        <w:tc>
          <w:tcPr>
            <w:tcW w:w="1701" w:type="dxa"/>
            <w:tcBorders>
              <w:top w:val="single" w:sz="4" w:space="0" w:color="auto"/>
              <w:left w:val="single" w:sz="4" w:space="0" w:color="auto"/>
              <w:bottom w:val="single" w:sz="4" w:space="0" w:color="auto"/>
              <w:right w:val="single" w:sz="4" w:space="0" w:color="auto"/>
            </w:tcBorders>
            <w:hideMark/>
          </w:tcPr>
          <w:p w14:paraId="4BC46C1E"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4974A06D"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1A3B5429" w14:textId="5B5AAE01" w:rsidR="00775E26" w:rsidRPr="00051FD3" w:rsidRDefault="00862996" w:rsidP="00E93540">
            <w:pPr>
              <w:keepNext/>
              <w:rPr>
                <w:color w:val="000000"/>
                <w:sz w:val="22"/>
                <w:szCs w:val="22"/>
                <w:lang w:eastAsia="en-GB"/>
              </w:rPr>
            </w:pPr>
            <w:r w:rsidRPr="00051FD3">
              <w:rPr>
                <w:color w:val="000000"/>
                <w:sz w:val="22"/>
                <w:szCs w:val="22"/>
                <w:lang w:eastAsia="en-GB"/>
              </w:rPr>
              <w:t>Labai retas</w:t>
            </w:r>
          </w:p>
        </w:tc>
      </w:tr>
      <w:tr w:rsidR="00387073" w:rsidRPr="00051FD3" w14:paraId="6F2CCFBF" w14:textId="77777777" w:rsidTr="00FA4E83">
        <w:trPr>
          <w:trHeight w:val="289"/>
          <w:jc w:val="center"/>
        </w:trPr>
        <w:tc>
          <w:tcPr>
            <w:tcW w:w="1836" w:type="dxa"/>
            <w:vMerge/>
            <w:tcBorders>
              <w:left w:val="single" w:sz="4" w:space="0" w:color="auto"/>
              <w:right w:val="single" w:sz="4" w:space="0" w:color="auto"/>
            </w:tcBorders>
            <w:hideMark/>
          </w:tcPr>
          <w:p w14:paraId="4FEFAAEC"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87D0590" w14:textId="62A371CB" w:rsidR="00775E26" w:rsidRPr="00051FD3" w:rsidRDefault="00B62F99" w:rsidP="00B5059E">
            <w:pPr>
              <w:rPr>
                <w:color w:val="000000"/>
                <w:sz w:val="22"/>
                <w:szCs w:val="22"/>
                <w:lang w:eastAsia="en-GB"/>
              </w:rPr>
            </w:pPr>
            <w:r w:rsidRPr="00051FD3">
              <w:rPr>
                <w:color w:val="000000"/>
                <w:sz w:val="22"/>
                <w:szCs w:val="22"/>
                <w:lang w:eastAsia="en-GB"/>
              </w:rPr>
              <w:t>Padidėjusio jautrumo šviesai reakcijos</w:t>
            </w:r>
          </w:p>
        </w:tc>
        <w:tc>
          <w:tcPr>
            <w:tcW w:w="1701" w:type="dxa"/>
            <w:tcBorders>
              <w:top w:val="single" w:sz="4" w:space="0" w:color="auto"/>
              <w:left w:val="single" w:sz="4" w:space="0" w:color="auto"/>
              <w:bottom w:val="single" w:sz="4" w:space="0" w:color="auto"/>
              <w:right w:val="single" w:sz="4" w:space="0" w:color="auto"/>
            </w:tcBorders>
            <w:hideMark/>
          </w:tcPr>
          <w:p w14:paraId="2F4B3962"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3E536CC"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3B7413EA" w14:textId="68473338" w:rsidR="00775E26" w:rsidRPr="00051FD3" w:rsidRDefault="00862996" w:rsidP="00B5059E">
            <w:pPr>
              <w:rPr>
                <w:color w:val="000000"/>
                <w:sz w:val="22"/>
                <w:szCs w:val="22"/>
                <w:lang w:eastAsia="en-GB"/>
              </w:rPr>
            </w:pPr>
            <w:r w:rsidRPr="00051FD3">
              <w:rPr>
                <w:color w:val="000000"/>
                <w:sz w:val="22"/>
                <w:szCs w:val="22"/>
                <w:lang w:eastAsia="en-GB"/>
              </w:rPr>
              <w:t>Retas</w:t>
            </w:r>
          </w:p>
        </w:tc>
      </w:tr>
      <w:tr w:rsidR="00387073" w:rsidRPr="00051FD3" w14:paraId="56FA54A1" w14:textId="77777777" w:rsidTr="00FA4E83">
        <w:trPr>
          <w:trHeight w:val="289"/>
          <w:jc w:val="center"/>
        </w:trPr>
        <w:tc>
          <w:tcPr>
            <w:tcW w:w="1836" w:type="dxa"/>
            <w:vMerge/>
            <w:tcBorders>
              <w:left w:val="single" w:sz="4" w:space="0" w:color="auto"/>
              <w:right w:val="single" w:sz="4" w:space="0" w:color="auto"/>
            </w:tcBorders>
            <w:hideMark/>
          </w:tcPr>
          <w:p w14:paraId="252AC721"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7525F076" w14:textId="665542A5" w:rsidR="00775E26" w:rsidRPr="00051FD3" w:rsidRDefault="00B62F99" w:rsidP="00B5059E">
            <w:pPr>
              <w:rPr>
                <w:color w:val="000000"/>
                <w:sz w:val="22"/>
                <w:szCs w:val="22"/>
                <w:lang w:eastAsia="en-GB"/>
              </w:rPr>
            </w:pPr>
            <w:r w:rsidRPr="00051FD3">
              <w:rPr>
                <w:color w:val="000000"/>
                <w:sz w:val="22"/>
                <w:szCs w:val="22"/>
                <w:lang w:eastAsia="en-GB"/>
              </w:rPr>
              <w:t xml:space="preserve">Toksinė epidermio </w:t>
            </w:r>
            <w:proofErr w:type="spellStart"/>
            <w:r w:rsidRPr="00051FD3">
              <w:rPr>
                <w:color w:val="000000"/>
                <w:sz w:val="22"/>
                <w:szCs w:val="22"/>
                <w:lang w:eastAsia="en-GB"/>
              </w:rPr>
              <w:t>nekrolizė</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B86D6E7"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EEF3576"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5B1C39A" w14:textId="77777777" w:rsidR="00862996" w:rsidRPr="00051FD3" w:rsidRDefault="00862996" w:rsidP="00862996">
            <w:pPr>
              <w:keepNext/>
              <w:rPr>
                <w:color w:val="000000"/>
                <w:sz w:val="22"/>
                <w:szCs w:val="22"/>
                <w:lang w:eastAsia="en-GB"/>
              </w:rPr>
            </w:pPr>
            <w:r w:rsidRPr="00051FD3">
              <w:rPr>
                <w:color w:val="000000"/>
                <w:sz w:val="22"/>
                <w:szCs w:val="22"/>
                <w:lang w:eastAsia="en-GB"/>
              </w:rPr>
              <w:t>Labai retas</w:t>
            </w:r>
          </w:p>
          <w:p w14:paraId="09E2A5AB" w14:textId="75FDA8E2" w:rsidR="00775E26" w:rsidRPr="00051FD3" w:rsidRDefault="00775E26" w:rsidP="00B5059E">
            <w:pPr>
              <w:rPr>
                <w:color w:val="000000"/>
                <w:sz w:val="22"/>
                <w:szCs w:val="22"/>
                <w:lang w:eastAsia="en-GB"/>
              </w:rPr>
            </w:pPr>
          </w:p>
        </w:tc>
      </w:tr>
      <w:tr w:rsidR="00387073" w:rsidRPr="00051FD3" w14:paraId="74D5AC3D"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5C8D9794"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EFCE29B" w14:textId="178D7A60" w:rsidR="00775E26" w:rsidRPr="00051FD3" w:rsidRDefault="00B62F99" w:rsidP="00B5059E">
            <w:pPr>
              <w:rPr>
                <w:color w:val="000000"/>
                <w:sz w:val="22"/>
                <w:szCs w:val="22"/>
                <w:lang w:eastAsia="en-GB"/>
              </w:rPr>
            </w:pPr>
            <w:r w:rsidRPr="00051FD3">
              <w:rPr>
                <w:color w:val="000000"/>
                <w:sz w:val="22"/>
                <w:szCs w:val="22"/>
                <w:lang w:eastAsia="en-GB"/>
              </w:rPr>
              <w:t xml:space="preserve">Daugiaformė </w:t>
            </w:r>
            <w:proofErr w:type="spellStart"/>
            <w:r w:rsidRPr="00051FD3">
              <w:rPr>
                <w:color w:val="000000"/>
                <w:sz w:val="22"/>
                <w:szCs w:val="22"/>
                <w:lang w:eastAsia="en-GB"/>
              </w:rPr>
              <w:t>eritema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68E25FC"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653E793" w14:textId="77777777" w:rsidR="00775E26" w:rsidRPr="00051FD3" w:rsidRDefault="00775E26" w:rsidP="00B5059E">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2BE7C0A1" w14:textId="537D4078" w:rsidR="00775E26" w:rsidRPr="00051FD3" w:rsidRDefault="00864DFF" w:rsidP="00B5059E">
            <w:pPr>
              <w:rPr>
                <w:color w:val="000000"/>
                <w:sz w:val="22"/>
                <w:szCs w:val="22"/>
                <w:lang w:eastAsia="en-GB"/>
              </w:rPr>
            </w:pPr>
            <w:r>
              <w:rPr>
                <w:color w:val="000000"/>
                <w:sz w:val="22"/>
                <w:szCs w:val="22"/>
                <w:lang w:eastAsia="en-GB"/>
              </w:rPr>
              <w:t>N</w:t>
            </w:r>
            <w:r w:rsidR="00862996" w:rsidRPr="00051FD3">
              <w:rPr>
                <w:color w:val="000000"/>
                <w:sz w:val="22"/>
                <w:szCs w:val="22"/>
                <w:lang w:eastAsia="en-GB"/>
              </w:rPr>
              <w:t>ežinomas</w:t>
            </w:r>
          </w:p>
        </w:tc>
      </w:tr>
      <w:tr w:rsidR="00862996" w:rsidRPr="00051FD3" w14:paraId="23BF0C27"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443D9280" w14:textId="6A90457E" w:rsidR="00862996" w:rsidRPr="00051FD3" w:rsidRDefault="00862996" w:rsidP="00862996">
            <w:pPr>
              <w:rPr>
                <w:b/>
                <w:bCs/>
                <w:color w:val="000000"/>
                <w:sz w:val="22"/>
                <w:szCs w:val="22"/>
                <w:lang w:eastAsia="en-GB"/>
              </w:rPr>
            </w:pPr>
            <w:r w:rsidRPr="00051FD3">
              <w:rPr>
                <w:b/>
                <w:bCs/>
                <w:color w:val="000000"/>
                <w:sz w:val="22"/>
                <w:szCs w:val="22"/>
                <w:lang w:eastAsia="en-GB"/>
              </w:rPr>
              <w:t>Skeleto, raumenų ir jungiamojo audinio sutrikimai</w:t>
            </w:r>
          </w:p>
        </w:tc>
        <w:tc>
          <w:tcPr>
            <w:tcW w:w="2412" w:type="dxa"/>
            <w:tcBorders>
              <w:top w:val="single" w:sz="4" w:space="0" w:color="auto"/>
              <w:left w:val="single" w:sz="4" w:space="0" w:color="auto"/>
              <w:bottom w:val="single" w:sz="4" w:space="0" w:color="auto"/>
              <w:right w:val="single" w:sz="4" w:space="0" w:color="auto"/>
            </w:tcBorders>
            <w:hideMark/>
          </w:tcPr>
          <w:p w14:paraId="331679F2" w14:textId="77777777" w:rsidR="00862996" w:rsidRPr="00051FD3" w:rsidRDefault="00862996" w:rsidP="00862996">
            <w:pPr>
              <w:rPr>
                <w:color w:val="000000"/>
                <w:sz w:val="22"/>
                <w:szCs w:val="22"/>
                <w:lang w:eastAsia="en-GB"/>
              </w:rPr>
            </w:pPr>
            <w:r w:rsidRPr="00051FD3">
              <w:rPr>
                <w:color w:val="000000"/>
                <w:sz w:val="22"/>
                <w:szCs w:val="22"/>
                <w:lang w:eastAsia="en-GB"/>
              </w:rPr>
              <w:t>Nugaros skausmas</w:t>
            </w:r>
          </w:p>
          <w:p w14:paraId="092A1989" w14:textId="0051075E"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2F2258DD" w14:textId="4E089C54"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53B7E3AF" w14:textId="50BDE06F"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50A6A2C4" w14:textId="77777777" w:rsidR="00862996" w:rsidRPr="00051FD3" w:rsidRDefault="00862996" w:rsidP="00862996">
            <w:pPr>
              <w:rPr>
                <w:sz w:val="22"/>
                <w:szCs w:val="22"/>
                <w:lang w:eastAsia="en-GB"/>
              </w:rPr>
            </w:pPr>
          </w:p>
        </w:tc>
      </w:tr>
      <w:tr w:rsidR="00862996" w:rsidRPr="00051FD3" w14:paraId="59831650" w14:textId="77777777" w:rsidTr="00FA4E83">
        <w:trPr>
          <w:trHeight w:val="289"/>
          <w:jc w:val="center"/>
        </w:trPr>
        <w:tc>
          <w:tcPr>
            <w:tcW w:w="1836" w:type="dxa"/>
            <w:vMerge/>
            <w:tcBorders>
              <w:left w:val="single" w:sz="4" w:space="0" w:color="auto"/>
              <w:right w:val="single" w:sz="4" w:space="0" w:color="auto"/>
            </w:tcBorders>
            <w:hideMark/>
          </w:tcPr>
          <w:p w14:paraId="7341EA90"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42D09192" w14:textId="24A1B97B" w:rsidR="00862996" w:rsidRPr="00051FD3" w:rsidRDefault="00862996" w:rsidP="00862996">
            <w:pPr>
              <w:rPr>
                <w:color w:val="000000"/>
                <w:sz w:val="22"/>
                <w:szCs w:val="22"/>
                <w:lang w:eastAsia="en-GB"/>
              </w:rPr>
            </w:pPr>
            <w:r w:rsidRPr="00051FD3">
              <w:rPr>
                <w:color w:val="000000"/>
                <w:sz w:val="22"/>
                <w:szCs w:val="22"/>
                <w:lang w:eastAsia="en-GB"/>
              </w:rPr>
              <w:t>Raumenų spazmai (kojų mėšlungis)</w:t>
            </w:r>
          </w:p>
        </w:tc>
        <w:tc>
          <w:tcPr>
            <w:tcW w:w="1701" w:type="dxa"/>
            <w:tcBorders>
              <w:top w:val="single" w:sz="4" w:space="0" w:color="auto"/>
              <w:left w:val="single" w:sz="4" w:space="0" w:color="auto"/>
              <w:bottom w:val="single" w:sz="4" w:space="0" w:color="auto"/>
              <w:right w:val="single" w:sz="4" w:space="0" w:color="auto"/>
            </w:tcBorders>
            <w:hideMark/>
          </w:tcPr>
          <w:p w14:paraId="566D603C" w14:textId="3E84B99E"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3D11C19A" w14:textId="0A6394E3"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6D3D08AF" w14:textId="071F1F41" w:rsidR="00862996" w:rsidRPr="00051FD3" w:rsidRDefault="00CA1531" w:rsidP="00862996">
            <w:pPr>
              <w:rPr>
                <w:color w:val="000000"/>
                <w:sz w:val="22"/>
                <w:szCs w:val="22"/>
                <w:lang w:eastAsia="en-GB"/>
              </w:rPr>
            </w:pPr>
            <w:r>
              <w:rPr>
                <w:color w:val="000000"/>
                <w:sz w:val="22"/>
                <w:szCs w:val="22"/>
                <w:lang w:eastAsia="en-GB"/>
              </w:rPr>
              <w:t>N</w:t>
            </w:r>
            <w:r w:rsidR="00862996" w:rsidRPr="00051FD3">
              <w:rPr>
                <w:color w:val="000000"/>
                <w:sz w:val="22"/>
                <w:szCs w:val="22"/>
                <w:lang w:eastAsia="en-GB"/>
              </w:rPr>
              <w:t>ežinomas</w:t>
            </w:r>
          </w:p>
        </w:tc>
      </w:tr>
      <w:tr w:rsidR="00862996" w:rsidRPr="00051FD3" w14:paraId="16DBB2DD" w14:textId="77777777" w:rsidTr="00FA4E83">
        <w:trPr>
          <w:trHeight w:val="289"/>
          <w:jc w:val="center"/>
        </w:trPr>
        <w:tc>
          <w:tcPr>
            <w:tcW w:w="1836" w:type="dxa"/>
            <w:vMerge/>
            <w:tcBorders>
              <w:left w:val="single" w:sz="4" w:space="0" w:color="auto"/>
              <w:right w:val="single" w:sz="4" w:space="0" w:color="auto"/>
            </w:tcBorders>
            <w:hideMark/>
          </w:tcPr>
          <w:p w14:paraId="14FBD4E8"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C237398" w14:textId="6ED0A35A" w:rsidR="00862996" w:rsidRPr="00051FD3" w:rsidRDefault="00862996" w:rsidP="00862996">
            <w:pPr>
              <w:rPr>
                <w:color w:val="000000"/>
                <w:sz w:val="22"/>
                <w:szCs w:val="22"/>
                <w:lang w:eastAsia="en-GB"/>
              </w:rPr>
            </w:pPr>
            <w:r w:rsidRPr="00051FD3">
              <w:rPr>
                <w:color w:val="000000"/>
                <w:sz w:val="22"/>
                <w:szCs w:val="22"/>
                <w:lang w:eastAsia="en-GB"/>
              </w:rPr>
              <w:t>Raumenų skausmas</w:t>
            </w:r>
          </w:p>
        </w:tc>
        <w:tc>
          <w:tcPr>
            <w:tcW w:w="1701" w:type="dxa"/>
            <w:tcBorders>
              <w:top w:val="single" w:sz="4" w:space="0" w:color="auto"/>
              <w:left w:val="single" w:sz="4" w:space="0" w:color="auto"/>
              <w:bottom w:val="single" w:sz="4" w:space="0" w:color="auto"/>
              <w:right w:val="single" w:sz="4" w:space="0" w:color="auto"/>
            </w:tcBorders>
            <w:hideMark/>
          </w:tcPr>
          <w:p w14:paraId="1716413F" w14:textId="7DA51C87"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4BD1DC1D" w14:textId="04B7E7DA"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4CF6104A" w14:textId="77777777" w:rsidR="00862996" w:rsidRPr="00051FD3" w:rsidRDefault="00862996" w:rsidP="00862996">
            <w:pPr>
              <w:rPr>
                <w:sz w:val="22"/>
                <w:szCs w:val="22"/>
                <w:lang w:eastAsia="en-GB"/>
              </w:rPr>
            </w:pPr>
          </w:p>
        </w:tc>
      </w:tr>
      <w:tr w:rsidR="00862996" w:rsidRPr="00051FD3" w14:paraId="0DFD4DBE" w14:textId="77777777" w:rsidTr="00FA4E83">
        <w:trPr>
          <w:trHeight w:val="289"/>
          <w:jc w:val="center"/>
        </w:trPr>
        <w:tc>
          <w:tcPr>
            <w:tcW w:w="1836" w:type="dxa"/>
            <w:vMerge/>
            <w:tcBorders>
              <w:left w:val="single" w:sz="4" w:space="0" w:color="auto"/>
              <w:right w:val="single" w:sz="4" w:space="0" w:color="auto"/>
            </w:tcBorders>
            <w:hideMark/>
          </w:tcPr>
          <w:p w14:paraId="056982CF"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BCBED5B" w14:textId="28B7DF2B" w:rsidR="00862996" w:rsidRPr="00051FD3" w:rsidRDefault="00862996" w:rsidP="00862996">
            <w:pPr>
              <w:rPr>
                <w:color w:val="000000"/>
                <w:sz w:val="22"/>
                <w:szCs w:val="22"/>
                <w:lang w:eastAsia="en-GB"/>
              </w:rPr>
            </w:pPr>
            <w:r w:rsidRPr="00051FD3">
              <w:rPr>
                <w:color w:val="000000"/>
                <w:sz w:val="22"/>
                <w:szCs w:val="22"/>
                <w:lang w:eastAsia="en-GB"/>
              </w:rPr>
              <w:t>Sąnarių skausmas</w:t>
            </w:r>
          </w:p>
        </w:tc>
        <w:tc>
          <w:tcPr>
            <w:tcW w:w="1701" w:type="dxa"/>
            <w:tcBorders>
              <w:top w:val="single" w:sz="4" w:space="0" w:color="auto"/>
              <w:left w:val="single" w:sz="4" w:space="0" w:color="auto"/>
              <w:bottom w:val="single" w:sz="4" w:space="0" w:color="auto"/>
              <w:right w:val="single" w:sz="4" w:space="0" w:color="auto"/>
            </w:tcBorders>
            <w:hideMark/>
          </w:tcPr>
          <w:p w14:paraId="195D91B4" w14:textId="0A6D6B22"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35AB7178" w14:textId="5192E5E6"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0D2CE296" w14:textId="77777777" w:rsidR="00862996" w:rsidRPr="00051FD3" w:rsidRDefault="00862996" w:rsidP="00862996">
            <w:pPr>
              <w:rPr>
                <w:sz w:val="22"/>
                <w:szCs w:val="22"/>
                <w:lang w:eastAsia="en-GB"/>
              </w:rPr>
            </w:pPr>
          </w:p>
        </w:tc>
      </w:tr>
      <w:tr w:rsidR="00862996" w:rsidRPr="00051FD3" w14:paraId="5D1E5B5B" w14:textId="77777777" w:rsidTr="00FA4E83">
        <w:trPr>
          <w:trHeight w:val="289"/>
          <w:jc w:val="center"/>
        </w:trPr>
        <w:tc>
          <w:tcPr>
            <w:tcW w:w="1836" w:type="dxa"/>
            <w:vMerge/>
            <w:tcBorders>
              <w:left w:val="single" w:sz="4" w:space="0" w:color="auto"/>
              <w:right w:val="single" w:sz="4" w:space="0" w:color="auto"/>
            </w:tcBorders>
            <w:hideMark/>
          </w:tcPr>
          <w:p w14:paraId="499C1CCF"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50A002D" w14:textId="3CE2832F" w:rsidR="00862996" w:rsidRPr="00051FD3" w:rsidRDefault="00862996" w:rsidP="00862996">
            <w:pPr>
              <w:rPr>
                <w:color w:val="000000"/>
                <w:sz w:val="22"/>
                <w:szCs w:val="22"/>
                <w:lang w:eastAsia="en-GB"/>
              </w:rPr>
            </w:pPr>
            <w:r w:rsidRPr="00051FD3">
              <w:rPr>
                <w:color w:val="000000"/>
                <w:sz w:val="22"/>
                <w:szCs w:val="22"/>
                <w:lang w:eastAsia="en-GB"/>
              </w:rPr>
              <w:t>Galūnių skausmas (kojų skausmas)</w:t>
            </w:r>
          </w:p>
        </w:tc>
        <w:tc>
          <w:tcPr>
            <w:tcW w:w="1701" w:type="dxa"/>
            <w:tcBorders>
              <w:top w:val="single" w:sz="4" w:space="0" w:color="auto"/>
              <w:left w:val="single" w:sz="4" w:space="0" w:color="auto"/>
              <w:bottom w:val="single" w:sz="4" w:space="0" w:color="auto"/>
              <w:right w:val="single" w:sz="4" w:space="0" w:color="auto"/>
            </w:tcBorders>
            <w:hideMark/>
          </w:tcPr>
          <w:p w14:paraId="1D969B17" w14:textId="77777777" w:rsidR="00E93540" w:rsidRPr="00051FD3" w:rsidRDefault="00E93540" w:rsidP="00862996">
            <w:pPr>
              <w:rPr>
                <w:color w:val="000000"/>
                <w:sz w:val="22"/>
                <w:szCs w:val="22"/>
                <w:lang w:eastAsia="en-GB"/>
              </w:rPr>
            </w:pPr>
          </w:p>
          <w:p w14:paraId="6BB5830E" w14:textId="7B985234"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2D2B68BE" w14:textId="77777777" w:rsidR="00E93540" w:rsidRPr="00051FD3" w:rsidRDefault="00E93540" w:rsidP="00862996">
            <w:pPr>
              <w:rPr>
                <w:color w:val="000000"/>
                <w:sz w:val="22"/>
                <w:szCs w:val="22"/>
                <w:lang w:eastAsia="en-GB"/>
              </w:rPr>
            </w:pPr>
          </w:p>
          <w:p w14:paraId="2D719F95" w14:textId="3C553DAA"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7B03D564" w14:textId="77777777" w:rsidR="00862996" w:rsidRPr="00051FD3" w:rsidRDefault="00862996" w:rsidP="00862996">
            <w:pPr>
              <w:rPr>
                <w:sz w:val="22"/>
                <w:szCs w:val="22"/>
                <w:lang w:eastAsia="en-GB"/>
              </w:rPr>
            </w:pPr>
          </w:p>
        </w:tc>
      </w:tr>
      <w:tr w:rsidR="00387073" w:rsidRPr="00051FD3" w14:paraId="0D7C0C45" w14:textId="77777777" w:rsidTr="00FA4E83">
        <w:trPr>
          <w:trHeight w:val="289"/>
          <w:jc w:val="center"/>
        </w:trPr>
        <w:tc>
          <w:tcPr>
            <w:tcW w:w="1836" w:type="dxa"/>
            <w:vMerge/>
            <w:tcBorders>
              <w:left w:val="single" w:sz="4" w:space="0" w:color="auto"/>
              <w:right w:val="single" w:sz="4" w:space="0" w:color="auto"/>
            </w:tcBorders>
            <w:hideMark/>
          </w:tcPr>
          <w:p w14:paraId="70A39FFA" w14:textId="77777777" w:rsidR="00775E26" w:rsidRPr="00051FD3" w:rsidRDefault="00775E26" w:rsidP="00B5059E">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503D2591" w14:textId="4FFEA40E" w:rsidR="00775E26" w:rsidRPr="00051FD3" w:rsidRDefault="00B62F99" w:rsidP="00B5059E">
            <w:pPr>
              <w:rPr>
                <w:color w:val="000000"/>
                <w:sz w:val="22"/>
                <w:szCs w:val="22"/>
                <w:lang w:eastAsia="en-GB"/>
              </w:rPr>
            </w:pPr>
            <w:r w:rsidRPr="00051FD3">
              <w:rPr>
                <w:color w:val="000000"/>
                <w:sz w:val="22"/>
                <w:szCs w:val="22"/>
                <w:lang w:eastAsia="en-GB"/>
              </w:rPr>
              <w:t xml:space="preserve">Sausgyslių skausmas (į </w:t>
            </w:r>
            <w:proofErr w:type="spellStart"/>
            <w:r w:rsidRPr="00051FD3">
              <w:rPr>
                <w:color w:val="000000"/>
                <w:sz w:val="22"/>
                <w:szCs w:val="22"/>
                <w:lang w:eastAsia="en-GB"/>
              </w:rPr>
              <w:t>tend</w:t>
            </w:r>
            <w:r w:rsidR="00E70B08">
              <w:rPr>
                <w:color w:val="000000"/>
                <w:sz w:val="22"/>
                <w:szCs w:val="22"/>
                <w:lang w:eastAsia="en-GB"/>
              </w:rPr>
              <w:t>i</w:t>
            </w:r>
            <w:r w:rsidRPr="00051FD3">
              <w:rPr>
                <w:color w:val="000000"/>
                <w:sz w:val="22"/>
                <w:szCs w:val="22"/>
                <w:lang w:eastAsia="en-GB"/>
              </w:rPr>
              <w:t>nitą</w:t>
            </w:r>
            <w:proofErr w:type="spellEnd"/>
            <w:r w:rsidRPr="00051FD3">
              <w:rPr>
                <w:color w:val="000000"/>
                <w:sz w:val="22"/>
                <w:szCs w:val="22"/>
                <w:lang w:eastAsia="en-GB"/>
              </w:rPr>
              <w:t xml:space="preserve"> panašūs simptomai)</w:t>
            </w:r>
          </w:p>
        </w:tc>
        <w:tc>
          <w:tcPr>
            <w:tcW w:w="1701" w:type="dxa"/>
            <w:tcBorders>
              <w:top w:val="single" w:sz="4" w:space="0" w:color="auto"/>
              <w:left w:val="single" w:sz="4" w:space="0" w:color="auto"/>
              <w:bottom w:val="single" w:sz="4" w:space="0" w:color="auto"/>
              <w:right w:val="single" w:sz="4" w:space="0" w:color="auto"/>
            </w:tcBorders>
            <w:hideMark/>
          </w:tcPr>
          <w:p w14:paraId="54D70D4E"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9265D2D" w14:textId="4E3279D9" w:rsidR="00775E26" w:rsidRPr="00051FD3" w:rsidRDefault="00C517F4" w:rsidP="00B5059E">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2FD15A25" w14:textId="77777777" w:rsidR="00775E26" w:rsidRPr="00051FD3" w:rsidRDefault="00775E26" w:rsidP="00B5059E">
            <w:pPr>
              <w:rPr>
                <w:color w:val="000000"/>
                <w:sz w:val="22"/>
                <w:szCs w:val="22"/>
                <w:lang w:eastAsia="en-GB"/>
              </w:rPr>
            </w:pPr>
          </w:p>
        </w:tc>
      </w:tr>
      <w:tr w:rsidR="00387073" w:rsidRPr="00051FD3" w14:paraId="103881DF" w14:textId="77777777" w:rsidTr="00FA4E83">
        <w:trPr>
          <w:trHeight w:val="289"/>
          <w:jc w:val="center"/>
        </w:trPr>
        <w:tc>
          <w:tcPr>
            <w:tcW w:w="1836" w:type="dxa"/>
            <w:vMerge/>
            <w:tcBorders>
              <w:left w:val="single" w:sz="4" w:space="0" w:color="auto"/>
              <w:bottom w:val="single" w:sz="4" w:space="0" w:color="auto"/>
              <w:right w:val="single" w:sz="4" w:space="0" w:color="auto"/>
            </w:tcBorders>
          </w:tcPr>
          <w:p w14:paraId="6AEF69D6" w14:textId="77777777" w:rsidR="00775E26" w:rsidRPr="00051FD3" w:rsidRDefault="00775E26" w:rsidP="00B5059E">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7DBC2E79" w14:textId="41697B16" w:rsidR="00775E26" w:rsidRPr="00051FD3" w:rsidRDefault="00B62F99" w:rsidP="00B5059E">
            <w:pPr>
              <w:rPr>
                <w:color w:val="000000"/>
                <w:sz w:val="22"/>
                <w:szCs w:val="22"/>
                <w:lang w:eastAsia="en-GB"/>
              </w:rPr>
            </w:pPr>
            <w:r w:rsidRPr="00051FD3">
              <w:rPr>
                <w:color w:val="000000"/>
                <w:sz w:val="22"/>
                <w:szCs w:val="22"/>
                <w:lang w:eastAsia="en-GB"/>
              </w:rPr>
              <w:t>Sisteminė raudonoji vilkligė</w:t>
            </w:r>
          </w:p>
        </w:tc>
        <w:tc>
          <w:tcPr>
            <w:tcW w:w="1701" w:type="dxa"/>
            <w:tcBorders>
              <w:top w:val="single" w:sz="4" w:space="0" w:color="auto"/>
              <w:left w:val="single" w:sz="4" w:space="0" w:color="auto"/>
              <w:bottom w:val="single" w:sz="4" w:space="0" w:color="auto"/>
              <w:right w:val="single" w:sz="4" w:space="0" w:color="auto"/>
            </w:tcBorders>
          </w:tcPr>
          <w:p w14:paraId="374FE25A" w14:textId="6AA00228" w:rsidR="00775E26" w:rsidRPr="00051FD3" w:rsidRDefault="00862996" w:rsidP="00C517F4">
            <w:pPr>
              <w:spacing w:after="240"/>
              <w:rPr>
                <w:color w:val="000000"/>
                <w:sz w:val="22"/>
                <w:szCs w:val="22"/>
                <w:lang w:eastAsia="en-GB"/>
              </w:rPr>
            </w:pPr>
            <w:r w:rsidRPr="00051FD3">
              <w:rPr>
                <w:color w:val="000000"/>
                <w:sz w:val="22"/>
                <w:szCs w:val="22"/>
                <w:lang w:eastAsia="en-GB"/>
              </w:rPr>
              <w:t>Retas</w:t>
            </w:r>
            <w:r w:rsidRPr="00051FD3">
              <w:rPr>
                <w:color w:val="000000"/>
                <w:sz w:val="22"/>
                <w:szCs w:val="22"/>
                <w:vertAlign w:val="superscript"/>
                <w:lang w:eastAsia="en-GB"/>
              </w:rPr>
              <w:t xml:space="preserve"> </w:t>
            </w:r>
            <w:r w:rsidR="00775E26" w:rsidRPr="00051FD3">
              <w:rPr>
                <w:color w:val="000000"/>
                <w:sz w:val="22"/>
                <w:szCs w:val="22"/>
                <w:vertAlign w:val="superscript"/>
                <w:lang w:eastAsia="en-GB"/>
              </w:rPr>
              <w:t>1</w:t>
            </w:r>
          </w:p>
        </w:tc>
        <w:tc>
          <w:tcPr>
            <w:tcW w:w="1701" w:type="dxa"/>
            <w:tcBorders>
              <w:top w:val="single" w:sz="4" w:space="0" w:color="auto"/>
              <w:left w:val="single" w:sz="4" w:space="0" w:color="auto"/>
              <w:bottom w:val="single" w:sz="4" w:space="0" w:color="auto"/>
              <w:right w:val="single" w:sz="4" w:space="0" w:color="auto"/>
            </w:tcBorders>
          </w:tcPr>
          <w:p w14:paraId="0EAB5D0E" w14:textId="77777777" w:rsidR="00775E26" w:rsidRPr="00051FD3" w:rsidRDefault="00775E26" w:rsidP="00C517F4">
            <w:pPr>
              <w:spacing w:after="240"/>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tcPr>
          <w:p w14:paraId="5F1DAB11" w14:textId="402CC00C" w:rsidR="00775E26" w:rsidRPr="00051FD3" w:rsidRDefault="00862996" w:rsidP="00C517F4">
            <w:pPr>
              <w:keepNext/>
              <w:spacing w:after="240"/>
              <w:rPr>
                <w:color w:val="000000"/>
                <w:sz w:val="22"/>
                <w:szCs w:val="22"/>
                <w:lang w:eastAsia="en-GB"/>
              </w:rPr>
            </w:pPr>
            <w:r w:rsidRPr="00051FD3">
              <w:rPr>
                <w:color w:val="000000"/>
                <w:sz w:val="22"/>
                <w:szCs w:val="22"/>
                <w:lang w:eastAsia="en-GB"/>
              </w:rPr>
              <w:t>Labai retas</w:t>
            </w:r>
          </w:p>
        </w:tc>
      </w:tr>
      <w:tr w:rsidR="00862996" w:rsidRPr="00051FD3" w14:paraId="4717BF26"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62DB018E" w14:textId="69020FC5" w:rsidR="00862996" w:rsidRPr="00051FD3" w:rsidRDefault="00862996" w:rsidP="00862996">
            <w:pPr>
              <w:rPr>
                <w:b/>
                <w:bCs/>
                <w:color w:val="000000"/>
                <w:sz w:val="22"/>
                <w:szCs w:val="22"/>
                <w:lang w:eastAsia="en-GB"/>
              </w:rPr>
            </w:pPr>
            <w:r w:rsidRPr="00051FD3">
              <w:rPr>
                <w:b/>
                <w:bCs/>
                <w:color w:val="000000"/>
                <w:sz w:val="22"/>
                <w:szCs w:val="22"/>
                <w:lang w:eastAsia="en-GB"/>
              </w:rPr>
              <w:t>Inkstų ir šlapimo takų sutrikimai</w:t>
            </w:r>
          </w:p>
        </w:tc>
        <w:tc>
          <w:tcPr>
            <w:tcW w:w="2412" w:type="dxa"/>
            <w:tcBorders>
              <w:top w:val="single" w:sz="4" w:space="0" w:color="auto"/>
              <w:left w:val="single" w:sz="4" w:space="0" w:color="auto"/>
              <w:bottom w:val="single" w:sz="4" w:space="0" w:color="auto"/>
              <w:right w:val="single" w:sz="4" w:space="0" w:color="auto"/>
            </w:tcBorders>
            <w:hideMark/>
          </w:tcPr>
          <w:p w14:paraId="06D7919C" w14:textId="10C2D262" w:rsidR="00862996" w:rsidRPr="00051FD3" w:rsidRDefault="00862996" w:rsidP="00862996">
            <w:pPr>
              <w:rPr>
                <w:color w:val="000000"/>
                <w:sz w:val="22"/>
                <w:szCs w:val="22"/>
                <w:lang w:eastAsia="en-GB"/>
              </w:rPr>
            </w:pPr>
            <w:r w:rsidRPr="00051FD3">
              <w:rPr>
                <w:color w:val="000000"/>
                <w:sz w:val="22"/>
                <w:szCs w:val="22"/>
                <w:lang w:eastAsia="en-GB"/>
              </w:rPr>
              <w:t>Inkstų sutrikimas</w:t>
            </w:r>
          </w:p>
        </w:tc>
        <w:tc>
          <w:tcPr>
            <w:tcW w:w="1701" w:type="dxa"/>
            <w:tcBorders>
              <w:top w:val="single" w:sz="4" w:space="0" w:color="auto"/>
              <w:left w:val="single" w:sz="4" w:space="0" w:color="auto"/>
              <w:bottom w:val="single" w:sz="4" w:space="0" w:color="auto"/>
              <w:right w:val="single" w:sz="4" w:space="0" w:color="auto"/>
            </w:tcBorders>
            <w:hideMark/>
          </w:tcPr>
          <w:p w14:paraId="16F9CC2A"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753D39FE" w14:textId="77777777" w:rsidR="00E93540" w:rsidRPr="00051FD3" w:rsidRDefault="00E93540" w:rsidP="00862996">
            <w:pPr>
              <w:rPr>
                <w:color w:val="000000"/>
                <w:sz w:val="22"/>
                <w:szCs w:val="22"/>
                <w:lang w:eastAsia="en-GB"/>
              </w:rPr>
            </w:pPr>
          </w:p>
          <w:p w14:paraId="081A2D78" w14:textId="360EEA3F"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6F4F0FA2" w14:textId="76E883B3" w:rsidR="00862996" w:rsidRPr="00051FD3" w:rsidRDefault="000471D2" w:rsidP="00862996">
            <w:pPr>
              <w:rPr>
                <w:color w:val="000000"/>
                <w:sz w:val="22"/>
                <w:szCs w:val="22"/>
                <w:lang w:eastAsia="en-GB"/>
              </w:rPr>
            </w:pPr>
            <w:r>
              <w:rPr>
                <w:color w:val="000000"/>
                <w:sz w:val="22"/>
                <w:szCs w:val="22"/>
                <w:lang w:eastAsia="en-GB"/>
              </w:rPr>
              <w:t>N</w:t>
            </w:r>
            <w:r w:rsidR="00862996" w:rsidRPr="00051FD3">
              <w:rPr>
                <w:color w:val="000000"/>
                <w:sz w:val="22"/>
                <w:szCs w:val="22"/>
                <w:lang w:eastAsia="en-GB"/>
              </w:rPr>
              <w:t>ežinomas</w:t>
            </w:r>
          </w:p>
        </w:tc>
      </w:tr>
      <w:tr w:rsidR="00862996" w:rsidRPr="00051FD3" w14:paraId="3617816E" w14:textId="77777777" w:rsidTr="00FA4E83">
        <w:trPr>
          <w:trHeight w:val="289"/>
          <w:jc w:val="center"/>
        </w:trPr>
        <w:tc>
          <w:tcPr>
            <w:tcW w:w="1836" w:type="dxa"/>
            <w:vMerge/>
            <w:tcBorders>
              <w:left w:val="single" w:sz="4" w:space="0" w:color="auto"/>
              <w:right w:val="single" w:sz="4" w:space="0" w:color="auto"/>
            </w:tcBorders>
            <w:hideMark/>
          </w:tcPr>
          <w:p w14:paraId="750CF409" w14:textId="77777777" w:rsidR="00862996" w:rsidRPr="00051FD3" w:rsidRDefault="00862996" w:rsidP="00862996">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0CFAF84E" w14:textId="7BC174D3" w:rsidR="00862996" w:rsidRPr="00051FD3" w:rsidRDefault="00862996" w:rsidP="00862996">
            <w:pPr>
              <w:rPr>
                <w:color w:val="000000"/>
                <w:sz w:val="22"/>
                <w:szCs w:val="22"/>
                <w:lang w:eastAsia="en-GB"/>
              </w:rPr>
            </w:pPr>
            <w:r w:rsidRPr="00051FD3">
              <w:rPr>
                <w:color w:val="000000"/>
                <w:sz w:val="22"/>
                <w:szCs w:val="22"/>
                <w:lang w:eastAsia="en-GB"/>
              </w:rPr>
              <w:t>Ūminis inkstų nepakankamumas</w:t>
            </w:r>
          </w:p>
        </w:tc>
        <w:tc>
          <w:tcPr>
            <w:tcW w:w="1701" w:type="dxa"/>
            <w:tcBorders>
              <w:top w:val="single" w:sz="4" w:space="0" w:color="auto"/>
              <w:left w:val="single" w:sz="4" w:space="0" w:color="auto"/>
              <w:bottom w:val="single" w:sz="4" w:space="0" w:color="auto"/>
              <w:right w:val="single" w:sz="4" w:space="0" w:color="auto"/>
            </w:tcBorders>
            <w:hideMark/>
          </w:tcPr>
          <w:p w14:paraId="131485B5" w14:textId="77777777" w:rsidR="00862996" w:rsidRPr="00051FD3" w:rsidRDefault="00862996" w:rsidP="00862996">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155A1B2B" w14:textId="1DE87647"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3CD0ECC1" w14:textId="50620747" w:rsidR="00862996" w:rsidRPr="00051FD3" w:rsidRDefault="00862996" w:rsidP="00862996">
            <w:pPr>
              <w:rPr>
                <w:color w:val="000000"/>
                <w:sz w:val="22"/>
                <w:szCs w:val="22"/>
                <w:lang w:eastAsia="en-GB"/>
              </w:rPr>
            </w:pPr>
            <w:r w:rsidRPr="00051FD3">
              <w:rPr>
                <w:color w:val="000000"/>
                <w:sz w:val="22"/>
                <w:szCs w:val="22"/>
                <w:lang w:eastAsia="en-GB"/>
              </w:rPr>
              <w:t>Nedažnas</w:t>
            </w:r>
          </w:p>
        </w:tc>
      </w:tr>
      <w:tr w:rsidR="00387073" w:rsidRPr="00051FD3" w14:paraId="23E7B7FF" w14:textId="77777777" w:rsidTr="00FA4E83">
        <w:trPr>
          <w:trHeight w:val="289"/>
          <w:jc w:val="center"/>
        </w:trPr>
        <w:tc>
          <w:tcPr>
            <w:tcW w:w="1836" w:type="dxa"/>
            <w:vMerge/>
            <w:tcBorders>
              <w:left w:val="single" w:sz="4" w:space="0" w:color="auto"/>
              <w:bottom w:val="single" w:sz="4" w:space="0" w:color="auto"/>
              <w:right w:val="single" w:sz="4" w:space="0" w:color="auto"/>
            </w:tcBorders>
          </w:tcPr>
          <w:p w14:paraId="3ECD2038" w14:textId="77777777" w:rsidR="00775E26" w:rsidRPr="00051FD3" w:rsidRDefault="00775E26" w:rsidP="00B5059E">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tcPr>
          <w:p w14:paraId="5E59D437" w14:textId="2A697AC7" w:rsidR="00775E26" w:rsidRPr="00051FD3" w:rsidRDefault="00B62F99" w:rsidP="00B5059E">
            <w:pPr>
              <w:rPr>
                <w:color w:val="000000"/>
                <w:sz w:val="22"/>
                <w:szCs w:val="22"/>
                <w:lang w:eastAsia="en-GB"/>
              </w:rPr>
            </w:pPr>
            <w:proofErr w:type="spellStart"/>
            <w:r w:rsidRPr="00051FD3">
              <w:rPr>
                <w:color w:val="000000"/>
                <w:sz w:val="22"/>
                <w:szCs w:val="22"/>
                <w:lang w:eastAsia="en-GB"/>
              </w:rPr>
              <w:t>Glikozurija</w:t>
            </w:r>
            <w:proofErr w:type="spellEnd"/>
          </w:p>
        </w:tc>
        <w:tc>
          <w:tcPr>
            <w:tcW w:w="1701" w:type="dxa"/>
            <w:tcBorders>
              <w:top w:val="single" w:sz="4" w:space="0" w:color="auto"/>
              <w:left w:val="single" w:sz="4" w:space="0" w:color="auto"/>
              <w:bottom w:val="single" w:sz="4" w:space="0" w:color="auto"/>
              <w:right w:val="single" w:sz="4" w:space="0" w:color="auto"/>
            </w:tcBorders>
          </w:tcPr>
          <w:p w14:paraId="372F33F2" w14:textId="77777777" w:rsidR="00775E26" w:rsidRPr="00051FD3" w:rsidRDefault="00775E26" w:rsidP="00B5059E">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28E8AF52" w14:textId="77777777" w:rsidR="00775E26" w:rsidRPr="00051FD3" w:rsidRDefault="00775E26" w:rsidP="00B5059E">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tcPr>
          <w:p w14:paraId="019A9F8E" w14:textId="4B6BFCAF" w:rsidR="00775E26" w:rsidRPr="00051FD3" w:rsidRDefault="00862996" w:rsidP="00B5059E">
            <w:pPr>
              <w:rPr>
                <w:color w:val="000000"/>
                <w:sz w:val="22"/>
                <w:szCs w:val="22"/>
                <w:lang w:eastAsia="en-GB"/>
              </w:rPr>
            </w:pPr>
            <w:r w:rsidRPr="00051FD3">
              <w:rPr>
                <w:color w:val="000000"/>
                <w:sz w:val="22"/>
                <w:szCs w:val="22"/>
                <w:lang w:eastAsia="en-GB"/>
              </w:rPr>
              <w:t>Retas</w:t>
            </w:r>
          </w:p>
        </w:tc>
      </w:tr>
      <w:tr w:rsidR="00387073" w:rsidRPr="00051FD3" w14:paraId="35352376" w14:textId="77777777" w:rsidTr="00FA4E83">
        <w:trPr>
          <w:trHeight w:val="289"/>
          <w:jc w:val="center"/>
        </w:trPr>
        <w:tc>
          <w:tcPr>
            <w:tcW w:w="1836" w:type="dxa"/>
            <w:tcBorders>
              <w:top w:val="single" w:sz="4" w:space="0" w:color="auto"/>
              <w:left w:val="single" w:sz="4" w:space="0" w:color="auto"/>
              <w:bottom w:val="single" w:sz="4" w:space="0" w:color="auto"/>
              <w:right w:val="single" w:sz="4" w:space="0" w:color="auto"/>
            </w:tcBorders>
            <w:hideMark/>
          </w:tcPr>
          <w:p w14:paraId="0B8A67F7" w14:textId="613524DC" w:rsidR="00775E26" w:rsidRPr="00051FD3" w:rsidRDefault="00EC6A3C" w:rsidP="00B5059E">
            <w:pPr>
              <w:rPr>
                <w:b/>
                <w:bCs/>
                <w:color w:val="000000"/>
                <w:sz w:val="22"/>
                <w:szCs w:val="22"/>
                <w:lang w:eastAsia="en-GB"/>
              </w:rPr>
            </w:pPr>
            <w:r w:rsidRPr="00051FD3">
              <w:rPr>
                <w:b/>
                <w:bCs/>
                <w:color w:val="000000"/>
                <w:sz w:val="22"/>
                <w:szCs w:val="22"/>
                <w:lang w:eastAsia="en-GB"/>
              </w:rPr>
              <w:t>Lytinės sistemos ir krūties sutrikimai</w:t>
            </w:r>
          </w:p>
        </w:tc>
        <w:tc>
          <w:tcPr>
            <w:tcW w:w="2412" w:type="dxa"/>
            <w:tcBorders>
              <w:top w:val="single" w:sz="4" w:space="0" w:color="auto"/>
              <w:left w:val="single" w:sz="4" w:space="0" w:color="auto"/>
              <w:bottom w:val="single" w:sz="4" w:space="0" w:color="auto"/>
              <w:right w:val="single" w:sz="4" w:space="0" w:color="auto"/>
            </w:tcBorders>
            <w:hideMark/>
          </w:tcPr>
          <w:p w14:paraId="57C321CB" w14:textId="09DBC760" w:rsidR="00775E26" w:rsidRPr="00051FD3" w:rsidRDefault="00B62F99" w:rsidP="00B5059E">
            <w:pPr>
              <w:rPr>
                <w:color w:val="000000"/>
                <w:sz w:val="22"/>
                <w:szCs w:val="22"/>
                <w:lang w:eastAsia="en-GB"/>
              </w:rPr>
            </w:pPr>
            <w:r w:rsidRPr="00051FD3">
              <w:rPr>
                <w:color w:val="000000"/>
                <w:sz w:val="22"/>
                <w:szCs w:val="22"/>
                <w:lang w:eastAsia="en-GB"/>
              </w:rPr>
              <w:t>Erekcijos sutrikimas</w:t>
            </w:r>
          </w:p>
        </w:tc>
        <w:tc>
          <w:tcPr>
            <w:tcW w:w="1701" w:type="dxa"/>
            <w:tcBorders>
              <w:top w:val="single" w:sz="4" w:space="0" w:color="auto"/>
              <w:left w:val="single" w:sz="4" w:space="0" w:color="auto"/>
              <w:bottom w:val="single" w:sz="4" w:space="0" w:color="auto"/>
              <w:right w:val="single" w:sz="4" w:space="0" w:color="auto"/>
            </w:tcBorders>
            <w:hideMark/>
          </w:tcPr>
          <w:p w14:paraId="73F44DA2" w14:textId="6E1E614C" w:rsidR="00775E26" w:rsidRPr="00051FD3" w:rsidRDefault="00862996" w:rsidP="00B5059E">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7E53431F" w14:textId="77777777" w:rsidR="00775E26" w:rsidRPr="00051FD3" w:rsidRDefault="00775E26" w:rsidP="00B5059E">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5B430574" w14:textId="4261731A" w:rsidR="00775E26" w:rsidRPr="00051FD3" w:rsidRDefault="00862996" w:rsidP="00B5059E">
            <w:pPr>
              <w:rPr>
                <w:color w:val="000000"/>
                <w:sz w:val="22"/>
                <w:szCs w:val="22"/>
                <w:lang w:eastAsia="en-GB"/>
              </w:rPr>
            </w:pPr>
            <w:r w:rsidRPr="00051FD3">
              <w:rPr>
                <w:sz w:val="22"/>
                <w:szCs w:val="22"/>
                <w:lang w:eastAsia="en-GB"/>
              </w:rPr>
              <w:t>Dažnas</w:t>
            </w:r>
          </w:p>
        </w:tc>
      </w:tr>
      <w:tr w:rsidR="00862996" w:rsidRPr="00051FD3" w14:paraId="77456B17"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529E240F" w14:textId="62005AEB" w:rsidR="00862996" w:rsidRPr="00051FD3" w:rsidRDefault="00862996" w:rsidP="00862996">
            <w:pPr>
              <w:rPr>
                <w:b/>
                <w:bCs/>
                <w:color w:val="000000"/>
                <w:sz w:val="22"/>
                <w:szCs w:val="22"/>
                <w:lang w:eastAsia="en-GB"/>
              </w:rPr>
            </w:pPr>
            <w:r w:rsidRPr="00051FD3">
              <w:rPr>
                <w:b/>
                <w:bCs/>
                <w:color w:val="000000"/>
                <w:sz w:val="22"/>
                <w:szCs w:val="22"/>
                <w:lang w:eastAsia="en-GB"/>
              </w:rPr>
              <w:t>Bendrieji sutrikimai ir vartojimo vietos pažeidimai</w:t>
            </w:r>
          </w:p>
        </w:tc>
        <w:tc>
          <w:tcPr>
            <w:tcW w:w="2412" w:type="dxa"/>
            <w:tcBorders>
              <w:top w:val="single" w:sz="4" w:space="0" w:color="auto"/>
              <w:left w:val="single" w:sz="4" w:space="0" w:color="auto"/>
              <w:bottom w:val="single" w:sz="4" w:space="0" w:color="auto"/>
              <w:right w:val="single" w:sz="4" w:space="0" w:color="auto"/>
            </w:tcBorders>
            <w:hideMark/>
          </w:tcPr>
          <w:p w14:paraId="17DA2426" w14:textId="174D54B1" w:rsidR="00862996" w:rsidRPr="00051FD3" w:rsidRDefault="00862996" w:rsidP="00862996">
            <w:pPr>
              <w:rPr>
                <w:color w:val="000000"/>
                <w:sz w:val="22"/>
                <w:szCs w:val="22"/>
                <w:lang w:eastAsia="en-GB"/>
              </w:rPr>
            </w:pPr>
            <w:r w:rsidRPr="00051FD3">
              <w:rPr>
                <w:color w:val="000000"/>
                <w:sz w:val="22"/>
                <w:szCs w:val="22"/>
                <w:lang w:eastAsia="en-GB"/>
              </w:rPr>
              <w:t>Krūtinės skausmas</w:t>
            </w:r>
          </w:p>
        </w:tc>
        <w:tc>
          <w:tcPr>
            <w:tcW w:w="1701" w:type="dxa"/>
            <w:tcBorders>
              <w:top w:val="single" w:sz="4" w:space="0" w:color="auto"/>
              <w:left w:val="single" w:sz="4" w:space="0" w:color="auto"/>
              <w:bottom w:val="single" w:sz="4" w:space="0" w:color="auto"/>
              <w:right w:val="single" w:sz="4" w:space="0" w:color="auto"/>
            </w:tcBorders>
            <w:hideMark/>
          </w:tcPr>
          <w:p w14:paraId="26A99156" w14:textId="085B7399"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52394750" w14:textId="224FF0FA" w:rsidR="00862996" w:rsidRPr="00051FD3" w:rsidRDefault="00862996" w:rsidP="00862996">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7A71B54E" w14:textId="77777777" w:rsidR="00862996" w:rsidRPr="00051FD3" w:rsidRDefault="00862996" w:rsidP="00862996">
            <w:pPr>
              <w:rPr>
                <w:color w:val="000000"/>
                <w:sz w:val="22"/>
                <w:szCs w:val="22"/>
                <w:lang w:eastAsia="en-GB"/>
              </w:rPr>
            </w:pPr>
          </w:p>
        </w:tc>
      </w:tr>
      <w:tr w:rsidR="00862996" w:rsidRPr="00051FD3" w14:paraId="289BCBB7" w14:textId="77777777" w:rsidTr="00FA4E83">
        <w:trPr>
          <w:trHeight w:val="289"/>
          <w:jc w:val="center"/>
        </w:trPr>
        <w:tc>
          <w:tcPr>
            <w:tcW w:w="1836" w:type="dxa"/>
            <w:vMerge/>
            <w:tcBorders>
              <w:left w:val="single" w:sz="4" w:space="0" w:color="auto"/>
              <w:right w:val="single" w:sz="4" w:space="0" w:color="auto"/>
            </w:tcBorders>
            <w:hideMark/>
          </w:tcPr>
          <w:p w14:paraId="3D2A5801"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1C7EE194" w14:textId="683AD558" w:rsidR="00862996" w:rsidRPr="00051FD3" w:rsidRDefault="00862996" w:rsidP="00862996">
            <w:pPr>
              <w:rPr>
                <w:color w:val="000000"/>
                <w:sz w:val="22"/>
                <w:szCs w:val="22"/>
                <w:lang w:eastAsia="en-GB"/>
              </w:rPr>
            </w:pPr>
            <w:r w:rsidRPr="00051FD3">
              <w:rPr>
                <w:color w:val="000000"/>
                <w:sz w:val="22"/>
                <w:szCs w:val="22"/>
                <w:lang w:eastAsia="en-GB"/>
              </w:rPr>
              <w:t>Į gripą panaši liga</w:t>
            </w:r>
          </w:p>
        </w:tc>
        <w:tc>
          <w:tcPr>
            <w:tcW w:w="1701" w:type="dxa"/>
            <w:tcBorders>
              <w:top w:val="single" w:sz="4" w:space="0" w:color="auto"/>
              <w:left w:val="single" w:sz="4" w:space="0" w:color="auto"/>
              <w:bottom w:val="single" w:sz="4" w:space="0" w:color="auto"/>
              <w:right w:val="single" w:sz="4" w:space="0" w:color="auto"/>
            </w:tcBorders>
            <w:hideMark/>
          </w:tcPr>
          <w:p w14:paraId="4AA09B9E" w14:textId="54A42315"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0E7EE6BA" w14:textId="2F6CFDE3"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35661762" w14:textId="77777777" w:rsidR="00862996" w:rsidRPr="00051FD3" w:rsidRDefault="00862996" w:rsidP="00862996">
            <w:pPr>
              <w:rPr>
                <w:color w:val="000000"/>
                <w:sz w:val="22"/>
                <w:szCs w:val="22"/>
                <w:lang w:eastAsia="en-GB"/>
              </w:rPr>
            </w:pPr>
          </w:p>
        </w:tc>
      </w:tr>
      <w:tr w:rsidR="00862996" w:rsidRPr="00051FD3" w14:paraId="61E9C483" w14:textId="77777777" w:rsidTr="00FA4E83">
        <w:trPr>
          <w:trHeight w:val="289"/>
          <w:jc w:val="center"/>
        </w:trPr>
        <w:tc>
          <w:tcPr>
            <w:tcW w:w="1836" w:type="dxa"/>
            <w:vMerge/>
            <w:tcBorders>
              <w:left w:val="single" w:sz="4" w:space="0" w:color="auto"/>
              <w:right w:val="single" w:sz="4" w:space="0" w:color="auto"/>
            </w:tcBorders>
            <w:hideMark/>
          </w:tcPr>
          <w:p w14:paraId="7BE2FF66" w14:textId="77777777" w:rsidR="00862996" w:rsidRPr="00051FD3" w:rsidRDefault="00862996" w:rsidP="00862996">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4E6CD6AD" w14:textId="55875752" w:rsidR="00862996" w:rsidRPr="00051FD3" w:rsidRDefault="00862996" w:rsidP="00862996">
            <w:pPr>
              <w:rPr>
                <w:color w:val="000000"/>
                <w:sz w:val="22"/>
                <w:szCs w:val="22"/>
                <w:lang w:eastAsia="en-GB"/>
              </w:rPr>
            </w:pPr>
            <w:r w:rsidRPr="00051FD3">
              <w:rPr>
                <w:color w:val="000000"/>
                <w:sz w:val="22"/>
                <w:szCs w:val="22"/>
                <w:lang w:eastAsia="en-GB"/>
              </w:rPr>
              <w:t>Skausmas</w:t>
            </w:r>
          </w:p>
        </w:tc>
        <w:tc>
          <w:tcPr>
            <w:tcW w:w="1701" w:type="dxa"/>
            <w:tcBorders>
              <w:top w:val="single" w:sz="4" w:space="0" w:color="auto"/>
              <w:left w:val="single" w:sz="4" w:space="0" w:color="auto"/>
              <w:bottom w:val="single" w:sz="4" w:space="0" w:color="auto"/>
              <w:right w:val="single" w:sz="4" w:space="0" w:color="auto"/>
            </w:tcBorders>
            <w:hideMark/>
          </w:tcPr>
          <w:p w14:paraId="407496F8" w14:textId="12984793" w:rsidR="00862996" w:rsidRPr="00051FD3" w:rsidRDefault="00862996" w:rsidP="00862996">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53D0860E" w14:textId="77777777" w:rsidR="00862996" w:rsidRPr="00051FD3" w:rsidRDefault="00862996" w:rsidP="00862996">
            <w:pPr>
              <w:rPr>
                <w:color w:val="000000"/>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01B39863" w14:textId="77777777" w:rsidR="00862996" w:rsidRPr="00051FD3" w:rsidRDefault="00862996" w:rsidP="00862996">
            <w:pPr>
              <w:rPr>
                <w:sz w:val="22"/>
                <w:szCs w:val="22"/>
                <w:lang w:eastAsia="en-GB"/>
              </w:rPr>
            </w:pPr>
          </w:p>
        </w:tc>
      </w:tr>
      <w:tr w:rsidR="00B839E0" w:rsidRPr="00051FD3" w14:paraId="5DBCC8E5" w14:textId="77777777" w:rsidTr="00FA4E83">
        <w:trPr>
          <w:trHeight w:val="289"/>
          <w:jc w:val="center"/>
        </w:trPr>
        <w:tc>
          <w:tcPr>
            <w:tcW w:w="1836" w:type="dxa"/>
            <w:vMerge/>
            <w:tcBorders>
              <w:left w:val="single" w:sz="4" w:space="0" w:color="auto"/>
              <w:right w:val="single" w:sz="4" w:space="0" w:color="auto"/>
            </w:tcBorders>
            <w:hideMark/>
          </w:tcPr>
          <w:p w14:paraId="6024B86C" w14:textId="77777777" w:rsidR="00B839E0" w:rsidRPr="00051FD3" w:rsidRDefault="00B839E0" w:rsidP="00B839E0">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7BC3E81D" w14:textId="501C4692" w:rsidR="00B839E0" w:rsidRPr="00051FD3" w:rsidRDefault="00B839E0" w:rsidP="00B839E0">
            <w:pPr>
              <w:rPr>
                <w:color w:val="000000"/>
                <w:sz w:val="22"/>
                <w:szCs w:val="22"/>
                <w:lang w:eastAsia="en-GB"/>
              </w:rPr>
            </w:pPr>
            <w:proofErr w:type="spellStart"/>
            <w:r w:rsidRPr="00051FD3">
              <w:rPr>
                <w:color w:val="000000"/>
                <w:sz w:val="22"/>
                <w:szCs w:val="22"/>
                <w:lang w:eastAsia="en-GB"/>
              </w:rPr>
              <w:t>Astenija</w:t>
            </w:r>
            <w:proofErr w:type="spellEnd"/>
            <w:r w:rsidRPr="00051FD3">
              <w:rPr>
                <w:color w:val="000000"/>
                <w:sz w:val="22"/>
                <w:szCs w:val="22"/>
                <w:lang w:eastAsia="en-GB"/>
              </w:rPr>
              <w:t xml:space="preserve"> (silpnumas)</w:t>
            </w:r>
          </w:p>
        </w:tc>
        <w:tc>
          <w:tcPr>
            <w:tcW w:w="1701" w:type="dxa"/>
            <w:tcBorders>
              <w:top w:val="single" w:sz="4" w:space="0" w:color="auto"/>
              <w:left w:val="single" w:sz="4" w:space="0" w:color="auto"/>
              <w:bottom w:val="single" w:sz="4" w:space="0" w:color="auto"/>
              <w:right w:val="single" w:sz="4" w:space="0" w:color="auto"/>
            </w:tcBorders>
            <w:hideMark/>
          </w:tcPr>
          <w:p w14:paraId="25AC9B6B" w14:textId="77777777" w:rsidR="00B839E0" w:rsidRPr="00051FD3" w:rsidRDefault="00B839E0" w:rsidP="00B839E0">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69D32D83" w14:textId="7D6F42EA" w:rsidR="00B839E0" w:rsidRPr="00051FD3" w:rsidRDefault="00B839E0" w:rsidP="00B839E0">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6585EC08" w14:textId="51116954" w:rsidR="00B839E0" w:rsidRPr="00051FD3" w:rsidRDefault="00696ED9" w:rsidP="00B839E0">
            <w:pPr>
              <w:rPr>
                <w:color w:val="000000"/>
                <w:sz w:val="22"/>
                <w:szCs w:val="22"/>
                <w:lang w:eastAsia="en-GB"/>
              </w:rPr>
            </w:pPr>
            <w:r>
              <w:rPr>
                <w:color w:val="000000"/>
                <w:sz w:val="22"/>
                <w:szCs w:val="22"/>
                <w:lang w:eastAsia="en-GB"/>
              </w:rPr>
              <w:t>N</w:t>
            </w:r>
            <w:r w:rsidR="00B839E0" w:rsidRPr="00051FD3">
              <w:rPr>
                <w:color w:val="000000"/>
                <w:sz w:val="22"/>
                <w:szCs w:val="22"/>
                <w:lang w:eastAsia="en-GB"/>
              </w:rPr>
              <w:t>ežinomas</w:t>
            </w:r>
          </w:p>
        </w:tc>
      </w:tr>
      <w:tr w:rsidR="00B839E0" w:rsidRPr="00051FD3" w14:paraId="2BC25335"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2E73D8CD" w14:textId="77777777" w:rsidR="00B839E0" w:rsidRPr="00051FD3" w:rsidRDefault="00B839E0" w:rsidP="00B839E0">
            <w:pPr>
              <w:rPr>
                <w:color w:val="000000"/>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2D51019F" w14:textId="0D331BB8" w:rsidR="00B839E0" w:rsidRPr="00051FD3" w:rsidRDefault="00B839E0" w:rsidP="00B839E0">
            <w:pPr>
              <w:rPr>
                <w:color w:val="000000"/>
                <w:sz w:val="22"/>
                <w:szCs w:val="22"/>
                <w:lang w:eastAsia="en-GB"/>
              </w:rPr>
            </w:pPr>
            <w:r w:rsidRPr="00051FD3">
              <w:rPr>
                <w:color w:val="000000"/>
                <w:sz w:val="22"/>
                <w:szCs w:val="22"/>
                <w:lang w:eastAsia="en-GB"/>
              </w:rPr>
              <w:t>Karščiavimas a</w:t>
            </w:r>
          </w:p>
        </w:tc>
        <w:tc>
          <w:tcPr>
            <w:tcW w:w="1701" w:type="dxa"/>
            <w:tcBorders>
              <w:top w:val="single" w:sz="4" w:space="0" w:color="auto"/>
              <w:left w:val="single" w:sz="4" w:space="0" w:color="auto"/>
              <w:bottom w:val="single" w:sz="4" w:space="0" w:color="auto"/>
              <w:right w:val="single" w:sz="4" w:space="0" w:color="auto"/>
            </w:tcBorders>
            <w:hideMark/>
          </w:tcPr>
          <w:p w14:paraId="17B7FFBD" w14:textId="77777777" w:rsidR="00B839E0" w:rsidRPr="00051FD3" w:rsidRDefault="00B839E0" w:rsidP="00B839E0">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08DABA60" w14:textId="77777777" w:rsidR="00B839E0" w:rsidRPr="00051FD3" w:rsidRDefault="00B839E0" w:rsidP="00B839E0">
            <w:pPr>
              <w:rPr>
                <w:sz w:val="22"/>
                <w:szCs w:val="22"/>
                <w:lang w:eastAsia="en-GB"/>
              </w:rPr>
            </w:pPr>
          </w:p>
        </w:tc>
        <w:tc>
          <w:tcPr>
            <w:tcW w:w="1843" w:type="dxa"/>
            <w:tcBorders>
              <w:top w:val="single" w:sz="4" w:space="0" w:color="auto"/>
              <w:left w:val="single" w:sz="4" w:space="0" w:color="auto"/>
              <w:bottom w:val="single" w:sz="4" w:space="0" w:color="auto"/>
              <w:right w:val="single" w:sz="4" w:space="0" w:color="auto"/>
            </w:tcBorders>
            <w:hideMark/>
          </w:tcPr>
          <w:p w14:paraId="4A2C97A4" w14:textId="2402ACBC" w:rsidR="00B839E0" w:rsidRPr="00051FD3" w:rsidRDefault="00696ED9" w:rsidP="00B839E0">
            <w:pPr>
              <w:rPr>
                <w:color w:val="000000"/>
                <w:sz w:val="22"/>
                <w:szCs w:val="22"/>
                <w:lang w:eastAsia="en-GB"/>
              </w:rPr>
            </w:pPr>
            <w:r>
              <w:rPr>
                <w:color w:val="000000"/>
                <w:sz w:val="22"/>
                <w:szCs w:val="22"/>
                <w:lang w:eastAsia="en-GB"/>
              </w:rPr>
              <w:t>N</w:t>
            </w:r>
            <w:r w:rsidR="00B839E0" w:rsidRPr="00051FD3">
              <w:rPr>
                <w:color w:val="000000"/>
                <w:sz w:val="22"/>
                <w:szCs w:val="22"/>
                <w:lang w:eastAsia="en-GB"/>
              </w:rPr>
              <w:t>ežinomas</w:t>
            </w:r>
          </w:p>
        </w:tc>
      </w:tr>
      <w:tr w:rsidR="00387073" w:rsidRPr="00051FD3" w14:paraId="6BE620EF" w14:textId="77777777" w:rsidTr="00FA4E83">
        <w:trPr>
          <w:trHeight w:val="289"/>
          <w:jc w:val="center"/>
        </w:trPr>
        <w:tc>
          <w:tcPr>
            <w:tcW w:w="1836" w:type="dxa"/>
            <w:vMerge w:val="restart"/>
            <w:tcBorders>
              <w:top w:val="single" w:sz="4" w:space="0" w:color="auto"/>
              <w:left w:val="single" w:sz="4" w:space="0" w:color="auto"/>
              <w:right w:val="single" w:sz="4" w:space="0" w:color="auto"/>
            </w:tcBorders>
            <w:hideMark/>
          </w:tcPr>
          <w:p w14:paraId="58FEEFEB" w14:textId="61B7E949" w:rsidR="00775E26" w:rsidRPr="00051FD3" w:rsidRDefault="00EC6A3C" w:rsidP="00B5059E">
            <w:pPr>
              <w:rPr>
                <w:b/>
                <w:bCs/>
                <w:color w:val="000000"/>
                <w:sz w:val="22"/>
                <w:szCs w:val="22"/>
                <w:lang w:eastAsia="en-GB"/>
              </w:rPr>
            </w:pPr>
            <w:r w:rsidRPr="00051FD3">
              <w:rPr>
                <w:b/>
                <w:bCs/>
                <w:color w:val="000000"/>
                <w:sz w:val="22"/>
                <w:szCs w:val="22"/>
                <w:lang w:eastAsia="en-GB"/>
              </w:rPr>
              <w:t>Tyrimai</w:t>
            </w:r>
          </w:p>
        </w:tc>
        <w:tc>
          <w:tcPr>
            <w:tcW w:w="2412" w:type="dxa"/>
            <w:tcBorders>
              <w:top w:val="single" w:sz="4" w:space="0" w:color="auto"/>
              <w:left w:val="single" w:sz="4" w:space="0" w:color="auto"/>
              <w:bottom w:val="single" w:sz="4" w:space="0" w:color="auto"/>
              <w:right w:val="single" w:sz="4" w:space="0" w:color="auto"/>
            </w:tcBorders>
            <w:hideMark/>
          </w:tcPr>
          <w:p w14:paraId="4746F824" w14:textId="065F73FA" w:rsidR="00775E26" w:rsidRPr="00051FD3" w:rsidRDefault="00B62F99" w:rsidP="00B5059E">
            <w:pPr>
              <w:rPr>
                <w:color w:val="000000"/>
                <w:sz w:val="22"/>
                <w:szCs w:val="22"/>
                <w:lang w:eastAsia="en-GB"/>
              </w:rPr>
            </w:pPr>
            <w:r w:rsidRPr="00051FD3">
              <w:rPr>
                <w:color w:val="000000"/>
                <w:sz w:val="22"/>
                <w:szCs w:val="22"/>
                <w:lang w:eastAsia="en-GB"/>
              </w:rPr>
              <w:t>Šlapimo rūgšties kiekio padidėjimas kraujyje</w:t>
            </w:r>
          </w:p>
        </w:tc>
        <w:tc>
          <w:tcPr>
            <w:tcW w:w="1701" w:type="dxa"/>
            <w:tcBorders>
              <w:top w:val="single" w:sz="4" w:space="0" w:color="auto"/>
              <w:left w:val="single" w:sz="4" w:space="0" w:color="auto"/>
              <w:bottom w:val="single" w:sz="4" w:space="0" w:color="auto"/>
              <w:right w:val="single" w:sz="4" w:space="0" w:color="auto"/>
            </w:tcBorders>
            <w:hideMark/>
          </w:tcPr>
          <w:p w14:paraId="08AA5AE4" w14:textId="13547276" w:rsidR="00775E26" w:rsidRPr="00051FD3" w:rsidRDefault="00B839E0" w:rsidP="00B5059E">
            <w:pPr>
              <w:rPr>
                <w:color w:val="000000"/>
                <w:sz w:val="22"/>
                <w:szCs w:val="22"/>
                <w:lang w:eastAsia="en-GB"/>
              </w:rPr>
            </w:pPr>
            <w:r w:rsidRPr="00051FD3">
              <w:rPr>
                <w:color w:val="000000"/>
                <w:sz w:val="22"/>
                <w:szCs w:val="22"/>
                <w:lang w:eastAsia="en-GB"/>
              </w:rPr>
              <w:t>Nedažnas</w:t>
            </w:r>
          </w:p>
        </w:tc>
        <w:tc>
          <w:tcPr>
            <w:tcW w:w="1701" w:type="dxa"/>
            <w:tcBorders>
              <w:top w:val="single" w:sz="4" w:space="0" w:color="auto"/>
              <w:left w:val="single" w:sz="4" w:space="0" w:color="auto"/>
              <w:bottom w:val="single" w:sz="4" w:space="0" w:color="auto"/>
              <w:right w:val="single" w:sz="4" w:space="0" w:color="auto"/>
            </w:tcBorders>
            <w:hideMark/>
          </w:tcPr>
          <w:p w14:paraId="0A6DA031" w14:textId="0220E1BC" w:rsidR="00775E26" w:rsidRPr="00051FD3" w:rsidRDefault="00B839E0" w:rsidP="00B5059E">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2AA73698" w14:textId="77777777" w:rsidR="00775E26" w:rsidRPr="00051FD3" w:rsidRDefault="00775E26" w:rsidP="00B5059E">
            <w:pPr>
              <w:rPr>
                <w:color w:val="000000"/>
                <w:sz w:val="22"/>
                <w:szCs w:val="22"/>
                <w:lang w:eastAsia="en-GB"/>
              </w:rPr>
            </w:pPr>
          </w:p>
        </w:tc>
      </w:tr>
      <w:tr w:rsidR="00B839E0" w:rsidRPr="00051FD3" w14:paraId="3C0CF2D2" w14:textId="77777777" w:rsidTr="00FA4E83">
        <w:trPr>
          <w:trHeight w:val="289"/>
          <w:jc w:val="center"/>
        </w:trPr>
        <w:tc>
          <w:tcPr>
            <w:tcW w:w="1836" w:type="dxa"/>
            <w:vMerge/>
            <w:tcBorders>
              <w:left w:val="single" w:sz="4" w:space="0" w:color="auto"/>
              <w:right w:val="single" w:sz="4" w:space="0" w:color="auto"/>
            </w:tcBorders>
            <w:hideMark/>
          </w:tcPr>
          <w:p w14:paraId="768A681B" w14:textId="77777777" w:rsidR="00B839E0" w:rsidRPr="00051FD3" w:rsidRDefault="00B839E0" w:rsidP="00B839E0">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36C8DA9B" w14:textId="69210A6F" w:rsidR="00B839E0" w:rsidRPr="00051FD3" w:rsidRDefault="00B839E0" w:rsidP="00B839E0">
            <w:pPr>
              <w:rPr>
                <w:color w:val="000000"/>
                <w:sz w:val="22"/>
                <w:szCs w:val="22"/>
                <w:lang w:eastAsia="en-GB"/>
              </w:rPr>
            </w:pPr>
            <w:r w:rsidRPr="00051FD3">
              <w:rPr>
                <w:color w:val="000000"/>
                <w:sz w:val="22"/>
                <w:szCs w:val="22"/>
                <w:lang w:eastAsia="en-GB"/>
              </w:rPr>
              <w:t>Kreatinino kiekio padidėjimas kraujyje</w:t>
            </w:r>
          </w:p>
        </w:tc>
        <w:tc>
          <w:tcPr>
            <w:tcW w:w="1701" w:type="dxa"/>
            <w:tcBorders>
              <w:top w:val="single" w:sz="4" w:space="0" w:color="auto"/>
              <w:left w:val="single" w:sz="4" w:space="0" w:color="auto"/>
              <w:bottom w:val="single" w:sz="4" w:space="0" w:color="auto"/>
              <w:right w:val="single" w:sz="4" w:space="0" w:color="auto"/>
            </w:tcBorders>
            <w:hideMark/>
          </w:tcPr>
          <w:p w14:paraId="156140F6" w14:textId="77777777" w:rsidR="00DF7C5E" w:rsidRPr="00051FD3" w:rsidRDefault="00DF7C5E" w:rsidP="00B839E0">
            <w:pPr>
              <w:rPr>
                <w:color w:val="000000"/>
                <w:sz w:val="22"/>
                <w:szCs w:val="22"/>
                <w:lang w:eastAsia="en-GB"/>
              </w:rPr>
            </w:pPr>
          </w:p>
          <w:p w14:paraId="52773D75" w14:textId="782DF01B" w:rsidR="00B839E0" w:rsidRPr="00051FD3" w:rsidRDefault="00B839E0" w:rsidP="00B839E0">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437D807A" w14:textId="5CA3672D" w:rsidR="00B839E0" w:rsidRPr="00051FD3" w:rsidRDefault="00B839E0" w:rsidP="00B839E0">
            <w:pPr>
              <w:rPr>
                <w:color w:val="000000"/>
                <w:sz w:val="22"/>
                <w:szCs w:val="22"/>
                <w:lang w:eastAsia="en-GB"/>
              </w:rPr>
            </w:pPr>
            <w:r w:rsidRPr="00051FD3">
              <w:rPr>
                <w:color w:val="000000"/>
                <w:sz w:val="22"/>
                <w:szCs w:val="22"/>
                <w:lang w:eastAsia="en-GB"/>
              </w:rPr>
              <w:t>Nedažnas</w:t>
            </w:r>
          </w:p>
        </w:tc>
        <w:tc>
          <w:tcPr>
            <w:tcW w:w="1843" w:type="dxa"/>
            <w:tcBorders>
              <w:top w:val="single" w:sz="4" w:space="0" w:color="auto"/>
              <w:left w:val="single" w:sz="4" w:space="0" w:color="auto"/>
              <w:bottom w:val="single" w:sz="4" w:space="0" w:color="auto"/>
              <w:right w:val="single" w:sz="4" w:space="0" w:color="auto"/>
            </w:tcBorders>
            <w:hideMark/>
          </w:tcPr>
          <w:p w14:paraId="40B6B365" w14:textId="77777777" w:rsidR="00B839E0" w:rsidRPr="00051FD3" w:rsidRDefault="00B839E0" w:rsidP="00B839E0">
            <w:pPr>
              <w:rPr>
                <w:color w:val="000000"/>
                <w:sz w:val="22"/>
                <w:szCs w:val="22"/>
                <w:lang w:eastAsia="en-GB"/>
              </w:rPr>
            </w:pPr>
          </w:p>
        </w:tc>
      </w:tr>
      <w:tr w:rsidR="00B839E0" w:rsidRPr="00051FD3" w14:paraId="1A8B7E16" w14:textId="77777777" w:rsidTr="00FA4E83">
        <w:trPr>
          <w:trHeight w:val="289"/>
          <w:jc w:val="center"/>
        </w:trPr>
        <w:tc>
          <w:tcPr>
            <w:tcW w:w="1836" w:type="dxa"/>
            <w:vMerge/>
            <w:tcBorders>
              <w:left w:val="single" w:sz="4" w:space="0" w:color="auto"/>
              <w:right w:val="single" w:sz="4" w:space="0" w:color="auto"/>
            </w:tcBorders>
            <w:hideMark/>
          </w:tcPr>
          <w:p w14:paraId="57CC46EB" w14:textId="77777777" w:rsidR="00B839E0" w:rsidRPr="00051FD3" w:rsidRDefault="00B839E0" w:rsidP="00B839E0">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52C97D09" w14:textId="3FAFF626" w:rsidR="00B839E0" w:rsidRPr="00051FD3" w:rsidRDefault="00B839E0" w:rsidP="00B839E0">
            <w:pPr>
              <w:rPr>
                <w:color w:val="000000"/>
                <w:sz w:val="22"/>
                <w:szCs w:val="22"/>
                <w:lang w:eastAsia="en-GB"/>
              </w:rPr>
            </w:pPr>
            <w:proofErr w:type="spellStart"/>
            <w:r w:rsidRPr="00051FD3">
              <w:rPr>
                <w:color w:val="000000"/>
                <w:sz w:val="22"/>
                <w:szCs w:val="22"/>
                <w:lang w:eastAsia="en-GB"/>
              </w:rPr>
              <w:t>Kreatinfosfokinazės</w:t>
            </w:r>
            <w:proofErr w:type="spellEnd"/>
            <w:r w:rsidRPr="00051FD3">
              <w:rPr>
                <w:color w:val="000000"/>
                <w:sz w:val="22"/>
                <w:szCs w:val="22"/>
                <w:lang w:eastAsia="en-GB"/>
              </w:rPr>
              <w:t xml:space="preserve"> aktyvumo padidėjimas kraujyje</w:t>
            </w:r>
          </w:p>
        </w:tc>
        <w:tc>
          <w:tcPr>
            <w:tcW w:w="1701" w:type="dxa"/>
            <w:tcBorders>
              <w:top w:val="single" w:sz="4" w:space="0" w:color="auto"/>
              <w:left w:val="single" w:sz="4" w:space="0" w:color="auto"/>
              <w:bottom w:val="single" w:sz="4" w:space="0" w:color="auto"/>
              <w:right w:val="single" w:sz="4" w:space="0" w:color="auto"/>
            </w:tcBorders>
            <w:hideMark/>
          </w:tcPr>
          <w:p w14:paraId="1235039D" w14:textId="77777777" w:rsidR="00DF7C5E" w:rsidRPr="00051FD3" w:rsidRDefault="00DF7C5E" w:rsidP="00B839E0">
            <w:pPr>
              <w:rPr>
                <w:color w:val="000000"/>
                <w:sz w:val="22"/>
                <w:szCs w:val="22"/>
                <w:lang w:eastAsia="en-GB"/>
              </w:rPr>
            </w:pPr>
          </w:p>
          <w:p w14:paraId="637490BF" w14:textId="77777777" w:rsidR="00DF7C5E" w:rsidRPr="00051FD3" w:rsidRDefault="00DF7C5E" w:rsidP="00B839E0">
            <w:pPr>
              <w:rPr>
                <w:color w:val="000000"/>
                <w:sz w:val="22"/>
                <w:szCs w:val="22"/>
                <w:lang w:eastAsia="en-GB"/>
              </w:rPr>
            </w:pPr>
          </w:p>
          <w:p w14:paraId="16CEB00B" w14:textId="234D3199" w:rsidR="00B839E0" w:rsidRPr="00051FD3" w:rsidRDefault="00B839E0" w:rsidP="00B839E0">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26ECDA8D" w14:textId="77777777" w:rsidR="00DF7C5E" w:rsidRPr="00051FD3" w:rsidRDefault="00DF7C5E" w:rsidP="00B839E0">
            <w:pPr>
              <w:rPr>
                <w:color w:val="000000"/>
                <w:sz w:val="22"/>
                <w:szCs w:val="22"/>
                <w:lang w:eastAsia="en-GB"/>
              </w:rPr>
            </w:pPr>
          </w:p>
          <w:p w14:paraId="14B45BAC" w14:textId="77777777" w:rsidR="00DF7C5E" w:rsidRPr="00051FD3" w:rsidRDefault="00DF7C5E" w:rsidP="00B839E0">
            <w:pPr>
              <w:rPr>
                <w:color w:val="000000"/>
                <w:sz w:val="22"/>
                <w:szCs w:val="22"/>
                <w:lang w:eastAsia="en-GB"/>
              </w:rPr>
            </w:pPr>
          </w:p>
          <w:p w14:paraId="12444D72" w14:textId="21B415C8" w:rsidR="00B839E0" w:rsidRPr="00051FD3" w:rsidRDefault="00B839E0" w:rsidP="00B839E0">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615BD1C6" w14:textId="77777777" w:rsidR="00B839E0" w:rsidRPr="00051FD3" w:rsidRDefault="00B839E0" w:rsidP="00B839E0">
            <w:pPr>
              <w:rPr>
                <w:color w:val="000000"/>
                <w:sz w:val="22"/>
                <w:szCs w:val="22"/>
                <w:lang w:eastAsia="en-GB"/>
              </w:rPr>
            </w:pPr>
          </w:p>
        </w:tc>
      </w:tr>
      <w:tr w:rsidR="00B839E0" w:rsidRPr="00051FD3" w14:paraId="4647A4CF" w14:textId="77777777" w:rsidTr="00FA4E83">
        <w:trPr>
          <w:trHeight w:val="289"/>
          <w:jc w:val="center"/>
        </w:trPr>
        <w:tc>
          <w:tcPr>
            <w:tcW w:w="1836" w:type="dxa"/>
            <w:vMerge/>
            <w:tcBorders>
              <w:left w:val="single" w:sz="4" w:space="0" w:color="auto"/>
              <w:right w:val="single" w:sz="4" w:space="0" w:color="auto"/>
            </w:tcBorders>
            <w:hideMark/>
          </w:tcPr>
          <w:p w14:paraId="7470CDB5" w14:textId="77777777" w:rsidR="00B839E0" w:rsidRPr="00051FD3" w:rsidRDefault="00B839E0" w:rsidP="00B839E0">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2690900B" w14:textId="0C89DA1D" w:rsidR="00B839E0" w:rsidRPr="00051FD3" w:rsidRDefault="00B839E0" w:rsidP="00B839E0">
            <w:pPr>
              <w:rPr>
                <w:color w:val="000000"/>
                <w:sz w:val="22"/>
                <w:szCs w:val="22"/>
                <w:lang w:eastAsia="en-GB"/>
              </w:rPr>
            </w:pPr>
            <w:r w:rsidRPr="00051FD3">
              <w:rPr>
                <w:color w:val="000000"/>
                <w:sz w:val="22"/>
                <w:szCs w:val="22"/>
                <w:lang w:eastAsia="en-GB"/>
              </w:rPr>
              <w:t>Kepenų fermentų aktyvumo padidėjimas</w:t>
            </w:r>
          </w:p>
        </w:tc>
        <w:tc>
          <w:tcPr>
            <w:tcW w:w="1701" w:type="dxa"/>
            <w:tcBorders>
              <w:top w:val="single" w:sz="4" w:space="0" w:color="auto"/>
              <w:left w:val="single" w:sz="4" w:space="0" w:color="auto"/>
              <w:bottom w:val="single" w:sz="4" w:space="0" w:color="auto"/>
              <w:right w:val="single" w:sz="4" w:space="0" w:color="auto"/>
            </w:tcBorders>
            <w:hideMark/>
          </w:tcPr>
          <w:p w14:paraId="2DFC4671" w14:textId="77777777" w:rsidR="00DF7C5E" w:rsidRPr="00051FD3" w:rsidRDefault="00DF7C5E" w:rsidP="00B839E0">
            <w:pPr>
              <w:rPr>
                <w:color w:val="000000"/>
                <w:sz w:val="22"/>
                <w:szCs w:val="22"/>
                <w:lang w:eastAsia="en-GB"/>
              </w:rPr>
            </w:pPr>
          </w:p>
          <w:p w14:paraId="12F2B012" w14:textId="533B88CF" w:rsidR="00B839E0" w:rsidRPr="00051FD3" w:rsidRDefault="00B839E0" w:rsidP="00B839E0">
            <w:pPr>
              <w:rPr>
                <w:color w:val="000000"/>
                <w:sz w:val="22"/>
                <w:szCs w:val="22"/>
                <w:lang w:eastAsia="en-GB"/>
              </w:rPr>
            </w:pPr>
            <w:r w:rsidRPr="00051FD3">
              <w:rPr>
                <w:color w:val="000000"/>
                <w:sz w:val="22"/>
                <w:szCs w:val="22"/>
                <w:lang w:eastAsia="en-GB"/>
              </w:rPr>
              <w:t>Retas</w:t>
            </w:r>
          </w:p>
        </w:tc>
        <w:tc>
          <w:tcPr>
            <w:tcW w:w="1701" w:type="dxa"/>
            <w:tcBorders>
              <w:top w:val="single" w:sz="4" w:space="0" w:color="auto"/>
              <w:left w:val="single" w:sz="4" w:space="0" w:color="auto"/>
              <w:bottom w:val="single" w:sz="4" w:space="0" w:color="auto"/>
              <w:right w:val="single" w:sz="4" w:space="0" w:color="auto"/>
            </w:tcBorders>
            <w:hideMark/>
          </w:tcPr>
          <w:p w14:paraId="19447305" w14:textId="77777777" w:rsidR="00DF7C5E" w:rsidRPr="00051FD3" w:rsidRDefault="00DF7C5E" w:rsidP="00B839E0">
            <w:pPr>
              <w:rPr>
                <w:color w:val="000000"/>
                <w:sz w:val="22"/>
                <w:szCs w:val="22"/>
                <w:lang w:eastAsia="en-GB"/>
              </w:rPr>
            </w:pPr>
          </w:p>
          <w:p w14:paraId="03594D41" w14:textId="2D61BAB5" w:rsidR="00B839E0" w:rsidRPr="00051FD3" w:rsidRDefault="00B839E0" w:rsidP="00B839E0">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13F55842" w14:textId="77777777" w:rsidR="00B839E0" w:rsidRPr="00051FD3" w:rsidRDefault="00B839E0" w:rsidP="00B839E0">
            <w:pPr>
              <w:rPr>
                <w:color w:val="000000"/>
                <w:sz w:val="22"/>
                <w:szCs w:val="22"/>
                <w:lang w:eastAsia="en-GB"/>
              </w:rPr>
            </w:pPr>
          </w:p>
        </w:tc>
      </w:tr>
      <w:tr w:rsidR="00B839E0" w:rsidRPr="00051FD3" w14:paraId="2ABC3698" w14:textId="77777777" w:rsidTr="00FA4E83">
        <w:trPr>
          <w:trHeight w:val="289"/>
          <w:jc w:val="center"/>
        </w:trPr>
        <w:tc>
          <w:tcPr>
            <w:tcW w:w="1836" w:type="dxa"/>
            <w:vMerge/>
            <w:tcBorders>
              <w:left w:val="single" w:sz="4" w:space="0" w:color="auto"/>
              <w:bottom w:val="single" w:sz="4" w:space="0" w:color="auto"/>
              <w:right w:val="single" w:sz="4" w:space="0" w:color="auto"/>
            </w:tcBorders>
            <w:hideMark/>
          </w:tcPr>
          <w:p w14:paraId="458A61F4" w14:textId="77777777" w:rsidR="00B839E0" w:rsidRPr="00051FD3" w:rsidRDefault="00B839E0" w:rsidP="00B839E0">
            <w:pPr>
              <w:rPr>
                <w:sz w:val="22"/>
                <w:szCs w:val="22"/>
                <w:lang w:eastAsia="en-GB"/>
              </w:rPr>
            </w:pPr>
          </w:p>
        </w:tc>
        <w:tc>
          <w:tcPr>
            <w:tcW w:w="2412" w:type="dxa"/>
            <w:tcBorders>
              <w:top w:val="single" w:sz="4" w:space="0" w:color="auto"/>
              <w:left w:val="single" w:sz="4" w:space="0" w:color="auto"/>
              <w:bottom w:val="single" w:sz="4" w:space="0" w:color="auto"/>
              <w:right w:val="single" w:sz="4" w:space="0" w:color="auto"/>
            </w:tcBorders>
            <w:hideMark/>
          </w:tcPr>
          <w:p w14:paraId="68DCB5CA" w14:textId="2E53C2DF" w:rsidR="00B839E0" w:rsidRPr="00051FD3" w:rsidRDefault="00B839E0" w:rsidP="00B839E0">
            <w:pPr>
              <w:rPr>
                <w:color w:val="000000"/>
                <w:sz w:val="22"/>
                <w:szCs w:val="22"/>
                <w:lang w:eastAsia="en-GB"/>
              </w:rPr>
            </w:pPr>
            <w:r w:rsidRPr="00051FD3">
              <w:rPr>
                <w:color w:val="000000"/>
                <w:sz w:val="22"/>
                <w:szCs w:val="22"/>
                <w:lang w:eastAsia="en-GB"/>
              </w:rPr>
              <w:t>Hemoglobino kiekio sumažėjimas</w:t>
            </w:r>
          </w:p>
        </w:tc>
        <w:tc>
          <w:tcPr>
            <w:tcW w:w="1701" w:type="dxa"/>
            <w:tcBorders>
              <w:top w:val="single" w:sz="4" w:space="0" w:color="auto"/>
              <w:left w:val="single" w:sz="4" w:space="0" w:color="auto"/>
              <w:bottom w:val="single" w:sz="4" w:space="0" w:color="auto"/>
              <w:right w:val="single" w:sz="4" w:space="0" w:color="auto"/>
            </w:tcBorders>
            <w:hideMark/>
          </w:tcPr>
          <w:p w14:paraId="7636F2A7" w14:textId="77777777" w:rsidR="00B839E0" w:rsidRPr="00051FD3" w:rsidRDefault="00B839E0" w:rsidP="00B839E0">
            <w:pPr>
              <w:rPr>
                <w:color w:val="000000"/>
                <w:sz w:val="22"/>
                <w:szCs w:val="22"/>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50278A15" w14:textId="77777777" w:rsidR="00DF7C5E" w:rsidRPr="00051FD3" w:rsidRDefault="00DF7C5E" w:rsidP="00B839E0">
            <w:pPr>
              <w:rPr>
                <w:color w:val="000000"/>
                <w:sz w:val="22"/>
                <w:szCs w:val="22"/>
                <w:lang w:eastAsia="en-GB"/>
              </w:rPr>
            </w:pPr>
          </w:p>
          <w:p w14:paraId="3507DC91" w14:textId="5468B654" w:rsidR="00B839E0" w:rsidRPr="00051FD3" w:rsidRDefault="00B839E0" w:rsidP="00B839E0">
            <w:pPr>
              <w:rPr>
                <w:color w:val="000000"/>
                <w:sz w:val="22"/>
                <w:szCs w:val="22"/>
                <w:lang w:eastAsia="en-GB"/>
              </w:rPr>
            </w:pPr>
            <w:r w:rsidRPr="00051FD3">
              <w:rPr>
                <w:color w:val="000000"/>
                <w:sz w:val="22"/>
                <w:szCs w:val="22"/>
                <w:lang w:eastAsia="en-GB"/>
              </w:rPr>
              <w:t>Retas</w:t>
            </w:r>
          </w:p>
        </w:tc>
        <w:tc>
          <w:tcPr>
            <w:tcW w:w="1843" w:type="dxa"/>
            <w:tcBorders>
              <w:top w:val="single" w:sz="4" w:space="0" w:color="auto"/>
              <w:left w:val="single" w:sz="4" w:space="0" w:color="auto"/>
              <w:bottom w:val="single" w:sz="4" w:space="0" w:color="auto"/>
              <w:right w:val="single" w:sz="4" w:space="0" w:color="auto"/>
            </w:tcBorders>
            <w:hideMark/>
          </w:tcPr>
          <w:p w14:paraId="09A56FBC" w14:textId="77777777" w:rsidR="00B839E0" w:rsidRPr="00051FD3" w:rsidRDefault="00B839E0" w:rsidP="00B839E0">
            <w:pPr>
              <w:rPr>
                <w:color w:val="000000"/>
                <w:sz w:val="22"/>
                <w:szCs w:val="22"/>
                <w:lang w:eastAsia="en-GB"/>
              </w:rPr>
            </w:pPr>
          </w:p>
        </w:tc>
      </w:tr>
    </w:tbl>
    <w:p w14:paraId="50629541" w14:textId="15A96D62" w:rsidR="00B62F99" w:rsidRPr="00051FD3" w:rsidRDefault="00775E26" w:rsidP="00B62F99">
      <w:pPr>
        <w:pStyle w:val="Dokumentoinaostekstas"/>
        <w:rPr>
          <w:sz w:val="20"/>
          <w:szCs w:val="20"/>
          <w:lang w:val="lt-LT"/>
        </w:rPr>
      </w:pPr>
      <w:r w:rsidRPr="00051FD3">
        <w:rPr>
          <w:sz w:val="20"/>
          <w:szCs w:val="20"/>
          <w:vertAlign w:val="superscript"/>
          <w:lang w:val="lt-LT"/>
        </w:rPr>
        <w:t xml:space="preserve">1 </w:t>
      </w:r>
      <w:r w:rsidR="00B62F99" w:rsidRPr="00051FD3">
        <w:rPr>
          <w:sz w:val="20"/>
          <w:szCs w:val="20"/>
          <w:lang w:val="lt-LT"/>
        </w:rPr>
        <w:t>Remiantis stebėsenos, vaistinį preparatą pat</w:t>
      </w:r>
      <w:r w:rsidR="00E16511">
        <w:rPr>
          <w:sz w:val="20"/>
          <w:szCs w:val="20"/>
          <w:lang w:val="lt-LT"/>
        </w:rPr>
        <w:t>i</w:t>
      </w:r>
      <w:r w:rsidR="00B62F99" w:rsidRPr="00051FD3">
        <w:rPr>
          <w:sz w:val="20"/>
          <w:szCs w:val="20"/>
          <w:lang w:val="lt-LT"/>
        </w:rPr>
        <w:t>ekus į rinką, duomenimis</w:t>
      </w:r>
    </w:p>
    <w:p w14:paraId="7104CEC7" w14:textId="77777777" w:rsidR="00B62F99" w:rsidRPr="00051FD3" w:rsidRDefault="00B62F99" w:rsidP="00B62F99">
      <w:pPr>
        <w:pStyle w:val="Dokumentoinaostekstas"/>
        <w:rPr>
          <w:sz w:val="20"/>
          <w:szCs w:val="20"/>
          <w:lang w:val="lt-LT"/>
        </w:rPr>
      </w:pPr>
      <w:r w:rsidRPr="00051FD3">
        <w:rPr>
          <w:sz w:val="20"/>
          <w:szCs w:val="20"/>
          <w:vertAlign w:val="superscript"/>
          <w:lang w:val="lt-LT"/>
        </w:rPr>
        <w:t>2</w:t>
      </w:r>
      <w:r w:rsidRPr="00051FD3">
        <w:rPr>
          <w:sz w:val="20"/>
          <w:szCs w:val="20"/>
          <w:lang w:val="lt-LT"/>
        </w:rPr>
        <w:t xml:space="preserve"> Daugiau informacijos pateikta tolesniuose poskyriuose</w:t>
      </w:r>
    </w:p>
    <w:p w14:paraId="04CCC2D3" w14:textId="31F116C2" w:rsidR="00775E26" w:rsidRPr="00051FD3" w:rsidRDefault="00B62F99" w:rsidP="00B62F99">
      <w:pPr>
        <w:pStyle w:val="Dokumentoinaostekstas"/>
        <w:tabs>
          <w:tab w:val="clear" w:pos="567"/>
        </w:tabs>
        <w:rPr>
          <w:sz w:val="20"/>
          <w:szCs w:val="20"/>
          <w:lang w:val="lt-LT"/>
        </w:rPr>
      </w:pPr>
      <w:r w:rsidRPr="00051FD3">
        <w:rPr>
          <w:sz w:val="20"/>
          <w:szCs w:val="20"/>
          <w:vertAlign w:val="superscript"/>
          <w:lang w:val="lt-LT"/>
        </w:rPr>
        <w:t>a</w:t>
      </w:r>
      <w:r w:rsidRPr="00051FD3">
        <w:rPr>
          <w:sz w:val="20"/>
          <w:szCs w:val="20"/>
          <w:lang w:val="lt-LT"/>
        </w:rPr>
        <w:t xml:space="preserve"> Nepageidaujamų </w:t>
      </w:r>
      <w:proofErr w:type="spellStart"/>
      <w:r w:rsidRPr="00051FD3">
        <w:rPr>
          <w:sz w:val="20"/>
          <w:szCs w:val="20"/>
          <w:lang w:val="lt-LT"/>
        </w:rPr>
        <w:t>telmisartano</w:t>
      </w:r>
      <w:proofErr w:type="spellEnd"/>
      <w:r w:rsidRPr="00051FD3">
        <w:rPr>
          <w:sz w:val="20"/>
          <w:szCs w:val="20"/>
          <w:lang w:val="lt-LT"/>
        </w:rPr>
        <w:t xml:space="preserve"> reakcijų dažnis yra panašus į placebo. Placebu kontroliuojamų tyrimų metu bendras </w:t>
      </w:r>
      <w:proofErr w:type="spellStart"/>
      <w:r w:rsidRPr="00051FD3">
        <w:rPr>
          <w:sz w:val="20"/>
          <w:szCs w:val="20"/>
          <w:lang w:val="lt-LT"/>
        </w:rPr>
        <w:t>telmisartano</w:t>
      </w:r>
      <w:proofErr w:type="spellEnd"/>
      <w:r w:rsidRPr="00051FD3">
        <w:rPr>
          <w:sz w:val="20"/>
          <w:szCs w:val="20"/>
          <w:lang w:val="lt-LT"/>
        </w:rPr>
        <w:t xml:space="preserve"> sukeliamų nepageidaujamų reakcijų dažnis (</w:t>
      </w:r>
      <w:r w:rsidR="00DF7C5E" w:rsidRPr="00051FD3">
        <w:rPr>
          <w:sz w:val="20"/>
          <w:szCs w:val="20"/>
          <w:lang w:val="lt-LT"/>
        </w:rPr>
        <w:t>41,4 </w:t>
      </w:r>
      <w:r w:rsidRPr="00051FD3">
        <w:rPr>
          <w:sz w:val="20"/>
          <w:szCs w:val="20"/>
          <w:lang w:val="lt-LT"/>
        </w:rPr>
        <w:t>%) paprastai buvo panašus į sukeliamą placebo (43,9</w:t>
      </w:r>
      <w:r w:rsidR="00DF7C5E" w:rsidRPr="00051FD3">
        <w:rPr>
          <w:sz w:val="20"/>
          <w:szCs w:val="20"/>
          <w:lang w:val="lt-LT"/>
        </w:rPr>
        <w:t> </w:t>
      </w:r>
      <w:r w:rsidRPr="00051FD3">
        <w:rPr>
          <w:sz w:val="20"/>
          <w:szCs w:val="20"/>
          <w:lang w:val="lt-LT"/>
        </w:rPr>
        <w:t xml:space="preserve">%). Pirmiau išvardytos nepageidaujamos reakcijos, visų klinikinių tyrimų metu pasireiškusios </w:t>
      </w:r>
      <w:proofErr w:type="spellStart"/>
      <w:r w:rsidRPr="00051FD3">
        <w:rPr>
          <w:sz w:val="20"/>
          <w:szCs w:val="20"/>
          <w:lang w:val="lt-LT"/>
        </w:rPr>
        <w:t>telmisartanu</w:t>
      </w:r>
      <w:proofErr w:type="spellEnd"/>
      <w:r w:rsidRPr="00051FD3">
        <w:rPr>
          <w:sz w:val="20"/>
          <w:szCs w:val="20"/>
          <w:lang w:val="lt-LT"/>
        </w:rPr>
        <w:t xml:space="preserve"> gydytiems pacientams, sergantiems hipertenzija, arba 50 metų ar vyresniems pacientams, kuriems buvo didelė širdies ir kraujagyslių reiškinių rizika.</w:t>
      </w:r>
    </w:p>
    <w:p w14:paraId="57DC50CD" w14:textId="77777777" w:rsidR="00775E26" w:rsidRPr="00051FD3" w:rsidRDefault="00775E26" w:rsidP="007F39B7">
      <w:pPr>
        <w:widowControl w:val="0"/>
        <w:tabs>
          <w:tab w:val="left" w:pos="851"/>
        </w:tabs>
        <w:rPr>
          <w:sz w:val="22"/>
          <w:szCs w:val="22"/>
        </w:rPr>
      </w:pPr>
    </w:p>
    <w:p w14:paraId="647F0CC9" w14:textId="77777777" w:rsidR="007F39B7" w:rsidRPr="00051FD3" w:rsidRDefault="007F39B7" w:rsidP="007F39B7">
      <w:pPr>
        <w:autoSpaceDE w:val="0"/>
        <w:autoSpaceDN w:val="0"/>
        <w:adjustRightInd w:val="0"/>
        <w:rPr>
          <w:rFonts w:eastAsia="TimesNewRoman"/>
          <w:i/>
          <w:sz w:val="22"/>
          <w:szCs w:val="22"/>
          <w:lang w:eastAsia="lt-LT"/>
        </w:rPr>
      </w:pPr>
      <w:r w:rsidRPr="00051FD3">
        <w:rPr>
          <w:rFonts w:eastAsia="TimesNewRoman"/>
          <w:i/>
          <w:sz w:val="22"/>
          <w:szCs w:val="22"/>
          <w:lang w:eastAsia="lt-LT"/>
        </w:rPr>
        <w:t>Atrinktų nepageidaujamų reakcijų apibūdinimas</w:t>
      </w:r>
    </w:p>
    <w:p w14:paraId="791A54A1" w14:textId="77777777" w:rsidR="007F39B7" w:rsidRPr="00051FD3" w:rsidRDefault="007F39B7" w:rsidP="007F39B7">
      <w:pPr>
        <w:autoSpaceDE w:val="0"/>
        <w:autoSpaceDN w:val="0"/>
        <w:adjustRightInd w:val="0"/>
        <w:rPr>
          <w:rFonts w:eastAsia="TimesNewRoman"/>
          <w:sz w:val="22"/>
          <w:szCs w:val="22"/>
          <w:u w:val="single"/>
          <w:lang w:eastAsia="lt-LT"/>
        </w:rPr>
      </w:pPr>
    </w:p>
    <w:p w14:paraId="022DADFC" w14:textId="77777777" w:rsidR="007F39B7" w:rsidRPr="00051FD3" w:rsidRDefault="007F39B7" w:rsidP="007F39B7">
      <w:pPr>
        <w:autoSpaceDE w:val="0"/>
        <w:autoSpaceDN w:val="0"/>
        <w:adjustRightInd w:val="0"/>
        <w:rPr>
          <w:rFonts w:eastAsia="TimesNewRoman"/>
          <w:sz w:val="22"/>
          <w:szCs w:val="22"/>
          <w:u w:val="single"/>
          <w:lang w:eastAsia="lt-LT"/>
        </w:rPr>
      </w:pPr>
      <w:r w:rsidRPr="00051FD3">
        <w:rPr>
          <w:rFonts w:eastAsia="TimesNewRoman"/>
          <w:sz w:val="22"/>
          <w:szCs w:val="22"/>
          <w:u w:val="single"/>
          <w:lang w:eastAsia="lt-LT"/>
        </w:rPr>
        <w:t>Kepenų funkcijos sutrikimas (kepenų liga)</w:t>
      </w:r>
    </w:p>
    <w:p w14:paraId="2D785C03" w14:textId="77777777"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Telmisartanu</w:t>
      </w:r>
      <w:proofErr w:type="spellEnd"/>
      <w:r w:rsidRPr="00051FD3">
        <w:rPr>
          <w:rFonts w:eastAsia="TimesNewRoman"/>
          <w:sz w:val="22"/>
          <w:szCs w:val="22"/>
          <w:lang w:eastAsia="lt-LT"/>
        </w:rPr>
        <w:t xml:space="preserve"> gydant po to, kai jis pateko į rinką, daugumas kepenų funkcijos sutrikimų (kepenų ligos) atvejų pasireiškė pacientams japonams. Pacientams japonams šios nepageidaujamos reakcijos yra labiau tikėtinos.</w:t>
      </w:r>
    </w:p>
    <w:p w14:paraId="7D6EB329" w14:textId="77777777" w:rsidR="007F39B7" w:rsidRPr="00051FD3" w:rsidRDefault="007F39B7" w:rsidP="007F39B7">
      <w:pPr>
        <w:autoSpaceDE w:val="0"/>
        <w:autoSpaceDN w:val="0"/>
        <w:adjustRightInd w:val="0"/>
        <w:rPr>
          <w:rFonts w:eastAsia="TimesNewRoman"/>
          <w:sz w:val="22"/>
          <w:szCs w:val="22"/>
          <w:lang w:eastAsia="lt-LT"/>
        </w:rPr>
      </w:pPr>
    </w:p>
    <w:p w14:paraId="1ADC1519" w14:textId="77777777" w:rsidR="007F39B7" w:rsidRPr="00051FD3" w:rsidRDefault="007F39B7" w:rsidP="007F39B7">
      <w:pPr>
        <w:autoSpaceDE w:val="0"/>
        <w:autoSpaceDN w:val="0"/>
        <w:adjustRightInd w:val="0"/>
        <w:rPr>
          <w:rFonts w:eastAsia="TimesNewRoman"/>
          <w:sz w:val="22"/>
          <w:szCs w:val="22"/>
          <w:u w:val="single"/>
          <w:lang w:eastAsia="lt-LT"/>
        </w:rPr>
      </w:pPr>
      <w:r w:rsidRPr="00051FD3">
        <w:rPr>
          <w:rFonts w:eastAsia="TimesNewRoman"/>
          <w:sz w:val="22"/>
          <w:szCs w:val="22"/>
          <w:u w:val="single"/>
          <w:lang w:eastAsia="lt-LT"/>
        </w:rPr>
        <w:t>Sepsis</w:t>
      </w:r>
    </w:p>
    <w:p w14:paraId="08221476" w14:textId="77777777"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PRoFE</w:t>
      </w:r>
      <w:r w:rsidRPr="00051FD3">
        <w:rPr>
          <w:rFonts w:eastAsia="TimesNewRoman"/>
          <w:bCs/>
          <w:sz w:val="22"/>
          <w:szCs w:val="22"/>
          <w:lang w:eastAsia="lt-LT"/>
        </w:rPr>
        <w:t>SS</w:t>
      </w:r>
      <w:proofErr w:type="spellEnd"/>
      <w:r w:rsidRPr="00051FD3">
        <w:rPr>
          <w:rFonts w:eastAsia="TimesNewRoman"/>
          <w:b/>
          <w:bCs/>
          <w:sz w:val="22"/>
          <w:szCs w:val="22"/>
          <w:lang w:eastAsia="lt-LT"/>
        </w:rPr>
        <w:t xml:space="preserve"> </w:t>
      </w:r>
      <w:r w:rsidRPr="00051FD3">
        <w:rPr>
          <w:rFonts w:eastAsia="TimesNewRoman"/>
          <w:bCs/>
          <w:sz w:val="22"/>
          <w:szCs w:val="22"/>
          <w:lang w:eastAsia="lt-LT"/>
        </w:rPr>
        <w:t xml:space="preserve">klinikinio </w:t>
      </w:r>
      <w:r w:rsidRPr="00051FD3">
        <w:rPr>
          <w:rFonts w:eastAsia="TimesNewRoman"/>
          <w:sz w:val="22"/>
          <w:szCs w:val="22"/>
          <w:lang w:eastAsia="lt-LT"/>
        </w:rPr>
        <w:t xml:space="preserve">tyrimo metu </w:t>
      </w:r>
      <w:proofErr w:type="spellStart"/>
      <w:r w:rsidRPr="00051FD3">
        <w:rPr>
          <w:rFonts w:eastAsia="TimesNewRoman"/>
          <w:sz w:val="22"/>
          <w:szCs w:val="22"/>
          <w:lang w:eastAsia="lt-LT"/>
        </w:rPr>
        <w:t>telmisartanu</w:t>
      </w:r>
      <w:proofErr w:type="spellEnd"/>
      <w:r w:rsidRPr="00051FD3">
        <w:rPr>
          <w:rFonts w:eastAsia="TimesNewRoman"/>
          <w:sz w:val="22"/>
          <w:szCs w:val="22"/>
          <w:lang w:eastAsia="lt-LT"/>
        </w:rPr>
        <w:t>, palyginti su placebu, gydytiems pacientams sepsio dažnis buvo didesnis. Reiškinys gali būti atsitiktinis arba priklausomas nuo šiuo metu nežinomo mechanizmo (žr. 5.1 skyrių).</w:t>
      </w:r>
    </w:p>
    <w:p w14:paraId="1E77A512" w14:textId="77777777" w:rsidR="007F39B7" w:rsidRPr="00051FD3" w:rsidRDefault="007F39B7" w:rsidP="007F39B7">
      <w:pPr>
        <w:autoSpaceDE w:val="0"/>
        <w:autoSpaceDN w:val="0"/>
        <w:adjustRightInd w:val="0"/>
        <w:rPr>
          <w:rFonts w:eastAsia="TimesNewRoman"/>
          <w:sz w:val="22"/>
          <w:szCs w:val="22"/>
          <w:lang w:eastAsia="lt-LT"/>
        </w:rPr>
      </w:pPr>
    </w:p>
    <w:p w14:paraId="6F0471D6" w14:textId="77777777" w:rsidR="007F39B7" w:rsidRPr="00051FD3" w:rsidRDefault="007F39B7" w:rsidP="007F39B7">
      <w:pPr>
        <w:autoSpaceDE w:val="0"/>
        <w:autoSpaceDN w:val="0"/>
        <w:adjustRightInd w:val="0"/>
        <w:rPr>
          <w:rFonts w:eastAsia="TimesNewRoman"/>
          <w:sz w:val="22"/>
          <w:szCs w:val="22"/>
          <w:u w:val="single"/>
          <w:lang w:eastAsia="lt-LT"/>
        </w:rPr>
      </w:pPr>
      <w:r w:rsidRPr="00051FD3">
        <w:rPr>
          <w:rFonts w:eastAsia="TimesNewRoman"/>
          <w:sz w:val="22"/>
          <w:szCs w:val="22"/>
          <w:u w:val="single"/>
          <w:lang w:eastAsia="lt-LT"/>
        </w:rPr>
        <w:t xml:space="preserve">Plaučių </w:t>
      </w:r>
      <w:proofErr w:type="spellStart"/>
      <w:r w:rsidRPr="00051FD3">
        <w:rPr>
          <w:rFonts w:eastAsia="TimesNewRoman"/>
          <w:sz w:val="22"/>
          <w:szCs w:val="22"/>
          <w:u w:val="single"/>
          <w:lang w:eastAsia="lt-LT"/>
        </w:rPr>
        <w:t>intersticinė</w:t>
      </w:r>
      <w:proofErr w:type="spellEnd"/>
      <w:r w:rsidRPr="00051FD3">
        <w:rPr>
          <w:rFonts w:eastAsia="TimesNewRoman"/>
          <w:sz w:val="22"/>
          <w:szCs w:val="22"/>
          <w:u w:val="single"/>
          <w:lang w:eastAsia="lt-LT"/>
        </w:rPr>
        <w:t xml:space="preserve"> liga</w:t>
      </w:r>
    </w:p>
    <w:p w14:paraId="189017D4" w14:textId="77777777" w:rsidR="007F39B7" w:rsidRPr="00051FD3" w:rsidRDefault="007F39B7" w:rsidP="007F39B7">
      <w:pPr>
        <w:autoSpaceDE w:val="0"/>
        <w:autoSpaceDN w:val="0"/>
        <w:adjustRightInd w:val="0"/>
        <w:rPr>
          <w:sz w:val="22"/>
          <w:szCs w:val="22"/>
          <w:lang w:eastAsia="lt-LT"/>
        </w:rPr>
      </w:pPr>
      <w:r w:rsidRPr="00051FD3">
        <w:rPr>
          <w:rFonts w:eastAsia="TimesNewRoman"/>
          <w:sz w:val="22"/>
          <w:szCs w:val="22"/>
          <w:lang w:eastAsia="lt-LT"/>
        </w:rPr>
        <w:t xml:space="preserve">Vaistiniu preparatu gydant po to, kai jis pateko į rinką, buvo </w:t>
      </w:r>
      <w:proofErr w:type="spellStart"/>
      <w:r w:rsidRPr="00051FD3">
        <w:rPr>
          <w:rFonts w:eastAsia="TimesNewRoman"/>
          <w:sz w:val="22"/>
          <w:szCs w:val="22"/>
          <w:lang w:eastAsia="lt-LT"/>
        </w:rPr>
        <w:t>intersticinės</w:t>
      </w:r>
      <w:proofErr w:type="spellEnd"/>
      <w:r w:rsidRPr="00051FD3">
        <w:rPr>
          <w:rFonts w:eastAsia="TimesNewRoman"/>
          <w:sz w:val="22"/>
          <w:szCs w:val="22"/>
          <w:lang w:eastAsia="lt-LT"/>
        </w:rPr>
        <w:t xml:space="preserve"> plaučių ligos, laiko atžvilgiu susijusios su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vartojimu, atvejų, tačiau priežastinis ryšys nebuvo nustatytas.</w:t>
      </w:r>
    </w:p>
    <w:p w14:paraId="6AEEE7DF" w14:textId="77777777" w:rsidR="007F39B7" w:rsidRPr="00051FD3" w:rsidRDefault="007F39B7" w:rsidP="007F39B7">
      <w:pPr>
        <w:autoSpaceDE w:val="0"/>
        <w:autoSpaceDN w:val="0"/>
        <w:adjustRightInd w:val="0"/>
        <w:rPr>
          <w:sz w:val="22"/>
          <w:szCs w:val="22"/>
          <w:lang w:eastAsia="lt-LT"/>
        </w:rPr>
      </w:pPr>
    </w:p>
    <w:p w14:paraId="6A423744" w14:textId="77777777" w:rsidR="00775ECF" w:rsidRPr="00051FD3" w:rsidRDefault="00775ECF" w:rsidP="00775ECF">
      <w:pPr>
        <w:keepNext/>
        <w:rPr>
          <w:rFonts w:eastAsia="Calibri"/>
          <w:noProof/>
          <w:sz w:val="22"/>
          <w:szCs w:val="22"/>
          <w:u w:val="single"/>
        </w:rPr>
      </w:pPr>
      <w:r w:rsidRPr="00051FD3">
        <w:rPr>
          <w:rFonts w:eastAsia="Calibri"/>
          <w:noProof/>
          <w:sz w:val="22"/>
          <w:szCs w:val="22"/>
          <w:u w:val="single"/>
        </w:rPr>
        <w:t>Nemelanominis odos vėžys</w:t>
      </w:r>
    </w:p>
    <w:p w14:paraId="094F2338" w14:textId="77777777" w:rsidR="00775ECF" w:rsidRDefault="00775ECF" w:rsidP="00775ECF">
      <w:pPr>
        <w:autoSpaceDE w:val="0"/>
        <w:autoSpaceDN w:val="0"/>
        <w:adjustRightInd w:val="0"/>
        <w:rPr>
          <w:rFonts w:eastAsia="Calibri"/>
          <w:noProof/>
          <w:sz w:val="22"/>
          <w:szCs w:val="22"/>
        </w:rPr>
      </w:pPr>
      <w:r w:rsidRPr="00051FD3">
        <w:rPr>
          <w:rFonts w:eastAsia="Calibri"/>
          <w:noProof/>
          <w:sz w:val="22"/>
          <w:szCs w:val="22"/>
        </w:rPr>
        <w:t>Remiantis turimais epidemiologinių tyrimų duomenimis buvo nustatyta nuo kumuliacinės dozės priklausoma HCTZ sąsaja su NOV (taip pat žr. 4.4 ir 5.1 skyrius).</w:t>
      </w:r>
    </w:p>
    <w:p w14:paraId="4C3EF22A" w14:textId="77777777" w:rsidR="00B56985" w:rsidRDefault="00B56985" w:rsidP="00775ECF">
      <w:pPr>
        <w:autoSpaceDE w:val="0"/>
        <w:autoSpaceDN w:val="0"/>
        <w:adjustRightInd w:val="0"/>
        <w:rPr>
          <w:rFonts w:eastAsia="Calibri"/>
          <w:noProof/>
          <w:sz w:val="22"/>
          <w:szCs w:val="22"/>
        </w:rPr>
      </w:pPr>
    </w:p>
    <w:p w14:paraId="552F00F4" w14:textId="77777777" w:rsidR="00B56985" w:rsidRPr="004F1914" w:rsidRDefault="00B56985" w:rsidP="00B56985">
      <w:pPr>
        <w:autoSpaceDE w:val="0"/>
        <w:autoSpaceDN w:val="0"/>
        <w:adjustRightInd w:val="0"/>
        <w:rPr>
          <w:noProof/>
          <w:snapToGrid w:val="0"/>
          <w:sz w:val="22"/>
        </w:rPr>
      </w:pPr>
      <w:r w:rsidRPr="004F1914">
        <w:rPr>
          <w:noProof/>
          <w:snapToGrid w:val="0"/>
          <w:sz w:val="22"/>
        </w:rPr>
        <w:t>Gauta pranešimų apie žarnyno angioneurozinės edemos atvejus, pasireiškusius pavartojus angiotenzino II receptorių antagonistų (žr. 4.4 skyrių).</w:t>
      </w:r>
    </w:p>
    <w:p w14:paraId="17FDE1DA" w14:textId="77777777" w:rsidR="003144C7" w:rsidRPr="00051FD3" w:rsidRDefault="003144C7" w:rsidP="007F39B7">
      <w:pPr>
        <w:autoSpaceDE w:val="0"/>
        <w:autoSpaceDN w:val="0"/>
        <w:adjustRightInd w:val="0"/>
        <w:rPr>
          <w:sz w:val="22"/>
          <w:szCs w:val="22"/>
          <w:lang w:eastAsia="lt-LT"/>
        </w:rPr>
      </w:pPr>
    </w:p>
    <w:p w14:paraId="6A9852B6" w14:textId="1F37BD17" w:rsidR="007F39B7" w:rsidRPr="00051FD3" w:rsidRDefault="007F39B7" w:rsidP="007F39B7">
      <w:pPr>
        <w:autoSpaceDE w:val="0"/>
        <w:autoSpaceDN w:val="0"/>
        <w:adjustRightInd w:val="0"/>
        <w:rPr>
          <w:sz w:val="22"/>
          <w:szCs w:val="22"/>
          <w:u w:val="single"/>
        </w:rPr>
      </w:pPr>
      <w:r w:rsidRPr="00051FD3">
        <w:rPr>
          <w:noProof/>
          <w:sz w:val="22"/>
          <w:szCs w:val="22"/>
          <w:u w:val="single"/>
        </w:rPr>
        <w:t>Pranešimas apie įtariamas nepageidaujamas reakcijas</w:t>
      </w:r>
    </w:p>
    <w:p w14:paraId="6EA6E238" w14:textId="77777777" w:rsidR="00DF7C5E" w:rsidRPr="00012DBE" w:rsidRDefault="00DF7C5E" w:rsidP="00C517F4">
      <w:pPr>
        <w:tabs>
          <w:tab w:val="left" w:pos="567"/>
        </w:tabs>
        <w:spacing w:line="260" w:lineRule="exact"/>
        <w:rPr>
          <w:sz w:val="22"/>
          <w:szCs w:val="22"/>
        </w:rPr>
      </w:pPr>
      <w:r w:rsidRPr="00051FD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51FD3">
        <w:rPr>
          <w:sz w:val="22"/>
          <w:szCs w:val="22"/>
          <w:u w:val="single"/>
        </w:rPr>
        <w:t>https://vvkt.lrv.lt/lt/</w:t>
      </w:r>
      <w:r w:rsidRPr="00051FD3">
        <w:rPr>
          <w:sz w:val="22"/>
          <w:szCs w:val="22"/>
        </w:rPr>
        <w:t xml:space="preserve"> nurodytais būdais.</w:t>
      </w:r>
    </w:p>
    <w:p w14:paraId="44BFE84D" w14:textId="77777777" w:rsidR="007F39B7" w:rsidRPr="00051FD3" w:rsidRDefault="007F39B7" w:rsidP="007F39B7">
      <w:pPr>
        <w:tabs>
          <w:tab w:val="left" w:pos="567"/>
        </w:tabs>
        <w:rPr>
          <w:sz w:val="22"/>
          <w:szCs w:val="22"/>
        </w:rPr>
      </w:pPr>
    </w:p>
    <w:p w14:paraId="113FA9B8" w14:textId="77777777" w:rsidR="007F39B7" w:rsidRPr="00051FD3" w:rsidRDefault="007F39B7" w:rsidP="007F39B7">
      <w:pPr>
        <w:tabs>
          <w:tab w:val="left" w:pos="567"/>
        </w:tabs>
        <w:rPr>
          <w:b/>
          <w:bCs/>
          <w:sz w:val="22"/>
          <w:szCs w:val="22"/>
        </w:rPr>
      </w:pPr>
      <w:r w:rsidRPr="00051FD3">
        <w:rPr>
          <w:b/>
          <w:bCs/>
          <w:sz w:val="22"/>
          <w:szCs w:val="22"/>
        </w:rPr>
        <w:t>4.9</w:t>
      </w:r>
      <w:r w:rsidRPr="00051FD3">
        <w:rPr>
          <w:b/>
          <w:bCs/>
          <w:sz w:val="22"/>
          <w:szCs w:val="22"/>
        </w:rPr>
        <w:tab/>
        <w:t>Perdozavimas</w:t>
      </w:r>
    </w:p>
    <w:p w14:paraId="525E9FDB" w14:textId="77777777" w:rsidR="007F39B7" w:rsidRPr="00051FD3" w:rsidRDefault="007F39B7" w:rsidP="007F39B7">
      <w:pPr>
        <w:tabs>
          <w:tab w:val="left" w:pos="567"/>
        </w:tabs>
        <w:rPr>
          <w:b/>
          <w:bCs/>
          <w:sz w:val="22"/>
          <w:szCs w:val="22"/>
        </w:rPr>
      </w:pPr>
    </w:p>
    <w:p w14:paraId="13276E40" w14:textId="77777777" w:rsidR="007F39B7" w:rsidRPr="00051FD3" w:rsidRDefault="007F39B7" w:rsidP="007F39B7">
      <w:pPr>
        <w:autoSpaceDE w:val="0"/>
        <w:autoSpaceDN w:val="0"/>
        <w:adjustRightInd w:val="0"/>
        <w:rPr>
          <w:sz w:val="22"/>
          <w:szCs w:val="22"/>
          <w:lang w:eastAsia="lt-LT"/>
        </w:rPr>
      </w:pPr>
      <w:r w:rsidRPr="00051FD3">
        <w:rPr>
          <w:sz w:val="22"/>
          <w:szCs w:val="22"/>
        </w:rPr>
        <w:t xml:space="preserve">Informacijos apie </w:t>
      </w:r>
      <w:proofErr w:type="spellStart"/>
      <w:r w:rsidRPr="00051FD3">
        <w:rPr>
          <w:sz w:val="22"/>
          <w:szCs w:val="22"/>
        </w:rPr>
        <w:t>telmisartano</w:t>
      </w:r>
      <w:proofErr w:type="spellEnd"/>
      <w:r w:rsidRPr="00051FD3">
        <w:rPr>
          <w:sz w:val="22"/>
          <w:szCs w:val="22"/>
        </w:rPr>
        <w:t xml:space="preserve"> perdozavimą žmonėms yra mažai. Hemodialize iš organizmo pašalinama </w:t>
      </w:r>
      <w:proofErr w:type="spellStart"/>
      <w:r w:rsidRPr="00051FD3">
        <w:rPr>
          <w:sz w:val="22"/>
          <w:szCs w:val="22"/>
        </w:rPr>
        <w:t>hidrochlorotiazido</w:t>
      </w:r>
      <w:proofErr w:type="spellEnd"/>
      <w:r w:rsidRPr="00051FD3">
        <w:rPr>
          <w:sz w:val="22"/>
          <w:szCs w:val="22"/>
        </w:rPr>
        <w:t xml:space="preserve"> dalis nenustatyta</w:t>
      </w:r>
      <w:r w:rsidRPr="00051FD3">
        <w:rPr>
          <w:sz w:val="22"/>
          <w:szCs w:val="22"/>
          <w:lang w:eastAsia="lt-LT"/>
        </w:rPr>
        <w:t>.</w:t>
      </w:r>
    </w:p>
    <w:p w14:paraId="6ABD50FC" w14:textId="77777777" w:rsidR="007F39B7" w:rsidRPr="00051FD3" w:rsidRDefault="007F39B7" w:rsidP="007F39B7">
      <w:pPr>
        <w:autoSpaceDE w:val="0"/>
        <w:autoSpaceDN w:val="0"/>
        <w:adjustRightInd w:val="0"/>
        <w:rPr>
          <w:sz w:val="22"/>
          <w:szCs w:val="22"/>
          <w:lang w:eastAsia="lt-LT"/>
        </w:rPr>
      </w:pPr>
    </w:p>
    <w:p w14:paraId="7BD8B52D" w14:textId="77777777" w:rsidR="007F39B7" w:rsidRPr="00051FD3" w:rsidRDefault="007F39B7" w:rsidP="007F39B7">
      <w:pPr>
        <w:autoSpaceDE w:val="0"/>
        <w:autoSpaceDN w:val="0"/>
        <w:adjustRightInd w:val="0"/>
        <w:rPr>
          <w:sz w:val="22"/>
          <w:szCs w:val="22"/>
          <w:lang w:eastAsia="lt-LT"/>
        </w:rPr>
      </w:pPr>
      <w:r w:rsidRPr="00051FD3">
        <w:rPr>
          <w:sz w:val="22"/>
          <w:szCs w:val="22"/>
          <w:u w:val="single"/>
          <w:lang w:eastAsia="lt-LT"/>
        </w:rPr>
        <w:t>Simptomai</w:t>
      </w:r>
      <w:r w:rsidRPr="00051FD3">
        <w:rPr>
          <w:sz w:val="22"/>
          <w:szCs w:val="22"/>
          <w:lang w:eastAsia="lt-LT"/>
        </w:rPr>
        <w:t xml:space="preserve"> </w:t>
      </w:r>
    </w:p>
    <w:p w14:paraId="43AB7330" w14:textId="77777777" w:rsidR="007F39B7" w:rsidRPr="00051FD3" w:rsidRDefault="007F39B7" w:rsidP="007F39B7">
      <w:pPr>
        <w:autoSpaceDE w:val="0"/>
        <w:autoSpaceDN w:val="0"/>
        <w:adjustRightInd w:val="0"/>
        <w:rPr>
          <w:rFonts w:eastAsia="TimesNewRoman"/>
          <w:sz w:val="22"/>
          <w:szCs w:val="22"/>
          <w:lang w:eastAsia="lt-LT"/>
        </w:rPr>
      </w:pPr>
      <w:r w:rsidRPr="00051FD3">
        <w:rPr>
          <w:rFonts w:eastAsia="TimesNewRoman"/>
          <w:sz w:val="22"/>
          <w:szCs w:val="22"/>
          <w:lang w:eastAsia="lt-LT"/>
        </w:rPr>
        <w:t xml:space="preserve">Labiausiai pastebimi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perdozavimo simptomai buvo </w:t>
      </w:r>
      <w:proofErr w:type="spellStart"/>
      <w:r w:rsidRPr="00051FD3">
        <w:rPr>
          <w:rFonts w:eastAsia="TimesNewRoman"/>
          <w:sz w:val="22"/>
          <w:szCs w:val="22"/>
          <w:lang w:eastAsia="lt-LT"/>
        </w:rPr>
        <w:t>hipotenzija</w:t>
      </w:r>
      <w:proofErr w:type="spellEnd"/>
      <w:r w:rsidRPr="00051FD3">
        <w:rPr>
          <w:rFonts w:eastAsia="TimesNewRoman"/>
          <w:sz w:val="22"/>
          <w:szCs w:val="22"/>
          <w:lang w:eastAsia="lt-LT"/>
        </w:rPr>
        <w:t xml:space="preserve"> ir tachikardija. </w:t>
      </w:r>
      <w:r w:rsidRPr="00051FD3">
        <w:rPr>
          <w:sz w:val="22"/>
          <w:szCs w:val="22"/>
          <w:lang w:eastAsia="lt-LT"/>
        </w:rPr>
        <w:t>Taip pat buvo pranešimų apie bradikardiją, galvos svaigimą, kreatinino kiekio kraujo serume padidėjimą bei ūminio inkstų nepakankamumą.</w:t>
      </w:r>
      <w:r w:rsidRPr="00051FD3">
        <w:rPr>
          <w:rFonts w:eastAsia="TimesNewRoman"/>
          <w:sz w:val="22"/>
          <w:szCs w:val="22"/>
          <w:lang w:eastAsia="lt-LT"/>
        </w:rPr>
        <w:t xml:space="preserve">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 xml:space="preserve"> perdozavimas būna susijęs su elektrolitų kiekio sumažėjimu (</w:t>
      </w:r>
      <w:proofErr w:type="spellStart"/>
      <w:r w:rsidRPr="00051FD3">
        <w:rPr>
          <w:rFonts w:eastAsia="TimesNewRoman"/>
          <w:sz w:val="22"/>
          <w:szCs w:val="22"/>
          <w:lang w:eastAsia="lt-LT"/>
        </w:rPr>
        <w:t>hipokalemija</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hipochloremija</w:t>
      </w:r>
      <w:proofErr w:type="spellEnd"/>
      <w:r w:rsidRPr="00051FD3">
        <w:rPr>
          <w:rFonts w:eastAsia="TimesNewRoman"/>
          <w:sz w:val="22"/>
          <w:szCs w:val="22"/>
          <w:lang w:eastAsia="lt-LT"/>
        </w:rPr>
        <w:t xml:space="preserve">) ir </w:t>
      </w:r>
      <w:proofErr w:type="spellStart"/>
      <w:r w:rsidRPr="00051FD3">
        <w:rPr>
          <w:rFonts w:eastAsia="TimesNewRoman"/>
          <w:sz w:val="22"/>
          <w:szCs w:val="22"/>
          <w:lang w:eastAsia="lt-LT"/>
        </w:rPr>
        <w:t>hipovolemija</w:t>
      </w:r>
      <w:proofErr w:type="spellEnd"/>
      <w:r w:rsidRPr="00051FD3">
        <w:rPr>
          <w:rFonts w:eastAsia="TimesNewRoman"/>
          <w:sz w:val="22"/>
          <w:szCs w:val="22"/>
          <w:lang w:eastAsia="lt-LT"/>
        </w:rPr>
        <w:t xml:space="preserve">, kadangi labai sustiprėja diurezė. Dažniausi perdozavimo simptomai yra pykinimas ir apsnūdimas. Dėl </w:t>
      </w:r>
      <w:proofErr w:type="spellStart"/>
      <w:r w:rsidRPr="00051FD3">
        <w:rPr>
          <w:rFonts w:eastAsia="TimesNewRoman"/>
          <w:sz w:val="22"/>
          <w:szCs w:val="22"/>
          <w:lang w:eastAsia="lt-LT"/>
        </w:rPr>
        <w:t>hipokalemijos</w:t>
      </w:r>
      <w:proofErr w:type="spellEnd"/>
      <w:r w:rsidRPr="00051FD3">
        <w:rPr>
          <w:rFonts w:eastAsia="TimesNewRoman"/>
          <w:sz w:val="22"/>
          <w:szCs w:val="22"/>
          <w:lang w:eastAsia="lt-LT"/>
        </w:rPr>
        <w:t xml:space="preserve"> gali pasireikšti raumenų spazmai ir (arba) pasunkėti kartu vartojamų rusmenės glikozidų ar tam tikrų </w:t>
      </w:r>
      <w:proofErr w:type="spellStart"/>
      <w:r w:rsidRPr="00051FD3">
        <w:rPr>
          <w:rFonts w:eastAsia="TimesNewRoman"/>
          <w:sz w:val="22"/>
          <w:szCs w:val="22"/>
          <w:lang w:eastAsia="lt-LT"/>
        </w:rPr>
        <w:t>antiaritminių</w:t>
      </w:r>
      <w:proofErr w:type="spellEnd"/>
      <w:r w:rsidRPr="00051FD3">
        <w:rPr>
          <w:rFonts w:eastAsia="TimesNewRoman"/>
          <w:sz w:val="22"/>
          <w:szCs w:val="22"/>
          <w:lang w:eastAsia="lt-LT"/>
        </w:rPr>
        <w:t xml:space="preserve"> vaistinių preparatų sukeliama aritmija.</w:t>
      </w:r>
    </w:p>
    <w:p w14:paraId="236ECB63" w14:textId="77777777" w:rsidR="007F39B7" w:rsidRPr="00051FD3" w:rsidRDefault="007F39B7" w:rsidP="007F39B7">
      <w:pPr>
        <w:autoSpaceDE w:val="0"/>
        <w:autoSpaceDN w:val="0"/>
        <w:adjustRightInd w:val="0"/>
        <w:rPr>
          <w:rFonts w:eastAsia="TimesNewRoman"/>
          <w:sz w:val="22"/>
          <w:szCs w:val="22"/>
          <w:lang w:eastAsia="lt-LT"/>
        </w:rPr>
      </w:pPr>
    </w:p>
    <w:p w14:paraId="6C7D4B5C" w14:textId="77777777" w:rsidR="007F39B7" w:rsidRPr="00051FD3" w:rsidRDefault="007F39B7" w:rsidP="007F39B7">
      <w:pPr>
        <w:autoSpaceDE w:val="0"/>
        <w:autoSpaceDN w:val="0"/>
        <w:adjustRightInd w:val="0"/>
        <w:rPr>
          <w:rFonts w:eastAsia="TimesNewRoman"/>
          <w:sz w:val="22"/>
          <w:szCs w:val="22"/>
          <w:u w:val="single"/>
          <w:lang w:eastAsia="lt-LT"/>
        </w:rPr>
      </w:pPr>
      <w:r w:rsidRPr="00051FD3">
        <w:rPr>
          <w:rFonts w:eastAsia="TimesNewRoman"/>
          <w:sz w:val="22"/>
          <w:szCs w:val="22"/>
          <w:u w:val="single"/>
          <w:lang w:eastAsia="lt-LT"/>
        </w:rPr>
        <w:t>Gydymas</w:t>
      </w:r>
    </w:p>
    <w:p w14:paraId="1DC103AE" w14:textId="2C8CBA57" w:rsidR="007F39B7" w:rsidRPr="00051FD3" w:rsidRDefault="00C517F4" w:rsidP="007F39B7">
      <w:pPr>
        <w:autoSpaceDE w:val="0"/>
        <w:autoSpaceDN w:val="0"/>
        <w:adjustRightInd w:val="0"/>
        <w:rPr>
          <w:sz w:val="22"/>
          <w:szCs w:val="22"/>
          <w:lang w:eastAsia="lt-LT"/>
        </w:rPr>
      </w:pPr>
      <w:proofErr w:type="spellStart"/>
      <w:r w:rsidRPr="00051FD3">
        <w:rPr>
          <w:rFonts w:eastAsia="TimesNewRoman"/>
          <w:sz w:val="22"/>
          <w:szCs w:val="22"/>
          <w:lang w:eastAsia="lt-LT"/>
        </w:rPr>
        <w:lastRenderedPageBreak/>
        <w:t>Hemofiltracijos</w:t>
      </w:r>
      <w:proofErr w:type="spellEnd"/>
      <w:r w:rsidRPr="00051FD3">
        <w:rPr>
          <w:rFonts w:eastAsia="TimesNewRoman"/>
          <w:sz w:val="22"/>
          <w:szCs w:val="22"/>
          <w:lang w:eastAsia="lt-LT"/>
        </w:rPr>
        <w:t xml:space="preserve"> bū</w:t>
      </w:r>
      <w:r w:rsidR="00DF7C5E" w:rsidRPr="00051FD3">
        <w:rPr>
          <w:rFonts w:eastAsia="TimesNewRoman"/>
          <w:sz w:val="22"/>
          <w:szCs w:val="22"/>
          <w:lang w:eastAsia="lt-LT"/>
        </w:rPr>
        <w:t xml:space="preserve">du ir </w:t>
      </w:r>
      <w:r w:rsidR="007F39B7" w:rsidRPr="00051FD3">
        <w:rPr>
          <w:rFonts w:eastAsia="TimesNewRoman"/>
          <w:sz w:val="22"/>
          <w:szCs w:val="22"/>
          <w:lang w:eastAsia="lt-LT"/>
        </w:rPr>
        <w:t>dializ</w:t>
      </w:r>
      <w:r w:rsidR="00DF7C5E" w:rsidRPr="00051FD3">
        <w:rPr>
          <w:rFonts w:eastAsia="TimesNewRoman"/>
          <w:sz w:val="22"/>
          <w:szCs w:val="22"/>
          <w:lang w:eastAsia="lt-LT"/>
        </w:rPr>
        <w:t>ės m</w:t>
      </w:r>
      <w:r w:rsidR="007F39B7" w:rsidRPr="00051FD3">
        <w:rPr>
          <w:rFonts w:eastAsia="TimesNewRoman"/>
          <w:sz w:val="22"/>
          <w:szCs w:val="22"/>
          <w:lang w:eastAsia="lt-LT"/>
        </w:rPr>
        <w:t>e</w:t>
      </w:r>
      <w:r w:rsidR="00DF7C5E" w:rsidRPr="00051FD3">
        <w:rPr>
          <w:rFonts w:eastAsia="TimesNewRoman"/>
          <w:sz w:val="22"/>
          <w:szCs w:val="22"/>
          <w:lang w:eastAsia="lt-LT"/>
        </w:rPr>
        <w:t>tu</w:t>
      </w:r>
      <w:r w:rsidR="007F39B7" w:rsidRPr="00051FD3">
        <w:rPr>
          <w:rFonts w:eastAsia="TimesNewRoman"/>
          <w:sz w:val="22"/>
          <w:szCs w:val="22"/>
          <w:lang w:eastAsia="lt-LT"/>
        </w:rPr>
        <w:t xml:space="preserve"> </w:t>
      </w:r>
      <w:proofErr w:type="spellStart"/>
      <w:r w:rsidR="007F39B7" w:rsidRPr="00051FD3">
        <w:rPr>
          <w:rFonts w:eastAsia="TimesNewRoman"/>
          <w:sz w:val="22"/>
          <w:szCs w:val="22"/>
          <w:lang w:eastAsia="lt-LT"/>
        </w:rPr>
        <w:t>telmisartan</w:t>
      </w:r>
      <w:r w:rsidR="00DF7C5E" w:rsidRPr="00051FD3">
        <w:rPr>
          <w:rFonts w:eastAsia="TimesNewRoman"/>
          <w:sz w:val="22"/>
          <w:szCs w:val="22"/>
          <w:lang w:eastAsia="lt-LT"/>
        </w:rPr>
        <w:t>as</w:t>
      </w:r>
      <w:proofErr w:type="spellEnd"/>
      <w:r w:rsidR="007F39B7" w:rsidRPr="00051FD3">
        <w:rPr>
          <w:rFonts w:eastAsia="TimesNewRoman"/>
          <w:sz w:val="22"/>
          <w:szCs w:val="22"/>
          <w:lang w:eastAsia="lt-LT"/>
        </w:rPr>
        <w:t xml:space="preserve"> iš organizmo </w:t>
      </w:r>
      <w:r w:rsidR="00DF7C5E" w:rsidRPr="00051FD3">
        <w:rPr>
          <w:rFonts w:eastAsia="TimesNewRoman"/>
          <w:sz w:val="22"/>
          <w:szCs w:val="22"/>
          <w:lang w:eastAsia="lt-LT"/>
        </w:rPr>
        <w:t>ne</w:t>
      </w:r>
      <w:r w:rsidR="007F39B7" w:rsidRPr="00051FD3">
        <w:rPr>
          <w:rFonts w:eastAsia="TimesNewRoman"/>
          <w:sz w:val="22"/>
          <w:szCs w:val="22"/>
          <w:lang w:eastAsia="lt-LT"/>
        </w:rPr>
        <w:t>pašalin</w:t>
      </w:r>
      <w:r w:rsidR="00DF7C5E" w:rsidRPr="00051FD3">
        <w:rPr>
          <w:rFonts w:eastAsia="TimesNewRoman"/>
          <w:sz w:val="22"/>
          <w:szCs w:val="22"/>
          <w:lang w:eastAsia="lt-LT"/>
        </w:rPr>
        <w:t>amas</w:t>
      </w:r>
      <w:r w:rsidR="007F39B7" w:rsidRPr="00051FD3">
        <w:rPr>
          <w:rFonts w:eastAsia="TimesNewRoman"/>
          <w:sz w:val="22"/>
          <w:szCs w:val="22"/>
          <w:lang w:eastAsia="lt-LT"/>
        </w:rPr>
        <w:t xml:space="preserve">. Apsinuodijusį pacientą būtina atidžiai prižiūrėti, taikyti simptominį ir palaikomąjį gydymą. Jis priklauso nuo apsinuodijimo laiko ir pasireiškusių simptomų sunkumo. </w:t>
      </w:r>
      <w:r w:rsidR="007F39B7" w:rsidRPr="00051FD3">
        <w:rPr>
          <w:sz w:val="22"/>
          <w:szCs w:val="22"/>
          <w:lang w:eastAsia="lt-LT"/>
        </w:rPr>
        <w:t xml:space="preserve">Pradžioje patariama sukelti vėmimą ir (arba) išplauti skrandį. Gali būti naudinga duoti </w:t>
      </w:r>
      <w:r w:rsidR="00236324" w:rsidRPr="00051FD3">
        <w:rPr>
          <w:sz w:val="22"/>
          <w:szCs w:val="22"/>
          <w:lang w:eastAsia="lt-LT"/>
        </w:rPr>
        <w:t>vartoti</w:t>
      </w:r>
      <w:r w:rsidR="007F39B7" w:rsidRPr="00051FD3">
        <w:rPr>
          <w:sz w:val="22"/>
          <w:szCs w:val="22"/>
          <w:lang w:eastAsia="lt-LT"/>
        </w:rPr>
        <w:t xml:space="preserve"> aktyvuotos anglies. Būtina dažnai tirti elektrolitų ir kreatinino kiekį kraujo serume. Jeigu pasireiškia </w:t>
      </w:r>
      <w:proofErr w:type="spellStart"/>
      <w:r w:rsidR="007F39B7" w:rsidRPr="00051FD3">
        <w:rPr>
          <w:sz w:val="22"/>
          <w:szCs w:val="22"/>
          <w:lang w:eastAsia="lt-LT"/>
        </w:rPr>
        <w:t>hipotenzija</w:t>
      </w:r>
      <w:proofErr w:type="spellEnd"/>
      <w:r w:rsidR="007F39B7" w:rsidRPr="00051FD3">
        <w:rPr>
          <w:sz w:val="22"/>
          <w:szCs w:val="22"/>
          <w:lang w:eastAsia="lt-LT"/>
        </w:rPr>
        <w:t>, pacientą reikia paguldyti ant nugaros ir nedelsiant skirti druskų bei kraujo tūrį didinančių skysčių.</w:t>
      </w:r>
    </w:p>
    <w:p w14:paraId="10B6FC69" w14:textId="77777777" w:rsidR="007F39B7" w:rsidRPr="00051FD3" w:rsidRDefault="007F39B7" w:rsidP="007F39B7">
      <w:pPr>
        <w:tabs>
          <w:tab w:val="left" w:pos="567"/>
        </w:tabs>
        <w:rPr>
          <w:sz w:val="22"/>
          <w:szCs w:val="22"/>
          <w:lang w:eastAsia="lt-LT"/>
        </w:rPr>
      </w:pPr>
    </w:p>
    <w:p w14:paraId="56FE0596" w14:textId="77777777" w:rsidR="007F39B7" w:rsidRPr="00051FD3" w:rsidRDefault="007F39B7" w:rsidP="007F39B7">
      <w:pPr>
        <w:tabs>
          <w:tab w:val="left" w:pos="567"/>
        </w:tabs>
        <w:rPr>
          <w:sz w:val="22"/>
          <w:szCs w:val="22"/>
        </w:rPr>
      </w:pPr>
    </w:p>
    <w:p w14:paraId="6A29233B" w14:textId="77777777" w:rsidR="007F39B7" w:rsidRPr="00051FD3" w:rsidRDefault="007F39B7" w:rsidP="007F39B7">
      <w:pPr>
        <w:tabs>
          <w:tab w:val="left" w:pos="567"/>
        </w:tabs>
        <w:rPr>
          <w:b/>
          <w:bCs/>
          <w:sz w:val="22"/>
          <w:szCs w:val="22"/>
        </w:rPr>
      </w:pPr>
      <w:r w:rsidRPr="00051FD3">
        <w:rPr>
          <w:b/>
          <w:bCs/>
          <w:sz w:val="22"/>
          <w:szCs w:val="22"/>
        </w:rPr>
        <w:t>5.</w:t>
      </w:r>
      <w:r w:rsidRPr="00051FD3">
        <w:rPr>
          <w:b/>
          <w:bCs/>
          <w:sz w:val="22"/>
          <w:szCs w:val="22"/>
        </w:rPr>
        <w:tab/>
        <w:t>FARMAKOLOGINĖS SAVYBĖS</w:t>
      </w:r>
    </w:p>
    <w:p w14:paraId="4739832C" w14:textId="77777777" w:rsidR="007F39B7" w:rsidRPr="00051FD3" w:rsidRDefault="007F39B7" w:rsidP="007F39B7">
      <w:pPr>
        <w:tabs>
          <w:tab w:val="left" w:pos="567"/>
        </w:tabs>
        <w:rPr>
          <w:sz w:val="22"/>
          <w:szCs w:val="22"/>
        </w:rPr>
      </w:pPr>
    </w:p>
    <w:p w14:paraId="046A08AD" w14:textId="77777777" w:rsidR="007F39B7" w:rsidRPr="00051FD3" w:rsidRDefault="007F39B7" w:rsidP="007F39B7">
      <w:pPr>
        <w:tabs>
          <w:tab w:val="left" w:pos="567"/>
        </w:tabs>
        <w:rPr>
          <w:b/>
          <w:bCs/>
          <w:sz w:val="22"/>
          <w:szCs w:val="22"/>
        </w:rPr>
      </w:pPr>
      <w:r w:rsidRPr="00051FD3">
        <w:rPr>
          <w:b/>
          <w:bCs/>
          <w:sz w:val="22"/>
          <w:szCs w:val="22"/>
        </w:rPr>
        <w:t>5.1</w:t>
      </w:r>
      <w:r w:rsidRPr="00051FD3">
        <w:rPr>
          <w:b/>
          <w:bCs/>
          <w:sz w:val="22"/>
          <w:szCs w:val="22"/>
        </w:rPr>
        <w:tab/>
      </w:r>
      <w:proofErr w:type="spellStart"/>
      <w:r w:rsidRPr="00051FD3">
        <w:rPr>
          <w:b/>
          <w:bCs/>
          <w:sz w:val="22"/>
          <w:szCs w:val="22"/>
        </w:rPr>
        <w:t>Farmakodinaminės</w:t>
      </w:r>
      <w:proofErr w:type="spellEnd"/>
      <w:r w:rsidRPr="00051FD3">
        <w:rPr>
          <w:b/>
          <w:bCs/>
          <w:sz w:val="22"/>
          <w:szCs w:val="22"/>
        </w:rPr>
        <w:t xml:space="preserve"> savybės</w:t>
      </w:r>
    </w:p>
    <w:p w14:paraId="72DB9894" w14:textId="77777777" w:rsidR="007F39B7" w:rsidRPr="00051FD3" w:rsidRDefault="007F39B7" w:rsidP="007F39B7">
      <w:pPr>
        <w:tabs>
          <w:tab w:val="left" w:pos="567"/>
        </w:tabs>
        <w:rPr>
          <w:b/>
          <w:bCs/>
          <w:sz w:val="22"/>
          <w:szCs w:val="22"/>
        </w:rPr>
      </w:pPr>
    </w:p>
    <w:p w14:paraId="6D796DC2" w14:textId="39CA1F76" w:rsidR="007F39B7" w:rsidRPr="00051FD3" w:rsidRDefault="007F39B7" w:rsidP="007F39B7">
      <w:pPr>
        <w:autoSpaceDE w:val="0"/>
        <w:autoSpaceDN w:val="0"/>
        <w:adjustRightInd w:val="0"/>
        <w:rPr>
          <w:sz w:val="22"/>
          <w:szCs w:val="22"/>
          <w:lang w:eastAsia="lt-LT"/>
        </w:rPr>
      </w:pPr>
      <w:proofErr w:type="spellStart"/>
      <w:r w:rsidRPr="00051FD3">
        <w:rPr>
          <w:sz w:val="22"/>
          <w:szCs w:val="22"/>
          <w:lang w:eastAsia="lt-LT"/>
        </w:rPr>
        <w:t>Farmakoterapinė</w:t>
      </w:r>
      <w:proofErr w:type="spellEnd"/>
      <w:r w:rsidRPr="00051FD3">
        <w:rPr>
          <w:sz w:val="22"/>
          <w:szCs w:val="22"/>
          <w:lang w:eastAsia="lt-LT"/>
        </w:rPr>
        <w:t xml:space="preserve"> grupė − </w:t>
      </w:r>
      <w:proofErr w:type="spellStart"/>
      <w:r w:rsidRPr="00051FD3">
        <w:rPr>
          <w:sz w:val="22"/>
          <w:szCs w:val="22"/>
          <w:lang w:eastAsia="lt-LT"/>
        </w:rPr>
        <w:t>angiotenzino</w:t>
      </w:r>
      <w:proofErr w:type="spellEnd"/>
      <w:r w:rsidRPr="00051FD3">
        <w:rPr>
          <w:sz w:val="22"/>
          <w:szCs w:val="22"/>
          <w:lang w:eastAsia="lt-LT"/>
        </w:rPr>
        <w:t xml:space="preserve"> II receptorių blokatoriai </w:t>
      </w:r>
      <w:r w:rsidR="00992794" w:rsidRPr="00051FD3">
        <w:rPr>
          <w:sz w:val="22"/>
          <w:szCs w:val="22"/>
          <w:lang w:eastAsia="lt-LT"/>
        </w:rPr>
        <w:t xml:space="preserve">(ARB) </w:t>
      </w:r>
      <w:r w:rsidRPr="00051FD3">
        <w:rPr>
          <w:sz w:val="22"/>
          <w:szCs w:val="22"/>
          <w:lang w:eastAsia="lt-LT"/>
        </w:rPr>
        <w:t>ir diuretikai, ATC kodas − C09DA07</w:t>
      </w:r>
      <w:r w:rsidR="002A4E4A" w:rsidRPr="00051FD3">
        <w:rPr>
          <w:sz w:val="22"/>
          <w:szCs w:val="22"/>
          <w:lang w:eastAsia="lt-LT"/>
        </w:rPr>
        <w:t>.</w:t>
      </w:r>
    </w:p>
    <w:p w14:paraId="66749F63" w14:textId="77777777" w:rsidR="007F39B7" w:rsidRPr="00051FD3" w:rsidRDefault="007F39B7" w:rsidP="007F39B7">
      <w:pPr>
        <w:autoSpaceDE w:val="0"/>
        <w:autoSpaceDN w:val="0"/>
        <w:adjustRightInd w:val="0"/>
        <w:rPr>
          <w:sz w:val="22"/>
          <w:szCs w:val="22"/>
          <w:lang w:eastAsia="lt-LT"/>
        </w:rPr>
      </w:pPr>
    </w:p>
    <w:p w14:paraId="2313992B" w14:textId="77777777"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 yra </w:t>
      </w:r>
      <w:proofErr w:type="spellStart"/>
      <w:r w:rsidRPr="00051FD3">
        <w:rPr>
          <w:rFonts w:eastAsia="TimesNewRoman"/>
          <w:sz w:val="22"/>
          <w:szCs w:val="22"/>
          <w:lang w:eastAsia="lt-LT"/>
        </w:rPr>
        <w:t>angiotenzino</w:t>
      </w:r>
      <w:proofErr w:type="spellEnd"/>
      <w:r w:rsidRPr="00051FD3">
        <w:rPr>
          <w:rFonts w:eastAsia="TimesNewRoman"/>
          <w:sz w:val="22"/>
          <w:szCs w:val="22"/>
          <w:lang w:eastAsia="lt-LT"/>
        </w:rPr>
        <w:t xml:space="preserve"> II  receptorių blokatoriaus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ir </w:t>
      </w:r>
      <w:proofErr w:type="spellStart"/>
      <w:r w:rsidRPr="00051FD3">
        <w:rPr>
          <w:rFonts w:eastAsia="TimesNewRoman"/>
          <w:sz w:val="22"/>
          <w:szCs w:val="22"/>
          <w:lang w:eastAsia="lt-LT"/>
        </w:rPr>
        <w:t>tiazidinio</w:t>
      </w:r>
      <w:proofErr w:type="spellEnd"/>
      <w:r w:rsidRPr="00051FD3">
        <w:rPr>
          <w:rFonts w:eastAsia="TimesNewRoman"/>
          <w:sz w:val="22"/>
          <w:szCs w:val="22"/>
          <w:lang w:eastAsia="lt-LT"/>
        </w:rPr>
        <w:t xml:space="preserve"> diuretiko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 xml:space="preserve"> derinys. Šios medžiagos kartu vartojamos sukelia adityvų </w:t>
      </w:r>
      <w:proofErr w:type="spellStart"/>
      <w:r w:rsidRPr="00051FD3">
        <w:rPr>
          <w:rFonts w:eastAsia="TimesNewRoman"/>
          <w:sz w:val="22"/>
          <w:szCs w:val="22"/>
          <w:lang w:eastAsia="lt-LT"/>
        </w:rPr>
        <w:t>antihipertenzinį</w:t>
      </w:r>
      <w:proofErr w:type="spellEnd"/>
      <w:r w:rsidRPr="00051FD3">
        <w:rPr>
          <w:rFonts w:eastAsia="TimesNewRoman"/>
          <w:sz w:val="22"/>
          <w:szCs w:val="22"/>
          <w:lang w:eastAsia="lt-LT"/>
        </w:rPr>
        <w:t xml:space="preserve"> poveikį: kraujospūdis mažėja daugiau negu vartojant atskirai. </w:t>
      </w: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 terapinė dozė išgerta vieną kartą per parą kraujospūdį mažina veiksmingai ir vienodai.</w:t>
      </w:r>
    </w:p>
    <w:p w14:paraId="41E7D84B" w14:textId="77777777" w:rsidR="005A1EA2" w:rsidRPr="00051FD3" w:rsidRDefault="005A1EA2" w:rsidP="007F39B7">
      <w:pPr>
        <w:autoSpaceDE w:val="0"/>
        <w:autoSpaceDN w:val="0"/>
        <w:adjustRightInd w:val="0"/>
        <w:rPr>
          <w:rFonts w:eastAsia="TimesNewRoman"/>
          <w:sz w:val="22"/>
          <w:szCs w:val="22"/>
          <w:lang w:eastAsia="lt-LT"/>
        </w:rPr>
      </w:pPr>
    </w:p>
    <w:p w14:paraId="76618EA2" w14:textId="77777777" w:rsidR="005A1EA2" w:rsidRPr="00FA4E83" w:rsidRDefault="005A1EA2" w:rsidP="007F39B7">
      <w:pPr>
        <w:autoSpaceDE w:val="0"/>
        <w:autoSpaceDN w:val="0"/>
        <w:adjustRightInd w:val="0"/>
        <w:rPr>
          <w:rFonts w:eastAsia="TimesNewRoman"/>
          <w:sz w:val="22"/>
          <w:szCs w:val="22"/>
          <w:u w:val="single"/>
          <w:lang w:eastAsia="lt-LT"/>
        </w:rPr>
      </w:pPr>
      <w:r w:rsidRPr="00FA4E83">
        <w:rPr>
          <w:rFonts w:eastAsia="TimesNewRoman"/>
          <w:sz w:val="22"/>
          <w:szCs w:val="22"/>
          <w:u w:val="single"/>
          <w:lang w:eastAsia="lt-LT"/>
        </w:rPr>
        <w:t>Veikimo mechanizmas</w:t>
      </w:r>
    </w:p>
    <w:p w14:paraId="68D4A7CD" w14:textId="404AB620" w:rsidR="007F39B7" w:rsidRPr="00051FD3" w:rsidRDefault="007F39B7" w:rsidP="007F39B7">
      <w:pPr>
        <w:autoSpaceDE w:val="0"/>
        <w:autoSpaceDN w:val="0"/>
        <w:adjustRightInd w:val="0"/>
        <w:rPr>
          <w:rFonts w:eastAsia="TimesNewRoman"/>
          <w:sz w:val="22"/>
          <w:szCs w:val="22"/>
          <w:lang w:eastAsia="lt-LT"/>
        </w:rPr>
      </w:pPr>
      <w:r w:rsidRPr="00051FD3">
        <w:rPr>
          <w:rFonts w:eastAsia="TimesNewRoman"/>
          <w:sz w:val="22"/>
          <w:szCs w:val="22"/>
          <w:lang w:eastAsia="lt-LT"/>
        </w:rPr>
        <w:t xml:space="preserve">Vartojamas per burną </w:t>
      </w:r>
      <w:proofErr w:type="spellStart"/>
      <w:r w:rsidRPr="00051FD3">
        <w:rPr>
          <w:rFonts w:eastAsia="TimesNewRoman"/>
          <w:sz w:val="22"/>
          <w:szCs w:val="22"/>
          <w:lang w:eastAsia="lt-LT"/>
        </w:rPr>
        <w:t>telmisartanas</w:t>
      </w:r>
      <w:proofErr w:type="spellEnd"/>
      <w:r w:rsidRPr="00051FD3">
        <w:rPr>
          <w:rFonts w:eastAsia="TimesNewRoman"/>
          <w:sz w:val="22"/>
          <w:szCs w:val="22"/>
          <w:lang w:eastAsia="lt-LT"/>
        </w:rPr>
        <w:t xml:space="preserve"> yra specifinis </w:t>
      </w:r>
      <w:proofErr w:type="spellStart"/>
      <w:r w:rsidRPr="00051FD3">
        <w:rPr>
          <w:rFonts w:eastAsia="TimesNewRoman"/>
          <w:sz w:val="22"/>
          <w:szCs w:val="22"/>
          <w:lang w:eastAsia="lt-LT"/>
        </w:rPr>
        <w:t>angiotenzino</w:t>
      </w:r>
      <w:proofErr w:type="spellEnd"/>
      <w:r w:rsidRPr="00051FD3">
        <w:rPr>
          <w:rFonts w:eastAsia="TimesNewRoman"/>
          <w:sz w:val="22"/>
          <w:szCs w:val="22"/>
          <w:lang w:eastAsia="lt-LT"/>
        </w:rPr>
        <w:t xml:space="preserve"> II  pirmojo potipio receptorių (AT1) blokatoriais. Jis konkuruodamas su </w:t>
      </w:r>
      <w:proofErr w:type="spellStart"/>
      <w:r w:rsidRPr="00051FD3">
        <w:rPr>
          <w:rFonts w:eastAsia="TimesNewRoman"/>
          <w:sz w:val="22"/>
          <w:szCs w:val="22"/>
          <w:lang w:eastAsia="lt-LT"/>
        </w:rPr>
        <w:t>angiotenzinu</w:t>
      </w:r>
      <w:proofErr w:type="spellEnd"/>
      <w:r w:rsidRPr="00051FD3">
        <w:rPr>
          <w:rFonts w:eastAsia="TimesNewRoman"/>
          <w:sz w:val="22"/>
          <w:szCs w:val="22"/>
          <w:lang w:eastAsia="lt-LT"/>
        </w:rPr>
        <w:t xml:space="preserve"> II neleidžia pastarajam prisijungti daugiausiai prie AT1 receptorių, nuo kurių dirginimo priklauso </w:t>
      </w:r>
      <w:proofErr w:type="spellStart"/>
      <w:r w:rsidRPr="00051FD3">
        <w:rPr>
          <w:rFonts w:eastAsia="TimesNewRoman"/>
          <w:sz w:val="22"/>
          <w:szCs w:val="22"/>
          <w:lang w:eastAsia="lt-LT"/>
        </w:rPr>
        <w:t>angiotenzino</w:t>
      </w:r>
      <w:proofErr w:type="spellEnd"/>
      <w:r w:rsidRPr="00051FD3">
        <w:rPr>
          <w:rFonts w:eastAsia="TimesNewRoman"/>
          <w:sz w:val="22"/>
          <w:szCs w:val="22"/>
          <w:lang w:eastAsia="lt-LT"/>
        </w:rPr>
        <w:t xml:space="preserve"> II sukeliamas poveikis. Dalinio </w:t>
      </w:r>
      <w:proofErr w:type="spellStart"/>
      <w:r w:rsidRPr="00051FD3">
        <w:rPr>
          <w:rFonts w:eastAsia="TimesNewRoman"/>
          <w:sz w:val="22"/>
          <w:szCs w:val="22"/>
          <w:lang w:eastAsia="lt-LT"/>
        </w:rPr>
        <w:t>agonistinio</w:t>
      </w:r>
      <w:proofErr w:type="spellEnd"/>
      <w:r w:rsidRPr="00051FD3">
        <w:rPr>
          <w:rFonts w:eastAsia="TimesNewRoman"/>
          <w:sz w:val="22"/>
          <w:szCs w:val="22"/>
          <w:lang w:eastAsia="lt-LT"/>
        </w:rPr>
        <w:t xml:space="preserve"> poveikio AT1 receptoriams </w:t>
      </w:r>
      <w:proofErr w:type="spellStart"/>
      <w:r w:rsidRPr="00051FD3">
        <w:rPr>
          <w:rFonts w:eastAsia="TimesNewRoman"/>
          <w:sz w:val="22"/>
          <w:szCs w:val="22"/>
          <w:lang w:eastAsia="lt-LT"/>
        </w:rPr>
        <w:t>telmisartanas</w:t>
      </w:r>
      <w:proofErr w:type="spellEnd"/>
      <w:r w:rsidRPr="00051FD3">
        <w:rPr>
          <w:rFonts w:eastAsia="TimesNewRoman"/>
          <w:sz w:val="22"/>
          <w:szCs w:val="22"/>
          <w:lang w:eastAsia="lt-LT"/>
        </w:rPr>
        <w:t xml:space="preserve"> nesukelia. Prie šių receptorių jis jungiasi selektyviai ir ilgam. Kitos rūšies receptorių, įskaitant ir AT2 bei kitokius mažiau identifikuotus </w:t>
      </w:r>
      <w:proofErr w:type="spellStart"/>
      <w:r w:rsidRPr="00051FD3">
        <w:rPr>
          <w:rFonts w:eastAsia="TimesNewRoman"/>
          <w:sz w:val="22"/>
          <w:szCs w:val="22"/>
          <w:lang w:eastAsia="lt-LT"/>
        </w:rPr>
        <w:t>angiotenzininius</w:t>
      </w:r>
      <w:proofErr w:type="spellEnd"/>
      <w:r w:rsidRPr="00051FD3">
        <w:rPr>
          <w:rFonts w:eastAsia="TimesNewRoman"/>
          <w:sz w:val="22"/>
          <w:szCs w:val="22"/>
          <w:lang w:eastAsia="lt-LT"/>
        </w:rPr>
        <w:t xml:space="preserve"> receptorius, preparatas neblokuoja. Kokia minėtų receptorių funkcija ir koks galimas poveikis, jeigu juos per daug stimuliuoja </w:t>
      </w:r>
      <w:proofErr w:type="spellStart"/>
      <w:r w:rsidRPr="00051FD3">
        <w:rPr>
          <w:rFonts w:eastAsia="TimesNewRoman"/>
          <w:sz w:val="22"/>
          <w:szCs w:val="22"/>
          <w:lang w:eastAsia="lt-LT"/>
        </w:rPr>
        <w:t>angiotenzinas</w:t>
      </w:r>
      <w:proofErr w:type="spellEnd"/>
      <w:r w:rsidRPr="00051FD3">
        <w:rPr>
          <w:rFonts w:eastAsia="TimesNewRoman"/>
          <w:sz w:val="22"/>
          <w:szCs w:val="22"/>
          <w:lang w:eastAsia="lt-LT"/>
        </w:rPr>
        <w:t xml:space="preserve"> II (jo kiekis veikiant </w:t>
      </w:r>
      <w:proofErr w:type="spellStart"/>
      <w:r w:rsidRPr="00051FD3">
        <w:rPr>
          <w:rFonts w:eastAsia="TimesNewRoman"/>
          <w:sz w:val="22"/>
          <w:szCs w:val="22"/>
          <w:lang w:eastAsia="lt-LT"/>
        </w:rPr>
        <w:t>telmisartanui</w:t>
      </w:r>
      <w:proofErr w:type="spellEnd"/>
      <w:r w:rsidRPr="00051FD3">
        <w:rPr>
          <w:rFonts w:eastAsia="TimesNewRoman"/>
          <w:sz w:val="22"/>
          <w:szCs w:val="22"/>
          <w:lang w:eastAsia="lt-LT"/>
        </w:rPr>
        <w:t xml:space="preserve"> padidėja), nežinoma.</w:t>
      </w:r>
    </w:p>
    <w:p w14:paraId="413655D0" w14:textId="77777777"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Telmisartanas</w:t>
      </w:r>
      <w:proofErr w:type="spellEnd"/>
      <w:r w:rsidRPr="00051FD3">
        <w:rPr>
          <w:rFonts w:eastAsia="TimesNewRoman"/>
          <w:sz w:val="22"/>
          <w:szCs w:val="22"/>
          <w:lang w:eastAsia="lt-LT"/>
        </w:rPr>
        <w:t xml:space="preserve"> mažina </w:t>
      </w:r>
      <w:proofErr w:type="spellStart"/>
      <w:r w:rsidRPr="00051FD3">
        <w:rPr>
          <w:rFonts w:eastAsia="TimesNewRoman"/>
          <w:sz w:val="22"/>
          <w:szCs w:val="22"/>
          <w:lang w:eastAsia="lt-LT"/>
        </w:rPr>
        <w:t>aldosterono</w:t>
      </w:r>
      <w:proofErr w:type="spellEnd"/>
      <w:r w:rsidRPr="00051FD3">
        <w:rPr>
          <w:rFonts w:eastAsia="TimesNewRoman"/>
          <w:sz w:val="22"/>
          <w:szCs w:val="22"/>
          <w:lang w:eastAsia="lt-LT"/>
        </w:rPr>
        <w:t xml:space="preserve"> koncentraciją kraujo plazmoje. Plazmoje esančio </w:t>
      </w:r>
      <w:proofErr w:type="spellStart"/>
      <w:r w:rsidRPr="00051FD3">
        <w:rPr>
          <w:rFonts w:eastAsia="TimesNewRoman"/>
          <w:sz w:val="22"/>
          <w:szCs w:val="22"/>
          <w:lang w:eastAsia="lt-LT"/>
        </w:rPr>
        <w:t>renino</w:t>
      </w:r>
      <w:proofErr w:type="spellEnd"/>
      <w:r w:rsidRPr="00051FD3">
        <w:rPr>
          <w:rFonts w:eastAsia="TimesNewRoman"/>
          <w:sz w:val="22"/>
          <w:szCs w:val="22"/>
          <w:lang w:eastAsia="lt-LT"/>
        </w:rPr>
        <w:t xml:space="preserve"> aktyvumo vaistas neslopina, jonų srovės kanalų neblokuoja. </w:t>
      </w:r>
      <w:proofErr w:type="spellStart"/>
      <w:r w:rsidRPr="00051FD3">
        <w:rPr>
          <w:rFonts w:eastAsia="TimesNewRoman"/>
          <w:sz w:val="22"/>
          <w:szCs w:val="22"/>
          <w:lang w:eastAsia="lt-LT"/>
        </w:rPr>
        <w:t>Angiotenziną</w:t>
      </w:r>
      <w:proofErr w:type="spellEnd"/>
      <w:r w:rsidRPr="00051FD3">
        <w:rPr>
          <w:rFonts w:eastAsia="TimesNewRoman"/>
          <w:sz w:val="22"/>
          <w:szCs w:val="22"/>
          <w:lang w:eastAsia="lt-LT"/>
        </w:rPr>
        <w:t xml:space="preserve"> konvertuojančio fermento (</w:t>
      </w:r>
      <w:proofErr w:type="spellStart"/>
      <w:r w:rsidRPr="00051FD3">
        <w:rPr>
          <w:rFonts w:eastAsia="TimesNewRoman"/>
          <w:sz w:val="22"/>
          <w:szCs w:val="22"/>
          <w:lang w:eastAsia="lt-LT"/>
        </w:rPr>
        <w:t>kininazės</w:t>
      </w:r>
      <w:proofErr w:type="spellEnd"/>
      <w:r w:rsidRPr="00051FD3">
        <w:rPr>
          <w:rFonts w:eastAsia="TimesNewRoman"/>
          <w:sz w:val="22"/>
          <w:szCs w:val="22"/>
          <w:lang w:eastAsia="lt-LT"/>
        </w:rPr>
        <w:t xml:space="preserve"> II), ardančios ir </w:t>
      </w:r>
      <w:proofErr w:type="spellStart"/>
      <w:r w:rsidRPr="00051FD3">
        <w:rPr>
          <w:rFonts w:eastAsia="TimesNewRoman"/>
          <w:sz w:val="22"/>
          <w:szCs w:val="22"/>
          <w:lang w:eastAsia="lt-LT"/>
        </w:rPr>
        <w:t>bradikininą</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telmisartanas</w:t>
      </w:r>
      <w:proofErr w:type="spellEnd"/>
      <w:r w:rsidRPr="00051FD3">
        <w:rPr>
          <w:rFonts w:eastAsia="TimesNewRoman"/>
          <w:sz w:val="22"/>
          <w:szCs w:val="22"/>
          <w:lang w:eastAsia="lt-LT"/>
        </w:rPr>
        <w:t xml:space="preserve"> neslopina, todėl </w:t>
      </w:r>
      <w:proofErr w:type="spellStart"/>
      <w:r w:rsidRPr="00051FD3">
        <w:rPr>
          <w:rFonts w:eastAsia="TimesNewRoman"/>
          <w:sz w:val="22"/>
          <w:szCs w:val="22"/>
          <w:lang w:eastAsia="lt-LT"/>
        </w:rPr>
        <w:t>bradikinino</w:t>
      </w:r>
      <w:proofErr w:type="spellEnd"/>
      <w:r w:rsidRPr="00051FD3">
        <w:rPr>
          <w:rFonts w:eastAsia="TimesNewRoman"/>
          <w:sz w:val="22"/>
          <w:szCs w:val="22"/>
          <w:lang w:eastAsia="lt-LT"/>
        </w:rPr>
        <w:t xml:space="preserve"> sukeliamo nepageidaujamo poveikio neturėtų stiprinti.</w:t>
      </w:r>
    </w:p>
    <w:p w14:paraId="5C86ED72" w14:textId="07E50F3B" w:rsidR="007F39B7" w:rsidRPr="00051FD3" w:rsidRDefault="007F39B7" w:rsidP="007F39B7">
      <w:pPr>
        <w:autoSpaceDE w:val="0"/>
        <w:autoSpaceDN w:val="0"/>
        <w:adjustRightInd w:val="0"/>
        <w:rPr>
          <w:rFonts w:eastAsia="TimesNewRoman"/>
          <w:sz w:val="22"/>
          <w:szCs w:val="22"/>
          <w:lang w:eastAsia="lt-LT"/>
        </w:rPr>
      </w:pPr>
      <w:r w:rsidRPr="00051FD3">
        <w:rPr>
          <w:rFonts w:eastAsia="TimesNewRoman"/>
          <w:sz w:val="22"/>
          <w:szCs w:val="22"/>
          <w:lang w:eastAsia="lt-LT"/>
        </w:rPr>
        <w:t xml:space="preserve">Sveikiems savanoriams 80 mg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dozė beveik visiškai blokavo </w:t>
      </w:r>
      <w:proofErr w:type="spellStart"/>
      <w:r w:rsidRPr="00051FD3">
        <w:rPr>
          <w:rFonts w:eastAsia="TimesNewRoman"/>
          <w:sz w:val="22"/>
          <w:szCs w:val="22"/>
          <w:lang w:eastAsia="lt-LT"/>
        </w:rPr>
        <w:t>angiotenzino</w:t>
      </w:r>
      <w:proofErr w:type="spellEnd"/>
      <w:r w:rsidRPr="00051FD3">
        <w:rPr>
          <w:rFonts w:eastAsia="TimesNewRoman"/>
          <w:sz w:val="22"/>
          <w:szCs w:val="22"/>
          <w:lang w:eastAsia="lt-LT"/>
        </w:rPr>
        <w:t xml:space="preserve"> II sukeliamą kraujospūdžio padidėjimą. Šis poveikis išsilaikė ilgiau negu 24</w:t>
      </w:r>
      <w:r w:rsidR="006E3F6C" w:rsidRPr="00051FD3">
        <w:rPr>
          <w:rFonts w:eastAsia="TimesNewRoman"/>
          <w:sz w:val="22"/>
          <w:szCs w:val="22"/>
          <w:lang w:eastAsia="lt-LT"/>
        </w:rPr>
        <w:t> </w:t>
      </w:r>
      <w:r w:rsidRPr="00051FD3">
        <w:rPr>
          <w:rFonts w:eastAsia="TimesNewRoman"/>
          <w:sz w:val="22"/>
          <w:szCs w:val="22"/>
          <w:lang w:eastAsia="lt-LT"/>
        </w:rPr>
        <w:t>val., o pastebimas buvo net 48</w:t>
      </w:r>
      <w:r w:rsidR="006E3F6C" w:rsidRPr="00051FD3">
        <w:rPr>
          <w:rFonts w:eastAsia="TimesNewRoman"/>
          <w:sz w:val="22"/>
          <w:szCs w:val="22"/>
          <w:lang w:eastAsia="lt-LT"/>
        </w:rPr>
        <w:t> </w:t>
      </w:r>
      <w:r w:rsidRPr="00051FD3">
        <w:rPr>
          <w:rFonts w:eastAsia="TimesNewRoman"/>
          <w:sz w:val="22"/>
          <w:szCs w:val="22"/>
          <w:lang w:eastAsia="lt-LT"/>
        </w:rPr>
        <w:t xml:space="preserve">val. </w:t>
      </w:r>
    </w:p>
    <w:p w14:paraId="3F5002EF" w14:textId="77777777" w:rsidR="00BB190C" w:rsidRPr="00012DBE" w:rsidRDefault="00BB190C" w:rsidP="00BB190C">
      <w:pPr>
        <w:autoSpaceDE w:val="0"/>
        <w:autoSpaceDN w:val="0"/>
        <w:adjustRightInd w:val="0"/>
        <w:rPr>
          <w:rFonts w:eastAsia="Calibri"/>
          <w:snapToGrid w:val="0"/>
          <w:sz w:val="22"/>
          <w:szCs w:val="22"/>
        </w:rPr>
      </w:pPr>
    </w:p>
    <w:p w14:paraId="7B8D6077" w14:textId="6B869A35" w:rsidR="00BB190C" w:rsidRPr="003A7BC8" w:rsidRDefault="004440AF" w:rsidP="00BB190C">
      <w:pPr>
        <w:autoSpaceDE w:val="0"/>
        <w:autoSpaceDN w:val="0"/>
        <w:adjustRightInd w:val="0"/>
        <w:rPr>
          <w:rFonts w:eastAsia="Calibri"/>
          <w:snapToGrid w:val="0"/>
          <w:sz w:val="22"/>
          <w:szCs w:val="22"/>
        </w:rPr>
      </w:pPr>
      <w:proofErr w:type="spellStart"/>
      <w:r w:rsidRPr="003A7BC8">
        <w:rPr>
          <w:rFonts w:eastAsia="Calibri"/>
          <w:sz w:val="22"/>
          <w:szCs w:val="22"/>
        </w:rPr>
        <w:t>Hidrochlorotiazidas</w:t>
      </w:r>
      <w:proofErr w:type="spellEnd"/>
      <w:r w:rsidRPr="003A7BC8">
        <w:rPr>
          <w:rFonts w:eastAsia="Calibri"/>
          <w:sz w:val="22"/>
          <w:szCs w:val="22"/>
        </w:rPr>
        <w:t xml:space="preserve"> yra </w:t>
      </w:r>
      <w:proofErr w:type="spellStart"/>
      <w:r w:rsidRPr="003A7BC8">
        <w:rPr>
          <w:rFonts w:eastAsia="Calibri"/>
          <w:sz w:val="22"/>
          <w:szCs w:val="22"/>
        </w:rPr>
        <w:t>tiazidinis</w:t>
      </w:r>
      <w:proofErr w:type="spellEnd"/>
      <w:r w:rsidRPr="003A7BC8">
        <w:rPr>
          <w:rFonts w:eastAsia="Calibri"/>
          <w:sz w:val="22"/>
          <w:szCs w:val="22"/>
        </w:rPr>
        <w:t xml:space="preserve"> diuretikas. Kokiu būdu jis mažina kraujospūdį, galutinai neištirta. </w:t>
      </w:r>
      <w:proofErr w:type="spellStart"/>
      <w:r w:rsidRPr="003A7BC8">
        <w:rPr>
          <w:rFonts w:eastAsia="Calibri"/>
          <w:sz w:val="22"/>
          <w:szCs w:val="22"/>
        </w:rPr>
        <w:t>Tiazidiniai</w:t>
      </w:r>
      <w:proofErr w:type="spellEnd"/>
      <w:r w:rsidRPr="003A7BC8">
        <w:rPr>
          <w:rFonts w:eastAsia="Calibri"/>
          <w:sz w:val="22"/>
          <w:szCs w:val="22"/>
        </w:rPr>
        <w:t xml:space="preserve"> diuretikai veikia inkstų kanalėliuose elektrolitų reabsorbciją, tiesiogiai didindami maždaug </w:t>
      </w:r>
      <w:r w:rsidRPr="003A7BC8">
        <w:rPr>
          <w:rFonts w:eastAsia="Calibri"/>
          <w:snapToGrid w:val="0"/>
          <w:sz w:val="22"/>
          <w:szCs w:val="22"/>
        </w:rPr>
        <w:t>vienod</w:t>
      </w:r>
      <w:r w:rsidR="00A1680A" w:rsidRPr="003A7BC8">
        <w:rPr>
          <w:rFonts w:eastAsia="Calibri"/>
          <w:snapToGrid w:val="0"/>
          <w:sz w:val="22"/>
          <w:szCs w:val="22"/>
        </w:rPr>
        <w:t>a</w:t>
      </w:r>
      <w:r w:rsidRPr="003A7BC8">
        <w:rPr>
          <w:rFonts w:eastAsia="Calibri"/>
          <w:snapToGrid w:val="0"/>
          <w:sz w:val="22"/>
          <w:szCs w:val="22"/>
        </w:rPr>
        <w:t xml:space="preserve"> apimtimi natrio ir chlorido išsiskyrimą iš organizmo.</w:t>
      </w:r>
      <w:r w:rsidRPr="003A7BC8">
        <w:rPr>
          <w:rFonts w:eastAsia="Calibri"/>
          <w:sz w:val="22"/>
          <w:szCs w:val="22"/>
        </w:rPr>
        <w:t xml:space="preserve"> Dėl </w:t>
      </w:r>
      <w:proofErr w:type="spellStart"/>
      <w:r w:rsidRPr="003A7BC8">
        <w:rPr>
          <w:rFonts w:eastAsia="Calibri"/>
          <w:sz w:val="22"/>
          <w:szCs w:val="22"/>
        </w:rPr>
        <w:t>diurezinio</w:t>
      </w:r>
      <w:proofErr w:type="spellEnd"/>
      <w:r w:rsidRPr="003A7BC8">
        <w:rPr>
          <w:rFonts w:eastAsia="Calibri"/>
          <w:sz w:val="22"/>
          <w:szCs w:val="22"/>
        </w:rPr>
        <w:t xml:space="preserve"> </w:t>
      </w:r>
      <w:proofErr w:type="spellStart"/>
      <w:r w:rsidRPr="003A7BC8">
        <w:rPr>
          <w:rFonts w:eastAsia="Calibri"/>
          <w:sz w:val="22"/>
          <w:szCs w:val="22"/>
        </w:rPr>
        <w:t>hidrochlorotiazido</w:t>
      </w:r>
      <w:proofErr w:type="spellEnd"/>
      <w:r w:rsidRPr="003A7BC8">
        <w:rPr>
          <w:rFonts w:eastAsia="Calibri"/>
          <w:sz w:val="22"/>
          <w:szCs w:val="22"/>
        </w:rPr>
        <w:t xml:space="preserve"> poveikio sumažėja kraujo plazmos tūris, padidėja plazmos </w:t>
      </w:r>
      <w:proofErr w:type="spellStart"/>
      <w:r w:rsidRPr="003A7BC8">
        <w:rPr>
          <w:rFonts w:eastAsia="Calibri"/>
          <w:sz w:val="22"/>
          <w:szCs w:val="22"/>
        </w:rPr>
        <w:t>renino</w:t>
      </w:r>
      <w:proofErr w:type="spellEnd"/>
      <w:r w:rsidRPr="003A7BC8">
        <w:rPr>
          <w:rFonts w:eastAsia="Calibri"/>
          <w:sz w:val="22"/>
          <w:szCs w:val="22"/>
        </w:rPr>
        <w:t xml:space="preserve"> aktyvumas, </w:t>
      </w:r>
      <w:proofErr w:type="spellStart"/>
      <w:r w:rsidRPr="003A7BC8">
        <w:rPr>
          <w:rFonts w:eastAsia="Calibri"/>
          <w:sz w:val="22"/>
          <w:szCs w:val="22"/>
        </w:rPr>
        <w:t>aldosterono</w:t>
      </w:r>
      <w:proofErr w:type="spellEnd"/>
      <w:r w:rsidRPr="003A7BC8">
        <w:rPr>
          <w:rFonts w:eastAsia="Calibri"/>
          <w:sz w:val="22"/>
          <w:szCs w:val="22"/>
        </w:rPr>
        <w:t xml:space="preserve"> sekrecija, vadinasi, ir kalio bei vandenilio karbonato išsiskyrimas iš organizmo, sumažėja kalio kiekis kraujo serume. Kartu su </w:t>
      </w:r>
      <w:proofErr w:type="spellStart"/>
      <w:r w:rsidRPr="003A7BC8">
        <w:rPr>
          <w:rFonts w:eastAsia="Calibri"/>
          <w:sz w:val="22"/>
          <w:szCs w:val="22"/>
        </w:rPr>
        <w:t>hidrochlorotiazidu</w:t>
      </w:r>
      <w:proofErr w:type="spellEnd"/>
      <w:r w:rsidRPr="003A7BC8">
        <w:rPr>
          <w:rFonts w:eastAsia="Calibri"/>
          <w:sz w:val="22"/>
          <w:szCs w:val="22"/>
        </w:rPr>
        <w:t xml:space="preserve"> vartojamas </w:t>
      </w:r>
      <w:proofErr w:type="spellStart"/>
      <w:r w:rsidRPr="003A7BC8">
        <w:rPr>
          <w:rFonts w:eastAsia="Calibri"/>
          <w:sz w:val="22"/>
          <w:szCs w:val="22"/>
        </w:rPr>
        <w:t>telmisartanas</w:t>
      </w:r>
      <w:proofErr w:type="spellEnd"/>
      <w:r w:rsidRPr="003A7BC8">
        <w:rPr>
          <w:rFonts w:eastAsia="Calibri"/>
          <w:sz w:val="22"/>
          <w:szCs w:val="22"/>
        </w:rPr>
        <w:t xml:space="preserve"> blokuoja </w:t>
      </w:r>
      <w:proofErr w:type="spellStart"/>
      <w:r w:rsidRPr="003A7BC8">
        <w:rPr>
          <w:rFonts w:eastAsia="Calibri"/>
          <w:sz w:val="22"/>
          <w:szCs w:val="22"/>
        </w:rPr>
        <w:t>renino</w:t>
      </w:r>
      <w:proofErr w:type="spellEnd"/>
      <w:r w:rsidRPr="003A7BC8">
        <w:rPr>
          <w:rFonts w:eastAsia="Calibri"/>
          <w:sz w:val="22"/>
          <w:szCs w:val="22"/>
        </w:rPr>
        <w:t xml:space="preserve">, </w:t>
      </w:r>
      <w:proofErr w:type="spellStart"/>
      <w:r w:rsidRPr="003A7BC8">
        <w:rPr>
          <w:rFonts w:eastAsia="Calibri"/>
          <w:sz w:val="22"/>
          <w:szCs w:val="22"/>
        </w:rPr>
        <w:t>angiotenzino</w:t>
      </w:r>
      <w:proofErr w:type="spellEnd"/>
      <w:r w:rsidRPr="003A7BC8">
        <w:rPr>
          <w:rFonts w:eastAsia="Calibri"/>
          <w:sz w:val="22"/>
          <w:szCs w:val="22"/>
        </w:rPr>
        <w:t xml:space="preserve"> ir </w:t>
      </w:r>
      <w:proofErr w:type="spellStart"/>
      <w:r w:rsidRPr="003A7BC8">
        <w:rPr>
          <w:rFonts w:eastAsia="Calibri"/>
          <w:sz w:val="22"/>
          <w:szCs w:val="22"/>
        </w:rPr>
        <w:t>aldosterono</w:t>
      </w:r>
      <w:proofErr w:type="spellEnd"/>
      <w:r w:rsidRPr="003A7BC8">
        <w:rPr>
          <w:rFonts w:eastAsia="Calibri"/>
          <w:sz w:val="22"/>
          <w:szCs w:val="22"/>
        </w:rPr>
        <w:t xml:space="preserve"> sistemą, todėl mažėja su diuretiko poveikiu susijęs kalio išsiskyrimas iš organizmo. </w:t>
      </w:r>
      <w:proofErr w:type="spellStart"/>
      <w:r w:rsidRPr="003A7BC8">
        <w:rPr>
          <w:rFonts w:eastAsia="Calibri"/>
          <w:sz w:val="22"/>
          <w:szCs w:val="22"/>
        </w:rPr>
        <w:t>Hidrochlorotiazido</w:t>
      </w:r>
      <w:proofErr w:type="spellEnd"/>
      <w:r w:rsidRPr="003A7BC8">
        <w:rPr>
          <w:rFonts w:eastAsia="Calibri"/>
          <w:sz w:val="22"/>
          <w:szCs w:val="22"/>
        </w:rPr>
        <w:t xml:space="preserve"> išgėrus, </w:t>
      </w:r>
      <w:proofErr w:type="spellStart"/>
      <w:r w:rsidRPr="003A7BC8">
        <w:rPr>
          <w:rFonts w:eastAsia="Calibri"/>
          <w:sz w:val="22"/>
          <w:szCs w:val="22"/>
        </w:rPr>
        <w:t>diurezinis</w:t>
      </w:r>
      <w:proofErr w:type="spellEnd"/>
      <w:r w:rsidRPr="003A7BC8">
        <w:rPr>
          <w:rFonts w:eastAsia="Calibri"/>
          <w:sz w:val="22"/>
          <w:szCs w:val="22"/>
        </w:rPr>
        <w:t xml:space="preserve"> poveikis pasireiškia per 2</w:t>
      </w:r>
      <w:r w:rsidR="006E3F6C" w:rsidRPr="003A7BC8">
        <w:rPr>
          <w:rFonts w:eastAsia="Calibri"/>
          <w:sz w:val="22"/>
          <w:szCs w:val="22"/>
        </w:rPr>
        <w:t> </w:t>
      </w:r>
      <w:r w:rsidRPr="003A7BC8">
        <w:rPr>
          <w:rFonts w:eastAsia="Calibri"/>
          <w:sz w:val="22"/>
          <w:szCs w:val="22"/>
        </w:rPr>
        <w:t>val., stipriausias būna beveik po 4</w:t>
      </w:r>
      <w:r w:rsidR="006E3F6C" w:rsidRPr="003A7BC8">
        <w:rPr>
          <w:rFonts w:eastAsia="Calibri"/>
          <w:sz w:val="22"/>
          <w:szCs w:val="22"/>
        </w:rPr>
        <w:t> </w:t>
      </w:r>
      <w:r w:rsidRPr="003A7BC8">
        <w:rPr>
          <w:rFonts w:eastAsia="Calibri"/>
          <w:sz w:val="22"/>
          <w:szCs w:val="22"/>
        </w:rPr>
        <w:t>val., trunka apytikriai 6-12</w:t>
      </w:r>
      <w:r w:rsidR="006E3F6C" w:rsidRPr="003A7BC8">
        <w:rPr>
          <w:rFonts w:eastAsia="Calibri"/>
          <w:sz w:val="22"/>
          <w:szCs w:val="22"/>
        </w:rPr>
        <w:t> </w:t>
      </w:r>
      <w:r w:rsidRPr="003A7BC8">
        <w:rPr>
          <w:rFonts w:eastAsia="Calibri"/>
          <w:sz w:val="22"/>
          <w:szCs w:val="22"/>
        </w:rPr>
        <w:t>val.</w:t>
      </w:r>
    </w:p>
    <w:p w14:paraId="79BAA6AB" w14:textId="77777777" w:rsidR="004440AF" w:rsidRPr="00051FD3" w:rsidRDefault="004440AF" w:rsidP="00BB190C">
      <w:pPr>
        <w:autoSpaceDE w:val="0"/>
        <w:autoSpaceDN w:val="0"/>
        <w:adjustRightInd w:val="0"/>
        <w:rPr>
          <w:rFonts w:eastAsia="Calibri"/>
          <w:sz w:val="22"/>
          <w:szCs w:val="22"/>
        </w:rPr>
      </w:pPr>
    </w:p>
    <w:p w14:paraId="0898EEA0" w14:textId="25D6E22F" w:rsidR="00BB190C" w:rsidRPr="00051FD3" w:rsidRDefault="00AD032A" w:rsidP="00BB190C">
      <w:pPr>
        <w:autoSpaceDE w:val="0"/>
        <w:autoSpaceDN w:val="0"/>
        <w:adjustRightInd w:val="0"/>
        <w:rPr>
          <w:rFonts w:eastAsia="Calibri"/>
          <w:sz w:val="22"/>
          <w:szCs w:val="22"/>
          <w:u w:val="single"/>
        </w:rPr>
      </w:pPr>
      <w:proofErr w:type="spellStart"/>
      <w:r w:rsidRPr="00051FD3">
        <w:rPr>
          <w:rFonts w:eastAsia="Calibri"/>
          <w:sz w:val="22"/>
          <w:szCs w:val="22"/>
          <w:u w:val="single"/>
        </w:rPr>
        <w:t>Farmakodinamini</w:t>
      </w:r>
      <w:r w:rsidR="00992794" w:rsidRPr="00051FD3">
        <w:rPr>
          <w:rFonts w:eastAsia="Calibri"/>
          <w:sz w:val="22"/>
          <w:szCs w:val="22"/>
          <w:u w:val="single"/>
        </w:rPr>
        <w:t>s</w:t>
      </w:r>
      <w:proofErr w:type="spellEnd"/>
      <w:r w:rsidR="00992794" w:rsidRPr="00051FD3">
        <w:rPr>
          <w:rFonts w:eastAsia="Calibri"/>
          <w:sz w:val="22"/>
          <w:szCs w:val="22"/>
          <w:u w:val="single"/>
        </w:rPr>
        <w:t xml:space="preserve"> poveikis</w:t>
      </w:r>
    </w:p>
    <w:p w14:paraId="142473BF" w14:textId="77777777" w:rsidR="00992794" w:rsidRPr="00012DBE" w:rsidRDefault="00BB190C" w:rsidP="007F39B7">
      <w:pPr>
        <w:autoSpaceDE w:val="0"/>
        <w:autoSpaceDN w:val="0"/>
        <w:adjustRightInd w:val="0"/>
        <w:rPr>
          <w:noProof/>
          <w:snapToGrid w:val="0"/>
          <w:sz w:val="22"/>
          <w:szCs w:val="22"/>
          <w:lang w:bidi="lt-LT"/>
        </w:rPr>
      </w:pPr>
      <w:r w:rsidRPr="00051FD3">
        <w:rPr>
          <w:rFonts w:eastAsia="Calibri"/>
          <w:sz w:val="22"/>
          <w:szCs w:val="22"/>
        </w:rPr>
        <w:t>Pirminės hipertenzijos gydymas</w:t>
      </w:r>
      <w:r w:rsidRPr="00012DBE">
        <w:rPr>
          <w:noProof/>
          <w:snapToGrid w:val="0"/>
          <w:sz w:val="22"/>
          <w:szCs w:val="22"/>
          <w:lang w:bidi="lt-LT"/>
        </w:rPr>
        <w:t xml:space="preserve"> </w:t>
      </w:r>
    </w:p>
    <w:p w14:paraId="6E073761" w14:textId="0EFD9539" w:rsidR="007F39B7" w:rsidRPr="00051FD3" w:rsidRDefault="007F39B7" w:rsidP="007F39B7">
      <w:pPr>
        <w:autoSpaceDE w:val="0"/>
        <w:autoSpaceDN w:val="0"/>
        <w:adjustRightInd w:val="0"/>
        <w:rPr>
          <w:rFonts w:eastAsia="TimesNewRoman"/>
          <w:sz w:val="22"/>
          <w:szCs w:val="22"/>
          <w:lang w:eastAsia="lt-LT"/>
        </w:rPr>
      </w:pPr>
      <w:r w:rsidRPr="00051FD3">
        <w:rPr>
          <w:rFonts w:eastAsia="TimesNewRoman"/>
          <w:sz w:val="22"/>
          <w:szCs w:val="22"/>
          <w:lang w:eastAsia="lt-LT"/>
        </w:rPr>
        <w:t xml:space="preserve">Išgėrus pirmą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dozę, </w:t>
      </w:r>
      <w:proofErr w:type="spellStart"/>
      <w:r w:rsidRPr="00051FD3">
        <w:rPr>
          <w:rFonts w:eastAsia="TimesNewRoman"/>
          <w:sz w:val="22"/>
          <w:szCs w:val="22"/>
          <w:lang w:eastAsia="lt-LT"/>
        </w:rPr>
        <w:t>antihipertenzinis</w:t>
      </w:r>
      <w:proofErr w:type="spellEnd"/>
      <w:r w:rsidRPr="00051FD3">
        <w:rPr>
          <w:rFonts w:eastAsia="TimesNewRoman"/>
          <w:sz w:val="22"/>
          <w:szCs w:val="22"/>
          <w:lang w:eastAsia="lt-LT"/>
        </w:rPr>
        <w:t xml:space="preserve"> poveikis palaipsniui pasireiškia per 3</w:t>
      </w:r>
      <w:r w:rsidR="006E3F6C" w:rsidRPr="00051FD3">
        <w:rPr>
          <w:rFonts w:eastAsia="TimesNewRoman"/>
          <w:sz w:val="22"/>
          <w:szCs w:val="22"/>
          <w:lang w:eastAsia="lt-LT"/>
        </w:rPr>
        <w:t> </w:t>
      </w:r>
      <w:r w:rsidRPr="00051FD3">
        <w:rPr>
          <w:rFonts w:eastAsia="TimesNewRoman"/>
          <w:sz w:val="22"/>
          <w:szCs w:val="22"/>
          <w:lang w:eastAsia="lt-LT"/>
        </w:rPr>
        <w:t>val. Labiausiai kraujospūdis sumažėja po 4 - 8 gydymo savaičių ir poveikis išlieka prepar</w:t>
      </w:r>
      <w:r w:rsidR="00152045" w:rsidRPr="00051FD3">
        <w:rPr>
          <w:rFonts w:eastAsia="TimesNewRoman"/>
          <w:sz w:val="22"/>
          <w:szCs w:val="22"/>
          <w:lang w:eastAsia="lt-LT"/>
        </w:rPr>
        <w:t>a</w:t>
      </w:r>
      <w:r w:rsidRPr="00051FD3">
        <w:rPr>
          <w:rFonts w:eastAsia="TimesNewRoman"/>
          <w:sz w:val="22"/>
          <w:szCs w:val="22"/>
          <w:lang w:eastAsia="lt-LT"/>
        </w:rPr>
        <w:t xml:space="preserve">to vartojant ilgai. Matuojant kraujospūdį ambulatorijoje gydomiems pacientams, nustatyta, jog vienkartinės dozės sukeltas </w:t>
      </w:r>
      <w:proofErr w:type="spellStart"/>
      <w:r w:rsidRPr="00051FD3">
        <w:rPr>
          <w:rFonts w:eastAsia="TimesNewRoman"/>
          <w:sz w:val="22"/>
          <w:szCs w:val="22"/>
          <w:lang w:eastAsia="lt-LT"/>
        </w:rPr>
        <w:t>antihipertenzinis</w:t>
      </w:r>
      <w:proofErr w:type="spellEnd"/>
      <w:r w:rsidRPr="00051FD3">
        <w:rPr>
          <w:rFonts w:eastAsia="TimesNewRoman"/>
          <w:sz w:val="22"/>
          <w:szCs w:val="22"/>
          <w:lang w:eastAsia="lt-LT"/>
        </w:rPr>
        <w:t xml:space="preserve"> poveikis visuomet išlieka ilgiau negu 24</w:t>
      </w:r>
      <w:r w:rsidR="006E3F6C" w:rsidRPr="00051FD3">
        <w:rPr>
          <w:rFonts w:eastAsia="TimesNewRoman"/>
          <w:sz w:val="22"/>
          <w:szCs w:val="22"/>
          <w:lang w:eastAsia="lt-LT"/>
        </w:rPr>
        <w:t> </w:t>
      </w:r>
      <w:r w:rsidRPr="00051FD3">
        <w:rPr>
          <w:rFonts w:eastAsia="TimesNewRoman"/>
          <w:sz w:val="22"/>
          <w:szCs w:val="22"/>
          <w:lang w:eastAsia="lt-LT"/>
        </w:rPr>
        <w:t xml:space="preserve"> val., įskaitant ir paskutines 4</w:t>
      </w:r>
      <w:r w:rsidR="006E3F6C" w:rsidRPr="00051FD3">
        <w:rPr>
          <w:rFonts w:eastAsia="TimesNewRoman"/>
          <w:sz w:val="22"/>
          <w:szCs w:val="22"/>
          <w:lang w:eastAsia="lt-LT"/>
        </w:rPr>
        <w:t> </w:t>
      </w:r>
      <w:r w:rsidRPr="00051FD3">
        <w:rPr>
          <w:rFonts w:eastAsia="TimesNewRoman"/>
          <w:sz w:val="22"/>
          <w:szCs w:val="22"/>
          <w:lang w:eastAsia="lt-LT"/>
        </w:rPr>
        <w:t xml:space="preserve">val. prieš kitos dozės vartojimą. Tai patvirtinta, kuomet kraujospūdis matuotas tada, kai poveikis jam būna stipriausias, ir prieš kitos dozės vartojimą (kontrolinių klinikinių tyrimų metu vaisto poveikis lygintas su placebo poveikiu, rezultatai: išgėrus tiek 40 mg, tiek 80 mg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dozę, koncentracija kraujo plazmoje pastoviai buvo didesnė negu 80</w:t>
      </w:r>
      <w:r w:rsidR="00992794" w:rsidRPr="00051FD3">
        <w:rPr>
          <w:rFonts w:eastAsia="TimesNewRoman"/>
          <w:sz w:val="22"/>
          <w:szCs w:val="22"/>
          <w:lang w:eastAsia="lt-LT"/>
        </w:rPr>
        <w:t> </w:t>
      </w:r>
      <w:r w:rsidRPr="00051FD3">
        <w:rPr>
          <w:rFonts w:eastAsia="TimesNewRoman"/>
          <w:sz w:val="22"/>
          <w:szCs w:val="22"/>
          <w:lang w:eastAsia="lt-LT"/>
        </w:rPr>
        <w:t>% didžiausios).</w:t>
      </w:r>
    </w:p>
    <w:p w14:paraId="64D33311" w14:textId="77777777" w:rsidR="00992794" w:rsidRPr="00051FD3" w:rsidRDefault="00992794" w:rsidP="007F39B7">
      <w:pPr>
        <w:autoSpaceDE w:val="0"/>
        <w:autoSpaceDN w:val="0"/>
        <w:adjustRightInd w:val="0"/>
        <w:rPr>
          <w:rFonts w:eastAsia="TimesNewRoman"/>
          <w:sz w:val="22"/>
          <w:szCs w:val="22"/>
          <w:lang w:eastAsia="lt-LT"/>
        </w:rPr>
      </w:pPr>
    </w:p>
    <w:p w14:paraId="25E47A7A" w14:textId="2075DE05"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Telmisartanas</w:t>
      </w:r>
      <w:proofErr w:type="spellEnd"/>
      <w:r w:rsidRPr="00051FD3">
        <w:rPr>
          <w:rFonts w:eastAsia="TimesNewRoman"/>
          <w:sz w:val="22"/>
          <w:szCs w:val="22"/>
          <w:lang w:eastAsia="lt-LT"/>
        </w:rPr>
        <w:t xml:space="preserve"> mažina tiek </w:t>
      </w:r>
      <w:proofErr w:type="spellStart"/>
      <w:r w:rsidRPr="00051FD3">
        <w:rPr>
          <w:rFonts w:eastAsia="TimesNewRoman"/>
          <w:sz w:val="22"/>
          <w:szCs w:val="22"/>
          <w:lang w:eastAsia="lt-LT"/>
        </w:rPr>
        <w:t>sistolinį</w:t>
      </w:r>
      <w:proofErr w:type="spellEnd"/>
      <w:r w:rsidRPr="00051FD3">
        <w:rPr>
          <w:rFonts w:eastAsia="TimesNewRoman"/>
          <w:sz w:val="22"/>
          <w:szCs w:val="22"/>
          <w:lang w:eastAsia="lt-LT"/>
        </w:rPr>
        <w:t xml:space="preserve">, tiek </w:t>
      </w:r>
      <w:proofErr w:type="spellStart"/>
      <w:r w:rsidRPr="00051FD3">
        <w:rPr>
          <w:rFonts w:eastAsia="TimesNewRoman"/>
          <w:sz w:val="22"/>
          <w:szCs w:val="22"/>
          <w:lang w:eastAsia="lt-LT"/>
        </w:rPr>
        <w:t>diastolinį</w:t>
      </w:r>
      <w:proofErr w:type="spellEnd"/>
      <w:r w:rsidRPr="00051FD3">
        <w:rPr>
          <w:rFonts w:eastAsia="TimesNewRoman"/>
          <w:sz w:val="22"/>
          <w:szCs w:val="22"/>
          <w:lang w:eastAsia="lt-LT"/>
        </w:rPr>
        <w:t xml:space="preserve"> hipertenzija sergančių </w:t>
      </w:r>
      <w:r w:rsidR="00236324" w:rsidRPr="00051FD3">
        <w:rPr>
          <w:rFonts w:eastAsia="TimesNewRoman"/>
          <w:sz w:val="22"/>
          <w:szCs w:val="22"/>
          <w:lang w:eastAsia="lt-LT"/>
        </w:rPr>
        <w:t>pacient</w:t>
      </w:r>
      <w:r w:rsidRPr="00051FD3">
        <w:rPr>
          <w:rFonts w:eastAsia="TimesNewRoman"/>
          <w:sz w:val="22"/>
          <w:szCs w:val="22"/>
          <w:lang w:eastAsia="lt-LT"/>
        </w:rPr>
        <w:t xml:space="preserve">ų kraujospūdį, tačiau pulso dažnio nekeičia. Klinikiniais tyrimais, kurių metu vaistinio preparato poveikis lygintas su </w:t>
      </w:r>
      <w:proofErr w:type="spellStart"/>
      <w:r w:rsidRPr="00051FD3">
        <w:rPr>
          <w:rFonts w:eastAsia="TimesNewRoman"/>
          <w:sz w:val="22"/>
          <w:szCs w:val="22"/>
          <w:lang w:eastAsia="lt-LT"/>
        </w:rPr>
        <w:t>amlodipino</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atenololio</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enalaprilio</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 xml:space="preserve"> ir </w:t>
      </w:r>
      <w:proofErr w:type="spellStart"/>
      <w:r w:rsidRPr="00051FD3">
        <w:rPr>
          <w:rFonts w:eastAsia="TimesNewRoman"/>
          <w:sz w:val="22"/>
          <w:szCs w:val="22"/>
          <w:lang w:eastAsia="lt-LT"/>
        </w:rPr>
        <w:t>lizinoprilio</w:t>
      </w:r>
      <w:proofErr w:type="spellEnd"/>
      <w:r w:rsidRPr="00051FD3">
        <w:rPr>
          <w:rFonts w:eastAsia="TimesNewRoman"/>
          <w:sz w:val="22"/>
          <w:szCs w:val="22"/>
          <w:lang w:eastAsia="lt-LT"/>
        </w:rPr>
        <w:t xml:space="preserve">, nustatyta, jog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veiksmingumas yra toks pat, kaip ir kitų grupių </w:t>
      </w:r>
      <w:proofErr w:type="spellStart"/>
      <w:r w:rsidRPr="00051FD3">
        <w:rPr>
          <w:rFonts w:eastAsia="TimesNewRoman"/>
          <w:sz w:val="22"/>
          <w:szCs w:val="22"/>
          <w:lang w:eastAsia="lt-LT"/>
        </w:rPr>
        <w:t>antihipertenzinių</w:t>
      </w:r>
      <w:proofErr w:type="spellEnd"/>
      <w:r w:rsidRPr="00051FD3">
        <w:rPr>
          <w:rFonts w:eastAsia="TimesNewRoman"/>
          <w:sz w:val="22"/>
          <w:szCs w:val="22"/>
          <w:lang w:eastAsia="lt-LT"/>
        </w:rPr>
        <w:t xml:space="preserve"> preparatų.</w:t>
      </w:r>
    </w:p>
    <w:p w14:paraId="493B6613" w14:textId="77777777" w:rsidR="007F39B7" w:rsidRPr="00051FD3" w:rsidRDefault="007F39B7" w:rsidP="007F39B7">
      <w:pPr>
        <w:pStyle w:val="Default"/>
        <w:rPr>
          <w:sz w:val="22"/>
          <w:szCs w:val="22"/>
          <w:lang w:val="lt-LT"/>
        </w:rPr>
      </w:pPr>
    </w:p>
    <w:p w14:paraId="06C7B2E2" w14:textId="77777777" w:rsidR="007F39B7" w:rsidRPr="00051FD3" w:rsidRDefault="007F39B7" w:rsidP="007F39B7">
      <w:pPr>
        <w:pStyle w:val="Default"/>
        <w:rPr>
          <w:sz w:val="22"/>
          <w:szCs w:val="22"/>
          <w:lang w:val="lt-LT"/>
        </w:rPr>
      </w:pPr>
      <w:r w:rsidRPr="00051FD3">
        <w:rPr>
          <w:sz w:val="22"/>
          <w:szCs w:val="22"/>
          <w:lang w:val="lt-LT"/>
        </w:rPr>
        <w:t xml:space="preserve">Staigiai nutraukus </w:t>
      </w:r>
      <w:proofErr w:type="spellStart"/>
      <w:r w:rsidRPr="00051FD3">
        <w:rPr>
          <w:sz w:val="22"/>
          <w:szCs w:val="22"/>
          <w:lang w:val="lt-LT"/>
        </w:rPr>
        <w:t>telmisartano</w:t>
      </w:r>
      <w:proofErr w:type="spellEnd"/>
      <w:r w:rsidRPr="00051FD3">
        <w:rPr>
          <w:sz w:val="22"/>
          <w:szCs w:val="22"/>
          <w:lang w:val="lt-LT"/>
        </w:rPr>
        <w:t xml:space="preserve"> vartojimą, kraujospūdis palaipsniui per kelias dienas tampa toks, koks buvo prieš gydymą, atoveiksmio hipertenzija nepasireiškia. </w:t>
      </w:r>
    </w:p>
    <w:p w14:paraId="3626429F" w14:textId="77777777" w:rsidR="007F39B7" w:rsidRPr="00051FD3" w:rsidRDefault="007F39B7" w:rsidP="007F39B7">
      <w:pPr>
        <w:pStyle w:val="Default"/>
        <w:rPr>
          <w:sz w:val="22"/>
          <w:szCs w:val="22"/>
          <w:lang w:val="lt-LT"/>
        </w:rPr>
      </w:pPr>
      <w:r w:rsidRPr="00051FD3">
        <w:rPr>
          <w:sz w:val="22"/>
          <w:szCs w:val="22"/>
          <w:lang w:val="lt-LT"/>
        </w:rPr>
        <w:t xml:space="preserve">Klinikinių tyrimų metu, kurių metu dviejų vaistų poveikis lygintas tiesiogiai, nustatyta, kad </w:t>
      </w:r>
      <w:proofErr w:type="spellStart"/>
      <w:r w:rsidRPr="00051FD3">
        <w:rPr>
          <w:sz w:val="22"/>
          <w:szCs w:val="22"/>
          <w:lang w:val="lt-LT"/>
        </w:rPr>
        <w:t>telmisartano</w:t>
      </w:r>
      <w:proofErr w:type="spellEnd"/>
      <w:r w:rsidRPr="00051FD3">
        <w:rPr>
          <w:sz w:val="22"/>
          <w:szCs w:val="22"/>
          <w:lang w:val="lt-LT"/>
        </w:rPr>
        <w:t xml:space="preserve"> vartojantiems pacientams sausas kosulys pasireikšdavo daug rečiau negu pacientams, vartojantiems </w:t>
      </w:r>
      <w:proofErr w:type="spellStart"/>
      <w:r w:rsidRPr="00051FD3">
        <w:rPr>
          <w:sz w:val="22"/>
          <w:szCs w:val="22"/>
          <w:lang w:val="lt-LT"/>
        </w:rPr>
        <w:t>angiotenziną</w:t>
      </w:r>
      <w:proofErr w:type="spellEnd"/>
      <w:r w:rsidRPr="00051FD3">
        <w:rPr>
          <w:sz w:val="22"/>
          <w:szCs w:val="22"/>
          <w:lang w:val="lt-LT"/>
        </w:rPr>
        <w:t xml:space="preserve"> konvertuojančių fermentų inhibitorių. </w:t>
      </w:r>
    </w:p>
    <w:p w14:paraId="74D6A247" w14:textId="77777777" w:rsidR="007F39B7" w:rsidRPr="00051FD3" w:rsidRDefault="007F39B7" w:rsidP="007F39B7">
      <w:pPr>
        <w:pStyle w:val="Default"/>
        <w:rPr>
          <w:sz w:val="22"/>
          <w:szCs w:val="22"/>
          <w:lang w:val="lt-LT"/>
        </w:rPr>
      </w:pPr>
    </w:p>
    <w:p w14:paraId="691C79CC" w14:textId="3152675A" w:rsidR="00A06CD3" w:rsidRPr="00051FD3" w:rsidRDefault="00A06CD3" w:rsidP="00851523">
      <w:pPr>
        <w:autoSpaceDE w:val="0"/>
        <w:autoSpaceDN w:val="0"/>
        <w:adjustRightInd w:val="0"/>
        <w:rPr>
          <w:rFonts w:eastAsia="Calibri"/>
          <w:color w:val="000000"/>
          <w:sz w:val="22"/>
          <w:szCs w:val="22"/>
          <w:u w:val="single"/>
        </w:rPr>
      </w:pPr>
      <w:r w:rsidRPr="00051FD3">
        <w:rPr>
          <w:rFonts w:eastAsia="Calibri"/>
          <w:color w:val="000000"/>
          <w:sz w:val="22"/>
          <w:szCs w:val="22"/>
          <w:u w:val="single"/>
        </w:rPr>
        <w:t xml:space="preserve">Klinikinis </w:t>
      </w:r>
      <w:r w:rsidR="00400FB5">
        <w:rPr>
          <w:rFonts w:eastAsia="Calibri"/>
          <w:color w:val="000000"/>
          <w:sz w:val="22"/>
          <w:szCs w:val="22"/>
          <w:u w:val="single"/>
        </w:rPr>
        <w:t>veiksming</w:t>
      </w:r>
      <w:r w:rsidR="00400FB5" w:rsidRPr="00051FD3">
        <w:rPr>
          <w:rFonts w:eastAsia="Calibri"/>
          <w:color w:val="000000"/>
          <w:sz w:val="22"/>
          <w:szCs w:val="22"/>
          <w:u w:val="single"/>
        </w:rPr>
        <w:t xml:space="preserve">umas </w:t>
      </w:r>
      <w:r w:rsidRPr="00051FD3">
        <w:rPr>
          <w:rFonts w:eastAsia="Calibri"/>
          <w:color w:val="000000"/>
          <w:sz w:val="22"/>
          <w:szCs w:val="22"/>
          <w:u w:val="single"/>
        </w:rPr>
        <w:t>ir saugumas</w:t>
      </w:r>
    </w:p>
    <w:p w14:paraId="047978A1" w14:textId="77777777"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 xml:space="preserve">Širdies ir kraujagyslių sutrikimų profilaktika </w:t>
      </w:r>
    </w:p>
    <w:p w14:paraId="00B8DA39" w14:textId="77777777" w:rsidR="006E3F6C" w:rsidRPr="00051FD3" w:rsidRDefault="006E3F6C" w:rsidP="00851523">
      <w:pPr>
        <w:autoSpaceDE w:val="0"/>
        <w:autoSpaceDN w:val="0"/>
        <w:adjustRightInd w:val="0"/>
        <w:rPr>
          <w:rFonts w:eastAsia="Calibri"/>
          <w:color w:val="000000"/>
          <w:sz w:val="22"/>
          <w:szCs w:val="22"/>
        </w:rPr>
      </w:pPr>
    </w:p>
    <w:p w14:paraId="43157315" w14:textId="09E06615"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Tyrimo ONTARGET (</w:t>
      </w:r>
      <w:proofErr w:type="spellStart"/>
      <w:r w:rsidRPr="00051FD3">
        <w:rPr>
          <w:rFonts w:eastAsia="Calibri"/>
          <w:i/>
          <w:iCs/>
          <w:color w:val="000000"/>
          <w:sz w:val="22"/>
          <w:szCs w:val="22"/>
        </w:rPr>
        <w:t>ONgoing</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Telmisartan</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Alone</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and</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in</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Combination</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with</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Ramipril</w:t>
      </w:r>
      <w:proofErr w:type="spellEnd"/>
      <w:r w:rsidRPr="00051FD3">
        <w:rPr>
          <w:rFonts w:eastAsia="Calibri"/>
          <w:i/>
          <w:iCs/>
          <w:color w:val="000000"/>
          <w:sz w:val="22"/>
          <w:szCs w:val="22"/>
        </w:rPr>
        <w:t xml:space="preserve"> Global </w:t>
      </w:r>
      <w:proofErr w:type="spellStart"/>
      <w:r w:rsidRPr="00051FD3">
        <w:rPr>
          <w:rFonts w:eastAsia="Calibri"/>
          <w:b/>
          <w:bCs/>
          <w:i/>
          <w:iCs/>
          <w:color w:val="000000"/>
          <w:sz w:val="22"/>
          <w:szCs w:val="22"/>
        </w:rPr>
        <w:t>E</w:t>
      </w:r>
      <w:r w:rsidRPr="00051FD3">
        <w:rPr>
          <w:rFonts w:eastAsia="Calibri"/>
          <w:i/>
          <w:iCs/>
          <w:color w:val="000000"/>
          <w:sz w:val="22"/>
          <w:szCs w:val="22"/>
        </w:rPr>
        <w:t>ndpoint</w:t>
      </w:r>
      <w:proofErr w:type="spellEnd"/>
      <w:r w:rsidRPr="00051FD3">
        <w:rPr>
          <w:rFonts w:eastAsia="Calibri"/>
          <w:i/>
          <w:iCs/>
          <w:color w:val="000000"/>
          <w:sz w:val="22"/>
          <w:szCs w:val="22"/>
        </w:rPr>
        <w:t xml:space="preserve"> </w:t>
      </w:r>
      <w:proofErr w:type="spellStart"/>
      <w:r w:rsidRPr="00051FD3">
        <w:rPr>
          <w:rFonts w:eastAsia="Calibri"/>
          <w:i/>
          <w:iCs/>
          <w:color w:val="000000"/>
          <w:sz w:val="22"/>
          <w:szCs w:val="22"/>
        </w:rPr>
        <w:t>Trial</w:t>
      </w:r>
      <w:proofErr w:type="spellEnd"/>
      <w:r w:rsidRPr="00051FD3">
        <w:rPr>
          <w:rFonts w:eastAsia="Calibri"/>
          <w:color w:val="000000"/>
          <w:sz w:val="22"/>
          <w:szCs w:val="22"/>
        </w:rPr>
        <w:t xml:space="preserve">) metu buvo lygintas </w:t>
      </w: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w:t>
      </w:r>
      <w:proofErr w:type="spellStart"/>
      <w:r w:rsidRPr="00051FD3">
        <w:rPr>
          <w:rFonts w:eastAsia="Calibri"/>
          <w:color w:val="000000"/>
          <w:sz w:val="22"/>
          <w:szCs w:val="22"/>
        </w:rPr>
        <w:t>ramiprilio</w:t>
      </w:r>
      <w:proofErr w:type="spellEnd"/>
      <w:r w:rsidRPr="00051FD3">
        <w:rPr>
          <w:rFonts w:eastAsia="Calibri"/>
          <w:color w:val="000000"/>
          <w:sz w:val="22"/>
          <w:szCs w:val="22"/>
        </w:rPr>
        <w:t xml:space="preserve"> bei </w:t>
      </w: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ir </w:t>
      </w:r>
      <w:proofErr w:type="spellStart"/>
      <w:r w:rsidRPr="00051FD3">
        <w:rPr>
          <w:rFonts w:eastAsia="Calibri"/>
          <w:color w:val="000000"/>
          <w:sz w:val="22"/>
          <w:szCs w:val="22"/>
        </w:rPr>
        <w:t>ramiprilio</w:t>
      </w:r>
      <w:proofErr w:type="spellEnd"/>
      <w:r w:rsidRPr="00051FD3">
        <w:rPr>
          <w:rFonts w:eastAsia="Calibri"/>
          <w:color w:val="000000"/>
          <w:sz w:val="22"/>
          <w:szCs w:val="22"/>
        </w:rPr>
        <w:t xml:space="preserve"> derinio poveikis širdies ir kraujagyslių pasekmėms 25620 pacientų (55 metų arba vyresnių), kuriems anksčiau diagnozuota išeminė širdies liga, smegenų insultas, praeinantysis smegenų išemijos priepuolis, periferinių arterijų liga arba 2 tipo cukrinis diabetas, susijęs su galutinės organų pažaidos požymiais (pvz., </w:t>
      </w:r>
      <w:proofErr w:type="spellStart"/>
      <w:r w:rsidRPr="00051FD3">
        <w:rPr>
          <w:rFonts w:eastAsia="Calibri"/>
          <w:color w:val="000000"/>
          <w:sz w:val="22"/>
          <w:szCs w:val="22"/>
        </w:rPr>
        <w:t>retinopatija</w:t>
      </w:r>
      <w:proofErr w:type="spellEnd"/>
      <w:r w:rsidRPr="00051FD3">
        <w:rPr>
          <w:rFonts w:eastAsia="Calibri"/>
          <w:color w:val="000000"/>
          <w:sz w:val="22"/>
          <w:szCs w:val="22"/>
        </w:rPr>
        <w:t xml:space="preserve">, kairiojo širdies skilvelio hipertrofija, </w:t>
      </w:r>
      <w:proofErr w:type="spellStart"/>
      <w:r w:rsidRPr="00051FD3">
        <w:rPr>
          <w:rFonts w:eastAsia="Calibri"/>
          <w:color w:val="000000"/>
          <w:sz w:val="22"/>
          <w:szCs w:val="22"/>
        </w:rPr>
        <w:t>makroalbuminurija</w:t>
      </w:r>
      <w:proofErr w:type="spellEnd"/>
      <w:r w:rsidRPr="00051FD3">
        <w:rPr>
          <w:rFonts w:eastAsia="Calibri"/>
          <w:color w:val="000000"/>
          <w:sz w:val="22"/>
          <w:szCs w:val="22"/>
        </w:rPr>
        <w:t xml:space="preserve"> arba </w:t>
      </w:r>
      <w:proofErr w:type="spellStart"/>
      <w:r w:rsidRPr="00051FD3">
        <w:rPr>
          <w:rFonts w:eastAsia="Calibri"/>
          <w:color w:val="000000"/>
          <w:sz w:val="22"/>
          <w:szCs w:val="22"/>
        </w:rPr>
        <w:t>mikroalbuminurija</w:t>
      </w:r>
      <w:proofErr w:type="spellEnd"/>
      <w:r w:rsidRPr="00051FD3">
        <w:rPr>
          <w:rFonts w:eastAsia="Calibri"/>
          <w:color w:val="000000"/>
          <w:sz w:val="22"/>
          <w:szCs w:val="22"/>
        </w:rPr>
        <w:t xml:space="preserve">), ir kurie priklauso populiacijai, kuriai yra širdies ir kraujagyslių reiškinių rizika. </w:t>
      </w:r>
    </w:p>
    <w:p w14:paraId="46D96A81" w14:textId="77777777" w:rsidR="006E3F6C" w:rsidRPr="00051FD3" w:rsidRDefault="006E3F6C" w:rsidP="00851523">
      <w:pPr>
        <w:autoSpaceDE w:val="0"/>
        <w:autoSpaceDN w:val="0"/>
        <w:adjustRightInd w:val="0"/>
        <w:rPr>
          <w:rFonts w:eastAsia="Calibri"/>
          <w:color w:val="000000"/>
          <w:sz w:val="22"/>
          <w:szCs w:val="22"/>
        </w:rPr>
      </w:pPr>
    </w:p>
    <w:p w14:paraId="28ECC81E" w14:textId="3660F59F"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Pacientai atsitiktinių imčių būdu buvo suskirstyti į 3 grupes, kurios buvo gydytos arba 80</w:t>
      </w:r>
      <w:r w:rsidR="006E3F6C" w:rsidRPr="00051FD3">
        <w:rPr>
          <w:rFonts w:eastAsia="Calibri"/>
          <w:color w:val="000000"/>
          <w:sz w:val="22"/>
          <w:szCs w:val="22"/>
        </w:rPr>
        <w:t> </w:t>
      </w:r>
      <w:r w:rsidRPr="00051FD3">
        <w:rPr>
          <w:rFonts w:eastAsia="Calibri"/>
          <w:color w:val="000000"/>
          <w:sz w:val="22"/>
          <w:szCs w:val="22"/>
        </w:rPr>
        <w:t xml:space="preserve">mg </w:t>
      </w: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doze (n = 8542), arba 10</w:t>
      </w:r>
      <w:r w:rsidR="006E3F6C" w:rsidRPr="00051FD3">
        <w:rPr>
          <w:rFonts w:eastAsia="Calibri"/>
          <w:color w:val="000000"/>
          <w:sz w:val="22"/>
          <w:szCs w:val="22"/>
        </w:rPr>
        <w:t> </w:t>
      </w:r>
      <w:r w:rsidRPr="00051FD3">
        <w:rPr>
          <w:rFonts w:eastAsia="Calibri"/>
          <w:color w:val="000000"/>
          <w:sz w:val="22"/>
          <w:szCs w:val="22"/>
        </w:rPr>
        <w:t xml:space="preserve">mg </w:t>
      </w:r>
      <w:proofErr w:type="spellStart"/>
      <w:r w:rsidRPr="00051FD3">
        <w:rPr>
          <w:rFonts w:eastAsia="Calibri"/>
          <w:color w:val="000000"/>
          <w:sz w:val="22"/>
          <w:szCs w:val="22"/>
        </w:rPr>
        <w:t>ramiprilio</w:t>
      </w:r>
      <w:proofErr w:type="spellEnd"/>
      <w:r w:rsidRPr="00051FD3">
        <w:rPr>
          <w:rFonts w:eastAsia="Calibri"/>
          <w:color w:val="000000"/>
          <w:sz w:val="22"/>
          <w:szCs w:val="22"/>
        </w:rPr>
        <w:t xml:space="preserve"> doze (n = 8576), arba 80 mg </w:t>
      </w: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ir 10</w:t>
      </w:r>
      <w:r w:rsidR="006E3F6C" w:rsidRPr="00051FD3">
        <w:rPr>
          <w:rFonts w:eastAsia="Calibri"/>
          <w:color w:val="000000"/>
          <w:sz w:val="22"/>
          <w:szCs w:val="22"/>
        </w:rPr>
        <w:t> </w:t>
      </w:r>
      <w:r w:rsidRPr="00051FD3">
        <w:rPr>
          <w:rFonts w:eastAsia="Calibri"/>
          <w:color w:val="000000"/>
          <w:sz w:val="22"/>
          <w:szCs w:val="22"/>
        </w:rPr>
        <w:t xml:space="preserve">mg </w:t>
      </w:r>
      <w:proofErr w:type="spellStart"/>
      <w:r w:rsidRPr="00051FD3">
        <w:rPr>
          <w:rFonts w:eastAsia="Calibri"/>
          <w:color w:val="000000"/>
          <w:sz w:val="22"/>
          <w:szCs w:val="22"/>
        </w:rPr>
        <w:t>ramiprilio</w:t>
      </w:r>
      <w:proofErr w:type="spellEnd"/>
      <w:r w:rsidRPr="00051FD3">
        <w:rPr>
          <w:rFonts w:eastAsia="Calibri"/>
          <w:color w:val="000000"/>
          <w:sz w:val="22"/>
          <w:szCs w:val="22"/>
        </w:rPr>
        <w:t xml:space="preserve"> dozių deriniu (n = 8502). Vidutinis tiriamųjų stebėjimo laikas buvo 4,5 metų. </w:t>
      </w:r>
    </w:p>
    <w:p w14:paraId="1EC5F86C" w14:textId="4CC28F90" w:rsidR="00851523" w:rsidRPr="00051FD3" w:rsidRDefault="00851523" w:rsidP="00851523">
      <w:pPr>
        <w:autoSpaceDE w:val="0"/>
        <w:autoSpaceDN w:val="0"/>
        <w:adjustRightInd w:val="0"/>
        <w:rPr>
          <w:rFonts w:eastAsia="Calibri"/>
          <w:color w:val="000000"/>
          <w:sz w:val="22"/>
          <w:szCs w:val="22"/>
        </w:rPr>
      </w:pP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poveikis sudėtinės pirminės vertinamosios baigties − mirties nuo širdies ir kraujagyslių sutrikimų, nemirtino miokardo infarkto, nemirtino insulto ar guldymo į ligoninę dėl širdies nepakankamumo − dažnio mažinimui buvo panašus į </w:t>
      </w:r>
      <w:proofErr w:type="spellStart"/>
      <w:r w:rsidRPr="00051FD3">
        <w:rPr>
          <w:rFonts w:eastAsia="Calibri"/>
          <w:color w:val="000000"/>
          <w:sz w:val="22"/>
          <w:szCs w:val="22"/>
        </w:rPr>
        <w:t>ramiprilio</w:t>
      </w:r>
      <w:proofErr w:type="spellEnd"/>
      <w:r w:rsidRPr="00051FD3">
        <w:rPr>
          <w:rFonts w:eastAsia="Calibri"/>
          <w:b/>
          <w:bCs/>
          <w:color w:val="000000"/>
          <w:sz w:val="22"/>
          <w:szCs w:val="22"/>
        </w:rPr>
        <w:t xml:space="preserve">. </w:t>
      </w:r>
      <w:r w:rsidRPr="00051FD3">
        <w:rPr>
          <w:rFonts w:eastAsia="Calibri"/>
          <w:color w:val="000000"/>
          <w:sz w:val="22"/>
          <w:szCs w:val="22"/>
        </w:rPr>
        <w:t xml:space="preserve">Pirminės vertinamosios baigties dažnis pacientams, gydytiems </w:t>
      </w:r>
      <w:proofErr w:type="spellStart"/>
      <w:r w:rsidRPr="00051FD3">
        <w:rPr>
          <w:rFonts w:eastAsia="Calibri"/>
          <w:color w:val="000000"/>
          <w:sz w:val="22"/>
          <w:szCs w:val="22"/>
        </w:rPr>
        <w:t>telmisartanu</w:t>
      </w:r>
      <w:proofErr w:type="spellEnd"/>
      <w:r w:rsidRPr="00051FD3">
        <w:rPr>
          <w:rFonts w:eastAsia="Calibri"/>
          <w:color w:val="000000"/>
          <w:sz w:val="22"/>
          <w:szCs w:val="22"/>
        </w:rPr>
        <w:t xml:space="preserve"> (16,7</w:t>
      </w:r>
      <w:r w:rsidR="006E3F6C" w:rsidRPr="00051FD3">
        <w:rPr>
          <w:rFonts w:eastAsia="Calibri"/>
          <w:color w:val="000000"/>
          <w:sz w:val="22"/>
          <w:szCs w:val="22"/>
        </w:rPr>
        <w:t> </w:t>
      </w:r>
      <w:r w:rsidRPr="00051FD3">
        <w:rPr>
          <w:rFonts w:eastAsia="Calibri"/>
          <w:color w:val="000000"/>
          <w:sz w:val="22"/>
          <w:szCs w:val="22"/>
        </w:rPr>
        <w:t xml:space="preserve">%) ar </w:t>
      </w:r>
      <w:proofErr w:type="spellStart"/>
      <w:r w:rsidRPr="00051FD3">
        <w:rPr>
          <w:rFonts w:eastAsia="Calibri"/>
          <w:color w:val="000000"/>
          <w:sz w:val="22"/>
          <w:szCs w:val="22"/>
        </w:rPr>
        <w:t>ramipriliu</w:t>
      </w:r>
      <w:proofErr w:type="spellEnd"/>
      <w:r w:rsidRPr="00051FD3">
        <w:rPr>
          <w:rFonts w:eastAsia="Calibri"/>
          <w:color w:val="000000"/>
          <w:sz w:val="22"/>
          <w:szCs w:val="22"/>
        </w:rPr>
        <w:t xml:space="preserve"> (16,5</w:t>
      </w:r>
      <w:r w:rsidR="006E3F6C" w:rsidRPr="00051FD3">
        <w:rPr>
          <w:rFonts w:eastAsia="Calibri"/>
          <w:color w:val="000000"/>
          <w:sz w:val="22"/>
          <w:szCs w:val="22"/>
        </w:rPr>
        <w:t> </w:t>
      </w:r>
      <w:r w:rsidRPr="00051FD3">
        <w:rPr>
          <w:rFonts w:eastAsia="Calibri"/>
          <w:color w:val="000000"/>
          <w:sz w:val="22"/>
          <w:szCs w:val="22"/>
        </w:rPr>
        <w:t xml:space="preserve">%) buvo panašus. </w:t>
      </w: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palyginti su </w:t>
      </w:r>
      <w:proofErr w:type="spellStart"/>
      <w:r w:rsidRPr="00051FD3">
        <w:rPr>
          <w:rFonts w:eastAsia="Calibri"/>
          <w:color w:val="000000"/>
          <w:sz w:val="22"/>
          <w:szCs w:val="22"/>
        </w:rPr>
        <w:t>ramipriliu</w:t>
      </w:r>
      <w:proofErr w:type="spellEnd"/>
      <w:r w:rsidRPr="00051FD3">
        <w:rPr>
          <w:rFonts w:eastAsia="Calibri"/>
          <w:color w:val="000000"/>
          <w:sz w:val="22"/>
          <w:szCs w:val="22"/>
        </w:rPr>
        <w:t>, rizikos santykis buvo 1,01 (97,5</w:t>
      </w:r>
      <w:r w:rsidR="006E3F6C" w:rsidRPr="00051FD3">
        <w:rPr>
          <w:rFonts w:eastAsia="Calibri"/>
          <w:color w:val="000000"/>
          <w:sz w:val="22"/>
          <w:szCs w:val="22"/>
        </w:rPr>
        <w:t> </w:t>
      </w:r>
      <w:r w:rsidRPr="00051FD3">
        <w:rPr>
          <w:rFonts w:eastAsia="Calibri"/>
          <w:color w:val="000000"/>
          <w:sz w:val="22"/>
          <w:szCs w:val="22"/>
        </w:rPr>
        <w:t>% PI: 0,93-1,1; p (</w:t>
      </w:r>
      <w:proofErr w:type="spellStart"/>
      <w:r w:rsidRPr="00051FD3">
        <w:rPr>
          <w:rFonts w:eastAsia="Calibri"/>
          <w:i/>
          <w:iCs/>
          <w:color w:val="000000"/>
          <w:sz w:val="22"/>
          <w:szCs w:val="22"/>
        </w:rPr>
        <w:t>non-inferiority</w:t>
      </w:r>
      <w:proofErr w:type="spellEnd"/>
      <w:r w:rsidRPr="00051FD3">
        <w:rPr>
          <w:rFonts w:eastAsia="Calibri"/>
          <w:color w:val="000000"/>
          <w:sz w:val="22"/>
          <w:szCs w:val="22"/>
        </w:rPr>
        <w:t xml:space="preserve">) = 0,0019, kai riba 1,13). </w:t>
      </w:r>
      <w:proofErr w:type="spellStart"/>
      <w:r w:rsidRPr="00051FD3">
        <w:rPr>
          <w:rFonts w:eastAsia="Calibri"/>
          <w:color w:val="000000"/>
          <w:sz w:val="22"/>
          <w:szCs w:val="22"/>
        </w:rPr>
        <w:t>Telmisartanu</w:t>
      </w:r>
      <w:proofErr w:type="spellEnd"/>
      <w:r w:rsidRPr="00051FD3">
        <w:rPr>
          <w:rFonts w:eastAsia="Calibri"/>
          <w:color w:val="000000"/>
          <w:sz w:val="22"/>
          <w:szCs w:val="22"/>
        </w:rPr>
        <w:t xml:space="preserve"> ar </w:t>
      </w:r>
      <w:proofErr w:type="spellStart"/>
      <w:r w:rsidRPr="00051FD3">
        <w:rPr>
          <w:rFonts w:eastAsia="Calibri"/>
          <w:color w:val="000000"/>
          <w:sz w:val="22"/>
          <w:szCs w:val="22"/>
        </w:rPr>
        <w:t>ramipriliu</w:t>
      </w:r>
      <w:proofErr w:type="spellEnd"/>
      <w:r w:rsidRPr="00051FD3">
        <w:rPr>
          <w:rFonts w:eastAsia="Calibri"/>
          <w:color w:val="000000"/>
          <w:sz w:val="22"/>
          <w:szCs w:val="22"/>
        </w:rPr>
        <w:t xml:space="preserve"> gydytų pacientų mirtingumo nuo visų priežasčių dažnis buvo atitinkamai 11,6</w:t>
      </w:r>
      <w:r w:rsidR="006E3F6C" w:rsidRPr="00051FD3">
        <w:rPr>
          <w:rFonts w:eastAsia="Calibri"/>
          <w:color w:val="000000"/>
          <w:sz w:val="22"/>
          <w:szCs w:val="22"/>
        </w:rPr>
        <w:t>  </w:t>
      </w:r>
      <w:r w:rsidRPr="00051FD3">
        <w:rPr>
          <w:rFonts w:eastAsia="Calibri"/>
          <w:color w:val="000000"/>
          <w:sz w:val="22"/>
          <w:szCs w:val="22"/>
        </w:rPr>
        <w:t>% ir 11,8</w:t>
      </w:r>
      <w:r w:rsidR="006E3F6C" w:rsidRPr="00051FD3">
        <w:rPr>
          <w:rFonts w:eastAsia="Calibri"/>
          <w:color w:val="000000"/>
          <w:sz w:val="22"/>
          <w:szCs w:val="22"/>
        </w:rPr>
        <w:t> </w:t>
      </w:r>
      <w:r w:rsidRPr="00051FD3">
        <w:rPr>
          <w:rFonts w:eastAsia="Calibri"/>
          <w:color w:val="000000"/>
          <w:sz w:val="22"/>
          <w:szCs w:val="22"/>
        </w:rPr>
        <w:t xml:space="preserve">%. </w:t>
      </w:r>
    </w:p>
    <w:p w14:paraId="3138A138" w14:textId="77777777" w:rsidR="006E3F6C" w:rsidRPr="00051FD3" w:rsidRDefault="006E3F6C" w:rsidP="00851523">
      <w:pPr>
        <w:autoSpaceDE w:val="0"/>
        <w:autoSpaceDN w:val="0"/>
        <w:adjustRightInd w:val="0"/>
        <w:rPr>
          <w:rFonts w:eastAsia="Calibri"/>
          <w:color w:val="000000"/>
          <w:sz w:val="22"/>
          <w:szCs w:val="22"/>
        </w:rPr>
      </w:pPr>
    </w:p>
    <w:p w14:paraId="2BD812B0" w14:textId="14B65070"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 xml:space="preserve">Nustatyta, kad </w:t>
      </w: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veiksmingumas yra panašus į </w:t>
      </w:r>
      <w:proofErr w:type="spellStart"/>
      <w:r w:rsidRPr="00051FD3">
        <w:rPr>
          <w:rFonts w:eastAsia="Calibri"/>
          <w:color w:val="000000"/>
          <w:sz w:val="22"/>
          <w:szCs w:val="22"/>
        </w:rPr>
        <w:t>ramiprilio</w:t>
      </w:r>
      <w:proofErr w:type="spellEnd"/>
      <w:r w:rsidRPr="00051FD3">
        <w:rPr>
          <w:rFonts w:eastAsia="Calibri"/>
          <w:color w:val="000000"/>
          <w:sz w:val="22"/>
          <w:szCs w:val="22"/>
        </w:rPr>
        <w:t>, atsižvelgiant į iš anksto tiksliai apibrėžtą antrinę vertinamąją baigtį, t. y. mirties dėl širdies ir kraujagyslių sutrikimų, nemirtino</w:t>
      </w:r>
    </w:p>
    <w:p w14:paraId="1B51C068" w14:textId="4F0F040C" w:rsidR="00142526" w:rsidRPr="00051FD3" w:rsidRDefault="00851523" w:rsidP="00851523">
      <w:pPr>
        <w:pStyle w:val="Default"/>
        <w:rPr>
          <w:sz w:val="22"/>
          <w:szCs w:val="22"/>
          <w:lang w:val="lt-LT"/>
        </w:rPr>
      </w:pPr>
      <w:r w:rsidRPr="00051FD3">
        <w:rPr>
          <w:rFonts w:eastAsia="Calibri"/>
          <w:sz w:val="22"/>
          <w:szCs w:val="22"/>
          <w:lang w:val="lt-LT"/>
        </w:rPr>
        <w:t>miokardo infarkto ir nemirtino insulto dažnį [0,99 (97,5</w:t>
      </w:r>
      <w:r w:rsidR="006E3F6C" w:rsidRPr="00051FD3">
        <w:rPr>
          <w:rFonts w:eastAsia="Calibri"/>
          <w:sz w:val="22"/>
          <w:szCs w:val="22"/>
          <w:lang w:val="lt-LT"/>
        </w:rPr>
        <w:t> </w:t>
      </w:r>
      <w:r w:rsidRPr="00051FD3">
        <w:rPr>
          <w:rFonts w:eastAsia="Calibri"/>
          <w:sz w:val="22"/>
          <w:szCs w:val="22"/>
          <w:lang w:val="lt-LT"/>
        </w:rPr>
        <w:t>% PI: 0,9-1,08; p (</w:t>
      </w:r>
      <w:proofErr w:type="spellStart"/>
      <w:r w:rsidRPr="00051FD3">
        <w:rPr>
          <w:rFonts w:eastAsia="Calibri"/>
          <w:i/>
          <w:iCs/>
          <w:sz w:val="22"/>
          <w:szCs w:val="22"/>
          <w:lang w:val="lt-LT"/>
        </w:rPr>
        <w:t>non-inferiority</w:t>
      </w:r>
      <w:proofErr w:type="spellEnd"/>
      <w:r w:rsidRPr="00051FD3">
        <w:rPr>
          <w:rFonts w:eastAsia="Calibri"/>
          <w:sz w:val="22"/>
          <w:szCs w:val="22"/>
          <w:lang w:val="lt-LT"/>
        </w:rPr>
        <w:t>) = 0,0004), kuri lyginamojo tyrimo HOPE (</w:t>
      </w:r>
      <w:proofErr w:type="spellStart"/>
      <w:r w:rsidRPr="00051FD3">
        <w:rPr>
          <w:rFonts w:eastAsia="Calibri"/>
          <w:i/>
          <w:iCs/>
          <w:sz w:val="22"/>
          <w:szCs w:val="22"/>
          <w:lang w:val="lt-LT"/>
        </w:rPr>
        <w:t>The</w:t>
      </w:r>
      <w:proofErr w:type="spellEnd"/>
      <w:r w:rsidRPr="00051FD3">
        <w:rPr>
          <w:rFonts w:eastAsia="Calibri"/>
          <w:i/>
          <w:iCs/>
          <w:sz w:val="22"/>
          <w:szCs w:val="22"/>
          <w:lang w:val="lt-LT"/>
        </w:rPr>
        <w:t xml:space="preserve"> </w:t>
      </w:r>
      <w:proofErr w:type="spellStart"/>
      <w:r w:rsidRPr="00051FD3">
        <w:rPr>
          <w:rFonts w:eastAsia="Calibri"/>
          <w:i/>
          <w:iCs/>
          <w:sz w:val="22"/>
          <w:szCs w:val="22"/>
          <w:lang w:val="lt-LT"/>
        </w:rPr>
        <w:t>Heart</w:t>
      </w:r>
      <w:proofErr w:type="spellEnd"/>
      <w:r w:rsidRPr="00051FD3">
        <w:rPr>
          <w:rFonts w:eastAsia="Calibri"/>
          <w:i/>
          <w:iCs/>
          <w:sz w:val="22"/>
          <w:szCs w:val="22"/>
          <w:lang w:val="lt-LT"/>
        </w:rPr>
        <w:t xml:space="preserve"> </w:t>
      </w:r>
      <w:proofErr w:type="spellStart"/>
      <w:r w:rsidRPr="00051FD3">
        <w:rPr>
          <w:rFonts w:eastAsia="Calibri"/>
          <w:i/>
          <w:iCs/>
          <w:sz w:val="22"/>
          <w:szCs w:val="22"/>
          <w:lang w:val="lt-LT"/>
        </w:rPr>
        <w:t>Outcomes</w:t>
      </w:r>
      <w:proofErr w:type="spellEnd"/>
      <w:r w:rsidRPr="00051FD3">
        <w:rPr>
          <w:rFonts w:eastAsia="Calibri"/>
          <w:i/>
          <w:iCs/>
          <w:sz w:val="22"/>
          <w:szCs w:val="22"/>
          <w:lang w:val="lt-LT"/>
        </w:rPr>
        <w:t xml:space="preserve"> </w:t>
      </w:r>
      <w:proofErr w:type="spellStart"/>
      <w:r w:rsidRPr="00051FD3">
        <w:rPr>
          <w:rFonts w:eastAsia="Calibri"/>
          <w:i/>
          <w:iCs/>
          <w:sz w:val="22"/>
          <w:szCs w:val="22"/>
          <w:lang w:val="lt-LT"/>
        </w:rPr>
        <w:t>Prevention</w:t>
      </w:r>
      <w:proofErr w:type="spellEnd"/>
      <w:r w:rsidRPr="00051FD3">
        <w:rPr>
          <w:rFonts w:eastAsia="Calibri"/>
          <w:i/>
          <w:iCs/>
          <w:sz w:val="22"/>
          <w:szCs w:val="22"/>
          <w:lang w:val="lt-LT"/>
        </w:rPr>
        <w:t xml:space="preserve"> </w:t>
      </w:r>
      <w:proofErr w:type="spellStart"/>
      <w:r w:rsidRPr="00051FD3">
        <w:rPr>
          <w:rFonts w:eastAsia="Calibri"/>
          <w:i/>
          <w:iCs/>
          <w:sz w:val="22"/>
          <w:szCs w:val="22"/>
          <w:lang w:val="lt-LT"/>
        </w:rPr>
        <w:t>Evaluation</w:t>
      </w:r>
      <w:proofErr w:type="spellEnd"/>
      <w:r w:rsidRPr="00051FD3">
        <w:rPr>
          <w:rFonts w:eastAsia="Calibri"/>
          <w:i/>
          <w:iCs/>
          <w:sz w:val="22"/>
          <w:szCs w:val="22"/>
          <w:lang w:val="lt-LT"/>
        </w:rPr>
        <w:t xml:space="preserve"> </w:t>
      </w:r>
      <w:proofErr w:type="spellStart"/>
      <w:r w:rsidRPr="00051FD3">
        <w:rPr>
          <w:rFonts w:eastAsia="Calibri"/>
          <w:i/>
          <w:iCs/>
          <w:sz w:val="22"/>
          <w:szCs w:val="22"/>
          <w:lang w:val="lt-LT"/>
        </w:rPr>
        <w:t>Study</w:t>
      </w:r>
      <w:proofErr w:type="spellEnd"/>
      <w:r w:rsidRPr="00051FD3">
        <w:rPr>
          <w:rFonts w:eastAsia="Calibri"/>
          <w:sz w:val="22"/>
          <w:szCs w:val="22"/>
          <w:lang w:val="lt-LT"/>
        </w:rPr>
        <w:t xml:space="preserve">), kuriuo buvo lygintas </w:t>
      </w:r>
      <w:proofErr w:type="spellStart"/>
      <w:r w:rsidRPr="00051FD3">
        <w:rPr>
          <w:rFonts w:eastAsia="Calibri"/>
          <w:sz w:val="22"/>
          <w:szCs w:val="22"/>
          <w:lang w:val="lt-LT"/>
        </w:rPr>
        <w:t>ramiprilio</w:t>
      </w:r>
      <w:proofErr w:type="spellEnd"/>
      <w:r w:rsidRPr="00051FD3">
        <w:rPr>
          <w:rFonts w:eastAsia="Calibri"/>
          <w:sz w:val="22"/>
          <w:szCs w:val="22"/>
          <w:lang w:val="lt-LT"/>
        </w:rPr>
        <w:t xml:space="preserve"> ir placebo poveikis, metu buvo pirminė vertinamoji baigtis.</w:t>
      </w:r>
    </w:p>
    <w:p w14:paraId="2A4F20C9" w14:textId="77777777" w:rsidR="00142526" w:rsidRPr="00051FD3" w:rsidRDefault="00142526" w:rsidP="007F39B7">
      <w:pPr>
        <w:pStyle w:val="Default"/>
        <w:rPr>
          <w:sz w:val="22"/>
          <w:szCs w:val="22"/>
          <w:lang w:val="lt-LT"/>
        </w:rPr>
      </w:pPr>
    </w:p>
    <w:p w14:paraId="38A9920A" w14:textId="397554AC"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 xml:space="preserve">Atsitiktinių imčių tyrimo TRANSCEND, kuriame dalyvavo AKF inhibitorių netoleruojantys pacientai, kurių įtraukimo į tyrimą kriterijai kitais atžvilgiais buvo panašūs į įtraukimo į tyrimą ONTARGET kriterijus, metu 80 mg </w:t>
      </w:r>
      <w:proofErr w:type="spellStart"/>
      <w:r w:rsidRPr="00051FD3">
        <w:rPr>
          <w:rFonts w:eastAsia="Calibri"/>
          <w:color w:val="000000"/>
          <w:sz w:val="22"/>
          <w:szCs w:val="22"/>
        </w:rPr>
        <w:t>telmisartano</w:t>
      </w:r>
      <w:proofErr w:type="spellEnd"/>
      <w:r w:rsidRPr="00051FD3">
        <w:rPr>
          <w:rFonts w:eastAsia="Calibri"/>
          <w:color w:val="000000"/>
          <w:sz w:val="22"/>
          <w:szCs w:val="22"/>
        </w:rPr>
        <w:t xml:space="preserve"> dozės (n = 2954) poveikis buvo lygintas su placebo poveikiu (n</w:t>
      </w:r>
      <w:r w:rsidR="00152045" w:rsidRPr="00051FD3">
        <w:rPr>
          <w:rFonts w:eastAsia="Calibri"/>
          <w:color w:val="000000"/>
          <w:sz w:val="22"/>
          <w:szCs w:val="22"/>
        </w:rPr>
        <w:t> </w:t>
      </w:r>
      <w:r w:rsidRPr="00051FD3">
        <w:rPr>
          <w:rFonts w:eastAsia="Calibri"/>
          <w:color w:val="000000"/>
          <w:sz w:val="22"/>
          <w:szCs w:val="22"/>
        </w:rPr>
        <w:t>=</w:t>
      </w:r>
      <w:r w:rsidR="00152045" w:rsidRPr="00051FD3">
        <w:rPr>
          <w:rFonts w:eastAsia="Calibri"/>
          <w:color w:val="000000"/>
          <w:sz w:val="22"/>
          <w:szCs w:val="22"/>
        </w:rPr>
        <w:t> </w:t>
      </w:r>
      <w:r w:rsidRPr="00051FD3">
        <w:rPr>
          <w:rFonts w:eastAsia="Calibri"/>
          <w:color w:val="000000"/>
          <w:sz w:val="22"/>
          <w:szCs w:val="22"/>
        </w:rPr>
        <w:t>2972), kai vienu ar kitu vaistiniu preparatu buvo papildytas jau taikomas įprastinis gydymas. Vidutinė tiriamųjų stebėjimo trukmė buvo 4 metai ir 8 mėnesiai. Sudėtinės pirminės vertinamosios baigties (mirties dėl širdies ir kraujagyslių sutrikimų, nemirtino miokardo infarkto, nemirtino insulto ar guldymo į ligoninę dėl širdies nepakankamumo) dažnis statistiškai reikšmingai nesiskyrė (</w:t>
      </w:r>
      <w:proofErr w:type="spellStart"/>
      <w:r w:rsidRPr="00051FD3">
        <w:rPr>
          <w:rFonts w:eastAsia="Calibri"/>
          <w:color w:val="000000"/>
          <w:sz w:val="22"/>
          <w:szCs w:val="22"/>
        </w:rPr>
        <w:t>telmisartanu</w:t>
      </w:r>
      <w:proofErr w:type="spellEnd"/>
      <w:r w:rsidRPr="00051FD3">
        <w:rPr>
          <w:rFonts w:eastAsia="Calibri"/>
          <w:color w:val="000000"/>
          <w:sz w:val="22"/>
          <w:szCs w:val="22"/>
        </w:rPr>
        <w:t xml:space="preserve"> gydytiems pacientams jis buvo 15,7</w:t>
      </w:r>
      <w:r w:rsidR="00152045" w:rsidRPr="00051FD3">
        <w:rPr>
          <w:rFonts w:eastAsia="Calibri"/>
          <w:color w:val="000000"/>
          <w:sz w:val="22"/>
          <w:szCs w:val="22"/>
        </w:rPr>
        <w:t> </w:t>
      </w:r>
      <w:r w:rsidRPr="00051FD3">
        <w:rPr>
          <w:rFonts w:eastAsia="Calibri"/>
          <w:color w:val="000000"/>
          <w:sz w:val="22"/>
          <w:szCs w:val="22"/>
        </w:rPr>
        <w:t xml:space="preserve">%, vartojusiems placebo </w:t>
      </w:r>
      <w:r w:rsidR="00152045" w:rsidRPr="00051FD3">
        <w:rPr>
          <w:rFonts w:eastAsia="Calibri"/>
          <w:color w:val="000000"/>
          <w:sz w:val="22"/>
          <w:szCs w:val="22"/>
        </w:rPr>
        <w:t>–</w:t>
      </w:r>
      <w:r w:rsidRPr="00051FD3">
        <w:rPr>
          <w:rFonts w:eastAsia="Calibri"/>
          <w:color w:val="000000"/>
          <w:sz w:val="22"/>
          <w:szCs w:val="22"/>
        </w:rPr>
        <w:t xml:space="preserve"> 17</w:t>
      </w:r>
      <w:r w:rsidR="00152045" w:rsidRPr="00051FD3">
        <w:rPr>
          <w:rFonts w:eastAsia="Calibri"/>
          <w:color w:val="000000"/>
          <w:sz w:val="22"/>
          <w:szCs w:val="22"/>
        </w:rPr>
        <w:t> </w:t>
      </w:r>
      <w:r w:rsidRPr="00051FD3">
        <w:rPr>
          <w:rFonts w:eastAsia="Calibri"/>
          <w:color w:val="000000"/>
          <w:sz w:val="22"/>
          <w:szCs w:val="22"/>
        </w:rPr>
        <w:t>%, rizikos santykis: 0,92 (95</w:t>
      </w:r>
      <w:r w:rsidR="00152045" w:rsidRPr="00051FD3">
        <w:rPr>
          <w:rFonts w:eastAsia="Calibri"/>
          <w:color w:val="000000"/>
          <w:sz w:val="22"/>
          <w:szCs w:val="22"/>
        </w:rPr>
        <w:t> </w:t>
      </w:r>
      <w:r w:rsidRPr="00051FD3">
        <w:rPr>
          <w:rFonts w:eastAsia="Calibri"/>
          <w:color w:val="000000"/>
          <w:sz w:val="22"/>
          <w:szCs w:val="22"/>
        </w:rPr>
        <w:t xml:space="preserve">% PI: 0,81–1,05; p = 0,22). Įrodyta gydymo </w:t>
      </w:r>
      <w:proofErr w:type="spellStart"/>
      <w:r w:rsidRPr="00051FD3">
        <w:rPr>
          <w:rFonts w:eastAsia="Calibri"/>
          <w:color w:val="000000"/>
          <w:sz w:val="22"/>
          <w:szCs w:val="22"/>
        </w:rPr>
        <w:t>telmisartanu</w:t>
      </w:r>
      <w:proofErr w:type="spellEnd"/>
      <w:r w:rsidRPr="00051FD3">
        <w:rPr>
          <w:rFonts w:eastAsia="Calibri"/>
          <w:color w:val="000000"/>
          <w:sz w:val="22"/>
          <w:szCs w:val="22"/>
        </w:rPr>
        <w:t>, palyginti su placebu, nauda, atsižvelgiant į iš anksto tiksliai apibrėžtą sudėtinę antrinę vertinamąją baigtį, t. y. mirties dėl širdies ir kraujagyslių sutrikimų, nemirtino miokardo infarkto ir nemirtino insulto dažnį [0,87 (95</w:t>
      </w:r>
      <w:r w:rsidR="00152045" w:rsidRPr="00051FD3">
        <w:rPr>
          <w:rFonts w:eastAsia="Calibri"/>
          <w:color w:val="000000"/>
          <w:sz w:val="22"/>
          <w:szCs w:val="22"/>
        </w:rPr>
        <w:t> </w:t>
      </w:r>
      <w:r w:rsidRPr="00051FD3">
        <w:rPr>
          <w:rFonts w:eastAsia="Calibri"/>
          <w:color w:val="000000"/>
          <w:sz w:val="22"/>
          <w:szCs w:val="22"/>
        </w:rPr>
        <w:t>% PI: 0,76–1; p = 0,048). Naudos mirštamumui dėl širdies ir kraujagyslių sutrikimų įrodymų negauta (rizikos santykis: 1,03; 95</w:t>
      </w:r>
      <w:r w:rsidR="00152045" w:rsidRPr="00051FD3">
        <w:rPr>
          <w:rFonts w:eastAsia="Calibri"/>
          <w:color w:val="000000"/>
          <w:sz w:val="22"/>
          <w:szCs w:val="22"/>
        </w:rPr>
        <w:t> </w:t>
      </w:r>
      <w:r w:rsidRPr="00051FD3">
        <w:rPr>
          <w:rFonts w:eastAsia="Calibri"/>
          <w:color w:val="000000"/>
          <w:sz w:val="22"/>
          <w:szCs w:val="22"/>
        </w:rPr>
        <w:t xml:space="preserve">% PI: 0,85–1,24). </w:t>
      </w:r>
    </w:p>
    <w:p w14:paraId="0EBF95DF" w14:textId="77777777" w:rsidR="00152045" w:rsidRPr="00051FD3" w:rsidRDefault="00152045" w:rsidP="00851523">
      <w:pPr>
        <w:autoSpaceDE w:val="0"/>
        <w:autoSpaceDN w:val="0"/>
        <w:adjustRightInd w:val="0"/>
        <w:rPr>
          <w:rFonts w:eastAsia="Calibri"/>
          <w:color w:val="000000"/>
          <w:sz w:val="22"/>
          <w:szCs w:val="22"/>
        </w:rPr>
      </w:pPr>
    </w:p>
    <w:p w14:paraId="5C546D5C" w14:textId="5C2B9352" w:rsidR="00851523" w:rsidRPr="00051FD3" w:rsidRDefault="00851523" w:rsidP="00851523">
      <w:pPr>
        <w:autoSpaceDE w:val="0"/>
        <w:autoSpaceDN w:val="0"/>
        <w:adjustRightInd w:val="0"/>
        <w:rPr>
          <w:rFonts w:eastAsia="Calibri"/>
          <w:color w:val="000000"/>
          <w:sz w:val="22"/>
          <w:szCs w:val="22"/>
        </w:rPr>
      </w:pPr>
      <w:proofErr w:type="spellStart"/>
      <w:r w:rsidRPr="00051FD3">
        <w:rPr>
          <w:rFonts w:eastAsia="Calibri"/>
          <w:color w:val="000000"/>
          <w:sz w:val="22"/>
          <w:szCs w:val="22"/>
        </w:rPr>
        <w:t>Telmisartanu</w:t>
      </w:r>
      <w:proofErr w:type="spellEnd"/>
      <w:r w:rsidRPr="00051FD3">
        <w:rPr>
          <w:rFonts w:eastAsia="Calibri"/>
          <w:color w:val="000000"/>
          <w:sz w:val="22"/>
          <w:szCs w:val="22"/>
        </w:rPr>
        <w:t xml:space="preserve">, palyginti </w:t>
      </w:r>
      <w:proofErr w:type="spellStart"/>
      <w:r w:rsidRPr="00051FD3">
        <w:rPr>
          <w:rFonts w:eastAsia="Calibri"/>
          <w:color w:val="000000"/>
          <w:sz w:val="22"/>
          <w:szCs w:val="22"/>
        </w:rPr>
        <w:t>ramipriliu</w:t>
      </w:r>
      <w:proofErr w:type="spellEnd"/>
      <w:r w:rsidRPr="00051FD3">
        <w:rPr>
          <w:rFonts w:eastAsia="Calibri"/>
          <w:color w:val="000000"/>
          <w:sz w:val="22"/>
          <w:szCs w:val="22"/>
        </w:rPr>
        <w:t xml:space="preserve">, gydytiems pacientams kosulys ir </w:t>
      </w:r>
      <w:proofErr w:type="spellStart"/>
      <w:r w:rsidRPr="00051FD3">
        <w:rPr>
          <w:rFonts w:eastAsia="Calibri"/>
          <w:color w:val="000000"/>
          <w:sz w:val="22"/>
          <w:szCs w:val="22"/>
        </w:rPr>
        <w:t>angioneurozinė</w:t>
      </w:r>
      <w:proofErr w:type="spellEnd"/>
      <w:r w:rsidRPr="00051FD3">
        <w:rPr>
          <w:rFonts w:eastAsia="Calibri"/>
          <w:color w:val="000000"/>
          <w:sz w:val="22"/>
          <w:szCs w:val="22"/>
        </w:rPr>
        <w:t xml:space="preserve"> edema pasireiškė rečiau, o </w:t>
      </w:r>
      <w:proofErr w:type="spellStart"/>
      <w:r w:rsidRPr="00051FD3">
        <w:rPr>
          <w:rFonts w:eastAsia="Calibri"/>
          <w:color w:val="000000"/>
          <w:sz w:val="22"/>
          <w:szCs w:val="22"/>
        </w:rPr>
        <w:t>hipotenzija</w:t>
      </w:r>
      <w:proofErr w:type="spellEnd"/>
      <w:r w:rsidRPr="00051FD3">
        <w:rPr>
          <w:rFonts w:eastAsia="Calibri"/>
          <w:color w:val="000000"/>
          <w:sz w:val="22"/>
          <w:szCs w:val="22"/>
        </w:rPr>
        <w:t xml:space="preserve"> dažniau. </w:t>
      </w:r>
    </w:p>
    <w:p w14:paraId="416886F6" w14:textId="77777777" w:rsidR="00152045" w:rsidRPr="00051FD3" w:rsidRDefault="00152045" w:rsidP="00851523">
      <w:pPr>
        <w:pStyle w:val="Default"/>
        <w:rPr>
          <w:rFonts w:eastAsia="Calibri"/>
          <w:sz w:val="22"/>
          <w:szCs w:val="22"/>
          <w:lang w:val="lt-LT"/>
        </w:rPr>
      </w:pPr>
    </w:p>
    <w:p w14:paraId="2DF4598F" w14:textId="4EE4FA70" w:rsidR="00851523" w:rsidRPr="00051FD3" w:rsidRDefault="00851523" w:rsidP="00851523">
      <w:pPr>
        <w:pStyle w:val="Default"/>
        <w:rPr>
          <w:sz w:val="22"/>
          <w:szCs w:val="22"/>
          <w:lang w:val="lt-LT"/>
        </w:rPr>
      </w:pPr>
      <w:r w:rsidRPr="00051FD3">
        <w:rPr>
          <w:rFonts w:eastAsia="Calibri"/>
          <w:sz w:val="22"/>
          <w:szCs w:val="22"/>
          <w:lang w:val="lt-LT"/>
        </w:rPr>
        <w:lastRenderedPageBreak/>
        <w:t xml:space="preserve">Gydymas </w:t>
      </w:r>
      <w:proofErr w:type="spellStart"/>
      <w:r w:rsidRPr="00051FD3">
        <w:rPr>
          <w:rFonts w:eastAsia="Calibri"/>
          <w:sz w:val="22"/>
          <w:szCs w:val="22"/>
          <w:lang w:val="lt-LT"/>
        </w:rPr>
        <w:t>telmisartano</w:t>
      </w:r>
      <w:proofErr w:type="spellEnd"/>
      <w:r w:rsidRPr="00051FD3">
        <w:rPr>
          <w:rFonts w:eastAsia="Calibri"/>
          <w:sz w:val="22"/>
          <w:szCs w:val="22"/>
          <w:lang w:val="lt-LT"/>
        </w:rPr>
        <w:t xml:space="preserve"> ir </w:t>
      </w:r>
      <w:proofErr w:type="spellStart"/>
      <w:r w:rsidRPr="00051FD3">
        <w:rPr>
          <w:rFonts w:eastAsia="Calibri"/>
          <w:sz w:val="22"/>
          <w:szCs w:val="22"/>
          <w:lang w:val="lt-LT"/>
        </w:rPr>
        <w:t>ramiprilio</w:t>
      </w:r>
      <w:proofErr w:type="spellEnd"/>
      <w:r w:rsidRPr="00051FD3">
        <w:rPr>
          <w:rFonts w:eastAsia="Calibri"/>
          <w:sz w:val="22"/>
          <w:szCs w:val="22"/>
          <w:lang w:val="lt-LT"/>
        </w:rPr>
        <w:t xml:space="preserve"> deriniu nebuvo naudingesnis už gydymą vien </w:t>
      </w:r>
      <w:proofErr w:type="spellStart"/>
      <w:r w:rsidRPr="00051FD3">
        <w:rPr>
          <w:rFonts w:eastAsia="Calibri"/>
          <w:sz w:val="22"/>
          <w:szCs w:val="22"/>
          <w:lang w:val="lt-LT"/>
        </w:rPr>
        <w:t>telmisartanu</w:t>
      </w:r>
      <w:proofErr w:type="spellEnd"/>
      <w:r w:rsidRPr="00051FD3">
        <w:rPr>
          <w:rFonts w:eastAsia="Calibri"/>
          <w:sz w:val="22"/>
          <w:szCs w:val="22"/>
          <w:lang w:val="lt-LT"/>
        </w:rPr>
        <w:t xml:space="preserve"> arba vien </w:t>
      </w:r>
      <w:proofErr w:type="spellStart"/>
      <w:r w:rsidRPr="00051FD3">
        <w:rPr>
          <w:rFonts w:eastAsia="Calibri"/>
          <w:sz w:val="22"/>
          <w:szCs w:val="22"/>
          <w:lang w:val="lt-LT"/>
        </w:rPr>
        <w:t>ramipriliu</w:t>
      </w:r>
      <w:proofErr w:type="spellEnd"/>
      <w:r w:rsidRPr="00051FD3">
        <w:rPr>
          <w:rFonts w:eastAsia="Calibri"/>
          <w:sz w:val="22"/>
          <w:szCs w:val="22"/>
          <w:lang w:val="lt-LT"/>
        </w:rPr>
        <w:t xml:space="preserve">. Gydant deriniu, mirtingumas dėl širdies ir kraujagyslių sutrikimų bei mirtingumas nuo visų priežasčių kiekio atžvilgiu buvo didesni, be to, reikšmingai didesnis buvo </w:t>
      </w:r>
      <w:proofErr w:type="spellStart"/>
      <w:r w:rsidRPr="00051FD3">
        <w:rPr>
          <w:rFonts w:eastAsia="Calibri"/>
          <w:sz w:val="22"/>
          <w:szCs w:val="22"/>
          <w:lang w:val="lt-LT"/>
        </w:rPr>
        <w:t>hiperkalemijos</w:t>
      </w:r>
      <w:proofErr w:type="spellEnd"/>
      <w:r w:rsidRPr="00051FD3">
        <w:rPr>
          <w:rFonts w:eastAsia="Calibri"/>
          <w:sz w:val="22"/>
          <w:szCs w:val="22"/>
          <w:lang w:val="lt-LT"/>
        </w:rPr>
        <w:t xml:space="preserve">, inkstų nepakankamumo, </w:t>
      </w:r>
      <w:proofErr w:type="spellStart"/>
      <w:r w:rsidRPr="00051FD3">
        <w:rPr>
          <w:rFonts w:eastAsia="Calibri"/>
          <w:sz w:val="22"/>
          <w:szCs w:val="22"/>
          <w:lang w:val="lt-LT"/>
        </w:rPr>
        <w:t>hipotenzijos</w:t>
      </w:r>
      <w:proofErr w:type="spellEnd"/>
      <w:r w:rsidRPr="00051FD3">
        <w:rPr>
          <w:rFonts w:eastAsia="Calibri"/>
          <w:sz w:val="22"/>
          <w:szCs w:val="22"/>
          <w:lang w:val="lt-LT"/>
        </w:rPr>
        <w:t xml:space="preserve"> ir apalpimo (sinkopės) dažnis. Vadinasi, minėtos populiacijos pacientus gydyti </w:t>
      </w:r>
      <w:proofErr w:type="spellStart"/>
      <w:r w:rsidRPr="00051FD3">
        <w:rPr>
          <w:rFonts w:eastAsia="Calibri"/>
          <w:sz w:val="22"/>
          <w:szCs w:val="22"/>
          <w:lang w:val="lt-LT"/>
        </w:rPr>
        <w:t>telmisartano</w:t>
      </w:r>
      <w:proofErr w:type="spellEnd"/>
      <w:r w:rsidRPr="00051FD3">
        <w:rPr>
          <w:rFonts w:eastAsia="Calibri"/>
          <w:sz w:val="22"/>
          <w:szCs w:val="22"/>
          <w:lang w:val="lt-LT"/>
        </w:rPr>
        <w:t xml:space="preserve"> ir </w:t>
      </w:r>
      <w:proofErr w:type="spellStart"/>
      <w:r w:rsidRPr="00051FD3">
        <w:rPr>
          <w:rFonts w:eastAsia="Calibri"/>
          <w:sz w:val="22"/>
          <w:szCs w:val="22"/>
          <w:lang w:val="lt-LT"/>
        </w:rPr>
        <w:t>ramiprilio</w:t>
      </w:r>
      <w:proofErr w:type="spellEnd"/>
      <w:r w:rsidRPr="00051FD3">
        <w:rPr>
          <w:rFonts w:eastAsia="Calibri"/>
          <w:sz w:val="22"/>
          <w:szCs w:val="22"/>
          <w:lang w:val="lt-LT"/>
        </w:rPr>
        <w:t xml:space="preserve"> deriniu nerekomenduojama.</w:t>
      </w:r>
    </w:p>
    <w:p w14:paraId="121C9573" w14:textId="77777777" w:rsidR="00851523" w:rsidRPr="00051FD3" w:rsidRDefault="00851523" w:rsidP="007F39B7">
      <w:pPr>
        <w:pStyle w:val="Default"/>
        <w:rPr>
          <w:sz w:val="22"/>
          <w:szCs w:val="22"/>
          <w:lang w:val="lt-LT"/>
        </w:rPr>
      </w:pPr>
    </w:p>
    <w:p w14:paraId="6D9E0FBA" w14:textId="3C6C95B4" w:rsidR="007F39B7" w:rsidRPr="00051FD3" w:rsidRDefault="007F39B7" w:rsidP="007F39B7">
      <w:pPr>
        <w:pStyle w:val="Default"/>
        <w:rPr>
          <w:sz w:val="22"/>
          <w:szCs w:val="22"/>
          <w:lang w:val="lt-LT"/>
        </w:rPr>
      </w:pPr>
      <w:r w:rsidRPr="00051FD3">
        <w:rPr>
          <w:sz w:val="22"/>
          <w:szCs w:val="22"/>
          <w:lang w:val="lt-LT"/>
        </w:rPr>
        <w:t xml:space="preserve">Tyrimo </w:t>
      </w:r>
      <w:r w:rsidRPr="00051FD3">
        <w:rPr>
          <w:i/>
          <w:iCs/>
          <w:sz w:val="22"/>
          <w:szCs w:val="22"/>
          <w:lang w:val="lt-LT"/>
        </w:rPr>
        <w:t>„</w:t>
      </w:r>
      <w:proofErr w:type="spellStart"/>
      <w:r w:rsidRPr="00051FD3">
        <w:rPr>
          <w:i/>
          <w:iCs/>
          <w:sz w:val="22"/>
          <w:szCs w:val="22"/>
          <w:lang w:val="lt-LT"/>
        </w:rPr>
        <w:t>Prevention</w:t>
      </w:r>
      <w:proofErr w:type="spellEnd"/>
      <w:r w:rsidRPr="00051FD3">
        <w:rPr>
          <w:i/>
          <w:iCs/>
          <w:sz w:val="22"/>
          <w:szCs w:val="22"/>
          <w:lang w:val="lt-LT"/>
        </w:rPr>
        <w:t xml:space="preserve"> </w:t>
      </w:r>
      <w:proofErr w:type="spellStart"/>
      <w:r w:rsidRPr="00051FD3">
        <w:rPr>
          <w:i/>
          <w:iCs/>
          <w:sz w:val="22"/>
          <w:szCs w:val="22"/>
          <w:lang w:val="lt-LT"/>
        </w:rPr>
        <w:t>Regimen</w:t>
      </w:r>
      <w:proofErr w:type="spellEnd"/>
      <w:r w:rsidRPr="00051FD3">
        <w:rPr>
          <w:i/>
          <w:iCs/>
          <w:sz w:val="22"/>
          <w:szCs w:val="22"/>
          <w:lang w:val="lt-LT"/>
        </w:rPr>
        <w:t xml:space="preserve"> </w:t>
      </w:r>
      <w:proofErr w:type="spellStart"/>
      <w:r w:rsidRPr="00051FD3">
        <w:rPr>
          <w:i/>
          <w:iCs/>
          <w:sz w:val="22"/>
          <w:szCs w:val="22"/>
          <w:lang w:val="lt-LT"/>
        </w:rPr>
        <w:t>For</w:t>
      </w:r>
      <w:proofErr w:type="spellEnd"/>
      <w:r w:rsidRPr="00051FD3">
        <w:rPr>
          <w:i/>
          <w:iCs/>
          <w:sz w:val="22"/>
          <w:szCs w:val="22"/>
          <w:lang w:val="lt-LT"/>
        </w:rPr>
        <w:t xml:space="preserve"> </w:t>
      </w:r>
      <w:proofErr w:type="spellStart"/>
      <w:r w:rsidRPr="00051FD3">
        <w:rPr>
          <w:i/>
          <w:iCs/>
          <w:sz w:val="22"/>
          <w:szCs w:val="22"/>
          <w:lang w:val="lt-LT"/>
        </w:rPr>
        <w:t>Effectively</w:t>
      </w:r>
      <w:proofErr w:type="spellEnd"/>
      <w:r w:rsidRPr="00051FD3">
        <w:rPr>
          <w:i/>
          <w:iCs/>
          <w:sz w:val="22"/>
          <w:szCs w:val="22"/>
          <w:lang w:val="lt-LT"/>
        </w:rPr>
        <w:t xml:space="preserve"> </w:t>
      </w:r>
      <w:proofErr w:type="spellStart"/>
      <w:r w:rsidRPr="00051FD3">
        <w:rPr>
          <w:i/>
          <w:iCs/>
          <w:sz w:val="22"/>
          <w:szCs w:val="22"/>
          <w:lang w:val="lt-LT"/>
        </w:rPr>
        <w:t>avoiding</w:t>
      </w:r>
      <w:proofErr w:type="spellEnd"/>
      <w:r w:rsidRPr="00051FD3">
        <w:rPr>
          <w:i/>
          <w:iCs/>
          <w:sz w:val="22"/>
          <w:szCs w:val="22"/>
          <w:lang w:val="lt-LT"/>
        </w:rPr>
        <w:t xml:space="preserve"> </w:t>
      </w:r>
      <w:proofErr w:type="spellStart"/>
      <w:r w:rsidRPr="00051FD3">
        <w:rPr>
          <w:i/>
          <w:iCs/>
          <w:sz w:val="22"/>
          <w:szCs w:val="22"/>
          <w:lang w:val="lt-LT"/>
        </w:rPr>
        <w:t>Second</w:t>
      </w:r>
      <w:proofErr w:type="spellEnd"/>
      <w:r w:rsidRPr="00051FD3">
        <w:rPr>
          <w:i/>
          <w:iCs/>
          <w:sz w:val="22"/>
          <w:szCs w:val="22"/>
          <w:lang w:val="lt-LT"/>
        </w:rPr>
        <w:t xml:space="preserve"> </w:t>
      </w:r>
      <w:proofErr w:type="spellStart"/>
      <w:r w:rsidRPr="00051FD3">
        <w:rPr>
          <w:i/>
          <w:iCs/>
          <w:sz w:val="22"/>
          <w:szCs w:val="22"/>
          <w:lang w:val="lt-LT"/>
        </w:rPr>
        <w:t>Strokes</w:t>
      </w:r>
      <w:proofErr w:type="spellEnd"/>
      <w:r w:rsidRPr="00051FD3">
        <w:rPr>
          <w:sz w:val="22"/>
          <w:szCs w:val="22"/>
          <w:lang w:val="lt-LT"/>
        </w:rPr>
        <w:t>“ (</w:t>
      </w:r>
      <w:proofErr w:type="spellStart"/>
      <w:r w:rsidRPr="00051FD3">
        <w:rPr>
          <w:sz w:val="22"/>
          <w:szCs w:val="22"/>
          <w:lang w:val="lt-LT"/>
        </w:rPr>
        <w:t>PRoFESS</w:t>
      </w:r>
      <w:proofErr w:type="spellEnd"/>
      <w:r w:rsidRPr="00051FD3">
        <w:rPr>
          <w:sz w:val="22"/>
          <w:szCs w:val="22"/>
          <w:lang w:val="lt-LT"/>
        </w:rPr>
        <w:t xml:space="preserve">), kuriame dalyvavo 50 metų ir vyresni pacientai, neseniai patyrę smegenų insultą, metu </w:t>
      </w:r>
      <w:proofErr w:type="spellStart"/>
      <w:r w:rsidRPr="00051FD3">
        <w:rPr>
          <w:sz w:val="22"/>
          <w:szCs w:val="22"/>
          <w:lang w:val="lt-LT"/>
        </w:rPr>
        <w:t>telmisartanu</w:t>
      </w:r>
      <w:proofErr w:type="spellEnd"/>
      <w:r w:rsidRPr="00051FD3">
        <w:rPr>
          <w:sz w:val="22"/>
          <w:szCs w:val="22"/>
          <w:lang w:val="lt-LT"/>
        </w:rPr>
        <w:t xml:space="preserve"> gydomiems tiriamiesiems sepsis pasireiškė dažniau, negu vartojusiems placebą, atitinkamai 0,7</w:t>
      </w:r>
      <w:r w:rsidR="00CD780F" w:rsidRPr="00051FD3">
        <w:rPr>
          <w:sz w:val="22"/>
          <w:szCs w:val="22"/>
          <w:lang w:val="lt-LT"/>
        </w:rPr>
        <w:t> </w:t>
      </w:r>
      <w:r w:rsidRPr="00051FD3">
        <w:rPr>
          <w:sz w:val="22"/>
          <w:szCs w:val="22"/>
          <w:lang w:val="lt-LT"/>
        </w:rPr>
        <w:t>% ir 0,49</w:t>
      </w:r>
      <w:r w:rsidR="00CD780F" w:rsidRPr="00051FD3">
        <w:rPr>
          <w:sz w:val="22"/>
          <w:szCs w:val="22"/>
          <w:lang w:val="lt-LT"/>
        </w:rPr>
        <w:t> </w:t>
      </w:r>
      <w:r w:rsidRPr="00051FD3">
        <w:rPr>
          <w:sz w:val="22"/>
          <w:szCs w:val="22"/>
          <w:lang w:val="lt-LT"/>
        </w:rPr>
        <w:t>% [RS: 1,43 (95</w:t>
      </w:r>
      <w:r w:rsidR="00CD780F" w:rsidRPr="00051FD3">
        <w:rPr>
          <w:sz w:val="22"/>
          <w:szCs w:val="22"/>
          <w:lang w:val="lt-LT"/>
        </w:rPr>
        <w:t> </w:t>
      </w:r>
      <w:r w:rsidRPr="00051FD3">
        <w:rPr>
          <w:sz w:val="22"/>
          <w:szCs w:val="22"/>
          <w:lang w:val="lt-LT"/>
        </w:rPr>
        <w:t xml:space="preserve">% PI: 1- 2,06)]; mirtino sepsio dažnis </w:t>
      </w:r>
      <w:proofErr w:type="spellStart"/>
      <w:r w:rsidRPr="00051FD3">
        <w:rPr>
          <w:sz w:val="22"/>
          <w:szCs w:val="22"/>
          <w:lang w:val="lt-LT"/>
        </w:rPr>
        <w:t>telmisartanu</w:t>
      </w:r>
      <w:proofErr w:type="spellEnd"/>
      <w:r w:rsidRPr="00051FD3">
        <w:rPr>
          <w:sz w:val="22"/>
          <w:szCs w:val="22"/>
          <w:lang w:val="lt-LT"/>
        </w:rPr>
        <w:t xml:space="preserve"> gydomiems pacientams buvo didesnis, negu vartojantiems placebą, atitinkamai 0,33</w:t>
      </w:r>
      <w:r w:rsidR="00CD780F" w:rsidRPr="00051FD3">
        <w:rPr>
          <w:sz w:val="22"/>
          <w:szCs w:val="22"/>
          <w:lang w:val="lt-LT"/>
        </w:rPr>
        <w:t> </w:t>
      </w:r>
      <w:r w:rsidRPr="00051FD3">
        <w:rPr>
          <w:sz w:val="22"/>
          <w:szCs w:val="22"/>
          <w:lang w:val="lt-LT"/>
        </w:rPr>
        <w:t>% ir 0,16</w:t>
      </w:r>
      <w:r w:rsidR="00CD780F" w:rsidRPr="00051FD3">
        <w:rPr>
          <w:sz w:val="22"/>
          <w:szCs w:val="22"/>
          <w:lang w:val="lt-LT"/>
        </w:rPr>
        <w:t> </w:t>
      </w:r>
      <w:r w:rsidRPr="00051FD3">
        <w:rPr>
          <w:sz w:val="22"/>
          <w:szCs w:val="22"/>
          <w:lang w:val="lt-LT"/>
        </w:rPr>
        <w:t>% [RS:2,07 (95</w:t>
      </w:r>
      <w:r w:rsidR="00CD780F" w:rsidRPr="00051FD3">
        <w:rPr>
          <w:sz w:val="22"/>
          <w:szCs w:val="22"/>
          <w:lang w:val="lt-LT"/>
        </w:rPr>
        <w:t> </w:t>
      </w:r>
      <w:r w:rsidRPr="00051FD3">
        <w:rPr>
          <w:sz w:val="22"/>
          <w:szCs w:val="22"/>
          <w:lang w:val="lt-LT"/>
        </w:rPr>
        <w:t xml:space="preserve">% PI: 1,14- 3,76)]. Pastebėtas sepsio pasireiškimo dažnio padidėjimas, susijęs su </w:t>
      </w:r>
      <w:proofErr w:type="spellStart"/>
      <w:r w:rsidRPr="00051FD3">
        <w:rPr>
          <w:sz w:val="22"/>
          <w:szCs w:val="22"/>
          <w:lang w:val="lt-LT"/>
        </w:rPr>
        <w:t>telmisartano</w:t>
      </w:r>
      <w:proofErr w:type="spellEnd"/>
      <w:r w:rsidRPr="00051FD3">
        <w:rPr>
          <w:sz w:val="22"/>
          <w:szCs w:val="22"/>
          <w:lang w:val="lt-LT"/>
        </w:rPr>
        <w:t xml:space="preserve"> vartojimu, galėjo būti arba atsitiktinis, arba priklausomas nuo kol kas nežinomų mechanizmų. </w:t>
      </w:r>
    </w:p>
    <w:p w14:paraId="63CE4030" w14:textId="77777777" w:rsidR="007F39B7" w:rsidRPr="00051FD3" w:rsidRDefault="007F39B7" w:rsidP="007F39B7">
      <w:pPr>
        <w:pStyle w:val="Default"/>
        <w:rPr>
          <w:sz w:val="22"/>
          <w:szCs w:val="22"/>
          <w:lang w:val="lt-LT"/>
        </w:rPr>
      </w:pPr>
    </w:p>
    <w:p w14:paraId="7A8167BF" w14:textId="07B94146"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 xml:space="preserve">Dviem dideliais atsitiktinės atrankos, kontroliuojamais tyrimais (ONTARGET </w:t>
      </w:r>
      <w:r w:rsidR="00756C7C">
        <w:rPr>
          <w:rFonts w:eastAsia="Calibri"/>
          <w:color w:val="000000"/>
          <w:sz w:val="22"/>
          <w:szCs w:val="22"/>
        </w:rPr>
        <w:t>{</w:t>
      </w:r>
      <w:r w:rsidRPr="00051FD3">
        <w:rPr>
          <w:rFonts w:eastAsia="Calibri"/>
          <w:color w:val="000000"/>
          <w:sz w:val="22"/>
          <w:szCs w:val="22"/>
        </w:rPr>
        <w:t>angl. „</w:t>
      </w:r>
      <w:proofErr w:type="spellStart"/>
      <w:r w:rsidRPr="00051FD3">
        <w:rPr>
          <w:rFonts w:eastAsia="Calibri"/>
          <w:i/>
          <w:color w:val="000000"/>
          <w:sz w:val="22"/>
          <w:szCs w:val="22"/>
        </w:rPr>
        <w:t>ONgoing</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Telmisartan</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Alone</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and</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in</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combination</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with</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Ramipril</w:t>
      </w:r>
      <w:proofErr w:type="spellEnd"/>
      <w:r w:rsidRPr="00051FD3">
        <w:rPr>
          <w:rFonts w:eastAsia="Calibri"/>
          <w:i/>
          <w:color w:val="000000"/>
          <w:sz w:val="22"/>
          <w:szCs w:val="22"/>
        </w:rPr>
        <w:t xml:space="preserve"> Global </w:t>
      </w:r>
      <w:proofErr w:type="spellStart"/>
      <w:r w:rsidRPr="00051FD3">
        <w:rPr>
          <w:rFonts w:eastAsia="Calibri"/>
          <w:i/>
          <w:color w:val="000000"/>
          <w:sz w:val="22"/>
          <w:szCs w:val="22"/>
        </w:rPr>
        <w:t>Endpoint</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Trial</w:t>
      </w:r>
      <w:proofErr w:type="spellEnd"/>
      <w:r w:rsidR="00756C7C" w:rsidRPr="00051FD3">
        <w:rPr>
          <w:rFonts w:eastAsia="Calibri"/>
          <w:color w:val="000000"/>
          <w:sz w:val="22"/>
          <w:szCs w:val="22"/>
        </w:rPr>
        <w:t>“</w:t>
      </w:r>
      <w:r w:rsidR="00756C7C">
        <w:rPr>
          <w:rFonts w:eastAsia="Calibri"/>
          <w:color w:val="000000"/>
          <w:sz w:val="22"/>
          <w:szCs w:val="22"/>
        </w:rPr>
        <w:t>]</w:t>
      </w:r>
      <w:r w:rsidR="00756C7C" w:rsidRPr="00051FD3">
        <w:rPr>
          <w:rFonts w:eastAsia="Calibri"/>
          <w:color w:val="000000"/>
          <w:sz w:val="22"/>
          <w:szCs w:val="22"/>
        </w:rPr>
        <w:t xml:space="preserve"> </w:t>
      </w:r>
      <w:r w:rsidRPr="00051FD3">
        <w:rPr>
          <w:rFonts w:eastAsia="Calibri"/>
          <w:color w:val="000000"/>
          <w:sz w:val="22"/>
          <w:szCs w:val="22"/>
        </w:rPr>
        <w:t xml:space="preserve">ir VA NEPHRON-D </w:t>
      </w:r>
      <w:r w:rsidR="00756C7C">
        <w:rPr>
          <w:rFonts w:eastAsia="Calibri"/>
          <w:color w:val="000000"/>
          <w:sz w:val="22"/>
          <w:szCs w:val="22"/>
        </w:rPr>
        <w:t>[</w:t>
      </w:r>
      <w:r w:rsidRPr="00051FD3">
        <w:rPr>
          <w:rFonts w:eastAsia="Calibri"/>
          <w:color w:val="000000"/>
          <w:sz w:val="22"/>
          <w:szCs w:val="22"/>
        </w:rPr>
        <w:t>angl. „</w:t>
      </w:r>
      <w:proofErr w:type="spellStart"/>
      <w:r w:rsidRPr="00051FD3">
        <w:rPr>
          <w:rFonts w:eastAsia="Calibri"/>
          <w:i/>
          <w:color w:val="000000"/>
          <w:sz w:val="22"/>
          <w:szCs w:val="22"/>
        </w:rPr>
        <w:t>The</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Veterans</w:t>
      </w:r>
      <w:proofErr w:type="spellEnd"/>
      <w:r w:rsidRPr="00051FD3">
        <w:rPr>
          <w:rFonts w:eastAsia="Calibri"/>
          <w:i/>
          <w:color w:val="000000"/>
          <w:sz w:val="22"/>
          <w:szCs w:val="22"/>
        </w:rPr>
        <w:t xml:space="preserve"> Affairs </w:t>
      </w:r>
      <w:proofErr w:type="spellStart"/>
      <w:r w:rsidRPr="00051FD3">
        <w:rPr>
          <w:rFonts w:eastAsia="Calibri"/>
          <w:i/>
          <w:color w:val="000000"/>
          <w:sz w:val="22"/>
          <w:szCs w:val="22"/>
        </w:rPr>
        <w:t>Nephropathy</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in</w:t>
      </w:r>
      <w:proofErr w:type="spellEnd"/>
      <w:r w:rsidRPr="00051FD3">
        <w:rPr>
          <w:rFonts w:eastAsia="Calibri"/>
          <w:i/>
          <w:color w:val="000000"/>
          <w:sz w:val="22"/>
          <w:szCs w:val="22"/>
        </w:rPr>
        <w:t xml:space="preserve"> </w:t>
      </w:r>
      <w:proofErr w:type="spellStart"/>
      <w:r w:rsidRPr="00051FD3">
        <w:rPr>
          <w:rFonts w:eastAsia="Calibri"/>
          <w:i/>
          <w:color w:val="000000"/>
          <w:sz w:val="22"/>
          <w:szCs w:val="22"/>
        </w:rPr>
        <w:t>Diabetes</w:t>
      </w:r>
      <w:proofErr w:type="spellEnd"/>
      <w:r w:rsidRPr="00051FD3">
        <w:rPr>
          <w:rFonts w:eastAsia="Calibri"/>
          <w:color w:val="000000"/>
          <w:sz w:val="22"/>
          <w:szCs w:val="22"/>
        </w:rPr>
        <w:t>“</w:t>
      </w:r>
      <w:r w:rsidR="00756C7C">
        <w:rPr>
          <w:rFonts w:eastAsia="Calibri"/>
          <w:color w:val="000000"/>
          <w:sz w:val="22"/>
          <w:szCs w:val="22"/>
        </w:rPr>
        <w:t>]</w:t>
      </w:r>
      <w:r w:rsidRPr="00051FD3">
        <w:rPr>
          <w:rFonts w:eastAsia="Calibri"/>
          <w:color w:val="000000"/>
          <w:sz w:val="22"/>
          <w:szCs w:val="22"/>
        </w:rPr>
        <w:t xml:space="preserve">) buvo ištirtas AKF inhibitoriaus ir </w:t>
      </w:r>
      <w:proofErr w:type="spellStart"/>
      <w:r w:rsidRPr="00051FD3">
        <w:rPr>
          <w:rFonts w:eastAsia="Calibri"/>
          <w:color w:val="000000"/>
          <w:sz w:val="22"/>
          <w:szCs w:val="22"/>
        </w:rPr>
        <w:t>angiotenzino</w:t>
      </w:r>
      <w:proofErr w:type="spellEnd"/>
      <w:r w:rsidRPr="00051FD3">
        <w:rPr>
          <w:rFonts w:eastAsia="Calibri"/>
          <w:color w:val="000000"/>
          <w:sz w:val="22"/>
          <w:szCs w:val="22"/>
        </w:rPr>
        <w:t xml:space="preserve"> II receptorių blokatoriaus derinio vartojimas. </w:t>
      </w:r>
    </w:p>
    <w:p w14:paraId="51760352" w14:textId="77777777"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ONTARGET tyrime dalyvavo pacientai, kurių anamnezėje buvo širdies ir kraujagyslių ar smegenų kraujagyslių liga arba 2 tipo cukrinis diabetas ir susijusi akivaizdi organų-taikinių pažaida. Daugiau informacijos žr. a</w:t>
      </w:r>
      <w:r w:rsidR="002A4E4A" w:rsidRPr="00051FD3">
        <w:rPr>
          <w:rFonts w:eastAsia="Calibri"/>
          <w:color w:val="000000"/>
          <w:sz w:val="22"/>
          <w:szCs w:val="22"/>
        </w:rPr>
        <w:t>nksčiau</w:t>
      </w:r>
      <w:r w:rsidRPr="00051FD3">
        <w:rPr>
          <w:rFonts w:eastAsia="Calibri"/>
          <w:color w:val="000000"/>
          <w:sz w:val="22"/>
          <w:szCs w:val="22"/>
        </w:rPr>
        <w:t xml:space="preserve"> poskyryje „Širdies ir kraujagyslių sutrikimų profilaktika“. </w:t>
      </w:r>
    </w:p>
    <w:p w14:paraId="376A4139" w14:textId="77777777"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 xml:space="preserve">VA NEPHRON-D tyrimas buvo atliekamas su pacientais, sergančiais 2 tipo cukriniu diabetu ir diabetine </w:t>
      </w:r>
      <w:proofErr w:type="spellStart"/>
      <w:r w:rsidRPr="00051FD3">
        <w:rPr>
          <w:rFonts w:eastAsia="Calibri"/>
          <w:color w:val="000000"/>
          <w:sz w:val="22"/>
          <w:szCs w:val="22"/>
        </w:rPr>
        <w:t>nefropatija</w:t>
      </w:r>
      <w:proofErr w:type="spellEnd"/>
      <w:r w:rsidRPr="00051FD3">
        <w:rPr>
          <w:rFonts w:eastAsia="Calibri"/>
          <w:color w:val="000000"/>
          <w:sz w:val="22"/>
          <w:szCs w:val="22"/>
        </w:rPr>
        <w:t xml:space="preserve">. </w:t>
      </w:r>
    </w:p>
    <w:p w14:paraId="0254F8C9" w14:textId="77777777"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 xml:space="preserve">Šie tyrimai neparodė reikšmingo teigiamo poveikio inkstų ir (arba) širdies ir kraujagyslių ligų baigtims ir mirštamumui, bet, palyginti su </w:t>
      </w:r>
      <w:proofErr w:type="spellStart"/>
      <w:r w:rsidRPr="00051FD3">
        <w:rPr>
          <w:rFonts w:eastAsia="Calibri"/>
          <w:color w:val="000000"/>
          <w:sz w:val="22"/>
          <w:szCs w:val="22"/>
        </w:rPr>
        <w:t>monoterapija</w:t>
      </w:r>
      <w:proofErr w:type="spellEnd"/>
      <w:r w:rsidRPr="00051FD3">
        <w:rPr>
          <w:rFonts w:eastAsia="Calibri"/>
          <w:color w:val="000000"/>
          <w:sz w:val="22"/>
          <w:szCs w:val="22"/>
        </w:rPr>
        <w:t xml:space="preserve">, buvo pastebėta didesnė </w:t>
      </w:r>
      <w:proofErr w:type="spellStart"/>
      <w:r w:rsidRPr="00051FD3">
        <w:rPr>
          <w:rFonts w:eastAsia="Calibri"/>
          <w:color w:val="000000"/>
          <w:sz w:val="22"/>
          <w:szCs w:val="22"/>
        </w:rPr>
        <w:t>hiperkalemijos</w:t>
      </w:r>
      <w:proofErr w:type="spellEnd"/>
      <w:r w:rsidRPr="00051FD3">
        <w:rPr>
          <w:rFonts w:eastAsia="Calibri"/>
          <w:color w:val="000000"/>
          <w:sz w:val="22"/>
          <w:szCs w:val="22"/>
        </w:rPr>
        <w:t xml:space="preserve">, ūminio inkstų pažeidimo ir (arba) </w:t>
      </w:r>
      <w:proofErr w:type="spellStart"/>
      <w:r w:rsidRPr="00051FD3">
        <w:rPr>
          <w:rFonts w:eastAsia="Calibri"/>
          <w:color w:val="000000"/>
          <w:sz w:val="22"/>
          <w:szCs w:val="22"/>
        </w:rPr>
        <w:t>hipotenzijos</w:t>
      </w:r>
      <w:proofErr w:type="spellEnd"/>
      <w:r w:rsidRPr="00051FD3">
        <w:rPr>
          <w:rFonts w:eastAsia="Calibri"/>
          <w:color w:val="000000"/>
          <w:sz w:val="22"/>
          <w:szCs w:val="22"/>
        </w:rPr>
        <w:t xml:space="preserve"> rizika. Atsižvelgiant į panašias </w:t>
      </w:r>
      <w:proofErr w:type="spellStart"/>
      <w:r w:rsidRPr="00051FD3">
        <w:rPr>
          <w:rFonts w:eastAsia="Calibri"/>
          <w:color w:val="000000"/>
          <w:sz w:val="22"/>
          <w:szCs w:val="22"/>
        </w:rPr>
        <w:t>farmakodinamines</w:t>
      </w:r>
      <w:proofErr w:type="spellEnd"/>
      <w:r w:rsidRPr="00051FD3">
        <w:rPr>
          <w:rFonts w:eastAsia="Calibri"/>
          <w:color w:val="000000"/>
          <w:sz w:val="22"/>
          <w:szCs w:val="22"/>
        </w:rPr>
        <w:t xml:space="preserve"> savybes, šie rezultatai taip pat galioja kitiems AKF inhibitoriams ir </w:t>
      </w:r>
      <w:proofErr w:type="spellStart"/>
      <w:r w:rsidRPr="00051FD3">
        <w:rPr>
          <w:rFonts w:eastAsia="Calibri"/>
          <w:color w:val="000000"/>
          <w:sz w:val="22"/>
          <w:szCs w:val="22"/>
        </w:rPr>
        <w:t>angiotenzino</w:t>
      </w:r>
      <w:proofErr w:type="spellEnd"/>
      <w:r w:rsidRPr="00051FD3">
        <w:rPr>
          <w:rFonts w:eastAsia="Calibri"/>
          <w:color w:val="000000"/>
          <w:sz w:val="22"/>
          <w:szCs w:val="22"/>
        </w:rPr>
        <w:t xml:space="preserve"> II receptorių blokatoriams. </w:t>
      </w:r>
    </w:p>
    <w:p w14:paraId="10D8D8AA" w14:textId="77777777" w:rsidR="00851523" w:rsidRPr="00051FD3" w:rsidRDefault="00851523" w:rsidP="00851523">
      <w:pPr>
        <w:autoSpaceDE w:val="0"/>
        <w:autoSpaceDN w:val="0"/>
        <w:adjustRightInd w:val="0"/>
        <w:rPr>
          <w:rFonts w:eastAsia="Calibri"/>
          <w:color w:val="000000"/>
          <w:sz w:val="22"/>
          <w:szCs w:val="22"/>
        </w:rPr>
      </w:pPr>
      <w:r w:rsidRPr="00051FD3">
        <w:rPr>
          <w:rFonts w:eastAsia="Calibri"/>
          <w:color w:val="000000"/>
          <w:sz w:val="22"/>
          <w:szCs w:val="22"/>
        </w:rPr>
        <w:t xml:space="preserve">Todėl pacientams, sergantiems diabetine </w:t>
      </w:r>
      <w:proofErr w:type="spellStart"/>
      <w:r w:rsidRPr="00051FD3">
        <w:rPr>
          <w:rFonts w:eastAsia="Calibri"/>
          <w:color w:val="000000"/>
          <w:sz w:val="22"/>
          <w:szCs w:val="22"/>
        </w:rPr>
        <w:t>nefropatija</w:t>
      </w:r>
      <w:proofErr w:type="spellEnd"/>
      <w:r w:rsidRPr="00051FD3">
        <w:rPr>
          <w:rFonts w:eastAsia="Calibri"/>
          <w:color w:val="000000"/>
          <w:sz w:val="22"/>
          <w:szCs w:val="22"/>
        </w:rPr>
        <w:t xml:space="preserve">, negalima kartu vartoti AKF inhibitorių ir </w:t>
      </w:r>
      <w:proofErr w:type="spellStart"/>
      <w:r w:rsidRPr="00051FD3">
        <w:rPr>
          <w:rFonts w:eastAsia="Calibri"/>
          <w:color w:val="000000"/>
          <w:sz w:val="22"/>
          <w:szCs w:val="22"/>
        </w:rPr>
        <w:t>angiotenzino</w:t>
      </w:r>
      <w:proofErr w:type="spellEnd"/>
      <w:r w:rsidRPr="00051FD3">
        <w:rPr>
          <w:rFonts w:eastAsia="Calibri"/>
          <w:color w:val="000000"/>
          <w:sz w:val="22"/>
          <w:szCs w:val="22"/>
        </w:rPr>
        <w:t xml:space="preserve"> II receptorių blokatorių. </w:t>
      </w:r>
    </w:p>
    <w:p w14:paraId="69222287" w14:textId="77777777" w:rsidR="00152045" w:rsidRPr="00051FD3" w:rsidRDefault="00152045" w:rsidP="007F39B7">
      <w:pPr>
        <w:pStyle w:val="Default"/>
        <w:rPr>
          <w:rFonts w:eastAsia="Calibri"/>
          <w:sz w:val="22"/>
          <w:szCs w:val="22"/>
          <w:lang w:val="lt-LT"/>
        </w:rPr>
      </w:pPr>
    </w:p>
    <w:p w14:paraId="69FCBA97" w14:textId="1662D8C1" w:rsidR="007F39B7" w:rsidRPr="00051FD3" w:rsidRDefault="00851523" w:rsidP="007F39B7">
      <w:pPr>
        <w:pStyle w:val="Default"/>
        <w:rPr>
          <w:sz w:val="22"/>
          <w:szCs w:val="22"/>
          <w:lang w:val="lt-LT"/>
        </w:rPr>
      </w:pPr>
      <w:r w:rsidRPr="00051FD3">
        <w:rPr>
          <w:rFonts w:eastAsia="Calibri"/>
          <w:sz w:val="22"/>
          <w:szCs w:val="22"/>
          <w:lang w:val="lt-LT"/>
        </w:rPr>
        <w:t>ALTITUDE (angl. „</w:t>
      </w:r>
      <w:proofErr w:type="spellStart"/>
      <w:r w:rsidRPr="00051FD3">
        <w:rPr>
          <w:rFonts w:eastAsia="Calibri"/>
          <w:sz w:val="22"/>
          <w:szCs w:val="22"/>
          <w:lang w:val="lt-LT"/>
        </w:rPr>
        <w:t>A</w:t>
      </w:r>
      <w:r w:rsidRPr="00051FD3">
        <w:rPr>
          <w:rFonts w:eastAsia="Calibri"/>
          <w:i/>
          <w:sz w:val="22"/>
          <w:szCs w:val="22"/>
          <w:lang w:val="lt-LT"/>
        </w:rPr>
        <w:t>liskiren</w:t>
      </w:r>
      <w:proofErr w:type="spellEnd"/>
      <w:r w:rsidRPr="00051FD3">
        <w:rPr>
          <w:rFonts w:eastAsia="Calibri"/>
          <w:i/>
          <w:sz w:val="22"/>
          <w:szCs w:val="22"/>
          <w:lang w:val="lt-LT"/>
        </w:rPr>
        <w:t xml:space="preserve"> </w:t>
      </w:r>
      <w:proofErr w:type="spellStart"/>
      <w:r w:rsidRPr="00051FD3">
        <w:rPr>
          <w:rFonts w:eastAsia="Calibri"/>
          <w:i/>
          <w:sz w:val="22"/>
          <w:szCs w:val="22"/>
          <w:lang w:val="lt-LT"/>
        </w:rPr>
        <w:t>Trial</w:t>
      </w:r>
      <w:proofErr w:type="spellEnd"/>
      <w:r w:rsidRPr="00051FD3">
        <w:rPr>
          <w:rFonts w:eastAsia="Calibri"/>
          <w:i/>
          <w:sz w:val="22"/>
          <w:szCs w:val="22"/>
          <w:lang w:val="lt-LT"/>
        </w:rPr>
        <w:t xml:space="preserve"> </w:t>
      </w:r>
      <w:proofErr w:type="spellStart"/>
      <w:r w:rsidRPr="00051FD3">
        <w:rPr>
          <w:rFonts w:eastAsia="Calibri"/>
          <w:i/>
          <w:sz w:val="22"/>
          <w:szCs w:val="22"/>
          <w:lang w:val="lt-LT"/>
        </w:rPr>
        <w:t>in</w:t>
      </w:r>
      <w:proofErr w:type="spellEnd"/>
      <w:r w:rsidRPr="00051FD3">
        <w:rPr>
          <w:rFonts w:eastAsia="Calibri"/>
          <w:i/>
          <w:sz w:val="22"/>
          <w:szCs w:val="22"/>
          <w:lang w:val="lt-LT"/>
        </w:rPr>
        <w:t xml:space="preserve"> Type 2 </w:t>
      </w:r>
      <w:proofErr w:type="spellStart"/>
      <w:r w:rsidRPr="00051FD3">
        <w:rPr>
          <w:rFonts w:eastAsia="Calibri"/>
          <w:i/>
          <w:sz w:val="22"/>
          <w:szCs w:val="22"/>
          <w:lang w:val="lt-LT"/>
        </w:rPr>
        <w:t>Diabetes</w:t>
      </w:r>
      <w:proofErr w:type="spellEnd"/>
      <w:r w:rsidRPr="00051FD3">
        <w:rPr>
          <w:rFonts w:eastAsia="Calibri"/>
          <w:i/>
          <w:sz w:val="22"/>
          <w:szCs w:val="22"/>
          <w:lang w:val="lt-LT"/>
        </w:rPr>
        <w:t xml:space="preserve"> </w:t>
      </w:r>
      <w:proofErr w:type="spellStart"/>
      <w:r w:rsidRPr="00051FD3">
        <w:rPr>
          <w:rFonts w:eastAsia="Calibri"/>
          <w:i/>
          <w:sz w:val="22"/>
          <w:szCs w:val="22"/>
          <w:lang w:val="lt-LT"/>
        </w:rPr>
        <w:t>Using</w:t>
      </w:r>
      <w:proofErr w:type="spellEnd"/>
      <w:r w:rsidRPr="00051FD3">
        <w:rPr>
          <w:rFonts w:eastAsia="Calibri"/>
          <w:i/>
          <w:sz w:val="22"/>
          <w:szCs w:val="22"/>
          <w:lang w:val="lt-LT"/>
        </w:rPr>
        <w:t xml:space="preserve"> </w:t>
      </w:r>
      <w:proofErr w:type="spellStart"/>
      <w:r w:rsidRPr="00051FD3">
        <w:rPr>
          <w:rFonts w:eastAsia="Calibri"/>
          <w:i/>
          <w:sz w:val="22"/>
          <w:szCs w:val="22"/>
          <w:lang w:val="lt-LT"/>
        </w:rPr>
        <w:t>Cardiovascular</w:t>
      </w:r>
      <w:proofErr w:type="spellEnd"/>
      <w:r w:rsidRPr="00051FD3">
        <w:rPr>
          <w:rFonts w:eastAsia="Calibri"/>
          <w:i/>
          <w:sz w:val="22"/>
          <w:szCs w:val="22"/>
          <w:lang w:val="lt-LT"/>
        </w:rPr>
        <w:t xml:space="preserve"> </w:t>
      </w:r>
      <w:proofErr w:type="spellStart"/>
      <w:r w:rsidRPr="00051FD3">
        <w:rPr>
          <w:rFonts w:eastAsia="Calibri"/>
          <w:i/>
          <w:sz w:val="22"/>
          <w:szCs w:val="22"/>
          <w:lang w:val="lt-LT"/>
        </w:rPr>
        <w:t>and</w:t>
      </w:r>
      <w:proofErr w:type="spellEnd"/>
      <w:r w:rsidRPr="00051FD3">
        <w:rPr>
          <w:rFonts w:eastAsia="Calibri"/>
          <w:i/>
          <w:sz w:val="22"/>
          <w:szCs w:val="22"/>
          <w:lang w:val="lt-LT"/>
        </w:rPr>
        <w:t xml:space="preserve"> </w:t>
      </w:r>
      <w:proofErr w:type="spellStart"/>
      <w:r w:rsidRPr="00051FD3">
        <w:rPr>
          <w:rFonts w:eastAsia="Calibri"/>
          <w:i/>
          <w:sz w:val="22"/>
          <w:szCs w:val="22"/>
          <w:lang w:val="lt-LT"/>
        </w:rPr>
        <w:t>Renal</w:t>
      </w:r>
      <w:proofErr w:type="spellEnd"/>
      <w:r w:rsidRPr="00051FD3">
        <w:rPr>
          <w:rFonts w:eastAsia="Calibri"/>
          <w:i/>
          <w:sz w:val="22"/>
          <w:szCs w:val="22"/>
          <w:lang w:val="lt-LT"/>
        </w:rPr>
        <w:t xml:space="preserve"> </w:t>
      </w:r>
      <w:proofErr w:type="spellStart"/>
      <w:r w:rsidRPr="00051FD3">
        <w:rPr>
          <w:rFonts w:eastAsia="Calibri"/>
          <w:i/>
          <w:sz w:val="22"/>
          <w:szCs w:val="22"/>
          <w:lang w:val="lt-LT"/>
        </w:rPr>
        <w:t>Disease</w:t>
      </w:r>
      <w:proofErr w:type="spellEnd"/>
      <w:r w:rsidRPr="00051FD3">
        <w:rPr>
          <w:rFonts w:eastAsia="Calibri"/>
          <w:i/>
          <w:sz w:val="22"/>
          <w:szCs w:val="22"/>
          <w:lang w:val="lt-LT"/>
        </w:rPr>
        <w:t xml:space="preserve"> </w:t>
      </w:r>
      <w:proofErr w:type="spellStart"/>
      <w:r w:rsidRPr="00051FD3">
        <w:rPr>
          <w:rFonts w:eastAsia="Calibri"/>
          <w:i/>
          <w:sz w:val="22"/>
          <w:szCs w:val="22"/>
          <w:lang w:val="lt-LT"/>
        </w:rPr>
        <w:t>Endpoints</w:t>
      </w:r>
      <w:proofErr w:type="spellEnd"/>
      <w:r w:rsidRPr="00051FD3">
        <w:rPr>
          <w:rFonts w:eastAsia="Calibri"/>
          <w:sz w:val="22"/>
          <w:szCs w:val="22"/>
          <w:lang w:val="lt-LT"/>
        </w:rPr>
        <w:t xml:space="preserve">“) tyrimu buvo siekiama ištirti, ar būtų naudingas </w:t>
      </w:r>
      <w:proofErr w:type="spellStart"/>
      <w:r w:rsidRPr="00051FD3">
        <w:rPr>
          <w:rFonts w:eastAsia="Calibri"/>
          <w:sz w:val="22"/>
          <w:szCs w:val="22"/>
          <w:lang w:val="lt-LT"/>
        </w:rPr>
        <w:t>aliskireno</w:t>
      </w:r>
      <w:proofErr w:type="spellEnd"/>
      <w:r w:rsidRPr="00051FD3">
        <w:rPr>
          <w:rFonts w:eastAsia="Calibri"/>
          <w:sz w:val="22"/>
          <w:szCs w:val="22"/>
          <w:lang w:val="lt-LT"/>
        </w:rPr>
        <w:t xml:space="preserve"> įtraukimas į standartinį pacientų, sergančių 2 tipo cukriniu diabetu ir lėtine inkstų liga, širdies ir kraujagyslių liga arba abiem ligomis, gydymą AKF inhibitoriumi arba </w:t>
      </w:r>
      <w:proofErr w:type="spellStart"/>
      <w:r w:rsidRPr="00051FD3">
        <w:rPr>
          <w:rFonts w:eastAsia="Calibri"/>
          <w:sz w:val="22"/>
          <w:szCs w:val="22"/>
          <w:lang w:val="lt-LT"/>
        </w:rPr>
        <w:t>angiotenzino</w:t>
      </w:r>
      <w:proofErr w:type="spellEnd"/>
      <w:r w:rsidRPr="00051FD3">
        <w:rPr>
          <w:rFonts w:eastAsia="Calibri"/>
          <w:sz w:val="22"/>
          <w:szCs w:val="22"/>
          <w:lang w:val="lt-LT"/>
        </w:rPr>
        <w:t xml:space="preserve"> II receptorių blokatoriumi. Tyrimas buvo nutrauktas pirma laiko, nes padidėjo nepageidaujamų baigčių rizika. Mirčių nuo širdies ir kraujagyslių </w:t>
      </w:r>
      <w:r w:rsidRPr="00051FD3">
        <w:rPr>
          <w:sz w:val="22"/>
          <w:szCs w:val="22"/>
          <w:lang w:val="lt-LT"/>
        </w:rPr>
        <w:t xml:space="preserve">ligų ir insulto atvejų skaičius </w:t>
      </w:r>
      <w:proofErr w:type="spellStart"/>
      <w:r w:rsidRPr="00051FD3">
        <w:rPr>
          <w:sz w:val="22"/>
          <w:szCs w:val="22"/>
          <w:lang w:val="lt-LT"/>
        </w:rPr>
        <w:t>aliskireno</w:t>
      </w:r>
      <w:proofErr w:type="spellEnd"/>
      <w:r w:rsidRPr="00051FD3">
        <w:rPr>
          <w:sz w:val="22"/>
          <w:szCs w:val="22"/>
          <w:lang w:val="lt-LT"/>
        </w:rPr>
        <w:t xml:space="preserve"> grupėje buvo didesnis nei placebo grupėje, o nepageidaujami reiškiniai ir sunkūs nepageidaujami reiškiniai (</w:t>
      </w:r>
      <w:proofErr w:type="spellStart"/>
      <w:r w:rsidRPr="00051FD3">
        <w:rPr>
          <w:sz w:val="22"/>
          <w:szCs w:val="22"/>
          <w:lang w:val="lt-LT"/>
        </w:rPr>
        <w:t>hiperkalemija</w:t>
      </w:r>
      <w:proofErr w:type="spellEnd"/>
      <w:r w:rsidRPr="00051FD3">
        <w:rPr>
          <w:sz w:val="22"/>
          <w:szCs w:val="22"/>
          <w:lang w:val="lt-LT"/>
        </w:rPr>
        <w:t xml:space="preserve">, </w:t>
      </w:r>
      <w:proofErr w:type="spellStart"/>
      <w:r w:rsidRPr="00051FD3">
        <w:rPr>
          <w:sz w:val="22"/>
          <w:szCs w:val="22"/>
          <w:lang w:val="lt-LT"/>
        </w:rPr>
        <w:t>hipotenzija</w:t>
      </w:r>
      <w:proofErr w:type="spellEnd"/>
      <w:r w:rsidRPr="00051FD3">
        <w:rPr>
          <w:sz w:val="22"/>
          <w:szCs w:val="22"/>
          <w:lang w:val="lt-LT"/>
        </w:rPr>
        <w:t xml:space="preserve"> ir inkstų funkcijos sutrikimai) </w:t>
      </w:r>
      <w:proofErr w:type="spellStart"/>
      <w:r w:rsidRPr="00051FD3">
        <w:rPr>
          <w:sz w:val="22"/>
          <w:szCs w:val="22"/>
          <w:lang w:val="lt-LT"/>
        </w:rPr>
        <w:t>aliskireno</w:t>
      </w:r>
      <w:proofErr w:type="spellEnd"/>
      <w:r w:rsidRPr="00051FD3">
        <w:rPr>
          <w:sz w:val="22"/>
          <w:szCs w:val="22"/>
          <w:lang w:val="lt-LT"/>
        </w:rPr>
        <w:t xml:space="preserve"> grupėje taip pat pasireiškė dažniau nei placebo grupėje. </w:t>
      </w:r>
    </w:p>
    <w:p w14:paraId="1F8F129E" w14:textId="77777777" w:rsidR="00851523" w:rsidRPr="00051FD3" w:rsidRDefault="00851523" w:rsidP="007F39B7">
      <w:pPr>
        <w:pStyle w:val="Default"/>
        <w:rPr>
          <w:sz w:val="22"/>
          <w:szCs w:val="22"/>
          <w:lang w:val="lt-LT"/>
        </w:rPr>
      </w:pPr>
    </w:p>
    <w:p w14:paraId="4EC9F01E" w14:textId="77777777" w:rsidR="007F39B7" w:rsidRPr="00051FD3" w:rsidRDefault="007F39B7" w:rsidP="007F39B7">
      <w:pPr>
        <w:pStyle w:val="Default"/>
        <w:rPr>
          <w:sz w:val="22"/>
          <w:szCs w:val="22"/>
          <w:lang w:val="lt-LT"/>
        </w:rPr>
      </w:pPr>
      <w:r w:rsidRPr="00051FD3">
        <w:rPr>
          <w:sz w:val="22"/>
          <w:szCs w:val="22"/>
          <w:lang w:val="lt-LT"/>
        </w:rPr>
        <w:t xml:space="preserve">Epidemiologinių tyrimų duomenys rodo, jog ilgai vartojamas </w:t>
      </w:r>
      <w:proofErr w:type="spellStart"/>
      <w:r w:rsidRPr="00051FD3">
        <w:rPr>
          <w:sz w:val="22"/>
          <w:szCs w:val="22"/>
          <w:lang w:val="lt-LT"/>
        </w:rPr>
        <w:t>hidrochlorotiazidas</w:t>
      </w:r>
      <w:proofErr w:type="spellEnd"/>
      <w:r w:rsidRPr="00051FD3">
        <w:rPr>
          <w:sz w:val="22"/>
          <w:szCs w:val="22"/>
          <w:lang w:val="lt-LT"/>
        </w:rPr>
        <w:t xml:space="preserve"> sumažina širdies ir kraujagyslių sistemos ligomis sergančių žmonių sergamumo ir mirtingumo riziką.</w:t>
      </w:r>
    </w:p>
    <w:p w14:paraId="340D9BFF" w14:textId="77777777" w:rsidR="007F39B7" w:rsidRPr="00051FD3" w:rsidRDefault="007F39B7" w:rsidP="007F39B7">
      <w:pPr>
        <w:pStyle w:val="Default"/>
        <w:rPr>
          <w:sz w:val="22"/>
          <w:szCs w:val="22"/>
          <w:lang w:val="lt-LT"/>
        </w:rPr>
      </w:pPr>
      <w:r w:rsidRPr="00051FD3">
        <w:rPr>
          <w:sz w:val="22"/>
          <w:szCs w:val="22"/>
          <w:lang w:val="lt-LT"/>
        </w:rPr>
        <w:t xml:space="preserve"> </w:t>
      </w:r>
    </w:p>
    <w:p w14:paraId="09264B19" w14:textId="77777777" w:rsidR="007F39B7" w:rsidRPr="00051FD3" w:rsidRDefault="007F39B7" w:rsidP="007F39B7">
      <w:pPr>
        <w:pStyle w:val="Default"/>
        <w:rPr>
          <w:sz w:val="22"/>
          <w:szCs w:val="22"/>
          <w:lang w:val="lt-LT"/>
        </w:rPr>
      </w:pPr>
      <w:r w:rsidRPr="00051FD3">
        <w:rPr>
          <w:sz w:val="22"/>
          <w:szCs w:val="22"/>
          <w:lang w:val="lt-LT"/>
        </w:rPr>
        <w:t xml:space="preserve">Kokį poveikį širdies ir kraujagyslių sistemos ligomis sergančių </w:t>
      </w:r>
      <w:r w:rsidR="00236324" w:rsidRPr="00051FD3">
        <w:rPr>
          <w:sz w:val="22"/>
          <w:szCs w:val="22"/>
          <w:lang w:val="lt-LT"/>
        </w:rPr>
        <w:t>pacient</w:t>
      </w:r>
      <w:r w:rsidRPr="00051FD3">
        <w:rPr>
          <w:sz w:val="22"/>
          <w:szCs w:val="22"/>
          <w:lang w:val="lt-LT"/>
        </w:rPr>
        <w:t xml:space="preserve">ų sergamumui ir mirštamumui daro </w:t>
      </w:r>
      <w:proofErr w:type="spellStart"/>
      <w:r w:rsidRPr="00051FD3">
        <w:rPr>
          <w:sz w:val="22"/>
          <w:szCs w:val="22"/>
          <w:lang w:val="lt-LT"/>
        </w:rPr>
        <w:t>telmisartano</w:t>
      </w:r>
      <w:proofErr w:type="spellEnd"/>
      <w:r w:rsidRPr="00051FD3">
        <w:rPr>
          <w:sz w:val="22"/>
          <w:szCs w:val="22"/>
          <w:lang w:val="lt-LT"/>
        </w:rPr>
        <w:t xml:space="preserve"> ir </w:t>
      </w:r>
      <w:proofErr w:type="spellStart"/>
      <w:r w:rsidRPr="00051FD3">
        <w:rPr>
          <w:sz w:val="22"/>
          <w:szCs w:val="22"/>
          <w:lang w:val="lt-LT"/>
        </w:rPr>
        <w:t>hidrochlorotiazido</w:t>
      </w:r>
      <w:proofErr w:type="spellEnd"/>
      <w:r w:rsidRPr="00051FD3">
        <w:rPr>
          <w:sz w:val="22"/>
          <w:szCs w:val="22"/>
          <w:lang w:val="lt-LT"/>
        </w:rPr>
        <w:t xml:space="preserve"> fiksuotų dozių derinys, nežinoma. </w:t>
      </w:r>
    </w:p>
    <w:p w14:paraId="1D1BC02C" w14:textId="77777777" w:rsidR="004440AF" w:rsidRPr="00051FD3" w:rsidRDefault="004440AF" w:rsidP="004440AF">
      <w:pPr>
        <w:pStyle w:val="Default"/>
        <w:rPr>
          <w:sz w:val="22"/>
          <w:szCs w:val="22"/>
          <w:lang w:val="lt-LT"/>
        </w:rPr>
      </w:pPr>
    </w:p>
    <w:p w14:paraId="4CA81367" w14:textId="77777777" w:rsidR="00775ECF" w:rsidRPr="00012DBE" w:rsidRDefault="00775ECF" w:rsidP="00775ECF">
      <w:pPr>
        <w:keepNext/>
        <w:tabs>
          <w:tab w:val="left" w:pos="567"/>
        </w:tabs>
        <w:rPr>
          <w:sz w:val="22"/>
          <w:szCs w:val="22"/>
        </w:rPr>
      </w:pPr>
      <w:proofErr w:type="spellStart"/>
      <w:r w:rsidRPr="00012DBE">
        <w:rPr>
          <w:sz w:val="22"/>
          <w:szCs w:val="22"/>
        </w:rPr>
        <w:t>Nemelanominis</w:t>
      </w:r>
      <w:proofErr w:type="spellEnd"/>
      <w:r w:rsidRPr="00012DBE">
        <w:rPr>
          <w:sz w:val="22"/>
          <w:szCs w:val="22"/>
        </w:rPr>
        <w:t xml:space="preserve"> odos vėžys.</w:t>
      </w:r>
    </w:p>
    <w:p w14:paraId="66FD31D4" w14:textId="1848587F" w:rsidR="00775ECF" w:rsidRPr="00051FD3" w:rsidRDefault="00775ECF" w:rsidP="00775ECF">
      <w:pPr>
        <w:pStyle w:val="Default"/>
        <w:rPr>
          <w:sz w:val="22"/>
          <w:szCs w:val="22"/>
          <w:lang w:val="lt-LT"/>
        </w:rPr>
      </w:pPr>
      <w:r w:rsidRPr="003A7BC8">
        <w:rPr>
          <w:sz w:val="22"/>
          <w:szCs w:val="22"/>
          <w:lang w:val="lt-LT"/>
        </w:rPr>
        <w:t xml:space="preserve">Remiantis turimais epidemiologinių tyrimų duomenimis buvo nustatyta nuo kumuliacinės dozės priklausoma HCTZ sąsaja su NOV. Atliekant vieną tyrimą, buvo tiriama populiacija, sudaryta iš </w:t>
      </w:r>
      <w:r w:rsidRPr="00051FD3">
        <w:rPr>
          <w:sz w:val="22"/>
          <w:szCs w:val="22"/>
          <w:lang w:val="lt-LT"/>
        </w:rPr>
        <w:t>71533</w:t>
      </w:r>
      <w:r w:rsidRPr="00012DBE">
        <w:rPr>
          <w:sz w:val="22"/>
          <w:szCs w:val="22"/>
          <w:lang w:val="lt-LT"/>
        </w:rPr>
        <w:t xml:space="preserve"> BLK ir </w:t>
      </w:r>
      <w:r w:rsidRPr="00051FD3">
        <w:rPr>
          <w:sz w:val="22"/>
          <w:szCs w:val="22"/>
          <w:lang w:val="lt-LT"/>
        </w:rPr>
        <w:t>8629</w:t>
      </w:r>
      <w:r w:rsidRPr="00012DBE">
        <w:rPr>
          <w:sz w:val="22"/>
          <w:szCs w:val="22"/>
          <w:lang w:val="lt-LT"/>
        </w:rPr>
        <w:t xml:space="preserve"> PLK sergančių pacientų, kurie buvo lyginami su atitinkamai </w:t>
      </w:r>
      <w:r w:rsidRPr="00051FD3">
        <w:rPr>
          <w:sz w:val="22"/>
          <w:szCs w:val="22"/>
          <w:lang w:val="lt-LT"/>
        </w:rPr>
        <w:t>1430833</w:t>
      </w:r>
      <w:r w:rsidRPr="00012DBE">
        <w:rPr>
          <w:sz w:val="22"/>
          <w:szCs w:val="22"/>
          <w:lang w:val="lt-LT"/>
        </w:rPr>
        <w:t xml:space="preserve"> ir </w:t>
      </w:r>
      <w:r w:rsidRPr="00051FD3">
        <w:rPr>
          <w:sz w:val="22"/>
          <w:szCs w:val="22"/>
          <w:lang w:val="lt-LT"/>
        </w:rPr>
        <w:t>172462</w:t>
      </w:r>
      <w:r w:rsidRPr="00012DBE">
        <w:rPr>
          <w:sz w:val="22"/>
          <w:szCs w:val="22"/>
          <w:lang w:val="lt-LT"/>
        </w:rPr>
        <w:t xml:space="preserve"> kontroliniais pacientais. Vartojant dideles HCTZ dozes (kumuliacinė dozė – ≥</w:t>
      </w:r>
      <w:r w:rsidR="005560FC">
        <w:rPr>
          <w:sz w:val="22"/>
          <w:szCs w:val="22"/>
          <w:lang w:val="lt-LT"/>
        </w:rPr>
        <w:t> </w:t>
      </w:r>
      <w:r w:rsidRPr="00051FD3">
        <w:rPr>
          <w:sz w:val="22"/>
          <w:szCs w:val="22"/>
          <w:lang w:val="lt-LT"/>
        </w:rPr>
        <w:t>50000</w:t>
      </w:r>
      <w:r w:rsidRPr="00012DBE">
        <w:rPr>
          <w:sz w:val="22"/>
          <w:szCs w:val="22"/>
          <w:lang w:val="lt-LT"/>
        </w:rPr>
        <w:t> mg) koreguotas BLK rizikos santykis (RS) buvo 1,29 (95 </w:t>
      </w:r>
      <w:r w:rsidR="00152045" w:rsidRPr="00FA4E83">
        <w:rPr>
          <w:sz w:val="22"/>
          <w:szCs w:val="22"/>
          <w:lang w:val="lt-LT"/>
        </w:rPr>
        <w:t>%</w:t>
      </w:r>
      <w:r w:rsidRPr="00012DBE">
        <w:rPr>
          <w:sz w:val="22"/>
          <w:szCs w:val="22"/>
          <w:lang w:val="lt-LT"/>
        </w:rPr>
        <w:t xml:space="preserve"> PI: 1,23</w:t>
      </w:r>
      <w:r w:rsidRPr="00012DBE">
        <w:rPr>
          <w:sz w:val="22"/>
          <w:szCs w:val="22"/>
          <w:lang w:val="lt-LT"/>
        </w:rPr>
        <w:noBreakHyphen/>
        <w:t>1,35) ir PLK RS - 3,98 (95 </w:t>
      </w:r>
      <w:r w:rsidR="00152045" w:rsidRPr="003A7BC8">
        <w:rPr>
          <w:sz w:val="22"/>
          <w:szCs w:val="22"/>
          <w:lang w:val="lt-LT"/>
        </w:rPr>
        <w:t>%</w:t>
      </w:r>
      <w:r w:rsidRPr="003A7BC8">
        <w:rPr>
          <w:sz w:val="22"/>
          <w:szCs w:val="22"/>
          <w:lang w:val="lt-LT"/>
        </w:rPr>
        <w:t xml:space="preserve"> PI: 3,68</w:t>
      </w:r>
      <w:r w:rsidRPr="003A7BC8">
        <w:rPr>
          <w:sz w:val="22"/>
          <w:szCs w:val="22"/>
          <w:lang w:val="lt-LT"/>
        </w:rPr>
        <w:noBreakHyphen/>
        <w:t>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w:t>
      </w:r>
      <w:r w:rsidR="00152045" w:rsidRPr="00FA4E83">
        <w:rPr>
          <w:sz w:val="22"/>
          <w:szCs w:val="22"/>
          <w:lang w:val="lt-LT"/>
        </w:rPr>
        <w:t>%</w:t>
      </w:r>
      <w:r w:rsidRPr="003A7BC8">
        <w:rPr>
          <w:sz w:val="22"/>
          <w:szCs w:val="22"/>
          <w:lang w:val="lt-LT"/>
        </w:rPr>
        <w:t xml:space="preserve"> PI: 1,7</w:t>
      </w:r>
      <w:r w:rsidRPr="003A7BC8">
        <w:rPr>
          <w:sz w:val="22"/>
          <w:szCs w:val="22"/>
          <w:lang w:val="lt-LT"/>
        </w:rPr>
        <w:noBreakHyphen/>
        <w:t>2,6), RS padidėjo iki 3,9 (3,0</w:t>
      </w:r>
      <w:r w:rsidRPr="003A7BC8">
        <w:rPr>
          <w:sz w:val="22"/>
          <w:szCs w:val="22"/>
          <w:lang w:val="lt-LT"/>
        </w:rPr>
        <w:noBreakHyphen/>
        <w:t xml:space="preserve">4,9) vartojant dideles </w:t>
      </w:r>
      <w:r w:rsidRPr="003A7BC8">
        <w:rPr>
          <w:sz w:val="22"/>
          <w:szCs w:val="22"/>
          <w:lang w:val="lt-LT"/>
        </w:rPr>
        <w:lastRenderedPageBreak/>
        <w:t>vaistinio preparato dozes (~25 000 mg) ir iki 7,7 (5,7</w:t>
      </w:r>
      <w:r w:rsidRPr="003A7BC8">
        <w:rPr>
          <w:sz w:val="22"/>
          <w:szCs w:val="22"/>
          <w:lang w:val="lt-LT"/>
        </w:rPr>
        <w:noBreakHyphen/>
        <w:t>10,5) esant didžiausiai kumuliacinei dozei (~</w:t>
      </w:r>
      <w:r w:rsidRPr="00051FD3">
        <w:rPr>
          <w:sz w:val="22"/>
          <w:szCs w:val="22"/>
          <w:lang w:val="lt-LT"/>
        </w:rPr>
        <w:t>100</w:t>
      </w:r>
      <w:r w:rsidR="005560FC">
        <w:rPr>
          <w:sz w:val="22"/>
          <w:szCs w:val="22"/>
          <w:lang w:val="lt-LT"/>
        </w:rPr>
        <w:t> </w:t>
      </w:r>
      <w:r w:rsidRPr="00051FD3">
        <w:rPr>
          <w:sz w:val="22"/>
          <w:szCs w:val="22"/>
          <w:lang w:val="lt-LT"/>
        </w:rPr>
        <w:t>000</w:t>
      </w:r>
      <w:r w:rsidRPr="00012DBE">
        <w:rPr>
          <w:sz w:val="22"/>
          <w:szCs w:val="22"/>
          <w:lang w:val="lt-LT"/>
        </w:rPr>
        <w:t> mg) (taip pat žr. 4.4 skyrių).</w:t>
      </w:r>
    </w:p>
    <w:p w14:paraId="1A6D82EF" w14:textId="77777777" w:rsidR="00775ECF" w:rsidRPr="00051FD3" w:rsidRDefault="00775ECF" w:rsidP="004440AF">
      <w:pPr>
        <w:pStyle w:val="Default"/>
        <w:rPr>
          <w:sz w:val="22"/>
          <w:szCs w:val="22"/>
          <w:lang w:val="lt-LT"/>
        </w:rPr>
      </w:pPr>
    </w:p>
    <w:p w14:paraId="7644DA65" w14:textId="77777777" w:rsidR="004440AF" w:rsidRPr="00FA4E83" w:rsidRDefault="004440AF" w:rsidP="004440AF">
      <w:pPr>
        <w:pStyle w:val="Default"/>
        <w:rPr>
          <w:sz w:val="22"/>
          <w:szCs w:val="22"/>
          <w:u w:val="single"/>
          <w:lang w:val="lt-LT"/>
        </w:rPr>
      </w:pPr>
      <w:r w:rsidRPr="00FA4E83">
        <w:rPr>
          <w:sz w:val="22"/>
          <w:szCs w:val="22"/>
          <w:u w:val="single"/>
          <w:lang w:val="lt-LT"/>
        </w:rPr>
        <w:t>Vaikų populiacija</w:t>
      </w:r>
    </w:p>
    <w:p w14:paraId="24747704" w14:textId="08399CF1" w:rsidR="007F39B7" w:rsidRPr="00051FD3" w:rsidRDefault="004440AF" w:rsidP="007F39B7">
      <w:pPr>
        <w:pStyle w:val="Default"/>
        <w:rPr>
          <w:sz w:val="22"/>
          <w:szCs w:val="22"/>
          <w:lang w:val="lt-LT"/>
        </w:rPr>
      </w:pPr>
      <w:r w:rsidRPr="00051FD3">
        <w:rPr>
          <w:sz w:val="22"/>
          <w:szCs w:val="22"/>
          <w:lang w:val="lt-LT"/>
        </w:rPr>
        <w:t xml:space="preserve">Europos vaistų agentūra atleido nuo įpareigojimo pateikti </w:t>
      </w:r>
      <w:proofErr w:type="spellStart"/>
      <w:r w:rsidR="00130DCA" w:rsidRPr="00051FD3">
        <w:rPr>
          <w:sz w:val="22"/>
          <w:szCs w:val="22"/>
          <w:lang w:val="lt-LT"/>
        </w:rPr>
        <w:t>telmisartan</w:t>
      </w:r>
      <w:r w:rsidR="00A1680A" w:rsidRPr="00051FD3">
        <w:rPr>
          <w:sz w:val="22"/>
          <w:szCs w:val="22"/>
          <w:lang w:val="lt-LT"/>
        </w:rPr>
        <w:t>o</w:t>
      </w:r>
      <w:proofErr w:type="spellEnd"/>
      <w:r w:rsidR="00130DCA" w:rsidRPr="00051FD3">
        <w:rPr>
          <w:sz w:val="22"/>
          <w:szCs w:val="22"/>
          <w:lang w:val="lt-LT"/>
        </w:rPr>
        <w:t>/HCTZ</w:t>
      </w:r>
      <w:r w:rsidRPr="00051FD3">
        <w:rPr>
          <w:sz w:val="22"/>
          <w:szCs w:val="22"/>
          <w:lang w:val="lt-LT"/>
        </w:rPr>
        <w:t xml:space="preserve"> tyrimų su visais vaikų</w:t>
      </w:r>
      <w:r w:rsidR="00152045" w:rsidRPr="00051FD3">
        <w:rPr>
          <w:sz w:val="22"/>
          <w:szCs w:val="22"/>
          <w:lang w:val="lt-LT"/>
        </w:rPr>
        <w:t xml:space="preserve"> </w:t>
      </w:r>
      <w:r w:rsidRPr="00051FD3">
        <w:rPr>
          <w:sz w:val="22"/>
          <w:szCs w:val="22"/>
          <w:lang w:val="lt-LT"/>
        </w:rPr>
        <w:t>populiacijos pogrupiais duomenis hipertenzijos gydymui (vartojimo vaikams informacija pateikiama</w:t>
      </w:r>
      <w:r w:rsidR="00152045" w:rsidRPr="00051FD3">
        <w:rPr>
          <w:sz w:val="22"/>
          <w:szCs w:val="22"/>
          <w:lang w:val="lt-LT"/>
        </w:rPr>
        <w:t xml:space="preserve"> </w:t>
      </w:r>
      <w:r w:rsidRPr="00051FD3">
        <w:rPr>
          <w:sz w:val="22"/>
          <w:szCs w:val="22"/>
          <w:lang w:val="lt-LT"/>
        </w:rPr>
        <w:t>4.2 skyriuje).</w:t>
      </w:r>
    </w:p>
    <w:p w14:paraId="23068BD4" w14:textId="77777777" w:rsidR="006076CB" w:rsidRPr="00051FD3" w:rsidRDefault="006076CB" w:rsidP="007F39B7">
      <w:pPr>
        <w:pStyle w:val="Default"/>
        <w:rPr>
          <w:b/>
          <w:bCs/>
          <w:sz w:val="22"/>
          <w:szCs w:val="22"/>
          <w:lang w:val="lt-LT"/>
        </w:rPr>
      </w:pPr>
    </w:p>
    <w:p w14:paraId="4D2F0068" w14:textId="77777777" w:rsidR="007F39B7" w:rsidRPr="00051FD3" w:rsidRDefault="007F39B7" w:rsidP="007F39B7">
      <w:pPr>
        <w:pStyle w:val="Default"/>
        <w:rPr>
          <w:sz w:val="22"/>
          <w:szCs w:val="22"/>
          <w:lang w:val="lt-LT"/>
        </w:rPr>
      </w:pPr>
      <w:r w:rsidRPr="00051FD3">
        <w:rPr>
          <w:b/>
          <w:bCs/>
          <w:sz w:val="22"/>
          <w:szCs w:val="22"/>
          <w:lang w:val="lt-LT"/>
        </w:rPr>
        <w:t>5.2</w:t>
      </w:r>
      <w:r w:rsidRPr="00051FD3">
        <w:rPr>
          <w:b/>
          <w:bCs/>
          <w:sz w:val="22"/>
          <w:szCs w:val="22"/>
          <w:lang w:val="lt-LT"/>
        </w:rPr>
        <w:tab/>
      </w:r>
      <w:proofErr w:type="spellStart"/>
      <w:r w:rsidRPr="00051FD3">
        <w:rPr>
          <w:b/>
          <w:bCs/>
          <w:sz w:val="22"/>
          <w:szCs w:val="22"/>
          <w:lang w:val="lt-LT"/>
        </w:rPr>
        <w:t>Farmakokinetinės</w:t>
      </w:r>
      <w:proofErr w:type="spellEnd"/>
      <w:r w:rsidRPr="00051FD3">
        <w:rPr>
          <w:b/>
          <w:bCs/>
          <w:sz w:val="22"/>
          <w:szCs w:val="22"/>
          <w:lang w:val="lt-LT"/>
        </w:rPr>
        <w:t xml:space="preserve"> savybės </w:t>
      </w:r>
    </w:p>
    <w:p w14:paraId="1F2F7F0F" w14:textId="77777777" w:rsidR="007F39B7" w:rsidRPr="00051FD3" w:rsidRDefault="007F39B7" w:rsidP="007F39B7">
      <w:pPr>
        <w:pStyle w:val="Default"/>
        <w:rPr>
          <w:sz w:val="22"/>
          <w:szCs w:val="22"/>
          <w:lang w:val="lt-LT"/>
        </w:rPr>
      </w:pPr>
    </w:p>
    <w:p w14:paraId="7C2A1DCA" w14:textId="77777777" w:rsidR="007F39B7" w:rsidRPr="00051FD3" w:rsidRDefault="007F39B7" w:rsidP="007F39B7">
      <w:pPr>
        <w:pStyle w:val="Default"/>
        <w:rPr>
          <w:sz w:val="22"/>
          <w:szCs w:val="22"/>
          <w:lang w:val="lt-LT"/>
        </w:rPr>
      </w:pPr>
      <w:proofErr w:type="spellStart"/>
      <w:r w:rsidRPr="00051FD3">
        <w:rPr>
          <w:sz w:val="22"/>
          <w:szCs w:val="22"/>
          <w:lang w:val="lt-LT"/>
        </w:rPr>
        <w:t>Telmisartanas</w:t>
      </w:r>
      <w:proofErr w:type="spellEnd"/>
      <w:r w:rsidRPr="00051FD3">
        <w:rPr>
          <w:sz w:val="22"/>
          <w:szCs w:val="22"/>
          <w:lang w:val="lt-LT"/>
        </w:rPr>
        <w:t xml:space="preserve"> ir </w:t>
      </w:r>
      <w:proofErr w:type="spellStart"/>
      <w:r w:rsidRPr="00051FD3">
        <w:rPr>
          <w:sz w:val="22"/>
          <w:szCs w:val="22"/>
          <w:lang w:val="lt-LT"/>
        </w:rPr>
        <w:t>hidrochlorotiazidas</w:t>
      </w:r>
      <w:proofErr w:type="spellEnd"/>
      <w:r w:rsidRPr="00051FD3">
        <w:rPr>
          <w:sz w:val="22"/>
          <w:szCs w:val="22"/>
          <w:lang w:val="lt-LT"/>
        </w:rPr>
        <w:t xml:space="preserve"> sveikų žmonių organizme vienas kito farmakokinetikai įtakos nedaro. </w:t>
      </w:r>
    </w:p>
    <w:p w14:paraId="76C5C930" w14:textId="77777777" w:rsidR="007F39B7" w:rsidRPr="00051FD3" w:rsidRDefault="007F39B7" w:rsidP="007F39B7">
      <w:pPr>
        <w:autoSpaceDE w:val="0"/>
        <w:autoSpaceDN w:val="0"/>
        <w:adjustRightInd w:val="0"/>
        <w:rPr>
          <w:sz w:val="22"/>
          <w:szCs w:val="22"/>
        </w:rPr>
      </w:pPr>
    </w:p>
    <w:p w14:paraId="1CC42B8E" w14:textId="77777777" w:rsidR="007F39B7" w:rsidRPr="00051FD3" w:rsidRDefault="007F39B7" w:rsidP="007F39B7">
      <w:pPr>
        <w:autoSpaceDE w:val="0"/>
        <w:autoSpaceDN w:val="0"/>
        <w:adjustRightInd w:val="0"/>
        <w:rPr>
          <w:sz w:val="22"/>
          <w:szCs w:val="22"/>
          <w:u w:val="single"/>
          <w:lang w:eastAsia="lt-LT"/>
        </w:rPr>
      </w:pPr>
      <w:r w:rsidRPr="00051FD3">
        <w:rPr>
          <w:sz w:val="22"/>
          <w:szCs w:val="22"/>
          <w:u w:val="single"/>
          <w:lang w:eastAsia="lt-LT"/>
        </w:rPr>
        <w:t>Absorbcija</w:t>
      </w:r>
    </w:p>
    <w:p w14:paraId="2CC79677" w14:textId="56910E63"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Telmisartanas</w:t>
      </w:r>
      <w:proofErr w:type="spellEnd"/>
      <w:r w:rsidRPr="00051FD3">
        <w:rPr>
          <w:rFonts w:eastAsia="TimesNewRoman"/>
          <w:sz w:val="22"/>
          <w:szCs w:val="22"/>
        </w:rPr>
        <w:t xml:space="preserve">: išgerto </w:t>
      </w:r>
      <w:proofErr w:type="spellStart"/>
      <w:r w:rsidRPr="00051FD3">
        <w:rPr>
          <w:rFonts w:eastAsia="TimesNewRoman"/>
          <w:sz w:val="22"/>
          <w:szCs w:val="22"/>
        </w:rPr>
        <w:t>telmisartano</w:t>
      </w:r>
      <w:proofErr w:type="spellEnd"/>
      <w:r w:rsidRPr="00051FD3">
        <w:rPr>
          <w:rFonts w:eastAsia="TimesNewRoman"/>
          <w:sz w:val="22"/>
          <w:szCs w:val="22"/>
        </w:rPr>
        <w:t xml:space="preserve"> didžiausia koncentracija kraujo plazmoje (</w:t>
      </w:r>
      <w:proofErr w:type="spellStart"/>
      <w:r w:rsidRPr="00051FD3">
        <w:rPr>
          <w:rFonts w:eastAsia="TimesNewRoman"/>
          <w:sz w:val="22"/>
          <w:szCs w:val="22"/>
        </w:rPr>
        <w:t>C</w:t>
      </w:r>
      <w:r w:rsidRPr="00012DBE">
        <w:rPr>
          <w:rFonts w:eastAsia="TimesNewRoman"/>
          <w:sz w:val="22"/>
          <w:szCs w:val="22"/>
          <w:vertAlign w:val="subscript"/>
        </w:rPr>
        <w:t>max</w:t>
      </w:r>
      <w:proofErr w:type="spellEnd"/>
      <w:r w:rsidRPr="00051FD3">
        <w:rPr>
          <w:rFonts w:eastAsia="TimesNewRoman"/>
          <w:sz w:val="22"/>
          <w:szCs w:val="22"/>
        </w:rPr>
        <w:t>) pasiekiama po 0,5</w:t>
      </w:r>
      <w:r w:rsidR="00152045" w:rsidRPr="00051FD3">
        <w:rPr>
          <w:rFonts w:eastAsia="TimesNewRoman"/>
          <w:sz w:val="22"/>
          <w:szCs w:val="22"/>
        </w:rPr>
        <w:t> </w:t>
      </w:r>
      <w:r w:rsidRPr="00051FD3">
        <w:rPr>
          <w:rFonts w:eastAsia="TimesNewRoman"/>
          <w:sz w:val="22"/>
          <w:szCs w:val="22"/>
        </w:rPr>
        <w:t>-</w:t>
      </w:r>
      <w:r w:rsidR="00152045" w:rsidRPr="00051FD3">
        <w:rPr>
          <w:rFonts w:eastAsia="TimesNewRoman"/>
          <w:sz w:val="22"/>
          <w:szCs w:val="22"/>
        </w:rPr>
        <w:t> </w:t>
      </w:r>
      <w:r w:rsidRPr="00051FD3">
        <w:rPr>
          <w:rFonts w:eastAsia="TimesNewRoman"/>
          <w:sz w:val="22"/>
          <w:szCs w:val="22"/>
        </w:rPr>
        <w:t>1,5</w:t>
      </w:r>
      <w:r w:rsidR="00152045" w:rsidRPr="00051FD3">
        <w:rPr>
          <w:rFonts w:eastAsia="TimesNewRoman"/>
          <w:sz w:val="22"/>
          <w:szCs w:val="22"/>
        </w:rPr>
        <w:t> </w:t>
      </w:r>
      <w:r w:rsidRPr="00051FD3">
        <w:rPr>
          <w:rFonts w:eastAsia="TimesNewRoman"/>
          <w:sz w:val="22"/>
          <w:szCs w:val="22"/>
        </w:rPr>
        <w:t>val. Absoliutus biologinis 40 mg ir 160 mg dozės prieinamumas yra atitinkamai 42</w:t>
      </w:r>
      <w:r w:rsidR="00152045" w:rsidRPr="00051FD3">
        <w:rPr>
          <w:rFonts w:eastAsia="TimesNewRoman"/>
          <w:sz w:val="22"/>
          <w:szCs w:val="22"/>
        </w:rPr>
        <w:t> </w:t>
      </w:r>
      <w:r w:rsidRPr="00051FD3">
        <w:rPr>
          <w:rFonts w:eastAsia="TimesNewRoman"/>
          <w:sz w:val="22"/>
          <w:szCs w:val="22"/>
        </w:rPr>
        <w:t>% ir 58</w:t>
      </w:r>
      <w:r w:rsidR="00152045" w:rsidRPr="00051FD3">
        <w:rPr>
          <w:rFonts w:eastAsia="TimesNewRoman"/>
          <w:sz w:val="22"/>
          <w:szCs w:val="22"/>
        </w:rPr>
        <w:t> </w:t>
      </w:r>
      <w:r w:rsidRPr="00051FD3">
        <w:rPr>
          <w:rFonts w:eastAsia="TimesNewRoman"/>
          <w:sz w:val="22"/>
          <w:szCs w:val="22"/>
        </w:rPr>
        <w:t>%. Maistas biologinį prieinamumą šiek tiek sumažina: 40 mg dozės plotas po koncentracijos kreive (AUC) sumažėja maždaug 6</w:t>
      </w:r>
      <w:r w:rsidR="00152045" w:rsidRPr="00051FD3">
        <w:rPr>
          <w:rFonts w:eastAsia="TimesNewRoman"/>
          <w:sz w:val="22"/>
          <w:szCs w:val="22"/>
        </w:rPr>
        <w:t> </w:t>
      </w:r>
      <w:r w:rsidRPr="00051FD3">
        <w:rPr>
          <w:rFonts w:eastAsia="TimesNewRoman"/>
          <w:sz w:val="22"/>
          <w:szCs w:val="22"/>
        </w:rPr>
        <w:t>%, 160 mg dozės − maždaug 19</w:t>
      </w:r>
      <w:r w:rsidR="00152045" w:rsidRPr="00051FD3">
        <w:rPr>
          <w:rFonts w:eastAsia="TimesNewRoman"/>
          <w:sz w:val="22"/>
          <w:szCs w:val="22"/>
        </w:rPr>
        <w:t> </w:t>
      </w:r>
      <w:r w:rsidRPr="00051FD3">
        <w:rPr>
          <w:rFonts w:eastAsia="TimesNewRoman"/>
          <w:sz w:val="22"/>
          <w:szCs w:val="22"/>
        </w:rPr>
        <w:t>%. Praėjus 3</w:t>
      </w:r>
      <w:r w:rsidR="00152045" w:rsidRPr="00051FD3">
        <w:rPr>
          <w:rFonts w:eastAsia="TimesNewRoman"/>
          <w:sz w:val="22"/>
          <w:szCs w:val="22"/>
        </w:rPr>
        <w:t> </w:t>
      </w:r>
      <w:r w:rsidRPr="00051FD3">
        <w:rPr>
          <w:rFonts w:eastAsia="TimesNewRoman"/>
          <w:sz w:val="22"/>
          <w:szCs w:val="22"/>
        </w:rPr>
        <w:t xml:space="preserve">val. po </w:t>
      </w:r>
      <w:proofErr w:type="spellStart"/>
      <w:r w:rsidRPr="00051FD3">
        <w:rPr>
          <w:rFonts w:eastAsia="TimesNewRoman"/>
          <w:sz w:val="22"/>
          <w:szCs w:val="22"/>
        </w:rPr>
        <w:t>telmisartano</w:t>
      </w:r>
      <w:proofErr w:type="spellEnd"/>
      <w:r w:rsidRPr="00051FD3">
        <w:rPr>
          <w:rFonts w:eastAsia="TimesNewRoman"/>
          <w:sz w:val="22"/>
          <w:szCs w:val="22"/>
        </w:rPr>
        <w:t xml:space="preserve"> pavartojimo, koncentracija kraujo plazmoje būna vienoda ir tuo atveju, kai jo geriama valgio metu, ir tuo atveju, kai geriama nevalgius. Manoma, kad dėl nedidelio AUC sumažėjimo preparato gydomasis poveikis neturėtų mažėti. Vartojant kartotines dozes, pastebimai </w:t>
      </w:r>
      <w:proofErr w:type="spellStart"/>
      <w:r w:rsidRPr="00051FD3">
        <w:rPr>
          <w:rFonts w:eastAsia="TimesNewRoman"/>
          <w:sz w:val="22"/>
          <w:szCs w:val="22"/>
        </w:rPr>
        <w:t>telmisartano</w:t>
      </w:r>
      <w:proofErr w:type="spellEnd"/>
      <w:r w:rsidRPr="00051FD3">
        <w:rPr>
          <w:rFonts w:eastAsia="TimesNewRoman"/>
          <w:sz w:val="22"/>
          <w:szCs w:val="22"/>
        </w:rPr>
        <w:t xml:space="preserve"> kraujo plazmoje nesikaupia.</w:t>
      </w:r>
    </w:p>
    <w:p w14:paraId="7FE42FB0" w14:textId="77777777" w:rsidR="007F39B7" w:rsidRPr="00051FD3" w:rsidRDefault="007F39B7" w:rsidP="007F39B7">
      <w:pPr>
        <w:autoSpaceDE w:val="0"/>
        <w:autoSpaceDN w:val="0"/>
        <w:adjustRightInd w:val="0"/>
        <w:rPr>
          <w:rFonts w:eastAsia="TimesNewRoman"/>
          <w:sz w:val="22"/>
          <w:szCs w:val="22"/>
        </w:rPr>
      </w:pPr>
    </w:p>
    <w:p w14:paraId="700678AF" w14:textId="10742CC3"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Hidrochlorotiazidas</w:t>
      </w:r>
      <w:proofErr w:type="spellEnd"/>
      <w:r w:rsidRPr="00051FD3">
        <w:rPr>
          <w:rFonts w:eastAsia="TimesNewRoman"/>
          <w:sz w:val="22"/>
          <w:szCs w:val="22"/>
        </w:rPr>
        <w:t xml:space="preserve">: išgėrus </w:t>
      </w:r>
      <w:proofErr w:type="spellStart"/>
      <w:r w:rsidRPr="00051FD3">
        <w:rPr>
          <w:rFonts w:eastAsia="TimesNewRoman"/>
          <w:sz w:val="22"/>
          <w:szCs w:val="22"/>
        </w:rPr>
        <w:t>telmisartano</w:t>
      </w:r>
      <w:proofErr w:type="spellEnd"/>
      <w:r w:rsidRPr="00051FD3">
        <w:rPr>
          <w:rFonts w:eastAsia="TimesNewRoman"/>
          <w:sz w:val="22"/>
          <w:szCs w:val="22"/>
        </w:rPr>
        <w:t>/</w:t>
      </w:r>
      <w:proofErr w:type="spellStart"/>
      <w:r w:rsidRPr="00051FD3">
        <w:rPr>
          <w:rFonts w:eastAsia="TimesNewRoman"/>
          <w:sz w:val="22"/>
          <w:szCs w:val="22"/>
        </w:rPr>
        <w:t>hidrochlorotiazido</w:t>
      </w:r>
      <w:proofErr w:type="spellEnd"/>
      <w:r w:rsidRPr="00051FD3">
        <w:rPr>
          <w:rFonts w:eastAsia="TimesNewRoman"/>
          <w:sz w:val="22"/>
          <w:szCs w:val="22"/>
        </w:rPr>
        <w:t xml:space="preserve"> derinio, </w:t>
      </w:r>
      <w:proofErr w:type="spellStart"/>
      <w:r w:rsidRPr="00051FD3">
        <w:rPr>
          <w:rFonts w:eastAsia="TimesNewRoman"/>
          <w:sz w:val="22"/>
          <w:szCs w:val="22"/>
        </w:rPr>
        <w:t>hidrochlorotiazido</w:t>
      </w:r>
      <w:proofErr w:type="spellEnd"/>
      <w:r w:rsidRPr="00051FD3">
        <w:rPr>
          <w:rFonts w:eastAsia="TimesNewRoman"/>
          <w:sz w:val="22"/>
          <w:szCs w:val="22"/>
        </w:rPr>
        <w:t xml:space="preserve"> </w:t>
      </w:r>
      <w:proofErr w:type="spellStart"/>
      <w:r w:rsidRPr="00051FD3">
        <w:rPr>
          <w:rFonts w:eastAsia="TimesNewRoman"/>
          <w:sz w:val="22"/>
          <w:szCs w:val="22"/>
        </w:rPr>
        <w:t>C</w:t>
      </w:r>
      <w:r w:rsidRPr="00012DBE">
        <w:rPr>
          <w:rFonts w:eastAsia="TimesNewRoman"/>
          <w:sz w:val="22"/>
          <w:szCs w:val="22"/>
          <w:vertAlign w:val="subscript"/>
        </w:rPr>
        <w:t>max</w:t>
      </w:r>
      <w:proofErr w:type="spellEnd"/>
      <w:r w:rsidRPr="00012DBE">
        <w:rPr>
          <w:rFonts w:eastAsia="TimesNewRoman"/>
          <w:sz w:val="22"/>
          <w:szCs w:val="22"/>
          <w:vertAlign w:val="subscript"/>
        </w:rPr>
        <w:t xml:space="preserve"> </w:t>
      </w:r>
      <w:r w:rsidRPr="00051FD3">
        <w:rPr>
          <w:rFonts w:eastAsia="TimesNewRoman"/>
          <w:sz w:val="22"/>
          <w:szCs w:val="22"/>
        </w:rPr>
        <w:t>susidaro randa maždaug po 1-3</w:t>
      </w:r>
      <w:r w:rsidR="00152045" w:rsidRPr="00051FD3">
        <w:rPr>
          <w:rFonts w:eastAsia="TimesNewRoman"/>
          <w:sz w:val="22"/>
          <w:szCs w:val="22"/>
        </w:rPr>
        <w:t> </w:t>
      </w:r>
      <w:r w:rsidRPr="00051FD3">
        <w:rPr>
          <w:rFonts w:eastAsia="TimesNewRoman"/>
          <w:sz w:val="22"/>
          <w:szCs w:val="22"/>
        </w:rPr>
        <w:t>val. Vertinant pagal pro inkstus išsiskiriančio vaistinio preparato kiekį, galima daryti išvadą, jog absoliutus biologinis jo prieinamumas yra maždaug 60</w:t>
      </w:r>
      <w:r w:rsidR="00152045" w:rsidRPr="00051FD3">
        <w:rPr>
          <w:rFonts w:eastAsia="TimesNewRoman"/>
          <w:sz w:val="22"/>
          <w:szCs w:val="22"/>
        </w:rPr>
        <w:t> </w:t>
      </w:r>
      <w:r w:rsidRPr="00051FD3">
        <w:rPr>
          <w:rFonts w:eastAsia="TimesNewRoman"/>
          <w:sz w:val="22"/>
          <w:szCs w:val="22"/>
        </w:rPr>
        <w:t>%.</w:t>
      </w:r>
    </w:p>
    <w:p w14:paraId="4350B441" w14:textId="77777777" w:rsidR="007F39B7" w:rsidRPr="00051FD3" w:rsidRDefault="007F39B7" w:rsidP="007F39B7">
      <w:pPr>
        <w:autoSpaceDE w:val="0"/>
        <w:autoSpaceDN w:val="0"/>
        <w:adjustRightInd w:val="0"/>
        <w:rPr>
          <w:rFonts w:eastAsia="TimesNewRoman"/>
          <w:sz w:val="22"/>
          <w:szCs w:val="22"/>
        </w:rPr>
      </w:pPr>
    </w:p>
    <w:p w14:paraId="0A2003FF"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Pasiskirstymas</w:t>
      </w:r>
    </w:p>
    <w:p w14:paraId="09461413" w14:textId="37F9C6FC"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Telmisartanas</w:t>
      </w:r>
      <w:proofErr w:type="spellEnd"/>
      <w:r w:rsidRPr="00051FD3">
        <w:rPr>
          <w:rFonts w:eastAsia="TimesNewRoman"/>
          <w:sz w:val="22"/>
          <w:szCs w:val="22"/>
        </w:rPr>
        <w:t xml:space="preserve">: </w:t>
      </w:r>
      <w:proofErr w:type="spellStart"/>
      <w:r w:rsidRPr="00051FD3">
        <w:rPr>
          <w:rFonts w:eastAsia="TimesNewRoman"/>
          <w:sz w:val="22"/>
          <w:szCs w:val="22"/>
        </w:rPr>
        <w:t>telmisartanas</w:t>
      </w:r>
      <w:proofErr w:type="spellEnd"/>
      <w:r w:rsidRPr="00051FD3">
        <w:rPr>
          <w:rFonts w:eastAsia="TimesNewRoman"/>
          <w:sz w:val="22"/>
          <w:szCs w:val="22"/>
        </w:rPr>
        <w:t xml:space="preserve"> ekstensyviai (daugiau nei 99,5</w:t>
      </w:r>
      <w:r w:rsidR="00152045" w:rsidRPr="00051FD3">
        <w:rPr>
          <w:rFonts w:eastAsia="TimesNewRoman"/>
          <w:sz w:val="22"/>
          <w:szCs w:val="22"/>
        </w:rPr>
        <w:t> </w:t>
      </w:r>
      <w:r w:rsidRPr="00051FD3">
        <w:rPr>
          <w:rFonts w:eastAsia="TimesNewRoman"/>
          <w:sz w:val="22"/>
          <w:szCs w:val="22"/>
        </w:rPr>
        <w:t xml:space="preserve">%) jungiasi prie kraujo plazmos baltymų, daugiausia prie </w:t>
      </w:r>
      <w:proofErr w:type="spellStart"/>
      <w:r w:rsidRPr="00051FD3">
        <w:rPr>
          <w:rFonts w:eastAsia="TimesNewRoman"/>
          <w:sz w:val="22"/>
          <w:szCs w:val="22"/>
        </w:rPr>
        <w:t>albumino</w:t>
      </w:r>
      <w:proofErr w:type="spellEnd"/>
      <w:r w:rsidRPr="00051FD3">
        <w:rPr>
          <w:rFonts w:eastAsia="TimesNewRoman"/>
          <w:sz w:val="22"/>
          <w:szCs w:val="22"/>
        </w:rPr>
        <w:t xml:space="preserve"> ir alfa-1 rūgščiųjų </w:t>
      </w:r>
      <w:proofErr w:type="spellStart"/>
      <w:r w:rsidRPr="00051FD3">
        <w:rPr>
          <w:rFonts w:eastAsia="TimesNewRoman"/>
          <w:sz w:val="22"/>
          <w:szCs w:val="22"/>
        </w:rPr>
        <w:t>glikoproteinų</w:t>
      </w:r>
      <w:proofErr w:type="spellEnd"/>
      <w:r w:rsidRPr="00051FD3">
        <w:rPr>
          <w:rFonts w:eastAsia="TimesNewRoman"/>
          <w:sz w:val="22"/>
          <w:szCs w:val="22"/>
        </w:rPr>
        <w:t>. Tariamasis pasiskirstymo tūris yra apie  500</w:t>
      </w:r>
      <w:r w:rsidR="00152045" w:rsidRPr="00051FD3">
        <w:rPr>
          <w:rFonts w:eastAsia="TimesNewRoman"/>
          <w:sz w:val="22"/>
          <w:szCs w:val="22"/>
        </w:rPr>
        <w:t> </w:t>
      </w:r>
      <w:r w:rsidRPr="00051FD3">
        <w:rPr>
          <w:rFonts w:eastAsia="TimesNewRoman"/>
          <w:sz w:val="22"/>
          <w:szCs w:val="22"/>
        </w:rPr>
        <w:t>l, vadinasi, vaistas jungiasi ir prie organizmo audinių.</w:t>
      </w:r>
    </w:p>
    <w:p w14:paraId="607CC67C" w14:textId="342C34FF"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Hidrochlorotiazido</w:t>
      </w:r>
      <w:proofErr w:type="spellEnd"/>
      <w:r w:rsidRPr="00051FD3">
        <w:rPr>
          <w:rFonts w:eastAsia="TimesNewRoman"/>
          <w:sz w:val="22"/>
          <w:szCs w:val="22"/>
        </w:rPr>
        <w:t xml:space="preserve"> prie kraujo plazmos baltymų jungiasi 6</w:t>
      </w:r>
      <w:r w:rsidR="00152045" w:rsidRPr="00051FD3">
        <w:rPr>
          <w:rFonts w:eastAsia="TimesNewRoman"/>
          <w:sz w:val="22"/>
          <w:szCs w:val="22"/>
        </w:rPr>
        <w:t>4 </w:t>
      </w:r>
      <w:r w:rsidRPr="00051FD3">
        <w:rPr>
          <w:rFonts w:eastAsia="TimesNewRoman"/>
          <w:sz w:val="22"/>
          <w:szCs w:val="22"/>
        </w:rPr>
        <w:t xml:space="preserve">%, jo pasiskirstymo tūris yra </w:t>
      </w:r>
      <w:r w:rsidR="00152045" w:rsidRPr="00051FD3">
        <w:rPr>
          <w:rFonts w:eastAsia="SimSun"/>
          <w:sz w:val="22"/>
          <w:szCs w:val="22"/>
          <w:lang w:eastAsia="is-IS"/>
        </w:rPr>
        <w:t>0,8±0,3 </w:t>
      </w:r>
      <w:r w:rsidRPr="00051FD3">
        <w:rPr>
          <w:rFonts w:eastAsia="TimesNewRoman"/>
          <w:sz w:val="22"/>
          <w:szCs w:val="22"/>
        </w:rPr>
        <w:t>l/kg.</w:t>
      </w:r>
    </w:p>
    <w:p w14:paraId="2DD77BFC" w14:textId="77777777" w:rsidR="007F39B7" w:rsidRPr="00051FD3" w:rsidRDefault="007F39B7" w:rsidP="007F39B7">
      <w:pPr>
        <w:autoSpaceDE w:val="0"/>
        <w:autoSpaceDN w:val="0"/>
        <w:adjustRightInd w:val="0"/>
        <w:rPr>
          <w:rFonts w:eastAsia="TimesNewRoman"/>
          <w:sz w:val="22"/>
          <w:szCs w:val="22"/>
        </w:rPr>
      </w:pPr>
    </w:p>
    <w:p w14:paraId="3EBC2C78" w14:textId="77777777" w:rsidR="007F39B7" w:rsidRPr="00051FD3" w:rsidRDefault="007F39B7" w:rsidP="007F39B7">
      <w:pPr>
        <w:autoSpaceDE w:val="0"/>
        <w:autoSpaceDN w:val="0"/>
        <w:adjustRightInd w:val="0"/>
        <w:rPr>
          <w:rFonts w:eastAsia="TimesNewRoman"/>
          <w:sz w:val="22"/>
          <w:szCs w:val="22"/>
          <w:u w:val="single"/>
        </w:rPr>
      </w:pPr>
      <w:proofErr w:type="spellStart"/>
      <w:r w:rsidRPr="00051FD3">
        <w:rPr>
          <w:rFonts w:eastAsia="TimesNewRoman"/>
          <w:sz w:val="22"/>
          <w:szCs w:val="22"/>
          <w:u w:val="single"/>
        </w:rPr>
        <w:t>Biotransformacija</w:t>
      </w:r>
      <w:proofErr w:type="spellEnd"/>
    </w:p>
    <w:p w14:paraId="5402BABB"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Konjugacijos</w:t>
      </w:r>
      <w:proofErr w:type="spellEnd"/>
      <w:r w:rsidRPr="00051FD3">
        <w:rPr>
          <w:rFonts w:eastAsia="TimesNewRoman"/>
          <w:sz w:val="22"/>
          <w:szCs w:val="22"/>
        </w:rPr>
        <w:t xml:space="preserve"> būdu </w:t>
      </w:r>
      <w:proofErr w:type="spellStart"/>
      <w:r w:rsidRPr="00051FD3">
        <w:rPr>
          <w:rFonts w:eastAsia="TimesNewRoman"/>
          <w:sz w:val="22"/>
          <w:szCs w:val="22"/>
        </w:rPr>
        <w:t>metabolizuojamas</w:t>
      </w:r>
      <w:proofErr w:type="spellEnd"/>
      <w:r w:rsidRPr="00051FD3">
        <w:rPr>
          <w:rFonts w:eastAsia="TimesNewRoman"/>
          <w:sz w:val="22"/>
          <w:szCs w:val="22"/>
        </w:rPr>
        <w:t xml:space="preserve"> </w:t>
      </w:r>
      <w:proofErr w:type="spellStart"/>
      <w:r w:rsidRPr="00051FD3">
        <w:rPr>
          <w:rFonts w:eastAsia="TimesNewRoman"/>
          <w:sz w:val="22"/>
          <w:szCs w:val="22"/>
        </w:rPr>
        <w:t>telmisartanas</w:t>
      </w:r>
      <w:proofErr w:type="spellEnd"/>
      <w:r w:rsidRPr="00051FD3">
        <w:rPr>
          <w:rFonts w:eastAsia="TimesNewRoman"/>
          <w:sz w:val="22"/>
          <w:szCs w:val="22"/>
        </w:rPr>
        <w:t xml:space="preserve"> virsta neveikliu metabolitu </w:t>
      </w:r>
      <w:proofErr w:type="spellStart"/>
      <w:r w:rsidRPr="00051FD3">
        <w:rPr>
          <w:rFonts w:eastAsia="TimesNewRoman"/>
          <w:sz w:val="22"/>
          <w:szCs w:val="22"/>
        </w:rPr>
        <w:t>acilgliukuronidu</w:t>
      </w:r>
      <w:proofErr w:type="spellEnd"/>
      <w:r w:rsidRPr="00051FD3">
        <w:rPr>
          <w:rFonts w:eastAsia="TimesNewRoman"/>
          <w:sz w:val="22"/>
          <w:szCs w:val="22"/>
        </w:rPr>
        <w:t xml:space="preserve">. Jis yra vienintelis žmogaus organizme identifikuotas metabolitas. Po vienos žymėto </w:t>
      </w:r>
      <w:r w:rsidRPr="00051FD3">
        <w:rPr>
          <w:rFonts w:eastAsia="TimesNewRoman"/>
          <w:sz w:val="22"/>
          <w:szCs w:val="22"/>
          <w:vertAlign w:val="superscript"/>
        </w:rPr>
        <w:t>14</w:t>
      </w:r>
      <w:r w:rsidRPr="00051FD3">
        <w:rPr>
          <w:rFonts w:eastAsia="TimesNewRoman"/>
          <w:sz w:val="22"/>
          <w:szCs w:val="22"/>
        </w:rPr>
        <w:t xml:space="preserve">C </w:t>
      </w:r>
      <w:proofErr w:type="spellStart"/>
      <w:r w:rsidRPr="00051FD3">
        <w:rPr>
          <w:rFonts w:eastAsia="TimesNewRoman"/>
          <w:sz w:val="22"/>
          <w:szCs w:val="22"/>
        </w:rPr>
        <w:t>telmisartano</w:t>
      </w:r>
      <w:proofErr w:type="spellEnd"/>
      <w:r w:rsidRPr="00051FD3">
        <w:rPr>
          <w:rFonts w:eastAsia="TimesNewRoman"/>
          <w:sz w:val="22"/>
          <w:szCs w:val="22"/>
        </w:rPr>
        <w:t xml:space="preserve"> dozės pavartojimo su </w:t>
      </w:r>
      <w:proofErr w:type="spellStart"/>
      <w:r w:rsidRPr="00051FD3">
        <w:rPr>
          <w:rFonts w:eastAsia="TimesNewRoman"/>
          <w:sz w:val="22"/>
          <w:szCs w:val="22"/>
        </w:rPr>
        <w:t>gliukuronidu</w:t>
      </w:r>
      <w:proofErr w:type="spellEnd"/>
      <w:r w:rsidRPr="00051FD3">
        <w:rPr>
          <w:rFonts w:eastAsia="TimesNewRoman"/>
          <w:sz w:val="22"/>
          <w:szCs w:val="22"/>
        </w:rPr>
        <w:t xml:space="preserve"> būna susiję maždaug 11 % viso kraujo plazmoje esančio radioaktyvumo. </w:t>
      </w:r>
      <w:proofErr w:type="spellStart"/>
      <w:r w:rsidRPr="00051FD3">
        <w:rPr>
          <w:rFonts w:eastAsia="TimesNewRoman"/>
          <w:sz w:val="22"/>
          <w:szCs w:val="22"/>
        </w:rPr>
        <w:t>Citochromo</w:t>
      </w:r>
      <w:proofErr w:type="spellEnd"/>
      <w:r w:rsidRPr="00051FD3">
        <w:rPr>
          <w:rFonts w:eastAsia="TimesNewRoman"/>
          <w:sz w:val="22"/>
          <w:szCs w:val="22"/>
        </w:rPr>
        <w:t xml:space="preserve"> P 450 </w:t>
      </w:r>
      <w:proofErr w:type="spellStart"/>
      <w:r w:rsidRPr="00051FD3">
        <w:rPr>
          <w:rFonts w:eastAsia="TimesNewRoman"/>
          <w:sz w:val="22"/>
          <w:szCs w:val="22"/>
        </w:rPr>
        <w:t>izofermentai</w:t>
      </w:r>
      <w:proofErr w:type="spellEnd"/>
      <w:r w:rsidRPr="00051FD3">
        <w:rPr>
          <w:rFonts w:eastAsia="TimesNewRoman"/>
          <w:sz w:val="22"/>
          <w:szCs w:val="22"/>
        </w:rPr>
        <w:t xml:space="preserve"> </w:t>
      </w:r>
      <w:proofErr w:type="spellStart"/>
      <w:r w:rsidRPr="00051FD3">
        <w:rPr>
          <w:rFonts w:eastAsia="TimesNewRoman"/>
          <w:sz w:val="22"/>
          <w:szCs w:val="22"/>
        </w:rPr>
        <w:t>telmisartano</w:t>
      </w:r>
      <w:proofErr w:type="spellEnd"/>
      <w:r w:rsidRPr="00051FD3">
        <w:rPr>
          <w:rFonts w:eastAsia="TimesNewRoman"/>
          <w:sz w:val="22"/>
          <w:szCs w:val="22"/>
        </w:rPr>
        <w:t xml:space="preserve"> metabolizme nedalyvauja.</w:t>
      </w:r>
    </w:p>
    <w:p w14:paraId="07C26830"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Hidrochlorotiazidas</w:t>
      </w:r>
      <w:proofErr w:type="spellEnd"/>
      <w:r w:rsidRPr="00051FD3">
        <w:rPr>
          <w:rFonts w:eastAsia="TimesNewRoman"/>
          <w:sz w:val="22"/>
          <w:szCs w:val="22"/>
        </w:rPr>
        <w:t xml:space="preserve"> žmogaus organizme </w:t>
      </w:r>
      <w:proofErr w:type="spellStart"/>
      <w:r w:rsidRPr="00051FD3">
        <w:rPr>
          <w:rFonts w:eastAsia="TimesNewRoman"/>
          <w:sz w:val="22"/>
          <w:szCs w:val="22"/>
        </w:rPr>
        <w:t>nemetabolizuojamas</w:t>
      </w:r>
      <w:proofErr w:type="spellEnd"/>
      <w:r w:rsidRPr="00051FD3">
        <w:rPr>
          <w:rFonts w:eastAsia="TimesNewRoman"/>
          <w:sz w:val="22"/>
          <w:szCs w:val="22"/>
        </w:rPr>
        <w:t>.</w:t>
      </w:r>
    </w:p>
    <w:p w14:paraId="48239B28" w14:textId="77777777" w:rsidR="007F39B7" w:rsidRPr="00051FD3" w:rsidRDefault="007F39B7" w:rsidP="007F39B7">
      <w:pPr>
        <w:autoSpaceDE w:val="0"/>
        <w:autoSpaceDN w:val="0"/>
        <w:adjustRightInd w:val="0"/>
        <w:rPr>
          <w:rFonts w:eastAsia="TimesNewRoman"/>
          <w:sz w:val="22"/>
          <w:szCs w:val="22"/>
        </w:rPr>
      </w:pPr>
    </w:p>
    <w:p w14:paraId="19041D55"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Eliminacija</w:t>
      </w:r>
    </w:p>
    <w:p w14:paraId="4DE60A83" w14:textId="5C5D71AC"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Telmisartanas</w:t>
      </w:r>
      <w:proofErr w:type="spellEnd"/>
      <w:r w:rsidRPr="00051FD3">
        <w:rPr>
          <w:rFonts w:eastAsia="TimesNewRoman"/>
          <w:sz w:val="22"/>
          <w:szCs w:val="22"/>
        </w:rPr>
        <w:t xml:space="preserve">: didžioji išgertos arba į veną suleistos žymėto </w:t>
      </w:r>
      <w:r w:rsidRPr="00051FD3">
        <w:rPr>
          <w:rFonts w:eastAsia="TimesNewRoman"/>
          <w:sz w:val="22"/>
          <w:szCs w:val="22"/>
          <w:vertAlign w:val="superscript"/>
        </w:rPr>
        <w:t>14</w:t>
      </w:r>
      <w:r w:rsidRPr="00051FD3">
        <w:rPr>
          <w:rFonts w:eastAsia="TimesNewRoman"/>
          <w:sz w:val="22"/>
          <w:szCs w:val="22"/>
        </w:rPr>
        <w:t xml:space="preserve">C </w:t>
      </w:r>
      <w:proofErr w:type="spellStart"/>
      <w:r w:rsidRPr="00051FD3">
        <w:rPr>
          <w:rFonts w:eastAsia="TimesNewRoman"/>
          <w:sz w:val="22"/>
          <w:szCs w:val="22"/>
        </w:rPr>
        <w:t>Telmisartano</w:t>
      </w:r>
      <w:proofErr w:type="spellEnd"/>
      <w:r w:rsidRPr="00051FD3">
        <w:rPr>
          <w:rFonts w:eastAsia="TimesNewRoman"/>
          <w:sz w:val="22"/>
          <w:szCs w:val="22"/>
        </w:rPr>
        <w:t xml:space="preserve"> dozės dalis (&gt;</w:t>
      </w:r>
      <w:r w:rsidR="00CD780F" w:rsidRPr="00051FD3">
        <w:rPr>
          <w:rFonts w:eastAsia="TimesNewRoman"/>
          <w:sz w:val="22"/>
          <w:szCs w:val="22"/>
        </w:rPr>
        <w:t> </w:t>
      </w:r>
      <w:r w:rsidRPr="00051FD3">
        <w:rPr>
          <w:rFonts w:eastAsia="TimesNewRoman"/>
          <w:sz w:val="22"/>
          <w:szCs w:val="22"/>
        </w:rPr>
        <w:t>97</w:t>
      </w:r>
      <w:r w:rsidR="00807431" w:rsidRPr="00051FD3">
        <w:rPr>
          <w:rFonts w:eastAsia="TimesNewRoman"/>
          <w:sz w:val="22"/>
          <w:szCs w:val="22"/>
        </w:rPr>
        <w:t> </w:t>
      </w:r>
      <w:r w:rsidRPr="00051FD3">
        <w:rPr>
          <w:rFonts w:eastAsia="TimesNewRoman"/>
          <w:sz w:val="22"/>
          <w:szCs w:val="22"/>
        </w:rPr>
        <w:t xml:space="preserve">%) šalinama su tulžimi ir išmatomis. Su šlapimu šalinama labai maža dozės dalis. Bendras išgerto </w:t>
      </w:r>
      <w:proofErr w:type="spellStart"/>
      <w:r w:rsidRPr="00051FD3">
        <w:rPr>
          <w:rFonts w:eastAsia="TimesNewRoman"/>
          <w:sz w:val="22"/>
          <w:szCs w:val="22"/>
        </w:rPr>
        <w:t>telmisartano</w:t>
      </w:r>
      <w:proofErr w:type="spellEnd"/>
      <w:r w:rsidRPr="00051FD3">
        <w:rPr>
          <w:rFonts w:eastAsia="TimesNewRoman"/>
          <w:sz w:val="22"/>
          <w:szCs w:val="22"/>
        </w:rPr>
        <w:t xml:space="preserve"> klirensas kraujo plazmoje yra &gt;1500</w:t>
      </w:r>
      <w:r w:rsidR="00807431" w:rsidRPr="00051FD3">
        <w:rPr>
          <w:rFonts w:eastAsia="TimesNewRoman"/>
          <w:sz w:val="22"/>
          <w:szCs w:val="22"/>
        </w:rPr>
        <w:t> </w:t>
      </w:r>
      <w:r w:rsidRPr="00051FD3">
        <w:rPr>
          <w:rFonts w:eastAsia="TimesNewRoman"/>
          <w:sz w:val="22"/>
          <w:szCs w:val="22"/>
        </w:rPr>
        <w:t>ml/min., pusinės eliminacijos laikas yra &gt;</w:t>
      </w:r>
      <w:r w:rsidR="00807431" w:rsidRPr="00051FD3">
        <w:rPr>
          <w:rFonts w:eastAsia="TimesNewRoman"/>
          <w:sz w:val="22"/>
          <w:szCs w:val="22"/>
        </w:rPr>
        <w:t> </w:t>
      </w:r>
      <w:r w:rsidRPr="00051FD3">
        <w:rPr>
          <w:rFonts w:eastAsia="TimesNewRoman"/>
          <w:sz w:val="22"/>
          <w:szCs w:val="22"/>
        </w:rPr>
        <w:t>20</w:t>
      </w:r>
      <w:r w:rsidR="00807431" w:rsidRPr="00051FD3">
        <w:rPr>
          <w:rFonts w:eastAsia="TimesNewRoman"/>
          <w:sz w:val="22"/>
          <w:szCs w:val="22"/>
        </w:rPr>
        <w:t> </w:t>
      </w:r>
      <w:r w:rsidRPr="00051FD3">
        <w:rPr>
          <w:rFonts w:eastAsia="TimesNewRoman"/>
          <w:sz w:val="22"/>
          <w:szCs w:val="22"/>
        </w:rPr>
        <w:t>val.</w:t>
      </w:r>
    </w:p>
    <w:p w14:paraId="0D2E2C1E" w14:textId="77777777" w:rsidR="007F39B7" w:rsidRPr="00051FD3" w:rsidRDefault="007F39B7" w:rsidP="007F39B7">
      <w:pPr>
        <w:autoSpaceDE w:val="0"/>
        <w:autoSpaceDN w:val="0"/>
        <w:adjustRightInd w:val="0"/>
        <w:rPr>
          <w:rFonts w:eastAsia="TimesNewRoman"/>
          <w:sz w:val="22"/>
          <w:szCs w:val="22"/>
        </w:rPr>
      </w:pPr>
    </w:p>
    <w:p w14:paraId="3F5F3D49" w14:textId="044D3F19" w:rsidR="007F39B7" w:rsidRPr="00051FD3" w:rsidRDefault="007F39B7" w:rsidP="007F39B7">
      <w:pPr>
        <w:autoSpaceDE w:val="0"/>
        <w:autoSpaceDN w:val="0"/>
        <w:adjustRightInd w:val="0"/>
        <w:rPr>
          <w:rFonts w:eastAsia="TimesNewRoman"/>
          <w:sz w:val="22"/>
          <w:szCs w:val="22"/>
        </w:rPr>
      </w:pPr>
      <w:proofErr w:type="spellStart"/>
      <w:r w:rsidRPr="000E639C">
        <w:rPr>
          <w:rFonts w:eastAsia="TimesNewRoman"/>
          <w:sz w:val="22"/>
          <w:szCs w:val="22"/>
        </w:rPr>
        <w:t>Hidrochlorotiazidas</w:t>
      </w:r>
      <w:proofErr w:type="spellEnd"/>
      <w:r w:rsidRPr="000E639C">
        <w:rPr>
          <w:rFonts w:eastAsia="TimesNewRoman"/>
          <w:sz w:val="22"/>
          <w:szCs w:val="22"/>
        </w:rPr>
        <w:t xml:space="preserve"> beveik visas iš organizmo šalinamas nepakitęs su šlapimu. Per 48 valandas pašalinama maždaug 60</w:t>
      </w:r>
      <w:r w:rsidR="00807431" w:rsidRPr="00051FD3">
        <w:rPr>
          <w:rFonts w:eastAsia="TimesNewRoman"/>
          <w:sz w:val="22"/>
          <w:szCs w:val="22"/>
        </w:rPr>
        <w:t> </w:t>
      </w:r>
      <w:r w:rsidRPr="00051FD3">
        <w:rPr>
          <w:rFonts w:eastAsia="TimesNewRoman"/>
          <w:sz w:val="22"/>
          <w:szCs w:val="22"/>
        </w:rPr>
        <w:t>% išgertos dozės. Vaistinio preparato klirensas inkstuose yra apie 250</w:t>
      </w:r>
      <w:r w:rsidR="00807431" w:rsidRPr="00051FD3">
        <w:rPr>
          <w:rFonts w:eastAsia="TimesNewRoman"/>
          <w:sz w:val="22"/>
          <w:szCs w:val="22"/>
        </w:rPr>
        <w:t> </w:t>
      </w:r>
      <w:r w:rsidRPr="00051FD3">
        <w:rPr>
          <w:rFonts w:eastAsia="TimesNewRoman"/>
          <w:sz w:val="22"/>
          <w:szCs w:val="22"/>
        </w:rPr>
        <w:t>-</w:t>
      </w:r>
      <w:r w:rsidR="00807431" w:rsidRPr="00051FD3">
        <w:rPr>
          <w:rFonts w:eastAsia="TimesNewRoman"/>
          <w:sz w:val="22"/>
          <w:szCs w:val="22"/>
        </w:rPr>
        <w:t> </w:t>
      </w:r>
      <w:r w:rsidRPr="00051FD3">
        <w:rPr>
          <w:rFonts w:eastAsia="TimesNewRoman"/>
          <w:sz w:val="22"/>
          <w:szCs w:val="22"/>
        </w:rPr>
        <w:t>300</w:t>
      </w:r>
      <w:r w:rsidR="001F05BA" w:rsidRPr="00051FD3">
        <w:rPr>
          <w:rFonts w:eastAsia="TimesNewRoman"/>
          <w:sz w:val="22"/>
          <w:szCs w:val="22"/>
        </w:rPr>
        <w:t> </w:t>
      </w:r>
      <w:r w:rsidRPr="00051FD3">
        <w:rPr>
          <w:rFonts w:eastAsia="TimesNewRoman"/>
          <w:sz w:val="22"/>
          <w:szCs w:val="22"/>
        </w:rPr>
        <w:t xml:space="preserve">ml/min. </w:t>
      </w:r>
      <w:proofErr w:type="spellStart"/>
      <w:r w:rsidRPr="00051FD3">
        <w:rPr>
          <w:rFonts w:eastAsia="TimesNewRoman"/>
          <w:sz w:val="22"/>
          <w:szCs w:val="22"/>
        </w:rPr>
        <w:t>Hidrochlorotiazido</w:t>
      </w:r>
      <w:proofErr w:type="spellEnd"/>
      <w:r w:rsidRPr="00051FD3">
        <w:rPr>
          <w:rFonts w:eastAsia="TimesNewRoman"/>
          <w:sz w:val="22"/>
          <w:szCs w:val="22"/>
        </w:rPr>
        <w:t xml:space="preserve"> galutinės pusinės eliminacijos laikas yra 10-15</w:t>
      </w:r>
      <w:r w:rsidR="00807431" w:rsidRPr="00051FD3">
        <w:rPr>
          <w:rFonts w:eastAsia="TimesNewRoman"/>
          <w:sz w:val="22"/>
          <w:szCs w:val="22"/>
        </w:rPr>
        <w:t> </w:t>
      </w:r>
      <w:r w:rsidRPr="00051FD3">
        <w:rPr>
          <w:rFonts w:eastAsia="TimesNewRoman"/>
          <w:sz w:val="22"/>
          <w:szCs w:val="22"/>
        </w:rPr>
        <w:t>val.</w:t>
      </w:r>
    </w:p>
    <w:p w14:paraId="43BEF0D0" w14:textId="77777777" w:rsidR="006D74A7" w:rsidRPr="00012DBE" w:rsidRDefault="006D74A7" w:rsidP="007F39B7">
      <w:pPr>
        <w:autoSpaceDE w:val="0"/>
        <w:autoSpaceDN w:val="0"/>
        <w:adjustRightInd w:val="0"/>
        <w:rPr>
          <w:rFonts w:eastAsia="TimesNewRoman"/>
          <w:sz w:val="22"/>
          <w:szCs w:val="22"/>
        </w:rPr>
      </w:pPr>
    </w:p>
    <w:p w14:paraId="0F29267E" w14:textId="77777777" w:rsidR="006D74A7" w:rsidRPr="00051FD3" w:rsidRDefault="006D74A7" w:rsidP="006D74A7">
      <w:pPr>
        <w:autoSpaceDE w:val="0"/>
        <w:autoSpaceDN w:val="0"/>
        <w:adjustRightInd w:val="0"/>
        <w:rPr>
          <w:rFonts w:eastAsia="TimesNewRoman"/>
          <w:sz w:val="22"/>
          <w:szCs w:val="22"/>
          <w:u w:val="single"/>
        </w:rPr>
      </w:pPr>
      <w:r w:rsidRPr="00051FD3">
        <w:rPr>
          <w:rFonts w:eastAsia="TimesNewRoman"/>
          <w:sz w:val="22"/>
          <w:szCs w:val="22"/>
          <w:u w:val="single"/>
        </w:rPr>
        <w:t>Tiesinis / netiesinis pobūdis</w:t>
      </w:r>
    </w:p>
    <w:p w14:paraId="38B67BD4" w14:textId="77777777" w:rsidR="006D74A7" w:rsidRPr="00051FD3" w:rsidRDefault="006D74A7" w:rsidP="006D74A7">
      <w:pPr>
        <w:autoSpaceDE w:val="0"/>
        <w:autoSpaceDN w:val="0"/>
        <w:adjustRightInd w:val="0"/>
        <w:rPr>
          <w:rFonts w:eastAsia="TimesNewRoman"/>
          <w:sz w:val="22"/>
          <w:szCs w:val="22"/>
        </w:rPr>
      </w:pPr>
    </w:p>
    <w:p w14:paraId="4BB93581" w14:textId="227A43A7" w:rsidR="006D74A7" w:rsidRPr="00051FD3" w:rsidRDefault="00A04868" w:rsidP="00807431">
      <w:pPr>
        <w:autoSpaceDE w:val="0"/>
        <w:autoSpaceDN w:val="0"/>
        <w:adjustRightInd w:val="0"/>
        <w:rPr>
          <w:rFonts w:eastAsia="TimesNewRoman"/>
          <w:sz w:val="22"/>
          <w:szCs w:val="22"/>
        </w:rPr>
      </w:pPr>
      <w:proofErr w:type="spellStart"/>
      <w:r w:rsidRPr="00051FD3">
        <w:rPr>
          <w:rFonts w:eastAsia="TimesNewRoman"/>
          <w:sz w:val="22"/>
          <w:szCs w:val="22"/>
        </w:rPr>
        <w:t>Telmisartanas</w:t>
      </w:r>
      <w:proofErr w:type="spellEnd"/>
      <w:r w:rsidRPr="00051FD3">
        <w:rPr>
          <w:rFonts w:eastAsia="TimesNewRoman"/>
          <w:sz w:val="22"/>
          <w:szCs w:val="22"/>
        </w:rPr>
        <w:t>: p</w:t>
      </w:r>
      <w:r w:rsidR="006D74A7" w:rsidRPr="00051FD3">
        <w:rPr>
          <w:rFonts w:eastAsia="TimesNewRoman"/>
          <w:sz w:val="22"/>
          <w:szCs w:val="22"/>
        </w:rPr>
        <w:t xml:space="preserve">er burną vartojamo </w:t>
      </w:r>
      <w:proofErr w:type="spellStart"/>
      <w:r w:rsidR="006D74A7" w:rsidRPr="00051FD3">
        <w:rPr>
          <w:rFonts w:eastAsia="TimesNewRoman"/>
          <w:sz w:val="22"/>
          <w:szCs w:val="22"/>
        </w:rPr>
        <w:t>telmisartano</w:t>
      </w:r>
      <w:proofErr w:type="spellEnd"/>
      <w:r w:rsidR="006D74A7" w:rsidRPr="00051FD3">
        <w:rPr>
          <w:rFonts w:eastAsia="TimesNewRoman"/>
          <w:sz w:val="22"/>
          <w:szCs w:val="22"/>
        </w:rPr>
        <w:t xml:space="preserve"> farmakokinetikos pobūdis 20-160</w:t>
      </w:r>
      <w:r w:rsidR="00807431" w:rsidRPr="00051FD3">
        <w:rPr>
          <w:rFonts w:eastAsia="TimesNewRoman"/>
          <w:sz w:val="22"/>
          <w:szCs w:val="22"/>
        </w:rPr>
        <w:t> </w:t>
      </w:r>
      <w:r w:rsidR="006D74A7" w:rsidRPr="00051FD3">
        <w:rPr>
          <w:rFonts w:eastAsia="TimesNewRoman"/>
          <w:sz w:val="22"/>
          <w:szCs w:val="22"/>
        </w:rPr>
        <w:t>mg dozių intervale</w:t>
      </w:r>
      <w:r w:rsidR="00BE2DA3" w:rsidRPr="00051FD3">
        <w:rPr>
          <w:rFonts w:eastAsia="TimesNewRoman"/>
          <w:sz w:val="22"/>
          <w:szCs w:val="22"/>
        </w:rPr>
        <w:t xml:space="preserve"> </w:t>
      </w:r>
      <w:r w:rsidR="006D74A7" w:rsidRPr="00051FD3">
        <w:rPr>
          <w:rFonts w:eastAsia="TimesNewRoman"/>
          <w:sz w:val="22"/>
          <w:szCs w:val="22"/>
        </w:rPr>
        <w:t>nėra tiesinio pobūdžio: didinant dozę, koncentracijos kraujo plazmoje (</w:t>
      </w:r>
      <w:proofErr w:type="spellStart"/>
      <w:r w:rsidR="006D74A7" w:rsidRPr="00051FD3">
        <w:rPr>
          <w:rFonts w:eastAsia="TimesNewRoman"/>
          <w:sz w:val="22"/>
          <w:szCs w:val="22"/>
        </w:rPr>
        <w:t>C</w:t>
      </w:r>
      <w:r w:rsidR="006D74A7" w:rsidRPr="00051FD3">
        <w:rPr>
          <w:rFonts w:eastAsia="TimesNewRoman"/>
          <w:sz w:val="22"/>
          <w:szCs w:val="22"/>
          <w:vertAlign w:val="subscript"/>
        </w:rPr>
        <w:t>max</w:t>
      </w:r>
      <w:proofErr w:type="spellEnd"/>
      <w:r w:rsidR="006D74A7" w:rsidRPr="00051FD3">
        <w:rPr>
          <w:rFonts w:eastAsia="TimesNewRoman"/>
          <w:sz w:val="22"/>
          <w:szCs w:val="22"/>
        </w:rPr>
        <w:t xml:space="preserve"> ir AUC) didėja daugiau</w:t>
      </w:r>
      <w:r w:rsidR="00BE2DA3" w:rsidRPr="00051FD3">
        <w:rPr>
          <w:rFonts w:eastAsia="TimesNewRoman"/>
          <w:sz w:val="22"/>
          <w:szCs w:val="22"/>
        </w:rPr>
        <w:t xml:space="preserve"> </w:t>
      </w:r>
      <w:r w:rsidR="006D74A7" w:rsidRPr="00051FD3">
        <w:rPr>
          <w:rFonts w:eastAsia="TimesNewRoman"/>
          <w:sz w:val="22"/>
          <w:szCs w:val="22"/>
        </w:rPr>
        <w:t>negu proporcingai dozei.</w:t>
      </w:r>
      <w:r w:rsidR="00807431" w:rsidRPr="00051FD3">
        <w:rPr>
          <w:rFonts w:eastAsia="TimesNewRoman"/>
          <w:sz w:val="22"/>
          <w:szCs w:val="22"/>
        </w:rPr>
        <w:t xml:space="preserve"> </w:t>
      </w:r>
      <w:r w:rsidR="00807431" w:rsidRPr="00051FD3">
        <w:rPr>
          <w:sz w:val="22"/>
          <w:szCs w:val="22"/>
        </w:rPr>
        <w:t xml:space="preserve">Vartojant kartotines dozes, pastebimai </w:t>
      </w:r>
      <w:proofErr w:type="spellStart"/>
      <w:r w:rsidR="00807431" w:rsidRPr="00051FD3">
        <w:rPr>
          <w:sz w:val="22"/>
          <w:szCs w:val="22"/>
        </w:rPr>
        <w:t>telmisartano</w:t>
      </w:r>
      <w:proofErr w:type="spellEnd"/>
      <w:r w:rsidR="00807431" w:rsidRPr="00051FD3">
        <w:rPr>
          <w:sz w:val="22"/>
          <w:szCs w:val="22"/>
        </w:rPr>
        <w:t xml:space="preserve"> kraujo plazmoje nesikaupia.</w:t>
      </w:r>
    </w:p>
    <w:p w14:paraId="1B466644" w14:textId="77777777" w:rsidR="006D74A7" w:rsidRPr="00051FD3" w:rsidRDefault="006D74A7" w:rsidP="006D74A7">
      <w:pPr>
        <w:autoSpaceDE w:val="0"/>
        <w:autoSpaceDN w:val="0"/>
        <w:adjustRightInd w:val="0"/>
        <w:rPr>
          <w:rFonts w:eastAsia="TimesNewRoman"/>
          <w:sz w:val="22"/>
          <w:szCs w:val="22"/>
        </w:rPr>
      </w:pPr>
    </w:p>
    <w:p w14:paraId="76CDEE5B" w14:textId="77777777" w:rsidR="006D74A7" w:rsidRPr="00051FD3" w:rsidRDefault="006D74A7" w:rsidP="006D74A7">
      <w:pPr>
        <w:autoSpaceDE w:val="0"/>
        <w:autoSpaceDN w:val="0"/>
        <w:adjustRightInd w:val="0"/>
        <w:rPr>
          <w:rFonts w:eastAsia="TimesNewRoman"/>
          <w:sz w:val="22"/>
          <w:szCs w:val="22"/>
        </w:rPr>
      </w:pPr>
      <w:proofErr w:type="spellStart"/>
      <w:r w:rsidRPr="00051FD3">
        <w:rPr>
          <w:rFonts w:eastAsia="TimesNewRoman"/>
          <w:sz w:val="22"/>
          <w:szCs w:val="22"/>
        </w:rPr>
        <w:t>Hidrochlorotiazido</w:t>
      </w:r>
      <w:proofErr w:type="spellEnd"/>
      <w:r w:rsidRPr="00051FD3">
        <w:rPr>
          <w:rFonts w:eastAsia="TimesNewRoman"/>
          <w:sz w:val="22"/>
          <w:szCs w:val="22"/>
        </w:rPr>
        <w:t xml:space="preserve"> farmakokinetikos pobūdis yra tiesinis.</w:t>
      </w:r>
    </w:p>
    <w:p w14:paraId="553E06FA" w14:textId="77777777" w:rsidR="007F39B7" w:rsidRPr="00051FD3" w:rsidRDefault="007F39B7" w:rsidP="007F39B7">
      <w:pPr>
        <w:autoSpaceDE w:val="0"/>
        <w:autoSpaceDN w:val="0"/>
        <w:adjustRightInd w:val="0"/>
        <w:rPr>
          <w:rFonts w:eastAsia="TimesNewRoman"/>
          <w:i/>
          <w:iCs/>
          <w:sz w:val="22"/>
          <w:szCs w:val="22"/>
        </w:rPr>
      </w:pPr>
    </w:p>
    <w:p w14:paraId="479E90A4" w14:textId="47821F88" w:rsidR="00A06CD3" w:rsidRPr="00051FD3" w:rsidRDefault="00A06CD3" w:rsidP="007F39B7">
      <w:pPr>
        <w:autoSpaceDE w:val="0"/>
        <w:autoSpaceDN w:val="0"/>
        <w:adjustRightInd w:val="0"/>
        <w:rPr>
          <w:rFonts w:eastAsia="TimesNewRoman"/>
          <w:i/>
          <w:sz w:val="22"/>
          <w:szCs w:val="22"/>
          <w:u w:val="single"/>
        </w:rPr>
      </w:pPr>
      <w:r w:rsidRPr="00051FD3">
        <w:rPr>
          <w:rFonts w:eastAsia="TimesNewRoman"/>
          <w:i/>
          <w:sz w:val="22"/>
          <w:szCs w:val="22"/>
          <w:u w:val="single"/>
        </w:rPr>
        <w:t xml:space="preserve">Kitos </w:t>
      </w:r>
      <w:r w:rsidR="00D10194">
        <w:rPr>
          <w:rFonts w:eastAsia="TimesNewRoman"/>
          <w:i/>
          <w:sz w:val="22"/>
          <w:szCs w:val="22"/>
          <w:u w:val="single"/>
        </w:rPr>
        <w:t xml:space="preserve">ypatingos </w:t>
      </w:r>
      <w:r w:rsidRPr="00051FD3">
        <w:rPr>
          <w:rFonts w:eastAsia="TimesNewRoman"/>
          <w:i/>
          <w:sz w:val="22"/>
          <w:szCs w:val="22"/>
          <w:u w:val="single"/>
        </w:rPr>
        <w:t>populiacijos</w:t>
      </w:r>
    </w:p>
    <w:p w14:paraId="338E4B16" w14:textId="77777777" w:rsidR="00807431" w:rsidRPr="00051FD3" w:rsidRDefault="00807431" w:rsidP="007F39B7">
      <w:pPr>
        <w:autoSpaceDE w:val="0"/>
        <w:autoSpaceDN w:val="0"/>
        <w:adjustRightInd w:val="0"/>
        <w:rPr>
          <w:rFonts w:eastAsia="TimesNewRoman"/>
          <w:sz w:val="22"/>
          <w:szCs w:val="22"/>
          <w:u w:val="single"/>
        </w:rPr>
      </w:pPr>
    </w:p>
    <w:p w14:paraId="291FCC08" w14:textId="66007148" w:rsidR="007F39B7" w:rsidRPr="00051FD3" w:rsidRDefault="00BE2DA3" w:rsidP="007F39B7">
      <w:pPr>
        <w:autoSpaceDE w:val="0"/>
        <w:autoSpaceDN w:val="0"/>
        <w:adjustRightInd w:val="0"/>
        <w:rPr>
          <w:rFonts w:eastAsia="TimesNewRoman"/>
          <w:sz w:val="22"/>
          <w:szCs w:val="22"/>
          <w:u w:val="single"/>
        </w:rPr>
      </w:pPr>
      <w:r w:rsidRPr="00051FD3">
        <w:rPr>
          <w:rFonts w:eastAsia="TimesNewRoman"/>
          <w:sz w:val="22"/>
          <w:szCs w:val="22"/>
          <w:u w:val="single"/>
        </w:rPr>
        <w:t>Senyvi</w:t>
      </w:r>
    </w:p>
    <w:p w14:paraId="43E30A53" w14:textId="093DE2AB" w:rsidR="007F39B7" w:rsidRPr="00051FD3" w:rsidRDefault="00BE2DA3" w:rsidP="007F39B7">
      <w:pPr>
        <w:autoSpaceDE w:val="0"/>
        <w:autoSpaceDN w:val="0"/>
        <w:adjustRightInd w:val="0"/>
        <w:rPr>
          <w:rFonts w:eastAsia="TimesNewRoman"/>
          <w:sz w:val="22"/>
          <w:szCs w:val="22"/>
        </w:rPr>
      </w:pPr>
      <w:r w:rsidRPr="00051FD3">
        <w:rPr>
          <w:rFonts w:eastAsia="TimesNewRoman"/>
          <w:sz w:val="22"/>
          <w:szCs w:val="22"/>
        </w:rPr>
        <w:t>Senyvų</w:t>
      </w:r>
      <w:r w:rsidR="007F39B7" w:rsidRPr="00051FD3">
        <w:rPr>
          <w:rFonts w:eastAsia="TimesNewRoman"/>
          <w:sz w:val="22"/>
          <w:szCs w:val="22"/>
        </w:rPr>
        <w:t xml:space="preserve"> </w:t>
      </w:r>
      <w:r w:rsidR="00807431" w:rsidRPr="00051FD3">
        <w:rPr>
          <w:rFonts w:eastAsia="TimesNewRoman"/>
          <w:sz w:val="22"/>
          <w:szCs w:val="22"/>
        </w:rPr>
        <w:t xml:space="preserve">ir jaunesnių nei 65 metų pacientų </w:t>
      </w:r>
      <w:proofErr w:type="spellStart"/>
      <w:r w:rsidR="00807431" w:rsidRPr="00051FD3">
        <w:rPr>
          <w:rFonts w:eastAsia="TimesNewRoman"/>
          <w:sz w:val="22"/>
          <w:szCs w:val="22"/>
        </w:rPr>
        <w:t>telmisartano</w:t>
      </w:r>
      <w:proofErr w:type="spellEnd"/>
      <w:r w:rsidR="007F39B7" w:rsidRPr="00051FD3">
        <w:rPr>
          <w:rFonts w:eastAsia="TimesNewRoman"/>
          <w:sz w:val="22"/>
          <w:szCs w:val="22"/>
        </w:rPr>
        <w:t xml:space="preserve"> farmakokinetika </w:t>
      </w:r>
      <w:r w:rsidR="00807431" w:rsidRPr="00051FD3">
        <w:rPr>
          <w:rFonts w:eastAsia="TimesNewRoman"/>
          <w:sz w:val="22"/>
          <w:szCs w:val="22"/>
        </w:rPr>
        <w:t>nesiskiria.</w:t>
      </w:r>
    </w:p>
    <w:p w14:paraId="780FED90" w14:textId="77777777" w:rsidR="007F39B7" w:rsidRPr="00051FD3" w:rsidRDefault="007F39B7" w:rsidP="007F39B7">
      <w:pPr>
        <w:autoSpaceDE w:val="0"/>
        <w:autoSpaceDN w:val="0"/>
        <w:adjustRightInd w:val="0"/>
        <w:rPr>
          <w:rFonts w:eastAsia="TimesNewRoman"/>
          <w:sz w:val="22"/>
          <w:szCs w:val="22"/>
        </w:rPr>
      </w:pPr>
    </w:p>
    <w:p w14:paraId="16199E3B" w14:textId="77777777" w:rsidR="007F39B7" w:rsidRPr="00051FD3" w:rsidRDefault="007F39B7" w:rsidP="007F39B7">
      <w:pPr>
        <w:autoSpaceDE w:val="0"/>
        <w:autoSpaceDN w:val="0"/>
        <w:adjustRightInd w:val="0"/>
        <w:rPr>
          <w:rFonts w:eastAsia="TimesNewRoman"/>
          <w:sz w:val="22"/>
          <w:szCs w:val="22"/>
          <w:u w:val="single"/>
        </w:rPr>
      </w:pPr>
      <w:r w:rsidRPr="00051FD3">
        <w:rPr>
          <w:rFonts w:eastAsia="TimesNewRoman"/>
          <w:sz w:val="22"/>
          <w:szCs w:val="22"/>
          <w:u w:val="single"/>
        </w:rPr>
        <w:t>Lytis</w:t>
      </w:r>
    </w:p>
    <w:p w14:paraId="6FD80D14"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Moterų kraujo plazmoje </w:t>
      </w:r>
      <w:proofErr w:type="spellStart"/>
      <w:r w:rsidRPr="00051FD3">
        <w:rPr>
          <w:rFonts w:eastAsia="TimesNewRoman"/>
          <w:sz w:val="22"/>
          <w:szCs w:val="22"/>
        </w:rPr>
        <w:t>telmisartano</w:t>
      </w:r>
      <w:proofErr w:type="spellEnd"/>
      <w:r w:rsidRPr="00051FD3">
        <w:rPr>
          <w:rFonts w:eastAsia="TimesNewRoman"/>
          <w:sz w:val="22"/>
          <w:szCs w:val="22"/>
        </w:rPr>
        <w:t xml:space="preserve"> koncentracija paprastai būna 2-3 kartus didesnė negu vyrų. Klinikinių tyrimų metu moterims padidėjusio kraujospūdžio stipriau vaistinis preparatas nemažino, </w:t>
      </w:r>
      <w:proofErr w:type="spellStart"/>
      <w:r w:rsidRPr="00051FD3">
        <w:rPr>
          <w:rFonts w:eastAsia="TimesNewRoman"/>
          <w:sz w:val="22"/>
          <w:szCs w:val="22"/>
        </w:rPr>
        <w:t>ortostatinės</w:t>
      </w:r>
      <w:proofErr w:type="spellEnd"/>
      <w:r w:rsidRPr="00051FD3">
        <w:rPr>
          <w:rFonts w:eastAsia="TimesNewRoman"/>
          <w:sz w:val="22"/>
          <w:szCs w:val="22"/>
        </w:rPr>
        <w:t xml:space="preserve"> </w:t>
      </w:r>
      <w:proofErr w:type="spellStart"/>
      <w:r w:rsidRPr="00051FD3">
        <w:rPr>
          <w:rFonts w:eastAsia="TimesNewRoman"/>
          <w:sz w:val="22"/>
          <w:szCs w:val="22"/>
        </w:rPr>
        <w:t>hipotenzijos</w:t>
      </w:r>
      <w:proofErr w:type="spellEnd"/>
      <w:r w:rsidRPr="00051FD3">
        <w:rPr>
          <w:rFonts w:eastAsia="TimesNewRoman"/>
          <w:sz w:val="22"/>
          <w:szCs w:val="22"/>
        </w:rPr>
        <w:t xml:space="preserve"> joms dažniau nesukėlė. Moterims dozės keisti nereikia. </w:t>
      </w:r>
      <w:proofErr w:type="spellStart"/>
      <w:r w:rsidRPr="00051FD3">
        <w:rPr>
          <w:rFonts w:eastAsia="TimesNewRoman"/>
          <w:sz w:val="22"/>
          <w:szCs w:val="22"/>
        </w:rPr>
        <w:t>Hidrochlorotiazido</w:t>
      </w:r>
      <w:proofErr w:type="spellEnd"/>
      <w:r w:rsidRPr="00051FD3">
        <w:rPr>
          <w:rFonts w:eastAsia="TimesNewRoman"/>
          <w:sz w:val="22"/>
          <w:szCs w:val="22"/>
        </w:rPr>
        <w:t xml:space="preserve"> koncentracija moterų kraujo plazmoje rodė tendenciją būti didesnė negu vyrų. Manoma, jog tai klinikai nėra reikšminga.</w:t>
      </w:r>
    </w:p>
    <w:p w14:paraId="4E7ABBB0" w14:textId="77777777" w:rsidR="007F39B7" w:rsidRPr="00051FD3" w:rsidRDefault="007F39B7" w:rsidP="007F39B7">
      <w:pPr>
        <w:autoSpaceDE w:val="0"/>
        <w:autoSpaceDN w:val="0"/>
        <w:adjustRightInd w:val="0"/>
        <w:rPr>
          <w:iCs/>
          <w:sz w:val="22"/>
          <w:szCs w:val="22"/>
          <w:u w:val="single"/>
        </w:rPr>
      </w:pPr>
    </w:p>
    <w:p w14:paraId="557F3FDA" w14:textId="3867D188" w:rsidR="007F39B7" w:rsidRPr="00051FD3" w:rsidRDefault="00062640" w:rsidP="007F39B7">
      <w:pPr>
        <w:autoSpaceDE w:val="0"/>
        <w:autoSpaceDN w:val="0"/>
        <w:adjustRightInd w:val="0"/>
        <w:rPr>
          <w:iCs/>
          <w:sz w:val="22"/>
          <w:szCs w:val="22"/>
          <w:u w:val="single"/>
        </w:rPr>
      </w:pPr>
      <w:r>
        <w:rPr>
          <w:iCs/>
          <w:sz w:val="22"/>
          <w:szCs w:val="22"/>
          <w:u w:val="single"/>
        </w:rPr>
        <w:t>Sutrikusi i</w:t>
      </w:r>
      <w:r w:rsidR="007F39B7" w:rsidRPr="00051FD3">
        <w:rPr>
          <w:iCs/>
          <w:sz w:val="22"/>
          <w:szCs w:val="22"/>
          <w:u w:val="single"/>
        </w:rPr>
        <w:t>nkstų funkcij</w:t>
      </w:r>
      <w:r>
        <w:rPr>
          <w:iCs/>
          <w:sz w:val="22"/>
          <w:szCs w:val="22"/>
          <w:u w:val="single"/>
        </w:rPr>
        <w:t>a</w:t>
      </w:r>
    </w:p>
    <w:p w14:paraId="0DC18423" w14:textId="4DA9A562" w:rsidR="007F39B7" w:rsidRPr="00051FD3" w:rsidRDefault="00807431" w:rsidP="007F39B7">
      <w:pPr>
        <w:autoSpaceDE w:val="0"/>
        <w:autoSpaceDN w:val="0"/>
        <w:adjustRightInd w:val="0"/>
        <w:rPr>
          <w:rFonts w:eastAsia="TimesNewRoman"/>
          <w:sz w:val="22"/>
          <w:szCs w:val="22"/>
        </w:rPr>
      </w:pPr>
      <w:r w:rsidRPr="00051FD3">
        <w:rPr>
          <w:rFonts w:eastAsia="TimesNewRoman"/>
          <w:sz w:val="22"/>
          <w:szCs w:val="22"/>
        </w:rPr>
        <w:t xml:space="preserve">Mažesnė koncentracija kraujo plazmoje nustatyta inkstų nepakankamumu sergantiems pacientams, kuriems atliekama dializė. Pacientams, sergantiems inkstų nepakankamumu, daug </w:t>
      </w:r>
      <w:proofErr w:type="spellStart"/>
      <w:r w:rsidRPr="00051FD3">
        <w:rPr>
          <w:rFonts w:eastAsia="TimesNewRoman"/>
          <w:sz w:val="22"/>
          <w:szCs w:val="22"/>
        </w:rPr>
        <w:t>telmisartano</w:t>
      </w:r>
      <w:proofErr w:type="spellEnd"/>
      <w:r w:rsidRPr="00051FD3">
        <w:rPr>
          <w:rFonts w:eastAsia="TimesNewRoman"/>
          <w:sz w:val="22"/>
          <w:szCs w:val="22"/>
        </w:rPr>
        <w:t xml:space="preserve"> jungiasi prie kraujo plazmos baltymų ir nepasišalina dializės metu. Pusinės eliminacijos laikas pacientams, kurių inkstų funkcija sutrikusi, nekinta.</w:t>
      </w:r>
      <w:r w:rsidR="007F39B7" w:rsidRPr="00051FD3">
        <w:rPr>
          <w:rFonts w:eastAsia="TimesNewRoman"/>
          <w:sz w:val="22"/>
          <w:szCs w:val="22"/>
        </w:rPr>
        <w:t xml:space="preserve">. </w:t>
      </w:r>
      <w:r w:rsidR="00236324" w:rsidRPr="00051FD3">
        <w:rPr>
          <w:rFonts w:eastAsia="TimesNewRoman"/>
          <w:sz w:val="22"/>
          <w:szCs w:val="22"/>
        </w:rPr>
        <w:t>Pacient</w:t>
      </w:r>
      <w:r w:rsidR="007F39B7" w:rsidRPr="00051FD3">
        <w:rPr>
          <w:rFonts w:eastAsia="TimesNewRoman"/>
          <w:sz w:val="22"/>
          <w:szCs w:val="22"/>
        </w:rPr>
        <w:t xml:space="preserve">ų, kurių inkstų funkcija sutrikusi, organizme </w:t>
      </w:r>
      <w:proofErr w:type="spellStart"/>
      <w:r w:rsidR="007F39B7" w:rsidRPr="00051FD3">
        <w:rPr>
          <w:sz w:val="22"/>
          <w:szCs w:val="22"/>
        </w:rPr>
        <w:t>hidrochlorotiazido</w:t>
      </w:r>
      <w:proofErr w:type="spellEnd"/>
      <w:r w:rsidR="007F39B7" w:rsidRPr="00051FD3">
        <w:rPr>
          <w:sz w:val="22"/>
          <w:szCs w:val="22"/>
        </w:rPr>
        <w:t xml:space="preserve"> </w:t>
      </w:r>
      <w:r w:rsidR="007F39B7" w:rsidRPr="00051FD3">
        <w:rPr>
          <w:rFonts w:eastAsia="TimesNewRoman"/>
          <w:sz w:val="22"/>
          <w:szCs w:val="22"/>
        </w:rPr>
        <w:t>eliminacija yra lėtesnė. Tyrimų metu pacientų, kurių vidutinis kreatinino klirensas buvo 90</w:t>
      </w:r>
      <w:r w:rsidR="00732472" w:rsidRPr="00051FD3">
        <w:rPr>
          <w:rFonts w:eastAsia="TimesNewRoman"/>
          <w:sz w:val="22"/>
          <w:szCs w:val="22"/>
        </w:rPr>
        <w:t> </w:t>
      </w:r>
      <w:r w:rsidR="007F39B7" w:rsidRPr="00051FD3">
        <w:rPr>
          <w:rFonts w:eastAsia="TimesNewRoman"/>
          <w:sz w:val="22"/>
          <w:szCs w:val="22"/>
        </w:rPr>
        <w:t xml:space="preserve">ml/min., organizme pusinė </w:t>
      </w:r>
      <w:proofErr w:type="spellStart"/>
      <w:r w:rsidR="007F39B7" w:rsidRPr="00051FD3">
        <w:rPr>
          <w:rFonts w:eastAsia="TimesNewRoman"/>
          <w:sz w:val="22"/>
          <w:szCs w:val="22"/>
        </w:rPr>
        <w:t>hidrochlorotiazido</w:t>
      </w:r>
      <w:proofErr w:type="spellEnd"/>
      <w:r w:rsidR="007F39B7" w:rsidRPr="00051FD3">
        <w:rPr>
          <w:rFonts w:eastAsia="TimesNewRoman"/>
          <w:sz w:val="22"/>
          <w:szCs w:val="22"/>
        </w:rPr>
        <w:t xml:space="preserve"> eliminacija truko ilgiau. Jeigu inkstai nefunkcionuoja, pusinės eliminacijos laikas yra maždaug 34</w:t>
      </w:r>
      <w:r w:rsidRPr="00051FD3">
        <w:rPr>
          <w:rFonts w:eastAsia="TimesNewRoman"/>
          <w:sz w:val="22"/>
          <w:szCs w:val="22"/>
        </w:rPr>
        <w:t> </w:t>
      </w:r>
      <w:r w:rsidR="007F39B7" w:rsidRPr="00051FD3">
        <w:rPr>
          <w:rFonts w:eastAsia="TimesNewRoman"/>
          <w:sz w:val="22"/>
          <w:szCs w:val="22"/>
        </w:rPr>
        <w:t>val.</w:t>
      </w:r>
    </w:p>
    <w:p w14:paraId="7B4820DE" w14:textId="77777777" w:rsidR="00807431" w:rsidRPr="00051FD3" w:rsidRDefault="00807431" w:rsidP="007F39B7">
      <w:pPr>
        <w:autoSpaceDE w:val="0"/>
        <w:autoSpaceDN w:val="0"/>
        <w:adjustRightInd w:val="0"/>
        <w:rPr>
          <w:rFonts w:eastAsia="TimesNewRoman"/>
          <w:sz w:val="22"/>
          <w:szCs w:val="22"/>
        </w:rPr>
      </w:pPr>
    </w:p>
    <w:p w14:paraId="4159FDF0" w14:textId="5F35CA2F" w:rsidR="007F39B7" w:rsidRPr="00051FD3" w:rsidRDefault="00062640" w:rsidP="007F39B7">
      <w:pPr>
        <w:autoSpaceDE w:val="0"/>
        <w:autoSpaceDN w:val="0"/>
        <w:adjustRightInd w:val="0"/>
        <w:rPr>
          <w:rFonts w:eastAsia="TimesNewRoman"/>
          <w:sz w:val="22"/>
          <w:szCs w:val="22"/>
          <w:u w:val="single"/>
        </w:rPr>
      </w:pPr>
      <w:r>
        <w:rPr>
          <w:rFonts w:eastAsia="TimesNewRoman"/>
          <w:sz w:val="22"/>
          <w:szCs w:val="22"/>
          <w:u w:val="single"/>
        </w:rPr>
        <w:t>Sutrikusi k</w:t>
      </w:r>
      <w:r w:rsidR="007F39B7" w:rsidRPr="00051FD3">
        <w:rPr>
          <w:rFonts w:eastAsia="TimesNewRoman"/>
          <w:sz w:val="22"/>
          <w:szCs w:val="22"/>
          <w:u w:val="single"/>
        </w:rPr>
        <w:t>epenų funkcij</w:t>
      </w:r>
      <w:r>
        <w:rPr>
          <w:rFonts w:eastAsia="TimesNewRoman"/>
          <w:sz w:val="22"/>
          <w:szCs w:val="22"/>
          <w:u w:val="single"/>
        </w:rPr>
        <w:t>a</w:t>
      </w:r>
    </w:p>
    <w:p w14:paraId="346FC7D0" w14:textId="2D9A6962"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Tyrimais nustatyta, jog </w:t>
      </w:r>
      <w:r w:rsidR="00236324" w:rsidRPr="00051FD3">
        <w:rPr>
          <w:rFonts w:eastAsia="TimesNewRoman"/>
          <w:sz w:val="22"/>
          <w:szCs w:val="22"/>
        </w:rPr>
        <w:t>pacient</w:t>
      </w:r>
      <w:r w:rsidRPr="00051FD3">
        <w:rPr>
          <w:rFonts w:eastAsia="TimesNewRoman"/>
          <w:sz w:val="22"/>
          <w:szCs w:val="22"/>
        </w:rPr>
        <w:t xml:space="preserve">ų, kurių kepenų funkcija sutrikusi, organizme absoliutus biologinis </w:t>
      </w:r>
      <w:proofErr w:type="spellStart"/>
      <w:r w:rsidRPr="00051FD3">
        <w:rPr>
          <w:rFonts w:eastAsia="TimesNewRoman"/>
          <w:sz w:val="22"/>
          <w:szCs w:val="22"/>
        </w:rPr>
        <w:t>telmisartano</w:t>
      </w:r>
      <w:proofErr w:type="spellEnd"/>
      <w:r w:rsidRPr="00051FD3">
        <w:rPr>
          <w:rFonts w:eastAsia="TimesNewRoman"/>
          <w:sz w:val="22"/>
          <w:szCs w:val="22"/>
        </w:rPr>
        <w:t xml:space="preserve"> prieinamumas padidėja ir būna beveik 100</w:t>
      </w:r>
      <w:r w:rsidR="00732472" w:rsidRPr="00051FD3">
        <w:rPr>
          <w:rFonts w:eastAsia="TimesNewRoman"/>
          <w:sz w:val="22"/>
          <w:szCs w:val="22"/>
        </w:rPr>
        <w:t> </w:t>
      </w:r>
      <w:r w:rsidRPr="00051FD3">
        <w:rPr>
          <w:rFonts w:eastAsia="TimesNewRoman"/>
          <w:sz w:val="22"/>
          <w:szCs w:val="22"/>
        </w:rPr>
        <w:t>%. Pusinės eliminacijos laikas nekinta.</w:t>
      </w:r>
    </w:p>
    <w:p w14:paraId="3F51586B" w14:textId="77777777" w:rsidR="007F39B7" w:rsidRPr="00051FD3" w:rsidRDefault="007F39B7" w:rsidP="007F39B7">
      <w:pPr>
        <w:autoSpaceDE w:val="0"/>
        <w:autoSpaceDN w:val="0"/>
        <w:adjustRightInd w:val="0"/>
        <w:rPr>
          <w:sz w:val="22"/>
          <w:szCs w:val="22"/>
        </w:rPr>
      </w:pPr>
    </w:p>
    <w:p w14:paraId="2EB9E341" w14:textId="77777777" w:rsidR="007F39B7" w:rsidRPr="00051FD3" w:rsidRDefault="007F39B7" w:rsidP="007F39B7">
      <w:pPr>
        <w:autoSpaceDE w:val="0"/>
        <w:autoSpaceDN w:val="0"/>
        <w:adjustRightInd w:val="0"/>
        <w:rPr>
          <w:rFonts w:eastAsia="Times New Roman,Bold"/>
          <w:b/>
          <w:bCs/>
          <w:sz w:val="22"/>
          <w:szCs w:val="22"/>
        </w:rPr>
      </w:pPr>
      <w:r w:rsidRPr="00051FD3">
        <w:rPr>
          <w:b/>
          <w:bCs/>
          <w:sz w:val="22"/>
          <w:szCs w:val="22"/>
        </w:rPr>
        <w:t>5.3</w:t>
      </w:r>
      <w:r w:rsidRPr="00051FD3">
        <w:rPr>
          <w:b/>
          <w:bCs/>
          <w:sz w:val="22"/>
          <w:szCs w:val="22"/>
        </w:rPr>
        <w:tab/>
      </w:r>
      <w:proofErr w:type="spellStart"/>
      <w:r w:rsidRPr="00051FD3">
        <w:rPr>
          <w:rFonts w:eastAsia="Times New Roman,Bold"/>
          <w:b/>
          <w:bCs/>
          <w:sz w:val="22"/>
          <w:szCs w:val="22"/>
        </w:rPr>
        <w:t>Ikiklinikinių</w:t>
      </w:r>
      <w:proofErr w:type="spellEnd"/>
      <w:r w:rsidRPr="00051FD3">
        <w:rPr>
          <w:rFonts w:eastAsia="Times New Roman,Bold"/>
          <w:b/>
          <w:bCs/>
          <w:sz w:val="22"/>
          <w:szCs w:val="22"/>
        </w:rPr>
        <w:t xml:space="preserve"> saugumo tyrimų duomenys</w:t>
      </w:r>
    </w:p>
    <w:p w14:paraId="2C4FFB0C" w14:textId="77777777" w:rsidR="007F39B7" w:rsidRPr="00051FD3" w:rsidRDefault="007F39B7" w:rsidP="007F39B7">
      <w:pPr>
        <w:autoSpaceDE w:val="0"/>
        <w:autoSpaceDN w:val="0"/>
        <w:adjustRightInd w:val="0"/>
        <w:rPr>
          <w:sz w:val="22"/>
          <w:szCs w:val="22"/>
        </w:rPr>
      </w:pPr>
    </w:p>
    <w:p w14:paraId="135ECB50" w14:textId="77777777" w:rsidR="007F39B7" w:rsidRPr="00051FD3" w:rsidRDefault="007F39B7" w:rsidP="007F39B7">
      <w:pPr>
        <w:autoSpaceDE w:val="0"/>
        <w:autoSpaceDN w:val="0"/>
        <w:adjustRightInd w:val="0"/>
        <w:rPr>
          <w:rFonts w:eastAsia="TimesNewRoman"/>
          <w:sz w:val="22"/>
          <w:szCs w:val="22"/>
        </w:rPr>
      </w:pPr>
      <w:proofErr w:type="spellStart"/>
      <w:r w:rsidRPr="00051FD3">
        <w:rPr>
          <w:rFonts w:eastAsia="TimesNewRoman"/>
          <w:sz w:val="22"/>
          <w:szCs w:val="22"/>
        </w:rPr>
        <w:t>Ikiklinikinių</w:t>
      </w:r>
      <w:proofErr w:type="spellEnd"/>
      <w:r w:rsidRPr="00051FD3">
        <w:rPr>
          <w:rFonts w:eastAsia="TimesNewRoman"/>
          <w:sz w:val="22"/>
          <w:szCs w:val="22"/>
        </w:rPr>
        <w:t xml:space="preserve"> saugumo tyrimų metu žiurkėms ir šunims, kurių kraujospūdis buvo normalus, kartu vartojamos </w:t>
      </w:r>
      <w:proofErr w:type="spellStart"/>
      <w:r w:rsidRPr="00051FD3">
        <w:rPr>
          <w:rFonts w:eastAsia="TimesNewRoman"/>
          <w:sz w:val="22"/>
          <w:szCs w:val="22"/>
        </w:rPr>
        <w:t>telmisartano</w:t>
      </w:r>
      <w:proofErr w:type="spellEnd"/>
      <w:r w:rsidRPr="00051FD3">
        <w:rPr>
          <w:rFonts w:eastAsia="TimesNewRoman"/>
          <w:sz w:val="22"/>
          <w:szCs w:val="22"/>
        </w:rPr>
        <w:t xml:space="preserve"> ir </w:t>
      </w:r>
      <w:proofErr w:type="spellStart"/>
      <w:r w:rsidRPr="00051FD3">
        <w:rPr>
          <w:rFonts w:eastAsia="TimesNewRoman"/>
          <w:sz w:val="22"/>
          <w:szCs w:val="22"/>
        </w:rPr>
        <w:t>hidrochlorotiazido</w:t>
      </w:r>
      <w:proofErr w:type="spellEnd"/>
      <w:r w:rsidRPr="00051FD3">
        <w:rPr>
          <w:rFonts w:eastAsia="TimesNewRoman"/>
          <w:sz w:val="22"/>
          <w:szCs w:val="22"/>
        </w:rPr>
        <w:t xml:space="preserve"> dozės, nuo kurių veikliųjų medžiagų ekspozicija gyvūnų organizme buvo maždaug tokia pat kaip žmonių, vartojančių terapinę dozę, kitokio poveikio, nei būdingo kiekvienai veikliajai medžiagai, nepasireiškė. Toksinio poveikio tyrimų duomenys žmogui, vartojančiam terapinę dozę, nėra reikšmingi.</w:t>
      </w:r>
    </w:p>
    <w:p w14:paraId="36AA6845" w14:textId="77777777" w:rsidR="007F39B7" w:rsidRPr="00051FD3" w:rsidRDefault="007F39B7" w:rsidP="007F39B7">
      <w:pPr>
        <w:autoSpaceDE w:val="0"/>
        <w:autoSpaceDN w:val="0"/>
        <w:adjustRightInd w:val="0"/>
        <w:rPr>
          <w:rFonts w:eastAsia="TimesNewRoman"/>
          <w:sz w:val="22"/>
          <w:szCs w:val="22"/>
        </w:rPr>
      </w:pPr>
    </w:p>
    <w:p w14:paraId="426EFF59"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Toksinio poveikio simptomai buvo tokie pat, kokius </w:t>
      </w:r>
      <w:proofErr w:type="spellStart"/>
      <w:r w:rsidRPr="00051FD3">
        <w:rPr>
          <w:rFonts w:eastAsia="TimesNewRoman"/>
          <w:sz w:val="22"/>
          <w:szCs w:val="22"/>
        </w:rPr>
        <w:t>ikiklinikinių</w:t>
      </w:r>
      <w:proofErr w:type="spellEnd"/>
      <w:r w:rsidRPr="00051FD3">
        <w:rPr>
          <w:rFonts w:eastAsia="TimesNewRoman"/>
          <w:sz w:val="22"/>
          <w:szCs w:val="22"/>
        </w:rPr>
        <w:t xml:space="preserve"> tyrimų metu sukeldavo </w:t>
      </w:r>
      <w:proofErr w:type="spellStart"/>
      <w:r w:rsidRPr="00051FD3">
        <w:rPr>
          <w:rFonts w:eastAsia="TimesNewRoman"/>
          <w:sz w:val="22"/>
          <w:szCs w:val="22"/>
        </w:rPr>
        <w:t>angiotenziną</w:t>
      </w:r>
      <w:proofErr w:type="spellEnd"/>
      <w:r w:rsidRPr="00051FD3">
        <w:rPr>
          <w:rFonts w:eastAsia="TimesNewRoman"/>
          <w:sz w:val="22"/>
          <w:szCs w:val="22"/>
        </w:rPr>
        <w:t xml:space="preserve"> konvertuojančių fermentų inhibitoriai ir </w:t>
      </w:r>
      <w:proofErr w:type="spellStart"/>
      <w:r w:rsidRPr="00051FD3">
        <w:rPr>
          <w:rFonts w:eastAsia="TimesNewRoman"/>
          <w:sz w:val="22"/>
          <w:szCs w:val="22"/>
        </w:rPr>
        <w:t>angiotenzinui</w:t>
      </w:r>
      <w:proofErr w:type="spellEnd"/>
      <w:r w:rsidRPr="00051FD3">
        <w:rPr>
          <w:rFonts w:eastAsia="TimesNewRoman"/>
          <w:sz w:val="22"/>
          <w:szCs w:val="22"/>
        </w:rPr>
        <w:t xml:space="preserve"> jautrių receptorių blokatoriai: atsirado eritrocitų parametrų pokyčių (eritrocitų kiekis, hemoglobino koncentracija bei </w:t>
      </w:r>
      <w:proofErr w:type="spellStart"/>
      <w:r w:rsidRPr="00051FD3">
        <w:rPr>
          <w:rFonts w:eastAsia="TimesNewRoman"/>
          <w:sz w:val="22"/>
          <w:szCs w:val="22"/>
        </w:rPr>
        <w:t>hematokrito</w:t>
      </w:r>
      <w:proofErr w:type="spellEnd"/>
      <w:r w:rsidRPr="00051FD3">
        <w:rPr>
          <w:rFonts w:eastAsia="TimesNewRoman"/>
          <w:sz w:val="22"/>
          <w:szCs w:val="22"/>
        </w:rPr>
        <w:t xml:space="preserve"> rodmenys), pakito inkstų kraujotaka (kraujyje padidėjo šlapalo ir kreatinino kiekis), padidėjo </w:t>
      </w:r>
      <w:proofErr w:type="spellStart"/>
      <w:r w:rsidRPr="00051FD3">
        <w:rPr>
          <w:rFonts w:eastAsia="TimesNewRoman"/>
          <w:sz w:val="22"/>
          <w:szCs w:val="22"/>
        </w:rPr>
        <w:t>renino</w:t>
      </w:r>
      <w:proofErr w:type="spellEnd"/>
      <w:r w:rsidRPr="00051FD3">
        <w:rPr>
          <w:rFonts w:eastAsia="TimesNewRoman"/>
          <w:sz w:val="22"/>
          <w:szCs w:val="22"/>
        </w:rPr>
        <w:t xml:space="preserve"> aktyvumas kraujo plazmoje, atsirado arti </w:t>
      </w:r>
      <w:proofErr w:type="spellStart"/>
      <w:r w:rsidRPr="00051FD3">
        <w:rPr>
          <w:rFonts w:eastAsia="TimesNewRoman"/>
          <w:sz w:val="22"/>
          <w:szCs w:val="22"/>
        </w:rPr>
        <w:t>glomerulų</w:t>
      </w:r>
      <w:proofErr w:type="spellEnd"/>
      <w:r w:rsidRPr="00051FD3">
        <w:rPr>
          <w:rFonts w:eastAsia="TimesNewRoman"/>
          <w:sz w:val="22"/>
          <w:szCs w:val="22"/>
        </w:rPr>
        <w:t xml:space="preserve"> esančių ląstelių hipertrofija (</w:t>
      </w:r>
      <w:proofErr w:type="spellStart"/>
      <w:r w:rsidRPr="00051FD3">
        <w:rPr>
          <w:rFonts w:eastAsia="TimesNewRoman"/>
          <w:sz w:val="22"/>
          <w:szCs w:val="22"/>
        </w:rPr>
        <w:t>hiperplazija</w:t>
      </w:r>
      <w:proofErr w:type="spellEnd"/>
      <w:r w:rsidRPr="00051FD3">
        <w:rPr>
          <w:rFonts w:eastAsia="TimesNewRoman"/>
          <w:sz w:val="22"/>
          <w:szCs w:val="22"/>
        </w:rPr>
        <w:t xml:space="preserve">) ir skrandžio gleivinės pažeidimas. Skrandžio pažeidimų galima išvengti (arba sumažinti), jeigu gyvūnams duodama </w:t>
      </w:r>
      <w:proofErr w:type="spellStart"/>
      <w:r w:rsidR="00A1680A" w:rsidRPr="00051FD3">
        <w:rPr>
          <w:rFonts w:eastAsia="TimesNewRoman"/>
          <w:sz w:val="22"/>
          <w:szCs w:val="22"/>
        </w:rPr>
        <w:t>gerti</w:t>
      </w:r>
      <w:r w:rsidRPr="00051FD3">
        <w:rPr>
          <w:rFonts w:eastAsia="TimesNewRoman"/>
          <w:sz w:val="22"/>
          <w:szCs w:val="22"/>
        </w:rPr>
        <w:t>izotoninio</w:t>
      </w:r>
      <w:proofErr w:type="spellEnd"/>
      <w:r w:rsidRPr="00051FD3">
        <w:rPr>
          <w:rFonts w:eastAsia="TimesNewRoman"/>
          <w:sz w:val="22"/>
          <w:szCs w:val="22"/>
        </w:rPr>
        <w:t xml:space="preserve"> natrio chlorido tirpalo ir gyvūnai laikomi grupėmis. Vaistinis preparatas išplėtė šunų inkstų kanalėlius, sukėlė jų atrofiją. Manoma, jog toks poveikis priklauso nuo farmakologinio </w:t>
      </w:r>
      <w:proofErr w:type="spellStart"/>
      <w:r w:rsidRPr="00051FD3">
        <w:rPr>
          <w:rFonts w:eastAsia="TimesNewRoman"/>
          <w:sz w:val="22"/>
          <w:szCs w:val="22"/>
        </w:rPr>
        <w:t>telmisartano</w:t>
      </w:r>
      <w:proofErr w:type="spellEnd"/>
      <w:r w:rsidRPr="00051FD3">
        <w:rPr>
          <w:rFonts w:eastAsia="TimesNewRoman"/>
          <w:sz w:val="22"/>
          <w:szCs w:val="22"/>
        </w:rPr>
        <w:t xml:space="preserve"> aktyvumo.</w:t>
      </w:r>
    </w:p>
    <w:p w14:paraId="3746E2D5" w14:textId="6CCCDECE" w:rsidR="007F39B7" w:rsidRPr="00051FD3" w:rsidRDefault="00732472" w:rsidP="00732472">
      <w:pPr>
        <w:autoSpaceDE w:val="0"/>
        <w:autoSpaceDN w:val="0"/>
        <w:adjustRightInd w:val="0"/>
        <w:rPr>
          <w:rFonts w:eastAsia="TimesNewRoman"/>
          <w:sz w:val="22"/>
          <w:szCs w:val="22"/>
        </w:rPr>
      </w:pPr>
      <w:proofErr w:type="spellStart"/>
      <w:r w:rsidRPr="00051FD3">
        <w:rPr>
          <w:sz w:val="22"/>
          <w:szCs w:val="22"/>
        </w:rPr>
        <w:t>Telmisartano</w:t>
      </w:r>
      <w:proofErr w:type="spellEnd"/>
      <w:r w:rsidRPr="00051FD3">
        <w:rPr>
          <w:sz w:val="22"/>
          <w:szCs w:val="22"/>
        </w:rPr>
        <w:t xml:space="preserve"> poveikio patinų ir patelių vaisingumui nestebėta.</w:t>
      </w:r>
    </w:p>
    <w:p w14:paraId="74BDF4E3" w14:textId="77777777" w:rsidR="00732472" w:rsidRPr="00051FD3" w:rsidRDefault="00732472" w:rsidP="007F39B7">
      <w:pPr>
        <w:autoSpaceDE w:val="0"/>
        <w:autoSpaceDN w:val="0"/>
        <w:adjustRightInd w:val="0"/>
        <w:rPr>
          <w:rFonts w:eastAsia="TimesNewRoman"/>
          <w:sz w:val="22"/>
          <w:szCs w:val="22"/>
        </w:rPr>
      </w:pPr>
    </w:p>
    <w:p w14:paraId="3578D5A1" w14:textId="07481E45"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Aiškių </w:t>
      </w:r>
      <w:proofErr w:type="spellStart"/>
      <w:r w:rsidRPr="00051FD3">
        <w:rPr>
          <w:rFonts w:eastAsia="TimesNewRoman"/>
          <w:sz w:val="22"/>
          <w:szCs w:val="22"/>
        </w:rPr>
        <w:t>teratogeninio</w:t>
      </w:r>
      <w:proofErr w:type="spellEnd"/>
      <w:r w:rsidRPr="00051FD3">
        <w:rPr>
          <w:rFonts w:eastAsia="TimesNewRoman"/>
          <w:sz w:val="22"/>
          <w:szCs w:val="22"/>
        </w:rPr>
        <w:t xml:space="preserve"> poveikio įrodymų nėra, tačiau toksinės </w:t>
      </w:r>
      <w:proofErr w:type="spellStart"/>
      <w:r w:rsidRPr="00051FD3">
        <w:rPr>
          <w:rFonts w:eastAsia="TimesNewRoman"/>
          <w:sz w:val="22"/>
          <w:szCs w:val="22"/>
        </w:rPr>
        <w:t>telmisartano</w:t>
      </w:r>
      <w:proofErr w:type="spellEnd"/>
      <w:r w:rsidRPr="00051FD3">
        <w:rPr>
          <w:rFonts w:eastAsia="TimesNewRoman"/>
          <w:sz w:val="22"/>
          <w:szCs w:val="22"/>
        </w:rPr>
        <w:t xml:space="preserve"> dozės darė poveikį </w:t>
      </w:r>
      <w:proofErr w:type="spellStart"/>
      <w:r w:rsidRPr="00051FD3">
        <w:rPr>
          <w:rFonts w:eastAsia="TimesNewRoman"/>
          <w:sz w:val="22"/>
          <w:szCs w:val="22"/>
        </w:rPr>
        <w:t>postnataliniam</w:t>
      </w:r>
      <w:proofErr w:type="spellEnd"/>
      <w:r w:rsidRPr="00051FD3">
        <w:rPr>
          <w:rFonts w:eastAsia="TimesNewRoman"/>
          <w:sz w:val="22"/>
          <w:szCs w:val="22"/>
        </w:rPr>
        <w:t xml:space="preserve"> jauniklių vystymuisi, pavyzdžiui, sumažino jų kūno svorį ir uždelsė atsimerkimą. </w:t>
      </w:r>
    </w:p>
    <w:p w14:paraId="77A84991" w14:textId="77777777" w:rsidR="005D0576" w:rsidRPr="00051FD3" w:rsidRDefault="005D0576" w:rsidP="007F39B7">
      <w:pPr>
        <w:autoSpaceDE w:val="0"/>
        <w:autoSpaceDN w:val="0"/>
        <w:adjustRightInd w:val="0"/>
        <w:rPr>
          <w:rFonts w:eastAsia="TimesNewRoman"/>
          <w:sz w:val="22"/>
          <w:szCs w:val="22"/>
        </w:rPr>
      </w:pPr>
    </w:p>
    <w:p w14:paraId="0E1B35D7"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Tyrimų </w:t>
      </w:r>
      <w:proofErr w:type="spellStart"/>
      <w:r w:rsidRPr="00051FD3">
        <w:rPr>
          <w:rFonts w:eastAsia="TimesNewRoman"/>
          <w:i/>
          <w:iCs/>
          <w:sz w:val="22"/>
          <w:szCs w:val="22"/>
        </w:rPr>
        <w:t>in</w:t>
      </w:r>
      <w:proofErr w:type="spellEnd"/>
      <w:r w:rsidRPr="00051FD3">
        <w:rPr>
          <w:rFonts w:eastAsia="TimesNewRoman"/>
          <w:i/>
          <w:iCs/>
          <w:sz w:val="22"/>
          <w:szCs w:val="22"/>
        </w:rPr>
        <w:t xml:space="preserve"> </w:t>
      </w:r>
      <w:proofErr w:type="spellStart"/>
      <w:r w:rsidRPr="00051FD3">
        <w:rPr>
          <w:rFonts w:eastAsia="TimesNewRoman"/>
          <w:i/>
          <w:iCs/>
          <w:sz w:val="22"/>
          <w:szCs w:val="22"/>
        </w:rPr>
        <w:t>vitro</w:t>
      </w:r>
      <w:proofErr w:type="spellEnd"/>
      <w:r w:rsidRPr="00051FD3">
        <w:rPr>
          <w:rFonts w:eastAsia="TimesNewRoman"/>
          <w:i/>
          <w:iCs/>
          <w:sz w:val="22"/>
          <w:szCs w:val="22"/>
        </w:rPr>
        <w:t xml:space="preserve"> </w:t>
      </w:r>
      <w:r w:rsidRPr="00051FD3">
        <w:rPr>
          <w:rFonts w:eastAsia="TimesNewRoman"/>
          <w:sz w:val="22"/>
          <w:szCs w:val="22"/>
        </w:rPr>
        <w:t xml:space="preserve">metu mutageninio ar reikšmingo </w:t>
      </w:r>
      <w:proofErr w:type="spellStart"/>
      <w:r w:rsidRPr="00051FD3">
        <w:rPr>
          <w:rFonts w:eastAsia="TimesNewRoman"/>
          <w:sz w:val="22"/>
          <w:szCs w:val="22"/>
        </w:rPr>
        <w:t>klastogeninio</w:t>
      </w:r>
      <w:proofErr w:type="spellEnd"/>
      <w:r w:rsidRPr="00051FD3">
        <w:rPr>
          <w:rFonts w:eastAsia="TimesNewRoman"/>
          <w:sz w:val="22"/>
          <w:szCs w:val="22"/>
        </w:rPr>
        <w:t xml:space="preserve"> </w:t>
      </w:r>
      <w:proofErr w:type="spellStart"/>
      <w:r w:rsidRPr="00051FD3">
        <w:rPr>
          <w:rFonts w:eastAsia="TimesNewRoman"/>
          <w:sz w:val="22"/>
          <w:szCs w:val="22"/>
        </w:rPr>
        <w:t>telmisartano</w:t>
      </w:r>
      <w:proofErr w:type="spellEnd"/>
      <w:r w:rsidRPr="00051FD3">
        <w:rPr>
          <w:rFonts w:eastAsia="TimesNewRoman"/>
          <w:sz w:val="22"/>
          <w:szCs w:val="22"/>
        </w:rPr>
        <w:t xml:space="preserve"> poveikio nepastebėta</w:t>
      </w:r>
      <w:r w:rsidR="005D0576" w:rsidRPr="00051FD3">
        <w:rPr>
          <w:rFonts w:eastAsia="TimesNewRoman"/>
          <w:sz w:val="22"/>
          <w:szCs w:val="22"/>
        </w:rPr>
        <w:t>, taip pat</w:t>
      </w:r>
      <w:r w:rsidRPr="00051FD3">
        <w:rPr>
          <w:rFonts w:eastAsia="TimesNewRoman"/>
          <w:sz w:val="22"/>
          <w:szCs w:val="22"/>
        </w:rPr>
        <w:t xml:space="preserve"> </w:t>
      </w:r>
      <w:r w:rsidR="005D0576" w:rsidRPr="00051FD3">
        <w:rPr>
          <w:rFonts w:eastAsia="TimesNewRoman"/>
          <w:sz w:val="22"/>
          <w:szCs w:val="22"/>
        </w:rPr>
        <w:t>ž</w:t>
      </w:r>
      <w:r w:rsidRPr="00051FD3">
        <w:rPr>
          <w:rFonts w:eastAsia="TimesNewRoman"/>
          <w:sz w:val="22"/>
          <w:szCs w:val="22"/>
        </w:rPr>
        <w:t xml:space="preserve">iurkėms ir pelėms kancerogeninio poveikio vaistas nesukėlė. Kai kurių </w:t>
      </w:r>
      <w:proofErr w:type="spellStart"/>
      <w:r w:rsidRPr="00051FD3">
        <w:rPr>
          <w:rFonts w:eastAsia="TimesNewRoman"/>
          <w:sz w:val="22"/>
          <w:szCs w:val="22"/>
        </w:rPr>
        <w:t>genotoksinio</w:t>
      </w:r>
      <w:proofErr w:type="spellEnd"/>
      <w:r w:rsidRPr="00051FD3">
        <w:rPr>
          <w:rFonts w:eastAsia="TimesNewRoman"/>
          <w:sz w:val="22"/>
          <w:szCs w:val="22"/>
        </w:rPr>
        <w:t xml:space="preserve"> ir kancerogeninio </w:t>
      </w:r>
      <w:proofErr w:type="spellStart"/>
      <w:r w:rsidRPr="00051FD3">
        <w:rPr>
          <w:rFonts w:eastAsia="TimesNewRoman"/>
          <w:sz w:val="22"/>
          <w:szCs w:val="22"/>
        </w:rPr>
        <w:t>hidrochlorotiazido</w:t>
      </w:r>
      <w:proofErr w:type="spellEnd"/>
      <w:r w:rsidRPr="00051FD3">
        <w:rPr>
          <w:rFonts w:eastAsia="TimesNewRoman"/>
          <w:sz w:val="22"/>
          <w:szCs w:val="22"/>
        </w:rPr>
        <w:t xml:space="preserve"> tyrimų su eksperimentiniais modeliais rezultatai yra dviprasmiški</w:t>
      </w:r>
      <w:r w:rsidR="00B8187A" w:rsidRPr="00051FD3">
        <w:rPr>
          <w:rFonts w:eastAsia="TimesNewRoman"/>
          <w:sz w:val="22"/>
          <w:szCs w:val="22"/>
        </w:rPr>
        <w:t>.</w:t>
      </w:r>
      <w:r w:rsidRPr="00051FD3">
        <w:rPr>
          <w:rFonts w:eastAsia="TimesNewRoman"/>
          <w:sz w:val="22"/>
          <w:szCs w:val="22"/>
        </w:rPr>
        <w:t xml:space="preserve"> </w:t>
      </w:r>
    </w:p>
    <w:p w14:paraId="44ED3DD1" w14:textId="77777777" w:rsidR="007F39B7" w:rsidRPr="00051FD3" w:rsidRDefault="007F39B7" w:rsidP="007F39B7">
      <w:pPr>
        <w:autoSpaceDE w:val="0"/>
        <w:autoSpaceDN w:val="0"/>
        <w:adjustRightInd w:val="0"/>
        <w:rPr>
          <w:rFonts w:eastAsia="TimesNewRoman"/>
          <w:sz w:val="22"/>
          <w:szCs w:val="22"/>
        </w:rPr>
      </w:pPr>
      <w:r w:rsidRPr="00051FD3">
        <w:rPr>
          <w:rFonts w:eastAsia="TimesNewRoman"/>
          <w:sz w:val="22"/>
          <w:szCs w:val="22"/>
        </w:rPr>
        <w:t xml:space="preserve">Apie </w:t>
      </w:r>
      <w:proofErr w:type="spellStart"/>
      <w:r w:rsidRPr="00051FD3">
        <w:rPr>
          <w:rFonts w:eastAsia="TimesNewRoman"/>
          <w:sz w:val="22"/>
          <w:szCs w:val="22"/>
        </w:rPr>
        <w:t>telmisartano</w:t>
      </w:r>
      <w:proofErr w:type="spellEnd"/>
      <w:r w:rsidRPr="00051FD3">
        <w:rPr>
          <w:rFonts w:eastAsia="TimesNewRoman"/>
          <w:sz w:val="22"/>
          <w:szCs w:val="22"/>
        </w:rPr>
        <w:t>/</w:t>
      </w:r>
      <w:proofErr w:type="spellStart"/>
      <w:r w:rsidRPr="00051FD3">
        <w:rPr>
          <w:rFonts w:eastAsia="TimesNewRoman"/>
          <w:sz w:val="22"/>
          <w:szCs w:val="22"/>
        </w:rPr>
        <w:t>hidrochlorotiazido</w:t>
      </w:r>
      <w:proofErr w:type="spellEnd"/>
      <w:r w:rsidRPr="00051FD3">
        <w:rPr>
          <w:rFonts w:eastAsia="TimesNewRoman"/>
          <w:sz w:val="22"/>
          <w:szCs w:val="22"/>
        </w:rPr>
        <w:t xml:space="preserve"> derinio toksinį poveikį vaisiui žr. 4.6 skyrių.</w:t>
      </w:r>
    </w:p>
    <w:p w14:paraId="5C69440E" w14:textId="77777777" w:rsidR="007F39B7" w:rsidRPr="00051FD3" w:rsidRDefault="007F39B7" w:rsidP="007F39B7">
      <w:pPr>
        <w:autoSpaceDE w:val="0"/>
        <w:autoSpaceDN w:val="0"/>
        <w:adjustRightInd w:val="0"/>
        <w:rPr>
          <w:sz w:val="22"/>
          <w:szCs w:val="22"/>
          <w:lang w:eastAsia="lt-LT"/>
        </w:rPr>
      </w:pPr>
    </w:p>
    <w:p w14:paraId="4D64B1B7" w14:textId="77777777" w:rsidR="007F39B7" w:rsidRPr="00051FD3" w:rsidRDefault="007F39B7" w:rsidP="007F39B7">
      <w:pPr>
        <w:autoSpaceDE w:val="0"/>
        <w:autoSpaceDN w:val="0"/>
        <w:adjustRightInd w:val="0"/>
        <w:rPr>
          <w:sz w:val="22"/>
          <w:szCs w:val="22"/>
          <w:lang w:eastAsia="lt-LT"/>
        </w:rPr>
      </w:pPr>
    </w:p>
    <w:p w14:paraId="2B029126"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6.</w:t>
      </w:r>
      <w:r w:rsidRPr="00051FD3">
        <w:rPr>
          <w:b/>
          <w:bCs/>
          <w:sz w:val="22"/>
          <w:szCs w:val="22"/>
          <w:lang w:eastAsia="lt-LT"/>
        </w:rPr>
        <w:tab/>
        <w:t>FARMACINĖ INFORMACIJA</w:t>
      </w:r>
    </w:p>
    <w:p w14:paraId="1C872637" w14:textId="77777777" w:rsidR="007F39B7" w:rsidRPr="00051FD3" w:rsidRDefault="007F39B7" w:rsidP="007F39B7">
      <w:pPr>
        <w:tabs>
          <w:tab w:val="left" w:pos="567"/>
        </w:tabs>
        <w:autoSpaceDE w:val="0"/>
        <w:autoSpaceDN w:val="0"/>
        <w:adjustRightInd w:val="0"/>
        <w:rPr>
          <w:b/>
          <w:bCs/>
          <w:sz w:val="22"/>
          <w:szCs w:val="22"/>
          <w:lang w:eastAsia="lt-LT"/>
        </w:rPr>
      </w:pPr>
    </w:p>
    <w:p w14:paraId="07D1C36E"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6.1</w:t>
      </w:r>
      <w:r w:rsidRPr="00051FD3">
        <w:rPr>
          <w:b/>
          <w:bCs/>
          <w:sz w:val="22"/>
          <w:szCs w:val="22"/>
          <w:lang w:eastAsia="lt-LT"/>
        </w:rPr>
        <w:tab/>
        <w:t>Pagalbinių medžiagų sąrašas</w:t>
      </w:r>
    </w:p>
    <w:p w14:paraId="15431653" w14:textId="77777777" w:rsidR="007F39B7" w:rsidRPr="00051FD3" w:rsidRDefault="007F39B7" w:rsidP="007F39B7">
      <w:pPr>
        <w:tabs>
          <w:tab w:val="left" w:pos="567"/>
        </w:tabs>
        <w:autoSpaceDE w:val="0"/>
        <w:autoSpaceDN w:val="0"/>
        <w:adjustRightInd w:val="0"/>
        <w:rPr>
          <w:sz w:val="22"/>
          <w:szCs w:val="22"/>
          <w:lang w:eastAsia="lt-LT"/>
        </w:rPr>
      </w:pPr>
    </w:p>
    <w:p w14:paraId="49BC2CF1" w14:textId="77777777" w:rsidR="007F39B7" w:rsidRPr="00051FD3" w:rsidRDefault="007F39B7" w:rsidP="007F39B7">
      <w:pPr>
        <w:tabs>
          <w:tab w:val="left" w:pos="567"/>
        </w:tabs>
        <w:autoSpaceDE w:val="0"/>
        <w:autoSpaceDN w:val="0"/>
        <w:adjustRightInd w:val="0"/>
        <w:rPr>
          <w:rFonts w:eastAsia="TimesNewRoman"/>
          <w:sz w:val="22"/>
          <w:szCs w:val="22"/>
        </w:rPr>
      </w:pPr>
      <w:r w:rsidRPr="00051FD3">
        <w:rPr>
          <w:rFonts w:eastAsia="TimesNewRoman"/>
          <w:sz w:val="22"/>
          <w:szCs w:val="22"/>
        </w:rPr>
        <w:t xml:space="preserve">Magnio </w:t>
      </w:r>
      <w:proofErr w:type="spellStart"/>
      <w:r w:rsidRPr="00051FD3">
        <w:rPr>
          <w:rFonts w:eastAsia="TimesNewRoman"/>
          <w:sz w:val="22"/>
          <w:szCs w:val="22"/>
        </w:rPr>
        <w:t>stearatas</w:t>
      </w:r>
      <w:proofErr w:type="spellEnd"/>
      <w:r w:rsidRPr="00051FD3">
        <w:rPr>
          <w:rFonts w:eastAsia="TimesNewRoman"/>
          <w:sz w:val="22"/>
          <w:szCs w:val="22"/>
        </w:rPr>
        <w:t xml:space="preserve"> (E 470b)</w:t>
      </w:r>
    </w:p>
    <w:p w14:paraId="5314FBA2" w14:textId="77777777" w:rsidR="007F39B7" w:rsidRPr="00051FD3" w:rsidRDefault="007F39B7" w:rsidP="007F39B7">
      <w:pPr>
        <w:tabs>
          <w:tab w:val="left" w:pos="567"/>
        </w:tabs>
        <w:autoSpaceDE w:val="0"/>
        <w:autoSpaceDN w:val="0"/>
        <w:adjustRightInd w:val="0"/>
        <w:rPr>
          <w:rFonts w:eastAsia="TimesNewRoman"/>
          <w:sz w:val="22"/>
          <w:szCs w:val="22"/>
        </w:rPr>
      </w:pPr>
      <w:r w:rsidRPr="00051FD3">
        <w:rPr>
          <w:rFonts w:eastAsia="TimesNewRoman"/>
          <w:sz w:val="22"/>
          <w:szCs w:val="22"/>
        </w:rPr>
        <w:t>Kalio hidroksidas</w:t>
      </w:r>
    </w:p>
    <w:p w14:paraId="670646C6" w14:textId="77777777" w:rsidR="007F39B7" w:rsidRPr="00051FD3" w:rsidRDefault="007F39B7" w:rsidP="007F39B7">
      <w:pPr>
        <w:tabs>
          <w:tab w:val="left" w:pos="567"/>
        </w:tabs>
        <w:autoSpaceDE w:val="0"/>
        <w:autoSpaceDN w:val="0"/>
        <w:adjustRightInd w:val="0"/>
        <w:rPr>
          <w:rFonts w:eastAsia="TimesNewRoman"/>
          <w:sz w:val="22"/>
          <w:szCs w:val="22"/>
        </w:rPr>
      </w:pPr>
      <w:proofErr w:type="spellStart"/>
      <w:r w:rsidRPr="00051FD3">
        <w:rPr>
          <w:rFonts w:eastAsia="TimesNewRoman"/>
          <w:sz w:val="22"/>
          <w:szCs w:val="22"/>
        </w:rPr>
        <w:t>Megliuminas</w:t>
      </w:r>
      <w:proofErr w:type="spellEnd"/>
    </w:p>
    <w:p w14:paraId="76D5FA5C" w14:textId="77777777" w:rsidR="007F39B7" w:rsidRPr="00051FD3" w:rsidRDefault="007F39B7" w:rsidP="007F39B7">
      <w:pPr>
        <w:tabs>
          <w:tab w:val="left" w:pos="567"/>
        </w:tabs>
        <w:autoSpaceDE w:val="0"/>
        <w:autoSpaceDN w:val="0"/>
        <w:adjustRightInd w:val="0"/>
        <w:rPr>
          <w:rFonts w:eastAsia="TimesNewRoman"/>
          <w:sz w:val="22"/>
          <w:szCs w:val="22"/>
        </w:rPr>
      </w:pPr>
      <w:proofErr w:type="spellStart"/>
      <w:r w:rsidRPr="00051FD3">
        <w:rPr>
          <w:rFonts w:eastAsia="TimesNewRoman"/>
          <w:sz w:val="22"/>
          <w:szCs w:val="22"/>
        </w:rPr>
        <w:t>Povidonas</w:t>
      </w:r>
      <w:proofErr w:type="spellEnd"/>
    </w:p>
    <w:p w14:paraId="09F292DC" w14:textId="77777777" w:rsidR="007F39B7" w:rsidRPr="00051FD3" w:rsidRDefault="007F39B7" w:rsidP="007F39B7">
      <w:pPr>
        <w:tabs>
          <w:tab w:val="left" w:pos="567"/>
        </w:tabs>
        <w:autoSpaceDE w:val="0"/>
        <w:autoSpaceDN w:val="0"/>
        <w:adjustRightInd w:val="0"/>
        <w:rPr>
          <w:rFonts w:eastAsia="TimesNewRoman"/>
          <w:sz w:val="22"/>
          <w:szCs w:val="22"/>
        </w:rPr>
      </w:pPr>
      <w:proofErr w:type="spellStart"/>
      <w:r w:rsidRPr="00051FD3">
        <w:rPr>
          <w:rFonts w:eastAsia="TimesNewRoman"/>
          <w:sz w:val="22"/>
          <w:szCs w:val="22"/>
        </w:rPr>
        <w:t>Karboksimetilkrakmolo</w:t>
      </w:r>
      <w:proofErr w:type="spellEnd"/>
      <w:r w:rsidRPr="00051FD3">
        <w:rPr>
          <w:rFonts w:eastAsia="TimesNewRoman"/>
          <w:sz w:val="22"/>
          <w:szCs w:val="22"/>
        </w:rPr>
        <w:t xml:space="preserve"> A natrio druska </w:t>
      </w:r>
    </w:p>
    <w:p w14:paraId="39F8CA14" w14:textId="77777777" w:rsidR="007F39B7" w:rsidRPr="00051FD3" w:rsidRDefault="007F39B7" w:rsidP="007F39B7">
      <w:pPr>
        <w:tabs>
          <w:tab w:val="left" w:pos="567"/>
        </w:tabs>
        <w:autoSpaceDE w:val="0"/>
        <w:autoSpaceDN w:val="0"/>
        <w:adjustRightInd w:val="0"/>
        <w:rPr>
          <w:rFonts w:eastAsia="TimesNewRoman"/>
          <w:sz w:val="22"/>
          <w:szCs w:val="22"/>
        </w:rPr>
      </w:pPr>
      <w:proofErr w:type="spellStart"/>
      <w:r w:rsidRPr="00051FD3">
        <w:rPr>
          <w:rFonts w:eastAsia="TimesNewRoman"/>
          <w:sz w:val="22"/>
          <w:szCs w:val="22"/>
        </w:rPr>
        <w:t>Mikrokristalinė</w:t>
      </w:r>
      <w:proofErr w:type="spellEnd"/>
      <w:r w:rsidRPr="00051FD3">
        <w:rPr>
          <w:rFonts w:eastAsia="TimesNewRoman"/>
          <w:sz w:val="22"/>
          <w:szCs w:val="22"/>
        </w:rPr>
        <w:t xml:space="preserve"> celiuliozė</w:t>
      </w:r>
    </w:p>
    <w:p w14:paraId="186D3809" w14:textId="77777777" w:rsidR="007F39B7" w:rsidRPr="00051FD3" w:rsidRDefault="007F39B7" w:rsidP="007F39B7">
      <w:pPr>
        <w:tabs>
          <w:tab w:val="left" w:pos="567"/>
        </w:tabs>
        <w:autoSpaceDE w:val="0"/>
        <w:autoSpaceDN w:val="0"/>
        <w:adjustRightInd w:val="0"/>
        <w:rPr>
          <w:rFonts w:eastAsia="TimesNewRoman"/>
          <w:sz w:val="22"/>
          <w:szCs w:val="22"/>
        </w:rPr>
      </w:pPr>
      <w:proofErr w:type="spellStart"/>
      <w:r w:rsidRPr="00051FD3">
        <w:rPr>
          <w:rFonts w:eastAsia="TimesNewRoman"/>
          <w:sz w:val="22"/>
          <w:szCs w:val="22"/>
        </w:rPr>
        <w:t>Manitolis</w:t>
      </w:r>
      <w:proofErr w:type="spellEnd"/>
      <w:r w:rsidRPr="00051FD3">
        <w:rPr>
          <w:rFonts w:eastAsia="TimesNewRoman"/>
          <w:sz w:val="22"/>
          <w:szCs w:val="22"/>
        </w:rPr>
        <w:t xml:space="preserve"> (E421)</w:t>
      </w:r>
    </w:p>
    <w:p w14:paraId="310B71C9" w14:textId="77777777" w:rsidR="007F39B7" w:rsidRPr="00051FD3" w:rsidRDefault="007F39B7" w:rsidP="007F39B7">
      <w:pPr>
        <w:tabs>
          <w:tab w:val="left" w:pos="567"/>
        </w:tabs>
        <w:autoSpaceDE w:val="0"/>
        <w:autoSpaceDN w:val="0"/>
        <w:adjustRightInd w:val="0"/>
        <w:rPr>
          <w:sz w:val="22"/>
          <w:szCs w:val="22"/>
          <w:lang w:eastAsia="lt-LT"/>
        </w:rPr>
      </w:pPr>
    </w:p>
    <w:p w14:paraId="1F18EE8F"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6.2</w:t>
      </w:r>
      <w:r w:rsidRPr="00051FD3">
        <w:rPr>
          <w:b/>
          <w:bCs/>
          <w:sz w:val="22"/>
          <w:szCs w:val="22"/>
          <w:lang w:eastAsia="lt-LT"/>
        </w:rPr>
        <w:tab/>
        <w:t>Nesuderinamumas</w:t>
      </w:r>
    </w:p>
    <w:p w14:paraId="1A84A2D1" w14:textId="77777777" w:rsidR="007F39B7" w:rsidRPr="00051FD3" w:rsidRDefault="007F39B7" w:rsidP="007F39B7">
      <w:pPr>
        <w:tabs>
          <w:tab w:val="left" w:pos="567"/>
        </w:tabs>
        <w:autoSpaceDE w:val="0"/>
        <w:autoSpaceDN w:val="0"/>
        <w:adjustRightInd w:val="0"/>
        <w:rPr>
          <w:sz w:val="22"/>
          <w:szCs w:val="22"/>
          <w:lang w:eastAsia="lt-LT"/>
        </w:rPr>
      </w:pPr>
    </w:p>
    <w:p w14:paraId="6D66EE9C"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Duomenys nebūtini.</w:t>
      </w:r>
    </w:p>
    <w:p w14:paraId="20DCC9D7" w14:textId="77777777" w:rsidR="007F39B7" w:rsidRPr="00051FD3" w:rsidRDefault="007F39B7" w:rsidP="007F39B7">
      <w:pPr>
        <w:tabs>
          <w:tab w:val="left" w:pos="567"/>
        </w:tabs>
        <w:autoSpaceDE w:val="0"/>
        <w:autoSpaceDN w:val="0"/>
        <w:adjustRightInd w:val="0"/>
        <w:rPr>
          <w:sz w:val="22"/>
          <w:szCs w:val="22"/>
          <w:lang w:eastAsia="lt-LT"/>
        </w:rPr>
      </w:pPr>
    </w:p>
    <w:p w14:paraId="5137F7A0"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6.3</w:t>
      </w:r>
      <w:r w:rsidRPr="00051FD3">
        <w:rPr>
          <w:b/>
          <w:bCs/>
          <w:sz w:val="22"/>
          <w:szCs w:val="22"/>
          <w:lang w:eastAsia="lt-LT"/>
        </w:rPr>
        <w:tab/>
        <w:t>Tinkamumo laikas</w:t>
      </w:r>
    </w:p>
    <w:p w14:paraId="6B2389A4" w14:textId="77777777" w:rsidR="007F39B7" w:rsidRPr="00051FD3" w:rsidRDefault="007F39B7" w:rsidP="007F39B7">
      <w:pPr>
        <w:tabs>
          <w:tab w:val="left" w:pos="567"/>
        </w:tabs>
        <w:autoSpaceDE w:val="0"/>
        <w:autoSpaceDN w:val="0"/>
        <w:adjustRightInd w:val="0"/>
        <w:rPr>
          <w:b/>
          <w:bCs/>
          <w:sz w:val="22"/>
          <w:szCs w:val="22"/>
          <w:lang w:eastAsia="lt-LT"/>
        </w:rPr>
      </w:pPr>
    </w:p>
    <w:p w14:paraId="4D645495"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 xml:space="preserve">Aliuminio/aliuminio lizdinė plokštelė ir DTPE tablečių </w:t>
      </w:r>
      <w:proofErr w:type="spellStart"/>
      <w:r w:rsidRPr="00051FD3">
        <w:rPr>
          <w:sz w:val="22"/>
          <w:szCs w:val="22"/>
          <w:lang w:eastAsia="lt-LT"/>
        </w:rPr>
        <w:t>talpyklė</w:t>
      </w:r>
      <w:proofErr w:type="spellEnd"/>
      <w:r w:rsidRPr="00051FD3">
        <w:rPr>
          <w:sz w:val="22"/>
          <w:szCs w:val="22"/>
          <w:lang w:eastAsia="lt-LT"/>
        </w:rPr>
        <w:t>: 2 metai.</w:t>
      </w:r>
    </w:p>
    <w:p w14:paraId="1D0DC9A6" w14:textId="77777777" w:rsidR="007F39B7" w:rsidRPr="00051FD3" w:rsidRDefault="007F39B7" w:rsidP="007F39B7">
      <w:pPr>
        <w:tabs>
          <w:tab w:val="left" w:pos="567"/>
        </w:tabs>
        <w:autoSpaceDE w:val="0"/>
        <w:autoSpaceDN w:val="0"/>
        <w:adjustRightInd w:val="0"/>
        <w:rPr>
          <w:sz w:val="22"/>
          <w:szCs w:val="22"/>
          <w:lang w:eastAsia="lt-LT"/>
        </w:rPr>
      </w:pPr>
    </w:p>
    <w:p w14:paraId="34FD9FE6"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 xml:space="preserve">Aliuminio/PVDC </w:t>
      </w:r>
      <w:proofErr w:type="spellStart"/>
      <w:r w:rsidRPr="00051FD3">
        <w:rPr>
          <w:i/>
          <w:sz w:val="22"/>
          <w:szCs w:val="22"/>
          <w:lang w:eastAsia="lt-LT"/>
        </w:rPr>
        <w:t>Tristar</w:t>
      </w:r>
      <w:proofErr w:type="spellEnd"/>
      <w:r w:rsidRPr="00051FD3">
        <w:rPr>
          <w:sz w:val="22"/>
          <w:szCs w:val="22"/>
          <w:lang w:eastAsia="lt-LT"/>
        </w:rPr>
        <w:t xml:space="preserve"> lizdinė plokštelė: 18 mėnesių.</w:t>
      </w:r>
    </w:p>
    <w:p w14:paraId="00EC160C" w14:textId="77777777" w:rsidR="007F39B7" w:rsidRPr="00051FD3" w:rsidRDefault="007F39B7" w:rsidP="007F39B7">
      <w:pPr>
        <w:tabs>
          <w:tab w:val="left" w:pos="567"/>
        </w:tabs>
        <w:autoSpaceDE w:val="0"/>
        <w:autoSpaceDN w:val="0"/>
        <w:adjustRightInd w:val="0"/>
        <w:rPr>
          <w:sz w:val="22"/>
          <w:szCs w:val="22"/>
          <w:lang w:eastAsia="lt-LT"/>
        </w:rPr>
      </w:pPr>
    </w:p>
    <w:p w14:paraId="7C167584"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6.4</w:t>
      </w:r>
      <w:r w:rsidRPr="00051FD3">
        <w:rPr>
          <w:b/>
          <w:bCs/>
          <w:sz w:val="22"/>
          <w:szCs w:val="22"/>
          <w:lang w:eastAsia="lt-LT"/>
        </w:rPr>
        <w:tab/>
        <w:t>Specialios laikymo sąlygos</w:t>
      </w:r>
    </w:p>
    <w:p w14:paraId="04A73AC6" w14:textId="77777777" w:rsidR="007F39B7" w:rsidRPr="00051FD3" w:rsidRDefault="007F39B7" w:rsidP="007F39B7">
      <w:pPr>
        <w:tabs>
          <w:tab w:val="left" w:pos="567"/>
        </w:tabs>
        <w:autoSpaceDE w:val="0"/>
        <w:autoSpaceDN w:val="0"/>
        <w:adjustRightInd w:val="0"/>
        <w:rPr>
          <w:sz w:val="22"/>
          <w:szCs w:val="22"/>
          <w:lang w:eastAsia="lt-LT"/>
        </w:rPr>
      </w:pPr>
    </w:p>
    <w:p w14:paraId="1E8679A6"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 xml:space="preserve">Aliuminio/aliuminio lizdinė plokštelė ir DTPE tablečių </w:t>
      </w:r>
      <w:proofErr w:type="spellStart"/>
      <w:r w:rsidRPr="00051FD3">
        <w:rPr>
          <w:sz w:val="22"/>
          <w:szCs w:val="22"/>
          <w:lang w:eastAsia="lt-LT"/>
        </w:rPr>
        <w:t>talpyklė</w:t>
      </w:r>
      <w:proofErr w:type="spellEnd"/>
      <w:r w:rsidRPr="00051FD3">
        <w:rPr>
          <w:sz w:val="22"/>
          <w:szCs w:val="22"/>
          <w:lang w:eastAsia="lt-LT"/>
        </w:rPr>
        <w:t>: šiam vaistiniam preparatui specialių laikymo sąlygų nereikia.</w:t>
      </w:r>
    </w:p>
    <w:p w14:paraId="27F5A63B" w14:textId="77777777" w:rsidR="007F39B7" w:rsidRPr="00051FD3" w:rsidRDefault="007F39B7" w:rsidP="007F39B7">
      <w:pPr>
        <w:autoSpaceDE w:val="0"/>
        <w:autoSpaceDN w:val="0"/>
        <w:adjustRightInd w:val="0"/>
        <w:rPr>
          <w:sz w:val="22"/>
          <w:szCs w:val="22"/>
          <w:lang w:eastAsia="lt-LT"/>
        </w:rPr>
      </w:pPr>
    </w:p>
    <w:p w14:paraId="15F6DF82" w14:textId="17C9A394" w:rsidR="007F39B7" w:rsidRPr="00051FD3" w:rsidRDefault="007F39B7" w:rsidP="007F39B7">
      <w:pPr>
        <w:autoSpaceDE w:val="0"/>
        <w:autoSpaceDN w:val="0"/>
        <w:adjustRightInd w:val="0"/>
        <w:rPr>
          <w:sz w:val="22"/>
          <w:szCs w:val="22"/>
        </w:rPr>
      </w:pPr>
      <w:r w:rsidRPr="00051FD3">
        <w:rPr>
          <w:sz w:val="22"/>
          <w:szCs w:val="22"/>
          <w:lang w:eastAsia="lt-LT"/>
        </w:rPr>
        <w:t xml:space="preserve">Aliuminio/PVDC </w:t>
      </w:r>
      <w:proofErr w:type="spellStart"/>
      <w:r w:rsidRPr="00051FD3">
        <w:rPr>
          <w:i/>
          <w:sz w:val="22"/>
          <w:szCs w:val="22"/>
          <w:lang w:eastAsia="lt-LT"/>
        </w:rPr>
        <w:t>Tristar</w:t>
      </w:r>
      <w:proofErr w:type="spellEnd"/>
      <w:r w:rsidRPr="00051FD3">
        <w:rPr>
          <w:sz w:val="22"/>
          <w:szCs w:val="22"/>
          <w:lang w:eastAsia="lt-LT"/>
        </w:rPr>
        <w:t xml:space="preserve"> lizdinė plokštelė: l</w:t>
      </w:r>
      <w:r w:rsidRPr="00051FD3">
        <w:rPr>
          <w:sz w:val="22"/>
          <w:szCs w:val="22"/>
        </w:rPr>
        <w:t>aikyti ne aukštesnėje kaip 30</w:t>
      </w:r>
      <w:r w:rsidR="00E82C40" w:rsidRPr="00051FD3">
        <w:rPr>
          <w:sz w:val="22"/>
          <w:szCs w:val="22"/>
        </w:rPr>
        <w:t> </w:t>
      </w:r>
      <w:r w:rsidRPr="00051FD3">
        <w:rPr>
          <w:sz w:val="22"/>
          <w:szCs w:val="22"/>
        </w:rPr>
        <w:sym w:font="Symbol" w:char="F0B0"/>
      </w:r>
      <w:r w:rsidRPr="00051FD3">
        <w:rPr>
          <w:sz w:val="22"/>
          <w:szCs w:val="22"/>
        </w:rPr>
        <w:t>C temperatūroje.</w:t>
      </w:r>
    </w:p>
    <w:p w14:paraId="3AE928F0" w14:textId="77777777" w:rsidR="007F39B7" w:rsidRPr="00051FD3" w:rsidRDefault="007F39B7" w:rsidP="007F39B7">
      <w:pPr>
        <w:autoSpaceDE w:val="0"/>
        <w:autoSpaceDN w:val="0"/>
        <w:adjustRightInd w:val="0"/>
        <w:rPr>
          <w:sz w:val="22"/>
          <w:szCs w:val="22"/>
          <w:lang w:eastAsia="lt-LT"/>
        </w:rPr>
      </w:pPr>
    </w:p>
    <w:p w14:paraId="1DD44732" w14:textId="77777777" w:rsidR="007F39B7" w:rsidRPr="000E639C" w:rsidRDefault="007F39B7" w:rsidP="007F39B7">
      <w:pPr>
        <w:numPr>
          <w:ilvl w:val="1"/>
          <w:numId w:val="5"/>
        </w:numPr>
        <w:autoSpaceDE w:val="0"/>
        <w:autoSpaceDN w:val="0"/>
        <w:adjustRightInd w:val="0"/>
        <w:rPr>
          <w:b/>
          <w:bCs/>
          <w:sz w:val="22"/>
          <w:szCs w:val="22"/>
          <w:lang w:eastAsia="lt-LT"/>
        </w:rPr>
      </w:pPr>
      <w:proofErr w:type="spellStart"/>
      <w:r w:rsidRPr="000E639C">
        <w:rPr>
          <w:b/>
          <w:bCs/>
          <w:sz w:val="22"/>
          <w:szCs w:val="22"/>
          <w:lang w:eastAsia="lt-LT"/>
        </w:rPr>
        <w:t>Talpyklės</w:t>
      </w:r>
      <w:proofErr w:type="spellEnd"/>
      <w:r w:rsidRPr="000E639C">
        <w:rPr>
          <w:b/>
          <w:bCs/>
          <w:sz w:val="22"/>
          <w:szCs w:val="22"/>
          <w:lang w:eastAsia="lt-LT"/>
        </w:rPr>
        <w:t xml:space="preserve"> pobūdis ir jos turinys</w:t>
      </w:r>
    </w:p>
    <w:p w14:paraId="73BC11FE" w14:textId="77777777" w:rsidR="007F39B7" w:rsidRPr="00051FD3" w:rsidRDefault="007F39B7" w:rsidP="007F39B7">
      <w:pPr>
        <w:autoSpaceDE w:val="0"/>
        <w:autoSpaceDN w:val="0"/>
        <w:adjustRightInd w:val="0"/>
        <w:rPr>
          <w:sz w:val="22"/>
          <w:szCs w:val="22"/>
          <w:lang w:eastAsia="lt-LT"/>
        </w:rPr>
      </w:pPr>
    </w:p>
    <w:p w14:paraId="110B2C65"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Aliuminio/aliuminio lizdinė plokštelė, aliuminio/PVDC </w:t>
      </w:r>
      <w:proofErr w:type="spellStart"/>
      <w:r w:rsidRPr="00051FD3">
        <w:rPr>
          <w:i/>
          <w:sz w:val="22"/>
          <w:szCs w:val="22"/>
          <w:lang w:eastAsia="lt-LT"/>
        </w:rPr>
        <w:t>Tristar</w:t>
      </w:r>
      <w:proofErr w:type="spellEnd"/>
      <w:r w:rsidRPr="00051FD3">
        <w:rPr>
          <w:sz w:val="22"/>
          <w:szCs w:val="22"/>
          <w:lang w:eastAsia="lt-LT"/>
        </w:rPr>
        <w:t xml:space="preserve"> lizdinė plokštelė ir DTPE tablečių </w:t>
      </w:r>
      <w:proofErr w:type="spellStart"/>
      <w:r w:rsidRPr="00051FD3">
        <w:rPr>
          <w:sz w:val="22"/>
          <w:szCs w:val="22"/>
          <w:lang w:eastAsia="lt-LT"/>
        </w:rPr>
        <w:t>talpyklė</w:t>
      </w:r>
      <w:proofErr w:type="spellEnd"/>
      <w:r w:rsidRPr="00051FD3">
        <w:rPr>
          <w:sz w:val="22"/>
          <w:szCs w:val="22"/>
          <w:lang w:eastAsia="lt-LT"/>
        </w:rPr>
        <w:t xml:space="preserve"> su MTPE danteliu bei DTPE </w:t>
      </w:r>
      <w:proofErr w:type="spellStart"/>
      <w:r w:rsidRPr="00051FD3">
        <w:rPr>
          <w:sz w:val="22"/>
          <w:szCs w:val="22"/>
          <w:lang w:eastAsia="lt-LT"/>
        </w:rPr>
        <w:t>sausikliu</w:t>
      </w:r>
      <w:proofErr w:type="spellEnd"/>
      <w:r w:rsidRPr="00051FD3">
        <w:rPr>
          <w:sz w:val="22"/>
          <w:szCs w:val="22"/>
          <w:lang w:eastAsia="lt-LT"/>
        </w:rPr>
        <w:t>, užpildytu silicio dioksidu.</w:t>
      </w:r>
    </w:p>
    <w:p w14:paraId="74B2E08D" w14:textId="77777777" w:rsidR="007F39B7" w:rsidRPr="00051FD3" w:rsidRDefault="007F39B7" w:rsidP="007F39B7">
      <w:pPr>
        <w:autoSpaceDE w:val="0"/>
        <w:autoSpaceDN w:val="0"/>
        <w:adjustRightInd w:val="0"/>
        <w:rPr>
          <w:sz w:val="22"/>
          <w:szCs w:val="22"/>
          <w:lang w:eastAsia="lt-LT"/>
        </w:rPr>
      </w:pPr>
    </w:p>
    <w:p w14:paraId="0D5D7477"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Tablečių </w:t>
      </w:r>
      <w:proofErr w:type="spellStart"/>
      <w:r w:rsidRPr="00051FD3">
        <w:rPr>
          <w:sz w:val="22"/>
          <w:szCs w:val="22"/>
          <w:lang w:eastAsia="lt-LT"/>
        </w:rPr>
        <w:t>talpyklė</w:t>
      </w:r>
      <w:proofErr w:type="spellEnd"/>
      <w:r w:rsidRPr="00051FD3">
        <w:rPr>
          <w:sz w:val="22"/>
          <w:szCs w:val="22"/>
          <w:lang w:eastAsia="lt-LT"/>
        </w:rPr>
        <w:t xml:space="preserve">: 30, 90 </w:t>
      </w:r>
      <w:r w:rsidR="00B80A3D" w:rsidRPr="00051FD3">
        <w:rPr>
          <w:sz w:val="22"/>
          <w:szCs w:val="22"/>
          <w:lang w:eastAsia="lt-LT"/>
        </w:rPr>
        <w:t>a</w:t>
      </w:r>
      <w:r w:rsidRPr="00051FD3">
        <w:rPr>
          <w:sz w:val="22"/>
          <w:szCs w:val="22"/>
          <w:lang w:eastAsia="lt-LT"/>
        </w:rPr>
        <w:t>r 250 tablečių.</w:t>
      </w:r>
    </w:p>
    <w:p w14:paraId="5549BACB" w14:textId="77777777" w:rsidR="007F39B7" w:rsidRPr="00051FD3" w:rsidRDefault="007F39B7" w:rsidP="007F39B7">
      <w:pPr>
        <w:autoSpaceDE w:val="0"/>
        <w:autoSpaceDN w:val="0"/>
        <w:adjustRightInd w:val="0"/>
        <w:rPr>
          <w:sz w:val="22"/>
          <w:szCs w:val="22"/>
          <w:lang w:eastAsia="lt-LT"/>
        </w:rPr>
      </w:pPr>
    </w:p>
    <w:p w14:paraId="088FD51E" w14:textId="77777777" w:rsidR="007F39B7" w:rsidRPr="00051FD3" w:rsidRDefault="00F22A05" w:rsidP="007F39B7">
      <w:pPr>
        <w:autoSpaceDE w:val="0"/>
        <w:autoSpaceDN w:val="0"/>
        <w:adjustRightInd w:val="0"/>
        <w:rPr>
          <w:sz w:val="22"/>
          <w:szCs w:val="22"/>
          <w:lang w:eastAsia="lt-LT"/>
        </w:rPr>
      </w:pPr>
      <w:r w:rsidRPr="00051FD3">
        <w:rPr>
          <w:sz w:val="22"/>
          <w:szCs w:val="22"/>
          <w:lang w:eastAsia="lt-LT"/>
        </w:rPr>
        <w:t>L</w:t>
      </w:r>
      <w:r w:rsidR="007F39B7" w:rsidRPr="00051FD3">
        <w:rPr>
          <w:sz w:val="22"/>
          <w:szCs w:val="22"/>
          <w:lang w:eastAsia="lt-LT"/>
        </w:rPr>
        <w:t>izdinės plokštelės</w:t>
      </w:r>
      <w:r w:rsidR="00D32085" w:rsidRPr="00051FD3">
        <w:rPr>
          <w:sz w:val="22"/>
          <w:szCs w:val="22"/>
          <w:lang w:eastAsia="lt-LT"/>
        </w:rPr>
        <w:t>:</w:t>
      </w:r>
      <w:r w:rsidR="007F39B7" w:rsidRPr="00051FD3">
        <w:rPr>
          <w:sz w:val="22"/>
          <w:szCs w:val="22"/>
          <w:lang w:eastAsia="lt-LT"/>
        </w:rPr>
        <w:t xml:space="preserve"> 14, 28</w:t>
      </w:r>
      <w:r w:rsidR="009A2361" w:rsidRPr="00051FD3">
        <w:rPr>
          <w:sz w:val="22"/>
          <w:szCs w:val="22"/>
          <w:lang w:eastAsia="lt-LT"/>
        </w:rPr>
        <w:t>,</w:t>
      </w:r>
      <w:r w:rsidR="0096582D" w:rsidRPr="00051FD3">
        <w:rPr>
          <w:sz w:val="22"/>
          <w:szCs w:val="22"/>
          <w:lang w:eastAsia="lt-LT"/>
        </w:rPr>
        <w:t xml:space="preserve"> 56</w:t>
      </w:r>
      <w:r w:rsidR="007F39B7" w:rsidRPr="00051FD3">
        <w:rPr>
          <w:sz w:val="22"/>
          <w:szCs w:val="22"/>
          <w:lang w:eastAsia="lt-LT"/>
        </w:rPr>
        <w:t xml:space="preserve"> </w:t>
      </w:r>
      <w:r w:rsidR="00B80A3D" w:rsidRPr="00051FD3">
        <w:rPr>
          <w:sz w:val="22"/>
          <w:szCs w:val="22"/>
          <w:lang w:eastAsia="lt-LT"/>
        </w:rPr>
        <w:t>a</w:t>
      </w:r>
      <w:r w:rsidR="007F39B7" w:rsidRPr="00051FD3">
        <w:rPr>
          <w:sz w:val="22"/>
          <w:szCs w:val="22"/>
          <w:lang w:eastAsia="lt-LT"/>
        </w:rPr>
        <w:t xml:space="preserve">r </w:t>
      </w:r>
      <w:r w:rsidR="009A2361" w:rsidRPr="00051FD3">
        <w:rPr>
          <w:sz w:val="22"/>
          <w:szCs w:val="22"/>
          <w:lang w:eastAsia="lt-LT"/>
        </w:rPr>
        <w:t>98</w:t>
      </w:r>
      <w:r w:rsidR="007F39B7" w:rsidRPr="00051FD3">
        <w:rPr>
          <w:sz w:val="22"/>
          <w:szCs w:val="22"/>
          <w:lang w:eastAsia="lt-LT"/>
        </w:rPr>
        <w:t xml:space="preserve"> tabletės.</w:t>
      </w:r>
    </w:p>
    <w:p w14:paraId="10EF8B6F" w14:textId="77777777" w:rsidR="007F39B7" w:rsidRPr="00051FD3" w:rsidRDefault="007F39B7" w:rsidP="007F39B7">
      <w:pPr>
        <w:autoSpaceDE w:val="0"/>
        <w:autoSpaceDN w:val="0"/>
        <w:adjustRightInd w:val="0"/>
        <w:rPr>
          <w:sz w:val="22"/>
          <w:szCs w:val="22"/>
          <w:lang w:eastAsia="lt-LT"/>
        </w:rPr>
      </w:pPr>
    </w:p>
    <w:p w14:paraId="50C4E941"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Gali būti tiekiamos ne visų dydžių pakuotės.</w:t>
      </w:r>
    </w:p>
    <w:p w14:paraId="2D354AD7" w14:textId="77777777" w:rsidR="007F39B7" w:rsidRPr="00051FD3" w:rsidRDefault="007F39B7" w:rsidP="007F39B7">
      <w:pPr>
        <w:autoSpaceDE w:val="0"/>
        <w:autoSpaceDN w:val="0"/>
        <w:adjustRightInd w:val="0"/>
        <w:rPr>
          <w:sz w:val="22"/>
          <w:szCs w:val="22"/>
          <w:lang w:eastAsia="lt-LT"/>
        </w:rPr>
      </w:pPr>
    </w:p>
    <w:p w14:paraId="7084E6FB"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6.6</w:t>
      </w:r>
      <w:r w:rsidRPr="00051FD3">
        <w:rPr>
          <w:b/>
          <w:bCs/>
          <w:sz w:val="22"/>
          <w:szCs w:val="22"/>
          <w:lang w:eastAsia="lt-LT"/>
        </w:rPr>
        <w:tab/>
      </w:r>
      <w:r w:rsidR="00557EE8" w:rsidRPr="00051FD3">
        <w:rPr>
          <w:b/>
          <w:bCs/>
          <w:sz w:val="22"/>
          <w:szCs w:val="22"/>
          <w:lang w:eastAsia="lt-LT"/>
        </w:rPr>
        <w:t>Specialūs reikalavimai atliekoms tvarkyti</w:t>
      </w:r>
    </w:p>
    <w:p w14:paraId="359E12F6" w14:textId="77777777" w:rsidR="007F39B7" w:rsidRPr="00051FD3" w:rsidRDefault="007F39B7" w:rsidP="007F39B7">
      <w:pPr>
        <w:tabs>
          <w:tab w:val="left" w:pos="567"/>
        </w:tabs>
        <w:autoSpaceDE w:val="0"/>
        <w:autoSpaceDN w:val="0"/>
        <w:adjustRightInd w:val="0"/>
        <w:rPr>
          <w:sz w:val="22"/>
          <w:szCs w:val="22"/>
          <w:lang w:eastAsia="lt-LT"/>
        </w:rPr>
      </w:pPr>
    </w:p>
    <w:p w14:paraId="0C4A30E0"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Specialių reikalavimų nėra.</w:t>
      </w:r>
    </w:p>
    <w:p w14:paraId="1541BC1F" w14:textId="77777777" w:rsidR="007F39B7" w:rsidRPr="00051FD3" w:rsidRDefault="007F39B7" w:rsidP="007F39B7">
      <w:pPr>
        <w:tabs>
          <w:tab w:val="left" w:pos="567"/>
        </w:tabs>
        <w:autoSpaceDE w:val="0"/>
        <w:autoSpaceDN w:val="0"/>
        <w:adjustRightInd w:val="0"/>
        <w:rPr>
          <w:sz w:val="22"/>
          <w:szCs w:val="22"/>
          <w:lang w:eastAsia="lt-LT"/>
        </w:rPr>
      </w:pPr>
    </w:p>
    <w:p w14:paraId="15DAB453" w14:textId="77777777" w:rsidR="007F39B7" w:rsidRPr="00051FD3" w:rsidRDefault="007F39B7" w:rsidP="007F39B7">
      <w:pPr>
        <w:tabs>
          <w:tab w:val="left" w:pos="567"/>
        </w:tabs>
        <w:autoSpaceDE w:val="0"/>
        <w:autoSpaceDN w:val="0"/>
        <w:adjustRightInd w:val="0"/>
        <w:rPr>
          <w:sz w:val="22"/>
          <w:szCs w:val="22"/>
          <w:lang w:eastAsia="lt-LT"/>
        </w:rPr>
      </w:pPr>
    </w:p>
    <w:p w14:paraId="02449D70" w14:textId="77777777" w:rsidR="007F39B7" w:rsidRPr="00051FD3" w:rsidRDefault="007F39B7" w:rsidP="007F39B7">
      <w:pPr>
        <w:tabs>
          <w:tab w:val="left" w:pos="567"/>
        </w:tabs>
        <w:autoSpaceDE w:val="0"/>
        <w:autoSpaceDN w:val="0"/>
        <w:adjustRightInd w:val="0"/>
        <w:rPr>
          <w:b/>
          <w:bCs/>
          <w:color w:val="000000"/>
          <w:sz w:val="22"/>
          <w:szCs w:val="22"/>
          <w:lang w:eastAsia="lt-LT"/>
        </w:rPr>
      </w:pPr>
      <w:r w:rsidRPr="00051FD3">
        <w:rPr>
          <w:b/>
          <w:bCs/>
          <w:color w:val="000000"/>
          <w:sz w:val="22"/>
          <w:szCs w:val="22"/>
          <w:lang w:eastAsia="lt-LT"/>
        </w:rPr>
        <w:t>7.</w:t>
      </w:r>
      <w:r w:rsidRPr="00051FD3">
        <w:rPr>
          <w:b/>
          <w:bCs/>
          <w:color w:val="000000"/>
          <w:sz w:val="22"/>
          <w:szCs w:val="22"/>
          <w:lang w:eastAsia="lt-LT"/>
        </w:rPr>
        <w:tab/>
      </w:r>
      <w:r w:rsidR="002F3220" w:rsidRPr="00051FD3">
        <w:rPr>
          <w:b/>
          <w:bCs/>
          <w:color w:val="000000"/>
          <w:sz w:val="22"/>
          <w:szCs w:val="22"/>
          <w:lang w:eastAsia="lt-LT"/>
        </w:rPr>
        <w:t>REGISTRUOTOJAS</w:t>
      </w:r>
    </w:p>
    <w:p w14:paraId="1D587787" w14:textId="77777777" w:rsidR="007F39B7" w:rsidRPr="00051FD3" w:rsidRDefault="007F39B7" w:rsidP="007F39B7">
      <w:pPr>
        <w:tabs>
          <w:tab w:val="left" w:pos="567"/>
        </w:tabs>
        <w:rPr>
          <w:sz w:val="22"/>
          <w:szCs w:val="22"/>
          <w:lang w:eastAsia="lt-LT"/>
        </w:rPr>
      </w:pPr>
    </w:p>
    <w:p w14:paraId="65EE4578" w14:textId="77777777" w:rsidR="007F39B7" w:rsidRPr="00051FD3" w:rsidRDefault="007F39B7" w:rsidP="007F39B7">
      <w:pPr>
        <w:tabs>
          <w:tab w:val="left" w:pos="567"/>
        </w:tabs>
        <w:rPr>
          <w:sz w:val="22"/>
          <w:szCs w:val="22"/>
          <w:lang w:eastAsia="lt-LT"/>
        </w:rPr>
      </w:pPr>
      <w:proofErr w:type="spellStart"/>
      <w:r w:rsidRPr="00051FD3">
        <w:rPr>
          <w:sz w:val="22"/>
          <w:szCs w:val="22"/>
          <w:lang w:eastAsia="lt-LT"/>
        </w:rPr>
        <w:t>Teva</w:t>
      </w:r>
      <w:proofErr w:type="spellEnd"/>
      <w:r w:rsidRPr="00051FD3">
        <w:rPr>
          <w:sz w:val="22"/>
          <w:szCs w:val="22"/>
          <w:lang w:eastAsia="lt-LT"/>
        </w:rPr>
        <w:t xml:space="preserve"> B.V.</w:t>
      </w:r>
    </w:p>
    <w:p w14:paraId="00EBEBC2" w14:textId="77777777" w:rsidR="008E7E95" w:rsidRPr="00051FD3" w:rsidRDefault="00BB4ECB" w:rsidP="0099534A">
      <w:pPr>
        <w:tabs>
          <w:tab w:val="left" w:pos="567"/>
        </w:tabs>
        <w:rPr>
          <w:sz w:val="22"/>
          <w:szCs w:val="22"/>
          <w:lang w:eastAsia="lt-LT"/>
        </w:rPr>
      </w:pPr>
      <w:proofErr w:type="spellStart"/>
      <w:r w:rsidRPr="00051FD3">
        <w:rPr>
          <w:sz w:val="22"/>
          <w:szCs w:val="22"/>
          <w:lang w:eastAsia="lt-LT"/>
        </w:rPr>
        <w:t>Swensweg</w:t>
      </w:r>
      <w:proofErr w:type="spellEnd"/>
      <w:r w:rsidRPr="00051FD3">
        <w:rPr>
          <w:sz w:val="22"/>
          <w:szCs w:val="22"/>
          <w:lang w:eastAsia="lt-LT"/>
        </w:rPr>
        <w:t xml:space="preserve"> 5</w:t>
      </w:r>
    </w:p>
    <w:p w14:paraId="75C018D0" w14:textId="77777777" w:rsidR="008E7E95" w:rsidRPr="00051FD3" w:rsidRDefault="00BB4ECB" w:rsidP="0099534A">
      <w:pPr>
        <w:tabs>
          <w:tab w:val="left" w:pos="567"/>
        </w:tabs>
        <w:rPr>
          <w:sz w:val="22"/>
          <w:szCs w:val="22"/>
          <w:lang w:eastAsia="lt-LT"/>
        </w:rPr>
      </w:pPr>
      <w:r w:rsidRPr="00051FD3">
        <w:rPr>
          <w:sz w:val="22"/>
          <w:szCs w:val="22"/>
          <w:lang w:eastAsia="lt-LT"/>
        </w:rPr>
        <w:t xml:space="preserve">2031 GA </w:t>
      </w:r>
      <w:proofErr w:type="spellStart"/>
      <w:r w:rsidRPr="00051FD3">
        <w:rPr>
          <w:sz w:val="22"/>
          <w:szCs w:val="22"/>
          <w:lang w:eastAsia="lt-LT"/>
        </w:rPr>
        <w:t>Haarlem</w:t>
      </w:r>
      <w:proofErr w:type="spellEnd"/>
    </w:p>
    <w:p w14:paraId="6584CB43" w14:textId="77777777" w:rsidR="007F39B7" w:rsidRPr="00051FD3" w:rsidRDefault="007F39B7" w:rsidP="007F39B7">
      <w:pPr>
        <w:tabs>
          <w:tab w:val="left" w:pos="567"/>
        </w:tabs>
        <w:rPr>
          <w:sz w:val="22"/>
          <w:szCs w:val="22"/>
          <w:lang w:eastAsia="lt-LT"/>
        </w:rPr>
      </w:pPr>
      <w:r w:rsidRPr="00051FD3">
        <w:rPr>
          <w:sz w:val="22"/>
          <w:szCs w:val="22"/>
          <w:lang w:eastAsia="lt-LT"/>
        </w:rPr>
        <w:t>Nyderlandai</w:t>
      </w:r>
    </w:p>
    <w:p w14:paraId="3276BDB4" w14:textId="77777777" w:rsidR="007F39B7" w:rsidRPr="00051FD3" w:rsidRDefault="007F39B7" w:rsidP="007F39B7">
      <w:pPr>
        <w:tabs>
          <w:tab w:val="left" w:pos="567"/>
        </w:tabs>
        <w:rPr>
          <w:sz w:val="22"/>
          <w:szCs w:val="22"/>
        </w:rPr>
      </w:pPr>
    </w:p>
    <w:p w14:paraId="10587F9B" w14:textId="77777777" w:rsidR="007F39B7" w:rsidRPr="00051FD3" w:rsidRDefault="007F39B7" w:rsidP="007F39B7">
      <w:pPr>
        <w:tabs>
          <w:tab w:val="left" w:pos="567"/>
        </w:tabs>
        <w:autoSpaceDE w:val="0"/>
        <w:autoSpaceDN w:val="0"/>
        <w:adjustRightInd w:val="0"/>
        <w:rPr>
          <w:color w:val="000000"/>
          <w:sz w:val="22"/>
          <w:szCs w:val="22"/>
          <w:lang w:eastAsia="lt-LT"/>
        </w:rPr>
      </w:pPr>
    </w:p>
    <w:p w14:paraId="2E240F4A" w14:textId="77777777" w:rsidR="007F39B7" w:rsidRPr="00051FD3" w:rsidRDefault="007F39B7" w:rsidP="007F39B7">
      <w:pPr>
        <w:tabs>
          <w:tab w:val="left" w:pos="567"/>
        </w:tabs>
        <w:autoSpaceDE w:val="0"/>
        <w:autoSpaceDN w:val="0"/>
        <w:adjustRightInd w:val="0"/>
        <w:rPr>
          <w:b/>
          <w:bCs/>
          <w:color w:val="000000"/>
          <w:sz w:val="22"/>
          <w:szCs w:val="22"/>
          <w:lang w:eastAsia="lt-LT"/>
        </w:rPr>
      </w:pPr>
      <w:r w:rsidRPr="00051FD3">
        <w:rPr>
          <w:b/>
          <w:bCs/>
          <w:color w:val="000000"/>
          <w:sz w:val="22"/>
          <w:szCs w:val="22"/>
          <w:lang w:eastAsia="lt-LT"/>
        </w:rPr>
        <w:t>8.</w:t>
      </w:r>
      <w:r w:rsidRPr="00051FD3">
        <w:rPr>
          <w:b/>
          <w:bCs/>
          <w:color w:val="000000"/>
          <w:sz w:val="22"/>
          <w:szCs w:val="22"/>
          <w:lang w:eastAsia="lt-LT"/>
        </w:rPr>
        <w:tab/>
      </w:r>
      <w:r w:rsidR="002F3220" w:rsidRPr="00051FD3">
        <w:rPr>
          <w:b/>
          <w:bCs/>
          <w:color w:val="000000"/>
          <w:sz w:val="22"/>
          <w:szCs w:val="22"/>
          <w:lang w:eastAsia="lt-LT"/>
        </w:rPr>
        <w:t>REGISTRACIJOS PAŽYMĖJIMO NUMERIS (-IAI)</w:t>
      </w:r>
    </w:p>
    <w:p w14:paraId="386B4347" w14:textId="77777777" w:rsidR="007F39B7" w:rsidRPr="00051FD3" w:rsidRDefault="007F39B7" w:rsidP="007F39B7">
      <w:pPr>
        <w:tabs>
          <w:tab w:val="left" w:pos="567"/>
        </w:tabs>
        <w:autoSpaceDE w:val="0"/>
        <w:autoSpaceDN w:val="0"/>
        <w:adjustRightInd w:val="0"/>
        <w:rPr>
          <w:color w:val="000000"/>
          <w:sz w:val="22"/>
          <w:szCs w:val="22"/>
          <w:lang w:eastAsia="lt-LT"/>
        </w:rPr>
      </w:pPr>
    </w:p>
    <w:p w14:paraId="0600D9E1" w14:textId="77777777" w:rsidR="007F39B7" w:rsidRPr="00051FD3" w:rsidRDefault="007F39B7" w:rsidP="007F39B7">
      <w:pPr>
        <w:tabs>
          <w:tab w:val="left" w:pos="3060"/>
        </w:tabs>
        <w:autoSpaceDE w:val="0"/>
        <w:autoSpaceDN w:val="0"/>
        <w:adjustRightInd w:val="0"/>
        <w:rPr>
          <w:sz w:val="22"/>
          <w:szCs w:val="22"/>
          <w:u w:val="single"/>
        </w:rPr>
      </w:pPr>
      <w:r w:rsidRPr="00051FD3">
        <w:rPr>
          <w:bCs/>
          <w:sz w:val="22"/>
          <w:szCs w:val="22"/>
          <w:u w:val="single"/>
        </w:rPr>
        <w:t>Lizdinė plokštelė:</w:t>
      </w:r>
    </w:p>
    <w:p w14:paraId="69B35378" w14:textId="77777777" w:rsidR="007553F0" w:rsidRPr="00012DBE" w:rsidRDefault="007553F0" w:rsidP="007553F0">
      <w:pPr>
        <w:rPr>
          <w:bCs/>
          <w:sz w:val="22"/>
          <w:szCs w:val="22"/>
        </w:rPr>
      </w:pPr>
      <w:r w:rsidRPr="00012DBE">
        <w:rPr>
          <w:bCs/>
          <w:sz w:val="22"/>
          <w:szCs w:val="22"/>
        </w:rPr>
        <w:t>LT/1/14/3521/009 – N14</w:t>
      </w:r>
    </w:p>
    <w:p w14:paraId="1F960E6B" w14:textId="77777777" w:rsidR="007553F0" w:rsidRPr="003A7BC8" w:rsidRDefault="007553F0" w:rsidP="007553F0">
      <w:pPr>
        <w:rPr>
          <w:bCs/>
          <w:sz w:val="22"/>
          <w:szCs w:val="22"/>
        </w:rPr>
      </w:pPr>
      <w:r w:rsidRPr="003A7BC8">
        <w:rPr>
          <w:bCs/>
          <w:sz w:val="22"/>
          <w:szCs w:val="22"/>
        </w:rPr>
        <w:t>LT/1/14/3521/010 – N28</w:t>
      </w:r>
    </w:p>
    <w:p w14:paraId="5AB3E0F5" w14:textId="77777777" w:rsidR="007553F0" w:rsidRPr="003A7BC8" w:rsidRDefault="007553F0" w:rsidP="007553F0">
      <w:pPr>
        <w:rPr>
          <w:bCs/>
          <w:sz w:val="22"/>
          <w:szCs w:val="22"/>
        </w:rPr>
      </w:pPr>
      <w:r w:rsidRPr="003A7BC8">
        <w:rPr>
          <w:bCs/>
          <w:sz w:val="22"/>
          <w:szCs w:val="22"/>
        </w:rPr>
        <w:t>LT/1/14/3521/011 – N56</w:t>
      </w:r>
    </w:p>
    <w:p w14:paraId="41C9F8C9" w14:textId="77777777" w:rsidR="007553F0" w:rsidRPr="00051FD3" w:rsidRDefault="007553F0" w:rsidP="007553F0">
      <w:pPr>
        <w:tabs>
          <w:tab w:val="left" w:pos="567"/>
        </w:tabs>
        <w:autoSpaceDE w:val="0"/>
        <w:autoSpaceDN w:val="0"/>
        <w:adjustRightInd w:val="0"/>
        <w:rPr>
          <w:color w:val="000000"/>
          <w:sz w:val="22"/>
          <w:szCs w:val="22"/>
          <w:lang w:eastAsia="lt-LT"/>
        </w:rPr>
      </w:pPr>
      <w:r w:rsidRPr="003A7BC8">
        <w:rPr>
          <w:bCs/>
          <w:sz w:val="22"/>
          <w:szCs w:val="22"/>
        </w:rPr>
        <w:t>LT/1/14/3521/022 – N98</w:t>
      </w:r>
    </w:p>
    <w:p w14:paraId="7C5A126E" w14:textId="77777777" w:rsidR="007553F0" w:rsidRPr="00012DBE" w:rsidRDefault="007553F0" w:rsidP="007553F0">
      <w:pPr>
        <w:rPr>
          <w:bCs/>
          <w:sz w:val="22"/>
          <w:szCs w:val="22"/>
        </w:rPr>
      </w:pPr>
      <w:r w:rsidRPr="00012DBE">
        <w:rPr>
          <w:bCs/>
          <w:sz w:val="22"/>
          <w:szCs w:val="22"/>
          <w:u w:val="single"/>
        </w:rPr>
        <w:lastRenderedPageBreak/>
        <w:t xml:space="preserve">Tablečių </w:t>
      </w:r>
      <w:proofErr w:type="spellStart"/>
      <w:r w:rsidRPr="00012DBE">
        <w:rPr>
          <w:bCs/>
          <w:sz w:val="22"/>
          <w:szCs w:val="22"/>
          <w:u w:val="single"/>
        </w:rPr>
        <w:t>talpyklė</w:t>
      </w:r>
      <w:proofErr w:type="spellEnd"/>
      <w:r w:rsidRPr="00012DBE">
        <w:rPr>
          <w:bCs/>
          <w:sz w:val="22"/>
          <w:szCs w:val="22"/>
        </w:rPr>
        <w:t>:</w:t>
      </w:r>
    </w:p>
    <w:p w14:paraId="2681F6E1" w14:textId="77777777" w:rsidR="007553F0" w:rsidRPr="003A7BC8" w:rsidRDefault="007553F0" w:rsidP="007553F0">
      <w:pPr>
        <w:rPr>
          <w:bCs/>
          <w:sz w:val="22"/>
          <w:szCs w:val="22"/>
        </w:rPr>
      </w:pPr>
      <w:r w:rsidRPr="003A7BC8">
        <w:rPr>
          <w:bCs/>
          <w:sz w:val="22"/>
          <w:szCs w:val="22"/>
        </w:rPr>
        <w:t>LT/1/14/3521/012 – N30</w:t>
      </w:r>
    </w:p>
    <w:p w14:paraId="62E8E563" w14:textId="77777777" w:rsidR="007553F0" w:rsidRPr="003A7BC8" w:rsidRDefault="007553F0" w:rsidP="007553F0">
      <w:pPr>
        <w:rPr>
          <w:bCs/>
          <w:sz w:val="22"/>
          <w:szCs w:val="22"/>
        </w:rPr>
      </w:pPr>
      <w:r w:rsidRPr="003A7BC8">
        <w:rPr>
          <w:bCs/>
          <w:sz w:val="22"/>
          <w:szCs w:val="22"/>
        </w:rPr>
        <w:t>LT/1/14/3521/013 – N90</w:t>
      </w:r>
    </w:p>
    <w:p w14:paraId="1BB4E407" w14:textId="77777777" w:rsidR="007553F0" w:rsidRPr="003A7BC8" w:rsidRDefault="007553F0" w:rsidP="007553F0">
      <w:pPr>
        <w:rPr>
          <w:bCs/>
          <w:sz w:val="22"/>
          <w:szCs w:val="22"/>
        </w:rPr>
      </w:pPr>
      <w:r w:rsidRPr="003A7BC8">
        <w:rPr>
          <w:bCs/>
          <w:sz w:val="22"/>
          <w:szCs w:val="22"/>
        </w:rPr>
        <w:t>LT/1/14/3521/014 – N250</w:t>
      </w:r>
    </w:p>
    <w:p w14:paraId="059CAAF3" w14:textId="77777777" w:rsidR="007F39B7" w:rsidRPr="00051FD3" w:rsidRDefault="007F39B7" w:rsidP="007F39B7">
      <w:pPr>
        <w:tabs>
          <w:tab w:val="left" w:pos="567"/>
        </w:tabs>
        <w:autoSpaceDE w:val="0"/>
        <w:autoSpaceDN w:val="0"/>
        <w:adjustRightInd w:val="0"/>
        <w:rPr>
          <w:color w:val="000000"/>
          <w:sz w:val="22"/>
          <w:szCs w:val="22"/>
          <w:lang w:eastAsia="lt-LT"/>
        </w:rPr>
      </w:pPr>
    </w:p>
    <w:p w14:paraId="6656EDEA" w14:textId="77777777" w:rsidR="007F39B7" w:rsidRPr="00051FD3" w:rsidRDefault="007F39B7" w:rsidP="007F39B7">
      <w:pPr>
        <w:tabs>
          <w:tab w:val="left" w:pos="567"/>
        </w:tabs>
        <w:autoSpaceDE w:val="0"/>
        <w:autoSpaceDN w:val="0"/>
        <w:adjustRightInd w:val="0"/>
        <w:rPr>
          <w:b/>
          <w:bCs/>
          <w:color w:val="000000"/>
          <w:sz w:val="22"/>
          <w:szCs w:val="22"/>
          <w:lang w:eastAsia="lt-LT"/>
        </w:rPr>
      </w:pPr>
      <w:r w:rsidRPr="00051FD3">
        <w:rPr>
          <w:b/>
          <w:bCs/>
          <w:color w:val="000000"/>
          <w:sz w:val="22"/>
          <w:szCs w:val="22"/>
          <w:lang w:eastAsia="lt-LT"/>
        </w:rPr>
        <w:t>9.</w:t>
      </w:r>
      <w:r w:rsidRPr="00051FD3">
        <w:rPr>
          <w:b/>
          <w:bCs/>
          <w:color w:val="000000"/>
          <w:sz w:val="22"/>
          <w:szCs w:val="22"/>
          <w:lang w:eastAsia="lt-LT"/>
        </w:rPr>
        <w:tab/>
      </w:r>
      <w:r w:rsidR="002F3220" w:rsidRPr="00051FD3">
        <w:rPr>
          <w:b/>
          <w:bCs/>
          <w:color w:val="000000"/>
          <w:sz w:val="22"/>
          <w:szCs w:val="22"/>
          <w:lang w:eastAsia="lt-LT"/>
        </w:rPr>
        <w:t>REGISTRAVIMO / PERREGISTRAVIMO DATA</w:t>
      </w:r>
    </w:p>
    <w:p w14:paraId="2FF20858" w14:textId="77777777" w:rsidR="007F39B7" w:rsidRPr="00051FD3" w:rsidRDefault="007F39B7" w:rsidP="007F39B7">
      <w:pPr>
        <w:tabs>
          <w:tab w:val="left" w:pos="567"/>
        </w:tabs>
        <w:autoSpaceDE w:val="0"/>
        <w:autoSpaceDN w:val="0"/>
        <w:adjustRightInd w:val="0"/>
        <w:rPr>
          <w:color w:val="000000"/>
          <w:sz w:val="22"/>
          <w:szCs w:val="22"/>
          <w:lang w:eastAsia="lt-LT"/>
        </w:rPr>
      </w:pPr>
    </w:p>
    <w:p w14:paraId="7336E5BE" w14:textId="77777777" w:rsidR="007F39B7" w:rsidRPr="00051FD3" w:rsidRDefault="00A1680A" w:rsidP="007F39B7">
      <w:pPr>
        <w:tabs>
          <w:tab w:val="left" w:pos="1296"/>
        </w:tabs>
        <w:rPr>
          <w:sz w:val="22"/>
          <w:szCs w:val="22"/>
        </w:rPr>
      </w:pPr>
      <w:r w:rsidRPr="00051FD3">
        <w:rPr>
          <w:sz w:val="22"/>
          <w:szCs w:val="22"/>
        </w:rPr>
        <w:t>Registravimo data</w:t>
      </w:r>
      <w:r w:rsidR="007F39B7" w:rsidRPr="00051FD3">
        <w:rPr>
          <w:sz w:val="22"/>
          <w:szCs w:val="22"/>
        </w:rPr>
        <w:t xml:space="preserve"> 2014 m. kovo 5 d.</w:t>
      </w:r>
    </w:p>
    <w:p w14:paraId="1C1898B2" w14:textId="77777777" w:rsidR="007F39B7" w:rsidRPr="00051FD3" w:rsidRDefault="00B96875" w:rsidP="007F39B7">
      <w:pPr>
        <w:tabs>
          <w:tab w:val="left" w:pos="567"/>
        </w:tabs>
        <w:autoSpaceDE w:val="0"/>
        <w:autoSpaceDN w:val="0"/>
        <w:adjustRightInd w:val="0"/>
        <w:rPr>
          <w:sz w:val="22"/>
          <w:szCs w:val="22"/>
        </w:rPr>
      </w:pPr>
      <w:r w:rsidRPr="00051FD3">
        <w:rPr>
          <w:sz w:val="22"/>
          <w:szCs w:val="22"/>
        </w:rPr>
        <w:t>Paskutinio perregistravimo data</w:t>
      </w:r>
      <w:r w:rsidR="007553F0" w:rsidRPr="00051FD3">
        <w:rPr>
          <w:sz w:val="22"/>
          <w:szCs w:val="22"/>
        </w:rPr>
        <w:t xml:space="preserve"> 2018 m. liepos 30 d.</w:t>
      </w:r>
    </w:p>
    <w:p w14:paraId="76A6A314" w14:textId="77777777" w:rsidR="00B96875" w:rsidRPr="00051FD3" w:rsidRDefault="00B96875" w:rsidP="007F39B7">
      <w:pPr>
        <w:tabs>
          <w:tab w:val="left" w:pos="567"/>
        </w:tabs>
        <w:autoSpaceDE w:val="0"/>
        <w:autoSpaceDN w:val="0"/>
        <w:adjustRightInd w:val="0"/>
        <w:rPr>
          <w:color w:val="000000"/>
          <w:sz w:val="22"/>
          <w:szCs w:val="22"/>
          <w:lang w:eastAsia="lt-LT"/>
        </w:rPr>
      </w:pPr>
    </w:p>
    <w:p w14:paraId="71CB1BDE" w14:textId="77777777" w:rsidR="007F39B7" w:rsidRPr="00051FD3" w:rsidRDefault="007F39B7" w:rsidP="007F39B7">
      <w:pPr>
        <w:tabs>
          <w:tab w:val="left" w:pos="567"/>
        </w:tabs>
        <w:autoSpaceDE w:val="0"/>
        <w:autoSpaceDN w:val="0"/>
        <w:adjustRightInd w:val="0"/>
        <w:rPr>
          <w:color w:val="000000"/>
          <w:sz w:val="22"/>
          <w:szCs w:val="22"/>
          <w:lang w:eastAsia="lt-LT"/>
        </w:rPr>
      </w:pPr>
    </w:p>
    <w:p w14:paraId="17F8F92E" w14:textId="77777777" w:rsidR="007F39B7" w:rsidRPr="00051FD3" w:rsidRDefault="007F39B7" w:rsidP="007F39B7">
      <w:pPr>
        <w:tabs>
          <w:tab w:val="left" w:pos="567"/>
        </w:tabs>
        <w:autoSpaceDE w:val="0"/>
        <w:autoSpaceDN w:val="0"/>
        <w:adjustRightInd w:val="0"/>
        <w:rPr>
          <w:b/>
          <w:bCs/>
          <w:color w:val="000000"/>
          <w:sz w:val="22"/>
          <w:szCs w:val="22"/>
          <w:lang w:eastAsia="lt-LT"/>
        </w:rPr>
      </w:pPr>
      <w:r w:rsidRPr="00051FD3">
        <w:rPr>
          <w:b/>
          <w:bCs/>
          <w:color w:val="000000"/>
          <w:sz w:val="22"/>
          <w:szCs w:val="22"/>
          <w:lang w:eastAsia="lt-LT"/>
        </w:rPr>
        <w:t xml:space="preserve">10. </w:t>
      </w:r>
      <w:r w:rsidRPr="00051FD3">
        <w:rPr>
          <w:b/>
          <w:bCs/>
          <w:color w:val="000000"/>
          <w:sz w:val="22"/>
          <w:szCs w:val="22"/>
          <w:lang w:eastAsia="lt-LT"/>
        </w:rPr>
        <w:tab/>
        <w:t>TEKSTO PERŽIŪROS DATA</w:t>
      </w:r>
    </w:p>
    <w:p w14:paraId="457C11FB" w14:textId="77777777" w:rsidR="007553F0" w:rsidRPr="00051FD3" w:rsidRDefault="007553F0" w:rsidP="007F39B7">
      <w:pPr>
        <w:tabs>
          <w:tab w:val="left" w:pos="567"/>
        </w:tabs>
        <w:rPr>
          <w:sz w:val="22"/>
          <w:szCs w:val="22"/>
        </w:rPr>
      </w:pPr>
    </w:p>
    <w:p w14:paraId="5261D090" w14:textId="4E64F673" w:rsidR="00F02F25" w:rsidRDefault="006A3242" w:rsidP="007F39B7">
      <w:pPr>
        <w:tabs>
          <w:tab w:val="left" w:pos="567"/>
        </w:tabs>
        <w:rPr>
          <w:sz w:val="22"/>
          <w:szCs w:val="22"/>
        </w:rPr>
      </w:pPr>
      <w:r>
        <w:rPr>
          <w:sz w:val="22"/>
          <w:szCs w:val="22"/>
        </w:rPr>
        <w:t>2025 m. gegužės 8 d.</w:t>
      </w:r>
    </w:p>
    <w:p w14:paraId="202D875C" w14:textId="77777777" w:rsidR="00FA4E83" w:rsidRPr="00051FD3" w:rsidRDefault="00FA4E83" w:rsidP="007F39B7">
      <w:pPr>
        <w:tabs>
          <w:tab w:val="left" w:pos="567"/>
        </w:tabs>
        <w:rPr>
          <w:sz w:val="22"/>
          <w:szCs w:val="22"/>
        </w:rPr>
      </w:pPr>
    </w:p>
    <w:p w14:paraId="2F87F447" w14:textId="782551A5" w:rsidR="00E82C40" w:rsidRPr="00051FD3" w:rsidRDefault="007F39B7" w:rsidP="00E82C40">
      <w:pPr>
        <w:tabs>
          <w:tab w:val="left" w:pos="567"/>
        </w:tabs>
        <w:rPr>
          <w:sz w:val="22"/>
          <w:szCs w:val="22"/>
        </w:rPr>
      </w:pPr>
      <w:r w:rsidRPr="00051FD3">
        <w:rPr>
          <w:sz w:val="22"/>
          <w:szCs w:val="22"/>
        </w:rPr>
        <w:t>Išsami informacija apie šį vaistinį preparatą pateikiama Valstybinės vaistų kontrolės tarnybos prie Lietuvos Respublikos  sveikatos apsaugos ministerijos tinklalapyje</w:t>
      </w:r>
      <w:r w:rsidR="00FA4E83">
        <w:rPr>
          <w:sz w:val="22"/>
          <w:szCs w:val="22"/>
        </w:rPr>
        <w:t xml:space="preserve"> </w:t>
      </w:r>
      <w:r w:rsidR="00E82C40" w:rsidRPr="00051FD3">
        <w:rPr>
          <w:color w:val="0000EE"/>
          <w:sz w:val="22"/>
          <w:szCs w:val="22"/>
          <w:u w:val="single"/>
          <w:lang w:eastAsia="lt-LT"/>
        </w:rPr>
        <w:t>https://vvkt.lrv.lt/lt/.</w:t>
      </w:r>
    </w:p>
    <w:p w14:paraId="2A1F3A81" w14:textId="77777777" w:rsidR="007F39B7" w:rsidRPr="00051FD3" w:rsidRDefault="007F39B7" w:rsidP="007F39B7">
      <w:pPr>
        <w:tabs>
          <w:tab w:val="left" w:pos="567"/>
        </w:tabs>
        <w:rPr>
          <w:b/>
          <w:bCs/>
          <w:sz w:val="22"/>
          <w:szCs w:val="22"/>
        </w:rPr>
      </w:pPr>
    </w:p>
    <w:p w14:paraId="0B142475" w14:textId="77777777" w:rsidR="007F39B7" w:rsidRPr="00051FD3" w:rsidRDefault="007F39B7" w:rsidP="007F39B7">
      <w:pPr>
        <w:pStyle w:val="TTEMEASMCA"/>
        <w:ind w:left="0" w:firstLine="0"/>
        <w:rPr>
          <w:bCs w:val="0"/>
          <w:lang w:val="lt-LT"/>
        </w:rPr>
      </w:pPr>
      <w:r w:rsidRPr="00051FD3">
        <w:rPr>
          <w:lang w:val="lt-LT"/>
        </w:rPr>
        <w:br w:type="page"/>
      </w:r>
    </w:p>
    <w:p w14:paraId="1EC75BD2" w14:textId="77777777" w:rsidR="007F39B7" w:rsidRPr="00051FD3" w:rsidRDefault="007F39B7" w:rsidP="007F39B7">
      <w:pPr>
        <w:tabs>
          <w:tab w:val="left" w:pos="567"/>
        </w:tabs>
        <w:jc w:val="center"/>
        <w:outlineLvl w:val="0"/>
        <w:rPr>
          <w:b/>
          <w:caps/>
          <w:sz w:val="22"/>
          <w:szCs w:val="22"/>
        </w:rPr>
      </w:pPr>
    </w:p>
    <w:p w14:paraId="611A4D6C" w14:textId="77777777" w:rsidR="007F39B7" w:rsidRPr="000E639C" w:rsidRDefault="007F39B7" w:rsidP="007F39B7">
      <w:pPr>
        <w:tabs>
          <w:tab w:val="left" w:pos="567"/>
        </w:tabs>
        <w:jc w:val="center"/>
        <w:outlineLvl w:val="0"/>
        <w:rPr>
          <w:b/>
          <w:caps/>
          <w:sz w:val="22"/>
          <w:szCs w:val="22"/>
        </w:rPr>
      </w:pPr>
    </w:p>
    <w:p w14:paraId="491902AC" w14:textId="77777777" w:rsidR="007F39B7" w:rsidRPr="00051FD3" w:rsidRDefault="007F39B7" w:rsidP="007F39B7">
      <w:pPr>
        <w:tabs>
          <w:tab w:val="left" w:pos="567"/>
        </w:tabs>
        <w:jc w:val="center"/>
        <w:outlineLvl w:val="0"/>
        <w:rPr>
          <w:b/>
          <w:caps/>
          <w:sz w:val="22"/>
          <w:szCs w:val="22"/>
        </w:rPr>
      </w:pPr>
    </w:p>
    <w:p w14:paraId="5F88638A" w14:textId="77777777" w:rsidR="007F39B7" w:rsidRPr="00051FD3" w:rsidRDefault="007F39B7" w:rsidP="007F39B7">
      <w:pPr>
        <w:tabs>
          <w:tab w:val="left" w:pos="567"/>
        </w:tabs>
        <w:jc w:val="center"/>
        <w:outlineLvl w:val="0"/>
        <w:rPr>
          <w:b/>
          <w:caps/>
          <w:sz w:val="22"/>
          <w:szCs w:val="22"/>
        </w:rPr>
      </w:pPr>
    </w:p>
    <w:p w14:paraId="0E5F83EC" w14:textId="77777777" w:rsidR="007F39B7" w:rsidRPr="00051FD3" w:rsidRDefault="007F39B7" w:rsidP="007F39B7">
      <w:pPr>
        <w:tabs>
          <w:tab w:val="left" w:pos="567"/>
        </w:tabs>
        <w:jc w:val="center"/>
        <w:outlineLvl w:val="0"/>
        <w:rPr>
          <w:b/>
          <w:caps/>
          <w:sz w:val="22"/>
          <w:szCs w:val="22"/>
        </w:rPr>
      </w:pPr>
    </w:p>
    <w:p w14:paraId="01549F99" w14:textId="77777777" w:rsidR="007F39B7" w:rsidRPr="00051FD3" w:rsidRDefault="007F39B7" w:rsidP="007F39B7">
      <w:pPr>
        <w:tabs>
          <w:tab w:val="left" w:pos="567"/>
        </w:tabs>
        <w:jc w:val="center"/>
        <w:outlineLvl w:val="0"/>
        <w:rPr>
          <w:b/>
          <w:caps/>
          <w:sz w:val="22"/>
          <w:szCs w:val="22"/>
        </w:rPr>
      </w:pPr>
    </w:p>
    <w:p w14:paraId="267B602A" w14:textId="77777777" w:rsidR="007F39B7" w:rsidRPr="00051FD3" w:rsidRDefault="007F39B7" w:rsidP="007F39B7">
      <w:pPr>
        <w:tabs>
          <w:tab w:val="left" w:pos="567"/>
        </w:tabs>
        <w:jc w:val="center"/>
        <w:outlineLvl w:val="0"/>
        <w:rPr>
          <w:b/>
          <w:caps/>
          <w:sz w:val="22"/>
          <w:szCs w:val="22"/>
        </w:rPr>
      </w:pPr>
    </w:p>
    <w:p w14:paraId="6624EBD8" w14:textId="77777777" w:rsidR="007F39B7" w:rsidRPr="00051FD3" w:rsidRDefault="007F39B7" w:rsidP="007F39B7">
      <w:pPr>
        <w:tabs>
          <w:tab w:val="left" w:pos="567"/>
        </w:tabs>
        <w:jc w:val="center"/>
        <w:outlineLvl w:val="0"/>
        <w:rPr>
          <w:b/>
          <w:caps/>
          <w:sz w:val="22"/>
          <w:szCs w:val="22"/>
        </w:rPr>
      </w:pPr>
    </w:p>
    <w:p w14:paraId="3178B8D7" w14:textId="77777777" w:rsidR="007F39B7" w:rsidRPr="00051FD3" w:rsidRDefault="007F39B7" w:rsidP="007F39B7">
      <w:pPr>
        <w:tabs>
          <w:tab w:val="left" w:pos="567"/>
        </w:tabs>
        <w:jc w:val="center"/>
        <w:outlineLvl w:val="0"/>
        <w:rPr>
          <w:b/>
          <w:caps/>
          <w:sz w:val="22"/>
          <w:szCs w:val="22"/>
        </w:rPr>
      </w:pPr>
    </w:p>
    <w:p w14:paraId="7F57D988" w14:textId="77777777" w:rsidR="007F39B7" w:rsidRPr="00051FD3" w:rsidRDefault="007F39B7" w:rsidP="007F39B7">
      <w:pPr>
        <w:tabs>
          <w:tab w:val="left" w:pos="567"/>
        </w:tabs>
        <w:jc w:val="center"/>
        <w:outlineLvl w:val="0"/>
        <w:rPr>
          <w:b/>
          <w:caps/>
          <w:sz w:val="22"/>
          <w:szCs w:val="22"/>
        </w:rPr>
      </w:pPr>
    </w:p>
    <w:p w14:paraId="684136E8" w14:textId="77777777" w:rsidR="007F39B7" w:rsidRPr="00051FD3" w:rsidRDefault="007F39B7" w:rsidP="007F39B7">
      <w:pPr>
        <w:tabs>
          <w:tab w:val="left" w:pos="567"/>
        </w:tabs>
        <w:jc w:val="center"/>
        <w:outlineLvl w:val="0"/>
        <w:rPr>
          <w:b/>
          <w:caps/>
          <w:sz w:val="22"/>
          <w:szCs w:val="22"/>
        </w:rPr>
      </w:pPr>
    </w:p>
    <w:p w14:paraId="28E44FE7" w14:textId="77777777" w:rsidR="007F39B7" w:rsidRPr="00051FD3" w:rsidRDefault="007F39B7" w:rsidP="007F39B7">
      <w:pPr>
        <w:tabs>
          <w:tab w:val="left" w:pos="567"/>
        </w:tabs>
        <w:jc w:val="center"/>
        <w:outlineLvl w:val="0"/>
        <w:rPr>
          <w:b/>
          <w:caps/>
          <w:sz w:val="22"/>
          <w:szCs w:val="22"/>
        </w:rPr>
      </w:pPr>
    </w:p>
    <w:p w14:paraId="59DA20CA" w14:textId="77777777" w:rsidR="007F39B7" w:rsidRPr="00051FD3" w:rsidRDefault="007F39B7" w:rsidP="007F39B7">
      <w:pPr>
        <w:tabs>
          <w:tab w:val="left" w:pos="567"/>
        </w:tabs>
        <w:jc w:val="center"/>
        <w:outlineLvl w:val="0"/>
        <w:rPr>
          <w:b/>
          <w:caps/>
          <w:sz w:val="22"/>
          <w:szCs w:val="22"/>
        </w:rPr>
      </w:pPr>
    </w:p>
    <w:p w14:paraId="2028D75A" w14:textId="77777777" w:rsidR="007F39B7" w:rsidRPr="00051FD3" w:rsidRDefault="007F39B7" w:rsidP="007F39B7">
      <w:pPr>
        <w:tabs>
          <w:tab w:val="left" w:pos="567"/>
        </w:tabs>
        <w:jc w:val="center"/>
        <w:outlineLvl w:val="0"/>
        <w:rPr>
          <w:b/>
          <w:caps/>
          <w:sz w:val="22"/>
          <w:szCs w:val="22"/>
        </w:rPr>
      </w:pPr>
    </w:p>
    <w:p w14:paraId="59DA55BC" w14:textId="77777777" w:rsidR="007F39B7" w:rsidRPr="00051FD3" w:rsidRDefault="007F39B7" w:rsidP="007F39B7">
      <w:pPr>
        <w:tabs>
          <w:tab w:val="left" w:pos="567"/>
        </w:tabs>
        <w:jc w:val="center"/>
        <w:outlineLvl w:val="0"/>
        <w:rPr>
          <w:b/>
          <w:caps/>
          <w:sz w:val="22"/>
          <w:szCs w:val="22"/>
        </w:rPr>
      </w:pPr>
    </w:p>
    <w:p w14:paraId="2817F66C" w14:textId="77777777" w:rsidR="007F39B7" w:rsidRPr="00051FD3" w:rsidRDefault="007F39B7" w:rsidP="007F39B7">
      <w:pPr>
        <w:tabs>
          <w:tab w:val="left" w:pos="567"/>
        </w:tabs>
        <w:jc w:val="center"/>
        <w:outlineLvl w:val="0"/>
        <w:rPr>
          <w:b/>
          <w:caps/>
          <w:sz w:val="22"/>
          <w:szCs w:val="22"/>
        </w:rPr>
      </w:pPr>
    </w:p>
    <w:p w14:paraId="3A556101" w14:textId="77777777" w:rsidR="007F39B7" w:rsidRPr="00051FD3" w:rsidRDefault="007F39B7" w:rsidP="007F39B7">
      <w:pPr>
        <w:tabs>
          <w:tab w:val="left" w:pos="567"/>
        </w:tabs>
        <w:jc w:val="center"/>
        <w:outlineLvl w:val="0"/>
        <w:rPr>
          <w:b/>
          <w:caps/>
          <w:sz w:val="22"/>
          <w:szCs w:val="22"/>
        </w:rPr>
      </w:pPr>
    </w:p>
    <w:p w14:paraId="7877400C" w14:textId="77777777" w:rsidR="007F39B7" w:rsidRPr="00051FD3" w:rsidRDefault="007F39B7" w:rsidP="007F39B7">
      <w:pPr>
        <w:tabs>
          <w:tab w:val="left" w:pos="567"/>
        </w:tabs>
        <w:jc w:val="center"/>
        <w:outlineLvl w:val="0"/>
        <w:rPr>
          <w:b/>
          <w:caps/>
          <w:sz w:val="22"/>
          <w:szCs w:val="22"/>
        </w:rPr>
      </w:pPr>
    </w:p>
    <w:p w14:paraId="11E100A7" w14:textId="77777777" w:rsidR="007F39B7" w:rsidRPr="00051FD3" w:rsidRDefault="007F39B7" w:rsidP="007F39B7">
      <w:pPr>
        <w:tabs>
          <w:tab w:val="left" w:pos="567"/>
        </w:tabs>
        <w:jc w:val="center"/>
        <w:outlineLvl w:val="0"/>
        <w:rPr>
          <w:b/>
          <w:caps/>
          <w:sz w:val="22"/>
          <w:szCs w:val="22"/>
        </w:rPr>
      </w:pPr>
    </w:p>
    <w:p w14:paraId="7FE2B68B" w14:textId="77777777" w:rsidR="007F39B7" w:rsidRPr="00051FD3" w:rsidRDefault="007F39B7" w:rsidP="007F39B7">
      <w:pPr>
        <w:tabs>
          <w:tab w:val="left" w:pos="567"/>
        </w:tabs>
        <w:jc w:val="center"/>
        <w:outlineLvl w:val="0"/>
        <w:rPr>
          <w:b/>
          <w:caps/>
          <w:sz w:val="22"/>
          <w:szCs w:val="22"/>
        </w:rPr>
      </w:pPr>
    </w:p>
    <w:p w14:paraId="3781F552" w14:textId="77777777" w:rsidR="007F39B7" w:rsidRPr="00051FD3" w:rsidRDefault="007F39B7" w:rsidP="007F39B7">
      <w:pPr>
        <w:tabs>
          <w:tab w:val="left" w:pos="567"/>
        </w:tabs>
        <w:jc w:val="center"/>
        <w:outlineLvl w:val="0"/>
        <w:rPr>
          <w:b/>
          <w:caps/>
          <w:sz w:val="22"/>
          <w:szCs w:val="22"/>
        </w:rPr>
      </w:pPr>
    </w:p>
    <w:p w14:paraId="0FAD2A53" w14:textId="77777777" w:rsidR="007F39B7" w:rsidRPr="00051FD3" w:rsidRDefault="007F39B7" w:rsidP="007F39B7">
      <w:pPr>
        <w:tabs>
          <w:tab w:val="left" w:pos="567"/>
        </w:tabs>
        <w:jc w:val="center"/>
        <w:outlineLvl w:val="0"/>
        <w:rPr>
          <w:b/>
          <w:caps/>
          <w:sz w:val="22"/>
          <w:szCs w:val="22"/>
        </w:rPr>
      </w:pPr>
    </w:p>
    <w:p w14:paraId="013D7C56" w14:textId="77777777" w:rsidR="00A71951" w:rsidRPr="00051FD3" w:rsidRDefault="00A71951" w:rsidP="007F39B7">
      <w:pPr>
        <w:tabs>
          <w:tab w:val="left" w:pos="567"/>
        </w:tabs>
        <w:jc w:val="center"/>
        <w:outlineLvl w:val="0"/>
        <w:rPr>
          <w:b/>
          <w:caps/>
          <w:sz w:val="22"/>
          <w:szCs w:val="22"/>
        </w:rPr>
      </w:pPr>
    </w:p>
    <w:p w14:paraId="2ED79BFA" w14:textId="77777777" w:rsidR="007F39B7" w:rsidRPr="00051FD3" w:rsidRDefault="007F39B7" w:rsidP="007F39B7">
      <w:pPr>
        <w:tabs>
          <w:tab w:val="left" w:pos="567"/>
        </w:tabs>
        <w:jc w:val="center"/>
        <w:outlineLvl w:val="0"/>
        <w:rPr>
          <w:b/>
          <w:caps/>
          <w:sz w:val="22"/>
          <w:szCs w:val="22"/>
        </w:rPr>
      </w:pPr>
      <w:r w:rsidRPr="00051FD3">
        <w:rPr>
          <w:b/>
          <w:caps/>
          <w:sz w:val="22"/>
          <w:szCs w:val="22"/>
        </w:rPr>
        <w:t>II PRIEDAS</w:t>
      </w:r>
    </w:p>
    <w:p w14:paraId="20878A29" w14:textId="77777777" w:rsidR="007F39B7" w:rsidRPr="00051FD3" w:rsidRDefault="007F39B7" w:rsidP="007F39B7">
      <w:pPr>
        <w:tabs>
          <w:tab w:val="left" w:pos="567"/>
        </w:tabs>
        <w:jc w:val="center"/>
        <w:outlineLvl w:val="0"/>
        <w:rPr>
          <w:b/>
          <w:caps/>
          <w:sz w:val="22"/>
          <w:szCs w:val="22"/>
        </w:rPr>
      </w:pPr>
    </w:p>
    <w:p w14:paraId="0ACBF8B0" w14:textId="77777777" w:rsidR="007F39B7" w:rsidRPr="00051FD3" w:rsidRDefault="00557EE8" w:rsidP="007F39B7">
      <w:pPr>
        <w:tabs>
          <w:tab w:val="left" w:pos="567"/>
          <w:tab w:val="left" w:pos="1620"/>
        </w:tabs>
        <w:ind w:left="567" w:hanging="567"/>
        <w:jc w:val="center"/>
        <w:outlineLvl w:val="0"/>
        <w:rPr>
          <w:b/>
          <w:caps/>
          <w:sz w:val="22"/>
          <w:szCs w:val="22"/>
        </w:rPr>
      </w:pPr>
      <w:r w:rsidRPr="00051FD3">
        <w:rPr>
          <w:b/>
          <w:caps/>
          <w:sz w:val="22"/>
          <w:szCs w:val="22"/>
        </w:rPr>
        <w:t>REGISTRACIJOS</w:t>
      </w:r>
      <w:r w:rsidR="007F39B7" w:rsidRPr="00051FD3">
        <w:rPr>
          <w:b/>
          <w:caps/>
          <w:sz w:val="22"/>
          <w:szCs w:val="22"/>
        </w:rPr>
        <w:t xml:space="preserve"> SĄLYGOS</w:t>
      </w:r>
    </w:p>
    <w:p w14:paraId="4E103318" w14:textId="77777777" w:rsidR="007F39B7" w:rsidRPr="00051FD3" w:rsidRDefault="007F39B7" w:rsidP="007F39B7">
      <w:pPr>
        <w:tabs>
          <w:tab w:val="left" w:pos="567"/>
        </w:tabs>
        <w:rPr>
          <w:noProof/>
          <w:sz w:val="22"/>
          <w:szCs w:val="22"/>
        </w:rPr>
      </w:pPr>
    </w:p>
    <w:p w14:paraId="5E84F5EC" w14:textId="77777777" w:rsidR="007F39B7" w:rsidRPr="00051FD3" w:rsidRDefault="007F39B7" w:rsidP="007F39B7">
      <w:pPr>
        <w:tabs>
          <w:tab w:val="left" w:pos="567"/>
          <w:tab w:val="left" w:pos="1701"/>
        </w:tabs>
        <w:ind w:left="1134"/>
        <w:rPr>
          <w:b/>
          <w:sz w:val="22"/>
          <w:szCs w:val="22"/>
        </w:rPr>
      </w:pPr>
      <w:r w:rsidRPr="00051FD3">
        <w:rPr>
          <w:b/>
          <w:sz w:val="22"/>
          <w:szCs w:val="22"/>
        </w:rPr>
        <w:t>A.</w:t>
      </w:r>
      <w:r w:rsidRPr="00051FD3">
        <w:rPr>
          <w:b/>
          <w:sz w:val="22"/>
          <w:szCs w:val="22"/>
        </w:rPr>
        <w:tab/>
      </w:r>
      <w:r w:rsidR="00557EE8" w:rsidRPr="00051FD3">
        <w:rPr>
          <w:b/>
          <w:sz w:val="22"/>
          <w:szCs w:val="22"/>
        </w:rPr>
        <w:t xml:space="preserve">GAMINTOJAS (-AI), ATSAKINGAS (-I) </w:t>
      </w:r>
      <w:r w:rsidRPr="00051FD3">
        <w:rPr>
          <w:b/>
          <w:sz w:val="22"/>
          <w:szCs w:val="22"/>
        </w:rPr>
        <w:t>UŽ SERIJŲ IŠLEIDIMĄ</w:t>
      </w:r>
    </w:p>
    <w:p w14:paraId="2DDB4AEF" w14:textId="77777777" w:rsidR="007F39B7" w:rsidRPr="00051FD3" w:rsidRDefault="007F39B7" w:rsidP="007F39B7">
      <w:pPr>
        <w:tabs>
          <w:tab w:val="left" w:pos="567"/>
        </w:tabs>
        <w:rPr>
          <w:noProof/>
          <w:sz w:val="22"/>
          <w:szCs w:val="22"/>
        </w:rPr>
      </w:pPr>
    </w:p>
    <w:p w14:paraId="50D67163" w14:textId="77777777" w:rsidR="007F39B7" w:rsidRPr="00051FD3" w:rsidRDefault="007F39B7" w:rsidP="007F39B7">
      <w:pPr>
        <w:tabs>
          <w:tab w:val="left" w:pos="567"/>
          <w:tab w:val="left" w:pos="1701"/>
        </w:tabs>
        <w:ind w:left="1134"/>
        <w:rPr>
          <w:b/>
          <w:sz w:val="22"/>
          <w:szCs w:val="22"/>
        </w:rPr>
      </w:pPr>
      <w:r w:rsidRPr="00051FD3">
        <w:rPr>
          <w:b/>
          <w:sz w:val="22"/>
          <w:szCs w:val="22"/>
        </w:rPr>
        <w:t>B.</w:t>
      </w:r>
      <w:r w:rsidRPr="00051FD3">
        <w:rPr>
          <w:b/>
          <w:sz w:val="22"/>
          <w:szCs w:val="22"/>
        </w:rPr>
        <w:tab/>
        <w:t>TIEKIMO IR VARTOJIMO SĄLYGOS AR APRIBOJIMAI</w:t>
      </w:r>
    </w:p>
    <w:p w14:paraId="4DC8D681" w14:textId="77777777" w:rsidR="007F39B7" w:rsidRPr="00051FD3" w:rsidRDefault="007F39B7" w:rsidP="007F39B7">
      <w:pPr>
        <w:tabs>
          <w:tab w:val="left" w:pos="567"/>
        </w:tabs>
        <w:rPr>
          <w:b/>
          <w:sz w:val="22"/>
          <w:szCs w:val="22"/>
          <w:lang w:eastAsia="lt-LT"/>
        </w:rPr>
      </w:pPr>
      <w:r w:rsidRPr="00051FD3">
        <w:rPr>
          <w:sz w:val="22"/>
          <w:szCs w:val="22"/>
          <w:lang w:eastAsia="lt-LT"/>
        </w:rPr>
        <w:br w:type="page"/>
      </w:r>
      <w:r w:rsidRPr="00051FD3">
        <w:rPr>
          <w:b/>
          <w:sz w:val="22"/>
          <w:szCs w:val="22"/>
          <w:lang w:eastAsia="lt-LT"/>
        </w:rPr>
        <w:lastRenderedPageBreak/>
        <w:t xml:space="preserve">A. </w:t>
      </w:r>
      <w:r w:rsidRPr="00051FD3">
        <w:rPr>
          <w:b/>
          <w:sz w:val="22"/>
          <w:szCs w:val="22"/>
          <w:lang w:eastAsia="lt-LT"/>
        </w:rPr>
        <w:tab/>
      </w:r>
      <w:r w:rsidR="00557EE8" w:rsidRPr="00051FD3">
        <w:rPr>
          <w:b/>
          <w:sz w:val="22"/>
          <w:szCs w:val="22"/>
          <w:lang w:eastAsia="lt-LT"/>
        </w:rPr>
        <w:t>GAMINTOJAS (-AI), ATSAKINGAS (-I) UŽ SERIJŲ IŠLEIDIMĄ</w:t>
      </w:r>
    </w:p>
    <w:p w14:paraId="2CD9F027" w14:textId="77777777" w:rsidR="007F39B7" w:rsidRPr="00051FD3" w:rsidRDefault="007F39B7" w:rsidP="007F39B7">
      <w:pPr>
        <w:tabs>
          <w:tab w:val="left" w:pos="567"/>
        </w:tabs>
        <w:rPr>
          <w:sz w:val="22"/>
          <w:szCs w:val="22"/>
          <w:lang w:eastAsia="lt-LT"/>
        </w:rPr>
      </w:pPr>
    </w:p>
    <w:p w14:paraId="3FDEC11D" w14:textId="77777777" w:rsidR="007F39B7" w:rsidRPr="00051FD3" w:rsidRDefault="007F39B7" w:rsidP="007F39B7">
      <w:pPr>
        <w:jc w:val="both"/>
        <w:rPr>
          <w:sz w:val="22"/>
          <w:szCs w:val="22"/>
        </w:rPr>
      </w:pPr>
      <w:r w:rsidRPr="00051FD3">
        <w:rPr>
          <w:noProof/>
          <w:sz w:val="22"/>
          <w:szCs w:val="22"/>
          <w:u w:val="single"/>
        </w:rPr>
        <w:t>Gamintojo (-ų), atsakingo (-ų) už serijų išleidimą, pavadinimas (-ai) ir adresas (-ai)</w:t>
      </w:r>
    </w:p>
    <w:p w14:paraId="5FA3512C" w14:textId="77777777" w:rsidR="007F39B7" w:rsidRPr="00051FD3" w:rsidRDefault="007F39B7" w:rsidP="007F39B7">
      <w:pPr>
        <w:rPr>
          <w:rFonts w:eastAsia="Calibri"/>
          <w:sz w:val="22"/>
          <w:szCs w:val="22"/>
        </w:rPr>
      </w:pPr>
    </w:p>
    <w:p w14:paraId="176DE472" w14:textId="77777777" w:rsidR="007F39B7" w:rsidRPr="00051FD3" w:rsidRDefault="007F39B7" w:rsidP="007F39B7">
      <w:pPr>
        <w:autoSpaceDE w:val="0"/>
        <w:autoSpaceDN w:val="0"/>
        <w:adjustRightInd w:val="0"/>
        <w:rPr>
          <w:rFonts w:eastAsia="Calibri"/>
          <w:bCs/>
          <w:sz w:val="22"/>
          <w:szCs w:val="22"/>
        </w:rPr>
      </w:pPr>
      <w:proofErr w:type="spellStart"/>
      <w:r w:rsidRPr="00051FD3">
        <w:rPr>
          <w:rFonts w:eastAsia="Calibri"/>
          <w:bCs/>
          <w:sz w:val="22"/>
          <w:szCs w:val="22"/>
        </w:rPr>
        <w:t>Actavis</w:t>
      </w:r>
      <w:proofErr w:type="spellEnd"/>
      <w:r w:rsidRPr="00051FD3">
        <w:rPr>
          <w:rFonts w:eastAsia="Calibri"/>
          <w:bCs/>
          <w:sz w:val="22"/>
          <w:szCs w:val="22"/>
        </w:rPr>
        <w:t xml:space="preserve"> Ltd.</w:t>
      </w:r>
    </w:p>
    <w:p w14:paraId="6DE1AC9F" w14:textId="77777777" w:rsidR="007F39B7" w:rsidRPr="00051FD3" w:rsidRDefault="007F39B7" w:rsidP="007F39B7">
      <w:pPr>
        <w:autoSpaceDE w:val="0"/>
        <w:autoSpaceDN w:val="0"/>
        <w:adjustRightInd w:val="0"/>
        <w:rPr>
          <w:rFonts w:eastAsia="Calibri"/>
          <w:bCs/>
          <w:sz w:val="22"/>
          <w:szCs w:val="22"/>
        </w:rPr>
      </w:pPr>
      <w:r w:rsidRPr="00051FD3">
        <w:rPr>
          <w:rFonts w:eastAsia="Calibri"/>
          <w:bCs/>
          <w:sz w:val="22"/>
          <w:szCs w:val="22"/>
        </w:rPr>
        <w:t xml:space="preserve">BLB 016 </w:t>
      </w:r>
      <w:proofErr w:type="spellStart"/>
      <w:r w:rsidRPr="00051FD3">
        <w:rPr>
          <w:rFonts w:eastAsia="Calibri"/>
          <w:bCs/>
          <w:sz w:val="22"/>
          <w:szCs w:val="22"/>
        </w:rPr>
        <w:t>Bulebel</w:t>
      </w:r>
      <w:proofErr w:type="spellEnd"/>
      <w:r w:rsidRPr="00051FD3">
        <w:rPr>
          <w:rFonts w:eastAsia="Calibri"/>
          <w:bCs/>
          <w:sz w:val="22"/>
          <w:szCs w:val="22"/>
        </w:rPr>
        <w:t xml:space="preserve"> </w:t>
      </w:r>
      <w:proofErr w:type="spellStart"/>
      <w:r w:rsidRPr="00051FD3">
        <w:rPr>
          <w:rFonts w:eastAsia="Calibri"/>
          <w:bCs/>
          <w:sz w:val="22"/>
          <w:szCs w:val="22"/>
        </w:rPr>
        <w:t>Industrial</w:t>
      </w:r>
      <w:proofErr w:type="spellEnd"/>
      <w:r w:rsidRPr="00051FD3">
        <w:rPr>
          <w:rFonts w:eastAsia="Calibri"/>
          <w:bCs/>
          <w:sz w:val="22"/>
          <w:szCs w:val="22"/>
        </w:rPr>
        <w:t xml:space="preserve"> </w:t>
      </w:r>
      <w:proofErr w:type="spellStart"/>
      <w:r w:rsidRPr="00051FD3">
        <w:rPr>
          <w:rFonts w:eastAsia="Calibri"/>
          <w:bCs/>
          <w:sz w:val="22"/>
          <w:szCs w:val="22"/>
        </w:rPr>
        <w:t>Estate</w:t>
      </w:r>
      <w:proofErr w:type="spellEnd"/>
    </w:p>
    <w:p w14:paraId="05A84D58" w14:textId="77777777" w:rsidR="007F39B7" w:rsidRPr="00051FD3" w:rsidRDefault="007F39B7" w:rsidP="007F39B7">
      <w:pPr>
        <w:autoSpaceDE w:val="0"/>
        <w:autoSpaceDN w:val="0"/>
        <w:adjustRightInd w:val="0"/>
        <w:rPr>
          <w:rFonts w:eastAsia="Calibri"/>
          <w:bCs/>
          <w:sz w:val="22"/>
          <w:szCs w:val="22"/>
        </w:rPr>
      </w:pPr>
      <w:proofErr w:type="spellStart"/>
      <w:r w:rsidRPr="00051FD3">
        <w:rPr>
          <w:rFonts w:eastAsia="Calibri"/>
          <w:bCs/>
          <w:sz w:val="22"/>
          <w:szCs w:val="22"/>
        </w:rPr>
        <w:t>Zejtun</w:t>
      </w:r>
      <w:proofErr w:type="spellEnd"/>
      <w:r w:rsidRPr="00051FD3">
        <w:rPr>
          <w:rFonts w:eastAsia="Calibri"/>
          <w:bCs/>
          <w:sz w:val="22"/>
          <w:szCs w:val="22"/>
        </w:rPr>
        <w:t xml:space="preserve"> ZTN 3000</w:t>
      </w:r>
    </w:p>
    <w:p w14:paraId="24ABECEE" w14:textId="77777777" w:rsidR="007F39B7" w:rsidRPr="00051FD3" w:rsidRDefault="007F39B7" w:rsidP="007F39B7">
      <w:pPr>
        <w:rPr>
          <w:sz w:val="22"/>
          <w:szCs w:val="22"/>
          <w:lang w:eastAsia="ja-JP"/>
        </w:rPr>
      </w:pPr>
      <w:r w:rsidRPr="00051FD3">
        <w:rPr>
          <w:rFonts w:eastAsia="Calibri"/>
          <w:bCs/>
          <w:sz w:val="22"/>
          <w:szCs w:val="22"/>
        </w:rPr>
        <w:t>Malta</w:t>
      </w:r>
    </w:p>
    <w:p w14:paraId="72AD36A2" w14:textId="77777777" w:rsidR="007F39B7" w:rsidRPr="00051FD3" w:rsidRDefault="007F39B7" w:rsidP="007F39B7">
      <w:pPr>
        <w:tabs>
          <w:tab w:val="left" w:pos="567"/>
        </w:tabs>
        <w:rPr>
          <w:sz w:val="22"/>
          <w:szCs w:val="22"/>
          <w:lang w:eastAsia="lt-LT"/>
        </w:rPr>
      </w:pPr>
    </w:p>
    <w:p w14:paraId="7A15CC53" w14:textId="77777777" w:rsidR="007F39B7" w:rsidRPr="00051FD3" w:rsidRDefault="007F39B7" w:rsidP="007F39B7">
      <w:pPr>
        <w:rPr>
          <w:sz w:val="22"/>
          <w:szCs w:val="22"/>
        </w:rPr>
      </w:pPr>
      <w:r w:rsidRPr="00051FD3">
        <w:rPr>
          <w:sz w:val="22"/>
          <w:szCs w:val="22"/>
        </w:rPr>
        <w:t>arba</w:t>
      </w:r>
    </w:p>
    <w:p w14:paraId="314C8683" w14:textId="77777777" w:rsidR="007F39B7" w:rsidRPr="00051FD3" w:rsidRDefault="007F39B7" w:rsidP="007F39B7">
      <w:pPr>
        <w:rPr>
          <w:sz w:val="22"/>
          <w:szCs w:val="22"/>
        </w:rPr>
      </w:pPr>
    </w:p>
    <w:p w14:paraId="5FD11AE4" w14:textId="77777777" w:rsidR="007F39B7" w:rsidRPr="00051FD3" w:rsidRDefault="007F39B7" w:rsidP="007F39B7">
      <w:pPr>
        <w:rPr>
          <w:sz w:val="22"/>
          <w:szCs w:val="22"/>
        </w:rPr>
      </w:pPr>
      <w:proofErr w:type="spellStart"/>
      <w:r w:rsidRPr="00051FD3">
        <w:rPr>
          <w:sz w:val="22"/>
          <w:szCs w:val="22"/>
        </w:rPr>
        <w:t>Merckle</w:t>
      </w:r>
      <w:proofErr w:type="spellEnd"/>
      <w:r w:rsidRPr="00051FD3">
        <w:rPr>
          <w:sz w:val="22"/>
          <w:szCs w:val="22"/>
        </w:rPr>
        <w:t xml:space="preserve"> </w:t>
      </w:r>
      <w:proofErr w:type="spellStart"/>
      <w:r w:rsidRPr="00051FD3">
        <w:rPr>
          <w:sz w:val="22"/>
          <w:szCs w:val="22"/>
        </w:rPr>
        <w:t>GmbH</w:t>
      </w:r>
      <w:proofErr w:type="spellEnd"/>
    </w:p>
    <w:p w14:paraId="74018BB8" w14:textId="77777777" w:rsidR="007F39B7" w:rsidRPr="00051FD3" w:rsidRDefault="007F39B7" w:rsidP="007F39B7">
      <w:pPr>
        <w:rPr>
          <w:sz w:val="22"/>
          <w:szCs w:val="22"/>
        </w:rPr>
      </w:pPr>
      <w:proofErr w:type="spellStart"/>
      <w:r w:rsidRPr="00051FD3">
        <w:rPr>
          <w:sz w:val="22"/>
          <w:szCs w:val="22"/>
        </w:rPr>
        <w:t>Ludwig-Merckle-Straße</w:t>
      </w:r>
      <w:proofErr w:type="spellEnd"/>
      <w:r w:rsidRPr="00051FD3">
        <w:rPr>
          <w:sz w:val="22"/>
          <w:szCs w:val="22"/>
        </w:rPr>
        <w:t xml:space="preserve"> 3</w:t>
      </w:r>
    </w:p>
    <w:p w14:paraId="7A5A0B73" w14:textId="77777777" w:rsidR="007F39B7" w:rsidRPr="00051FD3" w:rsidRDefault="007F39B7" w:rsidP="007F39B7">
      <w:pPr>
        <w:rPr>
          <w:sz w:val="22"/>
          <w:szCs w:val="22"/>
        </w:rPr>
      </w:pPr>
      <w:r w:rsidRPr="00051FD3">
        <w:rPr>
          <w:sz w:val="22"/>
          <w:szCs w:val="22"/>
        </w:rPr>
        <w:t xml:space="preserve">89143 </w:t>
      </w:r>
      <w:proofErr w:type="spellStart"/>
      <w:r w:rsidRPr="00051FD3">
        <w:rPr>
          <w:sz w:val="22"/>
          <w:szCs w:val="22"/>
        </w:rPr>
        <w:t>Blaubeuren</w:t>
      </w:r>
      <w:proofErr w:type="spellEnd"/>
    </w:p>
    <w:p w14:paraId="6B76337C" w14:textId="77777777" w:rsidR="007F39B7" w:rsidRPr="00051FD3" w:rsidRDefault="007F39B7" w:rsidP="007F39B7">
      <w:pPr>
        <w:rPr>
          <w:sz w:val="22"/>
          <w:szCs w:val="22"/>
        </w:rPr>
      </w:pPr>
      <w:r w:rsidRPr="00051FD3">
        <w:rPr>
          <w:sz w:val="22"/>
          <w:szCs w:val="22"/>
        </w:rPr>
        <w:t>Vokietija</w:t>
      </w:r>
    </w:p>
    <w:p w14:paraId="30A20DDD" w14:textId="77777777" w:rsidR="007F39B7" w:rsidRPr="00051FD3" w:rsidRDefault="007F39B7" w:rsidP="007F39B7">
      <w:pPr>
        <w:rPr>
          <w:sz w:val="22"/>
          <w:szCs w:val="22"/>
        </w:rPr>
      </w:pPr>
    </w:p>
    <w:p w14:paraId="6D474D92" w14:textId="77777777" w:rsidR="007F39B7" w:rsidRPr="00051FD3" w:rsidRDefault="007F39B7" w:rsidP="007F39B7">
      <w:pPr>
        <w:tabs>
          <w:tab w:val="left" w:pos="567"/>
        </w:tabs>
        <w:rPr>
          <w:sz w:val="22"/>
          <w:szCs w:val="22"/>
          <w:lang w:eastAsia="lt-LT"/>
        </w:rPr>
      </w:pPr>
    </w:p>
    <w:p w14:paraId="6377DC6A" w14:textId="77777777" w:rsidR="007F39B7" w:rsidRPr="00051FD3" w:rsidRDefault="007F39B7" w:rsidP="007F39B7">
      <w:pPr>
        <w:tabs>
          <w:tab w:val="left" w:pos="567"/>
        </w:tabs>
        <w:rPr>
          <w:sz w:val="22"/>
          <w:szCs w:val="22"/>
          <w:lang w:eastAsia="lt-LT"/>
        </w:rPr>
      </w:pPr>
      <w:r w:rsidRPr="00051FD3">
        <w:rPr>
          <w:sz w:val="22"/>
          <w:szCs w:val="22"/>
          <w:lang w:eastAsia="lt-LT"/>
        </w:rPr>
        <w:t>Su pakuote pateikiamame lapelyje nurodomas gamintojo, atsakingo už konkrečios serijos išleidimą, pavadinimas ir adresas.</w:t>
      </w:r>
    </w:p>
    <w:p w14:paraId="084FAA73" w14:textId="77777777" w:rsidR="007F39B7" w:rsidRPr="00051FD3" w:rsidRDefault="007F39B7" w:rsidP="007F39B7">
      <w:pPr>
        <w:tabs>
          <w:tab w:val="left" w:pos="567"/>
        </w:tabs>
        <w:rPr>
          <w:sz w:val="22"/>
          <w:szCs w:val="22"/>
          <w:lang w:eastAsia="lt-LT"/>
        </w:rPr>
      </w:pPr>
    </w:p>
    <w:p w14:paraId="734AAC61" w14:textId="77777777" w:rsidR="007F39B7" w:rsidRPr="00051FD3" w:rsidRDefault="007F39B7" w:rsidP="007F39B7">
      <w:pPr>
        <w:tabs>
          <w:tab w:val="left" w:pos="567"/>
        </w:tabs>
        <w:rPr>
          <w:sz w:val="22"/>
          <w:szCs w:val="22"/>
          <w:lang w:eastAsia="lt-LT"/>
        </w:rPr>
      </w:pPr>
    </w:p>
    <w:p w14:paraId="12C404B2" w14:textId="77777777" w:rsidR="007F39B7" w:rsidRPr="00051FD3" w:rsidRDefault="007F39B7" w:rsidP="007F39B7">
      <w:pPr>
        <w:keepNext/>
        <w:tabs>
          <w:tab w:val="left" w:pos="567"/>
        </w:tabs>
        <w:ind w:left="567" w:hanging="567"/>
        <w:outlineLvl w:val="1"/>
        <w:rPr>
          <w:b/>
          <w:sz w:val="22"/>
          <w:szCs w:val="22"/>
        </w:rPr>
      </w:pPr>
      <w:bookmarkStart w:id="0" w:name="_Toc129243129"/>
      <w:bookmarkStart w:id="1" w:name="_Toc129243254"/>
      <w:bookmarkStart w:id="2" w:name="_Toc129243130"/>
      <w:bookmarkStart w:id="3" w:name="_Toc129243255"/>
      <w:r w:rsidRPr="00051FD3">
        <w:rPr>
          <w:b/>
          <w:sz w:val="22"/>
          <w:szCs w:val="22"/>
        </w:rPr>
        <w:t>B.</w:t>
      </w:r>
      <w:r w:rsidRPr="00051FD3">
        <w:rPr>
          <w:b/>
          <w:sz w:val="22"/>
          <w:szCs w:val="22"/>
        </w:rPr>
        <w:tab/>
        <w:t>TIEKIMO IR VARTOJIMO SĄLYGOS AR APRIBOJIMAI</w:t>
      </w:r>
      <w:bookmarkEnd w:id="0"/>
      <w:bookmarkEnd w:id="1"/>
      <w:bookmarkEnd w:id="2"/>
      <w:bookmarkEnd w:id="3"/>
    </w:p>
    <w:p w14:paraId="04F4D318" w14:textId="77777777" w:rsidR="007F39B7" w:rsidRPr="00051FD3" w:rsidRDefault="007F39B7" w:rsidP="007F39B7">
      <w:pPr>
        <w:tabs>
          <w:tab w:val="left" w:pos="567"/>
        </w:tabs>
        <w:rPr>
          <w:noProof/>
          <w:sz w:val="22"/>
          <w:szCs w:val="22"/>
        </w:rPr>
      </w:pPr>
    </w:p>
    <w:p w14:paraId="3F52FC90" w14:textId="77777777" w:rsidR="007F39B7" w:rsidRPr="00051FD3" w:rsidRDefault="007F39B7" w:rsidP="007F39B7">
      <w:pPr>
        <w:tabs>
          <w:tab w:val="left" w:pos="567"/>
        </w:tabs>
        <w:rPr>
          <w:noProof/>
          <w:sz w:val="22"/>
          <w:szCs w:val="22"/>
        </w:rPr>
      </w:pPr>
      <w:r w:rsidRPr="00051FD3">
        <w:rPr>
          <w:noProof/>
          <w:sz w:val="22"/>
          <w:szCs w:val="22"/>
        </w:rPr>
        <w:t>Receptinis vaistinis preparatas.</w:t>
      </w:r>
    </w:p>
    <w:p w14:paraId="6DAFE6AB" w14:textId="77777777" w:rsidR="007F39B7" w:rsidRPr="00051FD3" w:rsidRDefault="007F39B7" w:rsidP="007F39B7">
      <w:pPr>
        <w:tabs>
          <w:tab w:val="left" w:pos="567"/>
        </w:tabs>
        <w:spacing w:after="120"/>
        <w:rPr>
          <w:rFonts w:eastAsia="Arial Unicode MS"/>
          <w:sz w:val="22"/>
          <w:szCs w:val="22"/>
          <w:lang w:eastAsia="lt-LT"/>
        </w:rPr>
      </w:pPr>
    </w:p>
    <w:p w14:paraId="10311D78" w14:textId="77777777" w:rsidR="007F39B7" w:rsidRPr="00051FD3" w:rsidRDefault="007F39B7" w:rsidP="007F39B7">
      <w:pPr>
        <w:tabs>
          <w:tab w:val="left" w:pos="567"/>
        </w:tabs>
        <w:spacing w:after="120"/>
        <w:rPr>
          <w:sz w:val="22"/>
          <w:szCs w:val="22"/>
          <w:lang w:eastAsia="lt-LT"/>
        </w:rPr>
      </w:pPr>
      <w:r w:rsidRPr="00051FD3">
        <w:rPr>
          <w:sz w:val="22"/>
          <w:szCs w:val="22"/>
          <w:lang w:eastAsia="lt-LT"/>
        </w:rPr>
        <w:br w:type="page"/>
      </w:r>
    </w:p>
    <w:p w14:paraId="47443512" w14:textId="77777777" w:rsidR="007F39B7" w:rsidRPr="00051FD3" w:rsidRDefault="007F39B7" w:rsidP="007F39B7">
      <w:pPr>
        <w:tabs>
          <w:tab w:val="left" w:pos="567"/>
        </w:tabs>
        <w:jc w:val="center"/>
        <w:rPr>
          <w:b/>
          <w:sz w:val="22"/>
          <w:szCs w:val="22"/>
        </w:rPr>
      </w:pPr>
    </w:p>
    <w:p w14:paraId="1EB4E163" w14:textId="77777777" w:rsidR="007F39B7" w:rsidRPr="00051FD3" w:rsidRDefault="007F39B7" w:rsidP="007F39B7">
      <w:pPr>
        <w:tabs>
          <w:tab w:val="left" w:pos="567"/>
        </w:tabs>
        <w:jc w:val="center"/>
        <w:rPr>
          <w:b/>
          <w:sz w:val="22"/>
          <w:szCs w:val="22"/>
        </w:rPr>
      </w:pPr>
    </w:p>
    <w:p w14:paraId="1C375162" w14:textId="77777777" w:rsidR="007F39B7" w:rsidRPr="00051FD3" w:rsidRDefault="007F39B7" w:rsidP="007F39B7">
      <w:pPr>
        <w:tabs>
          <w:tab w:val="left" w:pos="567"/>
        </w:tabs>
        <w:jc w:val="center"/>
        <w:rPr>
          <w:b/>
          <w:sz w:val="22"/>
          <w:szCs w:val="22"/>
        </w:rPr>
      </w:pPr>
    </w:p>
    <w:p w14:paraId="1139DBD8" w14:textId="77777777" w:rsidR="007F39B7" w:rsidRPr="00051FD3" w:rsidRDefault="007F39B7" w:rsidP="007F39B7">
      <w:pPr>
        <w:tabs>
          <w:tab w:val="left" w:pos="567"/>
        </w:tabs>
        <w:jc w:val="center"/>
        <w:rPr>
          <w:b/>
          <w:sz w:val="22"/>
          <w:szCs w:val="22"/>
        </w:rPr>
      </w:pPr>
    </w:p>
    <w:p w14:paraId="73B3ACA1" w14:textId="77777777" w:rsidR="007F39B7" w:rsidRPr="00051FD3" w:rsidRDefault="007F39B7" w:rsidP="007F39B7">
      <w:pPr>
        <w:tabs>
          <w:tab w:val="left" w:pos="567"/>
        </w:tabs>
        <w:jc w:val="center"/>
        <w:rPr>
          <w:b/>
          <w:sz w:val="22"/>
          <w:szCs w:val="22"/>
        </w:rPr>
      </w:pPr>
    </w:p>
    <w:p w14:paraId="4EF2A169" w14:textId="77777777" w:rsidR="007F39B7" w:rsidRPr="00051FD3" w:rsidRDefault="007F39B7" w:rsidP="007F39B7">
      <w:pPr>
        <w:tabs>
          <w:tab w:val="left" w:pos="567"/>
        </w:tabs>
        <w:jc w:val="center"/>
        <w:rPr>
          <w:b/>
          <w:sz w:val="22"/>
          <w:szCs w:val="22"/>
        </w:rPr>
      </w:pPr>
    </w:p>
    <w:p w14:paraId="4D271BF9" w14:textId="77777777" w:rsidR="007F39B7" w:rsidRPr="00051FD3" w:rsidRDefault="007F39B7" w:rsidP="007F39B7">
      <w:pPr>
        <w:tabs>
          <w:tab w:val="left" w:pos="567"/>
        </w:tabs>
        <w:jc w:val="center"/>
        <w:rPr>
          <w:b/>
          <w:sz w:val="22"/>
          <w:szCs w:val="22"/>
        </w:rPr>
      </w:pPr>
    </w:p>
    <w:p w14:paraId="70690FB2" w14:textId="77777777" w:rsidR="007F39B7" w:rsidRPr="00051FD3" w:rsidRDefault="007F39B7" w:rsidP="007F39B7">
      <w:pPr>
        <w:tabs>
          <w:tab w:val="left" w:pos="567"/>
        </w:tabs>
        <w:jc w:val="center"/>
        <w:rPr>
          <w:b/>
          <w:sz w:val="22"/>
          <w:szCs w:val="22"/>
        </w:rPr>
      </w:pPr>
    </w:p>
    <w:p w14:paraId="098C239E" w14:textId="77777777" w:rsidR="007F39B7" w:rsidRPr="00051FD3" w:rsidRDefault="007F39B7" w:rsidP="007F39B7">
      <w:pPr>
        <w:tabs>
          <w:tab w:val="left" w:pos="567"/>
        </w:tabs>
        <w:jc w:val="center"/>
        <w:rPr>
          <w:b/>
          <w:sz w:val="22"/>
          <w:szCs w:val="22"/>
        </w:rPr>
      </w:pPr>
    </w:p>
    <w:p w14:paraId="603F12ED" w14:textId="77777777" w:rsidR="007F39B7" w:rsidRPr="00051FD3" w:rsidRDefault="007F39B7" w:rsidP="007F39B7">
      <w:pPr>
        <w:tabs>
          <w:tab w:val="left" w:pos="567"/>
        </w:tabs>
        <w:jc w:val="center"/>
        <w:rPr>
          <w:b/>
          <w:sz w:val="22"/>
          <w:szCs w:val="22"/>
        </w:rPr>
      </w:pPr>
    </w:p>
    <w:p w14:paraId="6EC60694" w14:textId="77777777" w:rsidR="007F39B7" w:rsidRPr="00051FD3" w:rsidRDefault="007F39B7" w:rsidP="007F39B7">
      <w:pPr>
        <w:tabs>
          <w:tab w:val="left" w:pos="567"/>
        </w:tabs>
        <w:jc w:val="center"/>
        <w:rPr>
          <w:b/>
          <w:sz w:val="22"/>
          <w:szCs w:val="22"/>
        </w:rPr>
      </w:pPr>
    </w:p>
    <w:p w14:paraId="3DF75EF7" w14:textId="77777777" w:rsidR="007F39B7" w:rsidRPr="00051FD3" w:rsidRDefault="007F39B7" w:rsidP="007F39B7">
      <w:pPr>
        <w:tabs>
          <w:tab w:val="left" w:pos="567"/>
        </w:tabs>
        <w:jc w:val="center"/>
        <w:rPr>
          <w:b/>
          <w:sz w:val="22"/>
          <w:szCs w:val="22"/>
        </w:rPr>
      </w:pPr>
    </w:p>
    <w:p w14:paraId="560305AB" w14:textId="77777777" w:rsidR="007F39B7" w:rsidRPr="00051FD3" w:rsidRDefault="007F39B7" w:rsidP="007F39B7">
      <w:pPr>
        <w:tabs>
          <w:tab w:val="left" w:pos="567"/>
        </w:tabs>
        <w:rPr>
          <w:b/>
          <w:sz w:val="22"/>
          <w:szCs w:val="22"/>
        </w:rPr>
      </w:pPr>
    </w:p>
    <w:p w14:paraId="4CFD4617" w14:textId="77777777" w:rsidR="007F39B7" w:rsidRPr="00051FD3" w:rsidRDefault="007F39B7" w:rsidP="007F39B7">
      <w:pPr>
        <w:tabs>
          <w:tab w:val="left" w:pos="567"/>
        </w:tabs>
        <w:rPr>
          <w:b/>
          <w:sz w:val="22"/>
          <w:szCs w:val="22"/>
        </w:rPr>
      </w:pPr>
    </w:p>
    <w:p w14:paraId="2B76B972" w14:textId="77777777" w:rsidR="007F39B7" w:rsidRPr="00051FD3" w:rsidRDefault="007F39B7" w:rsidP="007F39B7">
      <w:pPr>
        <w:tabs>
          <w:tab w:val="left" w:pos="567"/>
        </w:tabs>
        <w:rPr>
          <w:b/>
          <w:sz w:val="22"/>
          <w:szCs w:val="22"/>
        </w:rPr>
      </w:pPr>
    </w:p>
    <w:p w14:paraId="04B52322" w14:textId="77777777" w:rsidR="007F39B7" w:rsidRPr="00051FD3" w:rsidRDefault="007F39B7" w:rsidP="007F39B7">
      <w:pPr>
        <w:tabs>
          <w:tab w:val="left" w:pos="567"/>
        </w:tabs>
        <w:rPr>
          <w:b/>
          <w:sz w:val="22"/>
          <w:szCs w:val="22"/>
        </w:rPr>
      </w:pPr>
    </w:p>
    <w:p w14:paraId="3411853A" w14:textId="77777777" w:rsidR="007F39B7" w:rsidRPr="00051FD3" w:rsidRDefault="007F39B7" w:rsidP="007F39B7">
      <w:pPr>
        <w:tabs>
          <w:tab w:val="left" w:pos="567"/>
        </w:tabs>
        <w:rPr>
          <w:b/>
          <w:sz w:val="22"/>
          <w:szCs w:val="22"/>
        </w:rPr>
      </w:pPr>
    </w:p>
    <w:p w14:paraId="1F30CC8D" w14:textId="77777777" w:rsidR="007F39B7" w:rsidRPr="00051FD3" w:rsidRDefault="007F39B7" w:rsidP="007F39B7">
      <w:pPr>
        <w:tabs>
          <w:tab w:val="left" w:pos="567"/>
        </w:tabs>
        <w:jc w:val="center"/>
        <w:rPr>
          <w:b/>
          <w:sz w:val="22"/>
          <w:szCs w:val="22"/>
        </w:rPr>
      </w:pPr>
    </w:p>
    <w:p w14:paraId="2E2405D4" w14:textId="77777777" w:rsidR="007F39B7" w:rsidRPr="00051FD3" w:rsidRDefault="007F39B7" w:rsidP="007F39B7">
      <w:pPr>
        <w:tabs>
          <w:tab w:val="left" w:pos="567"/>
        </w:tabs>
        <w:jc w:val="center"/>
        <w:rPr>
          <w:b/>
          <w:sz w:val="22"/>
          <w:szCs w:val="22"/>
        </w:rPr>
      </w:pPr>
    </w:p>
    <w:p w14:paraId="3700703B" w14:textId="77777777" w:rsidR="007F39B7" w:rsidRPr="00051FD3" w:rsidRDefault="007F39B7" w:rsidP="007F39B7">
      <w:pPr>
        <w:tabs>
          <w:tab w:val="left" w:pos="567"/>
        </w:tabs>
        <w:jc w:val="center"/>
        <w:rPr>
          <w:b/>
          <w:sz w:val="22"/>
          <w:szCs w:val="22"/>
        </w:rPr>
      </w:pPr>
    </w:p>
    <w:p w14:paraId="26DE5596" w14:textId="77777777" w:rsidR="007F39B7" w:rsidRPr="00051FD3" w:rsidRDefault="007F39B7" w:rsidP="007F39B7">
      <w:pPr>
        <w:tabs>
          <w:tab w:val="left" w:pos="567"/>
        </w:tabs>
        <w:jc w:val="center"/>
        <w:rPr>
          <w:b/>
          <w:sz w:val="22"/>
          <w:szCs w:val="22"/>
        </w:rPr>
      </w:pPr>
    </w:p>
    <w:p w14:paraId="3A862047" w14:textId="77777777" w:rsidR="007F39B7" w:rsidRPr="00051FD3" w:rsidRDefault="007F39B7" w:rsidP="007F39B7">
      <w:pPr>
        <w:jc w:val="center"/>
        <w:rPr>
          <w:b/>
          <w:bCs/>
          <w:caps/>
          <w:sz w:val="22"/>
          <w:szCs w:val="22"/>
          <w:lang w:eastAsia="lt-LT"/>
        </w:rPr>
      </w:pPr>
    </w:p>
    <w:p w14:paraId="469113E4" w14:textId="77777777" w:rsidR="007F39B7" w:rsidRPr="00051FD3" w:rsidRDefault="007F39B7" w:rsidP="007F39B7">
      <w:pPr>
        <w:jc w:val="center"/>
        <w:rPr>
          <w:b/>
          <w:kern w:val="28"/>
          <w:sz w:val="22"/>
          <w:szCs w:val="22"/>
          <w:lang w:eastAsia="lt-LT"/>
        </w:rPr>
      </w:pPr>
      <w:r w:rsidRPr="00051FD3">
        <w:rPr>
          <w:b/>
          <w:kern w:val="28"/>
          <w:sz w:val="22"/>
          <w:szCs w:val="22"/>
          <w:lang w:eastAsia="lt-LT"/>
        </w:rPr>
        <w:t>III PRIEDAS</w:t>
      </w:r>
    </w:p>
    <w:p w14:paraId="46B4F256" w14:textId="77777777" w:rsidR="007F39B7" w:rsidRPr="00051FD3" w:rsidRDefault="007F39B7" w:rsidP="007F39B7">
      <w:pPr>
        <w:jc w:val="center"/>
        <w:rPr>
          <w:b/>
          <w:kern w:val="28"/>
          <w:sz w:val="22"/>
          <w:szCs w:val="22"/>
          <w:lang w:eastAsia="lt-LT"/>
        </w:rPr>
      </w:pPr>
    </w:p>
    <w:p w14:paraId="26C1A549" w14:textId="77777777" w:rsidR="007F39B7" w:rsidRPr="00051FD3" w:rsidRDefault="007F39B7" w:rsidP="007F39B7">
      <w:pPr>
        <w:jc w:val="center"/>
        <w:rPr>
          <w:b/>
          <w:kern w:val="28"/>
          <w:sz w:val="22"/>
          <w:szCs w:val="22"/>
          <w:lang w:eastAsia="lt-LT"/>
        </w:rPr>
      </w:pPr>
      <w:r w:rsidRPr="00051FD3">
        <w:rPr>
          <w:b/>
          <w:kern w:val="28"/>
          <w:sz w:val="22"/>
          <w:szCs w:val="22"/>
          <w:lang w:eastAsia="lt-LT"/>
        </w:rPr>
        <w:t>ŽENKLINIMAS IR PAKUOTĖS LAPELIS</w:t>
      </w:r>
    </w:p>
    <w:p w14:paraId="6DEEA567" w14:textId="77777777" w:rsidR="007F39B7" w:rsidRPr="00051FD3" w:rsidRDefault="007F39B7" w:rsidP="007F39B7">
      <w:pPr>
        <w:rPr>
          <w:b/>
          <w:bCs/>
          <w:caps/>
          <w:sz w:val="22"/>
          <w:szCs w:val="22"/>
          <w:lang w:eastAsia="lt-LT"/>
        </w:rPr>
      </w:pPr>
      <w:r w:rsidRPr="00051FD3">
        <w:rPr>
          <w:b/>
          <w:bCs/>
          <w:caps/>
          <w:sz w:val="22"/>
          <w:szCs w:val="22"/>
          <w:lang w:eastAsia="lt-LT"/>
        </w:rPr>
        <w:br w:type="page"/>
      </w:r>
    </w:p>
    <w:p w14:paraId="774C4FFC" w14:textId="77777777" w:rsidR="007F39B7" w:rsidRPr="00051FD3" w:rsidRDefault="007F39B7" w:rsidP="007F39B7">
      <w:pPr>
        <w:rPr>
          <w:b/>
          <w:bCs/>
          <w:caps/>
          <w:sz w:val="22"/>
          <w:szCs w:val="22"/>
          <w:lang w:eastAsia="lt-LT"/>
        </w:rPr>
      </w:pPr>
    </w:p>
    <w:p w14:paraId="45A56238" w14:textId="77777777" w:rsidR="007F39B7" w:rsidRPr="00051FD3" w:rsidRDefault="007F39B7" w:rsidP="007F39B7">
      <w:pPr>
        <w:rPr>
          <w:b/>
          <w:bCs/>
          <w:caps/>
          <w:sz w:val="22"/>
          <w:szCs w:val="22"/>
          <w:lang w:eastAsia="lt-LT"/>
        </w:rPr>
      </w:pPr>
    </w:p>
    <w:p w14:paraId="74B5D8EE" w14:textId="77777777" w:rsidR="007F39B7" w:rsidRPr="00051FD3" w:rsidRDefault="007F39B7" w:rsidP="007F39B7">
      <w:pPr>
        <w:rPr>
          <w:b/>
          <w:bCs/>
          <w:caps/>
          <w:sz w:val="22"/>
          <w:szCs w:val="22"/>
          <w:lang w:eastAsia="lt-LT"/>
        </w:rPr>
      </w:pPr>
    </w:p>
    <w:p w14:paraId="7F501373" w14:textId="77777777" w:rsidR="007F39B7" w:rsidRPr="00051FD3" w:rsidRDefault="007F39B7" w:rsidP="007F39B7">
      <w:pPr>
        <w:rPr>
          <w:b/>
          <w:bCs/>
          <w:caps/>
          <w:sz w:val="22"/>
          <w:szCs w:val="22"/>
          <w:lang w:eastAsia="lt-LT"/>
        </w:rPr>
      </w:pPr>
    </w:p>
    <w:p w14:paraId="3E071FAF" w14:textId="77777777" w:rsidR="007F39B7" w:rsidRPr="00051FD3" w:rsidRDefault="007F39B7" w:rsidP="007F39B7">
      <w:pPr>
        <w:rPr>
          <w:b/>
          <w:bCs/>
          <w:caps/>
          <w:sz w:val="22"/>
          <w:szCs w:val="22"/>
          <w:lang w:eastAsia="lt-LT"/>
        </w:rPr>
      </w:pPr>
    </w:p>
    <w:p w14:paraId="32574E9F" w14:textId="77777777" w:rsidR="007F39B7" w:rsidRPr="00051FD3" w:rsidRDefault="007F39B7" w:rsidP="007F39B7">
      <w:pPr>
        <w:rPr>
          <w:b/>
          <w:bCs/>
          <w:caps/>
          <w:sz w:val="22"/>
          <w:szCs w:val="22"/>
          <w:lang w:eastAsia="lt-LT"/>
        </w:rPr>
      </w:pPr>
    </w:p>
    <w:p w14:paraId="5A6FFFA1" w14:textId="77777777" w:rsidR="007F39B7" w:rsidRPr="00051FD3" w:rsidRDefault="007F39B7" w:rsidP="007F39B7">
      <w:pPr>
        <w:rPr>
          <w:b/>
          <w:bCs/>
          <w:caps/>
          <w:sz w:val="22"/>
          <w:szCs w:val="22"/>
          <w:lang w:eastAsia="lt-LT"/>
        </w:rPr>
      </w:pPr>
    </w:p>
    <w:p w14:paraId="15AEA379" w14:textId="77777777" w:rsidR="007F39B7" w:rsidRPr="00051FD3" w:rsidRDefault="007F39B7" w:rsidP="007F39B7">
      <w:pPr>
        <w:rPr>
          <w:b/>
          <w:bCs/>
          <w:caps/>
          <w:sz w:val="22"/>
          <w:szCs w:val="22"/>
          <w:lang w:eastAsia="lt-LT"/>
        </w:rPr>
      </w:pPr>
    </w:p>
    <w:p w14:paraId="67C22695" w14:textId="77777777" w:rsidR="007F39B7" w:rsidRPr="00051FD3" w:rsidRDefault="007F39B7" w:rsidP="007F39B7">
      <w:pPr>
        <w:rPr>
          <w:b/>
          <w:bCs/>
          <w:caps/>
          <w:sz w:val="22"/>
          <w:szCs w:val="22"/>
          <w:lang w:eastAsia="lt-LT"/>
        </w:rPr>
      </w:pPr>
    </w:p>
    <w:p w14:paraId="1E4F02DD" w14:textId="77777777" w:rsidR="007F39B7" w:rsidRPr="00051FD3" w:rsidRDefault="007F39B7" w:rsidP="007F39B7">
      <w:pPr>
        <w:rPr>
          <w:b/>
          <w:bCs/>
          <w:caps/>
          <w:sz w:val="22"/>
          <w:szCs w:val="22"/>
          <w:lang w:eastAsia="lt-LT"/>
        </w:rPr>
      </w:pPr>
    </w:p>
    <w:p w14:paraId="582D9EDE" w14:textId="77777777" w:rsidR="007F39B7" w:rsidRPr="00051FD3" w:rsidRDefault="007F39B7" w:rsidP="007F39B7">
      <w:pPr>
        <w:rPr>
          <w:b/>
          <w:bCs/>
          <w:caps/>
          <w:sz w:val="22"/>
          <w:szCs w:val="22"/>
          <w:lang w:eastAsia="lt-LT"/>
        </w:rPr>
      </w:pPr>
    </w:p>
    <w:p w14:paraId="69348888" w14:textId="77777777" w:rsidR="007F39B7" w:rsidRPr="00051FD3" w:rsidRDefault="007F39B7" w:rsidP="007F39B7">
      <w:pPr>
        <w:jc w:val="center"/>
        <w:rPr>
          <w:b/>
          <w:bCs/>
          <w:caps/>
          <w:sz w:val="22"/>
          <w:szCs w:val="22"/>
          <w:lang w:eastAsia="lt-LT"/>
        </w:rPr>
      </w:pPr>
    </w:p>
    <w:p w14:paraId="1F66BA1A" w14:textId="77777777" w:rsidR="007F39B7" w:rsidRPr="00051FD3" w:rsidRDefault="007F39B7" w:rsidP="007F39B7">
      <w:pPr>
        <w:jc w:val="center"/>
        <w:rPr>
          <w:b/>
          <w:bCs/>
          <w:caps/>
          <w:sz w:val="22"/>
          <w:szCs w:val="22"/>
          <w:lang w:eastAsia="lt-LT"/>
        </w:rPr>
      </w:pPr>
    </w:p>
    <w:p w14:paraId="42FE321D" w14:textId="77777777" w:rsidR="007F39B7" w:rsidRPr="00051FD3" w:rsidRDefault="007F39B7" w:rsidP="007F39B7">
      <w:pPr>
        <w:rPr>
          <w:sz w:val="22"/>
          <w:szCs w:val="22"/>
        </w:rPr>
      </w:pPr>
    </w:p>
    <w:p w14:paraId="2CD564FE" w14:textId="77777777" w:rsidR="007F39B7" w:rsidRPr="00051FD3" w:rsidRDefault="007F39B7" w:rsidP="007F39B7">
      <w:pPr>
        <w:rPr>
          <w:sz w:val="22"/>
          <w:szCs w:val="22"/>
        </w:rPr>
      </w:pPr>
    </w:p>
    <w:p w14:paraId="119031AD" w14:textId="77777777" w:rsidR="007F39B7" w:rsidRPr="00051FD3" w:rsidRDefault="007F39B7" w:rsidP="007F39B7">
      <w:pPr>
        <w:rPr>
          <w:sz w:val="22"/>
          <w:szCs w:val="22"/>
        </w:rPr>
      </w:pPr>
    </w:p>
    <w:p w14:paraId="63CE85AC" w14:textId="77777777" w:rsidR="007F39B7" w:rsidRPr="00051FD3" w:rsidRDefault="007F39B7" w:rsidP="007F39B7">
      <w:pPr>
        <w:rPr>
          <w:sz w:val="22"/>
          <w:szCs w:val="22"/>
        </w:rPr>
      </w:pPr>
    </w:p>
    <w:p w14:paraId="04EB10CC" w14:textId="77777777" w:rsidR="007F39B7" w:rsidRPr="00051FD3" w:rsidRDefault="007F39B7" w:rsidP="007F39B7">
      <w:pPr>
        <w:rPr>
          <w:sz w:val="22"/>
          <w:szCs w:val="22"/>
        </w:rPr>
      </w:pPr>
    </w:p>
    <w:p w14:paraId="48F01882" w14:textId="77777777" w:rsidR="007F39B7" w:rsidRPr="00051FD3" w:rsidRDefault="007F39B7" w:rsidP="007F39B7">
      <w:pPr>
        <w:rPr>
          <w:sz w:val="22"/>
          <w:szCs w:val="22"/>
        </w:rPr>
      </w:pPr>
    </w:p>
    <w:p w14:paraId="3DE9081F" w14:textId="77777777" w:rsidR="007F39B7" w:rsidRPr="00051FD3" w:rsidRDefault="007F39B7" w:rsidP="007F39B7">
      <w:pPr>
        <w:rPr>
          <w:sz w:val="22"/>
          <w:szCs w:val="22"/>
        </w:rPr>
      </w:pPr>
    </w:p>
    <w:p w14:paraId="2FE95F62" w14:textId="77777777" w:rsidR="007F39B7" w:rsidRPr="00051FD3" w:rsidRDefault="007F39B7" w:rsidP="007F39B7">
      <w:pPr>
        <w:rPr>
          <w:sz w:val="22"/>
          <w:szCs w:val="22"/>
        </w:rPr>
      </w:pPr>
    </w:p>
    <w:p w14:paraId="26FD0F71" w14:textId="77777777" w:rsidR="007F39B7" w:rsidRPr="00051FD3" w:rsidRDefault="007F39B7" w:rsidP="007F39B7">
      <w:pPr>
        <w:rPr>
          <w:sz w:val="22"/>
          <w:szCs w:val="22"/>
        </w:rPr>
      </w:pPr>
    </w:p>
    <w:p w14:paraId="5546178C" w14:textId="77777777" w:rsidR="007F39B7" w:rsidRPr="00051FD3" w:rsidRDefault="007F39B7" w:rsidP="007F39B7">
      <w:pPr>
        <w:numPr>
          <w:ilvl w:val="0"/>
          <w:numId w:val="9"/>
        </w:numPr>
        <w:jc w:val="center"/>
        <w:rPr>
          <w:b/>
          <w:sz w:val="22"/>
          <w:szCs w:val="22"/>
        </w:rPr>
      </w:pPr>
      <w:r w:rsidRPr="00051FD3">
        <w:rPr>
          <w:b/>
          <w:sz w:val="22"/>
          <w:szCs w:val="22"/>
        </w:rPr>
        <w:t>ŽENKLINIMAS</w:t>
      </w:r>
    </w:p>
    <w:p w14:paraId="7D024A38"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r w:rsidRPr="00051FD3">
        <w:rPr>
          <w:b/>
          <w:sz w:val="22"/>
          <w:szCs w:val="22"/>
        </w:rPr>
        <w:br w:type="page"/>
      </w:r>
      <w:r w:rsidRPr="00051FD3">
        <w:rPr>
          <w:b/>
          <w:sz w:val="22"/>
          <w:szCs w:val="22"/>
        </w:rPr>
        <w:lastRenderedPageBreak/>
        <w:t>INFORMACIJA ANT IŠORINĖS PAKUOTĖS</w:t>
      </w:r>
    </w:p>
    <w:p w14:paraId="5BE649EB"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p>
    <w:p w14:paraId="2CAE94B7"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r w:rsidRPr="00051FD3">
        <w:rPr>
          <w:b/>
          <w:sz w:val="22"/>
          <w:szCs w:val="22"/>
        </w:rPr>
        <w:t>ALIUMINIO/ALIUMINIO IR ALIUMINIO/PVDC TRISTAR LIZDINIŲ PLOKŠTELIŲ KARTONO DĖŽUTĖ</w:t>
      </w:r>
    </w:p>
    <w:p w14:paraId="408BE9E0" w14:textId="77777777" w:rsidR="007F39B7" w:rsidRPr="00051FD3" w:rsidRDefault="007F39B7" w:rsidP="007F39B7">
      <w:pPr>
        <w:rPr>
          <w:sz w:val="22"/>
          <w:szCs w:val="22"/>
        </w:rPr>
      </w:pPr>
    </w:p>
    <w:p w14:paraId="52981575" w14:textId="77777777" w:rsidR="007F39B7" w:rsidRPr="00051FD3" w:rsidRDefault="007F39B7" w:rsidP="007F39B7">
      <w:pPr>
        <w:rPr>
          <w:sz w:val="22"/>
          <w:szCs w:val="22"/>
        </w:rPr>
      </w:pPr>
    </w:p>
    <w:p w14:paraId="2F7C169A"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w:t>
      </w:r>
      <w:r w:rsidRPr="00051FD3">
        <w:rPr>
          <w:b/>
          <w:sz w:val="22"/>
          <w:szCs w:val="22"/>
        </w:rPr>
        <w:tab/>
        <w:t>VAISTINIO PREPARATO PAVADINIMAS</w:t>
      </w:r>
    </w:p>
    <w:p w14:paraId="467BD767" w14:textId="77777777" w:rsidR="007F39B7" w:rsidRPr="00051FD3" w:rsidRDefault="007F39B7" w:rsidP="007F39B7">
      <w:pPr>
        <w:tabs>
          <w:tab w:val="left" w:pos="567"/>
          <w:tab w:val="left" w:pos="3060"/>
        </w:tabs>
        <w:autoSpaceDE w:val="0"/>
        <w:autoSpaceDN w:val="0"/>
        <w:adjustRightInd w:val="0"/>
        <w:rPr>
          <w:sz w:val="22"/>
          <w:szCs w:val="22"/>
        </w:rPr>
      </w:pPr>
    </w:p>
    <w:p w14:paraId="180372DF" w14:textId="77777777" w:rsidR="007F39B7" w:rsidRPr="00051FD3" w:rsidRDefault="007F39B7" w:rsidP="007F39B7">
      <w:pPr>
        <w:tabs>
          <w:tab w:val="left" w:pos="567"/>
          <w:tab w:val="left" w:pos="3060"/>
        </w:tabs>
        <w:autoSpaceDE w:val="0"/>
        <w:autoSpaceDN w:val="0"/>
        <w:adjustRightInd w:val="0"/>
        <w:rPr>
          <w:sz w:val="22"/>
          <w:szCs w:val="22"/>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tabletės</w:t>
      </w:r>
    </w:p>
    <w:p w14:paraId="575A906E" w14:textId="77777777" w:rsidR="007F39B7" w:rsidRPr="00051FD3" w:rsidRDefault="007F39B7" w:rsidP="007F39B7">
      <w:pPr>
        <w:tabs>
          <w:tab w:val="left" w:pos="567"/>
          <w:tab w:val="left" w:pos="3060"/>
        </w:tabs>
        <w:autoSpaceDE w:val="0"/>
        <w:autoSpaceDN w:val="0"/>
        <w:adjustRightInd w:val="0"/>
        <w:rPr>
          <w:b/>
          <w:bCs/>
          <w:sz w:val="22"/>
          <w:szCs w:val="22"/>
        </w:rPr>
      </w:pPr>
    </w:p>
    <w:p w14:paraId="4863A760" w14:textId="77777777" w:rsidR="007F39B7" w:rsidRPr="00051FD3" w:rsidRDefault="007F39B7" w:rsidP="007F39B7">
      <w:pPr>
        <w:numPr>
          <w:ilvl w:val="12"/>
          <w:numId w:val="0"/>
        </w:numPr>
        <w:tabs>
          <w:tab w:val="left" w:pos="567"/>
        </w:tabs>
        <w:rPr>
          <w:sz w:val="22"/>
          <w:szCs w:val="22"/>
        </w:rPr>
      </w:pPr>
      <w:proofErr w:type="spellStart"/>
      <w:r w:rsidRPr="00051FD3">
        <w:rPr>
          <w:sz w:val="22"/>
          <w:szCs w:val="22"/>
        </w:rPr>
        <w:t>Telmisartanum</w:t>
      </w:r>
      <w:proofErr w:type="spellEnd"/>
      <w:r w:rsidRPr="00051FD3">
        <w:rPr>
          <w:sz w:val="22"/>
          <w:szCs w:val="22"/>
        </w:rPr>
        <w:t>/</w:t>
      </w:r>
      <w:proofErr w:type="spellStart"/>
      <w:r w:rsidRPr="00051FD3">
        <w:rPr>
          <w:color w:val="000000"/>
          <w:sz w:val="22"/>
          <w:szCs w:val="22"/>
        </w:rPr>
        <w:t>Hydrochlorothiazidum</w:t>
      </w:r>
      <w:proofErr w:type="spellEnd"/>
    </w:p>
    <w:p w14:paraId="3218D86E" w14:textId="77777777" w:rsidR="007F39B7" w:rsidRPr="00051FD3" w:rsidRDefault="007F39B7" w:rsidP="007F39B7">
      <w:pPr>
        <w:tabs>
          <w:tab w:val="left" w:pos="567"/>
        </w:tabs>
        <w:rPr>
          <w:sz w:val="22"/>
          <w:szCs w:val="22"/>
        </w:rPr>
      </w:pPr>
    </w:p>
    <w:p w14:paraId="7E33C388" w14:textId="77777777" w:rsidR="007F39B7" w:rsidRPr="00051FD3" w:rsidRDefault="007F39B7" w:rsidP="007F39B7">
      <w:pPr>
        <w:tabs>
          <w:tab w:val="left" w:pos="567"/>
        </w:tabs>
        <w:rPr>
          <w:sz w:val="22"/>
          <w:szCs w:val="22"/>
        </w:rPr>
      </w:pPr>
    </w:p>
    <w:p w14:paraId="22E134DD"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2.</w:t>
      </w:r>
      <w:r w:rsidRPr="00051FD3">
        <w:rPr>
          <w:b/>
          <w:sz w:val="22"/>
          <w:szCs w:val="22"/>
        </w:rPr>
        <w:tab/>
        <w:t>VEIKLIOJI (-IOS) MEDŽIAGA (-OS) IR JOS (-Ų) KIEKIS (-IAI)</w:t>
      </w:r>
    </w:p>
    <w:p w14:paraId="34B5D0E3" w14:textId="77777777" w:rsidR="007F39B7" w:rsidRPr="00051FD3" w:rsidRDefault="007F39B7" w:rsidP="007F39B7">
      <w:pPr>
        <w:tabs>
          <w:tab w:val="left" w:pos="567"/>
        </w:tabs>
        <w:rPr>
          <w:sz w:val="22"/>
          <w:szCs w:val="22"/>
        </w:rPr>
      </w:pPr>
    </w:p>
    <w:p w14:paraId="3E1B5CB2" w14:textId="77777777" w:rsidR="007F39B7" w:rsidRPr="00051FD3" w:rsidRDefault="007F39B7" w:rsidP="007F39B7">
      <w:pPr>
        <w:tabs>
          <w:tab w:val="left" w:pos="567"/>
          <w:tab w:val="left" w:pos="3060"/>
        </w:tabs>
        <w:autoSpaceDE w:val="0"/>
        <w:autoSpaceDN w:val="0"/>
        <w:adjustRightInd w:val="0"/>
        <w:rPr>
          <w:sz w:val="22"/>
          <w:szCs w:val="22"/>
        </w:rPr>
      </w:pPr>
      <w:r w:rsidRPr="00051FD3">
        <w:rPr>
          <w:rFonts w:eastAsia="TimesNewRoman"/>
          <w:sz w:val="22"/>
          <w:szCs w:val="22"/>
          <w:lang w:eastAsia="lt-LT"/>
        </w:rPr>
        <w:t xml:space="preserve">Kiekvienoje tabletėje yra 80 mg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ir 12,5 mg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w:t>
      </w:r>
    </w:p>
    <w:p w14:paraId="3ABFF666" w14:textId="77777777" w:rsidR="007F39B7" w:rsidRPr="00051FD3" w:rsidRDefault="007F39B7" w:rsidP="007F39B7">
      <w:pPr>
        <w:tabs>
          <w:tab w:val="left" w:pos="567"/>
        </w:tabs>
        <w:rPr>
          <w:sz w:val="22"/>
          <w:szCs w:val="22"/>
        </w:rPr>
      </w:pPr>
    </w:p>
    <w:p w14:paraId="715C89CF" w14:textId="77777777" w:rsidR="005F7154" w:rsidRPr="00051FD3" w:rsidRDefault="005F7154" w:rsidP="007F39B7">
      <w:pPr>
        <w:tabs>
          <w:tab w:val="left" w:pos="567"/>
        </w:tabs>
        <w:rPr>
          <w:sz w:val="22"/>
          <w:szCs w:val="22"/>
        </w:rPr>
      </w:pPr>
    </w:p>
    <w:p w14:paraId="061FB37A"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3.</w:t>
      </w:r>
      <w:r w:rsidRPr="00051FD3">
        <w:rPr>
          <w:b/>
          <w:sz w:val="22"/>
          <w:szCs w:val="22"/>
        </w:rPr>
        <w:tab/>
        <w:t>PAGALBINIŲ MEDŽIAGŲ SĄRAŠAS</w:t>
      </w:r>
    </w:p>
    <w:p w14:paraId="09350ABE" w14:textId="77777777" w:rsidR="007F39B7" w:rsidRPr="00051FD3" w:rsidRDefault="007F39B7" w:rsidP="007F39B7">
      <w:pPr>
        <w:tabs>
          <w:tab w:val="left" w:pos="567"/>
        </w:tabs>
        <w:rPr>
          <w:noProof/>
          <w:sz w:val="22"/>
          <w:szCs w:val="22"/>
        </w:rPr>
      </w:pPr>
    </w:p>
    <w:p w14:paraId="52E9D012" w14:textId="77777777" w:rsidR="007F39B7" w:rsidRPr="00051FD3" w:rsidRDefault="007F39B7" w:rsidP="007F39B7">
      <w:pPr>
        <w:tabs>
          <w:tab w:val="left" w:pos="567"/>
        </w:tabs>
        <w:rPr>
          <w:sz w:val="22"/>
          <w:szCs w:val="22"/>
        </w:rPr>
      </w:pPr>
    </w:p>
    <w:p w14:paraId="6EE03374"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4.</w:t>
      </w:r>
      <w:r w:rsidRPr="00051FD3">
        <w:rPr>
          <w:b/>
          <w:sz w:val="22"/>
          <w:szCs w:val="22"/>
        </w:rPr>
        <w:tab/>
        <w:t>FARMACINĖ FORMA IR KIEKIS PAKUOTĖJE</w:t>
      </w:r>
    </w:p>
    <w:p w14:paraId="2A22DF14" w14:textId="77777777" w:rsidR="007F39B7" w:rsidRPr="00051FD3" w:rsidRDefault="007F39B7" w:rsidP="007F39B7">
      <w:pPr>
        <w:tabs>
          <w:tab w:val="left" w:pos="567"/>
        </w:tabs>
        <w:rPr>
          <w:sz w:val="22"/>
          <w:szCs w:val="22"/>
        </w:rPr>
      </w:pPr>
    </w:p>
    <w:p w14:paraId="16D4D883"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14 tablečių</w:t>
      </w:r>
    </w:p>
    <w:p w14:paraId="7E82CFAF" w14:textId="77777777" w:rsidR="007F39B7" w:rsidRPr="00012DBE" w:rsidRDefault="007F39B7" w:rsidP="007F39B7">
      <w:pPr>
        <w:tabs>
          <w:tab w:val="left" w:pos="567"/>
        </w:tabs>
        <w:autoSpaceDE w:val="0"/>
        <w:autoSpaceDN w:val="0"/>
        <w:adjustRightInd w:val="0"/>
        <w:rPr>
          <w:sz w:val="22"/>
          <w:szCs w:val="22"/>
          <w:highlight w:val="lightGray"/>
        </w:rPr>
      </w:pPr>
      <w:r w:rsidRPr="00012DBE">
        <w:rPr>
          <w:sz w:val="22"/>
          <w:szCs w:val="22"/>
          <w:highlight w:val="lightGray"/>
        </w:rPr>
        <w:t>28 tabletės</w:t>
      </w:r>
    </w:p>
    <w:p w14:paraId="7B667251" w14:textId="77777777" w:rsidR="007F39B7" w:rsidRPr="003A7BC8" w:rsidRDefault="007F39B7" w:rsidP="007F39B7">
      <w:pPr>
        <w:tabs>
          <w:tab w:val="left" w:pos="567"/>
        </w:tabs>
        <w:autoSpaceDE w:val="0"/>
        <w:autoSpaceDN w:val="0"/>
        <w:adjustRightInd w:val="0"/>
        <w:rPr>
          <w:sz w:val="22"/>
          <w:szCs w:val="22"/>
          <w:highlight w:val="lightGray"/>
        </w:rPr>
      </w:pPr>
      <w:r w:rsidRPr="003A7BC8">
        <w:rPr>
          <w:sz w:val="22"/>
          <w:szCs w:val="22"/>
          <w:highlight w:val="lightGray"/>
        </w:rPr>
        <w:t>56 tabletės</w:t>
      </w:r>
    </w:p>
    <w:p w14:paraId="243C9679" w14:textId="77777777" w:rsidR="009A2361" w:rsidRPr="003A7BC8" w:rsidRDefault="009A2361" w:rsidP="009A2361">
      <w:pPr>
        <w:tabs>
          <w:tab w:val="left" w:pos="567"/>
        </w:tabs>
        <w:autoSpaceDE w:val="0"/>
        <w:autoSpaceDN w:val="0"/>
        <w:adjustRightInd w:val="0"/>
        <w:rPr>
          <w:sz w:val="22"/>
          <w:szCs w:val="22"/>
          <w:highlight w:val="lightGray"/>
        </w:rPr>
      </w:pPr>
      <w:r w:rsidRPr="003A7BC8">
        <w:rPr>
          <w:sz w:val="22"/>
          <w:szCs w:val="22"/>
          <w:highlight w:val="lightGray"/>
        </w:rPr>
        <w:t>98 tabletės</w:t>
      </w:r>
    </w:p>
    <w:p w14:paraId="43655BFA" w14:textId="77777777" w:rsidR="007F39B7" w:rsidRPr="00051FD3" w:rsidRDefault="007F39B7" w:rsidP="007F39B7">
      <w:pPr>
        <w:tabs>
          <w:tab w:val="left" w:pos="567"/>
        </w:tabs>
        <w:rPr>
          <w:sz w:val="22"/>
          <w:szCs w:val="22"/>
        </w:rPr>
      </w:pPr>
    </w:p>
    <w:p w14:paraId="22864C41" w14:textId="77777777" w:rsidR="007F39B7" w:rsidRPr="00051FD3" w:rsidRDefault="007F39B7" w:rsidP="007F39B7">
      <w:pPr>
        <w:tabs>
          <w:tab w:val="left" w:pos="567"/>
        </w:tabs>
        <w:rPr>
          <w:sz w:val="22"/>
          <w:szCs w:val="22"/>
        </w:rPr>
      </w:pPr>
    </w:p>
    <w:p w14:paraId="15282991"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5.</w:t>
      </w:r>
      <w:r w:rsidRPr="00051FD3">
        <w:rPr>
          <w:b/>
          <w:sz w:val="22"/>
          <w:szCs w:val="22"/>
        </w:rPr>
        <w:tab/>
        <w:t>VARTOJIMO METODAS IR BŪDAS (-AI)</w:t>
      </w:r>
    </w:p>
    <w:p w14:paraId="40CF4BE2" w14:textId="77777777" w:rsidR="007F39B7" w:rsidRPr="00051FD3" w:rsidRDefault="007F39B7" w:rsidP="007F39B7">
      <w:pPr>
        <w:tabs>
          <w:tab w:val="left" w:pos="567"/>
        </w:tabs>
        <w:rPr>
          <w:sz w:val="22"/>
          <w:szCs w:val="22"/>
        </w:rPr>
      </w:pPr>
    </w:p>
    <w:p w14:paraId="6B9EFD62" w14:textId="77777777" w:rsidR="007F39B7" w:rsidRPr="00051FD3" w:rsidRDefault="007F39B7" w:rsidP="007F39B7">
      <w:pPr>
        <w:tabs>
          <w:tab w:val="left" w:pos="567"/>
        </w:tabs>
        <w:rPr>
          <w:sz w:val="22"/>
          <w:szCs w:val="22"/>
        </w:rPr>
      </w:pPr>
      <w:r w:rsidRPr="00051FD3">
        <w:rPr>
          <w:sz w:val="22"/>
          <w:szCs w:val="22"/>
        </w:rPr>
        <w:t>Vartoti per burną.</w:t>
      </w:r>
    </w:p>
    <w:p w14:paraId="4D6B821A" w14:textId="77777777" w:rsidR="007F39B7" w:rsidRPr="00051FD3" w:rsidRDefault="007F39B7" w:rsidP="007F39B7">
      <w:pPr>
        <w:tabs>
          <w:tab w:val="left" w:pos="567"/>
        </w:tabs>
        <w:rPr>
          <w:sz w:val="22"/>
          <w:szCs w:val="22"/>
        </w:rPr>
      </w:pPr>
      <w:r w:rsidRPr="00051FD3">
        <w:rPr>
          <w:sz w:val="22"/>
          <w:szCs w:val="22"/>
        </w:rPr>
        <w:t>Prieš vartojimą perskaitykite pakuotės lapelį.</w:t>
      </w:r>
    </w:p>
    <w:p w14:paraId="306AEFB2" w14:textId="77777777" w:rsidR="007F39B7" w:rsidRPr="00051FD3" w:rsidRDefault="007F39B7" w:rsidP="007F39B7">
      <w:pPr>
        <w:tabs>
          <w:tab w:val="left" w:pos="567"/>
        </w:tabs>
        <w:rPr>
          <w:sz w:val="22"/>
          <w:szCs w:val="22"/>
        </w:rPr>
      </w:pPr>
    </w:p>
    <w:p w14:paraId="117A47C0" w14:textId="77777777" w:rsidR="007F39B7" w:rsidRPr="00051FD3" w:rsidRDefault="007F39B7" w:rsidP="007F39B7">
      <w:pPr>
        <w:tabs>
          <w:tab w:val="left" w:pos="567"/>
        </w:tabs>
        <w:rPr>
          <w:sz w:val="22"/>
          <w:szCs w:val="22"/>
        </w:rPr>
      </w:pPr>
    </w:p>
    <w:p w14:paraId="1B1F3A30" w14:textId="77777777" w:rsidR="007F39B7" w:rsidRPr="00051FD3" w:rsidRDefault="007F39B7" w:rsidP="00401F7E">
      <w:pPr>
        <w:pBdr>
          <w:top w:val="single" w:sz="4" w:space="0" w:color="auto"/>
          <w:left w:val="single" w:sz="4" w:space="4" w:color="auto"/>
          <w:bottom w:val="single" w:sz="4" w:space="1" w:color="auto"/>
          <w:right w:val="single" w:sz="4" w:space="4" w:color="auto"/>
        </w:pBdr>
        <w:tabs>
          <w:tab w:val="left" w:pos="567"/>
        </w:tabs>
        <w:ind w:left="567" w:hanging="567"/>
        <w:rPr>
          <w:b/>
          <w:sz w:val="22"/>
          <w:szCs w:val="22"/>
        </w:rPr>
      </w:pPr>
      <w:r w:rsidRPr="00051FD3">
        <w:rPr>
          <w:b/>
          <w:sz w:val="22"/>
          <w:szCs w:val="22"/>
        </w:rPr>
        <w:t>6.</w:t>
      </w:r>
      <w:r w:rsidRPr="00051FD3">
        <w:rPr>
          <w:b/>
          <w:sz w:val="22"/>
          <w:szCs w:val="22"/>
        </w:rPr>
        <w:tab/>
        <w:t>SPECIALUS ĮSPĖJIMAS, KAD VAISTINĮ PREPARATĄ BŪTINA LAIKYTI VAIKAMS NEPASTEBIMOJE IR NEPASIEKIAMOJE VIETOJE</w:t>
      </w:r>
    </w:p>
    <w:p w14:paraId="18080813" w14:textId="77777777" w:rsidR="007F39B7" w:rsidRPr="00051FD3" w:rsidRDefault="007F39B7" w:rsidP="007F39B7">
      <w:pPr>
        <w:tabs>
          <w:tab w:val="left" w:pos="567"/>
        </w:tabs>
        <w:rPr>
          <w:sz w:val="22"/>
          <w:szCs w:val="22"/>
        </w:rPr>
      </w:pPr>
    </w:p>
    <w:p w14:paraId="072A8311" w14:textId="77777777" w:rsidR="007F39B7" w:rsidRPr="00051FD3" w:rsidRDefault="007F39B7" w:rsidP="007F39B7">
      <w:pPr>
        <w:tabs>
          <w:tab w:val="left" w:pos="567"/>
        </w:tabs>
        <w:rPr>
          <w:sz w:val="22"/>
          <w:szCs w:val="22"/>
        </w:rPr>
      </w:pPr>
      <w:r w:rsidRPr="00051FD3">
        <w:rPr>
          <w:sz w:val="22"/>
          <w:szCs w:val="22"/>
        </w:rPr>
        <w:t>Laikyti vaikams nepastebimoje ir nepasiekiamoje vietoje.</w:t>
      </w:r>
    </w:p>
    <w:p w14:paraId="04F2E591" w14:textId="77777777" w:rsidR="007F39B7" w:rsidRPr="00051FD3" w:rsidRDefault="007F39B7" w:rsidP="007F39B7">
      <w:pPr>
        <w:tabs>
          <w:tab w:val="left" w:pos="567"/>
        </w:tabs>
        <w:rPr>
          <w:sz w:val="22"/>
          <w:szCs w:val="22"/>
        </w:rPr>
      </w:pPr>
    </w:p>
    <w:p w14:paraId="755D9C9A" w14:textId="77777777" w:rsidR="007F39B7" w:rsidRPr="00051FD3" w:rsidRDefault="007F39B7" w:rsidP="007F39B7">
      <w:pPr>
        <w:tabs>
          <w:tab w:val="left" w:pos="567"/>
        </w:tabs>
        <w:rPr>
          <w:sz w:val="22"/>
          <w:szCs w:val="22"/>
        </w:rPr>
      </w:pPr>
    </w:p>
    <w:p w14:paraId="234DB13D"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7.</w:t>
      </w:r>
      <w:r w:rsidRPr="00051FD3">
        <w:rPr>
          <w:b/>
          <w:sz w:val="22"/>
          <w:szCs w:val="22"/>
        </w:rPr>
        <w:tab/>
        <w:t>KITAS (-I) SPECIALUS (-ŪS) ĮSPĖJIMAS (-AI) (JEI REIKIA)</w:t>
      </w:r>
    </w:p>
    <w:p w14:paraId="76953D36" w14:textId="77777777" w:rsidR="007F39B7" w:rsidRPr="00051FD3" w:rsidRDefault="007F39B7" w:rsidP="007F39B7">
      <w:pPr>
        <w:tabs>
          <w:tab w:val="left" w:pos="567"/>
        </w:tabs>
        <w:rPr>
          <w:sz w:val="22"/>
          <w:szCs w:val="22"/>
        </w:rPr>
      </w:pPr>
    </w:p>
    <w:p w14:paraId="565A2877" w14:textId="77777777" w:rsidR="007F39B7" w:rsidRPr="00051FD3" w:rsidRDefault="007F39B7" w:rsidP="007F39B7">
      <w:pPr>
        <w:tabs>
          <w:tab w:val="left" w:pos="567"/>
        </w:tabs>
        <w:rPr>
          <w:sz w:val="22"/>
          <w:szCs w:val="22"/>
        </w:rPr>
      </w:pPr>
    </w:p>
    <w:p w14:paraId="5BCF5424"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8.</w:t>
      </w:r>
      <w:r w:rsidRPr="00051FD3">
        <w:rPr>
          <w:b/>
          <w:sz w:val="22"/>
          <w:szCs w:val="22"/>
        </w:rPr>
        <w:tab/>
        <w:t>TINKAMUMO LAIKAS</w:t>
      </w:r>
    </w:p>
    <w:p w14:paraId="3BDBCD08" w14:textId="77777777" w:rsidR="007F39B7" w:rsidRPr="00051FD3" w:rsidRDefault="007F39B7" w:rsidP="007F39B7">
      <w:pPr>
        <w:tabs>
          <w:tab w:val="left" w:pos="567"/>
        </w:tabs>
        <w:rPr>
          <w:sz w:val="22"/>
          <w:szCs w:val="22"/>
        </w:rPr>
      </w:pPr>
    </w:p>
    <w:p w14:paraId="7A559195" w14:textId="77777777" w:rsidR="007F39B7" w:rsidRPr="00051FD3" w:rsidRDefault="007F39B7" w:rsidP="007F39B7">
      <w:pPr>
        <w:tabs>
          <w:tab w:val="left" w:pos="567"/>
        </w:tabs>
        <w:rPr>
          <w:sz w:val="22"/>
          <w:szCs w:val="22"/>
          <w:lang w:eastAsia="lt-LT"/>
        </w:rPr>
      </w:pPr>
      <w:r w:rsidRPr="00012DBE">
        <w:rPr>
          <w:sz w:val="22"/>
          <w:szCs w:val="22"/>
          <w:highlight w:val="lightGray"/>
        </w:rPr>
        <w:t>Tinka iki { mm /MMMM}</w:t>
      </w:r>
      <w:r w:rsidRPr="00051FD3">
        <w:rPr>
          <w:sz w:val="22"/>
          <w:szCs w:val="22"/>
          <w:lang w:eastAsia="lt-LT"/>
        </w:rPr>
        <w:t xml:space="preserve"> </w:t>
      </w:r>
    </w:p>
    <w:p w14:paraId="3FBEEDA0" w14:textId="77777777" w:rsidR="00557EE8" w:rsidRPr="00051FD3" w:rsidRDefault="00557EE8" w:rsidP="007F39B7">
      <w:pPr>
        <w:tabs>
          <w:tab w:val="left" w:pos="567"/>
        </w:tabs>
        <w:rPr>
          <w:sz w:val="22"/>
          <w:szCs w:val="22"/>
          <w:lang w:eastAsia="lt-LT"/>
        </w:rPr>
      </w:pPr>
      <w:r w:rsidRPr="00051FD3">
        <w:rPr>
          <w:sz w:val="22"/>
          <w:szCs w:val="22"/>
          <w:lang w:eastAsia="lt-LT"/>
        </w:rPr>
        <w:t>EXP { mm /MMMM}</w:t>
      </w:r>
    </w:p>
    <w:p w14:paraId="1AAEED91" w14:textId="77777777" w:rsidR="007F39B7" w:rsidRPr="00051FD3" w:rsidRDefault="007F39B7" w:rsidP="007F39B7">
      <w:pPr>
        <w:tabs>
          <w:tab w:val="left" w:pos="567"/>
        </w:tabs>
        <w:rPr>
          <w:sz w:val="22"/>
          <w:szCs w:val="22"/>
        </w:rPr>
      </w:pPr>
    </w:p>
    <w:p w14:paraId="43DC905E" w14:textId="77777777" w:rsidR="007F39B7" w:rsidRPr="00051FD3" w:rsidRDefault="007F39B7" w:rsidP="007F39B7">
      <w:pPr>
        <w:tabs>
          <w:tab w:val="left" w:pos="567"/>
        </w:tabs>
        <w:rPr>
          <w:sz w:val="22"/>
          <w:szCs w:val="22"/>
        </w:rPr>
      </w:pPr>
    </w:p>
    <w:p w14:paraId="7F9B44EE" w14:textId="77777777" w:rsidR="007F39B7" w:rsidRPr="00051FD3" w:rsidRDefault="007F39B7" w:rsidP="007F39B7">
      <w:pPr>
        <w:pBdr>
          <w:top w:val="single" w:sz="4" w:space="1" w:color="auto"/>
          <w:left w:val="single" w:sz="4" w:space="4" w:color="auto"/>
          <w:bottom w:val="single" w:sz="4" w:space="0" w:color="auto"/>
          <w:right w:val="single" w:sz="4" w:space="4" w:color="auto"/>
        </w:pBdr>
        <w:tabs>
          <w:tab w:val="left" w:pos="567"/>
        </w:tabs>
        <w:rPr>
          <w:b/>
          <w:sz w:val="22"/>
          <w:szCs w:val="22"/>
        </w:rPr>
      </w:pPr>
      <w:r w:rsidRPr="00051FD3">
        <w:rPr>
          <w:b/>
          <w:sz w:val="22"/>
          <w:szCs w:val="22"/>
        </w:rPr>
        <w:t>9.</w:t>
      </w:r>
      <w:r w:rsidRPr="00051FD3">
        <w:rPr>
          <w:b/>
          <w:sz w:val="22"/>
          <w:szCs w:val="22"/>
        </w:rPr>
        <w:tab/>
        <w:t>SPECIALIOS LAIKYMO SĄLYGOS</w:t>
      </w:r>
    </w:p>
    <w:p w14:paraId="02B0560D" w14:textId="77777777" w:rsidR="007F39B7" w:rsidRPr="00051FD3" w:rsidRDefault="007F39B7" w:rsidP="007F39B7">
      <w:pPr>
        <w:tabs>
          <w:tab w:val="left" w:pos="567"/>
        </w:tabs>
        <w:rPr>
          <w:sz w:val="22"/>
          <w:szCs w:val="22"/>
          <w:lang w:eastAsia="lt-LT"/>
        </w:rPr>
      </w:pPr>
    </w:p>
    <w:p w14:paraId="41E1E04D" w14:textId="77777777" w:rsidR="007F39B7" w:rsidRPr="003A7BC8" w:rsidRDefault="007F39B7" w:rsidP="007F39B7">
      <w:pPr>
        <w:tabs>
          <w:tab w:val="left" w:pos="567"/>
        </w:tabs>
        <w:rPr>
          <w:sz w:val="22"/>
          <w:szCs w:val="22"/>
          <w:highlight w:val="lightGray"/>
        </w:rPr>
      </w:pPr>
      <w:r w:rsidRPr="00012DBE">
        <w:rPr>
          <w:sz w:val="22"/>
          <w:szCs w:val="22"/>
          <w:highlight w:val="lightGray"/>
        </w:rPr>
        <w:t xml:space="preserve">Tik Aliuminio /PVDC </w:t>
      </w:r>
      <w:proofErr w:type="spellStart"/>
      <w:r w:rsidRPr="00012DBE">
        <w:rPr>
          <w:i/>
          <w:sz w:val="22"/>
          <w:szCs w:val="22"/>
          <w:highlight w:val="lightGray"/>
        </w:rPr>
        <w:t>Tristar</w:t>
      </w:r>
      <w:proofErr w:type="spellEnd"/>
      <w:r w:rsidRPr="00012DBE">
        <w:rPr>
          <w:sz w:val="22"/>
          <w:szCs w:val="22"/>
          <w:highlight w:val="lightGray"/>
        </w:rPr>
        <w:t xml:space="preserve"> lizdinės plokštelės</w:t>
      </w:r>
    </w:p>
    <w:p w14:paraId="1166D0EE" w14:textId="77777777" w:rsidR="007F39B7" w:rsidRPr="00051FD3" w:rsidRDefault="007F39B7" w:rsidP="007F39B7">
      <w:pPr>
        <w:tabs>
          <w:tab w:val="left" w:pos="567"/>
        </w:tabs>
        <w:rPr>
          <w:sz w:val="22"/>
          <w:szCs w:val="22"/>
          <w:lang w:eastAsia="lt-LT"/>
        </w:rPr>
      </w:pPr>
      <w:r w:rsidRPr="003A7BC8">
        <w:rPr>
          <w:sz w:val="22"/>
          <w:szCs w:val="22"/>
          <w:highlight w:val="lightGray"/>
        </w:rPr>
        <w:t xml:space="preserve">Laikyti ne aukštesnėje kaip 30 </w:t>
      </w:r>
      <w:r w:rsidRPr="003A7BC8">
        <w:rPr>
          <w:rFonts w:eastAsia="SimSun"/>
          <w:sz w:val="22"/>
          <w:szCs w:val="22"/>
          <w:highlight w:val="lightGray"/>
        </w:rPr>
        <w:t>ºC</w:t>
      </w:r>
      <w:r w:rsidRPr="003A7BC8">
        <w:rPr>
          <w:sz w:val="22"/>
          <w:szCs w:val="22"/>
          <w:highlight w:val="lightGray"/>
        </w:rPr>
        <w:t xml:space="preserve"> temperatūroje.</w:t>
      </w:r>
    </w:p>
    <w:p w14:paraId="3069F49B" w14:textId="77777777" w:rsidR="007F39B7" w:rsidRPr="00051FD3" w:rsidRDefault="007F39B7" w:rsidP="007F39B7">
      <w:pPr>
        <w:tabs>
          <w:tab w:val="left" w:pos="567"/>
        </w:tabs>
        <w:rPr>
          <w:sz w:val="22"/>
          <w:szCs w:val="22"/>
          <w:lang w:eastAsia="lt-LT"/>
        </w:rPr>
      </w:pPr>
    </w:p>
    <w:p w14:paraId="6BD9B659" w14:textId="77777777" w:rsidR="007F39B7" w:rsidRPr="00051FD3" w:rsidRDefault="007F39B7" w:rsidP="007F39B7">
      <w:pPr>
        <w:tabs>
          <w:tab w:val="left" w:pos="567"/>
        </w:tabs>
        <w:rPr>
          <w:sz w:val="22"/>
          <w:szCs w:val="22"/>
          <w:lang w:eastAsia="lt-LT"/>
        </w:rPr>
      </w:pPr>
    </w:p>
    <w:p w14:paraId="1A355E95"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10.</w:t>
      </w:r>
      <w:r w:rsidRPr="00051FD3">
        <w:rPr>
          <w:b/>
          <w:sz w:val="22"/>
          <w:szCs w:val="22"/>
        </w:rPr>
        <w:tab/>
        <w:t xml:space="preserve">SPECIALIOS ATSARGUMO PRIEMONĖS DĖL NESUVARTOTO </w:t>
      </w:r>
      <w:r w:rsidRPr="00051FD3">
        <w:rPr>
          <w:b/>
          <w:bCs/>
          <w:sz w:val="22"/>
          <w:szCs w:val="22"/>
        </w:rPr>
        <w:t xml:space="preserve">VAISTINIO PREPARATO AR JO ATLIEKŲ </w:t>
      </w:r>
      <w:r w:rsidRPr="00051FD3">
        <w:rPr>
          <w:b/>
          <w:sz w:val="22"/>
          <w:szCs w:val="22"/>
        </w:rPr>
        <w:t>TVARKYMO (JEI REIKIA)</w:t>
      </w:r>
    </w:p>
    <w:p w14:paraId="0C7A437D" w14:textId="77777777" w:rsidR="007F39B7" w:rsidRPr="00051FD3" w:rsidRDefault="007F39B7" w:rsidP="007F39B7">
      <w:pPr>
        <w:tabs>
          <w:tab w:val="left" w:pos="567"/>
        </w:tabs>
        <w:rPr>
          <w:sz w:val="22"/>
          <w:szCs w:val="22"/>
        </w:rPr>
      </w:pPr>
    </w:p>
    <w:p w14:paraId="497BBF38" w14:textId="77777777" w:rsidR="007F39B7" w:rsidRPr="00051FD3" w:rsidRDefault="007F39B7" w:rsidP="007F39B7">
      <w:pPr>
        <w:tabs>
          <w:tab w:val="left" w:pos="567"/>
        </w:tabs>
        <w:rPr>
          <w:sz w:val="22"/>
          <w:szCs w:val="22"/>
        </w:rPr>
      </w:pPr>
    </w:p>
    <w:p w14:paraId="2B6392A6"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11.</w:t>
      </w:r>
      <w:r w:rsidRPr="00051FD3">
        <w:rPr>
          <w:b/>
          <w:sz w:val="22"/>
          <w:szCs w:val="22"/>
        </w:rPr>
        <w:tab/>
      </w:r>
      <w:r w:rsidR="00557EE8" w:rsidRPr="00051FD3">
        <w:rPr>
          <w:b/>
          <w:sz w:val="22"/>
          <w:szCs w:val="22"/>
        </w:rPr>
        <w:t>REGISTRUOTOJO PAVADINIMAS IR ADRESAS</w:t>
      </w:r>
    </w:p>
    <w:p w14:paraId="25FDB2D6" w14:textId="77777777" w:rsidR="007F39B7" w:rsidRPr="00051FD3" w:rsidRDefault="007F39B7" w:rsidP="007F39B7">
      <w:pPr>
        <w:tabs>
          <w:tab w:val="left" w:pos="567"/>
        </w:tabs>
        <w:rPr>
          <w:sz w:val="22"/>
          <w:szCs w:val="22"/>
        </w:rPr>
      </w:pPr>
    </w:p>
    <w:p w14:paraId="10C28EFE" w14:textId="77777777" w:rsidR="007F39B7" w:rsidRPr="00051FD3" w:rsidRDefault="007F39B7" w:rsidP="007F39B7">
      <w:pPr>
        <w:tabs>
          <w:tab w:val="left" w:pos="567"/>
        </w:tabs>
        <w:rPr>
          <w:sz w:val="22"/>
          <w:szCs w:val="22"/>
        </w:rPr>
      </w:pPr>
      <w:proofErr w:type="spellStart"/>
      <w:r w:rsidRPr="00051FD3">
        <w:rPr>
          <w:sz w:val="22"/>
          <w:szCs w:val="22"/>
        </w:rPr>
        <w:t>Teva</w:t>
      </w:r>
      <w:proofErr w:type="spellEnd"/>
      <w:r w:rsidRPr="00051FD3">
        <w:rPr>
          <w:sz w:val="22"/>
          <w:szCs w:val="22"/>
        </w:rPr>
        <w:t xml:space="preserve"> B.V.</w:t>
      </w:r>
    </w:p>
    <w:p w14:paraId="12F4522F" w14:textId="77777777" w:rsidR="008E7E95" w:rsidRPr="00051FD3" w:rsidRDefault="00F42F88" w:rsidP="0099534A">
      <w:pPr>
        <w:tabs>
          <w:tab w:val="left" w:pos="567"/>
        </w:tabs>
        <w:rPr>
          <w:sz w:val="22"/>
          <w:szCs w:val="22"/>
        </w:rPr>
      </w:pPr>
      <w:proofErr w:type="spellStart"/>
      <w:r w:rsidRPr="00051FD3">
        <w:rPr>
          <w:sz w:val="22"/>
          <w:szCs w:val="22"/>
        </w:rPr>
        <w:t>Swensweg</w:t>
      </w:r>
      <w:proofErr w:type="spellEnd"/>
      <w:r w:rsidRPr="00051FD3">
        <w:rPr>
          <w:sz w:val="22"/>
          <w:szCs w:val="22"/>
        </w:rPr>
        <w:t xml:space="preserve"> 5</w:t>
      </w:r>
    </w:p>
    <w:p w14:paraId="4201997C" w14:textId="77777777" w:rsidR="008E7E95" w:rsidRPr="00051FD3" w:rsidRDefault="00F42F88" w:rsidP="0099534A">
      <w:pPr>
        <w:tabs>
          <w:tab w:val="left" w:pos="567"/>
        </w:tabs>
        <w:rPr>
          <w:sz w:val="22"/>
          <w:szCs w:val="22"/>
        </w:rPr>
      </w:pPr>
      <w:r w:rsidRPr="00051FD3">
        <w:rPr>
          <w:sz w:val="22"/>
          <w:szCs w:val="22"/>
        </w:rPr>
        <w:t xml:space="preserve">2031 GA </w:t>
      </w:r>
      <w:proofErr w:type="spellStart"/>
      <w:r w:rsidRPr="00051FD3">
        <w:rPr>
          <w:sz w:val="22"/>
          <w:szCs w:val="22"/>
        </w:rPr>
        <w:t>Haarlem</w:t>
      </w:r>
      <w:proofErr w:type="spellEnd"/>
    </w:p>
    <w:p w14:paraId="5269FDAB" w14:textId="77777777" w:rsidR="007F39B7" w:rsidRPr="00051FD3" w:rsidRDefault="007F39B7" w:rsidP="007F39B7">
      <w:pPr>
        <w:tabs>
          <w:tab w:val="left" w:pos="567"/>
        </w:tabs>
        <w:rPr>
          <w:sz w:val="22"/>
          <w:szCs w:val="22"/>
        </w:rPr>
      </w:pPr>
      <w:r w:rsidRPr="00051FD3">
        <w:rPr>
          <w:sz w:val="22"/>
          <w:szCs w:val="22"/>
        </w:rPr>
        <w:t>Nyderlandai</w:t>
      </w:r>
    </w:p>
    <w:p w14:paraId="473557DF" w14:textId="77777777" w:rsidR="007F39B7" w:rsidRPr="00051FD3" w:rsidRDefault="007F39B7" w:rsidP="007F39B7">
      <w:pPr>
        <w:tabs>
          <w:tab w:val="left" w:pos="567"/>
        </w:tabs>
        <w:rPr>
          <w:sz w:val="22"/>
          <w:szCs w:val="22"/>
        </w:rPr>
      </w:pPr>
    </w:p>
    <w:p w14:paraId="6478DC2D" w14:textId="77777777" w:rsidR="007F39B7" w:rsidRPr="00051FD3" w:rsidRDefault="007F39B7" w:rsidP="007F39B7">
      <w:pPr>
        <w:tabs>
          <w:tab w:val="left" w:pos="567"/>
        </w:tabs>
        <w:rPr>
          <w:sz w:val="22"/>
          <w:szCs w:val="22"/>
        </w:rPr>
      </w:pPr>
    </w:p>
    <w:p w14:paraId="0BA3A635"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12.</w:t>
      </w:r>
      <w:r w:rsidRPr="00051FD3">
        <w:rPr>
          <w:b/>
          <w:sz w:val="22"/>
          <w:szCs w:val="22"/>
        </w:rPr>
        <w:tab/>
      </w:r>
      <w:r w:rsidR="00557EE8" w:rsidRPr="00051FD3">
        <w:rPr>
          <w:b/>
          <w:sz w:val="22"/>
          <w:szCs w:val="22"/>
        </w:rPr>
        <w:t>REGISTRACIJOS</w:t>
      </w:r>
      <w:r w:rsidRPr="00051FD3">
        <w:rPr>
          <w:b/>
          <w:sz w:val="22"/>
          <w:szCs w:val="22"/>
        </w:rPr>
        <w:t xml:space="preserve"> PAŽYMĖJIMO NUMERIS (-IAI) </w:t>
      </w:r>
    </w:p>
    <w:p w14:paraId="202BFC66" w14:textId="77777777" w:rsidR="007F39B7" w:rsidRPr="00051FD3" w:rsidRDefault="007F39B7" w:rsidP="007F39B7">
      <w:pPr>
        <w:tabs>
          <w:tab w:val="left" w:pos="567"/>
        </w:tabs>
        <w:jc w:val="both"/>
        <w:rPr>
          <w:sz w:val="22"/>
          <w:szCs w:val="22"/>
        </w:rPr>
      </w:pPr>
    </w:p>
    <w:p w14:paraId="527E90EC" w14:textId="77777777" w:rsidR="00D4097E" w:rsidRPr="00012DBE" w:rsidRDefault="00D4097E" w:rsidP="00D4097E">
      <w:pPr>
        <w:tabs>
          <w:tab w:val="left" w:pos="567"/>
        </w:tabs>
        <w:autoSpaceDE w:val="0"/>
        <w:autoSpaceDN w:val="0"/>
        <w:adjustRightInd w:val="0"/>
        <w:rPr>
          <w:sz w:val="22"/>
          <w:szCs w:val="22"/>
          <w:highlight w:val="lightGray"/>
        </w:rPr>
      </w:pPr>
      <w:r w:rsidRPr="00051FD3">
        <w:rPr>
          <w:bCs/>
          <w:sz w:val="22"/>
          <w:szCs w:val="22"/>
        </w:rPr>
        <w:t xml:space="preserve">LT/1/14/3521/009 </w:t>
      </w:r>
      <w:r w:rsidRPr="00012DBE">
        <w:rPr>
          <w:sz w:val="22"/>
          <w:szCs w:val="22"/>
          <w:highlight w:val="lightGray"/>
        </w:rPr>
        <w:t>– N14</w:t>
      </w:r>
    </w:p>
    <w:p w14:paraId="5C8A8C98" w14:textId="77777777" w:rsidR="00D4097E" w:rsidRPr="003A7BC8" w:rsidRDefault="00D4097E" w:rsidP="00D4097E">
      <w:pPr>
        <w:tabs>
          <w:tab w:val="left" w:pos="567"/>
        </w:tabs>
        <w:autoSpaceDE w:val="0"/>
        <w:autoSpaceDN w:val="0"/>
        <w:adjustRightInd w:val="0"/>
        <w:rPr>
          <w:sz w:val="22"/>
          <w:szCs w:val="22"/>
          <w:highlight w:val="lightGray"/>
        </w:rPr>
      </w:pPr>
      <w:r w:rsidRPr="003A7BC8">
        <w:rPr>
          <w:sz w:val="22"/>
          <w:szCs w:val="22"/>
          <w:highlight w:val="lightGray"/>
        </w:rPr>
        <w:t>LT/1/14/3521/010 – N28</w:t>
      </w:r>
    </w:p>
    <w:p w14:paraId="4A407B69" w14:textId="77777777" w:rsidR="00D4097E" w:rsidRPr="003A7BC8" w:rsidRDefault="00D4097E" w:rsidP="00D4097E">
      <w:pPr>
        <w:tabs>
          <w:tab w:val="left" w:pos="567"/>
        </w:tabs>
        <w:autoSpaceDE w:val="0"/>
        <w:autoSpaceDN w:val="0"/>
        <w:adjustRightInd w:val="0"/>
        <w:rPr>
          <w:sz w:val="22"/>
          <w:szCs w:val="22"/>
          <w:highlight w:val="lightGray"/>
        </w:rPr>
      </w:pPr>
      <w:r w:rsidRPr="003A7BC8">
        <w:rPr>
          <w:sz w:val="22"/>
          <w:szCs w:val="22"/>
          <w:highlight w:val="lightGray"/>
        </w:rPr>
        <w:t>LT/1/14/3521/011 – N56</w:t>
      </w:r>
    </w:p>
    <w:p w14:paraId="26CB3CF8" w14:textId="77777777" w:rsidR="007F39B7" w:rsidRPr="00051FD3" w:rsidRDefault="00D4097E" w:rsidP="00D4097E">
      <w:pPr>
        <w:tabs>
          <w:tab w:val="left" w:pos="567"/>
        </w:tabs>
        <w:autoSpaceDE w:val="0"/>
        <w:autoSpaceDN w:val="0"/>
        <w:adjustRightInd w:val="0"/>
        <w:rPr>
          <w:color w:val="000000"/>
          <w:sz w:val="22"/>
          <w:szCs w:val="22"/>
          <w:lang w:eastAsia="lt-LT"/>
        </w:rPr>
      </w:pPr>
      <w:r w:rsidRPr="003A7BC8">
        <w:rPr>
          <w:sz w:val="22"/>
          <w:szCs w:val="22"/>
          <w:highlight w:val="lightGray"/>
        </w:rPr>
        <w:t>LT/1/14/3521/022 – N98</w:t>
      </w:r>
    </w:p>
    <w:p w14:paraId="5DEEB70E" w14:textId="77777777" w:rsidR="007F39B7" w:rsidRPr="00051FD3" w:rsidRDefault="007F39B7" w:rsidP="007F39B7">
      <w:pPr>
        <w:tabs>
          <w:tab w:val="left" w:pos="567"/>
          <w:tab w:val="left" w:pos="3060"/>
        </w:tabs>
        <w:autoSpaceDE w:val="0"/>
        <w:autoSpaceDN w:val="0"/>
        <w:adjustRightInd w:val="0"/>
        <w:rPr>
          <w:sz w:val="22"/>
          <w:szCs w:val="22"/>
        </w:rPr>
      </w:pPr>
    </w:p>
    <w:p w14:paraId="29F1806F" w14:textId="77777777" w:rsidR="007F39B7" w:rsidRPr="00051FD3" w:rsidRDefault="007F39B7" w:rsidP="007F39B7">
      <w:pPr>
        <w:tabs>
          <w:tab w:val="left" w:pos="567"/>
        </w:tabs>
        <w:rPr>
          <w:sz w:val="22"/>
          <w:szCs w:val="22"/>
        </w:rPr>
      </w:pPr>
    </w:p>
    <w:p w14:paraId="30D8EED4"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13.</w:t>
      </w:r>
      <w:r w:rsidRPr="00051FD3">
        <w:rPr>
          <w:b/>
          <w:sz w:val="22"/>
          <w:szCs w:val="22"/>
        </w:rPr>
        <w:tab/>
        <w:t>SERIJOS NUMERIS</w:t>
      </w:r>
    </w:p>
    <w:p w14:paraId="0D4EFFF4" w14:textId="77777777" w:rsidR="007F39B7" w:rsidRPr="00051FD3" w:rsidRDefault="007F39B7" w:rsidP="007F39B7">
      <w:pPr>
        <w:tabs>
          <w:tab w:val="left" w:pos="567"/>
        </w:tabs>
        <w:rPr>
          <w:sz w:val="22"/>
          <w:szCs w:val="22"/>
        </w:rPr>
      </w:pPr>
    </w:p>
    <w:p w14:paraId="2ABDEB50" w14:textId="77777777" w:rsidR="007F39B7" w:rsidRPr="00051FD3" w:rsidRDefault="007F39B7" w:rsidP="007F39B7">
      <w:pPr>
        <w:tabs>
          <w:tab w:val="left" w:pos="567"/>
        </w:tabs>
        <w:rPr>
          <w:sz w:val="22"/>
          <w:szCs w:val="22"/>
          <w:lang w:eastAsia="lt-LT"/>
        </w:rPr>
      </w:pPr>
      <w:r w:rsidRPr="00012DBE">
        <w:rPr>
          <w:sz w:val="22"/>
          <w:szCs w:val="22"/>
          <w:highlight w:val="lightGray"/>
        </w:rPr>
        <w:t>Serija {numeris}</w:t>
      </w:r>
    </w:p>
    <w:p w14:paraId="52F93454" w14:textId="77777777" w:rsidR="00C01955" w:rsidRPr="00051FD3" w:rsidRDefault="00C01955" w:rsidP="007F39B7">
      <w:pPr>
        <w:tabs>
          <w:tab w:val="left" w:pos="567"/>
        </w:tabs>
        <w:rPr>
          <w:sz w:val="22"/>
          <w:szCs w:val="22"/>
          <w:lang w:eastAsia="lt-LT"/>
        </w:rPr>
      </w:pPr>
      <w:r w:rsidRPr="00051FD3">
        <w:rPr>
          <w:sz w:val="22"/>
          <w:szCs w:val="22"/>
          <w:lang w:eastAsia="lt-LT"/>
        </w:rPr>
        <w:t>Lot {numeris}</w:t>
      </w:r>
    </w:p>
    <w:p w14:paraId="3D59534E" w14:textId="77777777" w:rsidR="007F39B7" w:rsidRPr="00051FD3" w:rsidRDefault="007F39B7" w:rsidP="007F39B7">
      <w:pPr>
        <w:tabs>
          <w:tab w:val="left" w:pos="567"/>
        </w:tabs>
        <w:rPr>
          <w:sz w:val="22"/>
          <w:szCs w:val="22"/>
        </w:rPr>
      </w:pPr>
    </w:p>
    <w:p w14:paraId="26DDBA8B" w14:textId="77777777" w:rsidR="007F39B7" w:rsidRPr="00051FD3" w:rsidRDefault="007F39B7" w:rsidP="007F39B7">
      <w:pPr>
        <w:tabs>
          <w:tab w:val="left" w:pos="567"/>
        </w:tabs>
        <w:rPr>
          <w:sz w:val="22"/>
          <w:szCs w:val="22"/>
        </w:rPr>
      </w:pPr>
    </w:p>
    <w:p w14:paraId="234A2CDB"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14.</w:t>
      </w:r>
      <w:r w:rsidRPr="00051FD3">
        <w:rPr>
          <w:b/>
          <w:sz w:val="22"/>
          <w:szCs w:val="22"/>
        </w:rPr>
        <w:tab/>
        <w:t>PARDAVIMO (IŠDAVIMO) TVARKA</w:t>
      </w:r>
    </w:p>
    <w:p w14:paraId="6FA79689" w14:textId="77777777" w:rsidR="007F39B7" w:rsidRPr="00051FD3" w:rsidRDefault="007F39B7" w:rsidP="007F39B7">
      <w:pPr>
        <w:tabs>
          <w:tab w:val="left" w:pos="567"/>
        </w:tabs>
        <w:rPr>
          <w:sz w:val="22"/>
          <w:szCs w:val="22"/>
        </w:rPr>
      </w:pPr>
    </w:p>
    <w:p w14:paraId="0B4702D4" w14:textId="77777777" w:rsidR="007F39B7" w:rsidRPr="00051FD3" w:rsidRDefault="007F39B7" w:rsidP="007F39B7">
      <w:pPr>
        <w:tabs>
          <w:tab w:val="left" w:pos="567"/>
        </w:tabs>
        <w:rPr>
          <w:sz w:val="22"/>
          <w:szCs w:val="22"/>
        </w:rPr>
      </w:pPr>
      <w:r w:rsidRPr="00051FD3">
        <w:rPr>
          <w:sz w:val="22"/>
          <w:szCs w:val="22"/>
        </w:rPr>
        <w:t>Receptinis vaist</w:t>
      </w:r>
      <w:r w:rsidR="00DB6083" w:rsidRPr="00051FD3">
        <w:rPr>
          <w:sz w:val="22"/>
          <w:szCs w:val="22"/>
        </w:rPr>
        <w:t>as</w:t>
      </w:r>
    </w:p>
    <w:p w14:paraId="3E4438A3" w14:textId="77777777" w:rsidR="007F39B7" w:rsidRPr="00051FD3" w:rsidRDefault="007F39B7" w:rsidP="007F39B7">
      <w:pPr>
        <w:tabs>
          <w:tab w:val="left" w:pos="567"/>
        </w:tabs>
        <w:rPr>
          <w:sz w:val="22"/>
          <w:szCs w:val="22"/>
        </w:rPr>
      </w:pPr>
    </w:p>
    <w:p w14:paraId="5A3D92D7" w14:textId="77777777" w:rsidR="007F39B7" w:rsidRPr="00051FD3" w:rsidRDefault="007F39B7" w:rsidP="007F39B7">
      <w:pPr>
        <w:tabs>
          <w:tab w:val="left" w:pos="567"/>
        </w:tabs>
        <w:rPr>
          <w:sz w:val="22"/>
          <w:szCs w:val="22"/>
        </w:rPr>
      </w:pPr>
    </w:p>
    <w:p w14:paraId="073722D7"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15.</w:t>
      </w:r>
      <w:r w:rsidRPr="00051FD3">
        <w:rPr>
          <w:b/>
          <w:sz w:val="22"/>
          <w:szCs w:val="22"/>
        </w:rPr>
        <w:tab/>
        <w:t>VARTOJIMO INSTRUKCIJA</w:t>
      </w:r>
    </w:p>
    <w:p w14:paraId="694058B0" w14:textId="77777777" w:rsidR="007F39B7" w:rsidRPr="00051FD3" w:rsidRDefault="007F39B7" w:rsidP="007F39B7">
      <w:pPr>
        <w:tabs>
          <w:tab w:val="left" w:pos="567"/>
        </w:tabs>
        <w:rPr>
          <w:sz w:val="22"/>
          <w:szCs w:val="22"/>
        </w:rPr>
      </w:pPr>
    </w:p>
    <w:p w14:paraId="649735D2" w14:textId="77777777" w:rsidR="007F39B7" w:rsidRPr="00051FD3" w:rsidRDefault="007F39B7" w:rsidP="007F39B7">
      <w:pPr>
        <w:tabs>
          <w:tab w:val="left" w:pos="567"/>
        </w:tabs>
        <w:rPr>
          <w:sz w:val="22"/>
          <w:szCs w:val="22"/>
        </w:rPr>
      </w:pPr>
    </w:p>
    <w:p w14:paraId="17F8A9FC"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16.</w:t>
      </w:r>
      <w:r w:rsidRPr="00051FD3">
        <w:rPr>
          <w:b/>
          <w:sz w:val="22"/>
          <w:szCs w:val="22"/>
        </w:rPr>
        <w:tab/>
        <w:t>INFORMACIJA BRAILIO RAŠTU</w:t>
      </w:r>
    </w:p>
    <w:p w14:paraId="399DE337" w14:textId="77777777" w:rsidR="007F39B7" w:rsidRPr="00051FD3" w:rsidRDefault="007F39B7" w:rsidP="007F39B7">
      <w:pPr>
        <w:rPr>
          <w:sz w:val="22"/>
          <w:szCs w:val="22"/>
        </w:rPr>
      </w:pPr>
    </w:p>
    <w:p w14:paraId="7922976F" w14:textId="77777777" w:rsidR="007F39B7" w:rsidRPr="00051FD3" w:rsidRDefault="007F39B7" w:rsidP="007F39B7">
      <w:pPr>
        <w:tabs>
          <w:tab w:val="left" w:pos="3060"/>
        </w:tabs>
        <w:autoSpaceDE w:val="0"/>
        <w:autoSpaceDN w:val="0"/>
        <w:adjustRightInd w:val="0"/>
        <w:rPr>
          <w:sz w:val="22"/>
          <w:szCs w:val="22"/>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w:t>
      </w:r>
    </w:p>
    <w:p w14:paraId="3F187117" w14:textId="77777777" w:rsidR="00DD31B5" w:rsidRPr="00012DBE" w:rsidRDefault="00DD31B5" w:rsidP="00401F7E">
      <w:pPr>
        <w:tabs>
          <w:tab w:val="left" w:pos="567"/>
        </w:tabs>
        <w:rPr>
          <w:sz w:val="22"/>
          <w:szCs w:val="22"/>
          <w:shd w:val="clear" w:color="auto" w:fill="CCCCCC"/>
        </w:rPr>
      </w:pPr>
    </w:p>
    <w:p w14:paraId="27B74B42" w14:textId="77777777" w:rsidR="00660AEF" w:rsidRPr="00051FD3" w:rsidRDefault="00660AEF" w:rsidP="00DD31B5">
      <w:pPr>
        <w:tabs>
          <w:tab w:val="left" w:pos="567"/>
        </w:tabs>
        <w:rPr>
          <w:noProof/>
          <w:snapToGrid w:val="0"/>
          <w:sz w:val="22"/>
          <w:szCs w:val="22"/>
          <w:shd w:val="clear" w:color="auto" w:fill="CCCCCC"/>
        </w:rPr>
      </w:pPr>
    </w:p>
    <w:p w14:paraId="3DCEFCE4" w14:textId="77777777" w:rsidR="00DD31B5" w:rsidRPr="00012DBE" w:rsidRDefault="00DD31B5" w:rsidP="00DD31B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sidRPr="00012DBE">
        <w:rPr>
          <w:b/>
          <w:noProof/>
          <w:snapToGrid w:val="0"/>
          <w:sz w:val="22"/>
          <w:szCs w:val="22"/>
        </w:rPr>
        <w:t>17.</w:t>
      </w:r>
      <w:r w:rsidRPr="00012DBE">
        <w:rPr>
          <w:b/>
          <w:noProof/>
          <w:snapToGrid w:val="0"/>
          <w:sz w:val="22"/>
          <w:szCs w:val="22"/>
        </w:rPr>
        <w:tab/>
        <w:t>UNIKALUS IDENTIFIKATORIUS – 2D BRŪKŠNINIS KODAS</w:t>
      </w:r>
    </w:p>
    <w:p w14:paraId="48C88F78" w14:textId="77777777" w:rsidR="00DD31B5" w:rsidRPr="003A7BC8" w:rsidRDefault="00DD31B5" w:rsidP="00DD31B5">
      <w:pPr>
        <w:tabs>
          <w:tab w:val="left" w:pos="567"/>
        </w:tabs>
        <w:rPr>
          <w:noProof/>
          <w:snapToGrid w:val="0"/>
          <w:sz w:val="22"/>
          <w:szCs w:val="22"/>
        </w:rPr>
      </w:pPr>
    </w:p>
    <w:p w14:paraId="5134C3DD" w14:textId="77777777" w:rsidR="00DD31B5" w:rsidRPr="00051FD3" w:rsidRDefault="00DD31B5" w:rsidP="00DD31B5">
      <w:pPr>
        <w:tabs>
          <w:tab w:val="left" w:pos="567"/>
        </w:tabs>
        <w:rPr>
          <w:noProof/>
          <w:snapToGrid w:val="0"/>
          <w:sz w:val="22"/>
          <w:szCs w:val="22"/>
          <w:shd w:val="clear" w:color="auto" w:fill="CCCCCC"/>
        </w:rPr>
      </w:pPr>
      <w:r w:rsidRPr="003A7BC8">
        <w:rPr>
          <w:sz w:val="22"/>
          <w:szCs w:val="22"/>
          <w:highlight w:val="lightGray"/>
        </w:rPr>
        <w:t>2D brūkšninis kodas su nurodytu unikaliu identifikatoriumi.</w:t>
      </w:r>
    </w:p>
    <w:p w14:paraId="704AC3E2" w14:textId="77777777" w:rsidR="00DD31B5" w:rsidRPr="00051FD3" w:rsidRDefault="00DD31B5" w:rsidP="00DD31B5">
      <w:pPr>
        <w:tabs>
          <w:tab w:val="left" w:pos="567"/>
        </w:tabs>
        <w:rPr>
          <w:noProof/>
          <w:snapToGrid w:val="0"/>
          <w:sz w:val="22"/>
          <w:szCs w:val="22"/>
          <w:shd w:val="clear" w:color="auto" w:fill="CCCCCC"/>
        </w:rPr>
      </w:pPr>
    </w:p>
    <w:p w14:paraId="7F49A3B1" w14:textId="77777777" w:rsidR="00DD31B5" w:rsidRPr="00012DBE" w:rsidRDefault="00DD31B5" w:rsidP="00DD31B5">
      <w:pPr>
        <w:tabs>
          <w:tab w:val="left" w:pos="567"/>
        </w:tabs>
        <w:rPr>
          <w:noProof/>
          <w:snapToGrid w:val="0"/>
          <w:sz w:val="22"/>
          <w:szCs w:val="22"/>
        </w:rPr>
      </w:pPr>
    </w:p>
    <w:p w14:paraId="4719C166" w14:textId="77777777" w:rsidR="00DD31B5" w:rsidRPr="003A7BC8" w:rsidRDefault="00DD31B5" w:rsidP="00DD31B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sidRPr="003A7BC8">
        <w:rPr>
          <w:b/>
          <w:noProof/>
          <w:snapToGrid w:val="0"/>
          <w:sz w:val="22"/>
          <w:szCs w:val="22"/>
        </w:rPr>
        <w:t>18.</w:t>
      </w:r>
      <w:r w:rsidRPr="003A7BC8">
        <w:rPr>
          <w:b/>
          <w:noProof/>
          <w:snapToGrid w:val="0"/>
          <w:sz w:val="22"/>
          <w:szCs w:val="22"/>
        </w:rPr>
        <w:tab/>
        <w:t>UNIKALUS IDENTIFIKATORIUS – ŽMONĖMS SUPRANTAMI DUOMENYS</w:t>
      </w:r>
    </w:p>
    <w:p w14:paraId="421D48E3" w14:textId="77777777" w:rsidR="00DD31B5" w:rsidRPr="003A7BC8" w:rsidRDefault="00DD31B5" w:rsidP="00DD31B5">
      <w:pPr>
        <w:tabs>
          <w:tab w:val="left" w:pos="567"/>
        </w:tabs>
        <w:rPr>
          <w:noProof/>
          <w:snapToGrid w:val="0"/>
          <w:sz w:val="22"/>
          <w:szCs w:val="22"/>
        </w:rPr>
      </w:pPr>
    </w:p>
    <w:p w14:paraId="7881F657" w14:textId="77777777" w:rsidR="00DD31B5" w:rsidRPr="00051FD3" w:rsidRDefault="00DD31B5" w:rsidP="00DD31B5">
      <w:pPr>
        <w:tabs>
          <w:tab w:val="left" w:pos="567"/>
        </w:tabs>
        <w:rPr>
          <w:snapToGrid w:val="0"/>
          <w:sz w:val="22"/>
          <w:szCs w:val="22"/>
        </w:rPr>
      </w:pPr>
      <w:r w:rsidRPr="003A7BC8">
        <w:rPr>
          <w:snapToGrid w:val="0"/>
          <w:sz w:val="22"/>
          <w:szCs w:val="22"/>
        </w:rPr>
        <w:t xml:space="preserve">PC: {numeris} </w:t>
      </w:r>
    </w:p>
    <w:p w14:paraId="2CD46B8E" w14:textId="77777777" w:rsidR="00DD31B5" w:rsidRPr="00012DBE" w:rsidRDefault="00DD31B5" w:rsidP="00DD31B5">
      <w:pPr>
        <w:tabs>
          <w:tab w:val="left" w:pos="567"/>
        </w:tabs>
        <w:rPr>
          <w:snapToGrid w:val="0"/>
          <w:sz w:val="22"/>
          <w:szCs w:val="22"/>
        </w:rPr>
      </w:pPr>
      <w:r w:rsidRPr="00012DBE">
        <w:rPr>
          <w:snapToGrid w:val="0"/>
          <w:sz w:val="22"/>
          <w:szCs w:val="22"/>
        </w:rPr>
        <w:t xml:space="preserve">SN: {numeris} </w:t>
      </w:r>
    </w:p>
    <w:p w14:paraId="6C2EFB7A" w14:textId="77777777" w:rsidR="007F39B7" w:rsidRPr="003A7BC8" w:rsidRDefault="00DD31B5" w:rsidP="00DD31B5">
      <w:pPr>
        <w:tabs>
          <w:tab w:val="left" w:pos="567"/>
        </w:tabs>
        <w:rPr>
          <w:snapToGrid w:val="0"/>
          <w:sz w:val="22"/>
          <w:szCs w:val="22"/>
        </w:rPr>
      </w:pPr>
      <w:r w:rsidRPr="003A7BC8">
        <w:rPr>
          <w:sz w:val="22"/>
          <w:szCs w:val="22"/>
          <w:highlight w:val="lightGray"/>
        </w:rPr>
        <w:t>NN: {numeris}</w:t>
      </w:r>
      <w:r w:rsidRPr="003A7BC8">
        <w:rPr>
          <w:snapToGrid w:val="0"/>
          <w:sz w:val="22"/>
          <w:szCs w:val="22"/>
        </w:rPr>
        <w:t xml:space="preserve"> </w:t>
      </w:r>
    </w:p>
    <w:p w14:paraId="61726FCE"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r w:rsidRPr="00051FD3">
        <w:rPr>
          <w:sz w:val="22"/>
          <w:szCs w:val="22"/>
        </w:rPr>
        <w:br w:type="page"/>
      </w:r>
      <w:r w:rsidRPr="00051FD3">
        <w:rPr>
          <w:b/>
          <w:sz w:val="22"/>
          <w:szCs w:val="22"/>
        </w:rPr>
        <w:lastRenderedPageBreak/>
        <w:t xml:space="preserve">MINIMALI </w:t>
      </w:r>
      <w:r w:rsidRPr="00051FD3">
        <w:rPr>
          <w:b/>
          <w:caps/>
          <w:sz w:val="22"/>
          <w:szCs w:val="22"/>
        </w:rPr>
        <w:t xml:space="preserve">informacija ant </w:t>
      </w:r>
      <w:r w:rsidRPr="00051FD3">
        <w:rPr>
          <w:b/>
          <w:sz w:val="22"/>
          <w:szCs w:val="22"/>
        </w:rPr>
        <w:t>LIZDINIŲ PLOKŠTELIŲ ARBA DVISLUOKSNIŲ JUOSTELIŲ</w:t>
      </w:r>
    </w:p>
    <w:p w14:paraId="7E380EAB"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p>
    <w:p w14:paraId="4797B859"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r w:rsidRPr="00051FD3">
        <w:rPr>
          <w:b/>
          <w:sz w:val="22"/>
          <w:szCs w:val="22"/>
        </w:rPr>
        <w:t>LIZDINĖ PLOKŠTELĖ</w:t>
      </w:r>
    </w:p>
    <w:p w14:paraId="2287FC7C" w14:textId="77777777" w:rsidR="007F39B7" w:rsidRPr="00051FD3" w:rsidRDefault="007F39B7" w:rsidP="007F39B7">
      <w:pPr>
        <w:rPr>
          <w:sz w:val="22"/>
          <w:szCs w:val="22"/>
        </w:rPr>
      </w:pPr>
    </w:p>
    <w:p w14:paraId="55EDE5D4" w14:textId="77777777" w:rsidR="007F39B7" w:rsidRPr="00051FD3" w:rsidRDefault="007F39B7" w:rsidP="007F39B7">
      <w:pPr>
        <w:tabs>
          <w:tab w:val="left" w:pos="567"/>
        </w:tabs>
        <w:rPr>
          <w:sz w:val="22"/>
          <w:szCs w:val="22"/>
        </w:rPr>
      </w:pPr>
    </w:p>
    <w:p w14:paraId="2296EC7B"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w:t>
      </w:r>
      <w:r w:rsidRPr="00051FD3">
        <w:rPr>
          <w:b/>
          <w:sz w:val="22"/>
          <w:szCs w:val="22"/>
        </w:rPr>
        <w:tab/>
        <w:t>VAISTINIO PREPARATO PAVADINIMAS</w:t>
      </w:r>
    </w:p>
    <w:p w14:paraId="12FAE4D5" w14:textId="77777777" w:rsidR="007F39B7" w:rsidRPr="00051FD3" w:rsidRDefault="007F39B7" w:rsidP="007F39B7">
      <w:pPr>
        <w:tabs>
          <w:tab w:val="left" w:pos="567"/>
        </w:tabs>
        <w:rPr>
          <w:sz w:val="22"/>
          <w:szCs w:val="22"/>
        </w:rPr>
      </w:pPr>
    </w:p>
    <w:p w14:paraId="3E29710F" w14:textId="77777777" w:rsidR="007F39B7" w:rsidRPr="00012DBE" w:rsidRDefault="007F39B7" w:rsidP="007F39B7">
      <w:pPr>
        <w:tabs>
          <w:tab w:val="left" w:pos="567"/>
          <w:tab w:val="left" w:pos="3060"/>
        </w:tabs>
        <w:autoSpaceDE w:val="0"/>
        <w:autoSpaceDN w:val="0"/>
        <w:adjustRightInd w:val="0"/>
        <w:rPr>
          <w:sz w:val="22"/>
          <w:szCs w:val="22"/>
          <w:highlight w:val="lightGray"/>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tabletės</w:t>
      </w:r>
    </w:p>
    <w:p w14:paraId="56E31055" w14:textId="77777777" w:rsidR="007F39B7" w:rsidRPr="00051FD3" w:rsidRDefault="007F39B7" w:rsidP="003627F7">
      <w:pPr>
        <w:tabs>
          <w:tab w:val="left" w:pos="567"/>
          <w:tab w:val="left" w:pos="3060"/>
        </w:tabs>
        <w:autoSpaceDE w:val="0"/>
        <w:autoSpaceDN w:val="0"/>
        <w:adjustRightInd w:val="0"/>
        <w:rPr>
          <w:sz w:val="22"/>
          <w:szCs w:val="22"/>
        </w:rPr>
      </w:pPr>
    </w:p>
    <w:p w14:paraId="5FF67C72" w14:textId="77777777" w:rsidR="007F39B7" w:rsidRPr="00051FD3" w:rsidRDefault="007F39B7" w:rsidP="007F39B7">
      <w:pPr>
        <w:tabs>
          <w:tab w:val="left" w:pos="567"/>
        </w:tabs>
        <w:rPr>
          <w:sz w:val="22"/>
          <w:szCs w:val="22"/>
        </w:rPr>
      </w:pPr>
      <w:proofErr w:type="spellStart"/>
      <w:r w:rsidRPr="00051FD3">
        <w:rPr>
          <w:sz w:val="22"/>
          <w:szCs w:val="22"/>
        </w:rPr>
        <w:t>Telmisartanum</w:t>
      </w:r>
      <w:proofErr w:type="spellEnd"/>
      <w:r w:rsidRPr="00051FD3">
        <w:rPr>
          <w:sz w:val="22"/>
          <w:szCs w:val="22"/>
        </w:rPr>
        <w:t>/</w:t>
      </w:r>
      <w:proofErr w:type="spellStart"/>
      <w:r w:rsidRPr="00051FD3">
        <w:rPr>
          <w:color w:val="000000"/>
          <w:sz w:val="22"/>
          <w:szCs w:val="22"/>
        </w:rPr>
        <w:t>Hydrochlorothiazidum</w:t>
      </w:r>
      <w:proofErr w:type="spellEnd"/>
    </w:p>
    <w:p w14:paraId="0E110D04" w14:textId="77777777" w:rsidR="007F39B7" w:rsidRPr="00051FD3" w:rsidRDefault="007F39B7" w:rsidP="007F39B7">
      <w:pPr>
        <w:tabs>
          <w:tab w:val="left" w:pos="567"/>
        </w:tabs>
        <w:rPr>
          <w:sz w:val="22"/>
          <w:szCs w:val="22"/>
        </w:rPr>
      </w:pPr>
    </w:p>
    <w:p w14:paraId="3F2CFFA3" w14:textId="77777777" w:rsidR="007F39B7" w:rsidRPr="00051FD3" w:rsidRDefault="007F39B7" w:rsidP="007F39B7">
      <w:pPr>
        <w:tabs>
          <w:tab w:val="left" w:pos="567"/>
        </w:tabs>
        <w:rPr>
          <w:sz w:val="22"/>
          <w:szCs w:val="22"/>
        </w:rPr>
      </w:pPr>
    </w:p>
    <w:p w14:paraId="3C57D7FF"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2.</w:t>
      </w:r>
      <w:r w:rsidRPr="00051FD3">
        <w:rPr>
          <w:b/>
          <w:sz w:val="22"/>
          <w:szCs w:val="22"/>
        </w:rPr>
        <w:tab/>
      </w:r>
      <w:r w:rsidR="00660AEF" w:rsidRPr="00051FD3">
        <w:rPr>
          <w:b/>
          <w:sz w:val="22"/>
          <w:szCs w:val="22"/>
        </w:rPr>
        <w:t xml:space="preserve">REGISTRUOTOJO </w:t>
      </w:r>
      <w:r w:rsidRPr="00051FD3">
        <w:rPr>
          <w:b/>
          <w:sz w:val="22"/>
          <w:szCs w:val="22"/>
        </w:rPr>
        <w:t>PAVADINIMAS</w:t>
      </w:r>
    </w:p>
    <w:p w14:paraId="11062BEE" w14:textId="77777777" w:rsidR="007F39B7" w:rsidRPr="00051FD3" w:rsidRDefault="007F39B7" w:rsidP="007F39B7">
      <w:pPr>
        <w:tabs>
          <w:tab w:val="left" w:pos="567"/>
        </w:tabs>
        <w:rPr>
          <w:sz w:val="22"/>
          <w:szCs w:val="22"/>
        </w:rPr>
      </w:pPr>
    </w:p>
    <w:p w14:paraId="34CFF838" w14:textId="77777777" w:rsidR="007F39B7" w:rsidRPr="00051FD3" w:rsidRDefault="007F39B7" w:rsidP="007F39B7">
      <w:pPr>
        <w:tabs>
          <w:tab w:val="left" w:pos="567"/>
        </w:tabs>
        <w:rPr>
          <w:sz w:val="22"/>
          <w:szCs w:val="22"/>
          <w:lang w:eastAsia="lt-LT"/>
        </w:rPr>
      </w:pPr>
      <w:proofErr w:type="spellStart"/>
      <w:r w:rsidRPr="00051FD3">
        <w:rPr>
          <w:sz w:val="22"/>
          <w:szCs w:val="22"/>
          <w:lang w:eastAsia="lt-LT"/>
        </w:rPr>
        <w:t>Teva</w:t>
      </w:r>
      <w:proofErr w:type="spellEnd"/>
      <w:r w:rsidRPr="00051FD3">
        <w:rPr>
          <w:sz w:val="22"/>
          <w:szCs w:val="22"/>
          <w:lang w:eastAsia="lt-LT"/>
        </w:rPr>
        <w:t xml:space="preserve"> B.V.</w:t>
      </w:r>
    </w:p>
    <w:p w14:paraId="29723D02" w14:textId="77777777" w:rsidR="007F39B7" w:rsidRPr="00051FD3" w:rsidRDefault="007F39B7" w:rsidP="007F39B7">
      <w:pPr>
        <w:tabs>
          <w:tab w:val="left" w:pos="567"/>
        </w:tabs>
        <w:rPr>
          <w:sz w:val="22"/>
          <w:szCs w:val="22"/>
        </w:rPr>
      </w:pPr>
    </w:p>
    <w:p w14:paraId="1E9B4634" w14:textId="77777777" w:rsidR="007F39B7" w:rsidRPr="00051FD3" w:rsidRDefault="007F39B7" w:rsidP="007F39B7">
      <w:pPr>
        <w:tabs>
          <w:tab w:val="left" w:pos="567"/>
        </w:tabs>
        <w:rPr>
          <w:sz w:val="22"/>
          <w:szCs w:val="22"/>
        </w:rPr>
      </w:pPr>
    </w:p>
    <w:p w14:paraId="45E0EF83"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3.</w:t>
      </w:r>
      <w:r w:rsidRPr="00051FD3">
        <w:rPr>
          <w:b/>
          <w:sz w:val="22"/>
          <w:szCs w:val="22"/>
        </w:rPr>
        <w:tab/>
        <w:t>TINKAMUMO LAIKAS</w:t>
      </w:r>
    </w:p>
    <w:p w14:paraId="61515E63" w14:textId="77777777" w:rsidR="007F39B7" w:rsidRPr="00051FD3" w:rsidRDefault="007F39B7" w:rsidP="007F39B7">
      <w:pPr>
        <w:tabs>
          <w:tab w:val="left" w:pos="567"/>
        </w:tabs>
        <w:rPr>
          <w:sz w:val="22"/>
          <w:szCs w:val="22"/>
        </w:rPr>
      </w:pPr>
    </w:p>
    <w:p w14:paraId="099EE817" w14:textId="77777777" w:rsidR="007F39B7" w:rsidRPr="00051FD3" w:rsidRDefault="00660AEF" w:rsidP="007F39B7">
      <w:pPr>
        <w:tabs>
          <w:tab w:val="left" w:pos="567"/>
        </w:tabs>
        <w:rPr>
          <w:sz w:val="22"/>
          <w:szCs w:val="22"/>
          <w:lang w:eastAsia="lt-LT"/>
        </w:rPr>
      </w:pPr>
      <w:r w:rsidRPr="00012DBE">
        <w:rPr>
          <w:sz w:val="22"/>
          <w:szCs w:val="22"/>
          <w:highlight w:val="lightGray"/>
        </w:rPr>
        <w:t>EXP</w:t>
      </w:r>
      <w:r w:rsidR="007F39B7" w:rsidRPr="00051FD3">
        <w:rPr>
          <w:sz w:val="22"/>
          <w:szCs w:val="22"/>
          <w:lang w:eastAsia="lt-LT"/>
        </w:rPr>
        <w:t xml:space="preserve"> {mm /MMMM} </w:t>
      </w:r>
    </w:p>
    <w:p w14:paraId="303A71F4" w14:textId="77777777" w:rsidR="007F39B7" w:rsidRPr="00051FD3" w:rsidRDefault="007F39B7" w:rsidP="007F39B7">
      <w:pPr>
        <w:tabs>
          <w:tab w:val="left" w:pos="567"/>
        </w:tabs>
        <w:rPr>
          <w:sz w:val="22"/>
          <w:szCs w:val="22"/>
        </w:rPr>
      </w:pPr>
    </w:p>
    <w:p w14:paraId="4D326EF0" w14:textId="77777777" w:rsidR="007F39B7" w:rsidRPr="00051FD3" w:rsidRDefault="007F39B7" w:rsidP="007F39B7">
      <w:pPr>
        <w:tabs>
          <w:tab w:val="left" w:pos="567"/>
        </w:tabs>
        <w:rPr>
          <w:sz w:val="22"/>
          <w:szCs w:val="22"/>
        </w:rPr>
      </w:pPr>
    </w:p>
    <w:p w14:paraId="22D6CA1A"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4.</w:t>
      </w:r>
      <w:r w:rsidRPr="00051FD3">
        <w:rPr>
          <w:b/>
          <w:sz w:val="22"/>
          <w:szCs w:val="22"/>
        </w:rPr>
        <w:tab/>
        <w:t>SERIJOS NUMERIS</w:t>
      </w:r>
    </w:p>
    <w:p w14:paraId="251403EA" w14:textId="77777777" w:rsidR="007F39B7" w:rsidRPr="00051FD3" w:rsidRDefault="007F39B7" w:rsidP="007F39B7">
      <w:pPr>
        <w:tabs>
          <w:tab w:val="left" w:pos="567"/>
        </w:tabs>
        <w:rPr>
          <w:sz w:val="22"/>
          <w:szCs w:val="22"/>
        </w:rPr>
      </w:pPr>
    </w:p>
    <w:p w14:paraId="0BE6F1E4" w14:textId="77777777" w:rsidR="007F39B7" w:rsidRPr="00051FD3" w:rsidRDefault="00660AEF" w:rsidP="007F39B7">
      <w:pPr>
        <w:tabs>
          <w:tab w:val="left" w:pos="567"/>
        </w:tabs>
        <w:rPr>
          <w:sz w:val="22"/>
          <w:szCs w:val="22"/>
        </w:rPr>
      </w:pPr>
      <w:r w:rsidRPr="00012DBE">
        <w:rPr>
          <w:sz w:val="22"/>
          <w:szCs w:val="22"/>
          <w:highlight w:val="lightGray"/>
        </w:rPr>
        <w:t>Lot</w:t>
      </w:r>
      <w:r w:rsidRPr="00051FD3">
        <w:rPr>
          <w:sz w:val="22"/>
          <w:szCs w:val="22"/>
        </w:rPr>
        <w:t xml:space="preserve"> </w:t>
      </w:r>
      <w:r w:rsidR="007F39B7" w:rsidRPr="00051FD3">
        <w:rPr>
          <w:sz w:val="22"/>
          <w:szCs w:val="22"/>
        </w:rPr>
        <w:t>{numeris}</w:t>
      </w:r>
    </w:p>
    <w:p w14:paraId="35DA6F0D" w14:textId="77777777" w:rsidR="007F39B7" w:rsidRPr="00051FD3" w:rsidRDefault="007F39B7" w:rsidP="007F39B7">
      <w:pPr>
        <w:tabs>
          <w:tab w:val="left" w:pos="567"/>
        </w:tabs>
        <w:rPr>
          <w:sz w:val="22"/>
          <w:szCs w:val="22"/>
        </w:rPr>
      </w:pPr>
    </w:p>
    <w:p w14:paraId="17E31A8B" w14:textId="77777777" w:rsidR="007F39B7" w:rsidRPr="00051FD3" w:rsidRDefault="007F39B7" w:rsidP="007F39B7">
      <w:pPr>
        <w:tabs>
          <w:tab w:val="left" w:pos="567"/>
        </w:tabs>
        <w:rPr>
          <w:sz w:val="22"/>
          <w:szCs w:val="22"/>
        </w:rPr>
      </w:pPr>
    </w:p>
    <w:p w14:paraId="7E7E11A5"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5.</w:t>
      </w:r>
      <w:r w:rsidRPr="00051FD3">
        <w:rPr>
          <w:b/>
          <w:sz w:val="22"/>
          <w:szCs w:val="22"/>
        </w:rPr>
        <w:tab/>
        <w:t>KITA</w:t>
      </w:r>
    </w:p>
    <w:p w14:paraId="4577EE43" w14:textId="77777777" w:rsidR="007F39B7" w:rsidRPr="00051FD3" w:rsidRDefault="007F39B7" w:rsidP="007F39B7">
      <w:pPr>
        <w:rPr>
          <w:sz w:val="22"/>
          <w:szCs w:val="22"/>
        </w:rPr>
      </w:pPr>
    </w:p>
    <w:p w14:paraId="24FC5BFB"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r w:rsidRPr="00051FD3">
        <w:rPr>
          <w:b/>
          <w:sz w:val="22"/>
          <w:szCs w:val="22"/>
        </w:rPr>
        <w:br w:type="page"/>
      </w:r>
      <w:r w:rsidRPr="00051FD3">
        <w:rPr>
          <w:b/>
          <w:sz w:val="22"/>
          <w:szCs w:val="22"/>
        </w:rPr>
        <w:lastRenderedPageBreak/>
        <w:t>INFORMACIJA ANT IŠORINĖS PAKUOTĖS</w:t>
      </w:r>
    </w:p>
    <w:p w14:paraId="00616548"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p>
    <w:p w14:paraId="33773E5E"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r w:rsidRPr="00051FD3">
        <w:rPr>
          <w:b/>
          <w:sz w:val="22"/>
          <w:szCs w:val="22"/>
        </w:rPr>
        <w:t>DTPE TABLEČIŲ TALPYKLĖS KARTONO DĖŽUTĖ</w:t>
      </w:r>
    </w:p>
    <w:p w14:paraId="00A0735F" w14:textId="77777777" w:rsidR="007F39B7" w:rsidRPr="00051FD3" w:rsidRDefault="007F39B7" w:rsidP="007F39B7">
      <w:pPr>
        <w:rPr>
          <w:sz w:val="22"/>
          <w:szCs w:val="22"/>
        </w:rPr>
      </w:pPr>
    </w:p>
    <w:p w14:paraId="2676AF7F" w14:textId="77777777" w:rsidR="007F39B7" w:rsidRPr="00051FD3" w:rsidRDefault="007F39B7" w:rsidP="007F39B7">
      <w:pPr>
        <w:rPr>
          <w:sz w:val="22"/>
          <w:szCs w:val="22"/>
        </w:rPr>
      </w:pPr>
    </w:p>
    <w:p w14:paraId="32376684"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w:t>
      </w:r>
      <w:r w:rsidRPr="00051FD3">
        <w:rPr>
          <w:b/>
          <w:sz w:val="22"/>
          <w:szCs w:val="22"/>
        </w:rPr>
        <w:tab/>
        <w:t>VAISTINIO PREPARATO PAVADINIMAS</w:t>
      </w:r>
    </w:p>
    <w:p w14:paraId="1264B0F5" w14:textId="77777777" w:rsidR="007F39B7" w:rsidRPr="00051FD3" w:rsidRDefault="007F39B7" w:rsidP="007F39B7">
      <w:pPr>
        <w:tabs>
          <w:tab w:val="left" w:pos="567"/>
          <w:tab w:val="left" w:pos="3060"/>
        </w:tabs>
        <w:autoSpaceDE w:val="0"/>
        <w:autoSpaceDN w:val="0"/>
        <w:adjustRightInd w:val="0"/>
        <w:rPr>
          <w:sz w:val="22"/>
          <w:szCs w:val="22"/>
        </w:rPr>
      </w:pPr>
    </w:p>
    <w:p w14:paraId="3BE55E6A" w14:textId="77777777" w:rsidR="007F39B7" w:rsidRPr="00051FD3" w:rsidRDefault="007F39B7" w:rsidP="007F39B7">
      <w:pPr>
        <w:tabs>
          <w:tab w:val="left" w:pos="567"/>
          <w:tab w:val="left" w:pos="3060"/>
        </w:tabs>
        <w:autoSpaceDE w:val="0"/>
        <w:autoSpaceDN w:val="0"/>
        <w:adjustRightInd w:val="0"/>
        <w:rPr>
          <w:sz w:val="22"/>
          <w:szCs w:val="22"/>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tabletės</w:t>
      </w:r>
    </w:p>
    <w:p w14:paraId="6963DB90" w14:textId="77777777" w:rsidR="00750BC7" w:rsidRPr="00012DBE" w:rsidRDefault="00750BC7" w:rsidP="007F39B7">
      <w:pPr>
        <w:numPr>
          <w:ilvl w:val="12"/>
          <w:numId w:val="0"/>
        </w:numPr>
        <w:tabs>
          <w:tab w:val="left" w:pos="567"/>
        </w:tabs>
        <w:rPr>
          <w:sz w:val="22"/>
          <w:szCs w:val="22"/>
          <w:highlight w:val="lightGray"/>
        </w:rPr>
      </w:pPr>
    </w:p>
    <w:p w14:paraId="36EB1DBF" w14:textId="77777777" w:rsidR="007F39B7" w:rsidRPr="00051FD3" w:rsidRDefault="007F39B7" w:rsidP="007F39B7">
      <w:pPr>
        <w:numPr>
          <w:ilvl w:val="12"/>
          <w:numId w:val="0"/>
        </w:numPr>
        <w:tabs>
          <w:tab w:val="left" w:pos="567"/>
        </w:tabs>
        <w:rPr>
          <w:sz w:val="22"/>
          <w:szCs w:val="22"/>
        </w:rPr>
      </w:pPr>
      <w:proofErr w:type="spellStart"/>
      <w:r w:rsidRPr="00051FD3">
        <w:rPr>
          <w:sz w:val="22"/>
          <w:szCs w:val="22"/>
        </w:rPr>
        <w:t>Telmisartanum</w:t>
      </w:r>
      <w:proofErr w:type="spellEnd"/>
      <w:r w:rsidRPr="00051FD3">
        <w:rPr>
          <w:sz w:val="22"/>
          <w:szCs w:val="22"/>
        </w:rPr>
        <w:t>/</w:t>
      </w:r>
      <w:proofErr w:type="spellStart"/>
      <w:r w:rsidRPr="00051FD3">
        <w:rPr>
          <w:color w:val="000000"/>
          <w:sz w:val="22"/>
          <w:szCs w:val="22"/>
        </w:rPr>
        <w:t>Hydrochlorothiazidum</w:t>
      </w:r>
      <w:proofErr w:type="spellEnd"/>
    </w:p>
    <w:p w14:paraId="74E0FA95" w14:textId="77777777" w:rsidR="007F39B7" w:rsidRPr="00051FD3" w:rsidRDefault="007F39B7" w:rsidP="007F39B7">
      <w:pPr>
        <w:tabs>
          <w:tab w:val="left" w:pos="567"/>
        </w:tabs>
        <w:rPr>
          <w:sz w:val="22"/>
          <w:szCs w:val="22"/>
        </w:rPr>
      </w:pPr>
    </w:p>
    <w:p w14:paraId="75FA09EE" w14:textId="77777777" w:rsidR="007F39B7" w:rsidRPr="00051FD3" w:rsidRDefault="007F39B7" w:rsidP="007F39B7">
      <w:pPr>
        <w:tabs>
          <w:tab w:val="left" w:pos="567"/>
        </w:tabs>
        <w:rPr>
          <w:sz w:val="22"/>
          <w:szCs w:val="22"/>
        </w:rPr>
      </w:pPr>
    </w:p>
    <w:p w14:paraId="145BED91"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2.</w:t>
      </w:r>
      <w:r w:rsidRPr="00051FD3">
        <w:rPr>
          <w:b/>
          <w:sz w:val="22"/>
          <w:szCs w:val="22"/>
        </w:rPr>
        <w:tab/>
        <w:t>VEIKLIOJI (-IOS) MEDŽIAGA (-OS) IR JOS (-Ų) KIEKIS (-IAI)</w:t>
      </w:r>
    </w:p>
    <w:p w14:paraId="25B5A221" w14:textId="77777777" w:rsidR="007F39B7" w:rsidRPr="00051FD3" w:rsidRDefault="007F39B7" w:rsidP="007F39B7">
      <w:pPr>
        <w:tabs>
          <w:tab w:val="left" w:pos="567"/>
          <w:tab w:val="left" w:pos="3060"/>
        </w:tabs>
        <w:autoSpaceDE w:val="0"/>
        <w:autoSpaceDN w:val="0"/>
        <w:adjustRightInd w:val="0"/>
        <w:rPr>
          <w:sz w:val="22"/>
          <w:szCs w:val="22"/>
        </w:rPr>
      </w:pPr>
    </w:p>
    <w:p w14:paraId="44198648" w14:textId="77777777" w:rsidR="007F39B7" w:rsidRPr="00051FD3" w:rsidRDefault="007F39B7" w:rsidP="007F39B7">
      <w:pPr>
        <w:tabs>
          <w:tab w:val="left" w:pos="567"/>
          <w:tab w:val="left" w:pos="3060"/>
        </w:tabs>
        <w:autoSpaceDE w:val="0"/>
        <w:autoSpaceDN w:val="0"/>
        <w:adjustRightInd w:val="0"/>
        <w:rPr>
          <w:sz w:val="22"/>
          <w:szCs w:val="22"/>
        </w:rPr>
      </w:pPr>
      <w:r w:rsidRPr="00051FD3">
        <w:rPr>
          <w:rFonts w:eastAsia="TimesNewRoman"/>
          <w:sz w:val="22"/>
          <w:szCs w:val="22"/>
          <w:lang w:eastAsia="lt-LT"/>
        </w:rPr>
        <w:t xml:space="preserve">Kiekvienoje tabletėje yra 80 mg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ir 12,5 mg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w:t>
      </w:r>
    </w:p>
    <w:p w14:paraId="22415E23" w14:textId="77777777" w:rsidR="007F39B7" w:rsidRPr="00051FD3" w:rsidRDefault="007F39B7" w:rsidP="007F39B7">
      <w:pPr>
        <w:tabs>
          <w:tab w:val="left" w:pos="567"/>
        </w:tabs>
        <w:rPr>
          <w:sz w:val="22"/>
          <w:szCs w:val="22"/>
        </w:rPr>
      </w:pPr>
    </w:p>
    <w:p w14:paraId="40C5205C" w14:textId="77777777" w:rsidR="005F7154" w:rsidRPr="00051FD3" w:rsidRDefault="005F7154" w:rsidP="007F39B7">
      <w:pPr>
        <w:tabs>
          <w:tab w:val="left" w:pos="567"/>
        </w:tabs>
        <w:rPr>
          <w:sz w:val="22"/>
          <w:szCs w:val="22"/>
        </w:rPr>
      </w:pPr>
    </w:p>
    <w:p w14:paraId="65773360"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3.</w:t>
      </w:r>
      <w:r w:rsidRPr="00051FD3">
        <w:rPr>
          <w:b/>
          <w:sz w:val="22"/>
          <w:szCs w:val="22"/>
        </w:rPr>
        <w:tab/>
        <w:t>PAGALBINIŲ MEDŽIAGŲ SĄRAŠAS</w:t>
      </w:r>
    </w:p>
    <w:p w14:paraId="28FACE6E" w14:textId="77777777" w:rsidR="007F39B7" w:rsidRPr="00051FD3" w:rsidRDefault="007F39B7" w:rsidP="007F39B7">
      <w:pPr>
        <w:tabs>
          <w:tab w:val="left" w:pos="567"/>
        </w:tabs>
        <w:rPr>
          <w:noProof/>
          <w:sz w:val="22"/>
          <w:szCs w:val="22"/>
        </w:rPr>
      </w:pPr>
    </w:p>
    <w:p w14:paraId="38CE22A9" w14:textId="77777777" w:rsidR="007F39B7" w:rsidRPr="00051FD3" w:rsidRDefault="007F39B7" w:rsidP="007F39B7">
      <w:pPr>
        <w:tabs>
          <w:tab w:val="left" w:pos="567"/>
        </w:tabs>
        <w:rPr>
          <w:sz w:val="22"/>
          <w:szCs w:val="22"/>
        </w:rPr>
      </w:pPr>
    </w:p>
    <w:p w14:paraId="571478EC"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4.</w:t>
      </w:r>
      <w:r w:rsidRPr="00051FD3">
        <w:rPr>
          <w:b/>
          <w:sz w:val="22"/>
          <w:szCs w:val="22"/>
        </w:rPr>
        <w:tab/>
        <w:t>FARMACINĖ FORMA IR KIEKIS PAKUOTĖJE</w:t>
      </w:r>
    </w:p>
    <w:p w14:paraId="476FD32B" w14:textId="77777777" w:rsidR="007F39B7" w:rsidRPr="00051FD3" w:rsidRDefault="007F39B7" w:rsidP="007F39B7">
      <w:pPr>
        <w:tabs>
          <w:tab w:val="left" w:pos="567"/>
        </w:tabs>
        <w:rPr>
          <w:sz w:val="22"/>
          <w:szCs w:val="22"/>
          <w:lang w:eastAsia="lt-LT"/>
        </w:rPr>
      </w:pPr>
    </w:p>
    <w:p w14:paraId="280505DE" w14:textId="77777777" w:rsidR="007F39B7" w:rsidRPr="00051FD3" w:rsidRDefault="007F39B7" w:rsidP="007F39B7">
      <w:pPr>
        <w:tabs>
          <w:tab w:val="left" w:pos="567"/>
        </w:tabs>
        <w:rPr>
          <w:sz w:val="22"/>
          <w:szCs w:val="22"/>
          <w:lang w:eastAsia="lt-LT"/>
        </w:rPr>
      </w:pPr>
      <w:r w:rsidRPr="00051FD3">
        <w:rPr>
          <w:sz w:val="22"/>
          <w:szCs w:val="22"/>
          <w:lang w:eastAsia="lt-LT"/>
        </w:rPr>
        <w:t>Tabletė</w:t>
      </w:r>
    </w:p>
    <w:p w14:paraId="63BEE90B" w14:textId="77777777" w:rsidR="007F39B7" w:rsidRPr="00051FD3" w:rsidRDefault="007F39B7" w:rsidP="007F39B7">
      <w:pPr>
        <w:tabs>
          <w:tab w:val="left" w:pos="567"/>
        </w:tabs>
        <w:rPr>
          <w:sz w:val="22"/>
          <w:szCs w:val="22"/>
          <w:lang w:eastAsia="lt-LT"/>
        </w:rPr>
      </w:pPr>
    </w:p>
    <w:p w14:paraId="2DFF2B35"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30 tablečių</w:t>
      </w:r>
    </w:p>
    <w:p w14:paraId="31294C6C" w14:textId="77777777" w:rsidR="007F39B7" w:rsidRPr="00012DBE" w:rsidRDefault="007F39B7" w:rsidP="007F39B7">
      <w:pPr>
        <w:tabs>
          <w:tab w:val="left" w:pos="567"/>
        </w:tabs>
        <w:autoSpaceDE w:val="0"/>
        <w:autoSpaceDN w:val="0"/>
        <w:adjustRightInd w:val="0"/>
        <w:rPr>
          <w:sz w:val="22"/>
          <w:szCs w:val="22"/>
          <w:highlight w:val="lightGray"/>
        </w:rPr>
      </w:pPr>
      <w:r w:rsidRPr="00012DBE">
        <w:rPr>
          <w:sz w:val="22"/>
          <w:szCs w:val="22"/>
          <w:highlight w:val="lightGray"/>
        </w:rPr>
        <w:t>90 tablečių</w:t>
      </w:r>
    </w:p>
    <w:p w14:paraId="18659F9B" w14:textId="77777777" w:rsidR="007F39B7" w:rsidRPr="00051FD3" w:rsidRDefault="007F39B7" w:rsidP="007F39B7">
      <w:pPr>
        <w:tabs>
          <w:tab w:val="left" w:pos="567"/>
        </w:tabs>
        <w:rPr>
          <w:sz w:val="22"/>
          <w:szCs w:val="22"/>
        </w:rPr>
      </w:pPr>
      <w:r w:rsidRPr="003A7BC8">
        <w:rPr>
          <w:sz w:val="22"/>
          <w:szCs w:val="22"/>
          <w:highlight w:val="lightGray"/>
        </w:rPr>
        <w:t>250 tablečių</w:t>
      </w:r>
    </w:p>
    <w:p w14:paraId="0DA8C505" w14:textId="77777777" w:rsidR="007F39B7" w:rsidRPr="00051FD3" w:rsidRDefault="007F39B7" w:rsidP="007F39B7">
      <w:pPr>
        <w:tabs>
          <w:tab w:val="left" w:pos="567"/>
        </w:tabs>
        <w:rPr>
          <w:sz w:val="22"/>
          <w:szCs w:val="22"/>
        </w:rPr>
      </w:pPr>
    </w:p>
    <w:p w14:paraId="1E9AFDC7" w14:textId="77777777" w:rsidR="007F39B7" w:rsidRPr="00051FD3" w:rsidRDefault="007F39B7" w:rsidP="007F39B7">
      <w:pPr>
        <w:tabs>
          <w:tab w:val="left" w:pos="567"/>
        </w:tabs>
        <w:rPr>
          <w:sz w:val="22"/>
          <w:szCs w:val="22"/>
        </w:rPr>
      </w:pPr>
    </w:p>
    <w:p w14:paraId="3B066E2B"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5.</w:t>
      </w:r>
      <w:r w:rsidRPr="00051FD3">
        <w:rPr>
          <w:b/>
          <w:sz w:val="22"/>
          <w:szCs w:val="22"/>
        </w:rPr>
        <w:tab/>
        <w:t>VARTOJIMO METODAS IR BŪDAS (-AI)</w:t>
      </w:r>
    </w:p>
    <w:p w14:paraId="00BD4E47" w14:textId="77777777" w:rsidR="007F39B7" w:rsidRPr="00051FD3" w:rsidRDefault="007F39B7" w:rsidP="007F39B7">
      <w:pPr>
        <w:tabs>
          <w:tab w:val="left" w:pos="567"/>
        </w:tabs>
        <w:rPr>
          <w:sz w:val="22"/>
          <w:szCs w:val="22"/>
        </w:rPr>
      </w:pPr>
    </w:p>
    <w:p w14:paraId="7970A76C" w14:textId="77777777" w:rsidR="007F39B7" w:rsidRPr="00051FD3" w:rsidRDefault="007F39B7" w:rsidP="007F39B7">
      <w:pPr>
        <w:tabs>
          <w:tab w:val="left" w:pos="567"/>
        </w:tabs>
        <w:rPr>
          <w:sz w:val="22"/>
          <w:szCs w:val="22"/>
        </w:rPr>
      </w:pPr>
      <w:r w:rsidRPr="00051FD3">
        <w:rPr>
          <w:sz w:val="22"/>
          <w:szCs w:val="22"/>
        </w:rPr>
        <w:t>Vartoti per burną.</w:t>
      </w:r>
    </w:p>
    <w:p w14:paraId="71D3CBD3" w14:textId="77777777" w:rsidR="007F39B7" w:rsidRPr="00051FD3" w:rsidRDefault="007F39B7" w:rsidP="007F39B7">
      <w:pPr>
        <w:tabs>
          <w:tab w:val="left" w:pos="567"/>
        </w:tabs>
        <w:rPr>
          <w:sz w:val="22"/>
          <w:szCs w:val="22"/>
        </w:rPr>
      </w:pPr>
      <w:r w:rsidRPr="00051FD3">
        <w:rPr>
          <w:sz w:val="22"/>
          <w:szCs w:val="22"/>
        </w:rPr>
        <w:t>Prieš vartojimą perskaitykite pakuotės lapelį.</w:t>
      </w:r>
    </w:p>
    <w:p w14:paraId="653F511D" w14:textId="77777777" w:rsidR="007F39B7" w:rsidRPr="00051FD3" w:rsidRDefault="007F39B7" w:rsidP="007F39B7">
      <w:pPr>
        <w:tabs>
          <w:tab w:val="left" w:pos="567"/>
        </w:tabs>
        <w:rPr>
          <w:sz w:val="22"/>
          <w:szCs w:val="22"/>
        </w:rPr>
      </w:pPr>
    </w:p>
    <w:p w14:paraId="4917C24A" w14:textId="77777777" w:rsidR="007F39B7" w:rsidRPr="00051FD3" w:rsidRDefault="007F39B7" w:rsidP="007F39B7">
      <w:pPr>
        <w:tabs>
          <w:tab w:val="left" w:pos="567"/>
        </w:tabs>
        <w:rPr>
          <w:sz w:val="22"/>
          <w:szCs w:val="22"/>
        </w:rPr>
      </w:pPr>
    </w:p>
    <w:p w14:paraId="2F857B48"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6.</w:t>
      </w:r>
      <w:r w:rsidRPr="00051FD3">
        <w:rPr>
          <w:b/>
          <w:sz w:val="22"/>
          <w:szCs w:val="22"/>
        </w:rPr>
        <w:tab/>
        <w:t>SPECIALUS ĮSPĖJIMAS, KAD VAISTINĮ PREPARATĄ BŪTINA LAIKYTI VAIKAMS NEPASTEBIMOJE IR NEPASIEKIAMOJE VIETOJE</w:t>
      </w:r>
    </w:p>
    <w:p w14:paraId="2ED7504D" w14:textId="77777777" w:rsidR="007F39B7" w:rsidRPr="00051FD3" w:rsidRDefault="007F39B7" w:rsidP="007F39B7">
      <w:pPr>
        <w:tabs>
          <w:tab w:val="left" w:pos="567"/>
        </w:tabs>
        <w:rPr>
          <w:sz w:val="22"/>
          <w:szCs w:val="22"/>
        </w:rPr>
      </w:pPr>
    </w:p>
    <w:p w14:paraId="153056F8" w14:textId="77777777" w:rsidR="007F39B7" w:rsidRPr="00051FD3" w:rsidRDefault="007F39B7" w:rsidP="007F39B7">
      <w:pPr>
        <w:tabs>
          <w:tab w:val="left" w:pos="567"/>
        </w:tabs>
        <w:rPr>
          <w:sz w:val="22"/>
          <w:szCs w:val="22"/>
        </w:rPr>
      </w:pPr>
      <w:r w:rsidRPr="00051FD3">
        <w:rPr>
          <w:sz w:val="22"/>
          <w:szCs w:val="22"/>
        </w:rPr>
        <w:t>Laikyti vaikams nepastebimoje ir nepasiekiamoje vietoje.</w:t>
      </w:r>
    </w:p>
    <w:p w14:paraId="7A851606" w14:textId="77777777" w:rsidR="007F39B7" w:rsidRPr="00051FD3" w:rsidRDefault="007F39B7" w:rsidP="007F39B7">
      <w:pPr>
        <w:tabs>
          <w:tab w:val="left" w:pos="567"/>
        </w:tabs>
        <w:rPr>
          <w:sz w:val="22"/>
          <w:szCs w:val="22"/>
        </w:rPr>
      </w:pPr>
    </w:p>
    <w:p w14:paraId="5EAACB48" w14:textId="77777777" w:rsidR="007F39B7" w:rsidRPr="00051FD3" w:rsidRDefault="007F39B7" w:rsidP="007F39B7">
      <w:pPr>
        <w:tabs>
          <w:tab w:val="left" w:pos="567"/>
        </w:tabs>
        <w:rPr>
          <w:sz w:val="22"/>
          <w:szCs w:val="22"/>
        </w:rPr>
      </w:pPr>
    </w:p>
    <w:p w14:paraId="59456099"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7.</w:t>
      </w:r>
      <w:r w:rsidRPr="00051FD3">
        <w:rPr>
          <w:b/>
          <w:sz w:val="22"/>
          <w:szCs w:val="22"/>
        </w:rPr>
        <w:tab/>
        <w:t>KITAS (-I) SPECIALUS (-ŪS) ĮSPĖJIMAS (-AI) (JEI REIKIA)</w:t>
      </w:r>
    </w:p>
    <w:p w14:paraId="5597A672" w14:textId="77777777" w:rsidR="007F39B7" w:rsidRPr="00051FD3" w:rsidRDefault="007F39B7" w:rsidP="007F39B7">
      <w:pPr>
        <w:tabs>
          <w:tab w:val="left" w:pos="567"/>
        </w:tabs>
        <w:rPr>
          <w:sz w:val="22"/>
          <w:szCs w:val="22"/>
        </w:rPr>
      </w:pPr>
    </w:p>
    <w:p w14:paraId="35D94D97" w14:textId="77777777" w:rsidR="007F39B7" w:rsidRPr="00051FD3" w:rsidRDefault="007F39B7" w:rsidP="007F39B7">
      <w:pPr>
        <w:tabs>
          <w:tab w:val="left" w:pos="567"/>
        </w:tabs>
        <w:rPr>
          <w:sz w:val="22"/>
          <w:szCs w:val="22"/>
        </w:rPr>
      </w:pPr>
      <w:proofErr w:type="spellStart"/>
      <w:r w:rsidRPr="00051FD3">
        <w:rPr>
          <w:sz w:val="22"/>
          <w:szCs w:val="22"/>
        </w:rPr>
        <w:t>Talpyklėje</w:t>
      </w:r>
      <w:proofErr w:type="spellEnd"/>
      <w:r w:rsidRPr="00051FD3">
        <w:rPr>
          <w:sz w:val="22"/>
          <w:szCs w:val="22"/>
        </w:rPr>
        <w:t xml:space="preserve"> yra </w:t>
      </w:r>
      <w:proofErr w:type="spellStart"/>
      <w:r w:rsidRPr="00051FD3">
        <w:rPr>
          <w:sz w:val="22"/>
          <w:szCs w:val="22"/>
        </w:rPr>
        <w:t>sausiklis</w:t>
      </w:r>
      <w:proofErr w:type="spellEnd"/>
      <w:r w:rsidRPr="00051FD3">
        <w:rPr>
          <w:sz w:val="22"/>
          <w:szCs w:val="22"/>
        </w:rPr>
        <w:t>, jo negalima valgyti.</w:t>
      </w:r>
    </w:p>
    <w:p w14:paraId="6C825C17" w14:textId="77777777" w:rsidR="007F39B7" w:rsidRPr="00051FD3" w:rsidRDefault="007F39B7" w:rsidP="007F39B7">
      <w:pPr>
        <w:tabs>
          <w:tab w:val="left" w:pos="567"/>
        </w:tabs>
        <w:rPr>
          <w:sz w:val="22"/>
          <w:szCs w:val="22"/>
        </w:rPr>
      </w:pPr>
    </w:p>
    <w:p w14:paraId="6013CE12" w14:textId="77777777" w:rsidR="007F39B7" w:rsidRPr="00051FD3" w:rsidRDefault="007F39B7" w:rsidP="007F39B7">
      <w:pPr>
        <w:tabs>
          <w:tab w:val="left" w:pos="567"/>
        </w:tabs>
        <w:rPr>
          <w:sz w:val="22"/>
          <w:szCs w:val="22"/>
        </w:rPr>
      </w:pPr>
    </w:p>
    <w:p w14:paraId="72D58225"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8.</w:t>
      </w:r>
      <w:r w:rsidRPr="00051FD3">
        <w:rPr>
          <w:b/>
          <w:sz w:val="22"/>
          <w:szCs w:val="22"/>
        </w:rPr>
        <w:tab/>
        <w:t>TINKAMUMO LAIKAS</w:t>
      </w:r>
    </w:p>
    <w:p w14:paraId="03EEBE14" w14:textId="77777777" w:rsidR="007F39B7" w:rsidRPr="00051FD3" w:rsidRDefault="007F39B7" w:rsidP="007F39B7">
      <w:pPr>
        <w:tabs>
          <w:tab w:val="left" w:pos="567"/>
        </w:tabs>
        <w:rPr>
          <w:sz w:val="22"/>
          <w:szCs w:val="22"/>
        </w:rPr>
      </w:pPr>
    </w:p>
    <w:p w14:paraId="78FEC9D2" w14:textId="77777777" w:rsidR="007F39B7" w:rsidRPr="00051FD3" w:rsidRDefault="007F39B7" w:rsidP="007F39B7">
      <w:pPr>
        <w:tabs>
          <w:tab w:val="left" w:pos="567"/>
        </w:tabs>
        <w:rPr>
          <w:sz w:val="22"/>
          <w:szCs w:val="22"/>
          <w:lang w:eastAsia="lt-LT"/>
        </w:rPr>
      </w:pPr>
      <w:r w:rsidRPr="00012DBE">
        <w:rPr>
          <w:sz w:val="22"/>
          <w:szCs w:val="22"/>
          <w:highlight w:val="lightGray"/>
        </w:rPr>
        <w:t>Tinka iki { mm /MMMM}</w:t>
      </w:r>
      <w:r w:rsidRPr="00051FD3">
        <w:rPr>
          <w:sz w:val="22"/>
          <w:szCs w:val="22"/>
          <w:lang w:eastAsia="lt-LT"/>
        </w:rPr>
        <w:t xml:space="preserve"> </w:t>
      </w:r>
    </w:p>
    <w:p w14:paraId="61918535" w14:textId="77777777" w:rsidR="00E175F0" w:rsidRPr="00051FD3" w:rsidRDefault="00E175F0" w:rsidP="007F39B7">
      <w:pPr>
        <w:tabs>
          <w:tab w:val="left" w:pos="567"/>
        </w:tabs>
        <w:rPr>
          <w:sz w:val="22"/>
          <w:szCs w:val="22"/>
          <w:lang w:eastAsia="lt-LT"/>
        </w:rPr>
      </w:pPr>
      <w:r w:rsidRPr="00051FD3">
        <w:rPr>
          <w:sz w:val="22"/>
          <w:szCs w:val="22"/>
          <w:lang w:eastAsia="lt-LT"/>
        </w:rPr>
        <w:t>EXP { mm /MMMM}</w:t>
      </w:r>
    </w:p>
    <w:p w14:paraId="26B02F47" w14:textId="77777777" w:rsidR="007F39B7" w:rsidRPr="00051FD3" w:rsidRDefault="007F39B7" w:rsidP="007F39B7">
      <w:pPr>
        <w:tabs>
          <w:tab w:val="left" w:pos="567"/>
        </w:tabs>
        <w:rPr>
          <w:sz w:val="22"/>
          <w:szCs w:val="22"/>
        </w:rPr>
      </w:pPr>
    </w:p>
    <w:p w14:paraId="50127548" w14:textId="77777777" w:rsidR="007F39B7" w:rsidRPr="00051FD3" w:rsidRDefault="007F39B7" w:rsidP="007F39B7">
      <w:pPr>
        <w:tabs>
          <w:tab w:val="left" w:pos="567"/>
        </w:tabs>
        <w:rPr>
          <w:sz w:val="22"/>
          <w:szCs w:val="22"/>
        </w:rPr>
      </w:pPr>
    </w:p>
    <w:p w14:paraId="6F2A37BA" w14:textId="77777777" w:rsidR="007F39B7" w:rsidRPr="00051FD3" w:rsidRDefault="007F39B7" w:rsidP="007F39B7">
      <w:pPr>
        <w:pBdr>
          <w:top w:val="single" w:sz="4" w:space="1" w:color="auto"/>
          <w:left w:val="single" w:sz="4" w:space="4" w:color="auto"/>
          <w:bottom w:val="single" w:sz="4" w:space="0" w:color="auto"/>
          <w:right w:val="single" w:sz="4" w:space="4" w:color="auto"/>
        </w:pBdr>
        <w:tabs>
          <w:tab w:val="left" w:pos="567"/>
        </w:tabs>
        <w:rPr>
          <w:b/>
          <w:sz w:val="22"/>
          <w:szCs w:val="22"/>
        </w:rPr>
      </w:pPr>
      <w:r w:rsidRPr="00051FD3">
        <w:rPr>
          <w:b/>
          <w:sz w:val="22"/>
          <w:szCs w:val="22"/>
        </w:rPr>
        <w:t>9.</w:t>
      </w:r>
      <w:r w:rsidRPr="00051FD3">
        <w:rPr>
          <w:b/>
          <w:sz w:val="22"/>
          <w:szCs w:val="22"/>
        </w:rPr>
        <w:tab/>
        <w:t>SPECIALIOS LAIKYMO SĄLYGOS</w:t>
      </w:r>
    </w:p>
    <w:p w14:paraId="41A8BBFA" w14:textId="77777777" w:rsidR="007F39B7" w:rsidRPr="00051FD3" w:rsidRDefault="007F39B7" w:rsidP="007F39B7">
      <w:pPr>
        <w:tabs>
          <w:tab w:val="left" w:pos="567"/>
        </w:tabs>
        <w:rPr>
          <w:sz w:val="22"/>
          <w:szCs w:val="22"/>
          <w:lang w:eastAsia="lt-LT"/>
        </w:rPr>
      </w:pPr>
    </w:p>
    <w:p w14:paraId="014044C2" w14:textId="77777777" w:rsidR="007F39B7" w:rsidRPr="00051FD3" w:rsidRDefault="007F39B7" w:rsidP="007F39B7">
      <w:pPr>
        <w:tabs>
          <w:tab w:val="left" w:pos="567"/>
        </w:tabs>
        <w:rPr>
          <w:sz w:val="22"/>
          <w:szCs w:val="22"/>
          <w:lang w:eastAsia="lt-LT"/>
        </w:rPr>
      </w:pPr>
    </w:p>
    <w:p w14:paraId="199A7F46"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lastRenderedPageBreak/>
        <w:t>10.</w:t>
      </w:r>
      <w:r w:rsidRPr="00051FD3">
        <w:rPr>
          <w:b/>
          <w:sz w:val="22"/>
          <w:szCs w:val="22"/>
        </w:rPr>
        <w:tab/>
        <w:t xml:space="preserve">SPECIALIOS ATSARGUMO PRIEMONĖS DĖL NESUVARTOTO </w:t>
      </w:r>
      <w:r w:rsidRPr="00051FD3">
        <w:rPr>
          <w:b/>
          <w:bCs/>
          <w:sz w:val="22"/>
          <w:szCs w:val="22"/>
        </w:rPr>
        <w:t xml:space="preserve">VAISTINIO PREPARATO AR JO ATLIEKŲ </w:t>
      </w:r>
      <w:r w:rsidRPr="00051FD3">
        <w:rPr>
          <w:b/>
          <w:sz w:val="22"/>
          <w:szCs w:val="22"/>
        </w:rPr>
        <w:t>TVARKYMO (JEI REIKIA)</w:t>
      </w:r>
    </w:p>
    <w:p w14:paraId="57116E21" w14:textId="77777777" w:rsidR="007F39B7" w:rsidRPr="00051FD3" w:rsidRDefault="007F39B7" w:rsidP="007F39B7">
      <w:pPr>
        <w:tabs>
          <w:tab w:val="left" w:pos="567"/>
        </w:tabs>
        <w:rPr>
          <w:sz w:val="22"/>
          <w:szCs w:val="22"/>
        </w:rPr>
      </w:pPr>
    </w:p>
    <w:p w14:paraId="52BADB31" w14:textId="77777777" w:rsidR="007F39B7" w:rsidRPr="00051FD3" w:rsidRDefault="007F39B7" w:rsidP="007F39B7">
      <w:pPr>
        <w:tabs>
          <w:tab w:val="left" w:pos="567"/>
        </w:tabs>
        <w:rPr>
          <w:sz w:val="22"/>
          <w:szCs w:val="22"/>
        </w:rPr>
      </w:pPr>
    </w:p>
    <w:p w14:paraId="6577B7DF"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11.</w:t>
      </w:r>
      <w:r w:rsidRPr="00051FD3">
        <w:rPr>
          <w:b/>
          <w:sz w:val="22"/>
          <w:szCs w:val="22"/>
        </w:rPr>
        <w:tab/>
      </w:r>
      <w:r w:rsidR="00E175F0" w:rsidRPr="00051FD3">
        <w:rPr>
          <w:b/>
          <w:sz w:val="22"/>
          <w:szCs w:val="22"/>
        </w:rPr>
        <w:t xml:space="preserve">REGISTRUOTOJO </w:t>
      </w:r>
      <w:r w:rsidRPr="00051FD3">
        <w:rPr>
          <w:b/>
          <w:sz w:val="22"/>
          <w:szCs w:val="22"/>
        </w:rPr>
        <w:t>PAVADINIMAS IR ADRESAS</w:t>
      </w:r>
    </w:p>
    <w:p w14:paraId="3CD5D462" w14:textId="77777777" w:rsidR="007F39B7" w:rsidRPr="00051FD3" w:rsidRDefault="007F39B7" w:rsidP="007F39B7">
      <w:pPr>
        <w:tabs>
          <w:tab w:val="left" w:pos="567"/>
        </w:tabs>
        <w:rPr>
          <w:sz w:val="22"/>
          <w:szCs w:val="22"/>
        </w:rPr>
      </w:pPr>
    </w:p>
    <w:p w14:paraId="72417C6E" w14:textId="77777777" w:rsidR="007F39B7" w:rsidRPr="00051FD3" w:rsidRDefault="007F39B7" w:rsidP="007F39B7">
      <w:pPr>
        <w:tabs>
          <w:tab w:val="left" w:pos="567"/>
        </w:tabs>
        <w:rPr>
          <w:sz w:val="22"/>
          <w:szCs w:val="22"/>
        </w:rPr>
      </w:pPr>
      <w:proofErr w:type="spellStart"/>
      <w:r w:rsidRPr="00051FD3">
        <w:rPr>
          <w:sz w:val="22"/>
          <w:szCs w:val="22"/>
        </w:rPr>
        <w:t>Teva</w:t>
      </w:r>
      <w:proofErr w:type="spellEnd"/>
      <w:r w:rsidRPr="00051FD3">
        <w:rPr>
          <w:sz w:val="22"/>
          <w:szCs w:val="22"/>
        </w:rPr>
        <w:t xml:space="preserve"> B.V.</w:t>
      </w:r>
    </w:p>
    <w:p w14:paraId="554F7714" w14:textId="77777777" w:rsidR="008E7E95" w:rsidRPr="00051FD3" w:rsidRDefault="00F42F88" w:rsidP="0099534A">
      <w:pPr>
        <w:tabs>
          <w:tab w:val="left" w:pos="567"/>
        </w:tabs>
        <w:rPr>
          <w:sz w:val="22"/>
          <w:szCs w:val="22"/>
        </w:rPr>
      </w:pPr>
      <w:proofErr w:type="spellStart"/>
      <w:r w:rsidRPr="00051FD3">
        <w:rPr>
          <w:sz w:val="22"/>
          <w:szCs w:val="22"/>
        </w:rPr>
        <w:t>Swensweg</w:t>
      </w:r>
      <w:proofErr w:type="spellEnd"/>
      <w:r w:rsidRPr="00051FD3">
        <w:rPr>
          <w:sz w:val="22"/>
          <w:szCs w:val="22"/>
        </w:rPr>
        <w:t xml:space="preserve"> 5</w:t>
      </w:r>
    </w:p>
    <w:p w14:paraId="6498227D" w14:textId="77777777" w:rsidR="008E7E95" w:rsidRPr="00051FD3" w:rsidRDefault="00F42F88" w:rsidP="0099534A">
      <w:pPr>
        <w:tabs>
          <w:tab w:val="left" w:pos="567"/>
        </w:tabs>
        <w:rPr>
          <w:sz w:val="22"/>
          <w:szCs w:val="22"/>
        </w:rPr>
      </w:pPr>
      <w:r w:rsidRPr="00051FD3">
        <w:rPr>
          <w:sz w:val="22"/>
          <w:szCs w:val="22"/>
        </w:rPr>
        <w:t xml:space="preserve">2031 GA </w:t>
      </w:r>
      <w:proofErr w:type="spellStart"/>
      <w:r w:rsidRPr="00051FD3">
        <w:rPr>
          <w:sz w:val="22"/>
          <w:szCs w:val="22"/>
        </w:rPr>
        <w:t>Haarlem</w:t>
      </w:r>
      <w:proofErr w:type="spellEnd"/>
    </w:p>
    <w:p w14:paraId="3B7008A7" w14:textId="77777777" w:rsidR="007F39B7" w:rsidRPr="00051FD3" w:rsidRDefault="007F39B7" w:rsidP="007F39B7">
      <w:pPr>
        <w:tabs>
          <w:tab w:val="left" w:pos="567"/>
        </w:tabs>
        <w:rPr>
          <w:sz w:val="22"/>
          <w:szCs w:val="22"/>
        </w:rPr>
      </w:pPr>
      <w:r w:rsidRPr="00051FD3">
        <w:rPr>
          <w:sz w:val="22"/>
          <w:szCs w:val="22"/>
        </w:rPr>
        <w:t>Nyderlandai</w:t>
      </w:r>
    </w:p>
    <w:p w14:paraId="5408B014" w14:textId="77777777" w:rsidR="007F39B7" w:rsidRPr="00051FD3" w:rsidRDefault="007F39B7" w:rsidP="007F39B7">
      <w:pPr>
        <w:tabs>
          <w:tab w:val="left" w:pos="567"/>
        </w:tabs>
        <w:rPr>
          <w:sz w:val="22"/>
          <w:szCs w:val="22"/>
        </w:rPr>
      </w:pPr>
    </w:p>
    <w:p w14:paraId="6C57DF0E" w14:textId="77777777" w:rsidR="007F39B7" w:rsidRPr="00051FD3" w:rsidRDefault="007F39B7" w:rsidP="007F39B7">
      <w:pPr>
        <w:tabs>
          <w:tab w:val="left" w:pos="567"/>
        </w:tabs>
        <w:rPr>
          <w:sz w:val="22"/>
          <w:szCs w:val="22"/>
        </w:rPr>
      </w:pPr>
    </w:p>
    <w:p w14:paraId="02151C98"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12.</w:t>
      </w:r>
      <w:r w:rsidRPr="00051FD3">
        <w:rPr>
          <w:b/>
          <w:sz w:val="22"/>
          <w:szCs w:val="22"/>
        </w:rPr>
        <w:tab/>
      </w:r>
      <w:r w:rsidR="00E175F0" w:rsidRPr="00051FD3">
        <w:rPr>
          <w:b/>
          <w:sz w:val="22"/>
          <w:szCs w:val="22"/>
        </w:rPr>
        <w:t>REGISTRACIJOS</w:t>
      </w:r>
      <w:r w:rsidRPr="00051FD3">
        <w:rPr>
          <w:b/>
          <w:sz w:val="22"/>
          <w:szCs w:val="22"/>
        </w:rPr>
        <w:t xml:space="preserve"> PAŽYMĖJIMO NUMERIS (-IAI)</w:t>
      </w:r>
    </w:p>
    <w:p w14:paraId="7EF6941C" w14:textId="77777777" w:rsidR="007F39B7" w:rsidRPr="00012DBE" w:rsidRDefault="007F39B7" w:rsidP="00401F7E">
      <w:pPr>
        <w:tabs>
          <w:tab w:val="left" w:pos="567"/>
        </w:tabs>
        <w:jc w:val="both"/>
        <w:rPr>
          <w:sz w:val="22"/>
          <w:szCs w:val="22"/>
        </w:rPr>
      </w:pPr>
    </w:p>
    <w:p w14:paraId="549CEC69" w14:textId="77777777" w:rsidR="00D4097E" w:rsidRPr="003A7BC8" w:rsidRDefault="00D4097E" w:rsidP="00D4097E">
      <w:pPr>
        <w:rPr>
          <w:sz w:val="22"/>
          <w:szCs w:val="22"/>
          <w:highlight w:val="lightGray"/>
        </w:rPr>
      </w:pPr>
      <w:r w:rsidRPr="003A7BC8">
        <w:rPr>
          <w:bCs/>
          <w:sz w:val="22"/>
          <w:szCs w:val="22"/>
        </w:rPr>
        <w:t xml:space="preserve">LT/1/14/3521/012 </w:t>
      </w:r>
      <w:r w:rsidRPr="003A7BC8">
        <w:rPr>
          <w:sz w:val="22"/>
          <w:szCs w:val="22"/>
          <w:highlight w:val="lightGray"/>
        </w:rPr>
        <w:t>– N30</w:t>
      </w:r>
    </w:p>
    <w:p w14:paraId="23265AD4" w14:textId="77777777" w:rsidR="00D4097E" w:rsidRPr="003A7BC8" w:rsidRDefault="00D4097E" w:rsidP="00D4097E">
      <w:pPr>
        <w:rPr>
          <w:sz w:val="22"/>
          <w:szCs w:val="22"/>
          <w:highlight w:val="lightGray"/>
        </w:rPr>
      </w:pPr>
      <w:r w:rsidRPr="003A7BC8">
        <w:rPr>
          <w:sz w:val="22"/>
          <w:szCs w:val="22"/>
          <w:highlight w:val="lightGray"/>
        </w:rPr>
        <w:t>LT/1/14/3521/013 – N90</w:t>
      </w:r>
    </w:p>
    <w:p w14:paraId="117732F6" w14:textId="77777777" w:rsidR="00D4097E" w:rsidRPr="003A7BC8" w:rsidRDefault="00D4097E" w:rsidP="00D4097E">
      <w:pPr>
        <w:rPr>
          <w:bCs/>
          <w:sz w:val="22"/>
          <w:szCs w:val="22"/>
        </w:rPr>
      </w:pPr>
      <w:r w:rsidRPr="003A7BC8">
        <w:rPr>
          <w:sz w:val="22"/>
          <w:szCs w:val="22"/>
          <w:highlight w:val="lightGray"/>
        </w:rPr>
        <w:t>LT/1/14/3521/014 – N250</w:t>
      </w:r>
    </w:p>
    <w:p w14:paraId="24EAC6D5" w14:textId="77777777" w:rsidR="007F39B7" w:rsidRPr="00051FD3" w:rsidRDefault="007F39B7" w:rsidP="007F39B7">
      <w:pPr>
        <w:tabs>
          <w:tab w:val="left" w:pos="567"/>
          <w:tab w:val="left" w:pos="3060"/>
        </w:tabs>
        <w:autoSpaceDE w:val="0"/>
        <w:autoSpaceDN w:val="0"/>
        <w:adjustRightInd w:val="0"/>
        <w:rPr>
          <w:sz w:val="22"/>
          <w:szCs w:val="22"/>
        </w:rPr>
      </w:pPr>
    </w:p>
    <w:p w14:paraId="5DDAAD72" w14:textId="77777777" w:rsidR="007F39B7" w:rsidRPr="00051FD3" w:rsidRDefault="007F39B7" w:rsidP="007F39B7">
      <w:pPr>
        <w:tabs>
          <w:tab w:val="left" w:pos="567"/>
        </w:tabs>
        <w:rPr>
          <w:sz w:val="22"/>
          <w:szCs w:val="22"/>
        </w:rPr>
      </w:pPr>
    </w:p>
    <w:p w14:paraId="293CE6FA"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13.</w:t>
      </w:r>
      <w:r w:rsidRPr="00051FD3">
        <w:rPr>
          <w:b/>
          <w:sz w:val="22"/>
          <w:szCs w:val="22"/>
        </w:rPr>
        <w:tab/>
        <w:t>SERIJOS NUMERIS</w:t>
      </w:r>
    </w:p>
    <w:p w14:paraId="2075C244" w14:textId="77777777" w:rsidR="007F39B7" w:rsidRPr="00051FD3" w:rsidRDefault="007F39B7" w:rsidP="007F39B7">
      <w:pPr>
        <w:tabs>
          <w:tab w:val="left" w:pos="567"/>
        </w:tabs>
        <w:rPr>
          <w:sz w:val="22"/>
          <w:szCs w:val="22"/>
        </w:rPr>
      </w:pPr>
    </w:p>
    <w:p w14:paraId="60AA5C14" w14:textId="77777777" w:rsidR="007F39B7" w:rsidRPr="00051FD3" w:rsidRDefault="007F39B7" w:rsidP="007F39B7">
      <w:pPr>
        <w:tabs>
          <w:tab w:val="left" w:pos="567"/>
        </w:tabs>
        <w:rPr>
          <w:sz w:val="22"/>
          <w:szCs w:val="22"/>
          <w:lang w:eastAsia="lt-LT"/>
        </w:rPr>
      </w:pPr>
      <w:r w:rsidRPr="00012DBE">
        <w:rPr>
          <w:sz w:val="22"/>
          <w:szCs w:val="22"/>
          <w:highlight w:val="lightGray"/>
        </w:rPr>
        <w:t>Serija {numeris}</w:t>
      </w:r>
    </w:p>
    <w:p w14:paraId="029B6002" w14:textId="77777777" w:rsidR="00432D68" w:rsidRPr="00051FD3" w:rsidRDefault="004B1807" w:rsidP="007F39B7">
      <w:pPr>
        <w:tabs>
          <w:tab w:val="left" w:pos="567"/>
        </w:tabs>
        <w:rPr>
          <w:sz w:val="22"/>
          <w:szCs w:val="22"/>
        </w:rPr>
      </w:pPr>
      <w:r w:rsidRPr="00051FD3">
        <w:rPr>
          <w:sz w:val="22"/>
          <w:szCs w:val="22"/>
          <w:lang w:eastAsia="lt-LT"/>
        </w:rPr>
        <w:t>Lot</w:t>
      </w:r>
      <w:r w:rsidR="00432D68" w:rsidRPr="00051FD3">
        <w:rPr>
          <w:sz w:val="22"/>
          <w:szCs w:val="22"/>
          <w:lang w:eastAsia="lt-LT"/>
        </w:rPr>
        <w:t xml:space="preserve"> {numeris}</w:t>
      </w:r>
    </w:p>
    <w:p w14:paraId="1DBEE00E" w14:textId="77777777" w:rsidR="007F39B7" w:rsidRPr="00051FD3" w:rsidRDefault="007F39B7" w:rsidP="007F39B7">
      <w:pPr>
        <w:tabs>
          <w:tab w:val="left" w:pos="567"/>
        </w:tabs>
        <w:rPr>
          <w:sz w:val="22"/>
          <w:szCs w:val="22"/>
        </w:rPr>
      </w:pPr>
    </w:p>
    <w:p w14:paraId="3EA63CD3" w14:textId="77777777" w:rsidR="005F7154" w:rsidRPr="00051FD3" w:rsidRDefault="005F7154" w:rsidP="007F39B7">
      <w:pPr>
        <w:tabs>
          <w:tab w:val="left" w:pos="567"/>
        </w:tabs>
        <w:rPr>
          <w:sz w:val="22"/>
          <w:szCs w:val="22"/>
        </w:rPr>
      </w:pPr>
    </w:p>
    <w:p w14:paraId="0A783CED"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14.</w:t>
      </w:r>
      <w:r w:rsidRPr="00051FD3">
        <w:rPr>
          <w:b/>
          <w:sz w:val="22"/>
          <w:szCs w:val="22"/>
        </w:rPr>
        <w:tab/>
        <w:t>PARDAVIMO (IŠDAVIMO) TVARKA</w:t>
      </w:r>
    </w:p>
    <w:p w14:paraId="41C61482" w14:textId="77777777" w:rsidR="007F39B7" w:rsidRPr="00051FD3" w:rsidRDefault="007F39B7" w:rsidP="007F39B7">
      <w:pPr>
        <w:tabs>
          <w:tab w:val="left" w:pos="567"/>
        </w:tabs>
        <w:rPr>
          <w:sz w:val="22"/>
          <w:szCs w:val="22"/>
        </w:rPr>
      </w:pPr>
    </w:p>
    <w:p w14:paraId="670D92D8" w14:textId="77777777" w:rsidR="007F39B7" w:rsidRPr="00051FD3" w:rsidRDefault="007F39B7" w:rsidP="007F39B7">
      <w:pPr>
        <w:tabs>
          <w:tab w:val="left" w:pos="567"/>
        </w:tabs>
        <w:rPr>
          <w:sz w:val="22"/>
          <w:szCs w:val="22"/>
        </w:rPr>
      </w:pPr>
      <w:r w:rsidRPr="00051FD3">
        <w:rPr>
          <w:sz w:val="22"/>
          <w:szCs w:val="22"/>
        </w:rPr>
        <w:t>Receptinis vaist</w:t>
      </w:r>
      <w:r w:rsidR="00432D68" w:rsidRPr="00051FD3">
        <w:rPr>
          <w:sz w:val="22"/>
          <w:szCs w:val="22"/>
        </w:rPr>
        <w:t>as</w:t>
      </w:r>
    </w:p>
    <w:p w14:paraId="0EC75D96" w14:textId="77777777" w:rsidR="007F39B7" w:rsidRPr="00051FD3" w:rsidRDefault="007F39B7" w:rsidP="007F39B7">
      <w:pPr>
        <w:tabs>
          <w:tab w:val="left" w:pos="567"/>
        </w:tabs>
        <w:rPr>
          <w:sz w:val="22"/>
          <w:szCs w:val="22"/>
        </w:rPr>
      </w:pPr>
    </w:p>
    <w:p w14:paraId="115DF34D" w14:textId="77777777" w:rsidR="007F39B7" w:rsidRPr="00051FD3" w:rsidRDefault="007F39B7" w:rsidP="007F39B7">
      <w:pPr>
        <w:tabs>
          <w:tab w:val="left" w:pos="567"/>
        </w:tabs>
        <w:rPr>
          <w:sz w:val="22"/>
          <w:szCs w:val="22"/>
        </w:rPr>
      </w:pPr>
    </w:p>
    <w:p w14:paraId="5C4B801A"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15.</w:t>
      </w:r>
      <w:r w:rsidRPr="00051FD3">
        <w:rPr>
          <w:b/>
          <w:sz w:val="22"/>
          <w:szCs w:val="22"/>
        </w:rPr>
        <w:tab/>
        <w:t>VARTOJIMO INSTRUKCIJA</w:t>
      </w:r>
    </w:p>
    <w:p w14:paraId="577E48F3" w14:textId="77777777" w:rsidR="007F39B7" w:rsidRPr="00051FD3" w:rsidRDefault="007F39B7" w:rsidP="007F39B7">
      <w:pPr>
        <w:tabs>
          <w:tab w:val="left" w:pos="567"/>
        </w:tabs>
        <w:rPr>
          <w:sz w:val="22"/>
          <w:szCs w:val="22"/>
        </w:rPr>
      </w:pPr>
    </w:p>
    <w:p w14:paraId="22C17483" w14:textId="77777777" w:rsidR="007F39B7" w:rsidRPr="00051FD3" w:rsidRDefault="007F39B7" w:rsidP="007F39B7">
      <w:pPr>
        <w:tabs>
          <w:tab w:val="left" w:pos="567"/>
        </w:tabs>
        <w:rPr>
          <w:sz w:val="22"/>
          <w:szCs w:val="22"/>
        </w:rPr>
      </w:pPr>
    </w:p>
    <w:p w14:paraId="729F7E15"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16.</w:t>
      </w:r>
      <w:r w:rsidRPr="00051FD3">
        <w:rPr>
          <w:b/>
          <w:sz w:val="22"/>
          <w:szCs w:val="22"/>
        </w:rPr>
        <w:tab/>
        <w:t>INFORMACIJA BRAILIO RAŠTU</w:t>
      </w:r>
    </w:p>
    <w:p w14:paraId="6BB4EA2E" w14:textId="77777777" w:rsidR="007F39B7" w:rsidRPr="00051FD3" w:rsidRDefault="007F39B7" w:rsidP="007F39B7">
      <w:pPr>
        <w:tabs>
          <w:tab w:val="left" w:pos="567"/>
        </w:tabs>
        <w:rPr>
          <w:sz w:val="22"/>
          <w:szCs w:val="22"/>
        </w:rPr>
      </w:pPr>
    </w:p>
    <w:p w14:paraId="1688DEF9" w14:textId="77777777" w:rsidR="007F39B7" w:rsidRPr="00051FD3" w:rsidRDefault="007F39B7" w:rsidP="007F39B7">
      <w:pPr>
        <w:tabs>
          <w:tab w:val="left" w:pos="567"/>
          <w:tab w:val="left" w:pos="3060"/>
        </w:tabs>
        <w:autoSpaceDE w:val="0"/>
        <w:autoSpaceDN w:val="0"/>
        <w:adjustRightInd w:val="0"/>
        <w:rPr>
          <w:sz w:val="22"/>
          <w:szCs w:val="22"/>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w:t>
      </w:r>
    </w:p>
    <w:p w14:paraId="1BDEBE77" w14:textId="77777777" w:rsidR="00432D68" w:rsidRPr="00012DBE" w:rsidRDefault="00432D68" w:rsidP="00401F7E">
      <w:pPr>
        <w:tabs>
          <w:tab w:val="left" w:pos="567"/>
        </w:tabs>
        <w:rPr>
          <w:sz w:val="22"/>
          <w:szCs w:val="22"/>
          <w:shd w:val="clear" w:color="auto" w:fill="CCCCCC"/>
        </w:rPr>
      </w:pPr>
    </w:p>
    <w:p w14:paraId="4B3DA40F" w14:textId="77777777" w:rsidR="00432D68" w:rsidRPr="00051FD3" w:rsidRDefault="00432D68" w:rsidP="00432D68">
      <w:pPr>
        <w:tabs>
          <w:tab w:val="left" w:pos="567"/>
        </w:tabs>
        <w:rPr>
          <w:noProof/>
          <w:snapToGrid w:val="0"/>
          <w:sz w:val="22"/>
          <w:szCs w:val="22"/>
          <w:shd w:val="clear" w:color="auto" w:fill="CCCCCC"/>
        </w:rPr>
      </w:pPr>
    </w:p>
    <w:p w14:paraId="16CBC292" w14:textId="77777777" w:rsidR="00432D68" w:rsidRPr="00012DBE" w:rsidRDefault="00432D68" w:rsidP="00432D68">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sidRPr="00012DBE">
        <w:rPr>
          <w:b/>
          <w:noProof/>
          <w:snapToGrid w:val="0"/>
          <w:sz w:val="22"/>
          <w:szCs w:val="22"/>
        </w:rPr>
        <w:t>17.</w:t>
      </w:r>
      <w:r w:rsidRPr="00012DBE">
        <w:rPr>
          <w:b/>
          <w:noProof/>
          <w:snapToGrid w:val="0"/>
          <w:sz w:val="22"/>
          <w:szCs w:val="22"/>
        </w:rPr>
        <w:tab/>
        <w:t>UNIKALUS IDENTIFIKATORIUS – 2D BRŪKŠNINIS KODAS</w:t>
      </w:r>
    </w:p>
    <w:p w14:paraId="21F41CD4" w14:textId="77777777" w:rsidR="00432D68" w:rsidRPr="003A7BC8" w:rsidRDefault="00432D68" w:rsidP="00432D68">
      <w:pPr>
        <w:tabs>
          <w:tab w:val="left" w:pos="567"/>
        </w:tabs>
        <w:rPr>
          <w:noProof/>
          <w:snapToGrid w:val="0"/>
          <w:sz w:val="22"/>
          <w:szCs w:val="22"/>
        </w:rPr>
      </w:pPr>
    </w:p>
    <w:p w14:paraId="2D02B6ED" w14:textId="77777777" w:rsidR="00432D68" w:rsidRPr="00051FD3" w:rsidRDefault="00432D68" w:rsidP="00432D68">
      <w:pPr>
        <w:tabs>
          <w:tab w:val="left" w:pos="567"/>
        </w:tabs>
        <w:rPr>
          <w:noProof/>
          <w:snapToGrid w:val="0"/>
          <w:sz w:val="22"/>
          <w:szCs w:val="22"/>
          <w:shd w:val="clear" w:color="auto" w:fill="CCCCCC"/>
        </w:rPr>
      </w:pPr>
      <w:r w:rsidRPr="003A7BC8">
        <w:rPr>
          <w:sz w:val="22"/>
          <w:szCs w:val="22"/>
          <w:highlight w:val="lightGray"/>
        </w:rPr>
        <w:t>2D brūkšninis kodas su nurodytu unikaliu identifikatoriumi.</w:t>
      </w:r>
    </w:p>
    <w:p w14:paraId="5C3067A1" w14:textId="77777777" w:rsidR="00432D68" w:rsidRPr="00051FD3" w:rsidRDefault="00432D68" w:rsidP="00432D68">
      <w:pPr>
        <w:tabs>
          <w:tab w:val="left" w:pos="567"/>
        </w:tabs>
        <w:rPr>
          <w:noProof/>
          <w:snapToGrid w:val="0"/>
          <w:vanish/>
          <w:sz w:val="22"/>
          <w:szCs w:val="22"/>
        </w:rPr>
      </w:pPr>
    </w:p>
    <w:p w14:paraId="48047AE8" w14:textId="77777777" w:rsidR="00432D68" w:rsidRPr="00012DBE" w:rsidRDefault="00432D68" w:rsidP="00432D68">
      <w:pPr>
        <w:tabs>
          <w:tab w:val="left" w:pos="567"/>
        </w:tabs>
        <w:rPr>
          <w:noProof/>
          <w:snapToGrid w:val="0"/>
          <w:sz w:val="22"/>
          <w:szCs w:val="22"/>
        </w:rPr>
      </w:pPr>
    </w:p>
    <w:p w14:paraId="6EEBF3F0" w14:textId="77777777" w:rsidR="00432D68" w:rsidRPr="003A7BC8" w:rsidRDefault="00432D68" w:rsidP="00432D68">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sidRPr="003A7BC8">
        <w:rPr>
          <w:b/>
          <w:noProof/>
          <w:snapToGrid w:val="0"/>
          <w:sz w:val="22"/>
          <w:szCs w:val="22"/>
        </w:rPr>
        <w:t>18.</w:t>
      </w:r>
      <w:r w:rsidRPr="003A7BC8">
        <w:rPr>
          <w:b/>
          <w:noProof/>
          <w:snapToGrid w:val="0"/>
          <w:sz w:val="22"/>
          <w:szCs w:val="22"/>
        </w:rPr>
        <w:tab/>
        <w:t>UNIKALUS IDENTIFIKATORIUS – ŽMONĖMS SUPRANTAMI DUOMENYS</w:t>
      </w:r>
    </w:p>
    <w:p w14:paraId="6CFA4056" w14:textId="77777777" w:rsidR="00432D68" w:rsidRPr="003A7BC8" w:rsidRDefault="00432D68" w:rsidP="00432D68">
      <w:pPr>
        <w:tabs>
          <w:tab w:val="left" w:pos="567"/>
        </w:tabs>
        <w:rPr>
          <w:noProof/>
          <w:snapToGrid w:val="0"/>
          <w:sz w:val="22"/>
          <w:szCs w:val="22"/>
        </w:rPr>
      </w:pPr>
    </w:p>
    <w:p w14:paraId="578310B6" w14:textId="77777777" w:rsidR="00432D68" w:rsidRPr="00051FD3" w:rsidRDefault="00432D68" w:rsidP="00432D68">
      <w:pPr>
        <w:tabs>
          <w:tab w:val="left" w:pos="567"/>
        </w:tabs>
        <w:rPr>
          <w:snapToGrid w:val="0"/>
          <w:sz w:val="22"/>
          <w:szCs w:val="22"/>
        </w:rPr>
      </w:pPr>
      <w:r w:rsidRPr="003A7BC8">
        <w:rPr>
          <w:snapToGrid w:val="0"/>
          <w:sz w:val="22"/>
          <w:szCs w:val="22"/>
        </w:rPr>
        <w:t xml:space="preserve">PC: {numeris} </w:t>
      </w:r>
    </w:p>
    <w:p w14:paraId="5A24FE7E" w14:textId="77777777" w:rsidR="00432D68" w:rsidRPr="00012DBE" w:rsidRDefault="00432D68" w:rsidP="00432D68">
      <w:pPr>
        <w:tabs>
          <w:tab w:val="left" w:pos="567"/>
        </w:tabs>
        <w:rPr>
          <w:snapToGrid w:val="0"/>
          <w:sz w:val="22"/>
          <w:szCs w:val="22"/>
        </w:rPr>
      </w:pPr>
      <w:r w:rsidRPr="00012DBE">
        <w:rPr>
          <w:snapToGrid w:val="0"/>
          <w:sz w:val="22"/>
          <w:szCs w:val="22"/>
        </w:rPr>
        <w:t xml:space="preserve">SN: {numeris} </w:t>
      </w:r>
    </w:p>
    <w:p w14:paraId="58440296" w14:textId="77777777" w:rsidR="007F39B7" w:rsidRPr="00051FD3" w:rsidRDefault="00432D68" w:rsidP="00432D68">
      <w:pPr>
        <w:rPr>
          <w:sz w:val="22"/>
          <w:szCs w:val="22"/>
        </w:rPr>
      </w:pPr>
      <w:r w:rsidRPr="003A7BC8">
        <w:rPr>
          <w:sz w:val="22"/>
          <w:szCs w:val="22"/>
          <w:highlight w:val="lightGray"/>
        </w:rPr>
        <w:t>NN: {numeris}</w:t>
      </w:r>
    </w:p>
    <w:p w14:paraId="44241407" w14:textId="77777777" w:rsidR="007F39B7" w:rsidRPr="00051FD3" w:rsidRDefault="007F39B7" w:rsidP="007F39B7">
      <w:pPr>
        <w:rPr>
          <w:noProof/>
          <w:sz w:val="22"/>
          <w:szCs w:val="22"/>
        </w:rPr>
      </w:pPr>
      <w:r w:rsidRPr="00051FD3">
        <w:rPr>
          <w:sz w:val="22"/>
          <w:szCs w:val="22"/>
        </w:rPr>
        <w:br w:type="page"/>
      </w:r>
    </w:p>
    <w:p w14:paraId="37211AB9"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r w:rsidRPr="00051FD3">
        <w:rPr>
          <w:b/>
          <w:sz w:val="22"/>
          <w:szCs w:val="22"/>
        </w:rPr>
        <w:lastRenderedPageBreak/>
        <w:t>INFORMACIJA ANT VIDINĖS PAKUOTĖS</w:t>
      </w:r>
    </w:p>
    <w:p w14:paraId="0C0AFE4E" w14:textId="77777777" w:rsidR="007F39B7" w:rsidRPr="00051FD3" w:rsidRDefault="007F39B7" w:rsidP="007F39B7">
      <w:pPr>
        <w:pBdr>
          <w:top w:val="single" w:sz="4" w:space="1" w:color="auto"/>
          <w:left w:val="single" w:sz="4" w:space="4" w:color="auto"/>
          <w:bottom w:val="single" w:sz="4" w:space="1" w:color="auto"/>
          <w:right w:val="single" w:sz="4" w:space="4" w:color="auto"/>
        </w:pBdr>
        <w:rPr>
          <w:b/>
          <w:sz w:val="22"/>
          <w:szCs w:val="22"/>
        </w:rPr>
      </w:pPr>
    </w:p>
    <w:p w14:paraId="1CCABAAC" w14:textId="77777777" w:rsidR="007F39B7" w:rsidRPr="00051FD3" w:rsidRDefault="007F39B7" w:rsidP="007F39B7">
      <w:pPr>
        <w:pBdr>
          <w:top w:val="single" w:sz="4" w:space="1" w:color="auto"/>
          <w:left w:val="single" w:sz="4" w:space="4" w:color="auto"/>
          <w:bottom w:val="single" w:sz="4" w:space="1" w:color="auto"/>
          <w:right w:val="single" w:sz="4" w:space="4" w:color="auto"/>
        </w:pBdr>
        <w:rPr>
          <w:sz w:val="22"/>
          <w:szCs w:val="22"/>
        </w:rPr>
      </w:pPr>
      <w:r w:rsidRPr="00051FD3">
        <w:rPr>
          <w:b/>
          <w:sz w:val="22"/>
          <w:szCs w:val="22"/>
        </w:rPr>
        <w:t>DTPE TABLEČIŲ TALPYKLĖS ETIKETĖ</w:t>
      </w:r>
    </w:p>
    <w:p w14:paraId="28682523" w14:textId="77777777" w:rsidR="007F39B7" w:rsidRPr="00051FD3" w:rsidRDefault="007F39B7" w:rsidP="007F39B7">
      <w:pPr>
        <w:rPr>
          <w:sz w:val="22"/>
          <w:szCs w:val="22"/>
        </w:rPr>
      </w:pPr>
    </w:p>
    <w:p w14:paraId="3E658296" w14:textId="77777777" w:rsidR="007F39B7" w:rsidRPr="00051FD3" w:rsidRDefault="007F39B7" w:rsidP="007F39B7">
      <w:pPr>
        <w:rPr>
          <w:sz w:val="22"/>
          <w:szCs w:val="22"/>
        </w:rPr>
      </w:pPr>
    </w:p>
    <w:p w14:paraId="574F8A49"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w:t>
      </w:r>
      <w:r w:rsidRPr="00051FD3">
        <w:rPr>
          <w:b/>
          <w:sz w:val="22"/>
          <w:szCs w:val="22"/>
        </w:rPr>
        <w:tab/>
        <w:t>VAISTINIO PREPARATO PAVADINIMAS</w:t>
      </w:r>
    </w:p>
    <w:p w14:paraId="2178EB89" w14:textId="77777777" w:rsidR="007F39B7" w:rsidRPr="00051FD3" w:rsidRDefault="007F39B7" w:rsidP="007F39B7">
      <w:pPr>
        <w:tabs>
          <w:tab w:val="left" w:pos="567"/>
          <w:tab w:val="left" w:pos="3060"/>
        </w:tabs>
        <w:autoSpaceDE w:val="0"/>
        <w:autoSpaceDN w:val="0"/>
        <w:adjustRightInd w:val="0"/>
        <w:rPr>
          <w:sz w:val="22"/>
          <w:szCs w:val="22"/>
        </w:rPr>
      </w:pPr>
    </w:p>
    <w:p w14:paraId="36F0B884" w14:textId="77777777" w:rsidR="007F39B7" w:rsidRPr="00051FD3" w:rsidRDefault="007F39B7" w:rsidP="007F39B7">
      <w:pPr>
        <w:tabs>
          <w:tab w:val="left" w:pos="567"/>
          <w:tab w:val="left" w:pos="3060"/>
        </w:tabs>
        <w:autoSpaceDE w:val="0"/>
        <w:autoSpaceDN w:val="0"/>
        <w:adjustRightInd w:val="0"/>
        <w:rPr>
          <w:sz w:val="22"/>
          <w:szCs w:val="22"/>
        </w:rPr>
      </w:pPr>
      <w:proofErr w:type="spellStart"/>
      <w:r w:rsidRPr="00051FD3">
        <w:rPr>
          <w:sz w:val="22"/>
          <w:szCs w:val="22"/>
        </w:rPr>
        <w:t>Telmisartan</w:t>
      </w:r>
      <w:proofErr w:type="spellEnd"/>
      <w:r w:rsidRPr="00051FD3">
        <w:rPr>
          <w:sz w:val="22"/>
          <w:szCs w:val="22"/>
        </w:rPr>
        <w:t>/</w:t>
      </w:r>
      <w:proofErr w:type="spellStart"/>
      <w:r w:rsidRPr="00051FD3">
        <w:rPr>
          <w:sz w:val="22"/>
          <w:szCs w:val="22"/>
        </w:rPr>
        <w:t>Hydrochlorothiazide</w:t>
      </w:r>
      <w:proofErr w:type="spellEnd"/>
      <w:r w:rsidRPr="00051FD3">
        <w:rPr>
          <w:sz w:val="22"/>
          <w:szCs w:val="22"/>
        </w:rPr>
        <w:t xml:space="preserve"> </w:t>
      </w:r>
      <w:proofErr w:type="spellStart"/>
      <w:r w:rsidRPr="00051FD3">
        <w:rPr>
          <w:sz w:val="22"/>
          <w:szCs w:val="22"/>
        </w:rPr>
        <w:t>Teva</w:t>
      </w:r>
      <w:proofErr w:type="spellEnd"/>
      <w:r w:rsidRPr="00051FD3">
        <w:rPr>
          <w:sz w:val="22"/>
          <w:szCs w:val="22"/>
        </w:rPr>
        <w:t xml:space="preserve"> Pharma 80 mg/12,5 mg tabletės</w:t>
      </w:r>
    </w:p>
    <w:p w14:paraId="4BE3804F" w14:textId="77777777" w:rsidR="00750BC7" w:rsidRPr="00051FD3" w:rsidRDefault="00750BC7" w:rsidP="007F39B7">
      <w:pPr>
        <w:numPr>
          <w:ilvl w:val="12"/>
          <w:numId w:val="0"/>
        </w:numPr>
        <w:tabs>
          <w:tab w:val="left" w:pos="567"/>
        </w:tabs>
        <w:rPr>
          <w:sz w:val="22"/>
          <w:szCs w:val="22"/>
        </w:rPr>
      </w:pPr>
    </w:p>
    <w:p w14:paraId="71BE472A" w14:textId="77777777" w:rsidR="007F39B7" w:rsidRPr="00051FD3" w:rsidRDefault="007F39B7" w:rsidP="007F39B7">
      <w:pPr>
        <w:numPr>
          <w:ilvl w:val="12"/>
          <w:numId w:val="0"/>
        </w:numPr>
        <w:tabs>
          <w:tab w:val="left" w:pos="567"/>
        </w:tabs>
        <w:rPr>
          <w:sz w:val="22"/>
          <w:szCs w:val="22"/>
        </w:rPr>
      </w:pPr>
      <w:proofErr w:type="spellStart"/>
      <w:r w:rsidRPr="00051FD3">
        <w:rPr>
          <w:sz w:val="22"/>
          <w:szCs w:val="22"/>
        </w:rPr>
        <w:t>Telmisartanum</w:t>
      </w:r>
      <w:proofErr w:type="spellEnd"/>
      <w:r w:rsidRPr="00051FD3">
        <w:rPr>
          <w:sz w:val="22"/>
          <w:szCs w:val="22"/>
        </w:rPr>
        <w:t>/</w:t>
      </w:r>
      <w:proofErr w:type="spellStart"/>
      <w:r w:rsidRPr="00051FD3">
        <w:rPr>
          <w:color w:val="000000"/>
          <w:sz w:val="22"/>
          <w:szCs w:val="22"/>
        </w:rPr>
        <w:t>Hydrochlorothiazidum</w:t>
      </w:r>
      <w:proofErr w:type="spellEnd"/>
    </w:p>
    <w:p w14:paraId="2BBD08C0" w14:textId="77777777" w:rsidR="007F39B7" w:rsidRPr="00051FD3" w:rsidRDefault="007F39B7" w:rsidP="007F39B7">
      <w:pPr>
        <w:tabs>
          <w:tab w:val="left" w:pos="567"/>
        </w:tabs>
        <w:rPr>
          <w:sz w:val="22"/>
          <w:szCs w:val="22"/>
        </w:rPr>
      </w:pPr>
    </w:p>
    <w:p w14:paraId="0E057636" w14:textId="77777777" w:rsidR="007F39B7" w:rsidRPr="00051FD3" w:rsidRDefault="007F39B7" w:rsidP="007F39B7">
      <w:pPr>
        <w:tabs>
          <w:tab w:val="left" w:pos="567"/>
        </w:tabs>
        <w:rPr>
          <w:sz w:val="22"/>
          <w:szCs w:val="22"/>
        </w:rPr>
      </w:pPr>
    </w:p>
    <w:p w14:paraId="02949B89"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2.</w:t>
      </w:r>
      <w:r w:rsidRPr="00051FD3">
        <w:rPr>
          <w:b/>
          <w:sz w:val="22"/>
          <w:szCs w:val="22"/>
        </w:rPr>
        <w:tab/>
        <w:t>VEIKLIOJI (-IOS) MEDŽIAGA (-OS) IR JOS (-Ų) KIEKIS (-IAI)</w:t>
      </w:r>
    </w:p>
    <w:p w14:paraId="1A1F86CD" w14:textId="77777777" w:rsidR="007F39B7" w:rsidRPr="00051FD3" w:rsidRDefault="007F39B7" w:rsidP="007F39B7">
      <w:pPr>
        <w:tabs>
          <w:tab w:val="left" w:pos="567"/>
        </w:tabs>
        <w:rPr>
          <w:sz w:val="22"/>
          <w:szCs w:val="22"/>
        </w:rPr>
      </w:pPr>
    </w:p>
    <w:p w14:paraId="46832A83" w14:textId="77777777" w:rsidR="007F39B7" w:rsidRPr="00051FD3" w:rsidRDefault="007F39B7" w:rsidP="007F39B7">
      <w:pPr>
        <w:tabs>
          <w:tab w:val="left" w:pos="567"/>
          <w:tab w:val="left" w:pos="3060"/>
        </w:tabs>
        <w:autoSpaceDE w:val="0"/>
        <w:autoSpaceDN w:val="0"/>
        <w:adjustRightInd w:val="0"/>
        <w:rPr>
          <w:sz w:val="22"/>
          <w:szCs w:val="22"/>
        </w:rPr>
      </w:pPr>
      <w:r w:rsidRPr="00051FD3">
        <w:rPr>
          <w:rFonts w:eastAsia="TimesNewRoman"/>
          <w:sz w:val="22"/>
          <w:szCs w:val="22"/>
          <w:lang w:eastAsia="lt-LT"/>
        </w:rPr>
        <w:t xml:space="preserve">Kiekvienoje tabletėje yra 80 mg </w:t>
      </w:r>
      <w:proofErr w:type="spellStart"/>
      <w:r w:rsidRPr="00051FD3">
        <w:rPr>
          <w:rFonts w:eastAsia="TimesNewRoman"/>
          <w:sz w:val="22"/>
          <w:szCs w:val="22"/>
          <w:lang w:eastAsia="lt-LT"/>
        </w:rPr>
        <w:t>telmisartano</w:t>
      </w:r>
      <w:proofErr w:type="spellEnd"/>
      <w:r w:rsidRPr="00051FD3">
        <w:rPr>
          <w:rFonts w:eastAsia="TimesNewRoman"/>
          <w:sz w:val="22"/>
          <w:szCs w:val="22"/>
          <w:lang w:eastAsia="lt-LT"/>
        </w:rPr>
        <w:t xml:space="preserve"> ir 12,5 mg </w:t>
      </w:r>
      <w:proofErr w:type="spellStart"/>
      <w:r w:rsidRPr="00051FD3">
        <w:rPr>
          <w:rFonts w:eastAsia="TimesNewRoman"/>
          <w:sz w:val="22"/>
          <w:szCs w:val="22"/>
          <w:lang w:eastAsia="lt-LT"/>
        </w:rPr>
        <w:t>hidrochlorotiazido</w:t>
      </w:r>
      <w:proofErr w:type="spellEnd"/>
      <w:r w:rsidRPr="00051FD3">
        <w:rPr>
          <w:rFonts w:eastAsia="TimesNewRoman"/>
          <w:sz w:val="22"/>
          <w:szCs w:val="22"/>
          <w:lang w:eastAsia="lt-LT"/>
        </w:rPr>
        <w:t>.</w:t>
      </w:r>
    </w:p>
    <w:p w14:paraId="3102AB5F" w14:textId="77777777" w:rsidR="007F39B7" w:rsidRPr="00051FD3" w:rsidRDefault="007F39B7" w:rsidP="007F39B7">
      <w:pPr>
        <w:tabs>
          <w:tab w:val="left" w:pos="567"/>
        </w:tabs>
        <w:rPr>
          <w:sz w:val="22"/>
          <w:szCs w:val="22"/>
        </w:rPr>
      </w:pPr>
    </w:p>
    <w:p w14:paraId="4E7535CD" w14:textId="77777777" w:rsidR="007F39B7" w:rsidRPr="00051FD3" w:rsidRDefault="007F39B7" w:rsidP="007F39B7">
      <w:pPr>
        <w:tabs>
          <w:tab w:val="left" w:pos="567"/>
        </w:tabs>
        <w:rPr>
          <w:sz w:val="22"/>
          <w:szCs w:val="22"/>
        </w:rPr>
      </w:pPr>
    </w:p>
    <w:p w14:paraId="019DCE98"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3.</w:t>
      </w:r>
      <w:r w:rsidRPr="00051FD3">
        <w:rPr>
          <w:b/>
          <w:sz w:val="22"/>
          <w:szCs w:val="22"/>
        </w:rPr>
        <w:tab/>
        <w:t>PAGALBINIŲ MEDŽIAGŲ SĄRAŠAS</w:t>
      </w:r>
    </w:p>
    <w:p w14:paraId="1E0B5DE2" w14:textId="77777777" w:rsidR="007F39B7" w:rsidRPr="00051FD3" w:rsidRDefault="007F39B7" w:rsidP="007F39B7">
      <w:pPr>
        <w:tabs>
          <w:tab w:val="left" w:pos="567"/>
        </w:tabs>
        <w:rPr>
          <w:noProof/>
          <w:sz w:val="22"/>
          <w:szCs w:val="22"/>
        </w:rPr>
      </w:pPr>
    </w:p>
    <w:p w14:paraId="351D7794" w14:textId="77777777" w:rsidR="007F39B7" w:rsidRPr="00051FD3" w:rsidRDefault="007F39B7" w:rsidP="007F39B7">
      <w:pPr>
        <w:tabs>
          <w:tab w:val="left" w:pos="567"/>
        </w:tabs>
        <w:rPr>
          <w:sz w:val="22"/>
          <w:szCs w:val="22"/>
        </w:rPr>
      </w:pPr>
    </w:p>
    <w:p w14:paraId="46812AE4"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4.</w:t>
      </w:r>
      <w:r w:rsidRPr="00051FD3">
        <w:rPr>
          <w:b/>
          <w:sz w:val="22"/>
          <w:szCs w:val="22"/>
        </w:rPr>
        <w:tab/>
        <w:t>FARMACINĖ FORMA IR KIEKIS PAKUOTĖJE</w:t>
      </w:r>
    </w:p>
    <w:p w14:paraId="64573EE9" w14:textId="77777777" w:rsidR="007F39B7" w:rsidRPr="00051FD3" w:rsidRDefault="007F39B7" w:rsidP="007F39B7">
      <w:pPr>
        <w:tabs>
          <w:tab w:val="left" w:pos="567"/>
        </w:tabs>
        <w:rPr>
          <w:sz w:val="22"/>
          <w:szCs w:val="22"/>
          <w:lang w:eastAsia="lt-LT"/>
        </w:rPr>
      </w:pPr>
    </w:p>
    <w:p w14:paraId="02155D25" w14:textId="77777777" w:rsidR="007F39B7" w:rsidRPr="00051FD3" w:rsidRDefault="007F39B7" w:rsidP="007F39B7">
      <w:pPr>
        <w:tabs>
          <w:tab w:val="left" w:pos="567"/>
        </w:tabs>
        <w:rPr>
          <w:sz w:val="22"/>
          <w:szCs w:val="22"/>
          <w:lang w:eastAsia="lt-LT"/>
        </w:rPr>
      </w:pPr>
      <w:r w:rsidRPr="00051FD3">
        <w:rPr>
          <w:sz w:val="22"/>
          <w:szCs w:val="22"/>
          <w:lang w:eastAsia="lt-LT"/>
        </w:rPr>
        <w:t xml:space="preserve">Tabletė </w:t>
      </w:r>
    </w:p>
    <w:p w14:paraId="08A30885" w14:textId="77777777" w:rsidR="007F39B7" w:rsidRPr="00051FD3" w:rsidRDefault="007F39B7" w:rsidP="007F39B7">
      <w:pPr>
        <w:tabs>
          <w:tab w:val="left" w:pos="567"/>
        </w:tabs>
        <w:rPr>
          <w:sz w:val="22"/>
          <w:szCs w:val="22"/>
          <w:lang w:eastAsia="lt-LT"/>
        </w:rPr>
      </w:pPr>
    </w:p>
    <w:p w14:paraId="718A9302" w14:textId="77777777" w:rsidR="007F39B7" w:rsidRPr="00051FD3" w:rsidRDefault="007F39B7" w:rsidP="007F39B7">
      <w:pPr>
        <w:tabs>
          <w:tab w:val="left" w:pos="567"/>
        </w:tabs>
        <w:autoSpaceDE w:val="0"/>
        <w:autoSpaceDN w:val="0"/>
        <w:adjustRightInd w:val="0"/>
        <w:rPr>
          <w:sz w:val="22"/>
          <w:szCs w:val="22"/>
          <w:lang w:eastAsia="lt-LT"/>
        </w:rPr>
      </w:pPr>
      <w:r w:rsidRPr="00051FD3">
        <w:rPr>
          <w:sz w:val="22"/>
          <w:szCs w:val="22"/>
          <w:lang w:eastAsia="lt-LT"/>
        </w:rPr>
        <w:t>30 tablečių</w:t>
      </w:r>
    </w:p>
    <w:p w14:paraId="6C36A981" w14:textId="77777777" w:rsidR="007F39B7" w:rsidRPr="00012DBE" w:rsidRDefault="007F39B7" w:rsidP="007F39B7">
      <w:pPr>
        <w:tabs>
          <w:tab w:val="left" w:pos="567"/>
        </w:tabs>
        <w:autoSpaceDE w:val="0"/>
        <w:autoSpaceDN w:val="0"/>
        <w:adjustRightInd w:val="0"/>
        <w:rPr>
          <w:sz w:val="22"/>
          <w:szCs w:val="22"/>
          <w:highlight w:val="lightGray"/>
        </w:rPr>
      </w:pPr>
      <w:r w:rsidRPr="00012DBE">
        <w:rPr>
          <w:sz w:val="22"/>
          <w:szCs w:val="22"/>
          <w:highlight w:val="lightGray"/>
        </w:rPr>
        <w:t>90 tablečių</w:t>
      </w:r>
    </w:p>
    <w:p w14:paraId="08119940" w14:textId="77777777" w:rsidR="007F39B7" w:rsidRPr="00051FD3" w:rsidRDefault="007F39B7" w:rsidP="007F39B7">
      <w:pPr>
        <w:tabs>
          <w:tab w:val="left" w:pos="567"/>
        </w:tabs>
        <w:rPr>
          <w:sz w:val="22"/>
          <w:szCs w:val="22"/>
        </w:rPr>
      </w:pPr>
      <w:r w:rsidRPr="003A7BC8">
        <w:rPr>
          <w:sz w:val="22"/>
          <w:szCs w:val="22"/>
          <w:highlight w:val="lightGray"/>
        </w:rPr>
        <w:t>250 tablečių</w:t>
      </w:r>
    </w:p>
    <w:p w14:paraId="2630E892" w14:textId="77777777" w:rsidR="007F39B7" w:rsidRPr="00051FD3" w:rsidRDefault="007F39B7" w:rsidP="007F39B7">
      <w:pPr>
        <w:tabs>
          <w:tab w:val="left" w:pos="567"/>
        </w:tabs>
        <w:rPr>
          <w:sz w:val="22"/>
          <w:szCs w:val="22"/>
        </w:rPr>
      </w:pPr>
    </w:p>
    <w:p w14:paraId="3D56E4FB" w14:textId="77777777" w:rsidR="007F39B7" w:rsidRPr="00051FD3" w:rsidRDefault="007F39B7" w:rsidP="007F39B7">
      <w:pPr>
        <w:tabs>
          <w:tab w:val="left" w:pos="567"/>
        </w:tabs>
        <w:rPr>
          <w:sz w:val="22"/>
          <w:szCs w:val="22"/>
        </w:rPr>
      </w:pPr>
    </w:p>
    <w:p w14:paraId="499B5703"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5.</w:t>
      </w:r>
      <w:r w:rsidRPr="00051FD3">
        <w:rPr>
          <w:b/>
          <w:sz w:val="22"/>
          <w:szCs w:val="22"/>
        </w:rPr>
        <w:tab/>
        <w:t>VARTOJIMO METODAS IR BŪDAS (-AI)</w:t>
      </w:r>
    </w:p>
    <w:p w14:paraId="6765E228" w14:textId="77777777" w:rsidR="007F39B7" w:rsidRPr="00051FD3" w:rsidRDefault="007F39B7" w:rsidP="007F39B7">
      <w:pPr>
        <w:tabs>
          <w:tab w:val="left" w:pos="567"/>
        </w:tabs>
        <w:rPr>
          <w:sz w:val="22"/>
          <w:szCs w:val="22"/>
        </w:rPr>
      </w:pPr>
    </w:p>
    <w:p w14:paraId="4AA21117" w14:textId="77777777" w:rsidR="007F39B7" w:rsidRPr="00051FD3" w:rsidRDefault="007F39B7" w:rsidP="007F39B7">
      <w:pPr>
        <w:tabs>
          <w:tab w:val="left" w:pos="567"/>
        </w:tabs>
        <w:rPr>
          <w:sz w:val="22"/>
          <w:szCs w:val="22"/>
        </w:rPr>
      </w:pPr>
      <w:r w:rsidRPr="00051FD3">
        <w:rPr>
          <w:sz w:val="22"/>
          <w:szCs w:val="22"/>
        </w:rPr>
        <w:t>Vartoti per burną.</w:t>
      </w:r>
    </w:p>
    <w:p w14:paraId="46768329" w14:textId="77777777" w:rsidR="007F39B7" w:rsidRPr="00051FD3" w:rsidRDefault="007F39B7" w:rsidP="007F39B7">
      <w:pPr>
        <w:tabs>
          <w:tab w:val="left" w:pos="567"/>
        </w:tabs>
        <w:rPr>
          <w:sz w:val="22"/>
          <w:szCs w:val="22"/>
        </w:rPr>
      </w:pPr>
      <w:r w:rsidRPr="00051FD3">
        <w:rPr>
          <w:sz w:val="22"/>
          <w:szCs w:val="22"/>
        </w:rPr>
        <w:t>Prieš vartojimą perskaitykite pakuotės lapelį.</w:t>
      </w:r>
    </w:p>
    <w:p w14:paraId="4B9293A3" w14:textId="77777777" w:rsidR="007F39B7" w:rsidRPr="00051FD3" w:rsidRDefault="007F39B7" w:rsidP="007F39B7">
      <w:pPr>
        <w:tabs>
          <w:tab w:val="left" w:pos="567"/>
        </w:tabs>
        <w:rPr>
          <w:sz w:val="22"/>
          <w:szCs w:val="22"/>
        </w:rPr>
      </w:pPr>
    </w:p>
    <w:p w14:paraId="5136A297" w14:textId="77777777" w:rsidR="007F39B7" w:rsidRPr="00051FD3" w:rsidRDefault="007F39B7" w:rsidP="007F39B7">
      <w:pPr>
        <w:tabs>
          <w:tab w:val="left" w:pos="567"/>
        </w:tabs>
        <w:rPr>
          <w:sz w:val="22"/>
          <w:szCs w:val="22"/>
        </w:rPr>
      </w:pPr>
    </w:p>
    <w:p w14:paraId="3808548C"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6.</w:t>
      </w:r>
      <w:r w:rsidRPr="00051FD3">
        <w:rPr>
          <w:b/>
          <w:sz w:val="22"/>
          <w:szCs w:val="22"/>
        </w:rPr>
        <w:tab/>
        <w:t>SPECIALUS ĮSPĖJIMAS, KAD VAISTINĮ PREPARATĄ BŪTINA LAIKYTI VAIKAMS NEPASTEBIMOJE IR NEPASIEKIAMOJE VIETOJE</w:t>
      </w:r>
    </w:p>
    <w:p w14:paraId="32A04298" w14:textId="77777777" w:rsidR="007F39B7" w:rsidRPr="00051FD3" w:rsidRDefault="007F39B7" w:rsidP="007F39B7">
      <w:pPr>
        <w:tabs>
          <w:tab w:val="left" w:pos="567"/>
        </w:tabs>
        <w:rPr>
          <w:sz w:val="22"/>
          <w:szCs w:val="22"/>
        </w:rPr>
      </w:pPr>
    </w:p>
    <w:p w14:paraId="4927A2DA" w14:textId="77777777" w:rsidR="007F39B7" w:rsidRPr="00051FD3" w:rsidRDefault="007F39B7" w:rsidP="007F39B7">
      <w:pPr>
        <w:tabs>
          <w:tab w:val="left" w:pos="567"/>
        </w:tabs>
        <w:rPr>
          <w:sz w:val="22"/>
          <w:szCs w:val="22"/>
        </w:rPr>
      </w:pPr>
      <w:r w:rsidRPr="00051FD3">
        <w:rPr>
          <w:sz w:val="22"/>
          <w:szCs w:val="22"/>
        </w:rPr>
        <w:t>Laikyti vaikams nepastebimoje ir nepasiekiamoje vietoje.</w:t>
      </w:r>
    </w:p>
    <w:p w14:paraId="109F52AD" w14:textId="77777777" w:rsidR="007F39B7" w:rsidRPr="00051FD3" w:rsidRDefault="007F39B7" w:rsidP="007F39B7">
      <w:pPr>
        <w:tabs>
          <w:tab w:val="left" w:pos="567"/>
        </w:tabs>
        <w:rPr>
          <w:sz w:val="22"/>
          <w:szCs w:val="22"/>
        </w:rPr>
      </w:pPr>
    </w:p>
    <w:p w14:paraId="4B336348" w14:textId="77777777" w:rsidR="007F39B7" w:rsidRPr="00051FD3" w:rsidRDefault="007F39B7" w:rsidP="007F39B7">
      <w:pPr>
        <w:tabs>
          <w:tab w:val="left" w:pos="567"/>
        </w:tabs>
        <w:rPr>
          <w:sz w:val="22"/>
          <w:szCs w:val="22"/>
        </w:rPr>
      </w:pPr>
    </w:p>
    <w:p w14:paraId="0D748FFC"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7.</w:t>
      </w:r>
      <w:r w:rsidRPr="00051FD3">
        <w:rPr>
          <w:b/>
          <w:sz w:val="22"/>
          <w:szCs w:val="22"/>
        </w:rPr>
        <w:tab/>
        <w:t>KITAS (-I) SPECIALUS (-ŪS) ĮSPĖJIMAS (-AI) (JEI REIKIA)</w:t>
      </w:r>
    </w:p>
    <w:p w14:paraId="4BC46D52" w14:textId="77777777" w:rsidR="007F39B7" w:rsidRPr="00051FD3" w:rsidRDefault="007F39B7" w:rsidP="007F39B7">
      <w:pPr>
        <w:tabs>
          <w:tab w:val="left" w:pos="567"/>
        </w:tabs>
        <w:rPr>
          <w:sz w:val="22"/>
          <w:szCs w:val="22"/>
        </w:rPr>
      </w:pPr>
    </w:p>
    <w:p w14:paraId="49A2B429" w14:textId="77777777" w:rsidR="007F39B7" w:rsidRPr="00051FD3" w:rsidRDefault="007F39B7" w:rsidP="007F39B7">
      <w:pPr>
        <w:tabs>
          <w:tab w:val="left" w:pos="567"/>
        </w:tabs>
        <w:rPr>
          <w:sz w:val="22"/>
          <w:szCs w:val="22"/>
        </w:rPr>
      </w:pPr>
      <w:proofErr w:type="spellStart"/>
      <w:r w:rsidRPr="00051FD3">
        <w:rPr>
          <w:sz w:val="22"/>
          <w:szCs w:val="22"/>
        </w:rPr>
        <w:t>Talpyklėje</w:t>
      </w:r>
      <w:proofErr w:type="spellEnd"/>
      <w:r w:rsidRPr="00051FD3">
        <w:rPr>
          <w:sz w:val="22"/>
          <w:szCs w:val="22"/>
        </w:rPr>
        <w:t xml:space="preserve"> yra </w:t>
      </w:r>
      <w:proofErr w:type="spellStart"/>
      <w:r w:rsidRPr="00051FD3">
        <w:rPr>
          <w:sz w:val="22"/>
          <w:szCs w:val="22"/>
        </w:rPr>
        <w:t>sausiklis</w:t>
      </w:r>
      <w:proofErr w:type="spellEnd"/>
      <w:r w:rsidRPr="00051FD3">
        <w:rPr>
          <w:sz w:val="22"/>
          <w:szCs w:val="22"/>
        </w:rPr>
        <w:t>, jo negalima valgyti.</w:t>
      </w:r>
    </w:p>
    <w:p w14:paraId="01E66CC7" w14:textId="77777777" w:rsidR="007F39B7" w:rsidRPr="00051FD3" w:rsidRDefault="007F39B7" w:rsidP="007F39B7">
      <w:pPr>
        <w:tabs>
          <w:tab w:val="left" w:pos="567"/>
        </w:tabs>
        <w:rPr>
          <w:sz w:val="22"/>
          <w:szCs w:val="22"/>
        </w:rPr>
      </w:pPr>
    </w:p>
    <w:p w14:paraId="7FE7C6A3" w14:textId="77777777" w:rsidR="007F39B7" w:rsidRPr="00051FD3" w:rsidRDefault="007F39B7" w:rsidP="007F39B7">
      <w:pPr>
        <w:tabs>
          <w:tab w:val="left" w:pos="567"/>
        </w:tabs>
        <w:rPr>
          <w:sz w:val="22"/>
          <w:szCs w:val="22"/>
        </w:rPr>
      </w:pPr>
    </w:p>
    <w:p w14:paraId="79BC4BD5"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8.</w:t>
      </w:r>
      <w:r w:rsidRPr="00051FD3">
        <w:rPr>
          <w:b/>
          <w:sz w:val="22"/>
          <w:szCs w:val="22"/>
        </w:rPr>
        <w:tab/>
        <w:t>TINKAMUMO LAIKAS</w:t>
      </w:r>
    </w:p>
    <w:p w14:paraId="47B61B72" w14:textId="77777777" w:rsidR="007F39B7" w:rsidRPr="00051FD3" w:rsidRDefault="007F39B7" w:rsidP="007F39B7">
      <w:pPr>
        <w:tabs>
          <w:tab w:val="left" w:pos="567"/>
        </w:tabs>
        <w:rPr>
          <w:sz w:val="22"/>
          <w:szCs w:val="22"/>
        </w:rPr>
      </w:pPr>
    </w:p>
    <w:p w14:paraId="3047C200" w14:textId="77777777" w:rsidR="007F39B7" w:rsidRPr="00051FD3" w:rsidRDefault="007F39B7" w:rsidP="007F39B7">
      <w:pPr>
        <w:tabs>
          <w:tab w:val="left" w:pos="567"/>
        </w:tabs>
        <w:rPr>
          <w:sz w:val="22"/>
          <w:szCs w:val="22"/>
          <w:lang w:eastAsia="lt-LT"/>
        </w:rPr>
      </w:pPr>
      <w:r w:rsidRPr="00012DBE">
        <w:rPr>
          <w:sz w:val="22"/>
          <w:szCs w:val="22"/>
          <w:highlight w:val="lightGray"/>
        </w:rPr>
        <w:t>Tinka iki { mm /MMMM}</w:t>
      </w:r>
      <w:r w:rsidRPr="00051FD3">
        <w:rPr>
          <w:sz w:val="22"/>
          <w:szCs w:val="22"/>
          <w:lang w:eastAsia="lt-LT"/>
        </w:rPr>
        <w:t xml:space="preserve"> </w:t>
      </w:r>
    </w:p>
    <w:p w14:paraId="4BEA4ED2" w14:textId="77777777" w:rsidR="007F39B7" w:rsidRPr="00051FD3" w:rsidRDefault="00067ADA" w:rsidP="007F39B7">
      <w:pPr>
        <w:tabs>
          <w:tab w:val="left" w:pos="567"/>
        </w:tabs>
        <w:rPr>
          <w:sz w:val="22"/>
          <w:szCs w:val="22"/>
        </w:rPr>
      </w:pPr>
      <w:r w:rsidRPr="00051FD3">
        <w:rPr>
          <w:sz w:val="22"/>
          <w:szCs w:val="22"/>
        </w:rPr>
        <w:t>EXP { mm /MMMM}</w:t>
      </w:r>
    </w:p>
    <w:p w14:paraId="76DE9970" w14:textId="77777777" w:rsidR="00067ADA" w:rsidRPr="00051FD3" w:rsidRDefault="00067ADA" w:rsidP="007F39B7">
      <w:pPr>
        <w:tabs>
          <w:tab w:val="left" w:pos="567"/>
        </w:tabs>
        <w:rPr>
          <w:sz w:val="22"/>
          <w:szCs w:val="22"/>
        </w:rPr>
      </w:pPr>
    </w:p>
    <w:p w14:paraId="54B16502" w14:textId="77777777" w:rsidR="007F39B7" w:rsidRPr="00051FD3" w:rsidRDefault="007F39B7" w:rsidP="007F39B7">
      <w:pPr>
        <w:tabs>
          <w:tab w:val="left" w:pos="567"/>
        </w:tabs>
        <w:rPr>
          <w:sz w:val="22"/>
          <w:szCs w:val="22"/>
        </w:rPr>
      </w:pPr>
    </w:p>
    <w:p w14:paraId="347CD95D" w14:textId="77777777" w:rsidR="007F39B7" w:rsidRPr="00051FD3" w:rsidRDefault="007F39B7" w:rsidP="007F39B7">
      <w:pPr>
        <w:pBdr>
          <w:top w:val="single" w:sz="4" w:space="1" w:color="auto"/>
          <w:left w:val="single" w:sz="4" w:space="4" w:color="auto"/>
          <w:bottom w:val="single" w:sz="4" w:space="0" w:color="auto"/>
          <w:right w:val="single" w:sz="4" w:space="4" w:color="auto"/>
        </w:pBdr>
        <w:tabs>
          <w:tab w:val="left" w:pos="567"/>
        </w:tabs>
        <w:rPr>
          <w:b/>
          <w:sz w:val="22"/>
          <w:szCs w:val="22"/>
        </w:rPr>
      </w:pPr>
      <w:r w:rsidRPr="00051FD3">
        <w:rPr>
          <w:b/>
          <w:sz w:val="22"/>
          <w:szCs w:val="22"/>
        </w:rPr>
        <w:t>9.</w:t>
      </w:r>
      <w:r w:rsidRPr="00051FD3">
        <w:rPr>
          <w:b/>
          <w:sz w:val="22"/>
          <w:szCs w:val="22"/>
        </w:rPr>
        <w:tab/>
        <w:t>SPECIALIOS LAIKYMO SĄLYGOS</w:t>
      </w:r>
    </w:p>
    <w:p w14:paraId="34ABA43F" w14:textId="77777777" w:rsidR="007F39B7" w:rsidRPr="00051FD3" w:rsidRDefault="007F39B7" w:rsidP="007F39B7">
      <w:pPr>
        <w:tabs>
          <w:tab w:val="left" w:pos="567"/>
        </w:tabs>
        <w:rPr>
          <w:sz w:val="22"/>
          <w:szCs w:val="22"/>
          <w:lang w:eastAsia="lt-LT"/>
        </w:rPr>
      </w:pPr>
    </w:p>
    <w:p w14:paraId="37C8C819" w14:textId="77777777" w:rsidR="007F39B7" w:rsidRPr="00051FD3" w:rsidRDefault="007F39B7" w:rsidP="007F39B7">
      <w:pPr>
        <w:tabs>
          <w:tab w:val="left" w:pos="567"/>
        </w:tabs>
        <w:rPr>
          <w:sz w:val="22"/>
          <w:szCs w:val="22"/>
          <w:lang w:eastAsia="lt-LT"/>
        </w:rPr>
      </w:pPr>
    </w:p>
    <w:p w14:paraId="2CB13E4D"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lastRenderedPageBreak/>
        <w:t>10.</w:t>
      </w:r>
      <w:r w:rsidRPr="00051FD3">
        <w:rPr>
          <w:b/>
          <w:sz w:val="22"/>
          <w:szCs w:val="22"/>
        </w:rPr>
        <w:tab/>
        <w:t xml:space="preserve">SPECIALIOS ATSARGUMO PRIEMONĖS DĖL NESUVARTOTO </w:t>
      </w:r>
      <w:r w:rsidRPr="00051FD3">
        <w:rPr>
          <w:b/>
          <w:bCs/>
          <w:sz w:val="22"/>
          <w:szCs w:val="22"/>
        </w:rPr>
        <w:t xml:space="preserve">VAISTINIO PREPARATO AR JO ATLIEKŲ </w:t>
      </w:r>
      <w:r w:rsidRPr="00051FD3">
        <w:rPr>
          <w:b/>
          <w:sz w:val="22"/>
          <w:szCs w:val="22"/>
        </w:rPr>
        <w:t>TVARKYMO (JEI REIKIA)</w:t>
      </w:r>
    </w:p>
    <w:p w14:paraId="26AFD3EF" w14:textId="77777777" w:rsidR="007F39B7" w:rsidRPr="00051FD3" w:rsidRDefault="007F39B7" w:rsidP="007F39B7">
      <w:pPr>
        <w:tabs>
          <w:tab w:val="left" w:pos="567"/>
        </w:tabs>
        <w:rPr>
          <w:sz w:val="22"/>
          <w:szCs w:val="22"/>
        </w:rPr>
      </w:pPr>
    </w:p>
    <w:p w14:paraId="426247FF" w14:textId="77777777" w:rsidR="007F39B7" w:rsidRPr="00051FD3" w:rsidRDefault="007F39B7" w:rsidP="007F39B7">
      <w:pPr>
        <w:tabs>
          <w:tab w:val="left" w:pos="567"/>
        </w:tabs>
        <w:rPr>
          <w:sz w:val="22"/>
          <w:szCs w:val="22"/>
        </w:rPr>
      </w:pPr>
    </w:p>
    <w:p w14:paraId="4F70E91D"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11.</w:t>
      </w:r>
      <w:r w:rsidRPr="00051FD3">
        <w:rPr>
          <w:b/>
          <w:sz w:val="22"/>
          <w:szCs w:val="22"/>
        </w:rPr>
        <w:tab/>
      </w:r>
      <w:r w:rsidR="00067ADA" w:rsidRPr="00051FD3">
        <w:rPr>
          <w:b/>
          <w:sz w:val="22"/>
          <w:szCs w:val="22"/>
        </w:rPr>
        <w:t>REGISTRUOTOJO</w:t>
      </w:r>
      <w:r w:rsidR="00067ADA" w:rsidRPr="00051FD3" w:rsidDel="00067ADA">
        <w:rPr>
          <w:b/>
          <w:sz w:val="22"/>
          <w:szCs w:val="22"/>
        </w:rPr>
        <w:t xml:space="preserve"> </w:t>
      </w:r>
      <w:r w:rsidRPr="00051FD3">
        <w:rPr>
          <w:b/>
          <w:sz w:val="22"/>
          <w:szCs w:val="22"/>
        </w:rPr>
        <w:t>PAVADINIMAS IR ADRESAS</w:t>
      </w:r>
    </w:p>
    <w:p w14:paraId="39ABD175" w14:textId="77777777" w:rsidR="007F39B7" w:rsidRPr="00051FD3" w:rsidRDefault="007F39B7" w:rsidP="007F39B7">
      <w:pPr>
        <w:tabs>
          <w:tab w:val="left" w:pos="567"/>
        </w:tabs>
        <w:rPr>
          <w:sz w:val="22"/>
          <w:szCs w:val="22"/>
        </w:rPr>
      </w:pPr>
    </w:p>
    <w:p w14:paraId="0F8F39C4" w14:textId="77777777" w:rsidR="007F39B7" w:rsidRPr="00051FD3" w:rsidRDefault="007F39B7" w:rsidP="007F39B7">
      <w:pPr>
        <w:tabs>
          <w:tab w:val="left" w:pos="567"/>
        </w:tabs>
        <w:rPr>
          <w:sz w:val="22"/>
          <w:szCs w:val="22"/>
        </w:rPr>
      </w:pPr>
      <w:proofErr w:type="spellStart"/>
      <w:r w:rsidRPr="00051FD3">
        <w:rPr>
          <w:sz w:val="22"/>
          <w:szCs w:val="22"/>
        </w:rPr>
        <w:t>Teva</w:t>
      </w:r>
      <w:proofErr w:type="spellEnd"/>
      <w:r w:rsidRPr="00051FD3">
        <w:rPr>
          <w:sz w:val="22"/>
          <w:szCs w:val="22"/>
        </w:rPr>
        <w:t xml:space="preserve"> B.V.</w:t>
      </w:r>
    </w:p>
    <w:p w14:paraId="04A7D9E4" w14:textId="77777777" w:rsidR="008E7E95" w:rsidRPr="00051FD3" w:rsidRDefault="00F42F88" w:rsidP="0099534A">
      <w:pPr>
        <w:tabs>
          <w:tab w:val="left" w:pos="567"/>
        </w:tabs>
        <w:rPr>
          <w:sz w:val="22"/>
          <w:szCs w:val="22"/>
        </w:rPr>
      </w:pPr>
      <w:proofErr w:type="spellStart"/>
      <w:r w:rsidRPr="00051FD3">
        <w:rPr>
          <w:sz w:val="22"/>
          <w:szCs w:val="22"/>
        </w:rPr>
        <w:t>Swensweg</w:t>
      </w:r>
      <w:proofErr w:type="spellEnd"/>
      <w:r w:rsidRPr="00051FD3">
        <w:rPr>
          <w:sz w:val="22"/>
          <w:szCs w:val="22"/>
        </w:rPr>
        <w:t xml:space="preserve"> 5</w:t>
      </w:r>
    </w:p>
    <w:p w14:paraId="365EB075" w14:textId="77777777" w:rsidR="008E7E95" w:rsidRPr="00051FD3" w:rsidRDefault="00F42F88" w:rsidP="0099534A">
      <w:pPr>
        <w:tabs>
          <w:tab w:val="left" w:pos="567"/>
        </w:tabs>
        <w:rPr>
          <w:sz w:val="22"/>
          <w:szCs w:val="22"/>
        </w:rPr>
      </w:pPr>
      <w:r w:rsidRPr="00051FD3">
        <w:rPr>
          <w:sz w:val="22"/>
          <w:szCs w:val="22"/>
        </w:rPr>
        <w:t xml:space="preserve">2031 GA </w:t>
      </w:r>
      <w:proofErr w:type="spellStart"/>
      <w:r w:rsidRPr="00051FD3">
        <w:rPr>
          <w:sz w:val="22"/>
          <w:szCs w:val="22"/>
        </w:rPr>
        <w:t>Haarlem</w:t>
      </w:r>
      <w:proofErr w:type="spellEnd"/>
    </w:p>
    <w:p w14:paraId="69A44DEC" w14:textId="77777777" w:rsidR="007F39B7" w:rsidRPr="00051FD3" w:rsidRDefault="007F39B7" w:rsidP="007F39B7">
      <w:pPr>
        <w:tabs>
          <w:tab w:val="left" w:pos="567"/>
        </w:tabs>
        <w:rPr>
          <w:sz w:val="22"/>
          <w:szCs w:val="22"/>
        </w:rPr>
      </w:pPr>
      <w:r w:rsidRPr="00051FD3">
        <w:rPr>
          <w:sz w:val="22"/>
          <w:szCs w:val="22"/>
        </w:rPr>
        <w:t>Nyderlandai</w:t>
      </w:r>
    </w:p>
    <w:p w14:paraId="5F4E3345" w14:textId="77777777" w:rsidR="007F39B7" w:rsidRPr="00051FD3" w:rsidRDefault="007F39B7" w:rsidP="007F39B7">
      <w:pPr>
        <w:tabs>
          <w:tab w:val="left" w:pos="567"/>
        </w:tabs>
        <w:rPr>
          <w:sz w:val="22"/>
          <w:szCs w:val="22"/>
        </w:rPr>
      </w:pPr>
    </w:p>
    <w:p w14:paraId="5611C46B" w14:textId="77777777" w:rsidR="007F39B7" w:rsidRPr="00051FD3" w:rsidRDefault="007F39B7" w:rsidP="007F39B7">
      <w:pPr>
        <w:tabs>
          <w:tab w:val="left" w:pos="567"/>
        </w:tabs>
        <w:rPr>
          <w:sz w:val="22"/>
          <w:szCs w:val="22"/>
        </w:rPr>
      </w:pPr>
    </w:p>
    <w:p w14:paraId="02A91B5C"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12.</w:t>
      </w:r>
      <w:r w:rsidRPr="00051FD3">
        <w:rPr>
          <w:b/>
          <w:sz w:val="22"/>
          <w:szCs w:val="22"/>
        </w:rPr>
        <w:tab/>
      </w:r>
      <w:r w:rsidR="00067ADA" w:rsidRPr="00051FD3">
        <w:rPr>
          <w:b/>
          <w:sz w:val="22"/>
          <w:szCs w:val="22"/>
        </w:rPr>
        <w:t>REGISTRACIJOS</w:t>
      </w:r>
      <w:r w:rsidRPr="00051FD3">
        <w:rPr>
          <w:b/>
          <w:sz w:val="22"/>
          <w:szCs w:val="22"/>
        </w:rPr>
        <w:t xml:space="preserve"> PAŽYMĖJIMO NUMERIS (-IAI)</w:t>
      </w:r>
    </w:p>
    <w:p w14:paraId="2C8B4DC6" w14:textId="77777777" w:rsidR="007F39B7" w:rsidRPr="00012DBE" w:rsidRDefault="007F39B7" w:rsidP="00401F7E">
      <w:pPr>
        <w:tabs>
          <w:tab w:val="left" w:pos="567"/>
        </w:tabs>
        <w:autoSpaceDE w:val="0"/>
        <w:autoSpaceDN w:val="0"/>
        <w:adjustRightInd w:val="0"/>
        <w:rPr>
          <w:color w:val="000000"/>
          <w:sz w:val="22"/>
          <w:szCs w:val="22"/>
        </w:rPr>
      </w:pPr>
    </w:p>
    <w:p w14:paraId="773364FE" w14:textId="77777777" w:rsidR="00D4097E" w:rsidRPr="003A7BC8" w:rsidRDefault="00D4097E" w:rsidP="00D4097E">
      <w:pPr>
        <w:rPr>
          <w:sz w:val="22"/>
          <w:szCs w:val="22"/>
          <w:highlight w:val="lightGray"/>
        </w:rPr>
      </w:pPr>
      <w:r w:rsidRPr="003A7BC8">
        <w:rPr>
          <w:bCs/>
          <w:sz w:val="22"/>
          <w:szCs w:val="22"/>
        </w:rPr>
        <w:t xml:space="preserve">LT/1/14/3521/012 </w:t>
      </w:r>
      <w:r w:rsidRPr="003A7BC8">
        <w:rPr>
          <w:sz w:val="22"/>
          <w:szCs w:val="22"/>
          <w:highlight w:val="lightGray"/>
        </w:rPr>
        <w:t>– N30</w:t>
      </w:r>
    </w:p>
    <w:p w14:paraId="09B660BC" w14:textId="77777777" w:rsidR="00D4097E" w:rsidRPr="003A7BC8" w:rsidRDefault="00D4097E" w:rsidP="00D4097E">
      <w:pPr>
        <w:rPr>
          <w:sz w:val="22"/>
          <w:szCs w:val="22"/>
          <w:highlight w:val="lightGray"/>
        </w:rPr>
      </w:pPr>
      <w:r w:rsidRPr="003A7BC8">
        <w:rPr>
          <w:sz w:val="22"/>
          <w:szCs w:val="22"/>
          <w:highlight w:val="lightGray"/>
        </w:rPr>
        <w:t>LT/1/14/3521/013 – N90</w:t>
      </w:r>
    </w:p>
    <w:p w14:paraId="34A9B489" w14:textId="77777777" w:rsidR="00D4097E" w:rsidRPr="003A7BC8" w:rsidRDefault="00D4097E" w:rsidP="00D4097E">
      <w:pPr>
        <w:rPr>
          <w:bCs/>
          <w:sz w:val="22"/>
          <w:szCs w:val="22"/>
        </w:rPr>
      </w:pPr>
      <w:r w:rsidRPr="003A7BC8">
        <w:rPr>
          <w:sz w:val="22"/>
          <w:szCs w:val="22"/>
          <w:highlight w:val="lightGray"/>
        </w:rPr>
        <w:t>LT/1/14/3521/014 – N250</w:t>
      </w:r>
    </w:p>
    <w:p w14:paraId="6D7FB3FF" w14:textId="77777777" w:rsidR="007F39B7" w:rsidRPr="00051FD3" w:rsidRDefault="007F39B7" w:rsidP="007F39B7">
      <w:pPr>
        <w:tabs>
          <w:tab w:val="left" w:pos="567"/>
          <w:tab w:val="left" w:pos="3060"/>
        </w:tabs>
        <w:autoSpaceDE w:val="0"/>
        <w:autoSpaceDN w:val="0"/>
        <w:adjustRightInd w:val="0"/>
        <w:rPr>
          <w:sz w:val="22"/>
          <w:szCs w:val="22"/>
        </w:rPr>
      </w:pPr>
    </w:p>
    <w:p w14:paraId="572941BC" w14:textId="77777777" w:rsidR="007F39B7" w:rsidRPr="00051FD3" w:rsidRDefault="007F39B7" w:rsidP="007F39B7">
      <w:pPr>
        <w:tabs>
          <w:tab w:val="left" w:pos="567"/>
        </w:tabs>
        <w:rPr>
          <w:sz w:val="22"/>
          <w:szCs w:val="22"/>
        </w:rPr>
      </w:pPr>
    </w:p>
    <w:p w14:paraId="64CBAC20"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13.</w:t>
      </w:r>
      <w:r w:rsidRPr="00051FD3">
        <w:rPr>
          <w:b/>
          <w:sz w:val="22"/>
          <w:szCs w:val="22"/>
        </w:rPr>
        <w:tab/>
        <w:t>SERIJOS NUMERIS</w:t>
      </w:r>
    </w:p>
    <w:p w14:paraId="749737DD" w14:textId="77777777" w:rsidR="007F39B7" w:rsidRPr="00051FD3" w:rsidRDefault="007F39B7" w:rsidP="007F39B7">
      <w:pPr>
        <w:tabs>
          <w:tab w:val="left" w:pos="567"/>
        </w:tabs>
        <w:rPr>
          <w:sz w:val="22"/>
          <w:szCs w:val="22"/>
        </w:rPr>
      </w:pPr>
    </w:p>
    <w:p w14:paraId="68471D3B" w14:textId="77777777" w:rsidR="007F39B7" w:rsidRPr="00051FD3" w:rsidRDefault="007F39B7" w:rsidP="007F39B7">
      <w:pPr>
        <w:tabs>
          <w:tab w:val="left" w:pos="567"/>
        </w:tabs>
        <w:rPr>
          <w:sz w:val="22"/>
          <w:szCs w:val="22"/>
          <w:lang w:eastAsia="lt-LT"/>
        </w:rPr>
      </w:pPr>
      <w:r w:rsidRPr="00012DBE">
        <w:rPr>
          <w:sz w:val="22"/>
          <w:szCs w:val="22"/>
          <w:highlight w:val="lightGray"/>
        </w:rPr>
        <w:t>Serija {numeris}</w:t>
      </w:r>
    </w:p>
    <w:p w14:paraId="0B395BB2" w14:textId="77777777" w:rsidR="00DA309A" w:rsidRPr="00051FD3" w:rsidRDefault="00DA309A" w:rsidP="007F39B7">
      <w:pPr>
        <w:tabs>
          <w:tab w:val="left" w:pos="567"/>
        </w:tabs>
        <w:rPr>
          <w:sz w:val="22"/>
          <w:szCs w:val="22"/>
          <w:lang w:eastAsia="lt-LT"/>
        </w:rPr>
      </w:pPr>
      <w:r w:rsidRPr="00051FD3">
        <w:rPr>
          <w:sz w:val="22"/>
          <w:szCs w:val="22"/>
          <w:lang w:eastAsia="lt-LT"/>
        </w:rPr>
        <w:t>Lot {numeris}</w:t>
      </w:r>
    </w:p>
    <w:p w14:paraId="327F676C" w14:textId="77777777" w:rsidR="007F39B7" w:rsidRPr="00051FD3" w:rsidRDefault="007F39B7" w:rsidP="007F39B7">
      <w:pPr>
        <w:tabs>
          <w:tab w:val="left" w:pos="567"/>
        </w:tabs>
        <w:rPr>
          <w:sz w:val="22"/>
          <w:szCs w:val="22"/>
        </w:rPr>
      </w:pPr>
    </w:p>
    <w:p w14:paraId="5CAF7712" w14:textId="77777777" w:rsidR="007F39B7" w:rsidRPr="00051FD3" w:rsidRDefault="007F39B7" w:rsidP="007F39B7">
      <w:pPr>
        <w:tabs>
          <w:tab w:val="left" w:pos="567"/>
        </w:tabs>
        <w:rPr>
          <w:sz w:val="22"/>
          <w:szCs w:val="22"/>
        </w:rPr>
      </w:pPr>
    </w:p>
    <w:p w14:paraId="5277C966"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14.</w:t>
      </w:r>
      <w:r w:rsidRPr="00051FD3">
        <w:rPr>
          <w:b/>
          <w:sz w:val="22"/>
          <w:szCs w:val="22"/>
        </w:rPr>
        <w:tab/>
        <w:t>PARDAVIMO (IŠDAVIMO) TVARKA</w:t>
      </w:r>
    </w:p>
    <w:p w14:paraId="5876426B" w14:textId="77777777" w:rsidR="007F39B7" w:rsidRPr="00051FD3" w:rsidRDefault="007F39B7" w:rsidP="007F39B7">
      <w:pPr>
        <w:tabs>
          <w:tab w:val="left" w:pos="567"/>
        </w:tabs>
        <w:rPr>
          <w:sz w:val="22"/>
          <w:szCs w:val="22"/>
        </w:rPr>
      </w:pPr>
    </w:p>
    <w:p w14:paraId="4BDEE015" w14:textId="77777777" w:rsidR="007F39B7" w:rsidRPr="00051FD3" w:rsidRDefault="007F39B7" w:rsidP="007F39B7">
      <w:pPr>
        <w:tabs>
          <w:tab w:val="left" w:pos="567"/>
        </w:tabs>
        <w:rPr>
          <w:sz w:val="22"/>
          <w:szCs w:val="22"/>
        </w:rPr>
      </w:pPr>
      <w:r w:rsidRPr="00051FD3">
        <w:rPr>
          <w:sz w:val="22"/>
          <w:szCs w:val="22"/>
        </w:rPr>
        <w:t>Receptinis vaist</w:t>
      </w:r>
      <w:r w:rsidR="00DA309A" w:rsidRPr="00051FD3">
        <w:rPr>
          <w:sz w:val="22"/>
          <w:szCs w:val="22"/>
        </w:rPr>
        <w:t>as</w:t>
      </w:r>
    </w:p>
    <w:p w14:paraId="40475DF8" w14:textId="77777777" w:rsidR="007F39B7" w:rsidRPr="00051FD3" w:rsidRDefault="007F39B7" w:rsidP="007F39B7">
      <w:pPr>
        <w:tabs>
          <w:tab w:val="left" w:pos="567"/>
        </w:tabs>
        <w:rPr>
          <w:sz w:val="22"/>
          <w:szCs w:val="22"/>
        </w:rPr>
      </w:pPr>
    </w:p>
    <w:p w14:paraId="0CECD2DB" w14:textId="77777777" w:rsidR="007F39B7" w:rsidRPr="00051FD3" w:rsidRDefault="007F39B7" w:rsidP="007F39B7">
      <w:pPr>
        <w:tabs>
          <w:tab w:val="left" w:pos="567"/>
        </w:tabs>
        <w:rPr>
          <w:sz w:val="22"/>
          <w:szCs w:val="22"/>
        </w:rPr>
      </w:pPr>
    </w:p>
    <w:p w14:paraId="7461D447"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15.</w:t>
      </w:r>
      <w:r w:rsidRPr="00051FD3">
        <w:rPr>
          <w:b/>
          <w:sz w:val="22"/>
          <w:szCs w:val="22"/>
        </w:rPr>
        <w:tab/>
        <w:t>VARTOJIMO INSTRUKCIJA</w:t>
      </w:r>
    </w:p>
    <w:p w14:paraId="681994E3" w14:textId="77777777" w:rsidR="007F39B7" w:rsidRPr="00051FD3" w:rsidRDefault="007F39B7" w:rsidP="007F39B7">
      <w:pPr>
        <w:tabs>
          <w:tab w:val="left" w:pos="567"/>
        </w:tabs>
        <w:rPr>
          <w:sz w:val="22"/>
          <w:szCs w:val="22"/>
        </w:rPr>
      </w:pPr>
    </w:p>
    <w:p w14:paraId="3871B44A" w14:textId="77777777" w:rsidR="007F39B7" w:rsidRPr="00051FD3" w:rsidRDefault="007F39B7" w:rsidP="007F39B7">
      <w:pPr>
        <w:tabs>
          <w:tab w:val="left" w:pos="567"/>
        </w:tabs>
        <w:rPr>
          <w:sz w:val="22"/>
          <w:szCs w:val="22"/>
        </w:rPr>
      </w:pPr>
    </w:p>
    <w:p w14:paraId="7D1E3CF7" w14:textId="77777777" w:rsidR="007F39B7" w:rsidRPr="00051FD3" w:rsidRDefault="007F39B7" w:rsidP="007F39B7">
      <w:pPr>
        <w:pBdr>
          <w:top w:val="single" w:sz="4" w:space="1" w:color="auto"/>
          <w:left w:val="single" w:sz="4" w:space="4" w:color="auto"/>
          <w:bottom w:val="single" w:sz="4" w:space="1" w:color="auto"/>
          <w:right w:val="single" w:sz="4" w:space="4" w:color="auto"/>
        </w:pBdr>
        <w:tabs>
          <w:tab w:val="left" w:pos="567"/>
        </w:tabs>
        <w:rPr>
          <w:b/>
          <w:sz w:val="22"/>
          <w:szCs w:val="22"/>
        </w:rPr>
      </w:pPr>
      <w:r w:rsidRPr="00051FD3">
        <w:rPr>
          <w:b/>
          <w:sz w:val="22"/>
          <w:szCs w:val="22"/>
        </w:rPr>
        <w:t>16.</w:t>
      </w:r>
      <w:r w:rsidRPr="00051FD3">
        <w:rPr>
          <w:b/>
          <w:sz w:val="22"/>
          <w:szCs w:val="22"/>
        </w:rPr>
        <w:tab/>
        <w:t>INFORMACIJA BRAILIO RAŠTU</w:t>
      </w:r>
    </w:p>
    <w:p w14:paraId="0C15D7E1" w14:textId="77777777" w:rsidR="007F39B7" w:rsidRPr="00051FD3" w:rsidRDefault="007F39B7" w:rsidP="007F39B7">
      <w:pPr>
        <w:tabs>
          <w:tab w:val="left" w:pos="567"/>
        </w:tabs>
        <w:rPr>
          <w:sz w:val="22"/>
          <w:szCs w:val="22"/>
        </w:rPr>
      </w:pPr>
    </w:p>
    <w:p w14:paraId="3D0787DD" w14:textId="77777777" w:rsidR="00DA309A" w:rsidRPr="00012DBE" w:rsidRDefault="00DA309A" w:rsidP="00DA309A">
      <w:pPr>
        <w:tabs>
          <w:tab w:val="left" w:pos="567"/>
        </w:tabs>
        <w:rPr>
          <w:sz w:val="22"/>
          <w:szCs w:val="22"/>
          <w:shd w:val="clear" w:color="auto" w:fill="CCCCCC"/>
        </w:rPr>
      </w:pPr>
    </w:p>
    <w:p w14:paraId="64F3FACE" w14:textId="77777777" w:rsidR="00DA309A" w:rsidRPr="003A7BC8" w:rsidRDefault="00DA309A" w:rsidP="00DA309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sidRPr="003A7BC8">
        <w:rPr>
          <w:b/>
          <w:noProof/>
          <w:snapToGrid w:val="0"/>
          <w:sz w:val="22"/>
          <w:szCs w:val="22"/>
        </w:rPr>
        <w:t>17.</w:t>
      </w:r>
      <w:r w:rsidRPr="003A7BC8">
        <w:rPr>
          <w:b/>
          <w:noProof/>
          <w:snapToGrid w:val="0"/>
          <w:sz w:val="22"/>
          <w:szCs w:val="22"/>
        </w:rPr>
        <w:tab/>
        <w:t>UNIKALUS IDENTIFIKATORIUS – 2D BRŪKŠNINIS KODAS</w:t>
      </w:r>
    </w:p>
    <w:p w14:paraId="7EE9A2A6" w14:textId="77777777" w:rsidR="00DA309A" w:rsidRPr="003A7BC8" w:rsidRDefault="00DA309A" w:rsidP="00DA309A">
      <w:pPr>
        <w:tabs>
          <w:tab w:val="left" w:pos="567"/>
        </w:tabs>
        <w:rPr>
          <w:noProof/>
          <w:snapToGrid w:val="0"/>
          <w:sz w:val="22"/>
          <w:szCs w:val="22"/>
        </w:rPr>
      </w:pPr>
    </w:p>
    <w:p w14:paraId="6411B722" w14:textId="77777777" w:rsidR="0067591F" w:rsidRPr="00051FD3" w:rsidRDefault="0067591F" w:rsidP="00DA309A">
      <w:pPr>
        <w:tabs>
          <w:tab w:val="left" w:pos="567"/>
        </w:tabs>
        <w:rPr>
          <w:noProof/>
          <w:snapToGrid w:val="0"/>
          <w:sz w:val="22"/>
          <w:szCs w:val="22"/>
          <w:highlight w:val="yellow"/>
        </w:rPr>
      </w:pPr>
      <w:r w:rsidRPr="003A7BC8">
        <w:rPr>
          <w:b/>
          <w:sz w:val="22"/>
          <w:szCs w:val="22"/>
          <w:highlight w:val="lightGray"/>
        </w:rPr>
        <w:t>Jeigu nėra išorinės dėžutės</w:t>
      </w:r>
    </w:p>
    <w:p w14:paraId="16AB84DF" w14:textId="77777777" w:rsidR="00DA309A" w:rsidRPr="00051FD3" w:rsidRDefault="00DA309A" w:rsidP="00DA309A">
      <w:pPr>
        <w:tabs>
          <w:tab w:val="left" w:pos="567"/>
        </w:tabs>
        <w:rPr>
          <w:noProof/>
          <w:snapToGrid w:val="0"/>
          <w:sz w:val="22"/>
          <w:szCs w:val="22"/>
          <w:shd w:val="clear" w:color="auto" w:fill="CCCCCC"/>
        </w:rPr>
      </w:pPr>
      <w:r w:rsidRPr="00012DBE">
        <w:rPr>
          <w:sz w:val="22"/>
          <w:szCs w:val="22"/>
          <w:highlight w:val="lightGray"/>
        </w:rPr>
        <w:t>2D brūkšninis kodas su nurodytu unikaliu identifikatoriumi.</w:t>
      </w:r>
    </w:p>
    <w:p w14:paraId="4D15199B" w14:textId="77777777" w:rsidR="00DA309A" w:rsidRPr="00051FD3" w:rsidRDefault="00DA309A" w:rsidP="00DA309A">
      <w:pPr>
        <w:tabs>
          <w:tab w:val="left" w:pos="567"/>
        </w:tabs>
        <w:rPr>
          <w:noProof/>
          <w:snapToGrid w:val="0"/>
          <w:vanish/>
          <w:sz w:val="22"/>
          <w:szCs w:val="22"/>
        </w:rPr>
      </w:pPr>
    </w:p>
    <w:p w14:paraId="3D842ACC" w14:textId="77777777" w:rsidR="00DA309A" w:rsidRPr="00012DBE" w:rsidRDefault="00DA309A" w:rsidP="00DA309A">
      <w:pPr>
        <w:tabs>
          <w:tab w:val="left" w:pos="567"/>
        </w:tabs>
        <w:rPr>
          <w:noProof/>
          <w:snapToGrid w:val="0"/>
          <w:sz w:val="22"/>
          <w:szCs w:val="22"/>
        </w:rPr>
      </w:pPr>
    </w:p>
    <w:p w14:paraId="126AA5A2" w14:textId="77777777" w:rsidR="00DA309A" w:rsidRPr="003A7BC8" w:rsidRDefault="00DA309A" w:rsidP="00DA309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rPr>
      </w:pPr>
      <w:r w:rsidRPr="003A7BC8">
        <w:rPr>
          <w:b/>
          <w:noProof/>
          <w:snapToGrid w:val="0"/>
          <w:sz w:val="22"/>
          <w:szCs w:val="22"/>
        </w:rPr>
        <w:t>18.</w:t>
      </w:r>
      <w:r w:rsidRPr="003A7BC8">
        <w:rPr>
          <w:b/>
          <w:noProof/>
          <w:snapToGrid w:val="0"/>
          <w:sz w:val="22"/>
          <w:szCs w:val="22"/>
        </w:rPr>
        <w:tab/>
        <w:t>UNIKALUS IDENTIFIKATORIUS – ŽMONĖMS SUPRANTAMI DUOMENYS</w:t>
      </w:r>
    </w:p>
    <w:p w14:paraId="2061034E" w14:textId="77777777" w:rsidR="00DA309A" w:rsidRPr="003A7BC8" w:rsidRDefault="00DA309A" w:rsidP="00DA309A">
      <w:pPr>
        <w:tabs>
          <w:tab w:val="left" w:pos="567"/>
        </w:tabs>
        <w:rPr>
          <w:noProof/>
          <w:snapToGrid w:val="0"/>
          <w:sz w:val="22"/>
          <w:szCs w:val="22"/>
        </w:rPr>
      </w:pPr>
    </w:p>
    <w:p w14:paraId="44C89DCE" w14:textId="77777777" w:rsidR="0067591F" w:rsidRPr="00051FD3" w:rsidRDefault="0067591F" w:rsidP="00DA309A">
      <w:pPr>
        <w:tabs>
          <w:tab w:val="left" w:pos="567"/>
        </w:tabs>
        <w:rPr>
          <w:snapToGrid w:val="0"/>
          <w:sz w:val="22"/>
          <w:szCs w:val="22"/>
        </w:rPr>
      </w:pPr>
      <w:r w:rsidRPr="003A7BC8">
        <w:rPr>
          <w:b/>
          <w:sz w:val="22"/>
          <w:szCs w:val="22"/>
          <w:highlight w:val="lightGray"/>
        </w:rPr>
        <w:t>Jeigu nėra išorinės dėžutės</w:t>
      </w:r>
    </w:p>
    <w:p w14:paraId="5F5AB2D6" w14:textId="77777777" w:rsidR="00DA309A" w:rsidRPr="00051FD3" w:rsidRDefault="00DA309A" w:rsidP="00DA309A">
      <w:pPr>
        <w:tabs>
          <w:tab w:val="left" w:pos="567"/>
        </w:tabs>
        <w:rPr>
          <w:snapToGrid w:val="0"/>
          <w:sz w:val="22"/>
          <w:szCs w:val="22"/>
        </w:rPr>
      </w:pPr>
      <w:r w:rsidRPr="00051FD3">
        <w:rPr>
          <w:snapToGrid w:val="0"/>
          <w:sz w:val="22"/>
          <w:szCs w:val="22"/>
        </w:rPr>
        <w:t xml:space="preserve">PC: {numeris} </w:t>
      </w:r>
    </w:p>
    <w:p w14:paraId="358BB521" w14:textId="77777777" w:rsidR="00DA309A" w:rsidRPr="00051FD3" w:rsidRDefault="00DA309A" w:rsidP="00DA309A">
      <w:pPr>
        <w:tabs>
          <w:tab w:val="left" w:pos="567"/>
        </w:tabs>
        <w:rPr>
          <w:snapToGrid w:val="0"/>
          <w:sz w:val="22"/>
          <w:szCs w:val="22"/>
        </w:rPr>
      </w:pPr>
      <w:r w:rsidRPr="00051FD3">
        <w:rPr>
          <w:snapToGrid w:val="0"/>
          <w:sz w:val="22"/>
          <w:szCs w:val="22"/>
        </w:rPr>
        <w:t xml:space="preserve">SN: {numeris} </w:t>
      </w:r>
    </w:p>
    <w:p w14:paraId="4BB0705B" w14:textId="77777777" w:rsidR="007F39B7" w:rsidRPr="00051FD3" w:rsidRDefault="00DA309A" w:rsidP="00DA309A">
      <w:pPr>
        <w:tabs>
          <w:tab w:val="left" w:pos="567"/>
        </w:tabs>
        <w:rPr>
          <w:sz w:val="22"/>
          <w:szCs w:val="22"/>
        </w:rPr>
      </w:pPr>
      <w:r w:rsidRPr="00012DBE">
        <w:rPr>
          <w:sz w:val="22"/>
          <w:szCs w:val="22"/>
          <w:highlight w:val="lightGray"/>
        </w:rPr>
        <w:t>NN: {numeris}</w:t>
      </w:r>
    </w:p>
    <w:p w14:paraId="4AD323D5" w14:textId="77777777" w:rsidR="007F39B7" w:rsidRPr="00051FD3" w:rsidRDefault="007F39B7" w:rsidP="007F39B7">
      <w:pPr>
        <w:rPr>
          <w:sz w:val="22"/>
          <w:szCs w:val="22"/>
        </w:rPr>
      </w:pPr>
      <w:r w:rsidRPr="00051FD3">
        <w:rPr>
          <w:sz w:val="22"/>
          <w:szCs w:val="22"/>
        </w:rPr>
        <w:br w:type="page"/>
      </w:r>
    </w:p>
    <w:p w14:paraId="211274E1" w14:textId="77777777" w:rsidR="007F39B7" w:rsidRPr="00051FD3" w:rsidRDefault="007F39B7" w:rsidP="007F39B7">
      <w:pPr>
        <w:rPr>
          <w:sz w:val="22"/>
          <w:szCs w:val="22"/>
        </w:rPr>
      </w:pPr>
    </w:p>
    <w:p w14:paraId="5C1A8EB0" w14:textId="77777777" w:rsidR="007F39B7" w:rsidRPr="00051FD3" w:rsidRDefault="007F39B7" w:rsidP="007F39B7">
      <w:pPr>
        <w:rPr>
          <w:sz w:val="22"/>
          <w:szCs w:val="22"/>
        </w:rPr>
      </w:pPr>
    </w:p>
    <w:p w14:paraId="01E0E390" w14:textId="77777777" w:rsidR="007F39B7" w:rsidRPr="00051FD3" w:rsidRDefault="007F39B7" w:rsidP="007F39B7">
      <w:pPr>
        <w:rPr>
          <w:sz w:val="22"/>
          <w:szCs w:val="22"/>
        </w:rPr>
      </w:pPr>
    </w:p>
    <w:p w14:paraId="2B86B4D3" w14:textId="77777777" w:rsidR="007F39B7" w:rsidRPr="00051FD3" w:rsidRDefault="007F39B7" w:rsidP="007F39B7">
      <w:pPr>
        <w:rPr>
          <w:sz w:val="22"/>
          <w:szCs w:val="22"/>
        </w:rPr>
      </w:pPr>
    </w:p>
    <w:p w14:paraId="69D3CE41" w14:textId="77777777" w:rsidR="007F39B7" w:rsidRPr="00051FD3" w:rsidRDefault="007F39B7" w:rsidP="007F39B7">
      <w:pPr>
        <w:rPr>
          <w:sz w:val="22"/>
          <w:szCs w:val="22"/>
        </w:rPr>
      </w:pPr>
    </w:p>
    <w:p w14:paraId="7D9C8F04" w14:textId="77777777" w:rsidR="007F39B7" w:rsidRPr="00051FD3" w:rsidRDefault="007F39B7" w:rsidP="007F39B7">
      <w:pPr>
        <w:rPr>
          <w:sz w:val="22"/>
          <w:szCs w:val="22"/>
        </w:rPr>
      </w:pPr>
    </w:p>
    <w:p w14:paraId="7A2792DF" w14:textId="77777777" w:rsidR="007F39B7" w:rsidRPr="00051FD3" w:rsidRDefault="007F39B7" w:rsidP="007F39B7">
      <w:pPr>
        <w:rPr>
          <w:sz w:val="22"/>
          <w:szCs w:val="22"/>
        </w:rPr>
      </w:pPr>
    </w:p>
    <w:p w14:paraId="5B3A701E" w14:textId="77777777" w:rsidR="007F39B7" w:rsidRPr="00051FD3" w:rsidRDefault="007F39B7" w:rsidP="007F39B7">
      <w:pPr>
        <w:rPr>
          <w:sz w:val="22"/>
          <w:szCs w:val="22"/>
        </w:rPr>
      </w:pPr>
    </w:p>
    <w:p w14:paraId="6BEC1985" w14:textId="77777777" w:rsidR="007F39B7" w:rsidRPr="00051FD3" w:rsidRDefault="007F39B7" w:rsidP="007F39B7">
      <w:pPr>
        <w:rPr>
          <w:noProof/>
          <w:sz w:val="22"/>
          <w:szCs w:val="22"/>
        </w:rPr>
      </w:pPr>
    </w:p>
    <w:p w14:paraId="5B9BEF5D" w14:textId="77777777" w:rsidR="007F39B7" w:rsidRPr="00051FD3" w:rsidRDefault="007F39B7" w:rsidP="007F39B7">
      <w:pPr>
        <w:rPr>
          <w:noProof/>
          <w:sz w:val="22"/>
          <w:szCs w:val="22"/>
        </w:rPr>
      </w:pPr>
    </w:p>
    <w:p w14:paraId="083A99EE" w14:textId="77777777" w:rsidR="007F39B7" w:rsidRPr="00051FD3" w:rsidRDefault="007F39B7" w:rsidP="007F39B7">
      <w:pPr>
        <w:rPr>
          <w:sz w:val="22"/>
          <w:szCs w:val="22"/>
        </w:rPr>
      </w:pPr>
    </w:p>
    <w:p w14:paraId="4B2FFC74" w14:textId="77777777" w:rsidR="007F39B7" w:rsidRPr="00051FD3" w:rsidRDefault="007F39B7" w:rsidP="007F39B7">
      <w:pPr>
        <w:rPr>
          <w:sz w:val="22"/>
          <w:szCs w:val="22"/>
        </w:rPr>
      </w:pPr>
    </w:p>
    <w:p w14:paraId="0AF4C270" w14:textId="77777777" w:rsidR="007F39B7" w:rsidRPr="00051FD3" w:rsidRDefault="007F39B7" w:rsidP="007F39B7">
      <w:pPr>
        <w:rPr>
          <w:sz w:val="22"/>
          <w:szCs w:val="22"/>
        </w:rPr>
      </w:pPr>
    </w:p>
    <w:p w14:paraId="6AD4036C" w14:textId="77777777" w:rsidR="007F39B7" w:rsidRPr="00051FD3" w:rsidRDefault="007F39B7" w:rsidP="007F39B7">
      <w:pPr>
        <w:rPr>
          <w:sz w:val="22"/>
          <w:szCs w:val="22"/>
        </w:rPr>
      </w:pPr>
    </w:p>
    <w:p w14:paraId="6294440A" w14:textId="77777777" w:rsidR="007F39B7" w:rsidRPr="00051FD3" w:rsidRDefault="007F39B7" w:rsidP="007F39B7">
      <w:pPr>
        <w:rPr>
          <w:sz w:val="22"/>
          <w:szCs w:val="22"/>
        </w:rPr>
      </w:pPr>
    </w:p>
    <w:p w14:paraId="6D030C92" w14:textId="77777777" w:rsidR="007F39B7" w:rsidRPr="00051FD3" w:rsidRDefault="007F39B7" w:rsidP="007F39B7">
      <w:pPr>
        <w:rPr>
          <w:sz w:val="22"/>
          <w:szCs w:val="22"/>
        </w:rPr>
      </w:pPr>
    </w:p>
    <w:p w14:paraId="29062E2F" w14:textId="77777777" w:rsidR="007F39B7" w:rsidRPr="00051FD3" w:rsidRDefault="007F39B7" w:rsidP="007F39B7">
      <w:pPr>
        <w:rPr>
          <w:sz w:val="22"/>
          <w:szCs w:val="22"/>
        </w:rPr>
      </w:pPr>
    </w:p>
    <w:p w14:paraId="6D267F56" w14:textId="77777777" w:rsidR="007F39B7" w:rsidRPr="00051FD3" w:rsidRDefault="007F39B7" w:rsidP="007F39B7">
      <w:pPr>
        <w:rPr>
          <w:sz w:val="22"/>
          <w:szCs w:val="22"/>
        </w:rPr>
      </w:pPr>
    </w:p>
    <w:p w14:paraId="78F00445" w14:textId="77777777" w:rsidR="007F39B7" w:rsidRPr="00051FD3" w:rsidRDefault="007F39B7" w:rsidP="007F39B7">
      <w:pPr>
        <w:rPr>
          <w:sz w:val="22"/>
          <w:szCs w:val="22"/>
        </w:rPr>
      </w:pPr>
    </w:p>
    <w:p w14:paraId="2AE0B8FD" w14:textId="77777777" w:rsidR="007F39B7" w:rsidRPr="00051FD3" w:rsidRDefault="007F39B7" w:rsidP="007F39B7">
      <w:pPr>
        <w:rPr>
          <w:sz w:val="22"/>
          <w:szCs w:val="22"/>
        </w:rPr>
      </w:pPr>
    </w:p>
    <w:p w14:paraId="0A25875F" w14:textId="77777777" w:rsidR="007F39B7" w:rsidRPr="00051FD3" w:rsidRDefault="007F39B7" w:rsidP="007F39B7">
      <w:pPr>
        <w:rPr>
          <w:sz w:val="22"/>
          <w:szCs w:val="22"/>
        </w:rPr>
      </w:pPr>
    </w:p>
    <w:p w14:paraId="5CC70999" w14:textId="77777777" w:rsidR="007F39B7" w:rsidRPr="00051FD3" w:rsidRDefault="007F39B7" w:rsidP="007F39B7">
      <w:pPr>
        <w:rPr>
          <w:sz w:val="22"/>
          <w:szCs w:val="22"/>
        </w:rPr>
      </w:pPr>
    </w:p>
    <w:p w14:paraId="5AC8145D" w14:textId="77777777" w:rsidR="007F39B7" w:rsidRPr="00051FD3" w:rsidRDefault="007F39B7" w:rsidP="007F39B7">
      <w:pPr>
        <w:jc w:val="center"/>
        <w:rPr>
          <w:b/>
          <w:sz w:val="22"/>
          <w:szCs w:val="22"/>
        </w:rPr>
      </w:pPr>
      <w:bookmarkStart w:id="4" w:name="_Toc129243137"/>
      <w:bookmarkStart w:id="5" w:name="_Toc129243262"/>
      <w:r w:rsidRPr="00051FD3">
        <w:rPr>
          <w:b/>
          <w:sz w:val="22"/>
          <w:szCs w:val="22"/>
        </w:rPr>
        <w:t>B. PAKUOTĖS LAPELIS</w:t>
      </w:r>
      <w:bookmarkEnd w:id="4"/>
      <w:bookmarkEnd w:id="5"/>
    </w:p>
    <w:p w14:paraId="48C20F33" w14:textId="77777777" w:rsidR="007F39B7" w:rsidRPr="00051FD3" w:rsidRDefault="007F39B7" w:rsidP="007F39B7">
      <w:pPr>
        <w:jc w:val="center"/>
        <w:rPr>
          <w:b/>
          <w:sz w:val="22"/>
          <w:szCs w:val="22"/>
        </w:rPr>
      </w:pPr>
      <w:r w:rsidRPr="00051FD3">
        <w:rPr>
          <w:b/>
          <w:bCs/>
          <w:caps/>
          <w:sz w:val="22"/>
          <w:szCs w:val="22"/>
        </w:rPr>
        <w:br w:type="page"/>
      </w:r>
      <w:r w:rsidRPr="00051FD3">
        <w:rPr>
          <w:b/>
          <w:sz w:val="22"/>
          <w:szCs w:val="22"/>
        </w:rPr>
        <w:lastRenderedPageBreak/>
        <w:t>Pakuotės lapelis:</w:t>
      </w:r>
      <w:r w:rsidRPr="00051FD3">
        <w:rPr>
          <w:b/>
          <w:noProof/>
          <w:sz w:val="22"/>
          <w:szCs w:val="22"/>
        </w:rPr>
        <w:t xml:space="preserve"> </w:t>
      </w:r>
      <w:r w:rsidRPr="00051FD3">
        <w:rPr>
          <w:b/>
          <w:sz w:val="22"/>
          <w:szCs w:val="22"/>
        </w:rPr>
        <w:t>informacija pacientui</w:t>
      </w:r>
    </w:p>
    <w:p w14:paraId="57CDE214" w14:textId="77777777" w:rsidR="007F39B7" w:rsidRPr="00051FD3" w:rsidRDefault="007F39B7" w:rsidP="007F39B7">
      <w:pPr>
        <w:jc w:val="center"/>
        <w:rPr>
          <w:b/>
          <w:sz w:val="22"/>
          <w:szCs w:val="22"/>
        </w:rPr>
      </w:pPr>
    </w:p>
    <w:p w14:paraId="10670F35" w14:textId="77777777" w:rsidR="007F39B7" w:rsidRPr="00051FD3" w:rsidRDefault="007F39B7" w:rsidP="00D26C86">
      <w:pPr>
        <w:shd w:val="clear" w:color="auto" w:fill="FFFFFF"/>
        <w:tabs>
          <w:tab w:val="left" w:pos="3060"/>
        </w:tabs>
        <w:autoSpaceDE w:val="0"/>
        <w:autoSpaceDN w:val="0"/>
        <w:adjustRightInd w:val="0"/>
        <w:jc w:val="center"/>
        <w:rPr>
          <w:b/>
          <w:sz w:val="22"/>
          <w:szCs w:val="22"/>
        </w:rPr>
      </w:pPr>
      <w:proofErr w:type="spellStart"/>
      <w:r w:rsidRPr="00051FD3">
        <w:rPr>
          <w:b/>
          <w:sz w:val="22"/>
          <w:szCs w:val="22"/>
        </w:rPr>
        <w:t>Telmisartan</w:t>
      </w:r>
      <w:proofErr w:type="spellEnd"/>
      <w:r w:rsidRPr="00051FD3">
        <w:rPr>
          <w:b/>
          <w:sz w:val="22"/>
          <w:szCs w:val="22"/>
        </w:rPr>
        <w:t>/</w:t>
      </w:r>
      <w:proofErr w:type="spellStart"/>
      <w:r w:rsidRPr="00051FD3">
        <w:rPr>
          <w:b/>
          <w:sz w:val="22"/>
          <w:szCs w:val="22"/>
        </w:rPr>
        <w:t>Hydrochlorothiazide</w:t>
      </w:r>
      <w:proofErr w:type="spellEnd"/>
      <w:r w:rsidRPr="00051FD3">
        <w:rPr>
          <w:b/>
          <w:sz w:val="22"/>
          <w:szCs w:val="22"/>
        </w:rPr>
        <w:t xml:space="preserve"> </w:t>
      </w:r>
      <w:proofErr w:type="spellStart"/>
      <w:r w:rsidRPr="00051FD3">
        <w:rPr>
          <w:b/>
          <w:sz w:val="22"/>
          <w:szCs w:val="22"/>
        </w:rPr>
        <w:t>Teva</w:t>
      </w:r>
      <w:proofErr w:type="spellEnd"/>
      <w:r w:rsidRPr="00051FD3">
        <w:rPr>
          <w:b/>
          <w:sz w:val="22"/>
          <w:szCs w:val="22"/>
        </w:rPr>
        <w:t xml:space="preserve"> Pharma 80 mg/12,5 mg tabletės</w:t>
      </w:r>
    </w:p>
    <w:p w14:paraId="296E7913" w14:textId="57EF69D3" w:rsidR="007F39B7" w:rsidRPr="00051FD3" w:rsidRDefault="00CD780F" w:rsidP="007F39B7">
      <w:pPr>
        <w:autoSpaceDE w:val="0"/>
        <w:autoSpaceDN w:val="0"/>
        <w:adjustRightInd w:val="0"/>
        <w:jc w:val="center"/>
        <w:rPr>
          <w:sz w:val="22"/>
          <w:szCs w:val="22"/>
          <w:lang w:eastAsia="lt-LT"/>
        </w:rPr>
      </w:pPr>
      <w:proofErr w:type="spellStart"/>
      <w:r w:rsidRPr="00051FD3">
        <w:rPr>
          <w:sz w:val="22"/>
          <w:szCs w:val="22"/>
          <w:lang w:eastAsia="lt-LT"/>
        </w:rPr>
        <w:t>t</w:t>
      </w:r>
      <w:r w:rsidR="007F39B7" w:rsidRPr="00051FD3">
        <w:rPr>
          <w:sz w:val="22"/>
          <w:szCs w:val="22"/>
          <w:lang w:eastAsia="lt-LT"/>
        </w:rPr>
        <w:t>elmisartanas</w:t>
      </w:r>
      <w:proofErr w:type="spellEnd"/>
      <w:r w:rsidR="007F39B7" w:rsidRPr="00051FD3">
        <w:rPr>
          <w:sz w:val="22"/>
          <w:szCs w:val="22"/>
          <w:lang w:eastAsia="lt-LT"/>
        </w:rPr>
        <w:t>/</w:t>
      </w:r>
      <w:proofErr w:type="spellStart"/>
      <w:r w:rsidRPr="00051FD3">
        <w:rPr>
          <w:sz w:val="22"/>
          <w:szCs w:val="22"/>
          <w:lang w:eastAsia="lt-LT"/>
        </w:rPr>
        <w:t>h</w:t>
      </w:r>
      <w:r w:rsidR="007F39B7" w:rsidRPr="00051FD3">
        <w:rPr>
          <w:sz w:val="22"/>
          <w:szCs w:val="22"/>
          <w:lang w:eastAsia="lt-LT"/>
        </w:rPr>
        <w:t>idrochlorotiazidas</w:t>
      </w:r>
      <w:proofErr w:type="spellEnd"/>
    </w:p>
    <w:p w14:paraId="0E278F2B" w14:textId="77777777" w:rsidR="007F39B7" w:rsidRPr="00051FD3" w:rsidRDefault="007F39B7" w:rsidP="007F39B7">
      <w:pPr>
        <w:autoSpaceDE w:val="0"/>
        <w:autoSpaceDN w:val="0"/>
        <w:adjustRightInd w:val="0"/>
        <w:rPr>
          <w:b/>
          <w:bCs/>
          <w:sz w:val="22"/>
          <w:szCs w:val="22"/>
          <w:lang w:eastAsia="lt-LT"/>
        </w:rPr>
      </w:pPr>
    </w:p>
    <w:p w14:paraId="1EAC201E" w14:textId="77777777" w:rsidR="007F39B7" w:rsidRPr="00051FD3" w:rsidRDefault="007F39B7" w:rsidP="007F39B7">
      <w:pPr>
        <w:autoSpaceDE w:val="0"/>
        <w:autoSpaceDN w:val="0"/>
        <w:adjustRightInd w:val="0"/>
        <w:rPr>
          <w:b/>
          <w:bCs/>
          <w:sz w:val="22"/>
          <w:szCs w:val="22"/>
          <w:lang w:eastAsia="lt-LT"/>
        </w:rPr>
      </w:pPr>
      <w:r w:rsidRPr="00051FD3">
        <w:rPr>
          <w:b/>
          <w:bCs/>
          <w:sz w:val="22"/>
          <w:szCs w:val="22"/>
          <w:lang w:eastAsia="lt-LT"/>
        </w:rPr>
        <w:t>Atidžiai perskaitykite visą šį lapelį, prieš pradėdami vartoti vaistą, nes jame pateikiama Jums svarbi informacija.</w:t>
      </w:r>
    </w:p>
    <w:p w14:paraId="4C58DAEA" w14:textId="77777777" w:rsidR="007F39B7" w:rsidRPr="00051FD3" w:rsidRDefault="007F39B7" w:rsidP="007F39B7">
      <w:pPr>
        <w:numPr>
          <w:ilvl w:val="0"/>
          <w:numId w:val="20"/>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Neišmeskite šio lapelio, nes vėl gali prireikti jį perskaityti.</w:t>
      </w:r>
    </w:p>
    <w:p w14:paraId="07D32FCF" w14:textId="77777777" w:rsidR="007F39B7" w:rsidRPr="00051FD3" w:rsidRDefault="007F39B7" w:rsidP="007F39B7">
      <w:pPr>
        <w:numPr>
          <w:ilvl w:val="0"/>
          <w:numId w:val="20"/>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Jeigu kiltų daugiau klausimų, kreipkitės į gydytoją arba vaistininką.</w:t>
      </w:r>
    </w:p>
    <w:p w14:paraId="4BDDC1C9" w14:textId="77777777" w:rsidR="007F39B7" w:rsidRPr="00051FD3" w:rsidRDefault="007F39B7" w:rsidP="007F39B7">
      <w:pPr>
        <w:numPr>
          <w:ilvl w:val="0"/>
          <w:numId w:val="20"/>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Šis vaistas skirtas tik Jums, todėl kitiems žmonėms jo duoti negalima. Vaistas gali jiems pakenkti (net tiems, kurių ligos požymiai yra tokie patys kaip Jūsų).</w:t>
      </w:r>
    </w:p>
    <w:p w14:paraId="15600E98" w14:textId="77777777" w:rsidR="007F39B7" w:rsidRPr="00051FD3" w:rsidRDefault="007F39B7" w:rsidP="007F39B7">
      <w:pPr>
        <w:numPr>
          <w:ilvl w:val="0"/>
          <w:numId w:val="20"/>
        </w:numPr>
        <w:tabs>
          <w:tab w:val="clear" w:pos="720"/>
          <w:tab w:val="num" w:pos="567"/>
        </w:tabs>
        <w:autoSpaceDE w:val="0"/>
        <w:autoSpaceDN w:val="0"/>
        <w:adjustRightInd w:val="0"/>
        <w:ind w:left="567" w:hanging="567"/>
        <w:rPr>
          <w:sz w:val="22"/>
          <w:szCs w:val="22"/>
          <w:lang w:eastAsia="lt-LT"/>
        </w:rPr>
      </w:pPr>
      <w:r w:rsidRPr="00051FD3">
        <w:rPr>
          <w:sz w:val="22"/>
          <w:szCs w:val="22"/>
          <w:lang w:eastAsia="lt-LT"/>
        </w:rPr>
        <w:t>Jeigu pasireiškė šalutinis poveikis (net jeigu jis šiame lapelyje nenurodytas) kreipkitės į gydytoją arba vaistininką. Žr. 4 skyrių.</w:t>
      </w:r>
    </w:p>
    <w:p w14:paraId="211C9724" w14:textId="77777777" w:rsidR="007F39B7" w:rsidRPr="00051FD3" w:rsidRDefault="007F39B7" w:rsidP="007F39B7">
      <w:pPr>
        <w:autoSpaceDE w:val="0"/>
        <w:autoSpaceDN w:val="0"/>
        <w:adjustRightInd w:val="0"/>
        <w:rPr>
          <w:b/>
          <w:bCs/>
          <w:sz w:val="22"/>
          <w:szCs w:val="22"/>
          <w:lang w:eastAsia="lt-LT"/>
        </w:rPr>
      </w:pPr>
    </w:p>
    <w:p w14:paraId="60DF0336" w14:textId="77777777" w:rsidR="007F39B7" w:rsidRPr="00051FD3" w:rsidRDefault="007F39B7" w:rsidP="007F39B7">
      <w:pPr>
        <w:autoSpaceDE w:val="0"/>
        <w:autoSpaceDN w:val="0"/>
        <w:adjustRightInd w:val="0"/>
        <w:rPr>
          <w:b/>
          <w:bCs/>
          <w:sz w:val="22"/>
          <w:szCs w:val="22"/>
          <w:lang w:eastAsia="lt-LT"/>
        </w:rPr>
      </w:pPr>
    </w:p>
    <w:p w14:paraId="668B253A" w14:textId="77777777" w:rsidR="007F39B7" w:rsidRPr="00051FD3" w:rsidRDefault="007F39B7" w:rsidP="007F39B7">
      <w:pPr>
        <w:autoSpaceDE w:val="0"/>
        <w:autoSpaceDN w:val="0"/>
        <w:adjustRightInd w:val="0"/>
        <w:rPr>
          <w:b/>
          <w:bCs/>
          <w:sz w:val="22"/>
          <w:szCs w:val="22"/>
          <w:lang w:eastAsia="lt-LT"/>
        </w:rPr>
      </w:pPr>
      <w:r w:rsidRPr="00051FD3">
        <w:rPr>
          <w:b/>
          <w:sz w:val="22"/>
          <w:szCs w:val="22"/>
        </w:rPr>
        <w:t>Apie ką rašoma šiame lapelyje?</w:t>
      </w:r>
    </w:p>
    <w:p w14:paraId="03201085" w14:textId="77777777" w:rsidR="007F39B7" w:rsidRPr="00051FD3" w:rsidRDefault="007F39B7" w:rsidP="007F39B7">
      <w:pPr>
        <w:autoSpaceDE w:val="0"/>
        <w:autoSpaceDN w:val="0"/>
        <w:adjustRightInd w:val="0"/>
        <w:ind w:left="567" w:hanging="567"/>
        <w:rPr>
          <w:sz w:val="22"/>
          <w:szCs w:val="22"/>
          <w:lang w:eastAsia="lt-LT"/>
        </w:rPr>
      </w:pPr>
      <w:r w:rsidRPr="00051FD3">
        <w:rPr>
          <w:sz w:val="22"/>
          <w:szCs w:val="22"/>
          <w:lang w:eastAsia="lt-LT"/>
        </w:rPr>
        <w:t>1.</w:t>
      </w:r>
      <w:r w:rsidRPr="00051FD3">
        <w:rPr>
          <w:sz w:val="22"/>
          <w:szCs w:val="22"/>
          <w:lang w:eastAsia="lt-LT"/>
        </w:rPr>
        <w:tab/>
        <w:t xml:space="preserve">Kas yra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ir kam jis vartojamas</w:t>
      </w:r>
    </w:p>
    <w:p w14:paraId="002667C2" w14:textId="77777777" w:rsidR="007F39B7" w:rsidRPr="00051FD3" w:rsidRDefault="007F39B7" w:rsidP="007F39B7">
      <w:pPr>
        <w:autoSpaceDE w:val="0"/>
        <w:autoSpaceDN w:val="0"/>
        <w:adjustRightInd w:val="0"/>
        <w:ind w:left="567" w:hanging="567"/>
        <w:rPr>
          <w:sz w:val="22"/>
          <w:szCs w:val="22"/>
          <w:lang w:eastAsia="lt-LT"/>
        </w:rPr>
      </w:pPr>
      <w:r w:rsidRPr="00051FD3">
        <w:rPr>
          <w:sz w:val="22"/>
          <w:szCs w:val="22"/>
          <w:lang w:eastAsia="lt-LT"/>
        </w:rPr>
        <w:t>2.</w:t>
      </w:r>
      <w:r w:rsidRPr="00051FD3">
        <w:rPr>
          <w:sz w:val="22"/>
          <w:szCs w:val="22"/>
          <w:lang w:eastAsia="lt-LT"/>
        </w:rPr>
        <w:tab/>
        <w:t xml:space="preserve">Kas žinotina prieš vartojant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5C671BC0" w14:textId="77777777" w:rsidR="007F39B7" w:rsidRPr="00051FD3" w:rsidRDefault="007F39B7" w:rsidP="007F39B7">
      <w:pPr>
        <w:autoSpaceDE w:val="0"/>
        <w:autoSpaceDN w:val="0"/>
        <w:adjustRightInd w:val="0"/>
        <w:ind w:left="567" w:hanging="567"/>
        <w:rPr>
          <w:sz w:val="22"/>
          <w:szCs w:val="22"/>
          <w:lang w:eastAsia="lt-LT"/>
        </w:rPr>
      </w:pPr>
      <w:r w:rsidRPr="00051FD3">
        <w:rPr>
          <w:sz w:val="22"/>
          <w:szCs w:val="22"/>
          <w:lang w:eastAsia="lt-LT"/>
        </w:rPr>
        <w:t>3.</w:t>
      </w:r>
      <w:r w:rsidRPr="00051FD3">
        <w:rPr>
          <w:sz w:val="22"/>
          <w:szCs w:val="22"/>
          <w:lang w:eastAsia="lt-LT"/>
        </w:rPr>
        <w:tab/>
        <w:t xml:space="preserve">Kaip vartoti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7AA06DE8" w14:textId="77777777" w:rsidR="007F39B7" w:rsidRPr="00051FD3" w:rsidRDefault="007F39B7" w:rsidP="007F39B7">
      <w:pPr>
        <w:autoSpaceDE w:val="0"/>
        <w:autoSpaceDN w:val="0"/>
        <w:adjustRightInd w:val="0"/>
        <w:ind w:left="567" w:hanging="567"/>
        <w:rPr>
          <w:sz w:val="22"/>
          <w:szCs w:val="22"/>
          <w:lang w:eastAsia="lt-LT"/>
        </w:rPr>
      </w:pPr>
      <w:r w:rsidRPr="00051FD3">
        <w:rPr>
          <w:sz w:val="22"/>
          <w:szCs w:val="22"/>
          <w:lang w:eastAsia="lt-LT"/>
        </w:rPr>
        <w:t>4.</w:t>
      </w:r>
      <w:r w:rsidRPr="00051FD3">
        <w:rPr>
          <w:sz w:val="22"/>
          <w:szCs w:val="22"/>
          <w:lang w:eastAsia="lt-LT"/>
        </w:rPr>
        <w:tab/>
        <w:t>Galimas šalutinis poveikis</w:t>
      </w:r>
    </w:p>
    <w:p w14:paraId="77A55311" w14:textId="77777777" w:rsidR="007F39B7" w:rsidRPr="00051FD3" w:rsidRDefault="007F39B7" w:rsidP="007F39B7">
      <w:pPr>
        <w:autoSpaceDE w:val="0"/>
        <w:autoSpaceDN w:val="0"/>
        <w:adjustRightInd w:val="0"/>
        <w:ind w:left="567" w:hanging="567"/>
        <w:rPr>
          <w:sz w:val="22"/>
          <w:szCs w:val="22"/>
          <w:lang w:eastAsia="lt-LT"/>
        </w:rPr>
      </w:pPr>
      <w:r w:rsidRPr="00051FD3">
        <w:rPr>
          <w:sz w:val="22"/>
          <w:szCs w:val="22"/>
          <w:lang w:eastAsia="lt-LT"/>
        </w:rPr>
        <w:t>5.</w:t>
      </w:r>
      <w:r w:rsidRPr="00051FD3">
        <w:rPr>
          <w:sz w:val="22"/>
          <w:szCs w:val="22"/>
          <w:lang w:eastAsia="lt-LT"/>
        </w:rPr>
        <w:tab/>
        <w:t xml:space="preserve">Kaip laikyti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1C70A1B3" w14:textId="77777777" w:rsidR="007F39B7" w:rsidRPr="00051FD3" w:rsidRDefault="007F39B7" w:rsidP="007F39B7">
      <w:pPr>
        <w:autoSpaceDE w:val="0"/>
        <w:autoSpaceDN w:val="0"/>
        <w:adjustRightInd w:val="0"/>
        <w:ind w:left="567" w:hanging="567"/>
        <w:rPr>
          <w:sz w:val="22"/>
          <w:szCs w:val="22"/>
          <w:lang w:eastAsia="lt-LT"/>
        </w:rPr>
      </w:pPr>
      <w:r w:rsidRPr="00051FD3">
        <w:rPr>
          <w:sz w:val="22"/>
          <w:szCs w:val="22"/>
          <w:lang w:eastAsia="lt-LT"/>
        </w:rPr>
        <w:t>6.</w:t>
      </w:r>
      <w:r w:rsidRPr="00051FD3">
        <w:rPr>
          <w:sz w:val="22"/>
          <w:szCs w:val="22"/>
          <w:lang w:eastAsia="lt-LT"/>
        </w:rPr>
        <w:tab/>
        <w:t>Pakuotės turinys ir kita informacija</w:t>
      </w:r>
    </w:p>
    <w:p w14:paraId="27F80082" w14:textId="77777777" w:rsidR="007F39B7" w:rsidRPr="00051FD3" w:rsidRDefault="007F39B7" w:rsidP="007F39B7">
      <w:pPr>
        <w:autoSpaceDE w:val="0"/>
        <w:autoSpaceDN w:val="0"/>
        <w:adjustRightInd w:val="0"/>
        <w:ind w:left="567" w:hanging="567"/>
        <w:rPr>
          <w:b/>
          <w:bCs/>
          <w:sz w:val="22"/>
          <w:szCs w:val="22"/>
          <w:lang w:eastAsia="lt-LT"/>
        </w:rPr>
      </w:pPr>
    </w:p>
    <w:p w14:paraId="703842B5" w14:textId="77777777" w:rsidR="007F39B7" w:rsidRPr="00051FD3" w:rsidRDefault="007F39B7" w:rsidP="007F39B7">
      <w:pPr>
        <w:autoSpaceDE w:val="0"/>
        <w:autoSpaceDN w:val="0"/>
        <w:adjustRightInd w:val="0"/>
        <w:rPr>
          <w:b/>
          <w:bCs/>
          <w:sz w:val="22"/>
          <w:szCs w:val="22"/>
          <w:lang w:eastAsia="lt-LT"/>
        </w:rPr>
      </w:pPr>
    </w:p>
    <w:p w14:paraId="3963FE88" w14:textId="77777777" w:rsidR="007F39B7" w:rsidRPr="00051FD3" w:rsidRDefault="007F39B7" w:rsidP="007F39B7">
      <w:pPr>
        <w:autoSpaceDE w:val="0"/>
        <w:autoSpaceDN w:val="0"/>
        <w:adjustRightInd w:val="0"/>
        <w:rPr>
          <w:b/>
          <w:bCs/>
          <w:sz w:val="22"/>
          <w:szCs w:val="22"/>
          <w:lang w:eastAsia="lt-LT"/>
        </w:rPr>
      </w:pPr>
      <w:r w:rsidRPr="00051FD3">
        <w:rPr>
          <w:b/>
          <w:bCs/>
          <w:sz w:val="22"/>
          <w:szCs w:val="22"/>
          <w:lang w:eastAsia="lt-LT"/>
        </w:rPr>
        <w:t>1.</w:t>
      </w:r>
      <w:r w:rsidRPr="00051FD3">
        <w:rPr>
          <w:b/>
          <w:bCs/>
          <w:sz w:val="22"/>
          <w:szCs w:val="22"/>
          <w:lang w:eastAsia="lt-LT"/>
        </w:rPr>
        <w:tab/>
      </w:r>
      <w:r w:rsidRPr="00051FD3">
        <w:rPr>
          <w:b/>
          <w:sz w:val="22"/>
          <w:szCs w:val="22"/>
          <w:lang w:eastAsia="lt-LT"/>
        </w:rPr>
        <w:t xml:space="preserve">Kas yra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 ir kam jis vartojamas</w:t>
      </w:r>
    </w:p>
    <w:p w14:paraId="4C288D15" w14:textId="77777777" w:rsidR="007F39B7" w:rsidRPr="00051FD3" w:rsidRDefault="007F39B7" w:rsidP="007F39B7">
      <w:pPr>
        <w:autoSpaceDE w:val="0"/>
        <w:autoSpaceDN w:val="0"/>
        <w:adjustRightInd w:val="0"/>
        <w:rPr>
          <w:sz w:val="22"/>
          <w:szCs w:val="22"/>
          <w:lang w:eastAsia="lt-LT"/>
        </w:rPr>
      </w:pPr>
    </w:p>
    <w:p w14:paraId="4AB94B20" w14:textId="77777777" w:rsidR="007F39B7" w:rsidRPr="00051FD3" w:rsidRDefault="007F39B7" w:rsidP="007F39B7">
      <w:pPr>
        <w:autoSpaceDE w:val="0"/>
        <w:autoSpaceDN w:val="0"/>
        <w:adjustRightInd w:val="0"/>
        <w:rPr>
          <w:rFonts w:eastAsia="TimesNewRoman"/>
          <w:sz w:val="22"/>
          <w:szCs w:val="22"/>
        </w:rPr>
      </w:pP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rFonts w:eastAsia="TimesNewRoman"/>
          <w:sz w:val="22"/>
          <w:szCs w:val="22"/>
        </w:rPr>
        <w:t xml:space="preserve"> yra dviejų veikliųjų medžiagų </w:t>
      </w:r>
      <w:proofErr w:type="spellStart"/>
      <w:r w:rsidRPr="00051FD3">
        <w:rPr>
          <w:rFonts w:eastAsia="TimesNewRoman"/>
          <w:sz w:val="22"/>
          <w:szCs w:val="22"/>
        </w:rPr>
        <w:t>telmisartano</w:t>
      </w:r>
      <w:proofErr w:type="spellEnd"/>
      <w:r w:rsidRPr="00051FD3">
        <w:rPr>
          <w:rFonts w:eastAsia="TimesNewRoman"/>
          <w:sz w:val="22"/>
          <w:szCs w:val="22"/>
        </w:rPr>
        <w:t xml:space="preserve"> ir </w:t>
      </w:r>
      <w:proofErr w:type="spellStart"/>
      <w:r w:rsidRPr="00051FD3">
        <w:rPr>
          <w:rFonts w:eastAsia="TimesNewRoman"/>
          <w:sz w:val="22"/>
          <w:szCs w:val="22"/>
        </w:rPr>
        <w:t>hidrochlorotiazido</w:t>
      </w:r>
      <w:proofErr w:type="spellEnd"/>
      <w:r w:rsidRPr="00051FD3">
        <w:rPr>
          <w:rFonts w:eastAsia="TimesNewRoman"/>
          <w:sz w:val="22"/>
          <w:szCs w:val="22"/>
        </w:rPr>
        <w:t xml:space="preserve"> vienoje tabletėje derinys. Abi šios medžiagos padeda kontroliuoti padidėjusio kraujospūdžio ligą.</w:t>
      </w:r>
    </w:p>
    <w:p w14:paraId="4183E510" w14:textId="77777777" w:rsidR="007F39B7" w:rsidRPr="00051FD3" w:rsidRDefault="007F39B7" w:rsidP="007F39B7">
      <w:pPr>
        <w:numPr>
          <w:ilvl w:val="0"/>
          <w:numId w:val="10"/>
        </w:numPr>
        <w:autoSpaceDE w:val="0"/>
        <w:autoSpaceDN w:val="0"/>
        <w:adjustRightInd w:val="0"/>
        <w:ind w:left="567" w:hanging="567"/>
        <w:rPr>
          <w:sz w:val="22"/>
          <w:szCs w:val="22"/>
          <w:lang w:eastAsia="lt-LT"/>
        </w:rPr>
      </w:pPr>
      <w:proofErr w:type="spellStart"/>
      <w:r w:rsidRPr="00051FD3">
        <w:rPr>
          <w:sz w:val="22"/>
          <w:szCs w:val="22"/>
          <w:lang w:eastAsia="lt-LT"/>
        </w:rPr>
        <w:t>Telmisartanas</w:t>
      </w:r>
      <w:proofErr w:type="spellEnd"/>
      <w:r w:rsidRPr="00051FD3">
        <w:rPr>
          <w:sz w:val="22"/>
          <w:szCs w:val="22"/>
          <w:lang w:eastAsia="lt-LT"/>
        </w:rPr>
        <w:t xml:space="preserve"> priklauso vaistų, vadinamų </w:t>
      </w:r>
      <w:proofErr w:type="spellStart"/>
      <w:r w:rsidRPr="00051FD3">
        <w:rPr>
          <w:sz w:val="22"/>
          <w:szCs w:val="22"/>
          <w:lang w:eastAsia="lt-LT"/>
        </w:rPr>
        <w:t>angiotenzino</w:t>
      </w:r>
      <w:proofErr w:type="spellEnd"/>
      <w:r w:rsidRPr="00051FD3">
        <w:rPr>
          <w:sz w:val="22"/>
          <w:szCs w:val="22"/>
          <w:lang w:eastAsia="lt-LT"/>
        </w:rPr>
        <w:t xml:space="preserve"> II receptorių blokatoriais, grupei. </w:t>
      </w:r>
      <w:proofErr w:type="spellStart"/>
      <w:r w:rsidRPr="00051FD3">
        <w:rPr>
          <w:sz w:val="22"/>
          <w:szCs w:val="22"/>
          <w:lang w:eastAsia="lt-LT"/>
        </w:rPr>
        <w:t>Angiotenzinas</w:t>
      </w:r>
      <w:proofErr w:type="spellEnd"/>
      <w:r w:rsidRPr="00051FD3">
        <w:rPr>
          <w:sz w:val="22"/>
          <w:szCs w:val="22"/>
          <w:lang w:eastAsia="lt-LT"/>
        </w:rPr>
        <w:t xml:space="preserve"> II yra Jūsų organizme gaminama medžiaga, kuri sutraukia kraujagysles ir todėl didina kraujospūdį. </w:t>
      </w:r>
      <w:proofErr w:type="spellStart"/>
      <w:r w:rsidRPr="00051FD3">
        <w:rPr>
          <w:sz w:val="22"/>
          <w:szCs w:val="22"/>
          <w:lang w:eastAsia="lt-LT"/>
        </w:rPr>
        <w:t>Telmisartanas</w:t>
      </w:r>
      <w:proofErr w:type="spellEnd"/>
      <w:r w:rsidRPr="00051FD3">
        <w:rPr>
          <w:sz w:val="22"/>
          <w:szCs w:val="22"/>
          <w:lang w:eastAsia="lt-LT"/>
        </w:rPr>
        <w:t xml:space="preserve"> šį </w:t>
      </w:r>
      <w:proofErr w:type="spellStart"/>
      <w:r w:rsidRPr="00051FD3">
        <w:rPr>
          <w:sz w:val="22"/>
          <w:szCs w:val="22"/>
          <w:lang w:eastAsia="lt-LT"/>
        </w:rPr>
        <w:t>angiotenzino</w:t>
      </w:r>
      <w:proofErr w:type="spellEnd"/>
      <w:r w:rsidRPr="00051FD3">
        <w:rPr>
          <w:sz w:val="22"/>
          <w:szCs w:val="22"/>
          <w:lang w:eastAsia="lt-LT"/>
        </w:rPr>
        <w:t xml:space="preserve"> II poveikį blokuoja, todėl lygieji kraujagyslių raumenys atsipalaiduoja yra mažinamas Jūsų kraujospūdis.</w:t>
      </w:r>
    </w:p>
    <w:p w14:paraId="7BF779DD" w14:textId="77777777" w:rsidR="007F39B7" w:rsidRPr="00051FD3" w:rsidRDefault="007F39B7" w:rsidP="007F39B7">
      <w:pPr>
        <w:numPr>
          <w:ilvl w:val="0"/>
          <w:numId w:val="10"/>
        </w:numPr>
        <w:autoSpaceDE w:val="0"/>
        <w:autoSpaceDN w:val="0"/>
        <w:adjustRightInd w:val="0"/>
        <w:ind w:left="567" w:hanging="567"/>
        <w:rPr>
          <w:sz w:val="22"/>
          <w:szCs w:val="22"/>
          <w:lang w:eastAsia="lt-LT"/>
        </w:rPr>
      </w:pPr>
      <w:proofErr w:type="spellStart"/>
      <w:r w:rsidRPr="00051FD3">
        <w:rPr>
          <w:rFonts w:eastAsia="TimesNewRoman"/>
          <w:sz w:val="22"/>
          <w:szCs w:val="22"/>
        </w:rPr>
        <w:t>Hidrochlorotiazidas</w:t>
      </w:r>
      <w:proofErr w:type="spellEnd"/>
      <w:r w:rsidRPr="00051FD3">
        <w:rPr>
          <w:rFonts w:eastAsia="TimesNewRoman"/>
          <w:sz w:val="22"/>
          <w:szCs w:val="22"/>
        </w:rPr>
        <w:t xml:space="preserve"> priklauso vaistų, vadinamų </w:t>
      </w:r>
      <w:proofErr w:type="spellStart"/>
      <w:r w:rsidRPr="00051FD3">
        <w:rPr>
          <w:rFonts w:eastAsia="TimesNewRoman"/>
          <w:sz w:val="22"/>
          <w:szCs w:val="22"/>
        </w:rPr>
        <w:t>tiazidiniais</w:t>
      </w:r>
      <w:proofErr w:type="spellEnd"/>
      <w:r w:rsidRPr="00051FD3">
        <w:rPr>
          <w:rFonts w:eastAsia="TimesNewRoman"/>
          <w:sz w:val="22"/>
          <w:szCs w:val="22"/>
        </w:rPr>
        <w:t xml:space="preserve"> diuretikais, grupei. Jie didina šlapimo išskyrimą, todėl mažinamas Jūsų kraujospūdis</w:t>
      </w:r>
      <w:r w:rsidR="00BE2DA3" w:rsidRPr="00051FD3">
        <w:rPr>
          <w:rFonts w:eastAsia="TimesNewRoman"/>
          <w:sz w:val="22"/>
          <w:szCs w:val="22"/>
        </w:rPr>
        <w:t>.</w:t>
      </w:r>
    </w:p>
    <w:p w14:paraId="600B186E" w14:textId="77777777" w:rsidR="007F39B7" w:rsidRPr="00051FD3" w:rsidRDefault="007F39B7" w:rsidP="007F39B7">
      <w:pPr>
        <w:autoSpaceDE w:val="0"/>
        <w:autoSpaceDN w:val="0"/>
        <w:adjustRightInd w:val="0"/>
        <w:rPr>
          <w:sz w:val="22"/>
          <w:szCs w:val="22"/>
          <w:lang w:eastAsia="lt-LT"/>
        </w:rPr>
      </w:pPr>
    </w:p>
    <w:p w14:paraId="24B52BA0"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Jeigu didelio kraujospūdžio liga negydoma, ji gali pažeisti keleto organų kraujagysles. Kartais dėl to gali ištikti miokardo infarktas, pasireikšti širdies ar inkstų veiklos nepakankamumas, ištikti smegenų insultas arba </w:t>
      </w:r>
      <w:r w:rsidR="00236324" w:rsidRPr="00051FD3">
        <w:rPr>
          <w:sz w:val="22"/>
          <w:szCs w:val="22"/>
          <w:lang w:eastAsia="lt-LT"/>
        </w:rPr>
        <w:t>pacientas</w:t>
      </w:r>
      <w:r w:rsidRPr="00051FD3">
        <w:rPr>
          <w:sz w:val="22"/>
          <w:szCs w:val="22"/>
          <w:lang w:eastAsia="lt-LT"/>
        </w:rPr>
        <w:t xml:space="preserve"> gali apakti. Kol organų funkcija nepažeista, paprastai didelio kraujospūdžio ligos simptomų nebūna. Vadinasi, būtina reguliariai matuoti kraujospūdį, kad būtų galima nustatyti, ar jis nepadidėjęs.</w:t>
      </w:r>
    </w:p>
    <w:p w14:paraId="55574FAC" w14:textId="77777777" w:rsidR="007F39B7" w:rsidRPr="00051FD3" w:rsidRDefault="007F39B7" w:rsidP="007F39B7">
      <w:pPr>
        <w:autoSpaceDE w:val="0"/>
        <w:autoSpaceDN w:val="0"/>
        <w:adjustRightInd w:val="0"/>
        <w:rPr>
          <w:rFonts w:eastAsia="SimSun"/>
          <w:sz w:val="22"/>
          <w:szCs w:val="22"/>
          <w:lang w:eastAsia="is-IS"/>
        </w:rPr>
      </w:pPr>
    </w:p>
    <w:p w14:paraId="11985C51" w14:textId="77777777" w:rsidR="007F39B7" w:rsidRPr="00051FD3" w:rsidRDefault="007F39B7" w:rsidP="007F39B7">
      <w:pPr>
        <w:autoSpaceDE w:val="0"/>
        <w:autoSpaceDN w:val="0"/>
        <w:adjustRightInd w:val="0"/>
        <w:rPr>
          <w:sz w:val="22"/>
          <w:szCs w:val="22"/>
          <w:lang w:eastAsia="lt-LT"/>
        </w:rPr>
      </w:pP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r w:rsidRPr="00051FD3">
        <w:rPr>
          <w:sz w:val="22"/>
          <w:szCs w:val="22"/>
          <w:lang w:eastAsia="lt-LT"/>
        </w:rPr>
        <w:t xml:space="preserve"> </w:t>
      </w:r>
      <w:r w:rsidRPr="00051FD3">
        <w:rPr>
          <w:rFonts w:eastAsia="TimesNewRoman"/>
          <w:b/>
          <w:sz w:val="22"/>
          <w:szCs w:val="22"/>
        </w:rPr>
        <w:t>gydoma</w:t>
      </w:r>
      <w:r w:rsidRPr="00051FD3">
        <w:rPr>
          <w:rFonts w:eastAsia="TimesNewRoman"/>
          <w:b/>
          <w:i/>
          <w:sz w:val="22"/>
          <w:szCs w:val="22"/>
        </w:rPr>
        <w:t xml:space="preserve"> </w:t>
      </w:r>
      <w:r w:rsidRPr="00051FD3">
        <w:rPr>
          <w:rFonts w:eastAsia="TimesNewRoman"/>
          <w:sz w:val="22"/>
          <w:szCs w:val="22"/>
        </w:rPr>
        <w:t xml:space="preserve">suaugusių žmonių didelio kraujospūdžio liga (pirminė hipertenzija) tuo atveju, jeigu gydymo vien </w:t>
      </w:r>
      <w:proofErr w:type="spellStart"/>
      <w:r w:rsidRPr="00051FD3">
        <w:rPr>
          <w:rFonts w:eastAsia="TimesNewRoman"/>
          <w:sz w:val="22"/>
          <w:szCs w:val="22"/>
        </w:rPr>
        <w:t>telmisartanu</w:t>
      </w:r>
      <w:proofErr w:type="spellEnd"/>
      <w:r w:rsidRPr="00051FD3">
        <w:rPr>
          <w:rFonts w:eastAsia="TimesNewRoman"/>
          <w:sz w:val="22"/>
          <w:szCs w:val="22"/>
        </w:rPr>
        <w:t xml:space="preserve"> metu kraujospūdis kontroliuojamas nepakankamai.</w:t>
      </w:r>
    </w:p>
    <w:p w14:paraId="1D1A594F" w14:textId="77777777" w:rsidR="007F39B7" w:rsidRPr="00012DBE" w:rsidRDefault="007F39B7" w:rsidP="007F39B7">
      <w:pPr>
        <w:autoSpaceDE w:val="0"/>
        <w:autoSpaceDN w:val="0"/>
        <w:adjustRightInd w:val="0"/>
        <w:rPr>
          <w:rFonts w:eastAsia="SimSun"/>
          <w:sz w:val="22"/>
          <w:szCs w:val="22"/>
          <w:highlight w:val="lightGray"/>
        </w:rPr>
      </w:pPr>
    </w:p>
    <w:p w14:paraId="16E0E2ED" w14:textId="77777777" w:rsidR="007F39B7" w:rsidRPr="00051FD3" w:rsidRDefault="007F39B7" w:rsidP="007F39B7">
      <w:pPr>
        <w:autoSpaceDE w:val="0"/>
        <w:autoSpaceDN w:val="0"/>
        <w:adjustRightInd w:val="0"/>
        <w:rPr>
          <w:b/>
          <w:sz w:val="22"/>
          <w:szCs w:val="22"/>
          <w:lang w:eastAsia="lt-LT"/>
        </w:rPr>
      </w:pPr>
    </w:p>
    <w:p w14:paraId="4C6E4C8E" w14:textId="77777777" w:rsidR="007F39B7" w:rsidRPr="00051FD3" w:rsidRDefault="007F39B7" w:rsidP="007F39B7">
      <w:pPr>
        <w:autoSpaceDE w:val="0"/>
        <w:autoSpaceDN w:val="0"/>
        <w:adjustRightInd w:val="0"/>
        <w:rPr>
          <w:b/>
          <w:bCs/>
          <w:sz w:val="22"/>
          <w:szCs w:val="22"/>
          <w:lang w:eastAsia="lt-LT"/>
        </w:rPr>
      </w:pPr>
      <w:r w:rsidRPr="00051FD3">
        <w:rPr>
          <w:b/>
          <w:bCs/>
          <w:sz w:val="22"/>
          <w:szCs w:val="22"/>
          <w:lang w:eastAsia="lt-LT"/>
        </w:rPr>
        <w:t>2.</w:t>
      </w:r>
      <w:r w:rsidRPr="00051FD3">
        <w:rPr>
          <w:b/>
          <w:bCs/>
          <w:sz w:val="22"/>
          <w:szCs w:val="22"/>
          <w:lang w:eastAsia="lt-LT"/>
        </w:rPr>
        <w:tab/>
      </w:r>
      <w:r w:rsidRPr="00051FD3">
        <w:rPr>
          <w:b/>
          <w:sz w:val="22"/>
          <w:szCs w:val="22"/>
          <w:lang w:eastAsia="lt-LT"/>
        </w:rPr>
        <w:t xml:space="preserve">Kas žinotina prieš vartojant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p>
    <w:p w14:paraId="3E7BAEBD" w14:textId="77777777" w:rsidR="007F39B7" w:rsidRPr="00051FD3" w:rsidRDefault="007F39B7" w:rsidP="007F39B7">
      <w:pPr>
        <w:autoSpaceDE w:val="0"/>
        <w:autoSpaceDN w:val="0"/>
        <w:adjustRightInd w:val="0"/>
        <w:rPr>
          <w:b/>
          <w:bCs/>
          <w:sz w:val="22"/>
          <w:szCs w:val="22"/>
          <w:lang w:eastAsia="lt-LT"/>
        </w:rPr>
      </w:pPr>
    </w:p>
    <w:p w14:paraId="29EB699E" w14:textId="77777777" w:rsidR="007F39B7" w:rsidRPr="00051FD3" w:rsidRDefault="007F39B7" w:rsidP="007F39B7">
      <w:pPr>
        <w:autoSpaceDE w:val="0"/>
        <w:autoSpaceDN w:val="0"/>
        <w:adjustRightInd w:val="0"/>
        <w:rPr>
          <w:b/>
          <w:bCs/>
          <w:sz w:val="22"/>
          <w:szCs w:val="22"/>
          <w:lang w:eastAsia="lt-LT"/>
        </w:rPr>
      </w:pPr>
      <w:proofErr w:type="spellStart"/>
      <w:r w:rsidRPr="00051FD3">
        <w:rPr>
          <w:b/>
          <w:bCs/>
          <w:sz w:val="22"/>
          <w:szCs w:val="22"/>
          <w:lang w:eastAsia="lt-LT"/>
        </w:rPr>
        <w:t>Telmisartan</w:t>
      </w:r>
      <w:proofErr w:type="spellEnd"/>
      <w:r w:rsidRPr="00051FD3">
        <w:rPr>
          <w:b/>
          <w:bCs/>
          <w:sz w:val="22"/>
          <w:szCs w:val="22"/>
          <w:lang w:eastAsia="lt-LT"/>
        </w:rPr>
        <w:t>/</w:t>
      </w:r>
      <w:proofErr w:type="spellStart"/>
      <w:r w:rsidRPr="00051FD3">
        <w:rPr>
          <w:b/>
          <w:bCs/>
          <w:sz w:val="22"/>
          <w:szCs w:val="22"/>
          <w:lang w:eastAsia="lt-LT"/>
        </w:rPr>
        <w:t>Hydrochlorothiazide</w:t>
      </w:r>
      <w:proofErr w:type="spellEnd"/>
      <w:r w:rsidRPr="00051FD3">
        <w:rPr>
          <w:b/>
          <w:bCs/>
          <w:sz w:val="22"/>
          <w:szCs w:val="22"/>
          <w:lang w:eastAsia="lt-LT"/>
        </w:rPr>
        <w:t xml:space="preserve"> </w:t>
      </w:r>
      <w:proofErr w:type="spellStart"/>
      <w:r w:rsidRPr="00051FD3">
        <w:rPr>
          <w:b/>
          <w:bCs/>
          <w:sz w:val="22"/>
          <w:szCs w:val="22"/>
          <w:lang w:eastAsia="lt-LT"/>
        </w:rPr>
        <w:t>Teva</w:t>
      </w:r>
      <w:proofErr w:type="spellEnd"/>
      <w:r w:rsidRPr="00051FD3">
        <w:rPr>
          <w:b/>
          <w:bCs/>
          <w:sz w:val="22"/>
          <w:szCs w:val="22"/>
          <w:lang w:eastAsia="lt-LT"/>
        </w:rPr>
        <w:t xml:space="preserve"> Pharma vartoti negalima:</w:t>
      </w:r>
    </w:p>
    <w:p w14:paraId="473FADE3" w14:textId="77777777" w:rsidR="007F39B7" w:rsidRPr="00051FD3" w:rsidRDefault="007F39B7" w:rsidP="007F39B7">
      <w:pPr>
        <w:autoSpaceDE w:val="0"/>
        <w:autoSpaceDN w:val="0"/>
        <w:adjustRightInd w:val="0"/>
        <w:rPr>
          <w:b/>
          <w:bCs/>
          <w:sz w:val="22"/>
          <w:szCs w:val="22"/>
          <w:lang w:eastAsia="lt-LT"/>
        </w:rPr>
      </w:pPr>
    </w:p>
    <w:p w14:paraId="70FEAEFC" w14:textId="77777777" w:rsidR="007F39B7" w:rsidRPr="00051FD3" w:rsidRDefault="007F39B7" w:rsidP="007F39B7">
      <w:pPr>
        <w:numPr>
          <w:ilvl w:val="0"/>
          <w:numId w:val="21"/>
        </w:numPr>
        <w:tabs>
          <w:tab w:val="clear" w:pos="720"/>
        </w:tabs>
        <w:autoSpaceDE w:val="0"/>
        <w:autoSpaceDN w:val="0"/>
        <w:adjustRightInd w:val="0"/>
        <w:ind w:left="567" w:hanging="567"/>
        <w:rPr>
          <w:sz w:val="22"/>
          <w:szCs w:val="22"/>
          <w:lang w:eastAsia="lt-LT"/>
        </w:rPr>
      </w:pPr>
      <w:r w:rsidRPr="00051FD3">
        <w:rPr>
          <w:sz w:val="22"/>
          <w:szCs w:val="22"/>
          <w:lang w:eastAsia="lt-LT"/>
        </w:rPr>
        <w:t xml:space="preserve">jeigu jums nustatyta alergija </w:t>
      </w:r>
      <w:proofErr w:type="spellStart"/>
      <w:r w:rsidRPr="00051FD3">
        <w:rPr>
          <w:sz w:val="22"/>
          <w:szCs w:val="22"/>
          <w:lang w:eastAsia="lt-LT"/>
        </w:rPr>
        <w:t>telmisartanui</w:t>
      </w:r>
      <w:proofErr w:type="spellEnd"/>
      <w:r w:rsidRPr="00051FD3">
        <w:rPr>
          <w:sz w:val="22"/>
          <w:szCs w:val="22"/>
          <w:lang w:eastAsia="lt-LT"/>
        </w:rPr>
        <w:t xml:space="preserve"> arba bet kuriai pagalbinei šio vaisto medžiagai (jos išvardytos 6 skyriuje);</w:t>
      </w:r>
    </w:p>
    <w:p w14:paraId="758BEB5C" w14:textId="77777777" w:rsidR="007F39B7" w:rsidRPr="00051FD3" w:rsidRDefault="007F39B7" w:rsidP="007F39B7">
      <w:pPr>
        <w:numPr>
          <w:ilvl w:val="0"/>
          <w:numId w:val="21"/>
        </w:numPr>
        <w:tabs>
          <w:tab w:val="clear" w:pos="720"/>
        </w:tabs>
        <w:autoSpaceDE w:val="0"/>
        <w:autoSpaceDN w:val="0"/>
        <w:adjustRightInd w:val="0"/>
        <w:ind w:left="567" w:hanging="567"/>
        <w:rPr>
          <w:sz w:val="22"/>
          <w:szCs w:val="22"/>
          <w:lang w:eastAsia="lt-LT"/>
        </w:rPr>
      </w:pPr>
      <w:r w:rsidRPr="00051FD3">
        <w:rPr>
          <w:sz w:val="22"/>
          <w:szCs w:val="22"/>
          <w:lang w:eastAsia="lt-LT"/>
        </w:rPr>
        <w:t xml:space="preserve">jeigu jums nustatyta alergija </w:t>
      </w:r>
      <w:proofErr w:type="spellStart"/>
      <w:r w:rsidRPr="00051FD3">
        <w:rPr>
          <w:sz w:val="22"/>
          <w:szCs w:val="22"/>
          <w:lang w:eastAsia="lt-LT"/>
        </w:rPr>
        <w:t>hidrochlorotiazidui</w:t>
      </w:r>
      <w:proofErr w:type="spellEnd"/>
      <w:r w:rsidRPr="00051FD3">
        <w:rPr>
          <w:sz w:val="22"/>
          <w:szCs w:val="22"/>
          <w:lang w:eastAsia="lt-LT"/>
        </w:rPr>
        <w:t xml:space="preserve"> </w:t>
      </w:r>
      <w:r w:rsidRPr="00051FD3">
        <w:rPr>
          <w:rFonts w:eastAsia="TimesNewRoman"/>
          <w:sz w:val="22"/>
          <w:szCs w:val="22"/>
        </w:rPr>
        <w:t xml:space="preserve">arba bet kuriam kitam vaistiniam preparatui, kuris yra </w:t>
      </w:r>
      <w:proofErr w:type="spellStart"/>
      <w:r w:rsidRPr="00051FD3">
        <w:rPr>
          <w:rFonts w:eastAsia="TimesNewRoman"/>
          <w:sz w:val="22"/>
          <w:szCs w:val="22"/>
        </w:rPr>
        <w:t>sulfonamidų</w:t>
      </w:r>
      <w:proofErr w:type="spellEnd"/>
      <w:r w:rsidRPr="00051FD3">
        <w:rPr>
          <w:rFonts w:eastAsia="TimesNewRoman"/>
          <w:sz w:val="22"/>
          <w:szCs w:val="22"/>
        </w:rPr>
        <w:t xml:space="preserve"> darinys;</w:t>
      </w:r>
    </w:p>
    <w:p w14:paraId="13D12555" w14:textId="77777777" w:rsidR="007F39B7" w:rsidRPr="00051FD3" w:rsidRDefault="007F39B7" w:rsidP="007F39B7">
      <w:pPr>
        <w:numPr>
          <w:ilvl w:val="0"/>
          <w:numId w:val="21"/>
        </w:numPr>
        <w:tabs>
          <w:tab w:val="clear" w:pos="720"/>
        </w:tabs>
        <w:autoSpaceDE w:val="0"/>
        <w:autoSpaceDN w:val="0"/>
        <w:adjustRightInd w:val="0"/>
        <w:ind w:left="567" w:hanging="567"/>
        <w:rPr>
          <w:sz w:val="22"/>
          <w:szCs w:val="22"/>
          <w:lang w:eastAsia="lt-LT"/>
        </w:rPr>
      </w:pPr>
      <w:r w:rsidRPr="00051FD3">
        <w:rPr>
          <w:sz w:val="22"/>
          <w:szCs w:val="22"/>
          <w:lang w:eastAsia="lt-LT"/>
        </w:rPr>
        <w:lastRenderedPageBreak/>
        <w:t xml:space="preserve">jeigu esate daugiau negu 3 mėn. nėščia (ankstyvuoju nėštumo laikotarpiu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Pr="00051FD3">
        <w:rPr>
          <w:b/>
          <w:sz w:val="22"/>
          <w:szCs w:val="22"/>
          <w:lang w:eastAsia="lt-LT"/>
        </w:rPr>
        <w:t xml:space="preserve"> </w:t>
      </w:r>
      <w:r w:rsidRPr="00051FD3">
        <w:rPr>
          <w:sz w:val="22"/>
          <w:szCs w:val="22"/>
          <w:lang w:eastAsia="lt-LT"/>
        </w:rPr>
        <w:t>taip pat geriau nevartoti - žr. skyrių „Nėštumas ir žindymo laikotarpis“);</w:t>
      </w:r>
    </w:p>
    <w:p w14:paraId="5991D990" w14:textId="77777777" w:rsidR="007F39B7" w:rsidRPr="00051FD3" w:rsidRDefault="007F39B7" w:rsidP="007F39B7">
      <w:pPr>
        <w:numPr>
          <w:ilvl w:val="0"/>
          <w:numId w:val="21"/>
        </w:numPr>
        <w:tabs>
          <w:tab w:val="clear" w:pos="720"/>
        </w:tabs>
        <w:autoSpaceDE w:val="0"/>
        <w:autoSpaceDN w:val="0"/>
        <w:adjustRightInd w:val="0"/>
        <w:ind w:left="567" w:hanging="567"/>
        <w:rPr>
          <w:sz w:val="22"/>
          <w:szCs w:val="22"/>
        </w:rPr>
      </w:pPr>
      <w:r w:rsidRPr="00051FD3">
        <w:rPr>
          <w:sz w:val="22"/>
          <w:szCs w:val="22"/>
          <w:lang w:eastAsia="lt-LT"/>
        </w:rPr>
        <w:t>jeigu yra sunkių kepenų veiklos sutrikimų, pvz., tulžies sąstovis ar tulžies nutekėjimo obstrukcija (tulžies nutekėjimo iš kepenų ar tulžies pūslės sutrikimas) arba bet kokia kita sunki kepenų liga;</w:t>
      </w:r>
    </w:p>
    <w:p w14:paraId="4B543F2E" w14:textId="37D32998" w:rsidR="007F39B7" w:rsidRPr="00051FD3" w:rsidRDefault="007F39B7" w:rsidP="0098124E">
      <w:pPr>
        <w:pStyle w:val="Default"/>
        <w:numPr>
          <w:ilvl w:val="0"/>
          <w:numId w:val="21"/>
        </w:numPr>
        <w:tabs>
          <w:tab w:val="clear" w:pos="720"/>
        </w:tabs>
        <w:ind w:left="567" w:hanging="567"/>
        <w:rPr>
          <w:sz w:val="22"/>
          <w:szCs w:val="22"/>
          <w:lang w:val="lt-LT"/>
        </w:rPr>
      </w:pPr>
      <w:r w:rsidRPr="00051FD3">
        <w:rPr>
          <w:rFonts w:eastAsia="TimesNewRoman"/>
          <w:sz w:val="22"/>
          <w:szCs w:val="22"/>
          <w:lang w:val="lt-LT"/>
        </w:rPr>
        <w:t>jeigu sergate sunkia inkstų liga</w:t>
      </w:r>
      <w:r w:rsidR="00C241A4" w:rsidRPr="00051FD3">
        <w:rPr>
          <w:rFonts w:eastAsia="TimesNewRoman"/>
          <w:sz w:val="22"/>
          <w:szCs w:val="22"/>
          <w:lang w:val="lt-LT"/>
        </w:rPr>
        <w:t xml:space="preserve"> arba </w:t>
      </w:r>
      <w:proofErr w:type="spellStart"/>
      <w:r w:rsidR="00C241A4" w:rsidRPr="00051FD3">
        <w:rPr>
          <w:rFonts w:eastAsia="Calibri"/>
          <w:sz w:val="22"/>
          <w:szCs w:val="22"/>
          <w:lang w:val="lt-LT" w:eastAsia="lt-LT"/>
        </w:rPr>
        <w:t>anurija</w:t>
      </w:r>
      <w:proofErr w:type="spellEnd"/>
      <w:r w:rsidR="00C241A4" w:rsidRPr="00051FD3">
        <w:rPr>
          <w:rFonts w:eastAsia="Calibri"/>
          <w:sz w:val="22"/>
          <w:szCs w:val="22"/>
          <w:lang w:val="lt-LT" w:eastAsia="lt-LT"/>
        </w:rPr>
        <w:t xml:space="preserve"> (kai išsiskiria mažia</w:t>
      </w:r>
      <w:r w:rsidR="00D30C46" w:rsidRPr="00051FD3">
        <w:rPr>
          <w:rFonts w:eastAsia="Calibri"/>
          <w:sz w:val="22"/>
          <w:szCs w:val="22"/>
          <w:lang w:val="lt-LT" w:eastAsia="lt-LT"/>
        </w:rPr>
        <w:t>u kaip 100 </w:t>
      </w:r>
      <w:r w:rsidR="0098124E" w:rsidRPr="00051FD3">
        <w:rPr>
          <w:rFonts w:eastAsia="Calibri"/>
          <w:sz w:val="22"/>
          <w:szCs w:val="22"/>
          <w:lang w:val="lt-LT" w:eastAsia="lt-LT"/>
        </w:rPr>
        <w:t>ml šlapimo per parą)</w:t>
      </w:r>
      <w:r w:rsidRPr="00051FD3">
        <w:rPr>
          <w:rFonts w:eastAsia="TimesNewRoman"/>
          <w:sz w:val="22"/>
          <w:szCs w:val="22"/>
          <w:lang w:val="lt-LT"/>
        </w:rPr>
        <w:t>;</w:t>
      </w:r>
    </w:p>
    <w:p w14:paraId="7A08A7B1" w14:textId="77777777" w:rsidR="007F39B7" w:rsidRPr="00051FD3" w:rsidRDefault="007F39B7" w:rsidP="007F39B7">
      <w:pPr>
        <w:numPr>
          <w:ilvl w:val="0"/>
          <w:numId w:val="21"/>
        </w:numPr>
        <w:tabs>
          <w:tab w:val="clear" w:pos="720"/>
        </w:tabs>
        <w:autoSpaceDE w:val="0"/>
        <w:autoSpaceDN w:val="0"/>
        <w:adjustRightInd w:val="0"/>
        <w:ind w:left="567" w:hanging="567"/>
        <w:rPr>
          <w:sz w:val="22"/>
          <w:szCs w:val="22"/>
        </w:rPr>
      </w:pPr>
      <w:r w:rsidRPr="00051FD3">
        <w:rPr>
          <w:rFonts w:eastAsia="TimesNewRoman"/>
          <w:sz w:val="22"/>
          <w:szCs w:val="22"/>
        </w:rPr>
        <w:t>jeigu gydytojas nustato, kad jūsų kraujyje yra mažas kalio arba didelis kalcio kiekis, kuris gydant negerėja;</w:t>
      </w:r>
    </w:p>
    <w:p w14:paraId="3916254A" w14:textId="77777777" w:rsidR="001F05BA" w:rsidRPr="00051FD3" w:rsidRDefault="001F05BA" w:rsidP="007F39B7">
      <w:pPr>
        <w:numPr>
          <w:ilvl w:val="0"/>
          <w:numId w:val="21"/>
        </w:numPr>
        <w:tabs>
          <w:tab w:val="clear" w:pos="720"/>
        </w:tabs>
        <w:autoSpaceDE w:val="0"/>
        <w:autoSpaceDN w:val="0"/>
        <w:adjustRightInd w:val="0"/>
        <w:ind w:left="567" w:hanging="567"/>
        <w:rPr>
          <w:sz w:val="22"/>
          <w:szCs w:val="22"/>
        </w:rPr>
      </w:pPr>
      <w:r w:rsidRPr="00051FD3">
        <w:rPr>
          <w:sz w:val="22"/>
          <w:szCs w:val="22"/>
        </w:rPr>
        <w:t>jeigu</w:t>
      </w:r>
      <w:r w:rsidR="008D1D6B" w:rsidRPr="00051FD3">
        <w:rPr>
          <w:sz w:val="22"/>
          <w:szCs w:val="22"/>
        </w:rPr>
        <w:t xml:space="preserve"> </w:t>
      </w:r>
      <w:r w:rsidRPr="00051FD3">
        <w:rPr>
          <w:rFonts w:eastAsia="Calibri"/>
          <w:color w:val="000000"/>
          <w:sz w:val="22"/>
          <w:szCs w:val="22"/>
        </w:rPr>
        <w:t xml:space="preserve">Jūs sergate cukriniu diabetu arba Jūsų inkstų veikla sutrikusi ir Jums skirtas kraujospūdį mažinantis vaistas, kurio sudėtyje yra </w:t>
      </w:r>
      <w:proofErr w:type="spellStart"/>
      <w:r w:rsidRPr="00051FD3">
        <w:rPr>
          <w:rFonts w:eastAsia="Calibri"/>
          <w:color w:val="000000"/>
          <w:sz w:val="22"/>
          <w:szCs w:val="22"/>
        </w:rPr>
        <w:t>aliskireno</w:t>
      </w:r>
      <w:proofErr w:type="spellEnd"/>
      <w:r w:rsidRPr="00051FD3">
        <w:rPr>
          <w:rFonts w:eastAsia="Calibri"/>
          <w:color w:val="000000"/>
          <w:sz w:val="22"/>
          <w:szCs w:val="22"/>
        </w:rPr>
        <w:t>.</w:t>
      </w:r>
    </w:p>
    <w:p w14:paraId="21A1689E" w14:textId="77777777" w:rsidR="00F95351" w:rsidRPr="00051FD3" w:rsidRDefault="00F95351" w:rsidP="00075E68">
      <w:pPr>
        <w:pStyle w:val="Default"/>
        <w:rPr>
          <w:rFonts w:eastAsia="Calibri"/>
          <w:sz w:val="22"/>
          <w:szCs w:val="22"/>
          <w:lang w:val="lt-LT"/>
        </w:rPr>
      </w:pPr>
    </w:p>
    <w:p w14:paraId="48373BFB"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Jeigu kuri nors iš išvardytų būklių Jums tinka, pasakykite gydytojui arba vaistininkui, prieš pradėdami vartoti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0A04EA13" w14:textId="77777777" w:rsidR="007F39B7" w:rsidRPr="00051FD3" w:rsidRDefault="007F39B7" w:rsidP="007F39B7">
      <w:pPr>
        <w:autoSpaceDE w:val="0"/>
        <w:autoSpaceDN w:val="0"/>
        <w:adjustRightInd w:val="0"/>
        <w:rPr>
          <w:b/>
          <w:bCs/>
          <w:sz w:val="22"/>
          <w:szCs w:val="22"/>
          <w:lang w:eastAsia="lt-LT"/>
        </w:rPr>
      </w:pPr>
    </w:p>
    <w:p w14:paraId="79947EDD" w14:textId="77777777" w:rsidR="007F39B7" w:rsidRPr="00051FD3" w:rsidRDefault="007F39B7" w:rsidP="007F39B7">
      <w:pPr>
        <w:autoSpaceDE w:val="0"/>
        <w:autoSpaceDN w:val="0"/>
        <w:adjustRightInd w:val="0"/>
        <w:rPr>
          <w:b/>
          <w:bCs/>
          <w:sz w:val="22"/>
          <w:szCs w:val="22"/>
          <w:lang w:eastAsia="lt-LT"/>
        </w:rPr>
      </w:pPr>
      <w:r w:rsidRPr="00051FD3">
        <w:rPr>
          <w:b/>
          <w:bCs/>
          <w:sz w:val="22"/>
          <w:szCs w:val="22"/>
          <w:lang w:eastAsia="lt-LT"/>
        </w:rPr>
        <w:t>Įspėjimai ir atsargumo priemonės</w:t>
      </w:r>
    </w:p>
    <w:p w14:paraId="50D3EBAE" w14:textId="77777777" w:rsidR="007F39B7" w:rsidRPr="00051FD3" w:rsidRDefault="007F39B7" w:rsidP="007F39B7">
      <w:pPr>
        <w:pStyle w:val="Default"/>
        <w:rPr>
          <w:sz w:val="22"/>
          <w:szCs w:val="22"/>
          <w:lang w:val="lt-LT"/>
        </w:rPr>
      </w:pPr>
    </w:p>
    <w:p w14:paraId="6D0554BD" w14:textId="77777777" w:rsidR="007F39B7" w:rsidRPr="00051FD3" w:rsidRDefault="0067591F" w:rsidP="007F39B7">
      <w:pPr>
        <w:pStyle w:val="Default"/>
        <w:rPr>
          <w:sz w:val="22"/>
          <w:szCs w:val="22"/>
          <w:lang w:val="lt-LT"/>
        </w:rPr>
      </w:pPr>
      <w:r w:rsidRPr="00051FD3">
        <w:rPr>
          <w:sz w:val="22"/>
          <w:szCs w:val="22"/>
          <w:lang w:val="lt-LT"/>
        </w:rPr>
        <w:t xml:space="preserve">Pasitarkite su </w:t>
      </w:r>
      <w:r w:rsidR="007F39B7" w:rsidRPr="00051FD3">
        <w:rPr>
          <w:sz w:val="22"/>
          <w:szCs w:val="22"/>
          <w:lang w:val="lt-LT"/>
        </w:rPr>
        <w:t>savo gydytoju</w:t>
      </w:r>
      <w:r w:rsidR="00361B98" w:rsidRPr="00051FD3">
        <w:rPr>
          <w:sz w:val="22"/>
          <w:szCs w:val="22"/>
          <w:lang w:val="lt-LT"/>
        </w:rPr>
        <w:t xml:space="preserve">, prieš pradėdami vartoti </w:t>
      </w:r>
      <w:proofErr w:type="spellStart"/>
      <w:r w:rsidR="00361B98" w:rsidRPr="00051FD3">
        <w:rPr>
          <w:sz w:val="22"/>
          <w:szCs w:val="22"/>
          <w:lang w:val="lt-LT"/>
        </w:rPr>
        <w:t>Telmisartan</w:t>
      </w:r>
      <w:proofErr w:type="spellEnd"/>
      <w:r w:rsidR="00361B98" w:rsidRPr="00051FD3">
        <w:rPr>
          <w:sz w:val="22"/>
          <w:szCs w:val="22"/>
          <w:lang w:val="lt-LT"/>
        </w:rPr>
        <w:t>/</w:t>
      </w:r>
      <w:proofErr w:type="spellStart"/>
      <w:r w:rsidR="00361B98" w:rsidRPr="00051FD3">
        <w:rPr>
          <w:sz w:val="22"/>
          <w:szCs w:val="22"/>
          <w:lang w:val="lt-LT"/>
        </w:rPr>
        <w:t>Hydrochlorothiazide</w:t>
      </w:r>
      <w:proofErr w:type="spellEnd"/>
      <w:r w:rsidR="00361B98" w:rsidRPr="00051FD3">
        <w:rPr>
          <w:sz w:val="22"/>
          <w:szCs w:val="22"/>
          <w:lang w:val="lt-LT"/>
        </w:rPr>
        <w:t xml:space="preserve"> </w:t>
      </w:r>
      <w:proofErr w:type="spellStart"/>
      <w:r w:rsidR="00361B98" w:rsidRPr="00051FD3">
        <w:rPr>
          <w:sz w:val="22"/>
          <w:szCs w:val="22"/>
          <w:lang w:val="lt-LT"/>
        </w:rPr>
        <w:t>Teva</w:t>
      </w:r>
      <w:proofErr w:type="spellEnd"/>
      <w:r w:rsidR="00361B98" w:rsidRPr="00051FD3">
        <w:rPr>
          <w:sz w:val="22"/>
          <w:szCs w:val="22"/>
          <w:lang w:val="lt-LT"/>
        </w:rPr>
        <w:t xml:space="preserve"> Pharma</w:t>
      </w:r>
      <w:r w:rsidRPr="00051FD3">
        <w:rPr>
          <w:sz w:val="22"/>
          <w:szCs w:val="22"/>
          <w:lang w:val="lt-LT"/>
        </w:rPr>
        <w:t>, jeigu yra arba anksčiau buvo kuri nors iš toliau išvardytų būklių ar ligų:</w:t>
      </w:r>
    </w:p>
    <w:p w14:paraId="0090D166" w14:textId="16BBA8CF"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Mažas kraujospūdis (</w:t>
      </w:r>
      <w:proofErr w:type="spellStart"/>
      <w:r w:rsidRPr="00051FD3">
        <w:rPr>
          <w:sz w:val="22"/>
          <w:szCs w:val="22"/>
          <w:lang w:val="lt-LT"/>
        </w:rPr>
        <w:t>hipotenzija</w:t>
      </w:r>
      <w:proofErr w:type="spellEnd"/>
      <w:r w:rsidRPr="00051FD3">
        <w:rPr>
          <w:sz w:val="22"/>
          <w:szCs w:val="22"/>
          <w:lang w:val="lt-LT"/>
        </w:rPr>
        <w:t>), kuris tikriausiai pasireiškia dėl to, kad jums yra dehidra</w:t>
      </w:r>
      <w:r w:rsidR="008D1D6B" w:rsidRPr="00051FD3">
        <w:rPr>
          <w:sz w:val="22"/>
          <w:szCs w:val="22"/>
          <w:lang w:val="lt-LT"/>
        </w:rPr>
        <w:t>ta</w:t>
      </w:r>
      <w:r w:rsidRPr="00051FD3">
        <w:rPr>
          <w:sz w:val="22"/>
          <w:szCs w:val="22"/>
          <w:lang w:val="lt-LT"/>
        </w:rPr>
        <w:t xml:space="preserve">cija (netekote daug vandens) arba druskų trūkumas, atsiradęs dėl gydymo diuretikais (šlapimo išskyrimą skatinančiomis tabletėmis), mažo druskos kiekio maiste, viduriavimo, vėmimo arba </w:t>
      </w:r>
      <w:proofErr w:type="spellStart"/>
      <w:r w:rsidRPr="00051FD3">
        <w:rPr>
          <w:sz w:val="22"/>
          <w:szCs w:val="22"/>
          <w:lang w:val="lt-LT"/>
        </w:rPr>
        <w:t>hemo</w:t>
      </w:r>
      <w:r w:rsidR="0098124E" w:rsidRPr="00051FD3">
        <w:rPr>
          <w:sz w:val="22"/>
          <w:szCs w:val="22"/>
          <w:lang w:val="lt-LT"/>
        </w:rPr>
        <w:t>filtracijos</w:t>
      </w:r>
      <w:proofErr w:type="spellEnd"/>
      <w:r w:rsidRPr="00051FD3">
        <w:rPr>
          <w:sz w:val="22"/>
          <w:szCs w:val="22"/>
          <w:lang w:val="lt-LT"/>
        </w:rPr>
        <w:t xml:space="preserve">. </w:t>
      </w:r>
    </w:p>
    <w:p w14:paraId="4EBDD78C"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Inkstų liga arba persodintas inkstas. </w:t>
      </w:r>
    </w:p>
    <w:p w14:paraId="6402F71E"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Inkstų arterijos stenozė (vieną arba abu inkstus krauju aprūpinančių kraujagyslių susiaurėjimas). </w:t>
      </w:r>
    </w:p>
    <w:p w14:paraId="60CF165C"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Kepenų liga. </w:t>
      </w:r>
    </w:p>
    <w:p w14:paraId="0399A6CF"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Širdies veiklos sutrikimas. </w:t>
      </w:r>
    </w:p>
    <w:p w14:paraId="38A10F71"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Cukrinis diabetas. </w:t>
      </w:r>
    </w:p>
    <w:p w14:paraId="15DA3D64"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Podagra. </w:t>
      </w:r>
    </w:p>
    <w:p w14:paraId="7071E8E9"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Padidėjęs </w:t>
      </w:r>
      <w:proofErr w:type="spellStart"/>
      <w:r w:rsidRPr="00051FD3">
        <w:rPr>
          <w:sz w:val="22"/>
          <w:szCs w:val="22"/>
          <w:lang w:val="lt-LT"/>
        </w:rPr>
        <w:t>aldosterono</w:t>
      </w:r>
      <w:proofErr w:type="spellEnd"/>
      <w:r w:rsidRPr="00051FD3">
        <w:rPr>
          <w:sz w:val="22"/>
          <w:szCs w:val="22"/>
          <w:lang w:val="lt-LT"/>
        </w:rPr>
        <w:t xml:space="preserve"> kiekis (vandens ir druskos susilaikymas organizme, susijęs su įvairių mineralinių medžiagų pusiausvyros kraujyje sutrikimu). </w:t>
      </w:r>
    </w:p>
    <w:p w14:paraId="5D012CB4" w14:textId="77777777" w:rsidR="007F39B7" w:rsidRPr="00051FD3" w:rsidRDefault="007F39B7" w:rsidP="007F39B7">
      <w:pPr>
        <w:pStyle w:val="Default"/>
        <w:numPr>
          <w:ilvl w:val="0"/>
          <w:numId w:val="22"/>
        </w:numPr>
        <w:ind w:left="567" w:hanging="567"/>
        <w:rPr>
          <w:sz w:val="22"/>
          <w:szCs w:val="22"/>
          <w:lang w:val="lt-LT"/>
        </w:rPr>
      </w:pPr>
      <w:r w:rsidRPr="00051FD3">
        <w:rPr>
          <w:sz w:val="22"/>
          <w:szCs w:val="22"/>
          <w:lang w:val="lt-LT"/>
        </w:rPr>
        <w:t xml:space="preserve">Sisteminė raudonoji vilkligė (ji vadinama ir „vilklige“ arba „SRV“), t. y. liga, kurios metu organizmą puola nuosava imuninė sistema. </w:t>
      </w:r>
    </w:p>
    <w:p w14:paraId="111CCB30" w14:textId="77777777" w:rsidR="00775ECF" w:rsidRPr="00051FD3" w:rsidRDefault="007F39B7" w:rsidP="00B02D39">
      <w:pPr>
        <w:pStyle w:val="Default"/>
        <w:numPr>
          <w:ilvl w:val="0"/>
          <w:numId w:val="22"/>
        </w:numPr>
        <w:ind w:left="567" w:hanging="567"/>
        <w:rPr>
          <w:sz w:val="22"/>
          <w:szCs w:val="22"/>
          <w:lang w:val="lt-LT"/>
        </w:rPr>
      </w:pPr>
      <w:r w:rsidRPr="00051FD3">
        <w:rPr>
          <w:sz w:val="22"/>
          <w:szCs w:val="22"/>
          <w:lang w:val="lt-LT"/>
        </w:rPr>
        <w:t xml:space="preserve">Veiklioji medžiaga </w:t>
      </w:r>
      <w:proofErr w:type="spellStart"/>
      <w:r w:rsidRPr="00051FD3">
        <w:rPr>
          <w:sz w:val="22"/>
          <w:szCs w:val="22"/>
          <w:lang w:val="lt-LT"/>
        </w:rPr>
        <w:t>hidrochlorotiazidas</w:t>
      </w:r>
      <w:proofErr w:type="spellEnd"/>
      <w:r w:rsidRPr="00051FD3">
        <w:rPr>
          <w:sz w:val="22"/>
          <w:szCs w:val="22"/>
          <w:lang w:val="lt-LT"/>
        </w:rPr>
        <w:t xml:space="preserve"> gali sukelti neįprastą reakciją, sukeliančią regos susilpnėjimą ir akių skausmą. Tai gali būti</w:t>
      </w:r>
      <w:r w:rsidR="00114BE7" w:rsidRPr="00051FD3">
        <w:rPr>
          <w:sz w:val="22"/>
          <w:szCs w:val="22"/>
          <w:lang w:val="lt-LT"/>
        </w:rPr>
        <w:t xml:space="preserve"> skysčio susikaupimo akies kraujagysliniame dangale (tarp </w:t>
      </w:r>
      <w:proofErr w:type="spellStart"/>
      <w:r w:rsidR="00114BE7" w:rsidRPr="00051FD3">
        <w:rPr>
          <w:sz w:val="22"/>
          <w:szCs w:val="22"/>
          <w:lang w:val="lt-LT"/>
        </w:rPr>
        <w:t>gyslainės</w:t>
      </w:r>
      <w:proofErr w:type="spellEnd"/>
      <w:r w:rsidR="00114BE7" w:rsidRPr="00051FD3">
        <w:rPr>
          <w:sz w:val="22"/>
          <w:szCs w:val="22"/>
          <w:lang w:val="lt-LT"/>
        </w:rPr>
        <w:t xml:space="preserve"> ir </w:t>
      </w:r>
      <w:proofErr w:type="spellStart"/>
      <w:r w:rsidR="00114BE7" w:rsidRPr="00051FD3">
        <w:rPr>
          <w:sz w:val="22"/>
          <w:szCs w:val="22"/>
          <w:lang w:val="lt-LT"/>
        </w:rPr>
        <w:t>skleros</w:t>
      </w:r>
      <w:proofErr w:type="spellEnd"/>
      <w:r w:rsidR="00114BE7" w:rsidRPr="00051FD3">
        <w:rPr>
          <w:sz w:val="22"/>
          <w:szCs w:val="22"/>
          <w:lang w:val="lt-LT"/>
        </w:rPr>
        <w:t>)</w:t>
      </w:r>
      <w:r w:rsidRPr="00051FD3">
        <w:rPr>
          <w:sz w:val="22"/>
          <w:szCs w:val="22"/>
          <w:lang w:val="lt-LT"/>
        </w:rPr>
        <w:t xml:space="preserve"> </w:t>
      </w:r>
      <w:r w:rsidR="00114BE7" w:rsidRPr="00051FD3">
        <w:rPr>
          <w:sz w:val="22"/>
          <w:szCs w:val="22"/>
          <w:lang w:val="lt-LT"/>
        </w:rPr>
        <w:t xml:space="preserve">arba </w:t>
      </w:r>
      <w:r w:rsidRPr="00051FD3">
        <w:rPr>
          <w:sz w:val="22"/>
          <w:szCs w:val="22"/>
          <w:lang w:val="lt-LT"/>
        </w:rPr>
        <w:t xml:space="preserve">akispūdžio padidėjimo simptomai ir jų gali atsirasti per kelias valandas arba savaites nuo </w:t>
      </w:r>
      <w:proofErr w:type="spellStart"/>
      <w:r w:rsidRPr="00051FD3">
        <w:rPr>
          <w:sz w:val="22"/>
          <w:szCs w:val="22"/>
          <w:lang w:val="lt-LT"/>
        </w:rPr>
        <w:t>telmisartano</w:t>
      </w:r>
      <w:proofErr w:type="spellEnd"/>
      <w:r w:rsidRPr="00051FD3">
        <w:rPr>
          <w:sz w:val="22"/>
          <w:szCs w:val="22"/>
          <w:lang w:val="lt-LT"/>
        </w:rPr>
        <w:t>/</w:t>
      </w:r>
      <w:proofErr w:type="spellStart"/>
      <w:r w:rsidRPr="00051FD3">
        <w:rPr>
          <w:sz w:val="22"/>
          <w:szCs w:val="22"/>
          <w:lang w:val="lt-LT"/>
        </w:rPr>
        <w:t>hidrochlorotiazido</w:t>
      </w:r>
      <w:proofErr w:type="spellEnd"/>
      <w:r w:rsidRPr="00051FD3">
        <w:rPr>
          <w:sz w:val="22"/>
          <w:szCs w:val="22"/>
          <w:lang w:val="lt-LT"/>
        </w:rPr>
        <w:t xml:space="preserve"> derinio vartojimo pradžios. Tai gali sukelti nuolatinį regos netekimą, jeigu negydoma.</w:t>
      </w:r>
    </w:p>
    <w:p w14:paraId="18ABA317" w14:textId="77777777" w:rsidR="007F39B7" w:rsidRPr="00051FD3" w:rsidRDefault="00775ECF" w:rsidP="007F39B7">
      <w:pPr>
        <w:pStyle w:val="Default"/>
        <w:numPr>
          <w:ilvl w:val="0"/>
          <w:numId w:val="22"/>
        </w:numPr>
        <w:ind w:left="567" w:hanging="567"/>
        <w:rPr>
          <w:sz w:val="22"/>
          <w:szCs w:val="22"/>
          <w:lang w:val="lt-LT"/>
        </w:rPr>
      </w:pPr>
      <w:r w:rsidRPr="00012DBE">
        <w:rPr>
          <w:sz w:val="22"/>
          <w:szCs w:val="22"/>
          <w:lang w:val="lt-LT"/>
        </w:rPr>
        <w:t xml:space="preserve">Jeigu Jums praeityje buvo diagnozuotas odos vėžys arba gydymo laikotarpiu ant jūsų odos staiga atsirastų koks nors pakitimas. Taikant gydymą </w:t>
      </w:r>
      <w:proofErr w:type="spellStart"/>
      <w:r w:rsidRPr="00012DBE">
        <w:rPr>
          <w:sz w:val="22"/>
          <w:szCs w:val="22"/>
          <w:lang w:val="lt-LT"/>
        </w:rPr>
        <w:t>hidrochlorotiazidu</w:t>
      </w:r>
      <w:proofErr w:type="spellEnd"/>
      <w:r w:rsidRPr="00012DBE">
        <w:rPr>
          <w:sz w:val="22"/>
          <w:szCs w:val="22"/>
          <w:lang w:val="lt-LT"/>
        </w:rPr>
        <w:t>, ypač ilgalaikį gydymą didelėmis šio vaisto dozėmis, gali padidėti tam tikrų rūšių odos ir lūpos vėžio (</w:t>
      </w:r>
      <w:proofErr w:type="spellStart"/>
      <w:r w:rsidRPr="00012DBE">
        <w:rPr>
          <w:sz w:val="22"/>
          <w:szCs w:val="22"/>
          <w:lang w:val="lt-LT"/>
        </w:rPr>
        <w:t>nemelanominio</w:t>
      </w:r>
      <w:proofErr w:type="spellEnd"/>
      <w:r w:rsidRPr="00012DBE">
        <w:rPr>
          <w:sz w:val="22"/>
          <w:szCs w:val="22"/>
          <w:lang w:val="lt-LT"/>
        </w:rPr>
        <w:t xml:space="preserve"> odos vėžio) rizika. Vartodami</w:t>
      </w:r>
      <w:r w:rsidRPr="003A7BC8">
        <w:rPr>
          <w:rFonts w:eastAsia="SimSun"/>
          <w:sz w:val="22"/>
          <w:szCs w:val="22"/>
          <w:lang w:val="lt-LT"/>
        </w:rPr>
        <w:t xml:space="preserve"> </w:t>
      </w:r>
      <w:proofErr w:type="spellStart"/>
      <w:r w:rsidR="00E834AC" w:rsidRPr="00051FD3">
        <w:rPr>
          <w:sz w:val="22"/>
          <w:szCs w:val="22"/>
          <w:lang w:val="lt-LT"/>
        </w:rPr>
        <w:t>Telmisartan</w:t>
      </w:r>
      <w:proofErr w:type="spellEnd"/>
      <w:r w:rsidR="00E834AC" w:rsidRPr="00051FD3">
        <w:rPr>
          <w:sz w:val="22"/>
          <w:szCs w:val="22"/>
          <w:lang w:val="lt-LT"/>
        </w:rPr>
        <w:t>/</w:t>
      </w:r>
      <w:proofErr w:type="spellStart"/>
      <w:r w:rsidR="00E834AC" w:rsidRPr="00051FD3">
        <w:rPr>
          <w:sz w:val="22"/>
          <w:szCs w:val="22"/>
          <w:lang w:val="lt-LT"/>
        </w:rPr>
        <w:t>Hydrochlorothiazide</w:t>
      </w:r>
      <w:proofErr w:type="spellEnd"/>
      <w:r w:rsidR="00E834AC" w:rsidRPr="00051FD3">
        <w:rPr>
          <w:sz w:val="22"/>
          <w:szCs w:val="22"/>
          <w:lang w:val="lt-LT"/>
        </w:rPr>
        <w:t xml:space="preserve"> </w:t>
      </w:r>
      <w:proofErr w:type="spellStart"/>
      <w:r w:rsidR="00E834AC" w:rsidRPr="00051FD3">
        <w:rPr>
          <w:sz w:val="22"/>
          <w:szCs w:val="22"/>
          <w:lang w:val="lt-LT"/>
        </w:rPr>
        <w:t>Teva</w:t>
      </w:r>
      <w:proofErr w:type="spellEnd"/>
      <w:r w:rsidR="00E834AC" w:rsidRPr="00051FD3">
        <w:rPr>
          <w:sz w:val="22"/>
          <w:szCs w:val="22"/>
          <w:lang w:val="lt-LT"/>
        </w:rPr>
        <w:t xml:space="preserve"> Pharma</w:t>
      </w:r>
      <w:r w:rsidRPr="00012DBE">
        <w:rPr>
          <w:sz w:val="22"/>
          <w:szCs w:val="22"/>
          <w:lang w:val="lt-LT"/>
        </w:rPr>
        <w:t>, saugokite savo odą nuo saulės ir ultravioletinių spindulių.</w:t>
      </w:r>
      <w:r w:rsidR="007F39B7" w:rsidRPr="00051FD3">
        <w:rPr>
          <w:sz w:val="22"/>
          <w:szCs w:val="22"/>
          <w:lang w:val="lt-LT"/>
        </w:rPr>
        <w:t xml:space="preserve"> </w:t>
      </w:r>
    </w:p>
    <w:p w14:paraId="0B9C7B1B" w14:textId="77777777" w:rsidR="00322356" w:rsidRPr="00051FD3" w:rsidRDefault="00322356" w:rsidP="007F39B7">
      <w:pPr>
        <w:pStyle w:val="Default"/>
        <w:numPr>
          <w:ilvl w:val="0"/>
          <w:numId w:val="22"/>
        </w:numPr>
        <w:ind w:left="567" w:hanging="567"/>
        <w:rPr>
          <w:sz w:val="22"/>
          <w:szCs w:val="22"/>
          <w:lang w:val="lt-LT"/>
        </w:rPr>
      </w:pPr>
      <w:r w:rsidRPr="00051FD3">
        <w:rPr>
          <w:sz w:val="22"/>
          <w:szCs w:val="22"/>
          <w:lang w:val="lt-LT"/>
        </w:rPr>
        <w:t xml:space="preserve">Jeigu praeityje pavartojus </w:t>
      </w:r>
      <w:proofErr w:type="spellStart"/>
      <w:r w:rsidRPr="00051FD3">
        <w:rPr>
          <w:sz w:val="22"/>
          <w:szCs w:val="22"/>
          <w:lang w:val="lt-LT"/>
        </w:rPr>
        <w:t>hidrochlorotiazido</w:t>
      </w:r>
      <w:proofErr w:type="spellEnd"/>
      <w:r w:rsidRPr="00051FD3">
        <w:rPr>
          <w:sz w:val="22"/>
          <w:szCs w:val="22"/>
          <w:lang w:val="lt-LT"/>
        </w:rPr>
        <w:t xml:space="preserve">, pasireiškė kvėpavimo arba plaučių problemų (įskaitant uždegimą ar skysčių susidarymą plaučiuose). Jeigu pavartojus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pasireiškė stiprus dusulys ar pasunkėjęs kvėpavimas, nedelsdami kreipkitės į gydytoją.</w:t>
      </w:r>
    </w:p>
    <w:p w14:paraId="0D2B74CE" w14:textId="77777777" w:rsidR="007F39B7" w:rsidRPr="00051FD3" w:rsidRDefault="007F39B7" w:rsidP="007F39B7">
      <w:pPr>
        <w:autoSpaceDE w:val="0"/>
        <w:autoSpaceDN w:val="0"/>
        <w:adjustRightInd w:val="0"/>
        <w:rPr>
          <w:b/>
          <w:bCs/>
          <w:sz w:val="22"/>
          <w:szCs w:val="22"/>
          <w:lang w:eastAsia="lt-LT"/>
        </w:rPr>
      </w:pPr>
    </w:p>
    <w:p w14:paraId="572CCCF0" w14:textId="77777777" w:rsidR="001F05BA" w:rsidRPr="00051FD3" w:rsidRDefault="001F05BA" w:rsidP="001F05BA">
      <w:pPr>
        <w:autoSpaceDE w:val="0"/>
        <w:autoSpaceDN w:val="0"/>
        <w:adjustRightInd w:val="0"/>
        <w:rPr>
          <w:rFonts w:eastAsia="Calibri"/>
          <w:color w:val="000000"/>
          <w:sz w:val="22"/>
          <w:szCs w:val="22"/>
        </w:rPr>
      </w:pPr>
      <w:r w:rsidRPr="00051FD3">
        <w:rPr>
          <w:rFonts w:eastAsia="Calibri"/>
          <w:color w:val="000000"/>
          <w:sz w:val="22"/>
          <w:szCs w:val="22"/>
        </w:rPr>
        <w:t xml:space="preserve">Pasitarkite su gydytoju, prieš pradėdami vartoti </w:t>
      </w:r>
      <w:proofErr w:type="spellStart"/>
      <w:r w:rsidR="00051CB1" w:rsidRPr="00051FD3">
        <w:rPr>
          <w:sz w:val="22"/>
          <w:szCs w:val="22"/>
          <w:lang w:eastAsia="lt-LT"/>
        </w:rPr>
        <w:t>Telmisartan</w:t>
      </w:r>
      <w:proofErr w:type="spellEnd"/>
      <w:r w:rsidR="00051CB1" w:rsidRPr="00051FD3">
        <w:rPr>
          <w:sz w:val="22"/>
          <w:szCs w:val="22"/>
          <w:lang w:eastAsia="lt-LT"/>
        </w:rPr>
        <w:t>/</w:t>
      </w:r>
      <w:proofErr w:type="spellStart"/>
      <w:r w:rsidR="00051CB1" w:rsidRPr="00051FD3">
        <w:rPr>
          <w:sz w:val="22"/>
          <w:szCs w:val="22"/>
          <w:lang w:eastAsia="lt-LT"/>
        </w:rPr>
        <w:t>Hydrochlorothiazide</w:t>
      </w:r>
      <w:proofErr w:type="spellEnd"/>
      <w:r w:rsidR="00051CB1" w:rsidRPr="00051FD3">
        <w:rPr>
          <w:sz w:val="22"/>
          <w:szCs w:val="22"/>
          <w:lang w:eastAsia="lt-LT"/>
        </w:rPr>
        <w:t xml:space="preserve"> </w:t>
      </w:r>
      <w:proofErr w:type="spellStart"/>
      <w:r w:rsidR="00051CB1" w:rsidRPr="00051FD3">
        <w:rPr>
          <w:sz w:val="22"/>
          <w:szCs w:val="22"/>
          <w:lang w:eastAsia="lt-LT"/>
        </w:rPr>
        <w:t>Teva</w:t>
      </w:r>
      <w:proofErr w:type="spellEnd"/>
      <w:r w:rsidR="00051CB1" w:rsidRPr="00051FD3">
        <w:rPr>
          <w:sz w:val="22"/>
          <w:szCs w:val="22"/>
          <w:lang w:eastAsia="lt-LT"/>
        </w:rPr>
        <w:t xml:space="preserve"> Pharma</w:t>
      </w:r>
      <w:r w:rsidRPr="00051FD3">
        <w:rPr>
          <w:rFonts w:eastAsia="Calibri"/>
          <w:color w:val="000000"/>
          <w:sz w:val="22"/>
          <w:szCs w:val="22"/>
        </w:rPr>
        <w:t xml:space="preserve">: </w:t>
      </w:r>
    </w:p>
    <w:p w14:paraId="6CBF05AD" w14:textId="77777777" w:rsidR="001F05BA" w:rsidRPr="00051FD3" w:rsidRDefault="001F05BA" w:rsidP="001F05BA">
      <w:pPr>
        <w:autoSpaceDE w:val="0"/>
        <w:autoSpaceDN w:val="0"/>
        <w:adjustRightInd w:val="0"/>
        <w:ind w:left="567" w:hanging="568"/>
        <w:rPr>
          <w:rFonts w:eastAsia="Calibri"/>
          <w:color w:val="000000"/>
          <w:sz w:val="22"/>
          <w:szCs w:val="22"/>
        </w:rPr>
      </w:pPr>
      <w:r w:rsidRPr="00051FD3">
        <w:rPr>
          <w:rFonts w:eastAsia="Calibri"/>
          <w:color w:val="000000"/>
          <w:sz w:val="22"/>
          <w:szCs w:val="22"/>
        </w:rPr>
        <w:t xml:space="preserve">• jeigu vartojate kurį nors iš šių vaistų padidėjusiam kraujospūdžiui gydyti: </w:t>
      </w:r>
    </w:p>
    <w:p w14:paraId="7749ACAA" w14:textId="77777777" w:rsidR="001F05BA" w:rsidRPr="00051FD3" w:rsidRDefault="001F05BA" w:rsidP="001F05BA">
      <w:pPr>
        <w:autoSpaceDE w:val="0"/>
        <w:autoSpaceDN w:val="0"/>
        <w:adjustRightInd w:val="0"/>
        <w:ind w:left="567"/>
        <w:rPr>
          <w:rFonts w:eastAsia="Calibri"/>
          <w:color w:val="000000"/>
          <w:sz w:val="22"/>
          <w:szCs w:val="22"/>
        </w:rPr>
      </w:pPr>
      <w:r w:rsidRPr="00051FD3">
        <w:rPr>
          <w:rFonts w:eastAsia="Calibri"/>
          <w:color w:val="000000"/>
          <w:sz w:val="22"/>
          <w:szCs w:val="22"/>
        </w:rPr>
        <w:t xml:space="preserve">- AKF inhibitorių (pavyzdžiui, </w:t>
      </w:r>
      <w:proofErr w:type="spellStart"/>
      <w:r w:rsidRPr="00051FD3">
        <w:rPr>
          <w:rFonts w:eastAsia="Calibri"/>
          <w:color w:val="000000"/>
          <w:sz w:val="22"/>
          <w:szCs w:val="22"/>
        </w:rPr>
        <w:t>enalaprilį</w:t>
      </w:r>
      <w:proofErr w:type="spellEnd"/>
      <w:r w:rsidRPr="00051FD3">
        <w:rPr>
          <w:rFonts w:eastAsia="Calibri"/>
          <w:color w:val="000000"/>
          <w:sz w:val="22"/>
          <w:szCs w:val="22"/>
        </w:rPr>
        <w:t xml:space="preserve">, </w:t>
      </w:r>
      <w:proofErr w:type="spellStart"/>
      <w:r w:rsidRPr="00051FD3">
        <w:rPr>
          <w:rFonts w:eastAsia="Calibri"/>
          <w:color w:val="000000"/>
          <w:sz w:val="22"/>
          <w:szCs w:val="22"/>
        </w:rPr>
        <w:t>lizinoprilį</w:t>
      </w:r>
      <w:proofErr w:type="spellEnd"/>
      <w:r w:rsidRPr="00051FD3">
        <w:rPr>
          <w:rFonts w:eastAsia="Calibri"/>
          <w:color w:val="000000"/>
          <w:sz w:val="22"/>
          <w:szCs w:val="22"/>
        </w:rPr>
        <w:t xml:space="preserve">, </w:t>
      </w:r>
      <w:proofErr w:type="spellStart"/>
      <w:r w:rsidRPr="00051FD3">
        <w:rPr>
          <w:rFonts w:eastAsia="Calibri"/>
          <w:color w:val="000000"/>
          <w:sz w:val="22"/>
          <w:szCs w:val="22"/>
        </w:rPr>
        <w:t>ramiprilį</w:t>
      </w:r>
      <w:proofErr w:type="spellEnd"/>
      <w:r w:rsidRPr="00051FD3">
        <w:rPr>
          <w:rFonts w:eastAsia="Calibri"/>
          <w:color w:val="000000"/>
          <w:sz w:val="22"/>
          <w:szCs w:val="22"/>
        </w:rPr>
        <w:t xml:space="preserve">), ypač jei turite su diabetu susijusių inkstų sutrikimų. </w:t>
      </w:r>
    </w:p>
    <w:p w14:paraId="6071E879" w14:textId="77777777" w:rsidR="00F95351" w:rsidRPr="00051FD3" w:rsidRDefault="001F05BA" w:rsidP="00075E68">
      <w:pPr>
        <w:autoSpaceDE w:val="0"/>
        <w:autoSpaceDN w:val="0"/>
        <w:adjustRightInd w:val="0"/>
        <w:ind w:left="567"/>
        <w:rPr>
          <w:rFonts w:eastAsia="Calibri"/>
          <w:color w:val="000000"/>
          <w:sz w:val="22"/>
          <w:szCs w:val="22"/>
        </w:rPr>
      </w:pPr>
      <w:r w:rsidRPr="00051FD3">
        <w:rPr>
          <w:rFonts w:eastAsia="Calibri"/>
          <w:color w:val="000000"/>
          <w:sz w:val="22"/>
          <w:szCs w:val="22"/>
        </w:rPr>
        <w:t xml:space="preserve">- </w:t>
      </w:r>
      <w:proofErr w:type="spellStart"/>
      <w:r w:rsidRPr="00051FD3">
        <w:rPr>
          <w:rFonts w:eastAsia="Calibri"/>
          <w:color w:val="000000"/>
          <w:sz w:val="22"/>
          <w:szCs w:val="22"/>
        </w:rPr>
        <w:t>aliskireną</w:t>
      </w:r>
      <w:proofErr w:type="spellEnd"/>
      <w:r w:rsidRPr="00051FD3">
        <w:rPr>
          <w:rFonts w:eastAsia="Calibri"/>
          <w:color w:val="000000"/>
          <w:sz w:val="22"/>
          <w:szCs w:val="22"/>
        </w:rPr>
        <w:t xml:space="preserve">. </w:t>
      </w:r>
    </w:p>
    <w:p w14:paraId="0CF04765" w14:textId="77777777" w:rsidR="007F39B7" w:rsidRPr="00051FD3" w:rsidRDefault="001F05BA" w:rsidP="007F39B7">
      <w:pPr>
        <w:pStyle w:val="Sraopastraipa"/>
        <w:numPr>
          <w:ilvl w:val="0"/>
          <w:numId w:val="23"/>
        </w:numPr>
        <w:autoSpaceDE w:val="0"/>
        <w:autoSpaceDN w:val="0"/>
        <w:adjustRightInd w:val="0"/>
        <w:ind w:left="567" w:hanging="567"/>
        <w:rPr>
          <w:bCs/>
          <w:sz w:val="22"/>
          <w:szCs w:val="22"/>
          <w:lang w:eastAsia="lt-LT"/>
        </w:rPr>
      </w:pPr>
      <w:r w:rsidRPr="00051FD3">
        <w:rPr>
          <w:rFonts w:eastAsia="Calibri"/>
          <w:color w:val="000000"/>
          <w:sz w:val="22"/>
          <w:szCs w:val="22"/>
        </w:rPr>
        <w:t>Jūsų gydytojas gali reguliariai ištirti Jūsų inkstų funkciją, kraujospūdį ir elektrolitų (pvz., kalio) kiekį kraujyje. Taip pat žiūrėkite informaciją, pateiktą poskyryje „</w:t>
      </w:r>
      <w:proofErr w:type="spellStart"/>
      <w:r w:rsidR="00051CB1" w:rsidRPr="00051FD3">
        <w:rPr>
          <w:sz w:val="22"/>
          <w:szCs w:val="22"/>
          <w:lang w:eastAsia="lt-LT"/>
        </w:rPr>
        <w:t>Telmisartan</w:t>
      </w:r>
      <w:proofErr w:type="spellEnd"/>
      <w:r w:rsidR="00051CB1" w:rsidRPr="00051FD3">
        <w:rPr>
          <w:sz w:val="22"/>
          <w:szCs w:val="22"/>
          <w:lang w:eastAsia="lt-LT"/>
        </w:rPr>
        <w:t>/</w:t>
      </w:r>
      <w:proofErr w:type="spellStart"/>
      <w:r w:rsidR="00051CB1" w:rsidRPr="00051FD3">
        <w:rPr>
          <w:sz w:val="22"/>
          <w:szCs w:val="22"/>
          <w:lang w:eastAsia="lt-LT"/>
        </w:rPr>
        <w:t>Hydrochlorothiazide</w:t>
      </w:r>
      <w:proofErr w:type="spellEnd"/>
      <w:r w:rsidR="00051CB1" w:rsidRPr="00051FD3">
        <w:rPr>
          <w:sz w:val="22"/>
          <w:szCs w:val="22"/>
          <w:lang w:eastAsia="lt-LT"/>
        </w:rPr>
        <w:t xml:space="preserve"> </w:t>
      </w:r>
      <w:proofErr w:type="spellStart"/>
      <w:r w:rsidR="00051CB1" w:rsidRPr="00051FD3">
        <w:rPr>
          <w:sz w:val="22"/>
          <w:szCs w:val="22"/>
          <w:lang w:eastAsia="lt-LT"/>
        </w:rPr>
        <w:t>Teva</w:t>
      </w:r>
      <w:proofErr w:type="spellEnd"/>
      <w:r w:rsidR="00051CB1" w:rsidRPr="00051FD3">
        <w:rPr>
          <w:sz w:val="22"/>
          <w:szCs w:val="22"/>
          <w:lang w:eastAsia="lt-LT"/>
        </w:rPr>
        <w:t xml:space="preserve"> Pharma</w:t>
      </w:r>
      <w:r w:rsidRPr="00051FD3">
        <w:rPr>
          <w:rFonts w:eastAsia="Calibri"/>
          <w:color w:val="000000"/>
          <w:sz w:val="22"/>
          <w:szCs w:val="22"/>
        </w:rPr>
        <w:t xml:space="preserve"> vartoti negalima“.</w:t>
      </w:r>
    </w:p>
    <w:p w14:paraId="78EFB492" w14:textId="77777777" w:rsidR="00F95351" w:rsidRPr="00051FD3" w:rsidRDefault="00051CB1" w:rsidP="00075E68">
      <w:pPr>
        <w:pStyle w:val="Sraopastraipa"/>
        <w:autoSpaceDE w:val="0"/>
        <w:autoSpaceDN w:val="0"/>
        <w:adjustRightInd w:val="0"/>
        <w:ind w:left="567" w:hanging="567"/>
        <w:rPr>
          <w:sz w:val="22"/>
          <w:szCs w:val="22"/>
        </w:rPr>
      </w:pPr>
      <w:r w:rsidRPr="00051FD3">
        <w:rPr>
          <w:sz w:val="22"/>
          <w:szCs w:val="22"/>
        </w:rPr>
        <w:lastRenderedPageBreak/>
        <w:t xml:space="preserve">• jeigu vartojate </w:t>
      </w:r>
      <w:proofErr w:type="spellStart"/>
      <w:r w:rsidRPr="00051FD3">
        <w:rPr>
          <w:sz w:val="22"/>
          <w:szCs w:val="22"/>
        </w:rPr>
        <w:t>digoksino</w:t>
      </w:r>
      <w:proofErr w:type="spellEnd"/>
      <w:r w:rsidRPr="00051FD3">
        <w:rPr>
          <w:sz w:val="22"/>
          <w:szCs w:val="22"/>
        </w:rPr>
        <w:t xml:space="preserve">. </w:t>
      </w:r>
    </w:p>
    <w:p w14:paraId="1EEF3ECD" w14:textId="77777777" w:rsidR="007F39B7" w:rsidRPr="00051FD3" w:rsidRDefault="007F39B7" w:rsidP="007F39B7">
      <w:pPr>
        <w:pStyle w:val="Sraopastraipa"/>
        <w:autoSpaceDE w:val="0"/>
        <w:autoSpaceDN w:val="0"/>
        <w:adjustRightInd w:val="0"/>
        <w:ind w:left="567"/>
        <w:rPr>
          <w:bCs/>
          <w:sz w:val="22"/>
          <w:szCs w:val="22"/>
          <w:lang w:eastAsia="lt-LT"/>
        </w:rPr>
      </w:pPr>
    </w:p>
    <w:p w14:paraId="5B48F864" w14:textId="77777777" w:rsidR="007F39B7" w:rsidRPr="00051FD3" w:rsidRDefault="007F39B7" w:rsidP="007F39B7">
      <w:pPr>
        <w:pStyle w:val="Default"/>
        <w:rPr>
          <w:sz w:val="22"/>
          <w:szCs w:val="22"/>
          <w:lang w:val="lt-LT"/>
        </w:rPr>
      </w:pPr>
      <w:r w:rsidRPr="00051FD3">
        <w:rPr>
          <w:sz w:val="22"/>
          <w:szCs w:val="22"/>
          <w:lang w:val="lt-LT"/>
        </w:rPr>
        <w:t xml:space="preserve">Jeigu manote, kad esate nėščia (arba galbūt pastojote), turite pasakyti gydytojui. Ankstyvuoju nėštumo laikotarpiu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vartoti nerekomenduojama. Jeigu nėščia esate daugiau negu tris mėnesius,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vartoti draudžiama, nes vėlyvuoju nėštumo laikotarpiu vartojamas šis vaistas gali sukelti sunkią jūsų vaisiaus pažaidą (žr. skyrių apie nėštumą). </w:t>
      </w:r>
    </w:p>
    <w:p w14:paraId="196DFDD4" w14:textId="77777777" w:rsidR="007F39B7" w:rsidRPr="00051FD3" w:rsidRDefault="007F39B7" w:rsidP="007F39B7">
      <w:pPr>
        <w:pStyle w:val="Default"/>
        <w:rPr>
          <w:sz w:val="22"/>
          <w:szCs w:val="22"/>
          <w:lang w:val="lt-LT"/>
        </w:rPr>
      </w:pPr>
    </w:p>
    <w:p w14:paraId="2BAF7E44" w14:textId="77777777" w:rsidR="007F39B7" w:rsidRPr="00051FD3" w:rsidRDefault="007F39B7" w:rsidP="007F39B7">
      <w:pPr>
        <w:pStyle w:val="Default"/>
        <w:rPr>
          <w:sz w:val="22"/>
          <w:szCs w:val="22"/>
          <w:lang w:val="lt-LT"/>
        </w:rPr>
      </w:pPr>
      <w:r w:rsidRPr="00051FD3">
        <w:rPr>
          <w:sz w:val="22"/>
          <w:szCs w:val="22"/>
          <w:lang w:val="lt-LT"/>
        </w:rPr>
        <w:t xml:space="preserve">Vartojant </w:t>
      </w:r>
      <w:proofErr w:type="spellStart"/>
      <w:r w:rsidRPr="00051FD3">
        <w:rPr>
          <w:sz w:val="22"/>
          <w:szCs w:val="22"/>
          <w:lang w:val="lt-LT"/>
        </w:rPr>
        <w:t>hidrochlorotiazido</w:t>
      </w:r>
      <w:proofErr w:type="spellEnd"/>
      <w:r w:rsidRPr="00051FD3">
        <w:rPr>
          <w:sz w:val="22"/>
          <w:szCs w:val="22"/>
          <w:lang w:val="lt-LT"/>
        </w:rPr>
        <w:t xml:space="preserve">, gali sutrikti elektrolitų pusiausvyra. Būdingi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ritmas. Jeigu kuris nors iš minėtų simptomų pasireiškia, pasakykite gydytojui. </w:t>
      </w:r>
    </w:p>
    <w:p w14:paraId="068BBECA" w14:textId="77777777" w:rsidR="007F39B7" w:rsidRPr="00051FD3" w:rsidRDefault="007F39B7" w:rsidP="007F39B7">
      <w:pPr>
        <w:pStyle w:val="Default"/>
        <w:rPr>
          <w:sz w:val="22"/>
          <w:szCs w:val="22"/>
          <w:lang w:val="lt-LT"/>
        </w:rPr>
      </w:pPr>
    </w:p>
    <w:p w14:paraId="3A22F4D2" w14:textId="77777777" w:rsidR="007F39B7" w:rsidRPr="00051FD3" w:rsidRDefault="007F39B7" w:rsidP="007F39B7">
      <w:pPr>
        <w:pStyle w:val="Default"/>
        <w:rPr>
          <w:sz w:val="22"/>
          <w:szCs w:val="22"/>
          <w:lang w:val="lt-LT"/>
        </w:rPr>
      </w:pPr>
      <w:r w:rsidRPr="00051FD3">
        <w:rPr>
          <w:sz w:val="22"/>
          <w:szCs w:val="22"/>
          <w:lang w:val="lt-LT"/>
        </w:rPr>
        <w:t xml:space="preserve">Gydytojui turite pasakyti ir tuo atveju, jeigu padidėja odos jautrumas šviesai ir dėl to dažniau, negu paprastai, atsiranda nudegimo nuo saulės simptomų (pvz., paraudimas, niežulys, patinimas, pūslės). </w:t>
      </w:r>
    </w:p>
    <w:p w14:paraId="6A16E0EC" w14:textId="77777777" w:rsidR="007F39B7" w:rsidRDefault="007F39B7" w:rsidP="007F39B7">
      <w:pPr>
        <w:pStyle w:val="Default"/>
        <w:rPr>
          <w:sz w:val="22"/>
          <w:szCs w:val="22"/>
          <w:lang w:val="lt-LT"/>
        </w:rPr>
      </w:pPr>
    </w:p>
    <w:p w14:paraId="1968E989" w14:textId="77777777" w:rsidR="00B56985" w:rsidRDefault="00B56985" w:rsidP="00B56985">
      <w:pPr>
        <w:pStyle w:val="Default"/>
        <w:rPr>
          <w:sz w:val="22"/>
          <w:szCs w:val="22"/>
          <w:lang w:val="lt-LT"/>
        </w:rPr>
      </w:pPr>
      <w:r w:rsidRPr="004F1914">
        <w:rPr>
          <w:sz w:val="22"/>
          <w:szCs w:val="22"/>
          <w:lang w:val="lt-LT"/>
        </w:rPr>
        <w:t xml:space="preserve">Pasitarkite su gydytoju, jei pavartojus </w:t>
      </w:r>
      <w:proofErr w:type="spellStart"/>
      <w:r w:rsidRPr="004F1914">
        <w:rPr>
          <w:sz w:val="22"/>
          <w:szCs w:val="22"/>
          <w:lang w:val="lt-LT"/>
        </w:rPr>
        <w:t>Telmisartan</w:t>
      </w:r>
      <w:proofErr w:type="spellEnd"/>
      <w:r w:rsidRPr="004F1914">
        <w:rPr>
          <w:sz w:val="22"/>
          <w:szCs w:val="22"/>
          <w:lang w:val="lt-LT"/>
        </w:rPr>
        <w:t>/</w:t>
      </w:r>
      <w:proofErr w:type="spellStart"/>
      <w:r w:rsidRPr="004F1914">
        <w:rPr>
          <w:sz w:val="22"/>
          <w:szCs w:val="22"/>
          <w:lang w:val="lt-LT"/>
        </w:rPr>
        <w:t>Hydrochlorothiazide</w:t>
      </w:r>
      <w:proofErr w:type="spellEnd"/>
      <w:r w:rsidRPr="004F1914">
        <w:rPr>
          <w:sz w:val="22"/>
          <w:szCs w:val="22"/>
          <w:lang w:val="lt-LT"/>
        </w:rPr>
        <w:t xml:space="preserve"> </w:t>
      </w:r>
      <w:proofErr w:type="spellStart"/>
      <w:r w:rsidRPr="004F1914">
        <w:rPr>
          <w:sz w:val="22"/>
          <w:szCs w:val="22"/>
          <w:lang w:val="lt-LT"/>
        </w:rPr>
        <w:t>Teva</w:t>
      </w:r>
      <w:proofErr w:type="spellEnd"/>
      <w:r w:rsidRPr="004F1914">
        <w:rPr>
          <w:sz w:val="22"/>
          <w:szCs w:val="22"/>
          <w:lang w:val="lt-LT"/>
        </w:rPr>
        <w:t xml:space="preserve"> Pharma</w:t>
      </w:r>
      <w:r w:rsidRPr="001F7EAF">
        <w:rPr>
          <w:sz w:val="22"/>
          <w:szCs w:val="22"/>
          <w:lang w:val="lt-LT"/>
        </w:rPr>
        <w:t xml:space="preserve"> </w:t>
      </w:r>
      <w:r w:rsidRPr="004F1914">
        <w:rPr>
          <w:sz w:val="22"/>
          <w:szCs w:val="22"/>
          <w:lang w:val="lt-LT"/>
        </w:rPr>
        <w:t xml:space="preserve">jaučiate pilvo skausmą, pykinimą, vėmimą arba viduriavimą. Dėl tolesnio gydymo nuspręs Jūsų gydytojas. Nenustokite vartoti </w:t>
      </w:r>
      <w:proofErr w:type="spellStart"/>
      <w:r w:rsidRPr="0037624E">
        <w:rPr>
          <w:sz w:val="22"/>
          <w:szCs w:val="22"/>
          <w:lang w:val="lt-LT"/>
        </w:rPr>
        <w:t>Telmisartan</w:t>
      </w:r>
      <w:proofErr w:type="spellEnd"/>
      <w:r w:rsidRPr="0037624E">
        <w:rPr>
          <w:sz w:val="22"/>
          <w:szCs w:val="22"/>
          <w:lang w:val="lt-LT"/>
        </w:rPr>
        <w:t>/</w:t>
      </w:r>
      <w:proofErr w:type="spellStart"/>
      <w:r w:rsidRPr="0037624E">
        <w:rPr>
          <w:sz w:val="22"/>
          <w:szCs w:val="22"/>
          <w:lang w:val="lt-LT"/>
        </w:rPr>
        <w:t>Hydrochlorothiazide</w:t>
      </w:r>
      <w:proofErr w:type="spellEnd"/>
      <w:r w:rsidRPr="0037624E">
        <w:rPr>
          <w:sz w:val="22"/>
          <w:szCs w:val="22"/>
          <w:lang w:val="lt-LT"/>
        </w:rPr>
        <w:t xml:space="preserve"> </w:t>
      </w:r>
      <w:proofErr w:type="spellStart"/>
      <w:r w:rsidRPr="0037624E">
        <w:rPr>
          <w:sz w:val="22"/>
          <w:szCs w:val="22"/>
          <w:lang w:val="lt-LT"/>
        </w:rPr>
        <w:t>Teva</w:t>
      </w:r>
      <w:proofErr w:type="spellEnd"/>
      <w:r w:rsidRPr="0037624E">
        <w:rPr>
          <w:sz w:val="22"/>
          <w:szCs w:val="22"/>
          <w:lang w:val="lt-LT"/>
        </w:rPr>
        <w:t xml:space="preserve"> Pharma</w:t>
      </w:r>
      <w:r w:rsidRPr="001F7EAF">
        <w:rPr>
          <w:sz w:val="22"/>
          <w:szCs w:val="22"/>
          <w:lang w:val="lt-LT"/>
        </w:rPr>
        <w:t xml:space="preserve"> </w:t>
      </w:r>
      <w:r w:rsidRPr="004F1914">
        <w:rPr>
          <w:sz w:val="22"/>
          <w:szCs w:val="22"/>
          <w:lang w:val="lt-LT"/>
        </w:rPr>
        <w:t>pats.</w:t>
      </w:r>
    </w:p>
    <w:p w14:paraId="51D42855" w14:textId="77777777" w:rsidR="00B56985" w:rsidRPr="00051FD3" w:rsidRDefault="00B56985" w:rsidP="007F39B7">
      <w:pPr>
        <w:pStyle w:val="Default"/>
        <w:rPr>
          <w:sz w:val="22"/>
          <w:szCs w:val="22"/>
          <w:lang w:val="lt-LT"/>
        </w:rPr>
      </w:pPr>
    </w:p>
    <w:p w14:paraId="0ABFA643" w14:textId="77777777" w:rsidR="007F39B7" w:rsidRPr="00051FD3" w:rsidRDefault="007F39B7" w:rsidP="007F39B7">
      <w:pPr>
        <w:pStyle w:val="Default"/>
        <w:rPr>
          <w:sz w:val="22"/>
          <w:szCs w:val="22"/>
          <w:lang w:val="lt-LT"/>
        </w:rPr>
      </w:pPr>
      <w:r w:rsidRPr="00051FD3">
        <w:rPr>
          <w:sz w:val="22"/>
          <w:szCs w:val="22"/>
          <w:lang w:val="lt-LT"/>
        </w:rPr>
        <w:t xml:space="preserve">Prieš operaciją arba anesteziją reikia pasakyti gydytojui apie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vartojimą. </w:t>
      </w:r>
    </w:p>
    <w:p w14:paraId="755A1AB9" w14:textId="77777777" w:rsidR="007F39B7" w:rsidRPr="00051FD3" w:rsidRDefault="007F39B7" w:rsidP="007F39B7">
      <w:pPr>
        <w:pStyle w:val="Default"/>
        <w:rPr>
          <w:sz w:val="22"/>
          <w:szCs w:val="22"/>
          <w:lang w:val="lt-LT"/>
        </w:rPr>
      </w:pPr>
    </w:p>
    <w:p w14:paraId="1CC028DD" w14:textId="77777777" w:rsidR="007F39B7" w:rsidRPr="00051FD3" w:rsidRDefault="007F39B7" w:rsidP="007F39B7">
      <w:pPr>
        <w:pStyle w:val="Default"/>
        <w:rPr>
          <w:sz w:val="22"/>
          <w:szCs w:val="22"/>
          <w:lang w:val="lt-LT"/>
        </w:rPr>
      </w:pPr>
      <w:r w:rsidRPr="00051FD3">
        <w:rPr>
          <w:sz w:val="22"/>
          <w:szCs w:val="22"/>
          <w:lang w:val="lt-LT"/>
        </w:rPr>
        <w:t xml:space="preserve">Juodaodžiams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kraujospūdį gali mažinti silpniau. </w:t>
      </w:r>
    </w:p>
    <w:p w14:paraId="12EC714B" w14:textId="77777777" w:rsidR="007F39B7" w:rsidRPr="00051FD3" w:rsidRDefault="007F39B7" w:rsidP="007F39B7">
      <w:pPr>
        <w:pStyle w:val="Default"/>
        <w:rPr>
          <w:sz w:val="22"/>
          <w:szCs w:val="22"/>
          <w:lang w:val="lt-LT"/>
        </w:rPr>
      </w:pPr>
    </w:p>
    <w:p w14:paraId="13C2F6E8" w14:textId="77777777" w:rsidR="007F39B7" w:rsidRPr="00051FD3" w:rsidRDefault="007F39B7" w:rsidP="007F39B7">
      <w:pPr>
        <w:pStyle w:val="Default"/>
        <w:rPr>
          <w:sz w:val="22"/>
          <w:szCs w:val="22"/>
          <w:lang w:val="lt-LT"/>
        </w:rPr>
      </w:pPr>
      <w:r w:rsidRPr="00051FD3">
        <w:rPr>
          <w:b/>
          <w:bCs/>
          <w:sz w:val="22"/>
          <w:szCs w:val="22"/>
          <w:lang w:val="lt-LT"/>
        </w:rPr>
        <w:t xml:space="preserve">Vaikams ir paaugliams </w:t>
      </w:r>
    </w:p>
    <w:p w14:paraId="3986DFA6" w14:textId="77777777" w:rsidR="007F39B7" w:rsidRPr="00051FD3" w:rsidRDefault="007F39B7" w:rsidP="007F39B7">
      <w:pPr>
        <w:numPr>
          <w:ilvl w:val="12"/>
          <w:numId w:val="0"/>
        </w:numPr>
        <w:rPr>
          <w:noProof/>
          <w:sz w:val="22"/>
          <w:szCs w:val="22"/>
        </w:rPr>
      </w:pPr>
      <w:r w:rsidRPr="00051FD3">
        <w:rPr>
          <w:noProof/>
          <w:sz w:val="22"/>
          <w:szCs w:val="22"/>
        </w:rPr>
        <w:t>Vaikams ir jaunesniems negu 18 metų paaugliams Telmisartan/Hydrochlorothiazide Teva Pharma vartoti nerekomenduojama.</w:t>
      </w:r>
    </w:p>
    <w:p w14:paraId="063EB415" w14:textId="77777777" w:rsidR="007F39B7" w:rsidRPr="00051FD3" w:rsidRDefault="007F39B7" w:rsidP="007F39B7">
      <w:pPr>
        <w:autoSpaceDE w:val="0"/>
        <w:autoSpaceDN w:val="0"/>
        <w:adjustRightInd w:val="0"/>
        <w:rPr>
          <w:sz w:val="22"/>
          <w:szCs w:val="22"/>
          <w:lang w:eastAsia="lt-LT"/>
        </w:rPr>
      </w:pPr>
    </w:p>
    <w:p w14:paraId="2E8F35C3" w14:textId="77777777" w:rsidR="007F39B7" w:rsidRPr="00051FD3" w:rsidRDefault="007F39B7" w:rsidP="007F39B7">
      <w:pPr>
        <w:autoSpaceDE w:val="0"/>
        <w:autoSpaceDN w:val="0"/>
        <w:adjustRightInd w:val="0"/>
        <w:rPr>
          <w:b/>
          <w:bCs/>
          <w:sz w:val="22"/>
          <w:szCs w:val="22"/>
          <w:lang w:eastAsia="lt-LT"/>
        </w:rPr>
      </w:pPr>
      <w:r w:rsidRPr="00051FD3">
        <w:rPr>
          <w:b/>
          <w:bCs/>
          <w:sz w:val="22"/>
          <w:szCs w:val="22"/>
          <w:lang w:eastAsia="lt-LT"/>
        </w:rPr>
        <w:t xml:space="preserve">Kiti vaistai ir </w:t>
      </w:r>
      <w:proofErr w:type="spellStart"/>
      <w:r w:rsidRPr="00051FD3">
        <w:rPr>
          <w:b/>
          <w:bCs/>
          <w:sz w:val="22"/>
          <w:szCs w:val="22"/>
          <w:lang w:eastAsia="lt-LT"/>
        </w:rPr>
        <w:t>Telmisartan</w:t>
      </w:r>
      <w:proofErr w:type="spellEnd"/>
      <w:r w:rsidRPr="00051FD3">
        <w:rPr>
          <w:b/>
          <w:bCs/>
          <w:sz w:val="22"/>
          <w:szCs w:val="22"/>
          <w:lang w:eastAsia="lt-LT"/>
        </w:rPr>
        <w:t>/</w:t>
      </w:r>
      <w:proofErr w:type="spellStart"/>
      <w:r w:rsidRPr="00051FD3">
        <w:rPr>
          <w:b/>
          <w:bCs/>
          <w:sz w:val="22"/>
          <w:szCs w:val="22"/>
          <w:lang w:eastAsia="lt-LT"/>
        </w:rPr>
        <w:t>Hydrochlorothiazide</w:t>
      </w:r>
      <w:proofErr w:type="spellEnd"/>
      <w:r w:rsidRPr="00051FD3">
        <w:rPr>
          <w:b/>
          <w:bCs/>
          <w:sz w:val="22"/>
          <w:szCs w:val="22"/>
          <w:lang w:eastAsia="lt-LT"/>
        </w:rPr>
        <w:t xml:space="preserve"> </w:t>
      </w:r>
      <w:proofErr w:type="spellStart"/>
      <w:r w:rsidRPr="00051FD3">
        <w:rPr>
          <w:b/>
          <w:bCs/>
          <w:sz w:val="22"/>
          <w:szCs w:val="22"/>
          <w:lang w:eastAsia="lt-LT"/>
        </w:rPr>
        <w:t>Teva</w:t>
      </w:r>
      <w:proofErr w:type="spellEnd"/>
      <w:r w:rsidRPr="00051FD3">
        <w:rPr>
          <w:b/>
          <w:bCs/>
          <w:sz w:val="22"/>
          <w:szCs w:val="22"/>
          <w:lang w:eastAsia="lt-LT"/>
        </w:rPr>
        <w:t xml:space="preserve"> Pharma</w:t>
      </w:r>
    </w:p>
    <w:p w14:paraId="470E5327"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Jeigu vartojate arba neseniai vartojote kitų vaistų, </w:t>
      </w:r>
      <w:r w:rsidRPr="00051FD3">
        <w:rPr>
          <w:sz w:val="22"/>
          <w:szCs w:val="22"/>
        </w:rPr>
        <w:t>arba dėl to nesate tikri, apie tai</w:t>
      </w:r>
      <w:r w:rsidRPr="00051FD3">
        <w:rPr>
          <w:sz w:val="22"/>
          <w:szCs w:val="22"/>
          <w:lang w:eastAsia="lt-LT"/>
        </w:rPr>
        <w:t xml:space="preserve"> pasakykite gydytojui arba vaistininkui. Gydytojas gali keisti kitų kartu vartojamų vaistų dozę arba imtis kitokių atsargumo priemonių. Kai kuriais atvejais gali tekti kažkurio iš vaistų vartojimą nutraukti. Tai ypač tinka žemiau išvardytiems vaistiniams preparatams, jeigu jų vartojama kartu su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p>
    <w:p w14:paraId="0B98ECCB" w14:textId="678E7AB5" w:rsidR="00AA22EF" w:rsidRPr="003A7BC8" w:rsidRDefault="007F39B7" w:rsidP="00401F7E">
      <w:pPr>
        <w:numPr>
          <w:ilvl w:val="0"/>
          <w:numId w:val="30"/>
        </w:numPr>
        <w:ind w:left="567" w:right="-2" w:hanging="567"/>
        <w:rPr>
          <w:sz w:val="22"/>
          <w:szCs w:val="22"/>
        </w:rPr>
      </w:pPr>
      <w:r w:rsidRPr="00012DBE">
        <w:rPr>
          <w:color w:val="000000"/>
          <w:sz w:val="22"/>
          <w:szCs w:val="22"/>
        </w:rPr>
        <w:t xml:space="preserve">nuo tam tikros depresijos formos vartojami vaistiniai preparatai, kuriuose yra ličio; </w:t>
      </w:r>
      <w:r w:rsidRPr="00012DBE">
        <w:rPr>
          <w:sz w:val="22"/>
          <w:szCs w:val="22"/>
        </w:rPr>
        <w:t>vaistiniai preparatai, kurių vartojimas siejamas su mažu kalio kiekiu kraujyje (</w:t>
      </w:r>
      <w:proofErr w:type="spellStart"/>
      <w:r w:rsidRPr="00012DBE">
        <w:rPr>
          <w:sz w:val="22"/>
          <w:szCs w:val="22"/>
        </w:rPr>
        <w:t>hipokalemija</w:t>
      </w:r>
      <w:proofErr w:type="spellEnd"/>
      <w:r w:rsidRPr="00012DBE">
        <w:rPr>
          <w:sz w:val="22"/>
          <w:szCs w:val="22"/>
        </w:rPr>
        <w:t xml:space="preserve">), pvz., kiti diuretikai (šlapimo išskyrimą skatinančios </w:t>
      </w:r>
      <w:r w:rsidRPr="003A7BC8">
        <w:rPr>
          <w:sz w:val="22"/>
          <w:szCs w:val="22"/>
        </w:rPr>
        <w:t xml:space="preserve">tabletės), vidurių laisvinamieji preparatai (pvz., ricinos aliejus), kortikosteroidai (pvz., prednizolonas), </w:t>
      </w:r>
      <w:proofErr w:type="spellStart"/>
      <w:r w:rsidRPr="003A7BC8">
        <w:rPr>
          <w:sz w:val="22"/>
          <w:szCs w:val="22"/>
        </w:rPr>
        <w:t>adrenokortikotropinis</w:t>
      </w:r>
      <w:proofErr w:type="spellEnd"/>
      <w:r w:rsidRPr="003A7BC8">
        <w:rPr>
          <w:sz w:val="22"/>
          <w:szCs w:val="22"/>
        </w:rPr>
        <w:t xml:space="preserve"> hormonas (AKTH), </w:t>
      </w:r>
      <w:proofErr w:type="spellStart"/>
      <w:r w:rsidRPr="003A7BC8">
        <w:rPr>
          <w:sz w:val="22"/>
          <w:szCs w:val="22"/>
        </w:rPr>
        <w:t>amfotericinas</w:t>
      </w:r>
      <w:proofErr w:type="spellEnd"/>
      <w:r w:rsidRPr="003A7BC8">
        <w:rPr>
          <w:sz w:val="22"/>
          <w:szCs w:val="22"/>
        </w:rPr>
        <w:t xml:space="preserve"> (vaistas nuo grybelių sukeltų ligų), </w:t>
      </w:r>
      <w:proofErr w:type="spellStart"/>
      <w:r w:rsidRPr="003A7BC8">
        <w:rPr>
          <w:sz w:val="22"/>
          <w:szCs w:val="22"/>
        </w:rPr>
        <w:t>karbenoksolonas</w:t>
      </w:r>
      <w:proofErr w:type="spellEnd"/>
      <w:r w:rsidRPr="003A7BC8">
        <w:rPr>
          <w:sz w:val="22"/>
          <w:szCs w:val="22"/>
        </w:rPr>
        <w:t xml:space="preserve"> (vaistas nuo burnos opų), penicilino G natrio druska (antibiotikas), salicilo rūgštis ir jos dariniai;</w:t>
      </w:r>
    </w:p>
    <w:p w14:paraId="60065375" w14:textId="785FD1D6" w:rsidR="0098124E" w:rsidRPr="003A7BC8" w:rsidRDefault="0098124E" w:rsidP="0098124E">
      <w:pPr>
        <w:numPr>
          <w:ilvl w:val="0"/>
          <w:numId w:val="30"/>
        </w:numPr>
        <w:ind w:left="567" w:right="-2" w:hanging="567"/>
        <w:rPr>
          <w:sz w:val="22"/>
          <w:szCs w:val="22"/>
        </w:rPr>
      </w:pPr>
      <w:r w:rsidRPr="003A7BC8">
        <w:rPr>
          <w:sz w:val="22"/>
          <w:szCs w:val="22"/>
        </w:rPr>
        <w:t>Jodo kontrastinė medžiaga, vartojama atliekant vaizdinį tyrimą.</w:t>
      </w:r>
    </w:p>
    <w:p w14:paraId="04C0D143" w14:textId="77777777" w:rsidR="00C96802" w:rsidRPr="00012DBE" w:rsidRDefault="00FE0A49" w:rsidP="00401F7E">
      <w:pPr>
        <w:numPr>
          <w:ilvl w:val="0"/>
          <w:numId w:val="30"/>
        </w:numPr>
        <w:ind w:left="567" w:right="-2" w:hanging="567"/>
        <w:rPr>
          <w:sz w:val="22"/>
          <w:szCs w:val="22"/>
        </w:rPr>
      </w:pPr>
      <w:r w:rsidRPr="00051FD3">
        <w:rPr>
          <w:rFonts w:eastAsia="Calibri"/>
          <w:sz w:val="22"/>
          <w:szCs w:val="22"/>
        </w:rPr>
        <w:t>v</w:t>
      </w:r>
      <w:r w:rsidR="00C96802" w:rsidRPr="00051FD3">
        <w:rPr>
          <w:rFonts w:eastAsia="Calibri"/>
          <w:sz w:val="22"/>
          <w:szCs w:val="22"/>
        </w:rPr>
        <w:t>aistai, galintys padidinti kalio kiekį kraujyje, pvz.,</w:t>
      </w:r>
      <w:r w:rsidR="00C96802" w:rsidRPr="00051FD3">
        <w:rPr>
          <w:noProof/>
          <w:sz w:val="22"/>
          <w:szCs w:val="22"/>
          <w:lang w:bidi="lt-LT"/>
        </w:rPr>
        <w:t xml:space="preserve"> kalį organizme sulaikantys diuretikai, kalio papildai, druskų pakaitalai, kuriuose yra kalio, AKF inhibitoriai, ciklosporinas (imuninę sistemą slopinantis vaistas), bei kiti vaistai, kaip anta</w:t>
      </w:r>
      <w:r w:rsidR="0067591F" w:rsidRPr="00051FD3">
        <w:rPr>
          <w:noProof/>
          <w:sz w:val="22"/>
          <w:szCs w:val="22"/>
          <w:lang w:bidi="lt-LT"/>
        </w:rPr>
        <w:t>i</w:t>
      </w:r>
      <w:r w:rsidR="00C96802" w:rsidRPr="00051FD3">
        <w:rPr>
          <w:noProof/>
          <w:sz w:val="22"/>
          <w:szCs w:val="22"/>
          <w:lang w:bidi="lt-LT"/>
        </w:rPr>
        <w:t xml:space="preserve"> heparino natrio druska (kraujo krešėjimą slopinantis vaistas)</w:t>
      </w:r>
      <w:r w:rsidRPr="00051FD3">
        <w:rPr>
          <w:noProof/>
          <w:sz w:val="22"/>
          <w:szCs w:val="22"/>
          <w:lang w:bidi="lt-LT"/>
        </w:rPr>
        <w:t>;</w:t>
      </w:r>
    </w:p>
    <w:p w14:paraId="74289C94" w14:textId="77777777" w:rsidR="007F39B7" w:rsidRPr="00051FD3" w:rsidRDefault="00FE0A49" w:rsidP="00401F7E">
      <w:pPr>
        <w:pStyle w:val="Default"/>
        <w:numPr>
          <w:ilvl w:val="0"/>
          <w:numId w:val="12"/>
        </w:numPr>
        <w:ind w:left="567" w:hanging="567"/>
        <w:rPr>
          <w:sz w:val="22"/>
          <w:szCs w:val="22"/>
          <w:lang w:val="lt-LT"/>
        </w:rPr>
      </w:pPr>
      <w:r w:rsidRPr="00051FD3">
        <w:rPr>
          <w:noProof/>
          <w:sz w:val="22"/>
          <w:szCs w:val="22"/>
          <w:lang w:val="lt-LT" w:bidi="lt-LT"/>
        </w:rPr>
        <w:t>v</w:t>
      </w:r>
      <w:r w:rsidR="00C96802" w:rsidRPr="00051FD3">
        <w:rPr>
          <w:noProof/>
          <w:sz w:val="22"/>
          <w:szCs w:val="22"/>
          <w:lang w:val="lt-LT" w:bidi="lt-LT"/>
        </w:rPr>
        <w:t>aistai, kurių poveikiui daro įtaką kalio kiekio kraujyje pokyčiai, kaip antai vaistai nuo širdies ligų (pvz., digoksinas) ar vaistai, kontroliuojantys širdies ritmą (pvz., chinidinas, dizopiramidas, amjodaronas, sotalolis), vaistai nuo psichikos ligų (pvz., tioridazinas, chlorpromazinas, levomepromazinas) bei kitokie vaistai, kaip antai tam tikri antibiotikai (pvz., sparfloksacinas, pentamidinas) arba vaistai alerginėms reakcij</w:t>
      </w:r>
      <w:r w:rsidRPr="00051FD3">
        <w:rPr>
          <w:noProof/>
          <w:sz w:val="22"/>
          <w:szCs w:val="22"/>
          <w:lang w:val="lt-LT" w:bidi="lt-LT"/>
        </w:rPr>
        <w:t>oms gydyti (pvz., terfenadinas);</w:t>
      </w:r>
    </w:p>
    <w:p w14:paraId="550BBE2B" w14:textId="77777777" w:rsidR="00FE0A49" w:rsidRPr="00051FD3" w:rsidRDefault="00FE0A49" w:rsidP="00FE0A49">
      <w:pPr>
        <w:numPr>
          <w:ilvl w:val="0"/>
          <w:numId w:val="30"/>
        </w:numPr>
        <w:ind w:left="567" w:right="-2" w:hanging="567"/>
        <w:rPr>
          <w:noProof/>
          <w:sz w:val="22"/>
          <w:szCs w:val="22"/>
          <w:lang w:bidi="lt-LT"/>
        </w:rPr>
      </w:pPr>
      <w:r w:rsidRPr="00051FD3">
        <w:rPr>
          <w:noProof/>
          <w:sz w:val="22"/>
          <w:szCs w:val="22"/>
          <w:lang w:bidi="lt-LT"/>
        </w:rPr>
        <w:t>vaistai cukriniam diabetui gydyti (insulinas ar geriamieji preparatai, pvz., metforminas);</w:t>
      </w:r>
    </w:p>
    <w:p w14:paraId="3E8B60BF" w14:textId="77777777" w:rsidR="00FE0A49" w:rsidRPr="00051FD3" w:rsidRDefault="00FE0A49" w:rsidP="00FE0A49">
      <w:pPr>
        <w:numPr>
          <w:ilvl w:val="0"/>
          <w:numId w:val="30"/>
        </w:numPr>
        <w:ind w:left="567" w:right="-2" w:hanging="567"/>
        <w:rPr>
          <w:noProof/>
          <w:sz w:val="22"/>
          <w:szCs w:val="22"/>
          <w:lang w:bidi="lt-LT"/>
        </w:rPr>
      </w:pPr>
      <w:r w:rsidRPr="00051FD3">
        <w:rPr>
          <w:noProof/>
          <w:sz w:val="22"/>
          <w:szCs w:val="22"/>
          <w:lang w:bidi="lt-LT"/>
        </w:rPr>
        <w:t>kolestiraminas ir kolestipolis – vaistai riebalų kiekiui kraujyje mažinti;</w:t>
      </w:r>
    </w:p>
    <w:p w14:paraId="040B5329" w14:textId="77777777" w:rsidR="00FE0A49" w:rsidRPr="00051FD3" w:rsidRDefault="00FE0A49" w:rsidP="00FE0A49">
      <w:pPr>
        <w:numPr>
          <w:ilvl w:val="0"/>
          <w:numId w:val="30"/>
        </w:numPr>
        <w:ind w:left="567" w:right="-2" w:hanging="567"/>
        <w:rPr>
          <w:noProof/>
          <w:sz w:val="22"/>
          <w:szCs w:val="22"/>
          <w:lang w:bidi="lt-LT"/>
        </w:rPr>
      </w:pPr>
      <w:r w:rsidRPr="00051FD3">
        <w:rPr>
          <w:noProof/>
          <w:sz w:val="22"/>
          <w:szCs w:val="22"/>
          <w:lang w:bidi="lt-LT"/>
        </w:rPr>
        <w:t>kraujospūdį didinantys vaistai, pvz., noradrenalinas;</w:t>
      </w:r>
    </w:p>
    <w:p w14:paraId="41820238" w14:textId="77777777" w:rsidR="00FE0A49" w:rsidRPr="00051FD3" w:rsidRDefault="00FE0A49" w:rsidP="00FE0A49">
      <w:pPr>
        <w:numPr>
          <w:ilvl w:val="0"/>
          <w:numId w:val="30"/>
        </w:numPr>
        <w:ind w:left="567" w:right="-2" w:hanging="567"/>
        <w:rPr>
          <w:noProof/>
          <w:sz w:val="22"/>
          <w:szCs w:val="22"/>
          <w:lang w:bidi="lt-LT"/>
        </w:rPr>
      </w:pPr>
      <w:r w:rsidRPr="00051FD3">
        <w:rPr>
          <w:noProof/>
          <w:sz w:val="22"/>
          <w:szCs w:val="22"/>
          <w:lang w:bidi="lt-LT"/>
        </w:rPr>
        <w:t>raumenis atpalaiduojantys vaistai, pvz., tubokurarinas;</w:t>
      </w:r>
    </w:p>
    <w:p w14:paraId="339BEC45" w14:textId="77777777" w:rsidR="00FE0A49" w:rsidRPr="00051FD3" w:rsidRDefault="00FE0A49" w:rsidP="00FE0A49">
      <w:pPr>
        <w:numPr>
          <w:ilvl w:val="0"/>
          <w:numId w:val="30"/>
        </w:numPr>
        <w:ind w:left="567" w:right="-2" w:hanging="567"/>
        <w:rPr>
          <w:noProof/>
          <w:sz w:val="22"/>
          <w:szCs w:val="22"/>
          <w:lang w:bidi="lt-LT"/>
        </w:rPr>
      </w:pPr>
      <w:r w:rsidRPr="00051FD3">
        <w:rPr>
          <w:noProof/>
          <w:sz w:val="22"/>
          <w:szCs w:val="22"/>
          <w:lang w:bidi="lt-LT"/>
        </w:rPr>
        <w:t>kalcio papildai ir (arba) vitamino D papildai;</w:t>
      </w:r>
    </w:p>
    <w:p w14:paraId="7FC3E94E" w14:textId="77777777" w:rsidR="00FE0A49" w:rsidRPr="00051FD3" w:rsidRDefault="00FE0A49" w:rsidP="00E716CF">
      <w:pPr>
        <w:numPr>
          <w:ilvl w:val="0"/>
          <w:numId w:val="30"/>
        </w:numPr>
        <w:ind w:left="567" w:right="-2" w:hanging="567"/>
        <w:rPr>
          <w:noProof/>
          <w:sz w:val="22"/>
          <w:szCs w:val="22"/>
          <w:lang w:bidi="lt-LT"/>
        </w:rPr>
      </w:pPr>
      <w:r w:rsidRPr="00051FD3">
        <w:rPr>
          <w:noProof/>
          <w:sz w:val="22"/>
          <w:szCs w:val="22"/>
          <w:lang w:bidi="lt-LT"/>
        </w:rPr>
        <w:lastRenderedPageBreak/>
        <w:t>anticholinerginiai vaistai (vaistai, vartojami įvairiems sutrikimams, pvz. virškinimo trakto diegliams, šlapimo pūslės spazmams, astmai, užsupimui transporte, raumenų spazmams, Parkinsono ligai, gydyti bei</w:t>
      </w:r>
      <w:r w:rsidR="00E716CF" w:rsidRPr="00051FD3">
        <w:rPr>
          <w:noProof/>
          <w:sz w:val="22"/>
          <w:szCs w:val="22"/>
          <w:lang w:bidi="lt-LT"/>
        </w:rPr>
        <w:t xml:space="preserve"> </w:t>
      </w:r>
      <w:r w:rsidRPr="00051FD3">
        <w:rPr>
          <w:noProof/>
          <w:sz w:val="22"/>
          <w:szCs w:val="22"/>
          <w:lang w:bidi="lt-LT"/>
        </w:rPr>
        <w:t>pagalbinis vaistas, taikant anesteziją), kaip antai atropinas ir biperidenas;</w:t>
      </w:r>
    </w:p>
    <w:p w14:paraId="19DA582A" w14:textId="77777777" w:rsidR="007F39B7" w:rsidRPr="003A7BC8" w:rsidRDefault="00FE0A49" w:rsidP="00401F7E">
      <w:pPr>
        <w:numPr>
          <w:ilvl w:val="0"/>
          <w:numId w:val="30"/>
        </w:numPr>
        <w:ind w:left="567" w:right="-2" w:hanging="567"/>
        <w:rPr>
          <w:sz w:val="22"/>
          <w:szCs w:val="22"/>
        </w:rPr>
      </w:pPr>
      <w:r w:rsidRPr="00051FD3">
        <w:rPr>
          <w:noProof/>
          <w:sz w:val="22"/>
          <w:szCs w:val="22"/>
          <w:lang w:bidi="lt-LT"/>
        </w:rPr>
        <w:t>amantadinas (vaistas, vartojamas Parkinsono ligai gydyti bei kai kurių virusinių ligų gydymui arba profilaktikai</w:t>
      </w:r>
      <w:r w:rsidR="00E716CF" w:rsidRPr="00051FD3">
        <w:rPr>
          <w:noProof/>
          <w:sz w:val="22"/>
          <w:szCs w:val="22"/>
          <w:lang w:bidi="lt-LT"/>
        </w:rPr>
        <w:t>)</w:t>
      </w:r>
      <w:r w:rsidRPr="00051FD3">
        <w:rPr>
          <w:noProof/>
          <w:sz w:val="22"/>
          <w:szCs w:val="22"/>
          <w:lang w:bidi="lt-LT"/>
        </w:rPr>
        <w:t xml:space="preserve">; </w:t>
      </w:r>
      <w:r w:rsidR="007F39B7" w:rsidRPr="00051FD3">
        <w:rPr>
          <w:sz w:val="22"/>
          <w:szCs w:val="22"/>
        </w:rPr>
        <w:t xml:space="preserve">kitokie vaistai nuo didelio kraujospūdžio ligos, </w:t>
      </w:r>
      <w:r w:rsidR="00E716CF" w:rsidRPr="00051FD3">
        <w:rPr>
          <w:sz w:val="22"/>
          <w:szCs w:val="22"/>
        </w:rPr>
        <w:t>kortikosteroidai</w:t>
      </w:r>
      <w:r w:rsidR="007F39B7" w:rsidRPr="00051FD3">
        <w:rPr>
          <w:sz w:val="22"/>
          <w:szCs w:val="22"/>
        </w:rPr>
        <w:t>, vaistai nuo skausmo</w:t>
      </w:r>
      <w:r w:rsidR="00E716CF" w:rsidRPr="000E639C">
        <w:rPr>
          <w:sz w:val="22"/>
          <w:szCs w:val="22"/>
        </w:rPr>
        <w:t xml:space="preserve"> (pvz., nesteroidiniai vaistai nuo uždegimo (NVNU)),</w:t>
      </w:r>
      <w:r w:rsidR="007F39B7" w:rsidRPr="000E639C">
        <w:rPr>
          <w:sz w:val="22"/>
          <w:szCs w:val="22"/>
        </w:rPr>
        <w:t>,</w:t>
      </w:r>
      <w:r w:rsidR="007F39B7" w:rsidRPr="00012DBE">
        <w:rPr>
          <w:sz w:val="22"/>
          <w:szCs w:val="22"/>
        </w:rPr>
        <w:t xml:space="preserve"> vėžio, podagros ar artrito</w:t>
      </w:r>
      <w:r w:rsidR="00E716CF" w:rsidRPr="00012DBE">
        <w:rPr>
          <w:sz w:val="22"/>
          <w:szCs w:val="22"/>
        </w:rPr>
        <w:t>;</w:t>
      </w:r>
    </w:p>
    <w:p w14:paraId="6874FC6D" w14:textId="77777777" w:rsidR="00F95351" w:rsidRPr="00051FD3" w:rsidRDefault="00051CB1">
      <w:pPr>
        <w:pStyle w:val="Sraopastraipa"/>
        <w:numPr>
          <w:ilvl w:val="0"/>
          <w:numId w:val="12"/>
        </w:numPr>
        <w:autoSpaceDE w:val="0"/>
        <w:autoSpaceDN w:val="0"/>
        <w:adjustRightInd w:val="0"/>
        <w:ind w:left="567" w:hanging="567"/>
        <w:rPr>
          <w:sz w:val="22"/>
          <w:szCs w:val="22"/>
        </w:rPr>
      </w:pPr>
      <w:r w:rsidRPr="00051FD3">
        <w:rPr>
          <w:rFonts w:eastAsia="Calibri"/>
          <w:color w:val="000000"/>
          <w:sz w:val="22"/>
          <w:szCs w:val="22"/>
        </w:rPr>
        <w:t>j</w:t>
      </w:r>
      <w:r w:rsidR="00AF6513" w:rsidRPr="00051FD3">
        <w:rPr>
          <w:rFonts w:eastAsia="Calibri"/>
          <w:color w:val="000000"/>
          <w:sz w:val="22"/>
          <w:szCs w:val="22"/>
        </w:rPr>
        <w:t xml:space="preserve">eigu vartojate AKF inhibitorių arba </w:t>
      </w:r>
      <w:proofErr w:type="spellStart"/>
      <w:r w:rsidR="00AF6513" w:rsidRPr="00051FD3">
        <w:rPr>
          <w:rFonts w:eastAsia="Calibri"/>
          <w:color w:val="000000"/>
          <w:sz w:val="22"/>
          <w:szCs w:val="22"/>
        </w:rPr>
        <w:t>aliskireną</w:t>
      </w:r>
      <w:proofErr w:type="spellEnd"/>
      <w:r w:rsidR="00AF6513" w:rsidRPr="00051FD3">
        <w:rPr>
          <w:rFonts w:eastAsia="Calibri"/>
          <w:color w:val="000000"/>
          <w:sz w:val="22"/>
          <w:szCs w:val="22"/>
        </w:rPr>
        <w:t xml:space="preserve"> (taip pat žiūrėkite informaciją, pateiktą poskyriuose „</w:t>
      </w:r>
      <w:r w:rsidRPr="00051FD3">
        <w:rPr>
          <w:sz w:val="22"/>
          <w:szCs w:val="22"/>
          <w:lang w:eastAsia="lt-LT"/>
        </w:rPr>
        <w:t xml:space="preserve"> </w:t>
      </w: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w:t>
      </w:r>
      <w:r w:rsidR="00AF6513" w:rsidRPr="00051FD3">
        <w:rPr>
          <w:rFonts w:eastAsia="Calibri"/>
          <w:color w:val="000000"/>
          <w:sz w:val="22"/>
          <w:szCs w:val="22"/>
        </w:rPr>
        <w:t xml:space="preserve"> vartoti negalima“ ir „Įspėjimai ir atsargumo priemonės“)</w:t>
      </w:r>
      <w:r w:rsidRPr="00051FD3">
        <w:rPr>
          <w:rFonts w:eastAsia="Calibri"/>
          <w:color w:val="000000"/>
          <w:sz w:val="22"/>
          <w:szCs w:val="22"/>
        </w:rPr>
        <w:t>;</w:t>
      </w:r>
    </w:p>
    <w:p w14:paraId="6B04D223" w14:textId="77777777" w:rsidR="007F39B7" w:rsidRPr="00051FD3" w:rsidRDefault="007F39B7" w:rsidP="007F39B7">
      <w:pPr>
        <w:pStyle w:val="Default"/>
        <w:numPr>
          <w:ilvl w:val="0"/>
          <w:numId w:val="12"/>
        </w:numPr>
        <w:ind w:left="567" w:hanging="567"/>
        <w:rPr>
          <w:sz w:val="22"/>
          <w:szCs w:val="22"/>
          <w:lang w:val="lt-LT"/>
        </w:rPr>
      </w:pPr>
      <w:proofErr w:type="spellStart"/>
      <w:r w:rsidRPr="00051FD3">
        <w:rPr>
          <w:sz w:val="22"/>
          <w:szCs w:val="22"/>
          <w:lang w:val="lt-LT"/>
        </w:rPr>
        <w:t>digoksinas</w:t>
      </w:r>
      <w:proofErr w:type="spellEnd"/>
      <w:r w:rsidRPr="00051FD3">
        <w:rPr>
          <w:sz w:val="22"/>
          <w:szCs w:val="22"/>
          <w:lang w:val="lt-LT"/>
        </w:rPr>
        <w:t>.</w:t>
      </w:r>
    </w:p>
    <w:p w14:paraId="32FE822D" w14:textId="77777777" w:rsidR="007F39B7" w:rsidRPr="00051FD3" w:rsidRDefault="007F39B7" w:rsidP="007F39B7">
      <w:pPr>
        <w:pStyle w:val="Default"/>
        <w:rPr>
          <w:sz w:val="22"/>
          <w:szCs w:val="22"/>
          <w:lang w:val="lt-LT"/>
        </w:rPr>
      </w:pPr>
    </w:p>
    <w:p w14:paraId="68D4BCC1" w14:textId="77777777" w:rsidR="007F39B7" w:rsidRPr="00051FD3" w:rsidRDefault="007F39B7" w:rsidP="007F39B7">
      <w:pPr>
        <w:pStyle w:val="Default"/>
        <w:rPr>
          <w:sz w:val="22"/>
          <w:szCs w:val="22"/>
          <w:lang w:val="lt-LT"/>
        </w:rPr>
      </w:pP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gali sustiprinti kitų vaistų, kurie vartojami padidėjusiam kraujospūdžiui gydyti, arba vaistų, kurie pasižymi kraujospūdį mažinančiomis savybėmis (pvz., </w:t>
      </w:r>
      <w:proofErr w:type="spellStart"/>
      <w:r w:rsidRPr="00051FD3">
        <w:rPr>
          <w:sz w:val="22"/>
          <w:szCs w:val="22"/>
          <w:lang w:val="lt-LT"/>
        </w:rPr>
        <w:t>baklofeno</w:t>
      </w:r>
      <w:proofErr w:type="spellEnd"/>
      <w:r w:rsidRPr="00051FD3">
        <w:rPr>
          <w:sz w:val="22"/>
          <w:szCs w:val="22"/>
          <w:lang w:val="lt-LT"/>
        </w:rPr>
        <w:t xml:space="preserve">, </w:t>
      </w:r>
      <w:proofErr w:type="spellStart"/>
      <w:r w:rsidRPr="00051FD3">
        <w:rPr>
          <w:sz w:val="22"/>
          <w:szCs w:val="22"/>
          <w:lang w:val="lt-LT"/>
        </w:rPr>
        <w:t>amifostino</w:t>
      </w:r>
      <w:proofErr w:type="spellEnd"/>
      <w:r w:rsidRPr="00051FD3">
        <w:rPr>
          <w:sz w:val="22"/>
          <w:szCs w:val="22"/>
          <w:lang w:val="lt-LT"/>
        </w:rPr>
        <w:t xml:space="preserve">), poveikį. Be to, kraujospūdžio sumažėjimą gali sustiprinti kartu vartojamas alkoholis, barbitūratai, narkotikai arba antidepresantai. Staiga atsistojus iš sėdimos arba gulimos padėties jūs galite jausti svaigulį. Jeigu kitų kartu su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vartojamų vaistų dozę reikia keisti, būtina kreiptis į gydytoją patarimo. </w:t>
      </w:r>
    </w:p>
    <w:p w14:paraId="445A3219" w14:textId="77777777" w:rsidR="007F39B7" w:rsidRPr="00051FD3" w:rsidRDefault="007F39B7" w:rsidP="007F39B7">
      <w:pPr>
        <w:pStyle w:val="Default"/>
        <w:rPr>
          <w:sz w:val="22"/>
          <w:szCs w:val="22"/>
          <w:lang w:val="lt-LT"/>
        </w:rPr>
      </w:pPr>
    </w:p>
    <w:p w14:paraId="5340B7D5" w14:textId="77777777" w:rsidR="007F39B7" w:rsidRPr="00051FD3" w:rsidRDefault="007F39B7" w:rsidP="007F39B7">
      <w:pPr>
        <w:pStyle w:val="Default"/>
        <w:rPr>
          <w:sz w:val="22"/>
          <w:szCs w:val="22"/>
          <w:lang w:val="lt-LT"/>
        </w:rPr>
      </w:pP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poveikį gali silpninti kartu vartojami NVNU (nesteroidiniai vaistai nuo uždegimo, pvz., aspirinas, </w:t>
      </w:r>
      <w:proofErr w:type="spellStart"/>
      <w:r w:rsidRPr="00051FD3">
        <w:rPr>
          <w:sz w:val="22"/>
          <w:szCs w:val="22"/>
          <w:lang w:val="lt-LT"/>
        </w:rPr>
        <w:t>ibuprofenas</w:t>
      </w:r>
      <w:proofErr w:type="spellEnd"/>
      <w:r w:rsidRPr="00051FD3">
        <w:rPr>
          <w:sz w:val="22"/>
          <w:szCs w:val="22"/>
          <w:lang w:val="lt-LT"/>
        </w:rPr>
        <w:t xml:space="preserve">). </w:t>
      </w:r>
    </w:p>
    <w:p w14:paraId="74D93C8B" w14:textId="77777777" w:rsidR="00454C2D" w:rsidRPr="00012DBE" w:rsidRDefault="00454C2D" w:rsidP="00401F7E">
      <w:pPr>
        <w:keepNext/>
        <w:tabs>
          <w:tab w:val="left" w:pos="567"/>
        </w:tabs>
        <w:jc w:val="both"/>
        <w:outlineLvl w:val="3"/>
        <w:rPr>
          <w:b/>
          <w:sz w:val="22"/>
          <w:szCs w:val="22"/>
        </w:rPr>
      </w:pPr>
    </w:p>
    <w:p w14:paraId="4CF49C5A" w14:textId="77777777" w:rsidR="00454C2D" w:rsidRPr="00051FD3" w:rsidRDefault="00454C2D" w:rsidP="00454C2D">
      <w:pPr>
        <w:keepNext/>
        <w:tabs>
          <w:tab w:val="left" w:pos="567"/>
        </w:tabs>
        <w:jc w:val="both"/>
        <w:outlineLvl w:val="3"/>
        <w:rPr>
          <w:snapToGrid w:val="0"/>
          <w:sz w:val="22"/>
          <w:szCs w:val="22"/>
        </w:rPr>
      </w:pPr>
      <w:proofErr w:type="spellStart"/>
      <w:r w:rsidRPr="003A7BC8">
        <w:rPr>
          <w:b/>
          <w:bCs/>
          <w:snapToGrid w:val="0"/>
          <w:sz w:val="22"/>
          <w:szCs w:val="22"/>
        </w:rPr>
        <w:t>Telmisartan</w:t>
      </w:r>
      <w:proofErr w:type="spellEnd"/>
      <w:r w:rsidRPr="003A7BC8">
        <w:rPr>
          <w:b/>
          <w:bCs/>
          <w:snapToGrid w:val="0"/>
          <w:sz w:val="22"/>
          <w:szCs w:val="22"/>
        </w:rPr>
        <w:t>/</w:t>
      </w:r>
      <w:proofErr w:type="spellStart"/>
      <w:r w:rsidRPr="003A7BC8">
        <w:rPr>
          <w:b/>
          <w:bCs/>
          <w:snapToGrid w:val="0"/>
          <w:sz w:val="22"/>
          <w:szCs w:val="22"/>
        </w:rPr>
        <w:t>Hydrochlorothiazide</w:t>
      </w:r>
      <w:proofErr w:type="spellEnd"/>
      <w:r w:rsidRPr="003A7BC8">
        <w:rPr>
          <w:b/>
          <w:bCs/>
          <w:snapToGrid w:val="0"/>
          <w:sz w:val="22"/>
          <w:szCs w:val="22"/>
        </w:rPr>
        <w:t xml:space="preserve"> </w:t>
      </w:r>
      <w:proofErr w:type="spellStart"/>
      <w:r w:rsidRPr="003A7BC8">
        <w:rPr>
          <w:b/>
          <w:bCs/>
          <w:snapToGrid w:val="0"/>
          <w:sz w:val="22"/>
          <w:szCs w:val="22"/>
        </w:rPr>
        <w:t>Teva</w:t>
      </w:r>
      <w:proofErr w:type="spellEnd"/>
      <w:r w:rsidRPr="003A7BC8">
        <w:rPr>
          <w:b/>
          <w:bCs/>
          <w:snapToGrid w:val="0"/>
          <w:sz w:val="22"/>
          <w:szCs w:val="22"/>
        </w:rPr>
        <w:t xml:space="preserve"> Pharma vartojimas su maistu ir alkoholiu</w:t>
      </w:r>
    </w:p>
    <w:p w14:paraId="5F1F0C46" w14:textId="77777777" w:rsidR="00454C2D" w:rsidRPr="00051FD3" w:rsidRDefault="00454C2D" w:rsidP="00454C2D">
      <w:pPr>
        <w:autoSpaceDE w:val="0"/>
        <w:autoSpaceDN w:val="0"/>
        <w:adjustRightInd w:val="0"/>
        <w:rPr>
          <w:rFonts w:eastAsia="TimesNewRoman,Bold"/>
          <w:sz w:val="22"/>
          <w:szCs w:val="22"/>
        </w:rPr>
      </w:pPr>
    </w:p>
    <w:p w14:paraId="4526C2A1" w14:textId="77777777" w:rsidR="00454C2D" w:rsidRPr="003A7BC8" w:rsidRDefault="00454C2D" w:rsidP="00454C2D">
      <w:pPr>
        <w:numPr>
          <w:ilvl w:val="12"/>
          <w:numId w:val="0"/>
        </w:numPr>
        <w:tabs>
          <w:tab w:val="left" w:pos="567"/>
        </w:tabs>
        <w:rPr>
          <w:noProof/>
          <w:snapToGrid w:val="0"/>
          <w:sz w:val="22"/>
          <w:szCs w:val="22"/>
          <w:lang w:bidi="lt-LT"/>
        </w:rPr>
      </w:pPr>
      <w:r w:rsidRPr="00051FD3">
        <w:rPr>
          <w:noProof/>
          <w:snapToGrid w:val="0"/>
          <w:sz w:val="22"/>
          <w:szCs w:val="22"/>
          <w:lang w:bidi="lt-LT"/>
        </w:rPr>
        <w:t xml:space="preserve">Telmisartan/Hydrochlorothiazide Teva Pharma galite </w:t>
      </w:r>
      <w:r w:rsidR="00236324" w:rsidRPr="000E639C">
        <w:rPr>
          <w:noProof/>
          <w:snapToGrid w:val="0"/>
          <w:sz w:val="22"/>
          <w:szCs w:val="22"/>
          <w:lang w:bidi="lt-LT"/>
        </w:rPr>
        <w:t>vartoti</w:t>
      </w:r>
      <w:r w:rsidRPr="000E639C">
        <w:rPr>
          <w:noProof/>
          <w:snapToGrid w:val="0"/>
          <w:sz w:val="22"/>
          <w:szCs w:val="22"/>
          <w:lang w:bidi="lt-LT"/>
        </w:rPr>
        <w:t xml:space="preserve"> valgio metu arba nevalgę. Alkoholio negerkite, kol nepasitarėte su savo gydytoju. Dėl alkoholio poveikio gali </w:t>
      </w:r>
      <w:r w:rsidR="00435B21" w:rsidRPr="00012DBE">
        <w:rPr>
          <w:noProof/>
          <w:snapToGrid w:val="0"/>
          <w:sz w:val="22"/>
          <w:szCs w:val="22"/>
          <w:lang w:bidi="lt-LT"/>
        </w:rPr>
        <w:t>labiau</w:t>
      </w:r>
      <w:r w:rsidRPr="00012DBE">
        <w:rPr>
          <w:noProof/>
          <w:snapToGrid w:val="0"/>
          <w:sz w:val="22"/>
          <w:szCs w:val="22"/>
          <w:lang w:bidi="lt-LT"/>
        </w:rPr>
        <w:t xml:space="preserve"> sumažėti Jūsų kraujospūdis ir (arba) padidėti svaigulio ir apalpimo rizika.</w:t>
      </w:r>
    </w:p>
    <w:p w14:paraId="7B057539" w14:textId="77777777" w:rsidR="007F39B7" w:rsidRPr="00051FD3" w:rsidRDefault="007F39B7" w:rsidP="007F39B7">
      <w:pPr>
        <w:pStyle w:val="Default"/>
        <w:rPr>
          <w:b/>
          <w:bCs/>
          <w:sz w:val="22"/>
          <w:szCs w:val="22"/>
          <w:lang w:val="lt-LT"/>
        </w:rPr>
      </w:pPr>
    </w:p>
    <w:p w14:paraId="1B6F0AA3" w14:textId="77777777" w:rsidR="007F39B7" w:rsidRPr="00051FD3" w:rsidRDefault="007F39B7" w:rsidP="007F39B7">
      <w:pPr>
        <w:pStyle w:val="Default"/>
        <w:rPr>
          <w:sz w:val="22"/>
          <w:szCs w:val="22"/>
          <w:lang w:val="lt-LT"/>
        </w:rPr>
      </w:pPr>
      <w:r w:rsidRPr="00051FD3">
        <w:rPr>
          <w:b/>
          <w:bCs/>
          <w:sz w:val="22"/>
          <w:szCs w:val="22"/>
          <w:lang w:val="lt-LT"/>
        </w:rPr>
        <w:t xml:space="preserve">Nėštumas ir žindymo laikotarpis </w:t>
      </w:r>
    </w:p>
    <w:p w14:paraId="0DF7DDAB" w14:textId="77777777" w:rsidR="00435B21" w:rsidRPr="00051FD3" w:rsidRDefault="00435B21" w:rsidP="007F39B7">
      <w:pPr>
        <w:pStyle w:val="Default"/>
        <w:rPr>
          <w:sz w:val="22"/>
          <w:szCs w:val="22"/>
          <w:u w:val="single"/>
          <w:lang w:val="lt-LT"/>
        </w:rPr>
      </w:pPr>
    </w:p>
    <w:p w14:paraId="78FFA36A" w14:textId="77777777" w:rsidR="00435B21" w:rsidRPr="00051FD3" w:rsidRDefault="00435B21" w:rsidP="007F39B7">
      <w:pPr>
        <w:pStyle w:val="Default"/>
        <w:rPr>
          <w:sz w:val="22"/>
          <w:szCs w:val="22"/>
          <w:u w:val="single"/>
          <w:lang w:val="lt-LT"/>
        </w:rPr>
      </w:pPr>
      <w:r w:rsidRPr="00051FD3">
        <w:rPr>
          <w:sz w:val="22"/>
          <w:szCs w:val="22"/>
          <w:lang w:val="lt-LT"/>
        </w:rPr>
        <w:t>Jeigu esate nėščia, žindote kūdikį, manote, kad galbūt esate nėščia arba planuojate pastoti, tai prieš vartodama šį vaistą pasitarkite su gydytoju arba vaistininku.</w:t>
      </w:r>
    </w:p>
    <w:p w14:paraId="022CFF7D" w14:textId="77777777" w:rsidR="00435B21" w:rsidRPr="00012DBE" w:rsidRDefault="00435B21" w:rsidP="007F39B7">
      <w:pPr>
        <w:pStyle w:val="Default"/>
        <w:rPr>
          <w:sz w:val="22"/>
          <w:szCs w:val="22"/>
          <w:u w:val="single"/>
          <w:lang w:val="lt-LT"/>
        </w:rPr>
      </w:pPr>
    </w:p>
    <w:p w14:paraId="13521A22" w14:textId="77777777" w:rsidR="007F39B7" w:rsidRPr="00051FD3" w:rsidRDefault="007F39B7" w:rsidP="007F39B7">
      <w:pPr>
        <w:pStyle w:val="Default"/>
        <w:rPr>
          <w:sz w:val="22"/>
          <w:szCs w:val="22"/>
          <w:u w:val="single"/>
          <w:lang w:val="lt-LT"/>
        </w:rPr>
      </w:pPr>
      <w:r w:rsidRPr="00051FD3">
        <w:rPr>
          <w:sz w:val="22"/>
          <w:szCs w:val="22"/>
          <w:u w:val="single"/>
          <w:lang w:val="lt-LT"/>
        </w:rPr>
        <w:t xml:space="preserve">Nėštumas </w:t>
      </w:r>
    </w:p>
    <w:p w14:paraId="4FC134EA" w14:textId="77777777" w:rsidR="007F39B7" w:rsidRPr="00051FD3" w:rsidRDefault="007F39B7" w:rsidP="007F39B7">
      <w:pPr>
        <w:pStyle w:val="Default"/>
        <w:rPr>
          <w:sz w:val="22"/>
          <w:szCs w:val="22"/>
          <w:lang w:val="lt-LT"/>
        </w:rPr>
      </w:pPr>
      <w:r w:rsidRPr="00051FD3">
        <w:rPr>
          <w:sz w:val="22"/>
          <w:szCs w:val="22"/>
          <w:lang w:val="lt-LT"/>
        </w:rPr>
        <w:t xml:space="preserve">Jeigu manote, kad esate (arba gal būt tapote) nėščia, turite pasakyti savo gydytojui. Jūsų gydytojas jums patars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vartojimą nutraukti prieš pastojimą arba tuoj pat, kai tik sužinosite, kad tapote nėščia, ir nurodys vietoj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kitokio vaisto. Nėštumo laikotarpiu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nerekomenduojama. Jeigu nėščia esate daugiau negu tris mėnesius,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draudžiama, nes vartojamas po trečio nėštumo mėnesio šis vaistas gali sukelti sunkią Jūsų vaisiaus pažaidą. </w:t>
      </w:r>
    </w:p>
    <w:p w14:paraId="4217C615" w14:textId="77777777" w:rsidR="007F39B7" w:rsidRPr="00051FD3" w:rsidRDefault="007F39B7" w:rsidP="007F39B7">
      <w:pPr>
        <w:pStyle w:val="Default"/>
        <w:rPr>
          <w:sz w:val="22"/>
          <w:szCs w:val="22"/>
          <w:lang w:val="lt-LT"/>
        </w:rPr>
      </w:pPr>
    </w:p>
    <w:p w14:paraId="2516DBA3" w14:textId="77777777" w:rsidR="007F39B7" w:rsidRPr="00051FD3" w:rsidRDefault="007F39B7" w:rsidP="007F39B7">
      <w:pPr>
        <w:pStyle w:val="Default"/>
        <w:rPr>
          <w:sz w:val="22"/>
          <w:szCs w:val="22"/>
          <w:u w:val="single"/>
          <w:lang w:val="lt-LT"/>
        </w:rPr>
      </w:pPr>
      <w:r w:rsidRPr="00051FD3">
        <w:rPr>
          <w:sz w:val="22"/>
          <w:szCs w:val="22"/>
          <w:u w:val="single"/>
          <w:lang w:val="lt-LT"/>
        </w:rPr>
        <w:t xml:space="preserve">Žindymo laikotarpis </w:t>
      </w:r>
    </w:p>
    <w:p w14:paraId="78F4C50B" w14:textId="77777777" w:rsidR="007F39B7" w:rsidRPr="00051FD3" w:rsidRDefault="007F39B7" w:rsidP="007F39B7">
      <w:pPr>
        <w:pStyle w:val="Default"/>
        <w:rPr>
          <w:sz w:val="22"/>
          <w:szCs w:val="22"/>
          <w:lang w:val="lt-LT"/>
        </w:rPr>
      </w:pPr>
      <w:r w:rsidRPr="00051FD3">
        <w:rPr>
          <w:sz w:val="22"/>
          <w:szCs w:val="22"/>
          <w:lang w:val="lt-LT"/>
        </w:rPr>
        <w:t xml:space="preserve">Jeigu žindote arba norite pradėti žindyti kūdikį, pasakykite gydytojui. Žindyvėms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vartoti nerekomenduojama. </w:t>
      </w:r>
      <w:r w:rsidRPr="00051FD3">
        <w:rPr>
          <w:sz w:val="22"/>
          <w:szCs w:val="22"/>
          <w:lang w:val="lt-LT" w:eastAsia="lt-LT"/>
        </w:rPr>
        <w:t>Jeigu norite žindyti kūdikį, ypač naujagimį ar neišnešiotą, gydytojas jums gali parinkti kitokį gydymą</w:t>
      </w:r>
      <w:r w:rsidRPr="00051FD3">
        <w:rPr>
          <w:sz w:val="22"/>
          <w:szCs w:val="22"/>
          <w:lang w:val="lt-LT"/>
        </w:rPr>
        <w:t xml:space="preserve">. </w:t>
      </w:r>
    </w:p>
    <w:p w14:paraId="6138261D" w14:textId="77777777" w:rsidR="007F39B7" w:rsidRPr="00051FD3" w:rsidRDefault="007F39B7" w:rsidP="007F39B7">
      <w:pPr>
        <w:pStyle w:val="Default"/>
        <w:rPr>
          <w:b/>
          <w:bCs/>
          <w:sz w:val="22"/>
          <w:szCs w:val="22"/>
          <w:lang w:val="lt-LT"/>
        </w:rPr>
      </w:pPr>
    </w:p>
    <w:p w14:paraId="421B0EC3" w14:textId="77777777" w:rsidR="007F39B7" w:rsidRPr="00051FD3" w:rsidRDefault="007F39B7" w:rsidP="007F39B7">
      <w:pPr>
        <w:pStyle w:val="Default"/>
        <w:rPr>
          <w:sz w:val="22"/>
          <w:szCs w:val="22"/>
          <w:lang w:val="lt-LT"/>
        </w:rPr>
      </w:pPr>
      <w:r w:rsidRPr="00051FD3">
        <w:rPr>
          <w:b/>
          <w:bCs/>
          <w:sz w:val="22"/>
          <w:szCs w:val="22"/>
          <w:lang w:val="lt-LT"/>
        </w:rPr>
        <w:t xml:space="preserve">Vairavimas ir mechanizmų valdymas </w:t>
      </w:r>
    </w:p>
    <w:p w14:paraId="23121BB8" w14:textId="34F3B04B" w:rsidR="007F39B7" w:rsidRPr="00051FD3" w:rsidRDefault="007F39B7" w:rsidP="007F39B7">
      <w:pPr>
        <w:pStyle w:val="Default"/>
        <w:rPr>
          <w:sz w:val="22"/>
          <w:szCs w:val="22"/>
          <w:lang w:val="lt-LT"/>
        </w:rPr>
      </w:pPr>
      <w:r w:rsidRPr="00051FD3">
        <w:rPr>
          <w:sz w:val="22"/>
          <w:szCs w:val="22"/>
          <w:lang w:val="lt-LT"/>
        </w:rPr>
        <w:t xml:space="preserve">Vartodami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kai kurie žmonės gali justi galvos svaigimą </w:t>
      </w:r>
      <w:r w:rsidR="0098124E" w:rsidRPr="00051FD3">
        <w:rPr>
          <w:sz w:val="22"/>
          <w:szCs w:val="22"/>
          <w:lang w:val="lt-LT"/>
        </w:rPr>
        <w:t>gali apalpti arba jiems gali atrodyti, kad aplink juos viskas sukasi.</w:t>
      </w:r>
      <w:r w:rsidRPr="00051FD3">
        <w:rPr>
          <w:sz w:val="22"/>
          <w:szCs w:val="22"/>
          <w:lang w:val="lt-LT"/>
        </w:rPr>
        <w:t xml:space="preserve"> Jeigu </w:t>
      </w:r>
      <w:r w:rsidR="0098124E" w:rsidRPr="00051FD3">
        <w:rPr>
          <w:sz w:val="22"/>
          <w:szCs w:val="22"/>
          <w:lang w:val="lt-LT"/>
        </w:rPr>
        <w:t xml:space="preserve">jaučiate bet kurį iš šių poveikių, </w:t>
      </w:r>
      <w:r w:rsidRPr="00051FD3">
        <w:rPr>
          <w:sz w:val="22"/>
          <w:szCs w:val="22"/>
          <w:lang w:val="lt-LT"/>
        </w:rPr>
        <w:t xml:space="preserve">nevairuokite ir nevaldykite mechanizmų. </w:t>
      </w:r>
    </w:p>
    <w:p w14:paraId="08BE2343" w14:textId="77777777" w:rsidR="007F39B7" w:rsidRPr="00051FD3" w:rsidRDefault="007F39B7" w:rsidP="007F39B7">
      <w:pPr>
        <w:pStyle w:val="Default"/>
        <w:rPr>
          <w:b/>
          <w:bCs/>
          <w:sz w:val="22"/>
          <w:szCs w:val="22"/>
          <w:lang w:val="lt-LT"/>
        </w:rPr>
      </w:pPr>
    </w:p>
    <w:p w14:paraId="015B6469" w14:textId="77777777" w:rsidR="001A365D" w:rsidRPr="00051FD3" w:rsidRDefault="001A365D" w:rsidP="001A365D">
      <w:pPr>
        <w:pStyle w:val="Default"/>
        <w:rPr>
          <w:sz w:val="22"/>
          <w:szCs w:val="22"/>
          <w:lang w:val="lt-LT"/>
        </w:rPr>
      </w:pPr>
      <w:proofErr w:type="spellStart"/>
      <w:r w:rsidRPr="00051FD3">
        <w:rPr>
          <w:b/>
          <w:sz w:val="22"/>
          <w:szCs w:val="22"/>
          <w:lang w:val="lt-LT" w:eastAsia="lt-LT"/>
        </w:rPr>
        <w:t>Telmisartan</w:t>
      </w:r>
      <w:proofErr w:type="spellEnd"/>
      <w:r w:rsidRPr="00051FD3">
        <w:rPr>
          <w:b/>
          <w:sz w:val="22"/>
          <w:szCs w:val="22"/>
          <w:lang w:val="lt-LT" w:eastAsia="lt-LT"/>
        </w:rPr>
        <w:t>/</w:t>
      </w:r>
      <w:proofErr w:type="spellStart"/>
      <w:r w:rsidRPr="00051FD3">
        <w:rPr>
          <w:b/>
          <w:sz w:val="22"/>
          <w:szCs w:val="22"/>
          <w:lang w:val="lt-LT" w:eastAsia="lt-LT"/>
        </w:rPr>
        <w:t>Hydrochlorothiazide</w:t>
      </w:r>
      <w:proofErr w:type="spellEnd"/>
      <w:r w:rsidRPr="00051FD3">
        <w:rPr>
          <w:b/>
          <w:sz w:val="22"/>
          <w:szCs w:val="22"/>
          <w:lang w:val="lt-LT" w:eastAsia="lt-LT"/>
        </w:rPr>
        <w:t xml:space="preserve"> </w:t>
      </w:r>
      <w:proofErr w:type="spellStart"/>
      <w:r w:rsidRPr="00051FD3">
        <w:rPr>
          <w:b/>
          <w:sz w:val="22"/>
          <w:szCs w:val="22"/>
          <w:lang w:val="lt-LT" w:eastAsia="lt-LT"/>
        </w:rPr>
        <w:t>Teva</w:t>
      </w:r>
      <w:proofErr w:type="spellEnd"/>
      <w:r w:rsidRPr="00051FD3">
        <w:rPr>
          <w:b/>
          <w:sz w:val="22"/>
          <w:szCs w:val="22"/>
          <w:lang w:val="lt-LT" w:eastAsia="lt-LT"/>
        </w:rPr>
        <w:t xml:space="preserve"> Pharma</w:t>
      </w:r>
      <w:r w:rsidRPr="00051FD3">
        <w:rPr>
          <w:b/>
          <w:sz w:val="22"/>
          <w:szCs w:val="22"/>
          <w:lang w:val="lt-LT"/>
        </w:rPr>
        <w:t xml:space="preserve"> sudėtyje yra natrio</w:t>
      </w:r>
    </w:p>
    <w:p w14:paraId="2A27C3EC" w14:textId="738677D2" w:rsidR="001A365D" w:rsidRPr="00051FD3" w:rsidRDefault="001A365D" w:rsidP="001A365D">
      <w:pPr>
        <w:pStyle w:val="Default"/>
        <w:rPr>
          <w:b/>
          <w:bCs/>
          <w:sz w:val="22"/>
          <w:szCs w:val="22"/>
          <w:lang w:val="lt-LT"/>
        </w:rPr>
      </w:pPr>
      <w:r w:rsidRPr="00051FD3">
        <w:rPr>
          <w:sz w:val="22"/>
          <w:szCs w:val="22"/>
          <w:lang w:val="lt-LT"/>
        </w:rPr>
        <w:t>Šio vaisto tabletėje yra mažiau kaip 1 </w:t>
      </w:r>
      <w:proofErr w:type="spellStart"/>
      <w:r w:rsidRPr="00051FD3">
        <w:rPr>
          <w:sz w:val="22"/>
          <w:szCs w:val="22"/>
          <w:lang w:val="lt-LT"/>
        </w:rPr>
        <w:t>mmol</w:t>
      </w:r>
      <w:proofErr w:type="spellEnd"/>
      <w:r w:rsidRPr="00051FD3">
        <w:rPr>
          <w:sz w:val="22"/>
          <w:szCs w:val="22"/>
          <w:lang w:val="lt-LT"/>
        </w:rPr>
        <w:t xml:space="preserve"> (23 mg) natrio, t.</w:t>
      </w:r>
      <w:r w:rsidR="00C22DAF">
        <w:rPr>
          <w:sz w:val="22"/>
          <w:szCs w:val="22"/>
          <w:lang w:val="lt-LT"/>
        </w:rPr>
        <w:t> </w:t>
      </w:r>
      <w:r w:rsidRPr="00051FD3">
        <w:rPr>
          <w:sz w:val="22"/>
          <w:szCs w:val="22"/>
          <w:lang w:val="lt-LT"/>
        </w:rPr>
        <w:t>y. jis beveik neturi reikšmės.</w:t>
      </w:r>
    </w:p>
    <w:p w14:paraId="5293FBEB" w14:textId="77777777" w:rsidR="007F39B7" w:rsidRPr="00051FD3" w:rsidRDefault="007F39B7" w:rsidP="007F39B7">
      <w:pPr>
        <w:autoSpaceDE w:val="0"/>
        <w:autoSpaceDN w:val="0"/>
        <w:adjustRightInd w:val="0"/>
        <w:rPr>
          <w:color w:val="FF0000"/>
          <w:sz w:val="22"/>
          <w:szCs w:val="22"/>
          <w:lang w:eastAsia="lt-LT"/>
        </w:rPr>
      </w:pPr>
    </w:p>
    <w:p w14:paraId="12343AC8" w14:textId="77777777" w:rsidR="00C22C3F" w:rsidRPr="000E639C" w:rsidRDefault="00C22C3F" w:rsidP="007F39B7">
      <w:pPr>
        <w:autoSpaceDE w:val="0"/>
        <w:autoSpaceDN w:val="0"/>
        <w:adjustRightInd w:val="0"/>
        <w:rPr>
          <w:color w:val="FF0000"/>
          <w:sz w:val="22"/>
          <w:szCs w:val="22"/>
          <w:lang w:eastAsia="lt-LT"/>
        </w:rPr>
      </w:pPr>
    </w:p>
    <w:p w14:paraId="78BFC2B3" w14:textId="77777777" w:rsidR="007F39B7" w:rsidRPr="00051FD3" w:rsidRDefault="007F39B7" w:rsidP="007F39B7">
      <w:pPr>
        <w:autoSpaceDE w:val="0"/>
        <w:autoSpaceDN w:val="0"/>
        <w:adjustRightInd w:val="0"/>
        <w:rPr>
          <w:b/>
          <w:bCs/>
          <w:sz w:val="22"/>
          <w:szCs w:val="22"/>
          <w:lang w:eastAsia="lt-LT"/>
        </w:rPr>
      </w:pPr>
      <w:r w:rsidRPr="00051FD3">
        <w:rPr>
          <w:b/>
          <w:bCs/>
          <w:sz w:val="22"/>
          <w:szCs w:val="22"/>
          <w:lang w:eastAsia="lt-LT"/>
        </w:rPr>
        <w:t>3.</w:t>
      </w:r>
      <w:r w:rsidRPr="00051FD3">
        <w:rPr>
          <w:b/>
          <w:bCs/>
          <w:sz w:val="22"/>
          <w:szCs w:val="22"/>
          <w:lang w:eastAsia="lt-LT"/>
        </w:rPr>
        <w:tab/>
      </w:r>
      <w:r w:rsidRPr="00051FD3">
        <w:rPr>
          <w:b/>
          <w:sz w:val="22"/>
          <w:szCs w:val="22"/>
          <w:lang w:eastAsia="lt-LT"/>
        </w:rPr>
        <w:t xml:space="preserve">Kaip vartoti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p>
    <w:p w14:paraId="6F9D4822" w14:textId="77777777" w:rsidR="007F39B7" w:rsidRPr="00051FD3" w:rsidRDefault="007F39B7" w:rsidP="007F39B7">
      <w:pPr>
        <w:autoSpaceDE w:val="0"/>
        <w:autoSpaceDN w:val="0"/>
        <w:adjustRightInd w:val="0"/>
        <w:rPr>
          <w:sz w:val="22"/>
          <w:szCs w:val="22"/>
          <w:lang w:eastAsia="lt-LT"/>
        </w:rPr>
      </w:pPr>
    </w:p>
    <w:p w14:paraId="7FE52AF9" w14:textId="77777777" w:rsidR="007F39B7" w:rsidRPr="00051FD3" w:rsidRDefault="007F39B7" w:rsidP="007F39B7">
      <w:pPr>
        <w:autoSpaceDE w:val="0"/>
        <w:autoSpaceDN w:val="0"/>
        <w:adjustRightInd w:val="0"/>
        <w:rPr>
          <w:sz w:val="22"/>
          <w:szCs w:val="22"/>
          <w:lang w:eastAsia="lt-LT"/>
        </w:rPr>
      </w:pPr>
      <w:proofErr w:type="spellStart"/>
      <w:r w:rsidRPr="00051FD3">
        <w:rPr>
          <w:sz w:val="22"/>
          <w:szCs w:val="22"/>
          <w:lang w:eastAsia="lt-LT"/>
        </w:rPr>
        <w:t>Telmisartan</w:t>
      </w:r>
      <w:proofErr w:type="spellEnd"/>
      <w:r w:rsidRPr="00051FD3">
        <w:rPr>
          <w:sz w:val="22"/>
          <w:szCs w:val="22"/>
          <w:lang w:eastAsia="lt-LT"/>
        </w:rPr>
        <w:t>/</w:t>
      </w:r>
      <w:proofErr w:type="spellStart"/>
      <w:r w:rsidRPr="00051FD3">
        <w:rPr>
          <w:sz w:val="22"/>
          <w:szCs w:val="22"/>
          <w:lang w:eastAsia="lt-LT"/>
        </w:rPr>
        <w:t>Hydrochlorothiazide</w:t>
      </w:r>
      <w:proofErr w:type="spellEnd"/>
      <w:r w:rsidRPr="00051FD3">
        <w:rPr>
          <w:sz w:val="22"/>
          <w:szCs w:val="22"/>
          <w:lang w:eastAsia="lt-LT"/>
        </w:rPr>
        <w:t xml:space="preserve"> </w:t>
      </w:r>
      <w:proofErr w:type="spellStart"/>
      <w:r w:rsidRPr="00051FD3">
        <w:rPr>
          <w:sz w:val="22"/>
          <w:szCs w:val="22"/>
          <w:lang w:eastAsia="lt-LT"/>
        </w:rPr>
        <w:t>Teva</w:t>
      </w:r>
      <w:proofErr w:type="spellEnd"/>
      <w:r w:rsidRPr="00051FD3">
        <w:rPr>
          <w:sz w:val="22"/>
          <w:szCs w:val="22"/>
          <w:lang w:eastAsia="lt-LT"/>
        </w:rPr>
        <w:t xml:space="preserve"> Pharma visada vartokite tiksliai, kaip nurodė gydytojas. Jeigu abejojate, kreipkitės į gydytoją arba vaistininką.</w:t>
      </w:r>
    </w:p>
    <w:p w14:paraId="15AE7E95" w14:textId="77777777" w:rsidR="007F39B7" w:rsidRPr="00051FD3" w:rsidRDefault="007F39B7" w:rsidP="007F39B7">
      <w:pPr>
        <w:autoSpaceDE w:val="0"/>
        <w:autoSpaceDN w:val="0"/>
        <w:adjustRightInd w:val="0"/>
        <w:rPr>
          <w:sz w:val="22"/>
          <w:szCs w:val="22"/>
          <w:lang w:eastAsia="lt-LT"/>
        </w:rPr>
      </w:pPr>
    </w:p>
    <w:p w14:paraId="623AD1CD" w14:textId="00EC003E" w:rsidR="007F39B7" w:rsidRPr="00051FD3" w:rsidRDefault="007F39B7" w:rsidP="007F39B7">
      <w:pPr>
        <w:pStyle w:val="Default"/>
        <w:rPr>
          <w:sz w:val="22"/>
          <w:szCs w:val="22"/>
          <w:lang w:val="lt-LT"/>
        </w:rPr>
      </w:pPr>
      <w:r w:rsidRPr="00051FD3">
        <w:rPr>
          <w:sz w:val="22"/>
          <w:szCs w:val="22"/>
          <w:lang w:val="lt-LT"/>
        </w:rPr>
        <w:t xml:space="preserve">Rekomenduojama paros dozė yra viena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tabletė. Ją kiekvieną parą reikia stengtis </w:t>
      </w:r>
      <w:r w:rsidR="00236324" w:rsidRPr="00051FD3">
        <w:rPr>
          <w:sz w:val="22"/>
          <w:szCs w:val="22"/>
          <w:lang w:val="lt-LT"/>
        </w:rPr>
        <w:t xml:space="preserve">vartoti </w:t>
      </w:r>
      <w:r w:rsidRPr="00051FD3">
        <w:rPr>
          <w:sz w:val="22"/>
          <w:szCs w:val="22"/>
          <w:lang w:val="lt-LT"/>
        </w:rPr>
        <w:t xml:space="preserve">tokiu pačiu laiku. </w:t>
      </w: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w:t>
      </w:r>
      <w:r w:rsidRPr="00051FD3">
        <w:rPr>
          <w:sz w:val="22"/>
          <w:szCs w:val="22"/>
          <w:lang w:val="lt-LT"/>
        </w:rPr>
        <w:t xml:space="preserve"> galima </w:t>
      </w:r>
      <w:r w:rsidR="00236324" w:rsidRPr="00051FD3">
        <w:rPr>
          <w:sz w:val="22"/>
          <w:szCs w:val="22"/>
          <w:lang w:val="lt-LT"/>
        </w:rPr>
        <w:t xml:space="preserve">vartoti </w:t>
      </w:r>
      <w:r w:rsidRPr="00051FD3">
        <w:rPr>
          <w:sz w:val="22"/>
          <w:szCs w:val="22"/>
          <w:lang w:val="lt-LT"/>
        </w:rPr>
        <w:t xml:space="preserve">valgio metu arba nevalgius. Tabletę reikia nuryti </w:t>
      </w:r>
      <w:r w:rsidR="00620C27" w:rsidRPr="00051FD3">
        <w:rPr>
          <w:sz w:val="22"/>
          <w:szCs w:val="22"/>
          <w:lang w:val="lt-LT"/>
        </w:rPr>
        <w:t xml:space="preserve">nesukramtytą </w:t>
      </w:r>
      <w:r w:rsidRPr="00051FD3">
        <w:rPr>
          <w:sz w:val="22"/>
          <w:szCs w:val="22"/>
          <w:lang w:val="lt-LT"/>
        </w:rPr>
        <w:t>užsigeriant vandeniu arba kitokiu nealkoholiniu gėrimu.</w:t>
      </w:r>
    </w:p>
    <w:p w14:paraId="058F7DBE" w14:textId="77777777" w:rsidR="007F39B7" w:rsidRPr="00051FD3" w:rsidRDefault="007F39B7" w:rsidP="007F39B7">
      <w:pPr>
        <w:pStyle w:val="Default"/>
        <w:rPr>
          <w:sz w:val="22"/>
          <w:szCs w:val="22"/>
          <w:lang w:val="lt-LT"/>
        </w:rPr>
      </w:pPr>
      <w:proofErr w:type="spellStart"/>
      <w:r w:rsidRPr="00051FD3">
        <w:rPr>
          <w:sz w:val="22"/>
          <w:szCs w:val="22"/>
          <w:lang w:val="lt-LT" w:eastAsia="lt-LT"/>
        </w:rPr>
        <w:t>Telmisartan</w:t>
      </w:r>
      <w:proofErr w:type="spellEnd"/>
      <w:r w:rsidRPr="00051FD3">
        <w:rPr>
          <w:sz w:val="22"/>
          <w:szCs w:val="22"/>
          <w:lang w:val="lt-LT" w:eastAsia="lt-LT"/>
        </w:rPr>
        <w:t>/</w:t>
      </w:r>
      <w:proofErr w:type="spellStart"/>
      <w:r w:rsidRPr="00051FD3">
        <w:rPr>
          <w:sz w:val="22"/>
          <w:szCs w:val="22"/>
          <w:lang w:val="lt-LT" w:eastAsia="lt-LT"/>
        </w:rPr>
        <w:t>Hydrochlorothiazide</w:t>
      </w:r>
      <w:proofErr w:type="spellEnd"/>
      <w:r w:rsidRPr="00051FD3">
        <w:rPr>
          <w:sz w:val="22"/>
          <w:szCs w:val="22"/>
          <w:lang w:val="lt-LT" w:eastAsia="lt-LT"/>
        </w:rPr>
        <w:t xml:space="preserve"> </w:t>
      </w:r>
      <w:proofErr w:type="spellStart"/>
      <w:r w:rsidRPr="00051FD3">
        <w:rPr>
          <w:sz w:val="22"/>
          <w:szCs w:val="22"/>
          <w:lang w:val="lt-LT" w:eastAsia="lt-LT"/>
        </w:rPr>
        <w:t>Teva</w:t>
      </w:r>
      <w:proofErr w:type="spellEnd"/>
      <w:r w:rsidRPr="00051FD3">
        <w:rPr>
          <w:sz w:val="22"/>
          <w:szCs w:val="22"/>
          <w:lang w:val="lt-LT" w:eastAsia="lt-LT"/>
        </w:rPr>
        <w:t xml:space="preserve"> Pharma </w:t>
      </w:r>
      <w:r w:rsidRPr="00051FD3">
        <w:rPr>
          <w:sz w:val="22"/>
          <w:szCs w:val="22"/>
          <w:lang w:val="lt-LT"/>
        </w:rPr>
        <w:t xml:space="preserve">svarbu </w:t>
      </w:r>
      <w:r w:rsidR="00236324" w:rsidRPr="00051FD3">
        <w:rPr>
          <w:sz w:val="22"/>
          <w:szCs w:val="22"/>
          <w:lang w:val="lt-LT"/>
        </w:rPr>
        <w:t xml:space="preserve">vartoti </w:t>
      </w:r>
      <w:r w:rsidRPr="00051FD3">
        <w:rPr>
          <w:sz w:val="22"/>
          <w:szCs w:val="22"/>
          <w:lang w:val="lt-LT"/>
        </w:rPr>
        <w:t xml:space="preserve">kiekvieną parą tol, kol gydytojas nurodys kitaip. </w:t>
      </w:r>
    </w:p>
    <w:p w14:paraId="6CD79473" w14:textId="77777777" w:rsidR="007F39B7" w:rsidRPr="00051FD3" w:rsidRDefault="007F39B7" w:rsidP="007F39B7">
      <w:pPr>
        <w:pStyle w:val="Default"/>
        <w:rPr>
          <w:sz w:val="22"/>
          <w:szCs w:val="22"/>
          <w:lang w:val="lt-LT"/>
        </w:rPr>
      </w:pPr>
    </w:p>
    <w:p w14:paraId="2566E2FC" w14:textId="03BF0DAF" w:rsidR="007F39B7" w:rsidRPr="00051FD3" w:rsidRDefault="007F39B7" w:rsidP="007F39B7">
      <w:pPr>
        <w:pStyle w:val="Default"/>
        <w:rPr>
          <w:sz w:val="22"/>
          <w:szCs w:val="22"/>
          <w:lang w:val="lt-LT"/>
        </w:rPr>
      </w:pPr>
      <w:r w:rsidRPr="00051FD3">
        <w:rPr>
          <w:sz w:val="22"/>
          <w:szCs w:val="22"/>
          <w:lang w:val="lt-LT"/>
        </w:rPr>
        <w:t>Jeigu sutrikusi kepenų veikla, didesnės negu 40 mg</w:t>
      </w:r>
      <w:r w:rsidR="00620C27" w:rsidRPr="00051FD3">
        <w:rPr>
          <w:sz w:val="22"/>
          <w:szCs w:val="22"/>
          <w:lang w:val="lt-LT"/>
        </w:rPr>
        <w:t xml:space="preserve"> </w:t>
      </w:r>
      <w:proofErr w:type="spellStart"/>
      <w:r w:rsidR="00620C27" w:rsidRPr="00051FD3">
        <w:rPr>
          <w:sz w:val="22"/>
          <w:szCs w:val="22"/>
          <w:lang w:val="lt-LT"/>
        </w:rPr>
        <w:t>telmisartano</w:t>
      </w:r>
      <w:proofErr w:type="spellEnd"/>
      <w:r w:rsidR="00620C27" w:rsidRPr="00051FD3">
        <w:rPr>
          <w:sz w:val="22"/>
          <w:szCs w:val="22"/>
          <w:lang w:val="lt-LT"/>
        </w:rPr>
        <w:t xml:space="preserve"> </w:t>
      </w:r>
      <w:r w:rsidRPr="00051FD3">
        <w:rPr>
          <w:sz w:val="22"/>
          <w:szCs w:val="22"/>
          <w:lang w:val="lt-LT"/>
        </w:rPr>
        <w:t xml:space="preserve"> kartą per parą </w:t>
      </w:r>
      <w:r w:rsidR="00236324" w:rsidRPr="00051FD3">
        <w:rPr>
          <w:sz w:val="22"/>
          <w:szCs w:val="22"/>
          <w:lang w:val="lt-LT"/>
        </w:rPr>
        <w:t xml:space="preserve">vartoti </w:t>
      </w:r>
      <w:r w:rsidRPr="00051FD3">
        <w:rPr>
          <w:sz w:val="22"/>
          <w:szCs w:val="22"/>
          <w:lang w:val="lt-LT"/>
        </w:rPr>
        <w:t xml:space="preserve">negalima. </w:t>
      </w:r>
    </w:p>
    <w:p w14:paraId="771EA3E7" w14:textId="77777777" w:rsidR="007F39B7" w:rsidRPr="00051FD3" w:rsidRDefault="007F39B7" w:rsidP="007F39B7">
      <w:pPr>
        <w:pStyle w:val="Default"/>
        <w:rPr>
          <w:sz w:val="22"/>
          <w:szCs w:val="22"/>
          <w:lang w:val="lt-LT"/>
        </w:rPr>
      </w:pPr>
    </w:p>
    <w:p w14:paraId="6D82C442" w14:textId="77777777" w:rsidR="007F39B7" w:rsidRPr="00051FD3" w:rsidRDefault="007F39B7" w:rsidP="007F39B7">
      <w:pPr>
        <w:pStyle w:val="Default"/>
        <w:rPr>
          <w:sz w:val="22"/>
          <w:szCs w:val="22"/>
          <w:lang w:val="lt-LT"/>
        </w:rPr>
      </w:pPr>
      <w:r w:rsidRPr="00051FD3">
        <w:rPr>
          <w:b/>
          <w:bCs/>
          <w:sz w:val="22"/>
          <w:szCs w:val="22"/>
          <w:lang w:val="lt-LT"/>
        </w:rPr>
        <w:t xml:space="preserve">Ką daryti pavartojus per didelę </w:t>
      </w:r>
      <w:proofErr w:type="spellStart"/>
      <w:r w:rsidRPr="00051FD3">
        <w:rPr>
          <w:b/>
          <w:sz w:val="22"/>
          <w:szCs w:val="22"/>
          <w:lang w:val="lt-LT" w:eastAsia="lt-LT"/>
        </w:rPr>
        <w:t>Telmisartan</w:t>
      </w:r>
      <w:proofErr w:type="spellEnd"/>
      <w:r w:rsidRPr="00051FD3">
        <w:rPr>
          <w:b/>
          <w:sz w:val="22"/>
          <w:szCs w:val="22"/>
          <w:lang w:val="lt-LT" w:eastAsia="lt-LT"/>
        </w:rPr>
        <w:t>/</w:t>
      </w:r>
      <w:proofErr w:type="spellStart"/>
      <w:r w:rsidRPr="00051FD3">
        <w:rPr>
          <w:b/>
          <w:sz w:val="22"/>
          <w:szCs w:val="22"/>
          <w:lang w:val="lt-LT" w:eastAsia="lt-LT"/>
        </w:rPr>
        <w:t>Hydrochlorothiazide</w:t>
      </w:r>
      <w:proofErr w:type="spellEnd"/>
      <w:r w:rsidRPr="00051FD3">
        <w:rPr>
          <w:b/>
          <w:sz w:val="22"/>
          <w:szCs w:val="22"/>
          <w:lang w:val="lt-LT" w:eastAsia="lt-LT"/>
        </w:rPr>
        <w:t xml:space="preserve"> </w:t>
      </w:r>
      <w:proofErr w:type="spellStart"/>
      <w:r w:rsidRPr="00051FD3">
        <w:rPr>
          <w:b/>
          <w:sz w:val="22"/>
          <w:szCs w:val="22"/>
          <w:lang w:val="lt-LT" w:eastAsia="lt-LT"/>
        </w:rPr>
        <w:t>Teva</w:t>
      </w:r>
      <w:proofErr w:type="spellEnd"/>
      <w:r w:rsidRPr="00051FD3">
        <w:rPr>
          <w:b/>
          <w:sz w:val="22"/>
          <w:szCs w:val="22"/>
          <w:lang w:val="lt-LT" w:eastAsia="lt-LT"/>
        </w:rPr>
        <w:t xml:space="preserve"> Pharma</w:t>
      </w:r>
      <w:r w:rsidRPr="00051FD3">
        <w:rPr>
          <w:b/>
          <w:bCs/>
          <w:sz w:val="22"/>
          <w:szCs w:val="22"/>
          <w:lang w:val="lt-LT"/>
        </w:rPr>
        <w:t xml:space="preserve"> dozę? </w:t>
      </w:r>
    </w:p>
    <w:p w14:paraId="4CB0152E" w14:textId="77777777" w:rsidR="006172EA" w:rsidRPr="00051FD3" w:rsidRDefault="007F39B7" w:rsidP="006172EA">
      <w:pPr>
        <w:autoSpaceDE w:val="0"/>
        <w:autoSpaceDN w:val="0"/>
        <w:adjustRightInd w:val="0"/>
        <w:rPr>
          <w:rFonts w:eastAsia="Calibri"/>
          <w:sz w:val="22"/>
          <w:szCs w:val="22"/>
        </w:rPr>
      </w:pPr>
      <w:r w:rsidRPr="00012DBE">
        <w:rPr>
          <w:sz w:val="22"/>
          <w:szCs w:val="22"/>
        </w:rPr>
        <w:t>Atsitiktinai išgėrus per daug tablečių,</w:t>
      </w:r>
      <w:r w:rsidR="006172EA" w:rsidRPr="00012DBE">
        <w:rPr>
          <w:rFonts w:eastAsia="Calibri"/>
          <w:sz w:val="22"/>
          <w:szCs w:val="22"/>
        </w:rPr>
        <w:t xml:space="preserve"> </w:t>
      </w:r>
      <w:r w:rsidR="006172EA" w:rsidRPr="00051FD3">
        <w:rPr>
          <w:rFonts w:eastAsia="Calibri"/>
          <w:sz w:val="22"/>
          <w:szCs w:val="22"/>
        </w:rPr>
        <w:t xml:space="preserve">Jums gali atsirasti simptomų, </w:t>
      </w:r>
      <w:r w:rsidR="00435B21" w:rsidRPr="00051FD3">
        <w:rPr>
          <w:rFonts w:eastAsia="Calibri"/>
          <w:sz w:val="22"/>
          <w:szCs w:val="22"/>
        </w:rPr>
        <w:t>tokių kaip</w:t>
      </w:r>
      <w:r w:rsidR="006172EA" w:rsidRPr="00051FD3">
        <w:rPr>
          <w:rFonts w:eastAsia="Calibri"/>
          <w:sz w:val="22"/>
          <w:szCs w:val="22"/>
        </w:rPr>
        <w:t xml:space="preserve"> žemas kraujospūdis ir </w:t>
      </w:r>
      <w:r w:rsidR="00435B21" w:rsidRPr="00051FD3">
        <w:rPr>
          <w:rFonts w:eastAsia="Calibri"/>
          <w:sz w:val="22"/>
          <w:szCs w:val="22"/>
        </w:rPr>
        <w:t>greitas</w:t>
      </w:r>
      <w:r w:rsidR="006172EA" w:rsidRPr="00051FD3">
        <w:rPr>
          <w:rFonts w:eastAsia="Calibri"/>
          <w:sz w:val="22"/>
          <w:szCs w:val="22"/>
        </w:rPr>
        <w:t xml:space="preserve"> širdies plakimas. Buvo pranešta ir apie pasitaikiusius reto širdies plakimo,</w:t>
      </w:r>
    </w:p>
    <w:p w14:paraId="020E82B5" w14:textId="274976E4" w:rsidR="007F39B7" w:rsidRPr="00051FD3" w:rsidRDefault="006172EA" w:rsidP="004A5304">
      <w:pPr>
        <w:autoSpaceDE w:val="0"/>
        <w:autoSpaceDN w:val="0"/>
        <w:adjustRightInd w:val="0"/>
        <w:rPr>
          <w:sz w:val="22"/>
          <w:szCs w:val="22"/>
        </w:rPr>
      </w:pPr>
      <w:r w:rsidRPr="00051FD3">
        <w:rPr>
          <w:rFonts w:eastAsia="Calibri"/>
          <w:sz w:val="22"/>
          <w:szCs w:val="22"/>
        </w:rPr>
        <w:t>svaigulio, vėmimo, inkstų funkcijos susilpnėjimo, įskaitant inkstų nepakankamumą, atvejus. Dėl</w:t>
      </w:r>
      <w:r w:rsidR="004A5304" w:rsidRPr="00051FD3">
        <w:rPr>
          <w:rFonts w:eastAsia="Calibri"/>
          <w:sz w:val="22"/>
          <w:szCs w:val="22"/>
        </w:rPr>
        <w:t xml:space="preserve"> </w:t>
      </w:r>
      <w:r w:rsidRPr="00051FD3">
        <w:rPr>
          <w:rFonts w:eastAsia="Calibri"/>
          <w:sz w:val="22"/>
          <w:szCs w:val="22"/>
        </w:rPr>
        <w:t>sudedamosios dalies</w:t>
      </w:r>
      <w:r w:rsidR="00435B21" w:rsidRPr="00051FD3">
        <w:rPr>
          <w:rFonts w:eastAsia="Calibri"/>
          <w:sz w:val="22"/>
          <w:szCs w:val="22"/>
        </w:rPr>
        <w:t>,</w:t>
      </w:r>
      <w:r w:rsidRPr="00051FD3">
        <w:rPr>
          <w:rFonts w:eastAsia="Calibri"/>
          <w:sz w:val="22"/>
          <w:szCs w:val="22"/>
        </w:rPr>
        <w:t xml:space="preserve"> </w:t>
      </w:r>
      <w:proofErr w:type="spellStart"/>
      <w:r w:rsidRPr="00051FD3">
        <w:rPr>
          <w:rFonts w:eastAsia="Calibri"/>
          <w:sz w:val="22"/>
          <w:szCs w:val="22"/>
        </w:rPr>
        <w:t>hidrochlorotiazido</w:t>
      </w:r>
      <w:proofErr w:type="spellEnd"/>
      <w:r w:rsidR="00435B21" w:rsidRPr="00051FD3">
        <w:rPr>
          <w:rFonts w:eastAsia="Calibri"/>
          <w:sz w:val="22"/>
          <w:szCs w:val="22"/>
        </w:rPr>
        <w:t>,</w:t>
      </w:r>
      <w:r w:rsidRPr="00051FD3">
        <w:rPr>
          <w:rFonts w:eastAsia="Calibri"/>
          <w:sz w:val="22"/>
          <w:szCs w:val="22"/>
        </w:rPr>
        <w:t xml:space="preserve"> taip pat galimas ženkliai </w:t>
      </w:r>
      <w:r w:rsidR="00435B21" w:rsidRPr="00051FD3">
        <w:rPr>
          <w:rFonts w:eastAsia="Calibri"/>
          <w:sz w:val="22"/>
          <w:szCs w:val="22"/>
        </w:rPr>
        <w:t>žemas</w:t>
      </w:r>
      <w:r w:rsidRPr="00051FD3">
        <w:rPr>
          <w:rFonts w:eastAsia="Calibri"/>
          <w:sz w:val="22"/>
          <w:szCs w:val="22"/>
        </w:rPr>
        <w:t xml:space="preserve"> kraujospūdis ir </w:t>
      </w:r>
      <w:r w:rsidR="00435B21" w:rsidRPr="00051FD3">
        <w:rPr>
          <w:rFonts w:eastAsia="Calibri"/>
          <w:sz w:val="22"/>
          <w:szCs w:val="22"/>
        </w:rPr>
        <w:t>žemas</w:t>
      </w:r>
      <w:r w:rsidRPr="00051FD3">
        <w:rPr>
          <w:rFonts w:eastAsia="Calibri"/>
          <w:sz w:val="22"/>
          <w:szCs w:val="22"/>
        </w:rPr>
        <w:t xml:space="preserve"> kalio</w:t>
      </w:r>
      <w:r w:rsidR="004A5304" w:rsidRPr="00051FD3">
        <w:rPr>
          <w:rFonts w:eastAsia="Calibri"/>
          <w:sz w:val="22"/>
          <w:szCs w:val="22"/>
        </w:rPr>
        <w:t xml:space="preserve"> </w:t>
      </w:r>
      <w:r w:rsidRPr="00051FD3">
        <w:rPr>
          <w:rFonts w:eastAsia="Calibri"/>
          <w:sz w:val="22"/>
          <w:szCs w:val="22"/>
        </w:rPr>
        <w:t>kiekis kraujyje, kuris gali sąlygoti pykinimą, mieguistumą bei raumenų mėšlungį, ir (arba)</w:t>
      </w:r>
      <w:r w:rsidR="004A5304" w:rsidRPr="00051FD3">
        <w:rPr>
          <w:rFonts w:eastAsia="Calibri"/>
          <w:sz w:val="22"/>
          <w:szCs w:val="22"/>
        </w:rPr>
        <w:t xml:space="preserve"> </w:t>
      </w:r>
      <w:r w:rsidRPr="00051FD3">
        <w:rPr>
          <w:rFonts w:eastAsia="Calibri"/>
          <w:sz w:val="22"/>
          <w:szCs w:val="22"/>
        </w:rPr>
        <w:t>nereguliarus širdies plakimas, susijęs su kartu vartojamais kitais vaistais, pavyzdžiui, rusmenės arba</w:t>
      </w:r>
      <w:r w:rsidR="004A5304" w:rsidRPr="00051FD3">
        <w:rPr>
          <w:rFonts w:eastAsia="Calibri"/>
          <w:sz w:val="22"/>
          <w:szCs w:val="22"/>
        </w:rPr>
        <w:t xml:space="preserve"> </w:t>
      </w:r>
      <w:r w:rsidRPr="00051FD3">
        <w:rPr>
          <w:rFonts w:eastAsia="Calibri"/>
          <w:sz w:val="22"/>
          <w:szCs w:val="22"/>
        </w:rPr>
        <w:t>tam tikrais vaistais nuo sutrikusio širdies ritmo.</w:t>
      </w:r>
      <w:r w:rsidR="001A365D" w:rsidRPr="00051FD3">
        <w:rPr>
          <w:rFonts w:eastAsia="Calibri"/>
          <w:sz w:val="22"/>
          <w:szCs w:val="22"/>
        </w:rPr>
        <w:t xml:space="preserve"> </w:t>
      </w:r>
      <w:r w:rsidRPr="00051FD3">
        <w:rPr>
          <w:sz w:val="22"/>
          <w:szCs w:val="22"/>
        </w:rPr>
        <w:t>N</w:t>
      </w:r>
      <w:r w:rsidR="007F39B7" w:rsidRPr="00051FD3">
        <w:rPr>
          <w:sz w:val="22"/>
          <w:szCs w:val="22"/>
        </w:rPr>
        <w:t>edelsiant susisiek</w:t>
      </w:r>
      <w:r w:rsidRPr="00051FD3">
        <w:rPr>
          <w:sz w:val="22"/>
          <w:szCs w:val="22"/>
        </w:rPr>
        <w:t>ite</w:t>
      </w:r>
      <w:r w:rsidR="007F39B7" w:rsidRPr="00051FD3">
        <w:rPr>
          <w:sz w:val="22"/>
          <w:szCs w:val="22"/>
        </w:rPr>
        <w:t xml:space="preserve"> su savo gydytoju, vaistininku arba vyk</w:t>
      </w:r>
      <w:r w:rsidRPr="00051FD3">
        <w:rPr>
          <w:sz w:val="22"/>
          <w:szCs w:val="22"/>
        </w:rPr>
        <w:t>ite</w:t>
      </w:r>
      <w:r w:rsidR="007F39B7" w:rsidRPr="00051FD3">
        <w:rPr>
          <w:sz w:val="22"/>
          <w:szCs w:val="22"/>
        </w:rPr>
        <w:t xml:space="preserve"> į artimiausios ligoninės skubios pagalbos skyrių. </w:t>
      </w:r>
    </w:p>
    <w:p w14:paraId="01B9018C" w14:textId="77777777" w:rsidR="007F39B7" w:rsidRPr="00051FD3" w:rsidRDefault="007F39B7" w:rsidP="007F39B7">
      <w:pPr>
        <w:pStyle w:val="Default"/>
        <w:rPr>
          <w:sz w:val="22"/>
          <w:szCs w:val="22"/>
          <w:lang w:val="lt-LT"/>
        </w:rPr>
      </w:pPr>
    </w:p>
    <w:p w14:paraId="317CF649" w14:textId="77777777" w:rsidR="007F39B7" w:rsidRPr="00051FD3" w:rsidRDefault="007F39B7" w:rsidP="007F39B7">
      <w:pPr>
        <w:pStyle w:val="Default"/>
        <w:rPr>
          <w:sz w:val="22"/>
          <w:szCs w:val="22"/>
          <w:lang w:val="lt-LT"/>
        </w:rPr>
      </w:pPr>
      <w:r w:rsidRPr="00051FD3">
        <w:rPr>
          <w:b/>
          <w:bCs/>
          <w:sz w:val="22"/>
          <w:szCs w:val="22"/>
          <w:lang w:val="lt-LT"/>
        </w:rPr>
        <w:t xml:space="preserve">Pamiršus pavartoti </w:t>
      </w:r>
      <w:proofErr w:type="spellStart"/>
      <w:r w:rsidRPr="00051FD3">
        <w:rPr>
          <w:b/>
          <w:sz w:val="22"/>
          <w:szCs w:val="22"/>
          <w:lang w:val="lt-LT" w:eastAsia="lt-LT"/>
        </w:rPr>
        <w:t>Telmisartan</w:t>
      </w:r>
      <w:proofErr w:type="spellEnd"/>
      <w:r w:rsidRPr="00051FD3">
        <w:rPr>
          <w:b/>
          <w:sz w:val="22"/>
          <w:szCs w:val="22"/>
          <w:lang w:val="lt-LT" w:eastAsia="lt-LT"/>
        </w:rPr>
        <w:t>/</w:t>
      </w:r>
      <w:proofErr w:type="spellStart"/>
      <w:r w:rsidRPr="00051FD3">
        <w:rPr>
          <w:b/>
          <w:sz w:val="22"/>
          <w:szCs w:val="22"/>
          <w:lang w:val="lt-LT" w:eastAsia="lt-LT"/>
        </w:rPr>
        <w:t>Hydrochlorothiazide</w:t>
      </w:r>
      <w:proofErr w:type="spellEnd"/>
      <w:r w:rsidRPr="00051FD3">
        <w:rPr>
          <w:b/>
          <w:sz w:val="22"/>
          <w:szCs w:val="22"/>
          <w:lang w:val="lt-LT" w:eastAsia="lt-LT"/>
        </w:rPr>
        <w:t xml:space="preserve"> </w:t>
      </w:r>
      <w:proofErr w:type="spellStart"/>
      <w:r w:rsidRPr="00051FD3">
        <w:rPr>
          <w:b/>
          <w:sz w:val="22"/>
          <w:szCs w:val="22"/>
          <w:lang w:val="lt-LT" w:eastAsia="lt-LT"/>
        </w:rPr>
        <w:t>Teva</w:t>
      </w:r>
      <w:proofErr w:type="spellEnd"/>
      <w:r w:rsidRPr="00051FD3">
        <w:rPr>
          <w:b/>
          <w:sz w:val="22"/>
          <w:szCs w:val="22"/>
          <w:lang w:val="lt-LT" w:eastAsia="lt-LT"/>
        </w:rPr>
        <w:t xml:space="preserve"> Pharma</w:t>
      </w:r>
      <w:r w:rsidRPr="00051FD3">
        <w:rPr>
          <w:b/>
          <w:bCs/>
          <w:sz w:val="22"/>
          <w:szCs w:val="22"/>
          <w:lang w:val="lt-LT"/>
        </w:rPr>
        <w:t xml:space="preserve"> </w:t>
      </w:r>
    </w:p>
    <w:p w14:paraId="22010F41" w14:textId="77777777" w:rsidR="007F39B7" w:rsidRPr="00051FD3" w:rsidRDefault="007F39B7" w:rsidP="007F39B7">
      <w:pPr>
        <w:pStyle w:val="Default"/>
        <w:rPr>
          <w:sz w:val="22"/>
          <w:szCs w:val="22"/>
          <w:lang w:val="lt-LT"/>
        </w:rPr>
      </w:pPr>
      <w:r w:rsidRPr="00051FD3">
        <w:rPr>
          <w:sz w:val="22"/>
          <w:szCs w:val="22"/>
          <w:lang w:val="lt-LT"/>
        </w:rPr>
        <w:t xml:space="preserve">Pamiršus vaisto išgerti įprastiniu laiku, nerimauti nereikėtų. Pamirštą tabletę gerkite tuoj pat, kai tik prisiminsite, o toliau vaisto vartokite įprastine tvarka. Jeigu jo neišgersite visą parą, kitą parą gerkite įprastinę dozę. </w:t>
      </w:r>
      <w:r w:rsidRPr="00051FD3">
        <w:rPr>
          <w:bCs/>
          <w:sz w:val="22"/>
          <w:szCs w:val="22"/>
          <w:lang w:val="lt-LT"/>
        </w:rPr>
        <w:t xml:space="preserve">Negalima </w:t>
      </w:r>
      <w:r w:rsidRPr="00051FD3">
        <w:rPr>
          <w:sz w:val="22"/>
          <w:szCs w:val="22"/>
          <w:lang w:val="lt-LT"/>
        </w:rPr>
        <w:t xml:space="preserve">vartoti dvigubos dozės norint kompensuoti praleistą dozę. </w:t>
      </w:r>
    </w:p>
    <w:p w14:paraId="1DB3006A" w14:textId="77777777" w:rsidR="007F39B7" w:rsidRPr="00051FD3" w:rsidRDefault="007F39B7" w:rsidP="007F39B7">
      <w:pPr>
        <w:autoSpaceDE w:val="0"/>
        <w:autoSpaceDN w:val="0"/>
        <w:adjustRightInd w:val="0"/>
        <w:rPr>
          <w:sz w:val="22"/>
          <w:szCs w:val="22"/>
        </w:rPr>
      </w:pPr>
    </w:p>
    <w:p w14:paraId="7723A724" w14:textId="77777777" w:rsidR="007F39B7" w:rsidRPr="00051FD3" w:rsidRDefault="007F39B7" w:rsidP="007F39B7">
      <w:pPr>
        <w:autoSpaceDE w:val="0"/>
        <w:autoSpaceDN w:val="0"/>
        <w:adjustRightInd w:val="0"/>
        <w:rPr>
          <w:sz w:val="22"/>
          <w:szCs w:val="22"/>
          <w:lang w:eastAsia="lt-LT"/>
        </w:rPr>
      </w:pPr>
      <w:r w:rsidRPr="00051FD3">
        <w:rPr>
          <w:sz w:val="22"/>
          <w:szCs w:val="22"/>
        </w:rPr>
        <w:t>Jeigu kiltų daugiau klausimų dėl šio vaisto vartojimo, kreipkitės į gydytoją arba vaistininką.</w:t>
      </w:r>
    </w:p>
    <w:p w14:paraId="2DCFF89B" w14:textId="77777777" w:rsidR="007F39B7" w:rsidRPr="00051FD3" w:rsidRDefault="007F39B7" w:rsidP="007F39B7">
      <w:pPr>
        <w:autoSpaceDE w:val="0"/>
        <w:autoSpaceDN w:val="0"/>
        <w:adjustRightInd w:val="0"/>
        <w:rPr>
          <w:b/>
          <w:bCs/>
          <w:sz w:val="22"/>
          <w:szCs w:val="22"/>
          <w:lang w:eastAsia="lt-LT"/>
        </w:rPr>
      </w:pPr>
    </w:p>
    <w:p w14:paraId="1E8114C6" w14:textId="77777777" w:rsidR="007F39B7" w:rsidRPr="00051FD3" w:rsidRDefault="007F39B7" w:rsidP="007F39B7">
      <w:pPr>
        <w:autoSpaceDE w:val="0"/>
        <w:autoSpaceDN w:val="0"/>
        <w:adjustRightInd w:val="0"/>
        <w:rPr>
          <w:b/>
          <w:bCs/>
          <w:sz w:val="22"/>
          <w:szCs w:val="22"/>
          <w:lang w:eastAsia="lt-LT"/>
        </w:rPr>
      </w:pPr>
    </w:p>
    <w:p w14:paraId="5906A7D3" w14:textId="77777777" w:rsidR="007F39B7" w:rsidRPr="00051FD3" w:rsidRDefault="007F39B7" w:rsidP="007F39B7">
      <w:pPr>
        <w:autoSpaceDE w:val="0"/>
        <w:autoSpaceDN w:val="0"/>
        <w:adjustRightInd w:val="0"/>
        <w:ind w:left="567" w:hanging="567"/>
        <w:rPr>
          <w:b/>
          <w:bCs/>
          <w:sz w:val="22"/>
          <w:szCs w:val="22"/>
          <w:lang w:eastAsia="lt-LT"/>
        </w:rPr>
      </w:pPr>
      <w:r w:rsidRPr="00051FD3">
        <w:rPr>
          <w:b/>
          <w:bCs/>
          <w:sz w:val="22"/>
          <w:szCs w:val="22"/>
          <w:lang w:eastAsia="lt-LT"/>
        </w:rPr>
        <w:t>4.</w:t>
      </w:r>
      <w:r w:rsidRPr="00051FD3">
        <w:rPr>
          <w:b/>
          <w:bCs/>
          <w:sz w:val="22"/>
          <w:szCs w:val="22"/>
          <w:lang w:eastAsia="lt-LT"/>
        </w:rPr>
        <w:tab/>
        <w:t>Galimas šalutinis poveikis</w:t>
      </w:r>
    </w:p>
    <w:p w14:paraId="6F6136D2" w14:textId="77777777" w:rsidR="007F39B7" w:rsidRPr="00051FD3" w:rsidRDefault="007F39B7" w:rsidP="007F39B7">
      <w:pPr>
        <w:autoSpaceDE w:val="0"/>
        <w:autoSpaceDN w:val="0"/>
        <w:adjustRightInd w:val="0"/>
        <w:rPr>
          <w:sz w:val="22"/>
          <w:szCs w:val="22"/>
          <w:lang w:eastAsia="lt-LT"/>
        </w:rPr>
      </w:pPr>
    </w:p>
    <w:p w14:paraId="7F810913"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Šis vaistas, kaip ir visi kiti, gali sukelti ir šalutinį poveikį, nors jis pasireiškia ne visiems žmonėms.</w:t>
      </w:r>
    </w:p>
    <w:p w14:paraId="14462899" w14:textId="77777777" w:rsidR="007F39B7" w:rsidRPr="00051FD3" w:rsidRDefault="007F39B7" w:rsidP="007F39B7">
      <w:pPr>
        <w:autoSpaceDE w:val="0"/>
        <w:autoSpaceDN w:val="0"/>
        <w:adjustRightInd w:val="0"/>
        <w:rPr>
          <w:sz w:val="22"/>
          <w:szCs w:val="22"/>
          <w:lang w:eastAsia="lt-LT"/>
        </w:rPr>
      </w:pPr>
    </w:p>
    <w:p w14:paraId="62903173" w14:textId="77777777" w:rsidR="007F39B7" w:rsidRPr="00051FD3" w:rsidRDefault="007F39B7" w:rsidP="007F39B7">
      <w:pPr>
        <w:pStyle w:val="Default"/>
        <w:rPr>
          <w:sz w:val="22"/>
          <w:szCs w:val="22"/>
          <w:lang w:val="lt-LT"/>
        </w:rPr>
      </w:pPr>
      <w:r w:rsidRPr="00051FD3">
        <w:rPr>
          <w:b/>
          <w:bCs/>
          <w:sz w:val="22"/>
          <w:szCs w:val="22"/>
          <w:lang w:val="lt-LT"/>
        </w:rPr>
        <w:t xml:space="preserve">Kai kuris šalutinis poveikis gali būti sunkus, todėl gali reikėti neatidėliotinos gydytojo pagalbos. </w:t>
      </w:r>
    </w:p>
    <w:p w14:paraId="50C5E7A3" w14:textId="77777777" w:rsidR="007F39B7" w:rsidRPr="00051FD3" w:rsidRDefault="007F39B7" w:rsidP="007F39B7">
      <w:pPr>
        <w:pStyle w:val="Default"/>
        <w:rPr>
          <w:sz w:val="22"/>
          <w:szCs w:val="22"/>
          <w:lang w:val="lt-LT"/>
        </w:rPr>
      </w:pPr>
      <w:r w:rsidRPr="00051FD3">
        <w:rPr>
          <w:sz w:val="22"/>
          <w:szCs w:val="22"/>
          <w:lang w:val="lt-LT"/>
        </w:rPr>
        <w:t xml:space="preserve">Nedelsdami turite kreiptis į savo gydytoją, jeigu atsiranda kuris nors iš šių simptomų: </w:t>
      </w:r>
    </w:p>
    <w:p w14:paraId="53543068" w14:textId="77777777" w:rsidR="007F39B7" w:rsidRPr="00051FD3" w:rsidRDefault="007F39B7" w:rsidP="007F39B7">
      <w:pPr>
        <w:pStyle w:val="Default"/>
        <w:rPr>
          <w:sz w:val="22"/>
          <w:szCs w:val="22"/>
          <w:lang w:val="lt-LT"/>
        </w:rPr>
      </w:pPr>
    </w:p>
    <w:p w14:paraId="5FD1D79A" w14:textId="6884AC23" w:rsidR="007F39B7" w:rsidRPr="00051FD3" w:rsidRDefault="007F39B7" w:rsidP="00370EE3">
      <w:pPr>
        <w:pStyle w:val="Default"/>
        <w:rPr>
          <w:sz w:val="22"/>
          <w:szCs w:val="22"/>
          <w:lang w:val="lt-LT"/>
        </w:rPr>
      </w:pPr>
      <w:r w:rsidRPr="00051FD3">
        <w:rPr>
          <w:sz w:val="22"/>
          <w:szCs w:val="22"/>
          <w:lang w:val="lt-LT"/>
        </w:rPr>
        <w:t>Sepsis* (taip vadinamasis „kraujo užkrėtimas“) yra sunki infekcinė liga, susijusi su viso organizmo uždegimine reakcija, greitas odos ir gleivinės sutinimas (</w:t>
      </w:r>
      <w:proofErr w:type="spellStart"/>
      <w:r w:rsidRPr="00051FD3">
        <w:rPr>
          <w:sz w:val="22"/>
          <w:szCs w:val="22"/>
          <w:lang w:val="lt-LT"/>
        </w:rPr>
        <w:t>angioneurozinė</w:t>
      </w:r>
      <w:proofErr w:type="spellEnd"/>
      <w:r w:rsidRPr="00051FD3">
        <w:rPr>
          <w:sz w:val="22"/>
          <w:szCs w:val="22"/>
          <w:lang w:val="lt-LT"/>
        </w:rPr>
        <w:t xml:space="preserve"> edema</w:t>
      </w:r>
      <w:r w:rsidR="007A58B3" w:rsidRPr="00051FD3">
        <w:rPr>
          <w:sz w:val="22"/>
          <w:szCs w:val="22"/>
          <w:lang w:val="lt-LT"/>
        </w:rPr>
        <w:t>, įskaitant sukeliančią mirtį</w:t>
      </w:r>
      <w:r w:rsidRPr="00051FD3">
        <w:rPr>
          <w:sz w:val="22"/>
          <w:szCs w:val="22"/>
          <w:lang w:val="lt-LT"/>
        </w:rPr>
        <w:t>)</w:t>
      </w:r>
      <w:r w:rsidR="00370EE3" w:rsidRPr="00051FD3">
        <w:rPr>
          <w:sz w:val="22"/>
          <w:szCs w:val="22"/>
          <w:lang w:val="lt-LT"/>
        </w:rPr>
        <w:t xml:space="preserve">, paviršinio odos sluoksnio pūslėjimas ir lupimasis (toksinė epidermio </w:t>
      </w:r>
      <w:proofErr w:type="spellStart"/>
      <w:r w:rsidR="00370EE3" w:rsidRPr="00051FD3">
        <w:rPr>
          <w:sz w:val="22"/>
          <w:szCs w:val="22"/>
          <w:lang w:val="lt-LT"/>
        </w:rPr>
        <w:t>nekrolizė</w:t>
      </w:r>
      <w:proofErr w:type="spellEnd"/>
      <w:r w:rsidR="00370EE3" w:rsidRPr="00051FD3">
        <w:rPr>
          <w:sz w:val="22"/>
          <w:szCs w:val="22"/>
          <w:lang w:val="lt-LT"/>
        </w:rPr>
        <w:t>)</w:t>
      </w:r>
      <w:r w:rsidR="00C83C86" w:rsidRPr="00051FD3">
        <w:rPr>
          <w:sz w:val="22"/>
          <w:szCs w:val="22"/>
          <w:lang w:val="lt-LT"/>
        </w:rPr>
        <w:t>.</w:t>
      </w:r>
      <w:r w:rsidRPr="00051FD3">
        <w:rPr>
          <w:sz w:val="22"/>
          <w:szCs w:val="22"/>
          <w:lang w:val="lt-LT"/>
        </w:rPr>
        <w:t xml:space="preserve"> </w:t>
      </w:r>
      <w:r w:rsidR="00642FC9" w:rsidRPr="00051FD3">
        <w:rPr>
          <w:sz w:val="22"/>
          <w:szCs w:val="22"/>
          <w:lang w:val="lt-LT"/>
        </w:rPr>
        <w:t xml:space="preserve">Šie šalutiniai poveikiai </w:t>
      </w:r>
      <w:r w:rsidRPr="000E639C">
        <w:rPr>
          <w:sz w:val="22"/>
          <w:szCs w:val="22"/>
          <w:lang w:val="lt-LT"/>
        </w:rPr>
        <w:t xml:space="preserve">yra </w:t>
      </w:r>
      <w:r w:rsidR="00642FC9" w:rsidRPr="000E639C">
        <w:rPr>
          <w:sz w:val="22"/>
          <w:szCs w:val="22"/>
          <w:lang w:val="lt-LT"/>
        </w:rPr>
        <w:t xml:space="preserve">reti </w:t>
      </w:r>
      <w:r w:rsidRPr="000E639C">
        <w:rPr>
          <w:sz w:val="22"/>
          <w:szCs w:val="22"/>
          <w:lang w:val="lt-LT"/>
        </w:rPr>
        <w:t xml:space="preserve">(gali pasireikšti </w:t>
      </w:r>
      <w:r w:rsidR="00C83C86" w:rsidRPr="00051FD3">
        <w:rPr>
          <w:sz w:val="22"/>
          <w:szCs w:val="22"/>
          <w:lang w:val="lt-LT"/>
        </w:rPr>
        <w:t>rečiau kaip</w:t>
      </w:r>
      <w:r w:rsidRPr="00051FD3">
        <w:rPr>
          <w:sz w:val="22"/>
          <w:szCs w:val="22"/>
          <w:lang w:val="lt-LT"/>
        </w:rPr>
        <w:t xml:space="preserve"> 1 iš 1</w:t>
      </w:r>
      <w:r w:rsidR="00793500">
        <w:rPr>
          <w:sz w:val="22"/>
          <w:szCs w:val="22"/>
          <w:lang w:val="lt-LT"/>
        </w:rPr>
        <w:t> </w:t>
      </w:r>
      <w:r w:rsidRPr="00051FD3">
        <w:rPr>
          <w:sz w:val="22"/>
          <w:szCs w:val="22"/>
          <w:lang w:val="lt-LT"/>
        </w:rPr>
        <w:t xml:space="preserve">000 </w:t>
      </w:r>
      <w:r w:rsidR="007A58B3" w:rsidRPr="00051FD3">
        <w:rPr>
          <w:sz w:val="22"/>
          <w:szCs w:val="22"/>
          <w:lang w:val="lt-LT"/>
        </w:rPr>
        <w:t>asmenų</w:t>
      </w:r>
      <w:r w:rsidRPr="00051FD3">
        <w:rPr>
          <w:sz w:val="22"/>
          <w:szCs w:val="22"/>
          <w:lang w:val="lt-LT"/>
        </w:rPr>
        <w:t>),</w:t>
      </w:r>
      <w:r w:rsidR="00370EE3" w:rsidRPr="00051FD3">
        <w:rPr>
          <w:sz w:val="22"/>
          <w:szCs w:val="22"/>
          <w:lang w:val="lt-LT"/>
        </w:rPr>
        <w:t xml:space="preserve"> arba </w:t>
      </w:r>
      <w:r w:rsidR="004A5304" w:rsidRPr="00051FD3">
        <w:rPr>
          <w:sz w:val="22"/>
          <w:szCs w:val="22"/>
          <w:lang w:val="lt-LT"/>
        </w:rPr>
        <w:t>labai reti</w:t>
      </w:r>
      <w:r w:rsidR="00370EE3" w:rsidRPr="00051FD3">
        <w:rPr>
          <w:sz w:val="22"/>
          <w:szCs w:val="22"/>
          <w:lang w:val="lt-LT"/>
        </w:rPr>
        <w:t xml:space="preserve"> (toksinė epidermio </w:t>
      </w:r>
      <w:proofErr w:type="spellStart"/>
      <w:r w:rsidR="00370EE3" w:rsidRPr="00051FD3">
        <w:rPr>
          <w:sz w:val="22"/>
          <w:szCs w:val="22"/>
          <w:lang w:val="lt-LT"/>
        </w:rPr>
        <w:t>nekrolizė</w:t>
      </w:r>
      <w:proofErr w:type="spellEnd"/>
      <w:r w:rsidR="004A5304" w:rsidRPr="00051FD3">
        <w:rPr>
          <w:sz w:val="22"/>
          <w:szCs w:val="22"/>
          <w:lang w:val="lt-LT"/>
        </w:rPr>
        <w:t>, gali pasireikšti rečiau kaip 1 iš 10</w:t>
      </w:r>
      <w:r w:rsidR="00793500">
        <w:rPr>
          <w:sz w:val="22"/>
          <w:szCs w:val="22"/>
          <w:lang w:val="lt-LT"/>
        </w:rPr>
        <w:t> </w:t>
      </w:r>
      <w:r w:rsidR="004A5304" w:rsidRPr="00051FD3">
        <w:rPr>
          <w:sz w:val="22"/>
          <w:szCs w:val="22"/>
          <w:lang w:val="lt-LT"/>
        </w:rPr>
        <w:t>000 asmenų</w:t>
      </w:r>
      <w:r w:rsidR="00370EE3" w:rsidRPr="00051FD3">
        <w:rPr>
          <w:sz w:val="22"/>
          <w:szCs w:val="22"/>
          <w:lang w:val="lt-LT"/>
        </w:rPr>
        <w:t>),</w:t>
      </w:r>
      <w:r w:rsidRPr="00051FD3">
        <w:rPr>
          <w:sz w:val="22"/>
          <w:szCs w:val="22"/>
          <w:lang w:val="lt-LT"/>
        </w:rPr>
        <w:t xml:space="preserve"> tačiau itin </w:t>
      </w:r>
      <w:r w:rsidR="00642FC9" w:rsidRPr="00051FD3">
        <w:rPr>
          <w:sz w:val="22"/>
          <w:szCs w:val="22"/>
          <w:lang w:val="lt-LT"/>
        </w:rPr>
        <w:t>sunkūs</w:t>
      </w:r>
      <w:r w:rsidRPr="00051FD3">
        <w:rPr>
          <w:sz w:val="22"/>
          <w:szCs w:val="22"/>
          <w:lang w:val="lt-LT"/>
        </w:rPr>
        <w:t xml:space="preserve">. </w:t>
      </w:r>
      <w:r w:rsidR="00642FC9" w:rsidRPr="00051FD3">
        <w:rPr>
          <w:sz w:val="22"/>
          <w:szCs w:val="22"/>
          <w:lang w:val="lt-LT"/>
        </w:rPr>
        <w:t xml:space="preserve">Jiems </w:t>
      </w:r>
      <w:r w:rsidRPr="00051FD3">
        <w:rPr>
          <w:sz w:val="22"/>
          <w:szCs w:val="22"/>
          <w:lang w:val="lt-LT"/>
        </w:rPr>
        <w:t>pasireiškus, vaisto vartojimą turite nutraukti ir tuoj pat kreiptis į savo gydytoją. Jeigu minėt</w:t>
      </w:r>
      <w:r w:rsidR="00642FC9" w:rsidRPr="00051FD3">
        <w:rPr>
          <w:sz w:val="22"/>
          <w:szCs w:val="22"/>
          <w:lang w:val="lt-LT"/>
        </w:rPr>
        <w:t>i</w:t>
      </w:r>
      <w:r w:rsidRPr="00051FD3">
        <w:rPr>
          <w:sz w:val="22"/>
          <w:szCs w:val="22"/>
          <w:lang w:val="lt-LT"/>
        </w:rPr>
        <w:t xml:space="preserve"> šalutini</w:t>
      </w:r>
      <w:r w:rsidR="00642FC9" w:rsidRPr="00051FD3">
        <w:rPr>
          <w:sz w:val="22"/>
          <w:szCs w:val="22"/>
          <w:lang w:val="lt-LT"/>
        </w:rPr>
        <w:t>ai</w:t>
      </w:r>
      <w:r w:rsidRPr="00051FD3">
        <w:rPr>
          <w:sz w:val="22"/>
          <w:szCs w:val="22"/>
          <w:lang w:val="lt-LT"/>
        </w:rPr>
        <w:t xml:space="preserve"> poveiki</w:t>
      </w:r>
      <w:r w:rsidR="00642FC9" w:rsidRPr="00051FD3">
        <w:rPr>
          <w:sz w:val="22"/>
          <w:szCs w:val="22"/>
          <w:lang w:val="lt-LT"/>
        </w:rPr>
        <w:t>ai</w:t>
      </w:r>
      <w:r w:rsidRPr="00051FD3">
        <w:rPr>
          <w:sz w:val="22"/>
          <w:szCs w:val="22"/>
          <w:lang w:val="lt-LT"/>
        </w:rPr>
        <w:t xml:space="preserve"> </w:t>
      </w:r>
      <w:r w:rsidR="00642FC9" w:rsidRPr="00051FD3">
        <w:rPr>
          <w:sz w:val="22"/>
          <w:szCs w:val="22"/>
          <w:lang w:val="lt-LT"/>
        </w:rPr>
        <w:t>negydomi</w:t>
      </w:r>
      <w:r w:rsidRPr="00051FD3">
        <w:rPr>
          <w:sz w:val="22"/>
          <w:szCs w:val="22"/>
          <w:lang w:val="lt-LT"/>
        </w:rPr>
        <w:t xml:space="preserve">, </w:t>
      </w:r>
      <w:r w:rsidR="00642FC9" w:rsidRPr="00051FD3">
        <w:rPr>
          <w:sz w:val="22"/>
          <w:szCs w:val="22"/>
          <w:lang w:val="lt-LT"/>
        </w:rPr>
        <w:t xml:space="preserve">jie </w:t>
      </w:r>
      <w:r w:rsidRPr="00051FD3">
        <w:rPr>
          <w:sz w:val="22"/>
          <w:szCs w:val="22"/>
          <w:lang w:val="lt-LT"/>
        </w:rPr>
        <w:t xml:space="preserve">gali būti </w:t>
      </w:r>
      <w:r w:rsidR="00642FC9" w:rsidRPr="00051FD3">
        <w:rPr>
          <w:sz w:val="22"/>
          <w:szCs w:val="22"/>
          <w:lang w:val="lt-LT"/>
        </w:rPr>
        <w:t>mirtini</w:t>
      </w:r>
      <w:r w:rsidRPr="00051FD3">
        <w:rPr>
          <w:sz w:val="22"/>
          <w:szCs w:val="22"/>
          <w:lang w:val="lt-LT"/>
        </w:rPr>
        <w:t xml:space="preserve">. Sepsio dažnio padidėjimas buvo stebėtas gydymo vien </w:t>
      </w:r>
      <w:proofErr w:type="spellStart"/>
      <w:r w:rsidRPr="00051FD3">
        <w:rPr>
          <w:sz w:val="22"/>
          <w:szCs w:val="22"/>
          <w:lang w:val="lt-LT"/>
        </w:rPr>
        <w:t>telmisartanu</w:t>
      </w:r>
      <w:proofErr w:type="spellEnd"/>
      <w:r w:rsidRPr="00051FD3">
        <w:rPr>
          <w:sz w:val="22"/>
          <w:szCs w:val="22"/>
          <w:lang w:val="lt-LT"/>
        </w:rPr>
        <w:t xml:space="preserve"> metu, tačiau gydymo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metu jo galimybės paneigti negalima. </w:t>
      </w:r>
    </w:p>
    <w:p w14:paraId="10491646" w14:textId="77777777" w:rsidR="00322356" w:rsidRPr="00051FD3" w:rsidRDefault="00322356" w:rsidP="00370EE3">
      <w:pPr>
        <w:pStyle w:val="Default"/>
        <w:rPr>
          <w:sz w:val="22"/>
          <w:szCs w:val="22"/>
          <w:lang w:val="lt-LT"/>
        </w:rPr>
      </w:pPr>
    </w:p>
    <w:p w14:paraId="5EE84169" w14:textId="44CCA6FC" w:rsidR="00322356" w:rsidRPr="00051FD3" w:rsidRDefault="00322356" w:rsidP="00370EE3">
      <w:pPr>
        <w:pStyle w:val="Default"/>
        <w:rPr>
          <w:sz w:val="22"/>
          <w:szCs w:val="22"/>
          <w:lang w:val="lt-LT"/>
        </w:rPr>
      </w:pPr>
      <w:r w:rsidRPr="00051FD3">
        <w:rPr>
          <w:sz w:val="22"/>
          <w:szCs w:val="22"/>
          <w:lang w:val="lt-LT"/>
        </w:rPr>
        <w:t>Labai retas šalutinis poveikis (gali pasireikšti rečiau kaip 1 iš 10</w:t>
      </w:r>
      <w:r w:rsidR="00793500">
        <w:rPr>
          <w:sz w:val="22"/>
          <w:szCs w:val="22"/>
          <w:lang w:val="lt-LT"/>
        </w:rPr>
        <w:t> </w:t>
      </w:r>
      <w:r w:rsidRPr="00051FD3">
        <w:rPr>
          <w:sz w:val="22"/>
          <w:szCs w:val="22"/>
          <w:lang w:val="lt-LT"/>
        </w:rPr>
        <w:t xml:space="preserve">000 </w:t>
      </w:r>
      <w:r w:rsidR="00072E4E" w:rsidRPr="00051FD3">
        <w:rPr>
          <w:sz w:val="22"/>
          <w:szCs w:val="22"/>
          <w:lang w:val="lt-LT"/>
        </w:rPr>
        <w:t>asmenų</w:t>
      </w:r>
      <w:r w:rsidRPr="00051FD3">
        <w:rPr>
          <w:sz w:val="22"/>
          <w:szCs w:val="22"/>
          <w:lang w:val="lt-LT"/>
        </w:rPr>
        <w:t xml:space="preserve">): </w:t>
      </w:r>
      <w:r w:rsidRPr="00051FD3">
        <w:rPr>
          <w:rFonts w:eastAsia="Calibri"/>
          <w:sz w:val="22"/>
          <w:szCs w:val="22"/>
          <w:lang w:val="lt-LT"/>
        </w:rPr>
        <w:t xml:space="preserve">ūminis respiracinio </w:t>
      </w:r>
      <w:proofErr w:type="spellStart"/>
      <w:r w:rsidRPr="00051FD3">
        <w:rPr>
          <w:rFonts w:eastAsia="Calibri"/>
          <w:sz w:val="22"/>
          <w:szCs w:val="22"/>
          <w:lang w:val="lt-LT"/>
        </w:rPr>
        <w:t>distreso</w:t>
      </w:r>
      <w:proofErr w:type="spellEnd"/>
      <w:r w:rsidRPr="00051FD3">
        <w:rPr>
          <w:rFonts w:eastAsia="Calibri"/>
          <w:sz w:val="22"/>
          <w:szCs w:val="22"/>
          <w:lang w:val="lt-LT"/>
        </w:rPr>
        <w:t xml:space="preserve"> sindromas</w:t>
      </w:r>
      <w:r w:rsidRPr="00051FD3">
        <w:rPr>
          <w:sz w:val="22"/>
          <w:szCs w:val="22"/>
          <w:lang w:val="lt-LT"/>
        </w:rPr>
        <w:t xml:space="preserve"> (požymiai yra stiprus dusulys, karščiavimas, silpnumas ir sumišimas).</w:t>
      </w:r>
    </w:p>
    <w:p w14:paraId="0F224C03" w14:textId="77777777" w:rsidR="007F39B7" w:rsidRPr="00051FD3" w:rsidRDefault="007F39B7" w:rsidP="007F39B7">
      <w:pPr>
        <w:pStyle w:val="Default"/>
        <w:rPr>
          <w:b/>
          <w:bCs/>
          <w:sz w:val="22"/>
          <w:szCs w:val="22"/>
          <w:lang w:val="lt-LT"/>
        </w:rPr>
      </w:pPr>
    </w:p>
    <w:p w14:paraId="31CAD406" w14:textId="77777777" w:rsidR="007F39B7" w:rsidRPr="00051FD3" w:rsidRDefault="007F39B7" w:rsidP="007F39B7">
      <w:pPr>
        <w:pStyle w:val="Default"/>
        <w:rPr>
          <w:sz w:val="22"/>
          <w:szCs w:val="22"/>
          <w:lang w:val="lt-LT"/>
        </w:rPr>
      </w:pPr>
      <w:r w:rsidRPr="00051FD3">
        <w:rPr>
          <w:b/>
          <w:bCs/>
          <w:sz w:val="22"/>
          <w:szCs w:val="22"/>
          <w:lang w:val="lt-LT"/>
        </w:rPr>
        <w:t xml:space="preserve">Galimas šalutinis </w:t>
      </w:r>
      <w:proofErr w:type="spellStart"/>
      <w:r w:rsidRPr="00051FD3">
        <w:rPr>
          <w:b/>
          <w:bCs/>
          <w:sz w:val="22"/>
          <w:szCs w:val="22"/>
          <w:lang w:val="lt-LT"/>
        </w:rPr>
        <w:t>Telmisartan</w:t>
      </w:r>
      <w:proofErr w:type="spellEnd"/>
      <w:r w:rsidRPr="00051FD3">
        <w:rPr>
          <w:b/>
          <w:bCs/>
          <w:sz w:val="22"/>
          <w:szCs w:val="22"/>
          <w:lang w:val="lt-LT"/>
        </w:rPr>
        <w:t>/</w:t>
      </w:r>
      <w:proofErr w:type="spellStart"/>
      <w:r w:rsidRPr="00051FD3">
        <w:rPr>
          <w:b/>
          <w:bCs/>
          <w:sz w:val="22"/>
          <w:szCs w:val="22"/>
          <w:lang w:val="lt-LT"/>
        </w:rPr>
        <w:t>Hydrochlorothiazide</w:t>
      </w:r>
      <w:proofErr w:type="spellEnd"/>
      <w:r w:rsidRPr="00051FD3">
        <w:rPr>
          <w:b/>
          <w:bCs/>
          <w:sz w:val="22"/>
          <w:szCs w:val="22"/>
          <w:lang w:val="lt-LT"/>
        </w:rPr>
        <w:t xml:space="preserve"> </w:t>
      </w:r>
      <w:proofErr w:type="spellStart"/>
      <w:r w:rsidRPr="00051FD3">
        <w:rPr>
          <w:b/>
          <w:bCs/>
          <w:sz w:val="22"/>
          <w:szCs w:val="22"/>
          <w:lang w:val="lt-LT"/>
        </w:rPr>
        <w:t>Teva</w:t>
      </w:r>
      <w:proofErr w:type="spellEnd"/>
      <w:r w:rsidRPr="00051FD3">
        <w:rPr>
          <w:b/>
          <w:bCs/>
          <w:sz w:val="22"/>
          <w:szCs w:val="22"/>
          <w:lang w:val="lt-LT"/>
        </w:rPr>
        <w:t xml:space="preserve"> Pharma poveikis </w:t>
      </w:r>
    </w:p>
    <w:p w14:paraId="4D34C837" w14:textId="77777777" w:rsidR="007F39B7" w:rsidRPr="00051FD3" w:rsidRDefault="007F39B7" w:rsidP="007F39B7">
      <w:pPr>
        <w:pStyle w:val="Default"/>
        <w:rPr>
          <w:sz w:val="22"/>
          <w:szCs w:val="22"/>
          <w:u w:val="single"/>
          <w:lang w:val="lt-LT"/>
        </w:rPr>
      </w:pPr>
    </w:p>
    <w:p w14:paraId="7CF1BE3E" w14:textId="22708D59" w:rsidR="007F39B7" w:rsidRPr="00051FD3" w:rsidRDefault="007F39B7" w:rsidP="007F39B7">
      <w:pPr>
        <w:pStyle w:val="Default"/>
        <w:rPr>
          <w:sz w:val="22"/>
          <w:szCs w:val="22"/>
          <w:lang w:val="lt-LT"/>
        </w:rPr>
      </w:pPr>
      <w:r w:rsidRPr="00051FD3">
        <w:rPr>
          <w:sz w:val="22"/>
          <w:szCs w:val="22"/>
          <w:u w:val="single"/>
          <w:lang w:val="lt-LT"/>
        </w:rPr>
        <w:t>Dažn</w:t>
      </w:r>
      <w:r w:rsidR="004A5304" w:rsidRPr="00051FD3">
        <w:rPr>
          <w:sz w:val="22"/>
          <w:szCs w:val="22"/>
          <w:u w:val="single"/>
          <w:lang w:val="lt-LT"/>
        </w:rPr>
        <w:t>i</w:t>
      </w:r>
      <w:r w:rsidRPr="00051FD3">
        <w:rPr>
          <w:sz w:val="22"/>
          <w:szCs w:val="22"/>
          <w:u w:val="single"/>
          <w:lang w:val="lt-LT"/>
        </w:rPr>
        <w:t xml:space="preserve"> šalutini</w:t>
      </w:r>
      <w:r w:rsidR="004A5304" w:rsidRPr="00051FD3">
        <w:rPr>
          <w:sz w:val="22"/>
          <w:szCs w:val="22"/>
          <w:u w:val="single"/>
          <w:lang w:val="lt-LT"/>
        </w:rPr>
        <w:t>o</w:t>
      </w:r>
      <w:r w:rsidRPr="00051FD3">
        <w:rPr>
          <w:sz w:val="22"/>
          <w:szCs w:val="22"/>
          <w:u w:val="single"/>
          <w:lang w:val="lt-LT"/>
        </w:rPr>
        <w:t xml:space="preserve"> poveiki</w:t>
      </w:r>
      <w:r w:rsidR="004A5304" w:rsidRPr="00051FD3">
        <w:rPr>
          <w:sz w:val="22"/>
          <w:szCs w:val="22"/>
          <w:u w:val="single"/>
          <w:lang w:val="lt-LT"/>
        </w:rPr>
        <w:t>o reiškiniai</w:t>
      </w:r>
      <w:r w:rsidRPr="00051FD3">
        <w:rPr>
          <w:sz w:val="22"/>
          <w:szCs w:val="22"/>
          <w:lang w:val="lt-LT"/>
        </w:rPr>
        <w:t xml:space="preserve"> (gali pasireikšti </w:t>
      </w:r>
      <w:r w:rsidR="00BE2DA3" w:rsidRPr="00051FD3">
        <w:rPr>
          <w:sz w:val="22"/>
          <w:szCs w:val="22"/>
          <w:lang w:val="lt-LT"/>
        </w:rPr>
        <w:t>rečiau</w:t>
      </w:r>
      <w:r w:rsidRPr="00051FD3">
        <w:rPr>
          <w:sz w:val="22"/>
          <w:szCs w:val="22"/>
          <w:lang w:val="lt-LT"/>
        </w:rPr>
        <w:t xml:space="preserve"> kaip 1 iš 10 </w:t>
      </w:r>
      <w:r w:rsidR="004A5304" w:rsidRPr="00051FD3">
        <w:rPr>
          <w:sz w:val="22"/>
          <w:szCs w:val="22"/>
          <w:lang w:val="lt-LT"/>
        </w:rPr>
        <w:t>asmenų</w:t>
      </w:r>
      <w:r w:rsidRPr="00051FD3">
        <w:rPr>
          <w:sz w:val="22"/>
          <w:szCs w:val="22"/>
          <w:lang w:val="lt-LT"/>
        </w:rPr>
        <w:t xml:space="preserve">) </w:t>
      </w:r>
    </w:p>
    <w:p w14:paraId="611C4FAD" w14:textId="77777777" w:rsidR="007F39B7" w:rsidRPr="00051FD3" w:rsidRDefault="007F39B7" w:rsidP="007F39B7">
      <w:pPr>
        <w:pStyle w:val="Default"/>
        <w:rPr>
          <w:sz w:val="22"/>
          <w:szCs w:val="22"/>
          <w:lang w:val="lt-LT"/>
        </w:rPr>
      </w:pPr>
      <w:r w:rsidRPr="00051FD3">
        <w:rPr>
          <w:sz w:val="22"/>
          <w:szCs w:val="22"/>
          <w:lang w:val="lt-LT"/>
        </w:rPr>
        <w:t xml:space="preserve">Svaigulys. </w:t>
      </w:r>
    </w:p>
    <w:p w14:paraId="16298321" w14:textId="77777777" w:rsidR="007F39B7" w:rsidRPr="00051FD3" w:rsidRDefault="007F39B7" w:rsidP="007F39B7">
      <w:pPr>
        <w:pStyle w:val="Default"/>
        <w:rPr>
          <w:color w:val="FF0000"/>
          <w:sz w:val="22"/>
          <w:szCs w:val="22"/>
          <w:u w:val="single"/>
          <w:lang w:val="lt-LT"/>
        </w:rPr>
      </w:pPr>
    </w:p>
    <w:p w14:paraId="51985650" w14:textId="5FB5EE45" w:rsidR="007F39B7" w:rsidRPr="00051FD3" w:rsidRDefault="007F39B7" w:rsidP="007F39B7">
      <w:pPr>
        <w:pStyle w:val="Default"/>
        <w:rPr>
          <w:sz w:val="22"/>
          <w:szCs w:val="22"/>
          <w:lang w:val="lt-LT"/>
        </w:rPr>
      </w:pPr>
      <w:r w:rsidRPr="00051FD3">
        <w:rPr>
          <w:sz w:val="22"/>
          <w:szCs w:val="22"/>
          <w:u w:val="single"/>
          <w:lang w:val="lt-LT"/>
        </w:rPr>
        <w:t>Nedažn</w:t>
      </w:r>
      <w:r w:rsidR="004A5304" w:rsidRPr="00051FD3">
        <w:rPr>
          <w:sz w:val="22"/>
          <w:szCs w:val="22"/>
          <w:u w:val="single"/>
          <w:lang w:val="lt-LT"/>
        </w:rPr>
        <w:t>i</w:t>
      </w:r>
      <w:r w:rsidRPr="00051FD3">
        <w:rPr>
          <w:sz w:val="22"/>
          <w:szCs w:val="22"/>
          <w:u w:val="single"/>
          <w:lang w:val="lt-LT"/>
        </w:rPr>
        <w:t xml:space="preserve"> šalutini</w:t>
      </w:r>
      <w:r w:rsidR="004A5304" w:rsidRPr="00051FD3">
        <w:rPr>
          <w:sz w:val="22"/>
          <w:szCs w:val="22"/>
          <w:u w:val="single"/>
          <w:lang w:val="lt-LT"/>
        </w:rPr>
        <w:t>o</w:t>
      </w:r>
      <w:r w:rsidRPr="00051FD3">
        <w:rPr>
          <w:sz w:val="22"/>
          <w:szCs w:val="22"/>
          <w:u w:val="single"/>
          <w:lang w:val="lt-LT"/>
        </w:rPr>
        <w:t xml:space="preserve"> poveiki</w:t>
      </w:r>
      <w:r w:rsidR="004A5304" w:rsidRPr="00051FD3">
        <w:rPr>
          <w:sz w:val="22"/>
          <w:szCs w:val="22"/>
          <w:u w:val="single"/>
          <w:lang w:val="lt-LT"/>
        </w:rPr>
        <w:t>o reiškiniai</w:t>
      </w:r>
      <w:r w:rsidRPr="00051FD3">
        <w:rPr>
          <w:sz w:val="22"/>
          <w:szCs w:val="22"/>
          <w:lang w:val="lt-LT"/>
        </w:rPr>
        <w:t xml:space="preserve"> (gali pasireikšti </w:t>
      </w:r>
      <w:r w:rsidR="00BE2DA3" w:rsidRPr="00051FD3">
        <w:rPr>
          <w:sz w:val="22"/>
          <w:szCs w:val="22"/>
          <w:lang w:val="lt-LT"/>
        </w:rPr>
        <w:t>rečiau</w:t>
      </w:r>
      <w:r w:rsidRPr="00051FD3">
        <w:rPr>
          <w:sz w:val="22"/>
          <w:szCs w:val="22"/>
          <w:lang w:val="lt-LT"/>
        </w:rPr>
        <w:t xml:space="preserve"> kaip 1 iš 100 </w:t>
      </w:r>
      <w:r w:rsidR="004A5304" w:rsidRPr="00051FD3">
        <w:rPr>
          <w:sz w:val="22"/>
          <w:szCs w:val="22"/>
          <w:lang w:val="lt-LT"/>
        </w:rPr>
        <w:t>asmenų</w:t>
      </w:r>
      <w:r w:rsidRPr="00051FD3">
        <w:rPr>
          <w:sz w:val="22"/>
          <w:szCs w:val="22"/>
          <w:lang w:val="lt-LT"/>
        </w:rPr>
        <w:t xml:space="preserve">) </w:t>
      </w:r>
    </w:p>
    <w:p w14:paraId="5C342649" w14:textId="77777777" w:rsidR="007F39B7" w:rsidRPr="00051FD3" w:rsidRDefault="007F39B7" w:rsidP="007F39B7">
      <w:pPr>
        <w:pStyle w:val="Default"/>
        <w:rPr>
          <w:sz w:val="22"/>
          <w:szCs w:val="22"/>
          <w:lang w:val="lt-LT"/>
        </w:rPr>
      </w:pPr>
      <w:r w:rsidRPr="00051FD3">
        <w:rPr>
          <w:sz w:val="22"/>
          <w:szCs w:val="22"/>
          <w:lang w:val="lt-LT"/>
        </w:rPr>
        <w:lastRenderedPageBreak/>
        <w:t>Sumažėjęs kalio kiekis kraujyje, nerimas, alpulys (sinkopė), dilgčiojimo pojūtis, tirpulio pojūtis (</w:t>
      </w:r>
      <w:proofErr w:type="spellStart"/>
      <w:r w:rsidRPr="00051FD3">
        <w:rPr>
          <w:sz w:val="22"/>
          <w:szCs w:val="22"/>
          <w:lang w:val="lt-LT"/>
        </w:rPr>
        <w:t>parestezija</w:t>
      </w:r>
      <w:proofErr w:type="spellEnd"/>
      <w:r w:rsidRPr="00051FD3">
        <w:rPr>
          <w:sz w:val="22"/>
          <w:szCs w:val="22"/>
          <w:lang w:val="lt-LT"/>
        </w:rPr>
        <w:t xml:space="preserve">), galvos sukimasis </w:t>
      </w:r>
      <w:r w:rsidRPr="00051FD3">
        <w:rPr>
          <w:i/>
          <w:sz w:val="22"/>
          <w:szCs w:val="22"/>
          <w:lang w:val="lt-LT"/>
        </w:rPr>
        <w:t>(</w:t>
      </w:r>
      <w:proofErr w:type="spellStart"/>
      <w:r w:rsidRPr="00051FD3">
        <w:rPr>
          <w:i/>
          <w:sz w:val="22"/>
          <w:szCs w:val="22"/>
          <w:lang w:val="lt-LT"/>
        </w:rPr>
        <w:t>vertigo</w:t>
      </w:r>
      <w:proofErr w:type="spellEnd"/>
      <w:r w:rsidRPr="00051FD3">
        <w:rPr>
          <w:i/>
          <w:sz w:val="22"/>
          <w:szCs w:val="22"/>
          <w:lang w:val="lt-LT"/>
        </w:rPr>
        <w:t xml:space="preserve">), </w:t>
      </w:r>
      <w:r w:rsidRPr="00051FD3">
        <w:rPr>
          <w:sz w:val="22"/>
          <w:szCs w:val="22"/>
          <w:lang w:val="lt-LT"/>
        </w:rPr>
        <w:t>dažnas širdies plakimas (tachikardija), širdies ritmo sutrikimas, mažas kraujospūdis, staigus kraujospūdžio kritimas atsistojus, dusulys (</w:t>
      </w:r>
      <w:proofErr w:type="spellStart"/>
      <w:r w:rsidRPr="00051FD3">
        <w:rPr>
          <w:sz w:val="22"/>
          <w:szCs w:val="22"/>
          <w:lang w:val="lt-LT"/>
        </w:rPr>
        <w:t>dispnėja</w:t>
      </w:r>
      <w:proofErr w:type="spellEnd"/>
      <w:r w:rsidRPr="00051FD3">
        <w:rPr>
          <w:sz w:val="22"/>
          <w:szCs w:val="22"/>
          <w:lang w:val="lt-LT"/>
        </w:rPr>
        <w:t xml:space="preserve">), viduriavimas, burnos džiūvimas, vidurių pūtimas, nugaros skausmas, raumenų spazmai, raumenų skausmas, erekcijos sutrikimas (negalėjimas erekciją sukelti ar palaikyti), krūtinės skausmas, šlapimo rūgšties kiekio padidėjimas kraujyje. </w:t>
      </w:r>
    </w:p>
    <w:p w14:paraId="57AD9596" w14:textId="77777777" w:rsidR="007F39B7" w:rsidRPr="00051FD3" w:rsidRDefault="007F39B7" w:rsidP="007F39B7">
      <w:pPr>
        <w:pStyle w:val="Default"/>
        <w:rPr>
          <w:sz w:val="22"/>
          <w:szCs w:val="22"/>
          <w:lang w:val="lt-LT"/>
        </w:rPr>
      </w:pPr>
    </w:p>
    <w:p w14:paraId="395077E1" w14:textId="7AA98164" w:rsidR="007F39B7" w:rsidRPr="00051FD3" w:rsidRDefault="007F39B7" w:rsidP="007F39B7">
      <w:pPr>
        <w:pStyle w:val="Default"/>
        <w:rPr>
          <w:sz w:val="22"/>
          <w:szCs w:val="22"/>
          <w:lang w:val="lt-LT"/>
        </w:rPr>
      </w:pPr>
      <w:r w:rsidRPr="00051FD3">
        <w:rPr>
          <w:sz w:val="22"/>
          <w:szCs w:val="22"/>
          <w:u w:val="single"/>
          <w:lang w:val="lt-LT"/>
        </w:rPr>
        <w:t>Ret</w:t>
      </w:r>
      <w:r w:rsidR="004A5304" w:rsidRPr="00051FD3">
        <w:rPr>
          <w:sz w:val="22"/>
          <w:szCs w:val="22"/>
          <w:u w:val="single"/>
          <w:lang w:val="lt-LT"/>
        </w:rPr>
        <w:t>i</w:t>
      </w:r>
      <w:r w:rsidRPr="00051FD3">
        <w:rPr>
          <w:sz w:val="22"/>
          <w:szCs w:val="22"/>
          <w:u w:val="single"/>
          <w:lang w:val="lt-LT"/>
        </w:rPr>
        <w:t xml:space="preserve"> šalutini</w:t>
      </w:r>
      <w:r w:rsidR="004A5304" w:rsidRPr="00051FD3">
        <w:rPr>
          <w:sz w:val="22"/>
          <w:szCs w:val="22"/>
          <w:u w:val="single"/>
          <w:lang w:val="lt-LT"/>
        </w:rPr>
        <w:t>o</w:t>
      </w:r>
      <w:r w:rsidRPr="00051FD3">
        <w:rPr>
          <w:sz w:val="22"/>
          <w:szCs w:val="22"/>
          <w:u w:val="single"/>
          <w:lang w:val="lt-LT"/>
        </w:rPr>
        <w:t xml:space="preserve"> poveiki</w:t>
      </w:r>
      <w:r w:rsidR="004A5304" w:rsidRPr="00051FD3">
        <w:rPr>
          <w:sz w:val="22"/>
          <w:szCs w:val="22"/>
          <w:u w:val="single"/>
          <w:lang w:val="lt-LT"/>
        </w:rPr>
        <w:t>o reiškiniai</w:t>
      </w:r>
      <w:r w:rsidRPr="00051FD3">
        <w:rPr>
          <w:sz w:val="22"/>
          <w:szCs w:val="22"/>
          <w:lang w:val="lt-LT"/>
        </w:rPr>
        <w:t xml:space="preserve"> (gali pasireikšti </w:t>
      </w:r>
      <w:r w:rsidR="00BE2DA3" w:rsidRPr="00051FD3">
        <w:rPr>
          <w:sz w:val="22"/>
          <w:szCs w:val="22"/>
          <w:lang w:val="lt-LT"/>
        </w:rPr>
        <w:t>rečiau</w:t>
      </w:r>
      <w:r w:rsidRPr="00051FD3">
        <w:rPr>
          <w:sz w:val="22"/>
          <w:szCs w:val="22"/>
          <w:lang w:val="lt-LT"/>
        </w:rPr>
        <w:t xml:space="preserve"> kaip 1 iš 1</w:t>
      </w:r>
      <w:r w:rsidR="00FF05B0">
        <w:rPr>
          <w:sz w:val="22"/>
          <w:szCs w:val="22"/>
          <w:lang w:val="lt-LT"/>
        </w:rPr>
        <w:t> </w:t>
      </w:r>
      <w:r w:rsidRPr="00051FD3">
        <w:rPr>
          <w:sz w:val="22"/>
          <w:szCs w:val="22"/>
          <w:lang w:val="lt-LT"/>
        </w:rPr>
        <w:t xml:space="preserve">000 </w:t>
      </w:r>
      <w:r w:rsidR="004A5304" w:rsidRPr="00051FD3">
        <w:rPr>
          <w:sz w:val="22"/>
          <w:szCs w:val="22"/>
          <w:lang w:val="lt-LT"/>
        </w:rPr>
        <w:t>asmenų</w:t>
      </w:r>
      <w:r w:rsidRPr="00051FD3">
        <w:rPr>
          <w:sz w:val="22"/>
          <w:szCs w:val="22"/>
          <w:lang w:val="lt-LT"/>
        </w:rPr>
        <w:t xml:space="preserve">) </w:t>
      </w:r>
    </w:p>
    <w:p w14:paraId="5C43782B" w14:textId="4D85AE0C" w:rsidR="004A5304" w:rsidRPr="00051FD3" w:rsidRDefault="004A5304" w:rsidP="007A58B3">
      <w:pPr>
        <w:pStyle w:val="Default"/>
        <w:rPr>
          <w:rFonts w:eastAsia="Calibri"/>
          <w:sz w:val="22"/>
          <w:szCs w:val="22"/>
          <w:lang w:val="lt-LT" w:eastAsia="lt-LT"/>
        </w:rPr>
      </w:pPr>
      <w:r w:rsidRPr="00FA4E83">
        <w:rPr>
          <w:sz w:val="22"/>
          <w:szCs w:val="22"/>
          <w:lang w:val="lt-LT"/>
        </w:rPr>
        <w:t xml:space="preserve">Plaučių </w:t>
      </w:r>
      <w:r w:rsidR="007F39B7" w:rsidRPr="00FA4E83">
        <w:rPr>
          <w:sz w:val="22"/>
          <w:szCs w:val="22"/>
          <w:lang w:val="lt-LT"/>
        </w:rPr>
        <w:t>uždegimas (bronchitas),</w:t>
      </w:r>
      <w:r w:rsidR="007F39B7" w:rsidRPr="00051FD3">
        <w:rPr>
          <w:sz w:val="22"/>
          <w:szCs w:val="22"/>
          <w:lang w:val="lt-LT"/>
        </w:rPr>
        <w:t xml:space="preserve"> </w:t>
      </w:r>
      <w:r w:rsidRPr="00051FD3">
        <w:rPr>
          <w:rFonts w:eastAsia="Calibri"/>
          <w:sz w:val="22"/>
          <w:szCs w:val="22"/>
          <w:lang w:val="lt-LT" w:eastAsia="lt-LT"/>
        </w:rPr>
        <w:t>gerklės skausmas, prienosinių ančių uždegimas (sinusitas), padidėjęs šlapimo rūgšties kiekis, mažas natrio kiekis, prislėgta nuotaika (depresija), negalėjimas už</w:t>
      </w:r>
      <w:r w:rsidR="00CD676E" w:rsidRPr="00051FD3">
        <w:rPr>
          <w:rFonts w:eastAsia="Calibri"/>
          <w:sz w:val="22"/>
          <w:szCs w:val="22"/>
          <w:lang w:val="lt-LT" w:eastAsia="lt-LT"/>
        </w:rPr>
        <w:t>migti (nemiga), miego</w:t>
      </w:r>
      <w:r w:rsidR="00FC507B">
        <w:rPr>
          <w:rFonts w:eastAsia="Calibri"/>
          <w:sz w:val="22"/>
          <w:szCs w:val="22"/>
          <w:lang w:val="lt-LT" w:eastAsia="lt-LT"/>
        </w:rPr>
        <w:t xml:space="preserve"> sutrikimas</w:t>
      </w:r>
      <w:r w:rsidRPr="00051FD3">
        <w:rPr>
          <w:rFonts w:eastAsia="Calibri"/>
          <w:sz w:val="22"/>
          <w:szCs w:val="22"/>
          <w:lang w:val="lt-LT" w:eastAsia="lt-LT"/>
        </w:rPr>
        <w:t>, regos sutrikimas, matymas kaip per rūką, kvėpavimo pasunkėjimas, pilvo skausmas, vidurių užkietė</w:t>
      </w:r>
      <w:r w:rsidR="00CD676E" w:rsidRPr="00051FD3">
        <w:rPr>
          <w:rFonts w:eastAsia="Calibri"/>
          <w:sz w:val="22"/>
          <w:szCs w:val="22"/>
          <w:lang w:val="lt-LT" w:eastAsia="lt-LT"/>
        </w:rPr>
        <w:t xml:space="preserve">jimas, pilvo </w:t>
      </w:r>
      <w:r w:rsidRPr="00051FD3">
        <w:rPr>
          <w:rFonts w:eastAsia="Calibri"/>
          <w:sz w:val="22"/>
          <w:szCs w:val="22"/>
          <w:lang w:val="lt-LT" w:eastAsia="lt-LT"/>
        </w:rPr>
        <w:t>pūtimas (virškinimo sutrikimas), pykinimas (vėmimas), skrandžio uždegimas (gastritas), nenormali kepenų veikla (šis šalutinis poveikis labiau tikėtinas pacientams japonams), odos paraudimas (</w:t>
      </w:r>
      <w:proofErr w:type="spellStart"/>
      <w:r w:rsidRPr="00051FD3">
        <w:rPr>
          <w:rFonts w:eastAsia="Calibri"/>
          <w:sz w:val="22"/>
          <w:szCs w:val="22"/>
          <w:lang w:val="lt-LT" w:eastAsia="lt-LT"/>
        </w:rPr>
        <w:t>eritema</w:t>
      </w:r>
      <w:proofErr w:type="spellEnd"/>
      <w:r w:rsidRPr="00051FD3">
        <w:rPr>
          <w:rFonts w:eastAsia="Calibri"/>
          <w:sz w:val="22"/>
          <w:szCs w:val="22"/>
          <w:lang w:val="lt-LT" w:eastAsia="lt-LT"/>
        </w:rPr>
        <w:t>), alerginė reakcija, pvz., niežė</w:t>
      </w:r>
      <w:r w:rsidR="007A58B3" w:rsidRPr="00051FD3">
        <w:rPr>
          <w:rFonts w:eastAsia="Calibri"/>
          <w:sz w:val="22"/>
          <w:szCs w:val="22"/>
          <w:lang w:val="lt-LT" w:eastAsia="lt-LT"/>
        </w:rPr>
        <w:t>jimas</w:t>
      </w:r>
      <w:r w:rsidRPr="00051FD3">
        <w:rPr>
          <w:rFonts w:ascii="Arial" w:eastAsia="Calibri" w:hAnsi="Arial" w:cs="Arial"/>
          <w:sz w:val="22"/>
          <w:szCs w:val="22"/>
          <w:lang w:val="lt-LT" w:eastAsia="lt-LT"/>
        </w:rPr>
        <w:t xml:space="preserve"> </w:t>
      </w:r>
      <w:r w:rsidRPr="00051FD3">
        <w:rPr>
          <w:rFonts w:eastAsia="Calibri"/>
          <w:sz w:val="22"/>
          <w:szCs w:val="22"/>
          <w:lang w:val="lt-LT" w:eastAsia="lt-LT"/>
        </w:rPr>
        <w:t>ar išbėrimas, prakaitavimo padidėjimas, dilgėlinė (</w:t>
      </w:r>
      <w:proofErr w:type="spellStart"/>
      <w:r w:rsidRPr="00051FD3">
        <w:rPr>
          <w:rFonts w:eastAsia="Calibri"/>
          <w:sz w:val="22"/>
          <w:szCs w:val="22"/>
          <w:lang w:val="lt-LT" w:eastAsia="lt-LT"/>
        </w:rPr>
        <w:t>urtikarija</w:t>
      </w:r>
      <w:proofErr w:type="spellEnd"/>
      <w:r w:rsidRPr="00051FD3">
        <w:rPr>
          <w:rFonts w:eastAsia="Calibri"/>
          <w:sz w:val="22"/>
          <w:szCs w:val="22"/>
          <w:lang w:val="lt-LT" w:eastAsia="lt-LT"/>
        </w:rPr>
        <w:t>), sąnarių skausmas (</w:t>
      </w:r>
      <w:proofErr w:type="spellStart"/>
      <w:r w:rsidRPr="00051FD3">
        <w:rPr>
          <w:rFonts w:eastAsia="Calibri"/>
          <w:sz w:val="22"/>
          <w:szCs w:val="22"/>
          <w:lang w:val="lt-LT" w:eastAsia="lt-LT"/>
        </w:rPr>
        <w:t>artralgija</w:t>
      </w:r>
      <w:proofErr w:type="spellEnd"/>
      <w:r w:rsidRPr="00051FD3">
        <w:rPr>
          <w:rFonts w:eastAsia="Calibri"/>
          <w:sz w:val="22"/>
          <w:szCs w:val="22"/>
          <w:lang w:val="lt-LT" w:eastAsia="lt-LT"/>
        </w:rPr>
        <w:t>) ir galūnių skausmas (kojų skausmas), raumenų mėšlungis, sisteminės raudonosios vilkligės (liga, kuria sergant organizmą puola sava imuninė sistema ir dėl to sukeliamas sąnarių skausmas, odos išbėrimas ir karščiavimas) suaktyvėjimas arba pasunkė</w:t>
      </w:r>
      <w:r w:rsidRPr="000E639C">
        <w:rPr>
          <w:rFonts w:eastAsia="Calibri"/>
          <w:sz w:val="22"/>
          <w:szCs w:val="22"/>
          <w:lang w:val="lt-LT" w:eastAsia="lt-LT"/>
        </w:rPr>
        <w:t>jimas, į gripą panaši liga, skausmas, kreatinino kiekio, k</w:t>
      </w:r>
      <w:r w:rsidRPr="00051FD3">
        <w:rPr>
          <w:rFonts w:eastAsia="Calibri"/>
          <w:sz w:val="22"/>
          <w:szCs w:val="22"/>
          <w:lang w:val="lt-LT" w:eastAsia="lt-LT"/>
        </w:rPr>
        <w:t xml:space="preserve">epenų fermentų ar </w:t>
      </w:r>
      <w:proofErr w:type="spellStart"/>
      <w:r w:rsidRPr="00051FD3">
        <w:rPr>
          <w:rFonts w:eastAsia="Calibri"/>
          <w:sz w:val="22"/>
          <w:szCs w:val="22"/>
          <w:lang w:val="lt-LT" w:eastAsia="lt-LT"/>
        </w:rPr>
        <w:t>kreatinfosfokinazės</w:t>
      </w:r>
      <w:proofErr w:type="spellEnd"/>
      <w:r w:rsidRPr="00051FD3">
        <w:rPr>
          <w:rFonts w:eastAsia="Calibri"/>
          <w:sz w:val="22"/>
          <w:szCs w:val="22"/>
          <w:lang w:val="lt-LT" w:eastAsia="lt-LT"/>
        </w:rPr>
        <w:t xml:space="preserve"> aktyvumo padidėjimas kraujyje. </w:t>
      </w:r>
    </w:p>
    <w:p w14:paraId="15657DE6" w14:textId="77777777" w:rsidR="007F39B7" w:rsidRPr="00051FD3" w:rsidRDefault="007F39B7" w:rsidP="007F39B7">
      <w:pPr>
        <w:pStyle w:val="Default"/>
        <w:rPr>
          <w:sz w:val="22"/>
          <w:szCs w:val="22"/>
          <w:lang w:val="lt-LT"/>
        </w:rPr>
      </w:pPr>
    </w:p>
    <w:p w14:paraId="719B9527" w14:textId="77777777" w:rsidR="007F39B7" w:rsidRPr="00FA4E83" w:rsidRDefault="007F39B7" w:rsidP="007F39B7">
      <w:pPr>
        <w:pStyle w:val="Default"/>
        <w:rPr>
          <w:sz w:val="22"/>
          <w:szCs w:val="22"/>
          <w:lang w:val="lt-LT"/>
        </w:rPr>
      </w:pPr>
      <w:r w:rsidRPr="00051FD3">
        <w:rPr>
          <w:sz w:val="22"/>
          <w:szCs w:val="22"/>
          <w:lang w:val="lt-LT"/>
        </w:rPr>
        <w:t xml:space="preserve">Šalutinės reakcijos, kurios buvo pastebėtos gydant viena ar kita sudedamąja veikliąja medžiaga, galimos ir gydymo </w:t>
      </w:r>
      <w:proofErr w:type="spellStart"/>
      <w:r w:rsidRPr="00051FD3">
        <w:rPr>
          <w:sz w:val="22"/>
          <w:szCs w:val="22"/>
          <w:lang w:val="lt-LT"/>
        </w:rPr>
        <w:t>Telmisartan</w:t>
      </w:r>
      <w:proofErr w:type="spellEnd"/>
      <w:r w:rsidRPr="00051FD3">
        <w:rPr>
          <w:sz w:val="22"/>
          <w:szCs w:val="22"/>
          <w:lang w:val="lt-LT"/>
        </w:rPr>
        <w:t>/</w:t>
      </w:r>
      <w:proofErr w:type="spellStart"/>
      <w:r w:rsidRPr="00051FD3">
        <w:rPr>
          <w:sz w:val="22"/>
          <w:szCs w:val="22"/>
          <w:lang w:val="lt-LT"/>
        </w:rPr>
        <w:t>Hydrochlorothiazide</w:t>
      </w:r>
      <w:proofErr w:type="spellEnd"/>
      <w:r w:rsidRPr="00051FD3">
        <w:rPr>
          <w:sz w:val="22"/>
          <w:szCs w:val="22"/>
          <w:lang w:val="lt-LT"/>
        </w:rPr>
        <w:t xml:space="preserve"> </w:t>
      </w:r>
      <w:proofErr w:type="spellStart"/>
      <w:r w:rsidRPr="00051FD3">
        <w:rPr>
          <w:sz w:val="22"/>
          <w:szCs w:val="22"/>
          <w:lang w:val="lt-LT"/>
        </w:rPr>
        <w:t>Teva</w:t>
      </w:r>
      <w:proofErr w:type="spellEnd"/>
      <w:r w:rsidRPr="00051FD3">
        <w:rPr>
          <w:sz w:val="22"/>
          <w:szCs w:val="22"/>
          <w:lang w:val="lt-LT"/>
        </w:rPr>
        <w:t xml:space="preserve"> Pharma metu, nors klinikinių šio vaisto tyrimų metu jos ir nepasireiškė. </w:t>
      </w:r>
    </w:p>
    <w:p w14:paraId="78B5E6A3" w14:textId="77777777" w:rsidR="007F39B7" w:rsidRPr="000E639C" w:rsidRDefault="007F39B7" w:rsidP="007F39B7">
      <w:pPr>
        <w:pStyle w:val="Default"/>
        <w:rPr>
          <w:b/>
          <w:bCs/>
          <w:sz w:val="22"/>
          <w:szCs w:val="22"/>
          <w:lang w:val="lt-LT"/>
        </w:rPr>
      </w:pPr>
    </w:p>
    <w:p w14:paraId="755DE396" w14:textId="77777777" w:rsidR="007F39B7" w:rsidRPr="00051FD3" w:rsidRDefault="007F39B7" w:rsidP="007F39B7">
      <w:pPr>
        <w:pStyle w:val="Default"/>
        <w:rPr>
          <w:sz w:val="22"/>
          <w:szCs w:val="22"/>
          <w:lang w:val="lt-LT"/>
        </w:rPr>
      </w:pPr>
      <w:proofErr w:type="spellStart"/>
      <w:r w:rsidRPr="00051FD3">
        <w:rPr>
          <w:b/>
          <w:bCs/>
          <w:sz w:val="22"/>
          <w:szCs w:val="22"/>
          <w:lang w:val="lt-LT"/>
        </w:rPr>
        <w:t>Telmisartanas</w:t>
      </w:r>
      <w:proofErr w:type="spellEnd"/>
      <w:r w:rsidRPr="00051FD3">
        <w:rPr>
          <w:b/>
          <w:bCs/>
          <w:sz w:val="22"/>
          <w:szCs w:val="22"/>
          <w:lang w:val="lt-LT"/>
        </w:rPr>
        <w:t xml:space="preserve"> </w:t>
      </w:r>
    </w:p>
    <w:p w14:paraId="2DF0F2BF" w14:textId="77777777" w:rsidR="007F39B7" w:rsidRPr="00051FD3" w:rsidRDefault="007F39B7" w:rsidP="007F39B7">
      <w:pPr>
        <w:pStyle w:val="Default"/>
        <w:rPr>
          <w:sz w:val="22"/>
          <w:szCs w:val="22"/>
          <w:lang w:val="lt-LT"/>
        </w:rPr>
      </w:pPr>
      <w:r w:rsidRPr="00051FD3">
        <w:rPr>
          <w:sz w:val="22"/>
          <w:szCs w:val="22"/>
          <w:lang w:val="lt-LT"/>
        </w:rPr>
        <w:t xml:space="preserve">Pacientams, vartojantiems vien </w:t>
      </w:r>
      <w:proofErr w:type="spellStart"/>
      <w:r w:rsidRPr="00051FD3">
        <w:rPr>
          <w:sz w:val="22"/>
          <w:szCs w:val="22"/>
          <w:lang w:val="lt-LT"/>
        </w:rPr>
        <w:t>telmisartaną</w:t>
      </w:r>
      <w:proofErr w:type="spellEnd"/>
      <w:r w:rsidRPr="00051FD3">
        <w:rPr>
          <w:sz w:val="22"/>
          <w:szCs w:val="22"/>
          <w:lang w:val="lt-LT"/>
        </w:rPr>
        <w:t xml:space="preserve">, buvo pranešta apie toliau nurodytą papildomą šalutinį poveikį. </w:t>
      </w:r>
    </w:p>
    <w:p w14:paraId="0F9D499B" w14:textId="77777777" w:rsidR="007F39B7" w:rsidRPr="00051FD3" w:rsidRDefault="007F39B7" w:rsidP="007F39B7">
      <w:pPr>
        <w:pStyle w:val="Default"/>
        <w:rPr>
          <w:sz w:val="22"/>
          <w:szCs w:val="22"/>
          <w:u w:val="single"/>
          <w:lang w:val="lt-LT"/>
        </w:rPr>
      </w:pPr>
    </w:p>
    <w:p w14:paraId="201D65F9" w14:textId="40A40628" w:rsidR="007F39B7" w:rsidRPr="00051FD3" w:rsidRDefault="007F39B7" w:rsidP="007F39B7">
      <w:pPr>
        <w:pStyle w:val="Default"/>
        <w:rPr>
          <w:sz w:val="22"/>
          <w:szCs w:val="22"/>
          <w:lang w:val="lt-LT"/>
        </w:rPr>
      </w:pPr>
      <w:r w:rsidRPr="00051FD3">
        <w:rPr>
          <w:sz w:val="22"/>
          <w:szCs w:val="22"/>
          <w:u w:val="single"/>
          <w:lang w:val="lt-LT"/>
        </w:rPr>
        <w:t>Nedažn</w:t>
      </w:r>
      <w:r w:rsidR="00CD676E" w:rsidRPr="00051FD3">
        <w:rPr>
          <w:sz w:val="22"/>
          <w:szCs w:val="22"/>
          <w:u w:val="single"/>
          <w:lang w:val="lt-LT"/>
        </w:rPr>
        <w:t>i</w:t>
      </w:r>
      <w:r w:rsidRPr="00051FD3">
        <w:rPr>
          <w:sz w:val="22"/>
          <w:szCs w:val="22"/>
          <w:u w:val="single"/>
          <w:lang w:val="lt-LT"/>
        </w:rPr>
        <w:t xml:space="preserve"> šalutini</w:t>
      </w:r>
      <w:r w:rsidR="00CD676E" w:rsidRPr="00051FD3">
        <w:rPr>
          <w:sz w:val="22"/>
          <w:szCs w:val="22"/>
          <w:u w:val="single"/>
          <w:lang w:val="lt-LT"/>
        </w:rPr>
        <w:t>o</w:t>
      </w:r>
      <w:r w:rsidRPr="00051FD3">
        <w:rPr>
          <w:sz w:val="22"/>
          <w:szCs w:val="22"/>
          <w:u w:val="single"/>
          <w:lang w:val="lt-LT"/>
        </w:rPr>
        <w:t xml:space="preserve"> poveiki</w:t>
      </w:r>
      <w:r w:rsidR="00CD676E" w:rsidRPr="00051FD3">
        <w:rPr>
          <w:sz w:val="22"/>
          <w:szCs w:val="22"/>
          <w:u w:val="single"/>
          <w:lang w:val="lt-LT"/>
        </w:rPr>
        <w:t>o</w:t>
      </w:r>
      <w:r w:rsidR="00CD676E" w:rsidRPr="00051FD3">
        <w:rPr>
          <w:sz w:val="22"/>
          <w:szCs w:val="22"/>
          <w:lang w:val="lt-LT"/>
        </w:rPr>
        <w:t xml:space="preserve"> reiškiniai</w:t>
      </w:r>
      <w:r w:rsidRPr="00051FD3">
        <w:rPr>
          <w:sz w:val="22"/>
          <w:szCs w:val="22"/>
          <w:lang w:val="lt-LT"/>
        </w:rPr>
        <w:t xml:space="preserve">(gali pasireikšti </w:t>
      </w:r>
      <w:r w:rsidR="00BE2DA3" w:rsidRPr="00051FD3">
        <w:rPr>
          <w:sz w:val="22"/>
          <w:szCs w:val="22"/>
          <w:lang w:val="lt-LT"/>
        </w:rPr>
        <w:t>rečiau</w:t>
      </w:r>
      <w:r w:rsidRPr="00051FD3">
        <w:rPr>
          <w:sz w:val="22"/>
          <w:szCs w:val="22"/>
          <w:lang w:val="lt-LT"/>
        </w:rPr>
        <w:t xml:space="preserve"> kaip 1 iš 100 </w:t>
      </w:r>
      <w:r w:rsidR="00CD676E" w:rsidRPr="00051FD3">
        <w:rPr>
          <w:sz w:val="22"/>
          <w:szCs w:val="22"/>
          <w:lang w:val="lt-LT"/>
        </w:rPr>
        <w:t>asmenų</w:t>
      </w:r>
      <w:r w:rsidRPr="00051FD3">
        <w:rPr>
          <w:sz w:val="22"/>
          <w:szCs w:val="22"/>
          <w:lang w:val="lt-LT"/>
        </w:rPr>
        <w:t xml:space="preserve">) </w:t>
      </w:r>
    </w:p>
    <w:p w14:paraId="22DDD0CF" w14:textId="6F8CF92E" w:rsidR="007F39B7" w:rsidRPr="00051FD3" w:rsidRDefault="007F39B7" w:rsidP="007F39B7">
      <w:pPr>
        <w:pStyle w:val="Default"/>
        <w:rPr>
          <w:sz w:val="22"/>
          <w:szCs w:val="22"/>
          <w:lang w:val="lt-LT"/>
        </w:rPr>
      </w:pPr>
      <w:r w:rsidRPr="00051FD3">
        <w:rPr>
          <w:sz w:val="22"/>
          <w:szCs w:val="22"/>
          <w:lang w:val="lt-LT"/>
        </w:rPr>
        <w:t xml:space="preserve">Viršutinių kvėpavimo takų infekcinė liga (pvz., gerklės uždegimas, prienosinių ančių uždegimas, peršalimas), infekcinė šlapimo </w:t>
      </w:r>
      <w:r w:rsidR="00CD676E" w:rsidRPr="00051FD3">
        <w:rPr>
          <w:sz w:val="22"/>
          <w:szCs w:val="22"/>
          <w:lang w:val="lt-LT"/>
        </w:rPr>
        <w:t>takų</w:t>
      </w:r>
      <w:r w:rsidRPr="00051FD3">
        <w:rPr>
          <w:sz w:val="22"/>
          <w:szCs w:val="22"/>
          <w:lang w:val="lt-LT"/>
        </w:rPr>
        <w:t xml:space="preserve"> liga, </w:t>
      </w:r>
      <w:r w:rsidR="00CD676E" w:rsidRPr="00051FD3">
        <w:rPr>
          <w:sz w:val="22"/>
          <w:szCs w:val="22"/>
          <w:lang w:val="lt-LT"/>
        </w:rPr>
        <w:t xml:space="preserve">šlapimo pūslės infekcija, </w:t>
      </w:r>
      <w:r w:rsidRPr="00051FD3">
        <w:rPr>
          <w:sz w:val="22"/>
          <w:szCs w:val="22"/>
          <w:lang w:val="lt-LT"/>
        </w:rPr>
        <w:t xml:space="preserve">per mažas raudonųjų kraujo ląstelių kiekis (anemija), didelis kalio kiekis kraujyje, retas širdies ritmas (bradikardija), inkstų veiklos sutrikimas, įskaitant ūminį inkstų nepakankamumą, silpnumas, kosulys. </w:t>
      </w:r>
    </w:p>
    <w:p w14:paraId="32A05663" w14:textId="77777777" w:rsidR="007F39B7" w:rsidRPr="00051FD3" w:rsidRDefault="007F39B7" w:rsidP="007F39B7">
      <w:pPr>
        <w:pStyle w:val="Default"/>
        <w:rPr>
          <w:sz w:val="22"/>
          <w:szCs w:val="22"/>
          <w:lang w:val="lt-LT"/>
        </w:rPr>
      </w:pPr>
    </w:p>
    <w:p w14:paraId="4C1EEEDA" w14:textId="215F7E19" w:rsidR="007F39B7" w:rsidRPr="00051FD3" w:rsidRDefault="007F39B7" w:rsidP="007F39B7">
      <w:pPr>
        <w:pStyle w:val="Default"/>
        <w:rPr>
          <w:sz w:val="22"/>
          <w:szCs w:val="22"/>
          <w:lang w:val="lt-LT"/>
        </w:rPr>
      </w:pPr>
      <w:r w:rsidRPr="00051FD3">
        <w:rPr>
          <w:sz w:val="22"/>
          <w:szCs w:val="22"/>
          <w:u w:val="single"/>
          <w:lang w:val="lt-LT"/>
        </w:rPr>
        <w:t>Ret</w:t>
      </w:r>
      <w:r w:rsidR="00CD676E" w:rsidRPr="00051FD3">
        <w:rPr>
          <w:sz w:val="22"/>
          <w:szCs w:val="22"/>
          <w:u w:val="single"/>
          <w:lang w:val="lt-LT"/>
        </w:rPr>
        <w:t>i</w:t>
      </w:r>
      <w:r w:rsidRPr="00051FD3">
        <w:rPr>
          <w:sz w:val="22"/>
          <w:szCs w:val="22"/>
          <w:u w:val="single"/>
          <w:lang w:val="lt-LT"/>
        </w:rPr>
        <w:t xml:space="preserve"> šalutini</w:t>
      </w:r>
      <w:r w:rsidR="00CD676E" w:rsidRPr="00051FD3">
        <w:rPr>
          <w:sz w:val="22"/>
          <w:szCs w:val="22"/>
          <w:u w:val="single"/>
          <w:lang w:val="lt-LT"/>
        </w:rPr>
        <w:t>o</w:t>
      </w:r>
      <w:r w:rsidRPr="00051FD3">
        <w:rPr>
          <w:sz w:val="22"/>
          <w:szCs w:val="22"/>
          <w:u w:val="single"/>
          <w:lang w:val="lt-LT"/>
        </w:rPr>
        <w:t xml:space="preserve"> poveiki</w:t>
      </w:r>
      <w:r w:rsidR="00CD676E" w:rsidRPr="00051FD3">
        <w:rPr>
          <w:sz w:val="22"/>
          <w:szCs w:val="22"/>
          <w:u w:val="single"/>
          <w:lang w:val="lt-LT"/>
        </w:rPr>
        <w:t>o reiškiniai</w:t>
      </w:r>
      <w:r w:rsidRPr="00051FD3">
        <w:rPr>
          <w:sz w:val="22"/>
          <w:szCs w:val="22"/>
          <w:lang w:val="lt-LT"/>
        </w:rPr>
        <w:t xml:space="preserve"> (gali pasireikšti </w:t>
      </w:r>
      <w:r w:rsidR="00BE2DA3" w:rsidRPr="00051FD3">
        <w:rPr>
          <w:sz w:val="22"/>
          <w:szCs w:val="22"/>
          <w:lang w:val="lt-LT"/>
        </w:rPr>
        <w:t>rečiau</w:t>
      </w:r>
      <w:r w:rsidRPr="00051FD3">
        <w:rPr>
          <w:sz w:val="22"/>
          <w:szCs w:val="22"/>
          <w:lang w:val="lt-LT"/>
        </w:rPr>
        <w:t xml:space="preserve"> kaip 1 iš 1</w:t>
      </w:r>
      <w:r w:rsidR="00BF6C3E">
        <w:rPr>
          <w:sz w:val="22"/>
          <w:szCs w:val="22"/>
          <w:lang w:val="lt-LT"/>
        </w:rPr>
        <w:t> </w:t>
      </w:r>
      <w:r w:rsidRPr="00051FD3">
        <w:rPr>
          <w:sz w:val="22"/>
          <w:szCs w:val="22"/>
          <w:lang w:val="lt-LT"/>
        </w:rPr>
        <w:t xml:space="preserve">000 </w:t>
      </w:r>
      <w:r w:rsidR="00CD676E" w:rsidRPr="00051FD3">
        <w:rPr>
          <w:sz w:val="22"/>
          <w:szCs w:val="22"/>
          <w:lang w:val="lt-LT"/>
        </w:rPr>
        <w:t>asmenų</w:t>
      </w:r>
      <w:r w:rsidRPr="00051FD3">
        <w:rPr>
          <w:sz w:val="22"/>
          <w:szCs w:val="22"/>
          <w:lang w:val="lt-LT"/>
        </w:rPr>
        <w:t xml:space="preserve">) </w:t>
      </w:r>
    </w:p>
    <w:p w14:paraId="59BE07B2" w14:textId="016E7211" w:rsidR="007F39B7" w:rsidRPr="00051FD3" w:rsidRDefault="006F4475" w:rsidP="007F39B7">
      <w:pPr>
        <w:pStyle w:val="Default"/>
        <w:rPr>
          <w:sz w:val="22"/>
          <w:szCs w:val="22"/>
          <w:lang w:val="lt-LT"/>
        </w:rPr>
      </w:pPr>
      <w:r w:rsidRPr="00051FD3">
        <w:rPr>
          <w:sz w:val="22"/>
          <w:szCs w:val="22"/>
          <w:lang w:val="lt-LT"/>
        </w:rPr>
        <w:t>M</w:t>
      </w:r>
      <w:r w:rsidR="007F39B7" w:rsidRPr="00051FD3">
        <w:rPr>
          <w:sz w:val="22"/>
          <w:szCs w:val="22"/>
          <w:lang w:val="lt-LT"/>
        </w:rPr>
        <w:t>ažas kraujo plokštelių kiekis (</w:t>
      </w:r>
      <w:proofErr w:type="spellStart"/>
      <w:r w:rsidR="007F39B7" w:rsidRPr="00051FD3">
        <w:rPr>
          <w:sz w:val="22"/>
          <w:szCs w:val="22"/>
          <w:lang w:val="lt-LT"/>
        </w:rPr>
        <w:t>trombocitopenija</w:t>
      </w:r>
      <w:proofErr w:type="spellEnd"/>
      <w:r w:rsidR="007F39B7" w:rsidRPr="00051FD3">
        <w:rPr>
          <w:sz w:val="22"/>
          <w:szCs w:val="22"/>
          <w:lang w:val="lt-LT"/>
        </w:rPr>
        <w:t>), tam tikrų baltųjų kraujo ląstelių kiekio padidėjimas (</w:t>
      </w:r>
      <w:proofErr w:type="spellStart"/>
      <w:r w:rsidR="007F39B7" w:rsidRPr="00051FD3">
        <w:rPr>
          <w:sz w:val="22"/>
          <w:szCs w:val="22"/>
          <w:lang w:val="lt-LT"/>
        </w:rPr>
        <w:t>eozinofilija</w:t>
      </w:r>
      <w:proofErr w:type="spellEnd"/>
      <w:r w:rsidR="007F39B7" w:rsidRPr="00051FD3">
        <w:rPr>
          <w:sz w:val="22"/>
          <w:szCs w:val="22"/>
          <w:lang w:val="lt-LT"/>
        </w:rPr>
        <w:t xml:space="preserve">), sunki alerginė reakcija (pvz., jautrumo padidėjimas, anafilaksinė reakcija), mažas cukraus kiekis kraujyje cukriniu diabetu sergantiems pacientams, skrandžio sutrikimas, egzema (odos sutrikimas), </w:t>
      </w:r>
      <w:r w:rsidR="00CD676E" w:rsidRPr="00051FD3">
        <w:rPr>
          <w:sz w:val="22"/>
          <w:szCs w:val="22"/>
          <w:lang w:val="lt-LT"/>
        </w:rPr>
        <w:t>vaistų sukeltas odos išbėrimas, toksinis odos išbėrimas, sausgyslių skausmas (sausgyslių uždegimui panašūs simptomai)</w:t>
      </w:r>
      <w:r w:rsidR="007F39B7" w:rsidRPr="00051FD3">
        <w:rPr>
          <w:sz w:val="22"/>
          <w:szCs w:val="22"/>
          <w:lang w:val="lt-LT"/>
        </w:rPr>
        <w:t xml:space="preserve">, hemoglobino (kraujo baltymo) kiekio sumažėjimas, mieguistumas. </w:t>
      </w:r>
    </w:p>
    <w:p w14:paraId="6A3A2415" w14:textId="77777777" w:rsidR="007F39B7" w:rsidRPr="00051FD3" w:rsidRDefault="007F39B7" w:rsidP="007F39B7">
      <w:pPr>
        <w:pStyle w:val="Default"/>
        <w:rPr>
          <w:sz w:val="22"/>
          <w:szCs w:val="22"/>
          <w:u w:val="single"/>
          <w:lang w:val="lt-LT"/>
        </w:rPr>
      </w:pPr>
    </w:p>
    <w:p w14:paraId="53873376" w14:textId="242B85DC" w:rsidR="007F39B7" w:rsidRPr="00051FD3" w:rsidRDefault="007F39B7" w:rsidP="007F39B7">
      <w:pPr>
        <w:pStyle w:val="Default"/>
        <w:rPr>
          <w:sz w:val="22"/>
          <w:szCs w:val="22"/>
          <w:lang w:val="lt-LT"/>
        </w:rPr>
      </w:pPr>
      <w:r w:rsidRPr="00051FD3">
        <w:rPr>
          <w:sz w:val="22"/>
          <w:szCs w:val="22"/>
          <w:u w:val="single"/>
          <w:lang w:val="lt-LT"/>
        </w:rPr>
        <w:t>Labai ret</w:t>
      </w:r>
      <w:r w:rsidR="00CD676E" w:rsidRPr="00051FD3">
        <w:rPr>
          <w:sz w:val="22"/>
          <w:szCs w:val="22"/>
          <w:u w:val="single"/>
          <w:lang w:val="lt-LT"/>
        </w:rPr>
        <w:t>i</w:t>
      </w:r>
      <w:r w:rsidRPr="00051FD3">
        <w:rPr>
          <w:sz w:val="22"/>
          <w:szCs w:val="22"/>
          <w:u w:val="single"/>
          <w:lang w:val="lt-LT"/>
        </w:rPr>
        <w:t xml:space="preserve"> šalutini</w:t>
      </w:r>
      <w:r w:rsidR="00CD676E" w:rsidRPr="00051FD3">
        <w:rPr>
          <w:sz w:val="22"/>
          <w:szCs w:val="22"/>
          <w:u w:val="single"/>
          <w:lang w:val="lt-LT"/>
        </w:rPr>
        <w:t>o</w:t>
      </w:r>
      <w:r w:rsidRPr="00051FD3">
        <w:rPr>
          <w:sz w:val="22"/>
          <w:szCs w:val="22"/>
          <w:u w:val="single"/>
          <w:lang w:val="lt-LT"/>
        </w:rPr>
        <w:t xml:space="preserve"> poveiki</w:t>
      </w:r>
      <w:r w:rsidR="00CD676E" w:rsidRPr="00051FD3">
        <w:rPr>
          <w:sz w:val="22"/>
          <w:szCs w:val="22"/>
          <w:u w:val="single"/>
          <w:lang w:val="lt-LT"/>
        </w:rPr>
        <w:t>o reiškiniai</w:t>
      </w:r>
      <w:r w:rsidRPr="00051FD3">
        <w:rPr>
          <w:sz w:val="22"/>
          <w:szCs w:val="22"/>
          <w:lang w:val="lt-LT"/>
        </w:rPr>
        <w:t xml:space="preserve"> (gali pasireikšti </w:t>
      </w:r>
      <w:r w:rsidR="00BE2DA3" w:rsidRPr="00051FD3">
        <w:rPr>
          <w:sz w:val="22"/>
          <w:szCs w:val="22"/>
          <w:lang w:val="lt-LT"/>
        </w:rPr>
        <w:t>rečiau</w:t>
      </w:r>
      <w:r w:rsidRPr="00051FD3">
        <w:rPr>
          <w:sz w:val="22"/>
          <w:szCs w:val="22"/>
          <w:lang w:val="lt-LT"/>
        </w:rPr>
        <w:t xml:space="preserve"> kaip 1 iš 10</w:t>
      </w:r>
      <w:r w:rsidR="004A1DBE">
        <w:rPr>
          <w:sz w:val="22"/>
          <w:szCs w:val="22"/>
          <w:lang w:val="lt-LT"/>
        </w:rPr>
        <w:t> </w:t>
      </w:r>
      <w:r w:rsidRPr="00051FD3">
        <w:rPr>
          <w:sz w:val="22"/>
          <w:szCs w:val="22"/>
          <w:lang w:val="lt-LT"/>
        </w:rPr>
        <w:t xml:space="preserve">000 </w:t>
      </w:r>
      <w:r w:rsidR="00CD676E" w:rsidRPr="00051FD3">
        <w:rPr>
          <w:sz w:val="22"/>
          <w:szCs w:val="22"/>
          <w:lang w:val="lt-LT"/>
        </w:rPr>
        <w:t>asmenų</w:t>
      </w:r>
      <w:r w:rsidRPr="00051FD3">
        <w:rPr>
          <w:sz w:val="22"/>
          <w:szCs w:val="22"/>
          <w:lang w:val="lt-LT"/>
        </w:rPr>
        <w:t xml:space="preserve">) </w:t>
      </w:r>
    </w:p>
    <w:p w14:paraId="04CE1D0C" w14:textId="77777777" w:rsidR="007F39B7" w:rsidRPr="00051FD3" w:rsidRDefault="007F39B7" w:rsidP="007F39B7">
      <w:pPr>
        <w:pStyle w:val="Default"/>
        <w:rPr>
          <w:sz w:val="22"/>
          <w:szCs w:val="22"/>
          <w:lang w:val="lt-LT"/>
        </w:rPr>
      </w:pPr>
      <w:r w:rsidRPr="00051FD3">
        <w:rPr>
          <w:sz w:val="22"/>
          <w:szCs w:val="22"/>
          <w:lang w:val="lt-LT"/>
        </w:rPr>
        <w:t>Progresuojantis plaučių audinio randėjimas (</w:t>
      </w:r>
      <w:proofErr w:type="spellStart"/>
      <w:r w:rsidRPr="00051FD3">
        <w:rPr>
          <w:sz w:val="22"/>
          <w:szCs w:val="22"/>
          <w:lang w:val="lt-LT"/>
        </w:rPr>
        <w:t>intersticinė</w:t>
      </w:r>
      <w:proofErr w:type="spellEnd"/>
      <w:r w:rsidRPr="00051FD3">
        <w:rPr>
          <w:sz w:val="22"/>
          <w:szCs w:val="22"/>
          <w:lang w:val="lt-LT"/>
        </w:rPr>
        <w:t xml:space="preserve"> plaučių liga)**. </w:t>
      </w:r>
    </w:p>
    <w:p w14:paraId="723D0D67" w14:textId="77777777" w:rsidR="007F39B7" w:rsidRDefault="007F39B7" w:rsidP="007F39B7">
      <w:pPr>
        <w:pStyle w:val="Default"/>
        <w:rPr>
          <w:sz w:val="22"/>
          <w:szCs w:val="22"/>
          <w:lang w:val="lt-LT"/>
        </w:rPr>
      </w:pPr>
    </w:p>
    <w:p w14:paraId="19FE0415" w14:textId="77777777" w:rsidR="00B56985" w:rsidRDefault="00B56985" w:rsidP="00B56985">
      <w:pPr>
        <w:pStyle w:val="Default"/>
        <w:rPr>
          <w:sz w:val="22"/>
          <w:szCs w:val="22"/>
          <w:lang w:val="lt-LT"/>
        </w:rPr>
      </w:pPr>
      <w:r w:rsidRPr="004F1914">
        <w:rPr>
          <w:sz w:val="22"/>
          <w:szCs w:val="22"/>
          <w:u w:val="single"/>
          <w:lang w:val="lt-LT"/>
        </w:rPr>
        <w:t>Dažnis „nežinomas</w:t>
      </w:r>
      <w:r>
        <w:rPr>
          <w:sz w:val="22"/>
          <w:szCs w:val="22"/>
          <w:u w:val="single"/>
          <w:lang w:val="lt-LT"/>
        </w:rPr>
        <w:t>“ (</w:t>
      </w:r>
      <w:r w:rsidRPr="00EB4961">
        <w:rPr>
          <w:sz w:val="22"/>
          <w:szCs w:val="22"/>
          <w:lang w:val="lt-LT"/>
        </w:rPr>
        <w:t>negali būti įvertintas pagal turimus duomenis)</w:t>
      </w:r>
      <w:r w:rsidRPr="004F1914">
        <w:rPr>
          <w:sz w:val="22"/>
          <w:szCs w:val="22"/>
          <w:u w:val="single"/>
          <w:lang w:val="lt-LT"/>
        </w:rPr>
        <w:t>:</w:t>
      </w:r>
      <w:r w:rsidRPr="00F53080">
        <w:rPr>
          <w:sz w:val="22"/>
          <w:szCs w:val="22"/>
          <w:lang w:val="lt-LT"/>
        </w:rPr>
        <w:t xml:space="preserve"> </w:t>
      </w:r>
    </w:p>
    <w:p w14:paraId="4CD15469" w14:textId="194DA6B0" w:rsidR="00B56985" w:rsidRDefault="00B56985" w:rsidP="007F39B7">
      <w:pPr>
        <w:pStyle w:val="Default"/>
        <w:rPr>
          <w:sz w:val="22"/>
          <w:szCs w:val="22"/>
          <w:lang w:val="lt-LT"/>
        </w:rPr>
      </w:pPr>
      <w:r w:rsidRPr="00F53080">
        <w:rPr>
          <w:sz w:val="22"/>
          <w:szCs w:val="22"/>
          <w:lang w:val="lt-LT"/>
        </w:rPr>
        <w:t xml:space="preserve">Žarnyno </w:t>
      </w:r>
      <w:proofErr w:type="spellStart"/>
      <w:r w:rsidRPr="00F53080">
        <w:rPr>
          <w:sz w:val="22"/>
          <w:szCs w:val="22"/>
          <w:lang w:val="lt-LT"/>
        </w:rPr>
        <w:t>angioneurozinė</w:t>
      </w:r>
      <w:proofErr w:type="spellEnd"/>
      <w:r w:rsidRPr="00F53080">
        <w:rPr>
          <w:sz w:val="22"/>
          <w:szCs w:val="22"/>
          <w:lang w:val="lt-LT"/>
        </w:rPr>
        <w:t xml:space="preserve"> edema: gauta pranešimų apie vartojant panašius preparatus pasireiškusį tinimą žarnyne su tokiais simptomais kaip pilvo skausmas, pykinimas, vėmimas ir viduriavimas.</w:t>
      </w:r>
    </w:p>
    <w:p w14:paraId="198C7157" w14:textId="77777777" w:rsidR="00B56985" w:rsidRPr="00051FD3" w:rsidRDefault="00B56985" w:rsidP="007F39B7">
      <w:pPr>
        <w:pStyle w:val="Default"/>
        <w:rPr>
          <w:sz w:val="22"/>
          <w:szCs w:val="22"/>
          <w:lang w:val="lt-LT"/>
        </w:rPr>
      </w:pPr>
    </w:p>
    <w:p w14:paraId="2B382387" w14:textId="77777777" w:rsidR="007F39B7" w:rsidRPr="00051FD3" w:rsidRDefault="007F39B7" w:rsidP="007F39B7">
      <w:pPr>
        <w:pStyle w:val="Default"/>
        <w:rPr>
          <w:sz w:val="22"/>
          <w:szCs w:val="22"/>
          <w:lang w:val="lt-LT"/>
        </w:rPr>
      </w:pPr>
      <w:r w:rsidRPr="00051FD3">
        <w:rPr>
          <w:sz w:val="22"/>
          <w:szCs w:val="22"/>
          <w:lang w:val="lt-LT"/>
        </w:rPr>
        <w:t xml:space="preserve">*Šis reiškinys galėjo būti atsitiktinis arba priklausomas nuo kol kas nežinomų mechanizmų. </w:t>
      </w:r>
    </w:p>
    <w:p w14:paraId="23B7B64E" w14:textId="77777777" w:rsidR="007F39B7" w:rsidRPr="00051FD3" w:rsidRDefault="007F39B7" w:rsidP="007F39B7">
      <w:pPr>
        <w:pStyle w:val="Default"/>
        <w:rPr>
          <w:sz w:val="22"/>
          <w:szCs w:val="22"/>
          <w:lang w:val="lt-LT"/>
        </w:rPr>
      </w:pPr>
    </w:p>
    <w:p w14:paraId="59D99405" w14:textId="34BB0E62" w:rsidR="007F39B7" w:rsidRPr="00051FD3" w:rsidRDefault="007F39B7" w:rsidP="007F39B7">
      <w:pPr>
        <w:pStyle w:val="Default"/>
        <w:rPr>
          <w:sz w:val="22"/>
          <w:szCs w:val="22"/>
          <w:lang w:val="lt-LT"/>
        </w:rPr>
      </w:pPr>
      <w:r w:rsidRPr="00051FD3">
        <w:rPr>
          <w:sz w:val="22"/>
          <w:szCs w:val="22"/>
          <w:lang w:val="lt-LT"/>
        </w:rPr>
        <w:t xml:space="preserve">**Vaistu gydant po to, kai jis pateko į rinką, buvo </w:t>
      </w:r>
      <w:proofErr w:type="spellStart"/>
      <w:r w:rsidRPr="00051FD3">
        <w:rPr>
          <w:sz w:val="22"/>
          <w:szCs w:val="22"/>
          <w:lang w:val="lt-LT"/>
        </w:rPr>
        <w:t>intersticinės</w:t>
      </w:r>
      <w:proofErr w:type="spellEnd"/>
      <w:r w:rsidRPr="00051FD3">
        <w:rPr>
          <w:sz w:val="22"/>
          <w:szCs w:val="22"/>
          <w:lang w:val="lt-LT"/>
        </w:rPr>
        <w:t xml:space="preserve"> plaučių ligos, laikinai susijusios su </w:t>
      </w:r>
      <w:proofErr w:type="spellStart"/>
      <w:r w:rsidRPr="00051FD3">
        <w:rPr>
          <w:sz w:val="22"/>
          <w:szCs w:val="22"/>
          <w:lang w:val="lt-LT"/>
        </w:rPr>
        <w:t>telmisartano</w:t>
      </w:r>
      <w:proofErr w:type="spellEnd"/>
      <w:r w:rsidRPr="00051FD3">
        <w:rPr>
          <w:sz w:val="22"/>
          <w:szCs w:val="22"/>
          <w:lang w:val="lt-LT"/>
        </w:rPr>
        <w:t xml:space="preserve"> vartojimu, atvejų. Nenustatyta, ar tai sukėlė </w:t>
      </w:r>
      <w:proofErr w:type="spellStart"/>
      <w:r w:rsidRPr="00051FD3">
        <w:rPr>
          <w:sz w:val="22"/>
          <w:szCs w:val="22"/>
          <w:lang w:val="lt-LT"/>
        </w:rPr>
        <w:t>telmisartanas</w:t>
      </w:r>
      <w:proofErr w:type="spellEnd"/>
      <w:r w:rsidRPr="00051FD3">
        <w:rPr>
          <w:sz w:val="22"/>
          <w:szCs w:val="22"/>
          <w:lang w:val="lt-LT"/>
        </w:rPr>
        <w:t xml:space="preserve">. </w:t>
      </w:r>
    </w:p>
    <w:p w14:paraId="0B105AD0" w14:textId="77777777" w:rsidR="007F39B7" w:rsidRPr="00051FD3" w:rsidRDefault="007F39B7" w:rsidP="007F39B7">
      <w:pPr>
        <w:pStyle w:val="Default"/>
        <w:rPr>
          <w:b/>
          <w:bCs/>
          <w:sz w:val="22"/>
          <w:szCs w:val="22"/>
          <w:lang w:val="lt-LT"/>
        </w:rPr>
      </w:pPr>
    </w:p>
    <w:p w14:paraId="0D788C9F" w14:textId="77777777" w:rsidR="007F39B7" w:rsidRPr="00051FD3" w:rsidRDefault="007F39B7" w:rsidP="007F39B7">
      <w:pPr>
        <w:pStyle w:val="Default"/>
        <w:rPr>
          <w:sz w:val="22"/>
          <w:szCs w:val="22"/>
          <w:lang w:val="lt-LT"/>
        </w:rPr>
      </w:pPr>
      <w:proofErr w:type="spellStart"/>
      <w:r w:rsidRPr="00051FD3">
        <w:rPr>
          <w:b/>
          <w:bCs/>
          <w:sz w:val="22"/>
          <w:szCs w:val="22"/>
          <w:lang w:val="lt-LT"/>
        </w:rPr>
        <w:t>Hidrochlorotiazidas</w:t>
      </w:r>
      <w:proofErr w:type="spellEnd"/>
      <w:r w:rsidRPr="00051FD3">
        <w:rPr>
          <w:b/>
          <w:bCs/>
          <w:sz w:val="22"/>
          <w:szCs w:val="22"/>
          <w:lang w:val="lt-LT"/>
        </w:rPr>
        <w:t xml:space="preserve"> </w:t>
      </w:r>
    </w:p>
    <w:p w14:paraId="64B765EF" w14:textId="77777777" w:rsidR="007F39B7" w:rsidRPr="00051FD3" w:rsidRDefault="007F39B7" w:rsidP="007F39B7">
      <w:pPr>
        <w:pStyle w:val="Default"/>
        <w:rPr>
          <w:sz w:val="22"/>
          <w:szCs w:val="22"/>
          <w:lang w:val="lt-LT"/>
        </w:rPr>
      </w:pPr>
      <w:r w:rsidRPr="00051FD3">
        <w:rPr>
          <w:sz w:val="22"/>
          <w:szCs w:val="22"/>
          <w:lang w:val="lt-LT"/>
        </w:rPr>
        <w:t xml:space="preserve">Pacientams, gydytiems vien tik </w:t>
      </w:r>
      <w:proofErr w:type="spellStart"/>
      <w:r w:rsidRPr="00051FD3">
        <w:rPr>
          <w:sz w:val="22"/>
          <w:szCs w:val="22"/>
          <w:lang w:val="lt-LT"/>
        </w:rPr>
        <w:t>hidrochlorotiazidu</w:t>
      </w:r>
      <w:proofErr w:type="spellEnd"/>
      <w:r w:rsidRPr="00051FD3">
        <w:rPr>
          <w:sz w:val="22"/>
          <w:szCs w:val="22"/>
          <w:lang w:val="lt-LT"/>
        </w:rPr>
        <w:t xml:space="preserve">, buvo pranešta apie toliau nurodytą papildomą šalutinį poveikį. </w:t>
      </w:r>
    </w:p>
    <w:p w14:paraId="6ACE682D" w14:textId="77777777" w:rsidR="0006705B" w:rsidRPr="00012DBE" w:rsidRDefault="0006705B" w:rsidP="007F39B7">
      <w:pPr>
        <w:pStyle w:val="Default"/>
        <w:rPr>
          <w:sz w:val="22"/>
          <w:szCs w:val="22"/>
          <w:lang w:val="lt-LT"/>
        </w:rPr>
      </w:pPr>
    </w:p>
    <w:p w14:paraId="053EC484" w14:textId="6EC5C92F" w:rsidR="00AF3F34" w:rsidRPr="00051FD3" w:rsidRDefault="00AF3F34" w:rsidP="0006705B">
      <w:pPr>
        <w:autoSpaceDE w:val="0"/>
        <w:autoSpaceDN w:val="0"/>
        <w:adjustRightInd w:val="0"/>
        <w:rPr>
          <w:sz w:val="22"/>
          <w:szCs w:val="22"/>
          <w:lang w:eastAsia="lt-LT"/>
        </w:rPr>
      </w:pPr>
      <w:r w:rsidRPr="00051FD3">
        <w:rPr>
          <w:bCs/>
          <w:sz w:val="22"/>
          <w:szCs w:val="22"/>
          <w:lang w:eastAsia="lt-LT"/>
        </w:rPr>
        <w:lastRenderedPageBreak/>
        <w:t>Labai dažni šalutinio poveikio reiškiniai (gali pasireikšti ne rečiau kaip 1 iš 10 asmenų):</w:t>
      </w:r>
    </w:p>
    <w:p w14:paraId="34C40B68" w14:textId="6E3529DD" w:rsidR="00AF3F34" w:rsidRPr="00051FD3" w:rsidRDefault="00AF3F34" w:rsidP="0006705B">
      <w:pPr>
        <w:autoSpaceDE w:val="0"/>
        <w:autoSpaceDN w:val="0"/>
        <w:adjustRightInd w:val="0"/>
        <w:rPr>
          <w:sz w:val="22"/>
          <w:szCs w:val="22"/>
          <w:lang w:eastAsia="lt-LT"/>
        </w:rPr>
      </w:pPr>
      <w:r w:rsidRPr="00051FD3">
        <w:rPr>
          <w:sz w:val="22"/>
          <w:szCs w:val="22"/>
          <w:lang w:eastAsia="lt-LT"/>
        </w:rPr>
        <w:t>Padidėjęs riebalų kiekis kraujyje.</w:t>
      </w:r>
    </w:p>
    <w:p w14:paraId="27AC7CD7" w14:textId="77777777" w:rsidR="00AF3F34" w:rsidRPr="00051FD3" w:rsidRDefault="00AF3F34" w:rsidP="0006705B">
      <w:pPr>
        <w:autoSpaceDE w:val="0"/>
        <w:autoSpaceDN w:val="0"/>
        <w:adjustRightInd w:val="0"/>
        <w:rPr>
          <w:sz w:val="22"/>
          <w:szCs w:val="22"/>
          <w:lang w:eastAsia="lt-LT"/>
        </w:rPr>
      </w:pPr>
    </w:p>
    <w:p w14:paraId="0B7F64D6" w14:textId="6F135087" w:rsidR="0006705B" w:rsidRPr="00051FD3" w:rsidRDefault="0006705B" w:rsidP="0006705B">
      <w:pPr>
        <w:autoSpaceDE w:val="0"/>
        <w:autoSpaceDN w:val="0"/>
        <w:adjustRightInd w:val="0"/>
        <w:rPr>
          <w:rFonts w:eastAsia="Calibri"/>
          <w:sz w:val="22"/>
          <w:szCs w:val="22"/>
          <w:u w:val="single"/>
        </w:rPr>
      </w:pPr>
      <w:r w:rsidRPr="00051FD3">
        <w:rPr>
          <w:rFonts w:eastAsia="Calibri"/>
          <w:sz w:val="22"/>
          <w:szCs w:val="22"/>
          <w:u w:val="single"/>
        </w:rPr>
        <w:t>Dažn</w:t>
      </w:r>
      <w:r w:rsidR="00AF3F34" w:rsidRPr="00051FD3">
        <w:rPr>
          <w:rFonts w:eastAsia="Calibri"/>
          <w:sz w:val="22"/>
          <w:szCs w:val="22"/>
          <w:u w:val="single"/>
        </w:rPr>
        <w:t xml:space="preserve">i </w:t>
      </w:r>
      <w:r w:rsidRPr="00051FD3">
        <w:rPr>
          <w:rFonts w:eastAsia="Calibri"/>
          <w:sz w:val="22"/>
          <w:szCs w:val="22"/>
          <w:u w:val="single"/>
        </w:rPr>
        <w:t>šalutini</w:t>
      </w:r>
      <w:r w:rsidR="00AF3F34" w:rsidRPr="00051FD3">
        <w:rPr>
          <w:rFonts w:eastAsia="Calibri"/>
          <w:sz w:val="22"/>
          <w:szCs w:val="22"/>
          <w:u w:val="single"/>
        </w:rPr>
        <w:t>o</w:t>
      </w:r>
      <w:r w:rsidRPr="00051FD3">
        <w:rPr>
          <w:rFonts w:eastAsia="Calibri"/>
          <w:sz w:val="22"/>
          <w:szCs w:val="22"/>
          <w:u w:val="single"/>
        </w:rPr>
        <w:t xml:space="preserve"> poveiki</w:t>
      </w:r>
      <w:r w:rsidR="00AF3F34" w:rsidRPr="00051FD3">
        <w:rPr>
          <w:rFonts w:eastAsia="Calibri"/>
          <w:sz w:val="22"/>
          <w:szCs w:val="22"/>
          <w:u w:val="single"/>
        </w:rPr>
        <w:t>o reiškiniai</w:t>
      </w:r>
      <w:r w:rsidRPr="00051FD3">
        <w:rPr>
          <w:rFonts w:eastAsia="Calibri"/>
          <w:sz w:val="22"/>
          <w:szCs w:val="22"/>
          <w:u w:val="single"/>
        </w:rPr>
        <w:t xml:space="preserve"> (gali pasireikšti rečiau kaip 1 iš 10 </w:t>
      </w:r>
      <w:r w:rsidR="00AF3F34" w:rsidRPr="00051FD3">
        <w:rPr>
          <w:rFonts w:eastAsia="Calibri"/>
          <w:sz w:val="22"/>
          <w:szCs w:val="22"/>
          <w:u w:val="single"/>
        </w:rPr>
        <w:t>asmenų</w:t>
      </w:r>
      <w:r w:rsidRPr="00051FD3">
        <w:rPr>
          <w:rFonts w:eastAsia="Calibri"/>
          <w:sz w:val="22"/>
          <w:szCs w:val="22"/>
          <w:u w:val="single"/>
        </w:rPr>
        <w:t>):</w:t>
      </w:r>
    </w:p>
    <w:p w14:paraId="314C1B2B" w14:textId="4F9FF5D4" w:rsidR="0006705B" w:rsidRPr="00051FD3" w:rsidRDefault="0006705B" w:rsidP="0006705B">
      <w:pPr>
        <w:autoSpaceDE w:val="0"/>
        <w:autoSpaceDN w:val="0"/>
        <w:adjustRightInd w:val="0"/>
        <w:rPr>
          <w:rFonts w:eastAsia="Calibri"/>
          <w:sz w:val="22"/>
          <w:szCs w:val="22"/>
        </w:rPr>
      </w:pPr>
      <w:r w:rsidRPr="00051FD3">
        <w:rPr>
          <w:rFonts w:eastAsia="Calibri"/>
          <w:sz w:val="22"/>
          <w:szCs w:val="22"/>
        </w:rPr>
        <w:t>Šleikštulys (pykinimas), sumažėjęs magnio kiekis kraujyje</w:t>
      </w:r>
      <w:r w:rsidR="00AF3F34" w:rsidRPr="00051FD3">
        <w:rPr>
          <w:rFonts w:eastAsia="Calibri"/>
          <w:sz w:val="22"/>
          <w:szCs w:val="22"/>
        </w:rPr>
        <w:t>, sumažėjęs apetitas</w:t>
      </w:r>
      <w:r w:rsidRPr="00051FD3">
        <w:rPr>
          <w:rFonts w:eastAsia="Calibri"/>
          <w:sz w:val="22"/>
          <w:szCs w:val="22"/>
        </w:rPr>
        <w:t>.</w:t>
      </w:r>
    </w:p>
    <w:p w14:paraId="46A69AE9" w14:textId="77777777" w:rsidR="00AF3F34" w:rsidRPr="00051FD3" w:rsidRDefault="00AF3F34" w:rsidP="0006705B">
      <w:pPr>
        <w:autoSpaceDE w:val="0"/>
        <w:autoSpaceDN w:val="0"/>
        <w:adjustRightInd w:val="0"/>
        <w:rPr>
          <w:rFonts w:eastAsia="Calibri"/>
          <w:sz w:val="22"/>
          <w:szCs w:val="22"/>
        </w:rPr>
      </w:pPr>
    </w:p>
    <w:p w14:paraId="4FBB07A7" w14:textId="6B359621" w:rsidR="0006705B" w:rsidRPr="00051FD3" w:rsidRDefault="00AF3F34" w:rsidP="0006705B">
      <w:pPr>
        <w:autoSpaceDE w:val="0"/>
        <w:autoSpaceDN w:val="0"/>
        <w:adjustRightInd w:val="0"/>
        <w:rPr>
          <w:bCs/>
          <w:sz w:val="22"/>
          <w:szCs w:val="22"/>
          <w:lang w:eastAsia="lt-LT"/>
        </w:rPr>
      </w:pPr>
      <w:r w:rsidRPr="00051FD3">
        <w:rPr>
          <w:bCs/>
          <w:sz w:val="22"/>
          <w:szCs w:val="22"/>
          <w:lang w:eastAsia="lt-LT"/>
        </w:rPr>
        <w:t>Nedažni šalutinio poveikio reiškiniai (gali pasireikšti ne rečiau kaip 1 iš 100 asmenų):</w:t>
      </w:r>
    </w:p>
    <w:p w14:paraId="01CD54EC" w14:textId="26179D43" w:rsidR="00AF3F34" w:rsidRPr="00051FD3" w:rsidRDefault="00AF3F34" w:rsidP="0006705B">
      <w:pPr>
        <w:autoSpaceDE w:val="0"/>
        <w:autoSpaceDN w:val="0"/>
        <w:adjustRightInd w:val="0"/>
        <w:rPr>
          <w:rFonts w:eastAsia="Calibri"/>
          <w:sz w:val="22"/>
          <w:szCs w:val="22"/>
        </w:rPr>
      </w:pPr>
      <w:r w:rsidRPr="00051FD3">
        <w:rPr>
          <w:bCs/>
          <w:sz w:val="22"/>
          <w:szCs w:val="22"/>
          <w:lang w:eastAsia="lt-LT"/>
        </w:rPr>
        <w:t>Ūminis inkstų nepakankamumas.</w:t>
      </w:r>
    </w:p>
    <w:p w14:paraId="1B3052DE" w14:textId="77777777" w:rsidR="00AF3F34" w:rsidRPr="00051FD3" w:rsidRDefault="00AF3F34" w:rsidP="0006705B">
      <w:pPr>
        <w:autoSpaceDE w:val="0"/>
        <w:autoSpaceDN w:val="0"/>
        <w:adjustRightInd w:val="0"/>
        <w:rPr>
          <w:rFonts w:eastAsia="Calibri"/>
          <w:sz w:val="22"/>
          <w:szCs w:val="22"/>
          <w:u w:val="single"/>
        </w:rPr>
      </w:pPr>
    </w:p>
    <w:p w14:paraId="55217300" w14:textId="29B3D3D6" w:rsidR="0006705B" w:rsidRPr="00051FD3" w:rsidRDefault="0006705B" w:rsidP="0006705B">
      <w:pPr>
        <w:autoSpaceDE w:val="0"/>
        <w:autoSpaceDN w:val="0"/>
        <w:adjustRightInd w:val="0"/>
        <w:rPr>
          <w:rFonts w:eastAsia="Calibri"/>
          <w:sz w:val="22"/>
          <w:szCs w:val="22"/>
          <w:u w:val="single"/>
        </w:rPr>
      </w:pPr>
      <w:r w:rsidRPr="00051FD3">
        <w:rPr>
          <w:rFonts w:eastAsia="Calibri"/>
          <w:sz w:val="22"/>
          <w:szCs w:val="22"/>
          <w:u w:val="single"/>
        </w:rPr>
        <w:t>Ret</w:t>
      </w:r>
      <w:r w:rsidR="00AF3F34" w:rsidRPr="00051FD3">
        <w:rPr>
          <w:rFonts w:eastAsia="Calibri"/>
          <w:sz w:val="22"/>
          <w:szCs w:val="22"/>
          <w:u w:val="single"/>
        </w:rPr>
        <w:t>i</w:t>
      </w:r>
      <w:r w:rsidRPr="00051FD3">
        <w:rPr>
          <w:rFonts w:eastAsia="Calibri"/>
          <w:sz w:val="22"/>
          <w:szCs w:val="22"/>
          <w:u w:val="single"/>
        </w:rPr>
        <w:t xml:space="preserve"> šalutini</w:t>
      </w:r>
      <w:r w:rsidR="00AF3F34" w:rsidRPr="00051FD3">
        <w:rPr>
          <w:rFonts w:eastAsia="Calibri"/>
          <w:sz w:val="22"/>
          <w:szCs w:val="22"/>
          <w:u w:val="single"/>
        </w:rPr>
        <w:t>o</w:t>
      </w:r>
      <w:r w:rsidRPr="00051FD3">
        <w:rPr>
          <w:rFonts w:eastAsia="Calibri"/>
          <w:sz w:val="22"/>
          <w:szCs w:val="22"/>
          <w:u w:val="single"/>
        </w:rPr>
        <w:t xml:space="preserve"> poveiki</w:t>
      </w:r>
      <w:r w:rsidR="00AF3F34" w:rsidRPr="00051FD3">
        <w:rPr>
          <w:rFonts w:eastAsia="Calibri"/>
          <w:sz w:val="22"/>
          <w:szCs w:val="22"/>
          <w:u w:val="single"/>
        </w:rPr>
        <w:t>o reiškiniai</w:t>
      </w:r>
      <w:r w:rsidRPr="00051FD3">
        <w:rPr>
          <w:rFonts w:eastAsia="Calibri"/>
          <w:sz w:val="22"/>
          <w:szCs w:val="22"/>
          <w:u w:val="single"/>
        </w:rPr>
        <w:t xml:space="preserve"> (gali pasireikšti rečiau kaip 1 iš 1</w:t>
      </w:r>
      <w:r w:rsidR="00486E14">
        <w:rPr>
          <w:rFonts w:eastAsia="Calibri"/>
          <w:sz w:val="22"/>
          <w:szCs w:val="22"/>
          <w:u w:val="single"/>
        </w:rPr>
        <w:t> </w:t>
      </w:r>
      <w:r w:rsidRPr="00051FD3">
        <w:rPr>
          <w:rFonts w:eastAsia="Calibri"/>
          <w:sz w:val="22"/>
          <w:szCs w:val="22"/>
          <w:u w:val="single"/>
        </w:rPr>
        <w:t xml:space="preserve">000 </w:t>
      </w:r>
      <w:r w:rsidR="00AF3F34" w:rsidRPr="00051FD3">
        <w:rPr>
          <w:rFonts w:eastAsia="Calibri"/>
          <w:sz w:val="22"/>
          <w:szCs w:val="22"/>
          <w:u w:val="single"/>
        </w:rPr>
        <w:t>asmenų</w:t>
      </w:r>
      <w:r w:rsidRPr="00051FD3">
        <w:rPr>
          <w:rFonts w:eastAsia="Calibri"/>
          <w:sz w:val="22"/>
          <w:szCs w:val="22"/>
          <w:u w:val="single"/>
        </w:rPr>
        <w:t>):</w:t>
      </w:r>
    </w:p>
    <w:p w14:paraId="6BF02568" w14:textId="4C63F8C0" w:rsidR="00AF3F34" w:rsidRPr="00051FD3" w:rsidRDefault="0006705B" w:rsidP="00AF3F34">
      <w:pPr>
        <w:pStyle w:val="Default"/>
        <w:rPr>
          <w:rFonts w:eastAsia="Calibri"/>
          <w:sz w:val="22"/>
          <w:szCs w:val="22"/>
          <w:lang w:val="lt-LT"/>
        </w:rPr>
      </w:pPr>
      <w:r w:rsidRPr="00051FD3">
        <w:rPr>
          <w:rFonts w:eastAsia="Calibri"/>
          <w:sz w:val="22"/>
          <w:szCs w:val="22"/>
          <w:lang w:val="lt-LT"/>
        </w:rPr>
        <w:t>Kraujo plokštelių kiekio sumažėjimas</w:t>
      </w:r>
      <w:r w:rsidR="00AF3F34" w:rsidRPr="00051FD3">
        <w:rPr>
          <w:rFonts w:eastAsia="Calibri"/>
          <w:sz w:val="22"/>
          <w:szCs w:val="22"/>
          <w:lang w:val="lt-LT"/>
        </w:rPr>
        <w:t xml:space="preserve"> (</w:t>
      </w:r>
      <w:proofErr w:type="spellStart"/>
      <w:r w:rsidR="00AF3F34" w:rsidRPr="00051FD3">
        <w:rPr>
          <w:rFonts w:eastAsia="Calibri"/>
          <w:sz w:val="22"/>
          <w:szCs w:val="22"/>
          <w:lang w:val="lt-LT"/>
        </w:rPr>
        <w:t>trombocitopenija</w:t>
      </w:r>
      <w:proofErr w:type="spellEnd"/>
      <w:r w:rsidR="00AF3F34" w:rsidRPr="00051FD3">
        <w:rPr>
          <w:rFonts w:eastAsia="Calibri"/>
          <w:sz w:val="22"/>
          <w:szCs w:val="22"/>
          <w:lang w:val="lt-LT"/>
        </w:rPr>
        <w:t>)</w:t>
      </w:r>
      <w:r w:rsidRPr="00051FD3">
        <w:rPr>
          <w:rFonts w:eastAsia="Calibri"/>
          <w:sz w:val="22"/>
          <w:szCs w:val="22"/>
          <w:lang w:val="lt-LT"/>
        </w:rPr>
        <w:t>, kuris padidina kraujavimo ir kraujosruvų (mažų violetinių arba</w:t>
      </w:r>
      <w:r w:rsidR="00AF3F34" w:rsidRPr="00051FD3">
        <w:rPr>
          <w:rFonts w:eastAsia="Calibri"/>
          <w:sz w:val="22"/>
          <w:szCs w:val="22"/>
          <w:lang w:val="lt-LT"/>
        </w:rPr>
        <w:t xml:space="preserve"> raudonų dėmelių, atsirandančių odoje ir kituose audiniuose dėl kraujavimo) riziką, padidėjęs kalcio kiekis kraujyje, padidėjęs gliukozės kiekis kraujyje, galvos skausmas, </w:t>
      </w:r>
      <w:r w:rsidR="00AF3F34" w:rsidRPr="00051FD3">
        <w:rPr>
          <w:sz w:val="22"/>
          <w:szCs w:val="22"/>
          <w:lang w:val="lt-LT"/>
        </w:rPr>
        <w:t>nemalonus pojūtis skrandyje, odos ar akių pageltimas (gelta), tulžies medžiagų perteklius kraujyje (</w:t>
      </w:r>
      <w:proofErr w:type="spellStart"/>
      <w:r w:rsidR="00AF3F34" w:rsidRPr="00051FD3">
        <w:rPr>
          <w:sz w:val="22"/>
          <w:szCs w:val="22"/>
          <w:lang w:val="lt-LT"/>
        </w:rPr>
        <w:t>cholestazė</w:t>
      </w:r>
      <w:proofErr w:type="spellEnd"/>
      <w:r w:rsidR="00AF3F34" w:rsidRPr="00051FD3">
        <w:rPr>
          <w:sz w:val="22"/>
          <w:szCs w:val="22"/>
          <w:lang w:val="lt-LT"/>
        </w:rPr>
        <w:t xml:space="preserve">), </w:t>
      </w:r>
      <w:r w:rsidR="00AF3F34" w:rsidRPr="00051FD3">
        <w:rPr>
          <w:color w:val="auto"/>
          <w:sz w:val="22"/>
          <w:szCs w:val="22"/>
          <w:lang w:val="lt-LT"/>
        </w:rPr>
        <w:t>padidėjusio jautrumo šviesai reakcija, gliukozės kiekio kontrolės kraujyje pasunkėjimas cukriniu diabetu sergantiems pacientams, gliukozės buvimas šlapime (</w:t>
      </w:r>
      <w:proofErr w:type="spellStart"/>
      <w:r w:rsidR="00AF3F34" w:rsidRPr="00051FD3">
        <w:rPr>
          <w:color w:val="auto"/>
          <w:sz w:val="22"/>
          <w:szCs w:val="22"/>
          <w:lang w:val="lt-LT"/>
        </w:rPr>
        <w:t>glikozurija</w:t>
      </w:r>
      <w:proofErr w:type="spellEnd"/>
      <w:r w:rsidR="00AF3F34" w:rsidRPr="00051FD3">
        <w:rPr>
          <w:color w:val="auto"/>
          <w:sz w:val="22"/>
          <w:szCs w:val="22"/>
          <w:lang w:val="lt-LT"/>
        </w:rPr>
        <w:t>).</w:t>
      </w:r>
      <w:r w:rsidR="00AF3F34" w:rsidRPr="00051FD3">
        <w:rPr>
          <w:rFonts w:eastAsia="Calibri"/>
          <w:sz w:val="22"/>
          <w:szCs w:val="22"/>
          <w:lang w:val="lt-LT"/>
        </w:rPr>
        <w:t>.</w:t>
      </w:r>
    </w:p>
    <w:p w14:paraId="615885E8" w14:textId="77777777" w:rsidR="00AF3F34" w:rsidRPr="00051FD3" w:rsidRDefault="00AF3F34" w:rsidP="00AF3F34">
      <w:pPr>
        <w:autoSpaceDE w:val="0"/>
        <w:autoSpaceDN w:val="0"/>
        <w:adjustRightInd w:val="0"/>
        <w:rPr>
          <w:rFonts w:eastAsia="Calibri"/>
          <w:sz w:val="22"/>
          <w:szCs w:val="22"/>
        </w:rPr>
      </w:pPr>
    </w:p>
    <w:p w14:paraId="02D480E5" w14:textId="4CE0A04A" w:rsidR="0006705B" w:rsidRPr="00051FD3" w:rsidRDefault="0006705B" w:rsidP="0006705B">
      <w:pPr>
        <w:autoSpaceDE w:val="0"/>
        <w:autoSpaceDN w:val="0"/>
        <w:adjustRightInd w:val="0"/>
        <w:rPr>
          <w:rFonts w:eastAsia="Calibri"/>
          <w:sz w:val="22"/>
          <w:szCs w:val="22"/>
          <w:u w:val="single"/>
        </w:rPr>
      </w:pPr>
      <w:r w:rsidRPr="00051FD3">
        <w:rPr>
          <w:rFonts w:eastAsia="Calibri"/>
          <w:sz w:val="22"/>
          <w:szCs w:val="22"/>
          <w:u w:val="single"/>
        </w:rPr>
        <w:t>Labai ret</w:t>
      </w:r>
      <w:r w:rsidR="00F86ED2" w:rsidRPr="00051FD3">
        <w:rPr>
          <w:rFonts w:eastAsia="Calibri"/>
          <w:sz w:val="22"/>
          <w:szCs w:val="22"/>
          <w:u w:val="single"/>
        </w:rPr>
        <w:t>i</w:t>
      </w:r>
      <w:r w:rsidRPr="00051FD3">
        <w:rPr>
          <w:rFonts w:eastAsia="Calibri"/>
          <w:sz w:val="22"/>
          <w:szCs w:val="22"/>
          <w:u w:val="single"/>
        </w:rPr>
        <w:t xml:space="preserve"> šalutini</w:t>
      </w:r>
      <w:r w:rsidR="00F86ED2" w:rsidRPr="00051FD3">
        <w:rPr>
          <w:rFonts w:eastAsia="Calibri"/>
          <w:sz w:val="22"/>
          <w:szCs w:val="22"/>
          <w:u w:val="single"/>
        </w:rPr>
        <w:t>o</w:t>
      </w:r>
      <w:r w:rsidRPr="00051FD3">
        <w:rPr>
          <w:rFonts w:eastAsia="Calibri"/>
          <w:sz w:val="22"/>
          <w:szCs w:val="22"/>
          <w:u w:val="single"/>
        </w:rPr>
        <w:t xml:space="preserve"> poveiki</w:t>
      </w:r>
      <w:r w:rsidR="00F86ED2" w:rsidRPr="00051FD3">
        <w:rPr>
          <w:rFonts w:eastAsia="Calibri"/>
          <w:sz w:val="22"/>
          <w:szCs w:val="22"/>
          <w:u w:val="single"/>
        </w:rPr>
        <w:t>o reiškiniai</w:t>
      </w:r>
      <w:r w:rsidRPr="00051FD3">
        <w:rPr>
          <w:rFonts w:eastAsia="Calibri"/>
          <w:sz w:val="22"/>
          <w:szCs w:val="22"/>
          <w:u w:val="single"/>
        </w:rPr>
        <w:t xml:space="preserve"> (gali pasireikšti rečiau kaip 1 iš 10</w:t>
      </w:r>
      <w:r w:rsidR="00917650">
        <w:rPr>
          <w:rFonts w:eastAsia="Calibri"/>
          <w:sz w:val="22"/>
          <w:szCs w:val="22"/>
          <w:u w:val="single"/>
        </w:rPr>
        <w:t> </w:t>
      </w:r>
      <w:r w:rsidRPr="00051FD3">
        <w:rPr>
          <w:rFonts w:eastAsia="Calibri"/>
          <w:sz w:val="22"/>
          <w:szCs w:val="22"/>
          <w:u w:val="single"/>
        </w:rPr>
        <w:t xml:space="preserve">000 </w:t>
      </w:r>
      <w:r w:rsidR="00F86ED2" w:rsidRPr="00051FD3">
        <w:rPr>
          <w:rFonts w:eastAsia="Calibri"/>
          <w:sz w:val="22"/>
          <w:szCs w:val="22"/>
          <w:u w:val="single"/>
        </w:rPr>
        <w:t>asmenų</w:t>
      </w:r>
      <w:r w:rsidRPr="00051FD3">
        <w:rPr>
          <w:rFonts w:eastAsia="Calibri"/>
          <w:sz w:val="22"/>
          <w:szCs w:val="22"/>
          <w:u w:val="single"/>
        </w:rPr>
        <w:t>):</w:t>
      </w:r>
    </w:p>
    <w:p w14:paraId="2D618797" w14:textId="7A81C327" w:rsidR="0006705B" w:rsidRPr="00051FD3" w:rsidRDefault="00F86ED2" w:rsidP="00F86ED2">
      <w:pPr>
        <w:tabs>
          <w:tab w:val="left" w:pos="567"/>
        </w:tabs>
        <w:rPr>
          <w:snapToGrid w:val="0"/>
          <w:sz w:val="22"/>
          <w:szCs w:val="22"/>
          <w:lang w:bidi="lt-LT"/>
        </w:rPr>
      </w:pPr>
      <w:r w:rsidRPr="00051FD3">
        <w:rPr>
          <w:sz w:val="22"/>
          <w:szCs w:val="22"/>
        </w:rPr>
        <w:t>Nenormalus raudonųjų kraujo ląstelių irimas (hemolizinė anemija), kaulų čiulpų nepajėgumas tinkamai veikti, baltųjų kraujo ląstelių kiekio sumažėjimas (</w:t>
      </w:r>
      <w:proofErr w:type="spellStart"/>
      <w:r w:rsidRPr="00051FD3">
        <w:rPr>
          <w:sz w:val="22"/>
          <w:szCs w:val="22"/>
        </w:rPr>
        <w:t>leukopenija</w:t>
      </w:r>
      <w:proofErr w:type="spellEnd"/>
      <w:r w:rsidRPr="00051FD3">
        <w:rPr>
          <w:sz w:val="22"/>
          <w:szCs w:val="22"/>
        </w:rPr>
        <w:t xml:space="preserve">, </w:t>
      </w:r>
      <w:proofErr w:type="spellStart"/>
      <w:r w:rsidRPr="00051FD3">
        <w:rPr>
          <w:sz w:val="22"/>
          <w:szCs w:val="22"/>
        </w:rPr>
        <w:t>agranulocitozė</w:t>
      </w:r>
      <w:proofErr w:type="spellEnd"/>
      <w:r w:rsidRPr="00051FD3">
        <w:rPr>
          <w:sz w:val="22"/>
          <w:szCs w:val="22"/>
        </w:rPr>
        <w:t>), sunkios alerginės reakcijos (pvz., jautrumo padidėjimas),</w:t>
      </w:r>
      <w:r w:rsidRPr="00051FD3">
        <w:rPr>
          <w:rFonts w:eastAsia="Calibri"/>
          <w:sz w:val="22"/>
          <w:szCs w:val="22"/>
        </w:rPr>
        <w:t>p</w:t>
      </w:r>
      <w:r w:rsidR="0006705B" w:rsidRPr="00051FD3">
        <w:rPr>
          <w:rFonts w:eastAsia="Calibri"/>
          <w:sz w:val="22"/>
          <w:szCs w:val="22"/>
        </w:rPr>
        <w:t>adidėjęs pH  dėl sumažėjusio chloridų kiekio kraujyje</w:t>
      </w:r>
      <w:r w:rsidRPr="00051FD3">
        <w:rPr>
          <w:sz w:val="22"/>
          <w:szCs w:val="22"/>
        </w:rPr>
        <w:t xml:space="preserve">(sutrikusi rūgščių ir šarmų pusiausvyra, </w:t>
      </w:r>
      <w:proofErr w:type="spellStart"/>
      <w:r w:rsidRPr="00051FD3">
        <w:rPr>
          <w:sz w:val="22"/>
          <w:szCs w:val="22"/>
        </w:rPr>
        <w:t>hipochloreminė</w:t>
      </w:r>
      <w:proofErr w:type="spellEnd"/>
      <w:r w:rsidRPr="00051FD3">
        <w:rPr>
          <w:sz w:val="22"/>
          <w:szCs w:val="22"/>
        </w:rPr>
        <w:t xml:space="preserve"> </w:t>
      </w:r>
      <w:proofErr w:type="spellStart"/>
      <w:r w:rsidRPr="00051FD3">
        <w:rPr>
          <w:sz w:val="22"/>
          <w:szCs w:val="22"/>
        </w:rPr>
        <w:t>alkalozė</w:t>
      </w:r>
      <w:proofErr w:type="spellEnd"/>
      <w:r w:rsidRPr="00051FD3">
        <w:rPr>
          <w:sz w:val="22"/>
          <w:szCs w:val="22"/>
        </w:rPr>
        <w:t>), kasos uždegimas, į vilkligę panašus sindromas (būklė, primenanti ligą, kuri vadinama sistemine raudonąja vilklige ir kuria sergant organizmą puola sava imuninė sistema), kraujagyslių uždegimas (</w:t>
      </w:r>
      <w:proofErr w:type="spellStart"/>
      <w:r w:rsidRPr="00051FD3">
        <w:rPr>
          <w:sz w:val="22"/>
          <w:szCs w:val="22"/>
        </w:rPr>
        <w:t>nekrozuojantis</w:t>
      </w:r>
      <w:proofErr w:type="spellEnd"/>
      <w:r w:rsidRPr="00051FD3">
        <w:rPr>
          <w:sz w:val="22"/>
          <w:szCs w:val="22"/>
        </w:rPr>
        <w:t xml:space="preserve"> </w:t>
      </w:r>
      <w:proofErr w:type="spellStart"/>
      <w:r w:rsidRPr="00051FD3">
        <w:rPr>
          <w:sz w:val="22"/>
          <w:szCs w:val="22"/>
        </w:rPr>
        <w:t>vaskulitas</w:t>
      </w:r>
      <w:proofErr w:type="spellEnd"/>
      <w:r w:rsidRPr="00051FD3">
        <w:rPr>
          <w:sz w:val="22"/>
          <w:szCs w:val="22"/>
        </w:rPr>
        <w:t>).</w:t>
      </w:r>
    </w:p>
    <w:p w14:paraId="119B80C1" w14:textId="77777777" w:rsidR="007F39B7" w:rsidRPr="000E639C" w:rsidRDefault="007F39B7" w:rsidP="007F39B7">
      <w:pPr>
        <w:pStyle w:val="Default"/>
        <w:rPr>
          <w:sz w:val="22"/>
          <w:szCs w:val="22"/>
          <w:u w:val="single"/>
          <w:lang w:val="lt-LT"/>
        </w:rPr>
      </w:pPr>
    </w:p>
    <w:p w14:paraId="15A72EE1" w14:textId="39D0F672" w:rsidR="007F39B7" w:rsidRPr="00051FD3" w:rsidRDefault="007F39B7" w:rsidP="007F39B7">
      <w:pPr>
        <w:pStyle w:val="Default"/>
        <w:rPr>
          <w:sz w:val="22"/>
          <w:szCs w:val="22"/>
          <w:lang w:val="lt-LT"/>
        </w:rPr>
      </w:pPr>
      <w:r w:rsidRPr="00051FD3">
        <w:rPr>
          <w:sz w:val="22"/>
          <w:szCs w:val="22"/>
          <w:u w:val="single"/>
          <w:lang w:val="lt-LT"/>
        </w:rPr>
        <w:t>Šalutini</w:t>
      </w:r>
      <w:r w:rsidR="00F86ED2" w:rsidRPr="00051FD3">
        <w:rPr>
          <w:sz w:val="22"/>
          <w:szCs w:val="22"/>
          <w:u w:val="single"/>
          <w:lang w:val="lt-LT"/>
        </w:rPr>
        <w:t>o</w:t>
      </w:r>
      <w:r w:rsidRPr="00051FD3">
        <w:rPr>
          <w:sz w:val="22"/>
          <w:szCs w:val="22"/>
          <w:u w:val="single"/>
          <w:lang w:val="lt-LT"/>
        </w:rPr>
        <w:t xml:space="preserve"> poveiki</w:t>
      </w:r>
      <w:r w:rsidR="00F86ED2" w:rsidRPr="00051FD3">
        <w:rPr>
          <w:sz w:val="22"/>
          <w:szCs w:val="22"/>
          <w:u w:val="single"/>
          <w:lang w:val="lt-LT"/>
        </w:rPr>
        <w:t>o reiškiniai</w:t>
      </w:r>
      <w:r w:rsidRPr="00051FD3">
        <w:rPr>
          <w:sz w:val="22"/>
          <w:szCs w:val="22"/>
          <w:u w:val="single"/>
          <w:lang w:val="lt-LT"/>
        </w:rPr>
        <w:t>, kuri</w:t>
      </w:r>
      <w:r w:rsidR="00F86ED2" w:rsidRPr="00051FD3">
        <w:rPr>
          <w:sz w:val="22"/>
          <w:szCs w:val="22"/>
          <w:u w:val="single"/>
          <w:lang w:val="lt-LT"/>
        </w:rPr>
        <w:t>ų</w:t>
      </w:r>
      <w:r w:rsidRPr="00051FD3">
        <w:rPr>
          <w:sz w:val="22"/>
          <w:szCs w:val="22"/>
          <w:u w:val="single"/>
          <w:lang w:val="lt-LT"/>
        </w:rPr>
        <w:t xml:space="preserve"> dažnis nežinomas</w:t>
      </w:r>
      <w:r w:rsidRPr="00051FD3">
        <w:rPr>
          <w:sz w:val="22"/>
          <w:szCs w:val="22"/>
          <w:lang w:val="lt-LT"/>
        </w:rPr>
        <w:t xml:space="preserve"> (negali būti </w:t>
      </w:r>
      <w:r w:rsidR="00F86ED2" w:rsidRPr="00051FD3">
        <w:rPr>
          <w:sz w:val="22"/>
          <w:szCs w:val="22"/>
          <w:lang w:val="lt-LT"/>
        </w:rPr>
        <w:t>apskaičiuotas</w:t>
      </w:r>
      <w:r w:rsidRPr="00051FD3">
        <w:rPr>
          <w:sz w:val="22"/>
          <w:szCs w:val="22"/>
          <w:lang w:val="lt-LT"/>
        </w:rPr>
        <w:t xml:space="preserve"> pagal turimus duomenis)</w:t>
      </w:r>
    </w:p>
    <w:p w14:paraId="49BE1B25" w14:textId="4873F389" w:rsidR="007F39B7" w:rsidRPr="00051FD3" w:rsidRDefault="007F39B7" w:rsidP="007F39B7">
      <w:pPr>
        <w:pStyle w:val="Default"/>
        <w:rPr>
          <w:sz w:val="22"/>
          <w:szCs w:val="22"/>
          <w:lang w:val="lt-LT"/>
        </w:rPr>
      </w:pPr>
      <w:r w:rsidRPr="00051FD3">
        <w:rPr>
          <w:sz w:val="22"/>
          <w:szCs w:val="22"/>
          <w:lang w:val="lt-LT"/>
        </w:rPr>
        <w:t xml:space="preserve">Seilių liaukų uždegimas, </w:t>
      </w:r>
      <w:r w:rsidR="00BF338D" w:rsidRPr="00051FD3">
        <w:rPr>
          <w:sz w:val="22"/>
          <w:szCs w:val="22"/>
          <w:lang w:val="lt-LT"/>
        </w:rPr>
        <w:t>odos ir lūpos vėžys (</w:t>
      </w:r>
      <w:proofErr w:type="spellStart"/>
      <w:r w:rsidR="00BF338D" w:rsidRPr="00051FD3">
        <w:rPr>
          <w:sz w:val="22"/>
          <w:szCs w:val="22"/>
          <w:lang w:val="lt-LT"/>
        </w:rPr>
        <w:t>nemelanominis</w:t>
      </w:r>
      <w:proofErr w:type="spellEnd"/>
      <w:r w:rsidR="00BF338D" w:rsidRPr="00051FD3">
        <w:rPr>
          <w:sz w:val="22"/>
          <w:szCs w:val="22"/>
          <w:lang w:val="lt-LT"/>
        </w:rPr>
        <w:t xml:space="preserve"> odos vėžys), </w:t>
      </w:r>
      <w:r w:rsidRPr="00051FD3">
        <w:rPr>
          <w:sz w:val="22"/>
          <w:szCs w:val="22"/>
          <w:lang w:val="lt-LT"/>
        </w:rPr>
        <w:t>kraujo ląstelių kiekio sumažėjimas kraujyje</w:t>
      </w:r>
      <w:r w:rsidR="00F86ED2" w:rsidRPr="00051FD3">
        <w:rPr>
          <w:sz w:val="22"/>
          <w:szCs w:val="22"/>
          <w:lang w:val="lt-LT"/>
        </w:rPr>
        <w:t xml:space="preserve"> (</w:t>
      </w:r>
      <w:proofErr w:type="spellStart"/>
      <w:r w:rsidR="00F86ED2" w:rsidRPr="00051FD3">
        <w:rPr>
          <w:sz w:val="22"/>
          <w:szCs w:val="22"/>
          <w:lang w:val="lt-LT"/>
        </w:rPr>
        <w:t>aplazinė</w:t>
      </w:r>
      <w:proofErr w:type="spellEnd"/>
      <w:r w:rsidR="00F86ED2" w:rsidRPr="00051FD3">
        <w:rPr>
          <w:sz w:val="22"/>
          <w:szCs w:val="22"/>
          <w:lang w:val="lt-LT"/>
        </w:rPr>
        <w:t xml:space="preserve"> anemija), regos susilpnėjimas ir akių skausmas (galimi skysčio susikaupimo </w:t>
      </w:r>
      <w:r w:rsidR="00F97057" w:rsidRPr="00051FD3">
        <w:rPr>
          <w:sz w:val="22"/>
          <w:szCs w:val="22"/>
          <w:lang w:val="lt-LT"/>
        </w:rPr>
        <w:t>akies kraujagysliniame dangale [</w:t>
      </w:r>
      <w:r w:rsidR="00F86ED2" w:rsidRPr="00051FD3">
        <w:rPr>
          <w:sz w:val="22"/>
          <w:szCs w:val="22"/>
          <w:lang w:val="lt-LT"/>
        </w:rPr>
        <w:t xml:space="preserve">tarp </w:t>
      </w:r>
      <w:proofErr w:type="spellStart"/>
      <w:r w:rsidR="00F86ED2" w:rsidRPr="00051FD3">
        <w:rPr>
          <w:sz w:val="22"/>
          <w:szCs w:val="22"/>
          <w:lang w:val="lt-LT"/>
        </w:rPr>
        <w:t>gyslainė</w:t>
      </w:r>
      <w:r w:rsidR="00F97057" w:rsidRPr="00051FD3">
        <w:rPr>
          <w:sz w:val="22"/>
          <w:szCs w:val="22"/>
          <w:lang w:val="lt-LT"/>
        </w:rPr>
        <w:t>s</w:t>
      </w:r>
      <w:proofErr w:type="spellEnd"/>
      <w:r w:rsidR="00F97057" w:rsidRPr="00051FD3">
        <w:rPr>
          <w:sz w:val="22"/>
          <w:szCs w:val="22"/>
          <w:lang w:val="lt-LT"/>
        </w:rPr>
        <w:t xml:space="preserve"> ir </w:t>
      </w:r>
      <w:proofErr w:type="spellStart"/>
      <w:r w:rsidR="00F97057" w:rsidRPr="00051FD3">
        <w:rPr>
          <w:sz w:val="22"/>
          <w:szCs w:val="22"/>
          <w:lang w:val="lt-LT"/>
        </w:rPr>
        <w:t>skleros</w:t>
      </w:r>
      <w:proofErr w:type="spellEnd"/>
      <w:r w:rsidR="00F97057" w:rsidRPr="00051FD3">
        <w:rPr>
          <w:sz w:val="22"/>
          <w:szCs w:val="22"/>
          <w:lang w:val="lt-LT"/>
        </w:rPr>
        <w:t>]</w:t>
      </w:r>
      <w:r w:rsidR="00F86ED2" w:rsidRPr="00051FD3">
        <w:rPr>
          <w:sz w:val="22"/>
          <w:szCs w:val="22"/>
          <w:lang w:val="lt-LT"/>
        </w:rPr>
        <w:t xml:space="preserve"> arba ūminės uždaro kampo glaukomos požymiai), odos sutrikimai, pvz., odos kraujagyslių uždegimas, jautrumo saulės šviesai padidėjimas, išbėrimas, odos paraudimas, pūslių susidarymas lūpų, akių arba burnos srityje, odos lupimasis, karščiavimas (galimi daugiaformės raudonė</w:t>
      </w:r>
      <w:r w:rsidR="00F97057" w:rsidRPr="00051FD3">
        <w:rPr>
          <w:sz w:val="22"/>
          <w:szCs w:val="22"/>
          <w:lang w:val="lt-LT"/>
        </w:rPr>
        <w:t>s [</w:t>
      </w:r>
      <w:proofErr w:type="spellStart"/>
      <w:r w:rsidR="00F97057" w:rsidRPr="00051FD3">
        <w:rPr>
          <w:sz w:val="22"/>
          <w:szCs w:val="22"/>
          <w:lang w:val="lt-LT"/>
        </w:rPr>
        <w:t>eritemos</w:t>
      </w:r>
      <w:proofErr w:type="spellEnd"/>
      <w:r w:rsidR="00F97057" w:rsidRPr="00051FD3">
        <w:rPr>
          <w:sz w:val="22"/>
          <w:szCs w:val="22"/>
          <w:lang w:val="lt-LT"/>
        </w:rPr>
        <w:t xml:space="preserve">] </w:t>
      </w:r>
      <w:r w:rsidR="00F86ED2" w:rsidRPr="00051FD3">
        <w:rPr>
          <w:sz w:val="22"/>
          <w:szCs w:val="22"/>
          <w:lang w:val="lt-LT"/>
        </w:rPr>
        <w:t>požymiai), bendrojo pobūdžio silpnumas, inkstų funkcijos sutrikimas.</w:t>
      </w:r>
    </w:p>
    <w:p w14:paraId="1D243721" w14:textId="58035054" w:rsidR="007F39B7" w:rsidRPr="00051FD3" w:rsidRDefault="00F97057" w:rsidP="00F97057">
      <w:pPr>
        <w:pStyle w:val="Default"/>
        <w:rPr>
          <w:sz w:val="22"/>
          <w:szCs w:val="22"/>
          <w:lang w:val="lt-LT"/>
        </w:rPr>
      </w:pPr>
      <w:r w:rsidRPr="000E639C">
        <w:rPr>
          <w:sz w:val="22"/>
          <w:szCs w:val="22"/>
          <w:lang w:val="lt-LT"/>
        </w:rPr>
        <w:t>Pavieniais atvejais nustatytas mažas natrio kiekis, pasireiškiantis su smegenimis arba nervais susijusiais simptomais (liguista savijauta, progresuojanti dezorientacija, susidomėjimo arba energijos trūkumas).</w:t>
      </w:r>
    </w:p>
    <w:p w14:paraId="476258FC" w14:textId="77777777" w:rsidR="00F97057" w:rsidRPr="00051FD3" w:rsidRDefault="00F97057" w:rsidP="007F39B7">
      <w:pPr>
        <w:rPr>
          <w:b/>
          <w:sz w:val="22"/>
          <w:szCs w:val="22"/>
        </w:rPr>
      </w:pPr>
    </w:p>
    <w:p w14:paraId="1163BAEB" w14:textId="3FFC269E" w:rsidR="007F39B7" w:rsidRPr="00051FD3" w:rsidRDefault="007F39B7" w:rsidP="007F39B7">
      <w:pPr>
        <w:rPr>
          <w:b/>
          <w:sz w:val="22"/>
          <w:szCs w:val="22"/>
        </w:rPr>
      </w:pPr>
      <w:r w:rsidRPr="00051FD3">
        <w:rPr>
          <w:b/>
          <w:sz w:val="22"/>
          <w:szCs w:val="22"/>
        </w:rPr>
        <w:t>Pranešimas apie šalutinį poveikį</w:t>
      </w:r>
    </w:p>
    <w:p w14:paraId="6B2E225F" w14:textId="2352A9CF" w:rsidR="00F97057" w:rsidRPr="00012DBE" w:rsidRDefault="00F97057" w:rsidP="00F97057">
      <w:pPr>
        <w:tabs>
          <w:tab w:val="left" w:pos="567"/>
        </w:tabs>
        <w:spacing w:line="260" w:lineRule="exact"/>
        <w:ind w:right="-1"/>
        <w:rPr>
          <w:sz w:val="22"/>
          <w:szCs w:val="22"/>
        </w:rPr>
      </w:pPr>
      <w:r w:rsidRPr="00051FD3">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51FD3">
        <w:rPr>
          <w:color w:val="0000EE"/>
          <w:sz w:val="22"/>
          <w:szCs w:val="22"/>
          <w:u w:val="single"/>
          <w:lang w:eastAsia="lt-LT"/>
        </w:rPr>
        <w:t>https://vvkt.lrv.lt/lt/</w:t>
      </w:r>
      <w:r w:rsidRPr="00051FD3">
        <w:rPr>
          <w:sz w:val="22"/>
          <w:szCs w:val="22"/>
          <w:lang w:eastAsia="lt-LT"/>
        </w:rPr>
        <w:t xml:space="preserve"> nurodytais būdais arba paskambinti nemokamu telefonu </w:t>
      </w:r>
      <w:r w:rsidR="005A62C1">
        <w:rPr>
          <w:sz w:val="22"/>
          <w:szCs w:val="22"/>
          <w:lang w:eastAsia="lt-LT"/>
        </w:rPr>
        <w:t>+370</w:t>
      </w:r>
      <w:r w:rsidRPr="00051FD3">
        <w:rPr>
          <w:sz w:val="22"/>
          <w:szCs w:val="22"/>
          <w:lang w:eastAsia="lt-LT"/>
        </w:rPr>
        <w:t xml:space="preserve"> 800 73 568. Pranešdami apie šalutinį poveikį galite mums padėti gauti daugiau informacijos apie šio vaisto saugumą</w:t>
      </w:r>
      <w:r w:rsidRPr="00012DBE">
        <w:rPr>
          <w:sz w:val="22"/>
          <w:szCs w:val="22"/>
        </w:rPr>
        <w:t>.</w:t>
      </w:r>
    </w:p>
    <w:p w14:paraId="256668B7" w14:textId="77777777" w:rsidR="007F39B7" w:rsidRPr="00051FD3" w:rsidRDefault="007F39B7" w:rsidP="007F39B7">
      <w:pPr>
        <w:autoSpaceDE w:val="0"/>
        <w:autoSpaceDN w:val="0"/>
        <w:adjustRightInd w:val="0"/>
        <w:rPr>
          <w:b/>
          <w:bCs/>
          <w:sz w:val="22"/>
          <w:szCs w:val="22"/>
        </w:rPr>
      </w:pPr>
    </w:p>
    <w:p w14:paraId="64CBED80" w14:textId="77777777" w:rsidR="007F39B7" w:rsidRPr="00051FD3" w:rsidRDefault="007F39B7" w:rsidP="007F39B7">
      <w:pPr>
        <w:rPr>
          <w:sz w:val="22"/>
          <w:szCs w:val="22"/>
        </w:rPr>
      </w:pPr>
    </w:p>
    <w:p w14:paraId="7E632A1A"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5.</w:t>
      </w:r>
      <w:r w:rsidRPr="00051FD3">
        <w:rPr>
          <w:b/>
          <w:bCs/>
          <w:sz w:val="22"/>
          <w:szCs w:val="22"/>
          <w:lang w:eastAsia="lt-LT"/>
        </w:rPr>
        <w:tab/>
      </w:r>
      <w:r w:rsidRPr="00051FD3">
        <w:rPr>
          <w:b/>
          <w:sz w:val="22"/>
          <w:szCs w:val="22"/>
          <w:lang w:eastAsia="lt-LT"/>
        </w:rPr>
        <w:t xml:space="preserve">Kaip laikyti </w:t>
      </w: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p>
    <w:p w14:paraId="3D532926" w14:textId="77777777" w:rsidR="007F39B7" w:rsidRPr="00051FD3" w:rsidRDefault="007F39B7" w:rsidP="007F39B7">
      <w:pPr>
        <w:autoSpaceDE w:val="0"/>
        <w:autoSpaceDN w:val="0"/>
        <w:adjustRightInd w:val="0"/>
        <w:rPr>
          <w:b/>
          <w:bCs/>
          <w:sz w:val="22"/>
          <w:szCs w:val="22"/>
          <w:lang w:eastAsia="lt-LT"/>
        </w:rPr>
      </w:pPr>
    </w:p>
    <w:p w14:paraId="3A5E5A77"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Šį vaistą laikykite vaikams nepastebimoje ir nepasiekiamoje vietoje.</w:t>
      </w:r>
    </w:p>
    <w:p w14:paraId="50C161E5" w14:textId="77777777" w:rsidR="007F39B7" w:rsidRPr="00051FD3" w:rsidRDefault="007F39B7" w:rsidP="007F39B7">
      <w:pPr>
        <w:autoSpaceDE w:val="0"/>
        <w:autoSpaceDN w:val="0"/>
        <w:adjustRightInd w:val="0"/>
        <w:rPr>
          <w:sz w:val="22"/>
          <w:szCs w:val="22"/>
          <w:lang w:eastAsia="lt-LT"/>
        </w:rPr>
      </w:pPr>
    </w:p>
    <w:p w14:paraId="25D55FCA"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Ant dėžutės, tablečių </w:t>
      </w:r>
      <w:proofErr w:type="spellStart"/>
      <w:r w:rsidRPr="00051FD3">
        <w:rPr>
          <w:sz w:val="22"/>
          <w:szCs w:val="22"/>
          <w:lang w:eastAsia="lt-LT"/>
        </w:rPr>
        <w:t>talpyklės</w:t>
      </w:r>
      <w:proofErr w:type="spellEnd"/>
      <w:r w:rsidRPr="00051FD3">
        <w:rPr>
          <w:sz w:val="22"/>
          <w:szCs w:val="22"/>
          <w:lang w:eastAsia="lt-LT"/>
        </w:rPr>
        <w:t xml:space="preserve"> ir lizdinės plokštelės po „Tinka iki“</w:t>
      </w:r>
      <w:r w:rsidR="00767D57" w:rsidRPr="00051FD3">
        <w:rPr>
          <w:sz w:val="22"/>
          <w:szCs w:val="22"/>
          <w:lang w:eastAsia="lt-LT"/>
        </w:rPr>
        <w:t xml:space="preserve"> arba „EXP“</w:t>
      </w:r>
      <w:r w:rsidRPr="00051FD3">
        <w:rPr>
          <w:sz w:val="22"/>
          <w:szCs w:val="22"/>
          <w:lang w:eastAsia="lt-LT"/>
        </w:rPr>
        <w:t xml:space="preserve"> nurodytam tinkamumo laikui pasibaigus, šio vaisto vartoti negalima. Vaistas tinkamas vartoti iki paskutinės nurodyto mėnesio dienos.</w:t>
      </w:r>
    </w:p>
    <w:p w14:paraId="05C89ACF" w14:textId="77777777" w:rsidR="007F39B7" w:rsidRPr="00051FD3" w:rsidRDefault="007F39B7" w:rsidP="007F39B7">
      <w:pPr>
        <w:autoSpaceDE w:val="0"/>
        <w:autoSpaceDN w:val="0"/>
        <w:adjustRightInd w:val="0"/>
        <w:rPr>
          <w:sz w:val="22"/>
          <w:szCs w:val="22"/>
          <w:lang w:eastAsia="lt-LT"/>
        </w:rPr>
      </w:pPr>
    </w:p>
    <w:p w14:paraId="7BE7A32E" w14:textId="77777777" w:rsidR="007F39B7" w:rsidRPr="00051FD3" w:rsidRDefault="007F39B7" w:rsidP="007F39B7">
      <w:pPr>
        <w:autoSpaceDE w:val="0"/>
        <w:autoSpaceDN w:val="0"/>
        <w:adjustRightInd w:val="0"/>
        <w:rPr>
          <w:i/>
          <w:sz w:val="22"/>
          <w:szCs w:val="22"/>
          <w:lang w:eastAsia="lt-LT"/>
        </w:rPr>
      </w:pPr>
      <w:r w:rsidRPr="00051FD3">
        <w:rPr>
          <w:i/>
          <w:sz w:val="22"/>
          <w:szCs w:val="22"/>
          <w:lang w:eastAsia="lt-LT"/>
        </w:rPr>
        <w:t xml:space="preserve">Aliuminio/aliuminio lizdinė plokštelė ir DTPE tablečių </w:t>
      </w:r>
      <w:proofErr w:type="spellStart"/>
      <w:r w:rsidRPr="00051FD3">
        <w:rPr>
          <w:i/>
          <w:sz w:val="22"/>
          <w:szCs w:val="22"/>
          <w:lang w:eastAsia="lt-LT"/>
        </w:rPr>
        <w:t>talpyklė</w:t>
      </w:r>
      <w:proofErr w:type="spellEnd"/>
    </w:p>
    <w:p w14:paraId="006C0D75" w14:textId="77777777" w:rsidR="007F39B7" w:rsidRPr="00051FD3" w:rsidRDefault="007F39B7" w:rsidP="007F39B7">
      <w:pPr>
        <w:rPr>
          <w:noProof/>
          <w:sz w:val="22"/>
          <w:szCs w:val="22"/>
        </w:rPr>
      </w:pPr>
      <w:r w:rsidRPr="00051FD3">
        <w:rPr>
          <w:noProof/>
          <w:sz w:val="22"/>
          <w:szCs w:val="22"/>
        </w:rPr>
        <w:t>Šiam vaistui specialių laikymo sąlygų nereikia.</w:t>
      </w:r>
    </w:p>
    <w:p w14:paraId="4C4CEACA" w14:textId="77777777" w:rsidR="007F39B7" w:rsidRPr="00051FD3" w:rsidRDefault="007F39B7" w:rsidP="007F39B7">
      <w:pPr>
        <w:autoSpaceDE w:val="0"/>
        <w:autoSpaceDN w:val="0"/>
        <w:adjustRightInd w:val="0"/>
        <w:rPr>
          <w:i/>
          <w:sz w:val="22"/>
          <w:szCs w:val="22"/>
          <w:lang w:eastAsia="lt-LT"/>
        </w:rPr>
      </w:pPr>
    </w:p>
    <w:p w14:paraId="3DD82472" w14:textId="77777777" w:rsidR="007F39B7" w:rsidRPr="00051FD3" w:rsidRDefault="007F39B7" w:rsidP="007F39B7">
      <w:pPr>
        <w:autoSpaceDE w:val="0"/>
        <w:autoSpaceDN w:val="0"/>
        <w:adjustRightInd w:val="0"/>
        <w:rPr>
          <w:i/>
          <w:sz w:val="22"/>
          <w:szCs w:val="22"/>
          <w:lang w:eastAsia="lt-LT"/>
        </w:rPr>
      </w:pPr>
      <w:r w:rsidRPr="00051FD3">
        <w:rPr>
          <w:i/>
          <w:sz w:val="22"/>
          <w:szCs w:val="22"/>
          <w:lang w:eastAsia="lt-LT"/>
        </w:rPr>
        <w:lastRenderedPageBreak/>
        <w:t xml:space="preserve">Aliuminio/PVDC </w:t>
      </w:r>
      <w:proofErr w:type="spellStart"/>
      <w:r w:rsidRPr="00051FD3">
        <w:rPr>
          <w:i/>
          <w:sz w:val="22"/>
          <w:szCs w:val="22"/>
          <w:lang w:eastAsia="lt-LT"/>
        </w:rPr>
        <w:t>Tristar</w:t>
      </w:r>
      <w:proofErr w:type="spellEnd"/>
      <w:r w:rsidRPr="00051FD3">
        <w:rPr>
          <w:i/>
          <w:sz w:val="22"/>
          <w:szCs w:val="22"/>
          <w:lang w:eastAsia="lt-LT"/>
        </w:rPr>
        <w:t xml:space="preserve"> lizdinė plokštelė</w:t>
      </w:r>
    </w:p>
    <w:p w14:paraId="27FAFF49" w14:textId="77777777" w:rsidR="007F39B7" w:rsidRPr="00051FD3" w:rsidRDefault="007F39B7" w:rsidP="007F39B7">
      <w:pPr>
        <w:rPr>
          <w:noProof/>
          <w:sz w:val="22"/>
          <w:szCs w:val="22"/>
        </w:rPr>
      </w:pPr>
      <w:r w:rsidRPr="00051FD3">
        <w:rPr>
          <w:noProof/>
          <w:sz w:val="22"/>
          <w:szCs w:val="22"/>
        </w:rPr>
        <w:t xml:space="preserve">Laikyti ne aukštesnėje kaip 30 </w:t>
      </w:r>
      <w:r w:rsidRPr="00051FD3">
        <w:rPr>
          <w:noProof/>
          <w:sz w:val="22"/>
          <w:szCs w:val="22"/>
        </w:rPr>
        <w:sym w:font="Symbol" w:char="F0B0"/>
      </w:r>
      <w:r w:rsidRPr="00051FD3">
        <w:rPr>
          <w:noProof/>
          <w:sz w:val="22"/>
          <w:szCs w:val="22"/>
        </w:rPr>
        <w:t>C temperatūroje.</w:t>
      </w:r>
    </w:p>
    <w:p w14:paraId="63204D23" w14:textId="77777777" w:rsidR="007F39B7" w:rsidRPr="000E639C" w:rsidRDefault="007F39B7" w:rsidP="007F39B7">
      <w:pPr>
        <w:autoSpaceDE w:val="0"/>
        <w:autoSpaceDN w:val="0"/>
        <w:adjustRightInd w:val="0"/>
        <w:rPr>
          <w:sz w:val="22"/>
          <w:szCs w:val="22"/>
          <w:lang w:eastAsia="lt-LT"/>
        </w:rPr>
      </w:pPr>
    </w:p>
    <w:p w14:paraId="693C2BB4"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Vaistų negalima išmesti į kanalizaciją arba su buitinėmis atliekomis. Kaip išmesti nereikalingus vaistus, klauskite vaistininko. Šios priemonės padės apsaugoti aplinką.</w:t>
      </w:r>
    </w:p>
    <w:p w14:paraId="44657920" w14:textId="77777777" w:rsidR="007F39B7" w:rsidRPr="00051FD3" w:rsidRDefault="007F39B7" w:rsidP="007F39B7">
      <w:pPr>
        <w:autoSpaceDE w:val="0"/>
        <w:autoSpaceDN w:val="0"/>
        <w:adjustRightInd w:val="0"/>
        <w:rPr>
          <w:sz w:val="22"/>
          <w:szCs w:val="22"/>
          <w:lang w:eastAsia="lt-LT"/>
        </w:rPr>
      </w:pPr>
    </w:p>
    <w:p w14:paraId="03E48736" w14:textId="77777777" w:rsidR="007F39B7" w:rsidRPr="00051FD3" w:rsidRDefault="007F39B7" w:rsidP="007F39B7">
      <w:pPr>
        <w:autoSpaceDE w:val="0"/>
        <w:autoSpaceDN w:val="0"/>
        <w:adjustRightInd w:val="0"/>
        <w:rPr>
          <w:sz w:val="22"/>
          <w:szCs w:val="22"/>
          <w:lang w:eastAsia="lt-LT"/>
        </w:rPr>
      </w:pPr>
    </w:p>
    <w:p w14:paraId="7123DA23" w14:textId="77777777" w:rsidR="007F39B7" w:rsidRPr="00051FD3" w:rsidRDefault="007F39B7" w:rsidP="007F39B7">
      <w:pPr>
        <w:tabs>
          <w:tab w:val="left" w:pos="567"/>
        </w:tabs>
        <w:autoSpaceDE w:val="0"/>
        <w:autoSpaceDN w:val="0"/>
        <w:adjustRightInd w:val="0"/>
        <w:rPr>
          <w:b/>
          <w:bCs/>
          <w:sz w:val="22"/>
          <w:szCs w:val="22"/>
          <w:lang w:eastAsia="lt-LT"/>
        </w:rPr>
      </w:pPr>
      <w:r w:rsidRPr="00051FD3">
        <w:rPr>
          <w:b/>
          <w:bCs/>
          <w:sz w:val="22"/>
          <w:szCs w:val="22"/>
          <w:lang w:eastAsia="lt-LT"/>
        </w:rPr>
        <w:t>6.</w:t>
      </w:r>
      <w:r w:rsidRPr="00051FD3">
        <w:rPr>
          <w:b/>
          <w:bCs/>
          <w:sz w:val="22"/>
          <w:szCs w:val="22"/>
          <w:lang w:eastAsia="lt-LT"/>
        </w:rPr>
        <w:tab/>
      </w:r>
      <w:r w:rsidRPr="00051FD3">
        <w:rPr>
          <w:b/>
          <w:sz w:val="22"/>
          <w:szCs w:val="22"/>
          <w:lang w:eastAsia="lt-LT"/>
        </w:rPr>
        <w:t>Pakuotės turinys ir kita informacija</w:t>
      </w:r>
    </w:p>
    <w:p w14:paraId="07746169" w14:textId="77777777" w:rsidR="007F39B7" w:rsidRPr="00051FD3" w:rsidRDefault="007F39B7" w:rsidP="007F39B7">
      <w:pPr>
        <w:autoSpaceDE w:val="0"/>
        <w:autoSpaceDN w:val="0"/>
        <w:adjustRightInd w:val="0"/>
        <w:rPr>
          <w:sz w:val="22"/>
          <w:szCs w:val="22"/>
          <w:lang w:eastAsia="lt-LT"/>
        </w:rPr>
      </w:pPr>
    </w:p>
    <w:p w14:paraId="16C9B3D1" w14:textId="77777777" w:rsidR="007F39B7" w:rsidRPr="00051FD3" w:rsidRDefault="007F39B7" w:rsidP="007F39B7">
      <w:pPr>
        <w:autoSpaceDE w:val="0"/>
        <w:autoSpaceDN w:val="0"/>
        <w:adjustRightInd w:val="0"/>
        <w:rPr>
          <w:b/>
          <w:bCs/>
          <w:sz w:val="22"/>
          <w:szCs w:val="22"/>
          <w:lang w:eastAsia="lt-LT"/>
        </w:rPr>
      </w:pPr>
      <w:proofErr w:type="spellStart"/>
      <w:r w:rsidRPr="00051FD3">
        <w:rPr>
          <w:b/>
          <w:sz w:val="22"/>
          <w:szCs w:val="22"/>
          <w:lang w:eastAsia="lt-LT"/>
        </w:rPr>
        <w:t>Telmisartan</w:t>
      </w:r>
      <w:proofErr w:type="spellEnd"/>
      <w:r w:rsidRPr="00051FD3">
        <w:rPr>
          <w:b/>
          <w:sz w:val="22"/>
          <w:szCs w:val="22"/>
          <w:lang w:eastAsia="lt-LT"/>
        </w:rPr>
        <w:t>/</w:t>
      </w:r>
      <w:proofErr w:type="spellStart"/>
      <w:r w:rsidRPr="00051FD3">
        <w:rPr>
          <w:b/>
          <w:sz w:val="22"/>
          <w:szCs w:val="22"/>
          <w:lang w:eastAsia="lt-LT"/>
        </w:rPr>
        <w:t>Hydrochlorothiazide</w:t>
      </w:r>
      <w:proofErr w:type="spellEnd"/>
      <w:r w:rsidRPr="00051FD3">
        <w:rPr>
          <w:b/>
          <w:sz w:val="22"/>
          <w:szCs w:val="22"/>
          <w:lang w:eastAsia="lt-LT"/>
        </w:rPr>
        <w:t xml:space="preserve"> </w:t>
      </w:r>
      <w:proofErr w:type="spellStart"/>
      <w:r w:rsidRPr="00051FD3">
        <w:rPr>
          <w:b/>
          <w:sz w:val="22"/>
          <w:szCs w:val="22"/>
          <w:lang w:eastAsia="lt-LT"/>
        </w:rPr>
        <w:t>Teva</w:t>
      </w:r>
      <w:proofErr w:type="spellEnd"/>
      <w:r w:rsidRPr="00051FD3">
        <w:rPr>
          <w:b/>
          <w:sz w:val="22"/>
          <w:szCs w:val="22"/>
          <w:lang w:eastAsia="lt-LT"/>
        </w:rPr>
        <w:t xml:space="preserve"> Pharma</w:t>
      </w:r>
      <w:r w:rsidRPr="00051FD3">
        <w:rPr>
          <w:b/>
          <w:bCs/>
          <w:sz w:val="22"/>
          <w:szCs w:val="22"/>
          <w:lang w:eastAsia="lt-LT"/>
        </w:rPr>
        <w:t xml:space="preserve"> sudėtis</w:t>
      </w:r>
    </w:p>
    <w:p w14:paraId="53041504" w14:textId="77777777" w:rsidR="007F39B7" w:rsidRPr="00051FD3" w:rsidRDefault="007F39B7" w:rsidP="007F39B7">
      <w:pPr>
        <w:rPr>
          <w:sz w:val="22"/>
          <w:szCs w:val="22"/>
        </w:rPr>
      </w:pPr>
    </w:p>
    <w:p w14:paraId="5EA72E37" w14:textId="77777777" w:rsidR="007F39B7" w:rsidRPr="00051FD3" w:rsidRDefault="007F39B7" w:rsidP="0078549E">
      <w:pPr>
        <w:numPr>
          <w:ilvl w:val="0"/>
          <w:numId w:val="12"/>
        </w:numPr>
        <w:ind w:left="567" w:hanging="567"/>
        <w:rPr>
          <w:sz w:val="22"/>
          <w:szCs w:val="22"/>
        </w:rPr>
      </w:pPr>
      <w:r w:rsidRPr="00051FD3">
        <w:rPr>
          <w:sz w:val="22"/>
          <w:szCs w:val="22"/>
          <w:lang w:eastAsia="lt-LT"/>
        </w:rPr>
        <w:t xml:space="preserve">Veikliosios medžiagos yra </w:t>
      </w:r>
      <w:proofErr w:type="spellStart"/>
      <w:r w:rsidRPr="00051FD3">
        <w:rPr>
          <w:sz w:val="22"/>
          <w:szCs w:val="22"/>
          <w:lang w:eastAsia="lt-LT"/>
        </w:rPr>
        <w:t>telmisartanas</w:t>
      </w:r>
      <w:proofErr w:type="spellEnd"/>
      <w:r w:rsidRPr="00051FD3">
        <w:rPr>
          <w:sz w:val="22"/>
          <w:szCs w:val="22"/>
          <w:lang w:eastAsia="lt-LT"/>
        </w:rPr>
        <w:t xml:space="preserve"> ir </w:t>
      </w:r>
      <w:proofErr w:type="spellStart"/>
      <w:r w:rsidRPr="00051FD3">
        <w:rPr>
          <w:sz w:val="22"/>
          <w:szCs w:val="22"/>
          <w:lang w:eastAsia="lt-LT"/>
        </w:rPr>
        <w:t>hidrochlorotiazidas</w:t>
      </w:r>
      <w:proofErr w:type="spellEnd"/>
      <w:r w:rsidRPr="00051FD3">
        <w:rPr>
          <w:sz w:val="22"/>
          <w:szCs w:val="22"/>
          <w:lang w:eastAsia="lt-LT"/>
        </w:rPr>
        <w:t>.</w:t>
      </w:r>
      <w:r w:rsidRPr="00051FD3">
        <w:rPr>
          <w:sz w:val="22"/>
          <w:szCs w:val="22"/>
        </w:rPr>
        <w:t xml:space="preserve"> Kiekvienoje tabletėje yra 80 mg </w:t>
      </w:r>
      <w:proofErr w:type="spellStart"/>
      <w:r w:rsidRPr="00051FD3">
        <w:rPr>
          <w:sz w:val="22"/>
          <w:szCs w:val="22"/>
        </w:rPr>
        <w:t>telmisartano</w:t>
      </w:r>
      <w:proofErr w:type="spellEnd"/>
      <w:r w:rsidRPr="00051FD3">
        <w:rPr>
          <w:sz w:val="22"/>
          <w:szCs w:val="22"/>
        </w:rPr>
        <w:t xml:space="preserve"> ir 12,5 mg </w:t>
      </w:r>
      <w:proofErr w:type="spellStart"/>
      <w:r w:rsidRPr="00051FD3">
        <w:rPr>
          <w:sz w:val="22"/>
          <w:szCs w:val="22"/>
        </w:rPr>
        <w:t>hidrochlorotiazido</w:t>
      </w:r>
      <w:proofErr w:type="spellEnd"/>
      <w:r w:rsidRPr="00051FD3">
        <w:rPr>
          <w:sz w:val="22"/>
          <w:szCs w:val="22"/>
        </w:rPr>
        <w:t>.</w:t>
      </w:r>
    </w:p>
    <w:p w14:paraId="4EA4E62C" w14:textId="77777777" w:rsidR="007F39B7" w:rsidRPr="00051FD3" w:rsidRDefault="007F39B7" w:rsidP="007F39B7">
      <w:pPr>
        <w:autoSpaceDE w:val="0"/>
        <w:autoSpaceDN w:val="0"/>
        <w:adjustRightInd w:val="0"/>
        <w:rPr>
          <w:b/>
          <w:bCs/>
          <w:sz w:val="22"/>
          <w:szCs w:val="22"/>
          <w:lang w:eastAsia="lt-LT"/>
        </w:rPr>
      </w:pPr>
    </w:p>
    <w:p w14:paraId="271EF8EF" w14:textId="77777777" w:rsidR="007F39B7" w:rsidRPr="00051FD3" w:rsidRDefault="007F39B7" w:rsidP="0078549E">
      <w:pPr>
        <w:numPr>
          <w:ilvl w:val="0"/>
          <w:numId w:val="12"/>
        </w:numPr>
        <w:autoSpaceDE w:val="0"/>
        <w:autoSpaceDN w:val="0"/>
        <w:adjustRightInd w:val="0"/>
        <w:ind w:left="567" w:hanging="567"/>
        <w:rPr>
          <w:rFonts w:eastAsia="TimesNewRoman"/>
          <w:sz w:val="22"/>
          <w:szCs w:val="22"/>
        </w:rPr>
      </w:pPr>
      <w:r w:rsidRPr="00051FD3">
        <w:rPr>
          <w:sz w:val="22"/>
          <w:szCs w:val="22"/>
          <w:lang w:eastAsia="lt-LT"/>
        </w:rPr>
        <w:t xml:space="preserve">Pagalbinės medžiagos yra </w:t>
      </w:r>
      <w:r w:rsidRPr="00051FD3">
        <w:rPr>
          <w:rFonts w:eastAsia="TimesNewRoman"/>
          <w:sz w:val="22"/>
          <w:szCs w:val="22"/>
        </w:rPr>
        <w:t xml:space="preserve">magnio </w:t>
      </w:r>
      <w:proofErr w:type="spellStart"/>
      <w:r w:rsidRPr="00051FD3">
        <w:rPr>
          <w:rFonts w:eastAsia="TimesNewRoman"/>
          <w:sz w:val="22"/>
          <w:szCs w:val="22"/>
        </w:rPr>
        <w:t>stearatas</w:t>
      </w:r>
      <w:proofErr w:type="spellEnd"/>
      <w:r w:rsidRPr="00051FD3">
        <w:rPr>
          <w:rFonts w:eastAsia="TimesNewRoman"/>
          <w:sz w:val="22"/>
          <w:szCs w:val="22"/>
        </w:rPr>
        <w:t xml:space="preserve"> (E470b), kalio hidroksidas, </w:t>
      </w:r>
      <w:proofErr w:type="spellStart"/>
      <w:r w:rsidRPr="00051FD3">
        <w:rPr>
          <w:rFonts w:eastAsia="TimesNewRoman"/>
          <w:sz w:val="22"/>
          <w:szCs w:val="22"/>
        </w:rPr>
        <w:t>megliuminas</w:t>
      </w:r>
      <w:proofErr w:type="spellEnd"/>
      <w:r w:rsidRPr="00051FD3">
        <w:rPr>
          <w:rFonts w:eastAsia="TimesNewRoman"/>
          <w:sz w:val="22"/>
          <w:szCs w:val="22"/>
        </w:rPr>
        <w:t xml:space="preserve">, </w:t>
      </w:r>
      <w:proofErr w:type="spellStart"/>
      <w:r w:rsidRPr="00051FD3">
        <w:rPr>
          <w:rFonts w:eastAsia="TimesNewRoman"/>
          <w:sz w:val="22"/>
          <w:szCs w:val="22"/>
        </w:rPr>
        <w:t>povidonas</w:t>
      </w:r>
      <w:proofErr w:type="spellEnd"/>
      <w:r w:rsidRPr="00051FD3">
        <w:rPr>
          <w:rFonts w:eastAsia="TimesNewRoman"/>
          <w:sz w:val="22"/>
          <w:szCs w:val="22"/>
        </w:rPr>
        <w:t xml:space="preserve">, </w:t>
      </w:r>
      <w:proofErr w:type="spellStart"/>
      <w:r w:rsidRPr="00051FD3">
        <w:rPr>
          <w:rFonts w:eastAsia="TimesNewRoman"/>
          <w:sz w:val="22"/>
          <w:szCs w:val="22"/>
        </w:rPr>
        <w:t>karboksimetilkrakmolo</w:t>
      </w:r>
      <w:proofErr w:type="spellEnd"/>
      <w:r w:rsidRPr="00051FD3">
        <w:rPr>
          <w:rFonts w:eastAsia="TimesNewRoman"/>
          <w:sz w:val="22"/>
          <w:szCs w:val="22"/>
        </w:rPr>
        <w:t xml:space="preserve"> A natrio druska, </w:t>
      </w:r>
      <w:proofErr w:type="spellStart"/>
      <w:r w:rsidRPr="00051FD3">
        <w:rPr>
          <w:rFonts w:eastAsia="TimesNewRoman"/>
          <w:sz w:val="22"/>
          <w:szCs w:val="22"/>
        </w:rPr>
        <w:t>mikrokristalinė</w:t>
      </w:r>
      <w:proofErr w:type="spellEnd"/>
      <w:r w:rsidRPr="00051FD3">
        <w:rPr>
          <w:rFonts w:eastAsia="TimesNewRoman"/>
          <w:sz w:val="22"/>
          <w:szCs w:val="22"/>
        </w:rPr>
        <w:t xml:space="preserve"> celiuliozė, </w:t>
      </w:r>
      <w:proofErr w:type="spellStart"/>
      <w:r w:rsidRPr="00051FD3">
        <w:rPr>
          <w:rFonts w:eastAsia="TimesNewRoman"/>
          <w:sz w:val="22"/>
          <w:szCs w:val="22"/>
        </w:rPr>
        <w:t>manitolis</w:t>
      </w:r>
      <w:proofErr w:type="spellEnd"/>
      <w:r w:rsidRPr="00051FD3">
        <w:rPr>
          <w:rFonts w:eastAsia="TimesNewRoman"/>
          <w:sz w:val="22"/>
          <w:szCs w:val="22"/>
        </w:rPr>
        <w:t xml:space="preserve"> (E421).</w:t>
      </w:r>
    </w:p>
    <w:p w14:paraId="6A409F38" w14:textId="77777777" w:rsidR="007F39B7" w:rsidRPr="00012DBE" w:rsidRDefault="007F39B7" w:rsidP="007F39B7">
      <w:pPr>
        <w:autoSpaceDE w:val="0"/>
        <w:autoSpaceDN w:val="0"/>
        <w:adjustRightInd w:val="0"/>
        <w:rPr>
          <w:rFonts w:eastAsia="TimesNewRoman"/>
          <w:sz w:val="22"/>
          <w:szCs w:val="22"/>
          <w:highlight w:val="lightGray"/>
        </w:rPr>
      </w:pPr>
    </w:p>
    <w:p w14:paraId="4C29229A" w14:textId="77777777" w:rsidR="007F39B7" w:rsidRPr="00051FD3" w:rsidRDefault="007F39B7" w:rsidP="007F39B7">
      <w:pPr>
        <w:autoSpaceDE w:val="0"/>
        <w:autoSpaceDN w:val="0"/>
        <w:adjustRightInd w:val="0"/>
        <w:rPr>
          <w:b/>
          <w:bCs/>
          <w:sz w:val="22"/>
          <w:szCs w:val="22"/>
          <w:lang w:eastAsia="lt-LT"/>
        </w:rPr>
      </w:pPr>
      <w:proofErr w:type="spellStart"/>
      <w:r w:rsidRPr="00051FD3">
        <w:rPr>
          <w:b/>
          <w:sz w:val="22"/>
          <w:szCs w:val="22"/>
        </w:rPr>
        <w:t>Telmisartan</w:t>
      </w:r>
      <w:proofErr w:type="spellEnd"/>
      <w:r w:rsidRPr="00051FD3">
        <w:rPr>
          <w:b/>
          <w:sz w:val="22"/>
          <w:szCs w:val="22"/>
        </w:rPr>
        <w:t>/</w:t>
      </w:r>
      <w:proofErr w:type="spellStart"/>
      <w:r w:rsidRPr="00051FD3">
        <w:rPr>
          <w:b/>
          <w:sz w:val="22"/>
          <w:szCs w:val="22"/>
        </w:rPr>
        <w:t>Hydrochlorothiazide</w:t>
      </w:r>
      <w:proofErr w:type="spellEnd"/>
      <w:r w:rsidRPr="00051FD3">
        <w:rPr>
          <w:b/>
          <w:sz w:val="22"/>
          <w:szCs w:val="22"/>
        </w:rPr>
        <w:t xml:space="preserve"> </w:t>
      </w:r>
      <w:proofErr w:type="spellStart"/>
      <w:r w:rsidRPr="00051FD3">
        <w:rPr>
          <w:b/>
          <w:sz w:val="22"/>
          <w:szCs w:val="22"/>
        </w:rPr>
        <w:t>Teva</w:t>
      </w:r>
      <w:proofErr w:type="spellEnd"/>
      <w:r w:rsidRPr="00051FD3">
        <w:rPr>
          <w:b/>
          <w:sz w:val="22"/>
          <w:szCs w:val="22"/>
        </w:rPr>
        <w:t xml:space="preserve"> Pharma</w:t>
      </w:r>
      <w:r w:rsidRPr="00051FD3">
        <w:rPr>
          <w:b/>
          <w:bCs/>
          <w:sz w:val="22"/>
          <w:szCs w:val="22"/>
          <w:lang w:eastAsia="lt-LT"/>
        </w:rPr>
        <w:t xml:space="preserve"> išvaizda ir kiekis pakuotėje</w:t>
      </w:r>
    </w:p>
    <w:p w14:paraId="61214011" w14:textId="77777777" w:rsidR="007F39B7" w:rsidRPr="00051FD3" w:rsidRDefault="007F39B7" w:rsidP="007F39B7">
      <w:pPr>
        <w:tabs>
          <w:tab w:val="left" w:pos="3060"/>
        </w:tabs>
        <w:autoSpaceDE w:val="0"/>
        <w:autoSpaceDN w:val="0"/>
        <w:adjustRightInd w:val="0"/>
        <w:rPr>
          <w:sz w:val="22"/>
          <w:szCs w:val="22"/>
        </w:rPr>
      </w:pPr>
    </w:p>
    <w:p w14:paraId="53A3A903" w14:textId="77777777" w:rsidR="007F39B7" w:rsidRPr="00051FD3" w:rsidRDefault="007F39B7" w:rsidP="007F39B7">
      <w:pPr>
        <w:autoSpaceDE w:val="0"/>
        <w:autoSpaceDN w:val="0"/>
        <w:adjustRightInd w:val="0"/>
        <w:rPr>
          <w:rFonts w:eastAsia="TimesNewRoman"/>
          <w:sz w:val="22"/>
          <w:szCs w:val="22"/>
          <w:lang w:eastAsia="lt-LT"/>
        </w:rPr>
      </w:pPr>
      <w:proofErr w:type="spellStart"/>
      <w:r w:rsidRPr="00051FD3">
        <w:rPr>
          <w:rFonts w:eastAsia="TimesNewRoman"/>
          <w:sz w:val="22"/>
          <w:szCs w:val="22"/>
          <w:lang w:eastAsia="lt-LT"/>
        </w:rPr>
        <w:t>Telmisartan</w:t>
      </w:r>
      <w:proofErr w:type="spellEnd"/>
      <w:r w:rsidRPr="00051FD3">
        <w:rPr>
          <w:rFonts w:eastAsia="TimesNewRoman"/>
          <w:sz w:val="22"/>
          <w:szCs w:val="22"/>
          <w:lang w:eastAsia="lt-LT"/>
        </w:rPr>
        <w:t>/</w:t>
      </w:r>
      <w:proofErr w:type="spellStart"/>
      <w:r w:rsidRPr="00051FD3">
        <w:rPr>
          <w:rFonts w:eastAsia="TimesNewRoman"/>
          <w:sz w:val="22"/>
          <w:szCs w:val="22"/>
          <w:lang w:eastAsia="lt-LT"/>
        </w:rPr>
        <w:t>Hydrochlorothiazide</w:t>
      </w:r>
      <w:proofErr w:type="spellEnd"/>
      <w:r w:rsidRPr="00051FD3">
        <w:rPr>
          <w:rFonts w:eastAsia="TimesNewRoman"/>
          <w:sz w:val="22"/>
          <w:szCs w:val="22"/>
          <w:lang w:eastAsia="lt-LT"/>
        </w:rPr>
        <w:t xml:space="preserve"> </w:t>
      </w:r>
      <w:proofErr w:type="spellStart"/>
      <w:r w:rsidRPr="00051FD3">
        <w:rPr>
          <w:rFonts w:eastAsia="TimesNewRoman"/>
          <w:sz w:val="22"/>
          <w:szCs w:val="22"/>
          <w:lang w:eastAsia="lt-LT"/>
        </w:rPr>
        <w:t>Teva</w:t>
      </w:r>
      <w:proofErr w:type="spellEnd"/>
      <w:r w:rsidRPr="00051FD3">
        <w:rPr>
          <w:rFonts w:eastAsia="TimesNewRoman"/>
          <w:sz w:val="22"/>
          <w:szCs w:val="22"/>
          <w:lang w:eastAsia="lt-LT"/>
        </w:rPr>
        <w:t xml:space="preserve"> Pharma 80 mg/12,5 mg tabletės yra baltos arba beveik baltos</w:t>
      </w:r>
      <w:r w:rsidR="00B80A3D" w:rsidRPr="00051FD3">
        <w:rPr>
          <w:rFonts w:eastAsia="TimesNewRoman"/>
          <w:sz w:val="22"/>
          <w:szCs w:val="22"/>
          <w:lang w:eastAsia="lt-LT"/>
        </w:rPr>
        <w:t>,</w:t>
      </w:r>
      <w:r w:rsidRPr="00051FD3">
        <w:rPr>
          <w:rFonts w:eastAsia="TimesNewRoman"/>
          <w:sz w:val="22"/>
          <w:szCs w:val="22"/>
          <w:lang w:eastAsia="lt-LT"/>
        </w:rPr>
        <w:t xml:space="preserve"> kapsulės pavidalo, 9,0 x 17,0</w:t>
      </w:r>
      <w:r w:rsidR="00767D57" w:rsidRPr="00051FD3">
        <w:rPr>
          <w:rFonts w:eastAsia="TimesNewRoman"/>
          <w:sz w:val="22"/>
          <w:szCs w:val="22"/>
          <w:lang w:eastAsia="lt-LT"/>
        </w:rPr>
        <w:t> </w:t>
      </w:r>
      <w:r w:rsidRPr="00051FD3">
        <w:rPr>
          <w:rFonts w:eastAsia="TimesNewRoman"/>
          <w:sz w:val="22"/>
          <w:szCs w:val="22"/>
          <w:lang w:eastAsia="lt-LT"/>
        </w:rPr>
        <w:t xml:space="preserve">mm dydžio, </w:t>
      </w:r>
      <w:r w:rsidR="00767D57" w:rsidRPr="00051FD3">
        <w:rPr>
          <w:rFonts w:eastAsia="TimesNewRoman"/>
          <w:sz w:val="22"/>
          <w:szCs w:val="22"/>
          <w:lang w:eastAsia="lt-LT"/>
        </w:rPr>
        <w:t>j</w:t>
      </w:r>
      <w:r w:rsidRPr="00051FD3">
        <w:rPr>
          <w:rFonts w:eastAsia="TimesNewRoman"/>
          <w:sz w:val="22"/>
          <w:szCs w:val="22"/>
          <w:lang w:eastAsia="lt-LT"/>
        </w:rPr>
        <w:t>ų abiejose pusėse yra įspaudas “TH 12</w:t>
      </w:r>
      <w:r w:rsidR="00767D57" w:rsidRPr="00051FD3">
        <w:rPr>
          <w:rFonts w:eastAsia="TimesNewRoman"/>
          <w:sz w:val="22"/>
          <w:szCs w:val="22"/>
          <w:lang w:eastAsia="lt-LT"/>
        </w:rPr>
        <w:t>.</w:t>
      </w:r>
      <w:r w:rsidRPr="00051FD3">
        <w:rPr>
          <w:rFonts w:eastAsia="TimesNewRoman"/>
          <w:sz w:val="22"/>
          <w:szCs w:val="22"/>
          <w:lang w:eastAsia="lt-LT"/>
        </w:rPr>
        <w:t>5”.</w:t>
      </w:r>
    </w:p>
    <w:p w14:paraId="4897B3F4" w14:textId="77777777" w:rsidR="007F39B7" w:rsidRPr="00051FD3" w:rsidRDefault="007F39B7" w:rsidP="007F39B7">
      <w:pPr>
        <w:rPr>
          <w:sz w:val="22"/>
          <w:szCs w:val="22"/>
        </w:rPr>
      </w:pPr>
    </w:p>
    <w:p w14:paraId="7EDF65A3" w14:textId="77777777" w:rsidR="007F39B7" w:rsidRPr="00051FD3" w:rsidRDefault="007F39B7" w:rsidP="007F39B7">
      <w:pPr>
        <w:autoSpaceDE w:val="0"/>
        <w:autoSpaceDN w:val="0"/>
        <w:adjustRightInd w:val="0"/>
        <w:rPr>
          <w:i/>
          <w:sz w:val="22"/>
          <w:szCs w:val="22"/>
          <w:lang w:eastAsia="lt-LT"/>
        </w:rPr>
      </w:pPr>
      <w:r w:rsidRPr="00051FD3">
        <w:rPr>
          <w:i/>
          <w:sz w:val="22"/>
          <w:szCs w:val="22"/>
          <w:lang w:eastAsia="lt-LT"/>
        </w:rPr>
        <w:t>Pakuotės dydžiai:</w:t>
      </w:r>
    </w:p>
    <w:p w14:paraId="5B4B21CA"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Lizdinės plokštelės, kuriose yra 14, 28, 30, 56</w:t>
      </w:r>
      <w:r w:rsidR="004A678A" w:rsidRPr="00051FD3">
        <w:rPr>
          <w:sz w:val="22"/>
          <w:szCs w:val="22"/>
          <w:lang w:eastAsia="lt-LT"/>
        </w:rPr>
        <w:t xml:space="preserve"> arba</w:t>
      </w:r>
      <w:r w:rsidRPr="00051FD3">
        <w:rPr>
          <w:sz w:val="22"/>
          <w:szCs w:val="22"/>
          <w:lang w:eastAsia="lt-LT"/>
        </w:rPr>
        <w:t xml:space="preserve"> </w:t>
      </w:r>
      <w:r w:rsidR="002374DB" w:rsidRPr="00051FD3">
        <w:rPr>
          <w:sz w:val="22"/>
          <w:szCs w:val="22"/>
          <w:lang w:eastAsia="lt-LT"/>
        </w:rPr>
        <w:t>98</w:t>
      </w:r>
      <w:r w:rsidRPr="00051FD3">
        <w:rPr>
          <w:sz w:val="22"/>
          <w:szCs w:val="22"/>
        </w:rPr>
        <w:t xml:space="preserve"> </w:t>
      </w:r>
      <w:r w:rsidRPr="00051FD3">
        <w:rPr>
          <w:sz w:val="22"/>
          <w:szCs w:val="22"/>
          <w:lang w:eastAsia="lt-LT"/>
        </w:rPr>
        <w:t>tabletės.</w:t>
      </w:r>
    </w:p>
    <w:p w14:paraId="6C5C1AB9"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 xml:space="preserve">Tablečių </w:t>
      </w:r>
      <w:proofErr w:type="spellStart"/>
      <w:r w:rsidRPr="00051FD3">
        <w:rPr>
          <w:sz w:val="22"/>
          <w:szCs w:val="22"/>
          <w:lang w:eastAsia="lt-LT"/>
        </w:rPr>
        <w:t>talpyklė</w:t>
      </w:r>
      <w:proofErr w:type="spellEnd"/>
      <w:r w:rsidRPr="00051FD3">
        <w:rPr>
          <w:sz w:val="22"/>
          <w:szCs w:val="22"/>
          <w:lang w:eastAsia="lt-LT"/>
        </w:rPr>
        <w:t>, kurioje yra 30, 90 arba 250 tablečių.</w:t>
      </w:r>
    </w:p>
    <w:p w14:paraId="247A0AF8" w14:textId="77777777" w:rsidR="007F39B7" w:rsidRPr="00051FD3" w:rsidRDefault="007F39B7" w:rsidP="007F39B7">
      <w:pPr>
        <w:autoSpaceDE w:val="0"/>
        <w:autoSpaceDN w:val="0"/>
        <w:adjustRightInd w:val="0"/>
        <w:rPr>
          <w:sz w:val="22"/>
          <w:szCs w:val="22"/>
          <w:lang w:eastAsia="lt-LT"/>
        </w:rPr>
      </w:pPr>
    </w:p>
    <w:p w14:paraId="790384F6" w14:textId="77777777" w:rsidR="007F39B7" w:rsidRPr="00051FD3" w:rsidRDefault="007F39B7" w:rsidP="007F39B7">
      <w:pPr>
        <w:autoSpaceDE w:val="0"/>
        <w:autoSpaceDN w:val="0"/>
        <w:adjustRightInd w:val="0"/>
        <w:rPr>
          <w:sz w:val="22"/>
          <w:szCs w:val="22"/>
          <w:lang w:eastAsia="lt-LT"/>
        </w:rPr>
      </w:pPr>
      <w:r w:rsidRPr="00051FD3">
        <w:rPr>
          <w:sz w:val="22"/>
          <w:szCs w:val="22"/>
          <w:lang w:eastAsia="lt-LT"/>
        </w:rPr>
        <w:t>Gali būti tiekiamos ne visų dydžių pakuotės.</w:t>
      </w:r>
    </w:p>
    <w:p w14:paraId="1710CC67" w14:textId="77777777" w:rsidR="007F39B7" w:rsidRPr="00051FD3" w:rsidRDefault="007F39B7" w:rsidP="007F39B7">
      <w:pPr>
        <w:autoSpaceDE w:val="0"/>
        <w:autoSpaceDN w:val="0"/>
        <w:adjustRightInd w:val="0"/>
        <w:rPr>
          <w:b/>
          <w:bCs/>
          <w:sz w:val="22"/>
          <w:szCs w:val="22"/>
          <w:lang w:eastAsia="lt-LT"/>
        </w:rPr>
      </w:pPr>
    </w:p>
    <w:p w14:paraId="7A7E48C8" w14:textId="77777777" w:rsidR="007F39B7" w:rsidRPr="00051FD3" w:rsidRDefault="004C3565" w:rsidP="007F39B7">
      <w:pPr>
        <w:tabs>
          <w:tab w:val="left" w:pos="0"/>
          <w:tab w:val="left" w:pos="567"/>
        </w:tabs>
        <w:rPr>
          <w:b/>
          <w:sz w:val="22"/>
          <w:szCs w:val="22"/>
        </w:rPr>
      </w:pPr>
      <w:r w:rsidRPr="00051FD3">
        <w:rPr>
          <w:b/>
          <w:sz w:val="22"/>
          <w:szCs w:val="22"/>
        </w:rPr>
        <w:t>Registruotojas</w:t>
      </w:r>
      <w:r w:rsidRPr="00051FD3" w:rsidDel="004C3565">
        <w:rPr>
          <w:b/>
          <w:sz w:val="22"/>
          <w:szCs w:val="22"/>
        </w:rPr>
        <w:t xml:space="preserve"> </w:t>
      </w:r>
      <w:r w:rsidR="007F39B7" w:rsidRPr="00051FD3">
        <w:rPr>
          <w:b/>
          <w:sz w:val="22"/>
          <w:szCs w:val="22"/>
        </w:rPr>
        <w:t>ir gamintojas</w:t>
      </w:r>
    </w:p>
    <w:p w14:paraId="59BB17CA" w14:textId="77777777" w:rsidR="007F39B7" w:rsidRPr="00051FD3" w:rsidRDefault="007F39B7" w:rsidP="007F39B7">
      <w:pPr>
        <w:tabs>
          <w:tab w:val="left" w:pos="1260"/>
        </w:tabs>
        <w:rPr>
          <w:sz w:val="22"/>
          <w:szCs w:val="22"/>
        </w:rPr>
      </w:pPr>
    </w:p>
    <w:p w14:paraId="798C9964" w14:textId="77777777" w:rsidR="004C3565" w:rsidRPr="00012DBE" w:rsidRDefault="004C3565" w:rsidP="004C3565">
      <w:pPr>
        <w:numPr>
          <w:ilvl w:val="12"/>
          <w:numId w:val="0"/>
        </w:numPr>
        <w:ind w:right="-2"/>
        <w:rPr>
          <w:i/>
          <w:noProof/>
          <w:snapToGrid w:val="0"/>
          <w:sz w:val="22"/>
          <w:szCs w:val="22"/>
          <w:lang w:bidi="lt-LT"/>
        </w:rPr>
      </w:pPr>
      <w:r w:rsidRPr="00012DBE">
        <w:rPr>
          <w:i/>
          <w:noProof/>
          <w:snapToGrid w:val="0"/>
          <w:sz w:val="22"/>
          <w:szCs w:val="22"/>
          <w:lang w:bidi="lt-LT"/>
        </w:rPr>
        <w:t>Registruotojas</w:t>
      </w:r>
    </w:p>
    <w:p w14:paraId="21E57895" w14:textId="77777777" w:rsidR="007F39B7" w:rsidRPr="00051FD3" w:rsidRDefault="007F39B7" w:rsidP="007F39B7">
      <w:pPr>
        <w:rPr>
          <w:sz w:val="22"/>
          <w:szCs w:val="22"/>
          <w:lang w:eastAsia="lt-LT"/>
        </w:rPr>
      </w:pPr>
      <w:proofErr w:type="spellStart"/>
      <w:r w:rsidRPr="00051FD3">
        <w:rPr>
          <w:sz w:val="22"/>
          <w:szCs w:val="22"/>
          <w:lang w:eastAsia="lt-LT"/>
        </w:rPr>
        <w:t>Teva</w:t>
      </w:r>
      <w:proofErr w:type="spellEnd"/>
      <w:r w:rsidRPr="00051FD3">
        <w:rPr>
          <w:sz w:val="22"/>
          <w:szCs w:val="22"/>
          <w:lang w:eastAsia="lt-LT"/>
        </w:rPr>
        <w:t xml:space="preserve"> B.V.</w:t>
      </w:r>
    </w:p>
    <w:p w14:paraId="7B4FAB4A" w14:textId="77777777" w:rsidR="00E510C4" w:rsidRPr="00051FD3" w:rsidRDefault="00F42F88" w:rsidP="00E510C4">
      <w:pPr>
        <w:rPr>
          <w:sz w:val="22"/>
          <w:szCs w:val="22"/>
          <w:lang w:eastAsia="lt-LT"/>
        </w:rPr>
      </w:pPr>
      <w:proofErr w:type="spellStart"/>
      <w:r w:rsidRPr="00051FD3">
        <w:rPr>
          <w:sz w:val="22"/>
          <w:szCs w:val="22"/>
          <w:lang w:eastAsia="lt-LT"/>
        </w:rPr>
        <w:t>Swensweg</w:t>
      </w:r>
      <w:proofErr w:type="spellEnd"/>
      <w:r w:rsidRPr="00051FD3">
        <w:rPr>
          <w:sz w:val="22"/>
          <w:szCs w:val="22"/>
          <w:lang w:eastAsia="lt-LT"/>
        </w:rPr>
        <w:t xml:space="preserve"> 5</w:t>
      </w:r>
    </w:p>
    <w:p w14:paraId="3A6B3ACE" w14:textId="77777777" w:rsidR="00E510C4" w:rsidRPr="00051FD3" w:rsidRDefault="00F42F88" w:rsidP="00E510C4">
      <w:pPr>
        <w:rPr>
          <w:sz w:val="22"/>
          <w:szCs w:val="22"/>
          <w:lang w:eastAsia="lt-LT"/>
        </w:rPr>
      </w:pPr>
      <w:r w:rsidRPr="00051FD3">
        <w:rPr>
          <w:sz w:val="22"/>
          <w:szCs w:val="22"/>
          <w:lang w:eastAsia="lt-LT"/>
        </w:rPr>
        <w:t xml:space="preserve">2031 GA </w:t>
      </w:r>
      <w:proofErr w:type="spellStart"/>
      <w:r w:rsidRPr="00051FD3">
        <w:rPr>
          <w:sz w:val="22"/>
          <w:szCs w:val="22"/>
          <w:lang w:eastAsia="lt-LT"/>
        </w:rPr>
        <w:t>Haarlem</w:t>
      </w:r>
      <w:proofErr w:type="spellEnd"/>
    </w:p>
    <w:p w14:paraId="3EBBD3AB" w14:textId="77777777" w:rsidR="007F39B7" w:rsidRPr="00051FD3" w:rsidRDefault="007F39B7" w:rsidP="007F39B7">
      <w:pPr>
        <w:rPr>
          <w:sz w:val="22"/>
          <w:szCs w:val="22"/>
          <w:lang w:eastAsia="lt-LT"/>
        </w:rPr>
      </w:pPr>
      <w:r w:rsidRPr="00051FD3">
        <w:rPr>
          <w:sz w:val="22"/>
          <w:szCs w:val="22"/>
          <w:lang w:eastAsia="lt-LT"/>
        </w:rPr>
        <w:t>Nyderlandai</w:t>
      </w:r>
    </w:p>
    <w:p w14:paraId="46B41100" w14:textId="77777777" w:rsidR="007F39B7" w:rsidRPr="00051FD3" w:rsidRDefault="007F39B7" w:rsidP="007F39B7">
      <w:pPr>
        <w:tabs>
          <w:tab w:val="left" w:pos="1260"/>
        </w:tabs>
        <w:rPr>
          <w:sz w:val="22"/>
          <w:szCs w:val="22"/>
        </w:rPr>
      </w:pPr>
    </w:p>
    <w:p w14:paraId="04FD0A97" w14:textId="77777777" w:rsidR="007F39B7" w:rsidRPr="00051FD3" w:rsidRDefault="007F39B7" w:rsidP="007F39B7">
      <w:pPr>
        <w:tabs>
          <w:tab w:val="left" w:pos="1260"/>
        </w:tabs>
        <w:rPr>
          <w:i/>
          <w:sz w:val="22"/>
          <w:szCs w:val="22"/>
        </w:rPr>
      </w:pPr>
      <w:r w:rsidRPr="00051FD3">
        <w:rPr>
          <w:i/>
          <w:sz w:val="22"/>
          <w:szCs w:val="22"/>
        </w:rPr>
        <w:t>Gamintojas</w:t>
      </w:r>
    </w:p>
    <w:p w14:paraId="7A8BF14F" w14:textId="77777777" w:rsidR="007F39B7" w:rsidRPr="00051FD3" w:rsidRDefault="007F39B7" w:rsidP="007F39B7">
      <w:pPr>
        <w:autoSpaceDE w:val="0"/>
        <w:autoSpaceDN w:val="0"/>
        <w:adjustRightInd w:val="0"/>
        <w:rPr>
          <w:rFonts w:eastAsia="Calibri"/>
          <w:bCs/>
          <w:sz w:val="22"/>
          <w:szCs w:val="22"/>
        </w:rPr>
      </w:pPr>
      <w:proofErr w:type="spellStart"/>
      <w:r w:rsidRPr="00051FD3">
        <w:rPr>
          <w:rFonts w:eastAsia="Calibri"/>
          <w:bCs/>
          <w:sz w:val="22"/>
          <w:szCs w:val="22"/>
        </w:rPr>
        <w:t>Actavis</w:t>
      </w:r>
      <w:proofErr w:type="spellEnd"/>
      <w:r w:rsidRPr="00051FD3">
        <w:rPr>
          <w:rFonts w:eastAsia="Calibri"/>
          <w:bCs/>
          <w:sz w:val="22"/>
          <w:szCs w:val="22"/>
        </w:rPr>
        <w:t xml:space="preserve"> Ltd.</w:t>
      </w:r>
    </w:p>
    <w:p w14:paraId="65B55537" w14:textId="77777777" w:rsidR="007F39B7" w:rsidRPr="00051FD3" w:rsidRDefault="007F39B7" w:rsidP="007F39B7">
      <w:pPr>
        <w:autoSpaceDE w:val="0"/>
        <w:autoSpaceDN w:val="0"/>
        <w:adjustRightInd w:val="0"/>
        <w:rPr>
          <w:rFonts w:eastAsia="Calibri"/>
          <w:bCs/>
          <w:sz w:val="22"/>
          <w:szCs w:val="22"/>
        </w:rPr>
      </w:pPr>
      <w:r w:rsidRPr="00051FD3">
        <w:rPr>
          <w:rFonts w:eastAsia="Calibri"/>
          <w:bCs/>
          <w:sz w:val="22"/>
          <w:szCs w:val="22"/>
        </w:rPr>
        <w:t xml:space="preserve">BLB 016 </w:t>
      </w:r>
      <w:proofErr w:type="spellStart"/>
      <w:r w:rsidRPr="00051FD3">
        <w:rPr>
          <w:rFonts w:eastAsia="Calibri"/>
          <w:bCs/>
          <w:sz w:val="22"/>
          <w:szCs w:val="22"/>
        </w:rPr>
        <w:t>Bulebel</w:t>
      </w:r>
      <w:proofErr w:type="spellEnd"/>
      <w:r w:rsidRPr="00051FD3">
        <w:rPr>
          <w:rFonts w:eastAsia="Calibri"/>
          <w:bCs/>
          <w:sz w:val="22"/>
          <w:szCs w:val="22"/>
        </w:rPr>
        <w:t xml:space="preserve"> </w:t>
      </w:r>
      <w:proofErr w:type="spellStart"/>
      <w:r w:rsidRPr="00051FD3">
        <w:rPr>
          <w:rFonts w:eastAsia="Calibri"/>
          <w:bCs/>
          <w:sz w:val="22"/>
          <w:szCs w:val="22"/>
        </w:rPr>
        <w:t>Industrial</w:t>
      </w:r>
      <w:proofErr w:type="spellEnd"/>
      <w:r w:rsidRPr="00051FD3">
        <w:rPr>
          <w:rFonts w:eastAsia="Calibri"/>
          <w:bCs/>
          <w:sz w:val="22"/>
          <w:szCs w:val="22"/>
        </w:rPr>
        <w:t xml:space="preserve"> </w:t>
      </w:r>
      <w:proofErr w:type="spellStart"/>
      <w:r w:rsidRPr="00051FD3">
        <w:rPr>
          <w:rFonts w:eastAsia="Calibri"/>
          <w:bCs/>
          <w:sz w:val="22"/>
          <w:szCs w:val="22"/>
        </w:rPr>
        <w:t>Estate</w:t>
      </w:r>
      <w:proofErr w:type="spellEnd"/>
    </w:p>
    <w:p w14:paraId="78930002" w14:textId="77777777" w:rsidR="007F39B7" w:rsidRPr="00051FD3" w:rsidRDefault="007F39B7" w:rsidP="007F39B7">
      <w:pPr>
        <w:autoSpaceDE w:val="0"/>
        <w:autoSpaceDN w:val="0"/>
        <w:adjustRightInd w:val="0"/>
        <w:rPr>
          <w:rFonts w:eastAsia="Calibri"/>
          <w:bCs/>
          <w:sz w:val="22"/>
          <w:szCs w:val="22"/>
        </w:rPr>
      </w:pPr>
      <w:proofErr w:type="spellStart"/>
      <w:r w:rsidRPr="00051FD3">
        <w:rPr>
          <w:rFonts w:eastAsia="Calibri"/>
          <w:bCs/>
          <w:sz w:val="22"/>
          <w:szCs w:val="22"/>
        </w:rPr>
        <w:t>Zejtun</w:t>
      </w:r>
      <w:proofErr w:type="spellEnd"/>
      <w:r w:rsidRPr="00051FD3">
        <w:rPr>
          <w:rFonts w:eastAsia="Calibri"/>
          <w:bCs/>
          <w:sz w:val="22"/>
          <w:szCs w:val="22"/>
        </w:rPr>
        <w:t xml:space="preserve"> ZTN 3000</w:t>
      </w:r>
    </w:p>
    <w:p w14:paraId="3A74558C" w14:textId="77777777" w:rsidR="007F39B7" w:rsidRPr="00051FD3" w:rsidRDefault="007F39B7" w:rsidP="007F39B7">
      <w:pPr>
        <w:rPr>
          <w:sz w:val="22"/>
          <w:szCs w:val="22"/>
          <w:lang w:eastAsia="ja-JP"/>
        </w:rPr>
      </w:pPr>
      <w:r w:rsidRPr="00051FD3">
        <w:rPr>
          <w:rFonts w:eastAsia="Calibri"/>
          <w:bCs/>
          <w:sz w:val="22"/>
          <w:szCs w:val="22"/>
        </w:rPr>
        <w:t>Malta</w:t>
      </w:r>
    </w:p>
    <w:p w14:paraId="1C02A96A" w14:textId="77777777" w:rsidR="007F39B7" w:rsidRPr="00051FD3" w:rsidRDefault="007F39B7" w:rsidP="007F39B7">
      <w:pPr>
        <w:tabs>
          <w:tab w:val="left" w:pos="567"/>
        </w:tabs>
        <w:rPr>
          <w:sz w:val="22"/>
          <w:szCs w:val="22"/>
          <w:lang w:eastAsia="lt-LT"/>
        </w:rPr>
      </w:pPr>
    </w:p>
    <w:p w14:paraId="2D29FAE9" w14:textId="77777777" w:rsidR="007F39B7" w:rsidRPr="00051FD3" w:rsidRDefault="007F39B7" w:rsidP="007F39B7">
      <w:pPr>
        <w:rPr>
          <w:sz w:val="22"/>
          <w:szCs w:val="22"/>
        </w:rPr>
      </w:pPr>
      <w:r w:rsidRPr="00051FD3">
        <w:rPr>
          <w:sz w:val="22"/>
          <w:szCs w:val="22"/>
        </w:rPr>
        <w:t>arba</w:t>
      </w:r>
    </w:p>
    <w:p w14:paraId="3E8B8759" w14:textId="77777777" w:rsidR="007F39B7" w:rsidRPr="00051FD3" w:rsidRDefault="007F39B7" w:rsidP="007F39B7">
      <w:pPr>
        <w:rPr>
          <w:sz w:val="22"/>
          <w:szCs w:val="22"/>
        </w:rPr>
      </w:pPr>
    </w:p>
    <w:p w14:paraId="09D43ED9" w14:textId="77777777" w:rsidR="007F39B7" w:rsidRPr="00051FD3" w:rsidRDefault="007F39B7" w:rsidP="007F39B7">
      <w:pPr>
        <w:rPr>
          <w:sz w:val="22"/>
          <w:szCs w:val="22"/>
        </w:rPr>
      </w:pPr>
      <w:proofErr w:type="spellStart"/>
      <w:r w:rsidRPr="00051FD3">
        <w:rPr>
          <w:sz w:val="22"/>
          <w:szCs w:val="22"/>
        </w:rPr>
        <w:t>Merckle</w:t>
      </w:r>
      <w:proofErr w:type="spellEnd"/>
      <w:r w:rsidRPr="00051FD3">
        <w:rPr>
          <w:sz w:val="22"/>
          <w:szCs w:val="22"/>
        </w:rPr>
        <w:t xml:space="preserve"> </w:t>
      </w:r>
      <w:proofErr w:type="spellStart"/>
      <w:r w:rsidRPr="00051FD3">
        <w:rPr>
          <w:sz w:val="22"/>
          <w:szCs w:val="22"/>
        </w:rPr>
        <w:t>GmbH</w:t>
      </w:r>
      <w:proofErr w:type="spellEnd"/>
    </w:p>
    <w:p w14:paraId="2E7BB252" w14:textId="77777777" w:rsidR="007F39B7" w:rsidRPr="00051FD3" w:rsidRDefault="007F39B7" w:rsidP="007F39B7">
      <w:pPr>
        <w:rPr>
          <w:sz w:val="22"/>
          <w:szCs w:val="22"/>
        </w:rPr>
      </w:pPr>
      <w:proofErr w:type="spellStart"/>
      <w:r w:rsidRPr="00051FD3">
        <w:rPr>
          <w:sz w:val="22"/>
          <w:szCs w:val="22"/>
        </w:rPr>
        <w:t>Ludwig-Merckle-Straße</w:t>
      </w:r>
      <w:proofErr w:type="spellEnd"/>
      <w:r w:rsidRPr="00051FD3">
        <w:rPr>
          <w:sz w:val="22"/>
          <w:szCs w:val="22"/>
        </w:rPr>
        <w:t xml:space="preserve"> 3</w:t>
      </w:r>
    </w:p>
    <w:p w14:paraId="5A74C310" w14:textId="77777777" w:rsidR="007F39B7" w:rsidRPr="00051FD3" w:rsidRDefault="007F39B7" w:rsidP="007F39B7">
      <w:pPr>
        <w:rPr>
          <w:sz w:val="22"/>
          <w:szCs w:val="22"/>
        </w:rPr>
      </w:pPr>
      <w:r w:rsidRPr="00051FD3">
        <w:rPr>
          <w:sz w:val="22"/>
          <w:szCs w:val="22"/>
        </w:rPr>
        <w:t xml:space="preserve">89143 </w:t>
      </w:r>
      <w:proofErr w:type="spellStart"/>
      <w:r w:rsidRPr="00051FD3">
        <w:rPr>
          <w:sz w:val="22"/>
          <w:szCs w:val="22"/>
        </w:rPr>
        <w:t>Blaubeuren</w:t>
      </w:r>
      <w:proofErr w:type="spellEnd"/>
    </w:p>
    <w:p w14:paraId="4C6C1D65" w14:textId="77777777" w:rsidR="007F39B7" w:rsidRPr="00051FD3" w:rsidRDefault="007F39B7" w:rsidP="007F39B7">
      <w:pPr>
        <w:rPr>
          <w:sz w:val="22"/>
          <w:szCs w:val="22"/>
        </w:rPr>
      </w:pPr>
      <w:r w:rsidRPr="00051FD3">
        <w:rPr>
          <w:sz w:val="22"/>
          <w:szCs w:val="22"/>
        </w:rPr>
        <w:t>Vokietija</w:t>
      </w:r>
    </w:p>
    <w:p w14:paraId="6AB08AB3" w14:textId="77777777" w:rsidR="007F39B7" w:rsidRPr="00051FD3" w:rsidRDefault="007F39B7" w:rsidP="007F39B7">
      <w:pPr>
        <w:rPr>
          <w:sz w:val="22"/>
          <w:szCs w:val="22"/>
        </w:rPr>
      </w:pPr>
    </w:p>
    <w:p w14:paraId="5E260575" w14:textId="77777777" w:rsidR="007F39B7" w:rsidRPr="00051FD3" w:rsidRDefault="007F39B7" w:rsidP="007F39B7">
      <w:pPr>
        <w:rPr>
          <w:sz w:val="22"/>
          <w:szCs w:val="22"/>
        </w:rPr>
      </w:pPr>
    </w:p>
    <w:p w14:paraId="73AC465F" w14:textId="77777777" w:rsidR="007F39B7" w:rsidRPr="00051FD3" w:rsidRDefault="007F39B7" w:rsidP="007F39B7">
      <w:pPr>
        <w:rPr>
          <w:noProof/>
          <w:sz w:val="22"/>
          <w:szCs w:val="22"/>
        </w:rPr>
      </w:pPr>
      <w:r w:rsidRPr="00051FD3">
        <w:rPr>
          <w:noProof/>
          <w:sz w:val="22"/>
          <w:szCs w:val="22"/>
        </w:rPr>
        <w:t xml:space="preserve">Jeigu apie šį vaistą norite sužinoti daugiau, kreipkitės į vietinį </w:t>
      </w:r>
      <w:r w:rsidR="00BE63B6" w:rsidRPr="00051FD3">
        <w:rPr>
          <w:noProof/>
          <w:sz w:val="22"/>
          <w:szCs w:val="22"/>
        </w:rPr>
        <w:t>registruotojo</w:t>
      </w:r>
      <w:r w:rsidRPr="00051FD3">
        <w:rPr>
          <w:noProof/>
          <w:sz w:val="22"/>
          <w:szCs w:val="22"/>
        </w:rPr>
        <w:t xml:space="preserve"> atstovą.</w:t>
      </w:r>
    </w:p>
    <w:p w14:paraId="3314A7CB" w14:textId="77777777" w:rsidR="007F39B7" w:rsidRPr="00051FD3" w:rsidRDefault="007F39B7" w:rsidP="007F39B7">
      <w:pPr>
        <w:autoSpaceDE w:val="0"/>
        <w:autoSpaceDN w:val="0"/>
        <w:adjustRightInd w:val="0"/>
        <w:rPr>
          <w:rFonts w:eastAsia="Calibri"/>
          <w:color w:val="000000"/>
          <w:sz w:val="22"/>
          <w:szCs w:val="22"/>
        </w:rPr>
      </w:pPr>
    </w:p>
    <w:p w14:paraId="3A75E532" w14:textId="77777777" w:rsidR="007F39B7" w:rsidRPr="00051FD3" w:rsidRDefault="007F39B7" w:rsidP="007F39B7">
      <w:pPr>
        <w:autoSpaceDE w:val="0"/>
        <w:autoSpaceDN w:val="0"/>
        <w:adjustRightInd w:val="0"/>
        <w:rPr>
          <w:rFonts w:eastAsia="Calibri"/>
          <w:color w:val="000000"/>
          <w:sz w:val="22"/>
          <w:szCs w:val="22"/>
        </w:rPr>
      </w:pPr>
      <w:r w:rsidRPr="00051FD3">
        <w:rPr>
          <w:rFonts w:eastAsia="Calibri"/>
          <w:color w:val="000000"/>
          <w:sz w:val="22"/>
          <w:szCs w:val="22"/>
        </w:rPr>
        <w:t xml:space="preserve">UAB </w:t>
      </w:r>
      <w:proofErr w:type="spellStart"/>
      <w:r w:rsidR="00A14355" w:rsidRPr="00051FD3">
        <w:rPr>
          <w:rFonts w:eastAsia="Calibri"/>
          <w:color w:val="000000"/>
          <w:sz w:val="22"/>
          <w:szCs w:val="22"/>
        </w:rPr>
        <w:t>Teva</w:t>
      </w:r>
      <w:proofErr w:type="spellEnd"/>
      <w:r w:rsidR="00A14355" w:rsidRPr="00051FD3">
        <w:rPr>
          <w:rFonts w:eastAsia="Calibri"/>
          <w:color w:val="000000"/>
          <w:sz w:val="22"/>
          <w:szCs w:val="22"/>
        </w:rPr>
        <w:t xml:space="preserve"> </w:t>
      </w:r>
      <w:proofErr w:type="spellStart"/>
      <w:r w:rsidR="00A14355" w:rsidRPr="00051FD3">
        <w:rPr>
          <w:rFonts w:eastAsia="Calibri"/>
          <w:color w:val="000000"/>
          <w:sz w:val="22"/>
          <w:szCs w:val="22"/>
        </w:rPr>
        <w:t>Baltics</w:t>
      </w:r>
      <w:proofErr w:type="spellEnd"/>
    </w:p>
    <w:p w14:paraId="57E68FD2" w14:textId="77777777" w:rsidR="007F39B7" w:rsidRPr="00051FD3" w:rsidRDefault="00A310D3" w:rsidP="007F39B7">
      <w:pPr>
        <w:autoSpaceDE w:val="0"/>
        <w:autoSpaceDN w:val="0"/>
        <w:adjustRightInd w:val="0"/>
        <w:rPr>
          <w:rFonts w:eastAsia="Calibri"/>
          <w:color w:val="000000"/>
          <w:sz w:val="22"/>
          <w:szCs w:val="22"/>
        </w:rPr>
      </w:pPr>
      <w:r w:rsidRPr="00051FD3">
        <w:rPr>
          <w:rFonts w:eastAsia="Calibri"/>
          <w:color w:val="000000"/>
          <w:sz w:val="22"/>
          <w:szCs w:val="22"/>
        </w:rPr>
        <w:t>Molėtų pl. 5</w:t>
      </w:r>
      <w:r w:rsidR="00BA464C" w:rsidRPr="00051FD3">
        <w:rPr>
          <w:rFonts w:eastAsia="Calibri"/>
          <w:color w:val="000000"/>
          <w:sz w:val="22"/>
          <w:szCs w:val="22"/>
        </w:rPr>
        <w:t>,</w:t>
      </w:r>
      <w:r w:rsidR="007F39B7" w:rsidRPr="00051FD3">
        <w:rPr>
          <w:rFonts w:eastAsia="Calibri"/>
          <w:color w:val="000000"/>
          <w:sz w:val="22"/>
          <w:szCs w:val="22"/>
        </w:rPr>
        <w:t xml:space="preserve"> </w:t>
      </w:r>
    </w:p>
    <w:p w14:paraId="43285144" w14:textId="77777777" w:rsidR="007F39B7" w:rsidRPr="00051FD3" w:rsidRDefault="007F39B7" w:rsidP="007F39B7">
      <w:pPr>
        <w:autoSpaceDE w:val="0"/>
        <w:autoSpaceDN w:val="0"/>
        <w:adjustRightInd w:val="0"/>
        <w:rPr>
          <w:rFonts w:eastAsia="Calibri"/>
          <w:color w:val="000000"/>
          <w:sz w:val="22"/>
          <w:szCs w:val="22"/>
        </w:rPr>
      </w:pPr>
      <w:r w:rsidRPr="00051FD3">
        <w:rPr>
          <w:rFonts w:eastAsia="Calibri"/>
          <w:color w:val="000000"/>
          <w:sz w:val="22"/>
          <w:szCs w:val="22"/>
        </w:rPr>
        <w:t>LT-</w:t>
      </w:r>
      <w:r w:rsidR="00A310D3" w:rsidRPr="00051FD3">
        <w:rPr>
          <w:rFonts w:eastAsia="Calibri"/>
          <w:color w:val="000000"/>
          <w:sz w:val="22"/>
          <w:szCs w:val="22"/>
        </w:rPr>
        <w:t xml:space="preserve">08409 </w:t>
      </w:r>
      <w:r w:rsidRPr="00051FD3">
        <w:rPr>
          <w:rFonts w:eastAsia="Calibri"/>
          <w:color w:val="000000"/>
          <w:sz w:val="22"/>
          <w:szCs w:val="22"/>
        </w:rPr>
        <w:t>Vilnius</w:t>
      </w:r>
    </w:p>
    <w:p w14:paraId="7CC27FB5" w14:textId="77777777" w:rsidR="007F39B7" w:rsidRPr="00051FD3" w:rsidRDefault="007F39B7" w:rsidP="007F39B7">
      <w:pPr>
        <w:rPr>
          <w:noProof/>
          <w:sz w:val="22"/>
          <w:szCs w:val="22"/>
        </w:rPr>
      </w:pPr>
      <w:r w:rsidRPr="00051FD3">
        <w:rPr>
          <w:rFonts w:eastAsia="Calibri"/>
          <w:color w:val="000000"/>
          <w:sz w:val="22"/>
          <w:szCs w:val="22"/>
        </w:rPr>
        <w:t>Tel.+370 5 266 02 03</w:t>
      </w:r>
    </w:p>
    <w:p w14:paraId="4CAA3312" w14:textId="77777777" w:rsidR="007F39B7" w:rsidRPr="00051FD3" w:rsidRDefault="007F39B7" w:rsidP="007F39B7">
      <w:pPr>
        <w:rPr>
          <w:b/>
          <w:sz w:val="22"/>
          <w:szCs w:val="22"/>
          <w:lang w:eastAsia="ja-JP"/>
        </w:rPr>
      </w:pPr>
    </w:p>
    <w:p w14:paraId="38761E2B" w14:textId="3CBAF4F9" w:rsidR="007F39B7" w:rsidRPr="00051FD3" w:rsidRDefault="00BE63B6" w:rsidP="007F39B7">
      <w:pPr>
        <w:rPr>
          <w:b/>
          <w:sz w:val="22"/>
          <w:szCs w:val="22"/>
          <w:lang w:eastAsia="ja-JP"/>
        </w:rPr>
      </w:pPr>
      <w:r w:rsidRPr="00051FD3">
        <w:rPr>
          <w:b/>
          <w:sz w:val="22"/>
          <w:szCs w:val="22"/>
          <w:lang w:eastAsia="ja-JP"/>
        </w:rPr>
        <w:t xml:space="preserve">Šis vaistas </w:t>
      </w:r>
      <w:r w:rsidR="00130D57" w:rsidRPr="00130D57">
        <w:rPr>
          <w:b/>
          <w:sz w:val="22"/>
          <w:szCs w:val="22"/>
          <w:lang w:eastAsia="ja-JP"/>
        </w:rPr>
        <w:t>Europos ekonominės erdvės</w:t>
      </w:r>
      <w:r w:rsidRPr="00051FD3">
        <w:rPr>
          <w:b/>
          <w:sz w:val="22"/>
          <w:szCs w:val="22"/>
          <w:lang w:eastAsia="ja-JP"/>
        </w:rPr>
        <w:t xml:space="preserve"> valstybėse narėse registruotas tokiais pavadinimais:</w:t>
      </w:r>
    </w:p>
    <w:tbl>
      <w:tblPr>
        <w:tblW w:w="0" w:type="auto"/>
        <w:tblLook w:val="04A0" w:firstRow="1" w:lastRow="0" w:firstColumn="1" w:lastColumn="0" w:noHBand="0" w:noVBand="1"/>
      </w:tblPr>
      <w:tblGrid>
        <w:gridCol w:w="1304"/>
        <w:gridCol w:w="7756"/>
      </w:tblGrid>
      <w:tr w:rsidR="007F39B7" w:rsidRPr="00051FD3" w14:paraId="0F7F81B2" w14:textId="77777777" w:rsidTr="00FA4E83">
        <w:tc>
          <w:tcPr>
            <w:tcW w:w="1304" w:type="dxa"/>
          </w:tcPr>
          <w:p w14:paraId="26702F4A" w14:textId="77777777" w:rsidR="007F39B7" w:rsidRPr="00051FD3" w:rsidRDefault="007F39B7" w:rsidP="00D26C86">
            <w:pPr>
              <w:tabs>
                <w:tab w:val="left" w:pos="567"/>
              </w:tabs>
              <w:rPr>
                <w:sz w:val="22"/>
                <w:szCs w:val="22"/>
                <w:lang w:eastAsia="lt-LT"/>
              </w:rPr>
            </w:pPr>
            <w:r w:rsidRPr="00051FD3">
              <w:rPr>
                <w:sz w:val="22"/>
                <w:szCs w:val="22"/>
                <w:lang w:eastAsia="lt-LT"/>
              </w:rPr>
              <w:t>Danija</w:t>
            </w:r>
          </w:p>
        </w:tc>
        <w:tc>
          <w:tcPr>
            <w:tcW w:w="7756" w:type="dxa"/>
          </w:tcPr>
          <w:p w14:paraId="38D2F14A" w14:textId="77777777" w:rsidR="007F39B7" w:rsidRPr="00051FD3" w:rsidRDefault="007F39B7" w:rsidP="00D26C86">
            <w:pPr>
              <w:tabs>
                <w:tab w:val="left" w:pos="567"/>
              </w:tabs>
              <w:rPr>
                <w:sz w:val="22"/>
                <w:szCs w:val="22"/>
                <w:lang w:eastAsia="lt-LT"/>
              </w:rPr>
            </w:pPr>
            <w:proofErr w:type="spellStart"/>
            <w:r w:rsidRPr="00051FD3">
              <w:rPr>
                <w:sz w:val="22"/>
                <w:szCs w:val="22"/>
                <w:lang w:eastAsia="lt-LT"/>
              </w:rPr>
              <w:t>Sanluper</w:t>
            </w:r>
            <w:proofErr w:type="spellEnd"/>
          </w:p>
        </w:tc>
      </w:tr>
      <w:tr w:rsidR="007F39B7" w:rsidRPr="00051FD3" w14:paraId="382AD2F6" w14:textId="77777777" w:rsidTr="00FA4E83">
        <w:tc>
          <w:tcPr>
            <w:tcW w:w="1304" w:type="dxa"/>
          </w:tcPr>
          <w:p w14:paraId="299F4D07" w14:textId="77777777" w:rsidR="007F39B7" w:rsidRPr="00051FD3" w:rsidRDefault="007F39B7" w:rsidP="00D26C86">
            <w:pPr>
              <w:tabs>
                <w:tab w:val="left" w:pos="567"/>
              </w:tabs>
              <w:rPr>
                <w:sz w:val="22"/>
                <w:szCs w:val="22"/>
                <w:lang w:eastAsia="lt-LT"/>
              </w:rPr>
            </w:pPr>
            <w:r w:rsidRPr="00051FD3">
              <w:rPr>
                <w:sz w:val="22"/>
                <w:szCs w:val="22"/>
                <w:lang w:eastAsia="lt-LT"/>
              </w:rPr>
              <w:t>Vokietija</w:t>
            </w:r>
          </w:p>
        </w:tc>
        <w:tc>
          <w:tcPr>
            <w:tcW w:w="7756" w:type="dxa"/>
          </w:tcPr>
          <w:p w14:paraId="5F5AC455" w14:textId="30BFDCAB" w:rsidR="007F39B7" w:rsidRPr="00051FD3" w:rsidRDefault="007F39B7" w:rsidP="0078549E">
            <w:pPr>
              <w:pStyle w:val="Porat"/>
              <w:rPr>
                <w:sz w:val="22"/>
                <w:szCs w:val="22"/>
                <w:lang w:val="lt-LT" w:eastAsia="lt-LT"/>
              </w:rPr>
            </w:pPr>
            <w:proofErr w:type="spellStart"/>
            <w:r w:rsidRPr="000E639C">
              <w:rPr>
                <w:sz w:val="22"/>
                <w:szCs w:val="22"/>
                <w:lang w:val="lt-LT" w:eastAsia="lt-LT"/>
              </w:rPr>
              <w:t>Telmisartan</w:t>
            </w:r>
            <w:proofErr w:type="spellEnd"/>
            <w:r w:rsidRPr="000E639C">
              <w:rPr>
                <w:sz w:val="22"/>
                <w:szCs w:val="22"/>
                <w:lang w:val="lt-LT" w:eastAsia="lt-LT"/>
              </w:rPr>
              <w:t xml:space="preserve"> </w:t>
            </w:r>
            <w:proofErr w:type="spellStart"/>
            <w:r w:rsidRPr="000E639C">
              <w:rPr>
                <w:sz w:val="22"/>
                <w:szCs w:val="22"/>
                <w:lang w:val="lt-LT" w:eastAsia="lt-LT"/>
              </w:rPr>
              <w:t>comp</w:t>
            </w:r>
            <w:proofErr w:type="spellEnd"/>
            <w:r w:rsidRPr="000E639C">
              <w:rPr>
                <w:sz w:val="22"/>
                <w:szCs w:val="22"/>
                <w:lang w:val="lt-LT" w:eastAsia="lt-LT"/>
              </w:rPr>
              <w:t xml:space="preserve">. </w:t>
            </w:r>
            <w:proofErr w:type="spellStart"/>
            <w:r w:rsidRPr="000E639C">
              <w:rPr>
                <w:sz w:val="22"/>
                <w:szCs w:val="22"/>
                <w:lang w:val="lt-LT" w:eastAsia="lt-LT"/>
              </w:rPr>
              <w:t>AbZ</w:t>
            </w:r>
            <w:proofErr w:type="spellEnd"/>
            <w:r w:rsidRPr="000E639C">
              <w:rPr>
                <w:sz w:val="22"/>
                <w:szCs w:val="22"/>
                <w:lang w:val="lt-LT" w:eastAsia="lt-LT"/>
              </w:rPr>
              <w:t xml:space="preserve"> 40</w:t>
            </w:r>
            <w:r w:rsidR="00F97057" w:rsidRPr="000E639C">
              <w:rPr>
                <w:sz w:val="22"/>
                <w:szCs w:val="22"/>
                <w:lang w:val="lt-LT" w:eastAsia="lt-LT"/>
              </w:rPr>
              <w:t> </w:t>
            </w:r>
            <w:r w:rsidRPr="00051FD3">
              <w:rPr>
                <w:sz w:val="22"/>
                <w:szCs w:val="22"/>
                <w:lang w:val="lt-LT" w:eastAsia="lt-LT"/>
              </w:rPr>
              <w:t>mg/12,5</w:t>
            </w:r>
            <w:r w:rsidR="00F97057" w:rsidRPr="00051FD3">
              <w:rPr>
                <w:sz w:val="22"/>
                <w:szCs w:val="22"/>
                <w:lang w:val="lt-LT" w:eastAsia="lt-LT"/>
              </w:rPr>
              <w:t> </w:t>
            </w:r>
            <w:r w:rsidRPr="00051FD3">
              <w:rPr>
                <w:sz w:val="22"/>
                <w:szCs w:val="22"/>
                <w:lang w:val="lt-LT" w:eastAsia="lt-LT"/>
              </w:rPr>
              <w:t xml:space="preserve">mg </w:t>
            </w:r>
            <w:proofErr w:type="spellStart"/>
            <w:r w:rsidRPr="00051FD3">
              <w:rPr>
                <w:sz w:val="22"/>
                <w:szCs w:val="22"/>
                <w:lang w:val="lt-LT" w:eastAsia="lt-LT"/>
              </w:rPr>
              <w:t>Tabletten</w:t>
            </w:r>
            <w:proofErr w:type="spellEnd"/>
            <w:r w:rsidRPr="00051FD3">
              <w:rPr>
                <w:sz w:val="22"/>
                <w:szCs w:val="22"/>
                <w:lang w:val="lt-LT" w:eastAsia="lt-LT"/>
              </w:rPr>
              <w:t xml:space="preserve"> </w:t>
            </w:r>
          </w:p>
        </w:tc>
      </w:tr>
      <w:tr w:rsidR="007F39B7" w:rsidRPr="00051FD3" w14:paraId="7DD5677F" w14:textId="77777777" w:rsidTr="00FA4E83">
        <w:trPr>
          <w:trHeight w:val="322"/>
        </w:trPr>
        <w:tc>
          <w:tcPr>
            <w:tcW w:w="1304" w:type="dxa"/>
          </w:tcPr>
          <w:p w14:paraId="5DEBF84A" w14:textId="77777777" w:rsidR="007F39B7" w:rsidRPr="00051FD3" w:rsidRDefault="007F39B7" w:rsidP="00D26C86">
            <w:pPr>
              <w:tabs>
                <w:tab w:val="left" w:pos="567"/>
              </w:tabs>
              <w:rPr>
                <w:sz w:val="22"/>
                <w:szCs w:val="22"/>
                <w:lang w:eastAsia="lt-LT"/>
              </w:rPr>
            </w:pPr>
            <w:r w:rsidRPr="00051FD3">
              <w:rPr>
                <w:sz w:val="22"/>
                <w:szCs w:val="22"/>
                <w:lang w:eastAsia="lt-LT"/>
              </w:rPr>
              <w:t>Estija</w:t>
            </w:r>
          </w:p>
        </w:tc>
        <w:tc>
          <w:tcPr>
            <w:tcW w:w="7756" w:type="dxa"/>
          </w:tcPr>
          <w:p w14:paraId="40A10F51" w14:textId="77777777" w:rsidR="007F39B7" w:rsidRPr="000E639C" w:rsidRDefault="007F39B7" w:rsidP="00D26C86">
            <w:pPr>
              <w:pStyle w:val="Porat"/>
              <w:tabs>
                <w:tab w:val="left" w:pos="5040"/>
              </w:tabs>
              <w:spacing w:before="24" w:after="24"/>
              <w:rPr>
                <w:sz w:val="22"/>
                <w:szCs w:val="22"/>
                <w:lang w:val="lt-LT"/>
              </w:rPr>
            </w:pPr>
            <w:proofErr w:type="spellStart"/>
            <w:r w:rsidRPr="000E639C">
              <w:rPr>
                <w:sz w:val="22"/>
                <w:szCs w:val="22"/>
                <w:lang w:val="lt-LT" w:eastAsia="lt-LT"/>
              </w:rPr>
              <w:t>Telmisartan</w:t>
            </w:r>
            <w:proofErr w:type="spellEnd"/>
            <w:r w:rsidRPr="000E639C">
              <w:rPr>
                <w:sz w:val="22"/>
                <w:szCs w:val="22"/>
                <w:lang w:val="lt-LT" w:eastAsia="lt-LT"/>
              </w:rPr>
              <w:t>/</w:t>
            </w:r>
            <w:proofErr w:type="spellStart"/>
            <w:r w:rsidRPr="000E639C">
              <w:rPr>
                <w:sz w:val="22"/>
                <w:szCs w:val="22"/>
                <w:lang w:val="lt-LT" w:eastAsia="lt-LT"/>
              </w:rPr>
              <w:t>Hydrochlorothiazide</w:t>
            </w:r>
            <w:proofErr w:type="spellEnd"/>
            <w:r w:rsidRPr="000E639C">
              <w:rPr>
                <w:sz w:val="22"/>
                <w:szCs w:val="22"/>
                <w:lang w:val="lt-LT" w:eastAsia="lt-LT"/>
              </w:rPr>
              <w:t xml:space="preserve"> </w:t>
            </w:r>
            <w:proofErr w:type="spellStart"/>
            <w:r w:rsidRPr="000E639C">
              <w:rPr>
                <w:sz w:val="22"/>
                <w:szCs w:val="22"/>
                <w:lang w:val="lt-LT" w:eastAsia="lt-LT"/>
              </w:rPr>
              <w:t>Teva</w:t>
            </w:r>
            <w:proofErr w:type="spellEnd"/>
            <w:r w:rsidRPr="000E639C">
              <w:rPr>
                <w:sz w:val="22"/>
                <w:szCs w:val="22"/>
                <w:lang w:val="lt-LT" w:eastAsia="lt-LT"/>
              </w:rPr>
              <w:t xml:space="preserve"> Pharma</w:t>
            </w:r>
          </w:p>
        </w:tc>
      </w:tr>
      <w:tr w:rsidR="007F39B7" w:rsidRPr="00051FD3" w14:paraId="413BC527" w14:textId="77777777" w:rsidTr="00FA4E83">
        <w:tc>
          <w:tcPr>
            <w:tcW w:w="1304" w:type="dxa"/>
          </w:tcPr>
          <w:p w14:paraId="7EF06181" w14:textId="77777777" w:rsidR="007F39B7" w:rsidRPr="00051FD3" w:rsidRDefault="007F39B7" w:rsidP="00D26C86">
            <w:pPr>
              <w:tabs>
                <w:tab w:val="left" w:pos="567"/>
              </w:tabs>
              <w:rPr>
                <w:sz w:val="22"/>
                <w:szCs w:val="22"/>
                <w:lang w:eastAsia="lt-LT"/>
              </w:rPr>
            </w:pPr>
            <w:r w:rsidRPr="00051FD3">
              <w:rPr>
                <w:sz w:val="22"/>
                <w:szCs w:val="22"/>
                <w:lang w:eastAsia="lt-LT"/>
              </w:rPr>
              <w:t>Latvija</w:t>
            </w:r>
          </w:p>
        </w:tc>
        <w:tc>
          <w:tcPr>
            <w:tcW w:w="7756" w:type="dxa"/>
          </w:tcPr>
          <w:p w14:paraId="66D98121" w14:textId="3D56E9DE" w:rsidR="007F39B7" w:rsidRPr="00051FD3" w:rsidRDefault="007F39B7" w:rsidP="004A678A">
            <w:pPr>
              <w:rPr>
                <w:sz w:val="22"/>
                <w:szCs w:val="22"/>
                <w:lang w:eastAsia="lt-LT"/>
              </w:rPr>
            </w:pPr>
            <w:proofErr w:type="spellStart"/>
            <w:r w:rsidRPr="000E639C">
              <w:rPr>
                <w:sz w:val="22"/>
                <w:szCs w:val="22"/>
                <w:lang w:eastAsia="lt-LT"/>
              </w:rPr>
              <w:t>Telmisartan</w:t>
            </w:r>
            <w:proofErr w:type="spellEnd"/>
            <w:r w:rsidRPr="000E639C">
              <w:rPr>
                <w:sz w:val="22"/>
                <w:szCs w:val="22"/>
                <w:lang w:eastAsia="lt-LT"/>
              </w:rPr>
              <w:t>/</w:t>
            </w:r>
            <w:proofErr w:type="spellStart"/>
            <w:r w:rsidRPr="000E639C">
              <w:rPr>
                <w:sz w:val="22"/>
                <w:szCs w:val="22"/>
                <w:lang w:eastAsia="lt-LT"/>
              </w:rPr>
              <w:t>Hydrochlorothiazide</w:t>
            </w:r>
            <w:proofErr w:type="spellEnd"/>
            <w:r w:rsidRPr="000E639C">
              <w:rPr>
                <w:sz w:val="22"/>
                <w:szCs w:val="22"/>
                <w:lang w:eastAsia="lt-LT"/>
              </w:rPr>
              <w:t xml:space="preserve"> </w:t>
            </w:r>
            <w:proofErr w:type="spellStart"/>
            <w:r w:rsidR="004A678A" w:rsidRPr="000E639C">
              <w:rPr>
                <w:sz w:val="22"/>
                <w:szCs w:val="22"/>
                <w:lang w:eastAsia="lt-LT"/>
              </w:rPr>
              <w:t>Teva</w:t>
            </w:r>
            <w:proofErr w:type="spellEnd"/>
            <w:r w:rsidR="004A678A" w:rsidRPr="000E639C">
              <w:rPr>
                <w:sz w:val="22"/>
                <w:szCs w:val="22"/>
                <w:lang w:eastAsia="lt-LT"/>
              </w:rPr>
              <w:t xml:space="preserve"> Pharma</w:t>
            </w:r>
            <w:r w:rsidR="004A678A" w:rsidRPr="000E639C" w:rsidDel="004A678A">
              <w:rPr>
                <w:sz w:val="22"/>
                <w:szCs w:val="22"/>
                <w:lang w:eastAsia="lt-LT"/>
              </w:rPr>
              <w:t xml:space="preserve"> </w:t>
            </w:r>
            <w:r w:rsidRPr="00051FD3">
              <w:rPr>
                <w:sz w:val="22"/>
                <w:szCs w:val="22"/>
                <w:lang w:eastAsia="lt-LT"/>
              </w:rPr>
              <w:t>80</w:t>
            </w:r>
            <w:r w:rsidR="00F97057" w:rsidRPr="00051FD3">
              <w:rPr>
                <w:sz w:val="22"/>
                <w:szCs w:val="22"/>
                <w:lang w:eastAsia="lt-LT"/>
              </w:rPr>
              <w:t> </w:t>
            </w:r>
            <w:r w:rsidRPr="00051FD3">
              <w:rPr>
                <w:sz w:val="22"/>
                <w:szCs w:val="22"/>
                <w:lang w:eastAsia="lt-LT"/>
              </w:rPr>
              <w:t>mg/12.5</w:t>
            </w:r>
            <w:r w:rsidR="00F97057" w:rsidRPr="00051FD3">
              <w:rPr>
                <w:sz w:val="22"/>
                <w:szCs w:val="22"/>
                <w:lang w:eastAsia="lt-LT"/>
              </w:rPr>
              <w:t> </w:t>
            </w:r>
            <w:r w:rsidRPr="00051FD3">
              <w:rPr>
                <w:sz w:val="22"/>
                <w:szCs w:val="22"/>
                <w:lang w:eastAsia="lt-LT"/>
              </w:rPr>
              <w:t>mg tabletes</w:t>
            </w:r>
          </w:p>
        </w:tc>
      </w:tr>
      <w:tr w:rsidR="007F39B7" w:rsidRPr="00051FD3" w14:paraId="2DA79463" w14:textId="77777777" w:rsidTr="00FA4E83">
        <w:tc>
          <w:tcPr>
            <w:tcW w:w="1304" w:type="dxa"/>
          </w:tcPr>
          <w:p w14:paraId="2D072DCE" w14:textId="77777777" w:rsidR="007F39B7" w:rsidRPr="00051FD3" w:rsidRDefault="007F39B7" w:rsidP="00D26C86">
            <w:pPr>
              <w:tabs>
                <w:tab w:val="left" w:pos="567"/>
              </w:tabs>
              <w:rPr>
                <w:sz w:val="22"/>
                <w:szCs w:val="22"/>
                <w:lang w:eastAsia="lt-LT"/>
              </w:rPr>
            </w:pPr>
            <w:r w:rsidRPr="00051FD3">
              <w:rPr>
                <w:sz w:val="22"/>
                <w:szCs w:val="22"/>
                <w:lang w:eastAsia="lt-LT"/>
              </w:rPr>
              <w:t>Nyderlandai</w:t>
            </w:r>
          </w:p>
        </w:tc>
        <w:tc>
          <w:tcPr>
            <w:tcW w:w="7756" w:type="dxa"/>
          </w:tcPr>
          <w:p w14:paraId="0774FA00" w14:textId="77777777" w:rsidR="00F95351" w:rsidRPr="000E639C" w:rsidRDefault="007F39B7" w:rsidP="00075E68">
            <w:pPr>
              <w:rPr>
                <w:sz w:val="22"/>
                <w:szCs w:val="22"/>
              </w:rPr>
            </w:pPr>
            <w:proofErr w:type="spellStart"/>
            <w:r w:rsidRPr="000E639C">
              <w:rPr>
                <w:sz w:val="22"/>
                <w:szCs w:val="22"/>
                <w:lang w:eastAsia="lt-LT"/>
              </w:rPr>
              <w:t>Telmisartan</w:t>
            </w:r>
            <w:proofErr w:type="spellEnd"/>
            <w:r w:rsidRPr="000E639C">
              <w:rPr>
                <w:sz w:val="22"/>
                <w:szCs w:val="22"/>
                <w:lang w:eastAsia="lt-LT"/>
              </w:rPr>
              <w:t xml:space="preserve">/HCT 40/12,5 mg </w:t>
            </w:r>
            <w:proofErr w:type="spellStart"/>
            <w:r w:rsidRPr="000E639C">
              <w:rPr>
                <w:sz w:val="22"/>
                <w:szCs w:val="22"/>
                <w:lang w:eastAsia="lt-LT"/>
              </w:rPr>
              <w:t>Teva</w:t>
            </w:r>
            <w:proofErr w:type="spellEnd"/>
            <w:r w:rsidRPr="000E639C">
              <w:rPr>
                <w:sz w:val="22"/>
                <w:szCs w:val="22"/>
                <w:lang w:eastAsia="lt-LT"/>
              </w:rPr>
              <w:t xml:space="preserve">, </w:t>
            </w:r>
            <w:proofErr w:type="spellStart"/>
            <w:r w:rsidRPr="000E639C">
              <w:rPr>
                <w:sz w:val="22"/>
                <w:szCs w:val="22"/>
                <w:lang w:eastAsia="lt-LT"/>
              </w:rPr>
              <w:t>tabletten</w:t>
            </w:r>
            <w:proofErr w:type="spellEnd"/>
          </w:p>
        </w:tc>
      </w:tr>
    </w:tbl>
    <w:p w14:paraId="10F47142" w14:textId="77777777" w:rsidR="007F39B7" w:rsidRPr="00051FD3" w:rsidRDefault="007F39B7" w:rsidP="007F39B7">
      <w:pPr>
        <w:tabs>
          <w:tab w:val="left" w:pos="567"/>
        </w:tabs>
        <w:rPr>
          <w:sz w:val="22"/>
          <w:szCs w:val="22"/>
        </w:rPr>
      </w:pPr>
    </w:p>
    <w:p w14:paraId="0CA9BBE9" w14:textId="4A56C955" w:rsidR="007F39B7" w:rsidRPr="00051FD3" w:rsidRDefault="007F39B7" w:rsidP="00E0539B">
      <w:pPr>
        <w:tabs>
          <w:tab w:val="left" w:pos="567"/>
        </w:tabs>
        <w:rPr>
          <w:sz w:val="22"/>
          <w:szCs w:val="22"/>
        </w:rPr>
      </w:pPr>
      <w:r w:rsidRPr="000E639C">
        <w:rPr>
          <w:b/>
          <w:sz w:val="22"/>
          <w:szCs w:val="22"/>
        </w:rPr>
        <w:t>Šis pakuotės lapelis paskutinį kartą peržiūrėtas</w:t>
      </w:r>
      <w:r w:rsidR="00E80360" w:rsidRPr="000E639C">
        <w:rPr>
          <w:b/>
          <w:sz w:val="22"/>
          <w:szCs w:val="22"/>
        </w:rPr>
        <w:t xml:space="preserve"> </w:t>
      </w:r>
      <w:r w:rsidR="006A3242">
        <w:rPr>
          <w:b/>
          <w:sz w:val="22"/>
          <w:szCs w:val="22"/>
        </w:rPr>
        <w:t>2025-05-08.</w:t>
      </w:r>
    </w:p>
    <w:p w14:paraId="669A7F55" w14:textId="77777777" w:rsidR="007F39B7" w:rsidRPr="00051FD3" w:rsidRDefault="007F39B7" w:rsidP="007F39B7">
      <w:pPr>
        <w:rPr>
          <w:noProof/>
          <w:sz w:val="22"/>
          <w:szCs w:val="22"/>
        </w:rPr>
      </w:pPr>
    </w:p>
    <w:p w14:paraId="5013C7BB" w14:textId="26FE967E" w:rsidR="007F39B7" w:rsidRPr="00051FD3" w:rsidRDefault="007F39B7" w:rsidP="007F39B7">
      <w:pPr>
        <w:numPr>
          <w:ilvl w:val="12"/>
          <w:numId w:val="0"/>
        </w:numPr>
        <w:tabs>
          <w:tab w:val="left" w:pos="567"/>
        </w:tabs>
        <w:ind w:right="-2"/>
        <w:rPr>
          <w:noProof/>
          <w:color w:val="0000FF"/>
          <w:sz w:val="22"/>
          <w:szCs w:val="22"/>
        </w:rPr>
      </w:pPr>
      <w:r w:rsidRPr="00051FD3">
        <w:rPr>
          <w:snapToGrid w:val="0"/>
          <w:sz w:val="22"/>
          <w:szCs w:val="22"/>
        </w:rPr>
        <w:t>Išsami informacija apie šį vaistą pateikiama Valstybinės vaistų kontrolės tarnybos prie Lietuvos Respublikos sveikatos apsaugos ministerijos tinklalapyje</w:t>
      </w:r>
      <w:r w:rsidRPr="00051FD3">
        <w:rPr>
          <w:i/>
          <w:snapToGrid w:val="0"/>
          <w:sz w:val="22"/>
          <w:szCs w:val="22"/>
        </w:rPr>
        <w:t xml:space="preserve"> </w:t>
      </w:r>
      <w:r w:rsidR="00F97057" w:rsidRPr="00051FD3">
        <w:rPr>
          <w:sz w:val="22"/>
          <w:szCs w:val="22"/>
          <w:lang w:eastAsia="lt-LT"/>
        </w:rPr>
        <w:t xml:space="preserve"> </w:t>
      </w:r>
      <w:r w:rsidR="00F97057" w:rsidRPr="00051FD3">
        <w:rPr>
          <w:color w:val="0000EE"/>
          <w:sz w:val="22"/>
          <w:szCs w:val="22"/>
          <w:u w:val="single"/>
          <w:lang w:eastAsia="lt-LT"/>
        </w:rPr>
        <w:t>https://vvkt.lrv.lt/lt/</w:t>
      </w:r>
      <w:r w:rsidR="00F97057" w:rsidRPr="00051FD3">
        <w:rPr>
          <w:sz w:val="22"/>
          <w:szCs w:val="22"/>
          <w:lang w:eastAsia="lt-LT"/>
        </w:rPr>
        <w:t>.</w:t>
      </w:r>
    </w:p>
    <w:p w14:paraId="21E22155" w14:textId="77777777" w:rsidR="007F39B7" w:rsidRPr="00051FD3" w:rsidRDefault="007F39B7" w:rsidP="007F39B7">
      <w:pPr>
        <w:rPr>
          <w:sz w:val="22"/>
          <w:szCs w:val="22"/>
        </w:rPr>
      </w:pPr>
    </w:p>
    <w:sectPr w:rsidR="007F39B7" w:rsidRPr="00051FD3" w:rsidSect="00F36891">
      <w:headerReference w:type="default" r:id="rId8"/>
      <w:footerReference w:type="even" r:id="rId9"/>
      <w:footerReference w:type="default" r:id="rId10"/>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2CD3" w14:textId="77777777" w:rsidR="00FA4E83" w:rsidRDefault="00FA4E83" w:rsidP="00C5428A">
      <w:r>
        <w:separator/>
      </w:r>
    </w:p>
  </w:endnote>
  <w:endnote w:type="continuationSeparator" w:id="0">
    <w:p w14:paraId="561331AE" w14:textId="77777777" w:rsidR="00FA4E83" w:rsidRDefault="00FA4E83" w:rsidP="00C5428A">
      <w:r>
        <w:continuationSeparator/>
      </w:r>
    </w:p>
  </w:endnote>
  <w:endnote w:type="continuationNotice" w:id="1">
    <w:p w14:paraId="12316D46" w14:textId="77777777" w:rsidR="00FA4E83" w:rsidRDefault="00FA4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1C16" w14:textId="77777777" w:rsidR="00051FD3" w:rsidRDefault="00051FD3" w:rsidP="00524B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14:paraId="5B903AC0" w14:textId="77777777" w:rsidR="00051FD3" w:rsidRDefault="00051FD3" w:rsidP="00524B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A7CA" w14:textId="6BCE972F" w:rsidR="00051FD3" w:rsidRPr="00CC1E17" w:rsidRDefault="00051FD3" w:rsidP="00524B41">
    <w:pPr>
      <w:pStyle w:val="Porat"/>
      <w:framePr w:wrap="around" w:vAnchor="text" w:hAnchor="margin" w:xAlign="right" w:y="1"/>
      <w:rPr>
        <w:rStyle w:val="Puslapionumeris"/>
        <w:sz w:val="22"/>
        <w:szCs w:val="22"/>
      </w:rPr>
    </w:pPr>
    <w:r w:rsidRPr="00CC1E17">
      <w:rPr>
        <w:rStyle w:val="Puslapionumeris"/>
        <w:sz w:val="22"/>
        <w:szCs w:val="22"/>
      </w:rPr>
      <w:fldChar w:fldCharType="begin"/>
    </w:r>
    <w:r w:rsidRPr="00CC1E17">
      <w:rPr>
        <w:rStyle w:val="Puslapionumeris"/>
        <w:sz w:val="22"/>
        <w:szCs w:val="22"/>
      </w:rPr>
      <w:instrText xml:space="preserve">PAGE  </w:instrText>
    </w:r>
    <w:r w:rsidRPr="00CC1E17">
      <w:rPr>
        <w:rStyle w:val="Puslapionumeris"/>
        <w:sz w:val="22"/>
        <w:szCs w:val="22"/>
      </w:rPr>
      <w:fldChar w:fldCharType="separate"/>
    </w:r>
    <w:r w:rsidR="00012DBE">
      <w:rPr>
        <w:rStyle w:val="Puslapionumeris"/>
        <w:noProof/>
        <w:sz w:val="22"/>
        <w:szCs w:val="22"/>
      </w:rPr>
      <w:t>22</w:t>
    </w:r>
    <w:r w:rsidRPr="00CC1E17">
      <w:rPr>
        <w:rStyle w:val="Puslapionumeris"/>
        <w:sz w:val="22"/>
        <w:szCs w:val="22"/>
      </w:rPr>
      <w:fldChar w:fldCharType="end"/>
    </w:r>
  </w:p>
  <w:p w14:paraId="56ABBE4F" w14:textId="77777777" w:rsidR="00051FD3" w:rsidRDefault="00051FD3" w:rsidP="00524B4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23475" w14:textId="77777777" w:rsidR="00FA4E83" w:rsidRDefault="00FA4E83" w:rsidP="00C5428A">
      <w:r>
        <w:separator/>
      </w:r>
    </w:p>
  </w:footnote>
  <w:footnote w:type="continuationSeparator" w:id="0">
    <w:p w14:paraId="6CDAC8AC" w14:textId="77777777" w:rsidR="00FA4E83" w:rsidRDefault="00FA4E83" w:rsidP="00C5428A">
      <w:r>
        <w:continuationSeparator/>
      </w:r>
    </w:p>
  </w:footnote>
  <w:footnote w:type="continuationNotice" w:id="1">
    <w:p w14:paraId="6B6711D8" w14:textId="77777777" w:rsidR="00FA4E83" w:rsidRDefault="00FA4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C683" w14:textId="64379A24" w:rsidR="00051FD3" w:rsidRPr="00EC2B34" w:rsidRDefault="00051FD3" w:rsidP="00EC2B34">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E1A19"/>
    <w:multiLevelType w:val="hybridMultilevel"/>
    <w:tmpl w:val="E76478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5C46C4"/>
    <w:multiLevelType w:val="hybridMultilevel"/>
    <w:tmpl w:val="240EBA08"/>
    <w:lvl w:ilvl="0" w:tplc="E6E232E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4B5D6D"/>
    <w:multiLevelType w:val="hybridMultilevel"/>
    <w:tmpl w:val="CECCDFD4"/>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B3224"/>
    <w:multiLevelType w:val="hybridMultilevel"/>
    <w:tmpl w:val="802ED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0A53"/>
    <w:multiLevelType w:val="hybridMultilevel"/>
    <w:tmpl w:val="01A8FFFC"/>
    <w:lvl w:ilvl="0" w:tplc="2BD00DFC">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21C66"/>
    <w:multiLevelType w:val="hybridMultilevel"/>
    <w:tmpl w:val="BEEC01BE"/>
    <w:lvl w:ilvl="0" w:tplc="AE3CE148">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5D19B4"/>
    <w:multiLevelType w:val="hybridMultilevel"/>
    <w:tmpl w:val="76C0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A2D5D"/>
    <w:multiLevelType w:val="hybridMultilevel"/>
    <w:tmpl w:val="B8DC741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F7CE0"/>
    <w:multiLevelType w:val="hybridMultilevel"/>
    <w:tmpl w:val="C022591A"/>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329E8"/>
    <w:multiLevelType w:val="hybridMultilevel"/>
    <w:tmpl w:val="D314570E"/>
    <w:lvl w:ilvl="0" w:tplc="AE3CE14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CD38F7"/>
    <w:multiLevelType w:val="hybridMultilevel"/>
    <w:tmpl w:val="DC08D2A2"/>
    <w:lvl w:ilvl="0" w:tplc="FFFFFFFF">
      <w:start w:val="1"/>
      <w:numFmt w:val="bullet"/>
      <w:lvlText w:val="-"/>
      <w:lvlJc w:val="left"/>
      <w:pPr>
        <w:ind w:left="722" w:hanging="562"/>
      </w:pPr>
      <w:rPr>
        <w:rFonts w:hint="default"/>
        <w:sz w:val="22"/>
        <w:szCs w:val="22"/>
      </w:rPr>
    </w:lvl>
    <w:lvl w:ilvl="1" w:tplc="C0CAA0DE">
      <w:start w:val="1"/>
      <w:numFmt w:val="bullet"/>
      <w:lvlText w:val="•"/>
      <w:lvlJc w:val="left"/>
      <w:pPr>
        <w:ind w:left="1584" w:hanging="562"/>
      </w:pPr>
      <w:rPr>
        <w:rFonts w:hint="default"/>
      </w:rPr>
    </w:lvl>
    <w:lvl w:ilvl="2" w:tplc="06901110">
      <w:start w:val="1"/>
      <w:numFmt w:val="bullet"/>
      <w:lvlText w:val="•"/>
      <w:lvlJc w:val="left"/>
      <w:pPr>
        <w:ind w:left="2446" w:hanging="562"/>
      </w:pPr>
      <w:rPr>
        <w:rFonts w:hint="default"/>
      </w:rPr>
    </w:lvl>
    <w:lvl w:ilvl="3" w:tplc="080C2804">
      <w:start w:val="1"/>
      <w:numFmt w:val="bullet"/>
      <w:lvlText w:val="•"/>
      <w:lvlJc w:val="left"/>
      <w:pPr>
        <w:ind w:left="3309" w:hanging="562"/>
      </w:pPr>
      <w:rPr>
        <w:rFonts w:hint="default"/>
      </w:rPr>
    </w:lvl>
    <w:lvl w:ilvl="4" w:tplc="94E81EC0">
      <w:start w:val="1"/>
      <w:numFmt w:val="bullet"/>
      <w:lvlText w:val="•"/>
      <w:lvlJc w:val="left"/>
      <w:pPr>
        <w:ind w:left="4171" w:hanging="562"/>
      </w:pPr>
      <w:rPr>
        <w:rFonts w:hint="default"/>
      </w:rPr>
    </w:lvl>
    <w:lvl w:ilvl="5" w:tplc="276EF1CC">
      <w:start w:val="1"/>
      <w:numFmt w:val="bullet"/>
      <w:lvlText w:val="•"/>
      <w:lvlJc w:val="left"/>
      <w:pPr>
        <w:ind w:left="5034" w:hanging="562"/>
      </w:pPr>
      <w:rPr>
        <w:rFonts w:hint="default"/>
      </w:rPr>
    </w:lvl>
    <w:lvl w:ilvl="6" w:tplc="E96C8602">
      <w:start w:val="1"/>
      <w:numFmt w:val="bullet"/>
      <w:lvlText w:val="•"/>
      <w:lvlJc w:val="left"/>
      <w:pPr>
        <w:ind w:left="5896" w:hanging="562"/>
      </w:pPr>
      <w:rPr>
        <w:rFonts w:hint="default"/>
      </w:rPr>
    </w:lvl>
    <w:lvl w:ilvl="7" w:tplc="8EB8981A">
      <w:start w:val="1"/>
      <w:numFmt w:val="bullet"/>
      <w:lvlText w:val="•"/>
      <w:lvlJc w:val="left"/>
      <w:pPr>
        <w:ind w:left="6759" w:hanging="562"/>
      </w:pPr>
      <w:rPr>
        <w:rFonts w:hint="default"/>
      </w:rPr>
    </w:lvl>
    <w:lvl w:ilvl="8" w:tplc="CBA05B00">
      <w:start w:val="1"/>
      <w:numFmt w:val="bullet"/>
      <w:lvlText w:val="•"/>
      <w:lvlJc w:val="left"/>
      <w:pPr>
        <w:ind w:left="7621" w:hanging="562"/>
      </w:pPr>
      <w:rPr>
        <w:rFonts w:hint="default"/>
      </w:rPr>
    </w:lvl>
  </w:abstractNum>
  <w:abstractNum w:abstractNumId="11" w15:restartNumberingAfterBreak="0">
    <w:nsid w:val="3AA919C8"/>
    <w:multiLevelType w:val="hybridMultilevel"/>
    <w:tmpl w:val="FEE2D4F6"/>
    <w:lvl w:ilvl="0" w:tplc="7BBE9AF4">
      <w:start w:val="2"/>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45C50"/>
    <w:multiLevelType w:val="hybridMultilevel"/>
    <w:tmpl w:val="426EDA2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91A21"/>
    <w:multiLevelType w:val="hybridMultilevel"/>
    <w:tmpl w:val="22AC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A3D0B"/>
    <w:multiLevelType w:val="hybridMultilevel"/>
    <w:tmpl w:val="0A4C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B15E8"/>
    <w:multiLevelType w:val="hybridMultilevel"/>
    <w:tmpl w:val="105E29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23394"/>
    <w:multiLevelType w:val="hybridMultilevel"/>
    <w:tmpl w:val="EC7609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EF78E8"/>
    <w:multiLevelType w:val="hybridMultilevel"/>
    <w:tmpl w:val="38FA2442"/>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CD25509"/>
    <w:multiLevelType w:val="hybridMultilevel"/>
    <w:tmpl w:val="24343D26"/>
    <w:lvl w:ilvl="0" w:tplc="E6E232E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A03B57"/>
    <w:multiLevelType w:val="hybridMultilevel"/>
    <w:tmpl w:val="624A1CF0"/>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20D06CE"/>
    <w:multiLevelType w:val="hybridMultilevel"/>
    <w:tmpl w:val="65CE267E"/>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10B20"/>
    <w:multiLevelType w:val="hybridMultilevel"/>
    <w:tmpl w:val="F9AAACEA"/>
    <w:lvl w:ilvl="0" w:tplc="E6E23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A41F8"/>
    <w:multiLevelType w:val="multilevel"/>
    <w:tmpl w:val="DBF4A15C"/>
    <w:lvl w:ilvl="0">
      <w:start w:val="1"/>
      <w:numFmt w:val="bullet"/>
      <w:pStyle w:val="BullHead"/>
      <w:lvlText w:val=""/>
      <w:lvlJc w:val="left"/>
      <w:pPr>
        <w:tabs>
          <w:tab w:val="num" w:pos="504"/>
        </w:tabs>
        <w:ind w:left="504" w:hanging="504"/>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8934360"/>
    <w:multiLevelType w:val="hybridMultilevel"/>
    <w:tmpl w:val="0628A6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0D05432"/>
    <w:multiLevelType w:val="hybridMultilevel"/>
    <w:tmpl w:val="792C0AF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006EE3"/>
    <w:multiLevelType w:val="hybridMultilevel"/>
    <w:tmpl w:val="B61CE070"/>
    <w:lvl w:ilvl="0" w:tplc="E6E232E0">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860534"/>
    <w:multiLevelType w:val="hybridMultilevel"/>
    <w:tmpl w:val="018CB8EE"/>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C44A4"/>
    <w:multiLevelType w:val="hybridMultilevel"/>
    <w:tmpl w:val="23E4632C"/>
    <w:lvl w:ilvl="0" w:tplc="E6E232E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D3534"/>
    <w:multiLevelType w:val="multilevel"/>
    <w:tmpl w:val="7280F22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1E64958"/>
    <w:multiLevelType w:val="hybridMultilevel"/>
    <w:tmpl w:val="05DAF0A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7FD6CA3"/>
    <w:multiLevelType w:val="hybridMultilevel"/>
    <w:tmpl w:val="E41CB698"/>
    <w:lvl w:ilvl="0" w:tplc="384AFB56">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663063"/>
    <w:multiLevelType w:val="hybridMultilevel"/>
    <w:tmpl w:val="2AF6749E"/>
    <w:lvl w:ilvl="0" w:tplc="E6E232E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92DC3"/>
    <w:multiLevelType w:val="multilevel"/>
    <w:tmpl w:val="5874E0F0"/>
    <w:lvl w:ilvl="0">
      <w:start w:val="1"/>
      <w:numFmt w:val="bullet"/>
      <w:pStyle w:val="listdash"/>
      <w:lvlText w:val="-"/>
      <w:lvlJc w:val="left"/>
      <w:pPr>
        <w:tabs>
          <w:tab w:val="num" w:pos="567"/>
        </w:tabs>
        <w:ind w:left="567" w:hanging="56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9117861">
    <w:abstractNumId w:val="22"/>
  </w:num>
  <w:num w:numId="2" w16cid:durableId="692920676">
    <w:abstractNumId w:val="32"/>
  </w:num>
  <w:num w:numId="3" w16cid:durableId="1948661763">
    <w:abstractNumId w:val="5"/>
  </w:num>
  <w:num w:numId="4" w16cid:durableId="2117866003">
    <w:abstractNumId w:val="9"/>
  </w:num>
  <w:num w:numId="5" w16cid:durableId="1581209431">
    <w:abstractNumId w:val="28"/>
  </w:num>
  <w:num w:numId="6" w16cid:durableId="1191801469">
    <w:abstractNumId w:val="4"/>
  </w:num>
  <w:num w:numId="7" w16cid:durableId="1654067652">
    <w:abstractNumId w:val="12"/>
  </w:num>
  <w:num w:numId="8" w16cid:durableId="149639656">
    <w:abstractNumId w:val="7"/>
  </w:num>
  <w:num w:numId="9" w16cid:durableId="196626653">
    <w:abstractNumId w:val="17"/>
  </w:num>
  <w:num w:numId="10" w16cid:durableId="495195802">
    <w:abstractNumId w:val="26"/>
  </w:num>
  <w:num w:numId="11" w16cid:durableId="1165390333">
    <w:abstractNumId w:val="3"/>
  </w:num>
  <w:num w:numId="12" w16cid:durableId="181284880">
    <w:abstractNumId w:val="30"/>
  </w:num>
  <w:num w:numId="13" w16cid:durableId="2035690423">
    <w:abstractNumId w:val="14"/>
  </w:num>
  <w:num w:numId="14" w16cid:durableId="496113310">
    <w:abstractNumId w:val="13"/>
  </w:num>
  <w:num w:numId="15" w16cid:durableId="1910843118">
    <w:abstractNumId w:val="6"/>
  </w:num>
  <w:num w:numId="16" w16cid:durableId="1470245382">
    <w:abstractNumId w:val="11"/>
  </w:num>
  <w:num w:numId="17" w16cid:durableId="617561960">
    <w:abstractNumId w:val="1"/>
  </w:num>
  <w:num w:numId="18" w16cid:durableId="119494995">
    <w:abstractNumId w:val="25"/>
  </w:num>
  <w:num w:numId="19" w16cid:durableId="1854299623">
    <w:abstractNumId w:val="18"/>
  </w:num>
  <w:num w:numId="20" w16cid:durableId="1583487782">
    <w:abstractNumId w:val="27"/>
  </w:num>
  <w:num w:numId="21" w16cid:durableId="1721243401">
    <w:abstractNumId w:val="31"/>
  </w:num>
  <w:num w:numId="22" w16cid:durableId="1185097848">
    <w:abstractNumId w:val="8"/>
  </w:num>
  <w:num w:numId="23" w16cid:durableId="1056272493">
    <w:abstractNumId w:val="24"/>
  </w:num>
  <w:num w:numId="24" w16cid:durableId="4594826">
    <w:abstractNumId w:val="2"/>
  </w:num>
  <w:num w:numId="25" w16cid:durableId="1586303476">
    <w:abstractNumId w:val="20"/>
  </w:num>
  <w:num w:numId="26" w16cid:durableId="1778131968">
    <w:abstractNumId w:val="21"/>
  </w:num>
  <w:num w:numId="27" w16cid:durableId="1339305869">
    <w:abstractNumId w:val="16"/>
  </w:num>
  <w:num w:numId="28" w16cid:durableId="1645741798">
    <w:abstractNumId w:val="29"/>
  </w:num>
  <w:num w:numId="29" w16cid:durableId="1492480770">
    <w:abstractNumId w:val="0"/>
  </w:num>
  <w:num w:numId="30" w16cid:durableId="1231966526">
    <w:abstractNumId w:val="10"/>
  </w:num>
  <w:num w:numId="31" w16cid:durableId="1195535235">
    <w:abstractNumId w:val="23"/>
  </w:num>
  <w:num w:numId="32" w16cid:durableId="1712707">
    <w:abstractNumId w:val="15"/>
  </w:num>
  <w:num w:numId="33" w16cid:durableId="17844166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9B7"/>
    <w:rsid w:val="00012DBE"/>
    <w:rsid w:val="00013547"/>
    <w:rsid w:val="00017CF2"/>
    <w:rsid w:val="00037A24"/>
    <w:rsid w:val="00046DA4"/>
    <w:rsid w:val="000471D2"/>
    <w:rsid w:val="00047C77"/>
    <w:rsid w:val="00051CB1"/>
    <w:rsid w:val="00051FD3"/>
    <w:rsid w:val="00052179"/>
    <w:rsid w:val="000549C1"/>
    <w:rsid w:val="00056CE9"/>
    <w:rsid w:val="00057B0E"/>
    <w:rsid w:val="0006185A"/>
    <w:rsid w:val="00062640"/>
    <w:rsid w:val="0006413B"/>
    <w:rsid w:val="0006705B"/>
    <w:rsid w:val="00067ADA"/>
    <w:rsid w:val="00072E4E"/>
    <w:rsid w:val="00075E68"/>
    <w:rsid w:val="000871C3"/>
    <w:rsid w:val="000A3555"/>
    <w:rsid w:val="000A4300"/>
    <w:rsid w:val="000A5A32"/>
    <w:rsid w:val="000D1368"/>
    <w:rsid w:val="000D520F"/>
    <w:rsid w:val="000D6E17"/>
    <w:rsid w:val="000E077C"/>
    <w:rsid w:val="000E639C"/>
    <w:rsid w:val="000E6400"/>
    <w:rsid w:val="000F2748"/>
    <w:rsid w:val="000F72E0"/>
    <w:rsid w:val="00101B62"/>
    <w:rsid w:val="001048FE"/>
    <w:rsid w:val="00114BE7"/>
    <w:rsid w:val="00116C47"/>
    <w:rsid w:val="0011763B"/>
    <w:rsid w:val="001207D3"/>
    <w:rsid w:val="00125FCA"/>
    <w:rsid w:val="00126444"/>
    <w:rsid w:val="00130A22"/>
    <w:rsid w:val="00130D57"/>
    <w:rsid w:val="00130DCA"/>
    <w:rsid w:val="00133370"/>
    <w:rsid w:val="001369CA"/>
    <w:rsid w:val="00142526"/>
    <w:rsid w:val="001458B1"/>
    <w:rsid w:val="00152045"/>
    <w:rsid w:val="001520F0"/>
    <w:rsid w:val="0015267B"/>
    <w:rsid w:val="001535E9"/>
    <w:rsid w:val="00154E6B"/>
    <w:rsid w:val="001567FE"/>
    <w:rsid w:val="0016171F"/>
    <w:rsid w:val="00170757"/>
    <w:rsid w:val="0017124B"/>
    <w:rsid w:val="00184B30"/>
    <w:rsid w:val="001855D8"/>
    <w:rsid w:val="001903C3"/>
    <w:rsid w:val="001A365D"/>
    <w:rsid w:val="001A7268"/>
    <w:rsid w:val="001B3DE4"/>
    <w:rsid w:val="001B529F"/>
    <w:rsid w:val="001D084D"/>
    <w:rsid w:val="001E22BE"/>
    <w:rsid w:val="001F05BA"/>
    <w:rsid w:val="001F3FAE"/>
    <w:rsid w:val="002038C2"/>
    <w:rsid w:val="00205305"/>
    <w:rsid w:val="00213453"/>
    <w:rsid w:val="00231126"/>
    <w:rsid w:val="00236324"/>
    <w:rsid w:val="002374DB"/>
    <w:rsid w:val="0025743D"/>
    <w:rsid w:val="002618FC"/>
    <w:rsid w:val="00272CF5"/>
    <w:rsid w:val="00275473"/>
    <w:rsid w:val="00280D43"/>
    <w:rsid w:val="00293F90"/>
    <w:rsid w:val="00297C93"/>
    <w:rsid w:val="002A4E4A"/>
    <w:rsid w:val="002B3142"/>
    <w:rsid w:val="002C3339"/>
    <w:rsid w:val="002C5328"/>
    <w:rsid w:val="002C7F42"/>
    <w:rsid w:val="002F3220"/>
    <w:rsid w:val="0030729E"/>
    <w:rsid w:val="00312DB5"/>
    <w:rsid w:val="003144C7"/>
    <w:rsid w:val="003146E4"/>
    <w:rsid w:val="00317F0A"/>
    <w:rsid w:val="00320BF9"/>
    <w:rsid w:val="003210B5"/>
    <w:rsid w:val="00322356"/>
    <w:rsid w:val="00325771"/>
    <w:rsid w:val="00325A78"/>
    <w:rsid w:val="003273C8"/>
    <w:rsid w:val="003326BE"/>
    <w:rsid w:val="00335342"/>
    <w:rsid w:val="003359DC"/>
    <w:rsid w:val="00361B98"/>
    <w:rsid w:val="003620C8"/>
    <w:rsid w:val="003627F7"/>
    <w:rsid w:val="00362C42"/>
    <w:rsid w:val="00370EE3"/>
    <w:rsid w:val="003820EE"/>
    <w:rsid w:val="00383E1E"/>
    <w:rsid w:val="00387073"/>
    <w:rsid w:val="0039573A"/>
    <w:rsid w:val="00396D00"/>
    <w:rsid w:val="00397DF0"/>
    <w:rsid w:val="003A0D57"/>
    <w:rsid w:val="003A1994"/>
    <w:rsid w:val="003A7007"/>
    <w:rsid w:val="003A7BC8"/>
    <w:rsid w:val="003C4E6C"/>
    <w:rsid w:val="003D1C9D"/>
    <w:rsid w:val="003E7EFE"/>
    <w:rsid w:val="003F32A0"/>
    <w:rsid w:val="003F395F"/>
    <w:rsid w:val="003F625B"/>
    <w:rsid w:val="00400FB5"/>
    <w:rsid w:val="00401F7E"/>
    <w:rsid w:val="00403B5C"/>
    <w:rsid w:val="004044C2"/>
    <w:rsid w:val="0041100A"/>
    <w:rsid w:val="0041329A"/>
    <w:rsid w:val="00414D62"/>
    <w:rsid w:val="0042182E"/>
    <w:rsid w:val="00432D68"/>
    <w:rsid w:val="00435B21"/>
    <w:rsid w:val="004440AF"/>
    <w:rsid w:val="00444115"/>
    <w:rsid w:val="00450FF8"/>
    <w:rsid w:val="00454C2D"/>
    <w:rsid w:val="0045697E"/>
    <w:rsid w:val="00457D12"/>
    <w:rsid w:val="00460E48"/>
    <w:rsid w:val="00461C0D"/>
    <w:rsid w:val="00463DD6"/>
    <w:rsid w:val="00483179"/>
    <w:rsid w:val="00486917"/>
    <w:rsid w:val="00486E14"/>
    <w:rsid w:val="004903F2"/>
    <w:rsid w:val="00495917"/>
    <w:rsid w:val="004A1337"/>
    <w:rsid w:val="004A1DBE"/>
    <w:rsid w:val="004A5304"/>
    <w:rsid w:val="004A678A"/>
    <w:rsid w:val="004B1807"/>
    <w:rsid w:val="004B6A35"/>
    <w:rsid w:val="004B7850"/>
    <w:rsid w:val="004C0708"/>
    <w:rsid w:val="004C3565"/>
    <w:rsid w:val="004C408A"/>
    <w:rsid w:val="004D6009"/>
    <w:rsid w:val="004E56C0"/>
    <w:rsid w:val="004F47C6"/>
    <w:rsid w:val="00500926"/>
    <w:rsid w:val="00503422"/>
    <w:rsid w:val="00504A42"/>
    <w:rsid w:val="005079BD"/>
    <w:rsid w:val="00520876"/>
    <w:rsid w:val="00524B41"/>
    <w:rsid w:val="005264A7"/>
    <w:rsid w:val="0053506F"/>
    <w:rsid w:val="00555F9F"/>
    <w:rsid w:val="005560FC"/>
    <w:rsid w:val="00557EE8"/>
    <w:rsid w:val="00562004"/>
    <w:rsid w:val="00564A03"/>
    <w:rsid w:val="00576B4B"/>
    <w:rsid w:val="005846A0"/>
    <w:rsid w:val="00587E01"/>
    <w:rsid w:val="00592F7A"/>
    <w:rsid w:val="005A1D41"/>
    <w:rsid w:val="005A1EA2"/>
    <w:rsid w:val="005A3606"/>
    <w:rsid w:val="005A40D9"/>
    <w:rsid w:val="005A4387"/>
    <w:rsid w:val="005A5B76"/>
    <w:rsid w:val="005A62C1"/>
    <w:rsid w:val="005B36E8"/>
    <w:rsid w:val="005C3FB6"/>
    <w:rsid w:val="005D0576"/>
    <w:rsid w:val="005D2D52"/>
    <w:rsid w:val="005D3519"/>
    <w:rsid w:val="005D62EF"/>
    <w:rsid w:val="005E081F"/>
    <w:rsid w:val="005F7154"/>
    <w:rsid w:val="00601656"/>
    <w:rsid w:val="00601B0F"/>
    <w:rsid w:val="006026B6"/>
    <w:rsid w:val="006076CB"/>
    <w:rsid w:val="006172EA"/>
    <w:rsid w:val="00620C27"/>
    <w:rsid w:val="006225ED"/>
    <w:rsid w:val="006315A7"/>
    <w:rsid w:val="006349F1"/>
    <w:rsid w:val="00635016"/>
    <w:rsid w:val="00641D3A"/>
    <w:rsid w:val="00642FC9"/>
    <w:rsid w:val="00651AB7"/>
    <w:rsid w:val="00660AEF"/>
    <w:rsid w:val="00662356"/>
    <w:rsid w:val="0067591F"/>
    <w:rsid w:val="00680082"/>
    <w:rsid w:val="00684699"/>
    <w:rsid w:val="006852B4"/>
    <w:rsid w:val="006957F2"/>
    <w:rsid w:val="00696ED9"/>
    <w:rsid w:val="006A171A"/>
    <w:rsid w:val="006A3242"/>
    <w:rsid w:val="006C0C29"/>
    <w:rsid w:val="006C1558"/>
    <w:rsid w:val="006C2A4D"/>
    <w:rsid w:val="006C3DFF"/>
    <w:rsid w:val="006C5AD8"/>
    <w:rsid w:val="006D494C"/>
    <w:rsid w:val="006D74A7"/>
    <w:rsid w:val="006E3F6C"/>
    <w:rsid w:val="006E7D2C"/>
    <w:rsid w:val="006F4432"/>
    <w:rsid w:val="006F4475"/>
    <w:rsid w:val="00702231"/>
    <w:rsid w:val="007050C5"/>
    <w:rsid w:val="00711047"/>
    <w:rsid w:val="00721824"/>
    <w:rsid w:val="0072379E"/>
    <w:rsid w:val="0073063F"/>
    <w:rsid w:val="00732472"/>
    <w:rsid w:val="00733816"/>
    <w:rsid w:val="007339BB"/>
    <w:rsid w:val="00742427"/>
    <w:rsid w:val="00744609"/>
    <w:rsid w:val="00750BC7"/>
    <w:rsid w:val="00751F83"/>
    <w:rsid w:val="00751F97"/>
    <w:rsid w:val="00752780"/>
    <w:rsid w:val="007553F0"/>
    <w:rsid w:val="00756C7C"/>
    <w:rsid w:val="00765FD9"/>
    <w:rsid w:val="00767114"/>
    <w:rsid w:val="0076764D"/>
    <w:rsid w:val="00767D57"/>
    <w:rsid w:val="00774B35"/>
    <w:rsid w:val="00775E26"/>
    <w:rsid w:val="00775ECF"/>
    <w:rsid w:val="007809B9"/>
    <w:rsid w:val="007838CF"/>
    <w:rsid w:val="0078549E"/>
    <w:rsid w:val="007859FE"/>
    <w:rsid w:val="00791E3B"/>
    <w:rsid w:val="00793500"/>
    <w:rsid w:val="007940B7"/>
    <w:rsid w:val="00795F19"/>
    <w:rsid w:val="007A58B3"/>
    <w:rsid w:val="007A7B0A"/>
    <w:rsid w:val="007B2ED5"/>
    <w:rsid w:val="007C613D"/>
    <w:rsid w:val="007D4519"/>
    <w:rsid w:val="007D500F"/>
    <w:rsid w:val="007E0AB8"/>
    <w:rsid w:val="007F2123"/>
    <w:rsid w:val="007F39B7"/>
    <w:rsid w:val="007F4FFC"/>
    <w:rsid w:val="00800BC4"/>
    <w:rsid w:val="00803644"/>
    <w:rsid w:val="00807431"/>
    <w:rsid w:val="00813EBA"/>
    <w:rsid w:val="00815C48"/>
    <w:rsid w:val="00822526"/>
    <w:rsid w:val="00830195"/>
    <w:rsid w:val="00834F79"/>
    <w:rsid w:val="008443C8"/>
    <w:rsid w:val="00851523"/>
    <w:rsid w:val="00852549"/>
    <w:rsid w:val="00854CA0"/>
    <w:rsid w:val="00862996"/>
    <w:rsid w:val="0086328B"/>
    <w:rsid w:val="00864DFF"/>
    <w:rsid w:val="008708CD"/>
    <w:rsid w:val="00874F0E"/>
    <w:rsid w:val="0087522B"/>
    <w:rsid w:val="008824A1"/>
    <w:rsid w:val="00893BE4"/>
    <w:rsid w:val="008959CB"/>
    <w:rsid w:val="00896E93"/>
    <w:rsid w:val="008A195F"/>
    <w:rsid w:val="008A702E"/>
    <w:rsid w:val="008B2498"/>
    <w:rsid w:val="008B3D07"/>
    <w:rsid w:val="008B54AB"/>
    <w:rsid w:val="008C29EC"/>
    <w:rsid w:val="008C4FDD"/>
    <w:rsid w:val="008C50C5"/>
    <w:rsid w:val="008D03D8"/>
    <w:rsid w:val="008D12DE"/>
    <w:rsid w:val="008D1D6B"/>
    <w:rsid w:val="008D4355"/>
    <w:rsid w:val="008E3731"/>
    <w:rsid w:val="008E4BB9"/>
    <w:rsid w:val="008E7E95"/>
    <w:rsid w:val="008F2236"/>
    <w:rsid w:val="008F7056"/>
    <w:rsid w:val="0090149E"/>
    <w:rsid w:val="0090256E"/>
    <w:rsid w:val="00911D80"/>
    <w:rsid w:val="00917650"/>
    <w:rsid w:val="00922DF6"/>
    <w:rsid w:val="00927BDD"/>
    <w:rsid w:val="00931278"/>
    <w:rsid w:val="00932181"/>
    <w:rsid w:val="0096582D"/>
    <w:rsid w:val="00967DD6"/>
    <w:rsid w:val="00971F86"/>
    <w:rsid w:val="0098124E"/>
    <w:rsid w:val="0098774E"/>
    <w:rsid w:val="009911C9"/>
    <w:rsid w:val="00992794"/>
    <w:rsid w:val="0099534A"/>
    <w:rsid w:val="009A2361"/>
    <w:rsid w:val="009A25A3"/>
    <w:rsid w:val="009A486A"/>
    <w:rsid w:val="009A5295"/>
    <w:rsid w:val="009A627D"/>
    <w:rsid w:val="009A6CDB"/>
    <w:rsid w:val="009A7129"/>
    <w:rsid w:val="009B3CB7"/>
    <w:rsid w:val="009C17A7"/>
    <w:rsid w:val="009C1CFD"/>
    <w:rsid w:val="009D3FE0"/>
    <w:rsid w:val="009E1D5B"/>
    <w:rsid w:val="009E42CC"/>
    <w:rsid w:val="00A00C25"/>
    <w:rsid w:val="00A02AFA"/>
    <w:rsid w:val="00A037DA"/>
    <w:rsid w:val="00A04868"/>
    <w:rsid w:val="00A0539D"/>
    <w:rsid w:val="00A06CD3"/>
    <w:rsid w:val="00A14355"/>
    <w:rsid w:val="00A1680A"/>
    <w:rsid w:val="00A217F1"/>
    <w:rsid w:val="00A22E00"/>
    <w:rsid w:val="00A310D3"/>
    <w:rsid w:val="00A5504F"/>
    <w:rsid w:val="00A56B65"/>
    <w:rsid w:val="00A576E7"/>
    <w:rsid w:val="00A616F8"/>
    <w:rsid w:val="00A6264B"/>
    <w:rsid w:val="00A657D0"/>
    <w:rsid w:val="00A7079A"/>
    <w:rsid w:val="00A71951"/>
    <w:rsid w:val="00A76448"/>
    <w:rsid w:val="00A842C1"/>
    <w:rsid w:val="00A903AD"/>
    <w:rsid w:val="00A91A80"/>
    <w:rsid w:val="00AA036F"/>
    <w:rsid w:val="00AA198F"/>
    <w:rsid w:val="00AA1C41"/>
    <w:rsid w:val="00AA22EF"/>
    <w:rsid w:val="00AA231B"/>
    <w:rsid w:val="00AA25A1"/>
    <w:rsid w:val="00AB46E2"/>
    <w:rsid w:val="00AB623B"/>
    <w:rsid w:val="00AD032A"/>
    <w:rsid w:val="00AD4A35"/>
    <w:rsid w:val="00AE2D0C"/>
    <w:rsid w:val="00AE3E00"/>
    <w:rsid w:val="00AE79C8"/>
    <w:rsid w:val="00AF0F2A"/>
    <w:rsid w:val="00AF3F34"/>
    <w:rsid w:val="00AF6513"/>
    <w:rsid w:val="00B02D39"/>
    <w:rsid w:val="00B05CB8"/>
    <w:rsid w:val="00B05F3E"/>
    <w:rsid w:val="00B06FEE"/>
    <w:rsid w:val="00B1126F"/>
    <w:rsid w:val="00B221CB"/>
    <w:rsid w:val="00B5059E"/>
    <w:rsid w:val="00B56536"/>
    <w:rsid w:val="00B56985"/>
    <w:rsid w:val="00B62F99"/>
    <w:rsid w:val="00B80A3D"/>
    <w:rsid w:val="00B8187A"/>
    <w:rsid w:val="00B824CC"/>
    <w:rsid w:val="00B839E0"/>
    <w:rsid w:val="00B95262"/>
    <w:rsid w:val="00B952AE"/>
    <w:rsid w:val="00B95BD1"/>
    <w:rsid w:val="00B96875"/>
    <w:rsid w:val="00BA10AA"/>
    <w:rsid w:val="00BA464C"/>
    <w:rsid w:val="00BB190C"/>
    <w:rsid w:val="00BB4ECB"/>
    <w:rsid w:val="00BC6D9C"/>
    <w:rsid w:val="00BD2525"/>
    <w:rsid w:val="00BD2E77"/>
    <w:rsid w:val="00BD46EC"/>
    <w:rsid w:val="00BE2DA3"/>
    <w:rsid w:val="00BE3AB7"/>
    <w:rsid w:val="00BE4680"/>
    <w:rsid w:val="00BE51BC"/>
    <w:rsid w:val="00BE53B7"/>
    <w:rsid w:val="00BE63B6"/>
    <w:rsid w:val="00BF338D"/>
    <w:rsid w:val="00BF6C3E"/>
    <w:rsid w:val="00C0140A"/>
    <w:rsid w:val="00C01955"/>
    <w:rsid w:val="00C07CCD"/>
    <w:rsid w:val="00C07EE1"/>
    <w:rsid w:val="00C10361"/>
    <w:rsid w:val="00C178F4"/>
    <w:rsid w:val="00C17C34"/>
    <w:rsid w:val="00C21BE2"/>
    <w:rsid w:val="00C22B00"/>
    <w:rsid w:val="00C22C3F"/>
    <w:rsid w:val="00C22DAF"/>
    <w:rsid w:val="00C22FBE"/>
    <w:rsid w:val="00C241A4"/>
    <w:rsid w:val="00C279DF"/>
    <w:rsid w:val="00C31369"/>
    <w:rsid w:val="00C40A45"/>
    <w:rsid w:val="00C43CD4"/>
    <w:rsid w:val="00C44691"/>
    <w:rsid w:val="00C517F4"/>
    <w:rsid w:val="00C5428A"/>
    <w:rsid w:val="00C57C61"/>
    <w:rsid w:val="00C65156"/>
    <w:rsid w:val="00C6730F"/>
    <w:rsid w:val="00C73426"/>
    <w:rsid w:val="00C76041"/>
    <w:rsid w:val="00C765ED"/>
    <w:rsid w:val="00C76F3E"/>
    <w:rsid w:val="00C774D7"/>
    <w:rsid w:val="00C83C86"/>
    <w:rsid w:val="00C94ADC"/>
    <w:rsid w:val="00C96802"/>
    <w:rsid w:val="00CA1531"/>
    <w:rsid w:val="00CA4396"/>
    <w:rsid w:val="00CA5837"/>
    <w:rsid w:val="00CB3C78"/>
    <w:rsid w:val="00CC1AF8"/>
    <w:rsid w:val="00CD06C2"/>
    <w:rsid w:val="00CD676E"/>
    <w:rsid w:val="00CD77BB"/>
    <w:rsid w:val="00CD780F"/>
    <w:rsid w:val="00D05524"/>
    <w:rsid w:val="00D10194"/>
    <w:rsid w:val="00D10F1E"/>
    <w:rsid w:val="00D26C86"/>
    <w:rsid w:val="00D27B8F"/>
    <w:rsid w:val="00D30C46"/>
    <w:rsid w:val="00D32085"/>
    <w:rsid w:val="00D35274"/>
    <w:rsid w:val="00D36B84"/>
    <w:rsid w:val="00D4097E"/>
    <w:rsid w:val="00D43CA8"/>
    <w:rsid w:val="00D475F2"/>
    <w:rsid w:val="00D60733"/>
    <w:rsid w:val="00D61ED3"/>
    <w:rsid w:val="00D80BF1"/>
    <w:rsid w:val="00D85D89"/>
    <w:rsid w:val="00D86F27"/>
    <w:rsid w:val="00DA309A"/>
    <w:rsid w:val="00DA464D"/>
    <w:rsid w:val="00DB0B10"/>
    <w:rsid w:val="00DB6083"/>
    <w:rsid w:val="00DC7CC3"/>
    <w:rsid w:val="00DD0338"/>
    <w:rsid w:val="00DD31B5"/>
    <w:rsid w:val="00DE1453"/>
    <w:rsid w:val="00DE14AF"/>
    <w:rsid w:val="00DF1EEB"/>
    <w:rsid w:val="00DF7C5E"/>
    <w:rsid w:val="00E02F21"/>
    <w:rsid w:val="00E0539B"/>
    <w:rsid w:val="00E13DDE"/>
    <w:rsid w:val="00E13E27"/>
    <w:rsid w:val="00E14883"/>
    <w:rsid w:val="00E16511"/>
    <w:rsid w:val="00E175F0"/>
    <w:rsid w:val="00E30156"/>
    <w:rsid w:val="00E349B1"/>
    <w:rsid w:val="00E35271"/>
    <w:rsid w:val="00E3681D"/>
    <w:rsid w:val="00E44FAF"/>
    <w:rsid w:val="00E510C4"/>
    <w:rsid w:val="00E52670"/>
    <w:rsid w:val="00E55334"/>
    <w:rsid w:val="00E56525"/>
    <w:rsid w:val="00E6394E"/>
    <w:rsid w:val="00E6482A"/>
    <w:rsid w:val="00E6601F"/>
    <w:rsid w:val="00E67727"/>
    <w:rsid w:val="00E70B08"/>
    <w:rsid w:val="00E716CF"/>
    <w:rsid w:val="00E71966"/>
    <w:rsid w:val="00E734E5"/>
    <w:rsid w:val="00E80360"/>
    <w:rsid w:val="00E8093E"/>
    <w:rsid w:val="00E824E6"/>
    <w:rsid w:val="00E82C40"/>
    <w:rsid w:val="00E834AC"/>
    <w:rsid w:val="00E9256A"/>
    <w:rsid w:val="00E926DF"/>
    <w:rsid w:val="00E93540"/>
    <w:rsid w:val="00E94998"/>
    <w:rsid w:val="00EA031F"/>
    <w:rsid w:val="00EB4961"/>
    <w:rsid w:val="00EC052D"/>
    <w:rsid w:val="00EC2764"/>
    <w:rsid w:val="00EC2B34"/>
    <w:rsid w:val="00EC6A3C"/>
    <w:rsid w:val="00ED068C"/>
    <w:rsid w:val="00ED413D"/>
    <w:rsid w:val="00EE3CBF"/>
    <w:rsid w:val="00EE5DE0"/>
    <w:rsid w:val="00EF086E"/>
    <w:rsid w:val="00F00A5A"/>
    <w:rsid w:val="00F02F25"/>
    <w:rsid w:val="00F06B7B"/>
    <w:rsid w:val="00F12E94"/>
    <w:rsid w:val="00F13C37"/>
    <w:rsid w:val="00F17D7E"/>
    <w:rsid w:val="00F22A05"/>
    <w:rsid w:val="00F254D0"/>
    <w:rsid w:val="00F31A13"/>
    <w:rsid w:val="00F32D5D"/>
    <w:rsid w:val="00F3358A"/>
    <w:rsid w:val="00F36891"/>
    <w:rsid w:val="00F41EDC"/>
    <w:rsid w:val="00F424A5"/>
    <w:rsid w:val="00F429AF"/>
    <w:rsid w:val="00F42F88"/>
    <w:rsid w:val="00F46C52"/>
    <w:rsid w:val="00F51C65"/>
    <w:rsid w:val="00F5299A"/>
    <w:rsid w:val="00F654B2"/>
    <w:rsid w:val="00F819D9"/>
    <w:rsid w:val="00F86ED2"/>
    <w:rsid w:val="00F87174"/>
    <w:rsid w:val="00F87ED9"/>
    <w:rsid w:val="00F9021D"/>
    <w:rsid w:val="00F95351"/>
    <w:rsid w:val="00F96A8F"/>
    <w:rsid w:val="00F97057"/>
    <w:rsid w:val="00FA4E83"/>
    <w:rsid w:val="00FA52B2"/>
    <w:rsid w:val="00FA586C"/>
    <w:rsid w:val="00FB40B2"/>
    <w:rsid w:val="00FC391A"/>
    <w:rsid w:val="00FC507B"/>
    <w:rsid w:val="00FC5DDA"/>
    <w:rsid w:val="00FD0B0E"/>
    <w:rsid w:val="00FD1294"/>
    <w:rsid w:val="00FD1D81"/>
    <w:rsid w:val="00FE0A49"/>
    <w:rsid w:val="00FE286A"/>
    <w:rsid w:val="00FF05B0"/>
    <w:rsid w:val="00FF100B"/>
    <w:rsid w:val="00FF1019"/>
    <w:rsid w:val="00FF1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B9291"/>
  <w15:chartTrackingRefBased/>
  <w15:docId w15:val="{7E3E0CA5-F1EB-41FE-9028-A104DB60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9B7"/>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39B7"/>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F39B7"/>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7F39B7"/>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F39B7"/>
    <w:pPr>
      <w:keepNext/>
      <w:outlineLvl w:val="3"/>
    </w:pPr>
    <w:rPr>
      <w:i/>
      <w:iCs/>
      <w:color w:val="000000"/>
      <w:sz w:val="22"/>
      <w:szCs w:val="22"/>
    </w:rPr>
  </w:style>
  <w:style w:type="paragraph" w:styleId="Antrat5">
    <w:name w:val="heading 5"/>
    <w:basedOn w:val="prastasis"/>
    <w:next w:val="prastasis"/>
    <w:link w:val="Antrat5Diagrama"/>
    <w:qFormat/>
    <w:rsid w:val="007F39B7"/>
    <w:pPr>
      <w:keepNext/>
      <w:outlineLvl w:val="4"/>
    </w:pPr>
    <w:rPr>
      <w:i/>
      <w:iCs/>
      <w:color w:val="000000"/>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F39B7"/>
    <w:rPr>
      <w:rFonts w:ascii="Arial" w:eastAsia="Times New Roman" w:hAnsi="Arial" w:cs="Arial"/>
      <w:b/>
      <w:bCs/>
      <w:kern w:val="32"/>
      <w:sz w:val="32"/>
      <w:szCs w:val="32"/>
      <w:lang w:val="lt-LT"/>
    </w:rPr>
  </w:style>
  <w:style w:type="character" w:customStyle="1" w:styleId="Antrat2Diagrama">
    <w:name w:val="Antraštė 2 Diagrama"/>
    <w:link w:val="Antrat2"/>
    <w:rsid w:val="007F39B7"/>
    <w:rPr>
      <w:rFonts w:ascii="Arial" w:eastAsia="Times New Roman" w:hAnsi="Arial" w:cs="Arial"/>
      <w:b/>
      <w:bCs/>
      <w:i/>
      <w:iCs/>
      <w:sz w:val="28"/>
      <w:szCs w:val="28"/>
      <w:lang w:val="lt-LT"/>
    </w:rPr>
  </w:style>
  <w:style w:type="character" w:customStyle="1" w:styleId="Antrat3Diagrama">
    <w:name w:val="Antraštė 3 Diagrama"/>
    <w:link w:val="Antrat3"/>
    <w:rsid w:val="007F39B7"/>
    <w:rPr>
      <w:rFonts w:ascii="Arial" w:eastAsia="Times New Roman" w:hAnsi="Arial" w:cs="Arial"/>
      <w:b/>
      <w:bCs/>
      <w:sz w:val="26"/>
      <w:szCs w:val="26"/>
      <w:lang w:val="lt-LT"/>
    </w:rPr>
  </w:style>
  <w:style w:type="character" w:customStyle="1" w:styleId="Antrat4Diagrama">
    <w:name w:val="Antraštė 4 Diagrama"/>
    <w:link w:val="Antrat4"/>
    <w:rsid w:val="007F39B7"/>
    <w:rPr>
      <w:rFonts w:ascii="Times New Roman" w:eastAsia="Times New Roman" w:hAnsi="Times New Roman" w:cs="Times New Roman"/>
      <w:i/>
      <w:iCs/>
      <w:color w:val="000000"/>
      <w:lang w:val="lt-LT"/>
    </w:rPr>
  </w:style>
  <w:style w:type="character" w:customStyle="1" w:styleId="Antrat5Diagrama">
    <w:name w:val="Antraštė 5 Diagrama"/>
    <w:link w:val="Antrat5"/>
    <w:rsid w:val="007F39B7"/>
    <w:rPr>
      <w:rFonts w:ascii="Times New Roman" w:eastAsia="Times New Roman" w:hAnsi="Times New Roman" w:cs="Times New Roman"/>
      <w:i/>
      <w:iCs/>
      <w:color w:val="000000"/>
      <w:u w:val="single"/>
      <w:lang w:val="lt-LT"/>
    </w:rPr>
  </w:style>
  <w:style w:type="character" w:styleId="Hipersaitas">
    <w:name w:val="Hyperlink"/>
    <w:uiPriority w:val="99"/>
    <w:rsid w:val="007F39B7"/>
    <w:rPr>
      <w:color w:val="0000FF"/>
      <w:u w:val="single"/>
    </w:rPr>
  </w:style>
  <w:style w:type="paragraph" w:customStyle="1" w:styleId="PI-1EMEASMCA">
    <w:name w:val="PI-1 EMEA_SMCA"/>
    <w:basedOn w:val="Antrat2"/>
    <w:link w:val="PI-1EMEASMCAChar"/>
    <w:autoRedefine/>
    <w:rsid w:val="007F39B7"/>
    <w:pPr>
      <w:tabs>
        <w:tab w:val="left" w:pos="567"/>
      </w:tabs>
      <w:spacing w:before="0" w:after="0"/>
      <w:ind w:left="567" w:hanging="567"/>
    </w:pPr>
    <w:rPr>
      <w:rFonts w:ascii="Times New Roman" w:hAnsi="Times New Roman" w:cs="Times New Roman"/>
      <w:i w:val="0"/>
      <w:iCs w:val="0"/>
      <w:sz w:val="22"/>
      <w:szCs w:val="22"/>
    </w:rPr>
  </w:style>
  <w:style w:type="character" w:customStyle="1" w:styleId="PI-1EMEASMCAChar">
    <w:name w:val="PI-1 EMEA_SMCA Char"/>
    <w:link w:val="PI-1EMEASMCA"/>
    <w:rsid w:val="007F39B7"/>
    <w:rPr>
      <w:rFonts w:ascii="Times New Roman" w:eastAsia="Times New Roman" w:hAnsi="Times New Roman" w:cs="Times New Roman"/>
      <w:b/>
      <w:bCs/>
      <w:lang w:val="lt-LT"/>
    </w:rPr>
  </w:style>
  <w:style w:type="paragraph" w:customStyle="1" w:styleId="PI-1labEMEASMCA">
    <w:name w:val="PI-1_lab EMEA_SMCA"/>
    <w:basedOn w:val="prastasis"/>
    <w:autoRedefine/>
    <w:rsid w:val="007F39B7"/>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rsid w:val="007F39B7"/>
    <w:rPr>
      <w:b/>
      <w:bCs/>
      <w:noProof/>
      <w:sz w:val="22"/>
      <w:szCs w:val="22"/>
      <w:lang w:val="lt-LT" w:eastAsia="en-US" w:bidi="ar-SA"/>
    </w:rPr>
  </w:style>
  <w:style w:type="paragraph" w:customStyle="1" w:styleId="PI-2EMEASMCA">
    <w:name w:val="PI-2 EMEA_SMCA"/>
    <w:basedOn w:val="Antrat3"/>
    <w:autoRedefine/>
    <w:rsid w:val="007F39B7"/>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rsid w:val="007F39B7"/>
    <w:rPr>
      <w:noProof/>
      <w:sz w:val="22"/>
      <w:szCs w:val="22"/>
    </w:rPr>
  </w:style>
  <w:style w:type="paragraph" w:customStyle="1" w:styleId="TTEMEASMCA">
    <w:name w:val="TT EMEA_SMCA"/>
    <w:basedOn w:val="Antrat1"/>
    <w:autoRedefine/>
    <w:rsid w:val="007F39B7"/>
    <w:pPr>
      <w:keepNext w:val="0"/>
      <w:tabs>
        <w:tab w:val="left" w:pos="567"/>
      </w:tabs>
      <w:spacing w:before="0" w:after="0"/>
      <w:ind w:left="567" w:hanging="567"/>
      <w:jc w:val="center"/>
    </w:pPr>
    <w:rPr>
      <w:rFonts w:ascii="Times New Roman" w:hAnsi="Times New Roman" w:cs="Times New Roman"/>
      <w:caps/>
      <w:kern w:val="0"/>
      <w:sz w:val="22"/>
      <w:szCs w:val="22"/>
      <w:lang w:val="en-US"/>
    </w:rPr>
  </w:style>
  <w:style w:type="character" w:customStyle="1" w:styleId="TTEMEASMCAChar">
    <w:name w:val="TT EMEA_SMCA Char"/>
    <w:rsid w:val="007F39B7"/>
    <w:rPr>
      <w:b/>
      <w:bCs/>
      <w:caps/>
      <w:noProof w:val="0"/>
      <w:sz w:val="22"/>
      <w:szCs w:val="22"/>
      <w:lang w:val="en-US" w:eastAsia="en-US" w:bidi="ar-SA"/>
    </w:rPr>
  </w:style>
  <w:style w:type="paragraph" w:customStyle="1" w:styleId="BTAnIIEMEASMCA">
    <w:name w:val="BT(AnII) EMEA_SMCA"/>
    <w:basedOn w:val="Debesliotekstas"/>
    <w:autoRedefine/>
    <w:rsid w:val="007F39B7"/>
    <w:pPr>
      <w:tabs>
        <w:tab w:val="left" w:pos="1701"/>
      </w:tabs>
      <w:ind w:left="1701" w:hanging="567"/>
    </w:pPr>
    <w:rPr>
      <w:rFonts w:ascii="Times New Roman" w:hAnsi="Times New Roman" w:cs="Times New Roman"/>
      <w:b/>
      <w:bCs/>
      <w:sz w:val="22"/>
      <w:szCs w:val="22"/>
      <w:lang w:val="en-GB"/>
    </w:rPr>
  </w:style>
  <w:style w:type="paragraph" w:styleId="Debesliotekstas">
    <w:name w:val="Balloon Text"/>
    <w:basedOn w:val="prastasis"/>
    <w:link w:val="DebesliotekstasDiagrama"/>
    <w:semiHidden/>
    <w:rsid w:val="007F39B7"/>
    <w:rPr>
      <w:rFonts w:ascii="Tahoma" w:hAnsi="Tahoma" w:cs="Tahoma"/>
      <w:sz w:val="16"/>
      <w:szCs w:val="16"/>
    </w:rPr>
  </w:style>
  <w:style w:type="character" w:customStyle="1" w:styleId="DebesliotekstasDiagrama">
    <w:name w:val="Debesėlio tekstas Diagrama"/>
    <w:link w:val="Debesliotekstas"/>
    <w:semiHidden/>
    <w:rsid w:val="007F39B7"/>
    <w:rPr>
      <w:rFonts w:ascii="Tahoma" w:eastAsia="Times New Roman" w:hAnsi="Tahoma" w:cs="Tahoma"/>
      <w:sz w:val="16"/>
      <w:szCs w:val="16"/>
      <w:lang w:val="lt-LT"/>
    </w:rPr>
  </w:style>
  <w:style w:type="paragraph" w:customStyle="1" w:styleId="BT-EMEASMCA">
    <w:name w:val="BT- EMEA_SMCA"/>
    <w:basedOn w:val="BTEMEASMCA"/>
    <w:autoRedefine/>
    <w:rsid w:val="00A903AD"/>
    <w:pPr>
      <w:ind w:right="278"/>
    </w:pPr>
  </w:style>
  <w:style w:type="paragraph" w:customStyle="1" w:styleId="PI-3EMEASMCA">
    <w:name w:val="PI-3 EMEA_SMCA"/>
    <w:basedOn w:val="prastasis"/>
    <w:autoRedefine/>
    <w:rsid w:val="007F39B7"/>
    <w:rPr>
      <w:b/>
      <w:bCs/>
      <w:sz w:val="22"/>
      <w:szCs w:val="22"/>
    </w:rPr>
  </w:style>
  <w:style w:type="paragraph" w:customStyle="1" w:styleId="BTbEMEASMCA">
    <w:name w:val="BT(b) EMEA_SMCA"/>
    <w:basedOn w:val="BTEMEASMCA"/>
    <w:autoRedefine/>
    <w:rsid w:val="007F39B7"/>
    <w:rPr>
      <w:b/>
      <w:bCs/>
    </w:rPr>
  </w:style>
  <w:style w:type="paragraph" w:customStyle="1" w:styleId="BTbeEMEASMCA">
    <w:name w:val="BT(be) EMEA_SMCA"/>
    <w:basedOn w:val="BTEMEASMCA"/>
    <w:autoRedefine/>
    <w:rsid w:val="007F39B7"/>
    <w:pPr>
      <w:jc w:val="center"/>
    </w:pPr>
    <w:rPr>
      <w:b/>
      <w:bCs/>
    </w:rPr>
  </w:style>
  <w:style w:type="paragraph" w:customStyle="1" w:styleId="BTeEMEASMCA">
    <w:name w:val="BT(e) EMEA_SMCA"/>
    <w:basedOn w:val="BTEMEASMCA"/>
    <w:autoRedefine/>
    <w:rsid w:val="007F39B7"/>
    <w:pPr>
      <w:jc w:val="center"/>
    </w:pPr>
  </w:style>
  <w:style w:type="paragraph" w:customStyle="1" w:styleId="BTgEMEASMCA">
    <w:name w:val="BT(g) EMEA_SMCA"/>
    <w:basedOn w:val="BTEMEASMCA"/>
    <w:autoRedefine/>
    <w:rsid w:val="007F39B7"/>
    <w:rPr>
      <w:i/>
      <w:iCs/>
      <w:color w:val="008000"/>
    </w:rPr>
  </w:style>
  <w:style w:type="character" w:customStyle="1" w:styleId="BTEMEASMCAChar">
    <w:name w:val="BT EMEA_SMCA Char"/>
    <w:rsid w:val="007F39B7"/>
    <w:rPr>
      <w:noProof/>
      <w:sz w:val="22"/>
      <w:szCs w:val="22"/>
      <w:lang w:val="lt-LT" w:eastAsia="en-US" w:bidi="ar-SA"/>
    </w:rPr>
  </w:style>
  <w:style w:type="character" w:customStyle="1" w:styleId="BTgEMEASMCAChar">
    <w:name w:val="BT(g) EMEA_SMCA Char"/>
    <w:rsid w:val="007F39B7"/>
    <w:rPr>
      <w:i/>
      <w:iCs/>
      <w:noProof/>
      <w:color w:val="008000"/>
      <w:sz w:val="22"/>
      <w:szCs w:val="22"/>
      <w:lang w:val="lt-LT" w:eastAsia="en-US" w:bidi="ar-SA"/>
    </w:rPr>
  </w:style>
  <w:style w:type="paragraph" w:customStyle="1" w:styleId="BTuEMEASMCA">
    <w:name w:val="BT(u) EMEA_SMCA"/>
    <w:basedOn w:val="BTEMEASMCA"/>
    <w:autoRedefine/>
    <w:rsid w:val="007F39B7"/>
    <w:rPr>
      <w:u w:val="single"/>
    </w:rPr>
  </w:style>
  <w:style w:type="paragraph" w:styleId="Dokumentostruktra">
    <w:name w:val="Document Map"/>
    <w:basedOn w:val="prastasis"/>
    <w:link w:val="DokumentostruktraDiagrama"/>
    <w:semiHidden/>
    <w:rsid w:val="007F39B7"/>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7F39B7"/>
    <w:rPr>
      <w:rFonts w:ascii="Tahoma" w:eastAsia="Times New Roman" w:hAnsi="Tahoma" w:cs="Tahoma"/>
      <w:sz w:val="20"/>
      <w:szCs w:val="20"/>
      <w:shd w:val="clear" w:color="auto" w:fill="000080"/>
      <w:lang w:val="lt-LT"/>
    </w:rPr>
  </w:style>
  <w:style w:type="paragraph" w:styleId="Porat">
    <w:name w:val="footer"/>
    <w:basedOn w:val="prastasis"/>
    <w:link w:val="PoratDiagrama"/>
    <w:rsid w:val="007F39B7"/>
    <w:pPr>
      <w:tabs>
        <w:tab w:val="center" w:pos="4819"/>
        <w:tab w:val="right" w:pos="9638"/>
      </w:tabs>
    </w:pPr>
    <w:rPr>
      <w:lang w:val="en-GB"/>
    </w:rPr>
  </w:style>
  <w:style w:type="character" w:customStyle="1" w:styleId="PoratDiagrama">
    <w:name w:val="Poraštė Diagrama"/>
    <w:link w:val="Porat"/>
    <w:rsid w:val="007F39B7"/>
    <w:rPr>
      <w:rFonts w:ascii="Times New Roman" w:eastAsia="Times New Roman" w:hAnsi="Times New Roman" w:cs="Times New Roman"/>
      <w:sz w:val="24"/>
      <w:szCs w:val="24"/>
      <w:lang w:val="en-GB"/>
    </w:rPr>
  </w:style>
  <w:style w:type="paragraph" w:styleId="Pagrindinistekstas2">
    <w:name w:val="Body Text 2"/>
    <w:basedOn w:val="prastasis"/>
    <w:link w:val="Pagrindinistekstas2Diagrama"/>
    <w:rsid w:val="007F39B7"/>
    <w:rPr>
      <w:sz w:val="22"/>
      <w:szCs w:val="22"/>
    </w:rPr>
  </w:style>
  <w:style w:type="character" w:customStyle="1" w:styleId="Pagrindinistekstas2Diagrama">
    <w:name w:val="Pagrindinis tekstas 2 Diagrama"/>
    <w:link w:val="Pagrindinistekstas2"/>
    <w:rsid w:val="007F39B7"/>
    <w:rPr>
      <w:rFonts w:ascii="Times New Roman" w:eastAsia="Times New Roman" w:hAnsi="Times New Roman" w:cs="Times New Roman"/>
      <w:lang w:val="lt-LT"/>
    </w:rPr>
  </w:style>
  <w:style w:type="paragraph" w:styleId="Dokumentoinaostekstas">
    <w:name w:val="endnote text"/>
    <w:basedOn w:val="prastasis"/>
    <w:link w:val="DokumentoinaostekstasDiagrama"/>
    <w:uiPriority w:val="99"/>
    <w:semiHidden/>
    <w:rsid w:val="007F39B7"/>
    <w:pPr>
      <w:tabs>
        <w:tab w:val="left" w:pos="567"/>
      </w:tabs>
    </w:pPr>
    <w:rPr>
      <w:sz w:val="22"/>
      <w:szCs w:val="22"/>
      <w:lang w:val="en-GB"/>
    </w:rPr>
  </w:style>
  <w:style w:type="character" w:customStyle="1" w:styleId="DokumentoinaostekstasDiagrama">
    <w:name w:val="Dokumento išnašos tekstas Diagrama"/>
    <w:link w:val="Dokumentoinaostekstas"/>
    <w:uiPriority w:val="99"/>
    <w:semiHidden/>
    <w:rsid w:val="007F39B7"/>
    <w:rPr>
      <w:rFonts w:ascii="Times New Roman" w:eastAsia="Times New Roman" w:hAnsi="Times New Roman" w:cs="Times New Roman"/>
      <w:lang w:val="en-GB"/>
    </w:rPr>
  </w:style>
  <w:style w:type="paragraph" w:customStyle="1" w:styleId="BullHead">
    <w:name w:val="Bull Head"/>
    <w:basedOn w:val="prastasis"/>
    <w:autoRedefine/>
    <w:rsid w:val="007F39B7"/>
    <w:pPr>
      <w:numPr>
        <w:numId w:val="1"/>
      </w:numPr>
      <w:shd w:val="clear" w:color="000000" w:fill="FFFFFF"/>
      <w:tabs>
        <w:tab w:val="clear" w:pos="504"/>
        <w:tab w:val="left" w:pos="562"/>
      </w:tabs>
      <w:spacing w:after="240"/>
      <w:ind w:left="562" w:hanging="562"/>
    </w:pPr>
    <w:rPr>
      <w:b/>
      <w:bCs/>
      <w:color w:val="000000"/>
      <w:lang w:val="en-GB"/>
    </w:rPr>
  </w:style>
  <w:style w:type="paragraph" w:customStyle="1" w:styleId="Postspace">
    <w:name w:val="Postspace"/>
    <w:basedOn w:val="prastasis"/>
    <w:autoRedefine/>
    <w:rsid w:val="007F39B7"/>
    <w:pPr>
      <w:spacing w:after="220"/>
    </w:pPr>
    <w:rPr>
      <w:lang w:val="en-GB"/>
    </w:rPr>
  </w:style>
  <w:style w:type="paragraph" w:customStyle="1" w:styleId="listdash">
    <w:name w:val="list:dash"/>
    <w:basedOn w:val="prastasis"/>
    <w:rsid w:val="007F39B7"/>
    <w:pPr>
      <w:numPr>
        <w:numId w:val="2"/>
      </w:numPr>
      <w:spacing w:after="240"/>
    </w:pPr>
    <w:rPr>
      <w:lang w:val="en-GB"/>
    </w:rPr>
  </w:style>
  <w:style w:type="paragraph" w:customStyle="1" w:styleId="TableCell">
    <w:name w:val="TableCell"/>
    <w:basedOn w:val="prastasis"/>
    <w:rsid w:val="007F39B7"/>
    <w:rPr>
      <w:lang w:val="en-GB"/>
    </w:rPr>
  </w:style>
  <w:style w:type="character" w:customStyle="1" w:styleId="CSIchar">
    <w:name w:val="CSIchar"/>
    <w:rsid w:val="007F39B7"/>
    <w:rPr>
      <w:bdr w:val="none" w:sz="0" w:space="0" w:color="auto"/>
      <w:shd w:val="clear" w:color="auto" w:fill="CCCCCC"/>
    </w:rPr>
  </w:style>
  <w:style w:type="paragraph" w:styleId="Pagrindinistekstas">
    <w:name w:val="Body Text"/>
    <w:basedOn w:val="prastasis"/>
    <w:link w:val="PagrindinistekstasDiagrama"/>
    <w:rsid w:val="007F39B7"/>
    <w:pPr>
      <w:spacing w:after="120"/>
    </w:pPr>
    <w:rPr>
      <w:sz w:val="22"/>
      <w:szCs w:val="20"/>
      <w:lang w:eastAsia="lt-LT"/>
    </w:rPr>
  </w:style>
  <w:style w:type="character" w:customStyle="1" w:styleId="PagrindinistekstasDiagrama">
    <w:name w:val="Pagrindinis tekstas Diagrama"/>
    <w:link w:val="Pagrindinistekstas"/>
    <w:rsid w:val="007F39B7"/>
    <w:rPr>
      <w:rFonts w:ascii="Times New Roman" w:eastAsia="Times New Roman" w:hAnsi="Times New Roman" w:cs="Times New Roman"/>
      <w:szCs w:val="20"/>
      <w:lang w:val="lt-LT" w:eastAsia="lt-LT"/>
    </w:rPr>
  </w:style>
  <w:style w:type="paragraph" w:styleId="Komentarotekstas">
    <w:name w:val="annotation text"/>
    <w:basedOn w:val="prastasis"/>
    <w:link w:val="KomentarotekstasDiagrama"/>
    <w:semiHidden/>
    <w:rsid w:val="007F39B7"/>
    <w:rPr>
      <w:sz w:val="20"/>
      <w:szCs w:val="20"/>
    </w:rPr>
  </w:style>
  <w:style w:type="character" w:customStyle="1" w:styleId="KomentarotekstasDiagrama">
    <w:name w:val="Komentaro tekstas Diagrama"/>
    <w:link w:val="Komentarotekstas"/>
    <w:semiHidden/>
    <w:rsid w:val="007F39B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7F39B7"/>
    <w:rPr>
      <w:b/>
      <w:bCs/>
    </w:rPr>
  </w:style>
  <w:style w:type="character" w:customStyle="1" w:styleId="KomentarotemaDiagrama">
    <w:name w:val="Komentaro tema Diagrama"/>
    <w:link w:val="Komentarotema"/>
    <w:semiHidden/>
    <w:rsid w:val="007F39B7"/>
    <w:rPr>
      <w:rFonts w:ascii="Times New Roman" w:eastAsia="Times New Roman" w:hAnsi="Times New Roman" w:cs="Times New Roman"/>
      <w:b/>
      <w:bCs/>
      <w:sz w:val="20"/>
      <w:szCs w:val="20"/>
      <w:lang w:val="lt-LT"/>
    </w:rPr>
  </w:style>
  <w:style w:type="paragraph" w:customStyle="1" w:styleId="Sraopastraipa1">
    <w:name w:val="Sąrašo pastraipa1"/>
    <w:basedOn w:val="prastasis"/>
    <w:uiPriority w:val="34"/>
    <w:qFormat/>
    <w:rsid w:val="007F39B7"/>
    <w:pPr>
      <w:ind w:left="720"/>
      <w:contextualSpacing/>
    </w:pPr>
    <w:rPr>
      <w:rFonts w:eastAsia="Calibri"/>
      <w:sz w:val="22"/>
      <w:szCs w:val="22"/>
      <w:lang w:val="en-GB"/>
    </w:rPr>
  </w:style>
  <w:style w:type="character" w:styleId="Puslapionumeris">
    <w:name w:val="page number"/>
    <w:basedOn w:val="Numatytasispastraiposriftas"/>
    <w:rsid w:val="007F39B7"/>
  </w:style>
  <w:style w:type="paragraph" w:styleId="Antrats">
    <w:name w:val="header"/>
    <w:basedOn w:val="prastasis"/>
    <w:link w:val="AntratsDiagrama"/>
    <w:rsid w:val="007F39B7"/>
    <w:pPr>
      <w:tabs>
        <w:tab w:val="center" w:pos="4819"/>
        <w:tab w:val="right" w:pos="9638"/>
      </w:tabs>
    </w:pPr>
  </w:style>
  <w:style w:type="character" w:customStyle="1" w:styleId="AntratsDiagrama">
    <w:name w:val="Antraštės Diagrama"/>
    <w:link w:val="Antrats"/>
    <w:rsid w:val="007F39B7"/>
    <w:rPr>
      <w:rFonts w:ascii="Times New Roman" w:eastAsia="Times New Roman" w:hAnsi="Times New Roman" w:cs="Times New Roman"/>
      <w:sz w:val="24"/>
      <w:szCs w:val="24"/>
      <w:lang w:val="lt-LT"/>
    </w:rPr>
  </w:style>
  <w:style w:type="table" w:styleId="Lentelstinklelis">
    <w:name w:val="Table Grid"/>
    <w:basedOn w:val="prastojilentel"/>
    <w:rsid w:val="007F39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39B7"/>
    <w:pPr>
      <w:autoSpaceDE w:val="0"/>
      <w:autoSpaceDN w:val="0"/>
      <w:adjustRightInd w:val="0"/>
    </w:pPr>
    <w:rPr>
      <w:rFonts w:ascii="Times New Roman" w:eastAsia="Times New Roman" w:hAnsi="Times New Roman"/>
      <w:color w:val="000000"/>
      <w:sz w:val="24"/>
      <w:szCs w:val="24"/>
      <w:lang w:val="en-US" w:eastAsia="en-US"/>
    </w:rPr>
  </w:style>
  <w:style w:type="paragraph" w:styleId="Sraopastraipa">
    <w:name w:val="List Paragraph"/>
    <w:basedOn w:val="prastasis"/>
    <w:uiPriority w:val="34"/>
    <w:qFormat/>
    <w:rsid w:val="007F39B7"/>
    <w:pPr>
      <w:ind w:left="720"/>
      <w:contextualSpacing/>
    </w:pPr>
  </w:style>
  <w:style w:type="character" w:styleId="Komentaronuoroda">
    <w:name w:val="annotation reference"/>
    <w:semiHidden/>
    <w:rsid w:val="0090256E"/>
    <w:rPr>
      <w:sz w:val="16"/>
      <w:szCs w:val="16"/>
    </w:rPr>
  </w:style>
  <w:style w:type="paragraph" w:customStyle="1" w:styleId="AHeader3">
    <w:name w:val="AHeader 3"/>
    <w:basedOn w:val="prastasis"/>
    <w:uiPriority w:val="99"/>
    <w:rsid w:val="006172EA"/>
    <w:pPr>
      <w:tabs>
        <w:tab w:val="num" w:pos="360"/>
      </w:tabs>
      <w:spacing w:after="120"/>
      <w:ind w:left="1276" w:hanging="567"/>
    </w:pPr>
    <w:rPr>
      <w:rFonts w:ascii="Arial" w:eastAsia="SimSun" w:hAnsi="Arial" w:cs="Arial"/>
      <w:b/>
      <w:bCs/>
      <w:sz w:val="22"/>
      <w:szCs w:val="20"/>
      <w:lang w:val="en-GB"/>
    </w:rPr>
  </w:style>
  <w:style w:type="paragraph" w:styleId="Ubaigimas">
    <w:name w:val="Closing"/>
    <w:basedOn w:val="prastasis"/>
    <w:link w:val="UbaigimasDiagrama"/>
    <w:uiPriority w:val="99"/>
    <w:semiHidden/>
    <w:unhideWhenUsed/>
    <w:rsid w:val="00775ECF"/>
    <w:pPr>
      <w:spacing w:after="200" w:line="276" w:lineRule="auto"/>
      <w:ind w:left="4252"/>
    </w:pPr>
    <w:rPr>
      <w:rFonts w:ascii="Calibri" w:eastAsia="Calibri" w:hAnsi="Calibri"/>
      <w:sz w:val="22"/>
      <w:szCs w:val="22"/>
      <w:lang w:val="en-US"/>
    </w:rPr>
  </w:style>
  <w:style w:type="character" w:customStyle="1" w:styleId="UbaigimasDiagrama">
    <w:name w:val="Užbaigimas Diagrama"/>
    <w:link w:val="Ubaigimas"/>
    <w:uiPriority w:val="99"/>
    <w:semiHidden/>
    <w:rsid w:val="00775ECF"/>
    <w:rPr>
      <w:sz w:val="22"/>
      <w:szCs w:val="22"/>
      <w:lang w:val="en-US" w:eastAsia="en-US"/>
    </w:rPr>
  </w:style>
  <w:style w:type="paragraph" w:styleId="Pataisymai">
    <w:name w:val="Revision"/>
    <w:hidden/>
    <w:uiPriority w:val="99"/>
    <w:semiHidden/>
    <w:rsid w:val="006315A7"/>
    <w:rPr>
      <w:rFonts w:ascii="Times New Roman" w:eastAsia="Times New Roman" w:hAnsi="Times New Roman"/>
      <w:sz w:val="24"/>
      <w:szCs w:val="24"/>
      <w:lang w:eastAsia="en-US"/>
    </w:rPr>
  </w:style>
  <w:style w:type="character" w:styleId="Emfaz">
    <w:name w:val="Emphasis"/>
    <w:basedOn w:val="Numatytasispastraiposriftas"/>
    <w:uiPriority w:val="20"/>
    <w:qFormat/>
    <w:rsid w:val="00775E26"/>
    <w:rPr>
      <w:i/>
      <w:iCs/>
    </w:rPr>
  </w:style>
  <w:style w:type="paragraph" w:styleId="HTMLiankstoformatuotas">
    <w:name w:val="HTML Preformatted"/>
    <w:basedOn w:val="prastasis"/>
    <w:link w:val="HTMLiankstoformatuotasDiagrama"/>
    <w:uiPriority w:val="99"/>
    <w:semiHidden/>
    <w:unhideWhenUsed/>
    <w:rsid w:val="0080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807431"/>
    <w:rPr>
      <w:rFonts w:ascii="Courier New" w:eastAsia="Times New Roman" w:hAnsi="Courier New" w:cs="Courier New"/>
      <w:lang w:val="en-US" w:eastAsia="en-US"/>
    </w:rPr>
  </w:style>
  <w:style w:type="character" w:customStyle="1" w:styleId="y2iqfc">
    <w:name w:val="y2iqfc"/>
    <w:basedOn w:val="Numatytasispastraiposriftas"/>
    <w:rsid w:val="00807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775">
      <w:bodyDiv w:val="1"/>
      <w:marLeft w:val="0"/>
      <w:marRight w:val="0"/>
      <w:marTop w:val="0"/>
      <w:marBottom w:val="0"/>
      <w:divBdr>
        <w:top w:val="none" w:sz="0" w:space="0" w:color="auto"/>
        <w:left w:val="none" w:sz="0" w:space="0" w:color="auto"/>
        <w:bottom w:val="none" w:sz="0" w:space="0" w:color="auto"/>
        <w:right w:val="none" w:sz="0" w:space="0" w:color="auto"/>
      </w:divBdr>
    </w:div>
    <w:div w:id="389311922">
      <w:bodyDiv w:val="1"/>
      <w:marLeft w:val="0"/>
      <w:marRight w:val="0"/>
      <w:marTop w:val="0"/>
      <w:marBottom w:val="0"/>
      <w:divBdr>
        <w:top w:val="none" w:sz="0" w:space="0" w:color="auto"/>
        <w:left w:val="none" w:sz="0" w:space="0" w:color="auto"/>
        <w:bottom w:val="none" w:sz="0" w:space="0" w:color="auto"/>
        <w:right w:val="none" w:sz="0" w:space="0" w:color="auto"/>
      </w:divBdr>
    </w:div>
    <w:div w:id="434714508">
      <w:bodyDiv w:val="1"/>
      <w:marLeft w:val="0"/>
      <w:marRight w:val="0"/>
      <w:marTop w:val="0"/>
      <w:marBottom w:val="0"/>
      <w:divBdr>
        <w:top w:val="none" w:sz="0" w:space="0" w:color="auto"/>
        <w:left w:val="none" w:sz="0" w:space="0" w:color="auto"/>
        <w:bottom w:val="none" w:sz="0" w:space="0" w:color="auto"/>
        <w:right w:val="none" w:sz="0" w:space="0" w:color="auto"/>
      </w:divBdr>
    </w:div>
    <w:div w:id="473915578">
      <w:bodyDiv w:val="1"/>
      <w:marLeft w:val="0"/>
      <w:marRight w:val="0"/>
      <w:marTop w:val="0"/>
      <w:marBottom w:val="0"/>
      <w:divBdr>
        <w:top w:val="none" w:sz="0" w:space="0" w:color="auto"/>
        <w:left w:val="none" w:sz="0" w:space="0" w:color="auto"/>
        <w:bottom w:val="none" w:sz="0" w:space="0" w:color="auto"/>
        <w:right w:val="none" w:sz="0" w:space="0" w:color="auto"/>
      </w:divBdr>
    </w:div>
    <w:div w:id="833105778">
      <w:bodyDiv w:val="1"/>
      <w:marLeft w:val="0"/>
      <w:marRight w:val="0"/>
      <w:marTop w:val="0"/>
      <w:marBottom w:val="0"/>
      <w:divBdr>
        <w:top w:val="none" w:sz="0" w:space="0" w:color="auto"/>
        <w:left w:val="none" w:sz="0" w:space="0" w:color="auto"/>
        <w:bottom w:val="none" w:sz="0" w:space="0" w:color="auto"/>
        <w:right w:val="none" w:sz="0" w:space="0" w:color="auto"/>
      </w:divBdr>
    </w:div>
    <w:div w:id="865950836">
      <w:bodyDiv w:val="1"/>
      <w:marLeft w:val="0"/>
      <w:marRight w:val="0"/>
      <w:marTop w:val="0"/>
      <w:marBottom w:val="0"/>
      <w:divBdr>
        <w:top w:val="none" w:sz="0" w:space="0" w:color="auto"/>
        <w:left w:val="none" w:sz="0" w:space="0" w:color="auto"/>
        <w:bottom w:val="none" w:sz="0" w:space="0" w:color="auto"/>
        <w:right w:val="none" w:sz="0" w:space="0" w:color="auto"/>
      </w:divBdr>
    </w:div>
    <w:div w:id="986083237">
      <w:bodyDiv w:val="1"/>
      <w:marLeft w:val="0"/>
      <w:marRight w:val="0"/>
      <w:marTop w:val="0"/>
      <w:marBottom w:val="0"/>
      <w:divBdr>
        <w:top w:val="none" w:sz="0" w:space="0" w:color="auto"/>
        <w:left w:val="none" w:sz="0" w:space="0" w:color="auto"/>
        <w:bottom w:val="none" w:sz="0" w:space="0" w:color="auto"/>
        <w:right w:val="none" w:sz="0" w:space="0" w:color="auto"/>
      </w:divBdr>
    </w:div>
    <w:div w:id="988441242">
      <w:bodyDiv w:val="1"/>
      <w:marLeft w:val="0"/>
      <w:marRight w:val="0"/>
      <w:marTop w:val="0"/>
      <w:marBottom w:val="0"/>
      <w:divBdr>
        <w:top w:val="none" w:sz="0" w:space="0" w:color="auto"/>
        <w:left w:val="none" w:sz="0" w:space="0" w:color="auto"/>
        <w:bottom w:val="none" w:sz="0" w:space="0" w:color="auto"/>
        <w:right w:val="none" w:sz="0" w:space="0" w:color="auto"/>
      </w:divBdr>
    </w:div>
    <w:div w:id="1136332545">
      <w:bodyDiv w:val="1"/>
      <w:marLeft w:val="0"/>
      <w:marRight w:val="0"/>
      <w:marTop w:val="0"/>
      <w:marBottom w:val="0"/>
      <w:divBdr>
        <w:top w:val="none" w:sz="0" w:space="0" w:color="auto"/>
        <w:left w:val="none" w:sz="0" w:space="0" w:color="auto"/>
        <w:bottom w:val="none" w:sz="0" w:space="0" w:color="auto"/>
        <w:right w:val="none" w:sz="0" w:space="0" w:color="auto"/>
      </w:divBdr>
    </w:div>
    <w:div w:id="1144349578">
      <w:bodyDiv w:val="1"/>
      <w:marLeft w:val="0"/>
      <w:marRight w:val="0"/>
      <w:marTop w:val="0"/>
      <w:marBottom w:val="0"/>
      <w:divBdr>
        <w:top w:val="none" w:sz="0" w:space="0" w:color="auto"/>
        <w:left w:val="none" w:sz="0" w:space="0" w:color="auto"/>
        <w:bottom w:val="none" w:sz="0" w:space="0" w:color="auto"/>
        <w:right w:val="none" w:sz="0" w:space="0" w:color="auto"/>
      </w:divBdr>
    </w:div>
    <w:div w:id="1354725709">
      <w:bodyDiv w:val="1"/>
      <w:marLeft w:val="0"/>
      <w:marRight w:val="0"/>
      <w:marTop w:val="0"/>
      <w:marBottom w:val="0"/>
      <w:divBdr>
        <w:top w:val="none" w:sz="0" w:space="0" w:color="auto"/>
        <w:left w:val="none" w:sz="0" w:space="0" w:color="auto"/>
        <w:bottom w:val="none" w:sz="0" w:space="0" w:color="auto"/>
        <w:right w:val="none" w:sz="0" w:space="0" w:color="auto"/>
      </w:divBdr>
    </w:div>
    <w:div w:id="1533181543">
      <w:bodyDiv w:val="1"/>
      <w:marLeft w:val="0"/>
      <w:marRight w:val="0"/>
      <w:marTop w:val="0"/>
      <w:marBottom w:val="0"/>
      <w:divBdr>
        <w:top w:val="none" w:sz="0" w:space="0" w:color="auto"/>
        <w:left w:val="none" w:sz="0" w:space="0" w:color="auto"/>
        <w:bottom w:val="none" w:sz="0" w:space="0" w:color="auto"/>
        <w:right w:val="none" w:sz="0" w:space="0" w:color="auto"/>
      </w:divBdr>
    </w:div>
    <w:div w:id="1605572664">
      <w:bodyDiv w:val="1"/>
      <w:marLeft w:val="0"/>
      <w:marRight w:val="0"/>
      <w:marTop w:val="0"/>
      <w:marBottom w:val="0"/>
      <w:divBdr>
        <w:top w:val="none" w:sz="0" w:space="0" w:color="auto"/>
        <w:left w:val="none" w:sz="0" w:space="0" w:color="auto"/>
        <w:bottom w:val="none" w:sz="0" w:space="0" w:color="auto"/>
        <w:right w:val="none" w:sz="0" w:space="0" w:color="auto"/>
      </w:divBdr>
    </w:div>
    <w:div w:id="1712225432">
      <w:bodyDiv w:val="1"/>
      <w:marLeft w:val="0"/>
      <w:marRight w:val="0"/>
      <w:marTop w:val="0"/>
      <w:marBottom w:val="0"/>
      <w:divBdr>
        <w:top w:val="none" w:sz="0" w:space="0" w:color="auto"/>
        <w:left w:val="none" w:sz="0" w:space="0" w:color="auto"/>
        <w:bottom w:val="none" w:sz="0" w:space="0" w:color="auto"/>
        <w:right w:val="none" w:sz="0" w:space="0" w:color="auto"/>
      </w:divBdr>
    </w:div>
    <w:div w:id="2017800694">
      <w:bodyDiv w:val="1"/>
      <w:marLeft w:val="0"/>
      <w:marRight w:val="0"/>
      <w:marTop w:val="0"/>
      <w:marBottom w:val="0"/>
      <w:divBdr>
        <w:top w:val="none" w:sz="0" w:space="0" w:color="auto"/>
        <w:left w:val="none" w:sz="0" w:space="0" w:color="auto"/>
        <w:bottom w:val="none" w:sz="0" w:space="0" w:color="auto"/>
        <w:right w:val="none" w:sz="0" w:space="0" w:color="auto"/>
      </w:divBdr>
    </w:div>
    <w:div w:id="2048413060">
      <w:bodyDiv w:val="1"/>
      <w:marLeft w:val="0"/>
      <w:marRight w:val="0"/>
      <w:marTop w:val="0"/>
      <w:marBottom w:val="0"/>
      <w:divBdr>
        <w:top w:val="none" w:sz="0" w:space="0" w:color="auto"/>
        <w:left w:val="none" w:sz="0" w:space="0" w:color="auto"/>
        <w:bottom w:val="none" w:sz="0" w:space="0" w:color="auto"/>
        <w:right w:val="none" w:sz="0" w:space="0" w:color="auto"/>
      </w:divBdr>
    </w:div>
    <w:div w:id="2054235213">
      <w:bodyDiv w:val="1"/>
      <w:marLeft w:val="0"/>
      <w:marRight w:val="0"/>
      <w:marTop w:val="0"/>
      <w:marBottom w:val="0"/>
      <w:divBdr>
        <w:top w:val="none" w:sz="0" w:space="0" w:color="auto"/>
        <w:left w:val="none" w:sz="0" w:space="0" w:color="auto"/>
        <w:bottom w:val="none" w:sz="0" w:space="0" w:color="auto"/>
        <w:right w:val="none" w:sz="0" w:space="0" w:color="auto"/>
      </w:divBdr>
    </w:div>
    <w:div w:id="211112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B9724-1E87-4641-BD22-CFBD6CAF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59517</Words>
  <Characters>33925</Characters>
  <Application>Microsoft Office Word</Application>
  <DocSecurity>4</DocSecurity>
  <Lines>282</Lines>
  <Paragraphs>186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34</vt:i4>
      </vt:variant>
    </vt:vector>
  </HeadingPairs>
  <TitlesOfParts>
    <vt:vector size="36" baseType="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    B.	TIEKIMO IR VARTOJIMO SĄLYGOS AR APRIBOJIMAI</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vector>
  </TitlesOfParts>
  <Company>Teva</Company>
  <LinksUpToDate>false</LinksUpToDate>
  <CharactersWithSpaces>93256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dc:creator>
  <cp:keywords/>
  <cp:lastModifiedBy>Albina Burkauskaitė</cp:lastModifiedBy>
  <cp:revision>2</cp:revision>
  <dcterms:created xsi:type="dcterms:W3CDTF">2025-10-29T12:47:00Z</dcterms:created>
  <dcterms:modified xsi:type="dcterms:W3CDTF">2025-10-29T12:47:00Z</dcterms:modified>
</cp:coreProperties>
</file>