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A5434" w14:textId="68B30614" w:rsidR="00107519" w:rsidRPr="00715891" w:rsidRDefault="00107519" w:rsidP="001B5498">
      <w:pPr>
        <w:rPr>
          <w:sz w:val="22"/>
          <w:szCs w:val="22"/>
          <w:lang w:val="lt-LT" w:eastAsia="ja-JP"/>
        </w:rPr>
      </w:pPr>
    </w:p>
    <w:p w14:paraId="5DFD1E9D" w14:textId="77777777" w:rsidR="00107519" w:rsidRPr="00715891" w:rsidRDefault="00107519" w:rsidP="00107519">
      <w:pPr>
        <w:ind w:left="567" w:hanging="567"/>
        <w:rPr>
          <w:sz w:val="22"/>
          <w:szCs w:val="22"/>
          <w:lang w:val="lt-LT" w:eastAsia="ja-JP"/>
        </w:rPr>
      </w:pPr>
    </w:p>
    <w:p w14:paraId="528C5110" w14:textId="77777777" w:rsidR="00107519" w:rsidRPr="00715891" w:rsidRDefault="00107519" w:rsidP="00107519">
      <w:pPr>
        <w:ind w:left="567" w:hanging="567"/>
        <w:rPr>
          <w:sz w:val="22"/>
          <w:szCs w:val="22"/>
          <w:lang w:val="lt-LT" w:eastAsia="ja-JP"/>
        </w:rPr>
      </w:pPr>
    </w:p>
    <w:p w14:paraId="6C0EBF75" w14:textId="77777777" w:rsidR="00107519" w:rsidRPr="00715891" w:rsidRDefault="00107519" w:rsidP="00107519">
      <w:pPr>
        <w:ind w:left="567" w:hanging="567"/>
        <w:rPr>
          <w:sz w:val="22"/>
          <w:szCs w:val="22"/>
          <w:lang w:val="lt-LT" w:eastAsia="ja-JP"/>
        </w:rPr>
      </w:pPr>
    </w:p>
    <w:p w14:paraId="0CD3D3E2" w14:textId="77777777" w:rsidR="00107519" w:rsidRPr="00715891" w:rsidRDefault="00107519" w:rsidP="00107519">
      <w:pPr>
        <w:ind w:left="567" w:hanging="567"/>
        <w:rPr>
          <w:sz w:val="22"/>
          <w:szCs w:val="22"/>
          <w:lang w:val="lt-LT" w:eastAsia="ja-JP"/>
        </w:rPr>
      </w:pPr>
    </w:p>
    <w:p w14:paraId="357439A1" w14:textId="77777777" w:rsidR="00107519" w:rsidRPr="00715891" w:rsidRDefault="00107519" w:rsidP="00107519">
      <w:pPr>
        <w:ind w:left="567" w:hanging="567"/>
        <w:rPr>
          <w:sz w:val="22"/>
          <w:szCs w:val="22"/>
          <w:lang w:val="lt-LT" w:eastAsia="ja-JP"/>
        </w:rPr>
      </w:pPr>
    </w:p>
    <w:p w14:paraId="46D395A0" w14:textId="77777777" w:rsidR="00107519" w:rsidRPr="00715891" w:rsidRDefault="00107519" w:rsidP="00107519">
      <w:pPr>
        <w:ind w:left="567" w:hanging="567"/>
        <w:rPr>
          <w:sz w:val="22"/>
          <w:szCs w:val="22"/>
          <w:lang w:val="lt-LT" w:eastAsia="ja-JP"/>
        </w:rPr>
      </w:pPr>
    </w:p>
    <w:p w14:paraId="3E20078C" w14:textId="77777777" w:rsidR="00107519" w:rsidRPr="00715891" w:rsidRDefault="00107519" w:rsidP="00107519">
      <w:pPr>
        <w:ind w:left="567" w:hanging="567"/>
        <w:rPr>
          <w:sz w:val="22"/>
          <w:szCs w:val="22"/>
          <w:lang w:val="lt-LT" w:eastAsia="ja-JP"/>
        </w:rPr>
      </w:pPr>
    </w:p>
    <w:p w14:paraId="6DCE5954" w14:textId="77777777" w:rsidR="00107519" w:rsidRPr="00715891" w:rsidRDefault="00107519" w:rsidP="00107519">
      <w:pPr>
        <w:ind w:left="567" w:hanging="567"/>
        <w:rPr>
          <w:sz w:val="22"/>
          <w:szCs w:val="22"/>
          <w:lang w:val="lt-LT" w:eastAsia="ja-JP"/>
        </w:rPr>
      </w:pPr>
    </w:p>
    <w:p w14:paraId="2045D2B2" w14:textId="77777777" w:rsidR="00107519" w:rsidRPr="00715891" w:rsidRDefault="00107519" w:rsidP="00107519">
      <w:pPr>
        <w:ind w:left="567" w:hanging="567"/>
        <w:rPr>
          <w:sz w:val="22"/>
          <w:szCs w:val="22"/>
          <w:lang w:val="lt-LT" w:eastAsia="ja-JP"/>
        </w:rPr>
      </w:pPr>
    </w:p>
    <w:p w14:paraId="31B0AEC9" w14:textId="77777777" w:rsidR="00107519" w:rsidRPr="00715891" w:rsidRDefault="00107519" w:rsidP="00107519">
      <w:pPr>
        <w:ind w:left="567" w:hanging="567"/>
        <w:rPr>
          <w:sz w:val="22"/>
          <w:szCs w:val="22"/>
          <w:lang w:val="lt-LT" w:eastAsia="ja-JP"/>
        </w:rPr>
      </w:pPr>
    </w:p>
    <w:p w14:paraId="622E30BB" w14:textId="77777777" w:rsidR="00107519" w:rsidRPr="00715891" w:rsidRDefault="00107519" w:rsidP="00107519">
      <w:pPr>
        <w:ind w:left="567" w:hanging="567"/>
        <w:rPr>
          <w:sz w:val="22"/>
          <w:szCs w:val="22"/>
          <w:lang w:val="lt-LT" w:eastAsia="ja-JP"/>
        </w:rPr>
      </w:pPr>
    </w:p>
    <w:p w14:paraId="21105C5D" w14:textId="77777777" w:rsidR="00107519" w:rsidRPr="00715891" w:rsidRDefault="00107519" w:rsidP="00107519">
      <w:pPr>
        <w:ind w:left="567" w:hanging="567"/>
        <w:rPr>
          <w:sz w:val="22"/>
          <w:szCs w:val="22"/>
          <w:lang w:val="lt-LT" w:eastAsia="ja-JP"/>
        </w:rPr>
      </w:pPr>
    </w:p>
    <w:p w14:paraId="0BB41AE1" w14:textId="77777777" w:rsidR="00107519" w:rsidRPr="00715891" w:rsidRDefault="00107519" w:rsidP="00107519">
      <w:pPr>
        <w:ind w:left="567" w:hanging="567"/>
        <w:rPr>
          <w:sz w:val="22"/>
          <w:szCs w:val="22"/>
          <w:lang w:val="lt-LT" w:eastAsia="ja-JP"/>
        </w:rPr>
      </w:pPr>
    </w:p>
    <w:p w14:paraId="1777DAF8" w14:textId="77777777" w:rsidR="00107519" w:rsidRPr="00715891" w:rsidRDefault="00107519" w:rsidP="00107519">
      <w:pPr>
        <w:ind w:left="567" w:hanging="567"/>
        <w:rPr>
          <w:sz w:val="22"/>
          <w:szCs w:val="22"/>
          <w:lang w:val="lt-LT" w:eastAsia="ja-JP"/>
        </w:rPr>
      </w:pPr>
    </w:p>
    <w:p w14:paraId="6C181C88" w14:textId="77777777" w:rsidR="00107519" w:rsidRPr="00715891" w:rsidRDefault="00107519" w:rsidP="00107519">
      <w:pPr>
        <w:ind w:left="567" w:hanging="567"/>
        <w:rPr>
          <w:sz w:val="22"/>
          <w:szCs w:val="22"/>
          <w:lang w:val="lt-LT" w:eastAsia="ja-JP"/>
        </w:rPr>
      </w:pPr>
    </w:p>
    <w:p w14:paraId="740B6F56" w14:textId="77777777" w:rsidR="00107519" w:rsidRPr="00715891" w:rsidRDefault="00107519" w:rsidP="00107519">
      <w:pPr>
        <w:ind w:left="567" w:hanging="567"/>
        <w:rPr>
          <w:sz w:val="22"/>
          <w:szCs w:val="22"/>
          <w:lang w:val="lt-LT" w:eastAsia="ja-JP"/>
        </w:rPr>
      </w:pPr>
    </w:p>
    <w:p w14:paraId="75BB1FAA" w14:textId="77777777" w:rsidR="00107519" w:rsidRPr="00715891" w:rsidRDefault="00107519" w:rsidP="00107519">
      <w:pPr>
        <w:ind w:left="567" w:hanging="567"/>
        <w:rPr>
          <w:sz w:val="22"/>
          <w:szCs w:val="22"/>
          <w:lang w:val="lt-LT" w:eastAsia="ja-JP"/>
        </w:rPr>
      </w:pPr>
    </w:p>
    <w:p w14:paraId="26BAAC7A" w14:textId="77777777" w:rsidR="00107519" w:rsidRPr="00715891" w:rsidRDefault="00107519" w:rsidP="00107519">
      <w:pPr>
        <w:ind w:left="567" w:hanging="567"/>
        <w:rPr>
          <w:sz w:val="22"/>
          <w:szCs w:val="22"/>
          <w:lang w:val="lt-LT" w:eastAsia="ja-JP"/>
        </w:rPr>
      </w:pPr>
    </w:p>
    <w:p w14:paraId="62779790" w14:textId="77777777" w:rsidR="00107519" w:rsidRPr="00715891" w:rsidRDefault="00107519" w:rsidP="00107519">
      <w:pPr>
        <w:ind w:left="567" w:hanging="567"/>
        <w:rPr>
          <w:sz w:val="22"/>
          <w:szCs w:val="22"/>
          <w:lang w:val="lt-LT" w:eastAsia="ja-JP"/>
        </w:rPr>
      </w:pPr>
    </w:p>
    <w:p w14:paraId="20FE67F3" w14:textId="77777777" w:rsidR="00107519" w:rsidRPr="00715891" w:rsidRDefault="00107519" w:rsidP="00107519">
      <w:pPr>
        <w:ind w:left="567" w:hanging="567"/>
        <w:rPr>
          <w:sz w:val="22"/>
          <w:szCs w:val="22"/>
          <w:lang w:val="lt-LT" w:eastAsia="ja-JP"/>
        </w:rPr>
      </w:pPr>
    </w:p>
    <w:p w14:paraId="5AE699B0" w14:textId="77777777" w:rsidR="00107519" w:rsidRPr="00715891" w:rsidRDefault="00107519" w:rsidP="00107519">
      <w:pPr>
        <w:ind w:left="567" w:hanging="567"/>
        <w:jc w:val="center"/>
        <w:rPr>
          <w:b/>
          <w:sz w:val="22"/>
          <w:szCs w:val="22"/>
          <w:lang w:val="lt-LT" w:eastAsia="ja-JP"/>
        </w:rPr>
      </w:pPr>
    </w:p>
    <w:p w14:paraId="5BA2C88E" w14:textId="77777777" w:rsidR="00107519" w:rsidRPr="00715891" w:rsidRDefault="00107519" w:rsidP="00107519">
      <w:pPr>
        <w:ind w:left="567" w:hanging="567"/>
        <w:jc w:val="center"/>
        <w:rPr>
          <w:b/>
          <w:sz w:val="22"/>
          <w:szCs w:val="22"/>
          <w:lang w:val="lt-LT" w:eastAsia="ja-JP"/>
        </w:rPr>
      </w:pPr>
    </w:p>
    <w:p w14:paraId="0EF4E4B4" w14:textId="77777777" w:rsidR="00107519" w:rsidRPr="00715891" w:rsidRDefault="00107519" w:rsidP="00107519">
      <w:pPr>
        <w:ind w:left="567" w:hanging="567"/>
        <w:jc w:val="center"/>
        <w:rPr>
          <w:sz w:val="22"/>
          <w:szCs w:val="22"/>
          <w:lang w:val="lt-LT" w:eastAsia="ja-JP"/>
        </w:rPr>
      </w:pPr>
      <w:r w:rsidRPr="00715891">
        <w:rPr>
          <w:b/>
          <w:sz w:val="22"/>
          <w:szCs w:val="22"/>
          <w:lang w:val="lt-LT" w:eastAsia="ja-JP"/>
        </w:rPr>
        <w:t>I PRIEDAS</w:t>
      </w:r>
    </w:p>
    <w:p w14:paraId="63F67D31" w14:textId="77777777" w:rsidR="00107519" w:rsidRPr="00715891" w:rsidRDefault="00107519" w:rsidP="00107519">
      <w:pPr>
        <w:ind w:left="567" w:hanging="567"/>
        <w:jc w:val="center"/>
        <w:rPr>
          <w:b/>
          <w:sz w:val="22"/>
          <w:szCs w:val="22"/>
          <w:lang w:val="lt-LT" w:eastAsia="ja-JP"/>
        </w:rPr>
      </w:pPr>
    </w:p>
    <w:p w14:paraId="022DBCA9" w14:textId="77777777" w:rsidR="00107519" w:rsidRPr="00715891" w:rsidRDefault="00107519" w:rsidP="00107519">
      <w:pPr>
        <w:ind w:left="567" w:hanging="567"/>
        <w:jc w:val="center"/>
        <w:rPr>
          <w:b/>
          <w:sz w:val="22"/>
          <w:szCs w:val="22"/>
          <w:lang w:val="lt-LT" w:eastAsia="ja-JP"/>
        </w:rPr>
      </w:pPr>
      <w:r w:rsidRPr="00715891">
        <w:rPr>
          <w:b/>
          <w:sz w:val="22"/>
          <w:szCs w:val="22"/>
          <w:lang w:val="lt-LT" w:eastAsia="ja-JP"/>
        </w:rPr>
        <w:t>PREPARATO CHARAKTERISTIKŲ SANTRAUKA</w:t>
      </w:r>
    </w:p>
    <w:p w14:paraId="2FAB5C8A" w14:textId="77777777" w:rsidR="00107519" w:rsidRPr="00715891" w:rsidRDefault="00107519" w:rsidP="00107519">
      <w:pPr>
        <w:ind w:left="567" w:hanging="567"/>
        <w:jc w:val="center"/>
        <w:rPr>
          <w:b/>
          <w:sz w:val="22"/>
          <w:szCs w:val="22"/>
          <w:lang w:val="lt-LT" w:eastAsia="ja-JP"/>
        </w:rPr>
      </w:pPr>
    </w:p>
    <w:p w14:paraId="5C09D600" w14:textId="77777777" w:rsidR="00107519" w:rsidRPr="00715891" w:rsidRDefault="00107519" w:rsidP="00107519">
      <w:pPr>
        <w:rPr>
          <w:rFonts w:eastAsia="Calibri"/>
          <w:sz w:val="22"/>
          <w:szCs w:val="22"/>
          <w:lang w:val="lt-LT" w:eastAsia="lt-LT"/>
        </w:rPr>
      </w:pPr>
      <w:r w:rsidRPr="00715891">
        <w:rPr>
          <w:sz w:val="22"/>
          <w:szCs w:val="22"/>
          <w:lang w:val="lt-LT" w:eastAsia="ja-JP"/>
        </w:rPr>
        <w:br w:type="page"/>
      </w:r>
    </w:p>
    <w:p w14:paraId="0063B3DE" w14:textId="77777777" w:rsidR="00107519" w:rsidRPr="00715891" w:rsidRDefault="00107519" w:rsidP="00107519">
      <w:pPr>
        <w:tabs>
          <w:tab w:val="left" w:pos="567"/>
        </w:tabs>
        <w:rPr>
          <w:b/>
          <w:sz w:val="22"/>
          <w:szCs w:val="22"/>
          <w:lang w:val="lt-LT" w:eastAsia="ja-JP"/>
        </w:rPr>
      </w:pPr>
      <w:r w:rsidRPr="00715891">
        <w:rPr>
          <w:b/>
          <w:sz w:val="22"/>
          <w:szCs w:val="22"/>
          <w:lang w:val="lt-LT" w:eastAsia="ja-JP"/>
        </w:rPr>
        <w:lastRenderedPageBreak/>
        <w:t>1.</w:t>
      </w:r>
      <w:r w:rsidRPr="00715891">
        <w:rPr>
          <w:b/>
          <w:sz w:val="22"/>
          <w:szCs w:val="22"/>
          <w:lang w:val="lt-LT" w:eastAsia="ja-JP"/>
        </w:rPr>
        <w:tab/>
        <w:t>VAISTINIO PREPARATO PAVADINIMAS</w:t>
      </w:r>
    </w:p>
    <w:p w14:paraId="0BF7F46A" w14:textId="77777777" w:rsidR="00107519" w:rsidRPr="00715891" w:rsidRDefault="00107519" w:rsidP="00107519">
      <w:pPr>
        <w:rPr>
          <w:sz w:val="22"/>
          <w:szCs w:val="22"/>
          <w:lang w:val="lt-LT" w:eastAsia="ja-JP"/>
        </w:rPr>
      </w:pPr>
    </w:p>
    <w:p w14:paraId="426832CB" w14:textId="77777777" w:rsidR="00107519" w:rsidRPr="00715891" w:rsidRDefault="00107519" w:rsidP="00107519">
      <w:pPr>
        <w:rPr>
          <w:sz w:val="22"/>
          <w:szCs w:val="22"/>
          <w:lang w:val="lt-LT" w:eastAsia="ja-JP"/>
        </w:rPr>
      </w:pPr>
      <w:r w:rsidRPr="00715891">
        <w:rPr>
          <w:sz w:val="22"/>
          <w:szCs w:val="22"/>
          <w:lang w:val="lt-LT" w:eastAsia="ja-JP"/>
        </w:rPr>
        <w:t>Valganciclovir Sandoz 450 mg plėvele dengtos tabletės</w:t>
      </w:r>
      <w:bookmarkStart w:id="0" w:name="_GoBack"/>
      <w:bookmarkEnd w:id="0"/>
    </w:p>
    <w:p w14:paraId="32716503" w14:textId="77777777" w:rsidR="00107519" w:rsidRPr="00715891" w:rsidRDefault="00107519" w:rsidP="00107519">
      <w:pPr>
        <w:rPr>
          <w:sz w:val="22"/>
          <w:szCs w:val="22"/>
          <w:lang w:val="lt-LT" w:eastAsia="ja-JP"/>
        </w:rPr>
      </w:pPr>
    </w:p>
    <w:p w14:paraId="433CF563" w14:textId="77777777" w:rsidR="00107519" w:rsidRPr="00715891" w:rsidRDefault="00107519" w:rsidP="00107519">
      <w:pPr>
        <w:rPr>
          <w:sz w:val="22"/>
          <w:szCs w:val="22"/>
          <w:lang w:val="lt-LT" w:eastAsia="ja-JP"/>
        </w:rPr>
      </w:pPr>
    </w:p>
    <w:p w14:paraId="149EB3E1" w14:textId="77777777" w:rsidR="00107519" w:rsidRPr="00715891" w:rsidRDefault="00107519" w:rsidP="00107519">
      <w:pPr>
        <w:ind w:left="567" w:hanging="567"/>
        <w:outlineLvl w:val="0"/>
        <w:rPr>
          <w:b/>
          <w:caps/>
          <w:kern w:val="28"/>
          <w:sz w:val="22"/>
          <w:szCs w:val="22"/>
          <w:lang w:val="lt-LT" w:eastAsia="ja-JP"/>
        </w:rPr>
      </w:pPr>
      <w:r w:rsidRPr="00715891">
        <w:rPr>
          <w:b/>
          <w:caps/>
          <w:kern w:val="28"/>
          <w:sz w:val="22"/>
          <w:szCs w:val="22"/>
          <w:lang w:val="lt-LT" w:eastAsia="ja-JP"/>
        </w:rPr>
        <w:t>2.</w:t>
      </w:r>
      <w:r w:rsidRPr="00715891">
        <w:rPr>
          <w:b/>
          <w:caps/>
          <w:kern w:val="28"/>
          <w:sz w:val="22"/>
          <w:szCs w:val="22"/>
          <w:lang w:val="lt-LT" w:eastAsia="ja-JP"/>
        </w:rPr>
        <w:tab/>
        <w:t>KOKYBINĖ IR KIEKYBINĖ SUDĖTIS</w:t>
      </w:r>
    </w:p>
    <w:p w14:paraId="27677B35" w14:textId="77777777" w:rsidR="00107519" w:rsidRPr="00715891" w:rsidRDefault="00107519" w:rsidP="00107519">
      <w:pPr>
        <w:rPr>
          <w:i/>
          <w:sz w:val="22"/>
          <w:szCs w:val="22"/>
          <w:lang w:val="lt-LT" w:eastAsia="ja-JP"/>
        </w:rPr>
      </w:pPr>
    </w:p>
    <w:p w14:paraId="47EE6A22" w14:textId="06EE2B8D" w:rsidR="00107519" w:rsidRPr="00715891" w:rsidRDefault="00F96CF0" w:rsidP="00107519">
      <w:pPr>
        <w:rPr>
          <w:sz w:val="22"/>
          <w:szCs w:val="22"/>
          <w:lang w:val="lt-LT" w:eastAsia="ja-JP"/>
        </w:rPr>
      </w:pPr>
      <w:r w:rsidRPr="00715891">
        <w:rPr>
          <w:sz w:val="22"/>
          <w:szCs w:val="22"/>
          <w:lang w:val="lt-LT" w:eastAsia="ja-JP"/>
        </w:rPr>
        <w:t>Kiekvienoje plėvele dengtoje tabletėje yra 4</w:t>
      </w:r>
      <w:r w:rsidR="0019533F" w:rsidRPr="00715891">
        <w:rPr>
          <w:sz w:val="22"/>
          <w:szCs w:val="22"/>
          <w:lang w:val="lt-LT" w:eastAsia="ja-JP"/>
        </w:rPr>
        <w:t>50</w:t>
      </w:r>
      <w:r w:rsidRPr="00715891">
        <w:rPr>
          <w:sz w:val="22"/>
          <w:szCs w:val="22"/>
          <w:lang w:val="lt-LT" w:eastAsia="ja-JP"/>
        </w:rPr>
        <w:t> mg valgancikloviro</w:t>
      </w:r>
      <w:r w:rsidR="0019533F" w:rsidRPr="00715891">
        <w:rPr>
          <w:sz w:val="22"/>
          <w:szCs w:val="22"/>
          <w:lang w:val="lt-LT" w:eastAsia="ja-JP"/>
        </w:rPr>
        <w:t xml:space="preserve"> (hidrochlorido pavidalu)</w:t>
      </w:r>
      <w:r w:rsidR="000D770D" w:rsidRPr="00715891">
        <w:rPr>
          <w:sz w:val="22"/>
          <w:szCs w:val="22"/>
          <w:lang w:val="lt-LT" w:eastAsia="ja-JP"/>
        </w:rPr>
        <w:t>.</w:t>
      </w:r>
    </w:p>
    <w:p w14:paraId="206A77F0" w14:textId="77777777" w:rsidR="00107519" w:rsidRPr="00715891" w:rsidRDefault="00107519" w:rsidP="00107519">
      <w:pPr>
        <w:rPr>
          <w:sz w:val="22"/>
          <w:szCs w:val="22"/>
          <w:lang w:val="lt-LT" w:eastAsia="ja-JP"/>
        </w:rPr>
      </w:pPr>
    </w:p>
    <w:p w14:paraId="2F880702" w14:textId="77777777" w:rsidR="00107519" w:rsidRPr="00715891" w:rsidRDefault="00107519" w:rsidP="00107519">
      <w:pPr>
        <w:rPr>
          <w:sz w:val="22"/>
          <w:szCs w:val="22"/>
          <w:lang w:val="lt-LT" w:eastAsia="ja-JP"/>
        </w:rPr>
      </w:pPr>
      <w:r w:rsidRPr="00715891">
        <w:rPr>
          <w:sz w:val="22"/>
          <w:szCs w:val="22"/>
          <w:lang w:val="lt-LT" w:eastAsia="ja-JP"/>
        </w:rPr>
        <w:t>Visos pagalbinės medžiagos išvardytos 6.1 skyriuje.</w:t>
      </w:r>
    </w:p>
    <w:p w14:paraId="1081A2E2" w14:textId="77777777" w:rsidR="00107519" w:rsidRPr="00715891" w:rsidRDefault="00107519" w:rsidP="00107519">
      <w:pPr>
        <w:rPr>
          <w:sz w:val="22"/>
          <w:szCs w:val="22"/>
          <w:lang w:val="lt-LT" w:eastAsia="ja-JP"/>
        </w:rPr>
      </w:pPr>
    </w:p>
    <w:p w14:paraId="585272B2" w14:textId="77777777" w:rsidR="00107519" w:rsidRPr="00715891" w:rsidRDefault="00107519" w:rsidP="00107519">
      <w:pPr>
        <w:rPr>
          <w:sz w:val="22"/>
          <w:szCs w:val="22"/>
          <w:lang w:val="lt-LT" w:eastAsia="ja-JP"/>
        </w:rPr>
      </w:pPr>
    </w:p>
    <w:p w14:paraId="6E06F226" w14:textId="77777777" w:rsidR="00107519" w:rsidRPr="00715891" w:rsidRDefault="00107519" w:rsidP="00107519">
      <w:pPr>
        <w:ind w:left="567" w:hanging="567"/>
        <w:outlineLvl w:val="0"/>
        <w:rPr>
          <w:b/>
          <w:kern w:val="28"/>
          <w:sz w:val="22"/>
          <w:szCs w:val="22"/>
          <w:lang w:val="lt-LT" w:eastAsia="ja-JP"/>
        </w:rPr>
      </w:pPr>
      <w:r w:rsidRPr="00715891">
        <w:rPr>
          <w:b/>
          <w:caps/>
          <w:kern w:val="28"/>
          <w:sz w:val="22"/>
          <w:szCs w:val="22"/>
          <w:lang w:val="lt-LT" w:eastAsia="ja-JP"/>
        </w:rPr>
        <w:t>3.</w:t>
      </w:r>
      <w:r w:rsidRPr="00715891">
        <w:rPr>
          <w:b/>
          <w:caps/>
          <w:kern w:val="28"/>
          <w:sz w:val="22"/>
          <w:szCs w:val="22"/>
          <w:lang w:val="lt-LT" w:eastAsia="ja-JP"/>
        </w:rPr>
        <w:tab/>
        <w:t xml:space="preserve">FARMACINĖ </w:t>
      </w:r>
      <w:r w:rsidRPr="00715891">
        <w:rPr>
          <w:b/>
          <w:kern w:val="28"/>
          <w:sz w:val="22"/>
          <w:szCs w:val="22"/>
          <w:lang w:val="lt-LT" w:eastAsia="ja-JP"/>
        </w:rPr>
        <w:t>FORMA</w:t>
      </w:r>
    </w:p>
    <w:p w14:paraId="1B8493B1" w14:textId="77777777" w:rsidR="00107519" w:rsidRPr="00715891" w:rsidRDefault="00107519" w:rsidP="00107519">
      <w:pPr>
        <w:rPr>
          <w:sz w:val="22"/>
          <w:szCs w:val="22"/>
          <w:lang w:val="lt-LT" w:eastAsia="ja-JP"/>
        </w:rPr>
      </w:pPr>
    </w:p>
    <w:p w14:paraId="4822B8C1" w14:textId="414C1648" w:rsidR="00107519" w:rsidRPr="00715891" w:rsidRDefault="00107519" w:rsidP="00107519">
      <w:pPr>
        <w:jc w:val="both"/>
        <w:rPr>
          <w:rFonts w:eastAsia="Calibri"/>
          <w:sz w:val="22"/>
          <w:szCs w:val="22"/>
          <w:lang w:val="lt-LT" w:eastAsia="lt-LT"/>
        </w:rPr>
      </w:pPr>
      <w:r w:rsidRPr="00715891">
        <w:rPr>
          <w:sz w:val="22"/>
          <w:szCs w:val="22"/>
          <w:lang w:val="lt-LT" w:eastAsia="ja-JP"/>
        </w:rPr>
        <w:t>Plėvele dengta tabletė</w:t>
      </w:r>
      <w:r w:rsidR="00D477BA" w:rsidRPr="00715891">
        <w:rPr>
          <w:sz w:val="22"/>
          <w:szCs w:val="22"/>
          <w:lang w:val="lt-LT" w:eastAsia="ja-JP"/>
        </w:rPr>
        <w:t xml:space="preserve"> (tabletė)</w:t>
      </w:r>
    </w:p>
    <w:p w14:paraId="77169A94" w14:textId="77777777" w:rsidR="00107519" w:rsidRPr="00715891" w:rsidRDefault="00107519" w:rsidP="00107519">
      <w:pPr>
        <w:jc w:val="both"/>
        <w:rPr>
          <w:i/>
          <w:sz w:val="22"/>
          <w:szCs w:val="22"/>
          <w:lang w:val="lt-LT" w:eastAsia="ja-JP"/>
        </w:rPr>
      </w:pPr>
    </w:p>
    <w:p w14:paraId="39351122" w14:textId="22D757D7" w:rsidR="00107519" w:rsidRPr="00715891" w:rsidRDefault="00107519" w:rsidP="00107519">
      <w:pPr>
        <w:rPr>
          <w:sz w:val="22"/>
          <w:szCs w:val="22"/>
          <w:lang w:val="lt-LT" w:eastAsia="ja-JP"/>
        </w:rPr>
      </w:pPr>
      <w:r w:rsidRPr="00715891">
        <w:rPr>
          <w:sz w:val="22"/>
          <w:szCs w:val="22"/>
          <w:lang w:val="lt-LT" w:eastAsia="ja-JP"/>
        </w:rPr>
        <w:t>Rožinės spalvos, ovalios, abipus išgaubtos plėvele dengtos tabletės (16,7 </w:t>
      </w:r>
      <w:r w:rsidRPr="00715891">
        <w:rPr>
          <w:sz w:val="22"/>
          <w:szCs w:val="22"/>
          <w:lang w:val="lt-LT" w:eastAsia="zh-TW"/>
        </w:rPr>
        <w:t>x 7,8</w:t>
      </w:r>
      <w:r w:rsidR="007059D4" w:rsidRPr="00715891">
        <w:rPr>
          <w:sz w:val="22"/>
          <w:szCs w:val="22"/>
          <w:lang w:val="lt-LT" w:eastAsia="zh-TW"/>
        </w:rPr>
        <w:t> </w:t>
      </w:r>
      <w:r w:rsidRPr="00715891">
        <w:rPr>
          <w:sz w:val="22"/>
          <w:szCs w:val="22"/>
          <w:lang w:val="lt-LT" w:eastAsia="zh-TW"/>
        </w:rPr>
        <w:t>mm)</w:t>
      </w:r>
      <w:r w:rsidRPr="00715891">
        <w:rPr>
          <w:sz w:val="22"/>
          <w:szCs w:val="22"/>
          <w:lang w:val="lt-LT" w:eastAsia="ja-JP"/>
        </w:rPr>
        <w:t xml:space="preserve">, kurių vienoje pusėje įspausta </w:t>
      </w:r>
      <w:r w:rsidR="00453066" w:rsidRPr="00715891">
        <w:rPr>
          <w:sz w:val="22"/>
          <w:szCs w:val="22"/>
          <w:lang w:val="lt-LT" w:eastAsia="ja-JP"/>
        </w:rPr>
        <w:t>„</w:t>
      </w:r>
      <w:r w:rsidRPr="00715891">
        <w:rPr>
          <w:sz w:val="22"/>
          <w:szCs w:val="22"/>
          <w:lang w:val="lt-LT" w:eastAsia="ja-JP"/>
        </w:rPr>
        <w:t>J</w:t>
      </w:r>
      <w:r w:rsidR="00453066" w:rsidRPr="00715891">
        <w:rPr>
          <w:sz w:val="22"/>
          <w:szCs w:val="22"/>
          <w:lang w:val="lt-LT" w:eastAsia="ja-JP"/>
        </w:rPr>
        <w:t>“</w:t>
      </w:r>
      <w:r w:rsidRPr="00715891">
        <w:rPr>
          <w:sz w:val="22"/>
          <w:szCs w:val="22"/>
          <w:lang w:val="lt-LT" w:eastAsia="ja-JP"/>
        </w:rPr>
        <w:t xml:space="preserve">, o kitoje – </w:t>
      </w:r>
      <w:r w:rsidR="00453066" w:rsidRPr="00715891">
        <w:rPr>
          <w:sz w:val="22"/>
          <w:szCs w:val="22"/>
          <w:lang w:val="lt-LT" w:eastAsia="ja-JP"/>
        </w:rPr>
        <w:t>„</w:t>
      </w:r>
      <w:r w:rsidRPr="00715891">
        <w:rPr>
          <w:sz w:val="22"/>
          <w:szCs w:val="22"/>
          <w:lang w:val="lt-LT" w:eastAsia="ja-JP"/>
        </w:rPr>
        <w:t>156</w:t>
      </w:r>
      <w:r w:rsidR="00453066" w:rsidRPr="00715891">
        <w:rPr>
          <w:sz w:val="22"/>
          <w:szCs w:val="22"/>
          <w:lang w:val="lt-LT" w:eastAsia="ja-JP"/>
        </w:rPr>
        <w:t>“</w:t>
      </w:r>
      <w:r w:rsidRPr="00715891">
        <w:rPr>
          <w:sz w:val="22"/>
          <w:szCs w:val="22"/>
          <w:lang w:val="lt-LT" w:eastAsia="ja-JP"/>
        </w:rPr>
        <w:t xml:space="preserve">. </w:t>
      </w:r>
    </w:p>
    <w:p w14:paraId="43DF1872" w14:textId="77777777" w:rsidR="00107519" w:rsidRPr="00715891" w:rsidRDefault="00107519" w:rsidP="00107519">
      <w:pPr>
        <w:rPr>
          <w:sz w:val="22"/>
          <w:szCs w:val="22"/>
          <w:lang w:val="lt-LT" w:eastAsia="ja-JP"/>
        </w:rPr>
      </w:pPr>
    </w:p>
    <w:p w14:paraId="60B9B81C" w14:textId="77777777" w:rsidR="00107519" w:rsidRPr="00715891" w:rsidRDefault="00107519" w:rsidP="00107519">
      <w:pPr>
        <w:rPr>
          <w:sz w:val="22"/>
          <w:szCs w:val="22"/>
          <w:lang w:val="lt-LT" w:eastAsia="ja-JP"/>
        </w:rPr>
      </w:pPr>
    </w:p>
    <w:p w14:paraId="4FD8FD30" w14:textId="77777777" w:rsidR="00107519" w:rsidRPr="00715891" w:rsidRDefault="00107519" w:rsidP="00107519">
      <w:pPr>
        <w:ind w:left="567" w:hanging="567"/>
        <w:outlineLvl w:val="0"/>
        <w:rPr>
          <w:b/>
          <w:caps/>
          <w:kern w:val="28"/>
          <w:sz w:val="22"/>
          <w:szCs w:val="22"/>
          <w:lang w:val="lt-LT" w:eastAsia="ja-JP"/>
        </w:rPr>
      </w:pPr>
      <w:r w:rsidRPr="00715891">
        <w:rPr>
          <w:b/>
          <w:caps/>
          <w:kern w:val="28"/>
          <w:sz w:val="22"/>
          <w:szCs w:val="22"/>
          <w:lang w:val="lt-LT" w:eastAsia="ja-JP"/>
        </w:rPr>
        <w:t>4.</w:t>
      </w:r>
      <w:r w:rsidRPr="00715891">
        <w:rPr>
          <w:b/>
          <w:caps/>
          <w:kern w:val="28"/>
          <w:sz w:val="22"/>
          <w:szCs w:val="22"/>
          <w:lang w:val="lt-LT" w:eastAsia="ja-JP"/>
        </w:rPr>
        <w:tab/>
        <w:t>KliniKINĖ informacija</w:t>
      </w:r>
    </w:p>
    <w:p w14:paraId="5275ED4F" w14:textId="77777777" w:rsidR="00107519" w:rsidRPr="00715891" w:rsidRDefault="00107519" w:rsidP="00107519">
      <w:pPr>
        <w:rPr>
          <w:sz w:val="22"/>
          <w:szCs w:val="22"/>
          <w:lang w:val="lt-LT" w:eastAsia="ja-JP"/>
        </w:rPr>
      </w:pPr>
    </w:p>
    <w:p w14:paraId="111DC57F" w14:textId="77777777" w:rsidR="00107519" w:rsidRPr="00715891" w:rsidRDefault="00107519" w:rsidP="00107519">
      <w:pPr>
        <w:ind w:left="567" w:hanging="567"/>
        <w:outlineLvl w:val="1"/>
        <w:rPr>
          <w:b/>
          <w:kern w:val="28"/>
          <w:sz w:val="22"/>
          <w:szCs w:val="22"/>
          <w:lang w:val="lt-LT" w:eastAsia="ja-JP"/>
        </w:rPr>
      </w:pPr>
      <w:r w:rsidRPr="00715891">
        <w:rPr>
          <w:b/>
          <w:kern w:val="28"/>
          <w:sz w:val="22"/>
          <w:szCs w:val="22"/>
          <w:lang w:val="lt-LT" w:eastAsia="ja-JP"/>
        </w:rPr>
        <w:t>4.1</w:t>
      </w:r>
      <w:r w:rsidRPr="00715891">
        <w:rPr>
          <w:b/>
          <w:kern w:val="28"/>
          <w:sz w:val="22"/>
          <w:szCs w:val="22"/>
          <w:lang w:val="lt-LT" w:eastAsia="ja-JP"/>
        </w:rPr>
        <w:tab/>
        <w:t>Terapinės indikacijos</w:t>
      </w:r>
    </w:p>
    <w:p w14:paraId="3E2E4BCA" w14:textId="77777777" w:rsidR="00107519" w:rsidRPr="00715891" w:rsidRDefault="00107519" w:rsidP="00107519">
      <w:pPr>
        <w:rPr>
          <w:sz w:val="22"/>
          <w:szCs w:val="22"/>
          <w:lang w:val="lt-LT" w:eastAsia="ja-JP"/>
        </w:rPr>
      </w:pPr>
    </w:p>
    <w:p w14:paraId="111E5622" w14:textId="71C24F3E" w:rsidR="00107519" w:rsidRPr="00715891" w:rsidRDefault="00107519" w:rsidP="00107519">
      <w:pPr>
        <w:rPr>
          <w:sz w:val="22"/>
          <w:szCs w:val="22"/>
          <w:lang w:val="lt-LT" w:eastAsia="ja-JP"/>
        </w:rPr>
      </w:pPr>
      <w:r w:rsidRPr="00715891">
        <w:rPr>
          <w:sz w:val="22"/>
          <w:szCs w:val="22"/>
          <w:lang w:val="lt-LT" w:eastAsia="ja-JP"/>
        </w:rPr>
        <w:t>Valganciclovir Sandoz skirtas įgyto imunodeficito sindromu (AIDS) sergantiems suaugusiems pacientams citomegaloviruso (CMV) sukelto retinito įvadiniam ir palaikomajam gydymui.</w:t>
      </w:r>
    </w:p>
    <w:p w14:paraId="53DB1058" w14:textId="77777777" w:rsidR="00107519" w:rsidRPr="00715891" w:rsidRDefault="00107519" w:rsidP="00107519">
      <w:pPr>
        <w:rPr>
          <w:sz w:val="22"/>
          <w:szCs w:val="22"/>
          <w:lang w:val="lt-LT" w:eastAsia="ja-JP"/>
        </w:rPr>
      </w:pPr>
    </w:p>
    <w:p w14:paraId="160EF070" w14:textId="4666FD5A" w:rsidR="00107519" w:rsidRPr="00715891" w:rsidRDefault="00107519" w:rsidP="00107519">
      <w:pPr>
        <w:rPr>
          <w:sz w:val="22"/>
          <w:szCs w:val="22"/>
          <w:lang w:val="lt-LT" w:eastAsia="ja-JP"/>
        </w:rPr>
      </w:pPr>
      <w:r w:rsidRPr="00715891">
        <w:rPr>
          <w:sz w:val="22"/>
          <w:szCs w:val="22"/>
          <w:lang w:val="lt-LT" w:eastAsia="ja-JP"/>
        </w:rPr>
        <w:t>Valganciclovir Sandoz skirtas CMV sukeltos infekcinės ligos profilaktikai suaugusiesiems ir vaikams (nuo gimimo iki 18 metų), kurie neužsikrėtę CMV, tačiau jiems yra persodintas CMV infekuoto donoro solidinis organas.</w:t>
      </w:r>
    </w:p>
    <w:p w14:paraId="562AC4D0" w14:textId="77777777" w:rsidR="00107519" w:rsidRPr="00715891" w:rsidRDefault="00107519" w:rsidP="00107519">
      <w:pPr>
        <w:rPr>
          <w:sz w:val="22"/>
          <w:szCs w:val="22"/>
          <w:lang w:val="lt-LT" w:eastAsia="ja-JP"/>
        </w:rPr>
      </w:pPr>
    </w:p>
    <w:p w14:paraId="41CD4E62" w14:textId="77777777" w:rsidR="00107519" w:rsidRPr="00715891" w:rsidRDefault="00107519" w:rsidP="00107519">
      <w:pPr>
        <w:ind w:left="567" w:hanging="567"/>
        <w:outlineLvl w:val="1"/>
        <w:rPr>
          <w:b/>
          <w:kern w:val="28"/>
          <w:sz w:val="22"/>
          <w:szCs w:val="22"/>
          <w:lang w:val="lt-LT" w:eastAsia="ja-JP"/>
        </w:rPr>
      </w:pPr>
      <w:r w:rsidRPr="00715891">
        <w:rPr>
          <w:b/>
          <w:kern w:val="28"/>
          <w:sz w:val="22"/>
          <w:szCs w:val="22"/>
          <w:lang w:val="lt-LT" w:eastAsia="ja-JP"/>
        </w:rPr>
        <w:t>4.2</w:t>
      </w:r>
      <w:r w:rsidRPr="00715891">
        <w:rPr>
          <w:b/>
          <w:kern w:val="28"/>
          <w:sz w:val="22"/>
          <w:szCs w:val="22"/>
          <w:lang w:val="lt-LT" w:eastAsia="ja-JP"/>
        </w:rPr>
        <w:tab/>
        <w:t>Dozavimas ir vartojimo metodas</w:t>
      </w:r>
    </w:p>
    <w:p w14:paraId="7C44D1E0" w14:textId="77777777" w:rsidR="00107519" w:rsidRPr="00715891" w:rsidRDefault="00107519" w:rsidP="00107519">
      <w:pPr>
        <w:rPr>
          <w:sz w:val="22"/>
          <w:szCs w:val="22"/>
          <w:lang w:val="lt-LT" w:eastAsia="ja-JP"/>
        </w:rPr>
      </w:pPr>
    </w:p>
    <w:p w14:paraId="77347B21" w14:textId="77777777" w:rsidR="00107519" w:rsidRPr="00715891" w:rsidRDefault="00107519" w:rsidP="00107519">
      <w:pPr>
        <w:rPr>
          <w:sz w:val="22"/>
          <w:szCs w:val="22"/>
          <w:u w:val="single"/>
          <w:lang w:val="lt-LT" w:eastAsia="ja-JP"/>
        </w:rPr>
      </w:pPr>
      <w:r w:rsidRPr="00715891">
        <w:rPr>
          <w:sz w:val="22"/>
          <w:szCs w:val="22"/>
          <w:u w:val="single"/>
          <w:lang w:val="lt-LT" w:eastAsia="ja-JP"/>
        </w:rPr>
        <w:t>Dozavimas</w:t>
      </w:r>
    </w:p>
    <w:p w14:paraId="33648B76" w14:textId="77777777" w:rsidR="00107519" w:rsidRPr="00715891" w:rsidRDefault="00107519" w:rsidP="00107519">
      <w:pPr>
        <w:rPr>
          <w:b/>
          <w:sz w:val="22"/>
          <w:szCs w:val="22"/>
          <w:lang w:val="lt-LT" w:eastAsia="ja-JP"/>
        </w:rPr>
      </w:pPr>
    </w:p>
    <w:p w14:paraId="33470C0E" w14:textId="6B409D28" w:rsidR="00107519" w:rsidRPr="00715891" w:rsidRDefault="00107519" w:rsidP="00107519">
      <w:pPr>
        <w:rPr>
          <w:b/>
          <w:sz w:val="22"/>
          <w:szCs w:val="22"/>
          <w:lang w:val="lt-LT" w:eastAsia="ja-JP"/>
        </w:rPr>
      </w:pPr>
      <w:r w:rsidRPr="00715891">
        <w:rPr>
          <w:b/>
          <w:sz w:val="22"/>
          <w:szCs w:val="22"/>
          <w:lang w:val="lt-LT" w:eastAsia="ja-JP"/>
        </w:rPr>
        <w:t>Dėmesio! Kad vaist</w:t>
      </w:r>
      <w:r w:rsidR="002D5F5D" w:rsidRPr="00715891">
        <w:rPr>
          <w:b/>
          <w:sz w:val="22"/>
          <w:szCs w:val="22"/>
          <w:lang w:val="lt-LT" w:eastAsia="ja-JP"/>
        </w:rPr>
        <w:t>ini</w:t>
      </w:r>
      <w:r w:rsidRPr="00715891">
        <w:rPr>
          <w:b/>
          <w:sz w:val="22"/>
          <w:szCs w:val="22"/>
          <w:lang w:val="lt-LT" w:eastAsia="ja-JP"/>
        </w:rPr>
        <w:t xml:space="preserve">o </w:t>
      </w:r>
      <w:r w:rsidR="002D5F5D" w:rsidRPr="00715891">
        <w:rPr>
          <w:b/>
          <w:sz w:val="22"/>
          <w:szCs w:val="22"/>
          <w:lang w:val="lt-LT" w:eastAsia="ja-JP"/>
        </w:rPr>
        <w:t xml:space="preserve">preparato </w:t>
      </w:r>
      <w:r w:rsidRPr="00715891">
        <w:rPr>
          <w:b/>
          <w:sz w:val="22"/>
          <w:szCs w:val="22"/>
          <w:lang w:val="lt-LT" w:eastAsia="ja-JP"/>
        </w:rPr>
        <w:t>nebūtų perdozuota, būtina griežtai laikytis dozavimo rekomendacijų (žr. 4.4</w:t>
      </w:r>
      <w:r w:rsidRPr="00715891">
        <w:rPr>
          <w:b/>
          <w:i/>
          <w:sz w:val="22"/>
          <w:szCs w:val="22"/>
          <w:lang w:val="lt-LT" w:eastAsia="ja-JP"/>
        </w:rPr>
        <w:t xml:space="preserve"> </w:t>
      </w:r>
      <w:r w:rsidRPr="00715891">
        <w:rPr>
          <w:b/>
          <w:sz w:val="22"/>
          <w:szCs w:val="22"/>
          <w:lang w:val="lt-LT" w:eastAsia="ja-JP"/>
        </w:rPr>
        <w:t>ir 4.9 skyrius).</w:t>
      </w:r>
    </w:p>
    <w:p w14:paraId="47A634ED" w14:textId="77777777" w:rsidR="00107519" w:rsidRPr="00715891" w:rsidRDefault="00107519" w:rsidP="00107519">
      <w:pPr>
        <w:rPr>
          <w:sz w:val="22"/>
          <w:szCs w:val="22"/>
          <w:u w:val="single"/>
          <w:lang w:val="lt-LT" w:eastAsia="ja-JP"/>
        </w:rPr>
      </w:pPr>
    </w:p>
    <w:p w14:paraId="4E4938A5" w14:textId="77777777" w:rsidR="00107519" w:rsidRPr="00715891" w:rsidRDefault="00107519" w:rsidP="00107519">
      <w:pPr>
        <w:rPr>
          <w:sz w:val="22"/>
          <w:szCs w:val="22"/>
          <w:lang w:val="lt-LT" w:eastAsia="ja-JP"/>
        </w:rPr>
      </w:pPr>
      <w:r w:rsidRPr="00715891">
        <w:rPr>
          <w:sz w:val="22"/>
          <w:szCs w:val="22"/>
          <w:lang w:val="lt-LT" w:eastAsia="ja-JP"/>
        </w:rPr>
        <w:t>Išgertas valgancikloviras greitai ir ekstensyviai metabolizuojamas į ganciklovirą. Geriamojo valgancikloviro 900 mg dukart per parą dozė gydomuoju poveikiu ekvivalentiška 5 mg/kg kūno svorio dukart per parą į veną leidžiamo gancikloviro dozei.</w:t>
      </w:r>
    </w:p>
    <w:p w14:paraId="6A0EF5E5" w14:textId="77777777" w:rsidR="00107519" w:rsidRPr="00715891" w:rsidRDefault="00107519" w:rsidP="00107519">
      <w:pPr>
        <w:jc w:val="both"/>
        <w:rPr>
          <w:sz w:val="22"/>
          <w:szCs w:val="22"/>
          <w:lang w:val="lt-LT" w:eastAsia="ja-JP"/>
        </w:rPr>
      </w:pPr>
    </w:p>
    <w:p w14:paraId="5AFC37DE" w14:textId="77777777" w:rsidR="00107519" w:rsidRPr="00715891" w:rsidRDefault="00107519" w:rsidP="00107519">
      <w:pPr>
        <w:rPr>
          <w:b/>
          <w:sz w:val="22"/>
          <w:szCs w:val="22"/>
          <w:lang w:val="lt-LT" w:eastAsia="ja-JP"/>
        </w:rPr>
      </w:pPr>
      <w:r w:rsidRPr="00715891">
        <w:rPr>
          <w:b/>
          <w:sz w:val="22"/>
          <w:szCs w:val="22"/>
          <w:lang w:val="lt-LT" w:eastAsia="ja-JP"/>
        </w:rPr>
        <w:t>Citomegaloviruso (CMV) sukelto retinito gydymas</w:t>
      </w:r>
    </w:p>
    <w:p w14:paraId="18F82C26" w14:textId="77777777" w:rsidR="00107519" w:rsidRPr="00715891" w:rsidRDefault="00107519" w:rsidP="00107519">
      <w:pPr>
        <w:rPr>
          <w:i/>
          <w:sz w:val="22"/>
          <w:szCs w:val="22"/>
          <w:u w:val="single"/>
          <w:lang w:val="lt-LT" w:eastAsia="ja-JP"/>
        </w:rPr>
      </w:pPr>
    </w:p>
    <w:p w14:paraId="03C261E2" w14:textId="77777777" w:rsidR="00107519" w:rsidRPr="00715891" w:rsidRDefault="00107519" w:rsidP="00107519">
      <w:pPr>
        <w:rPr>
          <w:sz w:val="22"/>
          <w:szCs w:val="22"/>
          <w:u w:val="single"/>
          <w:lang w:val="lt-LT" w:eastAsia="ja-JP"/>
        </w:rPr>
      </w:pPr>
      <w:r w:rsidRPr="00715891">
        <w:rPr>
          <w:i/>
          <w:sz w:val="22"/>
          <w:szCs w:val="22"/>
          <w:u w:val="single"/>
          <w:lang w:val="lt-LT" w:eastAsia="ja-JP"/>
        </w:rPr>
        <w:t>Suaugusiesiems</w:t>
      </w:r>
      <w:r w:rsidRPr="00715891" w:rsidDel="004211F5">
        <w:rPr>
          <w:sz w:val="22"/>
          <w:szCs w:val="22"/>
          <w:u w:val="single"/>
          <w:lang w:val="lt-LT" w:eastAsia="ja-JP"/>
        </w:rPr>
        <w:t xml:space="preserve"> </w:t>
      </w:r>
    </w:p>
    <w:p w14:paraId="5331D7CB" w14:textId="77777777" w:rsidR="00107519" w:rsidRPr="00715891" w:rsidRDefault="00107519" w:rsidP="00107519">
      <w:pPr>
        <w:jc w:val="both"/>
        <w:rPr>
          <w:i/>
          <w:sz w:val="22"/>
          <w:szCs w:val="22"/>
          <w:lang w:val="lt-LT" w:eastAsia="ja-JP"/>
        </w:rPr>
      </w:pPr>
      <w:r w:rsidRPr="00715891">
        <w:rPr>
          <w:i/>
          <w:sz w:val="22"/>
          <w:szCs w:val="22"/>
          <w:lang w:val="lt-LT" w:eastAsia="ja-JP"/>
        </w:rPr>
        <w:t>CMV sukelto retinito pradinis gydymas</w:t>
      </w:r>
    </w:p>
    <w:p w14:paraId="3A306588" w14:textId="77777777" w:rsidR="00107519" w:rsidRPr="00715891" w:rsidRDefault="00107519" w:rsidP="00107519">
      <w:pPr>
        <w:rPr>
          <w:sz w:val="22"/>
          <w:szCs w:val="22"/>
          <w:lang w:val="lt-LT" w:eastAsia="ja-JP"/>
        </w:rPr>
      </w:pPr>
      <w:r w:rsidRPr="00715891">
        <w:rPr>
          <w:sz w:val="22"/>
          <w:szCs w:val="22"/>
          <w:lang w:val="lt-LT" w:eastAsia="ja-JP"/>
        </w:rPr>
        <w:t>Aktyviu CMV retinitu sergantiems pacientams rekomenduojamoji dozė yra 900 mg valgancikloviro (dvi Valganciclovir Sandoz 450 mg tabletės) du kartus per parą 21 parą. Vaistinį preparatą geriau vartoti valgant. Užtęstas įvadinis gydymas didina toksinio poveikio kaulų čiulpams riziką (žr. 4.4 skyrių).</w:t>
      </w:r>
    </w:p>
    <w:p w14:paraId="6DB3E3A0" w14:textId="77777777" w:rsidR="00107519" w:rsidRPr="00715891" w:rsidRDefault="00107519" w:rsidP="00107519">
      <w:pPr>
        <w:rPr>
          <w:sz w:val="22"/>
          <w:szCs w:val="22"/>
          <w:lang w:val="lt-LT" w:eastAsia="ja-JP"/>
        </w:rPr>
      </w:pPr>
    </w:p>
    <w:p w14:paraId="29306D6F" w14:textId="77777777" w:rsidR="00107519" w:rsidRPr="00715891" w:rsidRDefault="00107519" w:rsidP="00107519">
      <w:pPr>
        <w:keepNext/>
        <w:rPr>
          <w:i/>
          <w:sz w:val="22"/>
          <w:szCs w:val="22"/>
          <w:lang w:val="lt-LT" w:eastAsia="ja-JP"/>
        </w:rPr>
      </w:pPr>
      <w:r w:rsidRPr="00715891">
        <w:rPr>
          <w:i/>
          <w:sz w:val="22"/>
          <w:szCs w:val="22"/>
          <w:lang w:val="lt-LT" w:eastAsia="ja-JP"/>
        </w:rPr>
        <w:t>Palaikomasis CMV sukelto retinito gydymas</w:t>
      </w:r>
    </w:p>
    <w:p w14:paraId="41E2FBFD" w14:textId="77777777" w:rsidR="00107519" w:rsidRPr="00715891" w:rsidRDefault="00107519" w:rsidP="00107519">
      <w:pPr>
        <w:keepNext/>
        <w:rPr>
          <w:sz w:val="22"/>
          <w:szCs w:val="22"/>
          <w:lang w:val="lt-LT" w:eastAsia="ja-JP"/>
        </w:rPr>
      </w:pPr>
      <w:r w:rsidRPr="00715891">
        <w:rPr>
          <w:sz w:val="22"/>
          <w:szCs w:val="22"/>
          <w:lang w:val="lt-LT" w:eastAsia="ja-JP"/>
        </w:rPr>
        <w:t>Po pradinio gydymo arba gydant neaktyvų CMV retinitą rekomenduojama dozė yra 900 mg valgancikloviro (dvi Valganciclovir Sandoz 450 mg tabletės) vieną kartą per parą. Vaistinį preparatą, jeigu įmanoma, reikia vartoti valgant. Pacientams, kurių retinitas blogėja, galima kartoti įvadinį gydymą, tačiau reikia turėti omenyje viruso atsparumo vaistiniam preparatui galimybę.</w:t>
      </w:r>
    </w:p>
    <w:p w14:paraId="17AB3197" w14:textId="67F1A46D" w:rsidR="00B32ADD" w:rsidRPr="00715891" w:rsidRDefault="00107519" w:rsidP="00107519">
      <w:pPr>
        <w:tabs>
          <w:tab w:val="left" w:pos="567"/>
        </w:tabs>
        <w:spacing w:line="260" w:lineRule="exact"/>
        <w:rPr>
          <w:sz w:val="22"/>
          <w:szCs w:val="22"/>
          <w:lang w:val="lt-LT" w:eastAsia="ja-JP"/>
        </w:rPr>
      </w:pPr>
      <w:r w:rsidRPr="00715891">
        <w:rPr>
          <w:sz w:val="22"/>
          <w:szCs w:val="22"/>
          <w:lang w:val="lt-LT" w:eastAsia="ja-JP"/>
        </w:rPr>
        <w:t>Palaikomojo gydymo trukmė kiekvienu atveju turi būti nustatoma individualiai.</w:t>
      </w:r>
    </w:p>
    <w:p w14:paraId="1D9A314B" w14:textId="77777777" w:rsidR="00107519" w:rsidRPr="00715891" w:rsidRDefault="00107519" w:rsidP="00107519">
      <w:pPr>
        <w:rPr>
          <w:sz w:val="22"/>
          <w:szCs w:val="22"/>
          <w:lang w:val="lt-LT" w:eastAsia="ja-JP"/>
        </w:rPr>
      </w:pPr>
    </w:p>
    <w:p w14:paraId="3F61D001" w14:textId="77777777" w:rsidR="00107519" w:rsidRPr="00715891" w:rsidRDefault="00107519" w:rsidP="00107519">
      <w:pPr>
        <w:tabs>
          <w:tab w:val="left" w:pos="567"/>
        </w:tabs>
        <w:spacing w:line="260" w:lineRule="exact"/>
        <w:rPr>
          <w:i/>
          <w:snapToGrid w:val="0"/>
          <w:sz w:val="22"/>
          <w:szCs w:val="22"/>
          <w:lang w:val="lt-LT" w:eastAsia="lt-LT"/>
        </w:rPr>
      </w:pPr>
      <w:r w:rsidRPr="00715891">
        <w:rPr>
          <w:i/>
          <w:snapToGrid w:val="0"/>
          <w:sz w:val="22"/>
          <w:szCs w:val="22"/>
          <w:lang w:val="lt-LT" w:eastAsia="lt-LT"/>
        </w:rPr>
        <w:t>Vaikų populiacija</w:t>
      </w:r>
    </w:p>
    <w:p w14:paraId="26759453" w14:textId="77777777" w:rsidR="00107519" w:rsidRPr="00715891" w:rsidRDefault="00107519" w:rsidP="00107519">
      <w:pPr>
        <w:rPr>
          <w:sz w:val="22"/>
          <w:szCs w:val="22"/>
          <w:lang w:val="lt-LT" w:eastAsia="ja-JP"/>
        </w:rPr>
      </w:pPr>
      <w:r w:rsidRPr="00715891">
        <w:rPr>
          <w:snapToGrid w:val="0"/>
          <w:sz w:val="22"/>
          <w:szCs w:val="22"/>
          <w:lang w:val="lt-LT" w:eastAsia="lt-LT"/>
        </w:rPr>
        <w:t>Valgancikloviro saugumas ir veiksmingumas gydant CMV sukeltą retinitą</w:t>
      </w:r>
      <w:r w:rsidRPr="00715891">
        <w:rPr>
          <w:sz w:val="22"/>
          <w:szCs w:val="22"/>
          <w:lang w:val="lt-LT" w:eastAsia="ja-JP"/>
        </w:rPr>
        <w:t xml:space="preserve"> pakankamais ir gerai kontroliuotais pediatrinių pacientų klinikiniais tyrimais </w:t>
      </w:r>
      <w:r w:rsidRPr="00715891">
        <w:rPr>
          <w:snapToGrid w:val="0"/>
          <w:sz w:val="22"/>
          <w:szCs w:val="22"/>
          <w:lang w:val="lt-LT" w:eastAsia="lt-LT"/>
        </w:rPr>
        <w:t>nenustatyti.</w:t>
      </w:r>
    </w:p>
    <w:p w14:paraId="07C80574" w14:textId="77777777" w:rsidR="00107519" w:rsidRPr="00715891" w:rsidRDefault="00107519" w:rsidP="00107519">
      <w:pPr>
        <w:rPr>
          <w:sz w:val="22"/>
          <w:szCs w:val="22"/>
          <w:lang w:val="lt-LT" w:eastAsia="ja-JP"/>
        </w:rPr>
      </w:pPr>
    </w:p>
    <w:p w14:paraId="1F85E9B1" w14:textId="77777777" w:rsidR="00107519" w:rsidRPr="00715891" w:rsidRDefault="00107519" w:rsidP="00107519">
      <w:pPr>
        <w:rPr>
          <w:b/>
          <w:sz w:val="22"/>
          <w:szCs w:val="22"/>
          <w:lang w:val="lt-LT" w:eastAsia="ja-JP"/>
        </w:rPr>
      </w:pPr>
      <w:r w:rsidRPr="00715891">
        <w:rPr>
          <w:rFonts w:eastAsia="Calibri"/>
          <w:b/>
          <w:sz w:val="22"/>
          <w:szCs w:val="22"/>
          <w:lang w:val="lt-LT" w:eastAsia="lt-LT"/>
        </w:rPr>
        <w:t xml:space="preserve">CMV ligos profilaktika </w:t>
      </w:r>
      <w:r w:rsidRPr="00715891">
        <w:rPr>
          <w:b/>
          <w:sz w:val="22"/>
          <w:szCs w:val="22"/>
          <w:lang w:val="lt-LT" w:eastAsia="ja-JP"/>
        </w:rPr>
        <w:t>persodinus solidinį organą</w:t>
      </w:r>
    </w:p>
    <w:p w14:paraId="6F62E7C4" w14:textId="77777777" w:rsidR="00107519" w:rsidRPr="00715891" w:rsidRDefault="00107519" w:rsidP="00107519">
      <w:pPr>
        <w:rPr>
          <w:i/>
          <w:sz w:val="22"/>
          <w:szCs w:val="22"/>
          <w:lang w:val="lt-LT" w:eastAsia="ja-JP"/>
        </w:rPr>
      </w:pPr>
      <w:r w:rsidRPr="00715891">
        <w:rPr>
          <w:i/>
          <w:sz w:val="22"/>
          <w:szCs w:val="22"/>
          <w:lang w:val="lt-LT" w:eastAsia="ja-JP"/>
        </w:rPr>
        <w:t>Suaugusiesiems</w:t>
      </w:r>
    </w:p>
    <w:p w14:paraId="40623A72" w14:textId="68288B52" w:rsidR="00107519" w:rsidRPr="00715891" w:rsidRDefault="00107519" w:rsidP="00107519">
      <w:pPr>
        <w:rPr>
          <w:sz w:val="22"/>
          <w:szCs w:val="22"/>
          <w:lang w:val="lt-LT" w:eastAsia="ja-JP"/>
        </w:rPr>
      </w:pPr>
      <w:r w:rsidRPr="00715891">
        <w:rPr>
          <w:sz w:val="22"/>
          <w:szCs w:val="22"/>
          <w:lang w:val="lt-LT" w:eastAsia="ja-JP"/>
        </w:rPr>
        <w:t>Pacientams, kuriems persodintas inkstas, rekomenduojamoji dozė yra 900 mg (dvi Valganciclovir Sandoz 450 mg tabletės) kartą per parą, pradedant pirmosiomis 10</w:t>
      </w:r>
      <w:r w:rsidR="007059D4" w:rsidRPr="00715891">
        <w:rPr>
          <w:sz w:val="22"/>
          <w:szCs w:val="22"/>
          <w:lang w:val="lt-LT" w:eastAsia="ja-JP"/>
        </w:rPr>
        <w:t> </w:t>
      </w:r>
      <w:r w:rsidRPr="00715891">
        <w:rPr>
          <w:sz w:val="22"/>
          <w:szCs w:val="22"/>
          <w:lang w:val="lt-LT" w:eastAsia="ja-JP"/>
        </w:rPr>
        <w:t>parų po transplantacijos ir tęsiant iki šimtosios paros po transplantacijos. Profilaktika gali būti tęsiama iki 200</w:t>
      </w:r>
      <w:r w:rsidR="007059D4" w:rsidRPr="00715891">
        <w:rPr>
          <w:sz w:val="22"/>
          <w:szCs w:val="22"/>
          <w:lang w:val="lt-LT" w:eastAsia="ja-JP"/>
        </w:rPr>
        <w:t> </w:t>
      </w:r>
      <w:r w:rsidRPr="00715891">
        <w:rPr>
          <w:sz w:val="22"/>
          <w:szCs w:val="22"/>
          <w:lang w:val="lt-LT" w:eastAsia="ja-JP"/>
        </w:rPr>
        <w:t>parų po transplantacijos (žr. 4.4, 4.8 ir 5.1 skyrius).</w:t>
      </w:r>
    </w:p>
    <w:p w14:paraId="13690527" w14:textId="77777777" w:rsidR="00107519" w:rsidRPr="00715891" w:rsidRDefault="00107519" w:rsidP="00107519">
      <w:pPr>
        <w:rPr>
          <w:sz w:val="22"/>
          <w:szCs w:val="22"/>
          <w:lang w:val="lt-LT" w:eastAsia="ja-JP"/>
        </w:rPr>
      </w:pPr>
    </w:p>
    <w:p w14:paraId="3EF76590" w14:textId="77777777" w:rsidR="00107519" w:rsidRPr="00715891" w:rsidRDefault="00107519" w:rsidP="00107519">
      <w:pPr>
        <w:rPr>
          <w:sz w:val="22"/>
          <w:szCs w:val="22"/>
          <w:lang w:val="lt-LT" w:eastAsia="ja-JP"/>
        </w:rPr>
      </w:pPr>
      <w:r w:rsidRPr="00715891">
        <w:rPr>
          <w:sz w:val="22"/>
          <w:szCs w:val="22"/>
          <w:lang w:val="lt-LT" w:eastAsia="ja-JP"/>
        </w:rPr>
        <w:t>Pacientams, kuriems persodintas kitoks nei inkstas solidinis organas, rekomenduojama dozė yra 900 mg (dvi Valganciclovir Sandoz 450 mg tabletės) kartą per parą, pradedant pirmosiomis 10 parų po transplantacijos ir baigiant šimtąja para po transplantacijos.</w:t>
      </w:r>
    </w:p>
    <w:p w14:paraId="34000839" w14:textId="77777777" w:rsidR="00107519" w:rsidRPr="00715891" w:rsidRDefault="00107519" w:rsidP="00107519">
      <w:pPr>
        <w:rPr>
          <w:sz w:val="22"/>
          <w:szCs w:val="22"/>
          <w:lang w:val="lt-LT" w:eastAsia="ja-JP"/>
        </w:rPr>
      </w:pPr>
    </w:p>
    <w:p w14:paraId="0048546B" w14:textId="77777777" w:rsidR="00107519" w:rsidRPr="00715891" w:rsidRDefault="00107519" w:rsidP="00107519">
      <w:pPr>
        <w:rPr>
          <w:sz w:val="22"/>
          <w:szCs w:val="22"/>
          <w:lang w:val="lt-LT" w:eastAsia="ja-JP"/>
        </w:rPr>
      </w:pPr>
      <w:r w:rsidRPr="00715891">
        <w:rPr>
          <w:sz w:val="22"/>
          <w:szCs w:val="22"/>
          <w:lang w:val="lt-LT" w:eastAsia="ja-JP"/>
        </w:rPr>
        <w:t>Jeigu tik įmanoma, tabletės turi būti geriamos valgant.</w:t>
      </w:r>
    </w:p>
    <w:p w14:paraId="71DB3AF3" w14:textId="77777777" w:rsidR="00107519" w:rsidRPr="00715891" w:rsidRDefault="00107519" w:rsidP="00107519">
      <w:pPr>
        <w:rPr>
          <w:sz w:val="22"/>
          <w:szCs w:val="22"/>
          <w:lang w:val="lt-LT" w:eastAsia="ja-JP"/>
        </w:rPr>
      </w:pPr>
    </w:p>
    <w:p w14:paraId="02717152" w14:textId="77777777" w:rsidR="00107519" w:rsidRPr="00715891" w:rsidRDefault="00107519" w:rsidP="00107519">
      <w:pPr>
        <w:rPr>
          <w:rFonts w:eastAsia="Calibri"/>
          <w:i/>
          <w:sz w:val="22"/>
          <w:szCs w:val="22"/>
          <w:lang w:val="lt-LT" w:eastAsia="lt-LT"/>
        </w:rPr>
      </w:pPr>
      <w:r w:rsidRPr="00715891">
        <w:rPr>
          <w:rFonts w:eastAsia="Calibri"/>
          <w:i/>
          <w:sz w:val="22"/>
          <w:szCs w:val="22"/>
          <w:lang w:val="lt-LT" w:eastAsia="lt-LT"/>
        </w:rPr>
        <w:t>Vaikų populiacija</w:t>
      </w:r>
    </w:p>
    <w:p w14:paraId="55150E03" w14:textId="28DA09FC" w:rsidR="00107519" w:rsidRPr="00715891" w:rsidRDefault="00107519" w:rsidP="00107519">
      <w:pPr>
        <w:rPr>
          <w:rFonts w:eastAsia="PMingLiU"/>
          <w:sz w:val="22"/>
          <w:szCs w:val="22"/>
          <w:lang w:val="lt-LT" w:eastAsia="zh-CN"/>
        </w:rPr>
      </w:pPr>
      <w:r w:rsidRPr="00715891">
        <w:rPr>
          <w:rFonts w:eastAsia="PMingLiU"/>
          <w:sz w:val="22"/>
          <w:szCs w:val="22"/>
          <w:lang w:val="lt-LT" w:eastAsia="zh-CN"/>
        </w:rPr>
        <w:t>Persodintą solidinį organą turintiems vaikams (nuo gimimo), kuriems yra rizika susirgti CMV sukelta liga, rekomenduojama vieną kartą per parą Valganciclovir Sandoz dozė yra nustatoma remiantis kūno paviršiaus plotu (KPP) ir kreatinino klirensu (KK), nustatytu pagal Schwartz‘o formulę (KrKlS). Ši dozė apskaičiuojama pagal žemiau pateiktą lygtį:</w:t>
      </w:r>
    </w:p>
    <w:p w14:paraId="23C75DEA" w14:textId="77777777" w:rsidR="00107519" w:rsidRPr="00715891" w:rsidRDefault="00107519" w:rsidP="00107519">
      <w:pPr>
        <w:rPr>
          <w:rFonts w:eastAsia="PMingLiU"/>
          <w:sz w:val="22"/>
          <w:szCs w:val="22"/>
          <w:lang w:val="lt-LT" w:eastAsia="zh-CN"/>
        </w:rPr>
      </w:pPr>
    </w:p>
    <w:p w14:paraId="326A95CD" w14:textId="0CFBA689" w:rsidR="00107519" w:rsidRPr="00715891" w:rsidRDefault="00107519" w:rsidP="00107519">
      <w:pPr>
        <w:rPr>
          <w:rFonts w:eastAsia="PMingLiU"/>
          <w:sz w:val="22"/>
          <w:szCs w:val="22"/>
          <w:lang w:val="lt-LT" w:eastAsia="zh-CN"/>
        </w:rPr>
      </w:pPr>
      <w:r w:rsidRPr="00715891">
        <w:rPr>
          <w:rFonts w:eastAsia="PMingLiU"/>
          <w:sz w:val="22"/>
          <w:szCs w:val="22"/>
          <w:lang w:val="lt-LT" w:eastAsia="zh-CN"/>
        </w:rPr>
        <w:t>Dozė vaikui (mg) = 7</w:t>
      </w:r>
      <w:r w:rsidR="007059D4" w:rsidRPr="00715891">
        <w:rPr>
          <w:rFonts w:eastAsia="PMingLiU"/>
          <w:sz w:val="22"/>
          <w:szCs w:val="22"/>
          <w:lang w:val="lt-LT" w:eastAsia="zh-CN"/>
        </w:rPr>
        <w:t> </w:t>
      </w:r>
      <w:r w:rsidRPr="00715891">
        <w:rPr>
          <w:rFonts w:eastAsia="PMingLiU"/>
          <w:sz w:val="22"/>
          <w:szCs w:val="22"/>
          <w:lang w:val="lt-LT" w:eastAsia="zh-CN"/>
        </w:rPr>
        <w:t>x</w:t>
      </w:r>
      <w:r w:rsidR="007059D4" w:rsidRPr="00715891">
        <w:rPr>
          <w:rFonts w:eastAsia="PMingLiU"/>
          <w:sz w:val="22"/>
          <w:szCs w:val="22"/>
          <w:lang w:val="lt-LT" w:eastAsia="zh-CN"/>
        </w:rPr>
        <w:t> </w:t>
      </w:r>
      <w:r w:rsidRPr="00715891">
        <w:rPr>
          <w:rFonts w:eastAsia="PMingLiU"/>
          <w:sz w:val="22"/>
          <w:szCs w:val="22"/>
          <w:lang w:val="lt-LT" w:eastAsia="zh-CN"/>
        </w:rPr>
        <w:t>KPP</w:t>
      </w:r>
      <w:r w:rsidR="007059D4" w:rsidRPr="00715891">
        <w:rPr>
          <w:rFonts w:eastAsia="PMingLiU"/>
          <w:sz w:val="22"/>
          <w:szCs w:val="22"/>
          <w:lang w:val="lt-LT" w:eastAsia="zh-CN"/>
        </w:rPr>
        <w:t> </w:t>
      </w:r>
      <w:r w:rsidRPr="00715891">
        <w:rPr>
          <w:rFonts w:eastAsia="PMingLiU"/>
          <w:sz w:val="22"/>
          <w:szCs w:val="22"/>
          <w:lang w:val="lt-LT" w:eastAsia="zh-CN"/>
        </w:rPr>
        <w:t>x</w:t>
      </w:r>
      <w:r w:rsidR="007059D4" w:rsidRPr="00715891">
        <w:rPr>
          <w:rFonts w:eastAsia="PMingLiU"/>
          <w:sz w:val="22"/>
          <w:szCs w:val="22"/>
          <w:lang w:val="lt-LT" w:eastAsia="zh-CN"/>
        </w:rPr>
        <w:t> </w:t>
      </w:r>
      <w:r w:rsidRPr="00715891">
        <w:rPr>
          <w:rFonts w:eastAsia="PMingLiU"/>
          <w:sz w:val="22"/>
          <w:szCs w:val="22"/>
          <w:lang w:val="lt-LT" w:eastAsia="zh-CN"/>
        </w:rPr>
        <w:t>KrKlS (žiūrėkite žemiau pateiktas Mosteller’io KPP formulę ir Schwartz’o Kreatinino Klirenso formulę).</w:t>
      </w:r>
    </w:p>
    <w:p w14:paraId="3E01B15D" w14:textId="77777777" w:rsidR="00107519" w:rsidRPr="00715891" w:rsidRDefault="00107519" w:rsidP="00107519">
      <w:pPr>
        <w:rPr>
          <w:rFonts w:eastAsia="PMingLiU"/>
          <w:sz w:val="22"/>
          <w:szCs w:val="22"/>
          <w:lang w:val="lt-LT" w:eastAsia="zh-CN"/>
        </w:rPr>
      </w:pPr>
    </w:p>
    <w:p w14:paraId="61FE1918" w14:textId="77777777" w:rsidR="00107519" w:rsidRPr="00715891" w:rsidRDefault="00107519" w:rsidP="00107519">
      <w:pPr>
        <w:rPr>
          <w:rFonts w:eastAsia="PMingLiU"/>
          <w:sz w:val="22"/>
          <w:szCs w:val="22"/>
          <w:lang w:val="lt-LT" w:eastAsia="zh-CN"/>
        </w:rPr>
      </w:pPr>
      <w:r w:rsidRPr="00715891">
        <w:rPr>
          <w:rFonts w:eastAsia="PMingLiU"/>
          <w:sz w:val="22"/>
          <w:szCs w:val="22"/>
          <w:lang w:val="lt-LT" w:eastAsia="zh-CN"/>
        </w:rPr>
        <w:t>Jeigu pagal Schwartz’o formulę apskaičiuotas kreatinino klirensas yra didesnis nei 150 ml/min/1,73 m</w:t>
      </w:r>
      <w:r w:rsidRPr="00715891">
        <w:rPr>
          <w:rFonts w:eastAsia="PMingLiU"/>
          <w:sz w:val="22"/>
          <w:szCs w:val="22"/>
          <w:vertAlign w:val="superscript"/>
          <w:lang w:val="lt-LT" w:eastAsia="zh-CN"/>
        </w:rPr>
        <w:t>2</w:t>
      </w:r>
      <w:r w:rsidRPr="00715891">
        <w:rPr>
          <w:rFonts w:eastAsia="PMingLiU"/>
          <w:sz w:val="22"/>
          <w:szCs w:val="22"/>
          <w:lang w:val="lt-LT" w:eastAsia="zh-CN"/>
        </w:rPr>
        <w:t>, tuomet lygtyje reikia naudoti maksimalią reikšmę 150 ml/min/1,73 m</w:t>
      </w:r>
      <w:r w:rsidRPr="00715891">
        <w:rPr>
          <w:rFonts w:eastAsia="PMingLiU"/>
          <w:sz w:val="22"/>
          <w:szCs w:val="22"/>
          <w:vertAlign w:val="superscript"/>
          <w:lang w:val="lt-LT" w:eastAsia="zh-CN"/>
        </w:rPr>
        <w:t>2</w:t>
      </w:r>
      <w:r w:rsidRPr="00715891">
        <w:rPr>
          <w:rFonts w:eastAsia="PMingLiU"/>
          <w:sz w:val="22"/>
          <w:szCs w:val="22"/>
          <w:lang w:val="lt-LT" w:eastAsia="zh-CN"/>
        </w:rPr>
        <w:t>.</w:t>
      </w:r>
    </w:p>
    <w:p w14:paraId="6C15A587" w14:textId="77777777" w:rsidR="00107519" w:rsidRPr="00715891" w:rsidRDefault="00107519" w:rsidP="00107519">
      <w:pPr>
        <w:rPr>
          <w:rFonts w:eastAsia="PMingLiU"/>
          <w:sz w:val="22"/>
          <w:szCs w:val="22"/>
          <w:lang w:val="lt-LT" w:eastAsia="zh-CN"/>
        </w:rPr>
      </w:pPr>
    </w:p>
    <w:p w14:paraId="157C16E5" w14:textId="77777777" w:rsidR="00107519" w:rsidRPr="00715891" w:rsidRDefault="00107519" w:rsidP="00107519">
      <w:pPr>
        <w:rPr>
          <w:rFonts w:eastAsia="PMingLiU"/>
          <w:sz w:val="22"/>
          <w:szCs w:val="22"/>
          <w:lang w:val="lt-LT" w:eastAsia="zh-CN"/>
        </w:rPr>
      </w:pPr>
      <w:r w:rsidRPr="00715891">
        <w:rPr>
          <w:rFonts w:eastAsia="PMingLiU"/>
          <w:sz w:val="22"/>
          <w:szCs w:val="22"/>
          <w:lang w:val="lt-LT" w:eastAsia="zh-CN"/>
        </w:rPr>
        <w:t>Mosteller’io lygtis</w:t>
      </w:r>
    </w:p>
    <w:p w14:paraId="54870391" w14:textId="38EF9895" w:rsidR="00107519" w:rsidRPr="00715891" w:rsidRDefault="00107519" w:rsidP="00107519">
      <w:pPr>
        <w:rPr>
          <w:rFonts w:eastAsia="PMingLiU"/>
          <w:sz w:val="22"/>
          <w:szCs w:val="22"/>
          <w:lang w:val="lt-LT" w:eastAsia="zh-CN"/>
        </w:rPr>
      </w:pPr>
      <w:r w:rsidRPr="00715891">
        <w:rPr>
          <w:rFonts w:eastAsia="PMingLiU"/>
          <w:sz w:val="22"/>
          <w:szCs w:val="22"/>
          <w:lang w:val="lt-LT" w:eastAsia="zh-CN"/>
        </w:rPr>
        <w:tab/>
      </w:r>
      <w:r w:rsidR="003C60C4" w:rsidRPr="00715891">
        <w:rPr>
          <w:rFonts w:eastAsia="PMingLiU"/>
          <w:noProof/>
          <w:sz w:val="22"/>
          <w:szCs w:val="22"/>
          <w:lang w:val="lt-LT" w:eastAsia="lt-LT"/>
        </w:rPr>
        <w:drawing>
          <wp:inline distT="0" distB="0" distL="0" distR="0" wp14:anchorId="3747A718" wp14:editId="3DE523C1">
            <wp:extent cx="2305050" cy="641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0" cy="641350"/>
                    </a:xfrm>
                    <a:prstGeom prst="rect">
                      <a:avLst/>
                    </a:prstGeom>
                    <a:noFill/>
                    <a:ln>
                      <a:noFill/>
                    </a:ln>
                  </pic:spPr>
                </pic:pic>
              </a:graphicData>
            </a:graphic>
          </wp:inline>
        </w:drawing>
      </w:r>
    </w:p>
    <w:p w14:paraId="5AA0AA3D" w14:textId="77777777" w:rsidR="00107519" w:rsidRPr="00715891" w:rsidRDefault="00107519" w:rsidP="00107519">
      <w:pPr>
        <w:rPr>
          <w:rFonts w:eastAsia="PMingLiU"/>
          <w:sz w:val="22"/>
          <w:szCs w:val="22"/>
          <w:lang w:val="lt-LT" w:eastAsia="zh-CN"/>
        </w:rPr>
      </w:pPr>
    </w:p>
    <w:p w14:paraId="60AFDAD2" w14:textId="77777777" w:rsidR="00107519" w:rsidRPr="00715891" w:rsidRDefault="00107519" w:rsidP="00107519">
      <w:pPr>
        <w:rPr>
          <w:rFonts w:eastAsia="PMingLiU"/>
          <w:sz w:val="22"/>
          <w:szCs w:val="22"/>
          <w:lang w:val="lt-LT" w:eastAsia="zh-CN"/>
        </w:rPr>
      </w:pPr>
      <w:r w:rsidRPr="00715891">
        <w:rPr>
          <w:rFonts w:eastAsia="PMingLiU"/>
          <w:sz w:val="22"/>
          <w:szCs w:val="22"/>
          <w:lang w:val="lt-LT" w:eastAsia="zh-CN"/>
        </w:rPr>
        <w:t>KrKl apskaičiuojamas naudojant Schwartz’o lygtį:</w:t>
      </w:r>
    </w:p>
    <w:p w14:paraId="556AA35F" w14:textId="77038E15" w:rsidR="00107519" w:rsidRPr="00715891" w:rsidRDefault="003C60C4" w:rsidP="00107519">
      <w:pPr>
        <w:jc w:val="center"/>
        <w:rPr>
          <w:sz w:val="22"/>
          <w:szCs w:val="22"/>
          <w:lang w:val="lt-LT" w:eastAsia="lt-LT"/>
        </w:rPr>
      </w:pPr>
      <w:r w:rsidRPr="00715891">
        <w:rPr>
          <w:noProof/>
          <w:sz w:val="22"/>
          <w:szCs w:val="22"/>
          <w:lang w:val="lt-LT" w:eastAsia="lt-LT"/>
        </w:rPr>
        <w:drawing>
          <wp:inline distT="0" distB="0" distL="0" distR="0" wp14:anchorId="52E2140B" wp14:editId="55429965">
            <wp:extent cx="4921250" cy="41910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21250" cy="419100"/>
                    </a:xfrm>
                    <a:prstGeom prst="rect">
                      <a:avLst/>
                    </a:prstGeom>
                    <a:noFill/>
                    <a:ln>
                      <a:noFill/>
                    </a:ln>
                  </pic:spPr>
                </pic:pic>
              </a:graphicData>
            </a:graphic>
          </wp:inline>
        </w:drawing>
      </w:r>
    </w:p>
    <w:p w14:paraId="770A61BA" w14:textId="77777777" w:rsidR="00107519" w:rsidRPr="00715891" w:rsidRDefault="00107519" w:rsidP="00107519">
      <w:pPr>
        <w:jc w:val="center"/>
        <w:rPr>
          <w:sz w:val="22"/>
          <w:szCs w:val="22"/>
          <w:lang w:val="lt-LT" w:eastAsia="ja-JP"/>
        </w:rPr>
      </w:pPr>
    </w:p>
    <w:p w14:paraId="64542430" w14:textId="09E0EE39" w:rsidR="00107519" w:rsidRPr="00715891" w:rsidRDefault="00107519" w:rsidP="00107519">
      <w:pPr>
        <w:rPr>
          <w:rFonts w:eastAsia="PMingLiU"/>
          <w:sz w:val="22"/>
          <w:szCs w:val="22"/>
          <w:lang w:val="lt-LT" w:eastAsia="zh-CN"/>
        </w:rPr>
      </w:pPr>
      <w:r w:rsidRPr="00715891">
        <w:rPr>
          <w:rFonts w:eastAsia="Calibri"/>
          <w:sz w:val="22"/>
          <w:szCs w:val="22"/>
          <w:lang w:val="lt-LT" w:eastAsia="lt-LT"/>
        </w:rPr>
        <w:t>kur k</w:t>
      </w:r>
      <w:r w:rsidR="007059D4" w:rsidRPr="00715891">
        <w:rPr>
          <w:rFonts w:eastAsia="Calibri"/>
          <w:sz w:val="22"/>
          <w:szCs w:val="22"/>
          <w:lang w:val="lt-LT" w:eastAsia="lt-LT"/>
        </w:rPr>
        <w:t> </w:t>
      </w:r>
      <w:r w:rsidRPr="00715891">
        <w:rPr>
          <w:rFonts w:eastAsia="Calibri"/>
          <w:sz w:val="22"/>
          <w:szCs w:val="22"/>
          <w:lang w:val="lt-LT" w:eastAsia="lt-LT"/>
        </w:rPr>
        <w:t>=</w:t>
      </w:r>
      <w:r w:rsidR="007059D4" w:rsidRPr="00715891">
        <w:rPr>
          <w:rFonts w:eastAsia="Calibri"/>
          <w:sz w:val="22"/>
          <w:szCs w:val="22"/>
          <w:lang w:val="lt-LT" w:eastAsia="lt-LT"/>
        </w:rPr>
        <w:t> </w:t>
      </w:r>
      <w:r w:rsidRPr="00715891">
        <w:rPr>
          <w:rFonts w:eastAsia="Calibri"/>
          <w:sz w:val="22"/>
          <w:szCs w:val="22"/>
          <w:lang w:val="lt-LT" w:eastAsia="lt-LT"/>
        </w:rPr>
        <w:t>0,45</w:t>
      </w:r>
      <w:r w:rsidRPr="00715891">
        <w:rPr>
          <w:rFonts w:eastAsia="PMingLiU"/>
          <w:sz w:val="22"/>
          <w:szCs w:val="22"/>
          <w:lang w:val="lt-LT" w:eastAsia="zh-CN"/>
        </w:rPr>
        <w:t>* jaunesniems nei 2 metų pacientams, 0,55 - nuo 2 iki &lt;</w:t>
      </w:r>
      <w:r w:rsidR="007059D4" w:rsidRPr="00715891">
        <w:rPr>
          <w:rFonts w:eastAsia="PMingLiU"/>
          <w:sz w:val="22"/>
          <w:szCs w:val="22"/>
          <w:lang w:val="lt-LT" w:eastAsia="zh-CN"/>
        </w:rPr>
        <w:t> </w:t>
      </w:r>
      <w:r w:rsidRPr="00715891">
        <w:rPr>
          <w:rFonts w:eastAsia="PMingLiU"/>
          <w:sz w:val="22"/>
          <w:szCs w:val="22"/>
          <w:lang w:val="lt-LT" w:eastAsia="zh-CN"/>
        </w:rPr>
        <w:t>13 metų berniukams ir nuo 2 iki 16 metų mergaitėms bei 0,7 - nuo 13 iki 16 metų berniukams. Vyresniems nei 16 metų pacientams reikia dozuoti kaip suaugusiesiems.</w:t>
      </w:r>
    </w:p>
    <w:p w14:paraId="0AFD3CF4" w14:textId="77777777" w:rsidR="00107519" w:rsidRPr="00715891" w:rsidRDefault="00107519" w:rsidP="00107519">
      <w:pPr>
        <w:rPr>
          <w:rFonts w:eastAsia="PMingLiU"/>
          <w:sz w:val="22"/>
          <w:szCs w:val="22"/>
          <w:lang w:val="lt-LT" w:eastAsia="zh-CN"/>
        </w:rPr>
      </w:pPr>
    </w:p>
    <w:p w14:paraId="30180541" w14:textId="77777777" w:rsidR="00107519" w:rsidRPr="00715891" w:rsidRDefault="00107519" w:rsidP="00107519">
      <w:pPr>
        <w:rPr>
          <w:rFonts w:eastAsia="PMingLiU"/>
          <w:sz w:val="22"/>
          <w:szCs w:val="22"/>
          <w:lang w:val="lt-LT" w:eastAsia="zh-CN"/>
        </w:rPr>
      </w:pPr>
      <w:r w:rsidRPr="00715891">
        <w:rPr>
          <w:rFonts w:eastAsia="PMingLiU"/>
          <w:sz w:val="22"/>
          <w:szCs w:val="22"/>
          <w:lang w:val="lt-LT" w:eastAsia="zh-CN"/>
        </w:rPr>
        <w:t>Pateiktos koeficiento k reikšmės yra pagrįstos kreatinino kiekio serume matavimais Jaffe metodu, o naudojant fermentinius metodus jas gali reikėti koreguoti.</w:t>
      </w:r>
    </w:p>
    <w:p w14:paraId="248E5353" w14:textId="77777777" w:rsidR="00107519" w:rsidRPr="00715891" w:rsidRDefault="00107519" w:rsidP="00107519">
      <w:pPr>
        <w:rPr>
          <w:rFonts w:eastAsia="PMingLiU"/>
          <w:sz w:val="22"/>
          <w:szCs w:val="22"/>
          <w:lang w:val="lt-LT" w:eastAsia="zh-CN"/>
        </w:rPr>
      </w:pPr>
    </w:p>
    <w:p w14:paraId="031F6049" w14:textId="4FBDC52A" w:rsidR="00107519" w:rsidRPr="00715891" w:rsidRDefault="00107519" w:rsidP="00107519">
      <w:pPr>
        <w:rPr>
          <w:rFonts w:eastAsia="PMingLiU"/>
          <w:sz w:val="22"/>
          <w:szCs w:val="22"/>
          <w:lang w:val="lt-LT" w:eastAsia="zh-CN"/>
        </w:rPr>
      </w:pPr>
      <w:r w:rsidRPr="00715891">
        <w:rPr>
          <w:rFonts w:eastAsia="PMingLiU"/>
          <w:sz w:val="22"/>
          <w:szCs w:val="22"/>
          <w:lang w:val="lt-LT" w:eastAsia="zh-CN"/>
        </w:rPr>
        <w:t xml:space="preserve">* </w:t>
      </w:r>
      <w:r w:rsidR="000476AA" w:rsidRPr="00715891">
        <w:rPr>
          <w:rFonts w:eastAsia="PMingLiU"/>
          <w:sz w:val="22"/>
          <w:szCs w:val="22"/>
          <w:lang w:val="lt-LT" w:eastAsia="zh-CN"/>
        </w:rPr>
        <w:t xml:space="preserve">Tam </w:t>
      </w:r>
      <w:r w:rsidRPr="00715891">
        <w:rPr>
          <w:rFonts w:eastAsia="PMingLiU"/>
          <w:sz w:val="22"/>
          <w:szCs w:val="22"/>
          <w:lang w:val="lt-LT" w:eastAsia="zh-CN"/>
        </w:rPr>
        <w:t>tikriems pogrupiams k reikšmę taip pat gali reikėti sumažinti (pvz., mažos kūno masės vaikams).</w:t>
      </w:r>
    </w:p>
    <w:p w14:paraId="65BD8EC8" w14:textId="77777777" w:rsidR="00107519" w:rsidRPr="00715891" w:rsidRDefault="00107519" w:rsidP="00107519">
      <w:pPr>
        <w:rPr>
          <w:rFonts w:eastAsia="PMingLiU"/>
          <w:sz w:val="22"/>
          <w:szCs w:val="22"/>
          <w:lang w:val="lt-LT" w:eastAsia="zh-CN"/>
        </w:rPr>
      </w:pPr>
    </w:p>
    <w:p w14:paraId="341B8CB0" w14:textId="330FEA2B" w:rsidR="00107519" w:rsidRPr="00715891" w:rsidRDefault="00107519" w:rsidP="00107519">
      <w:pPr>
        <w:rPr>
          <w:rFonts w:eastAsia="PMingLiU"/>
          <w:sz w:val="22"/>
          <w:szCs w:val="22"/>
          <w:lang w:val="lt-LT" w:eastAsia="zh-CN"/>
        </w:rPr>
      </w:pPr>
      <w:r w:rsidRPr="00715891">
        <w:rPr>
          <w:rFonts w:eastAsia="PMingLiU"/>
          <w:sz w:val="22"/>
          <w:szCs w:val="22"/>
          <w:lang w:val="lt-LT" w:eastAsia="zh-CN"/>
        </w:rPr>
        <w:t>Vaikams, kuriems persodintas inkstas, rekomenduojamą vieną kartą per parą dozę mg (7</w:t>
      </w:r>
      <w:r w:rsidR="007059D4" w:rsidRPr="00715891">
        <w:rPr>
          <w:rFonts w:eastAsia="PMingLiU"/>
          <w:sz w:val="22"/>
          <w:szCs w:val="22"/>
          <w:lang w:val="lt-LT" w:eastAsia="zh-CN"/>
        </w:rPr>
        <w:t> </w:t>
      </w:r>
      <w:r w:rsidRPr="00715891">
        <w:rPr>
          <w:rFonts w:eastAsia="PMingLiU"/>
          <w:sz w:val="22"/>
          <w:szCs w:val="22"/>
          <w:lang w:val="lt-LT" w:eastAsia="zh-CN"/>
        </w:rPr>
        <w:t>x</w:t>
      </w:r>
      <w:r w:rsidR="007059D4" w:rsidRPr="00715891">
        <w:rPr>
          <w:rFonts w:eastAsia="PMingLiU"/>
          <w:sz w:val="22"/>
          <w:szCs w:val="22"/>
          <w:lang w:val="lt-LT" w:eastAsia="zh-CN"/>
        </w:rPr>
        <w:t> </w:t>
      </w:r>
      <w:r w:rsidRPr="00715891">
        <w:rPr>
          <w:rFonts w:eastAsia="PMingLiU"/>
          <w:sz w:val="22"/>
          <w:szCs w:val="22"/>
          <w:lang w:val="lt-LT" w:eastAsia="zh-CN"/>
        </w:rPr>
        <w:t>KPP</w:t>
      </w:r>
      <w:r w:rsidR="007059D4" w:rsidRPr="00715891">
        <w:rPr>
          <w:rFonts w:eastAsia="PMingLiU"/>
          <w:sz w:val="22"/>
          <w:szCs w:val="22"/>
          <w:lang w:val="lt-LT" w:eastAsia="zh-CN"/>
        </w:rPr>
        <w:t> </w:t>
      </w:r>
      <w:r w:rsidRPr="00715891">
        <w:rPr>
          <w:rFonts w:eastAsia="PMingLiU"/>
          <w:sz w:val="22"/>
          <w:szCs w:val="22"/>
          <w:lang w:val="lt-LT" w:eastAsia="zh-CN"/>
        </w:rPr>
        <w:t>x</w:t>
      </w:r>
      <w:r w:rsidR="007059D4" w:rsidRPr="00715891">
        <w:rPr>
          <w:rFonts w:eastAsia="PMingLiU"/>
          <w:sz w:val="22"/>
          <w:szCs w:val="22"/>
          <w:lang w:val="lt-LT" w:eastAsia="zh-CN"/>
        </w:rPr>
        <w:t> </w:t>
      </w:r>
      <w:r w:rsidRPr="00715891">
        <w:rPr>
          <w:rFonts w:eastAsia="PMingLiU"/>
          <w:sz w:val="22"/>
          <w:szCs w:val="22"/>
          <w:lang w:val="lt-LT" w:eastAsia="zh-CN"/>
        </w:rPr>
        <w:t>KrKlS) reikia pradėti vartoti per 10</w:t>
      </w:r>
      <w:r w:rsidR="007059D4" w:rsidRPr="00715891">
        <w:rPr>
          <w:rFonts w:eastAsia="PMingLiU"/>
          <w:sz w:val="22"/>
          <w:szCs w:val="22"/>
          <w:lang w:val="lt-LT" w:eastAsia="zh-CN"/>
        </w:rPr>
        <w:t> </w:t>
      </w:r>
      <w:r w:rsidRPr="00715891">
        <w:rPr>
          <w:rFonts w:eastAsia="PMingLiU"/>
          <w:sz w:val="22"/>
          <w:szCs w:val="22"/>
          <w:lang w:val="lt-LT" w:eastAsia="zh-CN"/>
        </w:rPr>
        <w:t>parų po transplantacijos ir tęsti iki 200</w:t>
      </w:r>
      <w:r w:rsidRPr="00715891">
        <w:rPr>
          <w:rFonts w:eastAsia="PMingLiU"/>
          <w:sz w:val="22"/>
          <w:szCs w:val="22"/>
          <w:lang w:val="lt-LT" w:eastAsia="zh-CN"/>
        </w:rPr>
        <w:noBreakHyphen/>
        <w:t>osios paros po transplantacijos.</w:t>
      </w:r>
    </w:p>
    <w:p w14:paraId="1FF11A59" w14:textId="778DFF0D" w:rsidR="00107519" w:rsidRPr="00715891" w:rsidRDefault="00107519" w:rsidP="00107519">
      <w:pPr>
        <w:rPr>
          <w:rFonts w:eastAsia="PMingLiU"/>
          <w:sz w:val="22"/>
          <w:szCs w:val="22"/>
          <w:lang w:val="lt-LT" w:eastAsia="zh-CN"/>
        </w:rPr>
      </w:pPr>
      <w:r w:rsidRPr="00715891">
        <w:rPr>
          <w:rFonts w:eastAsia="PMingLiU"/>
          <w:sz w:val="22"/>
          <w:szCs w:val="22"/>
          <w:lang w:val="lt-LT" w:eastAsia="zh-CN"/>
        </w:rPr>
        <w:t>Vaikams ir paaugliams, kuriems yra persodintas kitoks negu inkstas solidinis organas, rekomenduojamą vieną kartą per parą dozę mg (7</w:t>
      </w:r>
      <w:r w:rsidR="007059D4" w:rsidRPr="00715891">
        <w:rPr>
          <w:rFonts w:eastAsia="PMingLiU"/>
          <w:sz w:val="22"/>
          <w:szCs w:val="22"/>
          <w:lang w:val="lt-LT" w:eastAsia="zh-CN"/>
        </w:rPr>
        <w:t> </w:t>
      </w:r>
      <w:r w:rsidRPr="00715891">
        <w:rPr>
          <w:rFonts w:eastAsia="PMingLiU"/>
          <w:sz w:val="22"/>
          <w:szCs w:val="22"/>
          <w:lang w:val="lt-LT" w:eastAsia="zh-CN"/>
        </w:rPr>
        <w:t>x KPP</w:t>
      </w:r>
      <w:r w:rsidR="007059D4" w:rsidRPr="00715891">
        <w:rPr>
          <w:rFonts w:eastAsia="PMingLiU"/>
          <w:sz w:val="22"/>
          <w:szCs w:val="22"/>
          <w:lang w:val="lt-LT" w:eastAsia="zh-CN"/>
        </w:rPr>
        <w:t> </w:t>
      </w:r>
      <w:r w:rsidRPr="00715891">
        <w:rPr>
          <w:rFonts w:eastAsia="PMingLiU"/>
          <w:sz w:val="22"/>
          <w:szCs w:val="22"/>
          <w:lang w:val="lt-LT" w:eastAsia="zh-CN"/>
        </w:rPr>
        <w:t>x</w:t>
      </w:r>
      <w:r w:rsidR="007059D4" w:rsidRPr="00715891">
        <w:rPr>
          <w:rFonts w:eastAsia="PMingLiU"/>
          <w:sz w:val="22"/>
          <w:szCs w:val="22"/>
          <w:lang w:val="lt-LT" w:eastAsia="zh-CN"/>
        </w:rPr>
        <w:t> </w:t>
      </w:r>
      <w:r w:rsidRPr="00715891">
        <w:rPr>
          <w:rFonts w:eastAsia="PMingLiU"/>
          <w:sz w:val="22"/>
          <w:szCs w:val="22"/>
          <w:lang w:val="lt-LT" w:eastAsia="zh-CN"/>
        </w:rPr>
        <w:t>KrKlS) reikia pradėti vartoti per 10</w:t>
      </w:r>
      <w:r w:rsidR="007059D4" w:rsidRPr="00715891">
        <w:rPr>
          <w:rFonts w:eastAsia="PMingLiU"/>
          <w:sz w:val="22"/>
          <w:szCs w:val="22"/>
          <w:lang w:val="lt-LT" w:eastAsia="zh-CN"/>
        </w:rPr>
        <w:t> </w:t>
      </w:r>
      <w:r w:rsidRPr="00715891">
        <w:rPr>
          <w:rFonts w:eastAsia="PMingLiU"/>
          <w:sz w:val="22"/>
          <w:szCs w:val="22"/>
          <w:lang w:val="lt-LT" w:eastAsia="zh-CN"/>
        </w:rPr>
        <w:t>parų po transplantacijos ir tęsti iki 100</w:t>
      </w:r>
      <w:r w:rsidRPr="00715891">
        <w:rPr>
          <w:rFonts w:eastAsia="PMingLiU"/>
          <w:sz w:val="22"/>
          <w:szCs w:val="22"/>
          <w:lang w:val="lt-LT" w:eastAsia="zh-CN"/>
        </w:rPr>
        <w:noBreakHyphen/>
        <w:t>osios paros po transplantacijos.</w:t>
      </w:r>
    </w:p>
    <w:p w14:paraId="7F8C9D13" w14:textId="77777777" w:rsidR="000476AA" w:rsidRPr="00715891" w:rsidRDefault="000476AA" w:rsidP="00107519">
      <w:pPr>
        <w:rPr>
          <w:rFonts w:eastAsia="PMingLiU"/>
          <w:sz w:val="22"/>
          <w:szCs w:val="22"/>
          <w:lang w:val="lt-LT" w:eastAsia="zh-CN"/>
        </w:rPr>
      </w:pPr>
    </w:p>
    <w:p w14:paraId="5072CC73" w14:textId="77777777" w:rsidR="00107519" w:rsidRPr="00715891" w:rsidRDefault="00107519" w:rsidP="00107519">
      <w:pPr>
        <w:rPr>
          <w:rFonts w:eastAsia="PMingLiU"/>
          <w:sz w:val="22"/>
          <w:szCs w:val="22"/>
          <w:lang w:val="lt-LT" w:eastAsia="zh-CN"/>
        </w:rPr>
      </w:pPr>
      <w:r w:rsidRPr="00715891">
        <w:rPr>
          <w:rFonts w:eastAsia="PMingLiU"/>
          <w:sz w:val="22"/>
          <w:szCs w:val="22"/>
          <w:lang w:val="lt-LT" w:eastAsia="zh-CN"/>
        </w:rPr>
        <w:t>Visas apskaičiuotas dozes reikia suapvalinti į viršų iki artimiausios 25 mg dalies, kad atitiktų faktiškai tiekiamą dozę. Jeigu apskaičiuotoji dozė viršija 900 mg, tuomet reikia skirti didžiausią paros dozę 900 mg. Tinkamesnė farmacinė forma yra geriamasis tirpalas, nes tai suteikia galimybę paskirti pagal aukščiau pateiktą formulę apskaičiuotą dozę. Vis dėlto valgancikloviro plėvele dengtų tablečių skirti galima, jeigu apskaičiuotos dozės nesiskiria daugiau kaip 10 % nuo turimų tablečių stiprumo ir pacientas geba tabletes nuryti. Pavyzdžiui, jeigu apskaičiuota dozė yra tarp 405 mg ir 495 mg, galima vartoti vieną 450 mg tabletę.</w:t>
      </w:r>
    </w:p>
    <w:p w14:paraId="5F1A3D01" w14:textId="77777777" w:rsidR="00107519" w:rsidRPr="00715891" w:rsidRDefault="00107519" w:rsidP="00107519">
      <w:pPr>
        <w:rPr>
          <w:rFonts w:eastAsia="PMingLiU"/>
          <w:sz w:val="22"/>
          <w:szCs w:val="22"/>
          <w:lang w:val="lt-LT" w:eastAsia="zh-CN"/>
        </w:rPr>
      </w:pPr>
      <w:r w:rsidRPr="00715891">
        <w:rPr>
          <w:rFonts w:eastAsia="PMingLiU"/>
          <w:sz w:val="22"/>
          <w:szCs w:val="22"/>
          <w:lang w:val="lt-LT" w:eastAsia="zh-CN"/>
        </w:rPr>
        <w:t>Profilaktikos taikymo laikotarpiu rekomenduojama reguliariai stebėti kreatinino kiekį serume, atkreipti dėmesį į ūgio ir kūno masės pokyčius bei atitinkamai pritaikyti dozę.</w:t>
      </w:r>
    </w:p>
    <w:p w14:paraId="0CA3386B" w14:textId="77777777" w:rsidR="00107519" w:rsidRPr="00715891" w:rsidRDefault="00107519" w:rsidP="00107519">
      <w:pPr>
        <w:rPr>
          <w:sz w:val="22"/>
          <w:szCs w:val="22"/>
          <w:lang w:val="lt-LT" w:eastAsia="ja-JP"/>
        </w:rPr>
      </w:pPr>
    </w:p>
    <w:p w14:paraId="6CB8074F" w14:textId="77777777" w:rsidR="00107519" w:rsidRPr="00715891" w:rsidRDefault="00107519" w:rsidP="00107519">
      <w:pPr>
        <w:rPr>
          <w:sz w:val="22"/>
          <w:szCs w:val="22"/>
          <w:u w:val="single"/>
          <w:lang w:val="lt-LT" w:eastAsia="ja-JP"/>
        </w:rPr>
      </w:pPr>
      <w:r w:rsidRPr="00715891">
        <w:rPr>
          <w:sz w:val="22"/>
          <w:szCs w:val="22"/>
          <w:u w:val="single"/>
          <w:lang w:val="lt-LT" w:eastAsia="ja-JP"/>
        </w:rPr>
        <w:t>Specialios dozavimo instrukcijos</w:t>
      </w:r>
    </w:p>
    <w:p w14:paraId="6AFD4281" w14:textId="77777777" w:rsidR="000476AA" w:rsidRPr="00715891" w:rsidRDefault="000476AA" w:rsidP="005B6B82">
      <w:pPr>
        <w:jc w:val="both"/>
        <w:rPr>
          <w:rFonts w:eastAsia="Calibri"/>
          <w:sz w:val="22"/>
          <w:u w:val="single"/>
          <w:lang w:val="lt-LT"/>
        </w:rPr>
      </w:pPr>
    </w:p>
    <w:p w14:paraId="10ED42C8" w14:textId="77777777" w:rsidR="000476AA" w:rsidRPr="00715891" w:rsidRDefault="000476AA" w:rsidP="000476AA">
      <w:pPr>
        <w:rPr>
          <w:i/>
          <w:sz w:val="22"/>
          <w:szCs w:val="22"/>
          <w:lang w:val="lt-LT" w:eastAsia="ja-JP"/>
        </w:rPr>
      </w:pPr>
      <w:r w:rsidRPr="00715891">
        <w:rPr>
          <w:i/>
          <w:sz w:val="22"/>
          <w:szCs w:val="22"/>
          <w:lang w:val="lt-LT" w:eastAsia="ja-JP"/>
        </w:rPr>
        <w:t>Vaikų populiacija</w:t>
      </w:r>
    </w:p>
    <w:p w14:paraId="7927A621" w14:textId="77777777" w:rsidR="000476AA" w:rsidRPr="00715891" w:rsidRDefault="000476AA" w:rsidP="000476AA">
      <w:pPr>
        <w:rPr>
          <w:b/>
          <w:sz w:val="22"/>
          <w:szCs w:val="22"/>
          <w:lang w:val="lt-LT" w:eastAsia="ja-JP"/>
        </w:rPr>
      </w:pPr>
      <w:r w:rsidRPr="00715891">
        <w:rPr>
          <w:sz w:val="22"/>
          <w:szCs w:val="22"/>
          <w:lang w:val="lt-LT" w:eastAsia="ja-JP"/>
        </w:rPr>
        <w:t>Dozavimas vaikams, kuriems yra persodintas solidinis organ</w:t>
      </w:r>
      <w:r w:rsidR="002954B3" w:rsidRPr="00715891">
        <w:rPr>
          <w:sz w:val="22"/>
          <w:szCs w:val="22"/>
          <w:lang w:val="lt-LT" w:eastAsia="ja-JP"/>
        </w:rPr>
        <w:t>a</w:t>
      </w:r>
      <w:r w:rsidR="00B32ADD" w:rsidRPr="00715891">
        <w:rPr>
          <w:sz w:val="22"/>
          <w:szCs w:val="22"/>
          <w:lang w:val="lt-LT" w:eastAsia="ja-JP"/>
        </w:rPr>
        <w:t>s</w:t>
      </w:r>
      <w:r w:rsidRPr="00715891">
        <w:rPr>
          <w:sz w:val="22"/>
          <w:szCs w:val="22"/>
          <w:lang w:val="lt-LT" w:eastAsia="ja-JP"/>
        </w:rPr>
        <w:t>, turi būti individualiai pagrįstas paciento inkstų funkcijos bei kūno paviršiaus ploto rodmenimis.</w:t>
      </w:r>
    </w:p>
    <w:p w14:paraId="011D3807" w14:textId="77777777" w:rsidR="000476AA" w:rsidRPr="00715891" w:rsidRDefault="000476AA" w:rsidP="000476AA">
      <w:pPr>
        <w:rPr>
          <w:sz w:val="22"/>
          <w:szCs w:val="22"/>
          <w:lang w:val="lt-LT" w:eastAsia="ja-JP"/>
        </w:rPr>
      </w:pPr>
    </w:p>
    <w:p w14:paraId="58FB17B8" w14:textId="77777777" w:rsidR="000476AA" w:rsidRPr="00715891" w:rsidRDefault="000476AA" w:rsidP="000476AA">
      <w:pPr>
        <w:rPr>
          <w:i/>
          <w:sz w:val="22"/>
          <w:szCs w:val="22"/>
          <w:lang w:val="lt-LT" w:eastAsia="ja-JP"/>
        </w:rPr>
      </w:pPr>
      <w:r w:rsidRPr="00715891">
        <w:rPr>
          <w:i/>
          <w:sz w:val="22"/>
          <w:szCs w:val="22"/>
          <w:lang w:val="lt-LT" w:eastAsia="ja-JP"/>
        </w:rPr>
        <w:t>Senyviems pacientams</w:t>
      </w:r>
    </w:p>
    <w:p w14:paraId="33C9CA02" w14:textId="77777777" w:rsidR="000476AA" w:rsidRPr="00715891" w:rsidRDefault="000476AA" w:rsidP="000476AA">
      <w:pPr>
        <w:rPr>
          <w:sz w:val="22"/>
          <w:szCs w:val="22"/>
          <w:lang w:val="lt-LT" w:eastAsia="ja-JP"/>
        </w:rPr>
      </w:pPr>
      <w:r w:rsidRPr="00715891">
        <w:rPr>
          <w:sz w:val="22"/>
          <w:szCs w:val="22"/>
          <w:lang w:val="lt-LT" w:eastAsia="ja-JP"/>
        </w:rPr>
        <w:t>Saugumas ir veiksmingumas šiai pacientų populiacijai neištirti. Su vyresniais kaip 65 metų suaugusiaisiais klinikinių tyrimų neatlikta. Kadangi inkstų klirensas mažėja su amžiumi, Valganciclovir Sandoz senyviems pacientams turi būti skir</w:t>
      </w:r>
      <w:r w:rsidR="00F67D86" w:rsidRPr="00715891">
        <w:rPr>
          <w:sz w:val="22"/>
          <w:szCs w:val="22"/>
          <w:lang w:val="lt-LT" w:eastAsia="ja-JP"/>
        </w:rPr>
        <w:t>iama</w:t>
      </w:r>
      <w:r w:rsidRPr="00715891">
        <w:rPr>
          <w:sz w:val="22"/>
          <w:szCs w:val="22"/>
          <w:lang w:val="lt-LT" w:eastAsia="ja-JP"/>
        </w:rPr>
        <w:t xml:space="preserve"> atkreipiant ypatingą dėmesį į jų inkstų būklę (žr. lentelę žemiau) (žr. 5.2 skyrių).</w:t>
      </w:r>
    </w:p>
    <w:p w14:paraId="5F577DB3" w14:textId="77777777" w:rsidR="000476AA" w:rsidRPr="00715891" w:rsidRDefault="000476AA" w:rsidP="00107519">
      <w:pPr>
        <w:rPr>
          <w:sz w:val="22"/>
          <w:szCs w:val="22"/>
          <w:lang w:val="lt-LT" w:eastAsia="ja-JP"/>
        </w:rPr>
      </w:pPr>
    </w:p>
    <w:p w14:paraId="3A7E271A" w14:textId="77777777" w:rsidR="00107519" w:rsidRPr="00715891" w:rsidRDefault="00107519" w:rsidP="00107519">
      <w:pPr>
        <w:rPr>
          <w:i/>
          <w:sz w:val="22"/>
          <w:szCs w:val="22"/>
          <w:lang w:val="lt-LT" w:eastAsia="ja-JP"/>
        </w:rPr>
      </w:pPr>
      <w:r w:rsidRPr="00715891">
        <w:rPr>
          <w:i/>
          <w:sz w:val="22"/>
          <w:szCs w:val="22"/>
          <w:lang w:val="lt-LT" w:eastAsia="ja-JP"/>
        </w:rPr>
        <w:t>Pacientams, kurių inkstų funkcija sutrikusi</w:t>
      </w:r>
    </w:p>
    <w:p w14:paraId="14AED994" w14:textId="77777777" w:rsidR="00107519" w:rsidRPr="00715891" w:rsidRDefault="00107519" w:rsidP="00107519">
      <w:pPr>
        <w:rPr>
          <w:sz w:val="22"/>
          <w:szCs w:val="22"/>
          <w:lang w:val="lt-LT" w:eastAsia="ja-JP"/>
        </w:rPr>
      </w:pPr>
      <w:r w:rsidRPr="00715891">
        <w:rPr>
          <w:sz w:val="22"/>
          <w:szCs w:val="22"/>
          <w:lang w:val="lt-LT" w:eastAsia="ja-JP"/>
        </w:rPr>
        <w:t xml:space="preserve">Reikia atidžiai stebėti kreatinino kiekį serume arba </w:t>
      </w:r>
      <w:r w:rsidR="00632B6A" w:rsidRPr="00715891">
        <w:rPr>
          <w:sz w:val="22"/>
          <w:szCs w:val="22"/>
          <w:lang w:val="lt-LT" w:eastAsia="ja-JP"/>
        </w:rPr>
        <w:t xml:space="preserve">apskaičiuotą </w:t>
      </w:r>
      <w:r w:rsidRPr="00715891">
        <w:rPr>
          <w:sz w:val="22"/>
          <w:szCs w:val="22"/>
          <w:lang w:val="lt-LT" w:eastAsia="ja-JP"/>
        </w:rPr>
        <w:t>kreatinino klirensą. Dozavimo priderinimas yra būtinas pagal kreatinino klirensą, kaip parodyta toliau lentelėje (žr. 4.4 ir 5.2 skyrius).</w:t>
      </w:r>
    </w:p>
    <w:p w14:paraId="12DDC109" w14:textId="77777777" w:rsidR="00107519" w:rsidRPr="00715891" w:rsidRDefault="00107519" w:rsidP="00107519">
      <w:pPr>
        <w:rPr>
          <w:sz w:val="22"/>
          <w:szCs w:val="22"/>
          <w:lang w:val="lt-LT" w:eastAsia="ja-JP"/>
        </w:rPr>
      </w:pPr>
    </w:p>
    <w:p w14:paraId="60432792" w14:textId="77777777" w:rsidR="00107519" w:rsidRPr="00715891" w:rsidRDefault="00107519" w:rsidP="00107519">
      <w:pPr>
        <w:rPr>
          <w:sz w:val="22"/>
          <w:szCs w:val="22"/>
          <w:lang w:val="lt-LT" w:eastAsia="ja-JP"/>
        </w:rPr>
      </w:pPr>
      <w:r w:rsidRPr="00715891">
        <w:rPr>
          <w:sz w:val="22"/>
          <w:szCs w:val="22"/>
          <w:lang w:val="lt-LT" w:eastAsia="ja-JP"/>
        </w:rPr>
        <w:t>Žinant kreatinino kiekį serume galima apskaičiuoti kreatinino klirensą (ml/min) pagal formulę:</w:t>
      </w:r>
    </w:p>
    <w:p w14:paraId="0B51F9D0" w14:textId="77777777" w:rsidR="00107519" w:rsidRPr="00715891" w:rsidRDefault="00107519" w:rsidP="00107519">
      <w:pPr>
        <w:rPr>
          <w:sz w:val="22"/>
          <w:szCs w:val="22"/>
          <w:lang w:val="lt-LT" w:eastAsia="ja-JP"/>
        </w:rPr>
      </w:pPr>
    </w:p>
    <w:tbl>
      <w:tblPr>
        <w:tblW w:w="0" w:type="auto"/>
        <w:tblCellMar>
          <w:left w:w="0" w:type="dxa"/>
        </w:tblCellMar>
        <w:tblLook w:val="0000" w:firstRow="0" w:lastRow="0" w:firstColumn="0" w:lastColumn="0" w:noHBand="0" w:noVBand="0"/>
      </w:tblPr>
      <w:tblGrid>
        <w:gridCol w:w="792"/>
        <w:gridCol w:w="4500"/>
      </w:tblGrid>
      <w:tr w:rsidR="00107519" w:rsidRPr="00715891" w14:paraId="7C1CD6ED" w14:textId="77777777" w:rsidTr="00107519">
        <w:trPr>
          <w:trHeight w:val="428"/>
        </w:trPr>
        <w:tc>
          <w:tcPr>
            <w:tcW w:w="792" w:type="dxa"/>
            <w:vMerge w:val="restart"/>
            <w:vAlign w:val="center"/>
          </w:tcPr>
          <w:p w14:paraId="62E95802" w14:textId="77777777" w:rsidR="00107519" w:rsidRPr="00715891" w:rsidRDefault="00107519" w:rsidP="00107519">
            <w:pPr>
              <w:rPr>
                <w:sz w:val="22"/>
                <w:szCs w:val="22"/>
                <w:lang w:val="lt-LT" w:eastAsia="ja-JP"/>
              </w:rPr>
            </w:pPr>
            <w:r w:rsidRPr="00715891">
              <w:rPr>
                <w:sz w:val="22"/>
                <w:szCs w:val="22"/>
                <w:lang w:val="lt-LT" w:eastAsia="ja-JP"/>
              </w:rPr>
              <w:t>Vyrų =</w:t>
            </w:r>
          </w:p>
        </w:tc>
        <w:tc>
          <w:tcPr>
            <w:tcW w:w="4500" w:type="dxa"/>
            <w:tcBorders>
              <w:top w:val="nil"/>
              <w:left w:val="nil"/>
              <w:bottom w:val="single" w:sz="4" w:space="0" w:color="auto"/>
              <w:right w:val="nil"/>
            </w:tcBorders>
            <w:vAlign w:val="bottom"/>
          </w:tcPr>
          <w:p w14:paraId="2CE22E74" w14:textId="77777777" w:rsidR="00107519" w:rsidRPr="00715891" w:rsidRDefault="00107C39" w:rsidP="00107519">
            <w:pPr>
              <w:jc w:val="center"/>
              <w:rPr>
                <w:sz w:val="22"/>
                <w:szCs w:val="22"/>
                <w:lang w:val="lt-LT" w:eastAsia="ja-JP"/>
              </w:rPr>
            </w:pPr>
            <w:r w:rsidRPr="00715891">
              <w:rPr>
                <w:sz w:val="22"/>
                <w:szCs w:val="22"/>
                <w:lang w:val="lt-LT" w:eastAsia="ja-JP"/>
              </w:rPr>
              <w:t>(</w:t>
            </w:r>
            <w:r w:rsidR="00107519" w:rsidRPr="00715891">
              <w:rPr>
                <w:sz w:val="22"/>
                <w:szCs w:val="22"/>
                <w:lang w:val="lt-LT" w:eastAsia="ja-JP"/>
              </w:rPr>
              <w:t xml:space="preserve">140 – amžius [metais]) </w:t>
            </w:r>
            <w:r w:rsidR="00107519" w:rsidRPr="00715891">
              <w:rPr>
                <w:sz w:val="22"/>
                <w:szCs w:val="22"/>
                <w:lang w:val="lt-LT" w:eastAsia="ja-JP"/>
              </w:rPr>
              <w:sym w:font="Symbol" w:char="F0B4"/>
            </w:r>
            <w:r w:rsidR="00107519" w:rsidRPr="00715891">
              <w:rPr>
                <w:sz w:val="22"/>
                <w:szCs w:val="22"/>
                <w:lang w:val="lt-LT" w:eastAsia="ja-JP"/>
              </w:rPr>
              <w:t xml:space="preserve"> (kūno svoris [kg])</w:t>
            </w:r>
          </w:p>
        </w:tc>
      </w:tr>
      <w:tr w:rsidR="00107519" w:rsidRPr="00715891" w14:paraId="6F10D43F" w14:textId="77777777" w:rsidTr="00107519">
        <w:trPr>
          <w:trHeight w:val="429"/>
        </w:trPr>
        <w:tc>
          <w:tcPr>
            <w:tcW w:w="0" w:type="auto"/>
            <w:vMerge/>
            <w:vAlign w:val="center"/>
          </w:tcPr>
          <w:p w14:paraId="796E4A8A" w14:textId="77777777" w:rsidR="00107519" w:rsidRPr="00715891" w:rsidRDefault="00107519" w:rsidP="00107519">
            <w:pPr>
              <w:rPr>
                <w:sz w:val="22"/>
                <w:szCs w:val="22"/>
                <w:lang w:val="lt-LT" w:eastAsia="ja-JP"/>
              </w:rPr>
            </w:pPr>
          </w:p>
        </w:tc>
        <w:tc>
          <w:tcPr>
            <w:tcW w:w="4500" w:type="dxa"/>
            <w:tcBorders>
              <w:top w:val="single" w:sz="4" w:space="0" w:color="auto"/>
              <w:left w:val="nil"/>
              <w:bottom w:val="nil"/>
              <w:right w:val="nil"/>
            </w:tcBorders>
          </w:tcPr>
          <w:p w14:paraId="172E877F" w14:textId="77777777" w:rsidR="00107519" w:rsidRPr="00715891" w:rsidRDefault="00107519" w:rsidP="00107519">
            <w:pPr>
              <w:jc w:val="center"/>
              <w:rPr>
                <w:sz w:val="22"/>
                <w:szCs w:val="22"/>
                <w:lang w:val="lt-LT" w:eastAsia="ja-JP"/>
              </w:rPr>
            </w:pPr>
            <w:r w:rsidRPr="00715891">
              <w:rPr>
                <w:sz w:val="22"/>
                <w:szCs w:val="22"/>
                <w:lang w:val="lt-LT" w:eastAsia="ja-JP"/>
              </w:rPr>
              <w:t xml:space="preserve">(72) </w:t>
            </w:r>
            <w:r w:rsidRPr="00715891">
              <w:rPr>
                <w:sz w:val="22"/>
                <w:szCs w:val="22"/>
                <w:lang w:val="lt-LT" w:eastAsia="ja-JP"/>
              </w:rPr>
              <w:sym w:font="Symbol" w:char="F0B4"/>
            </w:r>
            <w:r w:rsidRPr="00715891">
              <w:rPr>
                <w:sz w:val="22"/>
                <w:szCs w:val="22"/>
                <w:lang w:val="lt-LT" w:eastAsia="ja-JP"/>
              </w:rPr>
              <w:t xml:space="preserve"> (0,011 </w:t>
            </w:r>
            <w:r w:rsidRPr="00715891">
              <w:rPr>
                <w:sz w:val="22"/>
                <w:szCs w:val="22"/>
                <w:lang w:val="lt-LT" w:eastAsia="ja-JP"/>
              </w:rPr>
              <w:sym w:font="Symbol" w:char="F0B4"/>
            </w:r>
            <w:r w:rsidRPr="00715891">
              <w:rPr>
                <w:sz w:val="22"/>
                <w:szCs w:val="22"/>
                <w:lang w:val="lt-LT" w:eastAsia="ja-JP"/>
              </w:rPr>
              <w:t xml:space="preserve"> serumo kreatininas [mikromol/l])</w:t>
            </w:r>
          </w:p>
        </w:tc>
      </w:tr>
    </w:tbl>
    <w:p w14:paraId="73AB6F2B" w14:textId="77777777" w:rsidR="00107519" w:rsidRPr="00715891" w:rsidRDefault="00107519" w:rsidP="00107519">
      <w:pPr>
        <w:rPr>
          <w:sz w:val="22"/>
          <w:szCs w:val="22"/>
          <w:lang w:val="lt-LT" w:eastAsia="ja-JP"/>
        </w:rPr>
      </w:pPr>
    </w:p>
    <w:p w14:paraId="12D4AF3F" w14:textId="77777777" w:rsidR="00107519" w:rsidRPr="00715891" w:rsidRDefault="00107519" w:rsidP="00107519">
      <w:pPr>
        <w:rPr>
          <w:sz w:val="22"/>
          <w:szCs w:val="22"/>
          <w:lang w:val="lt-LT" w:eastAsia="ja-JP"/>
        </w:rPr>
      </w:pPr>
      <w:r w:rsidRPr="00715891">
        <w:rPr>
          <w:sz w:val="22"/>
          <w:szCs w:val="22"/>
          <w:lang w:val="lt-LT" w:eastAsia="ja-JP"/>
        </w:rPr>
        <w:t xml:space="preserve">Moterų = 0,85 </w:t>
      </w:r>
      <w:r w:rsidRPr="00715891">
        <w:rPr>
          <w:sz w:val="22"/>
          <w:szCs w:val="22"/>
          <w:lang w:val="lt-LT" w:eastAsia="ja-JP"/>
        </w:rPr>
        <w:sym w:font="Symbol" w:char="F0B4"/>
      </w:r>
      <w:r w:rsidRPr="00715891">
        <w:rPr>
          <w:sz w:val="22"/>
          <w:szCs w:val="22"/>
          <w:lang w:val="lt-LT" w:eastAsia="ja-JP"/>
        </w:rPr>
        <w:t xml:space="preserve"> vyrų klirenso reikšmė</w:t>
      </w:r>
    </w:p>
    <w:p w14:paraId="0453C9A6" w14:textId="77777777" w:rsidR="00107519" w:rsidRPr="00715891" w:rsidRDefault="00107519" w:rsidP="00107519">
      <w:pPr>
        <w:rPr>
          <w:sz w:val="22"/>
          <w:szCs w:val="22"/>
          <w:lang w:val="lt-LT" w:eastAsia="ja-JP"/>
        </w:rPr>
      </w:pPr>
    </w:p>
    <w:tbl>
      <w:tblPr>
        <w:tblW w:w="0" w:type="auto"/>
        <w:tblLayout w:type="fixed"/>
        <w:tblLook w:val="0000" w:firstRow="0" w:lastRow="0" w:firstColumn="0" w:lastColumn="0" w:noHBand="0" w:noVBand="0"/>
      </w:tblPr>
      <w:tblGrid>
        <w:gridCol w:w="1809"/>
        <w:gridCol w:w="3686"/>
        <w:gridCol w:w="3790"/>
      </w:tblGrid>
      <w:tr w:rsidR="00107519" w:rsidRPr="004C2447" w14:paraId="7AE0B2A8" w14:textId="77777777" w:rsidTr="00EF476A">
        <w:tc>
          <w:tcPr>
            <w:tcW w:w="1809" w:type="dxa"/>
            <w:tcBorders>
              <w:top w:val="single" w:sz="4" w:space="0" w:color="auto"/>
              <w:bottom w:val="single" w:sz="4" w:space="0" w:color="auto"/>
            </w:tcBorders>
          </w:tcPr>
          <w:p w14:paraId="1D6B9CE7" w14:textId="77777777" w:rsidR="00107519" w:rsidRPr="00715891" w:rsidRDefault="00107519" w:rsidP="00107519">
            <w:pPr>
              <w:spacing w:before="80" w:after="80"/>
              <w:jc w:val="both"/>
              <w:rPr>
                <w:sz w:val="22"/>
                <w:szCs w:val="22"/>
                <w:lang w:val="lt-LT" w:eastAsia="ja-JP"/>
              </w:rPr>
            </w:pPr>
            <w:r w:rsidRPr="00715891">
              <w:rPr>
                <w:sz w:val="22"/>
                <w:szCs w:val="22"/>
                <w:lang w:val="lt-LT" w:eastAsia="ja-JP"/>
              </w:rPr>
              <w:t>KrKl (ml/min.)</w:t>
            </w:r>
          </w:p>
        </w:tc>
        <w:tc>
          <w:tcPr>
            <w:tcW w:w="3686" w:type="dxa"/>
            <w:tcBorders>
              <w:top w:val="single" w:sz="4" w:space="0" w:color="auto"/>
              <w:left w:val="single" w:sz="4" w:space="0" w:color="auto"/>
              <w:bottom w:val="single" w:sz="4" w:space="0" w:color="auto"/>
              <w:right w:val="single" w:sz="4" w:space="0" w:color="auto"/>
            </w:tcBorders>
          </w:tcPr>
          <w:p w14:paraId="446F1B37" w14:textId="77777777" w:rsidR="00107519" w:rsidRPr="00715891" w:rsidRDefault="00107519" w:rsidP="00107519">
            <w:pPr>
              <w:spacing w:before="80" w:after="80"/>
              <w:jc w:val="both"/>
              <w:rPr>
                <w:sz w:val="22"/>
                <w:szCs w:val="22"/>
                <w:lang w:val="lt-LT" w:eastAsia="ja-JP"/>
              </w:rPr>
            </w:pPr>
            <w:r w:rsidRPr="00715891">
              <w:rPr>
                <w:sz w:val="22"/>
                <w:szCs w:val="22"/>
                <w:lang w:val="lt-LT" w:eastAsia="ja-JP"/>
              </w:rPr>
              <w:t>Pradinė valgancikloviro dozė</w:t>
            </w:r>
          </w:p>
        </w:tc>
        <w:tc>
          <w:tcPr>
            <w:tcW w:w="3790" w:type="dxa"/>
            <w:tcBorders>
              <w:top w:val="single" w:sz="4" w:space="0" w:color="auto"/>
              <w:left w:val="nil"/>
              <w:bottom w:val="single" w:sz="4" w:space="0" w:color="auto"/>
            </w:tcBorders>
          </w:tcPr>
          <w:p w14:paraId="7573E9E3" w14:textId="77777777" w:rsidR="00107519" w:rsidRPr="00715891" w:rsidRDefault="00107519" w:rsidP="00107519">
            <w:pPr>
              <w:spacing w:before="80" w:after="80"/>
              <w:rPr>
                <w:sz w:val="22"/>
                <w:szCs w:val="22"/>
                <w:lang w:val="lt-LT" w:eastAsia="ja-JP"/>
              </w:rPr>
            </w:pPr>
            <w:r w:rsidRPr="00715891">
              <w:rPr>
                <w:sz w:val="22"/>
                <w:szCs w:val="22"/>
                <w:lang w:val="lt-LT" w:eastAsia="ja-JP"/>
              </w:rPr>
              <w:t>Palaikomoji arba profilaktinė valgancikloviro dozė</w:t>
            </w:r>
          </w:p>
        </w:tc>
      </w:tr>
      <w:tr w:rsidR="00107519" w:rsidRPr="00715891" w14:paraId="75DA4EAC" w14:textId="77777777" w:rsidTr="00EF476A">
        <w:tc>
          <w:tcPr>
            <w:tcW w:w="1809" w:type="dxa"/>
            <w:tcBorders>
              <w:top w:val="single" w:sz="4" w:space="0" w:color="auto"/>
            </w:tcBorders>
          </w:tcPr>
          <w:p w14:paraId="1932C75A" w14:textId="1D7E7AF4" w:rsidR="00107519" w:rsidRPr="00715891" w:rsidRDefault="00107519" w:rsidP="00107519">
            <w:pPr>
              <w:spacing w:before="80" w:after="80"/>
              <w:jc w:val="both"/>
              <w:rPr>
                <w:sz w:val="22"/>
                <w:szCs w:val="22"/>
                <w:lang w:val="lt-LT" w:eastAsia="ja-JP"/>
              </w:rPr>
            </w:pPr>
            <w:r w:rsidRPr="00715891">
              <w:rPr>
                <w:sz w:val="22"/>
                <w:szCs w:val="22"/>
                <w:lang w:val="lt-LT" w:eastAsia="ja-JP"/>
              </w:rPr>
              <w:sym w:font="Symbol" w:char="F0B3"/>
            </w:r>
            <w:r w:rsidR="007059D4" w:rsidRPr="00715891">
              <w:rPr>
                <w:sz w:val="22"/>
                <w:szCs w:val="22"/>
                <w:lang w:val="lt-LT" w:eastAsia="ja-JP"/>
              </w:rPr>
              <w:t> </w:t>
            </w:r>
            <w:r w:rsidRPr="00715891">
              <w:rPr>
                <w:sz w:val="22"/>
                <w:szCs w:val="22"/>
                <w:lang w:val="lt-LT" w:eastAsia="ja-JP"/>
              </w:rPr>
              <w:t>60</w:t>
            </w:r>
          </w:p>
        </w:tc>
        <w:tc>
          <w:tcPr>
            <w:tcW w:w="3686" w:type="dxa"/>
            <w:tcBorders>
              <w:top w:val="single" w:sz="4" w:space="0" w:color="auto"/>
              <w:left w:val="single" w:sz="4" w:space="0" w:color="auto"/>
              <w:right w:val="single" w:sz="4" w:space="0" w:color="auto"/>
            </w:tcBorders>
          </w:tcPr>
          <w:p w14:paraId="4C1685F6" w14:textId="5CB93430" w:rsidR="00107519" w:rsidRPr="00715891" w:rsidRDefault="00107519" w:rsidP="00107519">
            <w:pPr>
              <w:spacing w:before="80" w:after="80"/>
              <w:jc w:val="both"/>
              <w:rPr>
                <w:sz w:val="22"/>
                <w:szCs w:val="22"/>
                <w:lang w:val="lt-LT" w:eastAsia="ja-JP"/>
              </w:rPr>
            </w:pPr>
            <w:r w:rsidRPr="00715891">
              <w:rPr>
                <w:sz w:val="22"/>
                <w:szCs w:val="22"/>
                <w:lang w:val="lt-LT" w:eastAsia="ja-JP"/>
              </w:rPr>
              <w:t>900</w:t>
            </w:r>
            <w:r w:rsidR="007059D4" w:rsidRPr="00715891">
              <w:rPr>
                <w:sz w:val="22"/>
                <w:szCs w:val="22"/>
                <w:lang w:val="lt-LT" w:eastAsia="ja-JP"/>
              </w:rPr>
              <w:t> </w:t>
            </w:r>
            <w:r w:rsidRPr="00715891">
              <w:rPr>
                <w:sz w:val="22"/>
                <w:szCs w:val="22"/>
                <w:lang w:val="lt-LT" w:eastAsia="ja-JP"/>
              </w:rPr>
              <w:t>mg (2</w:t>
            </w:r>
            <w:r w:rsidR="007059D4" w:rsidRPr="00715891">
              <w:rPr>
                <w:sz w:val="22"/>
                <w:szCs w:val="22"/>
                <w:lang w:val="lt-LT" w:eastAsia="ja-JP"/>
              </w:rPr>
              <w:t> </w:t>
            </w:r>
            <w:r w:rsidRPr="00715891">
              <w:rPr>
                <w:sz w:val="22"/>
                <w:szCs w:val="22"/>
                <w:lang w:val="lt-LT" w:eastAsia="ja-JP"/>
              </w:rPr>
              <w:t>tabletės) dukart per parą</w:t>
            </w:r>
          </w:p>
        </w:tc>
        <w:tc>
          <w:tcPr>
            <w:tcW w:w="3790" w:type="dxa"/>
            <w:tcBorders>
              <w:top w:val="single" w:sz="4" w:space="0" w:color="auto"/>
              <w:left w:val="nil"/>
            </w:tcBorders>
          </w:tcPr>
          <w:p w14:paraId="171E0609" w14:textId="403C838D" w:rsidR="00107519" w:rsidRPr="00715891" w:rsidRDefault="00107519" w:rsidP="00107519">
            <w:pPr>
              <w:spacing w:before="80" w:after="80"/>
              <w:jc w:val="both"/>
              <w:rPr>
                <w:sz w:val="22"/>
                <w:szCs w:val="22"/>
                <w:lang w:val="lt-LT" w:eastAsia="ja-JP"/>
              </w:rPr>
            </w:pPr>
            <w:r w:rsidRPr="00715891">
              <w:rPr>
                <w:sz w:val="22"/>
                <w:szCs w:val="22"/>
                <w:lang w:val="lt-LT" w:eastAsia="ja-JP"/>
              </w:rPr>
              <w:t>900</w:t>
            </w:r>
            <w:r w:rsidR="007059D4" w:rsidRPr="00715891">
              <w:rPr>
                <w:sz w:val="22"/>
                <w:szCs w:val="22"/>
                <w:lang w:val="lt-LT" w:eastAsia="ja-JP"/>
              </w:rPr>
              <w:t> </w:t>
            </w:r>
            <w:r w:rsidRPr="00715891">
              <w:rPr>
                <w:sz w:val="22"/>
                <w:szCs w:val="22"/>
                <w:lang w:val="lt-LT" w:eastAsia="ja-JP"/>
              </w:rPr>
              <w:t>mg (2</w:t>
            </w:r>
            <w:r w:rsidR="007059D4" w:rsidRPr="00715891">
              <w:rPr>
                <w:sz w:val="22"/>
                <w:szCs w:val="22"/>
                <w:lang w:val="lt-LT" w:eastAsia="ja-JP"/>
              </w:rPr>
              <w:t> </w:t>
            </w:r>
            <w:r w:rsidRPr="00715891">
              <w:rPr>
                <w:sz w:val="22"/>
                <w:szCs w:val="22"/>
                <w:lang w:val="lt-LT" w:eastAsia="ja-JP"/>
              </w:rPr>
              <w:t>tabletės) kartą per parą</w:t>
            </w:r>
          </w:p>
        </w:tc>
      </w:tr>
      <w:tr w:rsidR="00107519" w:rsidRPr="00715891" w14:paraId="27A0E5C9" w14:textId="77777777" w:rsidTr="00EF476A">
        <w:tc>
          <w:tcPr>
            <w:tcW w:w="1809" w:type="dxa"/>
          </w:tcPr>
          <w:p w14:paraId="530920A8" w14:textId="77777777" w:rsidR="00107519" w:rsidRPr="00715891" w:rsidRDefault="00107519" w:rsidP="00107519">
            <w:pPr>
              <w:spacing w:before="80" w:after="80"/>
              <w:jc w:val="both"/>
              <w:rPr>
                <w:sz w:val="22"/>
                <w:szCs w:val="22"/>
                <w:lang w:val="lt-LT" w:eastAsia="ja-JP"/>
              </w:rPr>
            </w:pPr>
            <w:r w:rsidRPr="00715891">
              <w:rPr>
                <w:sz w:val="22"/>
                <w:szCs w:val="22"/>
                <w:lang w:val="lt-LT" w:eastAsia="ja-JP"/>
              </w:rPr>
              <w:t>40–59</w:t>
            </w:r>
          </w:p>
        </w:tc>
        <w:tc>
          <w:tcPr>
            <w:tcW w:w="3686" w:type="dxa"/>
            <w:tcBorders>
              <w:left w:val="single" w:sz="4" w:space="0" w:color="auto"/>
              <w:right w:val="single" w:sz="4" w:space="0" w:color="auto"/>
            </w:tcBorders>
          </w:tcPr>
          <w:p w14:paraId="2036B6C2" w14:textId="5A5947B1" w:rsidR="00107519" w:rsidRPr="00715891" w:rsidRDefault="00107519" w:rsidP="00107519">
            <w:pPr>
              <w:spacing w:before="80" w:after="80"/>
              <w:jc w:val="both"/>
              <w:rPr>
                <w:sz w:val="22"/>
                <w:szCs w:val="22"/>
                <w:lang w:val="lt-LT" w:eastAsia="ja-JP"/>
              </w:rPr>
            </w:pPr>
            <w:r w:rsidRPr="00715891">
              <w:rPr>
                <w:sz w:val="22"/>
                <w:szCs w:val="22"/>
                <w:lang w:val="lt-LT" w:eastAsia="ja-JP"/>
              </w:rPr>
              <w:t>450</w:t>
            </w:r>
            <w:r w:rsidR="007059D4" w:rsidRPr="00715891">
              <w:rPr>
                <w:sz w:val="22"/>
                <w:szCs w:val="22"/>
                <w:lang w:val="lt-LT" w:eastAsia="ja-JP"/>
              </w:rPr>
              <w:t> </w:t>
            </w:r>
            <w:r w:rsidRPr="00715891">
              <w:rPr>
                <w:sz w:val="22"/>
                <w:szCs w:val="22"/>
                <w:lang w:val="lt-LT" w:eastAsia="ja-JP"/>
              </w:rPr>
              <w:t>mg (1</w:t>
            </w:r>
            <w:r w:rsidR="007059D4" w:rsidRPr="00715891">
              <w:rPr>
                <w:sz w:val="22"/>
                <w:szCs w:val="22"/>
                <w:lang w:val="lt-LT" w:eastAsia="ja-JP"/>
              </w:rPr>
              <w:t> </w:t>
            </w:r>
            <w:r w:rsidRPr="00715891">
              <w:rPr>
                <w:sz w:val="22"/>
                <w:szCs w:val="22"/>
                <w:lang w:val="lt-LT" w:eastAsia="ja-JP"/>
              </w:rPr>
              <w:t>tabletė) dukart per parą</w:t>
            </w:r>
          </w:p>
        </w:tc>
        <w:tc>
          <w:tcPr>
            <w:tcW w:w="3790" w:type="dxa"/>
            <w:tcBorders>
              <w:left w:val="nil"/>
            </w:tcBorders>
          </w:tcPr>
          <w:p w14:paraId="6E0DEF44" w14:textId="23FE4BEC" w:rsidR="00107519" w:rsidRPr="00715891" w:rsidRDefault="00107519" w:rsidP="00107519">
            <w:pPr>
              <w:spacing w:before="80" w:after="80"/>
              <w:jc w:val="both"/>
              <w:rPr>
                <w:sz w:val="22"/>
                <w:szCs w:val="22"/>
                <w:lang w:val="lt-LT" w:eastAsia="ja-JP"/>
              </w:rPr>
            </w:pPr>
            <w:r w:rsidRPr="00715891">
              <w:rPr>
                <w:sz w:val="22"/>
                <w:szCs w:val="22"/>
                <w:lang w:val="lt-LT" w:eastAsia="ja-JP"/>
              </w:rPr>
              <w:t>450</w:t>
            </w:r>
            <w:r w:rsidR="007059D4" w:rsidRPr="00715891">
              <w:rPr>
                <w:sz w:val="22"/>
                <w:szCs w:val="22"/>
                <w:lang w:val="lt-LT" w:eastAsia="ja-JP"/>
              </w:rPr>
              <w:t> </w:t>
            </w:r>
            <w:r w:rsidRPr="00715891">
              <w:rPr>
                <w:sz w:val="22"/>
                <w:szCs w:val="22"/>
                <w:lang w:val="lt-LT" w:eastAsia="ja-JP"/>
              </w:rPr>
              <w:t>mg (1</w:t>
            </w:r>
            <w:r w:rsidR="007059D4" w:rsidRPr="00715891">
              <w:rPr>
                <w:sz w:val="22"/>
                <w:szCs w:val="22"/>
                <w:lang w:val="lt-LT" w:eastAsia="ja-JP"/>
              </w:rPr>
              <w:t> </w:t>
            </w:r>
            <w:r w:rsidRPr="00715891">
              <w:rPr>
                <w:sz w:val="22"/>
                <w:szCs w:val="22"/>
                <w:lang w:val="lt-LT" w:eastAsia="ja-JP"/>
              </w:rPr>
              <w:t>tabletė) kartą per parą</w:t>
            </w:r>
          </w:p>
        </w:tc>
      </w:tr>
      <w:tr w:rsidR="00107519" w:rsidRPr="00715891" w14:paraId="0F14F4F9" w14:textId="77777777" w:rsidTr="00EF476A">
        <w:tc>
          <w:tcPr>
            <w:tcW w:w="1809" w:type="dxa"/>
          </w:tcPr>
          <w:p w14:paraId="629C2104" w14:textId="77777777" w:rsidR="00107519" w:rsidRPr="00715891" w:rsidRDefault="00107519" w:rsidP="00107519">
            <w:pPr>
              <w:spacing w:before="80" w:after="80"/>
              <w:jc w:val="both"/>
              <w:rPr>
                <w:sz w:val="22"/>
                <w:szCs w:val="22"/>
                <w:lang w:val="lt-LT" w:eastAsia="ja-JP"/>
              </w:rPr>
            </w:pPr>
            <w:r w:rsidRPr="00715891">
              <w:rPr>
                <w:sz w:val="22"/>
                <w:szCs w:val="22"/>
                <w:lang w:val="lt-LT" w:eastAsia="ja-JP"/>
              </w:rPr>
              <w:t>25–39</w:t>
            </w:r>
          </w:p>
        </w:tc>
        <w:tc>
          <w:tcPr>
            <w:tcW w:w="3686" w:type="dxa"/>
            <w:tcBorders>
              <w:left w:val="single" w:sz="4" w:space="0" w:color="auto"/>
              <w:right w:val="single" w:sz="4" w:space="0" w:color="auto"/>
            </w:tcBorders>
          </w:tcPr>
          <w:p w14:paraId="1AAB7DDB" w14:textId="17D602B7" w:rsidR="00107519" w:rsidRPr="00715891" w:rsidRDefault="00107519" w:rsidP="00107519">
            <w:pPr>
              <w:spacing w:before="80" w:after="80"/>
              <w:jc w:val="both"/>
              <w:rPr>
                <w:sz w:val="22"/>
                <w:szCs w:val="22"/>
                <w:lang w:val="lt-LT" w:eastAsia="ja-JP"/>
              </w:rPr>
            </w:pPr>
            <w:r w:rsidRPr="00715891">
              <w:rPr>
                <w:sz w:val="22"/>
                <w:szCs w:val="22"/>
                <w:lang w:val="lt-LT" w:eastAsia="ja-JP"/>
              </w:rPr>
              <w:t>450</w:t>
            </w:r>
            <w:r w:rsidR="007059D4" w:rsidRPr="00715891">
              <w:rPr>
                <w:sz w:val="22"/>
                <w:szCs w:val="22"/>
                <w:lang w:val="lt-LT" w:eastAsia="ja-JP"/>
              </w:rPr>
              <w:t> </w:t>
            </w:r>
            <w:r w:rsidRPr="00715891">
              <w:rPr>
                <w:sz w:val="22"/>
                <w:szCs w:val="22"/>
                <w:lang w:val="lt-LT" w:eastAsia="ja-JP"/>
              </w:rPr>
              <w:t>mg (1</w:t>
            </w:r>
            <w:r w:rsidR="007059D4" w:rsidRPr="00715891">
              <w:rPr>
                <w:sz w:val="22"/>
                <w:szCs w:val="22"/>
                <w:lang w:val="lt-LT" w:eastAsia="ja-JP"/>
              </w:rPr>
              <w:t> </w:t>
            </w:r>
            <w:r w:rsidRPr="00715891">
              <w:rPr>
                <w:sz w:val="22"/>
                <w:szCs w:val="22"/>
                <w:lang w:val="lt-LT" w:eastAsia="ja-JP"/>
              </w:rPr>
              <w:t>tabletė) kartą per parą</w:t>
            </w:r>
          </w:p>
        </w:tc>
        <w:tc>
          <w:tcPr>
            <w:tcW w:w="3790" w:type="dxa"/>
            <w:tcBorders>
              <w:left w:val="nil"/>
            </w:tcBorders>
          </w:tcPr>
          <w:p w14:paraId="40080783" w14:textId="25A63239" w:rsidR="00107519" w:rsidRPr="00715891" w:rsidRDefault="00107519" w:rsidP="00107519">
            <w:pPr>
              <w:spacing w:before="80" w:after="80"/>
              <w:jc w:val="both"/>
              <w:rPr>
                <w:sz w:val="22"/>
                <w:szCs w:val="22"/>
                <w:lang w:val="lt-LT" w:eastAsia="ja-JP"/>
              </w:rPr>
            </w:pPr>
            <w:r w:rsidRPr="00715891">
              <w:rPr>
                <w:sz w:val="22"/>
                <w:szCs w:val="22"/>
                <w:lang w:val="lt-LT" w:eastAsia="ja-JP"/>
              </w:rPr>
              <w:t>450</w:t>
            </w:r>
            <w:r w:rsidR="007059D4" w:rsidRPr="00715891">
              <w:rPr>
                <w:sz w:val="22"/>
                <w:szCs w:val="22"/>
                <w:lang w:val="lt-LT" w:eastAsia="ja-JP"/>
              </w:rPr>
              <w:t> </w:t>
            </w:r>
            <w:r w:rsidRPr="00715891">
              <w:rPr>
                <w:sz w:val="22"/>
                <w:szCs w:val="22"/>
                <w:lang w:val="lt-LT" w:eastAsia="ja-JP"/>
              </w:rPr>
              <w:t>mg (1</w:t>
            </w:r>
            <w:r w:rsidR="007059D4" w:rsidRPr="00715891">
              <w:rPr>
                <w:sz w:val="22"/>
                <w:szCs w:val="22"/>
                <w:lang w:val="lt-LT" w:eastAsia="ja-JP"/>
              </w:rPr>
              <w:t> </w:t>
            </w:r>
            <w:r w:rsidRPr="00715891">
              <w:rPr>
                <w:sz w:val="22"/>
                <w:szCs w:val="22"/>
                <w:lang w:val="lt-LT" w:eastAsia="ja-JP"/>
              </w:rPr>
              <w:t>tabletė) kas antrą parą</w:t>
            </w:r>
          </w:p>
        </w:tc>
      </w:tr>
      <w:tr w:rsidR="00107519" w:rsidRPr="00715891" w14:paraId="1AD3BBA5" w14:textId="77777777" w:rsidTr="00EF476A">
        <w:tc>
          <w:tcPr>
            <w:tcW w:w="1809" w:type="dxa"/>
            <w:tcBorders>
              <w:bottom w:val="single" w:sz="4" w:space="0" w:color="auto"/>
            </w:tcBorders>
          </w:tcPr>
          <w:p w14:paraId="3206B9C4" w14:textId="77777777" w:rsidR="00107519" w:rsidRPr="00715891" w:rsidRDefault="00107519" w:rsidP="00107519">
            <w:pPr>
              <w:spacing w:before="80" w:after="80"/>
              <w:jc w:val="both"/>
              <w:rPr>
                <w:sz w:val="22"/>
                <w:szCs w:val="22"/>
                <w:lang w:val="lt-LT" w:eastAsia="ja-JP"/>
              </w:rPr>
            </w:pPr>
            <w:r w:rsidRPr="00715891">
              <w:rPr>
                <w:sz w:val="22"/>
                <w:szCs w:val="22"/>
                <w:lang w:val="lt-LT" w:eastAsia="ja-JP"/>
              </w:rPr>
              <w:t>10–24</w:t>
            </w:r>
          </w:p>
          <w:p w14:paraId="47116EB7" w14:textId="73E18A7F" w:rsidR="00107519" w:rsidRPr="00715891" w:rsidRDefault="00107519" w:rsidP="00107519">
            <w:pPr>
              <w:spacing w:before="80" w:after="80"/>
              <w:jc w:val="both"/>
              <w:rPr>
                <w:sz w:val="22"/>
                <w:szCs w:val="22"/>
                <w:lang w:val="lt-LT" w:eastAsia="ja-JP"/>
              </w:rPr>
            </w:pPr>
            <w:r w:rsidRPr="00715891">
              <w:rPr>
                <w:sz w:val="22"/>
                <w:szCs w:val="22"/>
                <w:lang w:val="lt-LT" w:eastAsia="ja-JP"/>
              </w:rPr>
              <w:t>&lt;</w:t>
            </w:r>
            <w:r w:rsidR="007059D4" w:rsidRPr="00715891">
              <w:rPr>
                <w:sz w:val="22"/>
                <w:szCs w:val="22"/>
                <w:lang w:val="lt-LT" w:eastAsia="ja-JP"/>
              </w:rPr>
              <w:t> </w:t>
            </w:r>
            <w:r w:rsidRPr="00715891">
              <w:rPr>
                <w:sz w:val="22"/>
                <w:szCs w:val="22"/>
                <w:lang w:val="lt-LT" w:eastAsia="ja-JP"/>
              </w:rPr>
              <w:t>10</w:t>
            </w:r>
          </w:p>
        </w:tc>
        <w:tc>
          <w:tcPr>
            <w:tcW w:w="3686" w:type="dxa"/>
            <w:tcBorders>
              <w:left w:val="single" w:sz="4" w:space="0" w:color="auto"/>
              <w:bottom w:val="single" w:sz="4" w:space="0" w:color="auto"/>
              <w:right w:val="single" w:sz="4" w:space="0" w:color="auto"/>
            </w:tcBorders>
          </w:tcPr>
          <w:p w14:paraId="02D14C82" w14:textId="2BC47EB4" w:rsidR="00107519" w:rsidRPr="00715891" w:rsidRDefault="00107519" w:rsidP="00107519">
            <w:pPr>
              <w:spacing w:before="80" w:after="80"/>
              <w:jc w:val="both"/>
              <w:rPr>
                <w:sz w:val="22"/>
                <w:szCs w:val="22"/>
                <w:lang w:val="lt-LT" w:eastAsia="ja-JP"/>
              </w:rPr>
            </w:pPr>
            <w:r w:rsidRPr="00715891">
              <w:rPr>
                <w:sz w:val="22"/>
                <w:szCs w:val="22"/>
                <w:lang w:val="lt-LT" w:eastAsia="ja-JP"/>
              </w:rPr>
              <w:t>450</w:t>
            </w:r>
            <w:r w:rsidR="007059D4" w:rsidRPr="00715891">
              <w:rPr>
                <w:sz w:val="22"/>
                <w:szCs w:val="22"/>
                <w:lang w:val="lt-LT" w:eastAsia="ja-JP"/>
              </w:rPr>
              <w:t> </w:t>
            </w:r>
            <w:r w:rsidRPr="00715891">
              <w:rPr>
                <w:sz w:val="22"/>
                <w:szCs w:val="22"/>
                <w:lang w:val="lt-LT" w:eastAsia="ja-JP"/>
              </w:rPr>
              <w:t>mg (1</w:t>
            </w:r>
            <w:r w:rsidR="007059D4" w:rsidRPr="00715891">
              <w:rPr>
                <w:sz w:val="22"/>
                <w:szCs w:val="22"/>
                <w:lang w:val="lt-LT" w:eastAsia="ja-JP"/>
              </w:rPr>
              <w:t> </w:t>
            </w:r>
            <w:r w:rsidRPr="00715891">
              <w:rPr>
                <w:sz w:val="22"/>
                <w:szCs w:val="22"/>
                <w:lang w:val="lt-LT" w:eastAsia="ja-JP"/>
              </w:rPr>
              <w:t>tabletė) kas antrą parą</w:t>
            </w:r>
          </w:p>
          <w:p w14:paraId="3270CB87" w14:textId="79A6123E" w:rsidR="00107519" w:rsidRPr="00715891" w:rsidRDefault="00107519" w:rsidP="005B6B82">
            <w:pPr>
              <w:spacing w:before="80" w:after="80"/>
              <w:rPr>
                <w:sz w:val="22"/>
                <w:szCs w:val="22"/>
                <w:lang w:val="lt-LT" w:eastAsia="ja-JP"/>
              </w:rPr>
            </w:pPr>
            <w:r w:rsidRPr="00715891">
              <w:rPr>
                <w:sz w:val="22"/>
                <w:szCs w:val="22"/>
                <w:lang w:val="lt-LT" w:eastAsia="ja-JP"/>
              </w:rPr>
              <w:t>Vaist</w:t>
            </w:r>
            <w:r w:rsidR="002D5F5D" w:rsidRPr="00715891">
              <w:rPr>
                <w:sz w:val="22"/>
                <w:szCs w:val="22"/>
                <w:lang w:val="lt-LT" w:eastAsia="ja-JP"/>
              </w:rPr>
              <w:t>inio preparat</w:t>
            </w:r>
            <w:r w:rsidRPr="00715891">
              <w:rPr>
                <w:sz w:val="22"/>
                <w:szCs w:val="22"/>
                <w:lang w:val="lt-LT" w:eastAsia="ja-JP"/>
              </w:rPr>
              <w:t>o skirti nerekomenduojama</w:t>
            </w:r>
          </w:p>
        </w:tc>
        <w:tc>
          <w:tcPr>
            <w:tcW w:w="3790" w:type="dxa"/>
            <w:tcBorders>
              <w:left w:val="nil"/>
              <w:bottom w:val="single" w:sz="4" w:space="0" w:color="auto"/>
            </w:tcBorders>
          </w:tcPr>
          <w:p w14:paraId="2C3CCBA5" w14:textId="4D669512" w:rsidR="00107519" w:rsidRPr="00715891" w:rsidRDefault="00107519" w:rsidP="00107519">
            <w:pPr>
              <w:spacing w:before="80" w:after="80"/>
              <w:jc w:val="both"/>
              <w:rPr>
                <w:sz w:val="22"/>
                <w:szCs w:val="22"/>
                <w:lang w:val="lt-LT" w:eastAsia="ja-JP"/>
              </w:rPr>
            </w:pPr>
            <w:r w:rsidRPr="00715891">
              <w:rPr>
                <w:sz w:val="22"/>
                <w:szCs w:val="22"/>
                <w:lang w:val="lt-LT" w:eastAsia="ja-JP"/>
              </w:rPr>
              <w:t>450</w:t>
            </w:r>
            <w:r w:rsidR="007059D4" w:rsidRPr="00715891">
              <w:rPr>
                <w:sz w:val="22"/>
                <w:szCs w:val="22"/>
                <w:lang w:val="lt-LT" w:eastAsia="ja-JP"/>
              </w:rPr>
              <w:t> </w:t>
            </w:r>
            <w:r w:rsidRPr="00715891">
              <w:rPr>
                <w:sz w:val="22"/>
                <w:szCs w:val="22"/>
                <w:lang w:val="lt-LT" w:eastAsia="ja-JP"/>
              </w:rPr>
              <w:t>mg (1</w:t>
            </w:r>
            <w:r w:rsidR="007059D4" w:rsidRPr="00715891">
              <w:rPr>
                <w:sz w:val="22"/>
                <w:szCs w:val="22"/>
                <w:lang w:val="lt-LT" w:eastAsia="ja-JP"/>
              </w:rPr>
              <w:t> </w:t>
            </w:r>
            <w:r w:rsidRPr="00715891">
              <w:rPr>
                <w:sz w:val="22"/>
                <w:szCs w:val="22"/>
                <w:lang w:val="lt-LT" w:eastAsia="ja-JP"/>
              </w:rPr>
              <w:t>tabletė) dukart per savaitę</w:t>
            </w:r>
          </w:p>
          <w:p w14:paraId="335D3C01" w14:textId="7316D074" w:rsidR="00107519" w:rsidRPr="00715891" w:rsidRDefault="00107519" w:rsidP="005B6B82">
            <w:pPr>
              <w:spacing w:before="80" w:after="80"/>
              <w:rPr>
                <w:sz w:val="22"/>
                <w:szCs w:val="22"/>
                <w:lang w:val="lt-LT" w:eastAsia="ja-JP"/>
              </w:rPr>
            </w:pPr>
            <w:r w:rsidRPr="00715891">
              <w:rPr>
                <w:sz w:val="22"/>
                <w:szCs w:val="22"/>
                <w:lang w:val="lt-LT" w:eastAsia="ja-JP"/>
              </w:rPr>
              <w:t>Vaist</w:t>
            </w:r>
            <w:r w:rsidR="002D5F5D" w:rsidRPr="00715891">
              <w:rPr>
                <w:sz w:val="22"/>
                <w:szCs w:val="22"/>
                <w:lang w:val="lt-LT" w:eastAsia="ja-JP"/>
              </w:rPr>
              <w:t>ini</w:t>
            </w:r>
            <w:r w:rsidRPr="00715891">
              <w:rPr>
                <w:sz w:val="22"/>
                <w:szCs w:val="22"/>
                <w:lang w:val="lt-LT" w:eastAsia="ja-JP"/>
              </w:rPr>
              <w:t>o</w:t>
            </w:r>
            <w:r w:rsidR="002D5F5D" w:rsidRPr="00715891">
              <w:rPr>
                <w:sz w:val="22"/>
                <w:szCs w:val="22"/>
                <w:lang w:val="lt-LT" w:eastAsia="ja-JP"/>
              </w:rPr>
              <w:t xml:space="preserve"> preparato</w:t>
            </w:r>
            <w:r w:rsidRPr="00715891">
              <w:rPr>
                <w:sz w:val="22"/>
                <w:szCs w:val="22"/>
                <w:lang w:val="lt-LT" w:eastAsia="ja-JP"/>
              </w:rPr>
              <w:t xml:space="preserve"> skirti nerekomenduojama</w:t>
            </w:r>
          </w:p>
        </w:tc>
      </w:tr>
    </w:tbl>
    <w:p w14:paraId="47D27525" w14:textId="77777777" w:rsidR="00107519" w:rsidRPr="00715891" w:rsidRDefault="00107519" w:rsidP="00107519">
      <w:pPr>
        <w:rPr>
          <w:sz w:val="22"/>
          <w:szCs w:val="22"/>
          <w:lang w:val="lt-LT" w:eastAsia="ja-JP"/>
        </w:rPr>
      </w:pPr>
    </w:p>
    <w:p w14:paraId="6FE4DBDD" w14:textId="77777777" w:rsidR="00107519" w:rsidRPr="00715891" w:rsidRDefault="00107519" w:rsidP="00107519">
      <w:pPr>
        <w:rPr>
          <w:i/>
          <w:sz w:val="22"/>
          <w:szCs w:val="22"/>
          <w:lang w:val="lt-LT" w:eastAsia="ja-JP"/>
        </w:rPr>
      </w:pPr>
      <w:r w:rsidRPr="00715891">
        <w:rPr>
          <w:i/>
          <w:sz w:val="22"/>
          <w:szCs w:val="22"/>
          <w:lang w:val="lt-LT" w:eastAsia="ja-JP"/>
        </w:rPr>
        <w:t>Pacientams, kuriems taikoma hemodializė</w:t>
      </w:r>
    </w:p>
    <w:p w14:paraId="39D39BCE" w14:textId="77777777" w:rsidR="00107519" w:rsidRPr="00715891" w:rsidRDefault="00107519" w:rsidP="00107519">
      <w:pPr>
        <w:rPr>
          <w:sz w:val="22"/>
          <w:szCs w:val="22"/>
          <w:lang w:val="lt-LT" w:eastAsia="ja-JP"/>
        </w:rPr>
      </w:pPr>
      <w:r w:rsidRPr="00715891">
        <w:rPr>
          <w:sz w:val="22"/>
          <w:szCs w:val="22"/>
          <w:lang w:val="lt-LT" w:eastAsia="ja-JP"/>
        </w:rPr>
        <w:t>Pacientams, kuriems taikoma hemodializė (</w:t>
      </w:r>
      <w:r w:rsidRPr="00715891">
        <w:rPr>
          <w:i/>
          <w:sz w:val="22"/>
          <w:lang w:val="lt-LT"/>
        </w:rPr>
        <w:t>KrKl &lt;</w:t>
      </w:r>
      <w:r w:rsidRPr="00715891">
        <w:rPr>
          <w:sz w:val="22"/>
          <w:szCs w:val="22"/>
          <w:lang w:val="lt-LT" w:eastAsia="ja-JP"/>
        </w:rPr>
        <w:t xml:space="preserve"> 10 ml/min.), dozavimo rekomendacijų pateikti negalima. Taigi Valganciclovir Sandoz plėvele dengtų tablečių šie pacientai turi nevartoti (žr. 4.4 ir 5.2 skyrius).</w:t>
      </w:r>
    </w:p>
    <w:p w14:paraId="060D04AF" w14:textId="77777777" w:rsidR="00107519" w:rsidRPr="00715891" w:rsidRDefault="00107519" w:rsidP="00107519">
      <w:pPr>
        <w:rPr>
          <w:sz w:val="22"/>
          <w:szCs w:val="22"/>
          <w:lang w:val="lt-LT" w:eastAsia="ja-JP"/>
        </w:rPr>
      </w:pPr>
    </w:p>
    <w:p w14:paraId="14CCC115" w14:textId="77777777" w:rsidR="00107519" w:rsidRPr="00715891" w:rsidRDefault="00107519" w:rsidP="00107519">
      <w:pPr>
        <w:rPr>
          <w:i/>
          <w:sz w:val="22"/>
          <w:szCs w:val="22"/>
          <w:lang w:val="lt-LT" w:eastAsia="ja-JP"/>
        </w:rPr>
      </w:pPr>
      <w:r w:rsidRPr="00715891">
        <w:rPr>
          <w:i/>
          <w:sz w:val="22"/>
          <w:szCs w:val="22"/>
          <w:lang w:val="lt-LT" w:eastAsia="ja-JP"/>
        </w:rPr>
        <w:t>Pacientams, kurių kepenų funkcija sutrikusi</w:t>
      </w:r>
    </w:p>
    <w:p w14:paraId="0E1801DF" w14:textId="24DDE6D1" w:rsidR="00107519" w:rsidRPr="00715891" w:rsidRDefault="00632B6A" w:rsidP="00107519">
      <w:pPr>
        <w:rPr>
          <w:sz w:val="22"/>
          <w:szCs w:val="22"/>
          <w:lang w:val="lt-LT" w:eastAsia="ja-JP"/>
        </w:rPr>
      </w:pPr>
      <w:r w:rsidRPr="00715891">
        <w:rPr>
          <w:sz w:val="22"/>
          <w:szCs w:val="22"/>
          <w:lang w:val="lt-LT" w:eastAsia="ja-JP"/>
        </w:rPr>
        <w:t>Pacientams</w:t>
      </w:r>
      <w:r w:rsidR="00107519" w:rsidRPr="00715891">
        <w:rPr>
          <w:sz w:val="22"/>
          <w:szCs w:val="22"/>
          <w:lang w:val="lt-LT" w:eastAsia="ja-JP"/>
        </w:rPr>
        <w:t>, kurių kepenų veikla sutrikusi, valgancikloviro table</w:t>
      </w:r>
      <w:r w:rsidRPr="00715891">
        <w:rPr>
          <w:sz w:val="22"/>
          <w:szCs w:val="22"/>
          <w:lang w:val="lt-LT" w:eastAsia="ja-JP"/>
        </w:rPr>
        <w:t>čių</w:t>
      </w:r>
      <w:r w:rsidR="00107519" w:rsidRPr="00715891">
        <w:rPr>
          <w:sz w:val="22"/>
          <w:szCs w:val="22"/>
          <w:lang w:val="lt-LT" w:eastAsia="ja-JP"/>
        </w:rPr>
        <w:t xml:space="preserve"> saugumas ir veiksmingumas ne</w:t>
      </w:r>
      <w:r w:rsidRPr="00715891">
        <w:rPr>
          <w:sz w:val="22"/>
          <w:szCs w:val="22"/>
          <w:lang w:val="lt-LT" w:eastAsia="ja-JP"/>
        </w:rPr>
        <w:t>žinomas</w:t>
      </w:r>
      <w:r w:rsidR="00107519" w:rsidRPr="00715891">
        <w:rPr>
          <w:sz w:val="22"/>
          <w:szCs w:val="22"/>
          <w:lang w:val="lt-LT" w:eastAsia="ja-JP"/>
        </w:rPr>
        <w:t xml:space="preserve"> (žr. 5.2 skyrių).</w:t>
      </w:r>
    </w:p>
    <w:p w14:paraId="4FF6BF8C" w14:textId="77777777" w:rsidR="00107519" w:rsidRPr="00715891" w:rsidRDefault="00107519" w:rsidP="00107519">
      <w:pPr>
        <w:rPr>
          <w:sz w:val="22"/>
          <w:szCs w:val="22"/>
          <w:lang w:val="lt-LT" w:eastAsia="ja-JP"/>
        </w:rPr>
      </w:pPr>
    </w:p>
    <w:p w14:paraId="481F41AA" w14:textId="77777777" w:rsidR="00107519" w:rsidRPr="00715891" w:rsidRDefault="00107519" w:rsidP="00107519">
      <w:pPr>
        <w:rPr>
          <w:sz w:val="22"/>
          <w:szCs w:val="22"/>
          <w:lang w:val="lt-LT" w:eastAsia="ja-JP"/>
        </w:rPr>
      </w:pPr>
      <w:r w:rsidRPr="00715891">
        <w:rPr>
          <w:i/>
          <w:sz w:val="22"/>
          <w:szCs w:val="22"/>
          <w:lang w:val="lt-LT" w:eastAsia="ja-JP"/>
        </w:rPr>
        <w:lastRenderedPageBreak/>
        <w:t>Pacientams, kuriems yra sunki leukopenija, neutropenija, anemija, trombocitopenija ir pancitopenija</w:t>
      </w:r>
      <w:r w:rsidRPr="00715891">
        <w:rPr>
          <w:sz w:val="22"/>
          <w:szCs w:val="22"/>
          <w:lang w:val="lt-LT" w:eastAsia="ja-JP"/>
        </w:rPr>
        <w:t xml:space="preserve"> Prieš pradedant gydyti reikia atsižvelgti į 4.4 skyriuje pateiktus nurodymus.</w:t>
      </w:r>
    </w:p>
    <w:p w14:paraId="7226EE7F" w14:textId="77777777" w:rsidR="00107519" w:rsidRPr="00715891" w:rsidRDefault="00107519" w:rsidP="00107519">
      <w:pPr>
        <w:rPr>
          <w:sz w:val="22"/>
          <w:szCs w:val="22"/>
          <w:lang w:val="lt-LT" w:eastAsia="ja-JP"/>
        </w:rPr>
      </w:pPr>
    </w:p>
    <w:p w14:paraId="5A9872E0" w14:textId="77777777" w:rsidR="00107519" w:rsidRPr="00715891" w:rsidRDefault="00107519" w:rsidP="00107519">
      <w:pPr>
        <w:rPr>
          <w:sz w:val="22"/>
          <w:szCs w:val="22"/>
          <w:lang w:val="lt-LT" w:eastAsia="ja-JP"/>
        </w:rPr>
      </w:pPr>
      <w:r w:rsidRPr="00715891">
        <w:rPr>
          <w:sz w:val="22"/>
          <w:szCs w:val="22"/>
          <w:lang w:val="lt-LT" w:eastAsia="ja-JP"/>
        </w:rPr>
        <w:t>Jei gydymo Valganciclovir Sandoz metu reikšmingai pablogėja hemograma, reikia spręsti, ar gydyti kraujo ląstelių augimo faktoriais, ir (arba) nutraukti dozavimą (žr. 4.4 skyrių).</w:t>
      </w:r>
    </w:p>
    <w:p w14:paraId="257BD537" w14:textId="77777777" w:rsidR="00107519" w:rsidRPr="00715891" w:rsidRDefault="00107519" w:rsidP="00107519">
      <w:pPr>
        <w:rPr>
          <w:sz w:val="22"/>
          <w:szCs w:val="22"/>
          <w:lang w:val="lt-LT" w:eastAsia="ja-JP"/>
        </w:rPr>
      </w:pPr>
    </w:p>
    <w:p w14:paraId="1AAF70A8" w14:textId="77777777" w:rsidR="00107519" w:rsidRPr="00715891" w:rsidRDefault="00107519" w:rsidP="00107519">
      <w:pPr>
        <w:rPr>
          <w:sz w:val="22"/>
          <w:szCs w:val="22"/>
          <w:u w:val="single"/>
          <w:lang w:val="lt-LT" w:eastAsia="ja-JP"/>
        </w:rPr>
      </w:pPr>
      <w:r w:rsidRPr="00715891">
        <w:rPr>
          <w:sz w:val="22"/>
          <w:szCs w:val="22"/>
          <w:u w:val="single"/>
          <w:lang w:val="lt-LT" w:eastAsia="ja-JP"/>
        </w:rPr>
        <w:t>Vartojimo metodas</w:t>
      </w:r>
    </w:p>
    <w:p w14:paraId="5781900E" w14:textId="77777777" w:rsidR="00107519" w:rsidRPr="00715891" w:rsidRDefault="00107519" w:rsidP="00107519">
      <w:pPr>
        <w:rPr>
          <w:sz w:val="22"/>
          <w:szCs w:val="22"/>
          <w:lang w:val="lt-LT" w:eastAsia="ja-JP"/>
        </w:rPr>
      </w:pPr>
      <w:r w:rsidRPr="00715891">
        <w:rPr>
          <w:sz w:val="22"/>
          <w:szCs w:val="22"/>
          <w:lang w:val="lt-LT" w:eastAsia="ja-JP"/>
        </w:rPr>
        <w:t>Valganciclovir Sandoz tabletės vartojamos per burną ir, kai tik įmanoma, turi būti geriamos valgio metu (žr. 5.2 skyrių).</w:t>
      </w:r>
    </w:p>
    <w:p w14:paraId="20805DAD" w14:textId="77777777" w:rsidR="00632B6A" w:rsidRPr="00715891" w:rsidRDefault="00632B6A" w:rsidP="00632B6A">
      <w:pPr>
        <w:rPr>
          <w:sz w:val="22"/>
          <w:szCs w:val="22"/>
          <w:lang w:val="lt-LT" w:eastAsia="ja-JP"/>
        </w:rPr>
      </w:pPr>
      <w:r w:rsidRPr="00715891">
        <w:rPr>
          <w:sz w:val="22"/>
          <w:szCs w:val="22"/>
          <w:lang w:val="lt-LT" w:eastAsia="ja-JP"/>
        </w:rPr>
        <w:t>Vaikų populiacijos pacientams, kurie negali nuryti Valganciclovir Sandoz plėvele dengtų tablečių, galima vartoti kitą farmacinę formą, pvz., galima skirti miltelių geriamajam tirpalui.</w:t>
      </w:r>
    </w:p>
    <w:p w14:paraId="77968199" w14:textId="77777777" w:rsidR="00632B6A" w:rsidRPr="00715891" w:rsidRDefault="00632B6A" w:rsidP="00107519">
      <w:pPr>
        <w:rPr>
          <w:sz w:val="22"/>
          <w:szCs w:val="22"/>
          <w:lang w:val="lt-LT" w:eastAsia="ja-JP"/>
        </w:rPr>
      </w:pPr>
    </w:p>
    <w:p w14:paraId="63F6BCEC" w14:textId="77777777" w:rsidR="00107519" w:rsidRPr="00715891" w:rsidRDefault="00107519" w:rsidP="00107519">
      <w:pPr>
        <w:rPr>
          <w:sz w:val="22"/>
          <w:szCs w:val="22"/>
          <w:lang w:val="lt-LT" w:eastAsia="ja-JP"/>
        </w:rPr>
      </w:pPr>
      <w:r w:rsidRPr="00715891">
        <w:rPr>
          <w:i/>
          <w:iCs/>
          <w:sz w:val="22"/>
          <w:szCs w:val="22"/>
          <w:lang w:val="lt-LT"/>
        </w:rPr>
        <w:t>Atsargumo priemonės prieš ruošiant ar vartojant vaistinį preparatą</w:t>
      </w:r>
    </w:p>
    <w:p w14:paraId="0BBA8AC5" w14:textId="77777777" w:rsidR="00107519" w:rsidRPr="00715891" w:rsidRDefault="00107519" w:rsidP="00107519">
      <w:pPr>
        <w:rPr>
          <w:sz w:val="22"/>
          <w:szCs w:val="22"/>
          <w:lang w:val="lt-LT" w:eastAsia="ja-JP"/>
        </w:rPr>
      </w:pPr>
      <w:r w:rsidRPr="00715891">
        <w:rPr>
          <w:sz w:val="22"/>
          <w:szCs w:val="22"/>
          <w:lang w:val="lt-LT" w:eastAsia="ja-JP"/>
        </w:rPr>
        <w:t>Tablečių negalima laužyti ir smulkinti. Kadangi Valganciclovir Sandoz laikomas potencialiu teratogenu ir kancerogenu žmogui, tvarkant sulūžusias tabletes reikia laikytis atsargumo (žr. 4.4 skyrių). Reikia vengti lūžusių ar susmulkintų tablečių tiesioginio kontakto su oda ar gleivine. Jeigu toks kontaktas įvyksta, sąlyčio vietą kruopščiai nuplaukite vandeniu ir muilu, akis gerai išplaukite steriliu vandeniu, o jeigu jo nėra, – paprastu vandeniu.</w:t>
      </w:r>
    </w:p>
    <w:p w14:paraId="0E6A63AA" w14:textId="77777777" w:rsidR="00107519" w:rsidRPr="00715891" w:rsidRDefault="00107519" w:rsidP="00107519">
      <w:pPr>
        <w:rPr>
          <w:sz w:val="22"/>
          <w:szCs w:val="22"/>
          <w:lang w:val="lt-LT" w:eastAsia="ja-JP"/>
        </w:rPr>
      </w:pPr>
    </w:p>
    <w:p w14:paraId="227E17CC" w14:textId="77777777" w:rsidR="00107519" w:rsidRPr="00715891" w:rsidRDefault="00107519" w:rsidP="00107519">
      <w:pPr>
        <w:rPr>
          <w:sz w:val="22"/>
          <w:szCs w:val="22"/>
          <w:lang w:val="lt-LT" w:eastAsia="ja-JP"/>
        </w:rPr>
      </w:pPr>
      <w:r w:rsidRPr="00715891">
        <w:rPr>
          <w:sz w:val="22"/>
          <w:szCs w:val="22"/>
          <w:lang w:val="lt-LT" w:eastAsia="ja-JP"/>
        </w:rPr>
        <w:t>Vaikams, kurie nesugeba nuryti, gali būti vartojama kita farmacinė forma, pvz., milteliai geriamajam tirpalui.</w:t>
      </w:r>
    </w:p>
    <w:p w14:paraId="5A63B8EF" w14:textId="77777777" w:rsidR="00107519" w:rsidRPr="00715891" w:rsidRDefault="00107519" w:rsidP="00107519">
      <w:pPr>
        <w:rPr>
          <w:sz w:val="22"/>
          <w:szCs w:val="22"/>
          <w:lang w:val="lt-LT" w:eastAsia="ja-JP"/>
        </w:rPr>
      </w:pPr>
    </w:p>
    <w:p w14:paraId="3EBAA222" w14:textId="77777777" w:rsidR="00107519" w:rsidRPr="00715891" w:rsidRDefault="00107519" w:rsidP="00107519">
      <w:pPr>
        <w:ind w:left="567" w:hanging="567"/>
        <w:outlineLvl w:val="1"/>
        <w:rPr>
          <w:b/>
          <w:kern w:val="28"/>
          <w:sz w:val="22"/>
          <w:szCs w:val="22"/>
          <w:lang w:val="lt-LT" w:eastAsia="ja-JP"/>
        </w:rPr>
      </w:pPr>
      <w:r w:rsidRPr="00715891">
        <w:rPr>
          <w:b/>
          <w:kern w:val="28"/>
          <w:sz w:val="22"/>
          <w:szCs w:val="22"/>
          <w:lang w:val="lt-LT" w:eastAsia="ja-JP"/>
        </w:rPr>
        <w:t>4.3</w:t>
      </w:r>
      <w:r w:rsidRPr="00715891">
        <w:rPr>
          <w:b/>
          <w:kern w:val="28"/>
          <w:sz w:val="22"/>
          <w:szCs w:val="22"/>
          <w:lang w:val="lt-LT" w:eastAsia="ja-JP"/>
        </w:rPr>
        <w:tab/>
        <w:t>Kontraindikacijos</w:t>
      </w:r>
    </w:p>
    <w:p w14:paraId="18EACF1E" w14:textId="77777777" w:rsidR="00107519" w:rsidRPr="00715891" w:rsidRDefault="00107519" w:rsidP="00107519">
      <w:pPr>
        <w:rPr>
          <w:sz w:val="22"/>
          <w:szCs w:val="22"/>
          <w:lang w:val="lt-LT" w:eastAsia="ja-JP"/>
        </w:rPr>
      </w:pPr>
    </w:p>
    <w:p w14:paraId="0318606F" w14:textId="77777777" w:rsidR="00107519" w:rsidRPr="00715891" w:rsidRDefault="00107519" w:rsidP="00107519">
      <w:pPr>
        <w:rPr>
          <w:spacing w:val="-2"/>
          <w:sz w:val="22"/>
          <w:szCs w:val="22"/>
          <w:lang w:val="lt-LT" w:eastAsia="ja-JP"/>
        </w:rPr>
      </w:pPr>
      <w:r w:rsidRPr="00715891">
        <w:rPr>
          <w:sz w:val="22"/>
          <w:szCs w:val="22"/>
          <w:lang w:val="lt-LT" w:eastAsia="ja-JP"/>
        </w:rPr>
        <w:t xml:space="preserve">Valganciclovir Sandoz vartoti negalima pacientams, kurių padidėjęs jautrumas valganciklovirui, ganciklovirui ar bet kuriai </w:t>
      </w:r>
      <w:r w:rsidRPr="00715891">
        <w:rPr>
          <w:sz w:val="22"/>
          <w:szCs w:val="22"/>
          <w:lang w:val="lt-LT"/>
        </w:rPr>
        <w:t xml:space="preserve">6.1 skyriuje nurodytai </w:t>
      </w:r>
      <w:r w:rsidRPr="00715891">
        <w:rPr>
          <w:sz w:val="22"/>
          <w:szCs w:val="22"/>
          <w:lang w:val="lt-LT" w:eastAsia="ja-JP"/>
        </w:rPr>
        <w:t>pagalbinei medžiagai.</w:t>
      </w:r>
    </w:p>
    <w:p w14:paraId="59382E15" w14:textId="77777777" w:rsidR="00107519" w:rsidRPr="00715891" w:rsidRDefault="00107519" w:rsidP="00107519">
      <w:pPr>
        <w:rPr>
          <w:spacing w:val="-2"/>
          <w:sz w:val="22"/>
          <w:szCs w:val="22"/>
          <w:lang w:val="lt-LT" w:eastAsia="ja-JP"/>
        </w:rPr>
      </w:pPr>
    </w:p>
    <w:p w14:paraId="294DA019" w14:textId="77777777" w:rsidR="00107519" w:rsidRPr="00715891" w:rsidRDefault="00107519" w:rsidP="00107519">
      <w:pPr>
        <w:rPr>
          <w:b/>
          <w:sz w:val="22"/>
          <w:szCs w:val="22"/>
          <w:lang w:val="lt-LT" w:eastAsia="ja-JP"/>
        </w:rPr>
      </w:pPr>
      <w:r w:rsidRPr="00715891">
        <w:rPr>
          <w:sz w:val="22"/>
          <w:szCs w:val="22"/>
          <w:lang w:val="lt-LT" w:eastAsia="ja-JP"/>
        </w:rPr>
        <w:t>Valganciclovir Sandoz draudžiama vartoti žindymo laikotarpiu (žr. 4.6 skyrių)</w:t>
      </w:r>
      <w:r w:rsidRPr="00715891">
        <w:rPr>
          <w:b/>
          <w:sz w:val="22"/>
          <w:szCs w:val="22"/>
          <w:lang w:val="lt-LT" w:eastAsia="ja-JP"/>
        </w:rPr>
        <w:t>.</w:t>
      </w:r>
    </w:p>
    <w:p w14:paraId="2203A405" w14:textId="77777777" w:rsidR="00107519" w:rsidRPr="00715891" w:rsidRDefault="00107519" w:rsidP="00107519">
      <w:pPr>
        <w:rPr>
          <w:sz w:val="22"/>
          <w:szCs w:val="22"/>
          <w:lang w:val="lt-LT" w:eastAsia="ja-JP"/>
        </w:rPr>
      </w:pPr>
    </w:p>
    <w:p w14:paraId="00B80B7E" w14:textId="77777777" w:rsidR="00107519" w:rsidRPr="00715891" w:rsidRDefault="00107519" w:rsidP="00107519">
      <w:pPr>
        <w:ind w:left="567" w:hanging="567"/>
        <w:outlineLvl w:val="1"/>
        <w:rPr>
          <w:b/>
          <w:kern w:val="28"/>
          <w:sz w:val="22"/>
          <w:szCs w:val="22"/>
          <w:lang w:val="lt-LT" w:eastAsia="ja-JP"/>
        </w:rPr>
      </w:pPr>
      <w:r w:rsidRPr="00715891">
        <w:rPr>
          <w:b/>
          <w:kern w:val="28"/>
          <w:sz w:val="22"/>
          <w:szCs w:val="22"/>
          <w:lang w:val="lt-LT" w:eastAsia="ja-JP"/>
        </w:rPr>
        <w:t>4.4</w:t>
      </w:r>
      <w:r w:rsidRPr="00715891">
        <w:rPr>
          <w:b/>
          <w:kern w:val="28"/>
          <w:sz w:val="22"/>
          <w:szCs w:val="22"/>
          <w:lang w:val="lt-LT" w:eastAsia="ja-JP"/>
        </w:rPr>
        <w:tab/>
        <w:t>Specialūs įspėjimai ir atsargumo priemonės</w:t>
      </w:r>
    </w:p>
    <w:p w14:paraId="2F9D92AD" w14:textId="77777777" w:rsidR="00107519" w:rsidRPr="00715891" w:rsidRDefault="00107519" w:rsidP="00107519">
      <w:pPr>
        <w:rPr>
          <w:sz w:val="22"/>
          <w:szCs w:val="22"/>
          <w:lang w:val="lt-LT" w:eastAsia="ja-JP"/>
        </w:rPr>
      </w:pPr>
    </w:p>
    <w:p w14:paraId="4B10CFA3" w14:textId="77777777" w:rsidR="001F6FCA" w:rsidRPr="00715891" w:rsidRDefault="001F6FCA" w:rsidP="00107519">
      <w:pPr>
        <w:rPr>
          <w:sz w:val="22"/>
          <w:szCs w:val="22"/>
          <w:u w:val="single"/>
          <w:lang w:val="lt-LT" w:eastAsia="ja-JP"/>
        </w:rPr>
      </w:pPr>
      <w:r w:rsidRPr="00715891">
        <w:rPr>
          <w:sz w:val="22"/>
          <w:szCs w:val="22"/>
          <w:u w:val="single"/>
          <w:lang w:val="lt-LT" w:eastAsia="ja-JP"/>
        </w:rPr>
        <w:t>Kryžminis padidėjęs jautrumas</w:t>
      </w:r>
    </w:p>
    <w:p w14:paraId="5EFA8EEB" w14:textId="0A0A4226" w:rsidR="001F6FCA" w:rsidRPr="00715891" w:rsidRDefault="001F6FCA" w:rsidP="00107519">
      <w:pPr>
        <w:rPr>
          <w:sz w:val="22"/>
          <w:szCs w:val="22"/>
          <w:lang w:val="lt-LT" w:eastAsia="ja-JP"/>
        </w:rPr>
      </w:pPr>
      <w:r w:rsidRPr="00715891">
        <w:rPr>
          <w:sz w:val="22"/>
          <w:szCs w:val="22"/>
          <w:lang w:val="lt-LT" w:eastAsia="ja-JP"/>
        </w:rPr>
        <w:t>Kadangi gancikloviro cheminė struktūra yra panaši į acikloviro ir pencikloviro, tarp šių vaistinių preparatų gali būti kryžminė padidėjusio jautrumo reakcija. Taigi Valganciclovir Sandoz turi būti skiriama atsargiai pacientams, kurių jautrumas aciklovirui ar penciklovirui (arba jų provaistams, atitinkamai valaciklovirui ar famcikl</w:t>
      </w:r>
      <w:r w:rsidR="008561C4" w:rsidRPr="00715891">
        <w:rPr>
          <w:sz w:val="22"/>
          <w:szCs w:val="22"/>
          <w:lang w:val="lt-LT" w:eastAsia="ja-JP"/>
        </w:rPr>
        <w:t>o</w:t>
      </w:r>
      <w:r w:rsidRPr="00715891">
        <w:rPr>
          <w:sz w:val="22"/>
          <w:szCs w:val="22"/>
          <w:lang w:val="lt-LT" w:eastAsia="ja-JP"/>
        </w:rPr>
        <w:t>virui) yra padidėjęs.</w:t>
      </w:r>
    </w:p>
    <w:p w14:paraId="4D49C8B4" w14:textId="77777777" w:rsidR="001F6FCA" w:rsidRPr="00715891" w:rsidRDefault="001F6FCA" w:rsidP="00107519">
      <w:pPr>
        <w:rPr>
          <w:sz w:val="22"/>
          <w:szCs w:val="22"/>
          <w:lang w:val="lt-LT" w:eastAsia="ja-JP"/>
        </w:rPr>
      </w:pPr>
    </w:p>
    <w:p w14:paraId="22A57A7C" w14:textId="77777777" w:rsidR="001F6FCA" w:rsidRPr="00715891" w:rsidRDefault="001F6FCA" w:rsidP="00107519">
      <w:pPr>
        <w:rPr>
          <w:sz w:val="22"/>
          <w:szCs w:val="22"/>
          <w:u w:val="single"/>
          <w:lang w:val="lt-LT" w:eastAsia="ja-JP"/>
        </w:rPr>
      </w:pPr>
      <w:r w:rsidRPr="00715891">
        <w:rPr>
          <w:sz w:val="22"/>
          <w:szCs w:val="22"/>
          <w:u w:val="single"/>
          <w:lang w:val="lt-LT" w:eastAsia="ja-JP"/>
        </w:rPr>
        <w:t>Mutageniškumas, teratogeniškumas, kancerogeniškumas, vaisingumas ir kontracepcija</w:t>
      </w:r>
    </w:p>
    <w:p w14:paraId="41589966" w14:textId="69072B93" w:rsidR="00107519" w:rsidRPr="00715891" w:rsidRDefault="00107519" w:rsidP="00107519">
      <w:pPr>
        <w:rPr>
          <w:sz w:val="22"/>
          <w:szCs w:val="22"/>
          <w:lang w:val="lt-LT" w:eastAsia="ja-JP"/>
        </w:rPr>
      </w:pPr>
      <w:r w:rsidRPr="00715891">
        <w:rPr>
          <w:sz w:val="22"/>
          <w:szCs w:val="22"/>
          <w:lang w:val="lt-LT" w:eastAsia="ja-JP"/>
        </w:rPr>
        <w:t xml:space="preserve">Prieš pradedant gydyti valgancikloviru pacientas turi būti informuotas apie galimą riziką vaisiui. Tyrimų su gyvūnais metu nustatyta, kad gancikloviras sukelia mutageninį, teratogeninį, aspermatogeninį, kancerogeninį poveikį ir slopina patelių vaisingumą. Taigi Valganciclovir Sandoz reikia laikyti potencialiu žmogaus teratogenu ir kancerogenu, galinčiu sukelti apsigimimus ir vėžį (žr. 5.3 skyrių). Taip pat manoma, kad Valganciclovir Sandoz tikriausiai sukelia laikiną arba nuolatinį spermatogenezės slopinimą. Vaisingo amžiaus moterį būtina informuoti, kad gydymo metu </w:t>
      </w:r>
      <w:r w:rsidR="001F6FCA" w:rsidRPr="00715891">
        <w:rPr>
          <w:sz w:val="22"/>
          <w:szCs w:val="22"/>
          <w:lang w:val="lt-LT" w:eastAsia="ja-JP"/>
        </w:rPr>
        <w:t xml:space="preserve">ir bent </w:t>
      </w:r>
      <w:r w:rsidR="007474E5" w:rsidRPr="00715891">
        <w:rPr>
          <w:sz w:val="22"/>
          <w:szCs w:val="22"/>
          <w:lang w:val="lt-LT" w:eastAsia="ja-JP"/>
        </w:rPr>
        <w:t>7 mėnesius</w:t>
      </w:r>
      <w:r w:rsidR="001F6FCA" w:rsidRPr="00715891">
        <w:rPr>
          <w:sz w:val="22"/>
          <w:szCs w:val="22"/>
          <w:lang w:val="lt-LT" w:eastAsia="ja-JP"/>
        </w:rPr>
        <w:t xml:space="preserve"> po </w:t>
      </w:r>
      <w:r w:rsidR="001B7CDA" w:rsidRPr="00715891">
        <w:rPr>
          <w:sz w:val="22"/>
          <w:szCs w:val="22"/>
          <w:lang w:val="lt-LT" w:eastAsia="ja-JP"/>
        </w:rPr>
        <w:t>jo baigimo</w:t>
      </w:r>
      <w:r w:rsidR="001F6FCA" w:rsidRPr="00715891">
        <w:rPr>
          <w:sz w:val="22"/>
          <w:szCs w:val="22"/>
          <w:lang w:val="lt-LT" w:eastAsia="ja-JP"/>
        </w:rPr>
        <w:t xml:space="preserve"> </w:t>
      </w:r>
      <w:r w:rsidRPr="00715891">
        <w:rPr>
          <w:sz w:val="22"/>
          <w:szCs w:val="22"/>
          <w:lang w:val="lt-LT" w:eastAsia="ja-JP"/>
        </w:rPr>
        <w:t xml:space="preserve">reikia taikyti patikimą kontracepciją. Vyrą būtina informuoti, kad gydymo metu ir bent </w:t>
      </w:r>
      <w:r w:rsidR="007474E5" w:rsidRPr="00715891">
        <w:rPr>
          <w:sz w:val="22"/>
          <w:szCs w:val="22"/>
          <w:lang w:val="lt-LT" w:eastAsia="ja-JP"/>
        </w:rPr>
        <w:t>4 mėnesius</w:t>
      </w:r>
      <w:r w:rsidRPr="00715891">
        <w:rPr>
          <w:sz w:val="22"/>
          <w:szCs w:val="22"/>
          <w:lang w:val="lt-LT" w:eastAsia="ja-JP"/>
        </w:rPr>
        <w:t xml:space="preserve"> po to reikia taikyti barjerinį kontracepcijos metodą, nebent vyras būtų tikras, kad partnerei nėra pastojimo rizikos (žr. 4.6, 4.8 ir 5.3 skyrius).</w:t>
      </w:r>
    </w:p>
    <w:p w14:paraId="7F01BA4A" w14:textId="77777777" w:rsidR="00107519" w:rsidRPr="00715891" w:rsidRDefault="00107519" w:rsidP="00107519">
      <w:pPr>
        <w:rPr>
          <w:sz w:val="22"/>
          <w:szCs w:val="22"/>
          <w:lang w:val="lt-LT" w:eastAsia="ja-JP"/>
        </w:rPr>
      </w:pPr>
    </w:p>
    <w:p w14:paraId="005499BB" w14:textId="4B0ACD8E" w:rsidR="00107519" w:rsidRPr="00715891" w:rsidRDefault="00107519" w:rsidP="00107519">
      <w:pPr>
        <w:rPr>
          <w:i/>
          <w:sz w:val="22"/>
          <w:szCs w:val="22"/>
          <w:lang w:val="lt-LT" w:eastAsia="ja-JP"/>
        </w:rPr>
      </w:pPr>
      <w:r w:rsidRPr="00715891">
        <w:rPr>
          <w:sz w:val="22"/>
          <w:szCs w:val="22"/>
          <w:lang w:val="lt-LT" w:eastAsia="ja-JP"/>
        </w:rPr>
        <w:t>Valganciklovirui būdinga galimybė sukelti kancerogeniškumą ir toksinį poveik</w:t>
      </w:r>
      <w:r w:rsidR="008561C4" w:rsidRPr="00715891">
        <w:rPr>
          <w:sz w:val="22"/>
          <w:szCs w:val="22"/>
          <w:lang w:val="lt-LT" w:eastAsia="ja-JP"/>
        </w:rPr>
        <w:t>į</w:t>
      </w:r>
      <w:r w:rsidRPr="00715891">
        <w:rPr>
          <w:sz w:val="22"/>
          <w:szCs w:val="22"/>
          <w:lang w:val="lt-LT" w:eastAsia="ja-JP"/>
        </w:rPr>
        <w:t xml:space="preserve"> vaisingumui yra ilgalaikė.</w:t>
      </w:r>
    </w:p>
    <w:p w14:paraId="489A3D53" w14:textId="77777777" w:rsidR="00107519" w:rsidRPr="00715891" w:rsidRDefault="00107519" w:rsidP="00107519">
      <w:pPr>
        <w:rPr>
          <w:sz w:val="22"/>
          <w:szCs w:val="22"/>
          <w:lang w:val="lt-LT" w:eastAsia="ja-JP"/>
        </w:rPr>
      </w:pPr>
    </w:p>
    <w:p w14:paraId="602F814D" w14:textId="77777777" w:rsidR="001B7CDA" w:rsidRPr="00715891" w:rsidRDefault="001B7CDA" w:rsidP="00107519">
      <w:pPr>
        <w:rPr>
          <w:sz w:val="22"/>
          <w:szCs w:val="22"/>
          <w:u w:val="single"/>
          <w:lang w:val="lt-LT" w:eastAsia="ja-JP"/>
        </w:rPr>
      </w:pPr>
      <w:r w:rsidRPr="00715891">
        <w:rPr>
          <w:sz w:val="22"/>
          <w:szCs w:val="22"/>
          <w:u w:val="single"/>
          <w:lang w:val="lt-LT" w:eastAsia="ja-JP"/>
        </w:rPr>
        <w:t xml:space="preserve">Kaulų čiulpų slopinimas </w:t>
      </w:r>
    </w:p>
    <w:p w14:paraId="198061A2" w14:textId="531F991E" w:rsidR="00107519" w:rsidRPr="00715891" w:rsidRDefault="00107519" w:rsidP="00107519">
      <w:pPr>
        <w:rPr>
          <w:sz w:val="22"/>
          <w:szCs w:val="22"/>
          <w:lang w:val="lt-LT" w:eastAsia="ja-JP"/>
        </w:rPr>
      </w:pPr>
      <w:r w:rsidRPr="00715891">
        <w:rPr>
          <w:sz w:val="22"/>
          <w:szCs w:val="22"/>
          <w:lang w:val="lt-LT" w:eastAsia="ja-JP"/>
        </w:rPr>
        <w:t xml:space="preserve">Pacientams, gydomiems valgancikloviru (ir gancikloviru), buvo pastebėta sunki leukopenija, neutropenija, anemija, trombocitopenija, pancitopenija, kaulų čiulpų </w:t>
      </w:r>
      <w:r w:rsidR="001B7CDA" w:rsidRPr="00715891">
        <w:rPr>
          <w:sz w:val="22"/>
          <w:szCs w:val="22"/>
          <w:lang w:val="lt-LT" w:eastAsia="ja-JP"/>
        </w:rPr>
        <w:t xml:space="preserve">nepakankamumas </w:t>
      </w:r>
      <w:r w:rsidRPr="00715891">
        <w:rPr>
          <w:sz w:val="22"/>
          <w:szCs w:val="22"/>
          <w:lang w:val="lt-LT" w:eastAsia="ja-JP"/>
        </w:rPr>
        <w:t>ir aplazinė anemija. Jei absoliutus neutrofilų skaičius mažesnis kaip 500</w:t>
      </w:r>
      <w:r w:rsidR="007059D4" w:rsidRPr="00715891">
        <w:rPr>
          <w:sz w:val="22"/>
          <w:szCs w:val="22"/>
          <w:lang w:val="lt-LT" w:eastAsia="ja-JP"/>
        </w:rPr>
        <w:t> </w:t>
      </w:r>
      <w:r w:rsidRPr="00715891">
        <w:rPr>
          <w:sz w:val="22"/>
          <w:szCs w:val="22"/>
          <w:lang w:val="lt-LT" w:eastAsia="ja-JP"/>
        </w:rPr>
        <w:t>ląstelių/</w:t>
      </w:r>
      <w:r w:rsidRPr="00715891">
        <w:rPr>
          <w:sz w:val="22"/>
          <w:szCs w:val="22"/>
          <w:lang w:val="lt-LT" w:eastAsia="ja-JP"/>
        </w:rPr>
        <w:sym w:font="Symbol" w:char="F06D"/>
      </w:r>
      <w:r w:rsidRPr="00715891">
        <w:rPr>
          <w:sz w:val="22"/>
          <w:szCs w:val="22"/>
          <w:lang w:val="lt-LT" w:eastAsia="ja-JP"/>
        </w:rPr>
        <w:t>l, trombocitų skaičius mažesnis kaip 25 000/</w:t>
      </w:r>
      <w:r w:rsidRPr="00715891">
        <w:rPr>
          <w:sz w:val="22"/>
          <w:szCs w:val="22"/>
          <w:lang w:val="lt-LT" w:eastAsia="ja-JP"/>
        </w:rPr>
        <w:sym w:font="Symbol" w:char="F06D"/>
      </w:r>
      <w:r w:rsidRPr="00715891">
        <w:rPr>
          <w:sz w:val="22"/>
          <w:szCs w:val="22"/>
          <w:lang w:val="lt-LT" w:eastAsia="ja-JP"/>
        </w:rPr>
        <w:t>l arba hemoglobino kiekis mažesnis kaip 8 g/dl, gydymo pradėti negalima (žr. 4.2 ir 4.8 skyrius).</w:t>
      </w:r>
    </w:p>
    <w:p w14:paraId="6D2E4496" w14:textId="77777777" w:rsidR="00107519" w:rsidRPr="00715891" w:rsidRDefault="00107519" w:rsidP="00107519">
      <w:pPr>
        <w:rPr>
          <w:sz w:val="22"/>
          <w:szCs w:val="22"/>
          <w:lang w:val="lt-LT" w:eastAsia="ja-JP"/>
        </w:rPr>
      </w:pPr>
    </w:p>
    <w:p w14:paraId="230A2C4D" w14:textId="7E41F141" w:rsidR="00107519" w:rsidRPr="00715891" w:rsidRDefault="00107519" w:rsidP="00107519">
      <w:pPr>
        <w:rPr>
          <w:sz w:val="22"/>
          <w:szCs w:val="22"/>
          <w:lang w:val="lt-LT" w:eastAsia="ja-JP"/>
        </w:rPr>
      </w:pPr>
      <w:r w:rsidRPr="00715891">
        <w:rPr>
          <w:sz w:val="22"/>
          <w:szCs w:val="22"/>
          <w:lang w:val="lt-LT" w:eastAsia="ja-JP"/>
        </w:rPr>
        <w:t>Kai profilaktika tęsiama ilgiau nei 100</w:t>
      </w:r>
      <w:r w:rsidR="007059D4" w:rsidRPr="00715891">
        <w:rPr>
          <w:sz w:val="22"/>
          <w:szCs w:val="22"/>
          <w:lang w:val="lt-LT" w:eastAsia="ja-JP"/>
        </w:rPr>
        <w:t> </w:t>
      </w:r>
      <w:r w:rsidRPr="00715891">
        <w:rPr>
          <w:sz w:val="22"/>
          <w:szCs w:val="22"/>
          <w:lang w:val="lt-LT" w:eastAsia="ja-JP"/>
        </w:rPr>
        <w:t>parų, turi būti pagalvota apie galimą leukopenijos ir neutropenijos riziką (žr. 4.2, 4.8 ir 5.1 skyrius).</w:t>
      </w:r>
    </w:p>
    <w:p w14:paraId="5852388C" w14:textId="77777777" w:rsidR="00107519" w:rsidRPr="00715891" w:rsidRDefault="00107519" w:rsidP="00107519">
      <w:pPr>
        <w:rPr>
          <w:sz w:val="22"/>
          <w:szCs w:val="22"/>
          <w:lang w:val="lt-LT" w:eastAsia="ja-JP"/>
        </w:rPr>
      </w:pPr>
    </w:p>
    <w:p w14:paraId="65504400" w14:textId="77777777" w:rsidR="00107519" w:rsidRPr="00715891" w:rsidRDefault="00107519" w:rsidP="00107519">
      <w:pPr>
        <w:rPr>
          <w:sz w:val="22"/>
          <w:szCs w:val="22"/>
          <w:lang w:val="lt-LT" w:eastAsia="ja-JP"/>
        </w:rPr>
      </w:pPr>
      <w:r w:rsidRPr="00715891">
        <w:rPr>
          <w:sz w:val="22"/>
          <w:szCs w:val="22"/>
          <w:lang w:val="lt-LT" w:eastAsia="ja-JP"/>
        </w:rPr>
        <w:t>Valganciclovir Sandoz turi būti vartojamas atsargiai pacientams, kuriems yra iš anksčiau sumažėjęs kraujo ląstelių skaičius arba anksčiau buvo su vaistiniais preparatais susijęs kraujo ląstelių skaičiaus sumažėjimas, taip pat pacientams, kuriems taikoma radioterapija.</w:t>
      </w:r>
    </w:p>
    <w:p w14:paraId="534D987A" w14:textId="77777777" w:rsidR="00107519" w:rsidRPr="00715891" w:rsidRDefault="00107519" w:rsidP="00107519">
      <w:pPr>
        <w:rPr>
          <w:sz w:val="22"/>
          <w:szCs w:val="22"/>
          <w:lang w:val="lt-LT" w:eastAsia="ja-JP"/>
        </w:rPr>
      </w:pPr>
    </w:p>
    <w:p w14:paraId="62DF7069" w14:textId="77777777" w:rsidR="00107519" w:rsidRPr="00715891" w:rsidRDefault="00107519" w:rsidP="00107519">
      <w:pPr>
        <w:rPr>
          <w:sz w:val="22"/>
          <w:szCs w:val="22"/>
          <w:lang w:val="lt-LT" w:eastAsia="ja-JP"/>
        </w:rPr>
      </w:pPr>
      <w:r w:rsidRPr="00715891">
        <w:rPr>
          <w:sz w:val="22"/>
          <w:szCs w:val="22"/>
          <w:lang w:val="lt-LT" w:eastAsia="ja-JP"/>
        </w:rPr>
        <w:t>Gydymo metu rekomenduojama reguliariai stebėti bendro kraujo tyrimo rodmenis ir trombocitų skaičių. Pacientų, kurių inkstų veikla sutrikusi, bei vaikų kraują reikia tirti dažniau (bent jau kiekvieno apsilankymo transplantologijos klinikoje metu).</w:t>
      </w:r>
      <w:r w:rsidRPr="00715891">
        <w:rPr>
          <w:b/>
          <w:sz w:val="22"/>
          <w:szCs w:val="22"/>
          <w:lang w:val="lt-LT" w:eastAsia="ja-JP"/>
        </w:rPr>
        <w:t xml:space="preserve"> </w:t>
      </w:r>
      <w:r w:rsidRPr="00715891">
        <w:rPr>
          <w:sz w:val="22"/>
          <w:szCs w:val="22"/>
          <w:lang w:val="lt-LT" w:eastAsia="ja-JP"/>
        </w:rPr>
        <w:t>Jeigu pasireiškia sunki leukopenija, neutropenija, anemija ir (arba) trombocitopenija, rekomenduojama apsvarstyti, ar nereikia gydyti kraujo ląstelių augimo faktoriais ir (arba) nutraukti dozavimą (žr. 4.2 skyrių).</w:t>
      </w:r>
    </w:p>
    <w:p w14:paraId="30E86228" w14:textId="77777777" w:rsidR="00107519" w:rsidRPr="00715891" w:rsidRDefault="00107519" w:rsidP="00107519">
      <w:pPr>
        <w:rPr>
          <w:sz w:val="22"/>
          <w:szCs w:val="22"/>
          <w:lang w:val="lt-LT" w:eastAsia="ja-JP"/>
        </w:rPr>
      </w:pPr>
    </w:p>
    <w:p w14:paraId="5E0A7597" w14:textId="77777777" w:rsidR="001B7CDA" w:rsidRPr="00715891" w:rsidRDefault="001B7CDA" w:rsidP="00107519">
      <w:pPr>
        <w:rPr>
          <w:sz w:val="22"/>
          <w:szCs w:val="22"/>
          <w:u w:val="single"/>
          <w:lang w:val="lt-LT" w:eastAsia="ja-JP"/>
        </w:rPr>
      </w:pPr>
      <w:r w:rsidRPr="00715891">
        <w:rPr>
          <w:sz w:val="22"/>
          <w:szCs w:val="22"/>
          <w:u w:val="single"/>
          <w:lang w:val="lt-LT" w:eastAsia="ja-JP"/>
        </w:rPr>
        <w:t xml:space="preserve">Biologinio prieinamumo skirtumas lyginant su geriamuoju gancikloviru </w:t>
      </w:r>
    </w:p>
    <w:p w14:paraId="524E129F" w14:textId="42817880" w:rsidR="00107519" w:rsidRPr="00715891" w:rsidRDefault="00107519" w:rsidP="00107519">
      <w:pPr>
        <w:rPr>
          <w:sz w:val="22"/>
          <w:szCs w:val="22"/>
          <w:lang w:val="lt-LT" w:eastAsia="ja-JP"/>
        </w:rPr>
      </w:pPr>
      <w:r w:rsidRPr="00715891">
        <w:rPr>
          <w:sz w:val="22"/>
          <w:szCs w:val="22"/>
          <w:lang w:val="lt-LT" w:eastAsia="ja-JP"/>
        </w:rPr>
        <w:t>Po vienkartinės 900 mg valgancikloviro dozės gancikloviro biologinis pasisavinimas yra apie 60 %, palyginti su maždaug 6 % biologiniu pasisavinimu išgėrus 1</w:t>
      </w:r>
      <w:r w:rsidR="007059D4" w:rsidRPr="00715891">
        <w:rPr>
          <w:sz w:val="22"/>
          <w:szCs w:val="22"/>
          <w:lang w:val="lt-LT" w:eastAsia="ja-JP"/>
        </w:rPr>
        <w:t> </w:t>
      </w:r>
      <w:r w:rsidRPr="00715891">
        <w:rPr>
          <w:sz w:val="22"/>
          <w:szCs w:val="22"/>
          <w:lang w:val="lt-LT" w:eastAsia="ja-JP"/>
        </w:rPr>
        <w:t>000 mg gancikloviro (kapsulėmis). Pernelyg didelė ekspozicija gancikloviru gali būti susijusi su gyvybei pavojingomis nepageidaujamomis reakcijomis. Taigi pradedant gydyti ir pereinant nuo įvadinio gydymo prie palaikomojo reikia tiksliai laikytis dozavimo rekomendacijų. Taip reikia elgtis ir geriamą ganciklovirą keičiant valgancikloviru, nes gancikloviro kapsulių negalima pakeisti tokiu pačiu Valganciclovir Sandoz tablečių skaičiumi. Pereinantis nuo gancikloviro kapsulių pacientas turi būti informuotas apie perdozavimo riziką, jeigu vartos Valganciclovir Sandoz tablečių daugiau, negu paskirta (žr. 4.2 ir 4.9 skyrius).</w:t>
      </w:r>
    </w:p>
    <w:p w14:paraId="182D45C4" w14:textId="77777777" w:rsidR="00107519" w:rsidRPr="00715891" w:rsidRDefault="00107519" w:rsidP="00107519">
      <w:pPr>
        <w:rPr>
          <w:sz w:val="22"/>
          <w:szCs w:val="22"/>
          <w:lang w:val="lt-LT" w:eastAsia="ja-JP"/>
        </w:rPr>
      </w:pPr>
    </w:p>
    <w:p w14:paraId="1BDA282D" w14:textId="5FE3D1C4" w:rsidR="001B7CDA" w:rsidRPr="00715891" w:rsidRDefault="001B7CDA" w:rsidP="00107519">
      <w:pPr>
        <w:rPr>
          <w:sz w:val="22"/>
          <w:szCs w:val="22"/>
          <w:u w:val="single"/>
          <w:lang w:val="lt-LT" w:eastAsia="ja-JP"/>
        </w:rPr>
      </w:pPr>
      <w:r w:rsidRPr="00715891">
        <w:rPr>
          <w:sz w:val="22"/>
          <w:u w:val="single"/>
          <w:lang w:val="lt-LT"/>
        </w:rPr>
        <w:t xml:space="preserve">Pacientams, kurių inkstų </w:t>
      </w:r>
      <w:r w:rsidRPr="00715891">
        <w:rPr>
          <w:sz w:val="22"/>
          <w:szCs w:val="22"/>
          <w:u w:val="single"/>
          <w:lang w:val="lt-LT" w:eastAsia="ja-JP"/>
        </w:rPr>
        <w:t xml:space="preserve">funkcija sutrikusi </w:t>
      </w:r>
    </w:p>
    <w:p w14:paraId="1B441420" w14:textId="29E39E75" w:rsidR="00107519" w:rsidRPr="00715891" w:rsidRDefault="00107519" w:rsidP="00107519">
      <w:pPr>
        <w:rPr>
          <w:sz w:val="22"/>
          <w:szCs w:val="22"/>
          <w:lang w:val="lt-LT" w:eastAsia="ja-JP"/>
        </w:rPr>
      </w:pPr>
      <w:r w:rsidRPr="00715891">
        <w:rPr>
          <w:sz w:val="22"/>
          <w:szCs w:val="22"/>
          <w:lang w:val="lt-LT" w:eastAsia="ja-JP"/>
        </w:rPr>
        <w:t xml:space="preserve">Pacientams, kurių inkstų </w:t>
      </w:r>
      <w:r w:rsidR="001B7CDA" w:rsidRPr="00715891">
        <w:rPr>
          <w:sz w:val="22"/>
          <w:szCs w:val="22"/>
          <w:lang w:val="lt-LT" w:eastAsia="ja-JP"/>
        </w:rPr>
        <w:t xml:space="preserve">funkcija </w:t>
      </w:r>
      <w:r w:rsidRPr="00715891">
        <w:rPr>
          <w:sz w:val="22"/>
          <w:szCs w:val="22"/>
          <w:lang w:val="lt-LT" w:eastAsia="ja-JP"/>
        </w:rPr>
        <w:t>sutrikusi, dozavimą būtina priderinti remiantis kreatinino klirensu (žr. 4.2 ir 5.2 skyrius ).</w:t>
      </w:r>
    </w:p>
    <w:p w14:paraId="1DC4D7EF" w14:textId="77777777" w:rsidR="00107519" w:rsidRPr="00715891" w:rsidRDefault="00107519" w:rsidP="00107519">
      <w:pPr>
        <w:rPr>
          <w:sz w:val="22"/>
          <w:szCs w:val="22"/>
          <w:lang w:val="lt-LT" w:eastAsia="ja-JP"/>
        </w:rPr>
      </w:pPr>
    </w:p>
    <w:p w14:paraId="239CAA2B" w14:textId="77777777" w:rsidR="00107519" w:rsidRPr="00715891" w:rsidRDefault="00107519" w:rsidP="00107519">
      <w:pPr>
        <w:rPr>
          <w:sz w:val="22"/>
          <w:szCs w:val="22"/>
          <w:lang w:val="lt-LT" w:eastAsia="ja-JP"/>
        </w:rPr>
      </w:pPr>
      <w:r w:rsidRPr="00715891">
        <w:rPr>
          <w:sz w:val="22"/>
          <w:szCs w:val="22"/>
          <w:lang w:val="lt-LT" w:eastAsia="ja-JP"/>
        </w:rPr>
        <w:t>Valganciclovir Sandoz plėvele dengtų tablečių turi būti nevartojama hemodializuojamiems pacientams (žr. 4.2 ir 5.2 skyrius).</w:t>
      </w:r>
    </w:p>
    <w:p w14:paraId="4C38EBE4" w14:textId="77777777" w:rsidR="00107519" w:rsidRPr="00715891" w:rsidRDefault="00107519" w:rsidP="00107519">
      <w:pPr>
        <w:rPr>
          <w:sz w:val="22"/>
          <w:szCs w:val="22"/>
          <w:lang w:val="lt-LT" w:eastAsia="ja-JP"/>
        </w:rPr>
      </w:pPr>
    </w:p>
    <w:p w14:paraId="3EBE737A" w14:textId="77777777" w:rsidR="001B7CDA" w:rsidRPr="00715891" w:rsidRDefault="001B7CDA" w:rsidP="00107519">
      <w:pPr>
        <w:rPr>
          <w:sz w:val="22"/>
          <w:szCs w:val="22"/>
          <w:u w:val="single"/>
          <w:lang w:val="lt-LT" w:eastAsia="ja-JP"/>
        </w:rPr>
      </w:pPr>
      <w:r w:rsidRPr="00715891">
        <w:rPr>
          <w:sz w:val="22"/>
          <w:szCs w:val="22"/>
          <w:u w:val="single"/>
          <w:lang w:val="lt-LT" w:eastAsia="ja-JP"/>
        </w:rPr>
        <w:t>Vartojimas kartu su kitais vaistiniais preparatais</w:t>
      </w:r>
    </w:p>
    <w:p w14:paraId="2B60ED82" w14:textId="77777777" w:rsidR="00107519" w:rsidRPr="00715891" w:rsidRDefault="00107519" w:rsidP="00107519">
      <w:pPr>
        <w:rPr>
          <w:sz w:val="22"/>
          <w:szCs w:val="22"/>
          <w:lang w:val="lt-LT" w:eastAsia="ja-JP"/>
        </w:rPr>
      </w:pPr>
      <w:r w:rsidRPr="00715891">
        <w:rPr>
          <w:sz w:val="22"/>
          <w:szCs w:val="22"/>
          <w:lang w:val="lt-LT" w:eastAsia="ja-JP"/>
        </w:rPr>
        <w:t>Gauta pranešimų apie traukulius pacientams, kurie vartojo imipenemo-cilastatino kartu su gancikloviru. Valgancikloviro turi būti nevartojama kartu su imipenemu-cilastatinu, nebent galima nauda persvertų galimą riziką (žr. 4.5 skyrių).</w:t>
      </w:r>
    </w:p>
    <w:p w14:paraId="40845411" w14:textId="77777777" w:rsidR="00107519" w:rsidRPr="00715891" w:rsidRDefault="00107519" w:rsidP="00107519">
      <w:pPr>
        <w:rPr>
          <w:sz w:val="22"/>
          <w:szCs w:val="22"/>
          <w:lang w:val="lt-LT" w:eastAsia="ja-JP"/>
        </w:rPr>
      </w:pPr>
    </w:p>
    <w:p w14:paraId="2F99E0BA" w14:textId="41F3431D" w:rsidR="00107519" w:rsidRPr="00715891" w:rsidRDefault="00107519" w:rsidP="00107519">
      <w:pPr>
        <w:rPr>
          <w:sz w:val="22"/>
          <w:szCs w:val="22"/>
          <w:lang w:val="lt-LT" w:eastAsia="ja-JP"/>
        </w:rPr>
      </w:pPr>
      <w:r w:rsidRPr="00715891">
        <w:rPr>
          <w:sz w:val="22"/>
          <w:szCs w:val="22"/>
          <w:lang w:val="lt-LT" w:eastAsia="ja-JP"/>
        </w:rPr>
        <w:t>Vienu metu gydant valgancikloviru ir (a) didanozinu, (b) vaistiniais preparatais, kurie slopina kaulų čiulpus (pvz., zidovudinu) arba (c) inkstų</w:t>
      </w:r>
      <w:r w:rsidRPr="00715891">
        <w:rPr>
          <w:color w:val="000000"/>
          <w:sz w:val="22"/>
          <w:szCs w:val="22"/>
          <w:lang w:val="lt-LT" w:eastAsia="ja-JP"/>
        </w:rPr>
        <w:t xml:space="preserve"> funkciją veikiančiomis medžiagomis, pacientą reikia atidžia</w:t>
      </w:r>
      <w:r w:rsidR="008561C4" w:rsidRPr="00715891">
        <w:rPr>
          <w:color w:val="000000"/>
          <w:sz w:val="22"/>
          <w:szCs w:val="22"/>
          <w:lang w:val="lt-LT" w:eastAsia="ja-JP"/>
        </w:rPr>
        <w:t>i</w:t>
      </w:r>
      <w:r w:rsidRPr="00715891">
        <w:rPr>
          <w:color w:val="000000"/>
          <w:sz w:val="22"/>
          <w:szCs w:val="22"/>
          <w:lang w:val="lt-LT" w:eastAsia="ja-JP"/>
        </w:rPr>
        <w:t xml:space="preserve"> stebėti dėl papildomo toksinio poveikio požymių </w:t>
      </w:r>
      <w:r w:rsidRPr="00715891">
        <w:rPr>
          <w:sz w:val="22"/>
          <w:szCs w:val="22"/>
          <w:lang w:val="lt-LT" w:eastAsia="ja-JP"/>
        </w:rPr>
        <w:t>(žr. 4.5 skyrių).</w:t>
      </w:r>
    </w:p>
    <w:p w14:paraId="3D4EFD29" w14:textId="77777777" w:rsidR="00107519" w:rsidRPr="00715891" w:rsidRDefault="00107519" w:rsidP="00107519">
      <w:pPr>
        <w:rPr>
          <w:sz w:val="22"/>
          <w:szCs w:val="22"/>
          <w:lang w:val="lt-LT" w:eastAsia="ja-JP"/>
        </w:rPr>
      </w:pPr>
      <w:r w:rsidRPr="00715891">
        <w:rPr>
          <w:sz w:val="22"/>
          <w:szCs w:val="22"/>
          <w:lang w:val="lt-LT" w:eastAsia="ja-JP"/>
        </w:rPr>
        <w:t>Atliekant pacientų, kuriems persodinami organai, CMV infekcijos profilaktinio gydymo valgancikloviru kontroliuojamą klinikinį tyrimą (detalizuotą 5.1 skyriuje), į jį nebuvo įtraukti pacientai, kuriems persodinti plaučiai ir žarnos. Taigi patirtis šioje pacientų grupėje yra ribota.</w:t>
      </w:r>
    </w:p>
    <w:p w14:paraId="1A52F393" w14:textId="77777777" w:rsidR="00107519" w:rsidRPr="00715891" w:rsidRDefault="00107519" w:rsidP="00107519">
      <w:pPr>
        <w:rPr>
          <w:sz w:val="22"/>
          <w:szCs w:val="22"/>
          <w:lang w:val="lt-LT" w:eastAsia="ja-JP"/>
        </w:rPr>
      </w:pPr>
    </w:p>
    <w:p w14:paraId="7B571488" w14:textId="77777777" w:rsidR="00107519" w:rsidRPr="00715891" w:rsidRDefault="00107519" w:rsidP="00107519">
      <w:pPr>
        <w:ind w:left="567" w:hanging="567"/>
        <w:outlineLvl w:val="1"/>
        <w:rPr>
          <w:b/>
          <w:kern w:val="28"/>
          <w:sz w:val="22"/>
          <w:szCs w:val="22"/>
          <w:lang w:val="lt-LT" w:eastAsia="ja-JP"/>
        </w:rPr>
      </w:pPr>
      <w:r w:rsidRPr="00715891">
        <w:rPr>
          <w:b/>
          <w:kern w:val="28"/>
          <w:sz w:val="22"/>
          <w:szCs w:val="22"/>
          <w:lang w:val="lt-LT" w:eastAsia="ja-JP"/>
        </w:rPr>
        <w:t>4.5</w:t>
      </w:r>
      <w:r w:rsidRPr="00715891">
        <w:rPr>
          <w:b/>
          <w:kern w:val="28"/>
          <w:sz w:val="22"/>
          <w:szCs w:val="22"/>
          <w:lang w:val="lt-LT" w:eastAsia="ja-JP"/>
        </w:rPr>
        <w:tab/>
        <w:t>Sąveika su kitais vaistiniais preparatais ir kitokia sąveika</w:t>
      </w:r>
    </w:p>
    <w:p w14:paraId="56BBA635" w14:textId="77777777" w:rsidR="00107519" w:rsidRPr="00715891" w:rsidRDefault="00107519" w:rsidP="00107519">
      <w:pPr>
        <w:rPr>
          <w:sz w:val="22"/>
          <w:szCs w:val="22"/>
          <w:u w:val="single"/>
          <w:lang w:val="lt-LT" w:eastAsia="ja-JP"/>
        </w:rPr>
      </w:pPr>
    </w:p>
    <w:p w14:paraId="77E42262" w14:textId="2C62937E" w:rsidR="00107519" w:rsidRPr="00715891" w:rsidRDefault="001B7CDA" w:rsidP="00107519">
      <w:pPr>
        <w:rPr>
          <w:sz w:val="22"/>
          <w:szCs w:val="22"/>
          <w:u w:val="single"/>
          <w:lang w:val="lt-LT" w:eastAsia="ja-JP"/>
        </w:rPr>
      </w:pPr>
      <w:r w:rsidRPr="00715891">
        <w:rPr>
          <w:sz w:val="22"/>
          <w:szCs w:val="22"/>
          <w:u w:val="single"/>
          <w:lang w:val="lt-LT" w:eastAsia="ja-JP"/>
        </w:rPr>
        <w:t xml:space="preserve">Vaistinių preparatų </w:t>
      </w:r>
      <w:r w:rsidR="00107519" w:rsidRPr="00715891">
        <w:rPr>
          <w:sz w:val="22"/>
          <w:szCs w:val="22"/>
          <w:u w:val="single"/>
          <w:lang w:val="lt-LT" w:eastAsia="ja-JP"/>
        </w:rPr>
        <w:t>sąveikos su valgancikloviru</w:t>
      </w:r>
    </w:p>
    <w:p w14:paraId="0607EF5C" w14:textId="42D15741" w:rsidR="00107519" w:rsidRPr="00715891" w:rsidRDefault="00107519" w:rsidP="00107519">
      <w:pPr>
        <w:rPr>
          <w:sz w:val="22"/>
          <w:szCs w:val="22"/>
          <w:lang w:val="lt-LT" w:eastAsia="ja-JP"/>
        </w:rPr>
      </w:pPr>
      <w:r w:rsidRPr="00715891">
        <w:rPr>
          <w:i/>
          <w:sz w:val="22"/>
          <w:szCs w:val="22"/>
          <w:lang w:val="lt-LT" w:eastAsia="ja-JP"/>
        </w:rPr>
        <w:t>In vivo</w:t>
      </w:r>
      <w:r w:rsidRPr="00715891">
        <w:rPr>
          <w:sz w:val="22"/>
          <w:szCs w:val="22"/>
          <w:lang w:val="lt-LT" w:eastAsia="ja-JP"/>
        </w:rPr>
        <w:t xml:space="preserve"> vaist</w:t>
      </w:r>
      <w:r w:rsidR="00B957C0" w:rsidRPr="00715891">
        <w:rPr>
          <w:sz w:val="22"/>
          <w:szCs w:val="22"/>
          <w:lang w:val="lt-LT" w:eastAsia="ja-JP"/>
        </w:rPr>
        <w:t>ini</w:t>
      </w:r>
      <w:r w:rsidRPr="00715891">
        <w:rPr>
          <w:sz w:val="22"/>
          <w:szCs w:val="22"/>
          <w:lang w:val="lt-LT" w:eastAsia="ja-JP"/>
        </w:rPr>
        <w:t>ų</w:t>
      </w:r>
      <w:r w:rsidR="00B957C0" w:rsidRPr="00715891">
        <w:rPr>
          <w:sz w:val="22"/>
          <w:szCs w:val="22"/>
          <w:lang w:val="lt-LT" w:eastAsia="ja-JP"/>
        </w:rPr>
        <w:t xml:space="preserve"> preparatų</w:t>
      </w:r>
      <w:r w:rsidRPr="00715891">
        <w:rPr>
          <w:sz w:val="22"/>
          <w:szCs w:val="22"/>
          <w:lang w:val="lt-LT" w:eastAsia="ja-JP"/>
        </w:rPr>
        <w:t xml:space="preserve"> sąveika su Valganciclovir Sandoz netirta. Kadangi valgancikloviras ekstensyviai ir greitai metabolizuojamas į ganciklovirą, su gancik</w:t>
      </w:r>
      <w:r w:rsidR="005E54D2">
        <w:rPr>
          <w:sz w:val="22"/>
          <w:szCs w:val="22"/>
          <w:lang w:val="lt-LT" w:eastAsia="ja-JP"/>
        </w:rPr>
        <w:t>l</w:t>
      </w:r>
      <w:r w:rsidRPr="00715891">
        <w:rPr>
          <w:sz w:val="22"/>
          <w:szCs w:val="22"/>
          <w:lang w:val="lt-LT" w:eastAsia="ja-JP"/>
        </w:rPr>
        <w:t>oviru susijusios vaist</w:t>
      </w:r>
      <w:r w:rsidR="00B957C0" w:rsidRPr="00715891">
        <w:rPr>
          <w:sz w:val="22"/>
          <w:szCs w:val="22"/>
          <w:lang w:val="lt-LT" w:eastAsia="ja-JP"/>
        </w:rPr>
        <w:t>ini</w:t>
      </w:r>
      <w:r w:rsidRPr="00715891">
        <w:rPr>
          <w:sz w:val="22"/>
          <w:szCs w:val="22"/>
          <w:lang w:val="lt-LT" w:eastAsia="ja-JP"/>
        </w:rPr>
        <w:t xml:space="preserve">ų </w:t>
      </w:r>
      <w:r w:rsidR="00B957C0" w:rsidRPr="00715891">
        <w:rPr>
          <w:sz w:val="22"/>
          <w:szCs w:val="22"/>
          <w:lang w:val="lt-LT" w:eastAsia="ja-JP"/>
        </w:rPr>
        <w:t xml:space="preserve">preparatų </w:t>
      </w:r>
      <w:r w:rsidRPr="00715891">
        <w:rPr>
          <w:sz w:val="22"/>
          <w:szCs w:val="22"/>
          <w:lang w:val="lt-LT" w:eastAsia="ja-JP"/>
        </w:rPr>
        <w:t>sąveikos galima laukti ir valganciklovirui.</w:t>
      </w:r>
    </w:p>
    <w:p w14:paraId="7976434E" w14:textId="77777777" w:rsidR="00107519" w:rsidRPr="00715891" w:rsidRDefault="00107519" w:rsidP="00107519">
      <w:pPr>
        <w:rPr>
          <w:sz w:val="22"/>
          <w:szCs w:val="22"/>
          <w:lang w:val="lt-LT" w:eastAsia="ja-JP"/>
        </w:rPr>
      </w:pPr>
    </w:p>
    <w:p w14:paraId="490111F4" w14:textId="26CB35DA" w:rsidR="00107519" w:rsidRPr="00715891" w:rsidRDefault="001B7CDA" w:rsidP="00107519">
      <w:pPr>
        <w:rPr>
          <w:sz w:val="22"/>
          <w:szCs w:val="22"/>
          <w:u w:val="single"/>
          <w:lang w:val="lt-LT" w:eastAsia="ja-JP"/>
        </w:rPr>
      </w:pPr>
      <w:r w:rsidRPr="00715891">
        <w:rPr>
          <w:sz w:val="22"/>
          <w:szCs w:val="22"/>
          <w:u w:val="single"/>
          <w:lang w:val="lt-LT" w:eastAsia="ja-JP"/>
        </w:rPr>
        <w:t>Vaistinių preparatų</w:t>
      </w:r>
      <w:r w:rsidR="00107519" w:rsidRPr="00715891">
        <w:rPr>
          <w:sz w:val="22"/>
          <w:szCs w:val="22"/>
          <w:u w:val="single"/>
          <w:lang w:val="lt-LT" w:eastAsia="ja-JP"/>
        </w:rPr>
        <w:t xml:space="preserve"> sąveikos su gancikloviru</w:t>
      </w:r>
    </w:p>
    <w:p w14:paraId="491A98FA" w14:textId="0EC6597C" w:rsidR="00B32ADD" w:rsidRPr="00715891" w:rsidRDefault="00B32ADD" w:rsidP="00107519">
      <w:pPr>
        <w:rPr>
          <w:sz w:val="22"/>
          <w:szCs w:val="22"/>
          <w:u w:val="single"/>
          <w:lang w:val="lt-LT" w:eastAsia="ja-JP"/>
        </w:rPr>
      </w:pPr>
    </w:p>
    <w:p w14:paraId="1C6B98C5" w14:textId="740D3034" w:rsidR="00B32ADD" w:rsidRPr="00715891" w:rsidRDefault="00B32ADD" w:rsidP="00107519">
      <w:pPr>
        <w:rPr>
          <w:i/>
          <w:sz w:val="22"/>
          <w:szCs w:val="22"/>
          <w:u w:val="single"/>
          <w:lang w:val="lt-LT" w:eastAsia="ja-JP"/>
        </w:rPr>
      </w:pPr>
      <w:r w:rsidRPr="00715891">
        <w:rPr>
          <w:i/>
          <w:sz w:val="22"/>
          <w:szCs w:val="22"/>
          <w:u w:val="single"/>
          <w:lang w:val="lt-LT" w:eastAsia="ja-JP"/>
        </w:rPr>
        <w:t>Farmakok</w:t>
      </w:r>
      <w:r w:rsidR="002954B3" w:rsidRPr="00715891">
        <w:rPr>
          <w:i/>
          <w:sz w:val="22"/>
          <w:szCs w:val="22"/>
          <w:u w:val="single"/>
          <w:lang w:val="lt-LT" w:eastAsia="ja-JP"/>
        </w:rPr>
        <w:t>i</w:t>
      </w:r>
      <w:r w:rsidRPr="00715891">
        <w:rPr>
          <w:i/>
          <w:sz w:val="22"/>
          <w:szCs w:val="22"/>
          <w:u w:val="single"/>
          <w:lang w:val="lt-LT" w:eastAsia="ja-JP"/>
        </w:rPr>
        <w:t>netinės s</w:t>
      </w:r>
      <w:r w:rsidR="005E54D2">
        <w:rPr>
          <w:i/>
          <w:sz w:val="22"/>
          <w:szCs w:val="22"/>
          <w:u w:val="single"/>
          <w:lang w:val="lt-LT" w:eastAsia="ja-JP"/>
        </w:rPr>
        <w:t>ą</w:t>
      </w:r>
      <w:r w:rsidRPr="00715891">
        <w:rPr>
          <w:i/>
          <w:sz w:val="22"/>
          <w:szCs w:val="22"/>
          <w:u w:val="single"/>
          <w:lang w:val="lt-LT" w:eastAsia="ja-JP"/>
        </w:rPr>
        <w:t>veikos</w:t>
      </w:r>
    </w:p>
    <w:p w14:paraId="6ACFC001" w14:textId="77777777" w:rsidR="00107519" w:rsidRPr="00715891" w:rsidRDefault="00107519" w:rsidP="00107519">
      <w:pPr>
        <w:rPr>
          <w:b/>
          <w:sz w:val="22"/>
          <w:szCs w:val="22"/>
          <w:lang w:val="lt-LT" w:eastAsia="ja-JP"/>
        </w:rPr>
      </w:pPr>
    </w:p>
    <w:p w14:paraId="3F05C659" w14:textId="77777777" w:rsidR="00107519" w:rsidRPr="00715891" w:rsidRDefault="00107519" w:rsidP="00107519">
      <w:pPr>
        <w:rPr>
          <w:i/>
          <w:sz w:val="22"/>
          <w:szCs w:val="22"/>
          <w:lang w:val="lt-LT" w:eastAsia="ja-JP"/>
        </w:rPr>
      </w:pPr>
      <w:r w:rsidRPr="00715891">
        <w:rPr>
          <w:i/>
          <w:sz w:val="22"/>
          <w:szCs w:val="22"/>
          <w:lang w:val="lt-LT" w:eastAsia="ja-JP"/>
        </w:rPr>
        <w:t>Probenecidas</w:t>
      </w:r>
    </w:p>
    <w:p w14:paraId="5B971208" w14:textId="77777777" w:rsidR="00107519" w:rsidRPr="00715891" w:rsidRDefault="00107519" w:rsidP="00107519">
      <w:pPr>
        <w:rPr>
          <w:sz w:val="22"/>
          <w:szCs w:val="22"/>
          <w:lang w:val="lt-LT" w:eastAsia="ja-JP"/>
        </w:rPr>
      </w:pPr>
      <w:r w:rsidRPr="00715891">
        <w:rPr>
          <w:sz w:val="22"/>
          <w:szCs w:val="22"/>
          <w:lang w:val="lt-LT" w:eastAsia="ja-JP"/>
        </w:rPr>
        <w:lastRenderedPageBreak/>
        <w:t>Dėl probenecido, vartojamo kartu su geriamuoju gancikloviru, statistiškai reikšmingai sumažėjo gancikloviro klirensas (20 %), sukėlęs statistiškai reikšmingą gancikloviro ekspozicijos padidėjimą (40 %). Šie pokyčiai atitinka sąveikos mechanizmą, susijusį su konkurencija dėl sekrecijos inkstų kanalėliuose. Taigi pacientus, vartojančius probenecido kartu su Valganciclovir Sandoz, reikia atidžiai stebėti dėl gancikloviro toksinio poveikio.</w:t>
      </w:r>
    </w:p>
    <w:p w14:paraId="4B813071" w14:textId="77777777" w:rsidR="00EA23FA" w:rsidRPr="00715891" w:rsidRDefault="00EA23FA" w:rsidP="00107519">
      <w:pPr>
        <w:rPr>
          <w:i/>
          <w:sz w:val="22"/>
          <w:lang w:val="lt-LT"/>
        </w:rPr>
      </w:pPr>
    </w:p>
    <w:p w14:paraId="362C4ED8" w14:textId="77777777" w:rsidR="00107519" w:rsidRPr="00715891" w:rsidRDefault="00107519" w:rsidP="00107519">
      <w:pPr>
        <w:rPr>
          <w:i/>
          <w:sz w:val="22"/>
          <w:szCs w:val="22"/>
          <w:lang w:val="lt-LT" w:eastAsia="ja-JP"/>
        </w:rPr>
      </w:pPr>
      <w:r w:rsidRPr="00715891">
        <w:rPr>
          <w:i/>
          <w:sz w:val="22"/>
          <w:szCs w:val="22"/>
          <w:lang w:val="lt-LT" w:eastAsia="ja-JP"/>
        </w:rPr>
        <w:t>Didanozinas</w:t>
      </w:r>
    </w:p>
    <w:p w14:paraId="5CD98E9B" w14:textId="77777777" w:rsidR="001B1E51" w:rsidRPr="00715891" w:rsidRDefault="001B1E51" w:rsidP="001B1E51">
      <w:pPr>
        <w:rPr>
          <w:sz w:val="22"/>
          <w:szCs w:val="22"/>
          <w:lang w:val="lt-LT" w:eastAsia="ja-JP"/>
        </w:rPr>
      </w:pPr>
      <w:r w:rsidRPr="00715891">
        <w:rPr>
          <w:sz w:val="22"/>
          <w:szCs w:val="22"/>
          <w:lang w:val="lt-LT" w:eastAsia="ja-JP"/>
        </w:rPr>
        <w:t>Nustatyta, kad kartu su leidžiamuoju į veną gancikloviru vartoto didanozino koncentracija plazmoje visada buvo didesnė. Leidžiant gancikloviro į veną po 5 mg/kg kūno svorio ir 10 mg/kg</w:t>
      </w:r>
      <w:r w:rsidR="00F67D86" w:rsidRPr="00715891">
        <w:rPr>
          <w:sz w:val="22"/>
          <w:szCs w:val="22"/>
          <w:lang w:val="lt-LT" w:eastAsia="ja-JP"/>
        </w:rPr>
        <w:t xml:space="preserve"> </w:t>
      </w:r>
      <w:r w:rsidRPr="00715891">
        <w:rPr>
          <w:sz w:val="22"/>
          <w:szCs w:val="22"/>
          <w:lang w:val="lt-LT" w:eastAsia="ja-JP"/>
        </w:rPr>
        <w:t>kūno svorio paros dozėmis pastebėtas didanozino AUC padidėjimas nuo 38 % iki 67 % ribose, patvirtinantis šių kartu vartojamų vaistinių preparatų farmakokinetinę sąveiką. Reikšmingo poveikio gancikloviro koncentracijoms nebuvo. Pacientai turi būti atidžiai stebimi dėl didanozino toksinio poveikio, pvz., pankreatito, apraiškų (žr. 4.4 skyrių).</w:t>
      </w:r>
    </w:p>
    <w:p w14:paraId="2140BDDB" w14:textId="77777777" w:rsidR="001B1E51" w:rsidRPr="00715891" w:rsidRDefault="001B1E51" w:rsidP="001B1E51">
      <w:pPr>
        <w:rPr>
          <w:rFonts w:eastAsia="Calibri"/>
          <w:b/>
          <w:sz w:val="22"/>
          <w:lang w:val="lt-LT"/>
        </w:rPr>
      </w:pPr>
    </w:p>
    <w:p w14:paraId="4BC04377" w14:textId="4290A050" w:rsidR="001B1E51" w:rsidRPr="00715891" w:rsidRDefault="001B1E51" w:rsidP="001B1E51">
      <w:pPr>
        <w:rPr>
          <w:rFonts w:eastAsia="Calibri"/>
          <w:sz w:val="22"/>
          <w:szCs w:val="22"/>
          <w:lang w:val="lt-LT" w:eastAsia="lt-LT"/>
        </w:rPr>
      </w:pPr>
      <w:r w:rsidRPr="00715891">
        <w:rPr>
          <w:i/>
          <w:sz w:val="22"/>
          <w:szCs w:val="22"/>
          <w:lang w:val="lt-LT" w:eastAsia="ja-JP"/>
        </w:rPr>
        <w:t>Kiti antiretrovirusiniai vaist</w:t>
      </w:r>
      <w:r w:rsidR="00EA23FA" w:rsidRPr="00715891">
        <w:rPr>
          <w:i/>
          <w:sz w:val="22"/>
          <w:szCs w:val="22"/>
          <w:lang w:val="lt-LT" w:eastAsia="ja-JP"/>
        </w:rPr>
        <w:t>iniai preparatai</w:t>
      </w:r>
    </w:p>
    <w:p w14:paraId="29E8FBF5" w14:textId="77777777" w:rsidR="001B1E51" w:rsidRPr="00715891" w:rsidRDefault="001B1E51" w:rsidP="001B1E51">
      <w:pPr>
        <w:rPr>
          <w:sz w:val="22"/>
          <w:szCs w:val="22"/>
          <w:lang w:val="lt-LT" w:eastAsia="ja-JP"/>
        </w:rPr>
      </w:pPr>
      <w:r w:rsidRPr="00715891">
        <w:rPr>
          <w:sz w:val="22"/>
          <w:szCs w:val="22"/>
          <w:lang w:val="lt-LT" w:eastAsia="ja-JP"/>
        </w:rPr>
        <w:t>Citochromo P450 izofermentai gancikloviro farmakokinetikai įtakos ne</w:t>
      </w:r>
      <w:r w:rsidR="00EA23FA" w:rsidRPr="00715891">
        <w:rPr>
          <w:sz w:val="22"/>
          <w:szCs w:val="22"/>
          <w:lang w:val="lt-LT" w:eastAsia="ja-JP"/>
        </w:rPr>
        <w:t>daro</w:t>
      </w:r>
      <w:r w:rsidRPr="00715891">
        <w:rPr>
          <w:sz w:val="22"/>
          <w:szCs w:val="22"/>
          <w:lang w:val="lt-LT" w:eastAsia="ja-JP"/>
        </w:rPr>
        <w:t>. Taigi, farmakokinetinės sąveikos su proteazių inhibitoriais ir ne nukleozidų atvirkštinės transkriptazės inhibitoriais nesitikima.</w:t>
      </w:r>
    </w:p>
    <w:p w14:paraId="6A16A3AB" w14:textId="77777777" w:rsidR="00EA23FA" w:rsidRPr="00715891" w:rsidRDefault="00EA23FA" w:rsidP="001B1E51">
      <w:pPr>
        <w:rPr>
          <w:sz w:val="22"/>
          <w:szCs w:val="22"/>
          <w:lang w:val="lt-LT" w:eastAsia="ja-JP"/>
        </w:rPr>
      </w:pPr>
    </w:p>
    <w:p w14:paraId="4EDA8EC3" w14:textId="63CC9D6F" w:rsidR="00EA23FA" w:rsidRPr="00715891" w:rsidRDefault="00EA23FA" w:rsidP="00107519">
      <w:pPr>
        <w:rPr>
          <w:i/>
          <w:sz w:val="22"/>
          <w:szCs w:val="22"/>
          <w:u w:val="single"/>
          <w:lang w:val="lt-LT" w:eastAsia="ja-JP"/>
        </w:rPr>
      </w:pPr>
      <w:r w:rsidRPr="00715891">
        <w:rPr>
          <w:i/>
          <w:sz w:val="22"/>
          <w:szCs w:val="22"/>
          <w:u w:val="single"/>
          <w:lang w:val="lt-LT" w:eastAsia="ja-JP"/>
        </w:rPr>
        <w:t>Farmakodinaminės sąveikos</w:t>
      </w:r>
    </w:p>
    <w:p w14:paraId="31A3B75E" w14:textId="77777777" w:rsidR="00EA23FA" w:rsidRPr="00715891" w:rsidRDefault="00EA23FA" w:rsidP="00107519">
      <w:pPr>
        <w:rPr>
          <w:sz w:val="22"/>
          <w:szCs w:val="22"/>
          <w:lang w:val="lt-LT" w:eastAsia="ja-JP"/>
        </w:rPr>
      </w:pPr>
    </w:p>
    <w:p w14:paraId="70BE5388" w14:textId="77777777" w:rsidR="00EA23FA" w:rsidRPr="00715891" w:rsidRDefault="00EA23FA" w:rsidP="00EA23FA">
      <w:pPr>
        <w:rPr>
          <w:i/>
          <w:sz w:val="22"/>
          <w:szCs w:val="22"/>
          <w:lang w:val="lt-LT" w:eastAsia="ja-JP"/>
        </w:rPr>
      </w:pPr>
      <w:r w:rsidRPr="00715891">
        <w:rPr>
          <w:i/>
          <w:sz w:val="22"/>
          <w:szCs w:val="22"/>
          <w:lang w:val="lt-LT" w:eastAsia="ja-JP"/>
        </w:rPr>
        <w:t>Imipenemas-cilastatinas</w:t>
      </w:r>
    </w:p>
    <w:p w14:paraId="5097860F" w14:textId="38FF21B1" w:rsidR="00EA23FA" w:rsidRPr="00715891" w:rsidRDefault="00EA23FA" w:rsidP="00EA23FA">
      <w:pPr>
        <w:rPr>
          <w:strike/>
          <w:sz w:val="22"/>
          <w:szCs w:val="22"/>
          <w:lang w:val="lt-LT" w:eastAsia="ja-JP"/>
        </w:rPr>
      </w:pPr>
      <w:r w:rsidRPr="00715891">
        <w:rPr>
          <w:sz w:val="22"/>
          <w:szCs w:val="22"/>
          <w:lang w:val="lt-LT" w:eastAsia="ja-JP"/>
        </w:rPr>
        <w:t>Gauta pranešimų apie traukulius pacientams, vartojusiems imipenemo-cilastatino kartu su gancikloviru,</w:t>
      </w:r>
      <w:r w:rsidRPr="00715891">
        <w:rPr>
          <w:lang w:val="lt-LT"/>
        </w:rPr>
        <w:t xml:space="preserve"> </w:t>
      </w:r>
      <w:r w:rsidRPr="00715891">
        <w:rPr>
          <w:sz w:val="22"/>
          <w:szCs w:val="22"/>
          <w:lang w:val="lt-LT" w:eastAsia="ja-JP"/>
        </w:rPr>
        <w:t>todėl šių dviejų vaistinių preparatų farmakodinaminės sąveikos atmesti negalima. Šių vaistinių preparatų kartu turi būti nevartojama, nebent galima nauda nusveria galimą riziką (žr. 4.4 skyrių).</w:t>
      </w:r>
    </w:p>
    <w:p w14:paraId="5FFEDED0" w14:textId="77777777" w:rsidR="00EA23FA" w:rsidRPr="00715891" w:rsidRDefault="00EA23FA" w:rsidP="00EA23FA">
      <w:pPr>
        <w:rPr>
          <w:sz w:val="22"/>
          <w:lang w:val="lt-LT"/>
        </w:rPr>
      </w:pPr>
    </w:p>
    <w:p w14:paraId="4FB6CAF2" w14:textId="77777777" w:rsidR="00EA23FA" w:rsidRPr="00715891" w:rsidRDefault="00EA23FA" w:rsidP="00EA23FA">
      <w:pPr>
        <w:rPr>
          <w:i/>
          <w:sz w:val="22"/>
          <w:szCs w:val="22"/>
          <w:lang w:val="lt-LT" w:eastAsia="ja-JP"/>
        </w:rPr>
      </w:pPr>
      <w:r w:rsidRPr="00715891">
        <w:rPr>
          <w:i/>
          <w:sz w:val="22"/>
          <w:szCs w:val="22"/>
          <w:lang w:val="lt-LT" w:eastAsia="ja-JP"/>
        </w:rPr>
        <w:t>Zidovudinas</w:t>
      </w:r>
    </w:p>
    <w:p w14:paraId="329489A5" w14:textId="3E21E1EB" w:rsidR="00EA23FA" w:rsidRPr="00715891" w:rsidRDefault="00EA23FA" w:rsidP="00EA23FA">
      <w:pPr>
        <w:rPr>
          <w:sz w:val="22"/>
          <w:szCs w:val="22"/>
          <w:lang w:val="lt-LT" w:eastAsia="ja-JP"/>
        </w:rPr>
      </w:pPr>
      <w:r w:rsidRPr="00715891">
        <w:rPr>
          <w:sz w:val="22"/>
          <w:szCs w:val="22"/>
          <w:lang w:val="lt-LT" w:eastAsia="ja-JP"/>
        </w:rPr>
        <w:t>Tiek zidovudinas, tiek gancikloviras gali sukelti neutropeniją ir anemiją. Šių vaistinių preparatų vartojant kartu gali pasireikšti farmakodinaminė sąveika. Kai kurie pacientai gali netoleruoti kartu taikomo gydymo visa doze (žr. 4.4 skyrių).</w:t>
      </w:r>
    </w:p>
    <w:p w14:paraId="07714FB8" w14:textId="77777777" w:rsidR="00EA23FA" w:rsidRPr="00715891" w:rsidRDefault="00EA23FA" w:rsidP="00EA23FA">
      <w:pPr>
        <w:rPr>
          <w:sz w:val="22"/>
          <w:szCs w:val="22"/>
          <w:lang w:val="lt-LT" w:eastAsia="ja-JP"/>
        </w:rPr>
      </w:pPr>
    </w:p>
    <w:p w14:paraId="210BF1FB" w14:textId="77777777" w:rsidR="00EA23FA" w:rsidRPr="00715891" w:rsidRDefault="00EA23FA" w:rsidP="00EA23FA">
      <w:pPr>
        <w:rPr>
          <w:i/>
          <w:sz w:val="22"/>
          <w:szCs w:val="22"/>
          <w:lang w:val="lt-LT" w:eastAsia="ja-JP"/>
        </w:rPr>
      </w:pPr>
      <w:r w:rsidRPr="00715891">
        <w:rPr>
          <w:i/>
          <w:sz w:val="22"/>
          <w:szCs w:val="22"/>
          <w:lang w:val="lt-LT" w:eastAsia="ja-JP"/>
        </w:rPr>
        <w:t>Galimos vaistinių preparatų sąveikos</w:t>
      </w:r>
    </w:p>
    <w:p w14:paraId="76288FEE" w14:textId="2EBC653C" w:rsidR="00107519" w:rsidRPr="00715891" w:rsidRDefault="001A68BD" w:rsidP="00107519">
      <w:pPr>
        <w:rPr>
          <w:sz w:val="22"/>
          <w:szCs w:val="22"/>
          <w:lang w:val="lt-LT" w:eastAsia="ja-JP"/>
        </w:rPr>
      </w:pPr>
      <w:r w:rsidRPr="00715891">
        <w:rPr>
          <w:sz w:val="22"/>
          <w:szCs w:val="22"/>
          <w:lang w:val="lt-LT" w:eastAsia="ja-JP"/>
        </w:rPr>
        <w:t>J</w:t>
      </w:r>
      <w:r w:rsidR="004C00E4" w:rsidRPr="00715891">
        <w:rPr>
          <w:sz w:val="22"/>
          <w:szCs w:val="22"/>
          <w:lang w:val="lt-LT" w:eastAsia="ja-JP"/>
        </w:rPr>
        <w:t>eigu gancikloviro arba valgancikloviro vartojama kartu su kitais vaistiniais preparatais, žinomai slopinančiais kaulų čiulpus arba bloginančiais inkstų veiklą, toksinis poveikis gali sustiprėti. Tokie</w:t>
      </w:r>
      <w:r w:rsidR="004C00E4" w:rsidRPr="00715891">
        <w:rPr>
          <w:sz w:val="22"/>
          <w:lang w:val="lt-LT"/>
        </w:rPr>
        <w:t xml:space="preserve"> vaistinia</w:t>
      </w:r>
      <w:r w:rsidR="00F67D86" w:rsidRPr="00715891">
        <w:rPr>
          <w:sz w:val="22"/>
          <w:lang w:val="lt-LT"/>
        </w:rPr>
        <w:t>i</w:t>
      </w:r>
      <w:r w:rsidR="004C00E4" w:rsidRPr="00715891">
        <w:rPr>
          <w:sz w:val="22"/>
          <w:lang w:val="lt-LT"/>
        </w:rPr>
        <w:t xml:space="preserve"> preparatai </w:t>
      </w:r>
      <w:r w:rsidR="004C00E4" w:rsidRPr="00715891">
        <w:rPr>
          <w:sz w:val="22"/>
          <w:szCs w:val="22"/>
          <w:lang w:val="lt-LT" w:eastAsia="ja-JP"/>
        </w:rPr>
        <w:t>yra nukleozidų (pvz., zidovudinas, didanozinas, stavudinas) ir nukleotidų analogai (pvz., tenofoviras, adefoviras), imunosupresantai (pvz., ciklosporinas, takrolimuzas, mikofenolato mofetil</w:t>
      </w:r>
      <w:r w:rsidR="005E54D2">
        <w:rPr>
          <w:sz w:val="22"/>
          <w:szCs w:val="22"/>
          <w:lang w:val="lt-LT" w:eastAsia="ja-JP"/>
        </w:rPr>
        <w:t>i</w:t>
      </w:r>
      <w:r w:rsidR="004C00E4" w:rsidRPr="00715891">
        <w:rPr>
          <w:sz w:val="22"/>
          <w:szCs w:val="22"/>
          <w:lang w:val="lt-LT" w:eastAsia="ja-JP"/>
        </w:rPr>
        <w:t xml:space="preserve">s), </w:t>
      </w:r>
      <w:r w:rsidR="00357129" w:rsidRPr="00715891">
        <w:rPr>
          <w:sz w:val="22"/>
          <w:szCs w:val="22"/>
          <w:lang w:val="lt-LT" w:eastAsia="ja-JP"/>
        </w:rPr>
        <w:t>antinavikinės medžiagos</w:t>
      </w:r>
      <w:r w:rsidR="004C00E4" w:rsidRPr="00715891">
        <w:rPr>
          <w:sz w:val="22"/>
          <w:szCs w:val="22"/>
          <w:lang w:val="lt-LT" w:eastAsia="ja-JP"/>
        </w:rPr>
        <w:t xml:space="preserve"> (pvz., doksorubicinas, vinblastinas, vinkristinas, hidroksikarbamidas) ir antiinfekciniai </w:t>
      </w:r>
      <w:r w:rsidR="00357129" w:rsidRPr="00715891">
        <w:rPr>
          <w:sz w:val="22"/>
          <w:szCs w:val="22"/>
          <w:lang w:val="lt-LT" w:eastAsia="ja-JP"/>
        </w:rPr>
        <w:t xml:space="preserve">vaistiniai </w:t>
      </w:r>
      <w:r w:rsidR="004C00E4" w:rsidRPr="00715891">
        <w:rPr>
          <w:sz w:val="22"/>
          <w:szCs w:val="22"/>
          <w:lang w:val="lt-LT" w:eastAsia="ja-JP"/>
        </w:rPr>
        <w:t xml:space="preserve">preparatai (trimetoprimo ir sulfonamidų deriniai, dapsonas, amfotericinas B, flucitozinas, pentamidinas). Taigi, </w:t>
      </w:r>
      <w:r w:rsidR="00357129" w:rsidRPr="00715891">
        <w:rPr>
          <w:sz w:val="22"/>
          <w:szCs w:val="22"/>
          <w:lang w:val="lt-LT" w:eastAsia="ja-JP"/>
        </w:rPr>
        <w:t>v</w:t>
      </w:r>
      <w:r w:rsidR="00107519" w:rsidRPr="00715891">
        <w:rPr>
          <w:sz w:val="22"/>
          <w:szCs w:val="22"/>
          <w:lang w:val="lt-LT" w:eastAsia="ja-JP"/>
        </w:rPr>
        <w:t>algancikloviro vartojimas kartu su visais minėtais vaistiniais preparatais turi būti apsvarstytas tik jeigu galima nauda viršija galimą riziką (žr. 4.4 skyrių).</w:t>
      </w:r>
    </w:p>
    <w:p w14:paraId="0D2696EC" w14:textId="77777777" w:rsidR="00107519" w:rsidRPr="00715891" w:rsidRDefault="00107519" w:rsidP="00107519">
      <w:pPr>
        <w:rPr>
          <w:sz w:val="22"/>
          <w:szCs w:val="22"/>
          <w:lang w:val="lt-LT" w:eastAsia="ja-JP"/>
        </w:rPr>
      </w:pPr>
    </w:p>
    <w:p w14:paraId="1C78A025" w14:textId="77777777" w:rsidR="00107519" w:rsidRPr="00715891" w:rsidRDefault="00107519" w:rsidP="00107519">
      <w:pPr>
        <w:ind w:left="567" w:hanging="567"/>
        <w:outlineLvl w:val="1"/>
        <w:rPr>
          <w:b/>
          <w:kern w:val="28"/>
          <w:sz w:val="22"/>
          <w:szCs w:val="22"/>
          <w:lang w:val="lt-LT" w:eastAsia="ja-JP"/>
        </w:rPr>
      </w:pPr>
      <w:r w:rsidRPr="00715891">
        <w:rPr>
          <w:b/>
          <w:kern w:val="28"/>
          <w:sz w:val="22"/>
          <w:szCs w:val="22"/>
          <w:lang w:val="lt-LT" w:eastAsia="ja-JP"/>
        </w:rPr>
        <w:t>4.6</w:t>
      </w:r>
      <w:r w:rsidRPr="00715891">
        <w:rPr>
          <w:b/>
          <w:kern w:val="28"/>
          <w:sz w:val="22"/>
          <w:szCs w:val="22"/>
          <w:lang w:val="lt-LT" w:eastAsia="ja-JP"/>
        </w:rPr>
        <w:tab/>
        <w:t>Vaisingumas, nėštumo ir žindymo laikotarpis</w:t>
      </w:r>
    </w:p>
    <w:p w14:paraId="5AA47F0F" w14:textId="77777777" w:rsidR="00107519" w:rsidRPr="00715891" w:rsidRDefault="00107519" w:rsidP="00107519">
      <w:pPr>
        <w:rPr>
          <w:sz w:val="22"/>
          <w:szCs w:val="22"/>
          <w:lang w:val="lt-LT" w:eastAsia="ja-JP"/>
        </w:rPr>
      </w:pPr>
    </w:p>
    <w:p w14:paraId="73AB578F" w14:textId="77777777" w:rsidR="00357129" w:rsidRPr="00715891" w:rsidRDefault="00357129" w:rsidP="00107519">
      <w:pPr>
        <w:rPr>
          <w:sz w:val="22"/>
          <w:szCs w:val="22"/>
          <w:u w:val="single"/>
          <w:lang w:val="lt-LT" w:eastAsia="ja-JP"/>
        </w:rPr>
      </w:pPr>
      <w:r w:rsidRPr="00715891">
        <w:rPr>
          <w:sz w:val="22"/>
          <w:szCs w:val="22"/>
          <w:u w:val="single"/>
          <w:lang w:val="lt-LT" w:eastAsia="ja-JP"/>
        </w:rPr>
        <w:t>Vyrų ir moterų kontracepcija</w:t>
      </w:r>
    </w:p>
    <w:p w14:paraId="0F4B057C" w14:textId="73C0D93A" w:rsidR="00357129" w:rsidRPr="00715891" w:rsidRDefault="00357129" w:rsidP="00107519">
      <w:pPr>
        <w:rPr>
          <w:sz w:val="22"/>
          <w:szCs w:val="22"/>
          <w:lang w:val="lt-LT" w:eastAsia="ja-JP"/>
        </w:rPr>
      </w:pPr>
      <w:r w:rsidRPr="00715891">
        <w:rPr>
          <w:sz w:val="22"/>
          <w:szCs w:val="22"/>
          <w:lang w:val="lt-LT" w:eastAsia="ja-JP"/>
        </w:rPr>
        <w:t xml:space="preserve">Dėl galimo toksinio poveikio reprodukcijai ir teratogeninio poveikio vaisingos moterys turi būti informuotos, kad gydymo metu ir dar mažiausiai </w:t>
      </w:r>
      <w:r w:rsidR="007109C8" w:rsidRPr="00715891">
        <w:rPr>
          <w:sz w:val="22"/>
          <w:szCs w:val="22"/>
          <w:lang w:val="lt-LT" w:eastAsia="ja-JP"/>
        </w:rPr>
        <w:t>7</w:t>
      </w:r>
      <w:r w:rsidR="007059D4" w:rsidRPr="00715891">
        <w:rPr>
          <w:sz w:val="22"/>
          <w:szCs w:val="22"/>
          <w:lang w:val="lt-LT" w:eastAsia="ja-JP"/>
        </w:rPr>
        <w:t> </w:t>
      </w:r>
      <w:r w:rsidR="007109C8" w:rsidRPr="00715891">
        <w:rPr>
          <w:sz w:val="22"/>
          <w:szCs w:val="22"/>
          <w:lang w:val="lt-LT" w:eastAsia="ja-JP"/>
        </w:rPr>
        <w:t xml:space="preserve">mėnesius </w:t>
      </w:r>
      <w:r w:rsidRPr="00715891">
        <w:rPr>
          <w:sz w:val="22"/>
          <w:szCs w:val="22"/>
          <w:lang w:val="lt-LT" w:eastAsia="ja-JP"/>
        </w:rPr>
        <w:t>po gydymo pabaigos reikia naudoti veiksmingą kontracepciją. Pacientai vyrai turi būti informuoti</w:t>
      </w:r>
      <w:r w:rsidR="001D753F" w:rsidRPr="00715891">
        <w:rPr>
          <w:sz w:val="22"/>
          <w:szCs w:val="22"/>
          <w:lang w:val="lt-LT" w:eastAsia="ja-JP"/>
        </w:rPr>
        <w:t>, kad</w:t>
      </w:r>
      <w:r w:rsidRPr="00715891">
        <w:rPr>
          <w:sz w:val="22"/>
          <w:szCs w:val="22"/>
          <w:lang w:val="lt-LT" w:eastAsia="ja-JP"/>
        </w:rPr>
        <w:t xml:space="preserve"> </w:t>
      </w:r>
      <w:r w:rsidR="001D753F" w:rsidRPr="00715891">
        <w:rPr>
          <w:sz w:val="22"/>
          <w:szCs w:val="22"/>
          <w:lang w:val="lt-LT" w:eastAsia="ja-JP"/>
        </w:rPr>
        <w:t xml:space="preserve">gydymo metu ir dar mažiausiai </w:t>
      </w:r>
      <w:r w:rsidR="007109C8" w:rsidRPr="00715891">
        <w:rPr>
          <w:sz w:val="22"/>
          <w:szCs w:val="22"/>
          <w:lang w:val="lt-LT" w:eastAsia="ja-JP"/>
        </w:rPr>
        <w:t>4</w:t>
      </w:r>
      <w:r w:rsidR="007059D4" w:rsidRPr="00715891">
        <w:rPr>
          <w:sz w:val="22"/>
          <w:szCs w:val="22"/>
          <w:lang w:val="lt-LT" w:eastAsia="ja-JP"/>
        </w:rPr>
        <w:t> </w:t>
      </w:r>
      <w:r w:rsidR="007109C8" w:rsidRPr="00715891">
        <w:rPr>
          <w:sz w:val="22"/>
          <w:szCs w:val="22"/>
          <w:lang w:val="lt-LT" w:eastAsia="ja-JP"/>
        </w:rPr>
        <w:t>mėnesius</w:t>
      </w:r>
      <w:r w:rsidR="001D753F" w:rsidRPr="00715891">
        <w:rPr>
          <w:sz w:val="22"/>
          <w:szCs w:val="22"/>
          <w:lang w:val="lt-LT" w:eastAsia="ja-JP"/>
        </w:rPr>
        <w:t xml:space="preserve"> po gydymo pabaigos reikia naudoti</w:t>
      </w:r>
      <w:r w:rsidRPr="00715891">
        <w:rPr>
          <w:sz w:val="22"/>
          <w:szCs w:val="22"/>
          <w:lang w:val="lt-LT" w:eastAsia="ja-JP"/>
        </w:rPr>
        <w:t xml:space="preserve"> barjerin</w:t>
      </w:r>
      <w:r w:rsidR="001D753F" w:rsidRPr="00715891">
        <w:rPr>
          <w:sz w:val="22"/>
          <w:szCs w:val="22"/>
          <w:lang w:val="lt-LT" w:eastAsia="ja-JP"/>
        </w:rPr>
        <w:t>ę</w:t>
      </w:r>
      <w:r w:rsidRPr="00715891">
        <w:rPr>
          <w:sz w:val="22"/>
          <w:szCs w:val="22"/>
          <w:lang w:val="lt-LT" w:eastAsia="ja-JP"/>
        </w:rPr>
        <w:t xml:space="preserve"> kontracepcij</w:t>
      </w:r>
      <w:r w:rsidR="001D753F" w:rsidRPr="00715891">
        <w:rPr>
          <w:sz w:val="22"/>
          <w:szCs w:val="22"/>
          <w:lang w:val="lt-LT" w:eastAsia="ja-JP"/>
        </w:rPr>
        <w:t>ą</w:t>
      </w:r>
      <w:r w:rsidRPr="00715891">
        <w:rPr>
          <w:sz w:val="22"/>
          <w:szCs w:val="22"/>
          <w:lang w:val="lt-LT" w:eastAsia="ja-JP"/>
        </w:rPr>
        <w:t xml:space="preserve">, nebent yra </w:t>
      </w:r>
      <w:r w:rsidR="001D753F" w:rsidRPr="00715891">
        <w:rPr>
          <w:sz w:val="22"/>
          <w:szCs w:val="22"/>
          <w:lang w:val="lt-LT" w:eastAsia="ja-JP"/>
        </w:rPr>
        <w:t>garantija</w:t>
      </w:r>
      <w:r w:rsidRPr="00715891">
        <w:rPr>
          <w:sz w:val="22"/>
          <w:szCs w:val="22"/>
          <w:lang w:val="lt-LT" w:eastAsia="ja-JP"/>
        </w:rPr>
        <w:t xml:space="preserve">, </w:t>
      </w:r>
      <w:r w:rsidR="009656B4" w:rsidRPr="00715891">
        <w:rPr>
          <w:sz w:val="22"/>
          <w:szCs w:val="22"/>
          <w:lang w:val="lt-LT" w:eastAsia="ja-JP"/>
        </w:rPr>
        <w:t>jog</w:t>
      </w:r>
      <w:r w:rsidRPr="00715891">
        <w:rPr>
          <w:sz w:val="22"/>
          <w:szCs w:val="22"/>
          <w:lang w:val="lt-LT" w:eastAsia="ja-JP"/>
        </w:rPr>
        <w:t xml:space="preserve"> partnerei </w:t>
      </w:r>
      <w:r w:rsidR="009656B4" w:rsidRPr="00715891">
        <w:rPr>
          <w:sz w:val="22"/>
          <w:szCs w:val="22"/>
          <w:lang w:val="lt-LT" w:eastAsia="ja-JP"/>
        </w:rPr>
        <w:t xml:space="preserve">pastoti </w:t>
      </w:r>
      <w:r w:rsidR="001D753F" w:rsidRPr="00715891">
        <w:rPr>
          <w:sz w:val="22"/>
          <w:szCs w:val="22"/>
          <w:lang w:val="lt-LT" w:eastAsia="ja-JP"/>
        </w:rPr>
        <w:t>rizikos</w:t>
      </w:r>
      <w:r w:rsidRPr="00715891">
        <w:rPr>
          <w:sz w:val="22"/>
          <w:szCs w:val="22"/>
          <w:lang w:val="lt-LT" w:eastAsia="ja-JP"/>
        </w:rPr>
        <w:t xml:space="preserve"> nėra (žr. 4.4 ir 5.3 skyrių).</w:t>
      </w:r>
    </w:p>
    <w:p w14:paraId="4C1E1554" w14:textId="77777777" w:rsidR="00357129" w:rsidRPr="00715891" w:rsidRDefault="00357129" w:rsidP="00107519">
      <w:pPr>
        <w:rPr>
          <w:sz w:val="22"/>
          <w:szCs w:val="22"/>
          <w:lang w:val="lt-LT" w:eastAsia="ja-JP"/>
        </w:rPr>
      </w:pPr>
    </w:p>
    <w:p w14:paraId="39250298" w14:textId="77777777" w:rsidR="00107519" w:rsidRPr="00715891" w:rsidRDefault="00107519" w:rsidP="00107519">
      <w:pPr>
        <w:rPr>
          <w:sz w:val="22"/>
          <w:szCs w:val="22"/>
          <w:u w:val="single"/>
          <w:lang w:val="lt-LT" w:eastAsia="ja-JP"/>
        </w:rPr>
      </w:pPr>
      <w:r w:rsidRPr="00715891">
        <w:rPr>
          <w:sz w:val="22"/>
          <w:szCs w:val="22"/>
          <w:u w:val="single"/>
          <w:lang w:val="lt-LT" w:eastAsia="ja-JP"/>
        </w:rPr>
        <w:t>Nėštumas</w:t>
      </w:r>
    </w:p>
    <w:p w14:paraId="5BE15B35" w14:textId="0FCA8857" w:rsidR="00107519" w:rsidRPr="00715891" w:rsidRDefault="001D753F" w:rsidP="00107519">
      <w:pPr>
        <w:rPr>
          <w:sz w:val="22"/>
          <w:szCs w:val="22"/>
          <w:lang w:val="lt-LT" w:eastAsia="ja-JP"/>
        </w:rPr>
      </w:pPr>
      <w:r w:rsidRPr="00715891">
        <w:rPr>
          <w:sz w:val="22"/>
          <w:szCs w:val="22"/>
          <w:lang w:val="lt-LT" w:eastAsia="ja-JP"/>
        </w:rPr>
        <w:t xml:space="preserve">Ar </w:t>
      </w:r>
      <w:r w:rsidR="00107519" w:rsidRPr="00715891">
        <w:rPr>
          <w:sz w:val="22"/>
          <w:szCs w:val="22"/>
          <w:lang w:val="lt-LT" w:eastAsia="ja-JP"/>
        </w:rPr>
        <w:t xml:space="preserve">Valganciclovir Sandoz </w:t>
      </w:r>
      <w:r w:rsidRPr="00715891">
        <w:rPr>
          <w:sz w:val="22"/>
          <w:szCs w:val="22"/>
          <w:lang w:val="lt-LT" w:eastAsia="ja-JP"/>
        </w:rPr>
        <w:t xml:space="preserve">vartoti </w:t>
      </w:r>
      <w:r w:rsidR="00107519" w:rsidRPr="00715891">
        <w:rPr>
          <w:sz w:val="22"/>
          <w:szCs w:val="22"/>
          <w:lang w:val="lt-LT" w:eastAsia="ja-JP"/>
        </w:rPr>
        <w:t>nėš</w:t>
      </w:r>
      <w:r w:rsidRPr="00715891">
        <w:rPr>
          <w:sz w:val="22"/>
          <w:szCs w:val="22"/>
          <w:lang w:val="lt-LT" w:eastAsia="ja-JP"/>
        </w:rPr>
        <w:t>čioms moterims yra</w:t>
      </w:r>
      <w:r w:rsidR="00107519" w:rsidRPr="00715891">
        <w:rPr>
          <w:sz w:val="22"/>
          <w:szCs w:val="22"/>
          <w:lang w:val="lt-LT" w:eastAsia="ja-JP"/>
        </w:rPr>
        <w:t xml:space="preserve"> </w:t>
      </w:r>
      <w:r w:rsidRPr="00715891">
        <w:rPr>
          <w:sz w:val="22"/>
          <w:szCs w:val="22"/>
          <w:lang w:val="lt-LT" w:eastAsia="ja-JP"/>
        </w:rPr>
        <w:t>saugu, nenustatyta</w:t>
      </w:r>
      <w:r w:rsidR="00107519" w:rsidRPr="00715891">
        <w:rPr>
          <w:sz w:val="22"/>
          <w:szCs w:val="22"/>
          <w:lang w:val="lt-LT" w:eastAsia="ja-JP"/>
        </w:rPr>
        <w:t xml:space="preserve">. Jo veiklus metabolitas gancikloviras lengvai prasiskverbia per žmogaus placentą. Remiantis gancikloviro farmakologiniu veikimo mechanizmu ir tyrimuose su gyvūnais nustatytu gancikloviro toksiniu poveikiu reprodukcijai (žr. 5.3 skyrių), yra teorinė teratogeninio poveikio žmogui rizika. Valganciclovir Sandoz nėštumo </w:t>
      </w:r>
      <w:r w:rsidR="00107519" w:rsidRPr="00715891">
        <w:rPr>
          <w:sz w:val="22"/>
          <w:szCs w:val="22"/>
          <w:lang w:val="lt-LT" w:eastAsia="ja-JP"/>
        </w:rPr>
        <w:lastRenderedPageBreak/>
        <w:t xml:space="preserve">metu turi būti nevartojama, nebent gydymo nauda moteriai persveria galimą teratogeninio pakenkimo riziką </w:t>
      </w:r>
      <w:r w:rsidRPr="00715891">
        <w:rPr>
          <w:sz w:val="22"/>
          <w:szCs w:val="22"/>
          <w:lang w:val="lt-LT" w:eastAsia="ja-JP"/>
        </w:rPr>
        <w:t>vaisiui</w:t>
      </w:r>
      <w:r w:rsidR="00107519" w:rsidRPr="00715891">
        <w:rPr>
          <w:sz w:val="22"/>
          <w:szCs w:val="22"/>
          <w:lang w:val="lt-LT" w:eastAsia="ja-JP"/>
        </w:rPr>
        <w:t>.</w:t>
      </w:r>
    </w:p>
    <w:p w14:paraId="6F74DFDC" w14:textId="77777777" w:rsidR="00107519" w:rsidRPr="00715891" w:rsidRDefault="00107519" w:rsidP="00107519">
      <w:pPr>
        <w:rPr>
          <w:sz w:val="22"/>
          <w:szCs w:val="22"/>
          <w:lang w:val="lt-LT" w:eastAsia="ja-JP"/>
        </w:rPr>
      </w:pPr>
    </w:p>
    <w:p w14:paraId="71BCF26E" w14:textId="77777777" w:rsidR="00107519" w:rsidRPr="00715891" w:rsidRDefault="00107519" w:rsidP="00107519">
      <w:pPr>
        <w:rPr>
          <w:sz w:val="22"/>
          <w:szCs w:val="22"/>
          <w:lang w:val="lt-LT" w:eastAsia="ja-JP"/>
        </w:rPr>
      </w:pPr>
      <w:r w:rsidRPr="00715891">
        <w:rPr>
          <w:sz w:val="22"/>
          <w:szCs w:val="22"/>
          <w:u w:val="single"/>
          <w:lang w:val="lt-LT" w:eastAsia="ja-JP"/>
        </w:rPr>
        <w:t>Žindymas</w:t>
      </w:r>
    </w:p>
    <w:p w14:paraId="78AD5B5F" w14:textId="61C31FB5" w:rsidR="00107519" w:rsidRPr="00715891" w:rsidRDefault="00107519" w:rsidP="00107519">
      <w:pPr>
        <w:rPr>
          <w:spacing w:val="-2"/>
          <w:sz w:val="22"/>
          <w:szCs w:val="22"/>
          <w:lang w:val="lt-LT" w:eastAsia="ja-JP"/>
        </w:rPr>
      </w:pPr>
      <w:r w:rsidRPr="00715891">
        <w:rPr>
          <w:snapToGrid w:val="0"/>
          <w:sz w:val="22"/>
          <w:szCs w:val="22"/>
          <w:lang w:val="lt-LT" w:eastAsia="ja-JP"/>
        </w:rPr>
        <w:t xml:space="preserve">Nežinoma, ar gancikloviras išskiriamas su </w:t>
      </w:r>
      <w:r w:rsidR="001D753F" w:rsidRPr="00715891">
        <w:rPr>
          <w:snapToGrid w:val="0"/>
          <w:sz w:val="22"/>
          <w:szCs w:val="22"/>
          <w:lang w:val="lt-LT" w:eastAsia="ja-JP"/>
        </w:rPr>
        <w:t xml:space="preserve">moters </w:t>
      </w:r>
      <w:r w:rsidRPr="00715891">
        <w:rPr>
          <w:snapToGrid w:val="0"/>
          <w:sz w:val="22"/>
          <w:szCs w:val="22"/>
          <w:lang w:val="lt-LT" w:eastAsia="ja-JP"/>
        </w:rPr>
        <w:t xml:space="preserve">pienu, bet į tokią galimybę ir sunkų </w:t>
      </w:r>
      <w:r w:rsidR="001D753F" w:rsidRPr="00715891">
        <w:rPr>
          <w:snapToGrid w:val="0"/>
          <w:sz w:val="22"/>
          <w:szCs w:val="22"/>
          <w:lang w:val="lt-LT" w:eastAsia="ja-JP"/>
        </w:rPr>
        <w:t xml:space="preserve">nepageidaujamą </w:t>
      </w:r>
      <w:r w:rsidRPr="00715891">
        <w:rPr>
          <w:snapToGrid w:val="0"/>
          <w:sz w:val="22"/>
          <w:szCs w:val="22"/>
          <w:lang w:val="lt-LT" w:eastAsia="ja-JP"/>
        </w:rPr>
        <w:t xml:space="preserve">poveikį žindomam kūdikiui negali būti neatsižvelgta. </w:t>
      </w:r>
      <w:r w:rsidR="001D753F" w:rsidRPr="00715891">
        <w:rPr>
          <w:snapToGrid w:val="0"/>
          <w:sz w:val="22"/>
          <w:szCs w:val="22"/>
          <w:lang w:val="lt-LT" w:eastAsia="ja-JP"/>
        </w:rPr>
        <w:t xml:space="preserve">Tyrimų su gyvūnais duomenys rodo, kad gancikloviro patenka į </w:t>
      </w:r>
      <w:r w:rsidR="009656B4" w:rsidRPr="00715891">
        <w:rPr>
          <w:snapToGrid w:val="0"/>
          <w:sz w:val="22"/>
          <w:szCs w:val="22"/>
          <w:lang w:val="lt-LT" w:eastAsia="ja-JP"/>
        </w:rPr>
        <w:t>žindančių jauniklius</w:t>
      </w:r>
      <w:r w:rsidR="001D753F" w:rsidRPr="00715891">
        <w:rPr>
          <w:snapToGrid w:val="0"/>
          <w:sz w:val="22"/>
          <w:szCs w:val="22"/>
          <w:lang w:val="lt-LT" w:eastAsia="ja-JP"/>
        </w:rPr>
        <w:t xml:space="preserve"> žiurkių pieną. </w:t>
      </w:r>
      <w:r w:rsidR="001D753F" w:rsidRPr="00715891">
        <w:rPr>
          <w:sz w:val="22"/>
          <w:lang w:val="lt-LT"/>
        </w:rPr>
        <w:t>Taigi</w:t>
      </w:r>
      <w:r w:rsidR="001D753F" w:rsidRPr="00715891">
        <w:rPr>
          <w:snapToGrid w:val="0"/>
          <w:sz w:val="22"/>
          <w:szCs w:val="22"/>
          <w:lang w:val="lt-LT" w:eastAsia="ja-JP"/>
        </w:rPr>
        <w:t>, gydymo valgancikloviru metu</w:t>
      </w:r>
      <w:r w:rsidR="001D753F" w:rsidRPr="00715891">
        <w:rPr>
          <w:sz w:val="22"/>
          <w:lang w:val="lt-LT"/>
        </w:rPr>
        <w:t xml:space="preserve"> </w:t>
      </w:r>
      <w:r w:rsidRPr="00715891">
        <w:rPr>
          <w:spacing w:val="-2"/>
          <w:sz w:val="22"/>
          <w:szCs w:val="22"/>
          <w:lang w:val="lt-LT" w:eastAsia="ja-JP"/>
        </w:rPr>
        <w:t xml:space="preserve">žindymas turi būti nutrauktas </w:t>
      </w:r>
      <w:r w:rsidRPr="00715891">
        <w:rPr>
          <w:sz w:val="22"/>
          <w:szCs w:val="22"/>
          <w:lang w:val="lt-LT" w:eastAsia="ja-JP"/>
        </w:rPr>
        <w:t xml:space="preserve">(žr. 4.3 </w:t>
      </w:r>
      <w:r w:rsidR="009656B4" w:rsidRPr="00715891">
        <w:rPr>
          <w:sz w:val="22"/>
          <w:szCs w:val="22"/>
          <w:lang w:val="lt-LT" w:eastAsia="ja-JP"/>
        </w:rPr>
        <w:t xml:space="preserve">ir 5.3 </w:t>
      </w:r>
      <w:r w:rsidRPr="00715891">
        <w:rPr>
          <w:sz w:val="22"/>
          <w:szCs w:val="22"/>
          <w:lang w:val="lt-LT" w:eastAsia="ja-JP"/>
        </w:rPr>
        <w:t>skyri</w:t>
      </w:r>
      <w:r w:rsidR="009656B4" w:rsidRPr="00715891">
        <w:rPr>
          <w:sz w:val="22"/>
          <w:szCs w:val="22"/>
          <w:lang w:val="lt-LT" w:eastAsia="ja-JP"/>
        </w:rPr>
        <w:t>us</w:t>
      </w:r>
      <w:r w:rsidRPr="00715891">
        <w:rPr>
          <w:sz w:val="22"/>
          <w:szCs w:val="22"/>
          <w:lang w:val="lt-LT" w:eastAsia="ja-JP"/>
        </w:rPr>
        <w:t>)</w:t>
      </w:r>
      <w:r w:rsidRPr="00715891">
        <w:rPr>
          <w:spacing w:val="-2"/>
          <w:sz w:val="22"/>
          <w:szCs w:val="22"/>
          <w:lang w:val="lt-LT" w:eastAsia="ja-JP"/>
        </w:rPr>
        <w:t>.</w:t>
      </w:r>
    </w:p>
    <w:p w14:paraId="2D973DA1" w14:textId="77777777" w:rsidR="00107519" w:rsidRPr="00715891" w:rsidRDefault="00107519" w:rsidP="00107519">
      <w:pPr>
        <w:rPr>
          <w:sz w:val="22"/>
          <w:szCs w:val="22"/>
          <w:lang w:val="lt-LT" w:eastAsia="ja-JP"/>
        </w:rPr>
      </w:pPr>
    </w:p>
    <w:p w14:paraId="1E24158B" w14:textId="77777777" w:rsidR="00107519" w:rsidRPr="00715891" w:rsidRDefault="00107519" w:rsidP="00107519">
      <w:pPr>
        <w:rPr>
          <w:sz w:val="22"/>
          <w:szCs w:val="22"/>
          <w:u w:val="single"/>
          <w:lang w:val="lt-LT" w:eastAsia="ja-JP"/>
        </w:rPr>
      </w:pPr>
      <w:r w:rsidRPr="00715891">
        <w:rPr>
          <w:sz w:val="22"/>
          <w:szCs w:val="22"/>
          <w:u w:val="single"/>
          <w:lang w:val="lt-LT" w:eastAsia="ja-JP"/>
        </w:rPr>
        <w:t>Vaisingumas</w:t>
      </w:r>
    </w:p>
    <w:p w14:paraId="695B36FB" w14:textId="485A7198" w:rsidR="0055569D" w:rsidRPr="00715891" w:rsidRDefault="0055569D" w:rsidP="0055569D">
      <w:pPr>
        <w:rPr>
          <w:sz w:val="22"/>
          <w:szCs w:val="22"/>
          <w:lang w:val="lt-LT" w:eastAsia="ja-JP"/>
        </w:rPr>
      </w:pPr>
      <w:r w:rsidRPr="00715891">
        <w:rPr>
          <w:sz w:val="22"/>
          <w:szCs w:val="22"/>
          <w:lang w:val="lt-LT" w:eastAsia="ja-JP"/>
        </w:rPr>
        <w:t>Nedidelio klinikinio tyrimo, kuriame dalyvavo pacientai su persodintu inkstu, metu buvo taikyta iki 200</w:t>
      </w:r>
      <w:r w:rsidR="007059D4" w:rsidRPr="00715891">
        <w:rPr>
          <w:sz w:val="22"/>
          <w:szCs w:val="22"/>
          <w:lang w:val="lt-LT" w:eastAsia="ja-JP"/>
        </w:rPr>
        <w:t> </w:t>
      </w:r>
      <w:r w:rsidRPr="00715891">
        <w:rPr>
          <w:sz w:val="22"/>
          <w:szCs w:val="22"/>
          <w:lang w:val="lt-LT" w:eastAsia="ja-JP"/>
        </w:rPr>
        <w:t xml:space="preserve">parų trukmės CMV profilaktika valgancikloviru, duomenys parodė valgancikloviro poveikį spermatogenezei, t. y., baigus gydymą buvo išmatuotas sumažėjęs spermos tankis ir spermatozoidų judrumas. </w:t>
      </w:r>
      <w:r w:rsidR="006E5A41" w:rsidRPr="00715891">
        <w:rPr>
          <w:sz w:val="22"/>
          <w:szCs w:val="22"/>
          <w:lang w:val="lt-LT" w:eastAsia="ja-JP"/>
        </w:rPr>
        <w:t>Manoma</w:t>
      </w:r>
      <w:r w:rsidRPr="00715891">
        <w:rPr>
          <w:sz w:val="22"/>
          <w:szCs w:val="22"/>
          <w:lang w:val="lt-LT" w:eastAsia="ja-JP"/>
        </w:rPr>
        <w:t xml:space="preserve">, kad šis poveikis yra grįžtamas, ir praėjus maždaug šešiems mėnesiams po </w:t>
      </w:r>
      <w:r w:rsidR="006E5A41" w:rsidRPr="00715891">
        <w:rPr>
          <w:sz w:val="22"/>
          <w:szCs w:val="22"/>
          <w:lang w:val="lt-LT" w:eastAsia="ja-JP"/>
        </w:rPr>
        <w:t>valgancikloviro</w:t>
      </w:r>
      <w:r w:rsidRPr="00715891">
        <w:rPr>
          <w:sz w:val="22"/>
          <w:szCs w:val="22"/>
          <w:lang w:val="lt-LT" w:eastAsia="ja-JP"/>
        </w:rPr>
        <w:t xml:space="preserve"> nutraukimo vidutinis spermos tankis ir spermatozoidų judrumas atsistatė iki lygi</w:t>
      </w:r>
      <w:r w:rsidR="006E5A41" w:rsidRPr="00715891">
        <w:rPr>
          <w:sz w:val="22"/>
          <w:szCs w:val="22"/>
          <w:lang w:val="lt-LT" w:eastAsia="ja-JP"/>
        </w:rPr>
        <w:t>ų</w:t>
      </w:r>
      <w:r w:rsidRPr="00715891">
        <w:rPr>
          <w:sz w:val="22"/>
          <w:szCs w:val="22"/>
          <w:lang w:val="lt-LT" w:eastAsia="ja-JP"/>
        </w:rPr>
        <w:t xml:space="preserve">, </w:t>
      </w:r>
      <w:r w:rsidR="006E5A41" w:rsidRPr="00715891">
        <w:rPr>
          <w:sz w:val="22"/>
          <w:szCs w:val="22"/>
          <w:lang w:val="lt-LT" w:eastAsia="ja-JP"/>
        </w:rPr>
        <w:t>panašių į nustatytą</w:t>
      </w:r>
      <w:r w:rsidRPr="00715891">
        <w:rPr>
          <w:sz w:val="22"/>
          <w:szCs w:val="22"/>
          <w:lang w:val="lt-LT" w:eastAsia="ja-JP"/>
        </w:rPr>
        <w:t xml:space="preserve"> negydytiems kontrolės grupės tiriamiesiems.</w:t>
      </w:r>
    </w:p>
    <w:p w14:paraId="6B5931F1" w14:textId="77777777" w:rsidR="0055569D" w:rsidRPr="00715891" w:rsidRDefault="0055569D" w:rsidP="0055569D">
      <w:pPr>
        <w:rPr>
          <w:sz w:val="22"/>
          <w:szCs w:val="22"/>
          <w:lang w:val="lt-LT" w:eastAsia="ja-JP"/>
        </w:rPr>
      </w:pPr>
    </w:p>
    <w:p w14:paraId="57DDE6EE" w14:textId="04F59EAD" w:rsidR="0055569D" w:rsidRPr="00715891" w:rsidRDefault="0055569D" w:rsidP="0055569D">
      <w:pPr>
        <w:rPr>
          <w:sz w:val="22"/>
          <w:szCs w:val="22"/>
          <w:lang w:val="lt-LT" w:eastAsia="ja-JP"/>
        </w:rPr>
      </w:pPr>
      <w:r w:rsidRPr="00715891">
        <w:rPr>
          <w:sz w:val="22"/>
          <w:szCs w:val="22"/>
          <w:lang w:val="lt-LT" w:eastAsia="ja-JP"/>
        </w:rPr>
        <w:t>Tyrimų su gyvūnais metu gancikloviras sumažino pelių patelių ir patin</w:t>
      </w:r>
      <w:r w:rsidR="006E5A41" w:rsidRPr="00715891">
        <w:rPr>
          <w:sz w:val="22"/>
          <w:szCs w:val="22"/>
          <w:lang w:val="lt-LT" w:eastAsia="ja-JP"/>
        </w:rPr>
        <w:t>ų</w:t>
      </w:r>
      <w:r w:rsidRPr="00715891">
        <w:rPr>
          <w:sz w:val="22"/>
          <w:szCs w:val="22"/>
          <w:lang w:val="lt-LT" w:eastAsia="ja-JP"/>
        </w:rPr>
        <w:t xml:space="preserve"> vaisingumą</w:t>
      </w:r>
      <w:r w:rsidR="006E5A41" w:rsidRPr="00715891">
        <w:rPr>
          <w:sz w:val="22"/>
          <w:szCs w:val="22"/>
          <w:lang w:val="lt-LT" w:eastAsia="ja-JP"/>
        </w:rPr>
        <w:t xml:space="preserve"> ir buvo parodyta, kad laikomos kliniškai reikšmingomis dozės</w:t>
      </w:r>
      <w:r w:rsidRPr="00715891">
        <w:rPr>
          <w:sz w:val="22"/>
          <w:szCs w:val="22"/>
          <w:lang w:val="lt-LT" w:eastAsia="ja-JP"/>
        </w:rPr>
        <w:t xml:space="preserve"> slopina pelių, žiurkių ir šunų spermatogenezę </w:t>
      </w:r>
      <w:r w:rsidR="005B065B" w:rsidRPr="00715891">
        <w:rPr>
          <w:sz w:val="22"/>
          <w:szCs w:val="22"/>
          <w:lang w:val="lt-LT" w:eastAsia="ja-JP"/>
        </w:rPr>
        <w:t>b</w:t>
      </w:r>
      <w:r w:rsidR="006E5A41" w:rsidRPr="00715891">
        <w:rPr>
          <w:sz w:val="22"/>
          <w:szCs w:val="22"/>
          <w:lang w:val="lt-LT" w:eastAsia="ja-JP"/>
        </w:rPr>
        <w:t>ei</w:t>
      </w:r>
      <w:r w:rsidRPr="00715891">
        <w:rPr>
          <w:sz w:val="22"/>
          <w:szCs w:val="22"/>
          <w:lang w:val="lt-LT" w:eastAsia="ja-JP"/>
        </w:rPr>
        <w:t xml:space="preserve"> sukelia sėklidžių atrofiją.</w:t>
      </w:r>
    </w:p>
    <w:p w14:paraId="76F12661" w14:textId="77777777" w:rsidR="0055569D" w:rsidRPr="00715891" w:rsidRDefault="0055569D" w:rsidP="0055569D">
      <w:pPr>
        <w:rPr>
          <w:sz w:val="22"/>
          <w:szCs w:val="22"/>
          <w:lang w:val="lt-LT" w:eastAsia="ja-JP"/>
        </w:rPr>
      </w:pPr>
    </w:p>
    <w:p w14:paraId="1C5A42FD" w14:textId="77777777" w:rsidR="006E5A41" w:rsidRPr="00715891" w:rsidRDefault="0055569D" w:rsidP="00107519">
      <w:pPr>
        <w:rPr>
          <w:sz w:val="22"/>
          <w:szCs w:val="22"/>
          <w:lang w:val="lt-LT" w:eastAsia="ja-JP"/>
        </w:rPr>
      </w:pPr>
      <w:r w:rsidRPr="00715891">
        <w:rPr>
          <w:sz w:val="22"/>
          <w:szCs w:val="22"/>
          <w:lang w:val="lt-LT" w:eastAsia="ja-JP"/>
        </w:rPr>
        <w:t xml:space="preserve">Remiantis klinikiniais ir ikiklinikiniais tyrimais manoma, kad gancikloviras (ir valgancikloviras) žmogui </w:t>
      </w:r>
      <w:r w:rsidR="006E5A41" w:rsidRPr="00715891">
        <w:rPr>
          <w:sz w:val="22"/>
          <w:szCs w:val="22"/>
          <w:lang w:val="lt-LT" w:eastAsia="ja-JP"/>
        </w:rPr>
        <w:t xml:space="preserve">gali sukelti </w:t>
      </w:r>
      <w:r w:rsidRPr="00715891">
        <w:rPr>
          <w:sz w:val="22"/>
          <w:szCs w:val="22"/>
          <w:lang w:val="lt-LT" w:eastAsia="ja-JP"/>
        </w:rPr>
        <w:t>laikin</w:t>
      </w:r>
      <w:r w:rsidR="006E5A41" w:rsidRPr="00715891">
        <w:rPr>
          <w:sz w:val="22"/>
          <w:szCs w:val="22"/>
          <w:lang w:val="lt-LT" w:eastAsia="ja-JP"/>
        </w:rPr>
        <w:t>ą</w:t>
      </w:r>
      <w:r w:rsidRPr="00715891">
        <w:rPr>
          <w:sz w:val="22"/>
          <w:szCs w:val="22"/>
          <w:lang w:val="lt-LT" w:eastAsia="ja-JP"/>
        </w:rPr>
        <w:t xml:space="preserve"> ar</w:t>
      </w:r>
      <w:r w:rsidR="006E5A41" w:rsidRPr="00715891">
        <w:rPr>
          <w:sz w:val="22"/>
          <w:szCs w:val="22"/>
          <w:lang w:val="lt-LT" w:eastAsia="ja-JP"/>
        </w:rPr>
        <w:t>ba</w:t>
      </w:r>
      <w:r w:rsidRPr="00715891">
        <w:rPr>
          <w:sz w:val="22"/>
          <w:szCs w:val="22"/>
          <w:lang w:val="lt-LT" w:eastAsia="ja-JP"/>
        </w:rPr>
        <w:t xml:space="preserve"> </w:t>
      </w:r>
      <w:r w:rsidR="006E5A41" w:rsidRPr="00715891">
        <w:rPr>
          <w:sz w:val="22"/>
          <w:szCs w:val="22"/>
          <w:lang w:val="lt-LT" w:eastAsia="ja-JP"/>
        </w:rPr>
        <w:t>ilgalaikį</w:t>
      </w:r>
      <w:r w:rsidRPr="00715891">
        <w:rPr>
          <w:sz w:val="22"/>
          <w:szCs w:val="22"/>
          <w:lang w:val="lt-LT" w:eastAsia="ja-JP"/>
        </w:rPr>
        <w:t xml:space="preserve"> spermatogenez</w:t>
      </w:r>
      <w:r w:rsidR="006E5A41" w:rsidRPr="00715891">
        <w:rPr>
          <w:sz w:val="22"/>
          <w:szCs w:val="22"/>
          <w:lang w:val="lt-LT" w:eastAsia="ja-JP"/>
        </w:rPr>
        <w:t>ės slopinimą</w:t>
      </w:r>
      <w:r w:rsidRPr="00715891">
        <w:rPr>
          <w:sz w:val="22"/>
          <w:szCs w:val="22"/>
          <w:lang w:val="lt-LT" w:eastAsia="ja-JP"/>
        </w:rPr>
        <w:t xml:space="preserve"> (žr. 4.4 ir 5.3 skyrius</w:t>
      </w:r>
      <w:r w:rsidR="006E5A41" w:rsidRPr="00715891">
        <w:rPr>
          <w:sz w:val="22"/>
          <w:szCs w:val="22"/>
          <w:lang w:val="lt-LT" w:eastAsia="ja-JP"/>
        </w:rPr>
        <w:t>).</w:t>
      </w:r>
    </w:p>
    <w:p w14:paraId="248F7530" w14:textId="77777777" w:rsidR="00107519" w:rsidRPr="00715891" w:rsidRDefault="00107519" w:rsidP="00107519">
      <w:pPr>
        <w:rPr>
          <w:sz w:val="22"/>
          <w:szCs w:val="22"/>
          <w:lang w:val="lt-LT" w:eastAsia="ja-JP"/>
        </w:rPr>
      </w:pPr>
    </w:p>
    <w:p w14:paraId="2E8F853C" w14:textId="77777777" w:rsidR="00107519" w:rsidRPr="00715891" w:rsidRDefault="00107519" w:rsidP="00107519">
      <w:pPr>
        <w:ind w:left="567" w:hanging="567"/>
        <w:outlineLvl w:val="1"/>
        <w:rPr>
          <w:b/>
          <w:kern w:val="28"/>
          <w:sz w:val="22"/>
          <w:szCs w:val="22"/>
          <w:lang w:val="lt-LT" w:eastAsia="ja-JP"/>
        </w:rPr>
      </w:pPr>
      <w:r w:rsidRPr="00715891">
        <w:rPr>
          <w:b/>
          <w:kern w:val="28"/>
          <w:sz w:val="22"/>
          <w:szCs w:val="22"/>
          <w:lang w:val="lt-LT" w:eastAsia="ja-JP"/>
        </w:rPr>
        <w:t>4.7</w:t>
      </w:r>
      <w:r w:rsidRPr="00715891">
        <w:rPr>
          <w:b/>
          <w:kern w:val="28"/>
          <w:sz w:val="22"/>
          <w:szCs w:val="22"/>
          <w:lang w:val="lt-LT" w:eastAsia="ja-JP"/>
        </w:rPr>
        <w:tab/>
        <w:t>Poveikis gebėjimui vairuoti ir valdyti mechanizmus</w:t>
      </w:r>
    </w:p>
    <w:p w14:paraId="52F71D9F" w14:textId="77777777" w:rsidR="00107519" w:rsidRPr="00715891" w:rsidRDefault="00107519" w:rsidP="00107519">
      <w:pPr>
        <w:rPr>
          <w:sz w:val="22"/>
          <w:szCs w:val="22"/>
          <w:lang w:val="lt-LT" w:eastAsia="ja-JP"/>
        </w:rPr>
      </w:pPr>
    </w:p>
    <w:p w14:paraId="6D3839E5" w14:textId="77777777" w:rsidR="00107519" w:rsidRPr="00715891" w:rsidRDefault="00107519" w:rsidP="00107519">
      <w:pPr>
        <w:rPr>
          <w:sz w:val="22"/>
          <w:szCs w:val="22"/>
          <w:lang w:val="lt-LT" w:eastAsia="ja-JP"/>
        </w:rPr>
      </w:pPr>
      <w:r w:rsidRPr="00715891">
        <w:rPr>
          <w:sz w:val="22"/>
          <w:szCs w:val="22"/>
          <w:lang w:val="lt-LT" w:eastAsia="ja-JP"/>
        </w:rPr>
        <w:t>Poveikis gebėjimui vairuoti ir valdyti mechanizmus netirtas.</w:t>
      </w:r>
    </w:p>
    <w:p w14:paraId="2111FDEE" w14:textId="77777777" w:rsidR="00107519" w:rsidRPr="00715891" w:rsidRDefault="00107519" w:rsidP="00107519">
      <w:pPr>
        <w:jc w:val="both"/>
        <w:rPr>
          <w:sz w:val="22"/>
          <w:szCs w:val="22"/>
          <w:lang w:val="lt-LT" w:eastAsia="ja-JP"/>
        </w:rPr>
      </w:pPr>
    </w:p>
    <w:p w14:paraId="4A475120" w14:textId="45033C8C" w:rsidR="00107519" w:rsidRPr="00715891" w:rsidRDefault="00107519" w:rsidP="00107519">
      <w:pPr>
        <w:rPr>
          <w:sz w:val="22"/>
          <w:szCs w:val="22"/>
          <w:lang w:val="lt-LT" w:eastAsia="ja-JP"/>
        </w:rPr>
      </w:pPr>
      <w:r w:rsidRPr="00715891">
        <w:rPr>
          <w:sz w:val="22"/>
          <w:szCs w:val="22"/>
          <w:lang w:val="lt-LT" w:eastAsia="ja-JP"/>
        </w:rPr>
        <w:t xml:space="preserve">Gauta pranešimų apie </w:t>
      </w:r>
      <w:r w:rsidR="006E5A41" w:rsidRPr="00715891">
        <w:rPr>
          <w:sz w:val="22"/>
          <w:szCs w:val="22"/>
          <w:lang w:val="lt-LT" w:eastAsia="ja-JP"/>
        </w:rPr>
        <w:t>nepageidaujamas rekcijas, tokias, kaip</w:t>
      </w:r>
      <w:r w:rsidRPr="00715891">
        <w:rPr>
          <w:sz w:val="22"/>
          <w:szCs w:val="22"/>
          <w:lang w:val="lt-LT" w:eastAsia="ja-JP"/>
        </w:rPr>
        <w:t xml:space="preserve"> traukuli</w:t>
      </w:r>
      <w:r w:rsidR="006E5A41" w:rsidRPr="00715891">
        <w:rPr>
          <w:sz w:val="22"/>
          <w:szCs w:val="22"/>
          <w:lang w:val="lt-LT" w:eastAsia="ja-JP"/>
        </w:rPr>
        <w:t>ai</w:t>
      </w:r>
      <w:r w:rsidRPr="00715891">
        <w:rPr>
          <w:sz w:val="22"/>
          <w:szCs w:val="22"/>
          <w:lang w:val="lt-LT" w:eastAsia="ja-JP"/>
        </w:rPr>
        <w:t>, svaigul</w:t>
      </w:r>
      <w:r w:rsidR="006E5A41" w:rsidRPr="00715891">
        <w:rPr>
          <w:sz w:val="22"/>
          <w:szCs w:val="22"/>
          <w:lang w:val="lt-LT" w:eastAsia="ja-JP"/>
        </w:rPr>
        <w:t>ys</w:t>
      </w:r>
      <w:r w:rsidRPr="00715891">
        <w:rPr>
          <w:sz w:val="22"/>
          <w:szCs w:val="22"/>
          <w:lang w:val="lt-LT" w:eastAsia="ja-JP"/>
        </w:rPr>
        <w:t xml:space="preserve"> ir</w:t>
      </w:r>
      <w:r w:rsidR="00C1632A" w:rsidRPr="00715891">
        <w:rPr>
          <w:sz w:val="22"/>
          <w:szCs w:val="22"/>
          <w:lang w:val="lt-LT" w:eastAsia="ja-JP"/>
        </w:rPr>
        <w:t xml:space="preserve"> sumišim</w:t>
      </w:r>
      <w:r w:rsidR="006E5A41" w:rsidRPr="00715891">
        <w:rPr>
          <w:sz w:val="22"/>
          <w:szCs w:val="22"/>
          <w:lang w:val="lt-LT" w:eastAsia="ja-JP"/>
        </w:rPr>
        <w:t>as</w:t>
      </w:r>
      <w:r w:rsidRPr="00715891">
        <w:rPr>
          <w:sz w:val="22"/>
          <w:szCs w:val="22"/>
          <w:lang w:val="lt-LT" w:eastAsia="ja-JP"/>
        </w:rPr>
        <w:t>, susijusi</w:t>
      </w:r>
      <w:r w:rsidR="006E5A41" w:rsidRPr="00715891">
        <w:rPr>
          <w:sz w:val="22"/>
          <w:szCs w:val="22"/>
          <w:lang w:val="lt-LT" w:eastAsia="ja-JP"/>
        </w:rPr>
        <w:t>as</w:t>
      </w:r>
      <w:r w:rsidRPr="00715891">
        <w:rPr>
          <w:sz w:val="22"/>
          <w:szCs w:val="22"/>
          <w:lang w:val="lt-LT" w:eastAsia="ja-JP"/>
        </w:rPr>
        <w:t xml:space="preserve"> su </w:t>
      </w:r>
      <w:r w:rsidR="00C1632A" w:rsidRPr="00715891">
        <w:rPr>
          <w:sz w:val="22"/>
          <w:szCs w:val="22"/>
          <w:lang w:val="lt-LT" w:eastAsia="ja-JP"/>
        </w:rPr>
        <w:t>valgancikloviro ir (arba)</w:t>
      </w:r>
      <w:r w:rsidRPr="00715891">
        <w:rPr>
          <w:sz w:val="22"/>
          <w:szCs w:val="22"/>
          <w:lang w:val="lt-LT" w:eastAsia="ja-JP"/>
        </w:rPr>
        <w:t xml:space="preserve"> gancikloviro vartojimu. Jeigu jie pasireiškia, toks poveikis gali paveikti budrumo reikalaujančias užduotis, įskaitant paciento gebėjimą vairuoti ir valdyti mechanizmus.</w:t>
      </w:r>
    </w:p>
    <w:p w14:paraId="2D002546" w14:textId="77777777" w:rsidR="00107519" w:rsidRPr="00715891" w:rsidRDefault="00107519" w:rsidP="00107519">
      <w:pPr>
        <w:ind w:left="567" w:hanging="567"/>
        <w:outlineLvl w:val="1"/>
        <w:rPr>
          <w:b/>
          <w:kern w:val="28"/>
          <w:sz w:val="22"/>
          <w:szCs w:val="22"/>
          <w:lang w:val="lt-LT" w:eastAsia="ja-JP"/>
        </w:rPr>
      </w:pPr>
    </w:p>
    <w:p w14:paraId="79A2B070" w14:textId="77777777" w:rsidR="00107519" w:rsidRPr="00715891" w:rsidRDefault="00107519" w:rsidP="00107519">
      <w:pPr>
        <w:keepNext/>
        <w:ind w:left="567" w:hanging="567"/>
        <w:outlineLvl w:val="1"/>
        <w:rPr>
          <w:b/>
          <w:kern w:val="28"/>
          <w:sz w:val="22"/>
          <w:szCs w:val="22"/>
          <w:lang w:val="lt-LT" w:eastAsia="ja-JP"/>
        </w:rPr>
      </w:pPr>
      <w:r w:rsidRPr="00715891">
        <w:rPr>
          <w:b/>
          <w:kern w:val="28"/>
          <w:sz w:val="22"/>
          <w:szCs w:val="22"/>
          <w:lang w:val="lt-LT" w:eastAsia="ja-JP"/>
        </w:rPr>
        <w:t>4.8</w:t>
      </w:r>
      <w:r w:rsidRPr="00715891">
        <w:rPr>
          <w:b/>
          <w:kern w:val="28"/>
          <w:sz w:val="22"/>
          <w:szCs w:val="22"/>
          <w:lang w:val="lt-LT" w:eastAsia="ja-JP"/>
        </w:rPr>
        <w:tab/>
        <w:t>Nepageidaujamas poveikis</w:t>
      </w:r>
    </w:p>
    <w:p w14:paraId="7157B9DC" w14:textId="77777777" w:rsidR="00107519" w:rsidRPr="00715891" w:rsidRDefault="00107519" w:rsidP="00107519">
      <w:pPr>
        <w:rPr>
          <w:sz w:val="22"/>
          <w:szCs w:val="22"/>
          <w:lang w:val="lt-LT" w:eastAsia="ja-JP"/>
        </w:rPr>
      </w:pPr>
    </w:p>
    <w:p w14:paraId="4D8232D1" w14:textId="50C4A0DF" w:rsidR="00107519" w:rsidRPr="004C2447" w:rsidRDefault="00107519" w:rsidP="004C2447">
      <w:pPr>
        <w:pStyle w:val="Sraopastraipa"/>
        <w:numPr>
          <w:ilvl w:val="0"/>
          <w:numId w:val="44"/>
        </w:numPr>
        <w:rPr>
          <w:b/>
          <w:i/>
          <w:sz w:val="22"/>
          <w:szCs w:val="22"/>
          <w:lang w:val="lt-LT" w:eastAsia="ja-JP"/>
        </w:rPr>
      </w:pPr>
      <w:r w:rsidRPr="004C2447">
        <w:rPr>
          <w:b/>
          <w:i/>
          <w:sz w:val="22"/>
          <w:szCs w:val="22"/>
          <w:lang w:val="lt-LT" w:eastAsia="ja-JP"/>
        </w:rPr>
        <w:t>Saugumo duomenų santrauka</w:t>
      </w:r>
    </w:p>
    <w:p w14:paraId="2A697BA6" w14:textId="77777777" w:rsidR="007109C8" w:rsidRPr="004C2447" w:rsidRDefault="007109C8" w:rsidP="004C2447">
      <w:pPr>
        <w:pStyle w:val="Sraopastraipa"/>
        <w:rPr>
          <w:b/>
          <w:i/>
          <w:sz w:val="22"/>
          <w:szCs w:val="22"/>
          <w:lang w:val="lt-LT" w:eastAsia="ja-JP"/>
        </w:rPr>
      </w:pPr>
    </w:p>
    <w:p w14:paraId="16E46C8C" w14:textId="54E4D776" w:rsidR="00107519" w:rsidRPr="00715891" w:rsidRDefault="00107519" w:rsidP="00107519">
      <w:pPr>
        <w:rPr>
          <w:sz w:val="22"/>
          <w:szCs w:val="22"/>
          <w:lang w:val="lt-LT" w:eastAsia="ja-JP"/>
        </w:rPr>
      </w:pPr>
      <w:r w:rsidRPr="00715891">
        <w:rPr>
          <w:sz w:val="22"/>
          <w:szCs w:val="22"/>
          <w:lang w:val="lt-LT" w:eastAsia="ja-JP"/>
        </w:rPr>
        <w:t xml:space="preserve">Išgertas valgancikloviras greitai ir ekstensyviai metabolizuojamas į ganciklovirą, taigi valgancikloviras yra gancikloviro pirmtakas. Tikėtina, kad nepageidaujamas poveikis, kuris, kaip žinoma, yra susijęs su gancikloviro vartojimu, taip pat gali pasireikšti vartojant valgancikloviro. </w:t>
      </w:r>
      <w:r w:rsidR="00C1632A" w:rsidRPr="00715891">
        <w:rPr>
          <w:sz w:val="22"/>
          <w:szCs w:val="22"/>
          <w:lang w:val="lt-LT" w:eastAsia="ja-JP"/>
        </w:rPr>
        <w:t>Visos nepageidaujamos reakcijos</w:t>
      </w:r>
      <w:r w:rsidRPr="00715891">
        <w:rPr>
          <w:sz w:val="22"/>
          <w:szCs w:val="22"/>
          <w:lang w:val="lt-LT" w:eastAsia="ja-JP"/>
        </w:rPr>
        <w:t xml:space="preserve">, </w:t>
      </w:r>
      <w:r w:rsidR="00C1632A" w:rsidRPr="00715891">
        <w:rPr>
          <w:sz w:val="22"/>
          <w:szCs w:val="22"/>
          <w:lang w:val="lt-LT" w:eastAsia="ja-JP"/>
        </w:rPr>
        <w:t xml:space="preserve">nustatytos </w:t>
      </w:r>
      <w:r w:rsidRPr="00715891">
        <w:rPr>
          <w:sz w:val="22"/>
          <w:szCs w:val="22"/>
          <w:lang w:val="lt-LT" w:eastAsia="ja-JP"/>
        </w:rPr>
        <w:t>atliekant klinikinius valgancikloviro tyrimus, anksčiau buvo pastebėt</w:t>
      </w:r>
      <w:r w:rsidR="001A68BD" w:rsidRPr="00715891">
        <w:rPr>
          <w:sz w:val="22"/>
          <w:szCs w:val="22"/>
          <w:lang w:val="lt-LT" w:eastAsia="ja-JP"/>
        </w:rPr>
        <w:t>os</w:t>
      </w:r>
      <w:r w:rsidRPr="00715891">
        <w:rPr>
          <w:sz w:val="22"/>
          <w:szCs w:val="22"/>
          <w:lang w:val="lt-LT" w:eastAsia="ja-JP"/>
        </w:rPr>
        <w:t xml:space="preserve"> vartojant gancikloviro. </w:t>
      </w:r>
      <w:r w:rsidR="00C1632A" w:rsidRPr="00715891">
        <w:rPr>
          <w:sz w:val="22"/>
          <w:szCs w:val="22"/>
          <w:lang w:val="lt-LT" w:eastAsia="ja-JP"/>
        </w:rPr>
        <w:t>Taigi, nepageidaujamos reakcijos į vaist</w:t>
      </w:r>
      <w:r w:rsidR="00B957C0" w:rsidRPr="00715891">
        <w:rPr>
          <w:sz w:val="22"/>
          <w:szCs w:val="22"/>
          <w:lang w:val="lt-LT" w:eastAsia="ja-JP"/>
        </w:rPr>
        <w:t>inį preparat</w:t>
      </w:r>
      <w:r w:rsidR="00C1632A" w:rsidRPr="00715891">
        <w:rPr>
          <w:sz w:val="22"/>
          <w:szCs w:val="22"/>
          <w:lang w:val="lt-LT" w:eastAsia="ja-JP"/>
        </w:rPr>
        <w:t>ą, pastebėtos vartojant leidžiamo į veną gancikloviro, geriamojo gancikloviro (ši farmacinė forma jau netiekiama) arba valgancikloviro, yra įtrauktos į žemiau pateiktą nepageidaujamų reakcijų lentelę.</w:t>
      </w:r>
    </w:p>
    <w:p w14:paraId="5424EA8F" w14:textId="77777777" w:rsidR="00C1632A" w:rsidRPr="00715891" w:rsidRDefault="00C1632A" w:rsidP="00C1632A">
      <w:pPr>
        <w:rPr>
          <w:sz w:val="22"/>
          <w:szCs w:val="22"/>
          <w:lang w:val="lt-LT" w:eastAsia="ja-JP"/>
        </w:rPr>
      </w:pPr>
    </w:p>
    <w:p w14:paraId="27475687" w14:textId="77777777" w:rsidR="00C1632A" w:rsidRPr="00715891" w:rsidRDefault="00C1632A" w:rsidP="00C1632A">
      <w:pPr>
        <w:rPr>
          <w:sz w:val="22"/>
          <w:szCs w:val="22"/>
          <w:lang w:val="lt-LT" w:eastAsia="ja-JP"/>
        </w:rPr>
      </w:pPr>
      <w:r w:rsidRPr="00715891">
        <w:rPr>
          <w:sz w:val="22"/>
          <w:szCs w:val="22"/>
          <w:lang w:val="lt-LT" w:eastAsia="ja-JP"/>
        </w:rPr>
        <w:t>Gancikloviru ar valgancikloviru gydytiems pacientams sunkiausios ir dažniausios nepageidaujamos reakcijos į vaist</w:t>
      </w:r>
      <w:r w:rsidR="00B957C0" w:rsidRPr="00715891">
        <w:rPr>
          <w:sz w:val="22"/>
          <w:szCs w:val="22"/>
          <w:lang w:val="lt-LT" w:eastAsia="ja-JP"/>
        </w:rPr>
        <w:t>inį preparat</w:t>
      </w:r>
      <w:r w:rsidRPr="00715891">
        <w:rPr>
          <w:sz w:val="22"/>
          <w:szCs w:val="22"/>
          <w:lang w:val="lt-LT" w:eastAsia="ja-JP"/>
        </w:rPr>
        <w:t>ą buvo hematologinės reakcijos, tokios, kaip neutropenija, anemija ir trombocitopenija (žr. 4.4 skyrių).</w:t>
      </w:r>
    </w:p>
    <w:p w14:paraId="76CF4611" w14:textId="77777777" w:rsidR="00C1632A" w:rsidRPr="00715891" w:rsidRDefault="00C1632A" w:rsidP="00C1632A">
      <w:pPr>
        <w:rPr>
          <w:sz w:val="22"/>
          <w:szCs w:val="22"/>
          <w:lang w:val="lt-LT" w:eastAsia="ja-JP"/>
        </w:rPr>
      </w:pPr>
    </w:p>
    <w:p w14:paraId="08BFEFE4" w14:textId="443E37A5" w:rsidR="00C1632A" w:rsidRPr="00715891" w:rsidRDefault="00C1632A" w:rsidP="00C1632A">
      <w:pPr>
        <w:rPr>
          <w:sz w:val="22"/>
          <w:szCs w:val="22"/>
          <w:lang w:val="lt-LT" w:eastAsia="ja-JP"/>
        </w:rPr>
      </w:pPr>
      <w:r w:rsidRPr="00715891">
        <w:rPr>
          <w:sz w:val="22"/>
          <w:szCs w:val="22"/>
          <w:lang w:val="lt-LT" w:eastAsia="ja-JP"/>
        </w:rPr>
        <w:t xml:space="preserve">Lentelėje pateikti nepageidaujamų reakcijų dažniai yra nustatyti iš bendros ŽIV infekuotų pacientų populiacijos (n = 1704), kuriems taikytas palaikomasis gydymas gancikloviru arba valgancikloviru. Išimtis yra padaryta dėl anafilaksinės reakcijos, agranulocitozės ir granulocitopenijos, kurių dažniai </w:t>
      </w:r>
      <w:r w:rsidR="008B4AE4" w:rsidRPr="00715891">
        <w:rPr>
          <w:sz w:val="22"/>
          <w:szCs w:val="22"/>
          <w:lang w:val="lt-LT" w:eastAsia="ja-JP"/>
        </w:rPr>
        <w:t>nustatyti iš patirties, sukauptos po vaistinio preparato patekimo į rinką</w:t>
      </w:r>
      <w:r w:rsidRPr="00715891">
        <w:rPr>
          <w:sz w:val="22"/>
          <w:szCs w:val="22"/>
          <w:lang w:val="lt-LT" w:eastAsia="ja-JP"/>
        </w:rPr>
        <w:t xml:space="preserve">. Nepageidaujamos reakcijos yra išvardytos pagal MedDRA organų sistemų klases. </w:t>
      </w:r>
      <w:r w:rsidR="008B4AE4" w:rsidRPr="00715891">
        <w:rPr>
          <w:sz w:val="22"/>
          <w:szCs w:val="22"/>
          <w:lang w:val="lt-LT" w:eastAsia="ja-JP"/>
        </w:rPr>
        <w:t>Nepageidaujamo poveikio dažnis apibūdinamas taip: labai dažnas (≥</w:t>
      </w:r>
      <w:r w:rsidR="007059D4" w:rsidRPr="00715891">
        <w:rPr>
          <w:sz w:val="22"/>
          <w:szCs w:val="22"/>
          <w:lang w:val="lt-LT" w:eastAsia="ja-JP"/>
        </w:rPr>
        <w:t> </w:t>
      </w:r>
      <w:r w:rsidR="008B4AE4" w:rsidRPr="00715891">
        <w:rPr>
          <w:sz w:val="22"/>
          <w:szCs w:val="22"/>
          <w:lang w:val="lt-LT" w:eastAsia="ja-JP"/>
        </w:rPr>
        <w:t>1/10), dažnas (nuo ≥</w:t>
      </w:r>
      <w:r w:rsidR="007059D4" w:rsidRPr="00715891">
        <w:rPr>
          <w:sz w:val="22"/>
          <w:szCs w:val="22"/>
          <w:lang w:val="lt-LT" w:eastAsia="ja-JP"/>
        </w:rPr>
        <w:t> </w:t>
      </w:r>
      <w:r w:rsidR="008B4AE4" w:rsidRPr="00715891">
        <w:rPr>
          <w:sz w:val="22"/>
          <w:szCs w:val="22"/>
          <w:lang w:val="lt-LT" w:eastAsia="ja-JP"/>
        </w:rPr>
        <w:t>1/100 iki &lt;</w:t>
      </w:r>
      <w:r w:rsidR="007059D4" w:rsidRPr="00715891">
        <w:rPr>
          <w:sz w:val="22"/>
          <w:szCs w:val="22"/>
          <w:lang w:val="lt-LT" w:eastAsia="ja-JP"/>
        </w:rPr>
        <w:t> </w:t>
      </w:r>
      <w:r w:rsidR="008B4AE4" w:rsidRPr="00715891">
        <w:rPr>
          <w:sz w:val="22"/>
          <w:szCs w:val="22"/>
          <w:lang w:val="lt-LT" w:eastAsia="ja-JP"/>
        </w:rPr>
        <w:t>1/10), nedažnas (nuo ≥</w:t>
      </w:r>
      <w:r w:rsidR="007059D4" w:rsidRPr="00715891">
        <w:rPr>
          <w:sz w:val="22"/>
          <w:szCs w:val="22"/>
          <w:lang w:val="lt-LT" w:eastAsia="ja-JP"/>
        </w:rPr>
        <w:t> </w:t>
      </w:r>
      <w:r w:rsidR="008B4AE4" w:rsidRPr="00715891">
        <w:rPr>
          <w:sz w:val="22"/>
          <w:szCs w:val="22"/>
          <w:lang w:val="lt-LT" w:eastAsia="ja-JP"/>
        </w:rPr>
        <w:t>1/1</w:t>
      </w:r>
      <w:r w:rsidR="007059D4" w:rsidRPr="00715891">
        <w:rPr>
          <w:sz w:val="22"/>
          <w:szCs w:val="22"/>
          <w:lang w:val="lt-LT" w:eastAsia="ja-JP"/>
        </w:rPr>
        <w:t> </w:t>
      </w:r>
      <w:r w:rsidR="008B4AE4" w:rsidRPr="00715891">
        <w:rPr>
          <w:sz w:val="22"/>
          <w:szCs w:val="22"/>
          <w:lang w:val="lt-LT" w:eastAsia="ja-JP"/>
        </w:rPr>
        <w:t>000 iki &lt;</w:t>
      </w:r>
      <w:r w:rsidR="007059D4" w:rsidRPr="00715891">
        <w:rPr>
          <w:sz w:val="22"/>
          <w:szCs w:val="22"/>
          <w:lang w:val="lt-LT" w:eastAsia="ja-JP"/>
        </w:rPr>
        <w:t> </w:t>
      </w:r>
      <w:r w:rsidR="008B4AE4" w:rsidRPr="00715891">
        <w:rPr>
          <w:sz w:val="22"/>
          <w:szCs w:val="22"/>
          <w:lang w:val="lt-LT" w:eastAsia="ja-JP"/>
        </w:rPr>
        <w:t>1/100), retas (nuo ≥</w:t>
      </w:r>
      <w:r w:rsidR="007059D4" w:rsidRPr="00715891">
        <w:rPr>
          <w:sz w:val="22"/>
          <w:szCs w:val="22"/>
          <w:lang w:val="lt-LT" w:eastAsia="ja-JP"/>
        </w:rPr>
        <w:t> </w:t>
      </w:r>
      <w:r w:rsidR="008B4AE4" w:rsidRPr="00715891">
        <w:rPr>
          <w:sz w:val="22"/>
          <w:szCs w:val="22"/>
          <w:lang w:val="lt-LT" w:eastAsia="ja-JP"/>
        </w:rPr>
        <w:t>1/10</w:t>
      </w:r>
      <w:r w:rsidR="007059D4" w:rsidRPr="00715891">
        <w:rPr>
          <w:sz w:val="22"/>
          <w:szCs w:val="22"/>
          <w:lang w:val="lt-LT" w:eastAsia="ja-JP"/>
        </w:rPr>
        <w:t> </w:t>
      </w:r>
      <w:r w:rsidR="008B4AE4" w:rsidRPr="00715891">
        <w:rPr>
          <w:sz w:val="22"/>
          <w:szCs w:val="22"/>
          <w:lang w:val="lt-LT" w:eastAsia="ja-JP"/>
        </w:rPr>
        <w:t>000 iki &lt;</w:t>
      </w:r>
      <w:r w:rsidR="007059D4" w:rsidRPr="00715891">
        <w:rPr>
          <w:sz w:val="22"/>
          <w:szCs w:val="22"/>
          <w:lang w:val="lt-LT" w:eastAsia="ja-JP"/>
        </w:rPr>
        <w:t> </w:t>
      </w:r>
      <w:r w:rsidR="008B4AE4" w:rsidRPr="00715891">
        <w:rPr>
          <w:sz w:val="22"/>
          <w:szCs w:val="22"/>
          <w:lang w:val="lt-LT" w:eastAsia="ja-JP"/>
        </w:rPr>
        <w:t>1/1</w:t>
      </w:r>
      <w:r w:rsidR="007059D4" w:rsidRPr="00715891">
        <w:rPr>
          <w:sz w:val="22"/>
          <w:szCs w:val="22"/>
          <w:lang w:val="lt-LT" w:eastAsia="ja-JP"/>
        </w:rPr>
        <w:t> </w:t>
      </w:r>
      <w:r w:rsidR="008B4AE4" w:rsidRPr="00715891">
        <w:rPr>
          <w:sz w:val="22"/>
          <w:szCs w:val="22"/>
          <w:lang w:val="lt-LT" w:eastAsia="ja-JP"/>
        </w:rPr>
        <w:t>000) ir labai retas (&lt;</w:t>
      </w:r>
      <w:r w:rsidR="007059D4" w:rsidRPr="00715891">
        <w:rPr>
          <w:sz w:val="22"/>
          <w:szCs w:val="22"/>
          <w:lang w:val="lt-LT" w:eastAsia="ja-JP"/>
        </w:rPr>
        <w:t> </w:t>
      </w:r>
      <w:r w:rsidR="008B4AE4" w:rsidRPr="00715891">
        <w:rPr>
          <w:sz w:val="22"/>
          <w:szCs w:val="22"/>
          <w:lang w:val="lt-LT" w:eastAsia="ja-JP"/>
        </w:rPr>
        <w:t>1/10</w:t>
      </w:r>
      <w:r w:rsidR="007059D4" w:rsidRPr="00715891">
        <w:rPr>
          <w:sz w:val="22"/>
          <w:szCs w:val="22"/>
          <w:lang w:val="lt-LT" w:eastAsia="ja-JP"/>
        </w:rPr>
        <w:t> </w:t>
      </w:r>
      <w:r w:rsidR="008B4AE4" w:rsidRPr="00715891">
        <w:rPr>
          <w:sz w:val="22"/>
          <w:szCs w:val="22"/>
          <w:lang w:val="lt-LT" w:eastAsia="ja-JP"/>
        </w:rPr>
        <w:t>000)</w:t>
      </w:r>
      <w:r w:rsidRPr="00715891">
        <w:rPr>
          <w:sz w:val="22"/>
          <w:szCs w:val="22"/>
          <w:lang w:val="lt-LT" w:eastAsia="ja-JP"/>
        </w:rPr>
        <w:t>.</w:t>
      </w:r>
    </w:p>
    <w:p w14:paraId="4662BF17" w14:textId="77777777" w:rsidR="00C1632A" w:rsidRPr="00715891" w:rsidRDefault="00C1632A" w:rsidP="005B6B82">
      <w:pPr>
        <w:rPr>
          <w:sz w:val="22"/>
          <w:szCs w:val="22"/>
          <w:lang w:val="lt-LT" w:eastAsia="ja-JP"/>
        </w:rPr>
      </w:pPr>
    </w:p>
    <w:p w14:paraId="5549B736" w14:textId="1D2100D6" w:rsidR="00C1632A" w:rsidRPr="00715891" w:rsidRDefault="00C1632A" w:rsidP="00C1632A">
      <w:pPr>
        <w:rPr>
          <w:sz w:val="22"/>
          <w:szCs w:val="22"/>
          <w:lang w:val="lt-LT" w:eastAsia="ja-JP"/>
        </w:rPr>
      </w:pPr>
      <w:r w:rsidRPr="00715891">
        <w:rPr>
          <w:sz w:val="22"/>
          <w:szCs w:val="22"/>
          <w:lang w:val="lt-LT" w:eastAsia="ja-JP"/>
        </w:rPr>
        <w:lastRenderedPageBreak/>
        <w:t xml:space="preserve">Bendrasis gancikloviro </w:t>
      </w:r>
      <w:r w:rsidR="008B4AE4" w:rsidRPr="00715891">
        <w:rPr>
          <w:sz w:val="22"/>
          <w:szCs w:val="22"/>
          <w:lang w:val="lt-LT" w:eastAsia="ja-JP"/>
        </w:rPr>
        <w:t>ir</w:t>
      </w:r>
      <w:r w:rsidRPr="00715891">
        <w:rPr>
          <w:sz w:val="22"/>
          <w:szCs w:val="22"/>
          <w:lang w:val="lt-LT" w:eastAsia="ja-JP"/>
        </w:rPr>
        <w:t xml:space="preserve"> valgancikloviro saugumo </w:t>
      </w:r>
      <w:r w:rsidR="008B4AE4" w:rsidRPr="00715891">
        <w:rPr>
          <w:sz w:val="22"/>
          <w:szCs w:val="22"/>
          <w:lang w:val="lt-LT" w:eastAsia="ja-JP"/>
        </w:rPr>
        <w:t>apibūdinimas</w:t>
      </w:r>
      <w:r w:rsidRPr="00715891">
        <w:rPr>
          <w:sz w:val="22"/>
          <w:szCs w:val="22"/>
          <w:lang w:val="lt-LT" w:eastAsia="ja-JP"/>
        </w:rPr>
        <w:t xml:space="preserve"> ŽIV užsikrėtusių</w:t>
      </w:r>
      <w:r w:rsidR="008B4AE4" w:rsidRPr="00715891">
        <w:rPr>
          <w:sz w:val="22"/>
          <w:szCs w:val="22"/>
          <w:lang w:val="lt-LT" w:eastAsia="ja-JP"/>
        </w:rPr>
        <w:t>jų</w:t>
      </w:r>
      <w:r w:rsidRPr="00715891">
        <w:rPr>
          <w:sz w:val="22"/>
          <w:szCs w:val="22"/>
          <w:lang w:val="lt-LT" w:eastAsia="ja-JP"/>
        </w:rPr>
        <w:t xml:space="preserve"> ir </w:t>
      </w:r>
      <w:r w:rsidR="008B4AE4" w:rsidRPr="00715891">
        <w:rPr>
          <w:sz w:val="22"/>
          <w:szCs w:val="22"/>
          <w:lang w:val="lt-LT" w:eastAsia="ja-JP"/>
        </w:rPr>
        <w:t>pacientų, kuriems persodintas organas,</w:t>
      </w:r>
      <w:r w:rsidRPr="00715891">
        <w:rPr>
          <w:sz w:val="22"/>
          <w:szCs w:val="22"/>
          <w:lang w:val="lt-LT" w:eastAsia="ja-JP"/>
        </w:rPr>
        <w:t xml:space="preserve"> populiacijose sutampa, išskyrus tai, kad tinklainės atšoka buvo pastebėta tik ŽIV infekuotiems ir CMV sukeltu retinitu </w:t>
      </w:r>
      <w:r w:rsidR="008B4AE4" w:rsidRPr="00715891">
        <w:rPr>
          <w:sz w:val="22"/>
          <w:szCs w:val="22"/>
          <w:lang w:val="lt-LT" w:eastAsia="ja-JP"/>
        </w:rPr>
        <w:t>sergantiems</w:t>
      </w:r>
      <w:r w:rsidRPr="00715891">
        <w:rPr>
          <w:sz w:val="22"/>
          <w:szCs w:val="22"/>
          <w:lang w:val="lt-LT" w:eastAsia="ja-JP"/>
        </w:rPr>
        <w:t xml:space="preserve"> pacientams. Vis dėlto yra keletas tam tikrų reakcijų dažnio skirtumų. </w:t>
      </w:r>
      <w:r w:rsidR="005134CC" w:rsidRPr="00715891">
        <w:rPr>
          <w:sz w:val="22"/>
          <w:szCs w:val="22"/>
          <w:lang w:val="lt-LT" w:eastAsia="ja-JP"/>
        </w:rPr>
        <w:t>Valgancikloviras</w:t>
      </w:r>
      <w:r w:rsidRPr="00715891">
        <w:rPr>
          <w:sz w:val="22"/>
          <w:szCs w:val="22"/>
          <w:lang w:val="lt-LT" w:eastAsia="ja-JP"/>
        </w:rPr>
        <w:t xml:space="preserve"> yra susijęs su </w:t>
      </w:r>
      <w:r w:rsidR="005134CC" w:rsidRPr="00715891">
        <w:rPr>
          <w:sz w:val="22"/>
          <w:szCs w:val="22"/>
          <w:lang w:val="lt-LT" w:eastAsia="ja-JP"/>
        </w:rPr>
        <w:t>didesne</w:t>
      </w:r>
      <w:r w:rsidRPr="00715891">
        <w:rPr>
          <w:sz w:val="22"/>
          <w:szCs w:val="22"/>
          <w:lang w:val="lt-LT" w:eastAsia="ja-JP"/>
        </w:rPr>
        <w:t xml:space="preserve"> viduriavimo rizika, lyginant su </w:t>
      </w:r>
      <w:r w:rsidR="005134CC" w:rsidRPr="00715891">
        <w:rPr>
          <w:sz w:val="22"/>
          <w:szCs w:val="22"/>
          <w:lang w:val="lt-LT" w:eastAsia="ja-JP"/>
        </w:rPr>
        <w:t xml:space="preserve"> į veną leidžiamu gancikloviru</w:t>
      </w:r>
      <w:r w:rsidRPr="00715891">
        <w:rPr>
          <w:sz w:val="22"/>
          <w:szCs w:val="22"/>
          <w:lang w:val="lt-LT" w:eastAsia="ja-JP"/>
        </w:rPr>
        <w:t xml:space="preserve">. ŽIV infekuotiems pacientams dažniau pasireiškė karščiavimas, </w:t>
      </w:r>
      <w:r w:rsidR="008B4AE4" w:rsidRPr="004C2447">
        <w:rPr>
          <w:i/>
          <w:iCs/>
          <w:sz w:val="22"/>
          <w:szCs w:val="22"/>
          <w:lang w:val="lt-LT" w:eastAsia="ja-JP"/>
        </w:rPr>
        <w:t>Candida</w:t>
      </w:r>
      <w:r w:rsidR="008B4AE4" w:rsidRPr="00715891">
        <w:rPr>
          <w:sz w:val="22"/>
          <w:szCs w:val="22"/>
          <w:lang w:val="lt-LT" w:eastAsia="ja-JP"/>
        </w:rPr>
        <w:t xml:space="preserve"> (mieliagrybių) </w:t>
      </w:r>
      <w:r w:rsidRPr="00715891">
        <w:rPr>
          <w:sz w:val="22"/>
          <w:szCs w:val="22"/>
          <w:lang w:val="lt-LT" w:eastAsia="ja-JP"/>
        </w:rPr>
        <w:t>infekcija, depresija, sunki neutropenija (ANS</w:t>
      </w:r>
      <w:r w:rsidR="00F706F6" w:rsidRPr="00715891">
        <w:rPr>
          <w:sz w:val="22"/>
          <w:szCs w:val="22"/>
          <w:lang w:val="lt-LT" w:eastAsia="ja-JP"/>
        </w:rPr>
        <w:t> </w:t>
      </w:r>
      <w:r w:rsidRPr="00715891">
        <w:rPr>
          <w:sz w:val="22"/>
          <w:szCs w:val="22"/>
          <w:lang w:val="lt-LT" w:eastAsia="ja-JP"/>
        </w:rPr>
        <w:t>&lt;</w:t>
      </w:r>
      <w:r w:rsidR="007059D4" w:rsidRPr="00715891">
        <w:rPr>
          <w:sz w:val="22"/>
          <w:szCs w:val="22"/>
          <w:lang w:val="lt-LT" w:eastAsia="ja-JP"/>
        </w:rPr>
        <w:t> </w:t>
      </w:r>
      <w:r w:rsidRPr="00715891">
        <w:rPr>
          <w:sz w:val="22"/>
          <w:szCs w:val="22"/>
          <w:lang w:val="lt-LT" w:eastAsia="ja-JP"/>
        </w:rPr>
        <w:t>500</w:t>
      </w:r>
      <w:r w:rsidR="007059D4" w:rsidRPr="00715891">
        <w:rPr>
          <w:sz w:val="22"/>
          <w:szCs w:val="22"/>
          <w:lang w:val="lt-LT" w:eastAsia="ja-JP"/>
        </w:rPr>
        <w:t> </w:t>
      </w:r>
      <w:r w:rsidR="008B4AE4" w:rsidRPr="00715891">
        <w:rPr>
          <w:sz w:val="22"/>
          <w:szCs w:val="22"/>
          <w:lang w:val="lt-LT" w:eastAsia="ja-JP"/>
        </w:rPr>
        <w:t>mikrolitre</w:t>
      </w:r>
      <w:r w:rsidRPr="00715891">
        <w:rPr>
          <w:sz w:val="22"/>
          <w:szCs w:val="22"/>
          <w:lang w:val="lt-LT" w:eastAsia="ja-JP"/>
        </w:rPr>
        <w:t xml:space="preserve">) ir odos reakcijos. Inkstų ir kepenų veikla dažniau sutriko </w:t>
      </w:r>
      <w:r w:rsidR="008B4AE4" w:rsidRPr="00715891">
        <w:rPr>
          <w:sz w:val="22"/>
          <w:szCs w:val="22"/>
          <w:lang w:val="lt-LT" w:eastAsia="ja-JP"/>
        </w:rPr>
        <w:t xml:space="preserve">pacientams, kuriems yra </w:t>
      </w:r>
      <w:r w:rsidRPr="00715891">
        <w:rPr>
          <w:sz w:val="22"/>
          <w:szCs w:val="22"/>
          <w:lang w:val="lt-LT" w:eastAsia="ja-JP"/>
        </w:rPr>
        <w:t>persodint</w:t>
      </w:r>
      <w:r w:rsidR="008B4AE4" w:rsidRPr="00715891">
        <w:rPr>
          <w:sz w:val="22"/>
          <w:szCs w:val="22"/>
          <w:lang w:val="lt-LT" w:eastAsia="ja-JP"/>
        </w:rPr>
        <w:t>as</w:t>
      </w:r>
      <w:r w:rsidRPr="00715891">
        <w:rPr>
          <w:sz w:val="22"/>
          <w:szCs w:val="22"/>
          <w:lang w:val="lt-LT" w:eastAsia="ja-JP"/>
        </w:rPr>
        <w:t xml:space="preserve"> organ</w:t>
      </w:r>
      <w:r w:rsidR="008B4AE4" w:rsidRPr="00715891">
        <w:rPr>
          <w:sz w:val="22"/>
          <w:szCs w:val="22"/>
          <w:lang w:val="lt-LT" w:eastAsia="ja-JP"/>
        </w:rPr>
        <w:t>as</w:t>
      </w:r>
      <w:r w:rsidRPr="00715891">
        <w:rPr>
          <w:sz w:val="22"/>
          <w:szCs w:val="22"/>
          <w:lang w:val="lt-LT" w:eastAsia="ja-JP"/>
        </w:rPr>
        <w:t>.</w:t>
      </w:r>
    </w:p>
    <w:p w14:paraId="0F3EFCD2" w14:textId="49C82ADF" w:rsidR="00107519" w:rsidRPr="00715891" w:rsidRDefault="00107519" w:rsidP="00107519">
      <w:pPr>
        <w:rPr>
          <w:rFonts w:eastAsia="Calibri"/>
          <w:iCs/>
          <w:sz w:val="22"/>
          <w:szCs w:val="22"/>
          <w:u w:val="single"/>
          <w:lang w:val="lt-LT" w:eastAsia="lt-LT"/>
        </w:rPr>
      </w:pPr>
    </w:p>
    <w:p w14:paraId="7E75BE35" w14:textId="77777777" w:rsidR="00107519" w:rsidRPr="00715891" w:rsidRDefault="00107519" w:rsidP="00107519">
      <w:pPr>
        <w:rPr>
          <w:rFonts w:eastAsia="Calibri"/>
          <w:b/>
          <w:i/>
          <w:sz w:val="22"/>
          <w:szCs w:val="22"/>
          <w:lang w:val="lt-LT" w:eastAsia="lt-LT"/>
        </w:rPr>
      </w:pPr>
      <w:r w:rsidRPr="00715891">
        <w:rPr>
          <w:rFonts w:eastAsia="Calibri"/>
          <w:b/>
          <w:i/>
          <w:sz w:val="22"/>
          <w:szCs w:val="22"/>
          <w:lang w:val="lt-LT" w:eastAsia="lt-LT"/>
        </w:rPr>
        <w:t>b) Nepageidaujamų reakcijų santrauka lentelėje</w:t>
      </w:r>
    </w:p>
    <w:p w14:paraId="0839E3DF" w14:textId="77777777" w:rsidR="00107519" w:rsidRPr="00715891" w:rsidRDefault="00107519" w:rsidP="00107519">
      <w:pPr>
        <w:rPr>
          <w:snapToGrid w:val="0"/>
          <w:sz w:val="22"/>
          <w:szCs w:val="22"/>
          <w:lang w:val="lt-LT" w:eastAsia="ja-JP"/>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559"/>
        <w:gridCol w:w="2977"/>
        <w:gridCol w:w="1701"/>
        <w:gridCol w:w="1417"/>
      </w:tblGrid>
      <w:tr w:rsidR="005B6B82" w:rsidRPr="00715891" w14:paraId="5BFA9CC1" w14:textId="77777777" w:rsidTr="00EF476A">
        <w:trPr>
          <w:tblHeader/>
        </w:trPr>
        <w:tc>
          <w:tcPr>
            <w:tcW w:w="1668" w:type="dxa"/>
          </w:tcPr>
          <w:p w14:paraId="2FE78B73" w14:textId="77777777" w:rsidR="008B4AE4" w:rsidRPr="00715891" w:rsidRDefault="008B4AE4" w:rsidP="00107519">
            <w:pPr>
              <w:jc w:val="center"/>
              <w:rPr>
                <w:b/>
                <w:sz w:val="22"/>
                <w:szCs w:val="22"/>
                <w:lang w:val="lt-LT" w:eastAsia="ja-JP"/>
              </w:rPr>
            </w:pPr>
            <w:r w:rsidRPr="00715891">
              <w:rPr>
                <w:b/>
                <w:sz w:val="22"/>
                <w:szCs w:val="22"/>
                <w:lang w:val="lt-LT" w:eastAsia="ja-JP"/>
              </w:rPr>
              <w:t>NRV (MedDRA)</w:t>
            </w:r>
          </w:p>
          <w:p w14:paraId="60DD7F69" w14:textId="3D6D706B" w:rsidR="00107519" w:rsidRPr="00715891" w:rsidRDefault="00107519" w:rsidP="008B4AE4">
            <w:pPr>
              <w:jc w:val="center"/>
              <w:rPr>
                <w:b/>
                <w:snapToGrid w:val="0"/>
                <w:sz w:val="22"/>
                <w:szCs w:val="22"/>
                <w:lang w:val="lt-LT" w:eastAsia="ja-JP"/>
              </w:rPr>
            </w:pPr>
            <w:r w:rsidRPr="00715891">
              <w:rPr>
                <w:b/>
                <w:sz w:val="22"/>
                <w:szCs w:val="22"/>
                <w:lang w:val="lt-LT" w:eastAsia="ja-JP"/>
              </w:rPr>
              <w:t xml:space="preserve">Organų </w:t>
            </w:r>
            <w:r w:rsidR="008B4AE4" w:rsidRPr="00715891">
              <w:rPr>
                <w:b/>
                <w:sz w:val="22"/>
                <w:szCs w:val="22"/>
                <w:lang w:val="lt-LT" w:eastAsia="ja-JP"/>
              </w:rPr>
              <w:t>sistemų klasė</w:t>
            </w:r>
          </w:p>
        </w:tc>
        <w:tc>
          <w:tcPr>
            <w:tcW w:w="1559" w:type="dxa"/>
          </w:tcPr>
          <w:p w14:paraId="2C6DC7AC" w14:textId="77777777" w:rsidR="00107519" w:rsidRPr="00715891" w:rsidRDefault="00107519" w:rsidP="00107519">
            <w:pPr>
              <w:jc w:val="center"/>
              <w:rPr>
                <w:b/>
                <w:snapToGrid w:val="0"/>
                <w:sz w:val="22"/>
                <w:szCs w:val="22"/>
                <w:lang w:val="lt-LT" w:eastAsia="ja-JP"/>
              </w:rPr>
            </w:pPr>
            <w:r w:rsidRPr="00715891">
              <w:rPr>
                <w:b/>
                <w:sz w:val="22"/>
                <w:szCs w:val="22"/>
                <w:lang w:val="lt-LT" w:eastAsia="ja-JP"/>
              </w:rPr>
              <w:t>Labai dažnas (≥ 1/10)</w:t>
            </w:r>
          </w:p>
        </w:tc>
        <w:tc>
          <w:tcPr>
            <w:tcW w:w="2977" w:type="dxa"/>
          </w:tcPr>
          <w:p w14:paraId="0A91D3E0" w14:textId="1629D747" w:rsidR="00107519" w:rsidRPr="00715891" w:rsidRDefault="00107519" w:rsidP="00107519">
            <w:pPr>
              <w:jc w:val="center"/>
              <w:rPr>
                <w:b/>
                <w:snapToGrid w:val="0"/>
                <w:sz w:val="22"/>
                <w:szCs w:val="22"/>
                <w:lang w:val="lt-LT" w:eastAsia="ja-JP"/>
              </w:rPr>
            </w:pPr>
            <w:r w:rsidRPr="00715891">
              <w:rPr>
                <w:b/>
                <w:sz w:val="22"/>
                <w:szCs w:val="22"/>
                <w:lang w:val="lt-LT" w:eastAsia="ja-JP"/>
              </w:rPr>
              <w:t>Dažnas (nuo ≥</w:t>
            </w:r>
            <w:r w:rsidR="007059D4" w:rsidRPr="00715891">
              <w:rPr>
                <w:b/>
                <w:sz w:val="22"/>
                <w:szCs w:val="22"/>
                <w:lang w:val="lt-LT" w:eastAsia="ja-JP"/>
              </w:rPr>
              <w:t> </w:t>
            </w:r>
            <w:r w:rsidRPr="00715891">
              <w:rPr>
                <w:b/>
                <w:sz w:val="22"/>
                <w:szCs w:val="22"/>
                <w:lang w:val="lt-LT" w:eastAsia="ja-JP"/>
              </w:rPr>
              <w:t>1/100 iki &lt; 1/10)</w:t>
            </w:r>
          </w:p>
        </w:tc>
        <w:tc>
          <w:tcPr>
            <w:tcW w:w="1701" w:type="dxa"/>
          </w:tcPr>
          <w:p w14:paraId="1779E94E" w14:textId="5E3487D9" w:rsidR="00107519" w:rsidRPr="00715891" w:rsidRDefault="00107519" w:rsidP="00107519">
            <w:pPr>
              <w:jc w:val="center"/>
              <w:rPr>
                <w:b/>
                <w:snapToGrid w:val="0"/>
                <w:sz w:val="22"/>
                <w:szCs w:val="22"/>
                <w:lang w:val="lt-LT" w:eastAsia="ja-JP"/>
              </w:rPr>
            </w:pPr>
            <w:r w:rsidRPr="00715891">
              <w:rPr>
                <w:b/>
                <w:sz w:val="22"/>
                <w:szCs w:val="22"/>
                <w:lang w:val="lt-LT" w:eastAsia="ja-JP"/>
              </w:rPr>
              <w:t>Nedažnas (nuo ≥</w:t>
            </w:r>
            <w:r w:rsidR="007059D4" w:rsidRPr="00715891">
              <w:rPr>
                <w:b/>
                <w:sz w:val="22"/>
                <w:szCs w:val="22"/>
                <w:lang w:val="lt-LT" w:eastAsia="ja-JP"/>
              </w:rPr>
              <w:t> </w:t>
            </w:r>
            <w:r w:rsidRPr="00715891">
              <w:rPr>
                <w:b/>
                <w:sz w:val="22"/>
                <w:szCs w:val="22"/>
                <w:lang w:val="lt-LT" w:eastAsia="ja-JP"/>
              </w:rPr>
              <w:t>1/1</w:t>
            </w:r>
            <w:r w:rsidR="007059D4" w:rsidRPr="00715891">
              <w:rPr>
                <w:b/>
                <w:sz w:val="22"/>
                <w:szCs w:val="22"/>
                <w:lang w:val="lt-LT" w:eastAsia="ja-JP"/>
              </w:rPr>
              <w:t> </w:t>
            </w:r>
            <w:r w:rsidRPr="00715891">
              <w:rPr>
                <w:b/>
                <w:sz w:val="22"/>
                <w:szCs w:val="22"/>
                <w:lang w:val="lt-LT" w:eastAsia="ja-JP"/>
              </w:rPr>
              <w:t>000 iki &lt; 1/100)</w:t>
            </w:r>
          </w:p>
        </w:tc>
        <w:tc>
          <w:tcPr>
            <w:tcW w:w="1417" w:type="dxa"/>
          </w:tcPr>
          <w:p w14:paraId="3AF82044" w14:textId="2F115690" w:rsidR="00107519" w:rsidRPr="00715891" w:rsidRDefault="00107519" w:rsidP="00107519">
            <w:pPr>
              <w:jc w:val="center"/>
              <w:rPr>
                <w:b/>
                <w:sz w:val="22"/>
                <w:szCs w:val="22"/>
                <w:lang w:val="lt-LT" w:eastAsia="ja-JP"/>
              </w:rPr>
            </w:pPr>
            <w:r w:rsidRPr="00715891">
              <w:rPr>
                <w:b/>
                <w:sz w:val="22"/>
                <w:szCs w:val="22"/>
                <w:lang w:val="lt-LT" w:eastAsia="ja-JP"/>
              </w:rPr>
              <w:t>Retas ( nuo ≥</w:t>
            </w:r>
            <w:r w:rsidR="007059D4" w:rsidRPr="00715891">
              <w:rPr>
                <w:b/>
                <w:sz w:val="22"/>
                <w:szCs w:val="22"/>
                <w:lang w:val="lt-LT" w:eastAsia="ja-JP"/>
              </w:rPr>
              <w:t> </w:t>
            </w:r>
            <w:r w:rsidRPr="00715891">
              <w:rPr>
                <w:b/>
                <w:sz w:val="22"/>
                <w:szCs w:val="22"/>
                <w:lang w:val="lt-LT" w:eastAsia="ja-JP"/>
              </w:rPr>
              <w:t>1/10 000 iki &lt;</w:t>
            </w:r>
            <w:r w:rsidR="007059D4" w:rsidRPr="00715891">
              <w:rPr>
                <w:b/>
                <w:sz w:val="22"/>
                <w:szCs w:val="22"/>
                <w:lang w:val="lt-LT" w:eastAsia="ja-JP"/>
              </w:rPr>
              <w:t> </w:t>
            </w:r>
            <w:r w:rsidRPr="00715891">
              <w:rPr>
                <w:b/>
                <w:sz w:val="22"/>
                <w:szCs w:val="22"/>
                <w:lang w:val="lt-LT" w:eastAsia="ja-JP"/>
              </w:rPr>
              <w:t>1/1</w:t>
            </w:r>
            <w:r w:rsidR="007059D4" w:rsidRPr="00715891">
              <w:rPr>
                <w:b/>
                <w:sz w:val="22"/>
                <w:szCs w:val="22"/>
                <w:lang w:val="lt-LT" w:eastAsia="ja-JP"/>
              </w:rPr>
              <w:t> </w:t>
            </w:r>
            <w:r w:rsidRPr="00715891">
              <w:rPr>
                <w:b/>
                <w:sz w:val="22"/>
                <w:szCs w:val="22"/>
                <w:lang w:val="lt-LT" w:eastAsia="ja-JP"/>
              </w:rPr>
              <w:t>000)</w:t>
            </w:r>
          </w:p>
        </w:tc>
      </w:tr>
      <w:tr w:rsidR="005B6B82" w:rsidRPr="004C2447" w14:paraId="392B838D" w14:textId="77777777" w:rsidTr="00EF476A">
        <w:tc>
          <w:tcPr>
            <w:tcW w:w="1668" w:type="dxa"/>
          </w:tcPr>
          <w:p w14:paraId="385C7FF7" w14:textId="77777777" w:rsidR="00107519" w:rsidRPr="00715891" w:rsidRDefault="00107519" w:rsidP="00107519">
            <w:pPr>
              <w:rPr>
                <w:snapToGrid w:val="0"/>
                <w:sz w:val="22"/>
                <w:szCs w:val="22"/>
                <w:lang w:val="lt-LT" w:eastAsia="ja-JP"/>
              </w:rPr>
            </w:pPr>
            <w:r w:rsidRPr="00715891">
              <w:rPr>
                <w:sz w:val="22"/>
                <w:szCs w:val="22"/>
                <w:lang w:val="lt-LT" w:eastAsia="ja-JP"/>
              </w:rPr>
              <w:t>Infekcijos ir infestacijos</w:t>
            </w:r>
          </w:p>
        </w:tc>
        <w:tc>
          <w:tcPr>
            <w:tcW w:w="1559" w:type="dxa"/>
          </w:tcPr>
          <w:p w14:paraId="4FA5F721" w14:textId="77777777" w:rsidR="00107519" w:rsidRPr="00715891" w:rsidRDefault="008B4AE4" w:rsidP="008B4AE4">
            <w:pPr>
              <w:rPr>
                <w:snapToGrid w:val="0"/>
                <w:sz w:val="22"/>
                <w:szCs w:val="22"/>
                <w:lang w:val="lt-LT" w:eastAsia="ja-JP"/>
              </w:rPr>
            </w:pPr>
            <w:r w:rsidRPr="00715891">
              <w:rPr>
                <w:snapToGrid w:val="0"/>
                <w:sz w:val="22"/>
                <w:szCs w:val="22"/>
                <w:lang w:val="lt-LT" w:eastAsia="ja-JP"/>
              </w:rPr>
              <w:t>Kandidozė, įskaitant burnos kandidozę,</w:t>
            </w:r>
            <w:r w:rsidR="001F7DA0" w:rsidRPr="00715891">
              <w:rPr>
                <w:snapToGrid w:val="0"/>
                <w:sz w:val="22"/>
                <w:szCs w:val="22"/>
                <w:lang w:val="lt-LT" w:eastAsia="ja-JP"/>
              </w:rPr>
              <w:t xml:space="preserve"> viršutinių kvėpavimo takų infekcija</w:t>
            </w:r>
          </w:p>
        </w:tc>
        <w:tc>
          <w:tcPr>
            <w:tcW w:w="2977" w:type="dxa"/>
          </w:tcPr>
          <w:p w14:paraId="2D068302" w14:textId="2CFEC6CB" w:rsidR="00107519" w:rsidRPr="00715891" w:rsidRDefault="001F7DA0" w:rsidP="001F7DA0">
            <w:pPr>
              <w:rPr>
                <w:snapToGrid w:val="0"/>
                <w:sz w:val="22"/>
                <w:szCs w:val="22"/>
                <w:lang w:val="lt-LT" w:eastAsia="ja-JP"/>
              </w:rPr>
            </w:pPr>
            <w:r w:rsidRPr="00715891">
              <w:rPr>
                <w:snapToGrid w:val="0"/>
                <w:sz w:val="22"/>
                <w:szCs w:val="22"/>
                <w:lang w:val="lt-LT" w:eastAsia="ja-JP"/>
              </w:rPr>
              <w:t>S</w:t>
            </w:r>
            <w:r w:rsidR="00107519" w:rsidRPr="00715891">
              <w:rPr>
                <w:snapToGrid w:val="0"/>
                <w:sz w:val="22"/>
                <w:szCs w:val="22"/>
                <w:lang w:val="lt-LT" w:eastAsia="ja-JP"/>
              </w:rPr>
              <w:t>epsis</w:t>
            </w:r>
            <w:r w:rsidRPr="00715891">
              <w:rPr>
                <w:snapToGrid w:val="0"/>
                <w:sz w:val="22"/>
                <w:szCs w:val="22"/>
                <w:lang w:val="lt-LT" w:eastAsia="ja-JP"/>
              </w:rPr>
              <w:t>, gripas</w:t>
            </w:r>
            <w:r w:rsidR="00107519" w:rsidRPr="00715891">
              <w:rPr>
                <w:snapToGrid w:val="0"/>
                <w:sz w:val="22"/>
                <w:szCs w:val="22"/>
                <w:lang w:val="lt-LT" w:eastAsia="ja-JP"/>
              </w:rPr>
              <w:t>, celiulitas, šlapimo takų infekcija</w:t>
            </w:r>
          </w:p>
        </w:tc>
        <w:tc>
          <w:tcPr>
            <w:tcW w:w="1701" w:type="dxa"/>
          </w:tcPr>
          <w:p w14:paraId="6DDCAB48" w14:textId="77777777" w:rsidR="00107519" w:rsidRPr="00715891" w:rsidRDefault="00107519" w:rsidP="00107519">
            <w:pPr>
              <w:rPr>
                <w:snapToGrid w:val="0"/>
                <w:sz w:val="22"/>
                <w:szCs w:val="22"/>
                <w:lang w:val="lt-LT" w:eastAsia="ja-JP"/>
              </w:rPr>
            </w:pPr>
          </w:p>
        </w:tc>
        <w:tc>
          <w:tcPr>
            <w:tcW w:w="1417" w:type="dxa"/>
          </w:tcPr>
          <w:p w14:paraId="45A3D4E7" w14:textId="77777777" w:rsidR="00107519" w:rsidRPr="00715891" w:rsidRDefault="00107519" w:rsidP="00107519">
            <w:pPr>
              <w:rPr>
                <w:snapToGrid w:val="0"/>
                <w:sz w:val="22"/>
                <w:szCs w:val="22"/>
                <w:lang w:val="lt-LT" w:eastAsia="ja-JP"/>
              </w:rPr>
            </w:pPr>
          </w:p>
        </w:tc>
      </w:tr>
      <w:tr w:rsidR="005B6B82" w:rsidRPr="004C2447" w14:paraId="7CFEBB7B" w14:textId="77777777" w:rsidTr="00EF476A">
        <w:tc>
          <w:tcPr>
            <w:tcW w:w="1668" w:type="dxa"/>
          </w:tcPr>
          <w:p w14:paraId="556285B3" w14:textId="77777777" w:rsidR="00107519" w:rsidRPr="00715891" w:rsidRDefault="00107519" w:rsidP="00107519">
            <w:pPr>
              <w:rPr>
                <w:snapToGrid w:val="0"/>
                <w:sz w:val="22"/>
                <w:szCs w:val="22"/>
                <w:lang w:val="lt-LT" w:eastAsia="ja-JP"/>
              </w:rPr>
            </w:pPr>
            <w:r w:rsidRPr="00715891">
              <w:rPr>
                <w:sz w:val="22"/>
                <w:szCs w:val="22"/>
                <w:lang w:val="lt-LT" w:eastAsia="ja-JP"/>
              </w:rPr>
              <w:t>Kraujo ir limfinės sistemos sutrikimai</w:t>
            </w:r>
          </w:p>
        </w:tc>
        <w:tc>
          <w:tcPr>
            <w:tcW w:w="1559" w:type="dxa"/>
          </w:tcPr>
          <w:p w14:paraId="3FAFF6D3" w14:textId="54B53DAE" w:rsidR="00107519" w:rsidRPr="00715891" w:rsidRDefault="001F7DA0" w:rsidP="001F7DA0">
            <w:pPr>
              <w:rPr>
                <w:snapToGrid w:val="0"/>
                <w:sz w:val="22"/>
                <w:szCs w:val="22"/>
                <w:lang w:val="lt-LT" w:eastAsia="ja-JP"/>
              </w:rPr>
            </w:pPr>
            <w:r w:rsidRPr="00715891">
              <w:rPr>
                <w:sz w:val="22"/>
                <w:szCs w:val="22"/>
                <w:lang w:val="lt-LT" w:eastAsia="ja-JP"/>
              </w:rPr>
              <w:t>N</w:t>
            </w:r>
            <w:r w:rsidR="00107519" w:rsidRPr="00715891">
              <w:rPr>
                <w:sz w:val="22"/>
                <w:szCs w:val="22"/>
                <w:lang w:val="lt-LT" w:eastAsia="ja-JP"/>
              </w:rPr>
              <w:t>eutropenija, anemija</w:t>
            </w:r>
          </w:p>
        </w:tc>
        <w:tc>
          <w:tcPr>
            <w:tcW w:w="2977" w:type="dxa"/>
          </w:tcPr>
          <w:p w14:paraId="5C9CCB7A" w14:textId="086B9331" w:rsidR="00107519" w:rsidRPr="00715891" w:rsidRDefault="001F7DA0" w:rsidP="001F7DA0">
            <w:pPr>
              <w:rPr>
                <w:snapToGrid w:val="0"/>
                <w:sz w:val="22"/>
                <w:szCs w:val="22"/>
                <w:lang w:val="lt-LT" w:eastAsia="ja-JP"/>
              </w:rPr>
            </w:pPr>
            <w:r w:rsidRPr="00715891">
              <w:rPr>
                <w:sz w:val="22"/>
                <w:szCs w:val="22"/>
                <w:lang w:val="lt-LT" w:eastAsia="ja-JP"/>
              </w:rPr>
              <w:t>T</w:t>
            </w:r>
            <w:r w:rsidR="00107519" w:rsidRPr="00715891">
              <w:rPr>
                <w:sz w:val="22"/>
                <w:szCs w:val="22"/>
                <w:lang w:val="lt-LT" w:eastAsia="ja-JP"/>
              </w:rPr>
              <w:t>rombocitopenija, leukopenija, pancitopenija</w:t>
            </w:r>
          </w:p>
        </w:tc>
        <w:tc>
          <w:tcPr>
            <w:tcW w:w="1701" w:type="dxa"/>
          </w:tcPr>
          <w:p w14:paraId="0636E476" w14:textId="205ADB54" w:rsidR="00107519" w:rsidRPr="00715891" w:rsidRDefault="00107519" w:rsidP="001F7DA0">
            <w:pPr>
              <w:rPr>
                <w:snapToGrid w:val="0"/>
                <w:sz w:val="22"/>
                <w:szCs w:val="22"/>
                <w:lang w:val="lt-LT" w:eastAsia="ja-JP"/>
              </w:rPr>
            </w:pPr>
            <w:r w:rsidRPr="00715891">
              <w:rPr>
                <w:sz w:val="22"/>
                <w:szCs w:val="22"/>
                <w:lang w:val="lt-LT" w:eastAsia="ja-JP"/>
              </w:rPr>
              <w:t xml:space="preserve">Kaulų čiulpų </w:t>
            </w:r>
            <w:r w:rsidR="001F7DA0" w:rsidRPr="00715891">
              <w:rPr>
                <w:sz w:val="22"/>
                <w:szCs w:val="22"/>
                <w:lang w:val="lt-LT" w:eastAsia="ja-JP"/>
              </w:rPr>
              <w:t>nepakanka-mumas</w:t>
            </w:r>
          </w:p>
        </w:tc>
        <w:tc>
          <w:tcPr>
            <w:tcW w:w="1417" w:type="dxa"/>
          </w:tcPr>
          <w:p w14:paraId="02E72DE1" w14:textId="77777777" w:rsidR="00107519" w:rsidRPr="00715891" w:rsidRDefault="00107519" w:rsidP="00107519">
            <w:pPr>
              <w:rPr>
                <w:sz w:val="22"/>
                <w:szCs w:val="22"/>
                <w:lang w:val="lt-LT" w:eastAsia="ja-JP"/>
              </w:rPr>
            </w:pPr>
            <w:r w:rsidRPr="00715891">
              <w:rPr>
                <w:sz w:val="22"/>
                <w:szCs w:val="22"/>
                <w:lang w:val="lt-LT" w:eastAsia="ja-JP"/>
              </w:rPr>
              <w:t>Aplazinė anemija</w:t>
            </w:r>
          </w:p>
          <w:p w14:paraId="79D7CE40" w14:textId="77777777" w:rsidR="001F7DA0" w:rsidRPr="00715891" w:rsidRDefault="001F7DA0" w:rsidP="00107519">
            <w:pPr>
              <w:rPr>
                <w:sz w:val="22"/>
                <w:szCs w:val="22"/>
                <w:lang w:val="lt-LT" w:eastAsia="ja-JP"/>
              </w:rPr>
            </w:pPr>
            <w:r w:rsidRPr="00715891">
              <w:rPr>
                <w:sz w:val="22"/>
                <w:szCs w:val="22"/>
                <w:lang w:val="lt-LT" w:eastAsia="ja-JP"/>
              </w:rPr>
              <w:t>Agranulo-citozė*</w:t>
            </w:r>
          </w:p>
          <w:p w14:paraId="67107253" w14:textId="77777777" w:rsidR="001F7DA0" w:rsidRPr="00715891" w:rsidRDefault="001F7DA0" w:rsidP="00107519">
            <w:pPr>
              <w:rPr>
                <w:sz w:val="22"/>
                <w:szCs w:val="22"/>
                <w:lang w:val="lt-LT" w:eastAsia="ja-JP"/>
              </w:rPr>
            </w:pPr>
            <w:r w:rsidRPr="00715891">
              <w:rPr>
                <w:sz w:val="22"/>
                <w:szCs w:val="22"/>
                <w:lang w:val="lt-LT" w:eastAsia="ja-JP"/>
              </w:rPr>
              <w:t>Granulo-citopenija*</w:t>
            </w:r>
          </w:p>
        </w:tc>
      </w:tr>
      <w:tr w:rsidR="005B6B82" w:rsidRPr="00715891" w14:paraId="5F43BA3B" w14:textId="77777777" w:rsidTr="00EF476A">
        <w:tc>
          <w:tcPr>
            <w:tcW w:w="1668" w:type="dxa"/>
          </w:tcPr>
          <w:p w14:paraId="536B5C03" w14:textId="77777777" w:rsidR="00107519" w:rsidRPr="00715891" w:rsidRDefault="00107519" w:rsidP="00107519">
            <w:pPr>
              <w:rPr>
                <w:snapToGrid w:val="0"/>
                <w:sz w:val="22"/>
                <w:szCs w:val="22"/>
                <w:lang w:val="lt-LT" w:eastAsia="ja-JP"/>
              </w:rPr>
            </w:pPr>
            <w:r w:rsidRPr="00715891">
              <w:rPr>
                <w:snapToGrid w:val="0"/>
                <w:sz w:val="22"/>
                <w:szCs w:val="22"/>
                <w:lang w:val="lt-LT" w:eastAsia="ja-JP"/>
              </w:rPr>
              <w:t>Imuninės sistemos sutrikimai</w:t>
            </w:r>
          </w:p>
        </w:tc>
        <w:tc>
          <w:tcPr>
            <w:tcW w:w="1559" w:type="dxa"/>
          </w:tcPr>
          <w:p w14:paraId="58B5C285" w14:textId="77777777" w:rsidR="00107519" w:rsidRPr="00715891" w:rsidRDefault="00107519" w:rsidP="00107519">
            <w:pPr>
              <w:rPr>
                <w:snapToGrid w:val="0"/>
                <w:sz w:val="22"/>
                <w:szCs w:val="22"/>
                <w:lang w:val="lt-LT" w:eastAsia="ja-JP"/>
              </w:rPr>
            </w:pPr>
          </w:p>
        </w:tc>
        <w:tc>
          <w:tcPr>
            <w:tcW w:w="2977" w:type="dxa"/>
          </w:tcPr>
          <w:p w14:paraId="4FF44394" w14:textId="77777777" w:rsidR="00107519" w:rsidRPr="00715891" w:rsidRDefault="001F7DA0" w:rsidP="001F7DA0">
            <w:pPr>
              <w:rPr>
                <w:snapToGrid w:val="0"/>
                <w:sz w:val="22"/>
                <w:szCs w:val="22"/>
                <w:lang w:val="lt-LT" w:eastAsia="ja-JP"/>
              </w:rPr>
            </w:pPr>
            <w:r w:rsidRPr="00715891">
              <w:rPr>
                <w:snapToGrid w:val="0"/>
                <w:sz w:val="22"/>
                <w:szCs w:val="22"/>
                <w:lang w:val="lt-LT" w:eastAsia="ja-JP"/>
              </w:rPr>
              <w:t>Padidėjusio jautrumo reakcija</w:t>
            </w:r>
          </w:p>
        </w:tc>
        <w:tc>
          <w:tcPr>
            <w:tcW w:w="1701" w:type="dxa"/>
          </w:tcPr>
          <w:p w14:paraId="68D167BE" w14:textId="1767F57A" w:rsidR="00107519" w:rsidRPr="00715891" w:rsidRDefault="00107519" w:rsidP="00107519">
            <w:pPr>
              <w:rPr>
                <w:snapToGrid w:val="0"/>
                <w:sz w:val="22"/>
                <w:szCs w:val="22"/>
                <w:lang w:val="lt-LT" w:eastAsia="ja-JP"/>
              </w:rPr>
            </w:pPr>
          </w:p>
        </w:tc>
        <w:tc>
          <w:tcPr>
            <w:tcW w:w="1417" w:type="dxa"/>
          </w:tcPr>
          <w:p w14:paraId="4485E234" w14:textId="77777777" w:rsidR="00107519" w:rsidRPr="00715891" w:rsidRDefault="001F7DA0" w:rsidP="00107519">
            <w:pPr>
              <w:rPr>
                <w:sz w:val="22"/>
                <w:szCs w:val="22"/>
                <w:lang w:val="lt-LT" w:eastAsia="ja-JP"/>
              </w:rPr>
            </w:pPr>
            <w:r w:rsidRPr="00715891">
              <w:rPr>
                <w:sz w:val="22"/>
                <w:szCs w:val="22"/>
                <w:lang w:val="lt-LT" w:eastAsia="ja-JP"/>
              </w:rPr>
              <w:t>Anafilaksinė reakcija*</w:t>
            </w:r>
          </w:p>
        </w:tc>
      </w:tr>
      <w:tr w:rsidR="005B6B82" w:rsidRPr="00715891" w14:paraId="46B28F3D" w14:textId="77777777" w:rsidTr="00EF476A">
        <w:tc>
          <w:tcPr>
            <w:tcW w:w="1668" w:type="dxa"/>
          </w:tcPr>
          <w:p w14:paraId="444C655D" w14:textId="77777777" w:rsidR="00107519" w:rsidRPr="00715891" w:rsidRDefault="00107519" w:rsidP="00107519">
            <w:pPr>
              <w:rPr>
                <w:snapToGrid w:val="0"/>
                <w:sz w:val="22"/>
                <w:szCs w:val="22"/>
                <w:lang w:val="lt-LT" w:eastAsia="ja-JP"/>
              </w:rPr>
            </w:pPr>
            <w:r w:rsidRPr="00715891">
              <w:rPr>
                <w:snapToGrid w:val="0"/>
                <w:sz w:val="22"/>
                <w:szCs w:val="22"/>
                <w:lang w:val="lt-LT" w:eastAsia="ja-JP"/>
              </w:rPr>
              <w:t>Metabolizmo ir mitybos sutrikimai</w:t>
            </w:r>
          </w:p>
        </w:tc>
        <w:tc>
          <w:tcPr>
            <w:tcW w:w="1559" w:type="dxa"/>
          </w:tcPr>
          <w:p w14:paraId="41D98B42" w14:textId="77777777" w:rsidR="00107519" w:rsidRPr="00715891" w:rsidRDefault="001F7DA0" w:rsidP="00F67D86">
            <w:pPr>
              <w:rPr>
                <w:snapToGrid w:val="0"/>
                <w:sz w:val="22"/>
                <w:szCs w:val="22"/>
                <w:lang w:val="lt-LT" w:eastAsia="ja-JP"/>
              </w:rPr>
            </w:pPr>
            <w:r w:rsidRPr="00715891">
              <w:rPr>
                <w:snapToGrid w:val="0"/>
                <w:sz w:val="22"/>
                <w:szCs w:val="22"/>
                <w:lang w:val="lt-LT" w:eastAsia="ja-JP"/>
              </w:rPr>
              <w:t>Pa</w:t>
            </w:r>
            <w:r w:rsidR="00F67D86" w:rsidRPr="00715891">
              <w:rPr>
                <w:snapToGrid w:val="0"/>
                <w:sz w:val="22"/>
                <w:szCs w:val="22"/>
                <w:lang w:val="lt-LT" w:eastAsia="ja-JP"/>
              </w:rPr>
              <w:t>b</w:t>
            </w:r>
            <w:r w:rsidRPr="00715891">
              <w:rPr>
                <w:snapToGrid w:val="0"/>
                <w:sz w:val="22"/>
                <w:szCs w:val="22"/>
                <w:lang w:val="lt-LT" w:eastAsia="ja-JP"/>
              </w:rPr>
              <w:t>logėjęs apetitas</w:t>
            </w:r>
          </w:p>
        </w:tc>
        <w:tc>
          <w:tcPr>
            <w:tcW w:w="2977" w:type="dxa"/>
          </w:tcPr>
          <w:p w14:paraId="51C04116" w14:textId="78123B09" w:rsidR="00107519" w:rsidRPr="00715891" w:rsidRDefault="001F7DA0" w:rsidP="001F7DA0">
            <w:pPr>
              <w:rPr>
                <w:snapToGrid w:val="0"/>
                <w:sz w:val="22"/>
                <w:szCs w:val="22"/>
                <w:lang w:val="lt-LT" w:eastAsia="ja-JP"/>
              </w:rPr>
            </w:pPr>
            <w:r w:rsidRPr="00715891">
              <w:rPr>
                <w:sz w:val="22"/>
                <w:szCs w:val="22"/>
                <w:lang w:val="lt-LT" w:eastAsia="ja-JP"/>
              </w:rPr>
              <w:t>Sumažėjęs kūno svoris</w:t>
            </w:r>
          </w:p>
        </w:tc>
        <w:tc>
          <w:tcPr>
            <w:tcW w:w="1701" w:type="dxa"/>
          </w:tcPr>
          <w:p w14:paraId="578DC83A" w14:textId="77777777" w:rsidR="00107519" w:rsidRPr="00715891" w:rsidRDefault="00107519" w:rsidP="00107519">
            <w:pPr>
              <w:rPr>
                <w:snapToGrid w:val="0"/>
                <w:sz w:val="22"/>
                <w:szCs w:val="22"/>
                <w:lang w:val="lt-LT" w:eastAsia="ja-JP"/>
              </w:rPr>
            </w:pPr>
          </w:p>
        </w:tc>
        <w:tc>
          <w:tcPr>
            <w:tcW w:w="1417" w:type="dxa"/>
          </w:tcPr>
          <w:p w14:paraId="75472DBD" w14:textId="77777777" w:rsidR="00107519" w:rsidRPr="00715891" w:rsidRDefault="00107519" w:rsidP="00107519">
            <w:pPr>
              <w:rPr>
                <w:snapToGrid w:val="0"/>
                <w:sz w:val="22"/>
                <w:szCs w:val="22"/>
                <w:lang w:val="lt-LT" w:eastAsia="ja-JP"/>
              </w:rPr>
            </w:pPr>
          </w:p>
        </w:tc>
      </w:tr>
      <w:tr w:rsidR="005B6B82" w:rsidRPr="004C2447" w14:paraId="16D51103" w14:textId="77777777" w:rsidTr="00EF476A">
        <w:tc>
          <w:tcPr>
            <w:tcW w:w="1668" w:type="dxa"/>
          </w:tcPr>
          <w:p w14:paraId="4B2E006F" w14:textId="77777777" w:rsidR="00107519" w:rsidRPr="00715891" w:rsidRDefault="00107519" w:rsidP="00107519">
            <w:pPr>
              <w:rPr>
                <w:snapToGrid w:val="0"/>
                <w:sz w:val="22"/>
                <w:szCs w:val="22"/>
                <w:lang w:val="lt-LT" w:eastAsia="ja-JP"/>
              </w:rPr>
            </w:pPr>
            <w:r w:rsidRPr="00715891">
              <w:rPr>
                <w:snapToGrid w:val="0"/>
                <w:sz w:val="22"/>
                <w:szCs w:val="22"/>
                <w:lang w:val="lt-LT" w:eastAsia="ja-JP"/>
              </w:rPr>
              <w:t>Psichikos sutrikimai</w:t>
            </w:r>
          </w:p>
        </w:tc>
        <w:tc>
          <w:tcPr>
            <w:tcW w:w="1559" w:type="dxa"/>
          </w:tcPr>
          <w:p w14:paraId="3ED38408" w14:textId="77777777" w:rsidR="00107519" w:rsidRPr="00715891" w:rsidRDefault="00107519" w:rsidP="00107519">
            <w:pPr>
              <w:rPr>
                <w:snapToGrid w:val="0"/>
                <w:sz w:val="22"/>
                <w:szCs w:val="22"/>
                <w:lang w:val="lt-LT" w:eastAsia="ja-JP"/>
              </w:rPr>
            </w:pPr>
          </w:p>
        </w:tc>
        <w:tc>
          <w:tcPr>
            <w:tcW w:w="2977" w:type="dxa"/>
          </w:tcPr>
          <w:p w14:paraId="537CFB59" w14:textId="504F4272" w:rsidR="00107519" w:rsidRPr="00715891" w:rsidRDefault="00107519" w:rsidP="001F7DA0">
            <w:pPr>
              <w:rPr>
                <w:snapToGrid w:val="0"/>
                <w:sz w:val="22"/>
                <w:szCs w:val="22"/>
                <w:lang w:val="lt-LT" w:eastAsia="ja-JP"/>
              </w:rPr>
            </w:pPr>
            <w:r w:rsidRPr="00715891">
              <w:rPr>
                <w:sz w:val="22"/>
                <w:szCs w:val="22"/>
                <w:lang w:val="lt-LT" w:eastAsia="ja-JP"/>
              </w:rPr>
              <w:t>Depresija, sumišim</w:t>
            </w:r>
            <w:r w:rsidR="001F7DA0" w:rsidRPr="00715891">
              <w:rPr>
                <w:sz w:val="22"/>
                <w:szCs w:val="22"/>
                <w:lang w:val="lt-LT" w:eastAsia="ja-JP"/>
              </w:rPr>
              <w:t>o būsena</w:t>
            </w:r>
            <w:r w:rsidRPr="00715891">
              <w:rPr>
                <w:sz w:val="22"/>
                <w:szCs w:val="22"/>
                <w:lang w:val="lt-LT" w:eastAsia="ja-JP"/>
              </w:rPr>
              <w:t xml:space="preserve">, </w:t>
            </w:r>
            <w:r w:rsidR="001F7DA0" w:rsidRPr="00715891">
              <w:rPr>
                <w:sz w:val="22"/>
                <w:szCs w:val="22"/>
                <w:lang w:val="lt-LT" w:eastAsia="ja-JP"/>
              </w:rPr>
              <w:t>nerimas</w:t>
            </w:r>
          </w:p>
        </w:tc>
        <w:tc>
          <w:tcPr>
            <w:tcW w:w="1701" w:type="dxa"/>
          </w:tcPr>
          <w:p w14:paraId="7CC37A5E" w14:textId="77777777" w:rsidR="00107519" w:rsidRPr="00715891" w:rsidRDefault="00107519" w:rsidP="00107519">
            <w:pPr>
              <w:rPr>
                <w:sz w:val="22"/>
                <w:szCs w:val="22"/>
                <w:lang w:val="lt-LT" w:eastAsia="ja-JP"/>
              </w:rPr>
            </w:pPr>
            <w:r w:rsidRPr="00715891">
              <w:rPr>
                <w:sz w:val="22"/>
                <w:szCs w:val="22"/>
                <w:lang w:val="lt-LT" w:eastAsia="ja-JP"/>
              </w:rPr>
              <w:t>Susijaudinimas, psichozinis sutrikimas, haliucinacijos</w:t>
            </w:r>
            <w:r w:rsidR="00296D20" w:rsidRPr="00715891">
              <w:rPr>
                <w:sz w:val="22"/>
                <w:szCs w:val="22"/>
                <w:lang w:val="lt-LT" w:eastAsia="ja-JP"/>
              </w:rPr>
              <w:t>,</w:t>
            </w:r>
          </w:p>
          <w:p w14:paraId="723A5DB5" w14:textId="77777777" w:rsidR="001F7DA0" w:rsidRPr="00715891" w:rsidRDefault="001F7DA0" w:rsidP="001F7DA0">
            <w:pPr>
              <w:rPr>
                <w:snapToGrid w:val="0"/>
                <w:sz w:val="22"/>
                <w:szCs w:val="22"/>
                <w:lang w:val="lt-LT" w:eastAsia="ja-JP"/>
              </w:rPr>
            </w:pPr>
            <w:r w:rsidRPr="00715891">
              <w:rPr>
                <w:snapToGrid w:val="0"/>
                <w:sz w:val="22"/>
                <w:szCs w:val="22"/>
                <w:lang w:val="lt-LT" w:eastAsia="ja-JP"/>
              </w:rPr>
              <w:t>nenormalus mąstymas</w:t>
            </w:r>
          </w:p>
        </w:tc>
        <w:tc>
          <w:tcPr>
            <w:tcW w:w="1417" w:type="dxa"/>
          </w:tcPr>
          <w:p w14:paraId="4429E8CE" w14:textId="77777777" w:rsidR="00107519" w:rsidRPr="00715891" w:rsidRDefault="00107519" w:rsidP="00107519">
            <w:pPr>
              <w:rPr>
                <w:sz w:val="22"/>
                <w:szCs w:val="22"/>
                <w:lang w:val="lt-LT" w:eastAsia="ja-JP"/>
              </w:rPr>
            </w:pPr>
          </w:p>
        </w:tc>
      </w:tr>
      <w:tr w:rsidR="005B6B82" w:rsidRPr="00715891" w14:paraId="7CB94ACF" w14:textId="77777777" w:rsidTr="00EF476A">
        <w:tc>
          <w:tcPr>
            <w:tcW w:w="1668" w:type="dxa"/>
          </w:tcPr>
          <w:p w14:paraId="06FA6255" w14:textId="77777777" w:rsidR="00107519" w:rsidRPr="00715891" w:rsidRDefault="00107519" w:rsidP="00107519">
            <w:pPr>
              <w:rPr>
                <w:snapToGrid w:val="0"/>
                <w:sz w:val="22"/>
                <w:szCs w:val="22"/>
                <w:lang w:val="lt-LT" w:eastAsia="ja-JP"/>
              </w:rPr>
            </w:pPr>
            <w:r w:rsidRPr="00715891">
              <w:rPr>
                <w:snapToGrid w:val="0"/>
                <w:sz w:val="22"/>
                <w:szCs w:val="22"/>
                <w:lang w:val="lt-LT" w:eastAsia="ja-JP"/>
              </w:rPr>
              <w:t>Nervų sistemos sutrikimai</w:t>
            </w:r>
          </w:p>
        </w:tc>
        <w:tc>
          <w:tcPr>
            <w:tcW w:w="1559" w:type="dxa"/>
          </w:tcPr>
          <w:p w14:paraId="4E9AF9DF" w14:textId="77777777" w:rsidR="00107519" w:rsidRPr="00715891" w:rsidRDefault="001F7DA0" w:rsidP="00107519">
            <w:pPr>
              <w:rPr>
                <w:snapToGrid w:val="0"/>
                <w:sz w:val="22"/>
                <w:szCs w:val="22"/>
                <w:lang w:val="lt-LT" w:eastAsia="ja-JP"/>
              </w:rPr>
            </w:pPr>
            <w:r w:rsidRPr="00715891">
              <w:rPr>
                <w:sz w:val="22"/>
                <w:szCs w:val="22"/>
                <w:lang w:val="lt-LT" w:eastAsia="ja-JP"/>
              </w:rPr>
              <w:t>Galvos skausmas</w:t>
            </w:r>
          </w:p>
        </w:tc>
        <w:tc>
          <w:tcPr>
            <w:tcW w:w="2977" w:type="dxa"/>
          </w:tcPr>
          <w:p w14:paraId="2A70B32F" w14:textId="6E6FC433" w:rsidR="00107519" w:rsidRPr="00715891" w:rsidRDefault="001F7DA0" w:rsidP="001F7DA0">
            <w:pPr>
              <w:rPr>
                <w:snapToGrid w:val="0"/>
                <w:sz w:val="22"/>
                <w:szCs w:val="22"/>
                <w:lang w:val="lt-LT" w:eastAsia="ja-JP"/>
              </w:rPr>
            </w:pPr>
            <w:r w:rsidRPr="00715891">
              <w:rPr>
                <w:sz w:val="22"/>
                <w:szCs w:val="22"/>
                <w:lang w:val="lt-LT" w:eastAsia="ja-JP"/>
              </w:rPr>
              <w:t>N</w:t>
            </w:r>
            <w:r w:rsidR="00107519" w:rsidRPr="00715891">
              <w:rPr>
                <w:sz w:val="22"/>
                <w:szCs w:val="22"/>
                <w:lang w:val="lt-LT" w:eastAsia="ja-JP"/>
              </w:rPr>
              <w:t>emiga, disgeuzija (skonio jutimo sutrikimas), hipestezija, parestezija, periferinė neuropatija, svaigulys, traukuliai</w:t>
            </w:r>
          </w:p>
        </w:tc>
        <w:tc>
          <w:tcPr>
            <w:tcW w:w="1701" w:type="dxa"/>
          </w:tcPr>
          <w:p w14:paraId="4096DD61" w14:textId="77777777" w:rsidR="00107519" w:rsidRPr="00715891" w:rsidRDefault="00107519" w:rsidP="00107519">
            <w:pPr>
              <w:rPr>
                <w:snapToGrid w:val="0"/>
                <w:sz w:val="22"/>
                <w:szCs w:val="22"/>
                <w:lang w:val="lt-LT" w:eastAsia="ja-JP"/>
              </w:rPr>
            </w:pPr>
            <w:r w:rsidRPr="00715891">
              <w:rPr>
                <w:snapToGrid w:val="0"/>
                <w:sz w:val="22"/>
                <w:szCs w:val="22"/>
                <w:lang w:val="lt-LT" w:eastAsia="ja-JP"/>
              </w:rPr>
              <w:t>Drebulys</w:t>
            </w:r>
          </w:p>
        </w:tc>
        <w:tc>
          <w:tcPr>
            <w:tcW w:w="1417" w:type="dxa"/>
          </w:tcPr>
          <w:p w14:paraId="76B79AC4" w14:textId="77777777" w:rsidR="00107519" w:rsidRPr="00715891" w:rsidRDefault="00107519" w:rsidP="00107519">
            <w:pPr>
              <w:rPr>
                <w:snapToGrid w:val="0"/>
                <w:sz w:val="22"/>
                <w:szCs w:val="22"/>
                <w:lang w:val="lt-LT" w:eastAsia="ja-JP"/>
              </w:rPr>
            </w:pPr>
          </w:p>
        </w:tc>
      </w:tr>
      <w:tr w:rsidR="005B6B82" w:rsidRPr="004C2447" w14:paraId="7ED993A9" w14:textId="77777777" w:rsidTr="00EF476A">
        <w:tc>
          <w:tcPr>
            <w:tcW w:w="1668" w:type="dxa"/>
          </w:tcPr>
          <w:p w14:paraId="6B77DFE8" w14:textId="77777777" w:rsidR="00107519" w:rsidRPr="00715891" w:rsidRDefault="00107519" w:rsidP="00107519">
            <w:pPr>
              <w:rPr>
                <w:snapToGrid w:val="0"/>
                <w:sz w:val="22"/>
                <w:szCs w:val="22"/>
                <w:lang w:val="lt-LT" w:eastAsia="ja-JP"/>
              </w:rPr>
            </w:pPr>
            <w:r w:rsidRPr="00715891">
              <w:rPr>
                <w:snapToGrid w:val="0"/>
                <w:sz w:val="22"/>
                <w:szCs w:val="22"/>
                <w:lang w:val="lt-LT" w:eastAsia="ja-JP"/>
              </w:rPr>
              <w:t>Akių sutrikimai</w:t>
            </w:r>
          </w:p>
        </w:tc>
        <w:tc>
          <w:tcPr>
            <w:tcW w:w="1559" w:type="dxa"/>
          </w:tcPr>
          <w:p w14:paraId="70D5B918" w14:textId="77777777" w:rsidR="00107519" w:rsidRPr="00715891" w:rsidRDefault="00107519" w:rsidP="00107519">
            <w:pPr>
              <w:rPr>
                <w:snapToGrid w:val="0"/>
                <w:sz w:val="22"/>
                <w:szCs w:val="22"/>
                <w:lang w:val="lt-LT" w:eastAsia="ja-JP"/>
              </w:rPr>
            </w:pPr>
          </w:p>
        </w:tc>
        <w:tc>
          <w:tcPr>
            <w:tcW w:w="2977" w:type="dxa"/>
          </w:tcPr>
          <w:p w14:paraId="522ACAA0" w14:textId="77777777" w:rsidR="00F77E93" w:rsidRPr="00715891" w:rsidRDefault="00A510B7" w:rsidP="00107519">
            <w:pPr>
              <w:rPr>
                <w:sz w:val="22"/>
                <w:szCs w:val="22"/>
                <w:lang w:val="lt-LT" w:eastAsia="ja-JP"/>
              </w:rPr>
            </w:pPr>
            <w:r w:rsidRPr="00715891">
              <w:rPr>
                <w:sz w:val="22"/>
                <w:szCs w:val="22"/>
                <w:lang w:val="lt-LT" w:eastAsia="ja-JP"/>
              </w:rPr>
              <w:t>Regėjimo sutrikimas</w:t>
            </w:r>
          </w:p>
          <w:p w14:paraId="4EAC2E2C" w14:textId="77777777" w:rsidR="00F77E93" w:rsidRPr="00715891" w:rsidRDefault="00A510B7" w:rsidP="00107519">
            <w:pPr>
              <w:rPr>
                <w:sz w:val="22"/>
                <w:szCs w:val="22"/>
                <w:lang w:val="lt-LT" w:eastAsia="ja-JP"/>
              </w:rPr>
            </w:pPr>
            <w:r w:rsidRPr="00715891">
              <w:rPr>
                <w:sz w:val="22"/>
                <w:szCs w:val="22"/>
                <w:lang w:val="lt-LT" w:eastAsia="ja-JP"/>
              </w:rPr>
              <w:t>Tinklainės atšoka**</w:t>
            </w:r>
          </w:p>
          <w:p w14:paraId="3E7423DA" w14:textId="77777777" w:rsidR="00A510B7" w:rsidRPr="00715891" w:rsidRDefault="00A510B7" w:rsidP="00107519">
            <w:pPr>
              <w:rPr>
                <w:sz w:val="22"/>
                <w:szCs w:val="22"/>
                <w:lang w:val="lt-LT" w:eastAsia="ja-JP"/>
              </w:rPr>
            </w:pPr>
            <w:r w:rsidRPr="00715891">
              <w:rPr>
                <w:sz w:val="22"/>
                <w:szCs w:val="22"/>
                <w:lang w:val="lt-LT" w:eastAsia="ja-JP"/>
              </w:rPr>
              <w:t>Stiklakūnio drumzlės</w:t>
            </w:r>
          </w:p>
          <w:p w14:paraId="0890422F" w14:textId="77777777" w:rsidR="00F77E93" w:rsidRPr="00715891" w:rsidRDefault="00A510B7" w:rsidP="00107519">
            <w:pPr>
              <w:rPr>
                <w:sz w:val="22"/>
                <w:szCs w:val="22"/>
                <w:lang w:val="lt-LT" w:eastAsia="ja-JP"/>
              </w:rPr>
            </w:pPr>
            <w:r w:rsidRPr="00715891">
              <w:rPr>
                <w:sz w:val="22"/>
                <w:szCs w:val="22"/>
                <w:lang w:val="lt-LT" w:eastAsia="ja-JP"/>
              </w:rPr>
              <w:t>Akies skausmas</w:t>
            </w:r>
          </w:p>
          <w:p w14:paraId="2147AC57" w14:textId="77777777" w:rsidR="00A510B7" w:rsidRPr="00715891" w:rsidRDefault="00A510B7" w:rsidP="00107519">
            <w:pPr>
              <w:rPr>
                <w:sz w:val="22"/>
                <w:szCs w:val="22"/>
                <w:lang w:val="lt-LT" w:eastAsia="ja-JP"/>
              </w:rPr>
            </w:pPr>
            <w:r w:rsidRPr="00715891">
              <w:rPr>
                <w:sz w:val="22"/>
                <w:szCs w:val="22"/>
                <w:lang w:val="lt-LT" w:eastAsia="ja-JP"/>
              </w:rPr>
              <w:t xml:space="preserve">Konjunktyvitas </w:t>
            </w:r>
          </w:p>
          <w:p w14:paraId="55AB3FF9" w14:textId="64FE1D8B" w:rsidR="00107519" w:rsidRPr="00715891" w:rsidRDefault="00107519" w:rsidP="00A510B7">
            <w:pPr>
              <w:rPr>
                <w:snapToGrid w:val="0"/>
                <w:sz w:val="22"/>
                <w:szCs w:val="22"/>
                <w:lang w:val="lt-LT" w:eastAsia="ja-JP"/>
              </w:rPr>
            </w:pPr>
            <w:r w:rsidRPr="00715891">
              <w:rPr>
                <w:sz w:val="22"/>
                <w:szCs w:val="22"/>
                <w:lang w:val="lt-LT" w:eastAsia="ja-JP"/>
              </w:rPr>
              <w:t xml:space="preserve">Geltonosios dėmės edema </w:t>
            </w:r>
          </w:p>
        </w:tc>
        <w:tc>
          <w:tcPr>
            <w:tcW w:w="1701" w:type="dxa"/>
          </w:tcPr>
          <w:p w14:paraId="25C22068" w14:textId="0378E8FE" w:rsidR="00107519" w:rsidRPr="00715891" w:rsidRDefault="00107519" w:rsidP="00107519">
            <w:pPr>
              <w:rPr>
                <w:snapToGrid w:val="0"/>
                <w:sz w:val="22"/>
                <w:szCs w:val="22"/>
                <w:lang w:val="lt-LT" w:eastAsia="ja-JP"/>
              </w:rPr>
            </w:pPr>
          </w:p>
        </w:tc>
        <w:tc>
          <w:tcPr>
            <w:tcW w:w="1417" w:type="dxa"/>
          </w:tcPr>
          <w:p w14:paraId="2361ED4E" w14:textId="77777777" w:rsidR="00107519" w:rsidRPr="00715891" w:rsidRDefault="00107519" w:rsidP="00107519">
            <w:pPr>
              <w:rPr>
                <w:sz w:val="22"/>
                <w:szCs w:val="22"/>
                <w:lang w:val="lt-LT" w:eastAsia="ja-JP"/>
              </w:rPr>
            </w:pPr>
          </w:p>
        </w:tc>
      </w:tr>
      <w:tr w:rsidR="005B6B82" w:rsidRPr="00715891" w14:paraId="0A2F4F3E" w14:textId="77777777" w:rsidTr="00EF476A">
        <w:tc>
          <w:tcPr>
            <w:tcW w:w="1668" w:type="dxa"/>
          </w:tcPr>
          <w:p w14:paraId="7C02C1C9" w14:textId="77777777" w:rsidR="00107519" w:rsidRPr="00715891" w:rsidRDefault="00107519" w:rsidP="00107519">
            <w:pPr>
              <w:rPr>
                <w:snapToGrid w:val="0"/>
                <w:sz w:val="22"/>
                <w:szCs w:val="22"/>
                <w:lang w:val="lt-LT" w:eastAsia="ja-JP"/>
              </w:rPr>
            </w:pPr>
            <w:r w:rsidRPr="00715891">
              <w:rPr>
                <w:snapToGrid w:val="0"/>
                <w:sz w:val="22"/>
                <w:szCs w:val="22"/>
                <w:lang w:val="lt-LT" w:eastAsia="ja-JP"/>
              </w:rPr>
              <w:t>Ausų ir labirintų sutrikimai</w:t>
            </w:r>
          </w:p>
        </w:tc>
        <w:tc>
          <w:tcPr>
            <w:tcW w:w="1559" w:type="dxa"/>
          </w:tcPr>
          <w:p w14:paraId="10D144EB" w14:textId="77777777" w:rsidR="00107519" w:rsidRPr="00715891" w:rsidRDefault="00107519" w:rsidP="00107519">
            <w:pPr>
              <w:rPr>
                <w:snapToGrid w:val="0"/>
                <w:sz w:val="22"/>
                <w:szCs w:val="22"/>
                <w:lang w:val="lt-LT" w:eastAsia="ja-JP"/>
              </w:rPr>
            </w:pPr>
          </w:p>
        </w:tc>
        <w:tc>
          <w:tcPr>
            <w:tcW w:w="2977" w:type="dxa"/>
          </w:tcPr>
          <w:p w14:paraId="474D9974" w14:textId="77777777" w:rsidR="00107519" w:rsidRPr="00715891" w:rsidRDefault="00107519" w:rsidP="00107519">
            <w:pPr>
              <w:rPr>
                <w:snapToGrid w:val="0"/>
                <w:sz w:val="22"/>
                <w:szCs w:val="22"/>
                <w:lang w:val="lt-LT" w:eastAsia="ja-JP"/>
              </w:rPr>
            </w:pPr>
            <w:r w:rsidRPr="00715891">
              <w:rPr>
                <w:sz w:val="22"/>
                <w:szCs w:val="22"/>
                <w:lang w:val="lt-LT" w:eastAsia="ja-JP"/>
              </w:rPr>
              <w:t>Ausų skausmas</w:t>
            </w:r>
          </w:p>
        </w:tc>
        <w:tc>
          <w:tcPr>
            <w:tcW w:w="1701" w:type="dxa"/>
          </w:tcPr>
          <w:p w14:paraId="0704C5D2" w14:textId="77777777" w:rsidR="00107519" w:rsidRPr="00715891" w:rsidRDefault="00107519" w:rsidP="00107519">
            <w:pPr>
              <w:rPr>
                <w:snapToGrid w:val="0"/>
                <w:sz w:val="22"/>
                <w:szCs w:val="22"/>
                <w:lang w:val="lt-LT" w:eastAsia="ja-JP"/>
              </w:rPr>
            </w:pPr>
            <w:r w:rsidRPr="00715891">
              <w:rPr>
                <w:sz w:val="22"/>
                <w:szCs w:val="22"/>
                <w:lang w:val="lt-LT" w:eastAsia="ja-JP"/>
              </w:rPr>
              <w:t>Kurtumas</w:t>
            </w:r>
          </w:p>
        </w:tc>
        <w:tc>
          <w:tcPr>
            <w:tcW w:w="1417" w:type="dxa"/>
          </w:tcPr>
          <w:p w14:paraId="5D25B220" w14:textId="77777777" w:rsidR="00107519" w:rsidRPr="00715891" w:rsidRDefault="00107519" w:rsidP="00107519">
            <w:pPr>
              <w:rPr>
                <w:sz w:val="22"/>
                <w:szCs w:val="22"/>
                <w:lang w:val="lt-LT" w:eastAsia="ja-JP"/>
              </w:rPr>
            </w:pPr>
          </w:p>
        </w:tc>
      </w:tr>
      <w:tr w:rsidR="005B6B82" w:rsidRPr="00715891" w14:paraId="46973A67" w14:textId="77777777" w:rsidTr="00EF476A">
        <w:tc>
          <w:tcPr>
            <w:tcW w:w="1668" w:type="dxa"/>
          </w:tcPr>
          <w:p w14:paraId="53FFBA4A" w14:textId="77777777" w:rsidR="00107519" w:rsidRPr="00715891" w:rsidRDefault="00107519" w:rsidP="00107519">
            <w:pPr>
              <w:rPr>
                <w:snapToGrid w:val="0"/>
                <w:sz w:val="22"/>
                <w:szCs w:val="22"/>
                <w:lang w:val="lt-LT" w:eastAsia="ja-JP"/>
              </w:rPr>
            </w:pPr>
            <w:r w:rsidRPr="00715891">
              <w:rPr>
                <w:snapToGrid w:val="0"/>
                <w:sz w:val="22"/>
                <w:szCs w:val="22"/>
                <w:lang w:val="lt-LT" w:eastAsia="ja-JP"/>
              </w:rPr>
              <w:t>Širdies sutrikimai</w:t>
            </w:r>
          </w:p>
        </w:tc>
        <w:tc>
          <w:tcPr>
            <w:tcW w:w="1559" w:type="dxa"/>
          </w:tcPr>
          <w:p w14:paraId="149A8EA3" w14:textId="77777777" w:rsidR="00107519" w:rsidRPr="00715891" w:rsidRDefault="00107519" w:rsidP="00107519">
            <w:pPr>
              <w:rPr>
                <w:snapToGrid w:val="0"/>
                <w:sz w:val="22"/>
                <w:szCs w:val="22"/>
                <w:lang w:val="lt-LT" w:eastAsia="ja-JP"/>
              </w:rPr>
            </w:pPr>
          </w:p>
        </w:tc>
        <w:tc>
          <w:tcPr>
            <w:tcW w:w="2977" w:type="dxa"/>
          </w:tcPr>
          <w:p w14:paraId="085ED052" w14:textId="77777777" w:rsidR="00107519" w:rsidRPr="00715891" w:rsidRDefault="00107519" w:rsidP="00107519">
            <w:pPr>
              <w:rPr>
                <w:snapToGrid w:val="0"/>
                <w:sz w:val="22"/>
                <w:szCs w:val="22"/>
                <w:lang w:val="lt-LT" w:eastAsia="ja-JP"/>
              </w:rPr>
            </w:pPr>
          </w:p>
        </w:tc>
        <w:tc>
          <w:tcPr>
            <w:tcW w:w="1701" w:type="dxa"/>
          </w:tcPr>
          <w:p w14:paraId="386A89BE" w14:textId="77777777" w:rsidR="00107519" w:rsidRPr="00715891" w:rsidRDefault="00107519" w:rsidP="00107519">
            <w:pPr>
              <w:rPr>
                <w:snapToGrid w:val="0"/>
                <w:sz w:val="22"/>
                <w:szCs w:val="22"/>
                <w:lang w:val="lt-LT" w:eastAsia="ja-JP"/>
              </w:rPr>
            </w:pPr>
            <w:r w:rsidRPr="00715891">
              <w:rPr>
                <w:snapToGrid w:val="0"/>
                <w:sz w:val="22"/>
                <w:szCs w:val="22"/>
                <w:lang w:val="lt-LT" w:eastAsia="ja-JP"/>
              </w:rPr>
              <w:t>Aritmija</w:t>
            </w:r>
          </w:p>
        </w:tc>
        <w:tc>
          <w:tcPr>
            <w:tcW w:w="1417" w:type="dxa"/>
          </w:tcPr>
          <w:p w14:paraId="6A332173" w14:textId="77777777" w:rsidR="00107519" w:rsidRPr="00715891" w:rsidRDefault="00107519" w:rsidP="00107519">
            <w:pPr>
              <w:rPr>
                <w:snapToGrid w:val="0"/>
                <w:sz w:val="22"/>
                <w:szCs w:val="22"/>
                <w:lang w:val="lt-LT" w:eastAsia="ja-JP"/>
              </w:rPr>
            </w:pPr>
          </w:p>
        </w:tc>
      </w:tr>
      <w:tr w:rsidR="005B6B82" w:rsidRPr="00715891" w14:paraId="318C97E8" w14:textId="77777777" w:rsidTr="00EF476A">
        <w:tc>
          <w:tcPr>
            <w:tcW w:w="1668" w:type="dxa"/>
          </w:tcPr>
          <w:p w14:paraId="32A86466" w14:textId="77777777" w:rsidR="00107519" w:rsidRPr="00715891" w:rsidRDefault="00107519" w:rsidP="00107519">
            <w:pPr>
              <w:rPr>
                <w:snapToGrid w:val="0"/>
                <w:sz w:val="22"/>
                <w:szCs w:val="22"/>
                <w:lang w:val="lt-LT" w:eastAsia="ja-JP"/>
              </w:rPr>
            </w:pPr>
            <w:r w:rsidRPr="00715891">
              <w:rPr>
                <w:snapToGrid w:val="0"/>
                <w:sz w:val="22"/>
                <w:szCs w:val="22"/>
                <w:lang w:val="lt-LT" w:eastAsia="ja-JP"/>
              </w:rPr>
              <w:t>Kraujagyslių sutrikimai</w:t>
            </w:r>
          </w:p>
        </w:tc>
        <w:tc>
          <w:tcPr>
            <w:tcW w:w="1559" w:type="dxa"/>
          </w:tcPr>
          <w:p w14:paraId="012074E0" w14:textId="77777777" w:rsidR="00107519" w:rsidRPr="00715891" w:rsidRDefault="00107519" w:rsidP="00107519">
            <w:pPr>
              <w:rPr>
                <w:snapToGrid w:val="0"/>
                <w:sz w:val="22"/>
                <w:szCs w:val="22"/>
                <w:lang w:val="lt-LT" w:eastAsia="ja-JP"/>
              </w:rPr>
            </w:pPr>
          </w:p>
        </w:tc>
        <w:tc>
          <w:tcPr>
            <w:tcW w:w="2977" w:type="dxa"/>
          </w:tcPr>
          <w:p w14:paraId="5530645B" w14:textId="77777777" w:rsidR="00107519" w:rsidRPr="00715891" w:rsidRDefault="00A510B7" w:rsidP="00A510B7">
            <w:pPr>
              <w:rPr>
                <w:snapToGrid w:val="0"/>
                <w:sz w:val="22"/>
                <w:szCs w:val="22"/>
                <w:lang w:val="lt-LT" w:eastAsia="ja-JP"/>
              </w:rPr>
            </w:pPr>
            <w:r w:rsidRPr="00715891">
              <w:rPr>
                <w:snapToGrid w:val="0"/>
                <w:sz w:val="22"/>
                <w:szCs w:val="22"/>
                <w:lang w:val="lt-LT" w:eastAsia="ja-JP"/>
              </w:rPr>
              <w:t>Hipotenzija</w:t>
            </w:r>
          </w:p>
        </w:tc>
        <w:tc>
          <w:tcPr>
            <w:tcW w:w="1701" w:type="dxa"/>
          </w:tcPr>
          <w:p w14:paraId="3C86CCA1" w14:textId="7B31A64C" w:rsidR="00107519" w:rsidRPr="00715891" w:rsidRDefault="00107519" w:rsidP="00107519">
            <w:pPr>
              <w:rPr>
                <w:snapToGrid w:val="0"/>
                <w:sz w:val="22"/>
                <w:szCs w:val="22"/>
                <w:lang w:val="lt-LT" w:eastAsia="ja-JP"/>
              </w:rPr>
            </w:pPr>
          </w:p>
        </w:tc>
        <w:tc>
          <w:tcPr>
            <w:tcW w:w="1417" w:type="dxa"/>
          </w:tcPr>
          <w:p w14:paraId="1A650C11" w14:textId="77777777" w:rsidR="00107519" w:rsidRPr="00715891" w:rsidRDefault="00107519" w:rsidP="00107519">
            <w:pPr>
              <w:rPr>
                <w:sz w:val="22"/>
                <w:szCs w:val="22"/>
                <w:lang w:val="lt-LT" w:eastAsia="ja-JP"/>
              </w:rPr>
            </w:pPr>
          </w:p>
        </w:tc>
      </w:tr>
      <w:tr w:rsidR="005B6B82" w:rsidRPr="00715891" w14:paraId="2C07B409" w14:textId="77777777" w:rsidTr="00EF476A">
        <w:tc>
          <w:tcPr>
            <w:tcW w:w="1668" w:type="dxa"/>
          </w:tcPr>
          <w:p w14:paraId="79AC6DCE" w14:textId="77777777" w:rsidR="00107519" w:rsidRPr="00715891" w:rsidRDefault="00107519" w:rsidP="00107519">
            <w:pPr>
              <w:rPr>
                <w:snapToGrid w:val="0"/>
                <w:sz w:val="22"/>
                <w:szCs w:val="22"/>
                <w:lang w:val="lt-LT" w:eastAsia="ja-JP"/>
              </w:rPr>
            </w:pPr>
            <w:r w:rsidRPr="00715891">
              <w:rPr>
                <w:snapToGrid w:val="0"/>
                <w:sz w:val="22"/>
                <w:szCs w:val="22"/>
                <w:lang w:val="lt-LT" w:eastAsia="ja-JP"/>
              </w:rPr>
              <w:lastRenderedPageBreak/>
              <w:t>Kvėpavimo sistemos, krūtinės ląstos ir tarpuplaučio sutrikimai</w:t>
            </w:r>
          </w:p>
        </w:tc>
        <w:tc>
          <w:tcPr>
            <w:tcW w:w="1559" w:type="dxa"/>
          </w:tcPr>
          <w:p w14:paraId="66FD5F76" w14:textId="77777777" w:rsidR="00107519" w:rsidRPr="00715891" w:rsidRDefault="00107519" w:rsidP="00107519">
            <w:pPr>
              <w:rPr>
                <w:snapToGrid w:val="0"/>
                <w:sz w:val="22"/>
                <w:szCs w:val="22"/>
                <w:lang w:val="lt-LT" w:eastAsia="ja-JP"/>
              </w:rPr>
            </w:pPr>
            <w:r w:rsidRPr="00715891">
              <w:rPr>
                <w:sz w:val="22"/>
                <w:szCs w:val="22"/>
                <w:lang w:val="lt-LT" w:eastAsia="ja-JP"/>
              </w:rPr>
              <w:t>Dusulys</w:t>
            </w:r>
            <w:r w:rsidR="00022356" w:rsidRPr="00715891">
              <w:rPr>
                <w:sz w:val="22"/>
                <w:szCs w:val="22"/>
                <w:lang w:val="lt-LT" w:eastAsia="ja-JP"/>
              </w:rPr>
              <w:t>, kosulys</w:t>
            </w:r>
          </w:p>
        </w:tc>
        <w:tc>
          <w:tcPr>
            <w:tcW w:w="2977" w:type="dxa"/>
          </w:tcPr>
          <w:p w14:paraId="214413CD" w14:textId="18C5CD51" w:rsidR="00107519" w:rsidRPr="00715891" w:rsidRDefault="00107519" w:rsidP="00107519">
            <w:pPr>
              <w:rPr>
                <w:snapToGrid w:val="0"/>
                <w:sz w:val="22"/>
                <w:szCs w:val="22"/>
                <w:lang w:val="lt-LT" w:eastAsia="ja-JP"/>
              </w:rPr>
            </w:pPr>
          </w:p>
        </w:tc>
        <w:tc>
          <w:tcPr>
            <w:tcW w:w="1701" w:type="dxa"/>
          </w:tcPr>
          <w:p w14:paraId="4BB86275" w14:textId="77777777" w:rsidR="00107519" w:rsidRPr="00715891" w:rsidRDefault="00107519" w:rsidP="00107519">
            <w:pPr>
              <w:rPr>
                <w:snapToGrid w:val="0"/>
                <w:sz w:val="22"/>
                <w:szCs w:val="22"/>
                <w:lang w:val="lt-LT" w:eastAsia="ja-JP"/>
              </w:rPr>
            </w:pPr>
          </w:p>
        </w:tc>
        <w:tc>
          <w:tcPr>
            <w:tcW w:w="1417" w:type="dxa"/>
          </w:tcPr>
          <w:p w14:paraId="7BA60B2D" w14:textId="77777777" w:rsidR="00107519" w:rsidRPr="00715891" w:rsidRDefault="00107519" w:rsidP="00107519">
            <w:pPr>
              <w:rPr>
                <w:snapToGrid w:val="0"/>
                <w:sz w:val="22"/>
                <w:szCs w:val="22"/>
                <w:lang w:val="lt-LT" w:eastAsia="ja-JP"/>
              </w:rPr>
            </w:pPr>
          </w:p>
        </w:tc>
      </w:tr>
      <w:tr w:rsidR="005B6B82" w:rsidRPr="004C2447" w14:paraId="78CA73BC" w14:textId="77777777" w:rsidTr="00EF476A">
        <w:tc>
          <w:tcPr>
            <w:tcW w:w="1668" w:type="dxa"/>
          </w:tcPr>
          <w:p w14:paraId="3E928C52" w14:textId="77777777" w:rsidR="00107519" w:rsidRPr="00715891" w:rsidRDefault="00107519" w:rsidP="00107519">
            <w:pPr>
              <w:rPr>
                <w:snapToGrid w:val="0"/>
                <w:sz w:val="22"/>
                <w:szCs w:val="22"/>
                <w:lang w:val="lt-LT" w:eastAsia="ja-JP"/>
              </w:rPr>
            </w:pPr>
            <w:r w:rsidRPr="00715891">
              <w:rPr>
                <w:snapToGrid w:val="0"/>
                <w:sz w:val="22"/>
                <w:szCs w:val="22"/>
                <w:lang w:val="lt-LT" w:eastAsia="ja-JP"/>
              </w:rPr>
              <w:t>Virškinimo trakto sutrikimai</w:t>
            </w:r>
          </w:p>
        </w:tc>
        <w:tc>
          <w:tcPr>
            <w:tcW w:w="1559" w:type="dxa"/>
          </w:tcPr>
          <w:p w14:paraId="72C54D9A" w14:textId="4F9C82EE" w:rsidR="00022356" w:rsidRPr="00715891" w:rsidRDefault="00107519" w:rsidP="00F77E93">
            <w:pPr>
              <w:rPr>
                <w:snapToGrid w:val="0"/>
                <w:sz w:val="22"/>
                <w:szCs w:val="22"/>
                <w:lang w:val="lt-LT" w:eastAsia="ja-JP"/>
              </w:rPr>
            </w:pPr>
            <w:r w:rsidRPr="00715891">
              <w:rPr>
                <w:sz w:val="22"/>
                <w:szCs w:val="22"/>
                <w:lang w:val="lt-LT" w:eastAsia="ja-JP"/>
              </w:rPr>
              <w:t>Viduriavimas</w:t>
            </w:r>
            <w:r w:rsidR="00F77E93" w:rsidRPr="00715891">
              <w:rPr>
                <w:sz w:val="22"/>
                <w:szCs w:val="22"/>
                <w:lang w:val="lt-LT" w:eastAsia="ja-JP"/>
              </w:rPr>
              <w:t>, p</w:t>
            </w:r>
            <w:r w:rsidR="00022356" w:rsidRPr="00715891">
              <w:rPr>
                <w:sz w:val="22"/>
                <w:szCs w:val="22"/>
                <w:lang w:val="lt-LT" w:eastAsia="ja-JP"/>
              </w:rPr>
              <w:t>ykinimas, vėmimas, pilvo skausmas</w:t>
            </w:r>
          </w:p>
        </w:tc>
        <w:tc>
          <w:tcPr>
            <w:tcW w:w="2977" w:type="dxa"/>
          </w:tcPr>
          <w:p w14:paraId="163EF1F4" w14:textId="11A30277" w:rsidR="00107519" w:rsidRPr="00715891" w:rsidRDefault="00022356" w:rsidP="00107519">
            <w:pPr>
              <w:rPr>
                <w:snapToGrid w:val="0"/>
                <w:sz w:val="22"/>
                <w:szCs w:val="22"/>
                <w:lang w:val="lt-LT" w:eastAsia="ja-JP"/>
              </w:rPr>
            </w:pPr>
            <w:r w:rsidRPr="00715891">
              <w:rPr>
                <w:sz w:val="22"/>
                <w:szCs w:val="22"/>
                <w:lang w:val="lt-LT" w:eastAsia="ja-JP"/>
              </w:rPr>
              <w:t>V</w:t>
            </w:r>
            <w:r w:rsidR="00107519" w:rsidRPr="00715891">
              <w:rPr>
                <w:sz w:val="22"/>
                <w:szCs w:val="22"/>
                <w:lang w:val="lt-LT" w:eastAsia="ja-JP"/>
              </w:rPr>
              <w:t>iršutinės pilvo dalies skausmas, dispepsija, vidurių užkietėjimas, meteorizmas, disfagija</w:t>
            </w:r>
            <w:r w:rsidRPr="00715891">
              <w:rPr>
                <w:sz w:val="22"/>
                <w:szCs w:val="22"/>
                <w:lang w:val="lt-LT" w:eastAsia="ja-JP"/>
              </w:rPr>
              <w:t>, burnos išopėjimas, pilvo pūtimas, kasos uždegimas</w:t>
            </w:r>
          </w:p>
        </w:tc>
        <w:tc>
          <w:tcPr>
            <w:tcW w:w="1701" w:type="dxa"/>
          </w:tcPr>
          <w:p w14:paraId="07D4CB6D" w14:textId="3304BC8C" w:rsidR="00107519" w:rsidRPr="00715891" w:rsidRDefault="00107519" w:rsidP="00107519">
            <w:pPr>
              <w:rPr>
                <w:snapToGrid w:val="0"/>
                <w:sz w:val="22"/>
                <w:szCs w:val="22"/>
                <w:lang w:val="lt-LT" w:eastAsia="ja-JP"/>
              </w:rPr>
            </w:pPr>
          </w:p>
        </w:tc>
        <w:tc>
          <w:tcPr>
            <w:tcW w:w="1417" w:type="dxa"/>
          </w:tcPr>
          <w:p w14:paraId="098CC767" w14:textId="77777777" w:rsidR="00107519" w:rsidRPr="00715891" w:rsidRDefault="00107519" w:rsidP="00107519">
            <w:pPr>
              <w:rPr>
                <w:sz w:val="22"/>
                <w:szCs w:val="22"/>
                <w:lang w:val="lt-LT" w:eastAsia="ja-JP"/>
              </w:rPr>
            </w:pPr>
          </w:p>
        </w:tc>
      </w:tr>
      <w:tr w:rsidR="005B6B82" w:rsidRPr="004C2447" w14:paraId="052D5FA9" w14:textId="77777777" w:rsidTr="00EF476A">
        <w:tc>
          <w:tcPr>
            <w:tcW w:w="1668" w:type="dxa"/>
          </w:tcPr>
          <w:p w14:paraId="09C6F1C8" w14:textId="77777777" w:rsidR="00107519" w:rsidRPr="00715891" w:rsidRDefault="00107519" w:rsidP="00107519">
            <w:pPr>
              <w:rPr>
                <w:snapToGrid w:val="0"/>
                <w:sz w:val="22"/>
                <w:szCs w:val="22"/>
                <w:lang w:val="lt-LT" w:eastAsia="ja-JP"/>
              </w:rPr>
            </w:pPr>
            <w:r w:rsidRPr="00715891">
              <w:rPr>
                <w:snapToGrid w:val="0"/>
                <w:sz w:val="22"/>
                <w:szCs w:val="22"/>
                <w:lang w:val="lt-LT" w:eastAsia="ja-JP"/>
              </w:rPr>
              <w:t>Kepenų, tulžies pūslės ir latakų sutrikimai</w:t>
            </w:r>
          </w:p>
        </w:tc>
        <w:tc>
          <w:tcPr>
            <w:tcW w:w="1559" w:type="dxa"/>
          </w:tcPr>
          <w:p w14:paraId="30362A26" w14:textId="77777777" w:rsidR="00107519" w:rsidRPr="00715891" w:rsidRDefault="00107519" w:rsidP="00107519">
            <w:pPr>
              <w:rPr>
                <w:snapToGrid w:val="0"/>
                <w:sz w:val="22"/>
                <w:szCs w:val="22"/>
                <w:lang w:val="lt-LT" w:eastAsia="ja-JP"/>
              </w:rPr>
            </w:pPr>
          </w:p>
        </w:tc>
        <w:tc>
          <w:tcPr>
            <w:tcW w:w="2977" w:type="dxa"/>
          </w:tcPr>
          <w:p w14:paraId="28FBB8E4" w14:textId="019EF430" w:rsidR="00107519" w:rsidRPr="00715891" w:rsidRDefault="00022356" w:rsidP="00022356">
            <w:pPr>
              <w:rPr>
                <w:snapToGrid w:val="0"/>
                <w:sz w:val="22"/>
                <w:szCs w:val="22"/>
                <w:lang w:val="lt-LT" w:eastAsia="ja-JP"/>
              </w:rPr>
            </w:pPr>
            <w:r w:rsidRPr="00715891">
              <w:rPr>
                <w:sz w:val="22"/>
                <w:szCs w:val="22"/>
                <w:lang w:val="lt-LT" w:eastAsia="ja-JP"/>
              </w:rPr>
              <w:t>K</w:t>
            </w:r>
            <w:r w:rsidR="00107519" w:rsidRPr="00715891">
              <w:rPr>
                <w:sz w:val="22"/>
                <w:szCs w:val="22"/>
                <w:lang w:val="lt-LT" w:eastAsia="ja-JP"/>
              </w:rPr>
              <w:t>epenų veiklos sutrikimas, šarminės fosfatazės</w:t>
            </w:r>
            <w:r w:rsidRPr="00715891">
              <w:rPr>
                <w:lang w:val="lt-LT"/>
              </w:rPr>
              <w:t xml:space="preserve"> </w:t>
            </w:r>
            <w:r w:rsidRPr="00715891">
              <w:rPr>
                <w:sz w:val="22"/>
                <w:szCs w:val="22"/>
                <w:lang w:val="lt-LT" w:eastAsia="ja-JP"/>
              </w:rPr>
              <w:t>aktyvumo padidėjimas</w:t>
            </w:r>
            <w:r w:rsidR="00107519" w:rsidRPr="00715891">
              <w:rPr>
                <w:sz w:val="22"/>
                <w:szCs w:val="22"/>
                <w:lang w:val="lt-LT" w:eastAsia="ja-JP"/>
              </w:rPr>
              <w:t>, aspartataminotransferazės aktyvumo padidėjimas</w:t>
            </w:r>
            <w:r w:rsidRPr="00715891">
              <w:rPr>
                <w:sz w:val="22"/>
                <w:szCs w:val="22"/>
                <w:lang w:val="lt-LT" w:eastAsia="ja-JP"/>
              </w:rPr>
              <w:t>, alaninaminotransferazės aktyvumo padidėjimas</w:t>
            </w:r>
          </w:p>
        </w:tc>
        <w:tc>
          <w:tcPr>
            <w:tcW w:w="1701" w:type="dxa"/>
          </w:tcPr>
          <w:p w14:paraId="5BF0C86F" w14:textId="02AF3EBF" w:rsidR="00107519" w:rsidRPr="00715891" w:rsidRDefault="00107519" w:rsidP="00107519">
            <w:pPr>
              <w:rPr>
                <w:snapToGrid w:val="0"/>
                <w:sz w:val="22"/>
                <w:szCs w:val="22"/>
                <w:lang w:val="lt-LT" w:eastAsia="ja-JP"/>
              </w:rPr>
            </w:pPr>
          </w:p>
        </w:tc>
        <w:tc>
          <w:tcPr>
            <w:tcW w:w="1417" w:type="dxa"/>
          </w:tcPr>
          <w:p w14:paraId="3F4640B6" w14:textId="77777777" w:rsidR="00107519" w:rsidRPr="00715891" w:rsidRDefault="00107519" w:rsidP="00107519">
            <w:pPr>
              <w:rPr>
                <w:sz w:val="22"/>
                <w:szCs w:val="22"/>
                <w:lang w:val="lt-LT" w:eastAsia="ja-JP"/>
              </w:rPr>
            </w:pPr>
          </w:p>
        </w:tc>
      </w:tr>
      <w:tr w:rsidR="005B6B82" w:rsidRPr="00715891" w14:paraId="352E76B4" w14:textId="77777777" w:rsidTr="00EF476A">
        <w:tc>
          <w:tcPr>
            <w:tcW w:w="1668" w:type="dxa"/>
          </w:tcPr>
          <w:p w14:paraId="38BB8C32" w14:textId="77777777" w:rsidR="00107519" w:rsidRPr="00715891" w:rsidRDefault="00107519" w:rsidP="00107519">
            <w:pPr>
              <w:rPr>
                <w:snapToGrid w:val="0"/>
                <w:sz w:val="22"/>
                <w:szCs w:val="22"/>
                <w:lang w:val="lt-LT" w:eastAsia="ja-JP"/>
              </w:rPr>
            </w:pPr>
            <w:r w:rsidRPr="00715891">
              <w:rPr>
                <w:snapToGrid w:val="0"/>
                <w:sz w:val="22"/>
                <w:szCs w:val="22"/>
                <w:lang w:val="lt-LT" w:eastAsia="ja-JP"/>
              </w:rPr>
              <w:t>Odos ir poodinio audinio sutrikimai</w:t>
            </w:r>
          </w:p>
        </w:tc>
        <w:tc>
          <w:tcPr>
            <w:tcW w:w="1559" w:type="dxa"/>
          </w:tcPr>
          <w:p w14:paraId="0DFE1DAE" w14:textId="77777777" w:rsidR="00107519" w:rsidRPr="00715891" w:rsidRDefault="00022356" w:rsidP="00022356">
            <w:pPr>
              <w:rPr>
                <w:snapToGrid w:val="0"/>
                <w:sz w:val="22"/>
                <w:szCs w:val="22"/>
                <w:lang w:val="lt-LT" w:eastAsia="ja-JP"/>
              </w:rPr>
            </w:pPr>
            <w:r w:rsidRPr="00715891">
              <w:rPr>
                <w:sz w:val="22"/>
                <w:szCs w:val="22"/>
                <w:lang w:val="lt-LT" w:eastAsia="ja-JP"/>
              </w:rPr>
              <w:t>Dermatitas</w:t>
            </w:r>
          </w:p>
        </w:tc>
        <w:tc>
          <w:tcPr>
            <w:tcW w:w="2977" w:type="dxa"/>
          </w:tcPr>
          <w:p w14:paraId="68C54292" w14:textId="5B41565F" w:rsidR="00107519" w:rsidRPr="00715891" w:rsidRDefault="00022356" w:rsidP="00022356">
            <w:pPr>
              <w:rPr>
                <w:snapToGrid w:val="0"/>
                <w:sz w:val="22"/>
                <w:szCs w:val="22"/>
                <w:lang w:val="lt-LT" w:eastAsia="ja-JP"/>
              </w:rPr>
            </w:pPr>
            <w:r w:rsidRPr="00715891">
              <w:rPr>
                <w:sz w:val="22"/>
                <w:szCs w:val="22"/>
                <w:lang w:val="lt-LT" w:eastAsia="ja-JP"/>
              </w:rPr>
              <w:t>N</w:t>
            </w:r>
            <w:r w:rsidR="00107519" w:rsidRPr="00715891">
              <w:rPr>
                <w:sz w:val="22"/>
                <w:szCs w:val="22"/>
                <w:lang w:val="lt-LT" w:eastAsia="ja-JP"/>
              </w:rPr>
              <w:t>aktinis prakaitavimas, niežėjimas</w:t>
            </w:r>
            <w:r w:rsidRPr="00715891">
              <w:rPr>
                <w:sz w:val="22"/>
                <w:szCs w:val="22"/>
                <w:lang w:val="lt-LT" w:eastAsia="ja-JP"/>
              </w:rPr>
              <w:t xml:space="preserve">, plaukų slinkimas </w:t>
            </w:r>
          </w:p>
        </w:tc>
        <w:tc>
          <w:tcPr>
            <w:tcW w:w="1701" w:type="dxa"/>
          </w:tcPr>
          <w:p w14:paraId="7297DB3D" w14:textId="05E033CB" w:rsidR="00107519" w:rsidRPr="00715891" w:rsidRDefault="00022356" w:rsidP="00107519">
            <w:pPr>
              <w:rPr>
                <w:snapToGrid w:val="0"/>
                <w:sz w:val="22"/>
                <w:szCs w:val="22"/>
                <w:lang w:val="lt-LT" w:eastAsia="ja-JP"/>
              </w:rPr>
            </w:pPr>
            <w:r w:rsidRPr="00715891">
              <w:rPr>
                <w:sz w:val="22"/>
                <w:szCs w:val="22"/>
                <w:lang w:val="lt-LT" w:eastAsia="ja-JP"/>
              </w:rPr>
              <w:t>D</w:t>
            </w:r>
            <w:r w:rsidR="00107519" w:rsidRPr="00715891">
              <w:rPr>
                <w:sz w:val="22"/>
                <w:szCs w:val="22"/>
                <w:lang w:val="lt-LT" w:eastAsia="ja-JP"/>
              </w:rPr>
              <w:t>ilgėlinė, odos sausumas</w:t>
            </w:r>
          </w:p>
        </w:tc>
        <w:tc>
          <w:tcPr>
            <w:tcW w:w="1417" w:type="dxa"/>
          </w:tcPr>
          <w:p w14:paraId="46C2AB32" w14:textId="77777777" w:rsidR="00107519" w:rsidRPr="00715891" w:rsidRDefault="00107519" w:rsidP="00107519">
            <w:pPr>
              <w:rPr>
                <w:sz w:val="22"/>
                <w:szCs w:val="22"/>
                <w:lang w:val="lt-LT" w:eastAsia="ja-JP"/>
              </w:rPr>
            </w:pPr>
          </w:p>
        </w:tc>
      </w:tr>
      <w:tr w:rsidR="005B6B82" w:rsidRPr="004C2447" w14:paraId="513F76BA" w14:textId="77777777" w:rsidTr="00EF476A">
        <w:tc>
          <w:tcPr>
            <w:tcW w:w="1668" w:type="dxa"/>
          </w:tcPr>
          <w:p w14:paraId="528CB38D" w14:textId="77777777" w:rsidR="00107519" w:rsidRPr="00715891" w:rsidRDefault="00107519" w:rsidP="00107519">
            <w:pPr>
              <w:rPr>
                <w:snapToGrid w:val="0"/>
                <w:sz w:val="22"/>
                <w:szCs w:val="22"/>
                <w:lang w:val="lt-LT" w:eastAsia="ja-JP"/>
              </w:rPr>
            </w:pPr>
            <w:r w:rsidRPr="00715891">
              <w:rPr>
                <w:snapToGrid w:val="0"/>
                <w:sz w:val="22"/>
                <w:szCs w:val="22"/>
                <w:lang w:val="lt-LT" w:eastAsia="ja-JP"/>
              </w:rPr>
              <w:t>Skeleto, raumenų ir jungiamojo audinio sutrikimai</w:t>
            </w:r>
          </w:p>
        </w:tc>
        <w:tc>
          <w:tcPr>
            <w:tcW w:w="1559" w:type="dxa"/>
          </w:tcPr>
          <w:p w14:paraId="7AD11218" w14:textId="77777777" w:rsidR="00107519" w:rsidRPr="00715891" w:rsidRDefault="00107519" w:rsidP="00107519">
            <w:pPr>
              <w:rPr>
                <w:snapToGrid w:val="0"/>
                <w:sz w:val="22"/>
                <w:szCs w:val="22"/>
                <w:lang w:val="lt-LT" w:eastAsia="ja-JP"/>
              </w:rPr>
            </w:pPr>
          </w:p>
        </w:tc>
        <w:tc>
          <w:tcPr>
            <w:tcW w:w="2977" w:type="dxa"/>
          </w:tcPr>
          <w:p w14:paraId="41B015CF" w14:textId="77777777" w:rsidR="00107519" w:rsidRPr="00715891" w:rsidRDefault="00107519" w:rsidP="00107519">
            <w:pPr>
              <w:rPr>
                <w:snapToGrid w:val="0"/>
                <w:sz w:val="22"/>
                <w:szCs w:val="22"/>
                <w:lang w:val="lt-LT" w:eastAsia="ja-JP"/>
              </w:rPr>
            </w:pPr>
            <w:r w:rsidRPr="00715891">
              <w:rPr>
                <w:sz w:val="22"/>
                <w:szCs w:val="22"/>
                <w:lang w:val="lt-LT" w:eastAsia="ja-JP"/>
              </w:rPr>
              <w:t>Nugaros, raumenų, sąnarių skausmas, mėšlungis</w:t>
            </w:r>
          </w:p>
        </w:tc>
        <w:tc>
          <w:tcPr>
            <w:tcW w:w="1701" w:type="dxa"/>
          </w:tcPr>
          <w:p w14:paraId="1B41800A" w14:textId="77777777" w:rsidR="00107519" w:rsidRPr="00715891" w:rsidRDefault="00107519" w:rsidP="00107519">
            <w:pPr>
              <w:rPr>
                <w:snapToGrid w:val="0"/>
                <w:sz w:val="22"/>
                <w:szCs w:val="22"/>
                <w:lang w:val="lt-LT" w:eastAsia="ja-JP"/>
              </w:rPr>
            </w:pPr>
          </w:p>
        </w:tc>
        <w:tc>
          <w:tcPr>
            <w:tcW w:w="1417" w:type="dxa"/>
          </w:tcPr>
          <w:p w14:paraId="3AD9D14E" w14:textId="77777777" w:rsidR="00107519" w:rsidRPr="00715891" w:rsidRDefault="00107519" w:rsidP="00107519">
            <w:pPr>
              <w:rPr>
                <w:snapToGrid w:val="0"/>
                <w:sz w:val="22"/>
                <w:szCs w:val="22"/>
                <w:lang w:val="lt-LT" w:eastAsia="ja-JP"/>
              </w:rPr>
            </w:pPr>
          </w:p>
        </w:tc>
      </w:tr>
      <w:tr w:rsidR="005B6B82" w:rsidRPr="00715891" w14:paraId="0FBEBAB7" w14:textId="77777777" w:rsidTr="00EF476A">
        <w:tc>
          <w:tcPr>
            <w:tcW w:w="1668" w:type="dxa"/>
          </w:tcPr>
          <w:p w14:paraId="0ABA8BCD" w14:textId="77777777" w:rsidR="00107519" w:rsidRPr="00715891" w:rsidRDefault="00107519" w:rsidP="00107519">
            <w:pPr>
              <w:rPr>
                <w:snapToGrid w:val="0"/>
                <w:sz w:val="22"/>
                <w:szCs w:val="22"/>
                <w:lang w:val="lt-LT" w:eastAsia="ja-JP"/>
              </w:rPr>
            </w:pPr>
            <w:r w:rsidRPr="00715891">
              <w:rPr>
                <w:snapToGrid w:val="0"/>
                <w:sz w:val="22"/>
                <w:szCs w:val="22"/>
                <w:lang w:val="lt-LT" w:eastAsia="ja-JP"/>
              </w:rPr>
              <w:t>Inkstų ir šlapimo takų sutrikimai</w:t>
            </w:r>
          </w:p>
        </w:tc>
        <w:tc>
          <w:tcPr>
            <w:tcW w:w="1559" w:type="dxa"/>
          </w:tcPr>
          <w:p w14:paraId="3191DCDD" w14:textId="77777777" w:rsidR="00107519" w:rsidRPr="00715891" w:rsidRDefault="00107519" w:rsidP="00107519">
            <w:pPr>
              <w:rPr>
                <w:snapToGrid w:val="0"/>
                <w:sz w:val="22"/>
                <w:szCs w:val="22"/>
                <w:lang w:val="lt-LT" w:eastAsia="ja-JP"/>
              </w:rPr>
            </w:pPr>
          </w:p>
        </w:tc>
        <w:tc>
          <w:tcPr>
            <w:tcW w:w="2977" w:type="dxa"/>
          </w:tcPr>
          <w:p w14:paraId="43D2D643" w14:textId="77777777" w:rsidR="00107519" w:rsidRPr="00715891" w:rsidRDefault="00107519" w:rsidP="00107519">
            <w:pPr>
              <w:rPr>
                <w:snapToGrid w:val="0"/>
                <w:sz w:val="22"/>
                <w:szCs w:val="22"/>
                <w:lang w:val="lt-LT" w:eastAsia="ja-JP"/>
              </w:rPr>
            </w:pPr>
            <w:r w:rsidRPr="00715891">
              <w:rPr>
                <w:sz w:val="22"/>
                <w:szCs w:val="22"/>
                <w:lang w:val="lt-LT" w:eastAsia="ja-JP"/>
              </w:rPr>
              <w:t>Kreatinino klirenso sumažėjimas, inkstų veiklos sutrikimas</w:t>
            </w:r>
            <w:r w:rsidR="00022356" w:rsidRPr="00715891">
              <w:rPr>
                <w:sz w:val="22"/>
                <w:szCs w:val="22"/>
                <w:lang w:val="lt-LT" w:eastAsia="ja-JP"/>
              </w:rPr>
              <w:t>, kreatinino kiekio kraujyje padidėjimas</w:t>
            </w:r>
          </w:p>
        </w:tc>
        <w:tc>
          <w:tcPr>
            <w:tcW w:w="1701" w:type="dxa"/>
          </w:tcPr>
          <w:p w14:paraId="0A72A93A" w14:textId="77777777" w:rsidR="00107519" w:rsidRPr="00715891" w:rsidRDefault="00107519" w:rsidP="00107519">
            <w:pPr>
              <w:rPr>
                <w:snapToGrid w:val="0"/>
                <w:sz w:val="22"/>
                <w:szCs w:val="22"/>
                <w:lang w:val="lt-LT" w:eastAsia="ja-JP"/>
              </w:rPr>
            </w:pPr>
            <w:r w:rsidRPr="00715891">
              <w:rPr>
                <w:sz w:val="22"/>
                <w:szCs w:val="22"/>
                <w:lang w:val="lt-LT" w:eastAsia="ja-JP"/>
              </w:rPr>
              <w:t>Hematurija, inkstų nepakankamu-mas</w:t>
            </w:r>
          </w:p>
        </w:tc>
        <w:tc>
          <w:tcPr>
            <w:tcW w:w="1417" w:type="dxa"/>
          </w:tcPr>
          <w:p w14:paraId="6BD2C439" w14:textId="77777777" w:rsidR="00107519" w:rsidRPr="00715891" w:rsidRDefault="00107519" w:rsidP="00107519">
            <w:pPr>
              <w:rPr>
                <w:sz w:val="22"/>
                <w:szCs w:val="22"/>
                <w:lang w:val="lt-LT" w:eastAsia="ja-JP"/>
              </w:rPr>
            </w:pPr>
          </w:p>
        </w:tc>
      </w:tr>
      <w:tr w:rsidR="005B6B82" w:rsidRPr="00715891" w14:paraId="677A3754" w14:textId="77777777" w:rsidTr="00EF476A">
        <w:tc>
          <w:tcPr>
            <w:tcW w:w="1668" w:type="dxa"/>
            <w:tcBorders>
              <w:bottom w:val="single" w:sz="4" w:space="0" w:color="auto"/>
            </w:tcBorders>
          </w:tcPr>
          <w:p w14:paraId="230DC9A3" w14:textId="77777777" w:rsidR="00107519" w:rsidRPr="00715891" w:rsidRDefault="00107519" w:rsidP="00107519">
            <w:pPr>
              <w:rPr>
                <w:snapToGrid w:val="0"/>
                <w:sz w:val="22"/>
                <w:szCs w:val="22"/>
                <w:lang w:val="lt-LT" w:eastAsia="ja-JP"/>
              </w:rPr>
            </w:pPr>
            <w:r w:rsidRPr="00715891">
              <w:rPr>
                <w:snapToGrid w:val="0"/>
                <w:sz w:val="22"/>
                <w:szCs w:val="22"/>
                <w:lang w:val="lt-LT" w:eastAsia="ja-JP"/>
              </w:rPr>
              <w:t>Lytinės sistemos ir krūties sutrikimai</w:t>
            </w:r>
          </w:p>
        </w:tc>
        <w:tc>
          <w:tcPr>
            <w:tcW w:w="1559" w:type="dxa"/>
            <w:tcBorders>
              <w:bottom w:val="single" w:sz="4" w:space="0" w:color="auto"/>
            </w:tcBorders>
          </w:tcPr>
          <w:p w14:paraId="62FD2CCF" w14:textId="77777777" w:rsidR="00107519" w:rsidRPr="00715891" w:rsidRDefault="00107519" w:rsidP="00107519">
            <w:pPr>
              <w:rPr>
                <w:snapToGrid w:val="0"/>
                <w:sz w:val="22"/>
                <w:szCs w:val="22"/>
                <w:lang w:val="lt-LT" w:eastAsia="ja-JP"/>
              </w:rPr>
            </w:pPr>
          </w:p>
        </w:tc>
        <w:tc>
          <w:tcPr>
            <w:tcW w:w="2977" w:type="dxa"/>
            <w:tcBorders>
              <w:bottom w:val="single" w:sz="4" w:space="0" w:color="auto"/>
            </w:tcBorders>
          </w:tcPr>
          <w:p w14:paraId="25ACDCB0" w14:textId="77777777" w:rsidR="00107519" w:rsidRPr="00715891" w:rsidRDefault="00107519" w:rsidP="00107519">
            <w:pPr>
              <w:rPr>
                <w:snapToGrid w:val="0"/>
                <w:sz w:val="22"/>
                <w:szCs w:val="22"/>
                <w:lang w:val="lt-LT" w:eastAsia="ja-JP"/>
              </w:rPr>
            </w:pPr>
          </w:p>
        </w:tc>
        <w:tc>
          <w:tcPr>
            <w:tcW w:w="1701" w:type="dxa"/>
            <w:tcBorders>
              <w:bottom w:val="single" w:sz="4" w:space="0" w:color="auto"/>
            </w:tcBorders>
          </w:tcPr>
          <w:p w14:paraId="739B1D75" w14:textId="77777777" w:rsidR="00107519" w:rsidRPr="00715891" w:rsidRDefault="00107519" w:rsidP="00107519">
            <w:pPr>
              <w:rPr>
                <w:snapToGrid w:val="0"/>
                <w:sz w:val="22"/>
                <w:szCs w:val="22"/>
                <w:lang w:val="lt-LT" w:eastAsia="ja-JP"/>
              </w:rPr>
            </w:pPr>
            <w:r w:rsidRPr="00715891">
              <w:rPr>
                <w:sz w:val="22"/>
                <w:szCs w:val="22"/>
                <w:lang w:val="lt-LT" w:eastAsia="ja-JP"/>
              </w:rPr>
              <w:t>Vyrų nevaisingumas</w:t>
            </w:r>
          </w:p>
        </w:tc>
        <w:tc>
          <w:tcPr>
            <w:tcW w:w="1417" w:type="dxa"/>
            <w:tcBorders>
              <w:bottom w:val="single" w:sz="4" w:space="0" w:color="auto"/>
            </w:tcBorders>
          </w:tcPr>
          <w:p w14:paraId="20C60352" w14:textId="77777777" w:rsidR="00107519" w:rsidRPr="00715891" w:rsidRDefault="00107519" w:rsidP="00107519">
            <w:pPr>
              <w:rPr>
                <w:sz w:val="22"/>
                <w:szCs w:val="22"/>
                <w:lang w:val="lt-LT" w:eastAsia="ja-JP"/>
              </w:rPr>
            </w:pPr>
          </w:p>
        </w:tc>
      </w:tr>
      <w:tr w:rsidR="005B6B82" w:rsidRPr="00715891" w14:paraId="30798B2C" w14:textId="77777777" w:rsidTr="00EF476A">
        <w:tc>
          <w:tcPr>
            <w:tcW w:w="1668" w:type="dxa"/>
            <w:tcBorders>
              <w:bottom w:val="single" w:sz="4" w:space="0" w:color="auto"/>
            </w:tcBorders>
          </w:tcPr>
          <w:p w14:paraId="56A989D9" w14:textId="77777777" w:rsidR="00107519" w:rsidRPr="00715891" w:rsidRDefault="00107519" w:rsidP="00107519">
            <w:pPr>
              <w:rPr>
                <w:snapToGrid w:val="0"/>
                <w:sz w:val="22"/>
                <w:szCs w:val="22"/>
                <w:lang w:val="lt-LT" w:eastAsia="ja-JP"/>
              </w:rPr>
            </w:pPr>
            <w:r w:rsidRPr="00715891">
              <w:rPr>
                <w:snapToGrid w:val="0"/>
                <w:sz w:val="22"/>
                <w:szCs w:val="22"/>
                <w:lang w:val="lt-LT" w:eastAsia="ja-JP"/>
              </w:rPr>
              <w:t>Bendrieji sutrikimai ir vartojimo vietos pažeidimai</w:t>
            </w:r>
          </w:p>
        </w:tc>
        <w:tc>
          <w:tcPr>
            <w:tcW w:w="1559" w:type="dxa"/>
            <w:tcBorders>
              <w:bottom w:val="single" w:sz="4" w:space="0" w:color="auto"/>
            </w:tcBorders>
          </w:tcPr>
          <w:p w14:paraId="411A3F18" w14:textId="77777777" w:rsidR="00107519" w:rsidRPr="00715891" w:rsidRDefault="00022356" w:rsidP="00022356">
            <w:pPr>
              <w:rPr>
                <w:snapToGrid w:val="0"/>
                <w:sz w:val="22"/>
                <w:szCs w:val="22"/>
                <w:lang w:val="lt-LT" w:eastAsia="ja-JP"/>
              </w:rPr>
            </w:pPr>
            <w:r w:rsidRPr="00715891">
              <w:rPr>
                <w:sz w:val="22"/>
                <w:szCs w:val="22"/>
                <w:lang w:val="lt-LT" w:eastAsia="ja-JP"/>
              </w:rPr>
              <w:t xml:space="preserve">Karščiavimas, nuovargis </w:t>
            </w:r>
          </w:p>
        </w:tc>
        <w:tc>
          <w:tcPr>
            <w:tcW w:w="2977" w:type="dxa"/>
            <w:tcBorders>
              <w:bottom w:val="single" w:sz="4" w:space="0" w:color="auto"/>
            </w:tcBorders>
          </w:tcPr>
          <w:p w14:paraId="26F35FD3" w14:textId="7C3AFB68" w:rsidR="00107519" w:rsidRPr="00715891" w:rsidRDefault="00022356" w:rsidP="00022356">
            <w:pPr>
              <w:rPr>
                <w:snapToGrid w:val="0"/>
                <w:sz w:val="22"/>
                <w:szCs w:val="22"/>
                <w:lang w:val="lt-LT" w:eastAsia="ja-JP"/>
              </w:rPr>
            </w:pPr>
            <w:r w:rsidRPr="00715891">
              <w:rPr>
                <w:sz w:val="22"/>
                <w:szCs w:val="22"/>
                <w:lang w:val="lt-LT" w:eastAsia="ja-JP"/>
              </w:rPr>
              <w:t>S</w:t>
            </w:r>
            <w:r w:rsidR="00107519" w:rsidRPr="00715891">
              <w:rPr>
                <w:sz w:val="22"/>
                <w:szCs w:val="22"/>
                <w:lang w:val="lt-LT" w:eastAsia="ja-JP"/>
              </w:rPr>
              <w:t xml:space="preserve">kausmas, </w:t>
            </w:r>
            <w:r w:rsidRPr="00715891">
              <w:rPr>
                <w:sz w:val="22"/>
                <w:szCs w:val="22"/>
                <w:lang w:val="lt-LT" w:eastAsia="ja-JP"/>
              </w:rPr>
              <w:t>drebulys,</w:t>
            </w:r>
            <w:r w:rsidR="00107519" w:rsidRPr="00715891">
              <w:rPr>
                <w:sz w:val="22"/>
                <w:szCs w:val="22"/>
                <w:lang w:val="lt-LT" w:eastAsia="ja-JP"/>
              </w:rPr>
              <w:t xml:space="preserve"> negalavimas, astenija</w:t>
            </w:r>
          </w:p>
        </w:tc>
        <w:tc>
          <w:tcPr>
            <w:tcW w:w="1701" w:type="dxa"/>
            <w:tcBorders>
              <w:bottom w:val="single" w:sz="4" w:space="0" w:color="auto"/>
            </w:tcBorders>
          </w:tcPr>
          <w:p w14:paraId="61AFEEE7" w14:textId="77777777" w:rsidR="00107519" w:rsidRPr="00715891" w:rsidRDefault="00022356" w:rsidP="00107519">
            <w:pPr>
              <w:rPr>
                <w:snapToGrid w:val="0"/>
                <w:sz w:val="22"/>
                <w:szCs w:val="22"/>
                <w:lang w:val="lt-LT" w:eastAsia="ja-JP"/>
              </w:rPr>
            </w:pPr>
            <w:r w:rsidRPr="00715891">
              <w:rPr>
                <w:sz w:val="22"/>
                <w:szCs w:val="22"/>
                <w:lang w:val="lt-LT" w:eastAsia="ja-JP"/>
              </w:rPr>
              <w:t>Krūtinės skausmas</w:t>
            </w:r>
          </w:p>
        </w:tc>
        <w:tc>
          <w:tcPr>
            <w:tcW w:w="1417" w:type="dxa"/>
            <w:tcBorders>
              <w:bottom w:val="single" w:sz="4" w:space="0" w:color="auto"/>
            </w:tcBorders>
          </w:tcPr>
          <w:p w14:paraId="356CF82C" w14:textId="77777777" w:rsidR="00107519" w:rsidRPr="00715891" w:rsidRDefault="00107519" w:rsidP="00107519">
            <w:pPr>
              <w:rPr>
                <w:snapToGrid w:val="0"/>
                <w:sz w:val="22"/>
                <w:szCs w:val="22"/>
                <w:lang w:val="lt-LT" w:eastAsia="ja-JP"/>
              </w:rPr>
            </w:pPr>
          </w:p>
        </w:tc>
      </w:tr>
    </w:tbl>
    <w:p w14:paraId="3F540B18" w14:textId="77777777" w:rsidR="00DD194F" w:rsidRPr="00715891" w:rsidRDefault="00DD194F" w:rsidP="003C60C4">
      <w:pPr>
        <w:autoSpaceDE w:val="0"/>
        <w:autoSpaceDN w:val="0"/>
        <w:adjustRightInd w:val="0"/>
        <w:ind w:left="142" w:hanging="142"/>
        <w:rPr>
          <w:rFonts w:eastAsia="Calibri"/>
          <w:iCs/>
          <w:color w:val="000000"/>
          <w:sz w:val="20"/>
          <w:szCs w:val="20"/>
          <w:lang w:val="lt-LT" w:eastAsia="lt-LT"/>
        </w:rPr>
      </w:pPr>
      <w:r w:rsidRPr="00715891">
        <w:rPr>
          <w:rFonts w:eastAsia="Calibri"/>
          <w:iCs/>
          <w:color w:val="000000"/>
          <w:sz w:val="20"/>
          <w:szCs w:val="20"/>
          <w:lang w:val="lt-LT" w:eastAsia="lt-LT"/>
        </w:rPr>
        <w:t>*Šių nepageidaujamų reakcijų dažnis yra nustatytas vaist</w:t>
      </w:r>
      <w:r w:rsidR="00B957C0" w:rsidRPr="00715891">
        <w:rPr>
          <w:rFonts w:eastAsia="Calibri"/>
          <w:iCs/>
          <w:color w:val="000000"/>
          <w:sz w:val="20"/>
          <w:szCs w:val="20"/>
          <w:lang w:val="lt-LT" w:eastAsia="lt-LT"/>
        </w:rPr>
        <w:t>ini</w:t>
      </w:r>
      <w:r w:rsidRPr="00715891">
        <w:rPr>
          <w:rFonts w:eastAsia="Calibri"/>
          <w:iCs/>
          <w:color w:val="000000"/>
          <w:sz w:val="20"/>
          <w:szCs w:val="20"/>
          <w:lang w:val="lt-LT" w:eastAsia="lt-LT"/>
        </w:rPr>
        <w:t>o</w:t>
      </w:r>
      <w:r w:rsidR="00B957C0" w:rsidRPr="00715891">
        <w:rPr>
          <w:rFonts w:eastAsia="Calibri"/>
          <w:iCs/>
          <w:color w:val="000000"/>
          <w:sz w:val="20"/>
          <w:szCs w:val="20"/>
          <w:lang w:val="lt-LT" w:eastAsia="lt-LT"/>
        </w:rPr>
        <w:t xml:space="preserve"> preparato</w:t>
      </w:r>
      <w:r w:rsidRPr="00715891">
        <w:rPr>
          <w:rFonts w:eastAsia="Calibri"/>
          <w:iCs/>
          <w:color w:val="000000"/>
          <w:sz w:val="20"/>
          <w:szCs w:val="20"/>
          <w:lang w:val="lt-LT" w:eastAsia="lt-LT"/>
        </w:rPr>
        <w:t xml:space="preserve"> vartojant jam jau esant rinkoje</w:t>
      </w:r>
      <w:r w:rsidR="00111899" w:rsidRPr="00715891">
        <w:rPr>
          <w:rFonts w:eastAsia="Calibri"/>
          <w:iCs/>
          <w:color w:val="000000"/>
          <w:sz w:val="20"/>
          <w:szCs w:val="20"/>
          <w:lang w:val="lt-LT" w:eastAsia="lt-LT"/>
        </w:rPr>
        <w:t>.</w:t>
      </w:r>
    </w:p>
    <w:p w14:paraId="163A5C95" w14:textId="77777777" w:rsidR="00DD194F" w:rsidRPr="00715891" w:rsidRDefault="00DD194F" w:rsidP="00DD194F">
      <w:pPr>
        <w:autoSpaceDE w:val="0"/>
        <w:autoSpaceDN w:val="0"/>
        <w:adjustRightInd w:val="0"/>
        <w:rPr>
          <w:rFonts w:eastAsia="Calibri"/>
          <w:color w:val="000000"/>
          <w:sz w:val="20"/>
          <w:szCs w:val="20"/>
          <w:lang w:val="lt-LT" w:eastAsia="lt-LT"/>
        </w:rPr>
      </w:pPr>
      <w:r w:rsidRPr="00715891">
        <w:rPr>
          <w:rFonts w:eastAsia="Calibri"/>
          <w:iCs/>
          <w:color w:val="000000"/>
          <w:sz w:val="20"/>
          <w:szCs w:val="20"/>
          <w:lang w:val="lt-LT" w:eastAsia="lt-LT"/>
        </w:rPr>
        <w:t>**</w:t>
      </w:r>
      <w:r w:rsidR="00111899" w:rsidRPr="00715891">
        <w:rPr>
          <w:rFonts w:eastAsia="Calibri"/>
          <w:iCs/>
          <w:color w:val="000000"/>
          <w:sz w:val="20"/>
          <w:szCs w:val="20"/>
          <w:lang w:val="lt-LT" w:eastAsia="lt-LT"/>
        </w:rPr>
        <w:t>T</w:t>
      </w:r>
      <w:r w:rsidRPr="00715891">
        <w:rPr>
          <w:rFonts w:eastAsia="Calibri"/>
          <w:iCs/>
          <w:color w:val="000000"/>
          <w:sz w:val="20"/>
          <w:szCs w:val="20"/>
          <w:lang w:val="lt-LT" w:eastAsia="lt-LT"/>
        </w:rPr>
        <w:t xml:space="preserve">inklainės atšoka buvo pastebėta tik </w:t>
      </w:r>
      <w:r w:rsidR="00111899" w:rsidRPr="00715891">
        <w:rPr>
          <w:rFonts w:eastAsia="Calibri"/>
          <w:iCs/>
          <w:color w:val="000000"/>
          <w:sz w:val="20"/>
          <w:szCs w:val="20"/>
          <w:lang w:val="lt-LT" w:eastAsia="lt-LT"/>
        </w:rPr>
        <w:t>ŽIV</w:t>
      </w:r>
      <w:r w:rsidRPr="00715891">
        <w:rPr>
          <w:rFonts w:eastAsia="Calibri"/>
          <w:iCs/>
          <w:color w:val="000000"/>
          <w:sz w:val="20"/>
          <w:szCs w:val="20"/>
          <w:lang w:val="lt-LT" w:eastAsia="lt-LT"/>
        </w:rPr>
        <w:t xml:space="preserve"> pacientams, kuriems taikytas gydymas nuo CMV sukelto retinito</w:t>
      </w:r>
      <w:r w:rsidRPr="00715891">
        <w:rPr>
          <w:rFonts w:eastAsia="Calibri"/>
          <w:i/>
          <w:iCs/>
          <w:color w:val="000000"/>
          <w:sz w:val="20"/>
          <w:szCs w:val="20"/>
          <w:lang w:val="lt-LT" w:eastAsia="lt-LT"/>
        </w:rPr>
        <w:t>.</w:t>
      </w:r>
    </w:p>
    <w:p w14:paraId="57FE70D5" w14:textId="77777777" w:rsidR="00107519" w:rsidRPr="00715891" w:rsidRDefault="00107519" w:rsidP="00107519">
      <w:pPr>
        <w:rPr>
          <w:sz w:val="22"/>
          <w:szCs w:val="22"/>
          <w:lang w:val="lt-LT" w:eastAsia="ja-JP"/>
        </w:rPr>
      </w:pPr>
    </w:p>
    <w:p w14:paraId="573B77C4" w14:textId="77777777" w:rsidR="00DD194F" w:rsidRPr="00715891" w:rsidRDefault="00DD194F" w:rsidP="00107519">
      <w:pPr>
        <w:rPr>
          <w:b/>
          <w:sz w:val="22"/>
          <w:szCs w:val="22"/>
          <w:lang w:val="lt-LT" w:eastAsia="ja-JP"/>
        </w:rPr>
      </w:pPr>
      <w:r w:rsidRPr="00715891">
        <w:rPr>
          <w:b/>
          <w:iCs/>
          <w:sz w:val="22"/>
          <w:szCs w:val="22"/>
          <w:lang w:val="lt-LT" w:eastAsia="lt-LT"/>
        </w:rPr>
        <w:t>Atrinktų nepageidaujamų reakcijų apibūdinimas</w:t>
      </w:r>
    </w:p>
    <w:p w14:paraId="1F6E729F" w14:textId="77777777" w:rsidR="00A4627F" w:rsidRPr="00715891" w:rsidRDefault="00A4627F" w:rsidP="00107519">
      <w:pPr>
        <w:rPr>
          <w:sz w:val="22"/>
          <w:szCs w:val="22"/>
          <w:lang w:val="lt-LT" w:eastAsia="ja-JP"/>
        </w:rPr>
      </w:pPr>
    </w:p>
    <w:p w14:paraId="6B2FFE1F" w14:textId="77777777" w:rsidR="00A4627F" w:rsidRPr="00715891" w:rsidRDefault="00A4627F" w:rsidP="00107519">
      <w:pPr>
        <w:rPr>
          <w:i/>
          <w:sz w:val="22"/>
          <w:szCs w:val="22"/>
          <w:lang w:val="lt-LT" w:eastAsia="ja-JP"/>
        </w:rPr>
      </w:pPr>
      <w:r w:rsidRPr="00715891">
        <w:rPr>
          <w:i/>
          <w:sz w:val="22"/>
          <w:szCs w:val="22"/>
          <w:lang w:val="lt-LT" w:eastAsia="ja-JP"/>
        </w:rPr>
        <w:t>Neutropenija</w:t>
      </w:r>
    </w:p>
    <w:p w14:paraId="2B34EC97" w14:textId="07A890B4" w:rsidR="00A4627F" w:rsidRPr="00715891" w:rsidRDefault="00A4627F" w:rsidP="00A4627F">
      <w:pPr>
        <w:rPr>
          <w:sz w:val="22"/>
          <w:szCs w:val="22"/>
          <w:lang w:val="lt-LT" w:eastAsia="ja-JP"/>
        </w:rPr>
      </w:pPr>
      <w:r w:rsidRPr="00715891">
        <w:rPr>
          <w:sz w:val="22"/>
          <w:szCs w:val="22"/>
          <w:lang w:val="lt-LT" w:eastAsia="ja-JP"/>
        </w:rPr>
        <w:t>Prognozuoti neutropenijos riziką remiantis prieš pradedant gydymą nustatytu neutrofilų kiekiu negalima. Įprastai neutropenija pasireiškia pirmąją arba antrąją pradinio gydymo savaitę bei sulašinus suminę ≤</w:t>
      </w:r>
      <w:r w:rsidR="00F706F6" w:rsidRPr="00715891">
        <w:rPr>
          <w:sz w:val="22"/>
          <w:szCs w:val="22"/>
          <w:lang w:val="lt-LT" w:eastAsia="ja-JP"/>
        </w:rPr>
        <w:t> </w:t>
      </w:r>
      <w:r w:rsidRPr="00715891">
        <w:rPr>
          <w:sz w:val="22"/>
          <w:szCs w:val="22"/>
          <w:lang w:val="lt-LT" w:eastAsia="ja-JP"/>
        </w:rPr>
        <w:t>200</w:t>
      </w:r>
      <w:r w:rsidR="00F706F6" w:rsidRPr="00715891">
        <w:rPr>
          <w:sz w:val="22"/>
          <w:szCs w:val="22"/>
          <w:lang w:val="lt-LT" w:eastAsia="ja-JP"/>
        </w:rPr>
        <w:t> </w:t>
      </w:r>
      <w:r w:rsidRPr="00715891">
        <w:rPr>
          <w:sz w:val="22"/>
          <w:szCs w:val="22"/>
          <w:lang w:val="lt-LT" w:eastAsia="ja-JP"/>
        </w:rPr>
        <w:t>mg/kg kūno svorio dozę. Nutraukus gydymą arba sumaž</w:t>
      </w:r>
      <w:r w:rsidR="00F77E93" w:rsidRPr="00715891">
        <w:rPr>
          <w:sz w:val="22"/>
          <w:szCs w:val="22"/>
          <w:lang w:val="lt-LT" w:eastAsia="ja-JP"/>
        </w:rPr>
        <w:t>in</w:t>
      </w:r>
      <w:r w:rsidRPr="00715891">
        <w:rPr>
          <w:sz w:val="22"/>
          <w:szCs w:val="22"/>
          <w:lang w:val="lt-LT" w:eastAsia="ja-JP"/>
        </w:rPr>
        <w:t>us dozę ląstelių kiekis paprastai sunormalėja per 2</w:t>
      </w:r>
      <w:r w:rsidR="00F706F6" w:rsidRPr="00715891">
        <w:rPr>
          <w:sz w:val="22"/>
          <w:szCs w:val="22"/>
          <w:lang w:val="lt-LT" w:eastAsia="ja-JP"/>
        </w:rPr>
        <w:noBreakHyphen/>
      </w:r>
      <w:r w:rsidRPr="00715891">
        <w:rPr>
          <w:sz w:val="22"/>
          <w:szCs w:val="22"/>
          <w:lang w:val="lt-LT" w:eastAsia="ja-JP"/>
        </w:rPr>
        <w:t>5</w:t>
      </w:r>
      <w:r w:rsidR="00F706F6" w:rsidRPr="00715891">
        <w:rPr>
          <w:sz w:val="22"/>
          <w:szCs w:val="22"/>
          <w:lang w:val="lt-LT" w:eastAsia="ja-JP"/>
        </w:rPr>
        <w:t> </w:t>
      </w:r>
      <w:r w:rsidRPr="00715891">
        <w:rPr>
          <w:sz w:val="22"/>
          <w:szCs w:val="22"/>
          <w:lang w:val="lt-LT" w:eastAsia="ja-JP"/>
        </w:rPr>
        <w:t>paras (žr. 4.4 skyrių).</w:t>
      </w:r>
    </w:p>
    <w:p w14:paraId="3B4553BF" w14:textId="77777777" w:rsidR="00F77E93" w:rsidRPr="00715891" w:rsidRDefault="00F77E93" w:rsidP="00A4627F">
      <w:pPr>
        <w:rPr>
          <w:i/>
          <w:sz w:val="22"/>
          <w:szCs w:val="22"/>
          <w:lang w:val="lt-LT" w:eastAsia="ja-JP"/>
        </w:rPr>
      </w:pPr>
    </w:p>
    <w:p w14:paraId="6DAAAACA" w14:textId="77777777" w:rsidR="00A4627F" w:rsidRPr="00715891" w:rsidRDefault="00A4627F" w:rsidP="00A4627F">
      <w:pPr>
        <w:rPr>
          <w:i/>
          <w:sz w:val="22"/>
          <w:szCs w:val="22"/>
          <w:lang w:val="lt-LT" w:eastAsia="ja-JP"/>
        </w:rPr>
      </w:pPr>
      <w:r w:rsidRPr="00715891">
        <w:rPr>
          <w:i/>
          <w:sz w:val="22"/>
          <w:szCs w:val="22"/>
          <w:lang w:val="lt-LT" w:eastAsia="ja-JP"/>
        </w:rPr>
        <w:t>Trombocitopenija</w:t>
      </w:r>
    </w:p>
    <w:p w14:paraId="4766F082" w14:textId="56B590F2" w:rsidR="00A4627F" w:rsidRPr="00715891" w:rsidRDefault="00A4627F" w:rsidP="00A4627F">
      <w:pPr>
        <w:rPr>
          <w:sz w:val="22"/>
          <w:szCs w:val="22"/>
          <w:lang w:val="lt-LT" w:eastAsia="ja-JP"/>
        </w:rPr>
      </w:pPr>
      <w:r w:rsidRPr="00715891">
        <w:rPr>
          <w:sz w:val="22"/>
          <w:szCs w:val="22"/>
          <w:lang w:val="lt-LT" w:eastAsia="ja-JP"/>
        </w:rPr>
        <w:t>Pacientams, kuriems gydymo pradžioje yra mažai trombocitų (&lt;</w:t>
      </w:r>
      <w:r w:rsidR="00F706F6" w:rsidRPr="00715891">
        <w:rPr>
          <w:sz w:val="22"/>
          <w:szCs w:val="22"/>
          <w:lang w:val="lt-LT" w:eastAsia="ja-JP"/>
        </w:rPr>
        <w:t> </w:t>
      </w:r>
      <w:r w:rsidRPr="00715891">
        <w:rPr>
          <w:sz w:val="22"/>
          <w:szCs w:val="22"/>
          <w:lang w:val="lt-LT" w:eastAsia="ja-JP"/>
        </w:rPr>
        <w:t>100</w:t>
      </w:r>
      <w:r w:rsidR="00601A14" w:rsidRPr="00715891">
        <w:rPr>
          <w:sz w:val="22"/>
          <w:szCs w:val="22"/>
          <w:lang w:val="lt-LT" w:eastAsia="ja-JP"/>
        </w:rPr>
        <w:t> </w:t>
      </w:r>
      <w:r w:rsidRPr="00715891">
        <w:rPr>
          <w:sz w:val="22"/>
          <w:szCs w:val="22"/>
          <w:lang w:val="lt-LT" w:eastAsia="ja-JP"/>
        </w:rPr>
        <w:t xml:space="preserve">000/mikrolitre) yra didesnė trombocitopenijos išsivystymo rizika. Pacientams, kuriems yra jatrogeninė imunosupresija dėl </w:t>
      </w:r>
      <w:r w:rsidRPr="00715891">
        <w:rPr>
          <w:sz w:val="22"/>
          <w:szCs w:val="22"/>
          <w:lang w:val="lt-LT" w:eastAsia="ja-JP"/>
        </w:rPr>
        <w:lastRenderedPageBreak/>
        <w:t xml:space="preserve">gydymo imunosupresantais, trombocitopenijos rizika yra didesnė, negu </w:t>
      </w:r>
      <w:r w:rsidR="00250BDF" w:rsidRPr="00715891">
        <w:rPr>
          <w:sz w:val="22"/>
          <w:szCs w:val="22"/>
          <w:lang w:val="lt-LT" w:eastAsia="ja-JP"/>
        </w:rPr>
        <w:t xml:space="preserve">pacientams, kuriems yra </w:t>
      </w:r>
      <w:r w:rsidRPr="00715891">
        <w:rPr>
          <w:sz w:val="22"/>
          <w:szCs w:val="22"/>
          <w:lang w:val="lt-LT" w:eastAsia="ja-JP"/>
        </w:rPr>
        <w:t xml:space="preserve">AIDS (žr. 4.4 skyrių). Sunki trombocitopenija gali būti susijusi su </w:t>
      </w:r>
      <w:r w:rsidR="00250BDF" w:rsidRPr="00715891">
        <w:rPr>
          <w:sz w:val="22"/>
          <w:szCs w:val="22"/>
          <w:lang w:val="lt-LT" w:eastAsia="ja-JP"/>
        </w:rPr>
        <w:t xml:space="preserve">gyvybei </w:t>
      </w:r>
      <w:r w:rsidRPr="00715891">
        <w:rPr>
          <w:sz w:val="22"/>
          <w:szCs w:val="22"/>
          <w:lang w:val="lt-LT" w:eastAsia="ja-JP"/>
        </w:rPr>
        <w:t>potencialiai pavojingu kraujavimu.</w:t>
      </w:r>
    </w:p>
    <w:p w14:paraId="53257F12" w14:textId="77777777" w:rsidR="00A4627F" w:rsidRPr="00715891" w:rsidRDefault="00A4627F" w:rsidP="00A4627F">
      <w:pPr>
        <w:rPr>
          <w:sz w:val="22"/>
          <w:szCs w:val="22"/>
          <w:lang w:val="lt-LT" w:eastAsia="ja-JP"/>
        </w:rPr>
      </w:pPr>
    </w:p>
    <w:p w14:paraId="6088B931" w14:textId="77777777" w:rsidR="00A4627F" w:rsidRPr="00715891" w:rsidRDefault="00A4627F" w:rsidP="00A4627F">
      <w:pPr>
        <w:rPr>
          <w:i/>
          <w:sz w:val="22"/>
          <w:szCs w:val="22"/>
          <w:lang w:val="lt-LT" w:eastAsia="ja-JP"/>
        </w:rPr>
      </w:pPr>
      <w:r w:rsidRPr="00715891">
        <w:rPr>
          <w:i/>
          <w:sz w:val="22"/>
          <w:szCs w:val="22"/>
          <w:lang w:val="lt-LT" w:eastAsia="ja-JP"/>
        </w:rPr>
        <w:t>Gydymo trukmės ar</w:t>
      </w:r>
      <w:r w:rsidR="00250BDF" w:rsidRPr="00715891">
        <w:rPr>
          <w:i/>
          <w:sz w:val="22"/>
          <w:szCs w:val="22"/>
          <w:lang w:val="lt-LT" w:eastAsia="ja-JP"/>
        </w:rPr>
        <w:t>ba</w:t>
      </w:r>
      <w:r w:rsidRPr="00715891">
        <w:rPr>
          <w:i/>
          <w:sz w:val="22"/>
          <w:szCs w:val="22"/>
          <w:lang w:val="lt-LT" w:eastAsia="ja-JP"/>
        </w:rPr>
        <w:t xml:space="preserve"> indikacijos </w:t>
      </w:r>
      <w:r w:rsidR="00250BDF" w:rsidRPr="00715891">
        <w:rPr>
          <w:i/>
          <w:sz w:val="22"/>
          <w:szCs w:val="22"/>
          <w:lang w:val="lt-LT" w:eastAsia="ja-JP"/>
        </w:rPr>
        <w:t>įtaka</w:t>
      </w:r>
      <w:r w:rsidRPr="00715891">
        <w:rPr>
          <w:i/>
          <w:sz w:val="22"/>
          <w:szCs w:val="22"/>
          <w:lang w:val="lt-LT" w:eastAsia="ja-JP"/>
        </w:rPr>
        <w:t xml:space="preserve"> nepageidauj</w:t>
      </w:r>
      <w:r w:rsidR="00F67D86" w:rsidRPr="00715891">
        <w:rPr>
          <w:i/>
          <w:sz w:val="22"/>
          <w:szCs w:val="22"/>
          <w:lang w:val="lt-LT" w:eastAsia="ja-JP"/>
        </w:rPr>
        <w:t>a</w:t>
      </w:r>
      <w:r w:rsidRPr="00715891">
        <w:rPr>
          <w:i/>
          <w:sz w:val="22"/>
          <w:szCs w:val="22"/>
          <w:lang w:val="lt-LT" w:eastAsia="ja-JP"/>
        </w:rPr>
        <w:t>moms reakcijoms</w:t>
      </w:r>
    </w:p>
    <w:p w14:paraId="78357CF7" w14:textId="57A305F9" w:rsidR="00A4627F" w:rsidRPr="00715891" w:rsidRDefault="00A4627F" w:rsidP="00A4627F">
      <w:pPr>
        <w:rPr>
          <w:sz w:val="22"/>
          <w:szCs w:val="22"/>
          <w:lang w:val="lt-LT" w:eastAsia="ja-JP"/>
        </w:rPr>
      </w:pPr>
      <w:r w:rsidRPr="00715891">
        <w:rPr>
          <w:sz w:val="22"/>
          <w:szCs w:val="22"/>
          <w:lang w:val="lt-LT" w:eastAsia="ja-JP"/>
        </w:rPr>
        <w:t>Sunki neutropenija (ANS</w:t>
      </w:r>
      <w:r w:rsidR="00F706F6" w:rsidRPr="00715891">
        <w:rPr>
          <w:sz w:val="22"/>
          <w:szCs w:val="22"/>
          <w:lang w:val="lt-LT" w:eastAsia="ja-JP"/>
        </w:rPr>
        <w:t> </w:t>
      </w:r>
      <w:r w:rsidRPr="00715891">
        <w:rPr>
          <w:sz w:val="22"/>
          <w:szCs w:val="22"/>
          <w:lang w:val="lt-LT" w:eastAsia="ja-JP"/>
        </w:rPr>
        <w:t>&lt;</w:t>
      </w:r>
      <w:r w:rsidR="00F706F6" w:rsidRPr="00715891">
        <w:rPr>
          <w:sz w:val="22"/>
          <w:szCs w:val="22"/>
          <w:lang w:val="lt-LT" w:eastAsia="ja-JP"/>
        </w:rPr>
        <w:t> </w:t>
      </w:r>
      <w:r w:rsidRPr="00715891">
        <w:rPr>
          <w:sz w:val="22"/>
          <w:szCs w:val="22"/>
          <w:lang w:val="lt-LT" w:eastAsia="ja-JP"/>
        </w:rPr>
        <w:t>500/</w:t>
      </w:r>
      <w:r w:rsidR="00250BDF" w:rsidRPr="00715891">
        <w:rPr>
          <w:sz w:val="22"/>
          <w:szCs w:val="22"/>
          <w:lang w:val="lt-LT" w:eastAsia="ja-JP"/>
        </w:rPr>
        <w:t>mikrolitre</w:t>
      </w:r>
      <w:r w:rsidRPr="00715891">
        <w:rPr>
          <w:sz w:val="22"/>
          <w:szCs w:val="22"/>
          <w:lang w:val="lt-LT" w:eastAsia="ja-JP"/>
        </w:rPr>
        <w:t>) dažniau buvo pastebėta CMV sukeltu retinitu sirgusiems pacientams (14</w:t>
      </w:r>
      <w:r w:rsidR="00F77E93" w:rsidRPr="00715891">
        <w:rPr>
          <w:sz w:val="22"/>
          <w:szCs w:val="22"/>
          <w:lang w:val="lt-LT" w:eastAsia="ja-JP"/>
        </w:rPr>
        <w:t> </w:t>
      </w:r>
      <w:r w:rsidRPr="00715891">
        <w:rPr>
          <w:sz w:val="22"/>
          <w:szCs w:val="22"/>
          <w:lang w:val="lt-LT" w:eastAsia="ja-JP"/>
        </w:rPr>
        <w:t>%), kuriems buvo taikyta palaikomoji terapija valgancikloviru arba geriamuoju ar į veną vartotu gancikloviru, negu pacientams, kurie persodinus organą buvo gydyti valgancikloviru arba geriamuoju gancikloviru. Valgancikloviru arba geriamuoju gancikloviru iki 100</w:t>
      </w:r>
      <w:r w:rsidR="00C626DF" w:rsidRPr="00715891">
        <w:rPr>
          <w:sz w:val="22"/>
          <w:szCs w:val="22"/>
          <w:lang w:val="lt-LT" w:eastAsia="ja-JP"/>
        </w:rPr>
        <w:t>-</w:t>
      </w:r>
      <w:r w:rsidRPr="00715891">
        <w:rPr>
          <w:sz w:val="22"/>
          <w:szCs w:val="22"/>
          <w:lang w:val="lt-LT" w:eastAsia="ja-JP"/>
        </w:rPr>
        <w:t xml:space="preserve">osios </w:t>
      </w:r>
      <w:r w:rsidR="00250BDF" w:rsidRPr="00715891">
        <w:rPr>
          <w:sz w:val="22"/>
          <w:szCs w:val="22"/>
          <w:lang w:val="lt-LT" w:eastAsia="ja-JP"/>
        </w:rPr>
        <w:t>paros</w:t>
      </w:r>
      <w:r w:rsidRPr="00715891">
        <w:rPr>
          <w:sz w:val="22"/>
          <w:szCs w:val="22"/>
          <w:lang w:val="lt-LT" w:eastAsia="ja-JP"/>
        </w:rPr>
        <w:t xml:space="preserve"> po </w:t>
      </w:r>
      <w:r w:rsidR="00250BDF" w:rsidRPr="00715891">
        <w:rPr>
          <w:sz w:val="22"/>
          <w:szCs w:val="22"/>
          <w:lang w:val="lt-LT" w:eastAsia="ja-JP"/>
        </w:rPr>
        <w:t>organo persodinimo</w:t>
      </w:r>
      <w:r w:rsidRPr="00715891">
        <w:rPr>
          <w:sz w:val="22"/>
          <w:szCs w:val="22"/>
          <w:lang w:val="lt-LT" w:eastAsia="ja-JP"/>
        </w:rPr>
        <w:t xml:space="preserve"> gydytiems pacientams sunkios neutropenijos </w:t>
      </w:r>
      <w:r w:rsidR="00250BDF" w:rsidRPr="00715891">
        <w:rPr>
          <w:sz w:val="22"/>
          <w:szCs w:val="22"/>
          <w:lang w:val="lt-LT" w:eastAsia="ja-JP"/>
        </w:rPr>
        <w:t xml:space="preserve">atvejų </w:t>
      </w:r>
      <w:r w:rsidRPr="00715891">
        <w:rPr>
          <w:sz w:val="22"/>
          <w:szCs w:val="22"/>
          <w:lang w:val="lt-LT" w:eastAsia="ja-JP"/>
        </w:rPr>
        <w:t>dažnis buvo, atitinkamai 5</w:t>
      </w:r>
      <w:r w:rsidR="00F77E93" w:rsidRPr="00715891">
        <w:rPr>
          <w:sz w:val="22"/>
          <w:szCs w:val="22"/>
          <w:lang w:val="lt-LT" w:eastAsia="ja-JP"/>
        </w:rPr>
        <w:t> </w:t>
      </w:r>
      <w:r w:rsidRPr="00715891">
        <w:rPr>
          <w:sz w:val="22"/>
          <w:szCs w:val="22"/>
          <w:lang w:val="lt-LT" w:eastAsia="ja-JP"/>
        </w:rPr>
        <w:t>% ir 3</w:t>
      </w:r>
      <w:r w:rsidR="00F77E93" w:rsidRPr="00715891">
        <w:rPr>
          <w:sz w:val="22"/>
          <w:szCs w:val="22"/>
          <w:lang w:val="lt-LT" w:eastAsia="ja-JP"/>
        </w:rPr>
        <w:t> </w:t>
      </w:r>
      <w:r w:rsidRPr="00715891">
        <w:rPr>
          <w:sz w:val="22"/>
          <w:szCs w:val="22"/>
          <w:lang w:val="lt-LT" w:eastAsia="ja-JP"/>
        </w:rPr>
        <w:t>%, o valgancikloviru iki 200</w:t>
      </w:r>
      <w:r w:rsidR="00C626DF" w:rsidRPr="00715891">
        <w:rPr>
          <w:sz w:val="22"/>
          <w:szCs w:val="22"/>
          <w:lang w:val="lt-LT" w:eastAsia="ja-JP"/>
        </w:rPr>
        <w:t>-</w:t>
      </w:r>
      <w:r w:rsidRPr="00715891">
        <w:rPr>
          <w:sz w:val="22"/>
          <w:szCs w:val="22"/>
          <w:lang w:val="lt-LT" w:eastAsia="ja-JP"/>
        </w:rPr>
        <w:t xml:space="preserve">osios </w:t>
      </w:r>
      <w:r w:rsidR="00250BDF" w:rsidRPr="00715891">
        <w:rPr>
          <w:sz w:val="22"/>
          <w:szCs w:val="22"/>
          <w:lang w:val="lt-LT" w:eastAsia="ja-JP"/>
        </w:rPr>
        <w:t>paros po persodinimo</w:t>
      </w:r>
      <w:r w:rsidRPr="00715891">
        <w:rPr>
          <w:sz w:val="22"/>
          <w:szCs w:val="22"/>
          <w:lang w:val="lt-LT" w:eastAsia="ja-JP"/>
        </w:rPr>
        <w:t xml:space="preserve"> gydytiems pacientams sunkios neutropenijos </w:t>
      </w:r>
      <w:r w:rsidR="00250BDF" w:rsidRPr="00715891">
        <w:rPr>
          <w:sz w:val="22"/>
          <w:szCs w:val="22"/>
          <w:lang w:val="lt-LT" w:eastAsia="ja-JP"/>
        </w:rPr>
        <w:t xml:space="preserve">atvejų </w:t>
      </w:r>
      <w:r w:rsidRPr="00715891">
        <w:rPr>
          <w:sz w:val="22"/>
          <w:szCs w:val="22"/>
          <w:lang w:val="lt-LT" w:eastAsia="ja-JP"/>
        </w:rPr>
        <w:t>dažnis buvo 10</w:t>
      </w:r>
      <w:r w:rsidR="00F77E93" w:rsidRPr="00715891">
        <w:rPr>
          <w:sz w:val="22"/>
          <w:szCs w:val="22"/>
          <w:lang w:val="lt-LT" w:eastAsia="ja-JP"/>
        </w:rPr>
        <w:t> </w:t>
      </w:r>
      <w:r w:rsidRPr="00715891">
        <w:rPr>
          <w:sz w:val="22"/>
          <w:szCs w:val="22"/>
          <w:lang w:val="lt-LT" w:eastAsia="ja-JP"/>
        </w:rPr>
        <w:t>%.</w:t>
      </w:r>
    </w:p>
    <w:p w14:paraId="37080CB6" w14:textId="77777777" w:rsidR="00A4627F" w:rsidRPr="00715891" w:rsidRDefault="00A4627F" w:rsidP="00A4627F">
      <w:pPr>
        <w:rPr>
          <w:sz w:val="22"/>
          <w:szCs w:val="22"/>
          <w:lang w:val="lt-LT" w:eastAsia="ja-JP"/>
        </w:rPr>
      </w:pPr>
    </w:p>
    <w:p w14:paraId="4ADC7B0F" w14:textId="75E703AA" w:rsidR="00A4627F" w:rsidRPr="00715891" w:rsidRDefault="00A4627F" w:rsidP="00A4627F">
      <w:pPr>
        <w:rPr>
          <w:sz w:val="22"/>
          <w:szCs w:val="22"/>
          <w:lang w:val="lt-LT" w:eastAsia="ja-JP"/>
        </w:rPr>
      </w:pPr>
      <w:r w:rsidRPr="00715891">
        <w:rPr>
          <w:sz w:val="22"/>
          <w:szCs w:val="22"/>
          <w:lang w:val="lt-LT" w:eastAsia="ja-JP"/>
        </w:rPr>
        <w:t>Pacient</w:t>
      </w:r>
      <w:r w:rsidR="00250BDF" w:rsidRPr="00715891">
        <w:rPr>
          <w:sz w:val="22"/>
          <w:szCs w:val="22"/>
          <w:lang w:val="lt-LT" w:eastAsia="ja-JP"/>
        </w:rPr>
        <w:t>ams, kuriems persodintas solidinis organas</w:t>
      </w:r>
      <w:r w:rsidRPr="00715891">
        <w:rPr>
          <w:sz w:val="22"/>
          <w:szCs w:val="22"/>
          <w:lang w:val="lt-LT" w:eastAsia="ja-JP"/>
        </w:rPr>
        <w:t>, iki 100</w:t>
      </w:r>
      <w:r w:rsidR="00C626DF" w:rsidRPr="00715891">
        <w:rPr>
          <w:sz w:val="22"/>
          <w:szCs w:val="22"/>
          <w:lang w:val="lt-LT" w:eastAsia="ja-JP"/>
        </w:rPr>
        <w:t>-</w:t>
      </w:r>
      <w:r w:rsidRPr="00715891">
        <w:rPr>
          <w:sz w:val="22"/>
          <w:szCs w:val="22"/>
          <w:lang w:val="lt-LT" w:eastAsia="ja-JP"/>
        </w:rPr>
        <w:t>osios arba 200</w:t>
      </w:r>
      <w:r w:rsidR="00C626DF" w:rsidRPr="00715891">
        <w:rPr>
          <w:sz w:val="22"/>
          <w:szCs w:val="22"/>
          <w:lang w:val="lt-LT" w:eastAsia="ja-JP"/>
        </w:rPr>
        <w:t>-</w:t>
      </w:r>
      <w:r w:rsidRPr="00715891">
        <w:rPr>
          <w:sz w:val="22"/>
          <w:szCs w:val="22"/>
          <w:lang w:val="lt-LT" w:eastAsia="ja-JP"/>
        </w:rPr>
        <w:t xml:space="preserve">osios </w:t>
      </w:r>
      <w:r w:rsidR="00250BDF" w:rsidRPr="00715891">
        <w:rPr>
          <w:sz w:val="22"/>
          <w:szCs w:val="22"/>
          <w:lang w:val="lt-LT" w:eastAsia="ja-JP"/>
        </w:rPr>
        <w:t>paros</w:t>
      </w:r>
      <w:r w:rsidRPr="00715891">
        <w:rPr>
          <w:sz w:val="22"/>
          <w:szCs w:val="22"/>
          <w:lang w:val="lt-LT" w:eastAsia="ja-JP"/>
        </w:rPr>
        <w:t xml:space="preserve"> po </w:t>
      </w:r>
      <w:r w:rsidR="00250BDF" w:rsidRPr="00715891">
        <w:rPr>
          <w:sz w:val="22"/>
          <w:szCs w:val="22"/>
          <w:lang w:val="lt-LT" w:eastAsia="ja-JP"/>
        </w:rPr>
        <w:t>organo persodinimo</w:t>
      </w:r>
      <w:r w:rsidRPr="00715891">
        <w:rPr>
          <w:sz w:val="22"/>
          <w:szCs w:val="22"/>
          <w:lang w:val="lt-LT" w:eastAsia="ja-JP"/>
        </w:rPr>
        <w:t xml:space="preserve"> gydytų tiek valgancikloviru, tiek geriamuoju ganciklovir</w:t>
      </w:r>
      <w:r w:rsidR="00F77E93" w:rsidRPr="00715891">
        <w:rPr>
          <w:sz w:val="22"/>
          <w:szCs w:val="22"/>
          <w:lang w:val="lt-LT" w:eastAsia="ja-JP"/>
        </w:rPr>
        <w:t>u</w:t>
      </w:r>
      <w:r w:rsidRPr="00715891">
        <w:rPr>
          <w:sz w:val="22"/>
          <w:szCs w:val="22"/>
          <w:lang w:val="lt-LT" w:eastAsia="ja-JP"/>
        </w:rPr>
        <w:t xml:space="preserve">, serume kreatinino kiekio padidėjimas buvo didesnis, </w:t>
      </w:r>
      <w:r w:rsidR="00250BDF" w:rsidRPr="00715891">
        <w:rPr>
          <w:sz w:val="22"/>
          <w:szCs w:val="22"/>
          <w:lang w:val="lt-LT" w:eastAsia="ja-JP"/>
        </w:rPr>
        <w:t>palyginti</w:t>
      </w:r>
      <w:r w:rsidRPr="00715891">
        <w:rPr>
          <w:sz w:val="22"/>
          <w:szCs w:val="22"/>
          <w:lang w:val="lt-LT" w:eastAsia="ja-JP"/>
        </w:rPr>
        <w:t xml:space="preserve"> su CMV retinitu sirgusiais pacientais. Vis dėlto inkstų </w:t>
      </w:r>
      <w:r w:rsidR="00250BDF" w:rsidRPr="00715891">
        <w:rPr>
          <w:sz w:val="22"/>
          <w:szCs w:val="22"/>
          <w:lang w:val="lt-LT" w:eastAsia="ja-JP"/>
        </w:rPr>
        <w:t>funkcijos</w:t>
      </w:r>
      <w:r w:rsidRPr="00715891">
        <w:rPr>
          <w:sz w:val="22"/>
          <w:szCs w:val="22"/>
          <w:lang w:val="lt-LT" w:eastAsia="ja-JP"/>
        </w:rPr>
        <w:t xml:space="preserve"> sutrikimas yra bendra</w:t>
      </w:r>
      <w:r w:rsidR="00647D10" w:rsidRPr="00715891">
        <w:rPr>
          <w:sz w:val="22"/>
          <w:szCs w:val="22"/>
          <w:lang w:val="lt-LT" w:eastAsia="ja-JP"/>
        </w:rPr>
        <w:t xml:space="preserve"> visų pacientų, kuriems persodintas solidinis organas, ypatybė</w:t>
      </w:r>
      <w:r w:rsidRPr="00715891">
        <w:rPr>
          <w:sz w:val="22"/>
          <w:szCs w:val="22"/>
          <w:lang w:val="lt-LT" w:eastAsia="ja-JP"/>
        </w:rPr>
        <w:t>.</w:t>
      </w:r>
    </w:p>
    <w:p w14:paraId="0769B93B" w14:textId="77777777" w:rsidR="00A4627F" w:rsidRPr="00715891" w:rsidRDefault="00A4627F" w:rsidP="00A4627F">
      <w:pPr>
        <w:rPr>
          <w:sz w:val="22"/>
          <w:lang w:val="lt-LT"/>
        </w:rPr>
      </w:pPr>
    </w:p>
    <w:p w14:paraId="7DF3CA8C" w14:textId="535FE2BA" w:rsidR="00A4627F" w:rsidRPr="00715891" w:rsidRDefault="00A4627F" w:rsidP="00A4627F">
      <w:pPr>
        <w:rPr>
          <w:sz w:val="22"/>
          <w:szCs w:val="22"/>
          <w:lang w:val="lt-LT" w:eastAsia="ja-JP"/>
        </w:rPr>
      </w:pPr>
      <w:r w:rsidRPr="00715891">
        <w:rPr>
          <w:sz w:val="22"/>
          <w:szCs w:val="22"/>
          <w:lang w:val="lt-LT" w:eastAsia="ja-JP"/>
        </w:rPr>
        <w:t>Profilaktiką suaugusiems pacientams su persodintu inkstu, kuriems buvo didelė rizika, pratęsus iki 200</w:t>
      </w:r>
      <w:r w:rsidR="00F706F6" w:rsidRPr="00715891">
        <w:rPr>
          <w:sz w:val="22"/>
          <w:szCs w:val="22"/>
          <w:lang w:val="lt-LT" w:eastAsia="ja-JP"/>
        </w:rPr>
        <w:t> </w:t>
      </w:r>
      <w:r w:rsidR="00647D10" w:rsidRPr="00715891">
        <w:rPr>
          <w:sz w:val="22"/>
          <w:szCs w:val="22"/>
          <w:lang w:val="lt-LT" w:eastAsia="ja-JP"/>
        </w:rPr>
        <w:t>parų</w:t>
      </w:r>
      <w:r w:rsidRPr="00715891">
        <w:rPr>
          <w:sz w:val="22"/>
          <w:szCs w:val="22"/>
          <w:lang w:val="lt-LT" w:eastAsia="ja-JP"/>
        </w:rPr>
        <w:t xml:space="preserve">, </w:t>
      </w:r>
      <w:r w:rsidR="00647D10" w:rsidRPr="00715891">
        <w:rPr>
          <w:sz w:val="22"/>
          <w:szCs w:val="22"/>
          <w:lang w:val="lt-LT" w:eastAsia="ja-JP"/>
        </w:rPr>
        <w:t>Valganciclovir Sandoz</w:t>
      </w:r>
      <w:r w:rsidRPr="00715891">
        <w:rPr>
          <w:sz w:val="22"/>
          <w:szCs w:val="22"/>
          <w:lang w:val="lt-LT" w:eastAsia="ja-JP"/>
        </w:rPr>
        <w:t xml:space="preserve"> bendra</w:t>
      </w:r>
      <w:r w:rsidR="00647D10" w:rsidRPr="00715891">
        <w:rPr>
          <w:sz w:val="22"/>
          <w:szCs w:val="22"/>
          <w:lang w:val="lt-LT" w:eastAsia="ja-JP"/>
        </w:rPr>
        <w:t>s</w:t>
      </w:r>
      <w:r w:rsidRPr="00715891">
        <w:rPr>
          <w:sz w:val="22"/>
          <w:szCs w:val="22"/>
          <w:lang w:val="lt-LT" w:eastAsia="ja-JP"/>
        </w:rPr>
        <w:t xml:space="preserve"> saugumo </w:t>
      </w:r>
      <w:r w:rsidR="00647D10" w:rsidRPr="00715891">
        <w:rPr>
          <w:sz w:val="22"/>
          <w:szCs w:val="22"/>
          <w:lang w:val="lt-LT" w:eastAsia="ja-JP"/>
        </w:rPr>
        <w:t>apibūdinimas</w:t>
      </w:r>
      <w:r w:rsidRPr="00715891">
        <w:rPr>
          <w:sz w:val="22"/>
          <w:szCs w:val="22"/>
          <w:lang w:val="lt-LT" w:eastAsia="ja-JP"/>
        </w:rPr>
        <w:t xml:space="preserve"> nepakito. Leukopenija buvo pastebėta šiek tiek dažniau 200</w:t>
      </w:r>
      <w:r w:rsidR="00F706F6" w:rsidRPr="00715891">
        <w:rPr>
          <w:sz w:val="22"/>
          <w:szCs w:val="22"/>
          <w:lang w:val="lt-LT" w:eastAsia="ja-JP"/>
        </w:rPr>
        <w:t> </w:t>
      </w:r>
      <w:r w:rsidR="00647D10" w:rsidRPr="00715891">
        <w:rPr>
          <w:sz w:val="22"/>
          <w:szCs w:val="22"/>
          <w:lang w:val="lt-LT" w:eastAsia="ja-JP"/>
        </w:rPr>
        <w:t>parų</w:t>
      </w:r>
      <w:r w:rsidRPr="00715891">
        <w:rPr>
          <w:sz w:val="22"/>
          <w:szCs w:val="22"/>
          <w:lang w:val="lt-LT" w:eastAsia="ja-JP"/>
        </w:rPr>
        <w:t xml:space="preserve"> pogrupyje, </w:t>
      </w:r>
      <w:r w:rsidR="00647D10" w:rsidRPr="00715891">
        <w:rPr>
          <w:sz w:val="22"/>
          <w:szCs w:val="22"/>
          <w:lang w:val="lt-LT" w:eastAsia="ja-JP"/>
        </w:rPr>
        <w:t>nors</w:t>
      </w:r>
      <w:r w:rsidRPr="00715891">
        <w:rPr>
          <w:sz w:val="22"/>
          <w:szCs w:val="22"/>
          <w:lang w:val="lt-LT" w:eastAsia="ja-JP"/>
        </w:rPr>
        <w:t xml:space="preserve"> neutropenijos, anemijos ir trombocitopenijos dažniai abiejose grupėse buvo panašūs.</w:t>
      </w:r>
    </w:p>
    <w:p w14:paraId="15CAFC4B" w14:textId="3A84989A" w:rsidR="00A4627F" w:rsidRPr="00715891" w:rsidRDefault="00A4627F" w:rsidP="00107519">
      <w:pPr>
        <w:rPr>
          <w:b/>
          <w:i/>
          <w:sz w:val="22"/>
          <w:szCs w:val="22"/>
          <w:lang w:val="lt-LT" w:eastAsia="ja-JP"/>
        </w:rPr>
      </w:pPr>
    </w:p>
    <w:p w14:paraId="273D7FF2" w14:textId="77777777" w:rsidR="00107519" w:rsidRPr="00715891" w:rsidRDefault="00107519" w:rsidP="00107519">
      <w:pPr>
        <w:rPr>
          <w:b/>
          <w:i/>
          <w:sz w:val="22"/>
          <w:szCs w:val="22"/>
          <w:lang w:val="lt-LT" w:eastAsia="ja-JP"/>
        </w:rPr>
      </w:pPr>
      <w:r w:rsidRPr="00715891">
        <w:rPr>
          <w:b/>
          <w:i/>
          <w:sz w:val="22"/>
          <w:szCs w:val="22"/>
          <w:lang w:val="lt-LT" w:eastAsia="ja-JP"/>
        </w:rPr>
        <w:t>c) Vaikų populiacija</w:t>
      </w:r>
    </w:p>
    <w:p w14:paraId="7D623150" w14:textId="66854684" w:rsidR="00107519" w:rsidRPr="00715891" w:rsidRDefault="00107519" w:rsidP="00107519">
      <w:pPr>
        <w:rPr>
          <w:sz w:val="22"/>
          <w:szCs w:val="22"/>
          <w:lang w:val="lt-LT" w:eastAsia="ja-JP"/>
        </w:rPr>
      </w:pPr>
      <w:r w:rsidRPr="00715891">
        <w:rPr>
          <w:sz w:val="22"/>
          <w:szCs w:val="22"/>
          <w:lang w:val="lt-LT" w:eastAsia="ja-JP"/>
        </w:rPr>
        <w:t>Valganci</w:t>
      </w:r>
      <w:r w:rsidR="006C6707" w:rsidRPr="00715891">
        <w:rPr>
          <w:sz w:val="22"/>
          <w:szCs w:val="22"/>
          <w:lang w:val="lt-LT" w:eastAsia="ja-JP"/>
        </w:rPr>
        <w:t>k</w:t>
      </w:r>
      <w:r w:rsidRPr="00715891">
        <w:rPr>
          <w:sz w:val="22"/>
          <w:szCs w:val="22"/>
          <w:lang w:val="lt-LT" w:eastAsia="ja-JP"/>
        </w:rPr>
        <w:t>loviras tirtas 179 vaikams (nuo 3</w:t>
      </w:r>
      <w:r w:rsidR="00F706F6" w:rsidRPr="00715891">
        <w:rPr>
          <w:sz w:val="22"/>
          <w:szCs w:val="22"/>
          <w:lang w:val="lt-LT" w:eastAsia="ja-JP"/>
        </w:rPr>
        <w:t> </w:t>
      </w:r>
      <w:r w:rsidRPr="00715891">
        <w:rPr>
          <w:sz w:val="22"/>
          <w:szCs w:val="22"/>
          <w:lang w:val="lt-LT" w:eastAsia="ja-JP"/>
        </w:rPr>
        <w:t>savaičių iki 16 metų amžiaus) su persodintu solidiniu organu, kuriems buvo rizika susirgti CMV sukeliama liga, bei 133 naujagimiams (nuo 2 iki 31 dienos amžiaus), sergančiais simptomine įgimta CMV sukelta liga, esant ekspozicijos gancikloviru trukmei nuo 2 iki 200</w:t>
      </w:r>
      <w:r w:rsidR="00F706F6" w:rsidRPr="00715891">
        <w:rPr>
          <w:sz w:val="22"/>
          <w:szCs w:val="22"/>
          <w:lang w:val="lt-LT" w:eastAsia="ja-JP"/>
        </w:rPr>
        <w:t> </w:t>
      </w:r>
      <w:r w:rsidRPr="00715891">
        <w:rPr>
          <w:sz w:val="22"/>
          <w:szCs w:val="22"/>
          <w:lang w:val="lt-LT" w:eastAsia="ja-JP"/>
        </w:rPr>
        <w:t>parų.</w:t>
      </w:r>
    </w:p>
    <w:p w14:paraId="2A1DABEF" w14:textId="77777777" w:rsidR="00107519" w:rsidRPr="00715891" w:rsidRDefault="00107519" w:rsidP="00107519">
      <w:pPr>
        <w:autoSpaceDE w:val="0"/>
        <w:autoSpaceDN w:val="0"/>
        <w:adjustRightInd w:val="0"/>
        <w:rPr>
          <w:sz w:val="22"/>
          <w:szCs w:val="22"/>
          <w:lang w:val="lt-LT" w:eastAsia="ja-JP"/>
        </w:rPr>
      </w:pPr>
      <w:r w:rsidRPr="00715891">
        <w:rPr>
          <w:sz w:val="22"/>
          <w:szCs w:val="22"/>
          <w:lang w:val="lt-LT" w:eastAsia="ja-JP"/>
        </w:rPr>
        <w:t>Klinikinių tyrimų su vaikais metu su gydymu susijusios nepageidaujamos reakcijos, apie kurias pranešta dažniausiai, buvo viduriavimas, pykinimas, neutropenija, leukopenija ir anemija.</w:t>
      </w:r>
    </w:p>
    <w:p w14:paraId="4F59BD99" w14:textId="6E459ED2" w:rsidR="00107519" w:rsidRPr="00715891" w:rsidRDefault="00107519" w:rsidP="00107519">
      <w:pPr>
        <w:autoSpaceDE w:val="0"/>
        <w:autoSpaceDN w:val="0"/>
        <w:adjustRightInd w:val="0"/>
        <w:rPr>
          <w:sz w:val="22"/>
          <w:szCs w:val="22"/>
          <w:lang w:val="lt-LT" w:eastAsia="ja-JP"/>
        </w:rPr>
      </w:pPr>
      <w:r w:rsidRPr="00715891">
        <w:rPr>
          <w:sz w:val="22"/>
          <w:szCs w:val="22"/>
          <w:lang w:val="lt-LT" w:eastAsia="ja-JP"/>
        </w:rPr>
        <w:t xml:space="preserve">Pacientų, kuriems persodintas solidinis organas, atveju, bendras saugumo </w:t>
      </w:r>
      <w:r w:rsidR="00647D10" w:rsidRPr="00715891">
        <w:rPr>
          <w:sz w:val="22"/>
          <w:szCs w:val="22"/>
          <w:lang w:val="lt-LT" w:eastAsia="ja-JP"/>
        </w:rPr>
        <w:t xml:space="preserve">apibūdinimas </w:t>
      </w:r>
      <w:r w:rsidRPr="00715891">
        <w:rPr>
          <w:sz w:val="22"/>
          <w:szCs w:val="22"/>
          <w:lang w:val="lt-LT" w:eastAsia="ja-JP"/>
        </w:rPr>
        <w:t xml:space="preserve">vaikams ir suaugusiesiems buvo panašus. </w:t>
      </w:r>
      <w:r w:rsidR="00647D10" w:rsidRPr="00715891">
        <w:rPr>
          <w:sz w:val="22"/>
          <w:szCs w:val="22"/>
          <w:lang w:val="lt-LT" w:eastAsia="ja-JP"/>
        </w:rPr>
        <w:t>D</w:t>
      </w:r>
      <w:r w:rsidRPr="00715891">
        <w:rPr>
          <w:sz w:val="22"/>
          <w:szCs w:val="22"/>
          <w:lang w:val="lt-LT" w:eastAsia="ja-JP"/>
        </w:rPr>
        <w:t>viejų atliktų klinikinių tyrimų, kuriuose dalyvavusiems vaikams buvo persodintas solidinis organas, metu neutropenija pasireiškė šiek tiek dažniau, palyginus su suaugusiųjų klinikiniais tyrimais, tačiau sąsajos tarp neutropenijos ir infekcinių nepageidaujamų reiškinių vaikų populiacijoje nebuvo.</w:t>
      </w:r>
      <w:r w:rsidR="00111899" w:rsidRPr="00715891">
        <w:rPr>
          <w:lang w:val="lt-LT"/>
        </w:rPr>
        <w:t xml:space="preserve"> </w:t>
      </w:r>
      <w:r w:rsidR="00111899" w:rsidRPr="00715891">
        <w:rPr>
          <w:sz w:val="22"/>
          <w:szCs w:val="22"/>
          <w:lang w:val="lt-LT" w:eastAsia="ja-JP"/>
        </w:rPr>
        <w:t xml:space="preserve">Didesnė citopenijų rizika naujagimiams ir kūdikiams reikalauja </w:t>
      </w:r>
      <w:r w:rsidR="000F5337" w:rsidRPr="00715891">
        <w:rPr>
          <w:sz w:val="22"/>
          <w:szCs w:val="22"/>
          <w:lang w:val="lt-LT" w:eastAsia="ja-JP"/>
        </w:rPr>
        <w:t>atidžiai kontroliuoti</w:t>
      </w:r>
      <w:r w:rsidR="00111899" w:rsidRPr="00715891">
        <w:rPr>
          <w:sz w:val="22"/>
          <w:szCs w:val="22"/>
          <w:lang w:val="lt-LT" w:eastAsia="ja-JP"/>
        </w:rPr>
        <w:t xml:space="preserve"> kraujo ląstelių skaičių </w:t>
      </w:r>
      <w:r w:rsidR="000F5337" w:rsidRPr="00715891">
        <w:rPr>
          <w:sz w:val="22"/>
          <w:szCs w:val="22"/>
          <w:lang w:val="lt-LT" w:eastAsia="ja-JP"/>
        </w:rPr>
        <w:t xml:space="preserve">šių amžiaus grupių pacientams </w:t>
      </w:r>
      <w:r w:rsidR="00111899" w:rsidRPr="00715891">
        <w:rPr>
          <w:sz w:val="22"/>
          <w:szCs w:val="22"/>
          <w:lang w:val="lt-LT" w:eastAsia="ja-JP"/>
        </w:rPr>
        <w:t xml:space="preserve">(žr. 4.4 skyrių). </w:t>
      </w:r>
    </w:p>
    <w:p w14:paraId="40CB8540" w14:textId="77777777" w:rsidR="00647D10" w:rsidRPr="00715891" w:rsidRDefault="00647D10" w:rsidP="00107519">
      <w:pPr>
        <w:autoSpaceDE w:val="0"/>
        <w:autoSpaceDN w:val="0"/>
        <w:adjustRightInd w:val="0"/>
        <w:rPr>
          <w:sz w:val="22"/>
          <w:szCs w:val="22"/>
          <w:lang w:val="lt-LT" w:eastAsia="ja-JP"/>
        </w:rPr>
      </w:pPr>
    </w:p>
    <w:p w14:paraId="5AC3CCF4" w14:textId="77777777" w:rsidR="00107519" w:rsidRPr="00715891" w:rsidRDefault="00107519" w:rsidP="00107519">
      <w:pPr>
        <w:autoSpaceDE w:val="0"/>
        <w:autoSpaceDN w:val="0"/>
        <w:adjustRightInd w:val="0"/>
        <w:rPr>
          <w:rFonts w:eastAsia="MS Mincho"/>
          <w:sz w:val="22"/>
          <w:szCs w:val="22"/>
          <w:lang w:val="lt-LT" w:eastAsia="zh-CN"/>
        </w:rPr>
      </w:pPr>
      <w:r w:rsidRPr="00715891">
        <w:rPr>
          <w:sz w:val="22"/>
          <w:szCs w:val="22"/>
          <w:lang w:val="lt-LT" w:eastAsia="ja-JP"/>
        </w:rPr>
        <w:t>Vaikų, kuriems persodintas inkstas, gydymo valgancikloviru pratęsimas iki 200 parų nebuvo susijęs su bendruoju nepageidaujamų reiškinių dažnio padidėjimu. Sunkios neutropenijos (absoliutus neutrofilų skaičius &lt; 500/mikrolitre) dažnis buvo didesnis vaikams su persodintu inkstu, gydytiems iki 200</w:t>
      </w:r>
      <w:r w:rsidRPr="00715891">
        <w:rPr>
          <w:sz w:val="22"/>
          <w:szCs w:val="22"/>
          <w:lang w:val="lt-LT" w:eastAsia="ja-JP"/>
        </w:rPr>
        <w:noBreakHyphen/>
        <w:t>osios paros, palyginus su iki 100</w:t>
      </w:r>
      <w:r w:rsidRPr="00715891">
        <w:rPr>
          <w:sz w:val="22"/>
          <w:szCs w:val="22"/>
          <w:lang w:val="lt-LT" w:eastAsia="ja-JP"/>
        </w:rPr>
        <w:noBreakHyphen/>
        <w:t>osios paros gydytais vaikais ir palyginus su suaugusiais pacientais, kuriems persodintas inkstas, gydytais iki 100</w:t>
      </w:r>
      <w:r w:rsidRPr="00715891">
        <w:rPr>
          <w:sz w:val="22"/>
          <w:szCs w:val="22"/>
          <w:lang w:val="lt-LT" w:eastAsia="ja-JP"/>
        </w:rPr>
        <w:noBreakHyphen/>
        <w:t>osios paros arba 200</w:t>
      </w:r>
      <w:r w:rsidRPr="00715891">
        <w:rPr>
          <w:sz w:val="22"/>
          <w:szCs w:val="22"/>
          <w:lang w:val="lt-LT" w:eastAsia="ja-JP"/>
        </w:rPr>
        <w:noBreakHyphen/>
      </w:r>
      <w:r w:rsidR="00C626DF" w:rsidRPr="00715891">
        <w:rPr>
          <w:sz w:val="22"/>
          <w:szCs w:val="22"/>
          <w:lang w:val="lt-LT" w:eastAsia="ja-JP"/>
        </w:rPr>
        <w:t xml:space="preserve">osios </w:t>
      </w:r>
      <w:r w:rsidRPr="00715891">
        <w:rPr>
          <w:sz w:val="22"/>
          <w:szCs w:val="22"/>
          <w:lang w:val="lt-LT" w:eastAsia="ja-JP"/>
        </w:rPr>
        <w:t>paros (žr. 4.4 skyrių)</w:t>
      </w:r>
      <w:r w:rsidRPr="00715891">
        <w:rPr>
          <w:rFonts w:eastAsia="MS Mincho"/>
          <w:sz w:val="22"/>
          <w:szCs w:val="22"/>
          <w:lang w:val="lt-LT" w:eastAsia="zh-CN"/>
        </w:rPr>
        <w:t>.</w:t>
      </w:r>
    </w:p>
    <w:p w14:paraId="249A8B47" w14:textId="77777777" w:rsidR="00107519" w:rsidRPr="00715891" w:rsidRDefault="00107519" w:rsidP="00107519">
      <w:pPr>
        <w:autoSpaceDE w:val="0"/>
        <w:autoSpaceDN w:val="0"/>
        <w:adjustRightInd w:val="0"/>
        <w:rPr>
          <w:sz w:val="22"/>
          <w:szCs w:val="22"/>
          <w:lang w:val="lt-LT" w:eastAsia="ja-JP"/>
        </w:rPr>
      </w:pPr>
    </w:p>
    <w:p w14:paraId="57DDE614" w14:textId="77777777" w:rsidR="00107519" w:rsidRPr="00715891" w:rsidRDefault="00107519" w:rsidP="00107519">
      <w:pPr>
        <w:rPr>
          <w:sz w:val="22"/>
          <w:szCs w:val="22"/>
          <w:lang w:val="lt-LT" w:eastAsia="ja-JP"/>
        </w:rPr>
      </w:pPr>
      <w:r w:rsidRPr="00715891">
        <w:rPr>
          <w:sz w:val="22"/>
          <w:szCs w:val="22"/>
          <w:lang w:val="lt-LT" w:eastAsia="ja-JP"/>
        </w:rPr>
        <w:t>Duomenų apie naujagimių ar kūdikių, sergančių simptomine įgimta CMV infekcija, gydymą valgancikloviru yra nedaug, tačiau atrodo, kad jo saugumas atitinka žinomą valgancikloviro/ gancikloviro saugumo pobūdį.</w:t>
      </w:r>
    </w:p>
    <w:p w14:paraId="76D06B73" w14:textId="77777777" w:rsidR="00107519" w:rsidRPr="00715891" w:rsidRDefault="00107519" w:rsidP="00107519">
      <w:pPr>
        <w:rPr>
          <w:sz w:val="22"/>
          <w:szCs w:val="22"/>
          <w:u w:val="single"/>
          <w:lang w:val="lt-LT" w:eastAsia="ja-JP"/>
        </w:rPr>
      </w:pPr>
    </w:p>
    <w:p w14:paraId="34B700FB" w14:textId="77777777" w:rsidR="00647D10" w:rsidRPr="00715891" w:rsidRDefault="00647D10" w:rsidP="005B6B82">
      <w:pPr>
        <w:tabs>
          <w:tab w:val="left" w:pos="567"/>
        </w:tabs>
        <w:autoSpaceDE w:val="0"/>
        <w:autoSpaceDN w:val="0"/>
        <w:adjustRightInd w:val="0"/>
        <w:spacing w:line="260" w:lineRule="exact"/>
        <w:jc w:val="both"/>
        <w:rPr>
          <w:snapToGrid w:val="0"/>
          <w:sz w:val="22"/>
          <w:u w:val="single"/>
          <w:lang w:val="lt-LT"/>
        </w:rPr>
      </w:pPr>
      <w:r w:rsidRPr="00715891">
        <w:rPr>
          <w:snapToGrid w:val="0"/>
          <w:sz w:val="22"/>
          <w:u w:val="single"/>
          <w:lang w:val="lt-LT"/>
        </w:rPr>
        <w:t>Pranešimas apie įtariamas nepageidaujamas reakcijas</w:t>
      </w:r>
    </w:p>
    <w:p w14:paraId="5E2F18AC" w14:textId="77777777" w:rsidR="007109C8" w:rsidRPr="00715891" w:rsidRDefault="007109C8" w:rsidP="005B6B82">
      <w:pPr>
        <w:tabs>
          <w:tab w:val="left" w:pos="567"/>
        </w:tabs>
        <w:autoSpaceDE w:val="0"/>
        <w:autoSpaceDN w:val="0"/>
        <w:adjustRightInd w:val="0"/>
        <w:spacing w:line="260" w:lineRule="exact"/>
        <w:jc w:val="both"/>
        <w:rPr>
          <w:sz w:val="22"/>
          <w:lang w:val="lt-LT"/>
        </w:rPr>
      </w:pPr>
      <w:r w:rsidRPr="004C2447">
        <w:rPr>
          <w:sz w:val="22"/>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r w:rsidRPr="00715891">
        <w:rPr>
          <w:sz w:val="22"/>
          <w:lang w:val="lt-LT"/>
        </w:rPr>
        <w:t>.</w:t>
      </w:r>
    </w:p>
    <w:p w14:paraId="3E8E2564" w14:textId="77777777" w:rsidR="00107519" w:rsidRPr="00715891" w:rsidRDefault="00107519" w:rsidP="004C2447">
      <w:pPr>
        <w:tabs>
          <w:tab w:val="left" w:pos="567"/>
        </w:tabs>
        <w:autoSpaceDE w:val="0"/>
        <w:autoSpaceDN w:val="0"/>
        <w:adjustRightInd w:val="0"/>
        <w:spacing w:line="260" w:lineRule="exact"/>
        <w:jc w:val="both"/>
        <w:rPr>
          <w:sz w:val="22"/>
          <w:szCs w:val="22"/>
          <w:lang w:val="lt-LT" w:eastAsia="ja-JP"/>
        </w:rPr>
      </w:pPr>
    </w:p>
    <w:p w14:paraId="6E3D4691" w14:textId="77777777" w:rsidR="00107519" w:rsidRPr="00715891" w:rsidRDefault="00107519" w:rsidP="00107519">
      <w:pPr>
        <w:tabs>
          <w:tab w:val="left" w:pos="567"/>
        </w:tabs>
        <w:rPr>
          <w:b/>
          <w:sz w:val="22"/>
          <w:szCs w:val="22"/>
          <w:lang w:val="lt-LT" w:eastAsia="ja-JP"/>
        </w:rPr>
      </w:pPr>
      <w:r w:rsidRPr="00715891">
        <w:rPr>
          <w:b/>
          <w:sz w:val="22"/>
          <w:szCs w:val="22"/>
          <w:lang w:val="lt-LT" w:eastAsia="ja-JP"/>
        </w:rPr>
        <w:t>4.9</w:t>
      </w:r>
      <w:r w:rsidRPr="00715891">
        <w:rPr>
          <w:b/>
          <w:sz w:val="22"/>
          <w:szCs w:val="22"/>
          <w:lang w:val="lt-LT" w:eastAsia="ja-JP"/>
        </w:rPr>
        <w:tab/>
        <w:t>Perdozavimas</w:t>
      </w:r>
    </w:p>
    <w:p w14:paraId="3FC90F54" w14:textId="77777777" w:rsidR="00107519" w:rsidRPr="00715891" w:rsidRDefault="00107519" w:rsidP="00107519">
      <w:pPr>
        <w:rPr>
          <w:sz w:val="22"/>
          <w:szCs w:val="22"/>
          <w:lang w:val="lt-LT" w:eastAsia="ja-JP"/>
        </w:rPr>
      </w:pPr>
    </w:p>
    <w:p w14:paraId="1F5DDDAA" w14:textId="77777777" w:rsidR="00647D10" w:rsidRPr="00715891" w:rsidRDefault="00647D10" w:rsidP="003C60C4">
      <w:pPr>
        <w:rPr>
          <w:sz w:val="22"/>
          <w:szCs w:val="22"/>
          <w:u w:val="single"/>
          <w:lang w:val="lt-LT" w:eastAsia="ja-JP"/>
        </w:rPr>
      </w:pPr>
      <w:r w:rsidRPr="00715891">
        <w:rPr>
          <w:sz w:val="22"/>
          <w:szCs w:val="22"/>
          <w:u w:val="single"/>
          <w:lang w:val="lt-LT" w:eastAsia="ja-JP"/>
        </w:rPr>
        <w:t>Valgancikloviro ir į veną leidžiamo gancikloviro perdozavimo patirtis</w:t>
      </w:r>
    </w:p>
    <w:p w14:paraId="6F0D758F" w14:textId="2E2B0184" w:rsidR="00647D10" w:rsidRPr="00715891" w:rsidRDefault="00647D10" w:rsidP="00647D10">
      <w:pPr>
        <w:rPr>
          <w:sz w:val="22"/>
          <w:szCs w:val="22"/>
          <w:lang w:val="lt-LT" w:eastAsia="ja-JP"/>
        </w:rPr>
      </w:pPr>
      <w:r w:rsidRPr="00715891">
        <w:rPr>
          <w:sz w:val="22"/>
          <w:szCs w:val="22"/>
          <w:lang w:val="lt-LT" w:eastAsia="ja-JP"/>
        </w:rPr>
        <w:lastRenderedPageBreak/>
        <w:t xml:space="preserve">Manoma, kad </w:t>
      </w:r>
      <w:r w:rsidR="0017543A" w:rsidRPr="00715891">
        <w:rPr>
          <w:sz w:val="22"/>
          <w:szCs w:val="22"/>
          <w:lang w:val="lt-LT" w:eastAsia="ja-JP"/>
        </w:rPr>
        <w:t xml:space="preserve">valgancikloviro </w:t>
      </w:r>
      <w:r w:rsidRPr="00715891">
        <w:rPr>
          <w:sz w:val="22"/>
          <w:szCs w:val="22"/>
          <w:lang w:val="lt-LT" w:eastAsia="ja-JP"/>
        </w:rPr>
        <w:t>perdozav</w:t>
      </w:r>
      <w:r w:rsidR="0017543A" w:rsidRPr="00715891">
        <w:rPr>
          <w:sz w:val="22"/>
          <w:szCs w:val="22"/>
          <w:lang w:val="lt-LT" w:eastAsia="ja-JP"/>
        </w:rPr>
        <w:t xml:space="preserve">imas galbūt </w:t>
      </w:r>
      <w:r w:rsidRPr="00715891">
        <w:rPr>
          <w:sz w:val="22"/>
          <w:szCs w:val="22"/>
          <w:lang w:val="lt-LT" w:eastAsia="ja-JP"/>
        </w:rPr>
        <w:t xml:space="preserve">galėtų </w:t>
      </w:r>
      <w:r w:rsidR="0017543A" w:rsidRPr="00715891">
        <w:rPr>
          <w:sz w:val="22"/>
          <w:szCs w:val="22"/>
          <w:lang w:val="lt-LT" w:eastAsia="ja-JP"/>
        </w:rPr>
        <w:t xml:space="preserve">sukelti didesnį toksinį poveikį inkstams </w:t>
      </w:r>
      <w:r w:rsidRPr="00715891">
        <w:rPr>
          <w:sz w:val="22"/>
          <w:szCs w:val="22"/>
          <w:lang w:val="lt-LT" w:eastAsia="ja-JP"/>
        </w:rPr>
        <w:t>(žr. 4.2 ir 4.4 skyrius).</w:t>
      </w:r>
    </w:p>
    <w:p w14:paraId="7263CEA1" w14:textId="77777777" w:rsidR="00647D10" w:rsidRPr="00715891" w:rsidRDefault="00647D10" w:rsidP="00647D10">
      <w:pPr>
        <w:rPr>
          <w:sz w:val="22"/>
          <w:szCs w:val="22"/>
          <w:lang w:val="lt-LT" w:eastAsia="ja-JP"/>
        </w:rPr>
      </w:pPr>
    </w:p>
    <w:p w14:paraId="79FAF50A" w14:textId="0492B5D4" w:rsidR="00647D10" w:rsidRPr="00715891" w:rsidRDefault="00647D10" w:rsidP="00647D10">
      <w:pPr>
        <w:rPr>
          <w:sz w:val="22"/>
          <w:szCs w:val="22"/>
          <w:lang w:val="lt-LT" w:eastAsia="ja-JP"/>
        </w:rPr>
      </w:pPr>
      <w:r w:rsidRPr="00715891">
        <w:rPr>
          <w:sz w:val="22"/>
          <w:szCs w:val="22"/>
          <w:lang w:val="lt-LT" w:eastAsia="ja-JP"/>
        </w:rPr>
        <w:t xml:space="preserve">Pranešimų apie į veną leidžiamo gancikloviro perdozavimą, </w:t>
      </w:r>
      <w:r w:rsidR="0017543A" w:rsidRPr="00715891">
        <w:rPr>
          <w:sz w:val="22"/>
          <w:szCs w:val="22"/>
          <w:lang w:val="lt-LT" w:eastAsia="ja-JP"/>
        </w:rPr>
        <w:t>keletu</w:t>
      </w:r>
      <w:r w:rsidRPr="00715891">
        <w:rPr>
          <w:sz w:val="22"/>
          <w:szCs w:val="22"/>
          <w:lang w:val="lt-LT" w:eastAsia="ja-JP"/>
        </w:rPr>
        <w:t xml:space="preserve"> atvej</w:t>
      </w:r>
      <w:r w:rsidR="0017543A" w:rsidRPr="00715891">
        <w:rPr>
          <w:sz w:val="22"/>
          <w:szCs w:val="22"/>
          <w:lang w:val="lt-LT" w:eastAsia="ja-JP"/>
        </w:rPr>
        <w:t>ų</w:t>
      </w:r>
      <w:r w:rsidRPr="00715891">
        <w:rPr>
          <w:sz w:val="22"/>
          <w:szCs w:val="22"/>
          <w:lang w:val="lt-LT" w:eastAsia="ja-JP"/>
        </w:rPr>
        <w:t xml:space="preserve"> pasibaigusį mirtimi, gauta atliekant klinikinius tyrimus ir vaist</w:t>
      </w:r>
      <w:r w:rsidR="0017543A" w:rsidRPr="00715891">
        <w:rPr>
          <w:sz w:val="22"/>
          <w:szCs w:val="22"/>
          <w:lang w:val="lt-LT" w:eastAsia="ja-JP"/>
        </w:rPr>
        <w:t>iniam preparatui jau esant rinkoje</w:t>
      </w:r>
      <w:r w:rsidRPr="00715891">
        <w:rPr>
          <w:sz w:val="22"/>
          <w:szCs w:val="22"/>
          <w:lang w:val="lt-LT" w:eastAsia="ja-JP"/>
        </w:rPr>
        <w:t xml:space="preserve">. </w:t>
      </w:r>
      <w:r w:rsidR="0017543A" w:rsidRPr="00715891">
        <w:rPr>
          <w:sz w:val="22"/>
          <w:szCs w:val="22"/>
          <w:lang w:val="lt-LT" w:eastAsia="ja-JP"/>
        </w:rPr>
        <w:t>Kai kuriais iš šių atvejų</w:t>
      </w:r>
      <w:r w:rsidRPr="00715891">
        <w:rPr>
          <w:sz w:val="22"/>
          <w:szCs w:val="22"/>
          <w:lang w:val="lt-LT" w:eastAsia="ja-JP"/>
        </w:rPr>
        <w:t xml:space="preserve"> </w:t>
      </w:r>
      <w:r w:rsidR="0017543A" w:rsidRPr="00715891">
        <w:rPr>
          <w:sz w:val="22"/>
          <w:szCs w:val="22"/>
          <w:lang w:val="lt-LT" w:eastAsia="ja-JP"/>
        </w:rPr>
        <w:t>nepageidaujamų reiškinių nepastebėta</w:t>
      </w:r>
      <w:r w:rsidRPr="00715891">
        <w:rPr>
          <w:sz w:val="22"/>
          <w:szCs w:val="22"/>
          <w:lang w:val="lt-LT" w:eastAsia="ja-JP"/>
        </w:rPr>
        <w:t xml:space="preserve">. Daugumai pacientų pasireiškė vienas ar daugiau iš toliau išvardytų </w:t>
      </w:r>
      <w:r w:rsidR="0017543A" w:rsidRPr="00715891">
        <w:rPr>
          <w:sz w:val="22"/>
          <w:szCs w:val="22"/>
          <w:lang w:val="lt-LT" w:eastAsia="ja-JP"/>
        </w:rPr>
        <w:t>nepageidaujamų</w:t>
      </w:r>
      <w:r w:rsidRPr="00715891">
        <w:rPr>
          <w:sz w:val="22"/>
          <w:szCs w:val="22"/>
          <w:lang w:val="lt-LT" w:eastAsia="ja-JP"/>
        </w:rPr>
        <w:t xml:space="preserve"> reiškinių:</w:t>
      </w:r>
    </w:p>
    <w:p w14:paraId="2B9778E5" w14:textId="63BA4910" w:rsidR="00647D10" w:rsidRPr="00715891" w:rsidRDefault="00647D10" w:rsidP="005B6B82">
      <w:pPr>
        <w:numPr>
          <w:ilvl w:val="0"/>
          <w:numId w:val="25"/>
        </w:numPr>
        <w:rPr>
          <w:sz w:val="22"/>
          <w:szCs w:val="22"/>
          <w:lang w:val="lt-LT" w:eastAsia="ja-JP"/>
        </w:rPr>
      </w:pPr>
      <w:r w:rsidRPr="00715891">
        <w:rPr>
          <w:i/>
          <w:sz w:val="22"/>
          <w:szCs w:val="22"/>
          <w:lang w:val="lt-LT" w:eastAsia="ja-JP"/>
        </w:rPr>
        <w:t>Toksinis poveikis kraujui:</w:t>
      </w:r>
      <w:r w:rsidRPr="00715891">
        <w:rPr>
          <w:rFonts w:eastAsia="Calibri"/>
          <w:sz w:val="22"/>
          <w:szCs w:val="22"/>
          <w:lang w:val="lt-LT" w:eastAsia="lt-LT"/>
        </w:rPr>
        <w:t xml:space="preserve"> </w:t>
      </w:r>
      <w:r w:rsidRPr="00715891">
        <w:rPr>
          <w:sz w:val="22"/>
          <w:szCs w:val="22"/>
          <w:lang w:val="lt-LT" w:eastAsia="ja-JP"/>
        </w:rPr>
        <w:t xml:space="preserve">kaulų čiulpų slopinimas, įskaitant pancitopeniją, kaulų čiulpų </w:t>
      </w:r>
      <w:r w:rsidR="009861A7" w:rsidRPr="00715891">
        <w:rPr>
          <w:sz w:val="22"/>
          <w:szCs w:val="22"/>
          <w:lang w:val="lt-LT" w:eastAsia="ja-JP"/>
        </w:rPr>
        <w:t>nepakankamumas</w:t>
      </w:r>
      <w:r w:rsidRPr="00715891">
        <w:rPr>
          <w:sz w:val="22"/>
          <w:szCs w:val="22"/>
          <w:lang w:val="lt-LT" w:eastAsia="ja-JP"/>
        </w:rPr>
        <w:t>, leukopenij</w:t>
      </w:r>
      <w:r w:rsidR="0017543A" w:rsidRPr="00715891">
        <w:rPr>
          <w:sz w:val="22"/>
          <w:szCs w:val="22"/>
          <w:lang w:val="lt-LT" w:eastAsia="ja-JP"/>
        </w:rPr>
        <w:t>ą</w:t>
      </w:r>
      <w:r w:rsidRPr="00715891">
        <w:rPr>
          <w:sz w:val="22"/>
          <w:szCs w:val="22"/>
          <w:lang w:val="lt-LT" w:eastAsia="ja-JP"/>
        </w:rPr>
        <w:t>, neutropenij</w:t>
      </w:r>
      <w:r w:rsidR="0017543A" w:rsidRPr="00715891">
        <w:rPr>
          <w:sz w:val="22"/>
          <w:szCs w:val="22"/>
          <w:lang w:val="lt-LT" w:eastAsia="ja-JP"/>
        </w:rPr>
        <w:t>ą</w:t>
      </w:r>
      <w:r w:rsidRPr="00715891">
        <w:rPr>
          <w:sz w:val="22"/>
          <w:szCs w:val="22"/>
          <w:lang w:val="lt-LT" w:eastAsia="ja-JP"/>
        </w:rPr>
        <w:t>, granulocitopenij</w:t>
      </w:r>
      <w:r w:rsidR="0017543A" w:rsidRPr="00715891">
        <w:rPr>
          <w:sz w:val="22"/>
          <w:szCs w:val="22"/>
          <w:lang w:val="lt-LT" w:eastAsia="ja-JP"/>
        </w:rPr>
        <w:t>ą</w:t>
      </w:r>
      <w:r w:rsidRPr="00715891">
        <w:rPr>
          <w:sz w:val="22"/>
          <w:szCs w:val="22"/>
          <w:lang w:val="lt-LT" w:eastAsia="ja-JP"/>
        </w:rPr>
        <w:t>.</w:t>
      </w:r>
    </w:p>
    <w:p w14:paraId="6D05B132" w14:textId="7C91DD13" w:rsidR="00647D10" w:rsidRPr="00715891" w:rsidRDefault="00647D10" w:rsidP="005B6B82">
      <w:pPr>
        <w:numPr>
          <w:ilvl w:val="0"/>
          <w:numId w:val="25"/>
        </w:numPr>
        <w:rPr>
          <w:sz w:val="22"/>
          <w:szCs w:val="22"/>
          <w:lang w:val="lt-LT" w:eastAsia="ja-JP"/>
        </w:rPr>
      </w:pPr>
      <w:r w:rsidRPr="00715891">
        <w:rPr>
          <w:i/>
          <w:sz w:val="22"/>
          <w:szCs w:val="22"/>
          <w:lang w:val="lt-LT" w:eastAsia="ja-JP"/>
        </w:rPr>
        <w:t>Toksinis poveikis kepenims</w:t>
      </w:r>
      <w:r w:rsidRPr="00715891">
        <w:rPr>
          <w:sz w:val="22"/>
          <w:szCs w:val="22"/>
          <w:lang w:val="lt-LT" w:eastAsia="ja-JP"/>
        </w:rPr>
        <w:t xml:space="preserve">: hepatitas, kepenų </w:t>
      </w:r>
      <w:r w:rsidR="0017543A" w:rsidRPr="00715891">
        <w:rPr>
          <w:sz w:val="22"/>
          <w:szCs w:val="22"/>
          <w:lang w:val="lt-LT" w:eastAsia="ja-JP"/>
        </w:rPr>
        <w:t>funkcijos</w:t>
      </w:r>
      <w:r w:rsidRPr="00715891">
        <w:rPr>
          <w:sz w:val="22"/>
          <w:szCs w:val="22"/>
          <w:lang w:val="lt-LT" w:eastAsia="ja-JP"/>
        </w:rPr>
        <w:t xml:space="preserve"> sutrikimas.</w:t>
      </w:r>
    </w:p>
    <w:p w14:paraId="0E6BBA5C" w14:textId="2A921B29" w:rsidR="00647D10" w:rsidRPr="00715891" w:rsidRDefault="00647D10" w:rsidP="005B6B82">
      <w:pPr>
        <w:numPr>
          <w:ilvl w:val="0"/>
          <w:numId w:val="25"/>
        </w:numPr>
        <w:rPr>
          <w:sz w:val="22"/>
          <w:szCs w:val="22"/>
          <w:lang w:val="lt-LT" w:eastAsia="ja-JP"/>
        </w:rPr>
      </w:pPr>
      <w:r w:rsidRPr="00715891">
        <w:rPr>
          <w:i/>
          <w:sz w:val="22"/>
          <w:szCs w:val="22"/>
          <w:lang w:val="lt-LT" w:eastAsia="ja-JP"/>
        </w:rPr>
        <w:t>Toksinis poveikis inkstams</w:t>
      </w:r>
      <w:r w:rsidRPr="00715891">
        <w:rPr>
          <w:sz w:val="22"/>
          <w:szCs w:val="22"/>
          <w:lang w:val="lt-LT" w:eastAsia="ja-JP"/>
        </w:rPr>
        <w:t xml:space="preserve">: </w:t>
      </w:r>
      <w:r w:rsidR="0017543A" w:rsidRPr="00715891">
        <w:rPr>
          <w:sz w:val="22"/>
          <w:szCs w:val="22"/>
          <w:lang w:val="lt-LT" w:eastAsia="ja-JP"/>
        </w:rPr>
        <w:t>hematurijos sustiprėjimas pacientams, kuriems iš anksčiau yra inkstų funkcijos sutrikimas</w:t>
      </w:r>
      <w:r w:rsidRPr="00715891">
        <w:rPr>
          <w:sz w:val="22"/>
          <w:szCs w:val="22"/>
          <w:lang w:val="lt-LT" w:eastAsia="ja-JP"/>
        </w:rPr>
        <w:t xml:space="preserve">, </w:t>
      </w:r>
      <w:r w:rsidR="009861A7" w:rsidRPr="00715891">
        <w:rPr>
          <w:sz w:val="22"/>
          <w:szCs w:val="22"/>
          <w:lang w:val="lt-LT" w:eastAsia="ja-JP"/>
        </w:rPr>
        <w:t>inkstų pažeidimas</w:t>
      </w:r>
      <w:r w:rsidRPr="00715891">
        <w:rPr>
          <w:sz w:val="22"/>
          <w:szCs w:val="22"/>
          <w:lang w:val="lt-LT" w:eastAsia="ja-JP"/>
        </w:rPr>
        <w:t xml:space="preserve">, kreatinino </w:t>
      </w:r>
      <w:r w:rsidR="0017543A" w:rsidRPr="00715891">
        <w:rPr>
          <w:sz w:val="22"/>
          <w:szCs w:val="22"/>
          <w:lang w:val="lt-LT" w:eastAsia="ja-JP"/>
        </w:rPr>
        <w:t>kiekio</w:t>
      </w:r>
      <w:r w:rsidRPr="00715891">
        <w:rPr>
          <w:sz w:val="22"/>
          <w:szCs w:val="22"/>
          <w:lang w:val="lt-LT" w:eastAsia="ja-JP"/>
        </w:rPr>
        <w:t xml:space="preserve"> padidėjimas.</w:t>
      </w:r>
    </w:p>
    <w:p w14:paraId="55D9242D" w14:textId="77777777" w:rsidR="00647D10" w:rsidRPr="00715891" w:rsidRDefault="00647D10" w:rsidP="005B6B82">
      <w:pPr>
        <w:numPr>
          <w:ilvl w:val="0"/>
          <w:numId w:val="25"/>
        </w:numPr>
        <w:rPr>
          <w:sz w:val="22"/>
          <w:szCs w:val="22"/>
          <w:lang w:val="lt-LT" w:eastAsia="ja-JP"/>
        </w:rPr>
      </w:pPr>
      <w:r w:rsidRPr="00715891">
        <w:rPr>
          <w:i/>
          <w:sz w:val="22"/>
          <w:szCs w:val="22"/>
          <w:lang w:val="lt-LT" w:eastAsia="ja-JP"/>
        </w:rPr>
        <w:t>Toksinis poveikis virškinimo traktui</w:t>
      </w:r>
      <w:r w:rsidRPr="00715891">
        <w:rPr>
          <w:sz w:val="22"/>
          <w:szCs w:val="22"/>
          <w:lang w:val="lt-LT" w:eastAsia="ja-JP"/>
        </w:rPr>
        <w:t>: pilvo skausmas, viduriavimas, vėmimas.</w:t>
      </w:r>
    </w:p>
    <w:p w14:paraId="064DBA80" w14:textId="4228C2CB" w:rsidR="00647D10" w:rsidRPr="00715891" w:rsidRDefault="00647D10" w:rsidP="005B6B82">
      <w:pPr>
        <w:numPr>
          <w:ilvl w:val="0"/>
          <w:numId w:val="25"/>
        </w:numPr>
        <w:rPr>
          <w:sz w:val="22"/>
          <w:szCs w:val="22"/>
          <w:lang w:val="lt-LT" w:eastAsia="ja-JP"/>
        </w:rPr>
      </w:pPr>
      <w:r w:rsidRPr="00715891">
        <w:rPr>
          <w:i/>
          <w:sz w:val="22"/>
          <w:szCs w:val="22"/>
          <w:lang w:val="lt-LT" w:eastAsia="ja-JP"/>
        </w:rPr>
        <w:t>Toksinis poveikis nervų sistemai</w:t>
      </w:r>
      <w:r w:rsidRPr="00715891">
        <w:rPr>
          <w:sz w:val="22"/>
          <w:szCs w:val="22"/>
          <w:lang w:val="lt-LT" w:eastAsia="ja-JP"/>
        </w:rPr>
        <w:t xml:space="preserve">: išplitęs </w:t>
      </w:r>
      <w:r w:rsidR="0017543A" w:rsidRPr="00715891">
        <w:rPr>
          <w:sz w:val="22"/>
          <w:szCs w:val="22"/>
          <w:lang w:val="lt-LT" w:eastAsia="ja-JP"/>
        </w:rPr>
        <w:t>d</w:t>
      </w:r>
      <w:r w:rsidR="00F67D86" w:rsidRPr="00715891">
        <w:rPr>
          <w:sz w:val="22"/>
          <w:szCs w:val="22"/>
          <w:lang w:val="lt-LT" w:eastAsia="ja-JP"/>
        </w:rPr>
        <w:t>re</w:t>
      </w:r>
      <w:r w:rsidR="0017543A" w:rsidRPr="00715891">
        <w:rPr>
          <w:sz w:val="22"/>
          <w:szCs w:val="22"/>
          <w:lang w:val="lt-LT" w:eastAsia="ja-JP"/>
        </w:rPr>
        <w:t>bulys</w:t>
      </w:r>
      <w:r w:rsidRPr="00715891">
        <w:rPr>
          <w:sz w:val="22"/>
          <w:szCs w:val="22"/>
          <w:lang w:val="lt-LT" w:eastAsia="ja-JP"/>
        </w:rPr>
        <w:t>, traukuliai.</w:t>
      </w:r>
    </w:p>
    <w:p w14:paraId="6EF88668" w14:textId="77777777" w:rsidR="00647D10" w:rsidRPr="00715891" w:rsidRDefault="00647D10" w:rsidP="0017543A">
      <w:pPr>
        <w:rPr>
          <w:sz w:val="22"/>
          <w:szCs w:val="22"/>
          <w:lang w:val="lt-LT" w:eastAsia="ja-JP"/>
        </w:rPr>
      </w:pPr>
    </w:p>
    <w:p w14:paraId="4F492FAD" w14:textId="77777777" w:rsidR="00647D10" w:rsidRPr="00715891" w:rsidRDefault="00647D10" w:rsidP="00F8172D">
      <w:pPr>
        <w:rPr>
          <w:sz w:val="22"/>
          <w:szCs w:val="22"/>
          <w:lang w:val="lt-LT" w:eastAsia="ja-JP"/>
        </w:rPr>
      </w:pPr>
      <w:r w:rsidRPr="00715891">
        <w:rPr>
          <w:sz w:val="22"/>
          <w:szCs w:val="22"/>
          <w:lang w:val="lt-LT" w:eastAsia="ja-JP"/>
        </w:rPr>
        <w:t>P</w:t>
      </w:r>
      <w:r w:rsidR="00F8172D" w:rsidRPr="00715891">
        <w:rPr>
          <w:sz w:val="22"/>
          <w:szCs w:val="22"/>
          <w:lang w:val="lt-LT" w:eastAsia="ja-JP"/>
        </w:rPr>
        <w:t xml:space="preserve">acientams, kurie </w:t>
      </w:r>
      <w:r w:rsidR="000F5337" w:rsidRPr="00715891">
        <w:rPr>
          <w:sz w:val="22"/>
          <w:szCs w:val="22"/>
          <w:lang w:val="lt-LT" w:eastAsia="ja-JP"/>
        </w:rPr>
        <w:t>perdozavo</w:t>
      </w:r>
      <w:r w:rsidR="00F8172D" w:rsidRPr="00715891">
        <w:rPr>
          <w:sz w:val="22"/>
          <w:szCs w:val="22"/>
          <w:lang w:val="lt-LT" w:eastAsia="ja-JP"/>
        </w:rPr>
        <w:t xml:space="preserve"> valgancikloviro, jo kiekiui</w:t>
      </w:r>
      <w:r w:rsidRPr="00715891">
        <w:rPr>
          <w:sz w:val="22"/>
          <w:szCs w:val="22"/>
          <w:lang w:val="lt-LT" w:eastAsia="ja-JP"/>
        </w:rPr>
        <w:t xml:space="preserve"> kraujo plazmoje sumažinti </w:t>
      </w:r>
      <w:r w:rsidR="00F8172D" w:rsidRPr="00715891">
        <w:rPr>
          <w:sz w:val="22"/>
          <w:szCs w:val="22"/>
          <w:lang w:val="lt-LT" w:eastAsia="ja-JP"/>
        </w:rPr>
        <w:t xml:space="preserve">gali būti naudinga </w:t>
      </w:r>
      <w:r w:rsidRPr="00715891">
        <w:rPr>
          <w:sz w:val="22"/>
          <w:szCs w:val="22"/>
          <w:lang w:val="lt-LT" w:eastAsia="ja-JP"/>
        </w:rPr>
        <w:t>hemodializė ir hidra</w:t>
      </w:r>
      <w:r w:rsidR="00F8172D" w:rsidRPr="00715891">
        <w:rPr>
          <w:sz w:val="22"/>
          <w:szCs w:val="22"/>
          <w:lang w:val="lt-LT" w:eastAsia="ja-JP"/>
        </w:rPr>
        <w:t>ta</w:t>
      </w:r>
      <w:r w:rsidRPr="00715891">
        <w:rPr>
          <w:sz w:val="22"/>
          <w:szCs w:val="22"/>
          <w:lang w:val="lt-LT" w:eastAsia="ja-JP"/>
        </w:rPr>
        <w:t>cija (žr. 5.2 skyrių).</w:t>
      </w:r>
    </w:p>
    <w:p w14:paraId="77646A7C" w14:textId="77777777" w:rsidR="00107519" w:rsidRPr="00715891" w:rsidRDefault="00107519" w:rsidP="00107519">
      <w:pPr>
        <w:rPr>
          <w:sz w:val="22"/>
          <w:szCs w:val="22"/>
          <w:lang w:val="lt-LT" w:eastAsia="ja-JP"/>
        </w:rPr>
      </w:pPr>
    </w:p>
    <w:p w14:paraId="6256069D" w14:textId="77777777" w:rsidR="00107519" w:rsidRPr="00715891" w:rsidRDefault="00107519" w:rsidP="00107519">
      <w:pPr>
        <w:rPr>
          <w:sz w:val="22"/>
          <w:szCs w:val="22"/>
          <w:lang w:val="lt-LT" w:eastAsia="ja-JP"/>
        </w:rPr>
      </w:pPr>
    </w:p>
    <w:p w14:paraId="1948A0B6" w14:textId="77777777" w:rsidR="00107519" w:rsidRPr="00715891" w:rsidRDefault="00107519" w:rsidP="00107519">
      <w:pPr>
        <w:ind w:left="567" w:hanging="567"/>
        <w:outlineLvl w:val="0"/>
        <w:rPr>
          <w:b/>
          <w:caps/>
          <w:kern w:val="28"/>
          <w:sz w:val="22"/>
          <w:szCs w:val="22"/>
          <w:lang w:val="lt-LT" w:eastAsia="ja-JP"/>
        </w:rPr>
      </w:pPr>
      <w:r w:rsidRPr="00715891">
        <w:rPr>
          <w:b/>
          <w:caps/>
          <w:kern w:val="28"/>
          <w:sz w:val="22"/>
          <w:szCs w:val="22"/>
          <w:lang w:val="lt-LT" w:eastAsia="ja-JP"/>
        </w:rPr>
        <w:t>5.</w:t>
      </w:r>
      <w:r w:rsidRPr="00715891">
        <w:rPr>
          <w:b/>
          <w:caps/>
          <w:kern w:val="28"/>
          <w:sz w:val="22"/>
          <w:szCs w:val="22"/>
          <w:lang w:val="lt-LT" w:eastAsia="ja-JP"/>
        </w:rPr>
        <w:tab/>
      </w:r>
      <w:r w:rsidRPr="00715891">
        <w:rPr>
          <w:b/>
          <w:kern w:val="28"/>
          <w:sz w:val="22"/>
          <w:szCs w:val="22"/>
          <w:lang w:val="lt-LT" w:eastAsia="ja-JP"/>
        </w:rPr>
        <w:t>FARMAKOLOGINĖS SAVYBĖS</w:t>
      </w:r>
    </w:p>
    <w:p w14:paraId="124A1A45" w14:textId="77777777" w:rsidR="00107519" w:rsidRPr="00715891" w:rsidRDefault="00107519" w:rsidP="00107519">
      <w:pPr>
        <w:rPr>
          <w:b/>
          <w:sz w:val="22"/>
          <w:szCs w:val="22"/>
          <w:lang w:val="lt-LT" w:eastAsia="ja-JP"/>
        </w:rPr>
      </w:pPr>
    </w:p>
    <w:p w14:paraId="3FDE8CBA" w14:textId="77777777" w:rsidR="00107519" w:rsidRPr="00715891" w:rsidRDefault="00107519" w:rsidP="00107519">
      <w:pPr>
        <w:ind w:left="567" w:hanging="567"/>
        <w:outlineLvl w:val="1"/>
        <w:rPr>
          <w:b/>
          <w:kern w:val="28"/>
          <w:sz w:val="22"/>
          <w:szCs w:val="22"/>
          <w:lang w:val="lt-LT" w:eastAsia="ja-JP"/>
        </w:rPr>
      </w:pPr>
      <w:r w:rsidRPr="00715891">
        <w:rPr>
          <w:b/>
          <w:kern w:val="28"/>
          <w:sz w:val="22"/>
          <w:szCs w:val="22"/>
          <w:lang w:val="lt-LT" w:eastAsia="ja-JP"/>
        </w:rPr>
        <w:t>5.1</w:t>
      </w:r>
      <w:r w:rsidRPr="00715891">
        <w:rPr>
          <w:b/>
          <w:kern w:val="28"/>
          <w:sz w:val="22"/>
          <w:szCs w:val="22"/>
          <w:lang w:val="lt-LT" w:eastAsia="ja-JP"/>
        </w:rPr>
        <w:tab/>
        <w:t>Farmakodinaminės savybės</w:t>
      </w:r>
    </w:p>
    <w:p w14:paraId="57C9963B" w14:textId="77777777" w:rsidR="00107519" w:rsidRPr="00715891" w:rsidRDefault="00107519" w:rsidP="00107519">
      <w:pPr>
        <w:rPr>
          <w:sz w:val="22"/>
          <w:szCs w:val="22"/>
          <w:lang w:val="lt-LT" w:eastAsia="ja-JP"/>
        </w:rPr>
      </w:pPr>
    </w:p>
    <w:p w14:paraId="6B954D64" w14:textId="50C6C326" w:rsidR="00107519" w:rsidRPr="00715891" w:rsidRDefault="00107519" w:rsidP="00107519">
      <w:pPr>
        <w:rPr>
          <w:sz w:val="22"/>
          <w:szCs w:val="22"/>
          <w:lang w:val="lt-LT" w:eastAsia="ja-JP"/>
        </w:rPr>
      </w:pPr>
      <w:r w:rsidRPr="00715891">
        <w:rPr>
          <w:sz w:val="22"/>
          <w:szCs w:val="22"/>
          <w:lang w:val="lt-LT" w:eastAsia="ja-JP"/>
        </w:rPr>
        <w:t>Farmakoterapinė grupė – sisteminio poveikio antivirusiniai vaist</w:t>
      </w:r>
      <w:r w:rsidR="00B957C0" w:rsidRPr="00715891">
        <w:rPr>
          <w:sz w:val="22"/>
          <w:szCs w:val="22"/>
          <w:lang w:val="lt-LT" w:eastAsia="ja-JP"/>
        </w:rPr>
        <w:t>ini</w:t>
      </w:r>
      <w:r w:rsidRPr="00715891">
        <w:rPr>
          <w:sz w:val="22"/>
          <w:szCs w:val="22"/>
          <w:lang w:val="lt-LT" w:eastAsia="ja-JP"/>
        </w:rPr>
        <w:t>ai</w:t>
      </w:r>
      <w:r w:rsidR="00B957C0" w:rsidRPr="00715891">
        <w:rPr>
          <w:sz w:val="22"/>
          <w:szCs w:val="22"/>
          <w:lang w:val="lt-LT" w:eastAsia="ja-JP"/>
        </w:rPr>
        <w:t xml:space="preserve"> preparatai</w:t>
      </w:r>
      <w:r w:rsidRPr="00715891">
        <w:rPr>
          <w:sz w:val="22"/>
          <w:szCs w:val="22"/>
          <w:lang w:val="lt-LT" w:eastAsia="ja-JP"/>
        </w:rPr>
        <w:t>, nukleozidai ir nukleotidai, išskyrus atvirkštinės transkriptazės inhibitorius, ATC kodas – J05AB14.</w:t>
      </w:r>
    </w:p>
    <w:p w14:paraId="59C6EE1C" w14:textId="77777777" w:rsidR="00107519" w:rsidRPr="00715891" w:rsidRDefault="00107519" w:rsidP="00107519">
      <w:pPr>
        <w:rPr>
          <w:sz w:val="22"/>
          <w:szCs w:val="22"/>
          <w:u w:val="single"/>
          <w:lang w:val="lt-LT" w:eastAsia="ja-JP"/>
        </w:rPr>
      </w:pPr>
    </w:p>
    <w:p w14:paraId="3FA9A0E2" w14:textId="77777777" w:rsidR="00107519" w:rsidRPr="00715891" w:rsidRDefault="00107519" w:rsidP="00107519">
      <w:pPr>
        <w:rPr>
          <w:sz w:val="22"/>
          <w:szCs w:val="22"/>
          <w:u w:val="single"/>
          <w:lang w:val="lt-LT" w:eastAsia="ja-JP"/>
        </w:rPr>
      </w:pPr>
      <w:r w:rsidRPr="00715891">
        <w:rPr>
          <w:sz w:val="22"/>
          <w:szCs w:val="22"/>
          <w:u w:val="single"/>
          <w:lang w:val="lt-LT" w:eastAsia="ja-JP"/>
        </w:rPr>
        <w:t>Veikimo mechanizmas</w:t>
      </w:r>
    </w:p>
    <w:p w14:paraId="698DC97A" w14:textId="77777777" w:rsidR="00107519" w:rsidRPr="00715891" w:rsidRDefault="00107519" w:rsidP="00107519">
      <w:pPr>
        <w:rPr>
          <w:sz w:val="22"/>
          <w:szCs w:val="22"/>
          <w:u w:val="single"/>
          <w:lang w:val="lt-LT" w:eastAsia="ja-JP"/>
        </w:rPr>
      </w:pPr>
    </w:p>
    <w:p w14:paraId="7F77432E" w14:textId="1B084628" w:rsidR="00107519" w:rsidRPr="00715891" w:rsidRDefault="00107519" w:rsidP="00107519">
      <w:pPr>
        <w:rPr>
          <w:i/>
          <w:sz w:val="22"/>
          <w:szCs w:val="22"/>
          <w:u w:val="single"/>
          <w:lang w:val="lt-LT" w:eastAsia="ja-JP"/>
        </w:rPr>
      </w:pPr>
      <w:r w:rsidRPr="00715891">
        <w:rPr>
          <w:sz w:val="22"/>
          <w:szCs w:val="22"/>
          <w:lang w:val="lt-LT" w:eastAsia="ja-JP"/>
        </w:rPr>
        <w:t>Valgancikloviras yra gancikloviro L-valilo esteris (vaist</w:t>
      </w:r>
      <w:r w:rsidR="00B957C0" w:rsidRPr="00715891">
        <w:rPr>
          <w:sz w:val="22"/>
          <w:szCs w:val="22"/>
          <w:lang w:val="lt-LT" w:eastAsia="ja-JP"/>
        </w:rPr>
        <w:t>ini</w:t>
      </w:r>
      <w:r w:rsidRPr="00715891">
        <w:rPr>
          <w:sz w:val="22"/>
          <w:szCs w:val="22"/>
          <w:lang w:val="lt-LT" w:eastAsia="ja-JP"/>
        </w:rPr>
        <w:t>o</w:t>
      </w:r>
      <w:r w:rsidR="00B957C0" w:rsidRPr="00715891">
        <w:rPr>
          <w:sz w:val="22"/>
          <w:szCs w:val="22"/>
          <w:lang w:val="lt-LT" w:eastAsia="ja-JP"/>
        </w:rPr>
        <w:t xml:space="preserve"> preparato</w:t>
      </w:r>
      <w:r w:rsidRPr="00715891">
        <w:rPr>
          <w:sz w:val="22"/>
          <w:szCs w:val="22"/>
          <w:lang w:val="lt-LT" w:eastAsia="ja-JP"/>
        </w:rPr>
        <w:t xml:space="preserve"> pirmtakas). Išgertą valganciklovirą žarnų ir kepenų esterazės greitai ir ekstensyviai metabolizuoja į ganciklovirą. Gancikloviras yra sintetinis 2’-deoksiguanozino analogas; </w:t>
      </w:r>
      <w:r w:rsidRPr="00715891">
        <w:rPr>
          <w:i/>
          <w:sz w:val="22"/>
          <w:szCs w:val="22"/>
          <w:lang w:val="lt-LT" w:eastAsia="ja-JP"/>
        </w:rPr>
        <w:t>in vitro</w:t>
      </w:r>
      <w:r w:rsidRPr="00715891">
        <w:rPr>
          <w:sz w:val="22"/>
          <w:szCs w:val="22"/>
          <w:lang w:val="lt-LT" w:eastAsia="ja-JP"/>
        </w:rPr>
        <w:t xml:space="preserve"> ir </w:t>
      </w:r>
      <w:r w:rsidRPr="00715891">
        <w:rPr>
          <w:i/>
          <w:sz w:val="22"/>
          <w:szCs w:val="22"/>
          <w:lang w:val="lt-LT" w:eastAsia="ja-JP"/>
        </w:rPr>
        <w:t>in vivo</w:t>
      </w:r>
      <w:r w:rsidRPr="00715891">
        <w:rPr>
          <w:sz w:val="22"/>
          <w:szCs w:val="22"/>
          <w:lang w:val="lt-LT" w:eastAsia="ja-JP"/>
        </w:rPr>
        <w:t xml:space="preserve"> jis slopina pūslelinės (herpes) virusų replikaciją. Jam jautrūs šie žmonių virusai: žmogaus citomegalovirusas (HCMV), paprastosios pūslelinės 1 tipo ir 2 tipo virusas (HSV-1 ir HSV-2), žmogaus pūslelinės 6</w:t>
      </w:r>
      <w:r w:rsidR="00F706F6" w:rsidRPr="00715891">
        <w:rPr>
          <w:sz w:val="22"/>
          <w:szCs w:val="22"/>
          <w:lang w:val="lt-LT" w:eastAsia="ja-JP"/>
        </w:rPr>
        <w:t> </w:t>
      </w:r>
      <w:r w:rsidRPr="00715891">
        <w:rPr>
          <w:sz w:val="22"/>
          <w:szCs w:val="22"/>
          <w:lang w:val="lt-LT" w:eastAsia="ja-JP"/>
        </w:rPr>
        <w:t>tipo, 7</w:t>
      </w:r>
      <w:r w:rsidR="00F706F6" w:rsidRPr="00715891">
        <w:rPr>
          <w:sz w:val="22"/>
          <w:szCs w:val="22"/>
          <w:lang w:val="lt-LT" w:eastAsia="ja-JP"/>
        </w:rPr>
        <w:t> </w:t>
      </w:r>
      <w:r w:rsidRPr="00715891">
        <w:rPr>
          <w:sz w:val="22"/>
          <w:szCs w:val="22"/>
          <w:lang w:val="lt-LT" w:eastAsia="ja-JP"/>
        </w:rPr>
        <w:t>tipo ir 8</w:t>
      </w:r>
      <w:r w:rsidR="00F706F6" w:rsidRPr="00715891">
        <w:rPr>
          <w:sz w:val="22"/>
          <w:szCs w:val="22"/>
          <w:lang w:val="lt-LT" w:eastAsia="ja-JP"/>
        </w:rPr>
        <w:t> </w:t>
      </w:r>
      <w:r w:rsidRPr="00715891">
        <w:rPr>
          <w:sz w:val="22"/>
          <w:szCs w:val="22"/>
          <w:lang w:val="lt-LT" w:eastAsia="ja-JP"/>
        </w:rPr>
        <w:t xml:space="preserve">tipo virusas (HHV-6, HHV-7, HHV-8), Epstein-Barr virusas (EBV), juostinės pūslelinės virusas (VZV) ir hepatito B virusas (HBV). </w:t>
      </w:r>
    </w:p>
    <w:p w14:paraId="1D593133" w14:textId="77777777" w:rsidR="00107519" w:rsidRPr="00715891" w:rsidRDefault="00107519" w:rsidP="00107519">
      <w:pPr>
        <w:rPr>
          <w:sz w:val="22"/>
          <w:szCs w:val="22"/>
          <w:lang w:val="lt-LT" w:eastAsia="ja-JP"/>
        </w:rPr>
      </w:pPr>
    </w:p>
    <w:p w14:paraId="01C1442D" w14:textId="49565D08" w:rsidR="00107519" w:rsidRPr="00715891" w:rsidRDefault="00107519" w:rsidP="00107519">
      <w:pPr>
        <w:rPr>
          <w:sz w:val="22"/>
          <w:szCs w:val="22"/>
          <w:lang w:val="lt-LT" w:eastAsia="ja-JP"/>
        </w:rPr>
      </w:pPr>
      <w:r w:rsidRPr="00715891">
        <w:rPr>
          <w:sz w:val="22"/>
          <w:szCs w:val="22"/>
          <w:lang w:val="lt-LT" w:eastAsia="ja-JP"/>
        </w:rPr>
        <w:t xml:space="preserve">CMV infekuotose ląstelėse virusų proteinkinazė pUL97 iš pradžių ganciklovirą fosforilina į gancikloviro monofosfatą. Toliau jį fosforilina ląstelių kinazės į gancikloviro trifosfatą, kuris paskui ląstelėse lėtai metabolizuojamas. Nustatyta, kad </w:t>
      </w:r>
      <w:r w:rsidRPr="00715891">
        <w:rPr>
          <w:snapToGrid w:val="0"/>
          <w:sz w:val="22"/>
          <w:szCs w:val="22"/>
          <w:lang w:val="lt-LT" w:eastAsia="ja-JP"/>
        </w:rPr>
        <w:t xml:space="preserve">vykstant </w:t>
      </w:r>
      <w:r w:rsidRPr="00715891">
        <w:rPr>
          <w:sz w:val="22"/>
          <w:szCs w:val="22"/>
          <w:lang w:val="lt-LT" w:eastAsia="ja-JP"/>
        </w:rPr>
        <w:t>gancikloviro trifosfato</w:t>
      </w:r>
      <w:r w:rsidRPr="00715891">
        <w:rPr>
          <w:snapToGrid w:val="0"/>
          <w:sz w:val="22"/>
          <w:szCs w:val="22"/>
          <w:lang w:val="lt-LT" w:eastAsia="ja-JP"/>
        </w:rPr>
        <w:t xml:space="preserve"> metabolizmui HSV ir HCMV infekuotose ląstelėse jo pusinės eliminacijos periodas yra atitinkamai 18</w:t>
      </w:r>
      <w:r w:rsidR="00F706F6" w:rsidRPr="00715891">
        <w:rPr>
          <w:snapToGrid w:val="0"/>
          <w:sz w:val="22"/>
          <w:szCs w:val="22"/>
          <w:lang w:val="lt-LT" w:eastAsia="ja-JP"/>
        </w:rPr>
        <w:t> </w:t>
      </w:r>
      <w:r w:rsidRPr="00715891">
        <w:rPr>
          <w:snapToGrid w:val="0"/>
          <w:sz w:val="22"/>
          <w:szCs w:val="22"/>
          <w:lang w:val="lt-LT" w:eastAsia="ja-JP"/>
        </w:rPr>
        <w:t>valandų ir nuo 6 iki 24</w:t>
      </w:r>
      <w:r w:rsidR="00F706F6" w:rsidRPr="00715891">
        <w:rPr>
          <w:snapToGrid w:val="0"/>
          <w:sz w:val="22"/>
          <w:szCs w:val="22"/>
          <w:lang w:val="lt-LT" w:eastAsia="ja-JP"/>
        </w:rPr>
        <w:t> </w:t>
      </w:r>
      <w:r w:rsidRPr="00715891">
        <w:rPr>
          <w:snapToGrid w:val="0"/>
          <w:sz w:val="22"/>
          <w:szCs w:val="22"/>
          <w:lang w:val="lt-LT" w:eastAsia="ja-JP"/>
        </w:rPr>
        <w:t>valandų po gancikloviro pašalinimo iš tarpląstelinio tarpo</w:t>
      </w:r>
      <w:r w:rsidRPr="00715891">
        <w:rPr>
          <w:sz w:val="22"/>
          <w:szCs w:val="22"/>
          <w:lang w:val="lt-LT" w:eastAsia="ja-JP"/>
        </w:rPr>
        <w:t>. Kadangi fosforilinimas daugiausia priklauso nuo virusų kinazės, gancikloviras pirmiausiai fosforilinamas virusų infekuotose ląstelėse.</w:t>
      </w:r>
    </w:p>
    <w:p w14:paraId="6E61333C" w14:textId="77777777" w:rsidR="00107519" w:rsidRPr="00715891" w:rsidRDefault="00107519" w:rsidP="00107519">
      <w:pPr>
        <w:rPr>
          <w:sz w:val="22"/>
          <w:szCs w:val="22"/>
          <w:lang w:val="lt-LT" w:eastAsia="ja-JP"/>
        </w:rPr>
      </w:pPr>
    </w:p>
    <w:p w14:paraId="21F76A2E" w14:textId="77777777" w:rsidR="00107519" w:rsidRPr="00715891" w:rsidRDefault="00107519" w:rsidP="00107519">
      <w:pPr>
        <w:rPr>
          <w:sz w:val="22"/>
          <w:szCs w:val="22"/>
          <w:lang w:val="lt-LT" w:eastAsia="ja-JP"/>
        </w:rPr>
      </w:pPr>
      <w:r w:rsidRPr="00715891">
        <w:rPr>
          <w:sz w:val="22"/>
          <w:szCs w:val="22"/>
          <w:lang w:val="lt-LT" w:eastAsia="ja-JP"/>
        </w:rPr>
        <w:t xml:space="preserve">Gancikloviras veikia virusus slopindamas jų DNR sintezę. Tai vyksta tokiu būdu: a) konkurenciškai slopinamas viruso DNR polimerazės atliekamas deoksiguanozino trifosfato įjungimas į DNR, b) gancikloviro trifosfatas įsijungia į viruso DNR, dėl to nutrūksta viruso DNR ilgėjimas (elongacija) arba jis vyksta labai ribotai. </w:t>
      </w:r>
    </w:p>
    <w:p w14:paraId="2BB127FA" w14:textId="77777777" w:rsidR="00107519" w:rsidRPr="00715891" w:rsidRDefault="00107519" w:rsidP="00107519">
      <w:pPr>
        <w:rPr>
          <w:sz w:val="22"/>
          <w:szCs w:val="22"/>
          <w:lang w:val="lt-LT" w:eastAsia="ja-JP"/>
        </w:rPr>
      </w:pPr>
    </w:p>
    <w:p w14:paraId="46575D50" w14:textId="77777777" w:rsidR="00107519" w:rsidRPr="00715891" w:rsidRDefault="00107519" w:rsidP="00107519">
      <w:pPr>
        <w:rPr>
          <w:sz w:val="22"/>
          <w:szCs w:val="22"/>
          <w:u w:val="single"/>
          <w:lang w:val="lt-LT" w:eastAsia="ja-JP"/>
        </w:rPr>
      </w:pPr>
      <w:r w:rsidRPr="00715891">
        <w:rPr>
          <w:sz w:val="22"/>
          <w:szCs w:val="22"/>
          <w:u w:val="single"/>
          <w:lang w:val="lt-LT" w:eastAsia="ja-JP"/>
        </w:rPr>
        <w:t>Antivirusinis veiksmingumas</w:t>
      </w:r>
    </w:p>
    <w:p w14:paraId="20A3A872" w14:textId="77777777" w:rsidR="00107519" w:rsidRPr="00715891" w:rsidRDefault="00107519" w:rsidP="00107519">
      <w:pPr>
        <w:rPr>
          <w:sz w:val="22"/>
          <w:szCs w:val="22"/>
          <w:lang w:val="lt-LT" w:eastAsia="ja-JP"/>
        </w:rPr>
      </w:pPr>
      <w:r w:rsidRPr="00715891">
        <w:rPr>
          <w:i/>
          <w:sz w:val="22"/>
          <w:szCs w:val="22"/>
          <w:lang w:val="lt-LT" w:eastAsia="ja-JP"/>
        </w:rPr>
        <w:t>In vitro</w:t>
      </w:r>
      <w:r w:rsidRPr="00715891">
        <w:rPr>
          <w:sz w:val="22"/>
          <w:szCs w:val="22"/>
          <w:lang w:val="lt-LT" w:eastAsia="ja-JP"/>
        </w:rPr>
        <w:t xml:space="preserve"> gancikloviro antivirusinis veiksmingumas vertinant pagal IC</w:t>
      </w:r>
      <w:r w:rsidRPr="00715891">
        <w:rPr>
          <w:sz w:val="22"/>
          <w:szCs w:val="22"/>
          <w:vertAlign w:val="subscript"/>
          <w:lang w:val="lt-LT" w:eastAsia="ja-JP"/>
        </w:rPr>
        <w:t>50</w:t>
      </w:r>
      <w:r w:rsidRPr="00715891">
        <w:rPr>
          <w:sz w:val="22"/>
          <w:szCs w:val="22"/>
          <w:lang w:val="lt-LT" w:eastAsia="ja-JP"/>
        </w:rPr>
        <w:t xml:space="preserve"> CMV atžvilgiu svyruoja nuo </w:t>
      </w:r>
      <w:r w:rsidRPr="00715891">
        <w:rPr>
          <w:snapToGrid w:val="0"/>
          <w:sz w:val="22"/>
          <w:szCs w:val="22"/>
          <w:lang w:val="lt-LT" w:eastAsia="ja-JP"/>
        </w:rPr>
        <w:t>0,08 </w:t>
      </w:r>
      <w:r w:rsidRPr="00715891">
        <w:rPr>
          <w:snapToGrid w:val="0"/>
          <w:sz w:val="22"/>
          <w:szCs w:val="22"/>
          <w:lang w:val="lt-LT" w:eastAsia="ja-JP"/>
        </w:rPr>
        <w:sym w:font="Symbol" w:char="F06D"/>
      </w:r>
      <w:r w:rsidRPr="00715891">
        <w:rPr>
          <w:snapToGrid w:val="0"/>
          <w:sz w:val="22"/>
          <w:szCs w:val="22"/>
          <w:lang w:val="lt-LT" w:eastAsia="ja-JP"/>
        </w:rPr>
        <w:t>M (0,02 </w:t>
      </w:r>
      <w:r w:rsidRPr="00715891">
        <w:rPr>
          <w:snapToGrid w:val="0"/>
          <w:sz w:val="22"/>
          <w:szCs w:val="22"/>
          <w:lang w:val="lt-LT" w:eastAsia="ja-JP"/>
        </w:rPr>
        <w:sym w:font="Symbol" w:char="F06D"/>
      </w:r>
      <w:r w:rsidRPr="00715891">
        <w:rPr>
          <w:snapToGrid w:val="0"/>
          <w:sz w:val="22"/>
          <w:szCs w:val="22"/>
          <w:lang w:val="lt-LT" w:eastAsia="ja-JP"/>
        </w:rPr>
        <w:t>g/ml) iki 14 </w:t>
      </w:r>
      <w:r w:rsidRPr="00715891">
        <w:rPr>
          <w:snapToGrid w:val="0"/>
          <w:sz w:val="22"/>
          <w:szCs w:val="22"/>
          <w:lang w:val="lt-LT" w:eastAsia="ja-JP"/>
        </w:rPr>
        <w:sym w:font="Symbol" w:char="F06D"/>
      </w:r>
      <w:r w:rsidRPr="00715891">
        <w:rPr>
          <w:snapToGrid w:val="0"/>
          <w:sz w:val="22"/>
          <w:szCs w:val="22"/>
          <w:lang w:val="lt-LT" w:eastAsia="ja-JP"/>
        </w:rPr>
        <w:t>M (3,5 </w:t>
      </w:r>
      <w:r w:rsidRPr="00715891">
        <w:rPr>
          <w:snapToGrid w:val="0"/>
          <w:sz w:val="22"/>
          <w:szCs w:val="22"/>
          <w:lang w:val="lt-LT" w:eastAsia="ja-JP"/>
        </w:rPr>
        <w:sym w:font="Symbol" w:char="F06D"/>
      </w:r>
      <w:r w:rsidRPr="00715891">
        <w:rPr>
          <w:snapToGrid w:val="0"/>
          <w:sz w:val="22"/>
          <w:szCs w:val="22"/>
          <w:lang w:val="lt-LT" w:eastAsia="ja-JP"/>
        </w:rPr>
        <w:t>g/ml)</w:t>
      </w:r>
      <w:r w:rsidRPr="00715891">
        <w:rPr>
          <w:sz w:val="22"/>
          <w:szCs w:val="22"/>
          <w:lang w:val="lt-LT" w:eastAsia="ja-JP"/>
        </w:rPr>
        <w:t>.</w:t>
      </w:r>
    </w:p>
    <w:p w14:paraId="4181E3D9" w14:textId="022262AC" w:rsidR="00107519" w:rsidRPr="00715891" w:rsidRDefault="00107519" w:rsidP="00107519">
      <w:pPr>
        <w:rPr>
          <w:sz w:val="22"/>
          <w:szCs w:val="22"/>
          <w:lang w:val="lt-LT" w:eastAsia="ja-JP"/>
        </w:rPr>
      </w:pPr>
      <w:r w:rsidRPr="00715891">
        <w:rPr>
          <w:sz w:val="22"/>
          <w:szCs w:val="22"/>
          <w:lang w:val="lt-LT" w:eastAsia="ja-JP"/>
        </w:rPr>
        <w:t xml:space="preserve">Klinikinis antivirusinis valgancikloviro veiksmingumas nustatytas gydant </w:t>
      </w:r>
      <w:r w:rsidR="000E037D" w:rsidRPr="00715891">
        <w:rPr>
          <w:i/>
          <w:sz w:val="22"/>
          <w:szCs w:val="22"/>
          <w:lang w:val="lt-LT" w:eastAsia="ja-JP"/>
        </w:rPr>
        <w:t>HIV</w:t>
      </w:r>
      <w:r w:rsidRPr="00715891">
        <w:rPr>
          <w:i/>
          <w:sz w:val="22"/>
          <w:lang w:val="lt-LT"/>
        </w:rPr>
        <w:t xml:space="preserve"> </w:t>
      </w:r>
      <w:r w:rsidRPr="00715891">
        <w:rPr>
          <w:sz w:val="22"/>
          <w:szCs w:val="22"/>
          <w:lang w:val="lt-LT" w:eastAsia="ja-JP"/>
        </w:rPr>
        <w:t>sergančius pacientus, kuriems neseniai diagnozuotas CMV retinitas. CMV išsiskyrimas su šlapimu sumažėjo nuo 46 % (32 iš 69 pacientų) tyrimo pradžioje iki 7 % (4 iš 55 pacientų) po keturių savaičių gydymo valgancikloviru.</w:t>
      </w:r>
    </w:p>
    <w:p w14:paraId="2F0ECBC8" w14:textId="77777777" w:rsidR="00107519" w:rsidRPr="00715891" w:rsidRDefault="00107519" w:rsidP="00107519">
      <w:pPr>
        <w:rPr>
          <w:sz w:val="22"/>
          <w:szCs w:val="22"/>
          <w:lang w:val="lt-LT" w:eastAsia="ja-JP"/>
        </w:rPr>
      </w:pPr>
    </w:p>
    <w:p w14:paraId="65AC8A3A" w14:textId="77777777" w:rsidR="00107519" w:rsidRPr="00715891" w:rsidRDefault="00107519" w:rsidP="00107519">
      <w:pPr>
        <w:rPr>
          <w:sz w:val="22"/>
          <w:szCs w:val="22"/>
          <w:u w:val="single"/>
          <w:lang w:val="lt-LT" w:eastAsia="ja-JP"/>
        </w:rPr>
      </w:pPr>
      <w:r w:rsidRPr="00715891">
        <w:rPr>
          <w:sz w:val="22"/>
          <w:szCs w:val="22"/>
          <w:u w:val="single"/>
          <w:lang w:val="lt-LT" w:eastAsia="ja-JP"/>
        </w:rPr>
        <w:t>Klinikinis veiksmingumas ir saugumas</w:t>
      </w:r>
    </w:p>
    <w:p w14:paraId="273FB35B" w14:textId="77777777" w:rsidR="00107519" w:rsidRPr="00715891" w:rsidRDefault="00107519" w:rsidP="00107519">
      <w:pPr>
        <w:rPr>
          <w:sz w:val="22"/>
          <w:szCs w:val="22"/>
          <w:lang w:val="lt-LT" w:eastAsia="ja-JP"/>
        </w:rPr>
      </w:pPr>
      <w:r w:rsidRPr="00715891">
        <w:rPr>
          <w:sz w:val="22"/>
          <w:szCs w:val="22"/>
          <w:u w:val="single"/>
          <w:lang w:val="lt-LT" w:eastAsia="ja-JP"/>
        </w:rPr>
        <w:lastRenderedPageBreak/>
        <w:t>Suaugusieji</w:t>
      </w:r>
    </w:p>
    <w:p w14:paraId="51D06D32" w14:textId="77777777" w:rsidR="00107519" w:rsidRPr="00715891" w:rsidRDefault="00107519" w:rsidP="00107519">
      <w:pPr>
        <w:rPr>
          <w:i/>
          <w:sz w:val="22"/>
          <w:szCs w:val="22"/>
          <w:lang w:val="lt-LT" w:eastAsia="ja-JP"/>
        </w:rPr>
      </w:pPr>
      <w:r w:rsidRPr="00715891">
        <w:rPr>
          <w:i/>
          <w:sz w:val="22"/>
          <w:szCs w:val="22"/>
          <w:lang w:val="lt-LT" w:eastAsia="ja-JP"/>
        </w:rPr>
        <w:t>CMV sukelto retinito gydymas</w:t>
      </w:r>
    </w:p>
    <w:p w14:paraId="43F9E76A" w14:textId="77777777" w:rsidR="00107519" w:rsidRPr="00715891" w:rsidRDefault="00107519" w:rsidP="00107519">
      <w:pPr>
        <w:rPr>
          <w:sz w:val="22"/>
          <w:szCs w:val="22"/>
          <w:lang w:val="lt-LT" w:eastAsia="ja-JP"/>
        </w:rPr>
      </w:pPr>
      <w:r w:rsidRPr="00715891">
        <w:rPr>
          <w:sz w:val="22"/>
          <w:szCs w:val="22"/>
          <w:lang w:val="lt-LT" w:eastAsia="ja-JP"/>
        </w:rPr>
        <w:t>Pacientai, kuriems neseniai nustatytas CMV retinitas, atsitiktiniu būdu suskirstyti į įvadinio gydymo grupes: gydomi valgancikloviro tabletėmis po 900 mg dukart per parą arba į veną leidžiamu gancikloviru po 5 mg/kg dukart per parą. Pacientų, kuriems nustatyta fotografinis CMV retinito progresavimas, dalis ketvirtąją savaitę abiejose gydymo grupėse buvo panaši – 7 iš 70 intraveniniu gancikloviru ir 7 iš 71 valgancikloviru gydytų pacientų.</w:t>
      </w:r>
    </w:p>
    <w:p w14:paraId="652F9596" w14:textId="77777777" w:rsidR="00107519" w:rsidRPr="00715891" w:rsidRDefault="00107519" w:rsidP="00107519">
      <w:pPr>
        <w:rPr>
          <w:sz w:val="22"/>
          <w:szCs w:val="22"/>
          <w:lang w:val="lt-LT" w:eastAsia="ja-JP"/>
        </w:rPr>
      </w:pPr>
      <w:r w:rsidRPr="00715891">
        <w:rPr>
          <w:sz w:val="22"/>
          <w:szCs w:val="22"/>
          <w:lang w:val="lt-LT" w:eastAsia="ja-JP"/>
        </w:rPr>
        <w:t>Po įvadinio gydymo visiems šiame tyrime dalyvavusiems pacientams buvo tęsiamas palaikomasis gydymas valgancikloviru po 900 mg kartą per parą. Laiko nuo randomizacijos iki CMV retinito progresavimo vidurkis (mediana) įvadinio ir palaikomojo gydymo valgancikloviro grupėje buvo 226 (160) paros, o įvadinio gydymo intraveniniu gancikloviru ir palaikomojo gydymo valgancikloviru grupėje – 219 (125) parų.</w:t>
      </w:r>
    </w:p>
    <w:p w14:paraId="6D8A91A7" w14:textId="77777777" w:rsidR="00107519" w:rsidRPr="00715891" w:rsidRDefault="00107519" w:rsidP="00107519">
      <w:pPr>
        <w:rPr>
          <w:sz w:val="22"/>
          <w:szCs w:val="22"/>
          <w:u w:val="single"/>
          <w:lang w:val="lt-LT" w:eastAsia="ja-JP"/>
        </w:rPr>
      </w:pPr>
    </w:p>
    <w:p w14:paraId="78029EAA" w14:textId="77777777" w:rsidR="00107519" w:rsidRPr="00715891" w:rsidRDefault="00107519" w:rsidP="00107519">
      <w:pPr>
        <w:rPr>
          <w:i/>
          <w:sz w:val="22"/>
          <w:szCs w:val="22"/>
          <w:lang w:val="lt-LT" w:eastAsia="ja-JP"/>
        </w:rPr>
      </w:pPr>
      <w:r w:rsidRPr="00715891">
        <w:rPr>
          <w:i/>
          <w:sz w:val="22"/>
          <w:szCs w:val="22"/>
          <w:lang w:val="lt-LT" w:eastAsia="ja-JP"/>
        </w:rPr>
        <w:t>CMV infekcijos profilaktika po transplantacijos</w:t>
      </w:r>
    </w:p>
    <w:p w14:paraId="178DC849" w14:textId="31E66291" w:rsidR="00107519" w:rsidRPr="00715891" w:rsidRDefault="00107519" w:rsidP="00107519">
      <w:pPr>
        <w:rPr>
          <w:sz w:val="22"/>
          <w:szCs w:val="22"/>
          <w:lang w:val="lt-LT" w:eastAsia="ja-JP"/>
        </w:rPr>
      </w:pPr>
      <w:r w:rsidRPr="00715891">
        <w:rPr>
          <w:sz w:val="22"/>
          <w:szCs w:val="22"/>
          <w:lang w:val="lt-LT" w:eastAsia="ja-JP"/>
        </w:rPr>
        <w:t>Dvigubai koduoto, dvigubai aklo su aktyviu klinikiniu palyginimu tyrimo metu tirti pacientai, kuriems persodinta širdis, kepenys arba inkstas (pacientai, kuriems persodinti plaučiai arba virškinimo traktas, netirti) ir kuriems buvo didelė CMV ligos rizika (D+/R-). Pacientams buvo skiriama arba valgancikloviro (po 900 mg kartą per parą), arba gancikloviro (po 1</w:t>
      </w:r>
      <w:r w:rsidR="0004650B" w:rsidRPr="00715891">
        <w:rPr>
          <w:sz w:val="22"/>
          <w:szCs w:val="22"/>
          <w:lang w:val="lt-LT" w:eastAsia="ja-JP"/>
        </w:rPr>
        <w:t> </w:t>
      </w:r>
      <w:r w:rsidRPr="00715891">
        <w:rPr>
          <w:sz w:val="22"/>
          <w:szCs w:val="22"/>
          <w:lang w:val="lt-LT" w:eastAsia="ja-JP"/>
        </w:rPr>
        <w:t xml:space="preserve">000 mg triskart per parą), pradedant pirmosiomis 10 parų po transplantacijos ir baigiant šimtąja para po persodinimo. CMV ligos (CMV sindromo + invazinės audinių ligos) dažnumas per pirmuosius 6 mėnesius po persodinimo buvo 12,1 % valgancikloviro vartojusių pacientų grupėje (n=239) ir 15,2 % gancikloviro vartojusių pacientų grupėje (n=125). Dauguma pacientų susirgo baigus profilaktiką (po šimtosios paros); profilaktikos valgancikloviru grupėje tai įvyko vėliau negu profilaktikos gancikloviru grupėje. Ūminio atmetimo dažnumas per pirmuosius 6 mėnesius buvo 29,7 % valgancikloviro grupėje, palyginti su 36,0 % gancikloviro grupėje; transplantą prarado tiek pat, t. y. po 0,8 %, abiejų grupių pacientų. </w:t>
      </w:r>
    </w:p>
    <w:p w14:paraId="35495AFB" w14:textId="77777777" w:rsidR="00107519" w:rsidRPr="00715891" w:rsidRDefault="00107519" w:rsidP="00107519">
      <w:pPr>
        <w:rPr>
          <w:sz w:val="22"/>
          <w:szCs w:val="22"/>
          <w:lang w:val="lt-LT" w:eastAsia="ja-JP"/>
        </w:rPr>
      </w:pPr>
    </w:p>
    <w:p w14:paraId="5A342D71" w14:textId="41163FF4" w:rsidR="00107519" w:rsidRPr="00715891" w:rsidRDefault="00107519" w:rsidP="00107519">
      <w:pPr>
        <w:rPr>
          <w:sz w:val="22"/>
          <w:szCs w:val="22"/>
          <w:lang w:val="lt-LT" w:eastAsia="ja-JP"/>
        </w:rPr>
      </w:pPr>
      <w:r w:rsidRPr="00715891">
        <w:rPr>
          <w:sz w:val="22"/>
          <w:szCs w:val="22"/>
          <w:lang w:val="lt-LT" w:eastAsia="ja-JP"/>
        </w:rPr>
        <w:t>Dvigubai koduoto, placebu kontroliuojamo tyrimo metu tirti 326 pacientai, kuriems persodintas inkstas ir kuriems grėsė didelė CMV ligos rizika (D+/R-), siekiant įvertinti pratęstos nuo 100 iki 200 parų po transplantacijos CMV profilaktikos valgancikloviru veiksmingumą ir saugumą. Pacientai atsitiktiniu būdu buvo suskirstyti (1:1) į vartojančius valgancikloviro (po 900 mg kartą per parą) pradedant pirmosiomis 10</w:t>
      </w:r>
      <w:r w:rsidR="00F706F6" w:rsidRPr="00715891">
        <w:rPr>
          <w:sz w:val="22"/>
          <w:szCs w:val="22"/>
          <w:lang w:val="lt-LT" w:eastAsia="ja-JP"/>
        </w:rPr>
        <w:t> </w:t>
      </w:r>
      <w:r w:rsidRPr="00715891">
        <w:rPr>
          <w:sz w:val="22"/>
          <w:szCs w:val="22"/>
          <w:lang w:val="lt-LT" w:eastAsia="ja-JP"/>
        </w:rPr>
        <w:t>parų po transplantacijos ir baigiant 200-tąja para po organo persodinimo, arba baigiant 100-tąja para po transplantacijos, toliau tiems pacientams 100</w:t>
      </w:r>
      <w:r w:rsidR="00F706F6" w:rsidRPr="00715891">
        <w:rPr>
          <w:sz w:val="22"/>
          <w:szCs w:val="22"/>
          <w:lang w:val="lt-LT" w:eastAsia="ja-JP"/>
        </w:rPr>
        <w:t> </w:t>
      </w:r>
      <w:r w:rsidRPr="00715891">
        <w:rPr>
          <w:sz w:val="22"/>
          <w:szCs w:val="22"/>
          <w:lang w:val="lt-LT" w:eastAsia="ja-JP"/>
        </w:rPr>
        <w:t>parų skiriant placebo.</w:t>
      </w:r>
    </w:p>
    <w:p w14:paraId="1EC03539" w14:textId="0DA04B89" w:rsidR="00107519" w:rsidRPr="00715891" w:rsidRDefault="00107519" w:rsidP="00107519">
      <w:pPr>
        <w:rPr>
          <w:sz w:val="22"/>
          <w:szCs w:val="22"/>
          <w:lang w:val="lt-LT" w:eastAsia="ja-JP"/>
        </w:rPr>
      </w:pPr>
      <w:r w:rsidRPr="00715891">
        <w:rPr>
          <w:sz w:val="22"/>
          <w:szCs w:val="22"/>
          <w:lang w:val="lt-LT" w:eastAsia="ja-JP"/>
        </w:rPr>
        <w:t>Pacientų, kurie susirgo CMV liga per pirmuosius 12</w:t>
      </w:r>
      <w:r w:rsidR="00F706F6" w:rsidRPr="00715891">
        <w:rPr>
          <w:sz w:val="22"/>
          <w:szCs w:val="22"/>
          <w:lang w:val="lt-LT" w:eastAsia="ja-JP"/>
        </w:rPr>
        <w:t> </w:t>
      </w:r>
      <w:r w:rsidRPr="00715891">
        <w:rPr>
          <w:sz w:val="22"/>
          <w:szCs w:val="22"/>
          <w:lang w:val="lt-LT" w:eastAsia="ja-JP"/>
        </w:rPr>
        <w:t>mėnesių po organo persodinimo, dalis nurodyta toliau lentelėje.</w:t>
      </w:r>
    </w:p>
    <w:p w14:paraId="4EC69822" w14:textId="77777777" w:rsidR="00107519" w:rsidRPr="00715891" w:rsidRDefault="00107519" w:rsidP="00107519">
      <w:pPr>
        <w:rPr>
          <w:sz w:val="22"/>
          <w:szCs w:val="22"/>
          <w:lang w:val="lt-LT" w:eastAsia="ja-JP"/>
        </w:rPr>
      </w:pPr>
    </w:p>
    <w:p w14:paraId="33C734AE" w14:textId="77777777" w:rsidR="00107519" w:rsidRPr="00715891" w:rsidRDefault="00107519" w:rsidP="00107519">
      <w:pPr>
        <w:rPr>
          <w:rFonts w:eastAsia="PMingLiU"/>
          <w:b/>
          <w:sz w:val="22"/>
          <w:szCs w:val="22"/>
          <w:lang w:val="lt-LT" w:eastAsia="ja-JP"/>
        </w:rPr>
      </w:pPr>
      <w:r w:rsidRPr="00715891">
        <w:rPr>
          <w:rFonts w:eastAsia="PMingLiU"/>
          <w:b/>
          <w:sz w:val="22"/>
          <w:szCs w:val="22"/>
          <w:lang w:val="lt-LT" w:eastAsia="ja-JP"/>
        </w:rPr>
        <w:t>Numatytų gydyti pacientų, kurie po inksto persodinimo per 12 mėnesių</w:t>
      </w:r>
      <w:r w:rsidRPr="00715891">
        <w:rPr>
          <w:rFonts w:eastAsia="PMingLiU"/>
          <w:b/>
          <w:sz w:val="22"/>
          <w:szCs w:val="22"/>
          <w:vertAlign w:val="superscript"/>
          <w:lang w:val="lt-LT" w:eastAsia="ja-JP"/>
        </w:rPr>
        <w:t xml:space="preserve"> A</w:t>
      </w:r>
      <w:r w:rsidRPr="00715891">
        <w:rPr>
          <w:rFonts w:eastAsia="PMingLiU"/>
          <w:b/>
          <w:sz w:val="22"/>
          <w:szCs w:val="22"/>
          <w:lang w:val="lt-LT" w:eastAsia="ja-JP"/>
        </w:rPr>
        <w:t xml:space="preserve"> susirgo CMV liga</w:t>
      </w:r>
      <w:r w:rsidRPr="00715891">
        <w:rPr>
          <w:rFonts w:eastAsia="PMingLiU"/>
          <w:b/>
          <w:sz w:val="22"/>
          <w:szCs w:val="22"/>
          <w:vertAlign w:val="superscript"/>
          <w:lang w:val="lt-LT" w:eastAsia="ja-JP"/>
        </w:rPr>
        <w:t>1</w:t>
      </w:r>
      <w:r w:rsidRPr="00715891">
        <w:rPr>
          <w:rFonts w:eastAsia="PMingLiU"/>
          <w:b/>
          <w:sz w:val="22"/>
          <w:szCs w:val="22"/>
          <w:lang w:val="lt-LT" w:eastAsia="ja-JP"/>
        </w:rPr>
        <w:t xml:space="preserve">, procentas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1882"/>
        <w:gridCol w:w="1882"/>
        <w:gridCol w:w="1883"/>
      </w:tblGrid>
      <w:tr w:rsidR="00107519" w:rsidRPr="00715891" w14:paraId="0E5CDDA7" w14:textId="77777777" w:rsidTr="00EF476A">
        <w:tc>
          <w:tcPr>
            <w:tcW w:w="3108" w:type="dxa"/>
          </w:tcPr>
          <w:p w14:paraId="7C3CD95D" w14:textId="77777777" w:rsidR="00107519" w:rsidRPr="00715891" w:rsidRDefault="00107519" w:rsidP="00107519">
            <w:pPr>
              <w:keepNext/>
              <w:rPr>
                <w:rFonts w:eastAsia="PMingLiU"/>
                <w:sz w:val="22"/>
                <w:szCs w:val="22"/>
                <w:lang w:val="lt-LT" w:eastAsia="ja-JP"/>
              </w:rPr>
            </w:pPr>
          </w:p>
        </w:tc>
        <w:tc>
          <w:tcPr>
            <w:tcW w:w="1882" w:type="dxa"/>
          </w:tcPr>
          <w:p w14:paraId="456BC30A" w14:textId="77777777" w:rsidR="00107519" w:rsidRPr="00715891" w:rsidDel="00B04AF0" w:rsidRDefault="00107519" w:rsidP="00107519">
            <w:pPr>
              <w:rPr>
                <w:rFonts w:eastAsia="PMingLiU"/>
                <w:b/>
                <w:sz w:val="22"/>
                <w:szCs w:val="22"/>
                <w:lang w:val="lt-LT" w:eastAsia="ja-JP"/>
              </w:rPr>
            </w:pPr>
            <w:r w:rsidRPr="00715891">
              <w:rPr>
                <w:b/>
                <w:sz w:val="22"/>
                <w:szCs w:val="22"/>
                <w:lang w:val="lt-LT" w:eastAsia="ja-JP"/>
              </w:rPr>
              <w:t>Valganciklovir</w:t>
            </w:r>
            <w:r w:rsidRPr="00715891">
              <w:rPr>
                <w:rFonts w:eastAsia="PMingLiU"/>
                <w:b/>
                <w:sz w:val="22"/>
                <w:szCs w:val="22"/>
                <w:lang w:val="lt-LT" w:eastAsia="ja-JP"/>
              </w:rPr>
              <w:t>as</w:t>
            </w:r>
          </w:p>
          <w:p w14:paraId="52263305" w14:textId="77777777" w:rsidR="00107519" w:rsidRPr="00715891" w:rsidRDefault="00107519" w:rsidP="00107519">
            <w:pPr>
              <w:rPr>
                <w:rFonts w:eastAsia="PMingLiU"/>
                <w:b/>
                <w:sz w:val="22"/>
                <w:szCs w:val="22"/>
                <w:lang w:val="lt-LT" w:eastAsia="ja-JP"/>
              </w:rPr>
            </w:pPr>
          </w:p>
          <w:p w14:paraId="1E801F3C" w14:textId="6483704A" w:rsidR="00107519" w:rsidRPr="00715891" w:rsidRDefault="00107519" w:rsidP="00107519">
            <w:pPr>
              <w:rPr>
                <w:rFonts w:eastAsia="PMingLiU"/>
                <w:b/>
                <w:sz w:val="22"/>
                <w:szCs w:val="22"/>
                <w:lang w:val="lt-LT" w:eastAsia="ja-JP"/>
              </w:rPr>
            </w:pPr>
            <w:r w:rsidRPr="00715891">
              <w:rPr>
                <w:rFonts w:eastAsia="PMingLiU"/>
                <w:b/>
                <w:sz w:val="22"/>
                <w:szCs w:val="22"/>
                <w:lang w:val="lt-LT" w:eastAsia="ja-JP"/>
              </w:rPr>
              <w:t>900</w:t>
            </w:r>
            <w:r w:rsidR="00F706F6" w:rsidRPr="00715891">
              <w:rPr>
                <w:rFonts w:eastAsia="PMingLiU"/>
                <w:b/>
                <w:sz w:val="22"/>
                <w:szCs w:val="22"/>
                <w:lang w:val="lt-LT" w:eastAsia="ja-JP"/>
              </w:rPr>
              <w:t> </w:t>
            </w:r>
            <w:r w:rsidRPr="00715891">
              <w:rPr>
                <w:rFonts w:eastAsia="PMingLiU"/>
                <w:b/>
                <w:sz w:val="22"/>
                <w:szCs w:val="22"/>
                <w:lang w:val="lt-LT" w:eastAsia="ja-JP"/>
              </w:rPr>
              <w:t>mg kartą per parą 100</w:t>
            </w:r>
            <w:r w:rsidR="00F706F6" w:rsidRPr="00715891">
              <w:rPr>
                <w:rFonts w:eastAsia="PMingLiU"/>
                <w:b/>
                <w:sz w:val="22"/>
                <w:szCs w:val="22"/>
                <w:lang w:val="lt-LT" w:eastAsia="ja-JP"/>
              </w:rPr>
              <w:t> </w:t>
            </w:r>
            <w:r w:rsidRPr="00715891">
              <w:rPr>
                <w:rFonts w:eastAsia="PMingLiU"/>
                <w:b/>
                <w:sz w:val="22"/>
                <w:szCs w:val="22"/>
                <w:lang w:val="lt-LT" w:eastAsia="ja-JP"/>
              </w:rPr>
              <w:t xml:space="preserve">parų </w:t>
            </w:r>
          </w:p>
          <w:p w14:paraId="343B0129" w14:textId="07EA2D87" w:rsidR="00107519" w:rsidRPr="00715891" w:rsidRDefault="00107519" w:rsidP="00107519">
            <w:pPr>
              <w:rPr>
                <w:rFonts w:eastAsia="PMingLiU"/>
                <w:b/>
                <w:sz w:val="22"/>
                <w:szCs w:val="22"/>
                <w:lang w:val="lt-LT" w:eastAsia="ja-JP"/>
              </w:rPr>
            </w:pPr>
            <w:r w:rsidRPr="00715891">
              <w:rPr>
                <w:rFonts w:eastAsia="PMingLiU"/>
                <w:b/>
                <w:sz w:val="22"/>
                <w:szCs w:val="22"/>
                <w:lang w:val="lt-LT" w:eastAsia="ja-JP"/>
              </w:rPr>
              <w:t>(N</w:t>
            </w:r>
            <w:r w:rsidR="00F706F6" w:rsidRPr="00715891">
              <w:rPr>
                <w:rFonts w:eastAsia="PMingLiU"/>
                <w:b/>
                <w:sz w:val="22"/>
                <w:szCs w:val="22"/>
                <w:lang w:val="lt-LT" w:eastAsia="ja-JP"/>
              </w:rPr>
              <w:t> </w:t>
            </w:r>
            <w:r w:rsidRPr="00715891">
              <w:rPr>
                <w:rFonts w:eastAsia="PMingLiU"/>
                <w:b/>
                <w:sz w:val="22"/>
                <w:szCs w:val="22"/>
                <w:lang w:val="lt-LT" w:eastAsia="ja-JP"/>
              </w:rPr>
              <w:t>=</w:t>
            </w:r>
            <w:r w:rsidR="00F706F6" w:rsidRPr="00715891">
              <w:rPr>
                <w:rFonts w:eastAsia="PMingLiU"/>
                <w:b/>
                <w:sz w:val="22"/>
                <w:szCs w:val="22"/>
                <w:lang w:val="lt-LT" w:eastAsia="ja-JP"/>
              </w:rPr>
              <w:t> </w:t>
            </w:r>
            <w:r w:rsidRPr="00715891">
              <w:rPr>
                <w:rFonts w:eastAsia="PMingLiU"/>
                <w:b/>
                <w:sz w:val="22"/>
                <w:szCs w:val="22"/>
                <w:lang w:val="lt-LT" w:eastAsia="ja-JP"/>
              </w:rPr>
              <w:t>163)</w:t>
            </w:r>
          </w:p>
        </w:tc>
        <w:tc>
          <w:tcPr>
            <w:tcW w:w="1882" w:type="dxa"/>
          </w:tcPr>
          <w:p w14:paraId="56A85CDB" w14:textId="77777777" w:rsidR="00107519" w:rsidRPr="00715891" w:rsidDel="00B04AF0" w:rsidRDefault="00107519" w:rsidP="00107519">
            <w:pPr>
              <w:rPr>
                <w:rFonts w:eastAsia="PMingLiU"/>
                <w:b/>
                <w:sz w:val="22"/>
                <w:szCs w:val="22"/>
                <w:lang w:val="lt-LT" w:eastAsia="ja-JP"/>
              </w:rPr>
            </w:pPr>
            <w:r w:rsidRPr="00715891">
              <w:rPr>
                <w:b/>
                <w:sz w:val="22"/>
                <w:szCs w:val="22"/>
                <w:lang w:val="lt-LT" w:eastAsia="ja-JP"/>
              </w:rPr>
              <w:t>Valgancikloviras</w:t>
            </w:r>
            <w:r w:rsidRPr="00715891" w:rsidDel="00B04AF0">
              <w:rPr>
                <w:rFonts w:eastAsia="PMingLiU"/>
                <w:b/>
                <w:sz w:val="22"/>
                <w:szCs w:val="22"/>
                <w:lang w:val="lt-LT" w:eastAsia="ja-JP"/>
              </w:rPr>
              <w:t xml:space="preserve"> </w:t>
            </w:r>
          </w:p>
          <w:p w14:paraId="13FF2B08" w14:textId="77777777" w:rsidR="00107519" w:rsidRPr="00715891" w:rsidRDefault="00107519" w:rsidP="00107519">
            <w:pPr>
              <w:rPr>
                <w:rFonts w:eastAsia="PMingLiU"/>
                <w:b/>
                <w:sz w:val="22"/>
                <w:szCs w:val="22"/>
                <w:lang w:val="lt-LT" w:eastAsia="ja-JP"/>
              </w:rPr>
            </w:pPr>
          </w:p>
          <w:p w14:paraId="3F2293D8" w14:textId="043A053F" w:rsidR="00107519" w:rsidRPr="00715891" w:rsidRDefault="00107519" w:rsidP="00107519">
            <w:pPr>
              <w:rPr>
                <w:rFonts w:eastAsia="PMingLiU"/>
                <w:b/>
                <w:sz w:val="22"/>
                <w:szCs w:val="22"/>
                <w:lang w:val="lt-LT" w:eastAsia="ja-JP"/>
              </w:rPr>
            </w:pPr>
            <w:r w:rsidRPr="00715891">
              <w:rPr>
                <w:rFonts w:eastAsia="PMingLiU"/>
                <w:b/>
                <w:sz w:val="22"/>
                <w:szCs w:val="22"/>
                <w:lang w:val="lt-LT" w:eastAsia="ja-JP"/>
              </w:rPr>
              <w:t>900</w:t>
            </w:r>
            <w:r w:rsidR="00F706F6" w:rsidRPr="00715891">
              <w:rPr>
                <w:rFonts w:eastAsia="PMingLiU"/>
                <w:b/>
                <w:sz w:val="22"/>
                <w:szCs w:val="22"/>
                <w:lang w:val="lt-LT" w:eastAsia="ja-JP"/>
              </w:rPr>
              <w:t> </w:t>
            </w:r>
            <w:r w:rsidRPr="00715891">
              <w:rPr>
                <w:rFonts w:eastAsia="PMingLiU"/>
                <w:b/>
                <w:sz w:val="22"/>
                <w:szCs w:val="22"/>
                <w:lang w:val="lt-LT" w:eastAsia="ja-JP"/>
              </w:rPr>
              <w:t>mg kartą per parą 200</w:t>
            </w:r>
            <w:r w:rsidR="00F706F6" w:rsidRPr="00715891">
              <w:rPr>
                <w:rFonts w:eastAsia="PMingLiU"/>
                <w:b/>
                <w:sz w:val="22"/>
                <w:szCs w:val="22"/>
                <w:lang w:val="lt-LT" w:eastAsia="ja-JP"/>
              </w:rPr>
              <w:t> </w:t>
            </w:r>
            <w:r w:rsidRPr="00715891">
              <w:rPr>
                <w:rFonts w:eastAsia="PMingLiU"/>
                <w:b/>
                <w:sz w:val="22"/>
                <w:szCs w:val="22"/>
                <w:lang w:val="lt-LT" w:eastAsia="ja-JP"/>
              </w:rPr>
              <w:t xml:space="preserve">parų </w:t>
            </w:r>
          </w:p>
          <w:p w14:paraId="2C8E9951" w14:textId="329B6D60" w:rsidR="00107519" w:rsidRPr="00715891" w:rsidRDefault="00107519" w:rsidP="00107519">
            <w:pPr>
              <w:rPr>
                <w:rFonts w:eastAsia="PMingLiU"/>
                <w:b/>
                <w:sz w:val="22"/>
                <w:szCs w:val="22"/>
                <w:lang w:val="lt-LT" w:eastAsia="ja-JP"/>
              </w:rPr>
            </w:pPr>
            <w:r w:rsidRPr="00715891">
              <w:rPr>
                <w:rFonts w:eastAsia="PMingLiU"/>
                <w:b/>
                <w:sz w:val="22"/>
                <w:szCs w:val="22"/>
                <w:lang w:val="lt-LT" w:eastAsia="ja-JP"/>
              </w:rPr>
              <w:t>(N</w:t>
            </w:r>
            <w:r w:rsidR="00F706F6" w:rsidRPr="00715891">
              <w:rPr>
                <w:rFonts w:eastAsia="PMingLiU"/>
                <w:b/>
                <w:sz w:val="22"/>
                <w:szCs w:val="22"/>
                <w:lang w:val="lt-LT" w:eastAsia="ja-JP"/>
              </w:rPr>
              <w:t> </w:t>
            </w:r>
            <w:r w:rsidRPr="00715891">
              <w:rPr>
                <w:rFonts w:eastAsia="PMingLiU"/>
                <w:b/>
                <w:sz w:val="22"/>
                <w:szCs w:val="22"/>
                <w:lang w:val="lt-LT" w:eastAsia="ja-JP"/>
              </w:rPr>
              <w:t>=</w:t>
            </w:r>
            <w:r w:rsidR="00F706F6" w:rsidRPr="00715891">
              <w:rPr>
                <w:rFonts w:eastAsia="PMingLiU"/>
                <w:b/>
                <w:sz w:val="22"/>
                <w:szCs w:val="22"/>
                <w:lang w:val="lt-LT" w:eastAsia="ja-JP"/>
              </w:rPr>
              <w:t> </w:t>
            </w:r>
            <w:r w:rsidRPr="00715891">
              <w:rPr>
                <w:rFonts w:eastAsia="PMingLiU"/>
                <w:b/>
                <w:sz w:val="22"/>
                <w:szCs w:val="22"/>
                <w:lang w:val="lt-LT" w:eastAsia="ja-JP"/>
              </w:rPr>
              <w:t>155)</w:t>
            </w:r>
          </w:p>
        </w:tc>
        <w:tc>
          <w:tcPr>
            <w:tcW w:w="1883" w:type="dxa"/>
          </w:tcPr>
          <w:p w14:paraId="759C75B7" w14:textId="77777777" w:rsidR="00107519" w:rsidRPr="00715891" w:rsidRDefault="00107519" w:rsidP="00107519">
            <w:pPr>
              <w:rPr>
                <w:b/>
                <w:sz w:val="22"/>
                <w:szCs w:val="22"/>
                <w:lang w:val="lt-LT" w:eastAsia="ja-JP"/>
              </w:rPr>
            </w:pPr>
            <w:r w:rsidRPr="00715891">
              <w:rPr>
                <w:b/>
                <w:sz w:val="22"/>
                <w:szCs w:val="22"/>
                <w:lang w:val="lt-LT" w:eastAsia="ja-JP"/>
              </w:rPr>
              <w:t>Skirtumas tarp gydomųjų grupių</w:t>
            </w:r>
          </w:p>
        </w:tc>
      </w:tr>
      <w:tr w:rsidR="00107519" w:rsidRPr="00715891" w14:paraId="25DF1C14" w14:textId="77777777" w:rsidTr="00EF476A">
        <w:tc>
          <w:tcPr>
            <w:tcW w:w="3108" w:type="dxa"/>
          </w:tcPr>
          <w:p w14:paraId="1BB00000" w14:textId="77777777" w:rsidR="00107519" w:rsidRPr="00715891" w:rsidRDefault="00107519" w:rsidP="00107519">
            <w:pPr>
              <w:rPr>
                <w:rFonts w:eastAsia="PMingLiU"/>
                <w:sz w:val="22"/>
                <w:szCs w:val="22"/>
                <w:lang w:val="lt-LT" w:eastAsia="ja-JP"/>
              </w:rPr>
            </w:pPr>
            <w:r w:rsidRPr="00715891">
              <w:rPr>
                <w:rFonts w:eastAsia="PMingLiU"/>
                <w:sz w:val="22"/>
                <w:szCs w:val="22"/>
                <w:lang w:val="lt-LT" w:eastAsia="ja-JP"/>
              </w:rPr>
              <w:t>Pacientai, kuriems patvirtinta arba įtariama CMV liga</w:t>
            </w:r>
            <w:r w:rsidRPr="00715891">
              <w:rPr>
                <w:rFonts w:eastAsia="PMingLiU"/>
                <w:sz w:val="22"/>
                <w:szCs w:val="22"/>
                <w:vertAlign w:val="superscript"/>
                <w:lang w:val="lt-LT" w:eastAsia="ja-JP"/>
              </w:rPr>
              <w:t>2</w:t>
            </w:r>
          </w:p>
        </w:tc>
        <w:tc>
          <w:tcPr>
            <w:tcW w:w="1882" w:type="dxa"/>
          </w:tcPr>
          <w:p w14:paraId="49FCB98B" w14:textId="77777777" w:rsidR="00107519" w:rsidRPr="00715891" w:rsidRDefault="00107519" w:rsidP="00107519">
            <w:pPr>
              <w:rPr>
                <w:rFonts w:eastAsia="PMingLiU"/>
                <w:sz w:val="22"/>
                <w:szCs w:val="22"/>
                <w:lang w:val="lt-LT" w:eastAsia="ja-JP"/>
              </w:rPr>
            </w:pPr>
            <w:r w:rsidRPr="00715891">
              <w:rPr>
                <w:rFonts w:eastAsia="PMingLiU"/>
                <w:sz w:val="22"/>
                <w:szCs w:val="22"/>
                <w:lang w:val="lt-LT" w:eastAsia="ja-JP"/>
              </w:rPr>
              <w:t>71 (43,6</w:t>
            </w:r>
            <w:r w:rsidR="00681911" w:rsidRPr="00715891">
              <w:rPr>
                <w:rFonts w:eastAsia="PMingLiU"/>
                <w:sz w:val="22"/>
                <w:szCs w:val="22"/>
                <w:lang w:val="lt-LT" w:eastAsia="ja-JP"/>
              </w:rPr>
              <w:t> </w:t>
            </w:r>
            <w:r w:rsidRPr="00715891">
              <w:rPr>
                <w:rFonts w:eastAsia="PMingLiU"/>
                <w:sz w:val="22"/>
                <w:szCs w:val="22"/>
                <w:lang w:val="lt-LT" w:eastAsia="ja-JP"/>
              </w:rPr>
              <w:t>%)</w:t>
            </w:r>
          </w:p>
          <w:p w14:paraId="7F66F683" w14:textId="77777777" w:rsidR="00107519" w:rsidRPr="00715891" w:rsidRDefault="00107519" w:rsidP="00107519">
            <w:pPr>
              <w:rPr>
                <w:rFonts w:eastAsia="PMingLiU"/>
                <w:sz w:val="22"/>
                <w:szCs w:val="22"/>
                <w:lang w:val="lt-LT" w:eastAsia="ja-JP"/>
              </w:rPr>
            </w:pPr>
            <w:r w:rsidRPr="00715891">
              <w:rPr>
                <w:rFonts w:eastAsia="PMingLiU"/>
                <w:sz w:val="22"/>
                <w:szCs w:val="22"/>
                <w:lang w:val="lt-LT" w:eastAsia="ja-JP"/>
              </w:rPr>
              <w:t>[35,8</w:t>
            </w:r>
            <w:r w:rsidR="00681911" w:rsidRPr="00715891">
              <w:rPr>
                <w:rFonts w:eastAsia="PMingLiU"/>
                <w:sz w:val="22"/>
                <w:szCs w:val="22"/>
                <w:lang w:val="lt-LT" w:eastAsia="ja-JP"/>
              </w:rPr>
              <w:t> </w:t>
            </w:r>
            <w:r w:rsidRPr="00715891">
              <w:rPr>
                <w:rFonts w:eastAsia="PMingLiU"/>
                <w:sz w:val="22"/>
                <w:szCs w:val="22"/>
                <w:lang w:val="lt-LT" w:eastAsia="ja-JP"/>
              </w:rPr>
              <w:t>% ; 51,5</w:t>
            </w:r>
            <w:r w:rsidR="00681911" w:rsidRPr="00715891">
              <w:rPr>
                <w:rFonts w:eastAsia="PMingLiU"/>
                <w:sz w:val="22"/>
                <w:szCs w:val="22"/>
                <w:lang w:val="lt-LT" w:eastAsia="ja-JP"/>
              </w:rPr>
              <w:t> </w:t>
            </w:r>
            <w:r w:rsidRPr="00715891">
              <w:rPr>
                <w:rFonts w:eastAsia="PMingLiU"/>
                <w:sz w:val="22"/>
                <w:szCs w:val="22"/>
                <w:lang w:val="lt-LT" w:eastAsia="ja-JP"/>
              </w:rPr>
              <w:t>%]</w:t>
            </w:r>
          </w:p>
        </w:tc>
        <w:tc>
          <w:tcPr>
            <w:tcW w:w="1882" w:type="dxa"/>
          </w:tcPr>
          <w:p w14:paraId="2C0C0ACF" w14:textId="77777777" w:rsidR="00107519" w:rsidRPr="00715891" w:rsidRDefault="00107519" w:rsidP="00107519">
            <w:pPr>
              <w:rPr>
                <w:rFonts w:eastAsia="PMingLiU"/>
                <w:sz w:val="22"/>
                <w:szCs w:val="22"/>
                <w:lang w:val="lt-LT" w:eastAsia="ja-JP"/>
              </w:rPr>
            </w:pPr>
            <w:r w:rsidRPr="00715891">
              <w:rPr>
                <w:rFonts w:eastAsia="PMingLiU"/>
                <w:sz w:val="22"/>
                <w:szCs w:val="22"/>
                <w:lang w:val="lt-LT" w:eastAsia="ja-JP"/>
              </w:rPr>
              <w:t>36 (23,2</w:t>
            </w:r>
            <w:r w:rsidR="00681911" w:rsidRPr="00715891">
              <w:rPr>
                <w:rFonts w:eastAsia="PMingLiU"/>
                <w:sz w:val="22"/>
                <w:szCs w:val="22"/>
                <w:lang w:val="lt-LT" w:eastAsia="ja-JP"/>
              </w:rPr>
              <w:t> </w:t>
            </w:r>
            <w:r w:rsidRPr="00715891">
              <w:rPr>
                <w:rFonts w:eastAsia="PMingLiU"/>
                <w:sz w:val="22"/>
                <w:szCs w:val="22"/>
                <w:lang w:val="lt-LT" w:eastAsia="ja-JP"/>
              </w:rPr>
              <w:t>%)</w:t>
            </w:r>
          </w:p>
          <w:p w14:paraId="65076D8E" w14:textId="77777777" w:rsidR="00107519" w:rsidRPr="00715891" w:rsidRDefault="00107519" w:rsidP="00107519">
            <w:pPr>
              <w:rPr>
                <w:rFonts w:eastAsia="PMingLiU"/>
                <w:sz w:val="22"/>
                <w:szCs w:val="22"/>
                <w:lang w:val="lt-LT" w:eastAsia="ja-JP"/>
              </w:rPr>
            </w:pPr>
            <w:r w:rsidRPr="00715891">
              <w:rPr>
                <w:rFonts w:eastAsia="PMingLiU"/>
                <w:sz w:val="22"/>
                <w:szCs w:val="22"/>
                <w:lang w:val="lt-LT" w:eastAsia="ja-JP"/>
              </w:rPr>
              <w:t>[16,8</w:t>
            </w:r>
            <w:r w:rsidR="00681911" w:rsidRPr="00715891">
              <w:rPr>
                <w:rFonts w:eastAsia="PMingLiU"/>
                <w:sz w:val="22"/>
                <w:szCs w:val="22"/>
                <w:lang w:val="lt-LT" w:eastAsia="ja-JP"/>
              </w:rPr>
              <w:t> </w:t>
            </w:r>
            <w:r w:rsidRPr="00715891">
              <w:rPr>
                <w:rFonts w:eastAsia="PMingLiU"/>
                <w:sz w:val="22"/>
                <w:szCs w:val="22"/>
                <w:lang w:val="lt-LT" w:eastAsia="ja-JP"/>
              </w:rPr>
              <w:t>% ; 30,7</w:t>
            </w:r>
            <w:r w:rsidR="00681911" w:rsidRPr="00715891">
              <w:rPr>
                <w:rFonts w:eastAsia="PMingLiU"/>
                <w:sz w:val="22"/>
                <w:szCs w:val="22"/>
                <w:lang w:val="lt-LT" w:eastAsia="ja-JP"/>
              </w:rPr>
              <w:t> </w:t>
            </w:r>
            <w:r w:rsidRPr="00715891">
              <w:rPr>
                <w:rFonts w:eastAsia="PMingLiU"/>
                <w:sz w:val="22"/>
                <w:szCs w:val="22"/>
                <w:lang w:val="lt-LT" w:eastAsia="ja-JP"/>
              </w:rPr>
              <w:t>%]</w:t>
            </w:r>
          </w:p>
        </w:tc>
        <w:tc>
          <w:tcPr>
            <w:tcW w:w="1883" w:type="dxa"/>
          </w:tcPr>
          <w:p w14:paraId="6902CFED" w14:textId="77777777" w:rsidR="00107519" w:rsidRPr="00715891" w:rsidRDefault="00107519" w:rsidP="00107519">
            <w:pPr>
              <w:rPr>
                <w:rFonts w:eastAsia="PMingLiU"/>
                <w:sz w:val="22"/>
                <w:szCs w:val="22"/>
                <w:lang w:val="lt-LT" w:eastAsia="zh-TW"/>
              </w:rPr>
            </w:pPr>
            <w:r w:rsidRPr="00715891">
              <w:rPr>
                <w:rFonts w:eastAsia="PMingLiU"/>
                <w:sz w:val="22"/>
                <w:szCs w:val="22"/>
                <w:lang w:val="lt-LT" w:eastAsia="zh-TW"/>
              </w:rPr>
              <w:t>20,3</w:t>
            </w:r>
            <w:r w:rsidR="00681911" w:rsidRPr="00715891">
              <w:rPr>
                <w:rFonts w:eastAsia="PMingLiU"/>
                <w:sz w:val="22"/>
                <w:szCs w:val="22"/>
                <w:lang w:val="lt-LT" w:eastAsia="zh-TW"/>
              </w:rPr>
              <w:t> </w:t>
            </w:r>
            <w:r w:rsidRPr="00715891">
              <w:rPr>
                <w:rFonts w:eastAsia="PMingLiU"/>
                <w:sz w:val="22"/>
                <w:szCs w:val="22"/>
                <w:lang w:val="lt-LT" w:eastAsia="zh-TW"/>
              </w:rPr>
              <w:t>%</w:t>
            </w:r>
          </w:p>
          <w:p w14:paraId="2BEFB428" w14:textId="77777777" w:rsidR="00107519" w:rsidRPr="00715891" w:rsidRDefault="00107519" w:rsidP="00107519">
            <w:pPr>
              <w:rPr>
                <w:rFonts w:eastAsia="PMingLiU"/>
                <w:sz w:val="22"/>
                <w:szCs w:val="22"/>
                <w:lang w:val="lt-LT" w:eastAsia="ja-JP"/>
              </w:rPr>
            </w:pPr>
            <w:r w:rsidRPr="00715891">
              <w:rPr>
                <w:rFonts w:eastAsia="PMingLiU"/>
                <w:sz w:val="22"/>
                <w:szCs w:val="22"/>
                <w:lang w:val="lt-LT" w:eastAsia="zh-TW"/>
              </w:rPr>
              <w:t>[9,9</w:t>
            </w:r>
            <w:r w:rsidR="00681911" w:rsidRPr="00715891">
              <w:rPr>
                <w:rFonts w:eastAsia="PMingLiU"/>
                <w:sz w:val="22"/>
                <w:szCs w:val="22"/>
                <w:lang w:val="lt-LT" w:eastAsia="zh-TW"/>
              </w:rPr>
              <w:t> </w:t>
            </w:r>
            <w:r w:rsidRPr="00715891">
              <w:rPr>
                <w:rFonts w:eastAsia="PMingLiU"/>
                <w:sz w:val="22"/>
                <w:szCs w:val="22"/>
                <w:lang w:val="lt-LT" w:eastAsia="zh-TW"/>
              </w:rPr>
              <w:t>% ; 30,8</w:t>
            </w:r>
            <w:r w:rsidR="00681911" w:rsidRPr="00715891">
              <w:rPr>
                <w:rFonts w:eastAsia="PMingLiU"/>
                <w:sz w:val="22"/>
                <w:szCs w:val="22"/>
                <w:lang w:val="lt-LT" w:eastAsia="zh-TW"/>
              </w:rPr>
              <w:t> </w:t>
            </w:r>
            <w:r w:rsidRPr="00715891">
              <w:rPr>
                <w:rFonts w:eastAsia="PMingLiU"/>
                <w:sz w:val="22"/>
                <w:szCs w:val="22"/>
                <w:lang w:val="lt-LT" w:eastAsia="zh-TW"/>
              </w:rPr>
              <w:t>%]</w:t>
            </w:r>
          </w:p>
        </w:tc>
      </w:tr>
      <w:tr w:rsidR="00107519" w:rsidRPr="00715891" w14:paraId="24CC871F" w14:textId="77777777" w:rsidTr="00EF476A">
        <w:tc>
          <w:tcPr>
            <w:tcW w:w="3108" w:type="dxa"/>
          </w:tcPr>
          <w:p w14:paraId="7B44F1EB" w14:textId="77777777" w:rsidR="00107519" w:rsidRPr="00715891" w:rsidRDefault="00107519" w:rsidP="00107519">
            <w:pPr>
              <w:rPr>
                <w:rFonts w:eastAsia="PMingLiU"/>
                <w:sz w:val="22"/>
                <w:szCs w:val="22"/>
                <w:lang w:val="lt-LT" w:eastAsia="ja-JP"/>
              </w:rPr>
            </w:pPr>
            <w:r w:rsidRPr="00715891">
              <w:rPr>
                <w:rFonts w:eastAsia="PMingLiU"/>
                <w:sz w:val="22"/>
                <w:szCs w:val="22"/>
                <w:lang w:val="lt-LT" w:eastAsia="ja-JP"/>
              </w:rPr>
              <w:t>Pacientai, kuriems patvirtinta CMV liga</w:t>
            </w:r>
          </w:p>
        </w:tc>
        <w:tc>
          <w:tcPr>
            <w:tcW w:w="1882" w:type="dxa"/>
          </w:tcPr>
          <w:p w14:paraId="1F01CF97" w14:textId="77777777" w:rsidR="00107519" w:rsidRPr="00715891" w:rsidRDefault="00107519" w:rsidP="00107519">
            <w:pPr>
              <w:rPr>
                <w:rFonts w:eastAsia="PMingLiU"/>
                <w:sz w:val="22"/>
                <w:szCs w:val="22"/>
                <w:lang w:val="lt-LT" w:eastAsia="ja-JP"/>
              </w:rPr>
            </w:pPr>
            <w:r w:rsidRPr="00715891">
              <w:rPr>
                <w:rFonts w:eastAsia="PMingLiU"/>
                <w:sz w:val="22"/>
                <w:szCs w:val="22"/>
                <w:lang w:val="lt-LT" w:eastAsia="ja-JP"/>
              </w:rPr>
              <w:t>60 (36,8</w:t>
            </w:r>
            <w:r w:rsidR="00681911" w:rsidRPr="00715891">
              <w:rPr>
                <w:rFonts w:eastAsia="PMingLiU"/>
                <w:sz w:val="22"/>
                <w:szCs w:val="22"/>
                <w:lang w:val="lt-LT" w:eastAsia="ja-JP"/>
              </w:rPr>
              <w:t> </w:t>
            </w:r>
            <w:r w:rsidRPr="00715891">
              <w:rPr>
                <w:rFonts w:eastAsia="PMingLiU"/>
                <w:sz w:val="22"/>
                <w:szCs w:val="22"/>
                <w:lang w:val="lt-LT" w:eastAsia="ja-JP"/>
              </w:rPr>
              <w:t>%)</w:t>
            </w:r>
          </w:p>
          <w:p w14:paraId="23859A37" w14:textId="77777777" w:rsidR="00107519" w:rsidRPr="00715891" w:rsidRDefault="00107519" w:rsidP="00107519">
            <w:pPr>
              <w:rPr>
                <w:rFonts w:eastAsia="PMingLiU"/>
                <w:sz w:val="22"/>
                <w:szCs w:val="22"/>
                <w:lang w:val="lt-LT" w:eastAsia="ja-JP"/>
              </w:rPr>
            </w:pPr>
            <w:r w:rsidRPr="00715891">
              <w:rPr>
                <w:rFonts w:eastAsia="PMingLiU"/>
                <w:sz w:val="22"/>
                <w:szCs w:val="22"/>
                <w:lang w:val="lt-LT" w:eastAsia="ja-JP"/>
              </w:rPr>
              <w:t>[29,4</w:t>
            </w:r>
            <w:r w:rsidR="00681911" w:rsidRPr="00715891">
              <w:rPr>
                <w:rFonts w:eastAsia="PMingLiU"/>
                <w:sz w:val="22"/>
                <w:szCs w:val="22"/>
                <w:lang w:val="lt-LT" w:eastAsia="ja-JP"/>
              </w:rPr>
              <w:t> </w:t>
            </w:r>
            <w:r w:rsidRPr="00715891">
              <w:rPr>
                <w:rFonts w:eastAsia="PMingLiU"/>
                <w:sz w:val="22"/>
                <w:szCs w:val="22"/>
                <w:lang w:val="lt-LT" w:eastAsia="ja-JP"/>
              </w:rPr>
              <w:t>% ; 44,7</w:t>
            </w:r>
            <w:r w:rsidR="00681911" w:rsidRPr="00715891">
              <w:rPr>
                <w:rFonts w:eastAsia="PMingLiU"/>
                <w:sz w:val="22"/>
                <w:szCs w:val="22"/>
                <w:lang w:val="lt-LT" w:eastAsia="ja-JP"/>
              </w:rPr>
              <w:t> </w:t>
            </w:r>
            <w:r w:rsidRPr="00715891">
              <w:rPr>
                <w:rFonts w:eastAsia="PMingLiU"/>
                <w:sz w:val="22"/>
                <w:szCs w:val="22"/>
                <w:lang w:val="lt-LT" w:eastAsia="ja-JP"/>
              </w:rPr>
              <w:t>%]</w:t>
            </w:r>
          </w:p>
        </w:tc>
        <w:tc>
          <w:tcPr>
            <w:tcW w:w="1882" w:type="dxa"/>
          </w:tcPr>
          <w:p w14:paraId="5779F8F6" w14:textId="0F970ABE" w:rsidR="00107519" w:rsidRPr="00715891" w:rsidRDefault="00107519" w:rsidP="00107519">
            <w:pPr>
              <w:rPr>
                <w:rFonts w:eastAsia="PMingLiU"/>
                <w:sz w:val="22"/>
                <w:szCs w:val="22"/>
                <w:lang w:val="lt-LT" w:eastAsia="ja-JP"/>
              </w:rPr>
            </w:pPr>
            <w:r w:rsidRPr="00715891">
              <w:rPr>
                <w:rFonts w:eastAsia="PMingLiU"/>
                <w:sz w:val="22"/>
                <w:szCs w:val="22"/>
                <w:lang w:val="lt-LT" w:eastAsia="ja-JP"/>
              </w:rPr>
              <w:t>25 (16,1</w:t>
            </w:r>
            <w:r w:rsidR="00F706F6" w:rsidRPr="00715891">
              <w:rPr>
                <w:rFonts w:eastAsia="PMingLiU"/>
                <w:sz w:val="22"/>
                <w:szCs w:val="22"/>
                <w:lang w:val="lt-LT" w:eastAsia="ja-JP"/>
              </w:rPr>
              <w:t> </w:t>
            </w:r>
            <w:r w:rsidRPr="00715891">
              <w:rPr>
                <w:rFonts w:eastAsia="PMingLiU"/>
                <w:sz w:val="22"/>
                <w:szCs w:val="22"/>
                <w:lang w:val="lt-LT" w:eastAsia="ja-JP"/>
              </w:rPr>
              <w:t>%)</w:t>
            </w:r>
          </w:p>
          <w:p w14:paraId="7D50CC0E" w14:textId="77777777" w:rsidR="00107519" w:rsidRPr="00715891" w:rsidRDefault="00107519" w:rsidP="00107519">
            <w:pPr>
              <w:rPr>
                <w:rFonts w:eastAsia="PMingLiU"/>
                <w:sz w:val="22"/>
                <w:szCs w:val="22"/>
                <w:lang w:val="lt-LT" w:eastAsia="ja-JP"/>
              </w:rPr>
            </w:pPr>
            <w:r w:rsidRPr="00715891">
              <w:rPr>
                <w:rFonts w:eastAsia="PMingLiU"/>
                <w:sz w:val="22"/>
                <w:szCs w:val="22"/>
                <w:lang w:val="lt-LT" w:eastAsia="ja-JP"/>
              </w:rPr>
              <w:t>[10,7</w:t>
            </w:r>
            <w:r w:rsidR="00681911" w:rsidRPr="00715891">
              <w:rPr>
                <w:rFonts w:eastAsia="PMingLiU"/>
                <w:sz w:val="22"/>
                <w:szCs w:val="22"/>
                <w:lang w:val="lt-LT" w:eastAsia="ja-JP"/>
              </w:rPr>
              <w:t> </w:t>
            </w:r>
            <w:r w:rsidRPr="00715891">
              <w:rPr>
                <w:rFonts w:eastAsia="PMingLiU"/>
                <w:sz w:val="22"/>
                <w:szCs w:val="22"/>
                <w:lang w:val="lt-LT" w:eastAsia="ja-JP"/>
              </w:rPr>
              <w:t>% ; 22,9</w:t>
            </w:r>
            <w:r w:rsidR="00681911" w:rsidRPr="00715891">
              <w:rPr>
                <w:rFonts w:eastAsia="PMingLiU"/>
                <w:sz w:val="22"/>
                <w:szCs w:val="22"/>
                <w:lang w:val="lt-LT" w:eastAsia="ja-JP"/>
              </w:rPr>
              <w:t> </w:t>
            </w:r>
            <w:r w:rsidRPr="00715891">
              <w:rPr>
                <w:rFonts w:eastAsia="PMingLiU"/>
                <w:sz w:val="22"/>
                <w:szCs w:val="22"/>
                <w:lang w:val="lt-LT" w:eastAsia="ja-JP"/>
              </w:rPr>
              <w:t>%]</w:t>
            </w:r>
          </w:p>
        </w:tc>
        <w:tc>
          <w:tcPr>
            <w:tcW w:w="1883" w:type="dxa"/>
          </w:tcPr>
          <w:p w14:paraId="1FB13B5C" w14:textId="202E20B0" w:rsidR="00107519" w:rsidRPr="00715891" w:rsidRDefault="00107519" w:rsidP="00107519">
            <w:pPr>
              <w:rPr>
                <w:rFonts w:eastAsia="PMingLiU"/>
                <w:sz w:val="22"/>
                <w:szCs w:val="22"/>
                <w:lang w:val="lt-LT" w:eastAsia="zh-TW"/>
              </w:rPr>
            </w:pPr>
            <w:r w:rsidRPr="00715891">
              <w:rPr>
                <w:rFonts w:eastAsia="PMingLiU"/>
                <w:sz w:val="22"/>
                <w:szCs w:val="22"/>
                <w:lang w:val="lt-LT" w:eastAsia="zh-TW"/>
              </w:rPr>
              <w:t>20,7</w:t>
            </w:r>
            <w:r w:rsidR="00F706F6" w:rsidRPr="00715891">
              <w:rPr>
                <w:rFonts w:eastAsia="PMingLiU"/>
                <w:sz w:val="22"/>
                <w:szCs w:val="22"/>
                <w:lang w:val="lt-LT" w:eastAsia="zh-TW"/>
              </w:rPr>
              <w:t> </w:t>
            </w:r>
            <w:r w:rsidRPr="00715891">
              <w:rPr>
                <w:rFonts w:eastAsia="PMingLiU"/>
                <w:sz w:val="22"/>
                <w:szCs w:val="22"/>
                <w:lang w:val="lt-LT" w:eastAsia="zh-TW"/>
              </w:rPr>
              <w:t>%</w:t>
            </w:r>
          </w:p>
          <w:p w14:paraId="6D3EFF14" w14:textId="77777777" w:rsidR="00107519" w:rsidRPr="00715891" w:rsidRDefault="00107519" w:rsidP="00107519">
            <w:pPr>
              <w:rPr>
                <w:rFonts w:eastAsia="PMingLiU"/>
                <w:sz w:val="22"/>
                <w:szCs w:val="22"/>
                <w:lang w:val="lt-LT" w:eastAsia="ja-JP"/>
              </w:rPr>
            </w:pPr>
            <w:r w:rsidRPr="00715891">
              <w:rPr>
                <w:rFonts w:eastAsia="PMingLiU"/>
                <w:sz w:val="22"/>
                <w:szCs w:val="22"/>
                <w:lang w:val="lt-LT" w:eastAsia="zh-TW"/>
              </w:rPr>
              <w:t>[10,9</w:t>
            </w:r>
            <w:r w:rsidR="00681911" w:rsidRPr="00715891">
              <w:rPr>
                <w:rFonts w:eastAsia="PMingLiU"/>
                <w:sz w:val="22"/>
                <w:szCs w:val="22"/>
                <w:lang w:val="lt-LT" w:eastAsia="zh-TW"/>
              </w:rPr>
              <w:t> </w:t>
            </w:r>
            <w:r w:rsidRPr="00715891">
              <w:rPr>
                <w:rFonts w:eastAsia="PMingLiU"/>
                <w:sz w:val="22"/>
                <w:szCs w:val="22"/>
                <w:lang w:val="lt-LT" w:eastAsia="zh-TW"/>
              </w:rPr>
              <w:t>% ; 30,4</w:t>
            </w:r>
            <w:r w:rsidR="00681911" w:rsidRPr="00715891">
              <w:rPr>
                <w:rFonts w:eastAsia="PMingLiU"/>
                <w:sz w:val="22"/>
                <w:szCs w:val="22"/>
                <w:lang w:val="lt-LT" w:eastAsia="zh-TW"/>
              </w:rPr>
              <w:t> </w:t>
            </w:r>
            <w:r w:rsidRPr="00715891">
              <w:rPr>
                <w:rFonts w:eastAsia="PMingLiU"/>
                <w:sz w:val="22"/>
                <w:szCs w:val="22"/>
                <w:lang w:val="lt-LT" w:eastAsia="zh-TW"/>
              </w:rPr>
              <w:t>%]</w:t>
            </w:r>
          </w:p>
        </w:tc>
      </w:tr>
    </w:tbl>
    <w:p w14:paraId="5568769E" w14:textId="77777777" w:rsidR="00107519" w:rsidRPr="00715891" w:rsidRDefault="00107519" w:rsidP="00107519">
      <w:pPr>
        <w:rPr>
          <w:rFonts w:eastAsia="PMingLiU"/>
          <w:sz w:val="22"/>
          <w:szCs w:val="22"/>
          <w:lang w:val="lt-LT" w:eastAsia="ja-JP"/>
        </w:rPr>
      </w:pPr>
      <w:r w:rsidRPr="00715891">
        <w:rPr>
          <w:rFonts w:eastAsia="PMingLiU"/>
          <w:sz w:val="22"/>
          <w:szCs w:val="22"/>
          <w:vertAlign w:val="superscript"/>
          <w:lang w:val="lt-LT" w:eastAsia="ja-JP"/>
        </w:rPr>
        <w:t xml:space="preserve">1 </w:t>
      </w:r>
      <w:r w:rsidRPr="00715891">
        <w:rPr>
          <w:rFonts w:eastAsia="PMingLiU"/>
          <w:sz w:val="22"/>
          <w:szCs w:val="22"/>
          <w:lang w:val="lt-LT" w:eastAsia="ja-JP"/>
        </w:rPr>
        <w:t xml:space="preserve">CMV liga apibūdinama kaip CMV sindromas arba kaip CMV invazija į audinius. </w:t>
      </w:r>
    </w:p>
    <w:p w14:paraId="239B7ABE" w14:textId="77777777" w:rsidR="00107519" w:rsidRPr="00715891" w:rsidRDefault="00107519" w:rsidP="00107519">
      <w:pPr>
        <w:rPr>
          <w:sz w:val="22"/>
          <w:szCs w:val="22"/>
          <w:lang w:val="lt-LT" w:eastAsia="ja-JP"/>
        </w:rPr>
      </w:pPr>
      <w:r w:rsidRPr="00715891">
        <w:rPr>
          <w:sz w:val="22"/>
          <w:szCs w:val="22"/>
          <w:vertAlign w:val="superscript"/>
          <w:lang w:val="lt-LT" w:eastAsia="ja-JP"/>
        </w:rPr>
        <w:t>2</w:t>
      </w:r>
      <w:r w:rsidRPr="00715891">
        <w:rPr>
          <w:sz w:val="22"/>
          <w:szCs w:val="22"/>
          <w:lang w:val="lt-LT" w:eastAsia="ja-JP"/>
        </w:rPr>
        <w:t xml:space="preserve"> Patvirtinta CMV – tai kliniškai patvirtintas CMV ligos atvejis.  Pacientams CMV liga buvo įtariama, jei 52 savaitę nebuvo atliktas vertinimas ir CMV liga nebuvo patvirtinta iki šio laiko. </w:t>
      </w:r>
    </w:p>
    <w:p w14:paraId="1EC0A1B8" w14:textId="0BC1141D" w:rsidR="00107519" w:rsidRPr="00715891" w:rsidRDefault="00107519" w:rsidP="00107519">
      <w:pPr>
        <w:rPr>
          <w:sz w:val="22"/>
          <w:szCs w:val="22"/>
          <w:lang w:val="lt-LT" w:eastAsia="ja-JP"/>
        </w:rPr>
      </w:pPr>
      <w:r w:rsidRPr="00715891">
        <w:rPr>
          <w:sz w:val="22"/>
          <w:szCs w:val="22"/>
          <w:vertAlign w:val="superscript"/>
          <w:lang w:val="lt-LT" w:eastAsia="ja-JP"/>
        </w:rPr>
        <w:t>A</w:t>
      </w:r>
      <w:r w:rsidRPr="00715891">
        <w:rPr>
          <w:sz w:val="22"/>
          <w:szCs w:val="22"/>
          <w:lang w:val="lt-LT" w:eastAsia="ja-JP"/>
        </w:rPr>
        <w:t xml:space="preserve"> Rezultatai, nustatyti tiriant iki 24</w:t>
      </w:r>
      <w:r w:rsidR="00F706F6" w:rsidRPr="00715891">
        <w:rPr>
          <w:sz w:val="22"/>
          <w:szCs w:val="22"/>
          <w:lang w:val="lt-LT" w:eastAsia="ja-JP"/>
        </w:rPr>
        <w:t> </w:t>
      </w:r>
      <w:r w:rsidRPr="00715891">
        <w:rPr>
          <w:sz w:val="22"/>
          <w:szCs w:val="22"/>
          <w:lang w:val="lt-LT" w:eastAsia="ja-JP"/>
        </w:rPr>
        <w:t>mėnesių atitiko rezultatus, gautus tiriant iki 12</w:t>
      </w:r>
      <w:r w:rsidR="00F706F6" w:rsidRPr="00715891">
        <w:rPr>
          <w:sz w:val="22"/>
          <w:szCs w:val="22"/>
          <w:lang w:val="lt-LT" w:eastAsia="ja-JP"/>
        </w:rPr>
        <w:t> </w:t>
      </w:r>
      <w:r w:rsidRPr="00715891">
        <w:rPr>
          <w:sz w:val="22"/>
          <w:szCs w:val="22"/>
          <w:lang w:val="lt-LT" w:eastAsia="ja-JP"/>
        </w:rPr>
        <w:t>mėnesių. Patvirtinta arba įtariama CMV liga sirgo 48,5</w:t>
      </w:r>
      <w:r w:rsidR="00F706F6" w:rsidRPr="00715891">
        <w:rPr>
          <w:sz w:val="22"/>
          <w:szCs w:val="22"/>
          <w:lang w:val="lt-LT" w:eastAsia="ja-JP"/>
        </w:rPr>
        <w:t> </w:t>
      </w:r>
      <w:r w:rsidRPr="00715891">
        <w:rPr>
          <w:sz w:val="22"/>
          <w:szCs w:val="22"/>
          <w:lang w:val="lt-LT" w:eastAsia="ja-JP"/>
        </w:rPr>
        <w:t>% pacientų, gydytų 100</w:t>
      </w:r>
      <w:r w:rsidR="00F706F6" w:rsidRPr="00715891">
        <w:rPr>
          <w:sz w:val="22"/>
          <w:szCs w:val="22"/>
          <w:lang w:val="lt-LT" w:eastAsia="ja-JP"/>
        </w:rPr>
        <w:t> </w:t>
      </w:r>
      <w:r w:rsidRPr="00715891">
        <w:rPr>
          <w:sz w:val="22"/>
          <w:szCs w:val="22"/>
          <w:lang w:val="lt-LT" w:eastAsia="ja-JP"/>
        </w:rPr>
        <w:t>parų, palyginti su 34,2</w:t>
      </w:r>
      <w:r w:rsidR="00681911" w:rsidRPr="00715891">
        <w:rPr>
          <w:sz w:val="22"/>
          <w:szCs w:val="22"/>
          <w:lang w:val="lt-LT" w:eastAsia="ja-JP"/>
        </w:rPr>
        <w:t> </w:t>
      </w:r>
      <w:r w:rsidRPr="00715891">
        <w:rPr>
          <w:sz w:val="22"/>
          <w:szCs w:val="22"/>
          <w:lang w:val="lt-LT" w:eastAsia="ja-JP"/>
        </w:rPr>
        <w:t>% pacientų, kurie gydyti 200</w:t>
      </w:r>
      <w:r w:rsidR="00F706F6" w:rsidRPr="00715891">
        <w:rPr>
          <w:sz w:val="22"/>
          <w:szCs w:val="22"/>
          <w:lang w:val="lt-LT" w:eastAsia="ja-JP"/>
        </w:rPr>
        <w:t> </w:t>
      </w:r>
      <w:r w:rsidRPr="00715891">
        <w:rPr>
          <w:sz w:val="22"/>
          <w:szCs w:val="22"/>
          <w:lang w:val="lt-LT" w:eastAsia="ja-JP"/>
        </w:rPr>
        <w:t>parų; skirtumas tarp gydomųjų grupių buvo 14,3</w:t>
      </w:r>
      <w:r w:rsidR="00681911" w:rsidRPr="00715891">
        <w:rPr>
          <w:sz w:val="22"/>
          <w:szCs w:val="22"/>
          <w:lang w:val="lt-LT" w:eastAsia="ja-JP"/>
        </w:rPr>
        <w:t> </w:t>
      </w:r>
      <w:r w:rsidRPr="00715891">
        <w:rPr>
          <w:sz w:val="22"/>
          <w:szCs w:val="22"/>
          <w:lang w:val="lt-LT" w:eastAsia="ja-JP"/>
        </w:rPr>
        <w:t>% [3,2</w:t>
      </w:r>
      <w:r w:rsidR="00681911" w:rsidRPr="00715891">
        <w:rPr>
          <w:sz w:val="22"/>
          <w:szCs w:val="22"/>
          <w:lang w:val="lt-LT" w:eastAsia="ja-JP"/>
        </w:rPr>
        <w:t> </w:t>
      </w:r>
      <w:r w:rsidRPr="00715891">
        <w:rPr>
          <w:sz w:val="22"/>
          <w:szCs w:val="22"/>
          <w:lang w:val="lt-LT" w:eastAsia="ja-JP"/>
        </w:rPr>
        <w:t>%; 25,3</w:t>
      </w:r>
      <w:r w:rsidR="00681911" w:rsidRPr="00715891">
        <w:rPr>
          <w:sz w:val="22"/>
          <w:szCs w:val="22"/>
          <w:lang w:val="lt-LT" w:eastAsia="ja-JP"/>
        </w:rPr>
        <w:t> </w:t>
      </w:r>
      <w:r w:rsidRPr="00715891">
        <w:rPr>
          <w:sz w:val="22"/>
          <w:szCs w:val="22"/>
          <w:lang w:val="lt-LT" w:eastAsia="ja-JP"/>
        </w:rPr>
        <w:t>%].</w:t>
      </w:r>
    </w:p>
    <w:p w14:paraId="5F08C963" w14:textId="77777777" w:rsidR="00107519" w:rsidRPr="00715891" w:rsidRDefault="00107519" w:rsidP="00107519">
      <w:pPr>
        <w:rPr>
          <w:sz w:val="22"/>
          <w:szCs w:val="22"/>
          <w:lang w:val="lt-LT" w:eastAsia="ja-JP"/>
        </w:rPr>
      </w:pPr>
    </w:p>
    <w:p w14:paraId="6F22C7FC" w14:textId="77777777" w:rsidR="00107519" w:rsidRPr="00715891" w:rsidRDefault="00107519" w:rsidP="00107519">
      <w:pPr>
        <w:rPr>
          <w:sz w:val="22"/>
          <w:szCs w:val="22"/>
          <w:lang w:val="lt-LT" w:eastAsia="ja-JP"/>
        </w:rPr>
      </w:pPr>
      <w:r w:rsidRPr="00715891">
        <w:rPr>
          <w:sz w:val="22"/>
          <w:szCs w:val="22"/>
          <w:lang w:val="lt-LT" w:eastAsia="ja-JP"/>
        </w:rPr>
        <w:t>Pacientams, po inksto persodinimo profilaktiškai vartojusiems valgancikloviro iki 200-tosios paros po transplantacijos, buvo reikšmingai mažesnė rizika susirgti CMV liga, negu pacientams, kurie CMV profilaktiką valgancikloviru baigė šimtąją parą po transplantacijos.</w:t>
      </w:r>
    </w:p>
    <w:p w14:paraId="245EF367" w14:textId="66243EDD" w:rsidR="00107519" w:rsidRPr="00715891" w:rsidRDefault="00107519" w:rsidP="00107519">
      <w:pPr>
        <w:rPr>
          <w:sz w:val="22"/>
          <w:szCs w:val="22"/>
          <w:lang w:val="lt-LT" w:eastAsia="ja-JP"/>
        </w:rPr>
      </w:pPr>
      <w:r w:rsidRPr="00715891">
        <w:rPr>
          <w:sz w:val="22"/>
          <w:szCs w:val="22"/>
          <w:lang w:val="lt-LT" w:eastAsia="ja-JP"/>
        </w:rPr>
        <w:lastRenderedPageBreak/>
        <w:t xml:space="preserve">Transplanto išlikimo, kaip ir biopsija patvirtinto ūminio jo atmetimo, dažnis abiejose grupėse buvo panašus. Transplanto išlikimo procentas 12-tą mėnesį po organo persodinimo buvo </w:t>
      </w:r>
      <w:r w:rsidRPr="00715891">
        <w:rPr>
          <w:rFonts w:eastAsia="PMingLiU"/>
          <w:sz w:val="22"/>
          <w:szCs w:val="22"/>
          <w:lang w:val="lt-LT" w:eastAsia="zh-TW"/>
        </w:rPr>
        <w:t>98,2</w:t>
      </w:r>
      <w:r w:rsidR="00681911" w:rsidRPr="00715891">
        <w:rPr>
          <w:rFonts w:eastAsia="PMingLiU"/>
          <w:sz w:val="22"/>
          <w:szCs w:val="22"/>
          <w:lang w:val="lt-LT" w:eastAsia="zh-TW"/>
        </w:rPr>
        <w:t> </w:t>
      </w:r>
      <w:r w:rsidRPr="00715891">
        <w:rPr>
          <w:rFonts w:eastAsia="PMingLiU"/>
          <w:sz w:val="22"/>
          <w:szCs w:val="22"/>
          <w:lang w:val="lt-LT" w:eastAsia="zh-TW"/>
        </w:rPr>
        <w:t>% (160 iš 163) skiriant profilaktiką 100</w:t>
      </w:r>
      <w:r w:rsidR="00F706F6" w:rsidRPr="00715891">
        <w:rPr>
          <w:rFonts w:eastAsia="PMingLiU"/>
          <w:sz w:val="22"/>
          <w:szCs w:val="22"/>
          <w:lang w:val="lt-LT" w:eastAsia="zh-TW"/>
        </w:rPr>
        <w:t> </w:t>
      </w:r>
      <w:r w:rsidRPr="00715891">
        <w:rPr>
          <w:rFonts w:eastAsia="PMingLiU"/>
          <w:sz w:val="22"/>
          <w:szCs w:val="22"/>
          <w:lang w:val="lt-LT" w:eastAsia="zh-TW"/>
        </w:rPr>
        <w:t>parų ir 98,1</w:t>
      </w:r>
      <w:r w:rsidR="00681911" w:rsidRPr="00715891">
        <w:rPr>
          <w:rFonts w:eastAsia="PMingLiU"/>
          <w:sz w:val="22"/>
          <w:szCs w:val="22"/>
          <w:lang w:val="lt-LT" w:eastAsia="zh-TW"/>
        </w:rPr>
        <w:t> </w:t>
      </w:r>
      <w:r w:rsidRPr="00715891">
        <w:rPr>
          <w:rFonts w:eastAsia="PMingLiU"/>
          <w:sz w:val="22"/>
          <w:szCs w:val="22"/>
          <w:lang w:val="lt-LT" w:eastAsia="zh-TW"/>
        </w:rPr>
        <w:t>% (152 iš 155), kai profilaktika truko 200 parų. Gauta pranešimų, kad iki 24</w:t>
      </w:r>
      <w:r w:rsidR="00F706F6" w:rsidRPr="00715891">
        <w:rPr>
          <w:rFonts w:eastAsia="PMingLiU"/>
          <w:sz w:val="22"/>
          <w:szCs w:val="22"/>
          <w:lang w:val="lt-LT" w:eastAsia="zh-TW"/>
        </w:rPr>
        <w:t> </w:t>
      </w:r>
      <w:r w:rsidRPr="00715891">
        <w:rPr>
          <w:rFonts w:eastAsia="PMingLiU"/>
          <w:sz w:val="22"/>
          <w:szCs w:val="22"/>
          <w:lang w:val="lt-LT" w:eastAsia="zh-TW"/>
        </w:rPr>
        <w:t>mėnesių po organo persodinimo įvyko keturi papildomi transplanto netekimo atvejai – visi 100 parų vaist</w:t>
      </w:r>
      <w:r w:rsidR="00B957C0" w:rsidRPr="00715891">
        <w:rPr>
          <w:rFonts w:eastAsia="PMingLiU"/>
          <w:sz w:val="22"/>
          <w:szCs w:val="22"/>
          <w:lang w:val="lt-LT" w:eastAsia="zh-TW"/>
        </w:rPr>
        <w:t>ini</w:t>
      </w:r>
      <w:r w:rsidRPr="00715891">
        <w:rPr>
          <w:rFonts w:eastAsia="PMingLiU"/>
          <w:sz w:val="22"/>
          <w:szCs w:val="22"/>
          <w:lang w:val="lt-LT" w:eastAsia="zh-TW"/>
        </w:rPr>
        <w:t>o</w:t>
      </w:r>
      <w:r w:rsidR="00B957C0" w:rsidRPr="00715891">
        <w:rPr>
          <w:rFonts w:eastAsia="PMingLiU"/>
          <w:sz w:val="22"/>
          <w:szCs w:val="22"/>
          <w:lang w:val="lt-LT" w:eastAsia="zh-TW"/>
        </w:rPr>
        <w:t xml:space="preserve"> preparato</w:t>
      </w:r>
      <w:r w:rsidRPr="00715891">
        <w:rPr>
          <w:rFonts w:eastAsia="PMingLiU"/>
          <w:sz w:val="22"/>
          <w:szCs w:val="22"/>
          <w:lang w:val="lt-LT" w:eastAsia="zh-TW"/>
        </w:rPr>
        <w:t xml:space="preserve"> vartojusiųjų grupėje. Biopsija patvirtintų ūminių atmetimų dažnis 12-tą mėnesį po transplantacijos taikant profilaktiką 100</w:t>
      </w:r>
      <w:r w:rsidR="00F706F6" w:rsidRPr="00715891">
        <w:rPr>
          <w:rFonts w:eastAsia="PMingLiU"/>
          <w:sz w:val="22"/>
          <w:szCs w:val="22"/>
          <w:lang w:val="lt-LT" w:eastAsia="zh-TW"/>
        </w:rPr>
        <w:t> </w:t>
      </w:r>
      <w:r w:rsidRPr="00715891">
        <w:rPr>
          <w:rFonts w:eastAsia="PMingLiU"/>
          <w:sz w:val="22"/>
          <w:szCs w:val="22"/>
          <w:lang w:val="lt-LT" w:eastAsia="zh-TW"/>
        </w:rPr>
        <w:t>parų buvo 17,2</w:t>
      </w:r>
      <w:r w:rsidR="00681911" w:rsidRPr="00715891">
        <w:rPr>
          <w:rFonts w:eastAsia="PMingLiU"/>
          <w:sz w:val="22"/>
          <w:szCs w:val="22"/>
          <w:lang w:val="lt-LT" w:eastAsia="zh-TW"/>
        </w:rPr>
        <w:t> </w:t>
      </w:r>
      <w:r w:rsidRPr="00715891">
        <w:rPr>
          <w:rFonts w:eastAsia="PMingLiU"/>
          <w:sz w:val="22"/>
          <w:szCs w:val="22"/>
          <w:lang w:val="lt-LT" w:eastAsia="zh-TW"/>
        </w:rPr>
        <w:t>% (28 iš 163) ir 11,0</w:t>
      </w:r>
      <w:r w:rsidR="00681911" w:rsidRPr="00715891">
        <w:rPr>
          <w:rFonts w:eastAsia="PMingLiU"/>
          <w:sz w:val="22"/>
          <w:szCs w:val="22"/>
          <w:lang w:val="lt-LT" w:eastAsia="zh-TW"/>
        </w:rPr>
        <w:t> </w:t>
      </w:r>
      <w:r w:rsidRPr="00715891">
        <w:rPr>
          <w:rFonts w:eastAsia="PMingLiU"/>
          <w:sz w:val="22"/>
          <w:szCs w:val="22"/>
          <w:lang w:val="lt-LT" w:eastAsia="zh-TW"/>
        </w:rPr>
        <w:t>% (17 iš 155) – 200</w:t>
      </w:r>
      <w:r w:rsidR="00F706F6" w:rsidRPr="00715891">
        <w:rPr>
          <w:rFonts w:eastAsia="PMingLiU"/>
          <w:sz w:val="22"/>
          <w:szCs w:val="22"/>
          <w:lang w:val="lt-LT" w:eastAsia="zh-TW"/>
        </w:rPr>
        <w:t> </w:t>
      </w:r>
      <w:r w:rsidRPr="00715891">
        <w:rPr>
          <w:rFonts w:eastAsia="PMingLiU"/>
          <w:sz w:val="22"/>
          <w:szCs w:val="22"/>
          <w:lang w:val="lt-LT" w:eastAsia="zh-TW"/>
        </w:rPr>
        <w:t>parų. 200</w:t>
      </w:r>
      <w:r w:rsidR="00F706F6" w:rsidRPr="00715891">
        <w:rPr>
          <w:rFonts w:eastAsia="PMingLiU"/>
          <w:sz w:val="22"/>
          <w:szCs w:val="22"/>
          <w:lang w:val="lt-LT" w:eastAsia="zh-TW"/>
        </w:rPr>
        <w:t> </w:t>
      </w:r>
      <w:r w:rsidRPr="00715891">
        <w:rPr>
          <w:rFonts w:eastAsia="PMingLiU"/>
          <w:sz w:val="22"/>
          <w:szCs w:val="22"/>
          <w:lang w:val="lt-LT" w:eastAsia="zh-TW"/>
        </w:rPr>
        <w:t>parų profilaktikos grupėje iki 24</w:t>
      </w:r>
      <w:r w:rsidR="00F706F6" w:rsidRPr="00715891">
        <w:rPr>
          <w:rFonts w:eastAsia="PMingLiU"/>
          <w:sz w:val="22"/>
          <w:szCs w:val="22"/>
          <w:lang w:val="lt-LT" w:eastAsia="zh-TW"/>
        </w:rPr>
        <w:t> </w:t>
      </w:r>
      <w:r w:rsidRPr="00715891">
        <w:rPr>
          <w:rFonts w:eastAsia="PMingLiU"/>
          <w:sz w:val="22"/>
          <w:szCs w:val="22"/>
          <w:lang w:val="lt-LT" w:eastAsia="zh-TW"/>
        </w:rPr>
        <w:t>mėnesio po transplantacijos buvo vienas papildomas transplanto netekimo atvejis.</w:t>
      </w:r>
    </w:p>
    <w:p w14:paraId="69AC7CC6" w14:textId="77777777" w:rsidR="00107519" w:rsidRPr="00715891" w:rsidRDefault="00107519" w:rsidP="00107519">
      <w:pPr>
        <w:rPr>
          <w:sz w:val="22"/>
          <w:szCs w:val="22"/>
          <w:lang w:val="lt-LT" w:eastAsia="ja-JP"/>
        </w:rPr>
      </w:pPr>
    </w:p>
    <w:p w14:paraId="193BA747" w14:textId="77777777" w:rsidR="00107519" w:rsidRPr="00715891" w:rsidRDefault="00107519" w:rsidP="00107519">
      <w:pPr>
        <w:rPr>
          <w:sz w:val="22"/>
          <w:szCs w:val="22"/>
          <w:u w:val="single"/>
          <w:lang w:val="lt-LT" w:eastAsia="ja-JP"/>
        </w:rPr>
      </w:pPr>
      <w:r w:rsidRPr="00715891">
        <w:rPr>
          <w:sz w:val="22"/>
          <w:szCs w:val="22"/>
          <w:u w:val="single"/>
          <w:lang w:val="lt-LT" w:eastAsia="ja-JP"/>
        </w:rPr>
        <w:t xml:space="preserve">Virusų atsparumas </w:t>
      </w:r>
    </w:p>
    <w:p w14:paraId="208CFF20" w14:textId="6F09031A" w:rsidR="00107519" w:rsidRPr="00715891" w:rsidRDefault="00107519" w:rsidP="00107519">
      <w:pPr>
        <w:rPr>
          <w:sz w:val="22"/>
          <w:szCs w:val="22"/>
          <w:lang w:val="lt-LT" w:eastAsia="ja-JP"/>
        </w:rPr>
      </w:pPr>
      <w:r w:rsidRPr="00715891">
        <w:rPr>
          <w:sz w:val="22"/>
          <w:szCs w:val="22"/>
          <w:lang w:val="lt-LT" w:eastAsia="ja-JP"/>
        </w:rPr>
        <w:t>Ilgai vartojant valganciklovirą virusai gali tapti atsparūs ganciklovirui dėl virusinės kinazės geno (UL97), lemiančio gancikloviro monofosforilinimą, mutacijų arba virusinės polimerazės geno (UL54) mutacijų selekcijos</w:t>
      </w:r>
      <w:r w:rsidR="00F8172D" w:rsidRPr="00715891">
        <w:rPr>
          <w:sz w:val="22"/>
          <w:szCs w:val="22"/>
          <w:lang w:val="lt-LT" w:eastAsia="ja-JP"/>
        </w:rPr>
        <w:t xml:space="preserve">. Klinikinėje praktikoje gautuose viruso izoliatuose dažniausiai pastebėtos su atsparumu ganciklovirui susijusios pakaitos yra kanoninės UL97 pakaitos: M460V/I, H520Q, C592G, A594V, L595S ir C603W. </w:t>
      </w:r>
      <w:r w:rsidRPr="00715891">
        <w:rPr>
          <w:sz w:val="22"/>
          <w:szCs w:val="22"/>
          <w:lang w:val="lt-LT" w:eastAsia="ja-JP"/>
        </w:rPr>
        <w:t>Virusai, kuriuose yra UL97 geno mutacijų, būna atsparūs tik ganciklovirui, o virusai, kuriuose yra UL54 geno mutacijų, gali būti kryžmiškai atsparūs ir kitiems antivirusiniams vaistiniams preparatams, kurių taikinys taip pat yra virusinė polimerazė.</w:t>
      </w:r>
    </w:p>
    <w:p w14:paraId="3C1996AF" w14:textId="77777777" w:rsidR="00681911" w:rsidRPr="00715891" w:rsidRDefault="00681911" w:rsidP="00107519">
      <w:pPr>
        <w:rPr>
          <w:i/>
          <w:sz w:val="22"/>
          <w:lang w:val="lt-LT"/>
        </w:rPr>
      </w:pPr>
    </w:p>
    <w:p w14:paraId="3CB6808E" w14:textId="77777777" w:rsidR="00107519" w:rsidRPr="00715891" w:rsidRDefault="00107519" w:rsidP="00107519">
      <w:pPr>
        <w:rPr>
          <w:i/>
          <w:sz w:val="22"/>
          <w:szCs w:val="22"/>
          <w:lang w:val="lt-LT" w:eastAsia="ja-JP"/>
        </w:rPr>
      </w:pPr>
      <w:r w:rsidRPr="00715891">
        <w:rPr>
          <w:i/>
          <w:sz w:val="22"/>
          <w:szCs w:val="22"/>
          <w:lang w:val="lt-LT" w:eastAsia="ja-JP"/>
        </w:rPr>
        <w:t>CMV retinito gydymas</w:t>
      </w:r>
    </w:p>
    <w:p w14:paraId="406E9E47" w14:textId="77777777" w:rsidR="00107519" w:rsidRPr="00715891" w:rsidRDefault="00107519" w:rsidP="00107519">
      <w:pPr>
        <w:rPr>
          <w:sz w:val="22"/>
          <w:szCs w:val="22"/>
          <w:lang w:val="lt-LT" w:eastAsia="ja-JP"/>
        </w:rPr>
      </w:pPr>
      <w:r w:rsidRPr="00715891">
        <w:rPr>
          <w:sz w:val="22"/>
          <w:szCs w:val="22"/>
          <w:lang w:val="lt-LT" w:eastAsia="ja-JP"/>
        </w:rPr>
        <w:t xml:space="preserve">CMV, išskirtų iš viename klinikiniame tyrime dalyvavusių CMV retinitu sergančių 148 pacientų polimorfonuklearinių leukocitų (PMNL), genotipo analizės duomenimis, po 3, 6, 12 ir 18 gydymo valgancikloviru mėnesių buvo atitinkamai 2,2 %, 6,5 %, 12,8 % ir 15,3 % UL97 mutacijų. </w:t>
      </w:r>
    </w:p>
    <w:p w14:paraId="6EBAE9B3" w14:textId="77777777" w:rsidR="00107519" w:rsidRPr="00715891" w:rsidRDefault="00107519" w:rsidP="00107519">
      <w:pPr>
        <w:suppressAutoHyphens/>
        <w:rPr>
          <w:i/>
          <w:sz w:val="22"/>
          <w:szCs w:val="22"/>
          <w:lang w:val="lt-LT" w:eastAsia="ja-JP"/>
        </w:rPr>
      </w:pPr>
    </w:p>
    <w:p w14:paraId="13A4650D" w14:textId="77777777" w:rsidR="00107519" w:rsidRPr="00715891" w:rsidRDefault="00107519" w:rsidP="00107519">
      <w:pPr>
        <w:rPr>
          <w:i/>
          <w:sz w:val="22"/>
          <w:szCs w:val="22"/>
          <w:lang w:val="lt-LT" w:eastAsia="ja-JP"/>
        </w:rPr>
      </w:pPr>
      <w:r w:rsidRPr="00715891">
        <w:rPr>
          <w:i/>
          <w:sz w:val="22"/>
          <w:szCs w:val="22"/>
          <w:lang w:val="lt-LT" w:eastAsia="ja-JP"/>
        </w:rPr>
        <w:t>CMV ligos profilaktika po transplantacijos</w:t>
      </w:r>
    </w:p>
    <w:p w14:paraId="24C5624A" w14:textId="77777777" w:rsidR="00107519" w:rsidRPr="00715891" w:rsidRDefault="00107519" w:rsidP="00107519">
      <w:pPr>
        <w:rPr>
          <w:sz w:val="22"/>
          <w:szCs w:val="22"/>
          <w:u w:val="single"/>
          <w:lang w:val="lt-LT" w:eastAsia="ja-JP"/>
        </w:rPr>
      </w:pPr>
      <w:r w:rsidRPr="00715891">
        <w:rPr>
          <w:sz w:val="22"/>
          <w:szCs w:val="22"/>
          <w:u w:val="single"/>
          <w:lang w:val="lt-LT" w:eastAsia="ja-JP"/>
        </w:rPr>
        <w:t>Aktyvaus palyginamojo preparato vartojimas</w:t>
      </w:r>
    </w:p>
    <w:p w14:paraId="43587E0F" w14:textId="3ABC4A84" w:rsidR="00107519" w:rsidRPr="00715891" w:rsidRDefault="00107519" w:rsidP="00107519">
      <w:pPr>
        <w:rPr>
          <w:sz w:val="22"/>
          <w:szCs w:val="22"/>
          <w:lang w:val="lt-LT" w:eastAsia="ja-JP"/>
        </w:rPr>
      </w:pPr>
      <w:r w:rsidRPr="00715891">
        <w:rPr>
          <w:sz w:val="22"/>
          <w:szCs w:val="22"/>
          <w:lang w:val="lt-LT" w:eastAsia="ja-JP"/>
        </w:rPr>
        <w:t>Genotipo analizės būdu tirtas polimorfonukleariniuose leukocituose esančių CMV atsparumas. Vienais atvejais bandiniai atrinkti šimtąją parą (profilaktikos tiriamuoju vaist</w:t>
      </w:r>
      <w:r w:rsidR="00B957C0" w:rsidRPr="00715891">
        <w:rPr>
          <w:sz w:val="22"/>
          <w:szCs w:val="22"/>
          <w:lang w:val="lt-LT" w:eastAsia="ja-JP"/>
        </w:rPr>
        <w:t>ini</w:t>
      </w:r>
      <w:r w:rsidRPr="00715891">
        <w:rPr>
          <w:sz w:val="22"/>
          <w:szCs w:val="22"/>
          <w:lang w:val="lt-LT" w:eastAsia="ja-JP"/>
        </w:rPr>
        <w:t xml:space="preserve">u </w:t>
      </w:r>
      <w:r w:rsidR="00B957C0" w:rsidRPr="00715891">
        <w:rPr>
          <w:sz w:val="22"/>
          <w:szCs w:val="22"/>
          <w:lang w:val="lt-LT" w:eastAsia="ja-JP"/>
        </w:rPr>
        <w:t xml:space="preserve">preparatu </w:t>
      </w:r>
      <w:r w:rsidRPr="00715891">
        <w:rPr>
          <w:sz w:val="22"/>
          <w:szCs w:val="22"/>
          <w:lang w:val="lt-LT" w:eastAsia="ja-JP"/>
        </w:rPr>
        <w:t>pabaigoje), kitais – įtarus CMV ligą iki 6 mėnesių po transplantacijos. Iš 245 pacientų, atsitiktinės atrankos būdu priskirtų vartoti valganciklovirą, šimtąją parą tyrimui buvo atrinkti 198 bandiniai; atsparumo ganciklovirui mutacijų nenustatyta. Tai nesiskiria nuo atsparumo ganciklovirui mutacijų dažnumo po profilaktikos gancikloviru: šioje grupėje mutacijų nustatyta dviejuose iš 103 (1,9 %) tirtų bandinių.</w:t>
      </w:r>
    </w:p>
    <w:p w14:paraId="34E8E2BC" w14:textId="77777777" w:rsidR="00107519" w:rsidRPr="00715891" w:rsidRDefault="00107519" w:rsidP="00107519">
      <w:pPr>
        <w:rPr>
          <w:b/>
          <w:i/>
          <w:sz w:val="22"/>
          <w:szCs w:val="22"/>
          <w:lang w:val="lt-LT" w:eastAsia="ja-JP"/>
        </w:rPr>
      </w:pPr>
    </w:p>
    <w:p w14:paraId="654F259B" w14:textId="77777777" w:rsidR="00107519" w:rsidRPr="00715891" w:rsidRDefault="00107519" w:rsidP="00107519">
      <w:pPr>
        <w:rPr>
          <w:b/>
          <w:i/>
          <w:sz w:val="22"/>
          <w:szCs w:val="22"/>
          <w:lang w:val="lt-LT" w:eastAsia="ja-JP"/>
        </w:rPr>
      </w:pPr>
      <w:r w:rsidRPr="00715891">
        <w:rPr>
          <w:sz w:val="22"/>
          <w:szCs w:val="22"/>
          <w:lang w:val="lt-LT" w:eastAsia="ja-JP"/>
        </w:rPr>
        <w:t>Iš 245 pacientų, atsitiktinės atrankos būdu priskirtų vartoti valganciklovirą, ištirti 50 pacientų bandiniai įtarus CMV ligą; atsparumo mutacijų nenustatyta. Iš 127 pacientų, atsitiktinės atrankos būdu priskirtų vartoti ganciklovirą, ištirti 29 pacientų bandiniai įtarus CMV ligą; dviejuose bandiniuose nustatyta mutacijų, taigi atsparumo dažnumas – 6,9 %.</w:t>
      </w:r>
    </w:p>
    <w:p w14:paraId="286286F3" w14:textId="77777777" w:rsidR="00107519" w:rsidRPr="00715891" w:rsidRDefault="00107519" w:rsidP="00107519">
      <w:pPr>
        <w:rPr>
          <w:sz w:val="22"/>
          <w:szCs w:val="22"/>
          <w:lang w:val="lt-LT" w:eastAsia="ja-JP"/>
        </w:rPr>
      </w:pPr>
    </w:p>
    <w:p w14:paraId="66DFD15F" w14:textId="178C7E94" w:rsidR="00107519" w:rsidRPr="00715891" w:rsidRDefault="00107519" w:rsidP="00107519">
      <w:pPr>
        <w:rPr>
          <w:sz w:val="22"/>
          <w:szCs w:val="22"/>
          <w:u w:val="single"/>
          <w:lang w:val="lt-LT" w:eastAsia="ja-JP"/>
        </w:rPr>
      </w:pPr>
      <w:r w:rsidRPr="00715891">
        <w:rPr>
          <w:sz w:val="22"/>
          <w:szCs w:val="22"/>
          <w:u w:val="single"/>
          <w:lang w:val="lt-LT" w:eastAsia="ja-JP"/>
        </w:rPr>
        <w:t>Pratęstos profilaktikos nuo 100 iki 200</w:t>
      </w:r>
      <w:r w:rsidR="00F706F6" w:rsidRPr="00715891">
        <w:rPr>
          <w:sz w:val="22"/>
          <w:szCs w:val="22"/>
          <w:u w:val="single"/>
          <w:lang w:val="lt-LT" w:eastAsia="ja-JP"/>
        </w:rPr>
        <w:t> </w:t>
      </w:r>
      <w:r w:rsidRPr="00715891">
        <w:rPr>
          <w:sz w:val="22"/>
          <w:szCs w:val="22"/>
          <w:u w:val="single"/>
          <w:lang w:val="lt-LT" w:eastAsia="ja-JP"/>
        </w:rPr>
        <w:t>parų po transplantacijos tyrimas</w:t>
      </w:r>
    </w:p>
    <w:p w14:paraId="33701316" w14:textId="5C8B3309" w:rsidR="00107519" w:rsidRPr="00715891" w:rsidRDefault="00107519" w:rsidP="00107519">
      <w:pPr>
        <w:rPr>
          <w:sz w:val="22"/>
          <w:szCs w:val="22"/>
          <w:lang w:val="lt-LT" w:eastAsia="ja-JP"/>
        </w:rPr>
      </w:pPr>
      <w:r w:rsidRPr="00715891">
        <w:rPr>
          <w:sz w:val="22"/>
          <w:szCs w:val="22"/>
          <w:lang w:val="lt-LT" w:eastAsia="ja-JP"/>
        </w:rPr>
        <w:t>Buvo atlikta genotipinė analizė, naudojant UL54 ir UL97 genus, išskirtus iš virusų, ekstrahuotų iš 72 pacientų, kurie atitiko atsparumo analizės kriterijus: tai pacientai, kuriems buvo teigiama viremija (&gt;</w:t>
      </w:r>
      <w:r w:rsidR="00164278" w:rsidRPr="00715891">
        <w:rPr>
          <w:sz w:val="22"/>
          <w:szCs w:val="22"/>
          <w:lang w:val="lt-LT" w:eastAsia="ja-JP"/>
        </w:rPr>
        <w:t> </w:t>
      </w:r>
      <w:r w:rsidRPr="00715891">
        <w:rPr>
          <w:sz w:val="22"/>
          <w:szCs w:val="22"/>
          <w:lang w:val="lt-LT" w:eastAsia="ja-JP"/>
        </w:rPr>
        <w:t>600</w:t>
      </w:r>
      <w:r w:rsidR="00F706F6" w:rsidRPr="00715891">
        <w:rPr>
          <w:sz w:val="22"/>
          <w:szCs w:val="22"/>
          <w:lang w:val="lt-LT" w:eastAsia="ja-JP"/>
        </w:rPr>
        <w:t> </w:t>
      </w:r>
      <w:r w:rsidRPr="00715891">
        <w:rPr>
          <w:sz w:val="22"/>
          <w:szCs w:val="22"/>
          <w:lang w:val="lt-LT" w:eastAsia="ja-JP"/>
        </w:rPr>
        <w:t>kopijų/ml) baigus profilaktiką ir (arba) pacientai, kuriems patvirtinta CMV liga iki 12</w:t>
      </w:r>
      <w:r w:rsidR="00F706F6" w:rsidRPr="00715891">
        <w:rPr>
          <w:sz w:val="22"/>
          <w:szCs w:val="22"/>
          <w:lang w:val="lt-LT" w:eastAsia="ja-JP"/>
        </w:rPr>
        <w:t> </w:t>
      </w:r>
      <w:r w:rsidRPr="00715891">
        <w:rPr>
          <w:sz w:val="22"/>
          <w:szCs w:val="22"/>
          <w:lang w:val="lt-LT" w:eastAsia="ja-JP"/>
        </w:rPr>
        <w:t>mėnesio (52</w:t>
      </w:r>
      <w:r w:rsidR="00F706F6" w:rsidRPr="00715891">
        <w:rPr>
          <w:sz w:val="22"/>
          <w:szCs w:val="22"/>
          <w:lang w:val="lt-LT" w:eastAsia="ja-JP"/>
        </w:rPr>
        <w:t> </w:t>
      </w:r>
      <w:r w:rsidRPr="00715891">
        <w:rPr>
          <w:sz w:val="22"/>
          <w:szCs w:val="22"/>
          <w:lang w:val="lt-LT" w:eastAsia="ja-JP"/>
        </w:rPr>
        <w:t>savaičių) po transplantacijos. Kiekvienoje gydymo grupėje trims pacientams buvo iš anksčiau nustatyta atsparumo ganciklovirui mutacija.</w:t>
      </w:r>
    </w:p>
    <w:p w14:paraId="6D990A35" w14:textId="77777777" w:rsidR="00107519" w:rsidRPr="00715891" w:rsidRDefault="00107519" w:rsidP="00107519">
      <w:pPr>
        <w:rPr>
          <w:sz w:val="22"/>
          <w:szCs w:val="22"/>
          <w:lang w:val="lt-LT" w:eastAsia="ja-JP"/>
        </w:rPr>
      </w:pPr>
    </w:p>
    <w:p w14:paraId="23297D94" w14:textId="77777777" w:rsidR="00107519" w:rsidRPr="00715891" w:rsidRDefault="00107519" w:rsidP="00107519">
      <w:pPr>
        <w:rPr>
          <w:iCs/>
          <w:sz w:val="22"/>
          <w:szCs w:val="22"/>
          <w:u w:val="single"/>
          <w:lang w:val="lt-LT" w:eastAsia="ja-JP"/>
        </w:rPr>
      </w:pPr>
      <w:r w:rsidRPr="00715891">
        <w:rPr>
          <w:iCs/>
          <w:sz w:val="22"/>
          <w:szCs w:val="22"/>
          <w:u w:val="single"/>
          <w:lang w:val="lt-LT" w:eastAsia="ja-JP"/>
        </w:rPr>
        <w:t>Vaikų populiacija</w:t>
      </w:r>
    </w:p>
    <w:p w14:paraId="09C36704" w14:textId="77777777" w:rsidR="00107519" w:rsidRPr="00715891" w:rsidRDefault="00107519" w:rsidP="00107519">
      <w:pPr>
        <w:rPr>
          <w:rFonts w:eastAsia="Calibri"/>
          <w:sz w:val="22"/>
          <w:szCs w:val="22"/>
          <w:u w:val="single"/>
          <w:lang w:val="lt-LT" w:eastAsia="lt-LT"/>
        </w:rPr>
      </w:pPr>
    </w:p>
    <w:p w14:paraId="2853CC89" w14:textId="77777777" w:rsidR="00107519" w:rsidRPr="00715891" w:rsidRDefault="00107519" w:rsidP="00107519">
      <w:pPr>
        <w:rPr>
          <w:i/>
          <w:sz w:val="22"/>
          <w:szCs w:val="22"/>
          <w:lang w:val="lt-LT" w:eastAsia="ja-JP"/>
        </w:rPr>
      </w:pPr>
      <w:r w:rsidRPr="00715891">
        <w:rPr>
          <w:i/>
          <w:sz w:val="22"/>
          <w:szCs w:val="22"/>
          <w:lang w:val="lt-LT" w:eastAsia="ja-JP"/>
        </w:rPr>
        <w:t>CMV sukelto retinito gydymas</w:t>
      </w:r>
    </w:p>
    <w:p w14:paraId="31DA7392" w14:textId="77777777" w:rsidR="00107519" w:rsidRPr="00715891" w:rsidRDefault="00107519" w:rsidP="00107519">
      <w:pPr>
        <w:rPr>
          <w:iCs/>
          <w:sz w:val="22"/>
          <w:szCs w:val="22"/>
          <w:lang w:val="lt-LT" w:eastAsia="ja-JP"/>
        </w:rPr>
      </w:pPr>
      <w:r w:rsidRPr="00715891">
        <w:rPr>
          <w:iCs/>
          <w:sz w:val="22"/>
          <w:szCs w:val="22"/>
          <w:lang w:val="lt-LT" w:eastAsia="ja-JP"/>
        </w:rPr>
        <w:t>Europos vaistų agentūra atleido nuo įpareigojimo pateikti Valganciclovir Sandoz tyrimų su visais vaikų populiacijos pogrupiais duomenis apie CMV infekcijos gydymą pacientams, kurių imuninė sistema yra susilpnėjusi (vartojimo vaikams informacija pateikiama 4.2 skyriuje).</w:t>
      </w:r>
    </w:p>
    <w:p w14:paraId="24906CAD" w14:textId="77777777" w:rsidR="00107519" w:rsidRPr="00715891" w:rsidRDefault="00107519" w:rsidP="00107519">
      <w:pPr>
        <w:rPr>
          <w:iCs/>
          <w:sz w:val="22"/>
          <w:szCs w:val="22"/>
          <w:lang w:val="lt-LT" w:eastAsia="ja-JP"/>
        </w:rPr>
      </w:pPr>
    </w:p>
    <w:p w14:paraId="53A5EB02" w14:textId="77777777" w:rsidR="00107519" w:rsidRPr="00715891" w:rsidRDefault="00107519" w:rsidP="00107519">
      <w:pPr>
        <w:rPr>
          <w:iCs/>
          <w:sz w:val="22"/>
          <w:szCs w:val="22"/>
          <w:lang w:val="lt-LT" w:eastAsia="ja-JP"/>
        </w:rPr>
      </w:pPr>
      <w:r w:rsidRPr="00715891">
        <w:rPr>
          <w:i/>
          <w:sz w:val="22"/>
          <w:szCs w:val="22"/>
          <w:lang w:val="lt-LT" w:eastAsia="ja-JP"/>
        </w:rPr>
        <w:t>CMV sukeltos ligos profilaktika po transplantacijos</w:t>
      </w:r>
    </w:p>
    <w:p w14:paraId="1F35947B" w14:textId="0F2F7C00" w:rsidR="00107519" w:rsidRPr="00715891" w:rsidRDefault="00107519" w:rsidP="00107519">
      <w:pPr>
        <w:rPr>
          <w:iCs/>
          <w:sz w:val="22"/>
          <w:szCs w:val="22"/>
          <w:lang w:val="lt-LT" w:eastAsia="ja-JP"/>
        </w:rPr>
      </w:pPr>
      <w:r w:rsidRPr="00715891">
        <w:rPr>
          <w:iCs/>
          <w:sz w:val="22"/>
          <w:szCs w:val="22"/>
          <w:lang w:val="lt-LT" w:eastAsia="ja-JP"/>
        </w:rPr>
        <w:t>II fazės farmakokinetikos ir saugumo klinikiniame tyrime, kuriame dalyvavusiems vaikams (nuo 4</w:t>
      </w:r>
      <w:r w:rsidR="00F706F6" w:rsidRPr="00715891">
        <w:rPr>
          <w:iCs/>
          <w:sz w:val="22"/>
          <w:szCs w:val="22"/>
          <w:lang w:val="lt-LT" w:eastAsia="ja-JP"/>
        </w:rPr>
        <w:t> </w:t>
      </w:r>
      <w:r w:rsidRPr="00715891">
        <w:rPr>
          <w:iCs/>
          <w:sz w:val="22"/>
          <w:szCs w:val="22"/>
          <w:lang w:val="lt-LT" w:eastAsia="ja-JP"/>
        </w:rPr>
        <w:t>mėnesių iki 16</w:t>
      </w:r>
      <w:r w:rsidR="00F706F6" w:rsidRPr="00715891">
        <w:rPr>
          <w:iCs/>
          <w:sz w:val="22"/>
          <w:szCs w:val="22"/>
          <w:lang w:val="lt-LT" w:eastAsia="ja-JP"/>
        </w:rPr>
        <w:t> </w:t>
      </w:r>
      <w:r w:rsidRPr="00715891">
        <w:rPr>
          <w:iCs/>
          <w:sz w:val="22"/>
          <w:szCs w:val="22"/>
          <w:lang w:val="lt-LT" w:eastAsia="ja-JP"/>
        </w:rPr>
        <w:t>metų amžiaus, n</w:t>
      </w:r>
      <w:r w:rsidR="00F706F6" w:rsidRPr="00715891">
        <w:rPr>
          <w:iCs/>
          <w:sz w:val="22"/>
          <w:szCs w:val="22"/>
          <w:lang w:val="lt-LT" w:eastAsia="ja-JP"/>
        </w:rPr>
        <w:t> </w:t>
      </w:r>
      <w:r w:rsidRPr="00715891">
        <w:rPr>
          <w:iCs/>
          <w:sz w:val="22"/>
          <w:szCs w:val="22"/>
          <w:lang w:val="lt-LT" w:eastAsia="ja-JP"/>
        </w:rPr>
        <w:t>=</w:t>
      </w:r>
      <w:r w:rsidR="00F706F6" w:rsidRPr="00715891">
        <w:rPr>
          <w:iCs/>
          <w:sz w:val="22"/>
          <w:szCs w:val="22"/>
          <w:lang w:val="lt-LT" w:eastAsia="ja-JP"/>
        </w:rPr>
        <w:t> </w:t>
      </w:r>
      <w:r w:rsidRPr="00715891">
        <w:rPr>
          <w:iCs/>
          <w:sz w:val="22"/>
          <w:szCs w:val="22"/>
          <w:lang w:val="lt-LT" w:eastAsia="ja-JP"/>
        </w:rPr>
        <w:t>63) su persodintu solidiniu organu vartojant valgancikloviro vieną kartą per parą iki 100</w:t>
      </w:r>
      <w:r w:rsidR="00F706F6" w:rsidRPr="00715891">
        <w:rPr>
          <w:iCs/>
          <w:sz w:val="22"/>
          <w:szCs w:val="22"/>
          <w:lang w:val="lt-LT" w:eastAsia="ja-JP"/>
        </w:rPr>
        <w:t> </w:t>
      </w:r>
      <w:r w:rsidRPr="00715891">
        <w:rPr>
          <w:iCs/>
          <w:sz w:val="22"/>
          <w:szCs w:val="22"/>
          <w:lang w:val="lt-LT" w:eastAsia="ja-JP"/>
        </w:rPr>
        <w:t>parų pagal dozavimo vaikams algoritmą (žr. 4.2 skyrių), susidarė panaši ekspozicija, kaip ir suaugusiųjų organizme (žr. 5.2 skyrių). Stebėsena po gydymo truko 12</w:t>
      </w:r>
      <w:r w:rsidR="00F706F6" w:rsidRPr="00715891">
        <w:rPr>
          <w:iCs/>
          <w:sz w:val="22"/>
          <w:szCs w:val="22"/>
          <w:lang w:val="lt-LT" w:eastAsia="ja-JP"/>
        </w:rPr>
        <w:t> </w:t>
      </w:r>
      <w:r w:rsidRPr="00715891">
        <w:rPr>
          <w:iCs/>
          <w:sz w:val="22"/>
          <w:szCs w:val="22"/>
          <w:lang w:val="lt-LT" w:eastAsia="ja-JP"/>
        </w:rPr>
        <w:t xml:space="preserve">savaičių. CMV D/R serologinė būklė prieš pradedant tyrimą buvo: 40 % atvejų D+/R-, 38 % - D+/R+, 19 % - </w:t>
      </w:r>
      <w:r w:rsidRPr="00715891">
        <w:rPr>
          <w:iCs/>
          <w:sz w:val="22"/>
          <w:szCs w:val="22"/>
          <w:lang w:val="lt-LT" w:eastAsia="ja-JP"/>
        </w:rPr>
        <w:lastRenderedPageBreak/>
        <w:t>D-/R+ ir 3 % - D-/R-. CMV virusas buvo nustatytas 7 pacientams. Pastebėtos nepageidaujamos reakcijos į vaist</w:t>
      </w:r>
      <w:r w:rsidR="00B957C0" w:rsidRPr="00715891">
        <w:rPr>
          <w:iCs/>
          <w:sz w:val="22"/>
          <w:szCs w:val="22"/>
          <w:lang w:val="lt-LT" w:eastAsia="ja-JP"/>
        </w:rPr>
        <w:t>inį preparat</w:t>
      </w:r>
      <w:r w:rsidRPr="00715891">
        <w:rPr>
          <w:iCs/>
          <w:sz w:val="22"/>
          <w:szCs w:val="22"/>
          <w:lang w:val="lt-LT" w:eastAsia="ja-JP"/>
        </w:rPr>
        <w:t xml:space="preserve">ą buvo panašaus pobūdžio, kaip suaugusiems pacientams (žr. 4.8 skyrių). </w:t>
      </w:r>
    </w:p>
    <w:p w14:paraId="658DE39C" w14:textId="77777777" w:rsidR="00107519" w:rsidRPr="00715891" w:rsidRDefault="00107519" w:rsidP="00107519">
      <w:pPr>
        <w:rPr>
          <w:iCs/>
          <w:sz w:val="22"/>
          <w:szCs w:val="22"/>
          <w:lang w:val="lt-LT" w:eastAsia="ja-JP"/>
        </w:rPr>
      </w:pPr>
    </w:p>
    <w:p w14:paraId="0F61C8F7" w14:textId="2BB4D5E2" w:rsidR="00107519" w:rsidRPr="00715891" w:rsidRDefault="00107519" w:rsidP="00107519">
      <w:pPr>
        <w:rPr>
          <w:iCs/>
          <w:sz w:val="22"/>
          <w:szCs w:val="22"/>
          <w:lang w:val="lt-LT" w:eastAsia="ja-JP"/>
        </w:rPr>
      </w:pPr>
      <w:r w:rsidRPr="00715891">
        <w:rPr>
          <w:iCs/>
          <w:sz w:val="22"/>
          <w:szCs w:val="22"/>
          <w:lang w:val="lt-LT" w:eastAsia="ja-JP"/>
        </w:rPr>
        <w:t>IV fazės toleravimo klinikinio tyrimo, kuriame dalyvavo vaikai su persodintu inkstu (nuo 1 iki 16 metų amžiaus, n =</w:t>
      </w:r>
      <w:r w:rsidR="00F706F6" w:rsidRPr="00715891">
        <w:rPr>
          <w:iCs/>
          <w:sz w:val="22"/>
          <w:szCs w:val="22"/>
          <w:lang w:val="lt-LT" w:eastAsia="ja-JP"/>
        </w:rPr>
        <w:t> </w:t>
      </w:r>
      <w:r w:rsidRPr="00715891">
        <w:rPr>
          <w:iCs/>
          <w:sz w:val="22"/>
          <w:szCs w:val="22"/>
          <w:lang w:val="lt-LT" w:eastAsia="ja-JP"/>
        </w:rPr>
        <w:t>57), vartoję valgancikloviro dozę vieną kartą per parą ne ilgiau kaip 200 parų pagal dozavimo algoritmą (žr. 4.2 skyrių), metu CMV infekcijos dažnis buvo mažas. Stebėsena po gydymo truko 24 savaites. CMV D/R serologinė būklė prieš pradedant tyrimą buvo tokia: D+ / R+ - 45 %, D+ / R- - 39 %, D- / R+ - 7 %, D- / R- - 7 %, o ND / R+ - 2 % visų atvejų. CMV viremija buvo nustatyta 3 pacientams, o vienam pacientui CMV sindromas buvo įtartas, tačiau nepatvirtintas CMV PGR centrinėje laboratorijoje. Pastebėtos nepageidaujamos reakcijos buvo panašaus pobūdžio, kaip ir suaugusiems pacientams (žr. 4.8 skyrių).</w:t>
      </w:r>
    </w:p>
    <w:p w14:paraId="356777C9" w14:textId="77777777" w:rsidR="00107519" w:rsidRPr="00715891" w:rsidRDefault="00107519" w:rsidP="00107519">
      <w:pPr>
        <w:rPr>
          <w:iCs/>
          <w:sz w:val="22"/>
          <w:szCs w:val="22"/>
          <w:lang w:val="lt-LT" w:eastAsia="ja-JP"/>
        </w:rPr>
      </w:pPr>
      <w:r w:rsidRPr="00715891">
        <w:rPr>
          <w:iCs/>
          <w:sz w:val="22"/>
          <w:szCs w:val="22"/>
          <w:lang w:val="lt-LT" w:eastAsia="ja-JP"/>
        </w:rPr>
        <w:t>Šie duomenys pagrindžia veiksmingumo suaugusiesiems duomenų ekstrapoliaciją vaikams ir suteikia dozavimo rekomendacijas vaikams.</w:t>
      </w:r>
    </w:p>
    <w:p w14:paraId="5D6B1B81" w14:textId="77777777" w:rsidR="00F8172D" w:rsidRPr="00715891" w:rsidRDefault="00F8172D" w:rsidP="00107519">
      <w:pPr>
        <w:rPr>
          <w:iCs/>
          <w:sz w:val="22"/>
          <w:szCs w:val="22"/>
          <w:lang w:val="lt-LT" w:eastAsia="ja-JP"/>
        </w:rPr>
      </w:pPr>
    </w:p>
    <w:p w14:paraId="710B1A9F" w14:textId="49FBF59C" w:rsidR="00107519" w:rsidRPr="00715891" w:rsidRDefault="00107519" w:rsidP="00107519">
      <w:pPr>
        <w:rPr>
          <w:iCs/>
          <w:sz w:val="22"/>
          <w:szCs w:val="22"/>
          <w:lang w:val="lt-LT" w:eastAsia="ja-JP"/>
        </w:rPr>
      </w:pPr>
      <w:r w:rsidRPr="00715891">
        <w:rPr>
          <w:iCs/>
          <w:sz w:val="22"/>
          <w:szCs w:val="22"/>
          <w:lang w:val="lt-LT" w:eastAsia="ja-JP"/>
        </w:rPr>
        <w:t>I fazės farmakokinetikos ir saugumo klinikiniame tyrime dalyvavusių pacientų (nuo 3 savaičių iki 125 parų amžiaus, n</w:t>
      </w:r>
      <w:r w:rsidR="00F706F6" w:rsidRPr="00715891">
        <w:rPr>
          <w:iCs/>
          <w:sz w:val="22"/>
          <w:szCs w:val="22"/>
          <w:lang w:val="lt-LT" w:eastAsia="ja-JP"/>
        </w:rPr>
        <w:t> </w:t>
      </w:r>
      <w:r w:rsidRPr="00715891">
        <w:rPr>
          <w:iCs/>
          <w:sz w:val="22"/>
          <w:szCs w:val="22"/>
          <w:lang w:val="lt-LT" w:eastAsia="ja-JP"/>
        </w:rPr>
        <w:t>=</w:t>
      </w:r>
      <w:r w:rsidR="00F706F6" w:rsidRPr="00715891">
        <w:rPr>
          <w:iCs/>
          <w:sz w:val="22"/>
          <w:szCs w:val="22"/>
          <w:lang w:val="lt-LT" w:eastAsia="ja-JP"/>
        </w:rPr>
        <w:t> </w:t>
      </w:r>
      <w:r w:rsidRPr="00715891">
        <w:rPr>
          <w:iCs/>
          <w:sz w:val="22"/>
          <w:szCs w:val="22"/>
          <w:lang w:val="lt-LT" w:eastAsia="ja-JP"/>
        </w:rPr>
        <w:t>14), su persodinta širdimi, kurie 2</w:t>
      </w:r>
      <w:r w:rsidR="00F706F6" w:rsidRPr="00715891">
        <w:rPr>
          <w:iCs/>
          <w:sz w:val="22"/>
          <w:szCs w:val="22"/>
          <w:lang w:val="lt-LT" w:eastAsia="ja-JP"/>
        </w:rPr>
        <w:t> </w:t>
      </w:r>
      <w:r w:rsidRPr="00715891">
        <w:rPr>
          <w:iCs/>
          <w:sz w:val="22"/>
          <w:szCs w:val="22"/>
          <w:lang w:val="lt-LT" w:eastAsia="ja-JP"/>
        </w:rPr>
        <w:t>dienas iš eilės gavo vieną valgancikloviro dozę pagal dozavimo vaikams algoritmą (žr. 4.2 skyrių), organizme susidarė panaši ekspozicija, kaip ir suaugusių pacientų organizme (žr. 5.2 skyrių). Saugumo pobūdis atitiko kitų klinikinių tyrimų su vaikais ir suaugusiaisiais metu nustatytą saugumo pobūdį, nors pacientų skaičius ir ekspozicija valgancikloviru šio klinikinio tyrimo metu buvo riboti.</w:t>
      </w:r>
    </w:p>
    <w:p w14:paraId="52094224" w14:textId="77777777" w:rsidR="00107519" w:rsidRPr="00715891" w:rsidRDefault="00107519" w:rsidP="00107519">
      <w:pPr>
        <w:rPr>
          <w:iCs/>
          <w:sz w:val="22"/>
          <w:szCs w:val="22"/>
          <w:lang w:val="lt-LT" w:eastAsia="ja-JP"/>
        </w:rPr>
      </w:pPr>
    </w:p>
    <w:p w14:paraId="483B4CFF" w14:textId="77777777" w:rsidR="00107519" w:rsidRPr="00715891" w:rsidRDefault="00107519" w:rsidP="00107519">
      <w:pPr>
        <w:rPr>
          <w:i/>
          <w:iCs/>
          <w:sz w:val="22"/>
          <w:szCs w:val="22"/>
          <w:lang w:val="lt-LT" w:eastAsia="ja-JP"/>
        </w:rPr>
      </w:pPr>
      <w:r w:rsidRPr="00715891">
        <w:rPr>
          <w:i/>
          <w:iCs/>
          <w:sz w:val="22"/>
          <w:szCs w:val="22"/>
          <w:lang w:val="lt-LT" w:eastAsia="ja-JP"/>
        </w:rPr>
        <w:t>Įgimta CMV infekcija</w:t>
      </w:r>
    </w:p>
    <w:p w14:paraId="2605BE63" w14:textId="77777777" w:rsidR="00107519" w:rsidRPr="00715891" w:rsidRDefault="00107519" w:rsidP="00107519">
      <w:pPr>
        <w:rPr>
          <w:iCs/>
          <w:sz w:val="22"/>
          <w:szCs w:val="22"/>
          <w:lang w:val="lt-LT" w:eastAsia="ja-JP"/>
        </w:rPr>
      </w:pPr>
      <w:r w:rsidRPr="00715891">
        <w:rPr>
          <w:iCs/>
          <w:sz w:val="22"/>
          <w:szCs w:val="22"/>
          <w:lang w:val="lt-LT" w:eastAsia="ja-JP"/>
        </w:rPr>
        <w:t>Gancikloviro ir (arba) valgancikloviro veiksmingumas ir saugumas buvo tirtas dviejų klinikinių tyrimų su naujagimiais ir kūdikiais, sirgusiais įgimta simptomine CMV infekcija, metu.</w:t>
      </w:r>
    </w:p>
    <w:p w14:paraId="45659715" w14:textId="2929806C" w:rsidR="00107519" w:rsidRPr="00715891" w:rsidRDefault="00107519" w:rsidP="00107519">
      <w:pPr>
        <w:rPr>
          <w:iCs/>
          <w:sz w:val="22"/>
          <w:szCs w:val="22"/>
          <w:lang w:val="lt-LT" w:eastAsia="ja-JP"/>
        </w:rPr>
      </w:pPr>
      <w:r w:rsidRPr="00715891">
        <w:rPr>
          <w:iCs/>
          <w:sz w:val="22"/>
          <w:szCs w:val="22"/>
          <w:lang w:val="lt-LT" w:eastAsia="ja-JP"/>
        </w:rPr>
        <w:t>Pirmojo tyrimo metu vienkartinės valgancikloviro dozės (dozės intervalas 14-16-20</w:t>
      </w:r>
      <w:r w:rsidR="00F706F6" w:rsidRPr="00715891">
        <w:rPr>
          <w:iCs/>
          <w:sz w:val="22"/>
          <w:szCs w:val="22"/>
          <w:lang w:val="lt-LT" w:eastAsia="ja-JP"/>
        </w:rPr>
        <w:t> </w:t>
      </w:r>
      <w:r w:rsidRPr="00715891">
        <w:rPr>
          <w:iCs/>
          <w:sz w:val="22"/>
          <w:szCs w:val="22"/>
          <w:lang w:val="lt-LT" w:eastAsia="ja-JP"/>
        </w:rPr>
        <w:t>mg/kg dozei) farmakokinetika ir saugumas buvo tirtas su 24 naujagimiais (nuo 8 iki 34</w:t>
      </w:r>
      <w:r w:rsidR="00F706F6" w:rsidRPr="00715891">
        <w:rPr>
          <w:iCs/>
          <w:sz w:val="22"/>
          <w:szCs w:val="22"/>
          <w:lang w:val="lt-LT" w:eastAsia="ja-JP"/>
        </w:rPr>
        <w:t> </w:t>
      </w:r>
      <w:r w:rsidRPr="00715891">
        <w:rPr>
          <w:iCs/>
          <w:sz w:val="22"/>
          <w:szCs w:val="22"/>
          <w:lang w:val="lt-LT" w:eastAsia="ja-JP"/>
        </w:rPr>
        <w:t>parų amžiaus), sirgusiais simptomine įgimta CMV liga (žr. 5.2 skyrių). Antivirusinis gydymas naujagimiams buvo taikytas 6 savaites, 19 iš 24 pacientų 4</w:t>
      </w:r>
      <w:r w:rsidR="00F706F6" w:rsidRPr="00715891">
        <w:rPr>
          <w:iCs/>
          <w:sz w:val="22"/>
          <w:szCs w:val="22"/>
          <w:lang w:val="lt-LT" w:eastAsia="ja-JP"/>
        </w:rPr>
        <w:t> </w:t>
      </w:r>
      <w:r w:rsidRPr="00715891">
        <w:rPr>
          <w:iCs/>
          <w:sz w:val="22"/>
          <w:szCs w:val="22"/>
          <w:lang w:val="lt-LT" w:eastAsia="ja-JP"/>
        </w:rPr>
        <w:t>savaites buvo taikytas gydymas geriamuoju valgancikloviru, o likusias 2</w:t>
      </w:r>
      <w:r w:rsidR="00F706F6" w:rsidRPr="00715891">
        <w:rPr>
          <w:iCs/>
          <w:sz w:val="22"/>
          <w:szCs w:val="22"/>
          <w:lang w:val="lt-LT" w:eastAsia="ja-JP"/>
        </w:rPr>
        <w:t> </w:t>
      </w:r>
      <w:r w:rsidRPr="00715891">
        <w:rPr>
          <w:iCs/>
          <w:sz w:val="22"/>
          <w:szCs w:val="22"/>
          <w:lang w:val="lt-LT" w:eastAsia="ja-JP"/>
        </w:rPr>
        <w:t>savaites jie buvo gydyti gancikloviru į veną. Kitiems 5 pacientams beveik visą tyrimo laiką buvo taikytas gydymas gancikloviru į veną. Antrojo tyrimo metu buvo palygintas šešių savaičių trukmės gydymo valgancikloviru veiksmingumas ir saugumas su gydymu šešis mėnesius 109 naujagimiams ir kūdikiams nuo 2 iki 30 parų amžiaus, sirgusiems įgimta simptomine CMV liga. Visi kūdikiai 6 savaites vartojo geriamojo valgancikloviro 16 mg/kg dozę du kartus per parą. Norint užbaigti 6 mėnesių trukmės gydymo kursą, po 6 gydymo savaičių šiems kūdikiams atsitiktine tvarka santykiu 1:1 buvo paskirta arba tęsti gydymą tokia pačia valgancikloviro doze, arba vartoti priderintą placebą.</w:t>
      </w:r>
    </w:p>
    <w:p w14:paraId="6561E688" w14:textId="77777777" w:rsidR="00107519" w:rsidRPr="00715891" w:rsidRDefault="00107519" w:rsidP="00107519">
      <w:pPr>
        <w:rPr>
          <w:sz w:val="22"/>
          <w:szCs w:val="22"/>
          <w:lang w:val="lt-LT" w:eastAsia="ja-JP"/>
        </w:rPr>
      </w:pPr>
      <w:r w:rsidRPr="00715891">
        <w:rPr>
          <w:iCs/>
          <w:sz w:val="22"/>
          <w:szCs w:val="22"/>
          <w:lang w:val="lt-LT" w:eastAsia="ja-JP"/>
        </w:rPr>
        <w:t>Pagal tirtąją indikaciją šiuo metu skirti valganciklovirą nerekomenduojama. Išvadų apie valgancikloviro saugumą ir veiksmingumą padarymui minėtų tyrimų sandara ir gauti rezultatai buvo pernelyg riboti.</w:t>
      </w:r>
    </w:p>
    <w:p w14:paraId="77D5CA71" w14:textId="77777777" w:rsidR="00107519" w:rsidRPr="00715891" w:rsidRDefault="00107519" w:rsidP="00107519">
      <w:pPr>
        <w:rPr>
          <w:sz w:val="22"/>
          <w:szCs w:val="22"/>
          <w:lang w:val="lt-LT" w:eastAsia="ja-JP"/>
        </w:rPr>
      </w:pPr>
    </w:p>
    <w:p w14:paraId="5FC4457D" w14:textId="77777777" w:rsidR="00107519" w:rsidRPr="00715891" w:rsidRDefault="00107519" w:rsidP="00107519">
      <w:pPr>
        <w:ind w:left="567" w:hanging="567"/>
        <w:outlineLvl w:val="1"/>
        <w:rPr>
          <w:b/>
          <w:kern w:val="28"/>
          <w:sz w:val="22"/>
          <w:szCs w:val="22"/>
          <w:lang w:val="lt-LT" w:eastAsia="ja-JP"/>
        </w:rPr>
      </w:pPr>
      <w:r w:rsidRPr="00715891">
        <w:rPr>
          <w:b/>
          <w:kern w:val="28"/>
          <w:sz w:val="22"/>
          <w:szCs w:val="22"/>
          <w:lang w:val="lt-LT" w:eastAsia="ja-JP"/>
        </w:rPr>
        <w:t>5.2</w:t>
      </w:r>
      <w:r w:rsidRPr="00715891">
        <w:rPr>
          <w:b/>
          <w:kern w:val="28"/>
          <w:sz w:val="22"/>
          <w:szCs w:val="22"/>
          <w:lang w:val="lt-LT" w:eastAsia="ja-JP"/>
        </w:rPr>
        <w:tab/>
        <w:t>Farmakokinetinės savybės</w:t>
      </w:r>
    </w:p>
    <w:p w14:paraId="07AAB0BE" w14:textId="77777777" w:rsidR="00107519" w:rsidRPr="00715891" w:rsidRDefault="00107519" w:rsidP="00107519">
      <w:pPr>
        <w:rPr>
          <w:sz w:val="22"/>
          <w:szCs w:val="22"/>
          <w:lang w:val="lt-LT" w:eastAsia="ja-JP"/>
        </w:rPr>
      </w:pPr>
    </w:p>
    <w:p w14:paraId="3A4B24D1" w14:textId="77777777" w:rsidR="00107519" w:rsidRPr="00715891" w:rsidRDefault="00107519" w:rsidP="00107519">
      <w:pPr>
        <w:rPr>
          <w:sz w:val="22"/>
          <w:szCs w:val="22"/>
          <w:lang w:val="lt-LT" w:eastAsia="ja-JP"/>
        </w:rPr>
      </w:pPr>
      <w:r w:rsidRPr="00715891">
        <w:rPr>
          <w:sz w:val="22"/>
          <w:szCs w:val="22"/>
          <w:lang w:val="lt-LT" w:eastAsia="ja-JP"/>
        </w:rPr>
        <w:t>Farmakokinetinės valgancikloviro savybės nustatytos tiriant pacientus, kuriems buvo teigiamos ŽIV ir CMV serologinės reakcijos, AIDS ir CMV retinitu sergančius pacientus, taip pat pacientus, kuriems persodintas solidinis organas.</w:t>
      </w:r>
    </w:p>
    <w:p w14:paraId="6FD03DD0" w14:textId="2475A7D9" w:rsidR="00107519" w:rsidRPr="00715891" w:rsidRDefault="0099310A" w:rsidP="00107519">
      <w:pPr>
        <w:rPr>
          <w:sz w:val="22"/>
          <w:szCs w:val="22"/>
          <w:lang w:val="lt-LT" w:eastAsia="ja-JP"/>
        </w:rPr>
      </w:pPr>
      <w:r w:rsidRPr="00715891">
        <w:rPr>
          <w:sz w:val="22"/>
          <w:szCs w:val="22"/>
          <w:lang w:val="lt-LT" w:eastAsia="ja-JP"/>
        </w:rPr>
        <w:t>Dozės proporcingumas gancikloviro AUC atžvilgiu vartojant gancikloviro 450</w:t>
      </w:r>
      <w:r w:rsidR="00F706F6" w:rsidRPr="00715891">
        <w:rPr>
          <w:sz w:val="22"/>
          <w:szCs w:val="22"/>
          <w:lang w:val="lt-LT" w:eastAsia="ja-JP"/>
        </w:rPr>
        <w:noBreakHyphen/>
      </w:r>
      <w:r w:rsidRPr="00715891">
        <w:rPr>
          <w:sz w:val="22"/>
          <w:szCs w:val="22"/>
          <w:lang w:val="lt-LT" w:eastAsia="ja-JP"/>
        </w:rPr>
        <w:t>2</w:t>
      </w:r>
      <w:r w:rsidR="00F706F6" w:rsidRPr="00715891">
        <w:rPr>
          <w:sz w:val="22"/>
          <w:szCs w:val="22"/>
          <w:lang w:val="lt-LT" w:eastAsia="ja-JP"/>
        </w:rPr>
        <w:t> </w:t>
      </w:r>
      <w:r w:rsidRPr="00715891">
        <w:rPr>
          <w:sz w:val="22"/>
          <w:szCs w:val="22"/>
          <w:lang w:val="lt-LT" w:eastAsia="ja-JP"/>
        </w:rPr>
        <w:t>625</w:t>
      </w:r>
      <w:r w:rsidR="00F706F6" w:rsidRPr="00715891">
        <w:rPr>
          <w:sz w:val="22"/>
          <w:szCs w:val="22"/>
          <w:lang w:val="lt-LT" w:eastAsia="ja-JP"/>
        </w:rPr>
        <w:t> </w:t>
      </w:r>
      <w:r w:rsidRPr="00715891">
        <w:rPr>
          <w:sz w:val="22"/>
          <w:szCs w:val="22"/>
          <w:lang w:val="lt-LT" w:eastAsia="ja-JP"/>
        </w:rPr>
        <w:t>mg dozių intervale įrodytas tik su maistu vartojamam vaistiniam preparatui.</w:t>
      </w:r>
    </w:p>
    <w:p w14:paraId="22E0573D" w14:textId="77777777" w:rsidR="00F8172D" w:rsidRPr="00715891" w:rsidRDefault="00F8172D" w:rsidP="00107519">
      <w:pPr>
        <w:rPr>
          <w:sz w:val="22"/>
          <w:szCs w:val="22"/>
          <w:lang w:val="lt-LT" w:eastAsia="ja-JP"/>
        </w:rPr>
      </w:pPr>
    </w:p>
    <w:p w14:paraId="137F909C" w14:textId="77777777" w:rsidR="00107519" w:rsidRPr="00715891" w:rsidRDefault="00107519" w:rsidP="00107519">
      <w:pPr>
        <w:rPr>
          <w:sz w:val="22"/>
          <w:szCs w:val="22"/>
          <w:u w:val="single"/>
          <w:lang w:val="lt-LT" w:eastAsia="ja-JP"/>
        </w:rPr>
      </w:pPr>
      <w:r w:rsidRPr="00715891">
        <w:rPr>
          <w:sz w:val="22"/>
          <w:szCs w:val="22"/>
          <w:u w:val="single"/>
          <w:lang w:val="lt-LT" w:eastAsia="ja-JP"/>
        </w:rPr>
        <w:t>Absorbcija</w:t>
      </w:r>
    </w:p>
    <w:p w14:paraId="1FDB7529" w14:textId="1E91682D" w:rsidR="00107519" w:rsidRPr="00715891" w:rsidRDefault="00107519" w:rsidP="00107519">
      <w:pPr>
        <w:rPr>
          <w:sz w:val="22"/>
          <w:szCs w:val="22"/>
          <w:lang w:val="lt-LT" w:eastAsia="ja-JP"/>
        </w:rPr>
      </w:pPr>
      <w:r w:rsidRPr="00715891">
        <w:rPr>
          <w:sz w:val="22"/>
          <w:szCs w:val="22"/>
          <w:lang w:val="lt-LT" w:eastAsia="ja-JP"/>
        </w:rPr>
        <w:t xml:space="preserve">Valgancikloviras yra gancikloviro pirmtakas. Jis gerai absorbuojamas iš virškinimo trakto ir žarnos sienelėje bei kepenyse greitai ir ekstensyviai metabolizuojamas į ganciklovirą. Sisteminė gancikloviro ekspozicija yra laikina ir maža. </w:t>
      </w:r>
      <w:r w:rsidR="0099310A" w:rsidRPr="00715891">
        <w:rPr>
          <w:sz w:val="22"/>
          <w:szCs w:val="22"/>
          <w:lang w:val="lt-LT" w:eastAsia="ja-JP"/>
        </w:rPr>
        <w:t>G</w:t>
      </w:r>
      <w:r w:rsidRPr="00715891">
        <w:rPr>
          <w:sz w:val="22"/>
          <w:szCs w:val="22"/>
          <w:lang w:val="lt-LT" w:eastAsia="ja-JP"/>
        </w:rPr>
        <w:t xml:space="preserve">ancikloviro biologinis pasisavinimas iš </w:t>
      </w:r>
      <w:r w:rsidR="0099310A" w:rsidRPr="00715891">
        <w:rPr>
          <w:sz w:val="22"/>
          <w:szCs w:val="22"/>
          <w:lang w:val="lt-LT" w:eastAsia="ja-JP"/>
        </w:rPr>
        <w:t xml:space="preserve">suvartoto per burną </w:t>
      </w:r>
      <w:r w:rsidRPr="00715891">
        <w:rPr>
          <w:sz w:val="22"/>
          <w:szCs w:val="22"/>
          <w:lang w:val="lt-LT" w:eastAsia="ja-JP"/>
        </w:rPr>
        <w:t>valgancikloviro pagal visų pacientų grupių tyrimo rezultatus yra apie 60 %; organizmo ekspozicija gancikloviru būna panaši kaip ir jo suleidus į veną (žr. toliau). Palyginimui – išgėrus 1</w:t>
      </w:r>
      <w:r w:rsidR="00164278" w:rsidRPr="00715891">
        <w:rPr>
          <w:sz w:val="22"/>
          <w:szCs w:val="22"/>
          <w:lang w:val="lt-LT" w:eastAsia="ja-JP"/>
        </w:rPr>
        <w:t> </w:t>
      </w:r>
      <w:r w:rsidRPr="00715891">
        <w:rPr>
          <w:sz w:val="22"/>
          <w:szCs w:val="22"/>
          <w:lang w:val="lt-LT" w:eastAsia="ja-JP"/>
        </w:rPr>
        <w:t>000 mg gancikloviro (kapsulių), jo biologinis pasisavinimas yra 6–8 %.</w:t>
      </w:r>
    </w:p>
    <w:p w14:paraId="412A5A1F" w14:textId="77777777" w:rsidR="00107519" w:rsidRPr="00715891" w:rsidRDefault="00107519" w:rsidP="00107519">
      <w:pPr>
        <w:rPr>
          <w:sz w:val="22"/>
          <w:szCs w:val="22"/>
          <w:lang w:val="lt-LT" w:eastAsia="ja-JP"/>
        </w:rPr>
      </w:pPr>
    </w:p>
    <w:p w14:paraId="10D021E5" w14:textId="77777777" w:rsidR="00107519" w:rsidRPr="00715891" w:rsidRDefault="00107519" w:rsidP="00107519">
      <w:pPr>
        <w:rPr>
          <w:i/>
          <w:sz w:val="22"/>
          <w:szCs w:val="22"/>
          <w:lang w:val="lt-LT" w:eastAsia="ja-JP"/>
        </w:rPr>
      </w:pPr>
      <w:r w:rsidRPr="00715891">
        <w:rPr>
          <w:i/>
          <w:sz w:val="22"/>
          <w:szCs w:val="22"/>
          <w:lang w:val="lt-LT" w:eastAsia="ja-JP"/>
        </w:rPr>
        <w:t>Valgancikloviras pacientų, kurių ŽIV teigiamos ir CMV teigiamos serologinės reakcijos</w:t>
      </w:r>
      <w:r w:rsidRPr="00715891">
        <w:rPr>
          <w:sz w:val="22"/>
          <w:szCs w:val="22"/>
          <w:lang w:val="lt-LT" w:eastAsia="ja-JP"/>
        </w:rPr>
        <w:t>,</w:t>
      </w:r>
      <w:r w:rsidRPr="00715891">
        <w:rPr>
          <w:i/>
          <w:sz w:val="22"/>
          <w:szCs w:val="22"/>
          <w:lang w:val="lt-LT" w:eastAsia="ja-JP"/>
        </w:rPr>
        <w:t xml:space="preserve"> organizme</w:t>
      </w:r>
    </w:p>
    <w:p w14:paraId="1BB0FE5F" w14:textId="77777777" w:rsidR="00107519" w:rsidRPr="00715891" w:rsidRDefault="00107519" w:rsidP="00107519">
      <w:pPr>
        <w:rPr>
          <w:sz w:val="22"/>
          <w:szCs w:val="22"/>
          <w:lang w:val="lt-LT" w:eastAsia="ja-JP"/>
        </w:rPr>
      </w:pPr>
      <w:r w:rsidRPr="00715891">
        <w:rPr>
          <w:sz w:val="22"/>
          <w:szCs w:val="22"/>
          <w:lang w:val="lt-LT" w:eastAsia="ja-JP"/>
        </w:rPr>
        <w:lastRenderedPageBreak/>
        <w:t xml:space="preserve">Sisteminė pacientų, kurių ŽIV teigiamos ir CMV teigiamos serologinės reakcijos, ekspozicija vartojant vieną savaitę du kartus per parą gancikloviro ir valgancikloviro </w:t>
      </w:r>
    </w:p>
    <w:p w14:paraId="701B547B" w14:textId="77777777" w:rsidR="00107519" w:rsidRPr="00715891" w:rsidRDefault="00107519" w:rsidP="00107519">
      <w:pPr>
        <w:rPr>
          <w:sz w:val="22"/>
          <w:szCs w:val="22"/>
          <w:lang w:val="lt-LT" w:eastAsia="ja-JP"/>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970"/>
        <w:gridCol w:w="2113"/>
        <w:gridCol w:w="2113"/>
      </w:tblGrid>
      <w:tr w:rsidR="00107519" w:rsidRPr="00715891" w14:paraId="0370486A" w14:textId="77777777" w:rsidTr="00EF476A">
        <w:trPr>
          <w:cantSplit/>
        </w:trPr>
        <w:tc>
          <w:tcPr>
            <w:tcW w:w="2660" w:type="dxa"/>
            <w:vMerge w:val="restart"/>
            <w:tcBorders>
              <w:left w:val="nil"/>
            </w:tcBorders>
          </w:tcPr>
          <w:p w14:paraId="6384E7F2" w14:textId="77777777" w:rsidR="00107519" w:rsidRPr="00715891" w:rsidRDefault="00107519" w:rsidP="00107519">
            <w:pPr>
              <w:spacing w:before="80"/>
              <w:jc w:val="both"/>
              <w:rPr>
                <w:rFonts w:eastAsia="Calibri"/>
                <w:sz w:val="22"/>
                <w:szCs w:val="22"/>
                <w:lang w:val="lt-LT" w:eastAsia="lt-LT"/>
              </w:rPr>
            </w:pPr>
            <w:r w:rsidRPr="00715891">
              <w:rPr>
                <w:rFonts w:eastAsia="Calibri"/>
                <w:sz w:val="22"/>
                <w:szCs w:val="22"/>
                <w:lang w:val="lt-LT" w:eastAsia="lt-LT"/>
              </w:rPr>
              <w:t>Rodiklis</w:t>
            </w:r>
          </w:p>
        </w:tc>
        <w:tc>
          <w:tcPr>
            <w:tcW w:w="1970" w:type="dxa"/>
            <w:vMerge w:val="restart"/>
          </w:tcPr>
          <w:p w14:paraId="7CC31317" w14:textId="77777777" w:rsidR="00107519" w:rsidRPr="00715891" w:rsidRDefault="00107519" w:rsidP="00107519">
            <w:pPr>
              <w:spacing w:before="80"/>
              <w:jc w:val="center"/>
              <w:rPr>
                <w:rFonts w:eastAsia="Calibri"/>
                <w:sz w:val="22"/>
                <w:szCs w:val="22"/>
                <w:lang w:val="lt-LT" w:eastAsia="lt-LT"/>
              </w:rPr>
            </w:pPr>
            <w:r w:rsidRPr="00715891">
              <w:rPr>
                <w:rFonts w:eastAsia="Calibri"/>
                <w:sz w:val="22"/>
                <w:szCs w:val="22"/>
                <w:lang w:val="lt-LT" w:eastAsia="lt-LT"/>
              </w:rPr>
              <w:t>Gancikloviras</w:t>
            </w:r>
          </w:p>
          <w:p w14:paraId="62C053F0" w14:textId="50B5009B" w:rsidR="00107519" w:rsidRPr="00715891" w:rsidRDefault="00107519" w:rsidP="00107519">
            <w:pPr>
              <w:spacing w:before="80"/>
              <w:jc w:val="center"/>
              <w:rPr>
                <w:rFonts w:eastAsia="Calibri"/>
                <w:sz w:val="22"/>
                <w:szCs w:val="22"/>
                <w:lang w:val="lt-LT" w:eastAsia="lt-LT"/>
              </w:rPr>
            </w:pPr>
            <w:r w:rsidRPr="00715891">
              <w:rPr>
                <w:rFonts w:eastAsia="Calibri"/>
                <w:sz w:val="22"/>
                <w:szCs w:val="22"/>
                <w:lang w:val="lt-LT" w:eastAsia="lt-LT"/>
              </w:rPr>
              <w:t>(5</w:t>
            </w:r>
            <w:r w:rsidR="00F706F6" w:rsidRPr="00715891">
              <w:rPr>
                <w:rFonts w:eastAsia="Calibri"/>
                <w:sz w:val="22"/>
                <w:szCs w:val="22"/>
                <w:lang w:val="lt-LT" w:eastAsia="lt-LT"/>
              </w:rPr>
              <w:t> </w:t>
            </w:r>
            <w:r w:rsidRPr="00715891">
              <w:rPr>
                <w:rFonts w:eastAsia="Calibri"/>
                <w:sz w:val="22"/>
                <w:szCs w:val="22"/>
                <w:lang w:val="lt-LT" w:eastAsia="lt-LT"/>
              </w:rPr>
              <w:t>mg/kg į veną)</w:t>
            </w:r>
          </w:p>
          <w:p w14:paraId="0760FE53" w14:textId="50291426" w:rsidR="00107519" w:rsidRPr="00715891" w:rsidRDefault="00107519" w:rsidP="00107519">
            <w:pPr>
              <w:jc w:val="center"/>
              <w:rPr>
                <w:rFonts w:eastAsia="Calibri"/>
                <w:sz w:val="22"/>
                <w:szCs w:val="22"/>
                <w:lang w:val="lt-LT" w:eastAsia="lt-LT"/>
              </w:rPr>
            </w:pPr>
            <w:r w:rsidRPr="00715891">
              <w:rPr>
                <w:rFonts w:eastAsia="Calibri"/>
                <w:sz w:val="22"/>
                <w:szCs w:val="22"/>
                <w:lang w:val="lt-LT" w:eastAsia="lt-LT"/>
              </w:rPr>
              <w:t>n</w:t>
            </w:r>
            <w:r w:rsidR="00F706F6" w:rsidRPr="00715891">
              <w:rPr>
                <w:rFonts w:eastAsia="Calibri"/>
                <w:sz w:val="22"/>
                <w:szCs w:val="22"/>
                <w:lang w:val="lt-LT" w:eastAsia="lt-LT"/>
              </w:rPr>
              <w:t> </w:t>
            </w:r>
            <w:r w:rsidRPr="00715891">
              <w:rPr>
                <w:rFonts w:eastAsia="Calibri"/>
                <w:sz w:val="22"/>
                <w:szCs w:val="22"/>
                <w:lang w:val="lt-LT" w:eastAsia="lt-LT"/>
              </w:rPr>
              <w:t>=</w:t>
            </w:r>
            <w:r w:rsidR="00F706F6" w:rsidRPr="00715891">
              <w:rPr>
                <w:rFonts w:eastAsia="Calibri"/>
                <w:sz w:val="22"/>
                <w:szCs w:val="22"/>
                <w:lang w:val="lt-LT" w:eastAsia="lt-LT"/>
              </w:rPr>
              <w:t> </w:t>
            </w:r>
            <w:r w:rsidRPr="00715891">
              <w:rPr>
                <w:rFonts w:eastAsia="Calibri"/>
                <w:sz w:val="22"/>
                <w:szCs w:val="22"/>
                <w:lang w:val="lt-LT" w:eastAsia="lt-LT"/>
              </w:rPr>
              <w:t>18</w:t>
            </w:r>
          </w:p>
        </w:tc>
        <w:tc>
          <w:tcPr>
            <w:tcW w:w="4226" w:type="dxa"/>
            <w:gridSpan w:val="2"/>
            <w:tcBorders>
              <w:right w:val="nil"/>
            </w:tcBorders>
          </w:tcPr>
          <w:p w14:paraId="2F096B5A" w14:textId="77777777" w:rsidR="00107519" w:rsidRPr="00715891" w:rsidRDefault="00107519" w:rsidP="00107519">
            <w:pPr>
              <w:spacing w:before="80"/>
              <w:jc w:val="center"/>
              <w:rPr>
                <w:rFonts w:eastAsia="Calibri"/>
                <w:sz w:val="22"/>
                <w:szCs w:val="22"/>
                <w:lang w:val="lt-LT" w:eastAsia="lt-LT"/>
              </w:rPr>
            </w:pPr>
            <w:r w:rsidRPr="00715891">
              <w:rPr>
                <w:rFonts w:eastAsia="Calibri"/>
                <w:sz w:val="22"/>
                <w:szCs w:val="22"/>
                <w:lang w:val="lt-LT" w:eastAsia="lt-LT"/>
              </w:rPr>
              <w:t>Geriamasis valgancikloviras</w:t>
            </w:r>
          </w:p>
          <w:p w14:paraId="17683430" w14:textId="52F6E36D" w:rsidR="00107519" w:rsidRPr="00715891" w:rsidRDefault="00107519" w:rsidP="00107519">
            <w:pPr>
              <w:spacing w:before="80"/>
              <w:jc w:val="center"/>
              <w:rPr>
                <w:rFonts w:eastAsia="Calibri"/>
                <w:sz w:val="22"/>
                <w:szCs w:val="22"/>
                <w:lang w:val="lt-LT" w:eastAsia="lt-LT"/>
              </w:rPr>
            </w:pPr>
            <w:r w:rsidRPr="00715891">
              <w:rPr>
                <w:rFonts w:eastAsia="Calibri"/>
                <w:sz w:val="22"/>
                <w:szCs w:val="22"/>
                <w:lang w:val="lt-LT" w:eastAsia="lt-LT"/>
              </w:rPr>
              <w:t>(900</w:t>
            </w:r>
            <w:r w:rsidR="00F706F6" w:rsidRPr="00715891">
              <w:rPr>
                <w:rFonts w:eastAsia="Calibri"/>
                <w:sz w:val="22"/>
                <w:szCs w:val="22"/>
                <w:lang w:val="lt-LT" w:eastAsia="lt-LT"/>
              </w:rPr>
              <w:t> </w:t>
            </w:r>
            <w:r w:rsidRPr="00715891">
              <w:rPr>
                <w:rFonts w:eastAsia="Calibri"/>
                <w:sz w:val="22"/>
                <w:szCs w:val="22"/>
                <w:lang w:val="lt-LT" w:eastAsia="lt-LT"/>
              </w:rPr>
              <w:t>mg)</w:t>
            </w:r>
          </w:p>
          <w:p w14:paraId="13A6DCC6" w14:textId="0EA29990" w:rsidR="00107519" w:rsidRPr="00715891" w:rsidRDefault="00107519" w:rsidP="00107519">
            <w:pPr>
              <w:spacing w:after="80"/>
              <w:jc w:val="center"/>
              <w:rPr>
                <w:rFonts w:eastAsia="Calibri"/>
                <w:sz w:val="22"/>
                <w:szCs w:val="22"/>
                <w:lang w:val="lt-LT" w:eastAsia="lt-LT"/>
              </w:rPr>
            </w:pPr>
            <w:r w:rsidRPr="00715891">
              <w:rPr>
                <w:rFonts w:eastAsia="Calibri"/>
                <w:sz w:val="22"/>
                <w:szCs w:val="22"/>
                <w:lang w:val="lt-LT" w:eastAsia="lt-LT"/>
              </w:rPr>
              <w:t>n</w:t>
            </w:r>
            <w:r w:rsidR="00F706F6" w:rsidRPr="00715891">
              <w:rPr>
                <w:rFonts w:eastAsia="Calibri"/>
                <w:sz w:val="22"/>
                <w:szCs w:val="22"/>
                <w:lang w:val="lt-LT" w:eastAsia="lt-LT"/>
              </w:rPr>
              <w:t> </w:t>
            </w:r>
            <w:r w:rsidRPr="00715891">
              <w:rPr>
                <w:rFonts w:eastAsia="Calibri"/>
                <w:sz w:val="22"/>
                <w:szCs w:val="22"/>
                <w:lang w:val="lt-LT" w:eastAsia="lt-LT"/>
              </w:rPr>
              <w:t>=</w:t>
            </w:r>
            <w:r w:rsidR="00F706F6" w:rsidRPr="00715891">
              <w:rPr>
                <w:rFonts w:eastAsia="Calibri"/>
                <w:sz w:val="22"/>
                <w:szCs w:val="22"/>
                <w:lang w:val="lt-LT" w:eastAsia="lt-LT"/>
              </w:rPr>
              <w:t> </w:t>
            </w:r>
            <w:r w:rsidRPr="00715891">
              <w:rPr>
                <w:rFonts w:eastAsia="Calibri"/>
                <w:sz w:val="22"/>
                <w:szCs w:val="22"/>
                <w:lang w:val="lt-LT" w:eastAsia="lt-LT"/>
              </w:rPr>
              <w:t>25</w:t>
            </w:r>
          </w:p>
        </w:tc>
      </w:tr>
      <w:tr w:rsidR="00107519" w:rsidRPr="00715891" w14:paraId="5C67BE6A" w14:textId="77777777" w:rsidTr="00EF476A">
        <w:trPr>
          <w:cantSplit/>
        </w:trPr>
        <w:tc>
          <w:tcPr>
            <w:tcW w:w="2660" w:type="dxa"/>
            <w:vMerge/>
            <w:tcBorders>
              <w:left w:val="nil"/>
            </w:tcBorders>
          </w:tcPr>
          <w:p w14:paraId="0596ABA1" w14:textId="77777777" w:rsidR="00107519" w:rsidRPr="00715891" w:rsidRDefault="00107519" w:rsidP="00107519">
            <w:pPr>
              <w:jc w:val="both"/>
              <w:rPr>
                <w:rFonts w:eastAsia="Calibri"/>
                <w:sz w:val="22"/>
                <w:szCs w:val="22"/>
                <w:lang w:val="lt-LT" w:eastAsia="lt-LT"/>
              </w:rPr>
            </w:pPr>
          </w:p>
        </w:tc>
        <w:tc>
          <w:tcPr>
            <w:tcW w:w="1970" w:type="dxa"/>
            <w:vMerge/>
          </w:tcPr>
          <w:p w14:paraId="0042FDE8" w14:textId="77777777" w:rsidR="00107519" w:rsidRPr="00715891" w:rsidRDefault="00107519" w:rsidP="00107519">
            <w:pPr>
              <w:jc w:val="center"/>
              <w:rPr>
                <w:rFonts w:eastAsia="Calibri"/>
                <w:sz w:val="22"/>
                <w:szCs w:val="22"/>
                <w:lang w:val="lt-LT" w:eastAsia="lt-LT"/>
              </w:rPr>
            </w:pPr>
          </w:p>
        </w:tc>
        <w:tc>
          <w:tcPr>
            <w:tcW w:w="2113" w:type="dxa"/>
          </w:tcPr>
          <w:p w14:paraId="25136C86" w14:textId="77777777" w:rsidR="00107519" w:rsidRPr="00715891" w:rsidRDefault="00107519" w:rsidP="00107519">
            <w:pPr>
              <w:spacing w:before="80" w:after="80"/>
              <w:jc w:val="center"/>
              <w:rPr>
                <w:rFonts w:eastAsia="Calibri"/>
                <w:sz w:val="22"/>
                <w:szCs w:val="22"/>
                <w:lang w:val="lt-LT" w:eastAsia="lt-LT"/>
              </w:rPr>
            </w:pPr>
            <w:r w:rsidRPr="00715891">
              <w:rPr>
                <w:rFonts w:eastAsia="Calibri"/>
                <w:sz w:val="22"/>
                <w:szCs w:val="22"/>
                <w:lang w:val="lt-LT" w:eastAsia="lt-LT"/>
              </w:rPr>
              <w:t>Gancikloviras</w:t>
            </w:r>
          </w:p>
        </w:tc>
        <w:tc>
          <w:tcPr>
            <w:tcW w:w="2113" w:type="dxa"/>
            <w:tcBorders>
              <w:right w:val="nil"/>
            </w:tcBorders>
          </w:tcPr>
          <w:p w14:paraId="75370FD8" w14:textId="77777777" w:rsidR="00107519" w:rsidRPr="00715891" w:rsidRDefault="00107519" w:rsidP="00107519">
            <w:pPr>
              <w:spacing w:before="80"/>
              <w:jc w:val="center"/>
              <w:rPr>
                <w:rFonts w:eastAsia="Calibri"/>
                <w:sz w:val="22"/>
                <w:szCs w:val="22"/>
                <w:lang w:val="lt-LT" w:eastAsia="lt-LT"/>
              </w:rPr>
            </w:pPr>
            <w:r w:rsidRPr="00715891">
              <w:rPr>
                <w:rFonts w:eastAsia="Calibri"/>
                <w:sz w:val="22"/>
                <w:szCs w:val="22"/>
                <w:lang w:val="lt-LT" w:eastAsia="lt-LT"/>
              </w:rPr>
              <w:t>Valgancikloviras</w:t>
            </w:r>
          </w:p>
        </w:tc>
      </w:tr>
      <w:tr w:rsidR="00107519" w:rsidRPr="00715891" w14:paraId="34F3E506" w14:textId="77777777" w:rsidTr="00EF476A">
        <w:tc>
          <w:tcPr>
            <w:tcW w:w="2660" w:type="dxa"/>
            <w:tcBorders>
              <w:top w:val="nil"/>
              <w:left w:val="nil"/>
              <w:bottom w:val="nil"/>
            </w:tcBorders>
          </w:tcPr>
          <w:p w14:paraId="1300C68C" w14:textId="0EE9E75B" w:rsidR="00107519" w:rsidRPr="00715891" w:rsidRDefault="00107519" w:rsidP="00107519">
            <w:pPr>
              <w:spacing w:before="80"/>
              <w:jc w:val="both"/>
              <w:rPr>
                <w:rFonts w:eastAsia="Calibri"/>
                <w:sz w:val="22"/>
                <w:szCs w:val="22"/>
                <w:lang w:val="lt-LT" w:eastAsia="lt-LT"/>
              </w:rPr>
            </w:pPr>
            <w:r w:rsidRPr="00715891">
              <w:rPr>
                <w:rFonts w:eastAsia="Calibri"/>
                <w:sz w:val="22"/>
                <w:szCs w:val="22"/>
                <w:lang w:val="lt-LT" w:eastAsia="lt-LT"/>
              </w:rPr>
              <w:t>AUC (0–12</w:t>
            </w:r>
            <w:r w:rsidR="00F706F6" w:rsidRPr="00715891">
              <w:rPr>
                <w:rFonts w:eastAsia="Calibri"/>
                <w:sz w:val="22"/>
                <w:szCs w:val="22"/>
                <w:lang w:val="lt-LT" w:eastAsia="lt-LT"/>
              </w:rPr>
              <w:t> </w:t>
            </w:r>
            <w:r w:rsidRPr="00715891">
              <w:rPr>
                <w:rFonts w:eastAsia="Calibri"/>
                <w:sz w:val="22"/>
                <w:szCs w:val="22"/>
                <w:lang w:val="lt-LT" w:eastAsia="lt-LT"/>
              </w:rPr>
              <w:t>val.) (</w:t>
            </w:r>
            <w:r w:rsidRPr="00715891">
              <w:rPr>
                <w:rFonts w:eastAsia="Calibri"/>
                <w:sz w:val="22"/>
                <w:szCs w:val="22"/>
                <w:lang w:val="lt-LT" w:eastAsia="lt-LT"/>
              </w:rPr>
              <w:sym w:font="Symbol" w:char="F06D"/>
            </w:r>
            <w:r w:rsidRPr="00715891">
              <w:rPr>
                <w:rFonts w:eastAsia="Calibri"/>
                <w:sz w:val="22"/>
                <w:szCs w:val="22"/>
                <w:lang w:val="lt-LT" w:eastAsia="lt-LT"/>
              </w:rPr>
              <w:t>g val./ml)</w:t>
            </w:r>
          </w:p>
        </w:tc>
        <w:tc>
          <w:tcPr>
            <w:tcW w:w="1970" w:type="dxa"/>
            <w:tcBorders>
              <w:bottom w:val="nil"/>
            </w:tcBorders>
          </w:tcPr>
          <w:p w14:paraId="1FCD9AC4" w14:textId="3E5D50D2" w:rsidR="00107519" w:rsidRPr="00715891" w:rsidRDefault="00107519" w:rsidP="00107519">
            <w:pPr>
              <w:spacing w:before="80"/>
              <w:jc w:val="center"/>
              <w:rPr>
                <w:rFonts w:eastAsia="Calibri"/>
                <w:sz w:val="22"/>
                <w:szCs w:val="22"/>
                <w:lang w:val="lt-LT" w:eastAsia="lt-LT"/>
              </w:rPr>
            </w:pPr>
            <w:r w:rsidRPr="00715891">
              <w:rPr>
                <w:rFonts w:eastAsia="Calibri"/>
                <w:sz w:val="22"/>
                <w:szCs w:val="22"/>
                <w:lang w:val="lt-LT" w:eastAsia="lt-LT"/>
              </w:rPr>
              <w:t>28,6</w:t>
            </w:r>
            <w:r w:rsidR="00F706F6" w:rsidRPr="00715891">
              <w:rPr>
                <w:rFonts w:eastAsia="Calibri"/>
                <w:sz w:val="22"/>
                <w:szCs w:val="22"/>
                <w:lang w:val="lt-LT" w:eastAsia="lt-LT"/>
              </w:rPr>
              <w:t> </w:t>
            </w:r>
            <w:r w:rsidRPr="00715891">
              <w:rPr>
                <w:rFonts w:eastAsia="Calibri"/>
                <w:sz w:val="22"/>
                <w:szCs w:val="22"/>
                <w:lang w:val="lt-LT" w:eastAsia="lt-LT"/>
              </w:rPr>
              <w:sym w:font="Symbol" w:char="F0B1"/>
            </w:r>
            <w:r w:rsidRPr="00715891">
              <w:rPr>
                <w:rFonts w:eastAsia="Calibri"/>
                <w:sz w:val="22"/>
                <w:szCs w:val="22"/>
                <w:lang w:val="lt-LT" w:eastAsia="lt-LT"/>
              </w:rPr>
              <w:t> 9,0</w:t>
            </w:r>
          </w:p>
        </w:tc>
        <w:tc>
          <w:tcPr>
            <w:tcW w:w="2113" w:type="dxa"/>
            <w:tcBorders>
              <w:bottom w:val="nil"/>
            </w:tcBorders>
          </w:tcPr>
          <w:p w14:paraId="2DB703A2" w14:textId="1CF25C10" w:rsidR="00107519" w:rsidRPr="00715891" w:rsidRDefault="00107519" w:rsidP="00107519">
            <w:pPr>
              <w:spacing w:before="80"/>
              <w:jc w:val="center"/>
              <w:rPr>
                <w:rFonts w:eastAsia="Calibri"/>
                <w:sz w:val="22"/>
                <w:szCs w:val="22"/>
                <w:lang w:val="lt-LT" w:eastAsia="lt-LT"/>
              </w:rPr>
            </w:pPr>
            <w:r w:rsidRPr="00715891">
              <w:rPr>
                <w:rFonts w:eastAsia="Calibri"/>
                <w:sz w:val="22"/>
                <w:szCs w:val="22"/>
                <w:lang w:val="lt-LT" w:eastAsia="lt-LT"/>
              </w:rPr>
              <w:t>32,8</w:t>
            </w:r>
            <w:r w:rsidR="00F706F6" w:rsidRPr="00715891">
              <w:rPr>
                <w:rFonts w:eastAsia="Calibri"/>
                <w:sz w:val="22"/>
                <w:szCs w:val="22"/>
                <w:lang w:val="lt-LT" w:eastAsia="lt-LT"/>
              </w:rPr>
              <w:t> </w:t>
            </w:r>
            <w:r w:rsidRPr="00715891">
              <w:rPr>
                <w:rFonts w:eastAsia="Calibri"/>
                <w:sz w:val="22"/>
                <w:szCs w:val="22"/>
                <w:lang w:val="lt-LT" w:eastAsia="lt-LT"/>
              </w:rPr>
              <w:sym w:font="Symbol" w:char="F0B1"/>
            </w:r>
            <w:r w:rsidRPr="00715891">
              <w:rPr>
                <w:rFonts w:eastAsia="Calibri"/>
                <w:sz w:val="22"/>
                <w:szCs w:val="22"/>
                <w:lang w:val="lt-LT" w:eastAsia="lt-LT"/>
              </w:rPr>
              <w:t> 10,1</w:t>
            </w:r>
          </w:p>
        </w:tc>
        <w:tc>
          <w:tcPr>
            <w:tcW w:w="2113" w:type="dxa"/>
            <w:tcBorders>
              <w:bottom w:val="nil"/>
              <w:right w:val="nil"/>
            </w:tcBorders>
          </w:tcPr>
          <w:p w14:paraId="61131AB1" w14:textId="18C28823" w:rsidR="00107519" w:rsidRPr="00715891" w:rsidRDefault="00107519" w:rsidP="00107519">
            <w:pPr>
              <w:spacing w:before="80" w:after="80"/>
              <w:jc w:val="center"/>
              <w:rPr>
                <w:rFonts w:eastAsia="Calibri"/>
                <w:sz w:val="22"/>
                <w:szCs w:val="22"/>
                <w:lang w:val="lt-LT" w:eastAsia="lt-LT"/>
              </w:rPr>
            </w:pPr>
            <w:r w:rsidRPr="00715891">
              <w:rPr>
                <w:rFonts w:eastAsia="Calibri"/>
                <w:sz w:val="22"/>
                <w:szCs w:val="22"/>
                <w:lang w:val="lt-LT" w:eastAsia="lt-LT"/>
              </w:rPr>
              <w:t>0,37</w:t>
            </w:r>
            <w:r w:rsidR="00F706F6" w:rsidRPr="00715891">
              <w:rPr>
                <w:rFonts w:eastAsia="Calibri"/>
                <w:sz w:val="22"/>
                <w:szCs w:val="22"/>
                <w:lang w:val="lt-LT" w:eastAsia="lt-LT"/>
              </w:rPr>
              <w:t> </w:t>
            </w:r>
            <w:r w:rsidRPr="00715891">
              <w:rPr>
                <w:rFonts w:eastAsia="Calibri"/>
                <w:sz w:val="22"/>
                <w:szCs w:val="22"/>
                <w:lang w:val="lt-LT" w:eastAsia="lt-LT"/>
              </w:rPr>
              <w:sym w:font="Symbol" w:char="F0B1"/>
            </w:r>
            <w:r w:rsidRPr="00715891">
              <w:rPr>
                <w:rFonts w:eastAsia="Calibri"/>
                <w:sz w:val="22"/>
                <w:szCs w:val="22"/>
                <w:lang w:val="lt-LT" w:eastAsia="lt-LT"/>
              </w:rPr>
              <w:t> 0,22</w:t>
            </w:r>
          </w:p>
        </w:tc>
      </w:tr>
      <w:tr w:rsidR="00107519" w:rsidRPr="00715891" w14:paraId="2E89CCD5" w14:textId="77777777" w:rsidTr="00EF476A">
        <w:tc>
          <w:tcPr>
            <w:tcW w:w="2660" w:type="dxa"/>
            <w:tcBorders>
              <w:top w:val="nil"/>
              <w:left w:val="nil"/>
            </w:tcBorders>
          </w:tcPr>
          <w:p w14:paraId="0BA5E02A" w14:textId="77777777" w:rsidR="00107519" w:rsidRPr="00715891" w:rsidRDefault="00107519" w:rsidP="00107519">
            <w:pPr>
              <w:spacing w:before="80"/>
              <w:jc w:val="both"/>
              <w:rPr>
                <w:rFonts w:eastAsia="Calibri"/>
                <w:sz w:val="22"/>
                <w:szCs w:val="22"/>
                <w:lang w:val="lt-LT" w:eastAsia="lt-LT"/>
              </w:rPr>
            </w:pPr>
            <w:r w:rsidRPr="00715891">
              <w:rPr>
                <w:rFonts w:eastAsia="Calibri"/>
                <w:sz w:val="22"/>
                <w:szCs w:val="22"/>
                <w:lang w:val="lt-LT" w:eastAsia="lt-LT"/>
              </w:rPr>
              <w:t>C</w:t>
            </w:r>
            <w:r w:rsidRPr="00715891">
              <w:rPr>
                <w:rFonts w:eastAsia="Calibri"/>
                <w:sz w:val="22"/>
                <w:szCs w:val="22"/>
                <w:vertAlign w:val="subscript"/>
                <w:lang w:val="lt-LT" w:eastAsia="lt-LT"/>
              </w:rPr>
              <w:t>max</w:t>
            </w:r>
            <w:r w:rsidRPr="00715891">
              <w:rPr>
                <w:rFonts w:eastAsia="Calibri"/>
                <w:sz w:val="22"/>
                <w:szCs w:val="22"/>
                <w:lang w:val="lt-LT" w:eastAsia="lt-LT"/>
              </w:rPr>
              <w:t xml:space="preserve"> (</w:t>
            </w:r>
            <w:r w:rsidRPr="00715891">
              <w:rPr>
                <w:rFonts w:eastAsia="Calibri"/>
                <w:sz w:val="22"/>
                <w:szCs w:val="22"/>
                <w:lang w:val="lt-LT" w:eastAsia="lt-LT"/>
              </w:rPr>
              <w:sym w:font="Symbol" w:char="F06D"/>
            </w:r>
            <w:r w:rsidRPr="00715891">
              <w:rPr>
                <w:rFonts w:eastAsia="Calibri"/>
                <w:sz w:val="22"/>
                <w:szCs w:val="22"/>
                <w:lang w:val="lt-LT" w:eastAsia="lt-LT"/>
              </w:rPr>
              <w:t>g/ml)</w:t>
            </w:r>
          </w:p>
        </w:tc>
        <w:tc>
          <w:tcPr>
            <w:tcW w:w="1970" w:type="dxa"/>
            <w:tcBorders>
              <w:top w:val="nil"/>
            </w:tcBorders>
          </w:tcPr>
          <w:p w14:paraId="75955B95" w14:textId="79ED74A3" w:rsidR="00107519" w:rsidRPr="00715891" w:rsidRDefault="00107519" w:rsidP="00107519">
            <w:pPr>
              <w:spacing w:before="80"/>
              <w:jc w:val="center"/>
              <w:rPr>
                <w:rFonts w:eastAsia="Calibri"/>
                <w:sz w:val="22"/>
                <w:szCs w:val="22"/>
                <w:lang w:val="lt-LT" w:eastAsia="lt-LT"/>
              </w:rPr>
            </w:pPr>
            <w:r w:rsidRPr="00715891">
              <w:rPr>
                <w:rFonts w:eastAsia="Calibri"/>
                <w:sz w:val="22"/>
                <w:szCs w:val="22"/>
                <w:lang w:val="lt-LT" w:eastAsia="lt-LT"/>
              </w:rPr>
              <w:t>10,4</w:t>
            </w:r>
            <w:r w:rsidR="00F706F6" w:rsidRPr="00715891">
              <w:rPr>
                <w:rFonts w:eastAsia="Calibri"/>
                <w:sz w:val="22"/>
                <w:szCs w:val="22"/>
                <w:lang w:val="lt-LT" w:eastAsia="lt-LT"/>
              </w:rPr>
              <w:t> </w:t>
            </w:r>
            <w:r w:rsidRPr="00715891">
              <w:rPr>
                <w:rFonts w:eastAsia="Calibri"/>
                <w:sz w:val="22"/>
                <w:szCs w:val="22"/>
                <w:lang w:val="lt-LT" w:eastAsia="lt-LT"/>
              </w:rPr>
              <w:sym w:font="Symbol" w:char="F0B1"/>
            </w:r>
            <w:r w:rsidRPr="00715891">
              <w:rPr>
                <w:rFonts w:eastAsia="Calibri"/>
                <w:sz w:val="22"/>
                <w:szCs w:val="22"/>
                <w:lang w:val="lt-LT" w:eastAsia="lt-LT"/>
              </w:rPr>
              <w:t> 4,9</w:t>
            </w:r>
          </w:p>
        </w:tc>
        <w:tc>
          <w:tcPr>
            <w:tcW w:w="2113" w:type="dxa"/>
            <w:tcBorders>
              <w:top w:val="nil"/>
            </w:tcBorders>
          </w:tcPr>
          <w:p w14:paraId="7DE76966" w14:textId="25A08DD3" w:rsidR="00107519" w:rsidRPr="00715891" w:rsidRDefault="00107519" w:rsidP="00107519">
            <w:pPr>
              <w:spacing w:before="80"/>
              <w:jc w:val="center"/>
              <w:rPr>
                <w:rFonts w:eastAsia="Calibri"/>
                <w:sz w:val="22"/>
                <w:szCs w:val="22"/>
                <w:lang w:val="lt-LT" w:eastAsia="lt-LT"/>
              </w:rPr>
            </w:pPr>
            <w:r w:rsidRPr="00715891">
              <w:rPr>
                <w:rFonts w:eastAsia="Calibri"/>
                <w:sz w:val="22"/>
                <w:szCs w:val="22"/>
                <w:lang w:val="lt-LT" w:eastAsia="lt-LT"/>
              </w:rPr>
              <w:t>6,7</w:t>
            </w:r>
            <w:r w:rsidR="00F706F6" w:rsidRPr="00715891">
              <w:rPr>
                <w:rFonts w:eastAsia="Calibri"/>
                <w:sz w:val="22"/>
                <w:szCs w:val="22"/>
                <w:lang w:val="lt-LT" w:eastAsia="lt-LT"/>
              </w:rPr>
              <w:t> </w:t>
            </w:r>
            <w:r w:rsidRPr="00715891">
              <w:rPr>
                <w:rFonts w:eastAsia="Calibri"/>
                <w:sz w:val="22"/>
                <w:szCs w:val="22"/>
                <w:lang w:val="lt-LT" w:eastAsia="lt-LT"/>
              </w:rPr>
              <w:sym w:font="Symbol" w:char="F0B1"/>
            </w:r>
            <w:r w:rsidRPr="00715891">
              <w:rPr>
                <w:rFonts w:eastAsia="Calibri"/>
                <w:sz w:val="22"/>
                <w:szCs w:val="22"/>
                <w:lang w:val="lt-LT" w:eastAsia="lt-LT"/>
              </w:rPr>
              <w:t> 2,1</w:t>
            </w:r>
          </w:p>
        </w:tc>
        <w:tc>
          <w:tcPr>
            <w:tcW w:w="2113" w:type="dxa"/>
            <w:tcBorders>
              <w:top w:val="nil"/>
              <w:right w:val="nil"/>
            </w:tcBorders>
          </w:tcPr>
          <w:p w14:paraId="31C35B14" w14:textId="1B6D8DD4" w:rsidR="00107519" w:rsidRPr="00715891" w:rsidRDefault="00107519" w:rsidP="00107519">
            <w:pPr>
              <w:spacing w:before="80" w:after="80"/>
              <w:jc w:val="center"/>
              <w:rPr>
                <w:rFonts w:eastAsia="Calibri"/>
                <w:sz w:val="22"/>
                <w:szCs w:val="22"/>
                <w:lang w:val="lt-LT" w:eastAsia="lt-LT"/>
              </w:rPr>
            </w:pPr>
            <w:r w:rsidRPr="00715891">
              <w:rPr>
                <w:rFonts w:eastAsia="Calibri"/>
                <w:sz w:val="22"/>
                <w:szCs w:val="22"/>
                <w:lang w:val="lt-LT" w:eastAsia="lt-LT"/>
              </w:rPr>
              <w:t>0,18</w:t>
            </w:r>
            <w:r w:rsidR="00F706F6" w:rsidRPr="00715891">
              <w:rPr>
                <w:rFonts w:eastAsia="Calibri"/>
                <w:sz w:val="22"/>
                <w:szCs w:val="22"/>
                <w:lang w:val="lt-LT" w:eastAsia="lt-LT"/>
              </w:rPr>
              <w:t> </w:t>
            </w:r>
            <w:r w:rsidRPr="00715891">
              <w:rPr>
                <w:rFonts w:eastAsia="Calibri"/>
                <w:sz w:val="22"/>
                <w:szCs w:val="22"/>
                <w:lang w:val="lt-LT" w:eastAsia="lt-LT"/>
              </w:rPr>
              <w:sym w:font="Symbol" w:char="F0B1"/>
            </w:r>
            <w:r w:rsidRPr="00715891">
              <w:rPr>
                <w:rFonts w:eastAsia="Calibri"/>
                <w:sz w:val="22"/>
                <w:szCs w:val="22"/>
                <w:lang w:val="lt-LT" w:eastAsia="lt-LT"/>
              </w:rPr>
              <w:t> 0,06</w:t>
            </w:r>
          </w:p>
        </w:tc>
      </w:tr>
    </w:tbl>
    <w:p w14:paraId="7783D48D" w14:textId="77777777" w:rsidR="00107519" w:rsidRPr="00715891" w:rsidRDefault="00107519" w:rsidP="00107519">
      <w:pPr>
        <w:rPr>
          <w:sz w:val="22"/>
          <w:szCs w:val="22"/>
          <w:lang w:val="lt-LT" w:eastAsia="ja-JP"/>
        </w:rPr>
      </w:pPr>
    </w:p>
    <w:p w14:paraId="177E28E0" w14:textId="77777777" w:rsidR="00107519" w:rsidRPr="00715891" w:rsidRDefault="00107519" w:rsidP="00107519">
      <w:pPr>
        <w:rPr>
          <w:sz w:val="22"/>
          <w:szCs w:val="22"/>
          <w:lang w:val="lt-LT" w:eastAsia="ja-JP"/>
        </w:rPr>
      </w:pPr>
      <w:r w:rsidRPr="00715891">
        <w:rPr>
          <w:sz w:val="22"/>
          <w:szCs w:val="22"/>
          <w:lang w:val="lt-LT" w:eastAsia="ja-JP"/>
        </w:rPr>
        <w:t>Nustatyta, kad gancikloviro veiksmingumas ilginant laiką iki CMV retinito progresavimo koreliuoja su sistemine ekspozicija (AUC).</w:t>
      </w:r>
    </w:p>
    <w:p w14:paraId="5DF2D265" w14:textId="77777777" w:rsidR="00107519" w:rsidRPr="00715891" w:rsidRDefault="00107519" w:rsidP="00107519">
      <w:pPr>
        <w:rPr>
          <w:sz w:val="22"/>
          <w:szCs w:val="22"/>
          <w:lang w:val="lt-LT" w:eastAsia="ja-JP"/>
        </w:rPr>
      </w:pPr>
    </w:p>
    <w:p w14:paraId="5FB2BADC" w14:textId="77777777" w:rsidR="00107519" w:rsidRPr="00715891" w:rsidRDefault="00107519" w:rsidP="00107519">
      <w:pPr>
        <w:rPr>
          <w:i/>
          <w:sz w:val="22"/>
          <w:szCs w:val="22"/>
          <w:lang w:val="lt-LT" w:eastAsia="ja-JP"/>
        </w:rPr>
      </w:pPr>
      <w:r w:rsidRPr="00715891">
        <w:rPr>
          <w:i/>
          <w:sz w:val="22"/>
          <w:szCs w:val="22"/>
          <w:lang w:val="lt-LT" w:eastAsia="ja-JP"/>
        </w:rPr>
        <w:t xml:space="preserve">Valgancikloviras pacientams, kuriems persodintas solidinis organas </w:t>
      </w:r>
    </w:p>
    <w:p w14:paraId="66B783FA" w14:textId="77777777" w:rsidR="00107519" w:rsidRPr="00715891" w:rsidRDefault="00107519" w:rsidP="00107519">
      <w:pPr>
        <w:rPr>
          <w:sz w:val="22"/>
          <w:szCs w:val="22"/>
          <w:lang w:val="lt-LT" w:eastAsia="ja-JP"/>
        </w:rPr>
      </w:pPr>
      <w:r w:rsidRPr="00715891">
        <w:rPr>
          <w:sz w:val="22"/>
          <w:szCs w:val="22"/>
          <w:lang w:val="lt-LT" w:eastAsia="ja-JP"/>
        </w:rPr>
        <w:t>Pacientų, kuriems persodintas solidinis organas, sisteminė ekspozicija, kai nusistovėjusi pusiausvyrinė apykaita) kasdien geriamais gancikloviru ir valgancikloviru:</w:t>
      </w:r>
    </w:p>
    <w:p w14:paraId="294F09E7" w14:textId="77777777" w:rsidR="00107519" w:rsidRPr="00715891" w:rsidRDefault="00107519" w:rsidP="00107519">
      <w:pPr>
        <w:rPr>
          <w:sz w:val="22"/>
          <w:szCs w:val="22"/>
          <w:lang w:val="lt-LT" w:eastAsia="ja-JP"/>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126"/>
        <w:gridCol w:w="4070"/>
      </w:tblGrid>
      <w:tr w:rsidR="00107519" w:rsidRPr="004C2447" w14:paraId="0FB4E64E" w14:textId="77777777" w:rsidTr="00EF476A">
        <w:trPr>
          <w:cantSplit/>
        </w:trPr>
        <w:tc>
          <w:tcPr>
            <w:tcW w:w="2660" w:type="dxa"/>
            <w:vMerge w:val="restart"/>
            <w:tcBorders>
              <w:left w:val="nil"/>
            </w:tcBorders>
          </w:tcPr>
          <w:p w14:paraId="583BB4F7" w14:textId="77777777" w:rsidR="00107519" w:rsidRPr="00715891" w:rsidRDefault="00107519" w:rsidP="00107519">
            <w:pPr>
              <w:spacing w:before="80"/>
              <w:jc w:val="both"/>
              <w:rPr>
                <w:rFonts w:eastAsia="Calibri"/>
                <w:sz w:val="22"/>
                <w:szCs w:val="22"/>
                <w:lang w:val="lt-LT" w:eastAsia="lt-LT"/>
              </w:rPr>
            </w:pPr>
            <w:r w:rsidRPr="00715891">
              <w:rPr>
                <w:rFonts w:eastAsia="Calibri"/>
                <w:sz w:val="22"/>
                <w:szCs w:val="22"/>
                <w:lang w:val="lt-LT" w:eastAsia="lt-LT"/>
              </w:rPr>
              <w:t>Rodikliai</w:t>
            </w:r>
          </w:p>
        </w:tc>
        <w:tc>
          <w:tcPr>
            <w:tcW w:w="2126" w:type="dxa"/>
            <w:vMerge w:val="restart"/>
          </w:tcPr>
          <w:p w14:paraId="059A3D9A" w14:textId="22F1028C" w:rsidR="00107519" w:rsidRPr="00715891" w:rsidRDefault="00107519" w:rsidP="00107519">
            <w:pPr>
              <w:jc w:val="center"/>
              <w:rPr>
                <w:rFonts w:eastAsia="Calibri"/>
                <w:sz w:val="22"/>
                <w:szCs w:val="22"/>
                <w:lang w:val="lt-LT" w:eastAsia="lt-LT"/>
              </w:rPr>
            </w:pPr>
            <w:r w:rsidRPr="00715891">
              <w:rPr>
                <w:rFonts w:eastAsia="Calibri"/>
                <w:sz w:val="22"/>
                <w:szCs w:val="22"/>
                <w:lang w:val="lt-LT" w:eastAsia="lt-LT"/>
              </w:rPr>
              <w:t>Gancikloviras</w:t>
            </w:r>
            <w:r w:rsidRPr="00715891">
              <w:rPr>
                <w:rFonts w:eastAsia="Calibri"/>
                <w:sz w:val="22"/>
                <w:szCs w:val="22"/>
                <w:lang w:val="lt-LT" w:eastAsia="lt-LT"/>
              </w:rPr>
              <w:br/>
              <w:t>(1</w:t>
            </w:r>
            <w:r w:rsidR="00F706F6" w:rsidRPr="00715891">
              <w:rPr>
                <w:rFonts w:eastAsia="Calibri"/>
                <w:sz w:val="22"/>
                <w:szCs w:val="22"/>
                <w:lang w:val="lt-LT" w:eastAsia="lt-LT"/>
              </w:rPr>
              <w:t> </w:t>
            </w:r>
            <w:r w:rsidRPr="00715891">
              <w:rPr>
                <w:rFonts w:eastAsia="Calibri"/>
                <w:sz w:val="22"/>
                <w:szCs w:val="22"/>
                <w:lang w:val="lt-LT" w:eastAsia="lt-LT"/>
              </w:rPr>
              <w:t>000</w:t>
            </w:r>
            <w:r w:rsidR="00F706F6" w:rsidRPr="00715891">
              <w:rPr>
                <w:rFonts w:eastAsia="Calibri"/>
                <w:sz w:val="22"/>
                <w:szCs w:val="22"/>
                <w:lang w:val="lt-LT" w:eastAsia="lt-LT"/>
              </w:rPr>
              <w:t> </w:t>
            </w:r>
            <w:r w:rsidRPr="00715891">
              <w:rPr>
                <w:rFonts w:eastAsia="Calibri"/>
                <w:sz w:val="22"/>
                <w:szCs w:val="22"/>
                <w:lang w:val="lt-LT" w:eastAsia="lt-LT"/>
              </w:rPr>
              <w:t>mg triskart per parą)</w:t>
            </w:r>
            <w:r w:rsidRPr="00715891">
              <w:rPr>
                <w:rFonts w:eastAsia="Calibri"/>
                <w:sz w:val="22"/>
                <w:szCs w:val="22"/>
                <w:lang w:val="lt-LT" w:eastAsia="lt-LT"/>
              </w:rPr>
              <w:br/>
              <w:t>n</w:t>
            </w:r>
            <w:r w:rsidR="00F706F6" w:rsidRPr="00715891">
              <w:rPr>
                <w:rFonts w:eastAsia="Calibri"/>
                <w:sz w:val="22"/>
                <w:szCs w:val="22"/>
                <w:lang w:val="lt-LT" w:eastAsia="lt-LT"/>
              </w:rPr>
              <w:t> </w:t>
            </w:r>
            <w:r w:rsidRPr="00715891">
              <w:rPr>
                <w:rFonts w:eastAsia="Calibri"/>
                <w:sz w:val="22"/>
                <w:szCs w:val="22"/>
                <w:lang w:val="lt-LT" w:eastAsia="lt-LT"/>
              </w:rPr>
              <w:t>=</w:t>
            </w:r>
            <w:r w:rsidR="00F706F6" w:rsidRPr="00715891">
              <w:rPr>
                <w:rFonts w:eastAsia="Calibri"/>
                <w:sz w:val="22"/>
                <w:szCs w:val="22"/>
                <w:lang w:val="lt-LT" w:eastAsia="lt-LT"/>
              </w:rPr>
              <w:t> </w:t>
            </w:r>
            <w:r w:rsidRPr="00715891">
              <w:rPr>
                <w:rFonts w:eastAsia="Calibri"/>
                <w:sz w:val="22"/>
                <w:szCs w:val="22"/>
                <w:lang w:val="lt-LT" w:eastAsia="lt-LT"/>
              </w:rPr>
              <w:t>82</w:t>
            </w:r>
          </w:p>
        </w:tc>
        <w:tc>
          <w:tcPr>
            <w:tcW w:w="4070" w:type="dxa"/>
            <w:tcBorders>
              <w:right w:val="nil"/>
            </w:tcBorders>
          </w:tcPr>
          <w:p w14:paraId="0939F692" w14:textId="77777777" w:rsidR="00107519" w:rsidRPr="00715891" w:rsidRDefault="00107519" w:rsidP="00107519">
            <w:pPr>
              <w:spacing w:after="80"/>
              <w:jc w:val="center"/>
              <w:rPr>
                <w:rFonts w:eastAsia="Calibri"/>
                <w:sz w:val="22"/>
                <w:szCs w:val="22"/>
                <w:lang w:val="lt-LT" w:eastAsia="lt-LT"/>
              </w:rPr>
            </w:pPr>
            <w:r w:rsidRPr="00715891">
              <w:rPr>
                <w:rFonts w:eastAsia="Calibri"/>
                <w:sz w:val="22"/>
                <w:szCs w:val="22"/>
                <w:lang w:val="lt-LT" w:eastAsia="lt-LT"/>
              </w:rPr>
              <w:t>Valgancikloviras (900 mg kartą per parą)</w:t>
            </w:r>
            <w:r w:rsidRPr="00715891">
              <w:rPr>
                <w:rFonts w:eastAsia="Calibri"/>
                <w:sz w:val="22"/>
                <w:szCs w:val="22"/>
                <w:lang w:val="lt-LT" w:eastAsia="lt-LT"/>
              </w:rPr>
              <w:br/>
              <w:t>n = 161</w:t>
            </w:r>
          </w:p>
        </w:tc>
      </w:tr>
      <w:tr w:rsidR="00107519" w:rsidRPr="00715891" w14:paraId="7AB84750" w14:textId="77777777" w:rsidTr="00EF476A">
        <w:trPr>
          <w:cantSplit/>
        </w:trPr>
        <w:tc>
          <w:tcPr>
            <w:tcW w:w="2660" w:type="dxa"/>
            <w:vMerge/>
            <w:tcBorders>
              <w:left w:val="nil"/>
            </w:tcBorders>
          </w:tcPr>
          <w:p w14:paraId="29F3F8B5" w14:textId="77777777" w:rsidR="00107519" w:rsidRPr="00715891" w:rsidRDefault="00107519" w:rsidP="00107519">
            <w:pPr>
              <w:jc w:val="both"/>
              <w:rPr>
                <w:rFonts w:eastAsia="Calibri"/>
                <w:sz w:val="22"/>
                <w:szCs w:val="22"/>
                <w:lang w:val="lt-LT" w:eastAsia="lt-LT"/>
              </w:rPr>
            </w:pPr>
          </w:p>
        </w:tc>
        <w:tc>
          <w:tcPr>
            <w:tcW w:w="2126" w:type="dxa"/>
            <w:vMerge/>
          </w:tcPr>
          <w:p w14:paraId="0F98FE57" w14:textId="77777777" w:rsidR="00107519" w:rsidRPr="00715891" w:rsidRDefault="00107519" w:rsidP="00107519">
            <w:pPr>
              <w:jc w:val="center"/>
              <w:rPr>
                <w:rFonts w:eastAsia="Calibri"/>
                <w:sz w:val="22"/>
                <w:szCs w:val="22"/>
                <w:lang w:val="lt-LT" w:eastAsia="lt-LT"/>
              </w:rPr>
            </w:pPr>
          </w:p>
        </w:tc>
        <w:tc>
          <w:tcPr>
            <w:tcW w:w="4070" w:type="dxa"/>
            <w:tcBorders>
              <w:right w:val="nil"/>
            </w:tcBorders>
          </w:tcPr>
          <w:p w14:paraId="7B620720" w14:textId="77777777" w:rsidR="00107519" w:rsidRPr="00715891" w:rsidRDefault="00107519" w:rsidP="00107519">
            <w:pPr>
              <w:spacing w:before="80"/>
              <w:jc w:val="center"/>
              <w:rPr>
                <w:rFonts w:eastAsia="Calibri"/>
                <w:sz w:val="22"/>
                <w:szCs w:val="22"/>
                <w:lang w:val="lt-LT" w:eastAsia="lt-LT"/>
              </w:rPr>
            </w:pPr>
            <w:r w:rsidRPr="00715891">
              <w:rPr>
                <w:rFonts w:eastAsia="Calibri"/>
                <w:sz w:val="22"/>
                <w:szCs w:val="22"/>
                <w:lang w:val="lt-LT" w:eastAsia="lt-LT"/>
              </w:rPr>
              <w:t>Gancikloviras</w:t>
            </w:r>
          </w:p>
        </w:tc>
      </w:tr>
      <w:tr w:rsidR="00107519" w:rsidRPr="00715891" w14:paraId="327AC249" w14:textId="77777777" w:rsidTr="00EF476A">
        <w:trPr>
          <w:cantSplit/>
        </w:trPr>
        <w:tc>
          <w:tcPr>
            <w:tcW w:w="2660" w:type="dxa"/>
            <w:tcBorders>
              <w:left w:val="nil"/>
              <w:bottom w:val="nil"/>
            </w:tcBorders>
          </w:tcPr>
          <w:p w14:paraId="0A94CF76" w14:textId="77777777" w:rsidR="00107519" w:rsidRPr="00715891" w:rsidRDefault="00107519" w:rsidP="00107519">
            <w:pPr>
              <w:spacing w:before="80"/>
              <w:rPr>
                <w:rFonts w:eastAsia="Calibri"/>
                <w:sz w:val="22"/>
                <w:szCs w:val="22"/>
                <w:lang w:val="lt-LT" w:eastAsia="lt-LT"/>
              </w:rPr>
            </w:pPr>
            <w:r w:rsidRPr="00715891">
              <w:rPr>
                <w:rFonts w:eastAsia="Calibri"/>
                <w:sz w:val="22"/>
                <w:szCs w:val="22"/>
                <w:lang w:val="lt-LT" w:eastAsia="lt-LT"/>
              </w:rPr>
              <w:t xml:space="preserve">AUC </w:t>
            </w:r>
            <w:r w:rsidRPr="00715891">
              <w:rPr>
                <w:rFonts w:eastAsia="Calibri"/>
                <w:sz w:val="22"/>
                <w:szCs w:val="22"/>
                <w:vertAlign w:val="subscript"/>
                <w:lang w:val="lt-LT" w:eastAsia="lt-LT"/>
              </w:rPr>
              <w:t>(0 – 24 val.)</w:t>
            </w:r>
            <w:r w:rsidRPr="00715891">
              <w:rPr>
                <w:rFonts w:eastAsia="Calibri"/>
                <w:sz w:val="22"/>
                <w:szCs w:val="22"/>
                <w:lang w:val="lt-LT" w:eastAsia="lt-LT"/>
              </w:rPr>
              <w:t xml:space="preserve"> (</w:t>
            </w:r>
            <w:r w:rsidRPr="00715891">
              <w:rPr>
                <w:rFonts w:eastAsia="Calibri"/>
                <w:sz w:val="22"/>
                <w:szCs w:val="22"/>
                <w:lang w:val="lt-LT" w:eastAsia="lt-LT"/>
              </w:rPr>
              <w:sym w:font="Symbol" w:char="F06D"/>
            </w:r>
            <w:r w:rsidRPr="00715891">
              <w:rPr>
                <w:rFonts w:eastAsia="Calibri"/>
                <w:sz w:val="22"/>
                <w:szCs w:val="22"/>
                <w:lang w:val="lt-LT" w:eastAsia="lt-LT"/>
              </w:rPr>
              <w:t>g.val./ml)</w:t>
            </w:r>
          </w:p>
        </w:tc>
        <w:tc>
          <w:tcPr>
            <w:tcW w:w="2126" w:type="dxa"/>
            <w:tcBorders>
              <w:bottom w:val="nil"/>
            </w:tcBorders>
          </w:tcPr>
          <w:p w14:paraId="09E79E0A" w14:textId="12FB74ED" w:rsidR="00107519" w:rsidRPr="00715891" w:rsidRDefault="00107519" w:rsidP="00107519">
            <w:pPr>
              <w:spacing w:before="80"/>
              <w:jc w:val="center"/>
              <w:rPr>
                <w:rFonts w:eastAsia="Calibri"/>
                <w:sz w:val="22"/>
                <w:szCs w:val="22"/>
                <w:lang w:val="lt-LT" w:eastAsia="lt-LT"/>
              </w:rPr>
            </w:pPr>
            <w:r w:rsidRPr="00715891">
              <w:rPr>
                <w:rFonts w:eastAsia="Calibri"/>
                <w:sz w:val="22"/>
                <w:szCs w:val="22"/>
                <w:lang w:val="lt-LT" w:eastAsia="lt-LT"/>
              </w:rPr>
              <w:t>28,0</w:t>
            </w:r>
            <w:r w:rsidR="00F706F6" w:rsidRPr="00715891">
              <w:rPr>
                <w:rFonts w:eastAsia="Calibri"/>
                <w:sz w:val="22"/>
                <w:szCs w:val="22"/>
                <w:lang w:val="lt-LT" w:eastAsia="lt-LT"/>
              </w:rPr>
              <w:t> </w:t>
            </w:r>
            <w:r w:rsidRPr="00715891">
              <w:rPr>
                <w:rFonts w:eastAsia="Calibri"/>
                <w:sz w:val="22"/>
                <w:szCs w:val="22"/>
                <w:lang w:val="lt-LT" w:eastAsia="lt-LT"/>
              </w:rPr>
              <w:sym w:font="Symbol" w:char="F0B1"/>
            </w:r>
            <w:r w:rsidRPr="00715891">
              <w:rPr>
                <w:rFonts w:eastAsia="Calibri"/>
                <w:sz w:val="22"/>
                <w:szCs w:val="22"/>
                <w:lang w:val="lt-LT" w:eastAsia="lt-LT"/>
              </w:rPr>
              <w:t> 10,9</w:t>
            </w:r>
          </w:p>
        </w:tc>
        <w:tc>
          <w:tcPr>
            <w:tcW w:w="4070" w:type="dxa"/>
            <w:tcBorders>
              <w:bottom w:val="nil"/>
              <w:right w:val="nil"/>
            </w:tcBorders>
          </w:tcPr>
          <w:p w14:paraId="15A693A4" w14:textId="53C16730" w:rsidR="00107519" w:rsidRPr="00715891" w:rsidRDefault="00107519" w:rsidP="00107519">
            <w:pPr>
              <w:spacing w:before="80" w:after="80"/>
              <w:jc w:val="center"/>
              <w:rPr>
                <w:rFonts w:eastAsia="Calibri"/>
                <w:sz w:val="22"/>
                <w:szCs w:val="22"/>
                <w:lang w:val="lt-LT" w:eastAsia="lt-LT"/>
              </w:rPr>
            </w:pPr>
            <w:r w:rsidRPr="00715891">
              <w:rPr>
                <w:rFonts w:eastAsia="Calibri"/>
                <w:sz w:val="22"/>
                <w:szCs w:val="22"/>
                <w:lang w:val="lt-LT" w:eastAsia="lt-LT"/>
              </w:rPr>
              <w:t>46,3</w:t>
            </w:r>
            <w:r w:rsidR="00F706F6" w:rsidRPr="00715891">
              <w:rPr>
                <w:rFonts w:eastAsia="Calibri"/>
                <w:sz w:val="22"/>
                <w:szCs w:val="22"/>
                <w:lang w:val="lt-LT" w:eastAsia="lt-LT"/>
              </w:rPr>
              <w:t> </w:t>
            </w:r>
            <w:r w:rsidRPr="00715891">
              <w:rPr>
                <w:rFonts w:eastAsia="Calibri"/>
                <w:sz w:val="22"/>
                <w:szCs w:val="22"/>
                <w:lang w:val="lt-LT" w:eastAsia="lt-LT"/>
              </w:rPr>
              <w:sym w:font="Symbol" w:char="F0B1"/>
            </w:r>
            <w:r w:rsidRPr="00715891">
              <w:rPr>
                <w:rFonts w:eastAsia="Calibri"/>
                <w:sz w:val="22"/>
                <w:szCs w:val="22"/>
                <w:lang w:val="lt-LT" w:eastAsia="lt-LT"/>
              </w:rPr>
              <w:t> 15,2</w:t>
            </w:r>
          </w:p>
        </w:tc>
      </w:tr>
      <w:tr w:rsidR="00107519" w:rsidRPr="00715891" w14:paraId="48E72FE8" w14:textId="77777777" w:rsidTr="00EF476A">
        <w:trPr>
          <w:cantSplit/>
        </w:trPr>
        <w:tc>
          <w:tcPr>
            <w:tcW w:w="2660" w:type="dxa"/>
            <w:tcBorders>
              <w:top w:val="nil"/>
              <w:left w:val="nil"/>
            </w:tcBorders>
          </w:tcPr>
          <w:p w14:paraId="2A7C3DD7" w14:textId="77777777" w:rsidR="00107519" w:rsidRPr="00715891" w:rsidRDefault="00107519" w:rsidP="00107519">
            <w:pPr>
              <w:spacing w:before="80"/>
              <w:jc w:val="both"/>
              <w:rPr>
                <w:rFonts w:eastAsia="Calibri"/>
                <w:sz w:val="22"/>
                <w:szCs w:val="22"/>
                <w:lang w:val="lt-LT" w:eastAsia="lt-LT"/>
              </w:rPr>
            </w:pPr>
            <w:r w:rsidRPr="00715891">
              <w:rPr>
                <w:rFonts w:eastAsia="Calibri"/>
                <w:sz w:val="22"/>
                <w:szCs w:val="22"/>
                <w:lang w:val="lt-LT" w:eastAsia="lt-LT"/>
              </w:rPr>
              <w:t>C</w:t>
            </w:r>
            <w:r w:rsidRPr="00715891">
              <w:rPr>
                <w:rFonts w:eastAsia="Calibri"/>
                <w:sz w:val="22"/>
                <w:szCs w:val="22"/>
                <w:vertAlign w:val="subscript"/>
                <w:lang w:val="lt-LT" w:eastAsia="lt-LT"/>
              </w:rPr>
              <w:t>max</w:t>
            </w:r>
            <w:r w:rsidRPr="00715891">
              <w:rPr>
                <w:rFonts w:eastAsia="Calibri"/>
                <w:sz w:val="22"/>
                <w:szCs w:val="22"/>
                <w:lang w:val="lt-LT" w:eastAsia="lt-LT"/>
              </w:rPr>
              <w:t xml:space="preserve"> (</w:t>
            </w:r>
            <w:r w:rsidRPr="00715891">
              <w:rPr>
                <w:rFonts w:eastAsia="Calibri"/>
                <w:sz w:val="22"/>
                <w:szCs w:val="22"/>
                <w:lang w:val="lt-LT" w:eastAsia="lt-LT"/>
              </w:rPr>
              <w:sym w:font="Symbol" w:char="F06D"/>
            </w:r>
            <w:r w:rsidRPr="00715891">
              <w:rPr>
                <w:rFonts w:eastAsia="Calibri"/>
                <w:sz w:val="22"/>
                <w:szCs w:val="22"/>
                <w:lang w:val="lt-LT" w:eastAsia="lt-LT"/>
              </w:rPr>
              <w:t>g/ml)</w:t>
            </w:r>
          </w:p>
        </w:tc>
        <w:tc>
          <w:tcPr>
            <w:tcW w:w="2126" w:type="dxa"/>
            <w:tcBorders>
              <w:top w:val="nil"/>
            </w:tcBorders>
          </w:tcPr>
          <w:p w14:paraId="7B5D3A57" w14:textId="3DA07407" w:rsidR="00107519" w:rsidRPr="00715891" w:rsidRDefault="00107519" w:rsidP="00107519">
            <w:pPr>
              <w:spacing w:before="80"/>
              <w:jc w:val="center"/>
              <w:rPr>
                <w:rFonts w:eastAsia="Calibri"/>
                <w:sz w:val="22"/>
                <w:szCs w:val="22"/>
                <w:lang w:val="lt-LT" w:eastAsia="lt-LT"/>
              </w:rPr>
            </w:pPr>
            <w:r w:rsidRPr="00715891">
              <w:rPr>
                <w:rFonts w:eastAsia="Calibri"/>
                <w:sz w:val="22"/>
                <w:szCs w:val="22"/>
                <w:lang w:val="lt-LT" w:eastAsia="lt-LT"/>
              </w:rPr>
              <w:t>1,4</w:t>
            </w:r>
            <w:r w:rsidR="00F706F6" w:rsidRPr="00715891">
              <w:rPr>
                <w:rFonts w:eastAsia="Calibri"/>
                <w:sz w:val="22"/>
                <w:szCs w:val="22"/>
                <w:lang w:val="lt-LT" w:eastAsia="lt-LT"/>
              </w:rPr>
              <w:t> </w:t>
            </w:r>
            <w:r w:rsidRPr="00715891">
              <w:rPr>
                <w:rFonts w:eastAsia="Calibri"/>
                <w:sz w:val="22"/>
                <w:szCs w:val="22"/>
                <w:lang w:val="lt-LT" w:eastAsia="lt-LT"/>
              </w:rPr>
              <w:sym w:font="Symbol" w:char="F0B1"/>
            </w:r>
            <w:r w:rsidRPr="00715891">
              <w:rPr>
                <w:rFonts w:eastAsia="Calibri"/>
                <w:sz w:val="22"/>
                <w:szCs w:val="22"/>
                <w:lang w:val="lt-LT" w:eastAsia="lt-LT"/>
              </w:rPr>
              <w:t> 0,5</w:t>
            </w:r>
          </w:p>
        </w:tc>
        <w:tc>
          <w:tcPr>
            <w:tcW w:w="4070" w:type="dxa"/>
            <w:tcBorders>
              <w:top w:val="nil"/>
              <w:right w:val="nil"/>
            </w:tcBorders>
          </w:tcPr>
          <w:p w14:paraId="4294289F" w14:textId="4F901758" w:rsidR="00107519" w:rsidRPr="00715891" w:rsidRDefault="00107519" w:rsidP="00107519">
            <w:pPr>
              <w:spacing w:before="80" w:after="80"/>
              <w:jc w:val="center"/>
              <w:rPr>
                <w:rFonts w:eastAsia="Calibri"/>
                <w:sz w:val="22"/>
                <w:szCs w:val="22"/>
                <w:lang w:val="lt-LT" w:eastAsia="lt-LT"/>
              </w:rPr>
            </w:pPr>
            <w:r w:rsidRPr="00715891">
              <w:rPr>
                <w:rFonts w:eastAsia="Calibri"/>
                <w:sz w:val="22"/>
                <w:szCs w:val="22"/>
                <w:lang w:val="lt-LT" w:eastAsia="lt-LT"/>
              </w:rPr>
              <w:t>5,3</w:t>
            </w:r>
            <w:r w:rsidR="00F706F6" w:rsidRPr="00715891">
              <w:rPr>
                <w:rFonts w:eastAsia="Calibri"/>
                <w:sz w:val="22"/>
                <w:szCs w:val="22"/>
                <w:lang w:val="lt-LT" w:eastAsia="lt-LT"/>
              </w:rPr>
              <w:t> </w:t>
            </w:r>
            <w:r w:rsidRPr="00715891">
              <w:rPr>
                <w:rFonts w:eastAsia="Calibri"/>
                <w:sz w:val="22"/>
                <w:szCs w:val="22"/>
                <w:lang w:val="lt-LT" w:eastAsia="lt-LT"/>
              </w:rPr>
              <w:sym w:font="Symbol" w:char="F0B1"/>
            </w:r>
            <w:r w:rsidRPr="00715891">
              <w:rPr>
                <w:rFonts w:eastAsia="Calibri"/>
                <w:sz w:val="22"/>
                <w:szCs w:val="22"/>
                <w:lang w:val="lt-LT" w:eastAsia="lt-LT"/>
              </w:rPr>
              <w:t> 1,5</w:t>
            </w:r>
          </w:p>
        </w:tc>
      </w:tr>
    </w:tbl>
    <w:p w14:paraId="6825B072" w14:textId="77777777" w:rsidR="00107519" w:rsidRPr="00715891" w:rsidRDefault="00107519" w:rsidP="00107519">
      <w:pPr>
        <w:rPr>
          <w:sz w:val="22"/>
          <w:szCs w:val="22"/>
          <w:lang w:val="lt-LT" w:eastAsia="ja-JP"/>
        </w:rPr>
      </w:pPr>
    </w:p>
    <w:p w14:paraId="08EEE51A" w14:textId="77777777" w:rsidR="00107519" w:rsidRPr="00715891" w:rsidRDefault="00107519" w:rsidP="00107519">
      <w:pPr>
        <w:rPr>
          <w:sz w:val="22"/>
          <w:szCs w:val="22"/>
          <w:lang w:val="lt-LT" w:eastAsia="ja-JP"/>
        </w:rPr>
      </w:pPr>
      <w:r w:rsidRPr="00715891">
        <w:rPr>
          <w:sz w:val="22"/>
          <w:szCs w:val="22"/>
          <w:lang w:val="lt-LT" w:eastAsia="ja-JP"/>
        </w:rPr>
        <w:t>Pacientų, kuriems persodinta širdis, inkstas ar kepenys, gydytų geriamuoju valgancikloviru, vartojamu pagal inkstų funkcijos dozavimo algoritmą, sisteminė ekspozicija gancikloviru buvo panaši.</w:t>
      </w:r>
    </w:p>
    <w:p w14:paraId="4FD7C832" w14:textId="77777777" w:rsidR="00107519" w:rsidRPr="00715891" w:rsidRDefault="00107519" w:rsidP="00107519">
      <w:pPr>
        <w:rPr>
          <w:sz w:val="22"/>
          <w:szCs w:val="22"/>
          <w:lang w:val="lt-LT" w:eastAsia="ja-JP"/>
        </w:rPr>
      </w:pPr>
    </w:p>
    <w:p w14:paraId="24281762" w14:textId="77777777" w:rsidR="00107519" w:rsidRPr="00715891" w:rsidRDefault="00107519" w:rsidP="00107519">
      <w:pPr>
        <w:rPr>
          <w:i/>
          <w:sz w:val="22"/>
          <w:szCs w:val="22"/>
          <w:lang w:val="lt-LT" w:eastAsia="ja-JP"/>
        </w:rPr>
      </w:pPr>
      <w:r w:rsidRPr="00715891">
        <w:rPr>
          <w:i/>
          <w:sz w:val="22"/>
          <w:szCs w:val="22"/>
          <w:lang w:val="lt-LT" w:eastAsia="ja-JP"/>
        </w:rPr>
        <w:t>Maisto poveikis</w:t>
      </w:r>
    </w:p>
    <w:p w14:paraId="3115CFB0" w14:textId="2775C664" w:rsidR="00107519" w:rsidRPr="00715891" w:rsidRDefault="00107519" w:rsidP="00107519">
      <w:pPr>
        <w:rPr>
          <w:sz w:val="22"/>
          <w:szCs w:val="22"/>
          <w:lang w:val="lt-LT" w:eastAsia="ja-JP"/>
        </w:rPr>
      </w:pPr>
      <w:r w:rsidRPr="00715891">
        <w:rPr>
          <w:sz w:val="22"/>
          <w:szCs w:val="22"/>
          <w:lang w:val="lt-LT" w:eastAsia="ja-JP"/>
        </w:rPr>
        <w:t>Vartojant rekomenduojamą valgancikloviro 900 mg dozę su maistu vidutinės gancikloviro AUC ir C</w:t>
      </w:r>
      <w:r w:rsidRPr="00715891">
        <w:rPr>
          <w:sz w:val="22"/>
          <w:szCs w:val="22"/>
          <w:vertAlign w:val="subscript"/>
          <w:lang w:val="lt-LT" w:eastAsia="ja-JP"/>
        </w:rPr>
        <w:t>max</w:t>
      </w:r>
      <w:r w:rsidRPr="00715891">
        <w:rPr>
          <w:sz w:val="22"/>
          <w:szCs w:val="22"/>
          <w:lang w:val="lt-LT" w:eastAsia="ja-JP"/>
        </w:rPr>
        <w:t xml:space="preserve"> reikšmės buvo didesnės, negu vartojant vaist</w:t>
      </w:r>
      <w:r w:rsidR="00B957C0" w:rsidRPr="00715891">
        <w:rPr>
          <w:sz w:val="22"/>
          <w:szCs w:val="22"/>
          <w:lang w:val="lt-LT" w:eastAsia="ja-JP"/>
        </w:rPr>
        <w:t>inį preparatą</w:t>
      </w:r>
      <w:r w:rsidRPr="00715891">
        <w:rPr>
          <w:sz w:val="22"/>
          <w:szCs w:val="22"/>
          <w:lang w:val="lt-LT" w:eastAsia="ja-JP"/>
        </w:rPr>
        <w:t xml:space="preserve"> prieš valgį (atitinkamai apie 30 % ir 14 %). Kai valgancikloviro vartojama su maistu, ekspozicijos gancikloviru svyravimai tarp individų būna mažesni. Atliekant klinikinius tyrimus valgancikloviras buvo vartojamas tik su maistu. Dėl to rekomenduojama, kad valgancikloviras būtų vartojamas su maistu (žr. 4.2 skyrių).</w:t>
      </w:r>
    </w:p>
    <w:p w14:paraId="2CCD588C" w14:textId="77777777" w:rsidR="00107519" w:rsidRPr="00715891" w:rsidRDefault="00107519" w:rsidP="00107519">
      <w:pPr>
        <w:rPr>
          <w:sz w:val="22"/>
          <w:szCs w:val="22"/>
          <w:lang w:val="lt-LT" w:eastAsia="ja-JP"/>
        </w:rPr>
      </w:pPr>
    </w:p>
    <w:p w14:paraId="5CCAC2E2" w14:textId="77777777" w:rsidR="00107519" w:rsidRPr="00715891" w:rsidRDefault="00107519" w:rsidP="00107519">
      <w:pPr>
        <w:rPr>
          <w:sz w:val="22"/>
          <w:szCs w:val="22"/>
          <w:u w:val="single"/>
          <w:lang w:val="lt-LT" w:eastAsia="ja-JP"/>
        </w:rPr>
      </w:pPr>
      <w:r w:rsidRPr="00715891">
        <w:rPr>
          <w:sz w:val="22"/>
          <w:szCs w:val="22"/>
          <w:u w:val="single"/>
          <w:lang w:val="lt-LT" w:eastAsia="ja-JP"/>
        </w:rPr>
        <w:t>Pasiskirstymas</w:t>
      </w:r>
    </w:p>
    <w:p w14:paraId="69A331A3" w14:textId="2B0CC08C" w:rsidR="00107519" w:rsidRPr="00715891" w:rsidRDefault="00107519" w:rsidP="00107519">
      <w:pPr>
        <w:rPr>
          <w:sz w:val="22"/>
          <w:szCs w:val="22"/>
          <w:lang w:val="lt-LT" w:eastAsia="ja-JP"/>
        </w:rPr>
      </w:pPr>
      <w:r w:rsidRPr="00715891">
        <w:rPr>
          <w:sz w:val="22"/>
          <w:szCs w:val="22"/>
          <w:lang w:val="lt-LT" w:eastAsia="ja-JP"/>
        </w:rPr>
        <w:t xml:space="preserve">Kadangi valgancikloviras greitai paverčiamas gancikloviru, valgancikloviro jungimasis su baltymais netirtas. Į veną leidžiamo gancikloviro pasiskirstymo tūris </w:t>
      </w:r>
      <w:r w:rsidRPr="00715891">
        <w:rPr>
          <w:sz w:val="22"/>
          <w:szCs w:val="22"/>
          <w:lang w:val="lt-LT"/>
        </w:rPr>
        <w:t>(V</w:t>
      </w:r>
      <w:r w:rsidRPr="00715891">
        <w:rPr>
          <w:sz w:val="22"/>
          <w:szCs w:val="22"/>
          <w:vertAlign w:val="subscript"/>
          <w:lang w:val="lt-LT"/>
        </w:rPr>
        <w:t>d</w:t>
      </w:r>
      <w:r w:rsidRPr="00715891">
        <w:rPr>
          <w:sz w:val="22"/>
          <w:szCs w:val="22"/>
          <w:lang w:val="lt-LT"/>
        </w:rPr>
        <w:t>)</w:t>
      </w:r>
      <w:r w:rsidRPr="00715891">
        <w:rPr>
          <w:sz w:val="22"/>
          <w:szCs w:val="22"/>
          <w:lang w:val="lt-LT" w:eastAsia="ja-JP"/>
        </w:rPr>
        <w:t xml:space="preserve"> esant jo pusiausvyrinei apykaitai </w:t>
      </w:r>
      <w:r w:rsidR="0099310A" w:rsidRPr="00715891">
        <w:rPr>
          <w:sz w:val="22"/>
          <w:szCs w:val="22"/>
          <w:lang w:val="lt-LT" w:eastAsia="ja-JP"/>
        </w:rPr>
        <w:t xml:space="preserve">buvo </w:t>
      </w:r>
      <w:r w:rsidRPr="00715891">
        <w:rPr>
          <w:sz w:val="22"/>
          <w:szCs w:val="22"/>
          <w:lang w:val="lt-LT" w:eastAsia="ja-JP"/>
        </w:rPr>
        <w:t>0,680</w:t>
      </w:r>
      <w:r w:rsidR="00F706F6" w:rsidRPr="00715891">
        <w:rPr>
          <w:sz w:val="22"/>
          <w:szCs w:val="22"/>
          <w:lang w:val="lt-LT" w:eastAsia="ja-JP"/>
        </w:rPr>
        <w:t> </w:t>
      </w:r>
      <w:r w:rsidRPr="00715891">
        <w:rPr>
          <w:sz w:val="22"/>
          <w:szCs w:val="22"/>
          <w:lang w:val="lt-LT" w:eastAsia="ja-JP"/>
        </w:rPr>
        <w:sym w:font="Symbol" w:char="F0B1"/>
      </w:r>
      <w:r w:rsidR="00F706F6" w:rsidRPr="00715891">
        <w:rPr>
          <w:sz w:val="22"/>
          <w:szCs w:val="22"/>
          <w:lang w:val="lt-LT" w:eastAsia="ja-JP"/>
        </w:rPr>
        <w:t> </w:t>
      </w:r>
      <w:r w:rsidRPr="00715891">
        <w:rPr>
          <w:sz w:val="22"/>
          <w:szCs w:val="22"/>
          <w:lang w:val="lt-LT" w:eastAsia="ja-JP"/>
        </w:rPr>
        <w:t>0,161</w:t>
      </w:r>
      <w:r w:rsidR="00F706F6" w:rsidRPr="00715891">
        <w:rPr>
          <w:sz w:val="22"/>
          <w:szCs w:val="22"/>
          <w:lang w:val="lt-LT" w:eastAsia="ja-JP"/>
        </w:rPr>
        <w:t> </w:t>
      </w:r>
      <w:r w:rsidRPr="00715891">
        <w:rPr>
          <w:sz w:val="22"/>
          <w:szCs w:val="22"/>
          <w:lang w:val="lt-LT" w:eastAsia="ja-JP"/>
        </w:rPr>
        <w:t>l/kg (n=114).</w:t>
      </w:r>
      <w:r w:rsidR="0099310A" w:rsidRPr="00715891">
        <w:rPr>
          <w:sz w:val="22"/>
          <w:szCs w:val="22"/>
          <w:lang w:val="lt-LT" w:eastAsia="ja-JP"/>
        </w:rPr>
        <w:t xml:space="preserve"> Gancikloviro suleidus į veną, jo pasiskirstymo tūris koreliuoja su kūno svoriu, nusistovėjus pusiausvyrinei apykaitai pasiskirstymo tūris svyruoja nuo 0,54 iki 0,87</w:t>
      </w:r>
      <w:r w:rsidR="00F706F6" w:rsidRPr="00715891">
        <w:rPr>
          <w:sz w:val="22"/>
          <w:szCs w:val="22"/>
          <w:lang w:val="lt-LT" w:eastAsia="ja-JP"/>
        </w:rPr>
        <w:t> </w:t>
      </w:r>
      <w:r w:rsidR="0099310A" w:rsidRPr="00715891">
        <w:rPr>
          <w:sz w:val="22"/>
          <w:szCs w:val="22"/>
          <w:lang w:val="lt-LT" w:eastAsia="ja-JP"/>
        </w:rPr>
        <w:t>l/kg kūno svorio. Gancikloviras prasiskverbia į smegenų skystį. Kai gancikloviro koncentracija nuo 0,5 iki 51</w:t>
      </w:r>
      <w:r w:rsidR="00164278" w:rsidRPr="00715891">
        <w:rPr>
          <w:sz w:val="22"/>
          <w:szCs w:val="22"/>
          <w:lang w:val="lt-LT" w:eastAsia="ja-JP"/>
        </w:rPr>
        <w:t> </w:t>
      </w:r>
      <w:r w:rsidR="0099310A" w:rsidRPr="00715891">
        <w:rPr>
          <w:sz w:val="22"/>
          <w:szCs w:val="22"/>
          <w:lang w:val="lt-LT" w:eastAsia="ja-JP"/>
        </w:rPr>
        <w:t>mikrogramų/ml, susijungusio su plazmos baltymais jo būna nuo 1</w:t>
      </w:r>
      <w:r w:rsidR="007D6029" w:rsidRPr="00715891">
        <w:rPr>
          <w:sz w:val="22"/>
          <w:szCs w:val="22"/>
          <w:lang w:val="lt-LT" w:eastAsia="ja-JP"/>
        </w:rPr>
        <w:t> </w:t>
      </w:r>
      <w:r w:rsidR="0099310A" w:rsidRPr="00715891">
        <w:rPr>
          <w:sz w:val="22"/>
          <w:szCs w:val="22"/>
          <w:lang w:val="lt-LT" w:eastAsia="ja-JP"/>
        </w:rPr>
        <w:t>% iki 2</w:t>
      </w:r>
      <w:r w:rsidR="007D6029" w:rsidRPr="00715891">
        <w:rPr>
          <w:sz w:val="22"/>
          <w:szCs w:val="22"/>
          <w:lang w:val="lt-LT" w:eastAsia="ja-JP"/>
        </w:rPr>
        <w:t> </w:t>
      </w:r>
      <w:r w:rsidR="0099310A" w:rsidRPr="00715891">
        <w:rPr>
          <w:sz w:val="22"/>
          <w:szCs w:val="22"/>
          <w:lang w:val="lt-LT" w:eastAsia="ja-JP"/>
        </w:rPr>
        <w:t>%.</w:t>
      </w:r>
    </w:p>
    <w:p w14:paraId="34B43CBE" w14:textId="77777777" w:rsidR="00107519" w:rsidRPr="00715891" w:rsidRDefault="00107519" w:rsidP="00107519">
      <w:pPr>
        <w:rPr>
          <w:sz w:val="22"/>
          <w:szCs w:val="22"/>
          <w:lang w:val="lt-LT" w:eastAsia="ja-JP"/>
        </w:rPr>
      </w:pPr>
    </w:p>
    <w:p w14:paraId="018B088A" w14:textId="77777777" w:rsidR="00107519" w:rsidRPr="00715891" w:rsidRDefault="00107519" w:rsidP="00107519">
      <w:pPr>
        <w:rPr>
          <w:sz w:val="22"/>
          <w:szCs w:val="22"/>
          <w:u w:val="single"/>
          <w:lang w:val="lt-LT" w:eastAsia="ja-JP"/>
        </w:rPr>
      </w:pPr>
      <w:r w:rsidRPr="00715891">
        <w:rPr>
          <w:sz w:val="22"/>
          <w:szCs w:val="22"/>
          <w:u w:val="single"/>
          <w:lang w:val="lt-LT" w:eastAsia="ja-JP"/>
        </w:rPr>
        <w:t>Biotransformacija</w:t>
      </w:r>
    </w:p>
    <w:p w14:paraId="4DD33C7F" w14:textId="251EDCA0" w:rsidR="00107519" w:rsidRPr="00715891" w:rsidRDefault="00107519" w:rsidP="00107519">
      <w:pPr>
        <w:rPr>
          <w:sz w:val="22"/>
          <w:szCs w:val="22"/>
          <w:lang w:val="lt-LT" w:eastAsia="ja-JP"/>
        </w:rPr>
      </w:pPr>
      <w:r w:rsidRPr="00715891">
        <w:rPr>
          <w:sz w:val="22"/>
          <w:szCs w:val="22"/>
          <w:lang w:val="lt-LT" w:eastAsia="ja-JP"/>
        </w:rPr>
        <w:t xml:space="preserve">Valgancikloviras greitai ir ekstensyviai metabolizuojamas į ganciklovirą; kitokių metabolitų nenustatyta. </w:t>
      </w:r>
      <w:r w:rsidR="001A239A" w:rsidRPr="00715891">
        <w:rPr>
          <w:sz w:val="22"/>
          <w:szCs w:val="22"/>
          <w:lang w:val="lt-LT" w:eastAsia="ja-JP"/>
        </w:rPr>
        <w:t>Pats gancikloviras metabolizuojamas nereikšmingai.</w:t>
      </w:r>
    </w:p>
    <w:p w14:paraId="3BC4ADFA" w14:textId="77777777" w:rsidR="00107519" w:rsidRPr="00715891" w:rsidRDefault="00107519" w:rsidP="00107519">
      <w:pPr>
        <w:rPr>
          <w:sz w:val="22"/>
          <w:szCs w:val="22"/>
          <w:u w:val="single"/>
          <w:lang w:val="lt-LT" w:eastAsia="ja-JP"/>
        </w:rPr>
      </w:pPr>
    </w:p>
    <w:p w14:paraId="03532CF6" w14:textId="77777777" w:rsidR="00107519" w:rsidRPr="00715891" w:rsidRDefault="00107519" w:rsidP="00107519">
      <w:pPr>
        <w:rPr>
          <w:sz w:val="22"/>
          <w:szCs w:val="22"/>
          <w:u w:val="single"/>
          <w:lang w:val="lt-LT" w:eastAsia="ja-JP"/>
        </w:rPr>
      </w:pPr>
      <w:r w:rsidRPr="00715891">
        <w:rPr>
          <w:sz w:val="22"/>
          <w:szCs w:val="22"/>
          <w:u w:val="single"/>
          <w:lang w:val="lt-LT" w:eastAsia="ja-JP"/>
        </w:rPr>
        <w:t>Eliminacija</w:t>
      </w:r>
    </w:p>
    <w:p w14:paraId="28F08461" w14:textId="713D4714" w:rsidR="001A239A" w:rsidRPr="00715891" w:rsidRDefault="001A239A" w:rsidP="001A239A">
      <w:pPr>
        <w:rPr>
          <w:sz w:val="22"/>
          <w:szCs w:val="22"/>
          <w:lang w:val="lt-LT" w:eastAsia="ja-JP"/>
        </w:rPr>
      </w:pPr>
      <w:r w:rsidRPr="00715891">
        <w:rPr>
          <w:sz w:val="22"/>
          <w:szCs w:val="22"/>
          <w:lang w:val="lt-LT" w:eastAsia="ja-JP"/>
        </w:rPr>
        <w:t>Išgertas valgancikloviras greitai hidrolizuojamas į ganciklovirą. Gancikloviras iš sisteminės kraujotakos yra šalinamas glomerulų filtracijos ir aktyvios sekrecijos kanalėliuose būdais. Pacientų, kurių inkstų funkcija normali, šlapime per 24</w:t>
      </w:r>
      <w:r w:rsidR="00F706F6" w:rsidRPr="00715891">
        <w:rPr>
          <w:sz w:val="22"/>
          <w:szCs w:val="22"/>
          <w:lang w:val="lt-LT" w:eastAsia="ja-JP"/>
        </w:rPr>
        <w:t> </w:t>
      </w:r>
      <w:r w:rsidRPr="00715891">
        <w:rPr>
          <w:sz w:val="22"/>
          <w:szCs w:val="22"/>
          <w:lang w:val="lt-LT" w:eastAsia="ja-JP"/>
        </w:rPr>
        <w:t>valandas buvo aptikta daugiau kaip 90</w:t>
      </w:r>
      <w:r w:rsidR="007D6029" w:rsidRPr="00715891">
        <w:rPr>
          <w:sz w:val="22"/>
          <w:szCs w:val="22"/>
          <w:lang w:val="lt-LT" w:eastAsia="ja-JP"/>
        </w:rPr>
        <w:t> </w:t>
      </w:r>
      <w:r w:rsidRPr="00715891">
        <w:rPr>
          <w:sz w:val="22"/>
          <w:szCs w:val="22"/>
          <w:lang w:val="lt-LT" w:eastAsia="ja-JP"/>
        </w:rPr>
        <w:t xml:space="preserve">% nemetabolizuoto į veną suleisto gancikloviro. Pavartojus valgancikloviro pacientų, kurių inkstų </w:t>
      </w:r>
      <w:r w:rsidRPr="00715891">
        <w:rPr>
          <w:sz w:val="22"/>
          <w:szCs w:val="22"/>
          <w:lang w:val="lt-LT" w:eastAsia="ja-JP"/>
        </w:rPr>
        <w:lastRenderedPageBreak/>
        <w:t>funkcija normali, organizme po maksimumo gancikloviro koncentracijos plazmoje mažėja pusinio gyvavimo laikui kintant nuo 0,4</w:t>
      </w:r>
      <w:r w:rsidR="00F706F6" w:rsidRPr="00715891">
        <w:rPr>
          <w:sz w:val="22"/>
          <w:szCs w:val="22"/>
          <w:lang w:val="lt-LT" w:eastAsia="ja-JP"/>
        </w:rPr>
        <w:t> </w:t>
      </w:r>
      <w:r w:rsidRPr="00715891">
        <w:rPr>
          <w:sz w:val="22"/>
          <w:szCs w:val="22"/>
          <w:lang w:val="lt-LT" w:eastAsia="ja-JP"/>
        </w:rPr>
        <w:t>valandos iki 2,0</w:t>
      </w:r>
      <w:r w:rsidR="00F706F6" w:rsidRPr="00715891">
        <w:rPr>
          <w:sz w:val="22"/>
          <w:szCs w:val="22"/>
          <w:lang w:val="lt-LT" w:eastAsia="ja-JP"/>
        </w:rPr>
        <w:t> </w:t>
      </w:r>
      <w:r w:rsidRPr="00715891">
        <w:rPr>
          <w:sz w:val="22"/>
          <w:szCs w:val="22"/>
          <w:lang w:val="lt-LT" w:eastAsia="ja-JP"/>
        </w:rPr>
        <w:t>valandų.</w:t>
      </w:r>
    </w:p>
    <w:p w14:paraId="2E133AC2" w14:textId="77777777" w:rsidR="001A239A" w:rsidRPr="00715891" w:rsidRDefault="001A239A" w:rsidP="001A239A">
      <w:pPr>
        <w:rPr>
          <w:sz w:val="22"/>
          <w:szCs w:val="22"/>
          <w:lang w:val="lt-LT" w:eastAsia="ja-JP"/>
        </w:rPr>
      </w:pPr>
    </w:p>
    <w:p w14:paraId="32C1F3D4" w14:textId="77777777" w:rsidR="001A239A" w:rsidRPr="00715891" w:rsidRDefault="001A239A" w:rsidP="001A239A">
      <w:pPr>
        <w:rPr>
          <w:sz w:val="22"/>
          <w:szCs w:val="22"/>
          <w:u w:val="single"/>
          <w:lang w:val="lt-LT" w:eastAsia="ja-JP"/>
        </w:rPr>
      </w:pPr>
      <w:r w:rsidRPr="00715891">
        <w:rPr>
          <w:sz w:val="22"/>
          <w:szCs w:val="22"/>
          <w:u w:val="single"/>
          <w:lang w:val="lt-LT" w:eastAsia="ja-JP"/>
        </w:rPr>
        <w:t>Farmakokinetika ypatingomis klinikinėmis aplinkybėmis</w:t>
      </w:r>
    </w:p>
    <w:p w14:paraId="55B3CD34" w14:textId="77777777" w:rsidR="00107519" w:rsidRPr="00715891" w:rsidRDefault="00107519" w:rsidP="00107519">
      <w:pPr>
        <w:rPr>
          <w:sz w:val="22"/>
          <w:szCs w:val="22"/>
          <w:lang w:val="lt-LT" w:eastAsia="ja-JP"/>
        </w:rPr>
      </w:pPr>
    </w:p>
    <w:p w14:paraId="6DD41EC7" w14:textId="1396E191" w:rsidR="00107519" w:rsidRPr="00715891" w:rsidRDefault="00107519" w:rsidP="00107519">
      <w:pPr>
        <w:rPr>
          <w:i/>
          <w:sz w:val="22"/>
          <w:szCs w:val="22"/>
          <w:lang w:val="lt-LT" w:eastAsia="ja-JP"/>
        </w:rPr>
      </w:pPr>
      <w:r w:rsidRPr="00715891">
        <w:rPr>
          <w:i/>
          <w:sz w:val="22"/>
          <w:szCs w:val="22"/>
          <w:lang w:val="lt-LT" w:eastAsia="ja-JP"/>
        </w:rPr>
        <w:t>Vaikų populiacija</w:t>
      </w:r>
    </w:p>
    <w:p w14:paraId="7DAD9ECB" w14:textId="66D55482" w:rsidR="00107519" w:rsidRPr="00715891" w:rsidRDefault="00107519" w:rsidP="00107519">
      <w:pPr>
        <w:rPr>
          <w:sz w:val="22"/>
          <w:szCs w:val="22"/>
          <w:lang w:val="lt-LT" w:eastAsia="ja-JP"/>
        </w:rPr>
      </w:pPr>
      <w:r w:rsidRPr="00715891">
        <w:rPr>
          <w:iCs/>
          <w:sz w:val="22"/>
          <w:szCs w:val="22"/>
          <w:lang w:val="lt-LT" w:eastAsia="ja-JP"/>
        </w:rPr>
        <w:t>II</w:t>
      </w:r>
      <w:r w:rsidR="00F706F6" w:rsidRPr="00715891">
        <w:rPr>
          <w:iCs/>
          <w:sz w:val="22"/>
          <w:szCs w:val="22"/>
          <w:lang w:val="lt-LT" w:eastAsia="ja-JP"/>
        </w:rPr>
        <w:t> </w:t>
      </w:r>
      <w:r w:rsidRPr="00715891">
        <w:rPr>
          <w:iCs/>
          <w:sz w:val="22"/>
          <w:szCs w:val="22"/>
          <w:lang w:val="lt-LT" w:eastAsia="ja-JP"/>
        </w:rPr>
        <w:t>fazės farmakokinetikos ir saugumo klinikiniame tyrime dalyvavę vaikai (nuo 4</w:t>
      </w:r>
      <w:r w:rsidR="00F706F6" w:rsidRPr="00715891">
        <w:rPr>
          <w:iCs/>
          <w:sz w:val="22"/>
          <w:szCs w:val="22"/>
          <w:lang w:val="lt-LT" w:eastAsia="ja-JP"/>
        </w:rPr>
        <w:t> </w:t>
      </w:r>
      <w:r w:rsidRPr="00715891">
        <w:rPr>
          <w:iCs/>
          <w:sz w:val="22"/>
          <w:szCs w:val="22"/>
          <w:lang w:val="lt-LT" w:eastAsia="ja-JP"/>
        </w:rPr>
        <w:t>mėnesių iki 16</w:t>
      </w:r>
      <w:r w:rsidR="00F706F6" w:rsidRPr="00715891">
        <w:rPr>
          <w:iCs/>
          <w:sz w:val="22"/>
          <w:szCs w:val="22"/>
          <w:lang w:val="lt-LT" w:eastAsia="ja-JP"/>
        </w:rPr>
        <w:t> </w:t>
      </w:r>
      <w:r w:rsidRPr="00715891">
        <w:rPr>
          <w:iCs/>
          <w:sz w:val="22"/>
          <w:szCs w:val="22"/>
          <w:lang w:val="lt-LT" w:eastAsia="ja-JP"/>
        </w:rPr>
        <w:t>metų amžiaus, n</w:t>
      </w:r>
      <w:r w:rsidR="00F706F6" w:rsidRPr="00715891">
        <w:rPr>
          <w:iCs/>
          <w:sz w:val="22"/>
          <w:szCs w:val="22"/>
          <w:lang w:val="lt-LT" w:eastAsia="ja-JP"/>
        </w:rPr>
        <w:t> </w:t>
      </w:r>
      <w:r w:rsidRPr="00715891">
        <w:rPr>
          <w:iCs/>
          <w:sz w:val="22"/>
          <w:szCs w:val="22"/>
          <w:lang w:val="lt-LT" w:eastAsia="ja-JP"/>
        </w:rPr>
        <w:t>=</w:t>
      </w:r>
      <w:r w:rsidR="00F706F6" w:rsidRPr="00715891">
        <w:rPr>
          <w:lang w:val="lt-LT"/>
        </w:rPr>
        <w:t> </w:t>
      </w:r>
      <w:r w:rsidRPr="00715891">
        <w:rPr>
          <w:iCs/>
          <w:sz w:val="22"/>
          <w:szCs w:val="22"/>
          <w:lang w:val="lt-LT" w:eastAsia="ja-JP"/>
        </w:rPr>
        <w:t>63), kuriems persodintas solidinis organas, valgancikloviro vartojo vieną kartą per parą iki 100</w:t>
      </w:r>
      <w:r w:rsidR="00F706F6" w:rsidRPr="00715891">
        <w:rPr>
          <w:iCs/>
          <w:sz w:val="22"/>
          <w:szCs w:val="22"/>
          <w:lang w:val="lt-LT" w:eastAsia="ja-JP"/>
        </w:rPr>
        <w:t> </w:t>
      </w:r>
      <w:r w:rsidRPr="00715891">
        <w:rPr>
          <w:iCs/>
          <w:sz w:val="22"/>
          <w:szCs w:val="22"/>
          <w:lang w:val="lt-LT" w:eastAsia="ja-JP"/>
        </w:rPr>
        <w:t>parų. F</w:t>
      </w:r>
      <w:r w:rsidRPr="00715891">
        <w:rPr>
          <w:sz w:val="22"/>
          <w:szCs w:val="22"/>
          <w:lang w:val="lt-LT" w:eastAsia="ja-JP"/>
        </w:rPr>
        <w:t>armakokinetikos parametrai pagal organo tipą ir amžiaus grupes buvo panašūs ir palygintini su suaugusių</w:t>
      </w:r>
      <w:r w:rsidR="007D6029" w:rsidRPr="00715891">
        <w:rPr>
          <w:sz w:val="22"/>
          <w:szCs w:val="22"/>
          <w:lang w:val="lt-LT" w:eastAsia="ja-JP"/>
        </w:rPr>
        <w:t>jų</w:t>
      </w:r>
      <w:r w:rsidRPr="00715891">
        <w:rPr>
          <w:sz w:val="22"/>
          <w:szCs w:val="22"/>
          <w:lang w:val="lt-LT" w:eastAsia="ja-JP"/>
        </w:rPr>
        <w:t xml:space="preserve"> tiriamųjų</w:t>
      </w:r>
      <w:r w:rsidRPr="00715891">
        <w:rPr>
          <w:rFonts w:eastAsia="PMingLiU"/>
          <w:sz w:val="22"/>
          <w:szCs w:val="22"/>
          <w:lang w:val="lt-LT" w:eastAsia="ja-JP"/>
        </w:rPr>
        <w:t>. Modeliuojant p</w:t>
      </w:r>
      <w:r w:rsidRPr="00715891">
        <w:rPr>
          <w:sz w:val="22"/>
          <w:szCs w:val="22"/>
          <w:lang w:val="lt-LT" w:eastAsia="ja-JP"/>
        </w:rPr>
        <w:t xml:space="preserve">opuliacinę farmakokinetiką parodyta, kad biologinis prieinamumas buvo maždaug 60 %. Teigiamą įtaką klirensui darė tiek kūno paviršiaus plotas, tiek inkstų veikla. </w:t>
      </w:r>
    </w:p>
    <w:p w14:paraId="08B1BE2C" w14:textId="6C53F466" w:rsidR="00107519" w:rsidRPr="00715891" w:rsidRDefault="00107519" w:rsidP="00107519">
      <w:pPr>
        <w:rPr>
          <w:sz w:val="22"/>
          <w:szCs w:val="22"/>
          <w:lang w:val="lt-LT" w:eastAsia="ja-JP"/>
        </w:rPr>
      </w:pPr>
      <w:r w:rsidRPr="00715891">
        <w:rPr>
          <w:sz w:val="22"/>
          <w:szCs w:val="22"/>
          <w:lang w:val="lt-LT" w:eastAsia="ja-JP"/>
        </w:rPr>
        <w:t>I fazės farmakokinetikos ir saugumo klinikiniame tyrime dalyvavę vaikai (nuo 3</w:t>
      </w:r>
      <w:r w:rsidR="00F706F6" w:rsidRPr="00715891">
        <w:rPr>
          <w:sz w:val="22"/>
          <w:szCs w:val="22"/>
          <w:lang w:val="lt-LT" w:eastAsia="ja-JP"/>
        </w:rPr>
        <w:t> </w:t>
      </w:r>
      <w:r w:rsidRPr="00715891">
        <w:rPr>
          <w:sz w:val="22"/>
          <w:szCs w:val="22"/>
          <w:lang w:val="lt-LT" w:eastAsia="ja-JP"/>
        </w:rPr>
        <w:t>savaičių iki 125 parų amžiaus, n</w:t>
      </w:r>
      <w:r w:rsidR="00F706F6" w:rsidRPr="00715891">
        <w:rPr>
          <w:sz w:val="22"/>
          <w:szCs w:val="22"/>
          <w:lang w:val="lt-LT" w:eastAsia="ja-JP"/>
        </w:rPr>
        <w:t> </w:t>
      </w:r>
      <w:r w:rsidRPr="00715891">
        <w:rPr>
          <w:sz w:val="22"/>
          <w:szCs w:val="22"/>
          <w:lang w:val="lt-LT" w:eastAsia="ja-JP"/>
        </w:rPr>
        <w:t>=</w:t>
      </w:r>
      <w:r w:rsidR="00F706F6" w:rsidRPr="00715891">
        <w:rPr>
          <w:sz w:val="22"/>
          <w:szCs w:val="22"/>
          <w:lang w:val="lt-LT" w:eastAsia="ja-JP"/>
        </w:rPr>
        <w:t> </w:t>
      </w:r>
      <w:r w:rsidRPr="00715891">
        <w:rPr>
          <w:sz w:val="22"/>
          <w:szCs w:val="22"/>
          <w:lang w:val="lt-LT" w:eastAsia="ja-JP"/>
        </w:rPr>
        <w:t>14), kuriems persodinta širdis, valgancikloviro vartojo dvi tyrimo dienas vieną kartą per parą. Remiantis populiacine farmakokinetika apskaičiuota, kad vidutinis biologinis prieinamumas buvo 64 %.</w:t>
      </w:r>
    </w:p>
    <w:p w14:paraId="25D94B2B" w14:textId="77777777" w:rsidR="00107519" w:rsidRPr="00715891" w:rsidRDefault="00107519" w:rsidP="00107519">
      <w:pPr>
        <w:rPr>
          <w:sz w:val="22"/>
          <w:szCs w:val="22"/>
          <w:lang w:val="lt-LT" w:eastAsia="ja-JP"/>
        </w:rPr>
      </w:pPr>
      <w:r w:rsidRPr="00715891">
        <w:rPr>
          <w:sz w:val="22"/>
          <w:szCs w:val="22"/>
          <w:lang w:val="lt-LT" w:eastAsia="ja-JP"/>
        </w:rPr>
        <w:t>Šių dviejų klinikinių tyrimų ir suaugusiųjų populiacinės farmakokinetikos duomenų palyginimas rodo, kad visose amžiaus grupėse, įskaitant suaugusiuosius, AUC</w:t>
      </w:r>
      <w:r w:rsidRPr="00715891">
        <w:rPr>
          <w:sz w:val="22"/>
          <w:szCs w:val="22"/>
          <w:vertAlign w:val="subscript"/>
          <w:lang w:val="lt-LT" w:eastAsia="ja-JP"/>
        </w:rPr>
        <w:t>0-24h</w:t>
      </w:r>
      <w:r w:rsidRPr="00715891">
        <w:rPr>
          <w:sz w:val="22"/>
          <w:szCs w:val="22"/>
          <w:lang w:val="lt-LT" w:eastAsia="ja-JP"/>
        </w:rPr>
        <w:t xml:space="preserve"> intervalai buvo labai panašūs. Vidutinės AUC</w:t>
      </w:r>
      <w:r w:rsidRPr="00715891">
        <w:rPr>
          <w:sz w:val="22"/>
          <w:szCs w:val="22"/>
          <w:vertAlign w:val="subscript"/>
          <w:lang w:val="lt-LT" w:eastAsia="ja-JP"/>
        </w:rPr>
        <w:t>0</w:t>
      </w:r>
      <w:r w:rsidRPr="00715891">
        <w:rPr>
          <w:sz w:val="22"/>
          <w:szCs w:val="22"/>
          <w:vertAlign w:val="subscript"/>
          <w:lang w:val="lt-LT" w:eastAsia="ja-JP"/>
        </w:rPr>
        <w:noBreakHyphen/>
        <w:t>24h</w:t>
      </w:r>
      <w:r w:rsidRPr="00715891">
        <w:rPr>
          <w:sz w:val="22"/>
          <w:szCs w:val="22"/>
          <w:lang w:val="lt-LT" w:eastAsia="ja-JP"/>
        </w:rPr>
        <w:t xml:space="preserve"> ir C</w:t>
      </w:r>
      <w:r w:rsidRPr="00715891">
        <w:rPr>
          <w:sz w:val="22"/>
          <w:szCs w:val="22"/>
          <w:vertAlign w:val="subscript"/>
          <w:lang w:val="lt-LT" w:eastAsia="ja-JP"/>
        </w:rPr>
        <w:t>max</w:t>
      </w:r>
      <w:r w:rsidRPr="00715891">
        <w:rPr>
          <w:sz w:val="22"/>
          <w:szCs w:val="22"/>
          <w:lang w:val="lt-LT" w:eastAsia="ja-JP"/>
        </w:rPr>
        <w:t xml:space="preserve"> vertės taip pat buvo panašios visose jaunesnių nei 12 metų amžiaus vaikų amžiaus grupėse, nors per visas vaikų amžiaus grupes buvo vidutinių AUC</w:t>
      </w:r>
      <w:r w:rsidRPr="00715891">
        <w:rPr>
          <w:sz w:val="22"/>
          <w:szCs w:val="22"/>
          <w:vertAlign w:val="subscript"/>
          <w:lang w:val="lt-LT" w:eastAsia="ja-JP"/>
        </w:rPr>
        <w:t>0-24h</w:t>
      </w:r>
      <w:r w:rsidRPr="00715891">
        <w:rPr>
          <w:sz w:val="22"/>
          <w:szCs w:val="22"/>
          <w:lang w:val="lt-LT" w:eastAsia="ja-JP"/>
        </w:rPr>
        <w:t xml:space="preserve"> ir C</w:t>
      </w:r>
      <w:r w:rsidRPr="00715891">
        <w:rPr>
          <w:sz w:val="22"/>
          <w:szCs w:val="22"/>
          <w:vertAlign w:val="subscript"/>
          <w:lang w:val="lt-LT" w:eastAsia="ja-JP"/>
        </w:rPr>
        <w:t>max</w:t>
      </w:r>
      <w:r w:rsidRPr="00715891">
        <w:rPr>
          <w:sz w:val="22"/>
          <w:szCs w:val="22"/>
          <w:lang w:val="lt-LT" w:eastAsia="ja-JP"/>
        </w:rPr>
        <w:t xml:space="preserve"> verčių mažėjimo tendencija, kuri, pasirodė, koreliuoja su amžiaus didėjimu. Ši tendencija buvo dar akivaizdesnė klirenso ir pusinio gyvavimo laiko (t</w:t>
      </w:r>
      <w:r w:rsidRPr="00715891">
        <w:rPr>
          <w:sz w:val="22"/>
          <w:szCs w:val="22"/>
          <w:vertAlign w:val="subscript"/>
          <w:lang w:val="lt-LT" w:eastAsia="ja-JP"/>
        </w:rPr>
        <w:t>1/2</w:t>
      </w:r>
      <w:r w:rsidRPr="00715891">
        <w:rPr>
          <w:sz w:val="22"/>
          <w:szCs w:val="22"/>
          <w:lang w:val="lt-LT" w:eastAsia="ja-JP"/>
        </w:rPr>
        <w:t>) vidurkiams, tačiau to galima tikėtis, nes klirensas priklauso nuo kūno masės, ūgio ir inkstų veikos pokyčių, susijusių su pacientų augimu, kaip parodyta populiacinės farmakokinetikos modeliavimu.</w:t>
      </w:r>
    </w:p>
    <w:p w14:paraId="1C257868" w14:textId="77777777" w:rsidR="00107519" w:rsidRPr="00715891" w:rsidRDefault="00107519" w:rsidP="00107519">
      <w:pPr>
        <w:rPr>
          <w:sz w:val="22"/>
          <w:szCs w:val="22"/>
          <w:lang w:val="lt-LT" w:eastAsia="ja-JP"/>
        </w:rPr>
      </w:pPr>
    </w:p>
    <w:p w14:paraId="6488E1B4" w14:textId="6BD3D1FB" w:rsidR="00107519" w:rsidRPr="00715891" w:rsidRDefault="00107519" w:rsidP="00107519">
      <w:pPr>
        <w:rPr>
          <w:iCs/>
          <w:sz w:val="22"/>
          <w:szCs w:val="22"/>
          <w:lang w:val="lt-LT" w:eastAsia="ja-JP"/>
        </w:rPr>
      </w:pPr>
      <w:r w:rsidRPr="00715891">
        <w:rPr>
          <w:sz w:val="22"/>
          <w:szCs w:val="22"/>
          <w:lang w:val="lt-LT" w:eastAsia="ja-JP"/>
        </w:rPr>
        <w:t>Iš šių dviejų klinikinių tyrimų modeliavimu apytikriai apskaičiuotas gancikloviro AUC</w:t>
      </w:r>
      <w:r w:rsidRPr="00715891">
        <w:rPr>
          <w:sz w:val="22"/>
          <w:szCs w:val="22"/>
          <w:vertAlign w:val="subscript"/>
          <w:lang w:val="lt-LT" w:eastAsia="ja-JP"/>
        </w:rPr>
        <w:t>0-24h</w:t>
      </w:r>
      <w:r w:rsidRPr="00715891">
        <w:rPr>
          <w:sz w:val="22"/>
          <w:szCs w:val="22"/>
          <w:lang w:val="lt-LT" w:eastAsia="ja-JP"/>
        </w:rPr>
        <w:t xml:space="preserve"> intervalas, taip pat AUC</w:t>
      </w:r>
      <w:r w:rsidRPr="00715891">
        <w:rPr>
          <w:sz w:val="22"/>
          <w:szCs w:val="22"/>
          <w:vertAlign w:val="subscript"/>
          <w:lang w:val="lt-LT" w:eastAsia="ja-JP"/>
        </w:rPr>
        <w:t>0-24h</w:t>
      </w:r>
      <w:r w:rsidRPr="00715891">
        <w:rPr>
          <w:sz w:val="22"/>
          <w:szCs w:val="22"/>
          <w:lang w:val="lt-LT" w:eastAsia="ja-JP"/>
        </w:rPr>
        <w:t>, C</w:t>
      </w:r>
      <w:r w:rsidRPr="00715891">
        <w:rPr>
          <w:sz w:val="22"/>
          <w:szCs w:val="22"/>
          <w:vertAlign w:val="subscript"/>
          <w:lang w:val="lt-LT" w:eastAsia="ja-JP"/>
        </w:rPr>
        <w:t>max</w:t>
      </w:r>
      <w:r w:rsidRPr="00715891">
        <w:rPr>
          <w:sz w:val="22"/>
          <w:szCs w:val="22"/>
          <w:lang w:val="lt-LT" w:eastAsia="ja-JP"/>
        </w:rPr>
        <w:t>, Kl, t</w:t>
      </w:r>
      <w:r w:rsidR="003B251E" w:rsidRPr="00715891">
        <w:rPr>
          <w:sz w:val="22"/>
          <w:szCs w:val="22"/>
          <w:lang w:val="lt-LT" w:eastAsia="ja-JP"/>
        </w:rPr>
        <w:t> </w:t>
      </w:r>
      <w:r w:rsidRPr="00715891">
        <w:rPr>
          <w:sz w:val="22"/>
          <w:szCs w:val="22"/>
          <w:lang w:val="lt-LT" w:eastAsia="ja-JP"/>
        </w:rPr>
        <w:t>½ vidurkiai ir standartiniai nuokrypiai atitinkamose vaikų amžiaus grupėse, lyginant su suaugusiųjų duomenimis, yra apibendrinti žemiau pateiktoje lentelėje:</w:t>
      </w:r>
    </w:p>
    <w:p w14:paraId="7247B1DF" w14:textId="77777777" w:rsidR="00107519" w:rsidRPr="00715891" w:rsidDel="00634F45" w:rsidRDefault="00107519" w:rsidP="00107519">
      <w:pPr>
        <w:keepNext/>
        <w:rPr>
          <w:b/>
          <w:sz w:val="22"/>
          <w:szCs w:val="22"/>
          <w:lang w:val="lt-LT" w:eastAsia="ja-JP"/>
        </w:rPr>
      </w:pPr>
    </w:p>
    <w:tbl>
      <w:tblPr>
        <w:tblW w:w="5021"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749"/>
        <w:gridCol w:w="1415"/>
        <w:gridCol w:w="1381"/>
        <w:gridCol w:w="1475"/>
        <w:gridCol w:w="1306"/>
        <w:gridCol w:w="1772"/>
      </w:tblGrid>
      <w:tr w:rsidR="00107519" w:rsidRPr="00715891" w14:paraId="7308F26F" w14:textId="77777777" w:rsidTr="00EF476A">
        <w:trPr>
          <w:tblHeader/>
        </w:trPr>
        <w:tc>
          <w:tcPr>
            <w:tcW w:w="1010" w:type="pct"/>
            <w:tcBorders>
              <w:right w:val="single" w:sz="4" w:space="0" w:color="auto"/>
            </w:tcBorders>
            <w:shd w:val="clear" w:color="auto" w:fill="auto"/>
          </w:tcPr>
          <w:p w14:paraId="437F9F0A" w14:textId="77777777" w:rsidR="00107519" w:rsidRPr="00715891" w:rsidRDefault="00107519" w:rsidP="00107519">
            <w:pPr>
              <w:jc w:val="center"/>
              <w:rPr>
                <w:rFonts w:eastAsia="Calibri"/>
                <w:b/>
                <w:sz w:val="22"/>
                <w:szCs w:val="22"/>
                <w:lang w:val="lt-LT" w:eastAsia="lt-LT"/>
              </w:rPr>
            </w:pPr>
            <w:r w:rsidRPr="00715891">
              <w:rPr>
                <w:rFonts w:eastAsia="Calibri"/>
                <w:b/>
                <w:sz w:val="22"/>
                <w:szCs w:val="22"/>
                <w:lang w:val="lt-LT" w:eastAsia="lt-LT"/>
              </w:rPr>
              <w:t>FK parametras</w:t>
            </w:r>
          </w:p>
        </w:tc>
        <w:tc>
          <w:tcPr>
            <w:tcW w:w="640" w:type="pct"/>
            <w:tcBorders>
              <w:left w:val="single" w:sz="4" w:space="0" w:color="auto"/>
              <w:right w:val="single" w:sz="4" w:space="0" w:color="auto"/>
            </w:tcBorders>
            <w:shd w:val="clear" w:color="auto" w:fill="auto"/>
          </w:tcPr>
          <w:p w14:paraId="1205132F" w14:textId="77777777" w:rsidR="00107519" w:rsidRPr="00715891" w:rsidRDefault="00107519" w:rsidP="00107519">
            <w:pPr>
              <w:jc w:val="center"/>
              <w:rPr>
                <w:rFonts w:eastAsia="Calibri"/>
                <w:b/>
                <w:sz w:val="22"/>
                <w:szCs w:val="22"/>
                <w:lang w:val="lt-LT" w:eastAsia="lt-LT"/>
              </w:rPr>
            </w:pPr>
            <w:r w:rsidRPr="00715891">
              <w:rPr>
                <w:rFonts w:eastAsia="Calibri"/>
                <w:b/>
                <w:sz w:val="22"/>
                <w:szCs w:val="22"/>
                <w:lang w:val="lt-LT" w:eastAsia="lt-LT"/>
              </w:rPr>
              <w:t>Suaugusieji*</w:t>
            </w:r>
          </w:p>
        </w:tc>
        <w:tc>
          <w:tcPr>
            <w:tcW w:w="3351" w:type="pct"/>
            <w:gridSpan w:val="4"/>
            <w:tcBorders>
              <w:left w:val="single" w:sz="4" w:space="0" w:color="auto"/>
            </w:tcBorders>
            <w:shd w:val="clear" w:color="auto" w:fill="auto"/>
          </w:tcPr>
          <w:p w14:paraId="67BDAFAA" w14:textId="77777777" w:rsidR="00107519" w:rsidRPr="00715891" w:rsidRDefault="00107519" w:rsidP="00107519">
            <w:pPr>
              <w:jc w:val="center"/>
              <w:rPr>
                <w:rFonts w:eastAsia="Calibri"/>
                <w:b/>
                <w:sz w:val="22"/>
                <w:szCs w:val="22"/>
                <w:lang w:val="lt-LT" w:eastAsia="lt-LT"/>
              </w:rPr>
            </w:pPr>
            <w:r w:rsidRPr="00715891">
              <w:rPr>
                <w:rFonts w:eastAsia="Calibri"/>
                <w:b/>
                <w:sz w:val="22"/>
                <w:szCs w:val="22"/>
                <w:lang w:val="lt-LT" w:eastAsia="lt-LT"/>
              </w:rPr>
              <w:t>Vaikai</w:t>
            </w:r>
          </w:p>
        </w:tc>
      </w:tr>
      <w:tr w:rsidR="005B6B82" w:rsidRPr="00715891" w14:paraId="3BFF6D92" w14:textId="77777777" w:rsidTr="00EF476A">
        <w:trPr>
          <w:tblHeader/>
        </w:trPr>
        <w:tc>
          <w:tcPr>
            <w:tcW w:w="1010" w:type="pct"/>
            <w:tcBorders>
              <w:right w:val="single" w:sz="4" w:space="0" w:color="auto"/>
            </w:tcBorders>
            <w:shd w:val="clear" w:color="auto" w:fill="auto"/>
          </w:tcPr>
          <w:p w14:paraId="394978D2" w14:textId="77777777" w:rsidR="00107519" w:rsidRPr="00715891" w:rsidRDefault="00107519" w:rsidP="00107519">
            <w:pPr>
              <w:jc w:val="center"/>
              <w:rPr>
                <w:rFonts w:eastAsia="Calibri"/>
                <w:b/>
                <w:sz w:val="22"/>
                <w:szCs w:val="22"/>
                <w:lang w:val="lt-LT" w:eastAsia="lt-LT"/>
              </w:rPr>
            </w:pPr>
          </w:p>
        </w:tc>
        <w:tc>
          <w:tcPr>
            <w:tcW w:w="640" w:type="pct"/>
            <w:tcBorders>
              <w:left w:val="single" w:sz="4" w:space="0" w:color="auto"/>
              <w:right w:val="single" w:sz="4" w:space="0" w:color="auto"/>
            </w:tcBorders>
            <w:shd w:val="clear" w:color="auto" w:fill="auto"/>
          </w:tcPr>
          <w:p w14:paraId="52ACEABA" w14:textId="382B7DCC" w:rsidR="00107519" w:rsidRPr="00715891" w:rsidRDefault="00107519" w:rsidP="00107519">
            <w:pPr>
              <w:jc w:val="center"/>
              <w:rPr>
                <w:b/>
                <w:sz w:val="22"/>
                <w:szCs w:val="22"/>
                <w:lang w:val="lt-LT" w:eastAsia="ja-JP"/>
              </w:rPr>
            </w:pPr>
            <w:r w:rsidRPr="00715891">
              <w:rPr>
                <w:rFonts w:eastAsia="Calibri"/>
                <w:b/>
                <w:sz w:val="22"/>
                <w:szCs w:val="22"/>
                <w:lang w:val="lt-LT" w:eastAsia="lt-LT"/>
              </w:rPr>
              <w:t>≥</w:t>
            </w:r>
            <w:r w:rsidR="00F706F6" w:rsidRPr="00715891">
              <w:rPr>
                <w:rFonts w:eastAsia="Calibri"/>
                <w:b/>
                <w:sz w:val="22"/>
                <w:szCs w:val="22"/>
                <w:lang w:val="lt-LT" w:eastAsia="lt-LT"/>
              </w:rPr>
              <w:t> </w:t>
            </w:r>
            <w:r w:rsidRPr="00715891">
              <w:rPr>
                <w:rFonts w:eastAsia="Calibri"/>
                <w:b/>
                <w:sz w:val="22"/>
                <w:szCs w:val="22"/>
                <w:lang w:val="lt-LT" w:eastAsia="lt-LT"/>
              </w:rPr>
              <w:t>18</w:t>
            </w:r>
            <w:r w:rsidRPr="00715891">
              <w:rPr>
                <w:b/>
                <w:sz w:val="22"/>
                <w:szCs w:val="22"/>
                <w:lang w:val="lt-LT" w:eastAsia="ja-JP"/>
              </w:rPr>
              <w:t> </w:t>
            </w:r>
            <w:r w:rsidRPr="00715891">
              <w:rPr>
                <w:rFonts w:eastAsia="Calibri"/>
                <w:b/>
                <w:sz w:val="22"/>
                <w:szCs w:val="22"/>
                <w:lang w:val="lt-LT" w:eastAsia="lt-LT"/>
              </w:rPr>
              <w:t>metų</w:t>
            </w:r>
          </w:p>
          <w:p w14:paraId="4EB5C4A0" w14:textId="65D9ADD7" w:rsidR="00107519" w:rsidRPr="00715891" w:rsidRDefault="00107519" w:rsidP="00107519">
            <w:pPr>
              <w:jc w:val="center"/>
              <w:rPr>
                <w:rFonts w:eastAsia="Calibri"/>
                <w:b/>
                <w:sz w:val="22"/>
                <w:szCs w:val="22"/>
                <w:lang w:val="lt-LT" w:eastAsia="lt-LT"/>
              </w:rPr>
            </w:pPr>
            <w:r w:rsidRPr="00715891">
              <w:rPr>
                <w:rFonts w:eastAsia="Calibri"/>
                <w:b/>
                <w:sz w:val="22"/>
                <w:szCs w:val="22"/>
                <w:lang w:val="lt-LT" w:eastAsia="lt-LT"/>
              </w:rPr>
              <w:t>(n</w:t>
            </w:r>
            <w:r w:rsidR="00F706F6" w:rsidRPr="00715891">
              <w:rPr>
                <w:rFonts w:eastAsia="Calibri"/>
                <w:b/>
                <w:sz w:val="22"/>
                <w:szCs w:val="22"/>
                <w:lang w:val="lt-LT" w:eastAsia="lt-LT"/>
              </w:rPr>
              <w:t> </w:t>
            </w:r>
            <w:r w:rsidRPr="00715891">
              <w:rPr>
                <w:rFonts w:eastAsia="Calibri"/>
                <w:b/>
                <w:sz w:val="22"/>
                <w:szCs w:val="22"/>
                <w:lang w:val="lt-LT" w:eastAsia="lt-LT"/>
              </w:rPr>
              <w:t>=</w:t>
            </w:r>
            <w:r w:rsidR="00F706F6" w:rsidRPr="00715891">
              <w:rPr>
                <w:rFonts w:eastAsia="Calibri"/>
                <w:b/>
                <w:sz w:val="22"/>
                <w:szCs w:val="22"/>
                <w:lang w:val="lt-LT" w:eastAsia="lt-LT"/>
              </w:rPr>
              <w:t> </w:t>
            </w:r>
            <w:r w:rsidRPr="00715891">
              <w:rPr>
                <w:rFonts w:eastAsia="Calibri"/>
                <w:b/>
                <w:sz w:val="22"/>
                <w:szCs w:val="22"/>
                <w:lang w:val="lt-LT" w:eastAsia="lt-LT"/>
              </w:rPr>
              <w:t>160)</w:t>
            </w:r>
          </w:p>
        </w:tc>
        <w:tc>
          <w:tcPr>
            <w:tcW w:w="703" w:type="pct"/>
            <w:tcBorders>
              <w:left w:val="single" w:sz="4" w:space="0" w:color="auto"/>
            </w:tcBorders>
            <w:shd w:val="clear" w:color="auto" w:fill="auto"/>
          </w:tcPr>
          <w:p w14:paraId="2E450CE9" w14:textId="6AEF0F82" w:rsidR="00107519" w:rsidRPr="00715891" w:rsidRDefault="00107519" w:rsidP="00107519">
            <w:pPr>
              <w:jc w:val="center"/>
              <w:rPr>
                <w:rFonts w:eastAsia="SimSun"/>
                <w:b/>
                <w:sz w:val="22"/>
                <w:szCs w:val="22"/>
                <w:lang w:val="lt-LT" w:eastAsia="ja-JP"/>
              </w:rPr>
            </w:pPr>
            <w:r w:rsidRPr="00715891">
              <w:rPr>
                <w:rFonts w:eastAsia="SimSun"/>
                <w:b/>
                <w:sz w:val="22"/>
                <w:szCs w:val="22"/>
                <w:lang w:val="lt-LT" w:eastAsia="ja-JP"/>
              </w:rPr>
              <w:t>&lt;</w:t>
            </w:r>
            <w:r w:rsidR="00F706F6" w:rsidRPr="00715891">
              <w:rPr>
                <w:rFonts w:eastAsia="SimSun"/>
                <w:b/>
                <w:sz w:val="22"/>
                <w:szCs w:val="22"/>
                <w:lang w:val="lt-LT" w:eastAsia="ja-JP"/>
              </w:rPr>
              <w:t> </w:t>
            </w:r>
            <w:r w:rsidRPr="00715891">
              <w:rPr>
                <w:rFonts w:eastAsia="SimSun"/>
                <w:b/>
                <w:sz w:val="22"/>
                <w:szCs w:val="22"/>
                <w:lang w:val="lt-LT" w:eastAsia="ja-JP"/>
              </w:rPr>
              <w:t>4 mėnesiai</w:t>
            </w:r>
          </w:p>
          <w:p w14:paraId="2A0D17DE" w14:textId="69A789AC" w:rsidR="00107519" w:rsidRPr="00715891" w:rsidRDefault="00107519" w:rsidP="00107519">
            <w:pPr>
              <w:jc w:val="center"/>
              <w:rPr>
                <w:rFonts w:eastAsia="SimSun"/>
                <w:b/>
                <w:sz w:val="22"/>
                <w:szCs w:val="22"/>
                <w:lang w:val="lt-LT" w:eastAsia="ja-JP"/>
              </w:rPr>
            </w:pPr>
            <w:r w:rsidRPr="00715891">
              <w:rPr>
                <w:rFonts w:eastAsia="SimSun"/>
                <w:b/>
                <w:sz w:val="22"/>
                <w:szCs w:val="22"/>
                <w:lang w:val="lt-LT" w:eastAsia="ja-JP"/>
              </w:rPr>
              <w:t>(n</w:t>
            </w:r>
            <w:r w:rsidR="00F706F6" w:rsidRPr="00715891">
              <w:rPr>
                <w:rFonts w:eastAsia="SimSun"/>
                <w:b/>
                <w:sz w:val="22"/>
                <w:szCs w:val="22"/>
                <w:lang w:val="lt-LT" w:eastAsia="ja-JP"/>
              </w:rPr>
              <w:t> </w:t>
            </w:r>
            <w:r w:rsidRPr="00715891">
              <w:rPr>
                <w:rFonts w:eastAsia="SimSun"/>
                <w:b/>
                <w:sz w:val="22"/>
                <w:szCs w:val="22"/>
                <w:lang w:val="lt-LT" w:eastAsia="ja-JP"/>
              </w:rPr>
              <w:t>=</w:t>
            </w:r>
            <w:r w:rsidR="00F706F6" w:rsidRPr="00715891">
              <w:rPr>
                <w:rFonts w:eastAsia="SimSun"/>
                <w:b/>
                <w:sz w:val="22"/>
                <w:szCs w:val="22"/>
                <w:lang w:val="lt-LT" w:eastAsia="ja-JP"/>
              </w:rPr>
              <w:t> </w:t>
            </w:r>
            <w:r w:rsidRPr="00715891">
              <w:rPr>
                <w:rFonts w:eastAsia="SimSun"/>
                <w:b/>
                <w:sz w:val="22"/>
                <w:szCs w:val="22"/>
                <w:lang w:val="lt-LT" w:eastAsia="ja-JP"/>
              </w:rPr>
              <w:t>14)</w:t>
            </w:r>
          </w:p>
        </w:tc>
        <w:tc>
          <w:tcPr>
            <w:tcW w:w="859" w:type="pct"/>
            <w:shd w:val="clear" w:color="auto" w:fill="auto"/>
          </w:tcPr>
          <w:p w14:paraId="53597597" w14:textId="5B598517" w:rsidR="00107519" w:rsidRPr="00715891" w:rsidRDefault="00107519" w:rsidP="00107519">
            <w:pPr>
              <w:jc w:val="center"/>
              <w:rPr>
                <w:b/>
                <w:sz w:val="22"/>
                <w:szCs w:val="22"/>
                <w:lang w:val="lt-LT" w:eastAsia="ja-JP"/>
              </w:rPr>
            </w:pPr>
            <w:r w:rsidRPr="00715891">
              <w:rPr>
                <w:b/>
                <w:sz w:val="22"/>
                <w:szCs w:val="22"/>
                <w:lang w:val="lt-LT" w:eastAsia="ja-JP"/>
              </w:rPr>
              <w:t xml:space="preserve">4 mėn. - </w:t>
            </w:r>
            <w:r w:rsidRPr="00715891">
              <w:rPr>
                <w:rFonts w:eastAsia="Calibri"/>
                <w:b/>
                <w:sz w:val="22"/>
                <w:szCs w:val="22"/>
                <w:lang w:val="lt-LT" w:eastAsia="lt-LT"/>
              </w:rPr>
              <w:t>≤</w:t>
            </w:r>
            <w:r w:rsidR="00F706F6" w:rsidRPr="00715891">
              <w:rPr>
                <w:rFonts w:eastAsia="Calibri"/>
                <w:b/>
                <w:sz w:val="22"/>
                <w:szCs w:val="22"/>
                <w:lang w:val="lt-LT" w:eastAsia="lt-LT"/>
              </w:rPr>
              <w:t> </w:t>
            </w:r>
            <w:r w:rsidRPr="00715891">
              <w:rPr>
                <w:rFonts w:eastAsia="Calibri"/>
                <w:b/>
                <w:sz w:val="22"/>
                <w:szCs w:val="22"/>
                <w:lang w:val="lt-LT" w:eastAsia="lt-LT"/>
              </w:rPr>
              <w:t>2</w:t>
            </w:r>
            <w:r w:rsidRPr="00715891">
              <w:rPr>
                <w:b/>
                <w:sz w:val="22"/>
                <w:szCs w:val="22"/>
                <w:lang w:val="lt-LT" w:eastAsia="ja-JP"/>
              </w:rPr>
              <w:t> metai</w:t>
            </w:r>
          </w:p>
          <w:p w14:paraId="2A0108CF" w14:textId="6B5FC3AE" w:rsidR="00107519" w:rsidRPr="00715891" w:rsidRDefault="00107519" w:rsidP="00107519">
            <w:pPr>
              <w:jc w:val="center"/>
              <w:rPr>
                <w:rFonts w:eastAsia="Calibri"/>
                <w:b/>
                <w:sz w:val="22"/>
                <w:szCs w:val="22"/>
                <w:lang w:val="lt-LT" w:eastAsia="lt-LT"/>
              </w:rPr>
            </w:pPr>
            <w:r w:rsidRPr="00715891">
              <w:rPr>
                <w:rFonts w:eastAsia="Calibri"/>
                <w:b/>
                <w:sz w:val="22"/>
                <w:szCs w:val="22"/>
                <w:lang w:val="lt-LT" w:eastAsia="lt-LT"/>
              </w:rPr>
              <w:t>(n</w:t>
            </w:r>
            <w:r w:rsidR="00F706F6" w:rsidRPr="00715891">
              <w:rPr>
                <w:rFonts w:eastAsia="Calibri"/>
                <w:b/>
                <w:sz w:val="22"/>
                <w:szCs w:val="22"/>
                <w:lang w:val="lt-LT" w:eastAsia="lt-LT"/>
              </w:rPr>
              <w:t> </w:t>
            </w:r>
            <w:r w:rsidRPr="00715891">
              <w:rPr>
                <w:b/>
                <w:sz w:val="22"/>
                <w:szCs w:val="22"/>
                <w:lang w:val="lt-LT" w:eastAsia="ja-JP"/>
              </w:rPr>
              <w:t>=</w:t>
            </w:r>
            <w:r w:rsidR="00F706F6" w:rsidRPr="00715891">
              <w:rPr>
                <w:b/>
                <w:sz w:val="22"/>
                <w:szCs w:val="22"/>
                <w:lang w:val="lt-LT" w:eastAsia="ja-JP"/>
              </w:rPr>
              <w:t> </w:t>
            </w:r>
            <w:r w:rsidRPr="00715891">
              <w:rPr>
                <w:rFonts w:eastAsia="Calibri"/>
                <w:b/>
                <w:sz w:val="22"/>
                <w:szCs w:val="22"/>
                <w:lang w:val="lt-LT" w:eastAsia="lt-LT"/>
              </w:rPr>
              <w:t>17)</w:t>
            </w:r>
          </w:p>
        </w:tc>
        <w:tc>
          <w:tcPr>
            <w:tcW w:w="766" w:type="pct"/>
            <w:shd w:val="clear" w:color="auto" w:fill="auto"/>
          </w:tcPr>
          <w:p w14:paraId="04BBB6B5" w14:textId="425920EA" w:rsidR="00107519" w:rsidRPr="00715891" w:rsidRDefault="00107519" w:rsidP="00107519">
            <w:pPr>
              <w:jc w:val="center"/>
              <w:rPr>
                <w:b/>
                <w:sz w:val="22"/>
                <w:szCs w:val="22"/>
                <w:lang w:val="lt-LT" w:eastAsia="ja-JP"/>
              </w:rPr>
            </w:pPr>
            <w:r w:rsidRPr="00715891">
              <w:rPr>
                <w:rFonts w:eastAsia="Calibri"/>
                <w:b/>
                <w:sz w:val="22"/>
                <w:szCs w:val="22"/>
                <w:lang w:val="lt-LT" w:eastAsia="lt-LT"/>
              </w:rPr>
              <w:t>&gt;</w:t>
            </w:r>
            <w:r w:rsidR="00F706F6" w:rsidRPr="00715891">
              <w:rPr>
                <w:rFonts w:eastAsia="Calibri"/>
                <w:b/>
                <w:sz w:val="22"/>
                <w:szCs w:val="22"/>
                <w:lang w:val="lt-LT" w:eastAsia="lt-LT"/>
              </w:rPr>
              <w:t> </w:t>
            </w:r>
            <w:r w:rsidRPr="00715891">
              <w:rPr>
                <w:rFonts w:eastAsia="Calibri"/>
                <w:b/>
                <w:sz w:val="22"/>
                <w:szCs w:val="22"/>
                <w:lang w:val="lt-LT" w:eastAsia="lt-LT"/>
              </w:rPr>
              <w:t>2 - &lt;</w:t>
            </w:r>
            <w:r w:rsidR="00F706F6" w:rsidRPr="00715891">
              <w:rPr>
                <w:rFonts w:eastAsia="Calibri"/>
                <w:b/>
                <w:sz w:val="22"/>
                <w:szCs w:val="22"/>
                <w:lang w:val="lt-LT" w:eastAsia="lt-LT"/>
              </w:rPr>
              <w:t> </w:t>
            </w:r>
            <w:r w:rsidRPr="00715891">
              <w:rPr>
                <w:rFonts w:eastAsia="Calibri"/>
                <w:b/>
                <w:sz w:val="22"/>
                <w:szCs w:val="22"/>
                <w:lang w:val="lt-LT" w:eastAsia="lt-LT"/>
              </w:rPr>
              <w:t>12</w:t>
            </w:r>
            <w:r w:rsidRPr="00715891">
              <w:rPr>
                <w:b/>
                <w:sz w:val="22"/>
                <w:szCs w:val="22"/>
                <w:lang w:val="lt-LT" w:eastAsia="ja-JP"/>
              </w:rPr>
              <w:t> </w:t>
            </w:r>
            <w:r w:rsidRPr="00715891">
              <w:rPr>
                <w:rFonts w:eastAsia="Calibri"/>
                <w:b/>
                <w:sz w:val="22"/>
                <w:szCs w:val="22"/>
                <w:lang w:val="lt-LT" w:eastAsia="lt-LT"/>
              </w:rPr>
              <w:t>metų</w:t>
            </w:r>
          </w:p>
          <w:p w14:paraId="305CF880" w14:textId="5C5E9ED7" w:rsidR="00107519" w:rsidRPr="00715891" w:rsidRDefault="00107519" w:rsidP="00107519">
            <w:pPr>
              <w:jc w:val="center"/>
              <w:rPr>
                <w:rFonts w:eastAsia="Calibri"/>
                <w:b/>
                <w:sz w:val="22"/>
                <w:szCs w:val="22"/>
                <w:lang w:val="lt-LT" w:eastAsia="lt-LT"/>
              </w:rPr>
            </w:pPr>
            <w:r w:rsidRPr="00715891">
              <w:rPr>
                <w:rFonts w:eastAsia="Calibri"/>
                <w:b/>
                <w:sz w:val="22"/>
                <w:szCs w:val="22"/>
                <w:lang w:val="lt-LT" w:eastAsia="lt-LT"/>
              </w:rPr>
              <w:t>(n</w:t>
            </w:r>
            <w:r w:rsidR="00F706F6" w:rsidRPr="00715891">
              <w:rPr>
                <w:rFonts w:eastAsia="Calibri"/>
                <w:b/>
                <w:sz w:val="22"/>
                <w:szCs w:val="22"/>
                <w:lang w:val="lt-LT" w:eastAsia="lt-LT"/>
              </w:rPr>
              <w:t> </w:t>
            </w:r>
            <w:r w:rsidRPr="00715891">
              <w:rPr>
                <w:rFonts w:eastAsia="Calibri"/>
                <w:b/>
                <w:sz w:val="22"/>
                <w:szCs w:val="22"/>
                <w:lang w:val="lt-LT" w:eastAsia="lt-LT"/>
              </w:rPr>
              <w:t>=</w:t>
            </w:r>
            <w:r w:rsidR="00F706F6" w:rsidRPr="00715891">
              <w:rPr>
                <w:rFonts w:eastAsia="Calibri"/>
                <w:b/>
                <w:sz w:val="22"/>
                <w:szCs w:val="22"/>
                <w:lang w:val="lt-LT" w:eastAsia="lt-LT"/>
              </w:rPr>
              <w:t> </w:t>
            </w:r>
            <w:r w:rsidRPr="00715891">
              <w:rPr>
                <w:rFonts w:eastAsia="Calibri"/>
                <w:b/>
                <w:sz w:val="22"/>
                <w:szCs w:val="22"/>
                <w:lang w:val="lt-LT" w:eastAsia="lt-LT"/>
              </w:rPr>
              <w:t>21)</w:t>
            </w:r>
          </w:p>
        </w:tc>
        <w:tc>
          <w:tcPr>
            <w:tcW w:w="1023" w:type="pct"/>
            <w:shd w:val="clear" w:color="auto" w:fill="auto"/>
          </w:tcPr>
          <w:p w14:paraId="79B6098F" w14:textId="350081B0" w:rsidR="00107519" w:rsidRPr="00715891" w:rsidRDefault="00107519" w:rsidP="00107519">
            <w:pPr>
              <w:jc w:val="center"/>
              <w:rPr>
                <w:b/>
                <w:sz w:val="22"/>
                <w:szCs w:val="22"/>
                <w:lang w:val="lt-LT" w:eastAsia="ja-JP"/>
              </w:rPr>
            </w:pPr>
            <w:r w:rsidRPr="00715891">
              <w:rPr>
                <w:rFonts w:eastAsia="Calibri"/>
                <w:b/>
                <w:sz w:val="22"/>
                <w:szCs w:val="22"/>
                <w:lang w:val="lt-LT" w:eastAsia="lt-LT"/>
              </w:rPr>
              <w:t>≥</w:t>
            </w:r>
            <w:r w:rsidR="00F706F6" w:rsidRPr="00715891">
              <w:rPr>
                <w:rFonts w:eastAsia="Calibri"/>
                <w:b/>
                <w:sz w:val="22"/>
                <w:szCs w:val="22"/>
                <w:lang w:val="lt-LT" w:eastAsia="lt-LT"/>
              </w:rPr>
              <w:t> </w:t>
            </w:r>
            <w:r w:rsidRPr="00715891">
              <w:rPr>
                <w:rFonts w:eastAsia="Calibri"/>
                <w:b/>
                <w:sz w:val="22"/>
                <w:szCs w:val="22"/>
                <w:lang w:val="lt-LT" w:eastAsia="lt-LT"/>
              </w:rPr>
              <w:t>12</w:t>
            </w:r>
            <w:r w:rsidRPr="00715891">
              <w:rPr>
                <w:b/>
                <w:sz w:val="22"/>
                <w:szCs w:val="22"/>
                <w:lang w:val="lt-LT" w:eastAsia="ja-JP"/>
              </w:rPr>
              <w:t> </w:t>
            </w:r>
            <w:r w:rsidRPr="00715891">
              <w:rPr>
                <w:rFonts w:eastAsia="Calibri"/>
                <w:b/>
                <w:sz w:val="22"/>
                <w:szCs w:val="22"/>
                <w:lang w:val="lt-LT" w:eastAsia="lt-LT"/>
              </w:rPr>
              <w:t>metų</w:t>
            </w:r>
            <w:r w:rsidRPr="00715891">
              <w:rPr>
                <w:b/>
                <w:sz w:val="22"/>
                <w:szCs w:val="22"/>
                <w:lang w:val="lt-LT" w:eastAsia="ja-JP"/>
              </w:rPr>
              <w:t xml:space="preserve"> – 16 metų</w:t>
            </w:r>
          </w:p>
          <w:p w14:paraId="5799A297" w14:textId="031029AC" w:rsidR="00107519" w:rsidRPr="00715891" w:rsidRDefault="00107519" w:rsidP="00107519">
            <w:pPr>
              <w:jc w:val="center"/>
              <w:rPr>
                <w:rFonts w:eastAsia="Calibri"/>
                <w:b/>
                <w:sz w:val="22"/>
                <w:szCs w:val="22"/>
                <w:lang w:val="lt-LT" w:eastAsia="lt-LT"/>
              </w:rPr>
            </w:pPr>
            <w:r w:rsidRPr="00715891">
              <w:rPr>
                <w:rFonts w:eastAsia="Calibri"/>
                <w:b/>
                <w:sz w:val="22"/>
                <w:szCs w:val="22"/>
                <w:lang w:val="lt-LT" w:eastAsia="lt-LT"/>
              </w:rPr>
              <w:t>(n</w:t>
            </w:r>
            <w:r w:rsidR="00F706F6" w:rsidRPr="00715891">
              <w:rPr>
                <w:rFonts w:eastAsia="Calibri"/>
                <w:b/>
                <w:sz w:val="22"/>
                <w:szCs w:val="22"/>
                <w:lang w:val="lt-LT" w:eastAsia="lt-LT"/>
              </w:rPr>
              <w:t> </w:t>
            </w:r>
            <w:r w:rsidRPr="00715891">
              <w:rPr>
                <w:rFonts w:eastAsia="Calibri"/>
                <w:b/>
                <w:sz w:val="22"/>
                <w:szCs w:val="22"/>
                <w:lang w:val="lt-LT" w:eastAsia="lt-LT"/>
              </w:rPr>
              <w:t>=</w:t>
            </w:r>
            <w:r w:rsidR="00F706F6" w:rsidRPr="00715891">
              <w:rPr>
                <w:rFonts w:eastAsia="Calibri"/>
                <w:b/>
                <w:sz w:val="22"/>
                <w:szCs w:val="22"/>
                <w:lang w:val="lt-LT" w:eastAsia="lt-LT"/>
              </w:rPr>
              <w:t> </w:t>
            </w:r>
            <w:r w:rsidRPr="00715891">
              <w:rPr>
                <w:rFonts w:eastAsia="Calibri"/>
                <w:b/>
                <w:sz w:val="22"/>
                <w:szCs w:val="22"/>
                <w:lang w:val="lt-LT" w:eastAsia="lt-LT"/>
              </w:rPr>
              <w:t>25)</w:t>
            </w:r>
          </w:p>
        </w:tc>
      </w:tr>
      <w:tr w:rsidR="005B6B82" w:rsidRPr="00715891" w14:paraId="4459507A" w14:textId="77777777" w:rsidTr="00EF476A">
        <w:tc>
          <w:tcPr>
            <w:tcW w:w="1010" w:type="pct"/>
            <w:tcBorders>
              <w:right w:val="single" w:sz="4" w:space="0" w:color="auto"/>
            </w:tcBorders>
            <w:shd w:val="clear" w:color="auto" w:fill="auto"/>
          </w:tcPr>
          <w:p w14:paraId="511B5766" w14:textId="77777777" w:rsidR="00107519" w:rsidRPr="00715891" w:rsidRDefault="00107519" w:rsidP="00107519">
            <w:pPr>
              <w:rPr>
                <w:rFonts w:eastAsia="Calibri"/>
                <w:b/>
                <w:sz w:val="22"/>
                <w:szCs w:val="22"/>
                <w:lang w:val="lt-LT" w:eastAsia="lt-LT"/>
              </w:rPr>
            </w:pPr>
            <w:r w:rsidRPr="00715891">
              <w:rPr>
                <w:rFonts w:eastAsia="Calibri"/>
                <w:b/>
                <w:sz w:val="22"/>
                <w:szCs w:val="22"/>
                <w:lang w:val="lt-LT" w:eastAsia="lt-LT"/>
              </w:rPr>
              <w:t>AUC</w:t>
            </w:r>
            <w:r w:rsidRPr="00715891">
              <w:rPr>
                <w:rFonts w:eastAsia="Calibri"/>
                <w:b/>
                <w:sz w:val="22"/>
                <w:szCs w:val="22"/>
                <w:vertAlign w:val="subscript"/>
                <w:lang w:val="lt-LT" w:eastAsia="lt-LT"/>
              </w:rPr>
              <w:t xml:space="preserve">0-24h </w:t>
            </w:r>
            <w:r w:rsidRPr="00715891">
              <w:rPr>
                <w:rFonts w:eastAsia="Calibri"/>
                <w:b/>
                <w:sz w:val="22"/>
                <w:szCs w:val="22"/>
                <w:lang w:val="lt-LT" w:eastAsia="lt-LT"/>
              </w:rPr>
              <w:t>(µg</w:t>
            </w:r>
            <w:r w:rsidRPr="00715891">
              <w:rPr>
                <w:rFonts w:eastAsia="Calibri"/>
                <w:b/>
                <w:sz w:val="22"/>
                <w:szCs w:val="22"/>
                <w:vertAlign w:val="superscript"/>
                <w:lang w:val="lt-LT" w:eastAsia="lt-LT"/>
              </w:rPr>
              <w:t>.</w:t>
            </w:r>
            <w:r w:rsidRPr="00715891">
              <w:rPr>
                <w:b/>
                <w:sz w:val="22"/>
                <w:szCs w:val="22"/>
                <w:lang w:val="lt-LT" w:eastAsia="ja-JP"/>
              </w:rPr>
              <w:t>val.</w:t>
            </w:r>
            <w:r w:rsidRPr="00715891">
              <w:rPr>
                <w:rFonts w:eastAsia="Calibri"/>
                <w:b/>
                <w:sz w:val="22"/>
                <w:szCs w:val="22"/>
                <w:lang w:val="lt-LT" w:eastAsia="lt-LT"/>
              </w:rPr>
              <w:t>/ml)</w:t>
            </w:r>
          </w:p>
        </w:tc>
        <w:tc>
          <w:tcPr>
            <w:tcW w:w="640" w:type="pct"/>
            <w:tcBorders>
              <w:left w:val="single" w:sz="4" w:space="0" w:color="auto"/>
              <w:right w:val="single" w:sz="4" w:space="0" w:color="auto"/>
            </w:tcBorders>
            <w:shd w:val="clear" w:color="auto" w:fill="auto"/>
          </w:tcPr>
          <w:p w14:paraId="20F4CA56" w14:textId="1E1B5DC3" w:rsidR="00107519" w:rsidRPr="00715891" w:rsidRDefault="00107519" w:rsidP="00107519">
            <w:pPr>
              <w:jc w:val="center"/>
              <w:rPr>
                <w:rFonts w:eastAsia="Calibri"/>
                <w:sz w:val="22"/>
                <w:szCs w:val="22"/>
                <w:lang w:val="lt-LT" w:eastAsia="lt-LT"/>
              </w:rPr>
            </w:pPr>
            <w:r w:rsidRPr="00715891">
              <w:rPr>
                <w:rFonts w:eastAsia="Calibri"/>
                <w:sz w:val="22"/>
                <w:szCs w:val="22"/>
                <w:lang w:val="lt-LT" w:eastAsia="lt-LT"/>
              </w:rPr>
              <w:t>46,3</w:t>
            </w:r>
            <w:r w:rsidR="003B251E" w:rsidRPr="00715891">
              <w:rPr>
                <w:rFonts w:eastAsia="Calibri"/>
                <w:sz w:val="22"/>
                <w:szCs w:val="22"/>
                <w:lang w:val="lt-LT" w:eastAsia="lt-LT"/>
              </w:rPr>
              <w:t> </w:t>
            </w:r>
            <w:r w:rsidRPr="00715891">
              <w:rPr>
                <w:rFonts w:eastAsia="Calibri"/>
                <w:sz w:val="22"/>
                <w:szCs w:val="22"/>
                <w:lang w:val="lt-LT" w:eastAsia="lt-LT"/>
              </w:rPr>
              <w:sym w:font="Symbol" w:char="F0B1"/>
            </w:r>
            <w:r w:rsidRPr="00715891">
              <w:rPr>
                <w:rFonts w:eastAsia="Calibri"/>
                <w:sz w:val="22"/>
                <w:szCs w:val="22"/>
                <w:lang w:val="lt-LT" w:eastAsia="lt-LT"/>
              </w:rPr>
              <w:t> 15,2</w:t>
            </w:r>
          </w:p>
        </w:tc>
        <w:tc>
          <w:tcPr>
            <w:tcW w:w="703" w:type="pct"/>
            <w:tcBorders>
              <w:left w:val="single" w:sz="4" w:space="0" w:color="auto"/>
            </w:tcBorders>
            <w:shd w:val="clear" w:color="auto" w:fill="auto"/>
          </w:tcPr>
          <w:p w14:paraId="6A02F665" w14:textId="719132C6" w:rsidR="00107519" w:rsidRPr="00715891" w:rsidRDefault="00107519" w:rsidP="00107519">
            <w:pPr>
              <w:jc w:val="center"/>
              <w:rPr>
                <w:rFonts w:eastAsia="SimSun"/>
                <w:sz w:val="22"/>
                <w:szCs w:val="22"/>
                <w:lang w:val="lt-LT" w:eastAsia="ja-JP"/>
              </w:rPr>
            </w:pPr>
            <w:r w:rsidRPr="00715891">
              <w:rPr>
                <w:sz w:val="22"/>
                <w:szCs w:val="22"/>
                <w:lang w:val="lt-LT" w:eastAsia="ja-JP"/>
              </w:rPr>
              <w:t>68,1</w:t>
            </w:r>
            <w:r w:rsidR="003B251E" w:rsidRPr="00715891">
              <w:rPr>
                <w:sz w:val="22"/>
                <w:szCs w:val="22"/>
                <w:lang w:val="lt-LT" w:eastAsia="ja-JP"/>
              </w:rPr>
              <w:t> </w:t>
            </w:r>
            <w:r w:rsidRPr="00715891">
              <w:rPr>
                <w:sz w:val="22"/>
                <w:szCs w:val="22"/>
                <w:lang w:val="lt-LT" w:eastAsia="ja-JP"/>
              </w:rPr>
              <w:t>±</w:t>
            </w:r>
            <w:r w:rsidR="003B251E" w:rsidRPr="00715891">
              <w:rPr>
                <w:sz w:val="22"/>
                <w:szCs w:val="22"/>
                <w:lang w:val="lt-LT" w:eastAsia="ja-JP"/>
              </w:rPr>
              <w:t> </w:t>
            </w:r>
            <w:r w:rsidRPr="00715891">
              <w:rPr>
                <w:sz w:val="22"/>
                <w:szCs w:val="22"/>
                <w:lang w:val="lt-LT" w:eastAsia="ja-JP"/>
              </w:rPr>
              <w:t>19,8</w:t>
            </w:r>
          </w:p>
        </w:tc>
        <w:tc>
          <w:tcPr>
            <w:tcW w:w="859" w:type="pct"/>
            <w:shd w:val="clear" w:color="auto" w:fill="auto"/>
          </w:tcPr>
          <w:p w14:paraId="0EB36087" w14:textId="76055623" w:rsidR="00107519" w:rsidRPr="00715891" w:rsidRDefault="00107519" w:rsidP="00107519">
            <w:pPr>
              <w:jc w:val="center"/>
              <w:rPr>
                <w:rFonts w:eastAsia="Calibri"/>
                <w:sz w:val="22"/>
                <w:szCs w:val="22"/>
                <w:lang w:val="lt-LT" w:eastAsia="lt-LT"/>
              </w:rPr>
            </w:pPr>
            <w:r w:rsidRPr="00715891">
              <w:rPr>
                <w:rFonts w:eastAsia="Calibri"/>
                <w:sz w:val="22"/>
                <w:szCs w:val="22"/>
                <w:lang w:val="lt-LT" w:eastAsia="lt-LT"/>
              </w:rPr>
              <w:t>64,3</w:t>
            </w:r>
            <w:r w:rsidR="003B251E" w:rsidRPr="00715891">
              <w:rPr>
                <w:rFonts w:eastAsia="Calibri"/>
                <w:sz w:val="22"/>
                <w:szCs w:val="22"/>
                <w:lang w:val="lt-LT" w:eastAsia="lt-LT"/>
              </w:rPr>
              <w:t> </w:t>
            </w:r>
            <w:r w:rsidRPr="00715891">
              <w:rPr>
                <w:rFonts w:eastAsia="Calibri"/>
                <w:sz w:val="22"/>
                <w:szCs w:val="22"/>
                <w:lang w:val="lt-LT" w:eastAsia="lt-LT"/>
              </w:rPr>
              <w:t>±</w:t>
            </w:r>
            <w:r w:rsidR="003B251E" w:rsidRPr="00715891">
              <w:rPr>
                <w:rFonts w:eastAsia="Calibri"/>
                <w:sz w:val="22"/>
                <w:szCs w:val="22"/>
                <w:lang w:val="lt-LT" w:eastAsia="lt-LT"/>
              </w:rPr>
              <w:t> </w:t>
            </w:r>
            <w:r w:rsidRPr="00715891">
              <w:rPr>
                <w:rFonts w:eastAsia="Calibri"/>
                <w:sz w:val="22"/>
                <w:szCs w:val="22"/>
                <w:lang w:val="lt-LT" w:eastAsia="lt-LT"/>
              </w:rPr>
              <w:t>29,2</w:t>
            </w:r>
          </w:p>
        </w:tc>
        <w:tc>
          <w:tcPr>
            <w:tcW w:w="766" w:type="pct"/>
            <w:shd w:val="clear" w:color="auto" w:fill="auto"/>
          </w:tcPr>
          <w:p w14:paraId="128ADABC" w14:textId="6751DC1E" w:rsidR="00107519" w:rsidRPr="00715891" w:rsidRDefault="00107519" w:rsidP="00107519">
            <w:pPr>
              <w:jc w:val="center"/>
              <w:rPr>
                <w:rFonts w:eastAsia="Calibri"/>
                <w:sz w:val="22"/>
                <w:szCs w:val="22"/>
                <w:lang w:val="lt-LT" w:eastAsia="lt-LT"/>
              </w:rPr>
            </w:pPr>
            <w:r w:rsidRPr="00715891">
              <w:rPr>
                <w:rFonts w:eastAsia="Calibri"/>
                <w:sz w:val="22"/>
                <w:szCs w:val="22"/>
                <w:lang w:val="lt-LT" w:eastAsia="lt-LT"/>
              </w:rPr>
              <w:t>59,2</w:t>
            </w:r>
            <w:r w:rsidR="003B251E" w:rsidRPr="00715891">
              <w:rPr>
                <w:rFonts w:eastAsia="Calibri"/>
                <w:sz w:val="22"/>
                <w:szCs w:val="22"/>
                <w:lang w:val="lt-LT" w:eastAsia="lt-LT"/>
              </w:rPr>
              <w:t> </w:t>
            </w:r>
            <w:r w:rsidRPr="00715891">
              <w:rPr>
                <w:rFonts w:eastAsia="Calibri"/>
                <w:sz w:val="22"/>
                <w:szCs w:val="22"/>
                <w:lang w:val="lt-LT" w:eastAsia="lt-LT"/>
              </w:rPr>
              <w:t>±</w:t>
            </w:r>
            <w:r w:rsidR="003B251E" w:rsidRPr="00715891">
              <w:rPr>
                <w:rFonts w:eastAsia="Calibri"/>
                <w:sz w:val="22"/>
                <w:szCs w:val="22"/>
                <w:lang w:val="lt-LT" w:eastAsia="lt-LT"/>
              </w:rPr>
              <w:t> </w:t>
            </w:r>
            <w:r w:rsidRPr="00715891">
              <w:rPr>
                <w:rFonts w:eastAsia="Calibri"/>
                <w:sz w:val="22"/>
                <w:szCs w:val="22"/>
                <w:lang w:val="lt-LT" w:eastAsia="lt-LT"/>
              </w:rPr>
              <w:t>15,1</w:t>
            </w:r>
          </w:p>
        </w:tc>
        <w:tc>
          <w:tcPr>
            <w:tcW w:w="1023" w:type="pct"/>
            <w:shd w:val="clear" w:color="auto" w:fill="auto"/>
          </w:tcPr>
          <w:p w14:paraId="73F620E8" w14:textId="3A28CAF0" w:rsidR="00107519" w:rsidRPr="00715891" w:rsidRDefault="00107519" w:rsidP="00107519">
            <w:pPr>
              <w:jc w:val="center"/>
              <w:rPr>
                <w:rFonts w:eastAsia="Calibri"/>
                <w:sz w:val="22"/>
                <w:szCs w:val="22"/>
                <w:lang w:val="lt-LT" w:eastAsia="lt-LT"/>
              </w:rPr>
            </w:pPr>
            <w:r w:rsidRPr="00715891">
              <w:rPr>
                <w:rFonts w:eastAsia="Calibri"/>
                <w:sz w:val="22"/>
                <w:szCs w:val="22"/>
                <w:lang w:val="lt-LT" w:eastAsia="lt-LT"/>
              </w:rPr>
              <w:t>50,3</w:t>
            </w:r>
            <w:r w:rsidR="003B251E" w:rsidRPr="00715891">
              <w:rPr>
                <w:rFonts w:eastAsia="Calibri"/>
                <w:sz w:val="22"/>
                <w:szCs w:val="22"/>
                <w:lang w:val="lt-LT" w:eastAsia="lt-LT"/>
              </w:rPr>
              <w:t> </w:t>
            </w:r>
            <w:r w:rsidRPr="00715891">
              <w:rPr>
                <w:rFonts w:eastAsia="Calibri"/>
                <w:sz w:val="22"/>
                <w:szCs w:val="22"/>
                <w:lang w:val="lt-LT" w:eastAsia="lt-LT"/>
              </w:rPr>
              <w:t>±</w:t>
            </w:r>
            <w:r w:rsidR="003B251E" w:rsidRPr="00715891">
              <w:rPr>
                <w:rFonts w:eastAsia="Calibri"/>
                <w:sz w:val="22"/>
                <w:szCs w:val="22"/>
                <w:lang w:val="lt-LT" w:eastAsia="lt-LT"/>
              </w:rPr>
              <w:t> </w:t>
            </w:r>
            <w:r w:rsidRPr="00715891">
              <w:rPr>
                <w:sz w:val="22"/>
                <w:szCs w:val="22"/>
                <w:lang w:val="lt-LT" w:eastAsia="ja-JP"/>
              </w:rPr>
              <w:t>15,0</w:t>
            </w:r>
          </w:p>
        </w:tc>
      </w:tr>
      <w:tr w:rsidR="005B6B82" w:rsidRPr="00715891" w14:paraId="5BEE551C" w14:textId="77777777" w:rsidTr="00EF476A">
        <w:tc>
          <w:tcPr>
            <w:tcW w:w="1010" w:type="pct"/>
            <w:tcBorders>
              <w:right w:val="single" w:sz="4" w:space="0" w:color="auto"/>
            </w:tcBorders>
            <w:shd w:val="clear" w:color="auto" w:fill="auto"/>
          </w:tcPr>
          <w:p w14:paraId="31713D40" w14:textId="77777777" w:rsidR="00107519" w:rsidRPr="00715891" w:rsidRDefault="00107519" w:rsidP="00107519">
            <w:pPr>
              <w:rPr>
                <w:rFonts w:eastAsia="SimSun"/>
                <w:b/>
                <w:sz w:val="22"/>
                <w:szCs w:val="22"/>
                <w:lang w:val="lt-LT" w:eastAsia="ja-JP"/>
              </w:rPr>
            </w:pPr>
            <w:r w:rsidRPr="00715891">
              <w:rPr>
                <w:rFonts w:eastAsia="SimSun"/>
                <w:b/>
                <w:sz w:val="22"/>
                <w:szCs w:val="22"/>
                <w:lang w:val="lt-LT" w:eastAsia="ja-JP"/>
              </w:rPr>
              <w:t>AUC</w:t>
            </w:r>
            <w:r w:rsidRPr="00715891">
              <w:rPr>
                <w:rFonts w:eastAsia="SimSun"/>
                <w:b/>
                <w:sz w:val="22"/>
                <w:szCs w:val="22"/>
                <w:vertAlign w:val="subscript"/>
                <w:lang w:val="lt-LT" w:eastAsia="ja-JP"/>
              </w:rPr>
              <w:t>0-24val.</w:t>
            </w:r>
            <w:r w:rsidRPr="00715891">
              <w:rPr>
                <w:rFonts w:eastAsia="SimSun"/>
                <w:b/>
                <w:sz w:val="22"/>
                <w:szCs w:val="22"/>
                <w:lang w:val="lt-LT" w:eastAsia="ja-JP"/>
              </w:rPr>
              <w:t xml:space="preserve"> intervalas</w:t>
            </w:r>
          </w:p>
        </w:tc>
        <w:tc>
          <w:tcPr>
            <w:tcW w:w="640" w:type="pct"/>
            <w:tcBorders>
              <w:left w:val="single" w:sz="4" w:space="0" w:color="auto"/>
              <w:right w:val="single" w:sz="4" w:space="0" w:color="auto"/>
            </w:tcBorders>
            <w:shd w:val="clear" w:color="auto" w:fill="auto"/>
          </w:tcPr>
          <w:p w14:paraId="60478D6D" w14:textId="49FE3DE4" w:rsidR="00107519" w:rsidRPr="00715891" w:rsidRDefault="00107519" w:rsidP="00107519">
            <w:pPr>
              <w:jc w:val="center"/>
              <w:rPr>
                <w:rFonts w:eastAsia="SimSun"/>
                <w:sz w:val="22"/>
                <w:szCs w:val="22"/>
                <w:lang w:val="lt-LT" w:eastAsia="ja-JP"/>
              </w:rPr>
            </w:pPr>
            <w:r w:rsidRPr="00715891">
              <w:rPr>
                <w:rFonts w:eastAsia="SimSun"/>
                <w:sz w:val="22"/>
                <w:szCs w:val="22"/>
                <w:lang w:val="lt-LT" w:eastAsia="zh-CN"/>
              </w:rPr>
              <w:t>15,4</w:t>
            </w:r>
            <w:r w:rsidR="003B251E" w:rsidRPr="00715891">
              <w:rPr>
                <w:rFonts w:eastAsia="SimSun"/>
                <w:sz w:val="22"/>
                <w:szCs w:val="22"/>
                <w:lang w:val="lt-LT" w:eastAsia="zh-CN"/>
              </w:rPr>
              <w:t> </w:t>
            </w:r>
            <w:r w:rsidR="003B251E" w:rsidRPr="00715891">
              <w:rPr>
                <w:rFonts w:eastAsia="SimSun"/>
                <w:sz w:val="22"/>
                <w:szCs w:val="22"/>
                <w:lang w:val="lt-LT" w:eastAsia="zh-CN"/>
              </w:rPr>
              <w:noBreakHyphen/>
              <w:t> </w:t>
            </w:r>
            <w:r w:rsidRPr="00715891">
              <w:rPr>
                <w:rFonts w:eastAsia="SimSun"/>
                <w:sz w:val="22"/>
                <w:szCs w:val="22"/>
                <w:lang w:val="lt-LT" w:eastAsia="zh-CN"/>
              </w:rPr>
              <w:t>116,1</w:t>
            </w:r>
          </w:p>
        </w:tc>
        <w:tc>
          <w:tcPr>
            <w:tcW w:w="703" w:type="pct"/>
            <w:tcBorders>
              <w:left w:val="single" w:sz="4" w:space="0" w:color="auto"/>
            </w:tcBorders>
            <w:shd w:val="clear" w:color="auto" w:fill="auto"/>
          </w:tcPr>
          <w:p w14:paraId="34096BE2" w14:textId="39993277" w:rsidR="00107519" w:rsidRPr="00715891" w:rsidRDefault="00107519" w:rsidP="00107519">
            <w:pPr>
              <w:jc w:val="center"/>
              <w:rPr>
                <w:rFonts w:eastAsia="SimSun"/>
                <w:sz w:val="22"/>
                <w:szCs w:val="22"/>
                <w:lang w:val="lt-LT" w:eastAsia="ja-JP"/>
              </w:rPr>
            </w:pPr>
            <w:r w:rsidRPr="00715891">
              <w:rPr>
                <w:sz w:val="22"/>
                <w:szCs w:val="22"/>
                <w:lang w:val="lt-LT" w:eastAsia="ja-JP"/>
              </w:rPr>
              <w:t>34</w:t>
            </w:r>
            <w:r w:rsidR="003B251E" w:rsidRPr="00715891">
              <w:rPr>
                <w:sz w:val="22"/>
                <w:szCs w:val="22"/>
                <w:lang w:val="lt-LT" w:eastAsia="ja-JP"/>
              </w:rPr>
              <w:t> </w:t>
            </w:r>
            <w:r w:rsidR="003B251E" w:rsidRPr="00715891">
              <w:rPr>
                <w:sz w:val="22"/>
                <w:szCs w:val="22"/>
                <w:lang w:val="lt-LT" w:eastAsia="ja-JP"/>
              </w:rPr>
              <w:noBreakHyphen/>
              <w:t> </w:t>
            </w:r>
            <w:r w:rsidRPr="00715891">
              <w:rPr>
                <w:sz w:val="22"/>
                <w:szCs w:val="22"/>
                <w:lang w:val="lt-LT" w:eastAsia="ja-JP"/>
              </w:rPr>
              <w:t>124</w:t>
            </w:r>
          </w:p>
        </w:tc>
        <w:tc>
          <w:tcPr>
            <w:tcW w:w="859" w:type="pct"/>
            <w:shd w:val="clear" w:color="auto" w:fill="auto"/>
          </w:tcPr>
          <w:p w14:paraId="687C9C69" w14:textId="4531C284" w:rsidR="00107519" w:rsidRPr="00715891" w:rsidRDefault="00107519" w:rsidP="00107519">
            <w:pPr>
              <w:jc w:val="center"/>
              <w:rPr>
                <w:rFonts w:eastAsia="SimSun"/>
                <w:sz w:val="22"/>
                <w:szCs w:val="22"/>
                <w:lang w:val="lt-LT" w:eastAsia="ja-JP"/>
              </w:rPr>
            </w:pPr>
            <w:r w:rsidRPr="00715891">
              <w:rPr>
                <w:sz w:val="22"/>
                <w:szCs w:val="22"/>
                <w:lang w:val="lt-LT" w:eastAsia="ja-JP"/>
              </w:rPr>
              <w:t>34</w:t>
            </w:r>
            <w:r w:rsidR="003B251E" w:rsidRPr="00715891">
              <w:rPr>
                <w:sz w:val="22"/>
                <w:szCs w:val="22"/>
                <w:lang w:val="lt-LT" w:eastAsia="ja-JP"/>
              </w:rPr>
              <w:t> </w:t>
            </w:r>
            <w:r w:rsidR="003B251E" w:rsidRPr="00715891">
              <w:rPr>
                <w:sz w:val="22"/>
                <w:szCs w:val="22"/>
                <w:lang w:val="lt-LT" w:eastAsia="ja-JP"/>
              </w:rPr>
              <w:noBreakHyphen/>
              <w:t> </w:t>
            </w:r>
            <w:r w:rsidRPr="00715891">
              <w:rPr>
                <w:sz w:val="22"/>
                <w:szCs w:val="22"/>
                <w:lang w:val="lt-LT" w:eastAsia="ja-JP"/>
              </w:rPr>
              <w:t>152</w:t>
            </w:r>
          </w:p>
        </w:tc>
        <w:tc>
          <w:tcPr>
            <w:tcW w:w="766" w:type="pct"/>
            <w:shd w:val="clear" w:color="auto" w:fill="auto"/>
          </w:tcPr>
          <w:p w14:paraId="0F8943C9" w14:textId="21002024" w:rsidR="00107519" w:rsidRPr="00715891" w:rsidRDefault="00107519" w:rsidP="00107519">
            <w:pPr>
              <w:jc w:val="center"/>
              <w:rPr>
                <w:rFonts w:eastAsia="SimSun"/>
                <w:sz w:val="22"/>
                <w:szCs w:val="22"/>
                <w:lang w:val="lt-LT" w:eastAsia="ja-JP"/>
              </w:rPr>
            </w:pPr>
            <w:r w:rsidRPr="00715891">
              <w:rPr>
                <w:sz w:val="22"/>
                <w:szCs w:val="22"/>
                <w:lang w:val="lt-LT" w:eastAsia="ja-JP"/>
              </w:rPr>
              <w:t>36</w:t>
            </w:r>
            <w:r w:rsidR="003B251E" w:rsidRPr="00715891">
              <w:rPr>
                <w:sz w:val="22"/>
                <w:szCs w:val="22"/>
                <w:lang w:val="lt-LT" w:eastAsia="ja-JP"/>
              </w:rPr>
              <w:t> </w:t>
            </w:r>
            <w:r w:rsidR="003B251E" w:rsidRPr="00715891">
              <w:rPr>
                <w:sz w:val="22"/>
                <w:szCs w:val="22"/>
                <w:lang w:val="lt-LT" w:eastAsia="ja-JP"/>
              </w:rPr>
              <w:noBreakHyphen/>
              <w:t> </w:t>
            </w:r>
            <w:r w:rsidRPr="00715891">
              <w:rPr>
                <w:sz w:val="22"/>
                <w:szCs w:val="22"/>
                <w:lang w:val="lt-LT" w:eastAsia="ja-JP"/>
              </w:rPr>
              <w:t>108</w:t>
            </w:r>
          </w:p>
        </w:tc>
        <w:tc>
          <w:tcPr>
            <w:tcW w:w="1023" w:type="pct"/>
            <w:shd w:val="clear" w:color="auto" w:fill="auto"/>
          </w:tcPr>
          <w:p w14:paraId="1FFA2F1E" w14:textId="1CDDC4EB" w:rsidR="00107519" w:rsidRPr="00715891" w:rsidRDefault="00107519" w:rsidP="00107519">
            <w:pPr>
              <w:jc w:val="center"/>
              <w:rPr>
                <w:rFonts w:eastAsia="SimSun"/>
                <w:sz w:val="22"/>
                <w:szCs w:val="22"/>
                <w:lang w:val="lt-LT" w:eastAsia="ja-JP"/>
              </w:rPr>
            </w:pPr>
            <w:r w:rsidRPr="00715891">
              <w:rPr>
                <w:sz w:val="22"/>
                <w:szCs w:val="22"/>
                <w:lang w:val="lt-LT" w:eastAsia="ja-JP"/>
              </w:rPr>
              <w:t>22</w:t>
            </w:r>
            <w:r w:rsidR="003B251E" w:rsidRPr="00715891">
              <w:rPr>
                <w:sz w:val="22"/>
                <w:szCs w:val="22"/>
                <w:lang w:val="lt-LT" w:eastAsia="ja-JP"/>
              </w:rPr>
              <w:t> </w:t>
            </w:r>
            <w:r w:rsidR="003B251E" w:rsidRPr="00715891">
              <w:rPr>
                <w:sz w:val="22"/>
                <w:szCs w:val="22"/>
                <w:lang w:val="lt-LT" w:eastAsia="ja-JP"/>
              </w:rPr>
              <w:noBreakHyphen/>
              <w:t> </w:t>
            </w:r>
            <w:r w:rsidRPr="00715891">
              <w:rPr>
                <w:sz w:val="22"/>
                <w:szCs w:val="22"/>
                <w:lang w:val="lt-LT" w:eastAsia="ja-JP"/>
              </w:rPr>
              <w:t>93</w:t>
            </w:r>
          </w:p>
        </w:tc>
      </w:tr>
      <w:tr w:rsidR="005B6B82" w:rsidRPr="00715891" w14:paraId="0EC05823" w14:textId="77777777" w:rsidTr="00EF476A">
        <w:tc>
          <w:tcPr>
            <w:tcW w:w="1010" w:type="pct"/>
            <w:tcBorders>
              <w:right w:val="single" w:sz="4" w:space="0" w:color="auto"/>
            </w:tcBorders>
            <w:shd w:val="clear" w:color="auto" w:fill="auto"/>
          </w:tcPr>
          <w:p w14:paraId="6143EA63" w14:textId="77777777" w:rsidR="00107519" w:rsidRPr="00715891" w:rsidRDefault="00107519" w:rsidP="00107519">
            <w:pPr>
              <w:rPr>
                <w:rFonts w:eastAsia="Calibri"/>
                <w:b/>
                <w:sz w:val="22"/>
                <w:szCs w:val="22"/>
                <w:lang w:val="lt-LT" w:eastAsia="lt-LT"/>
              </w:rPr>
            </w:pPr>
            <w:r w:rsidRPr="00715891">
              <w:rPr>
                <w:rFonts w:eastAsia="Calibri"/>
                <w:b/>
                <w:sz w:val="22"/>
                <w:szCs w:val="22"/>
                <w:lang w:val="lt-LT" w:eastAsia="lt-LT"/>
              </w:rPr>
              <w:t>C</w:t>
            </w:r>
            <w:r w:rsidRPr="00715891">
              <w:rPr>
                <w:rFonts w:eastAsia="Calibri"/>
                <w:b/>
                <w:sz w:val="22"/>
                <w:szCs w:val="22"/>
                <w:vertAlign w:val="subscript"/>
                <w:lang w:val="lt-LT" w:eastAsia="lt-LT"/>
              </w:rPr>
              <w:t>max</w:t>
            </w:r>
            <w:r w:rsidRPr="00715891">
              <w:rPr>
                <w:rFonts w:eastAsia="Calibri"/>
                <w:b/>
                <w:sz w:val="22"/>
                <w:szCs w:val="22"/>
                <w:lang w:val="lt-LT" w:eastAsia="lt-LT"/>
              </w:rPr>
              <w:t xml:space="preserve"> (µg /ml)</w:t>
            </w:r>
          </w:p>
        </w:tc>
        <w:tc>
          <w:tcPr>
            <w:tcW w:w="640" w:type="pct"/>
            <w:tcBorders>
              <w:left w:val="single" w:sz="4" w:space="0" w:color="auto"/>
              <w:right w:val="single" w:sz="4" w:space="0" w:color="auto"/>
            </w:tcBorders>
            <w:shd w:val="clear" w:color="auto" w:fill="auto"/>
          </w:tcPr>
          <w:p w14:paraId="0583C24B" w14:textId="02D83BEC" w:rsidR="00107519" w:rsidRPr="00715891" w:rsidRDefault="00107519" w:rsidP="00107519">
            <w:pPr>
              <w:jc w:val="center"/>
              <w:rPr>
                <w:rFonts w:eastAsia="Calibri"/>
                <w:sz w:val="22"/>
                <w:szCs w:val="22"/>
                <w:lang w:val="lt-LT" w:eastAsia="lt-LT"/>
              </w:rPr>
            </w:pPr>
            <w:r w:rsidRPr="00715891">
              <w:rPr>
                <w:rFonts w:eastAsia="Calibri"/>
                <w:sz w:val="22"/>
                <w:szCs w:val="22"/>
                <w:lang w:val="lt-LT" w:eastAsia="lt-LT"/>
              </w:rPr>
              <w:t>5,3</w:t>
            </w:r>
            <w:r w:rsidR="003B251E" w:rsidRPr="00715891">
              <w:rPr>
                <w:rFonts w:eastAsia="Calibri"/>
                <w:sz w:val="22"/>
                <w:szCs w:val="22"/>
                <w:lang w:val="lt-LT" w:eastAsia="lt-LT"/>
              </w:rPr>
              <w:t> </w:t>
            </w:r>
            <w:r w:rsidRPr="00715891">
              <w:rPr>
                <w:rFonts w:eastAsia="Calibri"/>
                <w:sz w:val="22"/>
                <w:szCs w:val="22"/>
                <w:lang w:val="lt-LT" w:eastAsia="lt-LT"/>
              </w:rPr>
              <w:sym w:font="Symbol" w:char="F0B1"/>
            </w:r>
            <w:r w:rsidRPr="00715891">
              <w:rPr>
                <w:rFonts w:eastAsia="Calibri"/>
                <w:sz w:val="22"/>
                <w:szCs w:val="22"/>
                <w:lang w:val="lt-LT" w:eastAsia="lt-LT"/>
              </w:rPr>
              <w:t> 1,5</w:t>
            </w:r>
          </w:p>
        </w:tc>
        <w:tc>
          <w:tcPr>
            <w:tcW w:w="703" w:type="pct"/>
            <w:tcBorders>
              <w:left w:val="single" w:sz="4" w:space="0" w:color="auto"/>
            </w:tcBorders>
            <w:shd w:val="clear" w:color="auto" w:fill="auto"/>
          </w:tcPr>
          <w:p w14:paraId="2AC1610F" w14:textId="03EA77D6" w:rsidR="00107519" w:rsidRPr="00715891" w:rsidRDefault="00107519" w:rsidP="00107519">
            <w:pPr>
              <w:jc w:val="center"/>
              <w:rPr>
                <w:rFonts w:eastAsia="SimSun"/>
                <w:sz w:val="22"/>
                <w:szCs w:val="22"/>
                <w:lang w:val="lt-LT" w:eastAsia="ja-JP"/>
              </w:rPr>
            </w:pPr>
            <w:r w:rsidRPr="00715891">
              <w:rPr>
                <w:rFonts w:eastAsia="SimSun"/>
                <w:sz w:val="22"/>
                <w:szCs w:val="22"/>
                <w:lang w:val="lt-LT" w:eastAsia="ja-JP"/>
              </w:rPr>
              <w:t>10,5</w:t>
            </w:r>
            <w:r w:rsidR="003B251E" w:rsidRPr="00715891">
              <w:rPr>
                <w:rFonts w:eastAsia="SimSun"/>
                <w:sz w:val="22"/>
                <w:szCs w:val="22"/>
                <w:lang w:val="lt-LT" w:eastAsia="ja-JP"/>
              </w:rPr>
              <w:t> </w:t>
            </w:r>
            <w:r w:rsidRPr="00715891">
              <w:rPr>
                <w:sz w:val="22"/>
                <w:szCs w:val="22"/>
                <w:lang w:val="lt-LT" w:eastAsia="ja-JP"/>
              </w:rPr>
              <w:t>±</w:t>
            </w:r>
            <w:r w:rsidR="003B251E" w:rsidRPr="00715891">
              <w:rPr>
                <w:sz w:val="22"/>
                <w:szCs w:val="22"/>
                <w:lang w:val="lt-LT" w:eastAsia="ja-JP"/>
              </w:rPr>
              <w:t> </w:t>
            </w:r>
            <w:r w:rsidRPr="00715891">
              <w:rPr>
                <w:rFonts w:eastAsia="SimSun"/>
                <w:sz w:val="22"/>
                <w:szCs w:val="22"/>
                <w:lang w:val="lt-LT" w:eastAsia="ja-JP"/>
              </w:rPr>
              <w:t>3,36</w:t>
            </w:r>
          </w:p>
        </w:tc>
        <w:tc>
          <w:tcPr>
            <w:tcW w:w="859" w:type="pct"/>
            <w:shd w:val="clear" w:color="auto" w:fill="auto"/>
          </w:tcPr>
          <w:p w14:paraId="57B53D90" w14:textId="1607B054" w:rsidR="00107519" w:rsidRPr="00715891" w:rsidRDefault="00107519" w:rsidP="00107519">
            <w:pPr>
              <w:jc w:val="center"/>
              <w:rPr>
                <w:rFonts w:eastAsia="Calibri"/>
                <w:sz w:val="22"/>
                <w:szCs w:val="22"/>
                <w:lang w:val="lt-LT" w:eastAsia="lt-LT"/>
              </w:rPr>
            </w:pPr>
            <w:r w:rsidRPr="00715891">
              <w:rPr>
                <w:rFonts w:eastAsia="Calibri"/>
                <w:sz w:val="22"/>
                <w:szCs w:val="22"/>
                <w:lang w:val="lt-LT" w:eastAsia="lt-LT"/>
              </w:rPr>
              <w:t>10,3</w:t>
            </w:r>
            <w:r w:rsidR="003B251E" w:rsidRPr="00715891">
              <w:rPr>
                <w:rFonts w:eastAsia="Calibri"/>
                <w:sz w:val="22"/>
                <w:szCs w:val="22"/>
                <w:lang w:val="lt-LT" w:eastAsia="lt-LT"/>
              </w:rPr>
              <w:t> </w:t>
            </w:r>
            <w:r w:rsidRPr="00715891">
              <w:rPr>
                <w:rFonts w:eastAsia="Calibri"/>
                <w:sz w:val="22"/>
                <w:szCs w:val="22"/>
                <w:lang w:val="lt-LT" w:eastAsia="lt-LT"/>
              </w:rPr>
              <w:t>±</w:t>
            </w:r>
            <w:r w:rsidR="003B251E" w:rsidRPr="00715891">
              <w:rPr>
                <w:rFonts w:eastAsia="Calibri"/>
                <w:sz w:val="22"/>
                <w:szCs w:val="22"/>
                <w:lang w:val="lt-LT" w:eastAsia="lt-LT"/>
              </w:rPr>
              <w:t> </w:t>
            </w:r>
            <w:r w:rsidRPr="00715891">
              <w:rPr>
                <w:rFonts w:eastAsia="Calibri"/>
                <w:sz w:val="22"/>
                <w:szCs w:val="22"/>
                <w:lang w:val="lt-LT" w:eastAsia="lt-LT"/>
              </w:rPr>
              <w:t>3,3</w:t>
            </w:r>
          </w:p>
        </w:tc>
        <w:tc>
          <w:tcPr>
            <w:tcW w:w="766" w:type="pct"/>
            <w:shd w:val="clear" w:color="auto" w:fill="auto"/>
          </w:tcPr>
          <w:p w14:paraId="5F07913B" w14:textId="7EB2C59D" w:rsidR="00107519" w:rsidRPr="00715891" w:rsidRDefault="00107519" w:rsidP="00107519">
            <w:pPr>
              <w:jc w:val="center"/>
              <w:rPr>
                <w:rFonts w:eastAsia="Calibri"/>
                <w:sz w:val="22"/>
                <w:szCs w:val="22"/>
                <w:lang w:val="lt-LT" w:eastAsia="lt-LT"/>
              </w:rPr>
            </w:pPr>
            <w:r w:rsidRPr="00715891">
              <w:rPr>
                <w:rFonts w:eastAsia="Calibri"/>
                <w:sz w:val="22"/>
                <w:szCs w:val="22"/>
                <w:lang w:val="lt-LT" w:eastAsia="lt-LT"/>
              </w:rPr>
              <w:t>9,4</w:t>
            </w:r>
            <w:r w:rsidR="003B251E" w:rsidRPr="00715891">
              <w:rPr>
                <w:rFonts w:eastAsia="Calibri"/>
                <w:sz w:val="22"/>
                <w:szCs w:val="22"/>
                <w:lang w:val="lt-LT" w:eastAsia="lt-LT"/>
              </w:rPr>
              <w:t> </w:t>
            </w:r>
            <w:r w:rsidRPr="00715891">
              <w:rPr>
                <w:rFonts w:eastAsia="Calibri"/>
                <w:sz w:val="22"/>
                <w:szCs w:val="22"/>
                <w:lang w:val="lt-LT" w:eastAsia="lt-LT"/>
              </w:rPr>
              <w:t>±</w:t>
            </w:r>
            <w:r w:rsidR="003B251E" w:rsidRPr="00715891">
              <w:rPr>
                <w:rFonts w:eastAsia="Calibri"/>
                <w:sz w:val="22"/>
                <w:szCs w:val="22"/>
                <w:lang w:val="lt-LT" w:eastAsia="lt-LT"/>
              </w:rPr>
              <w:t> </w:t>
            </w:r>
            <w:r w:rsidRPr="00715891">
              <w:rPr>
                <w:rFonts w:eastAsia="Calibri"/>
                <w:sz w:val="22"/>
                <w:szCs w:val="22"/>
                <w:lang w:val="lt-LT" w:eastAsia="lt-LT"/>
              </w:rPr>
              <w:t>2,7</w:t>
            </w:r>
          </w:p>
        </w:tc>
        <w:tc>
          <w:tcPr>
            <w:tcW w:w="1023" w:type="pct"/>
            <w:shd w:val="clear" w:color="auto" w:fill="auto"/>
          </w:tcPr>
          <w:p w14:paraId="405B6F0F" w14:textId="51DCC8CE" w:rsidR="00107519" w:rsidRPr="00715891" w:rsidRDefault="00107519" w:rsidP="00107519">
            <w:pPr>
              <w:jc w:val="center"/>
              <w:rPr>
                <w:rFonts w:eastAsia="Calibri"/>
                <w:sz w:val="22"/>
                <w:szCs w:val="22"/>
                <w:lang w:val="lt-LT" w:eastAsia="lt-LT"/>
              </w:rPr>
            </w:pPr>
            <w:r w:rsidRPr="00715891">
              <w:rPr>
                <w:rFonts w:eastAsia="Calibri"/>
                <w:sz w:val="22"/>
                <w:szCs w:val="22"/>
                <w:lang w:val="lt-LT" w:eastAsia="lt-LT"/>
              </w:rPr>
              <w:t>8,0</w:t>
            </w:r>
            <w:r w:rsidR="003B251E" w:rsidRPr="00715891">
              <w:rPr>
                <w:rFonts w:eastAsia="Calibri"/>
                <w:sz w:val="22"/>
                <w:szCs w:val="22"/>
                <w:lang w:val="lt-LT" w:eastAsia="lt-LT"/>
              </w:rPr>
              <w:t> </w:t>
            </w:r>
            <w:r w:rsidRPr="00715891">
              <w:rPr>
                <w:rFonts w:eastAsia="Calibri"/>
                <w:sz w:val="22"/>
                <w:szCs w:val="22"/>
                <w:lang w:val="lt-LT" w:eastAsia="lt-LT"/>
              </w:rPr>
              <w:t>±</w:t>
            </w:r>
            <w:r w:rsidR="003B251E" w:rsidRPr="00715891">
              <w:rPr>
                <w:rFonts w:eastAsia="Calibri"/>
                <w:sz w:val="22"/>
                <w:szCs w:val="22"/>
                <w:lang w:val="lt-LT" w:eastAsia="lt-LT"/>
              </w:rPr>
              <w:t> </w:t>
            </w:r>
            <w:r w:rsidRPr="00715891">
              <w:rPr>
                <w:rFonts w:eastAsia="Calibri"/>
                <w:sz w:val="22"/>
                <w:szCs w:val="22"/>
                <w:lang w:val="lt-LT" w:eastAsia="lt-LT"/>
              </w:rPr>
              <w:t>2,4</w:t>
            </w:r>
          </w:p>
        </w:tc>
      </w:tr>
      <w:tr w:rsidR="005B6B82" w:rsidRPr="00715891" w14:paraId="10AB312A" w14:textId="77777777" w:rsidTr="00EF476A">
        <w:tc>
          <w:tcPr>
            <w:tcW w:w="1010" w:type="pct"/>
            <w:tcBorders>
              <w:right w:val="single" w:sz="4" w:space="0" w:color="auto"/>
            </w:tcBorders>
            <w:shd w:val="clear" w:color="auto" w:fill="auto"/>
          </w:tcPr>
          <w:p w14:paraId="0401E759" w14:textId="77777777" w:rsidR="00107519" w:rsidRPr="00715891" w:rsidRDefault="00107519" w:rsidP="00107519">
            <w:pPr>
              <w:rPr>
                <w:rFonts w:eastAsia="Calibri"/>
                <w:b/>
                <w:sz w:val="22"/>
                <w:szCs w:val="22"/>
                <w:lang w:val="lt-LT" w:eastAsia="lt-LT"/>
              </w:rPr>
            </w:pPr>
            <w:r w:rsidRPr="00715891">
              <w:rPr>
                <w:rFonts w:eastAsia="Calibri"/>
                <w:b/>
                <w:sz w:val="22"/>
                <w:szCs w:val="22"/>
                <w:lang w:val="lt-LT" w:eastAsia="lt-LT"/>
              </w:rPr>
              <w:t>Klirensas (l/val)</w:t>
            </w:r>
          </w:p>
        </w:tc>
        <w:tc>
          <w:tcPr>
            <w:tcW w:w="640" w:type="pct"/>
            <w:tcBorders>
              <w:left w:val="single" w:sz="4" w:space="0" w:color="auto"/>
              <w:right w:val="single" w:sz="4" w:space="0" w:color="auto"/>
            </w:tcBorders>
            <w:shd w:val="clear" w:color="auto" w:fill="auto"/>
          </w:tcPr>
          <w:p w14:paraId="5814F063" w14:textId="784D9C81" w:rsidR="00107519" w:rsidRPr="00715891" w:rsidRDefault="00107519" w:rsidP="00107519">
            <w:pPr>
              <w:jc w:val="center"/>
              <w:rPr>
                <w:rFonts w:eastAsia="Calibri"/>
                <w:sz w:val="22"/>
                <w:szCs w:val="22"/>
                <w:lang w:val="lt-LT" w:eastAsia="lt-LT"/>
              </w:rPr>
            </w:pPr>
            <w:r w:rsidRPr="00715891">
              <w:rPr>
                <w:rFonts w:eastAsia="Calibri"/>
                <w:sz w:val="22"/>
                <w:szCs w:val="22"/>
                <w:lang w:val="lt-LT" w:eastAsia="lt-LT"/>
              </w:rPr>
              <w:t>12,7</w:t>
            </w:r>
            <w:r w:rsidR="003B251E" w:rsidRPr="00715891">
              <w:rPr>
                <w:rFonts w:eastAsia="Calibri"/>
                <w:sz w:val="22"/>
                <w:szCs w:val="22"/>
                <w:lang w:val="lt-LT" w:eastAsia="lt-LT"/>
              </w:rPr>
              <w:t> </w:t>
            </w:r>
            <w:r w:rsidRPr="00715891">
              <w:rPr>
                <w:rFonts w:eastAsia="Calibri"/>
                <w:sz w:val="22"/>
                <w:szCs w:val="22"/>
                <w:lang w:val="lt-LT" w:eastAsia="lt-LT"/>
              </w:rPr>
              <w:t>±</w:t>
            </w:r>
            <w:r w:rsidR="003B251E" w:rsidRPr="00715891">
              <w:rPr>
                <w:rFonts w:eastAsia="Calibri"/>
                <w:sz w:val="22"/>
                <w:szCs w:val="22"/>
                <w:lang w:val="lt-LT" w:eastAsia="lt-LT"/>
              </w:rPr>
              <w:t> </w:t>
            </w:r>
            <w:r w:rsidRPr="00715891">
              <w:rPr>
                <w:rFonts w:eastAsia="Calibri"/>
                <w:sz w:val="22"/>
                <w:szCs w:val="22"/>
                <w:lang w:val="lt-LT" w:eastAsia="lt-LT"/>
              </w:rPr>
              <w:t>4,5</w:t>
            </w:r>
          </w:p>
        </w:tc>
        <w:tc>
          <w:tcPr>
            <w:tcW w:w="703" w:type="pct"/>
            <w:tcBorders>
              <w:left w:val="single" w:sz="4" w:space="0" w:color="auto"/>
            </w:tcBorders>
            <w:shd w:val="clear" w:color="auto" w:fill="auto"/>
          </w:tcPr>
          <w:p w14:paraId="3656E281" w14:textId="6603AC4E" w:rsidR="00107519" w:rsidRPr="00715891" w:rsidRDefault="00107519" w:rsidP="00107519">
            <w:pPr>
              <w:jc w:val="center"/>
              <w:rPr>
                <w:rFonts w:eastAsia="SimSun"/>
                <w:sz w:val="22"/>
                <w:szCs w:val="22"/>
                <w:lang w:val="lt-LT" w:eastAsia="ja-JP"/>
              </w:rPr>
            </w:pPr>
            <w:r w:rsidRPr="00715891">
              <w:rPr>
                <w:rFonts w:eastAsia="SimSun"/>
                <w:sz w:val="22"/>
                <w:szCs w:val="22"/>
                <w:lang w:val="lt-LT" w:eastAsia="ja-JP"/>
              </w:rPr>
              <w:t>1,25</w:t>
            </w:r>
            <w:r w:rsidR="003B251E" w:rsidRPr="00715891">
              <w:rPr>
                <w:rFonts w:eastAsia="SimSun"/>
                <w:sz w:val="22"/>
                <w:szCs w:val="22"/>
                <w:lang w:val="lt-LT" w:eastAsia="ja-JP"/>
              </w:rPr>
              <w:t> </w:t>
            </w:r>
            <w:r w:rsidRPr="00715891">
              <w:rPr>
                <w:sz w:val="22"/>
                <w:szCs w:val="22"/>
                <w:lang w:val="lt-LT" w:eastAsia="ja-JP"/>
              </w:rPr>
              <w:t>±</w:t>
            </w:r>
            <w:r w:rsidR="003B251E" w:rsidRPr="00715891">
              <w:rPr>
                <w:sz w:val="22"/>
                <w:szCs w:val="22"/>
                <w:lang w:val="lt-LT" w:eastAsia="ja-JP"/>
              </w:rPr>
              <w:t> </w:t>
            </w:r>
            <w:r w:rsidRPr="00715891">
              <w:rPr>
                <w:rFonts w:eastAsia="SimSun"/>
                <w:sz w:val="22"/>
                <w:szCs w:val="22"/>
                <w:lang w:val="lt-LT" w:eastAsia="ja-JP"/>
              </w:rPr>
              <w:t>0,473</w:t>
            </w:r>
          </w:p>
        </w:tc>
        <w:tc>
          <w:tcPr>
            <w:tcW w:w="859" w:type="pct"/>
            <w:shd w:val="clear" w:color="auto" w:fill="auto"/>
          </w:tcPr>
          <w:p w14:paraId="3E3C2EDA" w14:textId="3D293D8F" w:rsidR="00107519" w:rsidRPr="00715891" w:rsidRDefault="00107519" w:rsidP="00107519">
            <w:pPr>
              <w:jc w:val="center"/>
              <w:rPr>
                <w:rFonts w:eastAsia="Calibri"/>
                <w:sz w:val="22"/>
                <w:szCs w:val="22"/>
                <w:lang w:val="lt-LT" w:eastAsia="lt-LT"/>
              </w:rPr>
            </w:pPr>
            <w:r w:rsidRPr="00715891">
              <w:rPr>
                <w:rFonts w:eastAsia="Calibri"/>
                <w:sz w:val="22"/>
                <w:szCs w:val="22"/>
                <w:lang w:val="lt-LT" w:eastAsia="lt-LT"/>
              </w:rPr>
              <w:t>2,5</w:t>
            </w:r>
            <w:r w:rsidR="003B251E" w:rsidRPr="00715891">
              <w:rPr>
                <w:rFonts w:eastAsia="Calibri"/>
                <w:sz w:val="22"/>
                <w:szCs w:val="22"/>
                <w:lang w:val="lt-LT" w:eastAsia="lt-LT"/>
              </w:rPr>
              <w:t> </w:t>
            </w:r>
            <w:r w:rsidRPr="00715891">
              <w:rPr>
                <w:rFonts w:eastAsia="Calibri"/>
                <w:sz w:val="22"/>
                <w:szCs w:val="22"/>
                <w:lang w:val="lt-LT" w:eastAsia="lt-LT"/>
              </w:rPr>
              <w:t>±</w:t>
            </w:r>
            <w:r w:rsidR="003B251E" w:rsidRPr="00715891">
              <w:rPr>
                <w:rFonts w:eastAsia="Calibri"/>
                <w:sz w:val="22"/>
                <w:szCs w:val="22"/>
                <w:lang w:val="lt-LT" w:eastAsia="lt-LT"/>
              </w:rPr>
              <w:t> </w:t>
            </w:r>
            <w:r w:rsidRPr="00715891">
              <w:rPr>
                <w:rFonts w:eastAsia="Calibri"/>
                <w:sz w:val="22"/>
                <w:szCs w:val="22"/>
                <w:lang w:val="lt-LT" w:eastAsia="lt-LT"/>
              </w:rPr>
              <w:t>2,4</w:t>
            </w:r>
          </w:p>
        </w:tc>
        <w:tc>
          <w:tcPr>
            <w:tcW w:w="766" w:type="pct"/>
            <w:shd w:val="clear" w:color="auto" w:fill="auto"/>
          </w:tcPr>
          <w:p w14:paraId="25DE3FAF" w14:textId="07B82561" w:rsidR="00107519" w:rsidRPr="00715891" w:rsidRDefault="00107519" w:rsidP="00107519">
            <w:pPr>
              <w:jc w:val="center"/>
              <w:rPr>
                <w:rFonts w:eastAsia="Calibri"/>
                <w:sz w:val="22"/>
                <w:szCs w:val="22"/>
                <w:lang w:val="lt-LT" w:eastAsia="lt-LT"/>
              </w:rPr>
            </w:pPr>
            <w:r w:rsidRPr="00715891">
              <w:rPr>
                <w:rFonts w:eastAsia="Calibri"/>
                <w:sz w:val="22"/>
                <w:szCs w:val="22"/>
                <w:lang w:val="lt-LT" w:eastAsia="lt-LT"/>
              </w:rPr>
              <w:t>4,5</w:t>
            </w:r>
            <w:r w:rsidR="003B251E" w:rsidRPr="00715891">
              <w:rPr>
                <w:rFonts w:eastAsia="Calibri"/>
                <w:sz w:val="22"/>
                <w:szCs w:val="22"/>
                <w:lang w:val="lt-LT" w:eastAsia="lt-LT"/>
              </w:rPr>
              <w:t> </w:t>
            </w:r>
            <w:r w:rsidRPr="00715891">
              <w:rPr>
                <w:rFonts w:eastAsia="Calibri"/>
                <w:sz w:val="22"/>
                <w:szCs w:val="22"/>
                <w:lang w:val="lt-LT" w:eastAsia="lt-LT"/>
              </w:rPr>
              <w:t>±</w:t>
            </w:r>
            <w:r w:rsidR="003B251E" w:rsidRPr="00715891">
              <w:rPr>
                <w:rFonts w:eastAsia="Calibri"/>
                <w:sz w:val="22"/>
                <w:szCs w:val="22"/>
                <w:lang w:val="lt-LT" w:eastAsia="lt-LT"/>
              </w:rPr>
              <w:t> </w:t>
            </w:r>
            <w:r w:rsidRPr="00715891">
              <w:rPr>
                <w:rFonts w:eastAsia="Calibri"/>
                <w:sz w:val="22"/>
                <w:szCs w:val="22"/>
                <w:lang w:val="lt-LT" w:eastAsia="lt-LT"/>
              </w:rPr>
              <w:t>2,9</w:t>
            </w:r>
          </w:p>
        </w:tc>
        <w:tc>
          <w:tcPr>
            <w:tcW w:w="1023" w:type="pct"/>
            <w:shd w:val="clear" w:color="auto" w:fill="auto"/>
          </w:tcPr>
          <w:p w14:paraId="5A3DD1EC" w14:textId="1A85320E" w:rsidR="00107519" w:rsidRPr="00715891" w:rsidRDefault="00107519" w:rsidP="00107519">
            <w:pPr>
              <w:jc w:val="center"/>
              <w:rPr>
                <w:rFonts w:eastAsia="Calibri"/>
                <w:sz w:val="22"/>
                <w:szCs w:val="22"/>
                <w:lang w:val="lt-LT" w:eastAsia="lt-LT"/>
              </w:rPr>
            </w:pPr>
            <w:r w:rsidRPr="00715891">
              <w:rPr>
                <w:rFonts w:eastAsia="Calibri"/>
                <w:sz w:val="22"/>
                <w:szCs w:val="22"/>
                <w:lang w:val="lt-LT" w:eastAsia="lt-LT"/>
              </w:rPr>
              <w:t>6,4</w:t>
            </w:r>
            <w:r w:rsidR="003B251E" w:rsidRPr="00715891">
              <w:rPr>
                <w:rFonts w:eastAsia="Calibri"/>
                <w:sz w:val="22"/>
                <w:szCs w:val="22"/>
                <w:lang w:val="lt-LT" w:eastAsia="lt-LT"/>
              </w:rPr>
              <w:t> </w:t>
            </w:r>
            <w:r w:rsidRPr="00715891">
              <w:rPr>
                <w:rFonts w:eastAsia="Calibri"/>
                <w:sz w:val="22"/>
                <w:szCs w:val="22"/>
                <w:lang w:val="lt-LT" w:eastAsia="lt-LT"/>
              </w:rPr>
              <w:t>±</w:t>
            </w:r>
            <w:r w:rsidR="003B251E" w:rsidRPr="00715891">
              <w:rPr>
                <w:rFonts w:eastAsia="Calibri"/>
                <w:sz w:val="22"/>
                <w:szCs w:val="22"/>
                <w:lang w:val="lt-LT" w:eastAsia="lt-LT"/>
              </w:rPr>
              <w:t> </w:t>
            </w:r>
            <w:r w:rsidRPr="00715891">
              <w:rPr>
                <w:rFonts w:eastAsia="Calibri"/>
                <w:sz w:val="22"/>
                <w:szCs w:val="22"/>
                <w:lang w:val="lt-LT" w:eastAsia="lt-LT"/>
              </w:rPr>
              <w:t>2,9</w:t>
            </w:r>
          </w:p>
        </w:tc>
      </w:tr>
      <w:tr w:rsidR="005B6B82" w:rsidRPr="00715891" w14:paraId="1F0D058C" w14:textId="77777777" w:rsidTr="00EF476A">
        <w:tc>
          <w:tcPr>
            <w:tcW w:w="1010" w:type="pct"/>
            <w:tcBorders>
              <w:right w:val="single" w:sz="4" w:space="0" w:color="auto"/>
            </w:tcBorders>
            <w:shd w:val="clear" w:color="auto" w:fill="auto"/>
          </w:tcPr>
          <w:p w14:paraId="1289D75A" w14:textId="77777777" w:rsidR="00107519" w:rsidRPr="00715891" w:rsidRDefault="00107519" w:rsidP="00107519">
            <w:pPr>
              <w:rPr>
                <w:rFonts w:eastAsia="Calibri"/>
                <w:b/>
                <w:sz w:val="22"/>
                <w:szCs w:val="22"/>
                <w:lang w:val="lt-LT" w:eastAsia="lt-LT"/>
              </w:rPr>
            </w:pPr>
            <w:r w:rsidRPr="00715891">
              <w:rPr>
                <w:rFonts w:eastAsia="Calibri"/>
                <w:b/>
                <w:sz w:val="22"/>
                <w:szCs w:val="22"/>
                <w:lang w:val="lt-LT" w:eastAsia="lt-LT"/>
              </w:rPr>
              <w:t>t</w:t>
            </w:r>
            <w:r w:rsidRPr="00715891">
              <w:rPr>
                <w:rFonts w:eastAsia="Calibri"/>
                <w:b/>
                <w:sz w:val="22"/>
                <w:szCs w:val="22"/>
                <w:vertAlign w:val="subscript"/>
                <w:lang w:val="lt-LT" w:eastAsia="lt-LT"/>
              </w:rPr>
              <w:t>1/2</w:t>
            </w:r>
            <w:r w:rsidRPr="00715891">
              <w:rPr>
                <w:rFonts w:eastAsia="Calibri"/>
                <w:b/>
                <w:sz w:val="22"/>
                <w:szCs w:val="22"/>
                <w:lang w:val="lt-LT" w:eastAsia="lt-LT"/>
              </w:rPr>
              <w:t xml:space="preserve"> (val</w:t>
            </w:r>
            <w:r w:rsidRPr="00715891">
              <w:rPr>
                <w:b/>
                <w:sz w:val="22"/>
                <w:szCs w:val="22"/>
                <w:lang w:val="lt-LT" w:eastAsia="ja-JP"/>
              </w:rPr>
              <w:t>.)</w:t>
            </w:r>
          </w:p>
        </w:tc>
        <w:tc>
          <w:tcPr>
            <w:tcW w:w="640" w:type="pct"/>
            <w:tcBorders>
              <w:left w:val="single" w:sz="4" w:space="0" w:color="auto"/>
              <w:right w:val="single" w:sz="4" w:space="0" w:color="auto"/>
            </w:tcBorders>
            <w:shd w:val="clear" w:color="auto" w:fill="auto"/>
          </w:tcPr>
          <w:p w14:paraId="4D1748EC" w14:textId="1A316E00" w:rsidR="00107519" w:rsidRPr="00715891" w:rsidRDefault="00107519" w:rsidP="00107519">
            <w:pPr>
              <w:jc w:val="center"/>
              <w:rPr>
                <w:rFonts w:eastAsia="Calibri"/>
                <w:sz w:val="22"/>
                <w:szCs w:val="22"/>
                <w:lang w:val="lt-LT" w:eastAsia="lt-LT"/>
              </w:rPr>
            </w:pPr>
            <w:r w:rsidRPr="00715891">
              <w:rPr>
                <w:rFonts w:eastAsia="Calibri"/>
                <w:sz w:val="22"/>
                <w:szCs w:val="22"/>
                <w:lang w:val="lt-LT" w:eastAsia="lt-LT"/>
              </w:rPr>
              <w:t>6,5</w:t>
            </w:r>
            <w:r w:rsidR="003B251E" w:rsidRPr="00715891">
              <w:rPr>
                <w:rFonts w:eastAsia="Calibri"/>
                <w:sz w:val="22"/>
                <w:szCs w:val="22"/>
                <w:lang w:val="lt-LT" w:eastAsia="lt-LT"/>
              </w:rPr>
              <w:t> </w:t>
            </w:r>
            <w:r w:rsidRPr="00715891">
              <w:rPr>
                <w:rFonts w:eastAsia="Calibri"/>
                <w:sz w:val="22"/>
                <w:szCs w:val="22"/>
                <w:lang w:val="lt-LT" w:eastAsia="lt-LT"/>
              </w:rPr>
              <w:t>±</w:t>
            </w:r>
            <w:r w:rsidR="003B251E" w:rsidRPr="00715891">
              <w:rPr>
                <w:rFonts w:eastAsia="Calibri"/>
                <w:sz w:val="22"/>
                <w:szCs w:val="22"/>
                <w:lang w:val="lt-LT" w:eastAsia="lt-LT"/>
              </w:rPr>
              <w:t> </w:t>
            </w:r>
            <w:r w:rsidRPr="00715891">
              <w:rPr>
                <w:rFonts w:eastAsia="Calibri"/>
                <w:sz w:val="22"/>
                <w:szCs w:val="22"/>
                <w:lang w:val="lt-LT" w:eastAsia="lt-LT"/>
              </w:rPr>
              <w:t>1,4</w:t>
            </w:r>
          </w:p>
        </w:tc>
        <w:tc>
          <w:tcPr>
            <w:tcW w:w="703" w:type="pct"/>
            <w:tcBorders>
              <w:left w:val="single" w:sz="4" w:space="0" w:color="auto"/>
            </w:tcBorders>
            <w:shd w:val="clear" w:color="auto" w:fill="auto"/>
          </w:tcPr>
          <w:p w14:paraId="11556C8A" w14:textId="7680E5E2" w:rsidR="00107519" w:rsidRPr="00715891" w:rsidRDefault="00107519" w:rsidP="00107519">
            <w:pPr>
              <w:jc w:val="center"/>
              <w:rPr>
                <w:rFonts w:eastAsia="SimSun"/>
                <w:sz w:val="22"/>
                <w:szCs w:val="22"/>
                <w:lang w:val="lt-LT" w:eastAsia="ja-JP"/>
              </w:rPr>
            </w:pPr>
            <w:r w:rsidRPr="00715891">
              <w:rPr>
                <w:rFonts w:eastAsia="SimSun"/>
                <w:sz w:val="22"/>
                <w:szCs w:val="22"/>
                <w:lang w:val="lt-LT" w:eastAsia="ja-JP"/>
              </w:rPr>
              <w:t>1,97</w:t>
            </w:r>
            <w:r w:rsidR="003B251E" w:rsidRPr="00715891">
              <w:rPr>
                <w:rFonts w:eastAsia="SimSun"/>
                <w:sz w:val="22"/>
                <w:szCs w:val="22"/>
                <w:lang w:val="lt-LT" w:eastAsia="ja-JP"/>
              </w:rPr>
              <w:t> </w:t>
            </w:r>
            <w:r w:rsidRPr="00715891">
              <w:rPr>
                <w:sz w:val="22"/>
                <w:szCs w:val="22"/>
                <w:lang w:val="lt-LT" w:eastAsia="ja-JP"/>
              </w:rPr>
              <w:t>±</w:t>
            </w:r>
            <w:r w:rsidR="003B251E" w:rsidRPr="00715891">
              <w:rPr>
                <w:sz w:val="22"/>
                <w:szCs w:val="22"/>
                <w:lang w:val="lt-LT" w:eastAsia="ja-JP"/>
              </w:rPr>
              <w:t> </w:t>
            </w:r>
            <w:r w:rsidRPr="00715891">
              <w:rPr>
                <w:rFonts w:eastAsia="SimSun"/>
                <w:sz w:val="22"/>
                <w:szCs w:val="22"/>
                <w:lang w:val="lt-LT" w:eastAsia="ja-JP"/>
              </w:rPr>
              <w:t>0,185</w:t>
            </w:r>
          </w:p>
        </w:tc>
        <w:tc>
          <w:tcPr>
            <w:tcW w:w="859" w:type="pct"/>
            <w:shd w:val="clear" w:color="auto" w:fill="auto"/>
          </w:tcPr>
          <w:p w14:paraId="1531A5B4" w14:textId="4A00075C" w:rsidR="00107519" w:rsidRPr="00715891" w:rsidRDefault="00107519" w:rsidP="00107519">
            <w:pPr>
              <w:jc w:val="center"/>
              <w:rPr>
                <w:rFonts w:eastAsia="Calibri"/>
                <w:sz w:val="22"/>
                <w:szCs w:val="22"/>
                <w:lang w:val="lt-LT" w:eastAsia="lt-LT"/>
              </w:rPr>
            </w:pPr>
            <w:r w:rsidRPr="00715891">
              <w:rPr>
                <w:rFonts w:eastAsia="Calibri"/>
                <w:sz w:val="22"/>
                <w:szCs w:val="22"/>
                <w:lang w:val="lt-LT" w:eastAsia="lt-LT"/>
              </w:rPr>
              <w:t>3,1</w:t>
            </w:r>
            <w:r w:rsidR="003B251E" w:rsidRPr="00715891">
              <w:rPr>
                <w:rFonts w:eastAsia="Calibri"/>
                <w:sz w:val="22"/>
                <w:szCs w:val="22"/>
                <w:lang w:val="lt-LT" w:eastAsia="lt-LT"/>
              </w:rPr>
              <w:t> </w:t>
            </w:r>
            <w:r w:rsidRPr="00715891">
              <w:rPr>
                <w:rFonts w:eastAsia="Calibri"/>
                <w:sz w:val="22"/>
                <w:szCs w:val="22"/>
                <w:lang w:val="lt-LT" w:eastAsia="lt-LT"/>
              </w:rPr>
              <w:t>±</w:t>
            </w:r>
            <w:r w:rsidR="003B251E" w:rsidRPr="00715891">
              <w:rPr>
                <w:rFonts w:eastAsia="Calibri"/>
                <w:sz w:val="22"/>
                <w:szCs w:val="22"/>
                <w:lang w:val="lt-LT" w:eastAsia="lt-LT"/>
              </w:rPr>
              <w:t> </w:t>
            </w:r>
            <w:r w:rsidRPr="00715891">
              <w:rPr>
                <w:rFonts w:eastAsia="Calibri"/>
                <w:sz w:val="22"/>
                <w:szCs w:val="22"/>
                <w:lang w:val="lt-LT" w:eastAsia="lt-LT"/>
              </w:rPr>
              <w:t>1,4</w:t>
            </w:r>
          </w:p>
        </w:tc>
        <w:tc>
          <w:tcPr>
            <w:tcW w:w="766" w:type="pct"/>
            <w:shd w:val="clear" w:color="auto" w:fill="auto"/>
          </w:tcPr>
          <w:p w14:paraId="2CAEAD61" w14:textId="433A2E94" w:rsidR="00107519" w:rsidRPr="00715891" w:rsidRDefault="00107519" w:rsidP="00107519">
            <w:pPr>
              <w:jc w:val="center"/>
              <w:rPr>
                <w:rFonts w:eastAsia="Calibri"/>
                <w:sz w:val="22"/>
                <w:szCs w:val="22"/>
                <w:lang w:val="lt-LT" w:eastAsia="lt-LT"/>
              </w:rPr>
            </w:pPr>
            <w:r w:rsidRPr="00715891">
              <w:rPr>
                <w:rFonts w:eastAsia="Calibri"/>
                <w:sz w:val="22"/>
                <w:szCs w:val="22"/>
                <w:lang w:val="lt-LT" w:eastAsia="lt-LT"/>
              </w:rPr>
              <w:t>4,1</w:t>
            </w:r>
            <w:r w:rsidR="003B251E" w:rsidRPr="00715891">
              <w:rPr>
                <w:rFonts w:eastAsia="Calibri"/>
                <w:sz w:val="22"/>
                <w:szCs w:val="22"/>
                <w:lang w:val="lt-LT" w:eastAsia="lt-LT"/>
              </w:rPr>
              <w:t> </w:t>
            </w:r>
            <w:r w:rsidRPr="00715891">
              <w:rPr>
                <w:rFonts w:eastAsia="Calibri"/>
                <w:sz w:val="22"/>
                <w:szCs w:val="22"/>
                <w:lang w:val="lt-LT" w:eastAsia="lt-LT"/>
              </w:rPr>
              <w:t>±</w:t>
            </w:r>
            <w:r w:rsidR="003B251E" w:rsidRPr="00715891">
              <w:rPr>
                <w:rFonts w:eastAsia="Calibri"/>
                <w:sz w:val="22"/>
                <w:szCs w:val="22"/>
                <w:lang w:val="lt-LT" w:eastAsia="lt-LT"/>
              </w:rPr>
              <w:t> </w:t>
            </w:r>
            <w:r w:rsidRPr="00715891">
              <w:rPr>
                <w:sz w:val="22"/>
                <w:szCs w:val="22"/>
                <w:lang w:val="lt-LT" w:eastAsia="ja-JP"/>
              </w:rPr>
              <w:t>1,3</w:t>
            </w:r>
          </w:p>
        </w:tc>
        <w:tc>
          <w:tcPr>
            <w:tcW w:w="1023" w:type="pct"/>
            <w:shd w:val="clear" w:color="auto" w:fill="auto"/>
          </w:tcPr>
          <w:p w14:paraId="443E248D" w14:textId="35FC5278" w:rsidR="00107519" w:rsidRPr="00715891" w:rsidRDefault="00107519" w:rsidP="00107519">
            <w:pPr>
              <w:jc w:val="center"/>
              <w:rPr>
                <w:rFonts w:eastAsia="Calibri"/>
                <w:sz w:val="22"/>
                <w:szCs w:val="22"/>
                <w:lang w:val="lt-LT" w:eastAsia="lt-LT"/>
              </w:rPr>
            </w:pPr>
            <w:r w:rsidRPr="00715891">
              <w:rPr>
                <w:rFonts w:eastAsia="Calibri"/>
                <w:sz w:val="22"/>
                <w:szCs w:val="22"/>
                <w:lang w:val="lt-LT" w:eastAsia="lt-LT"/>
              </w:rPr>
              <w:t>5,5</w:t>
            </w:r>
            <w:r w:rsidR="003B251E" w:rsidRPr="00715891">
              <w:rPr>
                <w:rFonts w:eastAsia="Calibri"/>
                <w:sz w:val="22"/>
                <w:szCs w:val="22"/>
                <w:lang w:val="lt-LT" w:eastAsia="lt-LT"/>
              </w:rPr>
              <w:t> </w:t>
            </w:r>
            <w:r w:rsidRPr="00715891">
              <w:rPr>
                <w:rFonts w:eastAsia="Calibri"/>
                <w:sz w:val="22"/>
                <w:szCs w:val="22"/>
                <w:lang w:val="lt-LT" w:eastAsia="lt-LT"/>
              </w:rPr>
              <w:t>±</w:t>
            </w:r>
            <w:r w:rsidR="003B251E" w:rsidRPr="00715891">
              <w:rPr>
                <w:rFonts w:eastAsia="Calibri"/>
                <w:sz w:val="22"/>
                <w:szCs w:val="22"/>
                <w:lang w:val="lt-LT" w:eastAsia="lt-LT"/>
              </w:rPr>
              <w:t> </w:t>
            </w:r>
            <w:r w:rsidRPr="00715891">
              <w:rPr>
                <w:rFonts w:eastAsia="Calibri"/>
                <w:sz w:val="22"/>
                <w:szCs w:val="22"/>
                <w:lang w:val="lt-LT" w:eastAsia="lt-LT"/>
              </w:rPr>
              <w:t>1,1</w:t>
            </w:r>
          </w:p>
        </w:tc>
      </w:tr>
    </w:tbl>
    <w:p w14:paraId="519A9AE8" w14:textId="77777777" w:rsidR="00107519" w:rsidRPr="00715891" w:rsidRDefault="00107519" w:rsidP="00107519">
      <w:pPr>
        <w:rPr>
          <w:rFonts w:eastAsia="Calibri"/>
          <w:sz w:val="22"/>
          <w:szCs w:val="22"/>
          <w:lang w:val="lt-LT" w:eastAsia="lt-LT"/>
        </w:rPr>
      </w:pPr>
      <w:r w:rsidRPr="00715891">
        <w:rPr>
          <w:rFonts w:eastAsia="Calibri"/>
          <w:sz w:val="22"/>
          <w:szCs w:val="22"/>
          <w:lang w:val="lt-LT" w:eastAsia="lt-LT"/>
        </w:rPr>
        <w:t xml:space="preserve">* </w:t>
      </w:r>
      <w:r w:rsidRPr="00715891">
        <w:rPr>
          <w:sz w:val="22"/>
          <w:szCs w:val="22"/>
          <w:lang w:val="lt-LT" w:eastAsia="ja-JP"/>
        </w:rPr>
        <w:t>parinkta</w:t>
      </w:r>
      <w:r w:rsidRPr="00715891">
        <w:rPr>
          <w:rFonts w:eastAsia="Calibri"/>
          <w:sz w:val="22"/>
          <w:szCs w:val="22"/>
          <w:lang w:val="lt-LT" w:eastAsia="lt-LT"/>
        </w:rPr>
        <w:t xml:space="preserve"> iš klinikinio tyrimo PV 16000 ataskaitos</w:t>
      </w:r>
    </w:p>
    <w:p w14:paraId="3335A853" w14:textId="77777777" w:rsidR="00107519" w:rsidRPr="00715891" w:rsidRDefault="00107519" w:rsidP="00107519">
      <w:pPr>
        <w:rPr>
          <w:sz w:val="22"/>
          <w:szCs w:val="22"/>
          <w:lang w:val="lt-LT" w:eastAsia="ja-JP"/>
        </w:rPr>
      </w:pPr>
    </w:p>
    <w:p w14:paraId="2C873D2A" w14:textId="77777777" w:rsidR="00107519" w:rsidRPr="00715891" w:rsidRDefault="00107519" w:rsidP="00107519">
      <w:pPr>
        <w:rPr>
          <w:rFonts w:eastAsia="Calibri"/>
          <w:sz w:val="22"/>
          <w:szCs w:val="22"/>
          <w:lang w:val="lt-LT" w:eastAsia="lt-LT"/>
        </w:rPr>
      </w:pPr>
      <w:r w:rsidRPr="00715891">
        <w:rPr>
          <w:sz w:val="22"/>
          <w:szCs w:val="22"/>
          <w:lang w:val="lt-LT" w:eastAsia="ja-JP"/>
        </w:rPr>
        <w:t>Valgancicloviro dozavimas vieną kartą per parą abiejų aukščiau aprašytų klinikinių tyrimų metu buvo pagrįstas kūno paviršiaus ploto (KPP) ir kreatinino klirenso (KK) rodmenimis, gautais pagal modifikuotą Schwartz’o formulę, ir buvo apskaičiuotas naudojant 4.</w:t>
      </w:r>
      <w:r w:rsidRPr="00715891">
        <w:rPr>
          <w:rFonts w:eastAsia="Calibri"/>
          <w:sz w:val="22"/>
          <w:szCs w:val="22"/>
          <w:lang w:val="lt-LT" w:eastAsia="lt-LT"/>
        </w:rPr>
        <w:t xml:space="preserve">2 </w:t>
      </w:r>
      <w:r w:rsidRPr="00715891">
        <w:rPr>
          <w:sz w:val="22"/>
          <w:szCs w:val="22"/>
          <w:lang w:val="lt-LT" w:eastAsia="ja-JP"/>
        </w:rPr>
        <w:t>skyriuje pateiktą</w:t>
      </w:r>
      <w:r w:rsidRPr="00715891">
        <w:rPr>
          <w:rFonts w:eastAsia="Calibri"/>
          <w:sz w:val="22"/>
          <w:szCs w:val="22"/>
          <w:lang w:val="lt-LT" w:eastAsia="lt-LT"/>
        </w:rPr>
        <w:t xml:space="preserve"> dozavimo </w:t>
      </w:r>
      <w:r w:rsidRPr="00715891">
        <w:rPr>
          <w:sz w:val="22"/>
          <w:szCs w:val="22"/>
          <w:lang w:val="lt-LT" w:eastAsia="ja-JP"/>
        </w:rPr>
        <w:t>algoritmą.</w:t>
      </w:r>
    </w:p>
    <w:p w14:paraId="5B4232E6" w14:textId="5F989965" w:rsidR="00107519" w:rsidRPr="00715891" w:rsidRDefault="00107519" w:rsidP="00107519">
      <w:pPr>
        <w:rPr>
          <w:sz w:val="22"/>
          <w:szCs w:val="22"/>
          <w:lang w:val="lt-LT" w:eastAsia="ja-JP"/>
        </w:rPr>
      </w:pPr>
      <w:r w:rsidRPr="00715891">
        <w:rPr>
          <w:sz w:val="22"/>
          <w:szCs w:val="22"/>
          <w:lang w:val="lt-LT" w:eastAsia="ja-JP"/>
        </w:rPr>
        <w:t xml:space="preserve">Be to, gancikloviro farmakokinetika vartojant valgancikloviro buvo vertinta </w:t>
      </w:r>
      <w:r w:rsidRPr="00715891">
        <w:rPr>
          <w:iCs/>
          <w:sz w:val="22"/>
          <w:szCs w:val="22"/>
          <w:lang w:val="lt-LT" w:eastAsia="ja-JP"/>
        </w:rPr>
        <w:t>dviejų klinikinių tyrimų su naujagimiais ir kūdikiais, sirgusiais įgimta simptomine CMV infekcija, metu</w:t>
      </w:r>
      <w:r w:rsidRPr="00715891">
        <w:rPr>
          <w:sz w:val="22"/>
          <w:szCs w:val="22"/>
          <w:lang w:val="lt-LT" w:eastAsia="ja-JP"/>
        </w:rPr>
        <w:t>. Pirmojo tyrimo metu 24 simptomine įgimta CMV liga sirgusiems nuo 8 iki 34</w:t>
      </w:r>
      <w:r w:rsidR="00F706F6" w:rsidRPr="00715891">
        <w:rPr>
          <w:sz w:val="22"/>
          <w:szCs w:val="22"/>
          <w:lang w:val="lt-LT" w:eastAsia="ja-JP"/>
        </w:rPr>
        <w:t> </w:t>
      </w:r>
      <w:r w:rsidRPr="00715891">
        <w:rPr>
          <w:sz w:val="22"/>
          <w:szCs w:val="22"/>
          <w:lang w:val="lt-LT" w:eastAsia="ja-JP"/>
        </w:rPr>
        <w:t>parų amžiaus naujagimiams buvo švirkščiamos 6 mg/kg gancikloviro dozės į veną du kartus per parą. Po to pacientai buvo gydyti geriamuoju valgancikloviru, kuomet valgancikloviro miltelių geriamajam tirpalui dozė buvo nuo 14 mg/kg iki 20 mg/kg du kartus per parą, o bendroji gydymo trukmė buvo 6 savaitės. Vartojama 16</w:t>
      </w:r>
      <w:r w:rsidR="00F706F6" w:rsidRPr="00715891">
        <w:rPr>
          <w:sz w:val="22"/>
          <w:szCs w:val="22"/>
          <w:lang w:val="lt-LT" w:eastAsia="ja-JP"/>
        </w:rPr>
        <w:t> </w:t>
      </w:r>
      <w:r w:rsidRPr="00715891">
        <w:rPr>
          <w:sz w:val="22"/>
          <w:szCs w:val="22"/>
          <w:lang w:val="lt-LT" w:eastAsia="ja-JP"/>
        </w:rPr>
        <w:t>mg/kg du kartus per parą valgancikloviro miltelių geriamajam tirpalui dozė naujagimiams s</w:t>
      </w:r>
      <w:r w:rsidR="007D6029" w:rsidRPr="00715891">
        <w:rPr>
          <w:sz w:val="22"/>
          <w:szCs w:val="22"/>
          <w:lang w:val="lt-LT" w:eastAsia="ja-JP"/>
        </w:rPr>
        <w:t>u</w:t>
      </w:r>
      <w:r w:rsidRPr="00715891">
        <w:rPr>
          <w:sz w:val="22"/>
          <w:szCs w:val="22"/>
          <w:lang w:val="lt-LT" w:eastAsia="ja-JP"/>
        </w:rPr>
        <w:t>kėlė tokią pačią ekspoziciją gancikloviru, kaip ir 6 mg/kg du kartus per parą gancikloviro dozė į veną, ir taip pat pasiekė panašią ekspoziciją gancikloviru, kokia būna suaugusių pacientų organizme vartojant veiksmingą 5 mg/kg dozę į veną.</w:t>
      </w:r>
    </w:p>
    <w:p w14:paraId="15A775B4" w14:textId="77777777" w:rsidR="00107519" w:rsidRPr="00715891" w:rsidRDefault="00107519" w:rsidP="00107519">
      <w:pPr>
        <w:rPr>
          <w:sz w:val="22"/>
          <w:szCs w:val="22"/>
          <w:lang w:val="lt-LT" w:eastAsia="ja-JP"/>
        </w:rPr>
      </w:pPr>
    </w:p>
    <w:p w14:paraId="545B2D31" w14:textId="7C41A71B" w:rsidR="00107519" w:rsidRPr="00715891" w:rsidRDefault="00107519" w:rsidP="00107519">
      <w:pPr>
        <w:rPr>
          <w:sz w:val="22"/>
          <w:szCs w:val="22"/>
          <w:lang w:val="lt-LT" w:eastAsia="ja-JP"/>
        </w:rPr>
      </w:pPr>
      <w:r w:rsidRPr="00715891">
        <w:rPr>
          <w:sz w:val="22"/>
          <w:szCs w:val="22"/>
          <w:lang w:val="lt-LT" w:eastAsia="ja-JP"/>
        </w:rPr>
        <w:lastRenderedPageBreak/>
        <w:t>Antrojo klinikinio tyrimo metu 109 naujagimiai nuo 2 iki 30 parų amžiaus 6</w:t>
      </w:r>
      <w:r w:rsidR="00F706F6" w:rsidRPr="00715891">
        <w:rPr>
          <w:sz w:val="22"/>
          <w:szCs w:val="22"/>
          <w:lang w:val="lt-LT" w:eastAsia="ja-JP"/>
        </w:rPr>
        <w:t> </w:t>
      </w:r>
      <w:r w:rsidRPr="00715891">
        <w:rPr>
          <w:sz w:val="22"/>
          <w:szCs w:val="22"/>
          <w:lang w:val="lt-LT" w:eastAsia="ja-JP"/>
        </w:rPr>
        <w:t>savaites vartojo 16 mg/kg kūno masės valgancikloviro miltelių geriamajam tirpalui dozę du kartus per parą, o po to 96 iš 109 tyrime dalyvavusių pacientų atsitiktine tvarka buvo paskirta 6 mėnesius toliau vartoti arba valgancikloviro, arba placebo. Vis dėlto AUC</w:t>
      </w:r>
      <w:r w:rsidRPr="00715891">
        <w:rPr>
          <w:sz w:val="22"/>
          <w:szCs w:val="22"/>
          <w:vertAlign w:val="subscript"/>
          <w:lang w:val="lt-LT" w:eastAsia="ja-JP"/>
        </w:rPr>
        <w:t>0-12val.</w:t>
      </w:r>
      <w:r w:rsidRPr="00715891">
        <w:rPr>
          <w:sz w:val="22"/>
          <w:szCs w:val="22"/>
          <w:lang w:val="lt-LT" w:eastAsia="ja-JP"/>
        </w:rPr>
        <w:t xml:space="preserve"> vidurkis buvo mažesnis, palyginus su vidutinėmis AUC</w:t>
      </w:r>
      <w:r w:rsidRPr="00715891">
        <w:rPr>
          <w:sz w:val="22"/>
          <w:szCs w:val="22"/>
          <w:vertAlign w:val="subscript"/>
          <w:lang w:val="lt-LT" w:eastAsia="ja-JP"/>
        </w:rPr>
        <w:t>0-12val</w:t>
      </w:r>
      <w:r w:rsidRPr="00715891">
        <w:rPr>
          <w:sz w:val="22"/>
          <w:szCs w:val="22"/>
          <w:lang w:val="lt-LT" w:eastAsia="ja-JP"/>
        </w:rPr>
        <w:t xml:space="preserve"> reikšmėmis pirmajame tyrime. Toliau esančioje lentelėje pateikti AUC, C</w:t>
      </w:r>
      <w:r w:rsidRPr="00715891">
        <w:rPr>
          <w:sz w:val="22"/>
          <w:szCs w:val="22"/>
          <w:vertAlign w:val="subscript"/>
          <w:lang w:val="lt-LT" w:eastAsia="ja-JP"/>
        </w:rPr>
        <w:t>max</w:t>
      </w:r>
      <w:r w:rsidRPr="00715891">
        <w:rPr>
          <w:sz w:val="22"/>
          <w:szCs w:val="22"/>
          <w:lang w:val="lt-LT" w:eastAsia="ja-JP"/>
        </w:rPr>
        <w:t>, ir t ½ vidurkiai bei jų standartiniai nuokrypiai, lyginant su suaugusių pacientų duomenimis.</w:t>
      </w:r>
    </w:p>
    <w:p w14:paraId="48E1907C" w14:textId="77777777" w:rsidR="00107519" w:rsidRPr="00715891" w:rsidRDefault="00107519" w:rsidP="00107519">
      <w:pPr>
        <w:rPr>
          <w:sz w:val="22"/>
          <w:szCs w:val="22"/>
          <w:lang w:val="lt-LT" w:eastAsia="ja-JP"/>
        </w:rPr>
      </w:pPr>
    </w:p>
    <w:tbl>
      <w:tblPr>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3"/>
        <w:gridCol w:w="1855"/>
        <w:gridCol w:w="203"/>
        <w:gridCol w:w="1596"/>
        <w:gridCol w:w="64"/>
        <w:gridCol w:w="1757"/>
        <w:gridCol w:w="1961"/>
      </w:tblGrid>
      <w:tr w:rsidR="00107519" w:rsidRPr="00715891" w14:paraId="6AC0195E" w14:textId="77777777" w:rsidTr="00EF476A">
        <w:trPr>
          <w:cantSplit/>
        </w:trPr>
        <w:tc>
          <w:tcPr>
            <w:tcW w:w="822" w:type="pct"/>
            <w:tcBorders>
              <w:left w:val="nil"/>
              <w:right w:val="nil"/>
            </w:tcBorders>
          </w:tcPr>
          <w:p w14:paraId="1070BD2A" w14:textId="77777777" w:rsidR="00107519" w:rsidRPr="00715891" w:rsidRDefault="00107519" w:rsidP="00107519">
            <w:pPr>
              <w:keepNext/>
              <w:keepLines/>
              <w:jc w:val="center"/>
              <w:rPr>
                <w:rFonts w:eastAsia="Calibri"/>
                <w:b/>
                <w:sz w:val="22"/>
                <w:szCs w:val="22"/>
                <w:lang w:val="lt-LT" w:eastAsia="lt-LT"/>
              </w:rPr>
            </w:pPr>
            <w:r w:rsidRPr="00715891">
              <w:rPr>
                <w:rFonts w:eastAsia="Calibri"/>
                <w:b/>
                <w:sz w:val="22"/>
                <w:szCs w:val="22"/>
                <w:lang w:val="lt-LT" w:eastAsia="lt-LT"/>
              </w:rPr>
              <w:t>FK parametras</w:t>
            </w:r>
          </w:p>
        </w:tc>
        <w:tc>
          <w:tcPr>
            <w:tcW w:w="1042" w:type="pct"/>
            <w:tcBorders>
              <w:left w:val="nil"/>
              <w:right w:val="nil"/>
            </w:tcBorders>
          </w:tcPr>
          <w:p w14:paraId="5015BF1C" w14:textId="77777777" w:rsidR="00107519" w:rsidRPr="00715891" w:rsidRDefault="00107519" w:rsidP="00107519">
            <w:pPr>
              <w:keepNext/>
              <w:keepLines/>
              <w:jc w:val="center"/>
              <w:rPr>
                <w:rFonts w:eastAsia="Calibri"/>
                <w:b/>
                <w:sz w:val="22"/>
                <w:szCs w:val="22"/>
                <w:lang w:val="lt-LT" w:eastAsia="lt-LT"/>
              </w:rPr>
            </w:pPr>
            <w:r w:rsidRPr="00715891">
              <w:rPr>
                <w:rFonts w:eastAsia="Calibri"/>
                <w:b/>
                <w:sz w:val="22"/>
                <w:szCs w:val="22"/>
                <w:lang w:val="lt-LT" w:eastAsia="lt-LT"/>
              </w:rPr>
              <w:t>Suaugusieji</w:t>
            </w:r>
          </w:p>
        </w:tc>
        <w:tc>
          <w:tcPr>
            <w:tcW w:w="3137" w:type="pct"/>
            <w:gridSpan w:val="5"/>
            <w:tcBorders>
              <w:left w:val="nil"/>
              <w:right w:val="nil"/>
            </w:tcBorders>
          </w:tcPr>
          <w:p w14:paraId="6D51809E" w14:textId="77777777" w:rsidR="00107519" w:rsidRPr="00715891" w:rsidRDefault="00107519" w:rsidP="00107519">
            <w:pPr>
              <w:keepNext/>
              <w:keepLines/>
              <w:jc w:val="center"/>
              <w:rPr>
                <w:rFonts w:eastAsia="Calibri"/>
                <w:b/>
                <w:sz w:val="22"/>
                <w:szCs w:val="22"/>
                <w:lang w:val="lt-LT" w:eastAsia="lt-LT"/>
              </w:rPr>
            </w:pPr>
            <w:r w:rsidRPr="00715891">
              <w:rPr>
                <w:rFonts w:eastAsia="MS Mincho"/>
                <w:b/>
                <w:sz w:val="22"/>
                <w:szCs w:val="22"/>
                <w:lang w:val="lt-LT" w:eastAsia="ja-JP"/>
              </w:rPr>
              <w:t>Vaikai (naujagimiai ir kūdikiai)</w:t>
            </w:r>
          </w:p>
        </w:tc>
      </w:tr>
      <w:tr w:rsidR="00107519" w:rsidRPr="00715891" w14:paraId="05E319D2" w14:textId="77777777" w:rsidTr="00EF476A">
        <w:trPr>
          <w:cantSplit/>
        </w:trPr>
        <w:tc>
          <w:tcPr>
            <w:tcW w:w="822" w:type="pct"/>
            <w:tcBorders>
              <w:left w:val="nil"/>
              <w:bottom w:val="single" w:sz="4" w:space="0" w:color="auto"/>
              <w:right w:val="nil"/>
            </w:tcBorders>
          </w:tcPr>
          <w:p w14:paraId="669A219C" w14:textId="77777777" w:rsidR="00107519" w:rsidRPr="00715891" w:rsidRDefault="00107519" w:rsidP="00107519">
            <w:pPr>
              <w:keepNext/>
              <w:keepLines/>
              <w:jc w:val="both"/>
              <w:rPr>
                <w:rFonts w:eastAsia="Calibri"/>
                <w:b/>
                <w:sz w:val="22"/>
                <w:szCs w:val="22"/>
                <w:lang w:val="lt-LT" w:eastAsia="lt-LT"/>
              </w:rPr>
            </w:pPr>
          </w:p>
        </w:tc>
        <w:tc>
          <w:tcPr>
            <w:tcW w:w="1042" w:type="pct"/>
            <w:tcBorders>
              <w:left w:val="nil"/>
              <w:bottom w:val="single" w:sz="4" w:space="0" w:color="auto"/>
              <w:right w:val="nil"/>
            </w:tcBorders>
          </w:tcPr>
          <w:p w14:paraId="42083E2E" w14:textId="7DB4BAD4" w:rsidR="00107519" w:rsidRPr="00715891" w:rsidRDefault="00107519" w:rsidP="00107519">
            <w:pPr>
              <w:keepNext/>
              <w:keepLines/>
              <w:jc w:val="center"/>
              <w:rPr>
                <w:rFonts w:eastAsia="Calibri"/>
                <w:b/>
                <w:sz w:val="22"/>
                <w:szCs w:val="22"/>
                <w:lang w:val="lt-LT" w:eastAsia="lt-LT"/>
              </w:rPr>
            </w:pPr>
            <w:r w:rsidRPr="00715891">
              <w:rPr>
                <w:rFonts w:eastAsia="Calibri"/>
                <w:b/>
                <w:sz w:val="22"/>
                <w:szCs w:val="22"/>
                <w:lang w:val="lt-LT" w:eastAsia="lt-LT"/>
              </w:rPr>
              <w:t>5</w:t>
            </w:r>
            <w:r w:rsidR="00F706F6" w:rsidRPr="00715891">
              <w:rPr>
                <w:rFonts w:eastAsia="Calibri"/>
                <w:b/>
                <w:sz w:val="22"/>
                <w:szCs w:val="22"/>
                <w:lang w:val="lt-LT" w:eastAsia="lt-LT"/>
              </w:rPr>
              <w:t> </w:t>
            </w:r>
            <w:r w:rsidRPr="00715891">
              <w:rPr>
                <w:rFonts w:eastAsia="Calibri"/>
                <w:b/>
                <w:sz w:val="22"/>
                <w:szCs w:val="22"/>
                <w:lang w:val="lt-LT" w:eastAsia="lt-LT"/>
              </w:rPr>
              <w:t>mg/kg GAN</w:t>
            </w:r>
          </w:p>
          <w:p w14:paraId="514642C0" w14:textId="061F4D79" w:rsidR="00107519" w:rsidRPr="00715891" w:rsidRDefault="00107519" w:rsidP="00107519">
            <w:pPr>
              <w:keepNext/>
              <w:keepLines/>
              <w:jc w:val="center"/>
              <w:rPr>
                <w:rFonts w:eastAsia="Calibri"/>
                <w:b/>
                <w:sz w:val="22"/>
                <w:szCs w:val="22"/>
                <w:lang w:val="lt-LT" w:eastAsia="lt-LT"/>
              </w:rPr>
            </w:pPr>
            <w:r w:rsidRPr="00715891">
              <w:rPr>
                <w:rFonts w:eastAsia="Calibri"/>
                <w:b/>
                <w:sz w:val="22"/>
                <w:szCs w:val="22"/>
                <w:lang w:val="lt-LT" w:eastAsia="lt-LT"/>
              </w:rPr>
              <w:t>Vienkartinė dozė</w:t>
            </w:r>
            <w:r w:rsidRPr="00715891">
              <w:rPr>
                <w:rFonts w:eastAsia="Calibri"/>
                <w:b/>
                <w:sz w:val="22"/>
                <w:szCs w:val="22"/>
                <w:lang w:val="lt-LT" w:eastAsia="lt-LT"/>
              </w:rPr>
              <w:br/>
              <w:t>(n</w:t>
            </w:r>
            <w:r w:rsidR="00F706F6" w:rsidRPr="00715891">
              <w:rPr>
                <w:rFonts w:eastAsia="Calibri"/>
                <w:b/>
                <w:sz w:val="22"/>
                <w:szCs w:val="22"/>
                <w:lang w:val="lt-LT" w:eastAsia="lt-LT"/>
              </w:rPr>
              <w:t> </w:t>
            </w:r>
            <w:r w:rsidRPr="00715891">
              <w:rPr>
                <w:rFonts w:eastAsia="Calibri"/>
                <w:b/>
                <w:sz w:val="22"/>
                <w:szCs w:val="22"/>
                <w:lang w:val="lt-LT" w:eastAsia="lt-LT"/>
              </w:rPr>
              <w:t>=</w:t>
            </w:r>
            <w:r w:rsidR="00F706F6" w:rsidRPr="00715891">
              <w:rPr>
                <w:rFonts w:eastAsia="Calibri"/>
                <w:b/>
                <w:sz w:val="22"/>
                <w:szCs w:val="22"/>
                <w:lang w:val="lt-LT" w:eastAsia="lt-LT"/>
              </w:rPr>
              <w:t> </w:t>
            </w:r>
            <w:r w:rsidRPr="00715891">
              <w:rPr>
                <w:rFonts w:eastAsia="Calibri"/>
                <w:b/>
                <w:sz w:val="22"/>
                <w:szCs w:val="22"/>
                <w:lang w:val="lt-LT" w:eastAsia="lt-LT"/>
              </w:rPr>
              <w:t>8)</w:t>
            </w:r>
          </w:p>
        </w:tc>
        <w:tc>
          <w:tcPr>
            <w:tcW w:w="1011" w:type="pct"/>
            <w:gridSpan w:val="2"/>
            <w:tcBorders>
              <w:left w:val="nil"/>
              <w:bottom w:val="single" w:sz="4" w:space="0" w:color="auto"/>
              <w:right w:val="nil"/>
            </w:tcBorders>
          </w:tcPr>
          <w:p w14:paraId="0F7BAA00" w14:textId="77777777" w:rsidR="00107519" w:rsidRPr="00715891" w:rsidRDefault="00107519" w:rsidP="00107519">
            <w:pPr>
              <w:keepNext/>
              <w:keepLines/>
              <w:jc w:val="center"/>
              <w:rPr>
                <w:rFonts w:eastAsia="Calibri"/>
                <w:b/>
                <w:sz w:val="22"/>
                <w:szCs w:val="22"/>
                <w:lang w:val="lt-LT" w:eastAsia="lt-LT"/>
              </w:rPr>
            </w:pPr>
            <w:r w:rsidRPr="00715891">
              <w:rPr>
                <w:rFonts w:eastAsia="Calibri"/>
                <w:b/>
                <w:sz w:val="22"/>
                <w:szCs w:val="22"/>
                <w:lang w:val="lt-LT" w:eastAsia="lt-LT"/>
              </w:rPr>
              <w:t>6 mg/kg GAN</w:t>
            </w:r>
          </w:p>
          <w:p w14:paraId="16358B35" w14:textId="6749DF43" w:rsidR="00107519" w:rsidRPr="00715891" w:rsidRDefault="00107519" w:rsidP="00107519">
            <w:pPr>
              <w:keepNext/>
              <w:keepLines/>
              <w:jc w:val="center"/>
              <w:rPr>
                <w:rFonts w:eastAsia="Calibri"/>
                <w:b/>
                <w:sz w:val="22"/>
                <w:szCs w:val="22"/>
                <w:lang w:val="lt-LT" w:eastAsia="lt-LT"/>
              </w:rPr>
            </w:pPr>
            <w:r w:rsidRPr="00715891">
              <w:rPr>
                <w:rFonts w:eastAsia="Calibri"/>
                <w:b/>
                <w:sz w:val="22"/>
                <w:szCs w:val="22"/>
                <w:lang w:val="lt-LT" w:eastAsia="lt-LT"/>
              </w:rPr>
              <w:t>du kartus per parą</w:t>
            </w:r>
            <w:r w:rsidRPr="00715891">
              <w:rPr>
                <w:rFonts w:eastAsia="Calibri"/>
                <w:b/>
                <w:sz w:val="22"/>
                <w:szCs w:val="22"/>
                <w:lang w:val="lt-LT" w:eastAsia="lt-LT"/>
              </w:rPr>
              <w:br/>
              <w:t>(n</w:t>
            </w:r>
            <w:r w:rsidR="003B251E" w:rsidRPr="00715891">
              <w:rPr>
                <w:rFonts w:eastAsia="Calibri"/>
                <w:b/>
                <w:sz w:val="22"/>
                <w:szCs w:val="22"/>
                <w:lang w:val="lt-LT" w:eastAsia="lt-LT"/>
              </w:rPr>
              <w:t> </w:t>
            </w:r>
            <w:r w:rsidRPr="00715891">
              <w:rPr>
                <w:rFonts w:eastAsia="Calibri"/>
                <w:b/>
                <w:sz w:val="22"/>
                <w:szCs w:val="22"/>
                <w:lang w:val="lt-LT" w:eastAsia="lt-LT"/>
              </w:rPr>
              <w:t>=</w:t>
            </w:r>
            <w:r w:rsidR="003B251E" w:rsidRPr="00715891">
              <w:rPr>
                <w:rFonts w:eastAsia="Calibri"/>
                <w:b/>
                <w:sz w:val="22"/>
                <w:szCs w:val="22"/>
                <w:lang w:val="lt-LT" w:eastAsia="lt-LT"/>
              </w:rPr>
              <w:t> </w:t>
            </w:r>
            <w:r w:rsidRPr="00715891">
              <w:rPr>
                <w:rFonts w:eastAsia="Calibri"/>
                <w:b/>
                <w:sz w:val="22"/>
                <w:szCs w:val="22"/>
                <w:lang w:val="lt-LT" w:eastAsia="lt-LT"/>
              </w:rPr>
              <w:t>19)</w:t>
            </w:r>
          </w:p>
        </w:tc>
        <w:tc>
          <w:tcPr>
            <w:tcW w:w="1023" w:type="pct"/>
            <w:gridSpan w:val="2"/>
            <w:tcBorders>
              <w:left w:val="nil"/>
              <w:bottom w:val="single" w:sz="4" w:space="0" w:color="auto"/>
              <w:right w:val="nil"/>
            </w:tcBorders>
          </w:tcPr>
          <w:p w14:paraId="1F2A357D" w14:textId="77777777" w:rsidR="00107519" w:rsidRPr="00715891" w:rsidRDefault="00107519" w:rsidP="00107519">
            <w:pPr>
              <w:keepNext/>
              <w:keepLines/>
              <w:jc w:val="center"/>
              <w:rPr>
                <w:rFonts w:eastAsia="Calibri"/>
                <w:b/>
                <w:sz w:val="22"/>
                <w:szCs w:val="22"/>
                <w:lang w:val="lt-LT" w:eastAsia="lt-LT"/>
              </w:rPr>
            </w:pPr>
            <w:r w:rsidRPr="00715891">
              <w:rPr>
                <w:rFonts w:eastAsia="Calibri"/>
                <w:b/>
                <w:sz w:val="22"/>
                <w:szCs w:val="22"/>
                <w:lang w:val="lt-LT" w:eastAsia="lt-LT"/>
              </w:rPr>
              <w:t>16 mg/kg VAL</w:t>
            </w:r>
          </w:p>
          <w:p w14:paraId="3152CFF5" w14:textId="5C4CDC78" w:rsidR="00107519" w:rsidRPr="00715891" w:rsidRDefault="00107519" w:rsidP="00107519">
            <w:pPr>
              <w:keepNext/>
              <w:keepLines/>
              <w:jc w:val="center"/>
              <w:rPr>
                <w:rFonts w:eastAsia="Calibri"/>
                <w:b/>
                <w:sz w:val="22"/>
                <w:szCs w:val="22"/>
                <w:lang w:val="lt-LT" w:eastAsia="lt-LT"/>
              </w:rPr>
            </w:pPr>
            <w:r w:rsidRPr="00715891">
              <w:rPr>
                <w:rFonts w:eastAsia="Calibri"/>
                <w:b/>
                <w:sz w:val="22"/>
                <w:szCs w:val="22"/>
                <w:lang w:val="lt-LT" w:eastAsia="lt-LT"/>
              </w:rPr>
              <w:t>du kartus per parą</w:t>
            </w:r>
            <w:r w:rsidRPr="00715891">
              <w:rPr>
                <w:rFonts w:eastAsia="Calibri"/>
                <w:b/>
                <w:sz w:val="22"/>
                <w:szCs w:val="22"/>
                <w:lang w:val="lt-LT" w:eastAsia="lt-LT"/>
              </w:rPr>
              <w:br/>
              <w:t>(n</w:t>
            </w:r>
            <w:r w:rsidR="003B251E" w:rsidRPr="00715891">
              <w:rPr>
                <w:rFonts w:eastAsia="Calibri"/>
                <w:b/>
                <w:sz w:val="22"/>
                <w:szCs w:val="22"/>
                <w:lang w:val="lt-LT" w:eastAsia="lt-LT"/>
              </w:rPr>
              <w:t> </w:t>
            </w:r>
            <w:r w:rsidRPr="00715891">
              <w:rPr>
                <w:rFonts w:eastAsia="Calibri"/>
                <w:b/>
                <w:sz w:val="22"/>
                <w:szCs w:val="22"/>
                <w:lang w:val="lt-LT" w:eastAsia="lt-LT"/>
              </w:rPr>
              <w:t>=</w:t>
            </w:r>
            <w:r w:rsidR="003B251E" w:rsidRPr="00715891">
              <w:rPr>
                <w:rFonts w:eastAsia="Calibri"/>
                <w:b/>
                <w:sz w:val="22"/>
                <w:szCs w:val="22"/>
                <w:lang w:val="lt-LT" w:eastAsia="lt-LT"/>
              </w:rPr>
              <w:t> </w:t>
            </w:r>
            <w:r w:rsidRPr="00715891">
              <w:rPr>
                <w:rFonts w:eastAsia="Calibri"/>
                <w:b/>
                <w:sz w:val="22"/>
                <w:szCs w:val="22"/>
                <w:lang w:val="lt-LT" w:eastAsia="lt-LT"/>
              </w:rPr>
              <w:t>19)</w:t>
            </w:r>
          </w:p>
        </w:tc>
        <w:tc>
          <w:tcPr>
            <w:tcW w:w="1102" w:type="pct"/>
            <w:tcBorders>
              <w:left w:val="nil"/>
              <w:bottom w:val="single" w:sz="4" w:space="0" w:color="auto"/>
              <w:right w:val="nil"/>
            </w:tcBorders>
          </w:tcPr>
          <w:p w14:paraId="5100B1C9" w14:textId="77777777" w:rsidR="00107519" w:rsidRPr="00715891" w:rsidRDefault="00107519" w:rsidP="00107519">
            <w:pPr>
              <w:keepNext/>
              <w:keepLines/>
              <w:jc w:val="center"/>
              <w:rPr>
                <w:rFonts w:eastAsia="MS Mincho"/>
                <w:b/>
                <w:sz w:val="22"/>
                <w:szCs w:val="22"/>
                <w:lang w:val="lt-LT" w:eastAsia="ja-JP"/>
              </w:rPr>
            </w:pPr>
            <w:r w:rsidRPr="00715891">
              <w:rPr>
                <w:rFonts w:eastAsia="MS Mincho"/>
                <w:b/>
                <w:sz w:val="22"/>
                <w:szCs w:val="22"/>
                <w:lang w:val="lt-LT" w:eastAsia="ja-JP"/>
              </w:rPr>
              <w:t>16 mg/kg VAL</w:t>
            </w:r>
          </w:p>
          <w:p w14:paraId="22B1464F" w14:textId="63299734" w:rsidR="00107519" w:rsidRPr="00715891" w:rsidRDefault="00107519" w:rsidP="00107519">
            <w:pPr>
              <w:keepNext/>
              <w:keepLines/>
              <w:jc w:val="center"/>
              <w:rPr>
                <w:rFonts w:eastAsia="MS Mincho"/>
                <w:b/>
                <w:sz w:val="22"/>
                <w:szCs w:val="22"/>
                <w:lang w:val="lt-LT" w:eastAsia="ja-JP"/>
              </w:rPr>
            </w:pPr>
            <w:r w:rsidRPr="00715891">
              <w:rPr>
                <w:rFonts w:eastAsia="MS Mincho"/>
                <w:b/>
                <w:sz w:val="22"/>
                <w:szCs w:val="22"/>
                <w:lang w:val="lt-LT" w:eastAsia="ja-JP"/>
              </w:rPr>
              <w:t>du kartus per parą</w:t>
            </w:r>
            <w:r w:rsidRPr="00715891">
              <w:rPr>
                <w:rFonts w:eastAsia="MS Mincho"/>
                <w:b/>
                <w:sz w:val="22"/>
                <w:szCs w:val="22"/>
                <w:lang w:val="lt-LT" w:eastAsia="ja-JP"/>
              </w:rPr>
              <w:br/>
              <w:t>(n</w:t>
            </w:r>
            <w:r w:rsidR="003B251E" w:rsidRPr="00715891">
              <w:rPr>
                <w:rFonts w:eastAsia="MS Mincho"/>
                <w:b/>
                <w:sz w:val="22"/>
                <w:szCs w:val="22"/>
                <w:lang w:val="lt-LT" w:eastAsia="ja-JP"/>
              </w:rPr>
              <w:t> </w:t>
            </w:r>
            <w:r w:rsidRPr="00715891">
              <w:rPr>
                <w:rFonts w:eastAsia="MS Mincho"/>
                <w:b/>
                <w:sz w:val="22"/>
                <w:szCs w:val="22"/>
                <w:lang w:val="lt-LT" w:eastAsia="ja-JP"/>
              </w:rPr>
              <w:t>=</w:t>
            </w:r>
            <w:r w:rsidR="003B251E" w:rsidRPr="00715891">
              <w:rPr>
                <w:rFonts w:eastAsia="MS Mincho"/>
                <w:b/>
                <w:sz w:val="22"/>
                <w:szCs w:val="22"/>
                <w:lang w:val="lt-LT" w:eastAsia="ja-JP"/>
              </w:rPr>
              <w:t> </w:t>
            </w:r>
            <w:r w:rsidRPr="00715891">
              <w:rPr>
                <w:rFonts w:eastAsia="MS Mincho"/>
                <w:b/>
                <w:sz w:val="22"/>
                <w:szCs w:val="22"/>
                <w:lang w:val="lt-LT" w:eastAsia="ja-JP"/>
              </w:rPr>
              <w:t>100)</w:t>
            </w:r>
          </w:p>
        </w:tc>
      </w:tr>
      <w:tr w:rsidR="00107519" w:rsidRPr="00715891" w14:paraId="62B0B596" w14:textId="77777777" w:rsidTr="00EF476A">
        <w:trPr>
          <w:cantSplit/>
        </w:trPr>
        <w:tc>
          <w:tcPr>
            <w:tcW w:w="822" w:type="pct"/>
            <w:tcBorders>
              <w:top w:val="single" w:sz="4" w:space="0" w:color="auto"/>
              <w:left w:val="nil"/>
              <w:bottom w:val="single" w:sz="4" w:space="0" w:color="auto"/>
              <w:right w:val="nil"/>
            </w:tcBorders>
          </w:tcPr>
          <w:p w14:paraId="74624DF3" w14:textId="77777777" w:rsidR="00107519" w:rsidRPr="00715891" w:rsidRDefault="00107519" w:rsidP="00107519">
            <w:pPr>
              <w:keepNext/>
              <w:keepLines/>
              <w:rPr>
                <w:rFonts w:eastAsia="Calibri"/>
                <w:b/>
                <w:sz w:val="22"/>
                <w:szCs w:val="22"/>
                <w:lang w:val="lt-LT" w:eastAsia="lt-LT"/>
              </w:rPr>
            </w:pPr>
            <w:r w:rsidRPr="00715891">
              <w:rPr>
                <w:rFonts w:eastAsia="Calibri"/>
                <w:b/>
                <w:sz w:val="22"/>
                <w:szCs w:val="22"/>
                <w:lang w:val="lt-LT" w:eastAsia="lt-LT"/>
              </w:rPr>
              <w:t xml:space="preserve">AUC </w:t>
            </w:r>
            <w:r w:rsidRPr="00715891">
              <w:rPr>
                <w:rFonts w:ascii="Times New Roman Bold" w:eastAsia="Calibri" w:hAnsi="Times New Roman Bold"/>
                <w:b/>
                <w:sz w:val="22"/>
                <w:szCs w:val="22"/>
                <w:vertAlign w:val="subscript"/>
                <w:lang w:val="lt-LT" w:eastAsia="lt-LT"/>
              </w:rPr>
              <w:t>0-∞</w:t>
            </w:r>
            <w:r w:rsidRPr="00715891">
              <w:rPr>
                <w:rFonts w:eastAsia="Calibri"/>
                <w:b/>
                <w:sz w:val="22"/>
                <w:szCs w:val="22"/>
                <w:lang w:val="lt-LT" w:eastAsia="lt-LT"/>
              </w:rPr>
              <w:t xml:space="preserve"> </w:t>
            </w:r>
          </w:p>
          <w:p w14:paraId="7A555A1C" w14:textId="77777777" w:rsidR="00107519" w:rsidRPr="00715891" w:rsidRDefault="00107519" w:rsidP="00107519">
            <w:pPr>
              <w:keepNext/>
              <w:keepLines/>
              <w:rPr>
                <w:rFonts w:eastAsia="Calibri"/>
                <w:b/>
                <w:sz w:val="22"/>
                <w:szCs w:val="22"/>
                <w:lang w:val="lt-LT" w:eastAsia="lt-LT"/>
              </w:rPr>
            </w:pPr>
            <w:r w:rsidRPr="00715891">
              <w:rPr>
                <w:rFonts w:eastAsia="Calibri"/>
                <w:b/>
                <w:sz w:val="22"/>
                <w:szCs w:val="22"/>
                <w:lang w:val="lt-LT" w:eastAsia="lt-LT"/>
              </w:rPr>
              <w:t>(µg val./ml)</w:t>
            </w:r>
          </w:p>
        </w:tc>
        <w:tc>
          <w:tcPr>
            <w:tcW w:w="1156" w:type="pct"/>
            <w:gridSpan w:val="2"/>
            <w:tcBorders>
              <w:top w:val="single" w:sz="4" w:space="0" w:color="auto"/>
              <w:left w:val="nil"/>
              <w:bottom w:val="single" w:sz="4" w:space="0" w:color="auto"/>
              <w:right w:val="nil"/>
            </w:tcBorders>
          </w:tcPr>
          <w:p w14:paraId="376EE7AC" w14:textId="3BF7B109" w:rsidR="00107519" w:rsidRPr="00715891" w:rsidRDefault="00107519" w:rsidP="00107519">
            <w:pPr>
              <w:keepNext/>
              <w:keepLines/>
              <w:jc w:val="center"/>
              <w:rPr>
                <w:rFonts w:eastAsia="Calibri"/>
                <w:sz w:val="22"/>
                <w:szCs w:val="22"/>
                <w:lang w:val="lt-LT" w:eastAsia="lt-LT"/>
              </w:rPr>
            </w:pPr>
            <w:r w:rsidRPr="00715891">
              <w:rPr>
                <w:rFonts w:eastAsia="Calibri"/>
                <w:sz w:val="22"/>
                <w:szCs w:val="22"/>
                <w:lang w:val="lt-LT" w:eastAsia="lt-LT"/>
              </w:rPr>
              <w:t>25,4</w:t>
            </w:r>
            <w:r w:rsidR="003B251E" w:rsidRPr="00715891">
              <w:rPr>
                <w:rFonts w:eastAsia="Calibri"/>
                <w:sz w:val="22"/>
                <w:szCs w:val="22"/>
                <w:lang w:val="lt-LT" w:eastAsia="lt-LT"/>
              </w:rPr>
              <w:t> </w:t>
            </w:r>
            <w:r w:rsidRPr="00715891">
              <w:rPr>
                <w:rFonts w:eastAsia="Calibri"/>
                <w:sz w:val="22"/>
                <w:szCs w:val="22"/>
                <w:lang w:val="lt-LT" w:eastAsia="lt-LT"/>
              </w:rPr>
              <w:t>±</w:t>
            </w:r>
            <w:r w:rsidR="003B251E" w:rsidRPr="00715891">
              <w:rPr>
                <w:rFonts w:eastAsia="Calibri"/>
                <w:sz w:val="22"/>
                <w:szCs w:val="22"/>
                <w:lang w:val="lt-LT" w:eastAsia="lt-LT"/>
              </w:rPr>
              <w:t> </w:t>
            </w:r>
            <w:r w:rsidRPr="00715891">
              <w:rPr>
                <w:rFonts w:eastAsia="Calibri"/>
                <w:sz w:val="22"/>
                <w:szCs w:val="22"/>
                <w:lang w:val="lt-LT" w:eastAsia="lt-LT"/>
              </w:rPr>
              <w:t>4,32</w:t>
            </w:r>
          </w:p>
        </w:tc>
        <w:tc>
          <w:tcPr>
            <w:tcW w:w="933" w:type="pct"/>
            <w:gridSpan w:val="2"/>
            <w:tcBorders>
              <w:top w:val="single" w:sz="4" w:space="0" w:color="auto"/>
              <w:left w:val="nil"/>
              <w:bottom w:val="single" w:sz="4" w:space="0" w:color="auto"/>
              <w:right w:val="nil"/>
            </w:tcBorders>
          </w:tcPr>
          <w:p w14:paraId="34BA82EF" w14:textId="77777777" w:rsidR="00107519" w:rsidRPr="00715891" w:rsidRDefault="00107519" w:rsidP="00107519">
            <w:pPr>
              <w:keepNext/>
              <w:keepLines/>
              <w:jc w:val="center"/>
              <w:rPr>
                <w:rFonts w:eastAsia="Calibri"/>
                <w:sz w:val="22"/>
                <w:szCs w:val="22"/>
                <w:lang w:val="lt-LT" w:eastAsia="lt-LT"/>
              </w:rPr>
            </w:pPr>
            <w:r w:rsidRPr="00715891">
              <w:rPr>
                <w:rFonts w:eastAsia="Calibri"/>
                <w:sz w:val="22"/>
                <w:szCs w:val="22"/>
                <w:lang w:val="lt-LT" w:eastAsia="lt-LT"/>
              </w:rPr>
              <w:t>-</w:t>
            </w:r>
          </w:p>
        </w:tc>
        <w:tc>
          <w:tcPr>
            <w:tcW w:w="987" w:type="pct"/>
            <w:tcBorders>
              <w:top w:val="single" w:sz="4" w:space="0" w:color="auto"/>
              <w:left w:val="nil"/>
              <w:bottom w:val="single" w:sz="4" w:space="0" w:color="auto"/>
              <w:right w:val="nil"/>
            </w:tcBorders>
          </w:tcPr>
          <w:p w14:paraId="723DCF4E" w14:textId="77777777" w:rsidR="00107519" w:rsidRPr="00715891" w:rsidRDefault="00107519" w:rsidP="00107519">
            <w:pPr>
              <w:keepNext/>
              <w:keepLines/>
              <w:jc w:val="center"/>
              <w:rPr>
                <w:rFonts w:eastAsia="Calibri"/>
                <w:sz w:val="22"/>
                <w:szCs w:val="22"/>
                <w:lang w:val="lt-LT" w:eastAsia="lt-LT"/>
              </w:rPr>
            </w:pPr>
            <w:r w:rsidRPr="00715891">
              <w:rPr>
                <w:rFonts w:eastAsia="Calibri"/>
                <w:sz w:val="22"/>
                <w:szCs w:val="22"/>
                <w:lang w:val="lt-LT" w:eastAsia="lt-LT"/>
              </w:rPr>
              <w:t>-</w:t>
            </w:r>
          </w:p>
        </w:tc>
        <w:tc>
          <w:tcPr>
            <w:tcW w:w="1102" w:type="pct"/>
            <w:tcBorders>
              <w:top w:val="single" w:sz="4" w:space="0" w:color="auto"/>
              <w:left w:val="nil"/>
              <w:bottom w:val="single" w:sz="4" w:space="0" w:color="auto"/>
              <w:right w:val="nil"/>
            </w:tcBorders>
          </w:tcPr>
          <w:p w14:paraId="4846E44A" w14:textId="77777777" w:rsidR="00107519" w:rsidRPr="00715891" w:rsidRDefault="00107519" w:rsidP="00107519">
            <w:pPr>
              <w:keepNext/>
              <w:keepLines/>
              <w:jc w:val="center"/>
              <w:rPr>
                <w:rFonts w:eastAsia="MS Mincho"/>
                <w:sz w:val="22"/>
                <w:szCs w:val="22"/>
                <w:lang w:val="lt-LT" w:eastAsia="ja-JP"/>
              </w:rPr>
            </w:pPr>
            <w:r w:rsidRPr="00715891">
              <w:rPr>
                <w:rFonts w:eastAsia="Calibri"/>
                <w:sz w:val="22"/>
                <w:szCs w:val="22"/>
                <w:lang w:val="lt-LT" w:eastAsia="lt-LT"/>
              </w:rPr>
              <w:t>-</w:t>
            </w:r>
          </w:p>
        </w:tc>
      </w:tr>
      <w:tr w:rsidR="00107519" w:rsidRPr="00715891" w14:paraId="70A9EF1C" w14:textId="77777777" w:rsidTr="00EF476A">
        <w:trPr>
          <w:cantSplit/>
        </w:trPr>
        <w:tc>
          <w:tcPr>
            <w:tcW w:w="822" w:type="pct"/>
            <w:tcBorders>
              <w:top w:val="single" w:sz="4" w:space="0" w:color="auto"/>
              <w:left w:val="nil"/>
              <w:bottom w:val="single" w:sz="4" w:space="0" w:color="auto"/>
              <w:right w:val="nil"/>
            </w:tcBorders>
          </w:tcPr>
          <w:p w14:paraId="30331901" w14:textId="77777777" w:rsidR="00107519" w:rsidRPr="00715891" w:rsidRDefault="00107519" w:rsidP="00107519">
            <w:pPr>
              <w:keepNext/>
              <w:keepLines/>
              <w:rPr>
                <w:rFonts w:eastAsia="Calibri"/>
                <w:b/>
                <w:sz w:val="22"/>
                <w:szCs w:val="22"/>
                <w:lang w:val="lt-LT" w:eastAsia="lt-LT"/>
              </w:rPr>
            </w:pPr>
            <w:r w:rsidRPr="00715891">
              <w:rPr>
                <w:rFonts w:eastAsia="Calibri"/>
                <w:b/>
                <w:sz w:val="22"/>
                <w:szCs w:val="22"/>
                <w:lang w:val="lt-LT" w:eastAsia="lt-LT"/>
              </w:rPr>
              <w:t>AUC</w:t>
            </w:r>
            <w:r w:rsidRPr="00715891">
              <w:rPr>
                <w:rFonts w:eastAsia="Calibri"/>
                <w:b/>
                <w:sz w:val="22"/>
                <w:szCs w:val="22"/>
                <w:vertAlign w:val="subscript"/>
                <w:lang w:val="lt-LT" w:eastAsia="lt-LT"/>
              </w:rPr>
              <w:t xml:space="preserve">10- 12val </w:t>
            </w:r>
            <w:r w:rsidRPr="00715891">
              <w:rPr>
                <w:rFonts w:eastAsia="Calibri"/>
                <w:b/>
                <w:sz w:val="22"/>
                <w:szCs w:val="22"/>
                <w:lang w:val="lt-LT" w:eastAsia="lt-LT"/>
              </w:rPr>
              <w:t>(µg val./ml)</w:t>
            </w:r>
          </w:p>
        </w:tc>
        <w:tc>
          <w:tcPr>
            <w:tcW w:w="1156" w:type="pct"/>
            <w:gridSpan w:val="2"/>
            <w:tcBorders>
              <w:top w:val="single" w:sz="4" w:space="0" w:color="auto"/>
              <w:left w:val="nil"/>
              <w:bottom w:val="single" w:sz="4" w:space="0" w:color="auto"/>
              <w:right w:val="nil"/>
            </w:tcBorders>
          </w:tcPr>
          <w:p w14:paraId="33530937" w14:textId="77777777" w:rsidR="00107519" w:rsidRPr="00715891" w:rsidRDefault="00107519" w:rsidP="00107519">
            <w:pPr>
              <w:keepNext/>
              <w:keepLines/>
              <w:jc w:val="center"/>
              <w:rPr>
                <w:rFonts w:eastAsia="Calibri"/>
                <w:sz w:val="22"/>
                <w:szCs w:val="22"/>
                <w:lang w:val="lt-LT" w:eastAsia="lt-LT"/>
              </w:rPr>
            </w:pPr>
            <w:r w:rsidRPr="00715891">
              <w:rPr>
                <w:rFonts w:eastAsia="Calibri"/>
                <w:sz w:val="22"/>
                <w:szCs w:val="22"/>
                <w:lang w:val="lt-LT" w:eastAsia="lt-LT"/>
              </w:rPr>
              <w:t>-</w:t>
            </w:r>
          </w:p>
        </w:tc>
        <w:tc>
          <w:tcPr>
            <w:tcW w:w="933" w:type="pct"/>
            <w:gridSpan w:val="2"/>
            <w:tcBorders>
              <w:top w:val="single" w:sz="4" w:space="0" w:color="auto"/>
              <w:left w:val="nil"/>
              <w:bottom w:val="single" w:sz="4" w:space="0" w:color="auto"/>
              <w:right w:val="nil"/>
            </w:tcBorders>
          </w:tcPr>
          <w:p w14:paraId="13955242" w14:textId="0D2C0143" w:rsidR="00107519" w:rsidRPr="00715891" w:rsidRDefault="00107519" w:rsidP="00107519">
            <w:pPr>
              <w:keepNext/>
              <w:keepLines/>
              <w:jc w:val="center"/>
              <w:rPr>
                <w:rFonts w:eastAsia="Calibri"/>
                <w:sz w:val="22"/>
                <w:szCs w:val="22"/>
                <w:lang w:val="lt-LT" w:eastAsia="lt-LT"/>
              </w:rPr>
            </w:pPr>
            <w:r w:rsidRPr="00715891">
              <w:rPr>
                <w:rFonts w:eastAsia="Calibri"/>
                <w:sz w:val="22"/>
                <w:szCs w:val="22"/>
                <w:lang w:val="lt-LT" w:eastAsia="lt-LT"/>
              </w:rPr>
              <w:t>38,2</w:t>
            </w:r>
            <w:r w:rsidR="003B251E" w:rsidRPr="00715891">
              <w:rPr>
                <w:rFonts w:eastAsia="Calibri"/>
                <w:sz w:val="22"/>
                <w:szCs w:val="22"/>
                <w:lang w:val="lt-LT" w:eastAsia="lt-LT"/>
              </w:rPr>
              <w:t> </w:t>
            </w:r>
            <w:r w:rsidRPr="00715891">
              <w:rPr>
                <w:rFonts w:eastAsia="Calibri"/>
                <w:sz w:val="22"/>
                <w:szCs w:val="22"/>
                <w:lang w:val="lt-LT" w:eastAsia="lt-LT"/>
              </w:rPr>
              <w:t>±</w:t>
            </w:r>
            <w:r w:rsidR="003B251E" w:rsidRPr="00715891">
              <w:rPr>
                <w:rFonts w:eastAsia="Calibri"/>
                <w:sz w:val="22"/>
                <w:szCs w:val="22"/>
                <w:lang w:val="lt-LT" w:eastAsia="lt-LT"/>
              </w:rPr>
              <w:t> </w:t>
            </w:r>
            <w:r w:rsidRPr="00715891">
              <w:rPr>
                <w:rFonts w:eastAsia="Calibri"/>
                <w:sz w:val="22"/>
                <w:szCs w:val="22"/>
                <w:lang w:val="lt-LT" w:eastAsia="lt-LT"/>
              </w:rPr>
              <w:t>42,7</w:t>
            </w:r>
          </w:p>
        </w:tc>
        <w:tc>
          <w:tcPr>
            <w:tcW w:w="987" w:type="pct"/>
            <w:tcBorders>
              <w:top w:val="single" w:sz="4" w:space="0" w:color="auto"/>
              <w:left w:val="nil"/>
              <w:bottom w:val="single" w:sz="4" w:space="0" w:color="auto"/>
              <w:right w:val="nil"/>
            </w:tcBorders>
          </w:tcPr>
          <w:p w14:paraId="62816832" w14:textId="64DAE033" w:rsidR="00107519" w:rsidRPr="00715891" w:rsidRDefault="00107519" w:rsidP="00107519">
            <w:pPr>
              <w:keepNext/>
              <w:keepLines/>
              <w:jc w:val="center"/>
              <w:rPr>
                <w:rFonts w:eastAsia="Calibri"/>
                <w:sz w:val="22"/>
                <w:szCs w:val="22"/>
                <w:lang w:val="lt-LT" w:eastAsia="lt-LT"/>
              </w:rPr>
            </w:pPr>
            <w:r w:rsidRPr="00715891">
              <w:rPr>
                <w:rFonts w:eastAsia="Calibri"/>
                <w:sz w:val="22"/>
                <w:szCs w:val="22"/>
                <w:lang w:val="lt-LT" w:eastAsia="lt-LT"/>
              </w:rPr>
              <w:t>30,1</w:t>
            </w:r>
            <w:r w:rsidR="003B251E" w:rsidRPr="00715891">
              <w:rPr>
                <w:rFonts w:eastAsia="Calibri"/>
                <w:sz w:val="22"/>
                <w:szCs w:val="22"/>
                <w:lang w:val="lt-LT" w:eastAsia="lt-LT"/>
              </w:rPr>
              <w:t> </w:t>
            </w:r>
            <w:r w:rsidRPr="00715891">
              <w:rPr>
                <w:rFonts w:eastAsia="Calibri"/>
                <w:sz w:val="22"/>
                <w:szCs w:val="22"/>
                <w:lang w:val="lt-LT" w:eastAsia="lt-LT"/>
              </w:rPr>
              <w:t>±</w:t>
            </w:r>
            <w:r w:rsidR="003B251E" w:rsidRPr="00715891">
              <w:rPr>
                <w:rFonts w:eastAsia="Calibri"/>
                <w:sz w:val="22"/>
                <w:szCs w:val="22"/>
                <w:lang w:val="lt-LT" w:eastAsia="lt-LT"/>
              </w:rPr>
              <w:t> </w:t>
            </w:r>
            <w:r w:rsidRPr="00715891">
              <w:rPr>
                <w:rFonts w:eastAsia="Calibri"/>
                <w:sz w:val="22"/>
                <w:szCs w:val="22"/>
                <w:lang w:val="lt-LT" w:eastAsia="lt-LT"/>
              </w:rPr>
              <w:t>15,1</w:t>
            </w:r>
          </w:p>
        </w:tc>
        <w:tc>
          <w:tcPr>
            <w:tcW w:w="1102" w:type="pct"/>
            <w:tcBorders>
              <w:top w:val="single" w:sz="4" w:space="0" w:color="auto"/>
              <w:left w:val="nil"/>
              <w:bottom w:val="single" w:sz="4" w:space="0" w:color="auto"/>
              <w:right w:val="nil"/>
            </w:tcBorders>
          </w:tcPr>
          <w:p w14:paraId="1987252D" w14:textId="680F590E" w:rsidR="00107519" w:rsidRPr="00715891" w:rsidRDefault="00107519" w:rsidP="00107519">
            <w:pPr>
              <w:keepNext/>
              <w:keepLines/>
              <w:jc w:val="center"/>
              <w:rPr>
                <w:rFonts w:eastAsia="MS Mincho"/>
                <w:sz w:val="22"/>
                <w:szCs w:val="22"/>
                <w:lang w:val="lt-LT" w:eastAsia="ja-JP"/>
              </w:rPr>
            </w:pPr>
            <w:r w:rsidRPr="00715891">
              <w:rPr>
                <w:rFonts w:eastAsia="Calibri"/>
                <w:sz w:val="22"/>
                <w:szCs w:val="22"/>
                <w:lang w:val="lt-LT" w:eastAsia="lt-LT"/>
              </w:rPr>
              <w:t>20,85</w:t>
            </w:r>
            <w:r w:rsidR="003B251E" w:rsidRPr="00715891">
              <w:rPr>
                <w:rFonts w:eastAsia="Calibri"/>
                <w:sz w:val="22"/>
                <w:szCs w:val="22"/>
                <w:lang w:val="lt-LT" w:eastAsia="lt-LT"/>
              </w:rPr>
              <w:t> </w:t>
            </w:r>
            <w:r w:rsidRPr="00715891">
              <w:rPr>
                <w:rFonts w:eastAsia="Calibri"/>
                <w:sz w:val="22"/>
                <w:szCs w:val="22"/>
                <w:lang w:val="lt-LT" w:eastAsia="lt-LT"/>
              </w:rPr>
              <w:t>±</w:t>
            </w:r>
            <w:r w:rsidR="003B251E" w:rsidRPr="00715891">
              <w:rPr>
                <w:rFonts w:eastAsia="Calibri"/>
                <w:sz w:val="22"/>
                <w:szCs w:val="22"/>
                <w:lang w:val="lt-LT" w:eastAsia="lt-LT"/>
              </w:rPr>
              <w:t> </w:t>
            </w:r>
            <w:r w:rsidRPr="00715891">
              <w:rPr>
                <w:rFonts w:eastAsia="Calibri"/>
                <w:sz w:val="22"/>
                <w:szCs w:val="22"/>
                <w:lang w:val="lt-LT" w:eastAsia="lt-LT"/>
              </w:rPr>
              <w:t>5,40</w:t>
            </w:r>
          </w:p>
        </w:tc>
      </w:tr>
      <w:tr w:rsidR="00107519" w:rsidRPr="00715891" w14:paraId="16E166EC" w14:textId="77777777" w:rsidTr="00EF476A">
        <w:trPr>
          <w:cantSplit/>
        </w:trPr>
        <w:tc>
          <w:tcPr>
            <w:tcW w:w="822" w:type="pct"/>
            <w:tcBorders>
              <w:top w:val="single" w:sz="4" w:space="0" w:color="auto"/>
              <w:left w:val="nil"/>
              <w:bottom w:val="single" w:sz="4" w:space="0" w:color="auto"/>
              <w:right w:val="nil"/>
            </w:tcBorders>
          </w:tcPr>
          <w:p w14:paraId="4246F51D" w14:textId="77777777" w:rsidR="00107519" w:rsidRPr="00715891" w:rsidRDefault="00107519" w:rsidP="00107519">
            <w:pPr>
              <w:keepNext/>
              <w:keepLines/>
              <w:rPr>
                <w:rFonts w:eastAsia="Calibri"/>
                <w:b/>
                <w:sz w:val="22"/>
                <w:szCs w:val="22"/>
                <w:lang w:val="lt-LT" w:eastAsia="lt-LT"/>
              </w:rPr>
            </w:pPr>
            <w:r w:rsidRPr="00715891">
              <w:rPr>
                <w:rFonts w:eastAsia="Calibri"/>
                <w:b/>
                <w:sz w:val="22"/>
                <w:szCs w:val="22"/>
                <w:lang w:val="lt-LT" w:eastAsia="lt-LT"/>
              </w:rPr>
              <w:t>C</w:t>
            </w:r>
            <w:r w:rsidRPr="00715891">
              <w:rPr>
                <w:rFonts w:eastAsia="Calibri"/>
                <w:b/>
                <w:sz w:val="22"/>
                <w:szCs w:val="22"/>
                <w:vertAlign w:val="subscript"/>
                <w:lang w:val="lt-LT" w:eastAsia="lt-LT"/>
              </w:rPr>
              <w:t>max</w:t>
            </w:r>
            <w:r w:rsidRPr="00715891">
              <w:rPr>
                <w:rFonts w:eastAsia="Calibri"/>
                <w:b/>
                <w:sz w:val="22"/>
                <w:szCs w:val="22"/>
                <w:lang w:val="lt-LT" w:eastAsia="lt-LT"/>
              </w:rPr>
              <w:t xml:space="preserve"> (µg /ml)</w:t>
            </w:r>
          </w:p>
        </w:tc>
        <w:tc>
          <w:tcPr>
            <w:tcW w:w="1156" w:type="pct"/>
            <w:gridSpan w:val="2"/>
            <w:tcBorders>
              <w:top w:val="single" w:sz="4" w:space="0" w:color="auto"/>
              <w:left w:val="nil"/>
              <w:bottom w:val="single" w:sz="4" w:space="0" w:color="auto"/>
              <w:right w:val="nil"/>
            </w:tcBorders>
          </w:tcPr>
          <w:p w14:paraId="373641C3" w14:textId="1837D62B" w:rsidR="00107519" w:rsidRPr="00715891" w:rsidRDefault="00107519" w:rsidP="00107519">
            <w:pPr>
              <w:keepNext/>
              <w:keepLines/>
              <w:jc w:val="center"/>
              <w:rPr>
                <w:rFonts w:eastAsia="Calibri"/>
                <w:sz w:val="22"/>
                <w:szCs w:val="22"/>
                <w:lang w:val="lt-LT" w:eastAsia="lt-LT"/>
              </w:rPr>
            </w:pPr>
            <w:r w:rsidRPr="00715891">
              <w:rPr>
                <w:rFonts w:eastAsia="Calibri"/>
                <w:sz w:val="22"/>
                <w:szCs w:val="22"/>
                <w:lang w:val="lt-LT" w:eastAsia="lt-LT"/>
              </w:rPr>
              <w:t>9,03</w:t>
            </w:r>
            <w:r w:rsidR="003B251E" w:rsidRPr="00715891">
              <w:rPr>
                <w:rFonts w:eastAsia="Calibri"/>
                <w:sz w:val="22"/>
                <w:szCs w:val="22"/>
                <w:lang w:val="lt-LT" w:eastAsia="lt-LT"/>
              </w:rPr>
              <w:t> </w:t>
            </w:r>
            <w:r w:rsidRPr="00715891">
              <w:rPr>
                <w:rFonts w:eastAsia="Calibri"/>
                <w:sz w:val="22"/>
                <w:szCs w:val="22"/>
                <w:lang w:val="lt-LT" w:eastAsia="lt-LT"/>
              </w:rPr>
              <w:t>±</w:t>
            </w:r>
            <w:r w:rsidR="003B251E" w:rsidRPr="00715891">
              <w:rPr>
                <w:rFonts w:eastAsia="Calibri"/>
                <w:sz w:val="22"/>
                <w:szCs w:val="22"/>
                <w:lang w:val="lt-LT" w:eastAsia="lt-LT"/>
              </w:rPr>
              <w:t> </w:t>
            </w:r>
            <w:r w:rsidRPr="00715891">
              <w:rPr>
                <w:rFonts w:eastAsia="Calibri"/>
                <w:sz w:val="22"/>
                <w:szCs w:val="22"/>
                <w:lang w:val="lt-LT" w:eastAsia="lt-LT"/>
              </w:rPr>
              <w:t>1,26</w:t>
            </w:r>
          </w:p>
        </w:tc>
        <w:tc>
          <w:tcPr>
            <w:tcW w:w="933" w:type="pct"/>
            <w:gridSpan w:val="2"/>
            <w:tcBorders>
              <w:top w:val="single" w:sz="4" w:space="0" w:color="auto"/>
              <w:left w:val="nil"/>
              <w:bottom w:val="single" w:sz="4" w:space="0" w:color="auto"/>
              <w:right w:val="nil"/>
            </w:tcBorders>
          </w:tcPr>
          <w:p w14:paraId="3785A2B8" w14:textId="30607BDB" w:rsidR="00107519" w:rsidRPr="00715891" w:rsidRDefault="00107519" w:rsidP="00107519">
            <w:pPr>
              <w:keepNext/>
              <w:keepLines/>
              <w:jc w:val="center"/>
              <w:rPr>
                <w:rFonts w:eastAsia="Calibri"/>
                <w:sz w:val="22"/>
                <w:szCs w:val="22"/>
                <w:lang w:val="lt-LT" w:eastAsia="lt-LT"/>
              </w:rPr>
            </w:pPr>
            <w:r w:rsidRPr="00715891">
              <w:rPr>
                <w:rFonts w:eastAsia="Calibri"/>
                <w:sz w:val="22"/>
                <w:szCs w:val="22"/>
                <w:lang w:val="lt-LT" w:eastAsia="lt-LT"/>
              </w:rPr>
              <w:t>12,9</w:t>
            </w:r>
            <w:r w:rsidR="003B251E" w:rsidRPr="00715891">
              <w:rPr>
                <w:rFonts w:eastAsia="Calibri"/>
                <w:sz w:val="22"/>
                <w:szCs w:val="22"/>
                <w:lang w:val="lt-LT" w:eastAsia="lt-LT"/>
              </w:rPr>
              <w:t> </w:t>
            </w:r>
            <w:r w:rsidRPr="00715891">
              <w:rPr>
                <w:rFonts w:eastAsia="Calibri"/>
                <w:sz w:val="22"/>
                <w:szCs w:val="22"/>
                <w:lang w:val="lt-LT" w:eastAsia="lt-LT"/>
              </w:rPr>
              <w:t>±</w:t>
            </w:r>
            <w:r w:rsidR="003B251E" w:rsidRPr="00715891">
              <w:rPr>
                <w:rFonts w:eastAsia="Calibri"/>
                <w:sz w:val="22"/>
                <w:szCs w:val="22"/>
                <w:lang w:val="lt-LT" w:eastAsia="lt-LT"/>
              </w:rPr>
              <w:t> </w:t>
            </w:r>
            <w:r w:rsidRPr="00715891">
              <w:rPr>
                <w:rFonts w:eastAsia="Calibri"/>
                <w:sz w:val="22"/>
                <w:szCs w:val="22"/>
                <w:lang w:val="lt-LT" w:eastAsia="lt-LT"/>
              </w:rPr>
              <w:t>21,5</w:t>
            </w:r>
          </w:p>
        </w:tc>
        <w:tc>
          <w:tcPr>
            <w:tcW w:w="987" w:type="pct"/>
            <w:tcBorders>
              <w:top w:val="single" w:sz="4" w:space="0" w:color="auto"/>
              <w:left w:val="nil"/>
              <w:bottom w:val="single" w:sz="4" w:space="0" w:color="auto"/>
              <w:right w:val="nil"/>
            </w:tcBorders>
          </w:tcPr>
          <w:p w14:paraId="1CC02E42" w14:textId="3E4005BE" w:rsidR="00107519" w:rsidRPr="00715891" w:rsidRDefault="00107519" w:rsidP="00107519">
            <w:pPr>
              <w:keepNext/>
              <w:keepLines/>
              <w:jc w:val="center"/>
              <w:rPr>
                <w:rFonts w:eastAsia="Calibri"/>
                <w:sz w:val="22"/>
                <w:szCs w:val="22"/>
                <w:lang w:val="lt-LT" w:eastAsia="lt-LT"/>
              </w:rPr>
            </w:pPr>
            <w:r w:rsidRPr="00715891">
              <w:rPr>
                <w:rFonts w:eastAsia="Calibri"/>
                <w:sz w:val="22"/>
                <w:szCs w:val="22"/>
                <w:lang w:val="lt-LT" w:eastAsia="lt-LT"/>
              </w:rPr>
              <w:t>5,44</w:t>
            </w:r>
            <w:r w:rsidR="003B251E" w:rsidRPr="00715891">
              <w:rPr>
                <w:rFonts w:eastAsia="Calibri"/>
                <w:sz w:val="22"/>
                <w:szCs w:val="22"/>
                <w:lang w:val="lt-LT" w:eastAsia="lt-LT"/>
              </w:rPr>
              <w:t> </w:t>
            </w:r>
            <w:r w:rsidRPr="00715891">
              <w:rPr>
                <w:rFonts w:eastAsia="Calibri"/>
                <w:sz w:val="22"/>
                <w:szCs w:val="22"/>
                <w:lang w:val="lt-LT" w:eastAsia="lt-LT"/>
              </w:rPr>
              <w:t>±</w:t>
            </w:r>
            <w:r w:rsidR="003B251E" w:rsidRPr="00715891">
              <w:rPr>
                <w:rFonts w:eastAsia="Calibri"/>
                <w:sz w:val="22"/>
                <w:szCs w:val="22"/>
                <w:lang w:val="lt-LT" w:eastAsia="lt-LT"/>
              </w:rPr>
              <w:t> </w:t>
            </w:r>
            <w:r w:rsidRPr="00715891">
              <w:rPr>
                <w:rFonts w:eastAsia="Calibri"/>
                <w:sz w:val="22"/>
                <w:szCs w:val="22"/>
                <w:lang w:val="lt-LT" w:eastAsia="lt-LT"/>
              </w:rPr>
              <w:t>4,0</w:t>
            </w:r>
            <w:r w:rsidR="006A0086" w:rsidRPr="00715891">
              <w:rPr>
                <w:rFonts w:eastAsia="Calibri"/>
                <w:sz w:val="22"/>
                <w:szCs w:val="22"/>
                <w:lang w:val="lt-LT" w:eastAsia="lt-LT"/>
              </w:rPr>
              <w:t>4</w:t>
            </w:r>
          </w:p>
        </w:tc>
        <w:tc>
          <w:tcPr>
            <w:tcW w:w="1102" w:type="pct"/>
            <w:tcBorders>
              <w:top w:val="single" w:sz="4" w:space="0" w:color="auto"/>
              <w:left w:val="nil"/>
              <w:bottom w:val="single" w:sz="4" w:space="0" w:color="auto"/>
              <w:right w:val="nil"/>
            </w:tcBorders>
          </w:tcPr>
          <w:p w14:paraId="13BB6369" w14:textId="77777777" w:rsidR="00107519" w:rsidRPr="00715891" w:rsidRDefault="00107519" w:rsidP="00107519">
            <w:pPr>
              <w:keepNext/>
              <w:keepLines/>
              <w:jc w:val="center"/>
              <w:rPr>
                <w:rFonts w:eastAsia="MS Mincho"/>
                <w:sz w:val="22"/>
                <w:szCs w:val="22"/>
                <w:lang w:val="lt-LT" w:eastAsia="ja-JP"/>
              </w:rPr>
            </w:pPr>
            <w:r w:rsidRPr="00715891">
              <w:rPr>
                <w:rFonts w:eastAsia="Calibri"/>
                <w:sz w:val="22"/>
                <w:szCs w:val="22"/>
                <w:lang w:val="lt-LT" w:eastAsia="lt-LT"/>
              </w:rPr>
              <w:t>-</w:t>
            </w:r>
          </w:p>
        </w:tc>
      </w:tr>
      <w:tr w:rsidR="00107519" w:rsidRPr="00715891" w14:paraId="7C281E42" w14:textId="77777777" w:rsidTr="00EF476A">
        <w:trPr>
          <w:cantSplit/>
        </w:trPr>
        <w:tc>
          <w:tcPr>
            <w:tcW w:w="822" w:type="pct"/>
            <w:tcBorders>
              <w:top w:val="single" w:sz="4" w:space="0" w:color="auto"/>
              <w:left w:val="nil"/>
              <w:bottom w:val="single" w:sz="4" w:space="0" w:color="auto"/>
              <w:right w:val="nil"/>
            </w:tcBorders>
          </w:tcPr>
          <w:p w14:paraId="603632EA" w14:textId="77777777" w:rsidR="00107519" w:rsidRPr="00715891" w:rsidRDefault="00107519" w:rsidP="00107519">
            <w:pPr>
              <w:keepNext/>
              <w:keepLines/>
              <w:spacing w:line="280" w:lineRule="atLeast"/>
              <w:rPr>
                <w:rFonts w:eastAsia="Calibri"/>
                <w:b/>
                <w:sz w:val="22"/>
                <w:szCs w:val="22"/>
                <w:lang w:val="lt-LT" w:eastAsia="lt-LT"/>
              </w:rPr>
            </w:pPr>
            <w:r w:rsidRPr="00715891">
              <w:rPr>
                <w:rFonts w:eastAsia="Calibri"/>
                <w:b/>
                <w:sz w:val="22"/>
                <w:szCs w:val="22"/>
                <w:lang w:val="lt-LT" w:eastAsia="lt-LT"/>
              </w:rPr>
              <w:t>t</w:t>
            </w:r>
            <w:r w:rsidRPr="00715891">
              <w:rPr>
                <w:rFonts w:eastAsia="Calibri"/>
                <w:b/>
                <w:sz w:val="22"/>
                <w:szCs w:val="22"/>
                <w:vertAlign w:val="subscript"/>
                <w:lang w:val="lt-LT" w:eastAsia="lt-LT"/>
              </w:rPr>
              <w:t>1/2</w:t>
            </w:r>
            <w:r w:rsidRPr="00715891">
              <w:rPr>
                <w:rFonts w:eastAsia="Calibri"/>
                <w:b/>
                <w:sz w:val="22"/>
                <w:szCs w:val="22"/>
                <w:lang w:val="lt-LT" w:eastAsia="lt-LT"/>
              </w:rPr>
              <w:t xml:space="preserve"> (val.)</w:t>
            </w:r>
          </w:p>
        </w:tc>
        <w:tc>
          <w:tcPr>
            <w:tcW w:w="1156" w:type="pct"/>
            <w:gridSpan w:val="2"/>
            <w:tcBorders>
              <w:top w:val="single" w:sz="4" w:space="0" w:color="auto"/>
              <w:left w:val="nil"/>
              <w:bottom w:val="single" w:sz="4" w:space="0" w:color="auto"/>
              <w:right w:val="nil"/>
            </w:tcBorders>
          </w:tcPr>
          <w:p w14:paraId="1A4C2A47" w14:textId="7B65A601" w:rsidR="00107519" w:rsidRPr="00715891" w:rsidRDefault="00107519" w:rsidP="00107519">
            <w:pPr>
              <w:keepNext/>
              <w:keepLines/>
              <w:jc w:val="center"/>
              <w:rPr>
                <w:rFonts w:eastAsia="Calibri"/>
                <w:sz w:val="22"/>
                <w:szCs w:val="22"/>
                <w:lang w:val="lt-LT" w:eastAsia="lt-LT"/>
              </w:rPr>
            </w:pPr>
            <w:r w:rsidRPr="00715891">
              <w:rPr>
                <w:rFonts w:eastAsia="Calibri"/>
                <w:sz w:val="22"/>
                <w:szCs w:val="22"/>
                <w:lang w:val="lt-LT" w:eastAsia="lt-LT"/>
              </w:rPr>
              <w:t>3,32</w:t>
            </w:r>
            <w:r w:rsidR="003B251E" w:rsidRPr="00715891">
              <w:rPr>
                <w:rFonts w:eastAsia="Calibri"/>
                <w:sz w:val="22"/>
                <w:szCs w:val="22"/>
                <w:lang w:val="lt-LT" w:eastAsia="lt-LT"/>
              </w:rPr>
              <w:t> </w:t>
            </w:r>
            <w:r w:rsidRPr="00715891">
              <w:rPr>
                <w:rFonts w:eastAsia="Calibri"/>
                <w:sz w:val="22"/>
                <w:szCs w:val="22"/>
                <w:lang w:val="lt-LT" w:eastAsia="lt-LT"/>
              </w:rPr>
              <w:t>±</w:t>
            </w:r>
            <w:r w:rsidR="003B251E" w:rsidRPr="00715891">
              <w:rPr>
                <w:rFonts w:eastAsia="Calibri"/>
                <w:sz w:val="22"/>
                <w:szCs w:val="22"/>
                <w:lang w:val="lt-LT" w:eastAsia="lt-LT"/>
              </w:rPr>
              <w:t> </w:t>
            </w:r>
            <w:r w:rsidRPr="00715891">
              <w:rPr>
                <w:rFonts w:eastAsia="Calibri"/>
                <w:sz w:val="22"/>
                <w:szCs w:val="22"/>
                <w:lang w:val="lt-LT" w:eastAsia="lt-LT"/>
              </w:rPr>
              <w:t>0,47</w:t>
            </w:r>
          </w:p>
        </w:tc>
        <w:tc>
          <w:tcPr>
            <w:tcW w:w="933" w:type="pct"/>
            <w:gridSpan w:val="2"/>
            <w:tcBorders>
              <w:top w:val="single" w:sz="4" w:space="0" w:color="auto"/>
              <w:left w:val="nil"/>
              <w:bottom w:val="single" w:sz="4" w:space="0" w:color="auto"/>
              <w:right w:val="nil"/>
            </w:tcBorders>
          </w:tcPr>
          <w:p w14:paraId="76FEB583" w14:textId="27D9F3CE" w:rsidR="00107519" w:rsidRPr="00715891" w:rsidRDefault="00107519" w:rsidP="00107519">
            <w:pPr>
              <w:keepNext/>
              <w:keepLines/>
              <w:jc w:val="center"/>
              <w:rPr>
                <w:rFonts w:eastAsia="Calibri"/>
                <w:sz w:val="22"/>
                <w:szCs w:val="22"/>
                <w:lang w:val="lt-LT" w:eastAsia="lt-LT"/>
              </w:rPr>
            </w:pPr>
            <w:r w:rsidRPr="00715891">
              <w:rPr>
                <w:rFonts w:eastAsia="Calibri"/>
                <w:sz w:val="22"/>
                <w:szCs w:val="22"/>
                <w:lang w:val="lt-LT" w:eastAsia="lt-LT"/>
              </w:rPr>
              <w:t>2,52</w:t>
            </w:r>
            <w:r w:rsidR="003B251E" w:rsidRPr="00715891">
              <w:rPr>
                <w:rFonts w:eastAsia="Calibri"/>
                <w:sz w:val="22"/>
                <w:szCs w:val="22"/>
                <w:lang w:val="lt-LT" w:eastAsia="lt-LT"/>
              </w:rPr>
              <w:t> </w:t>
            </w:r>
            <w:r w:rsidRPr="00715891">
              <w:rPr>
                <w:rFonts w:eastAsia="Calibri"/>
                <w:sz w:val="22"/>
                <w:szCs w:val="22"/>
                <w:lang w:val="lt-LT" w:eastAsia="lt-LT"/>
              </w:rPr>
              <w:t>±</w:t>
            </w:r>
            <w:r w:rsidR="003B251E" w:rsidRPr="00715891">
              <w:rPr>
                <w:rFonts w:eastAsia="Calibri"/>
                <w:sz w:val="22"/>
                <w:szCs w:val="22"/>
                <w:lang w:val="lt-LT" w:eastAsia="lt-LT"/>
              </w:rPr>
              <w:t> </w:t>
            </w:r>
            <w:r w:rsidRPr="00715891">
              <w:rPr>
                <w:rFonts w:eastAsia="Calibri"/>
                <w:sz w:val="22"/>
                <w:szCs w:val="22"/>
                <w:lang w:val="lt-LT" w:eastAsia="lt-LT"/>
              </w:rPr>
              <w:t>0,55</w:t>
            </w:r>
          </w:p>
        </w:tc>
        <w:tc>
          <w:tcPr>
            <w:tcW w:w="987" w:type="pct"/>
            <w:tcBorders>
              <w:top w:val="single" w:sz="4" w:space="0" w:color="auto"/>
              <w:left w:val="nil"/>
              <w:bottom w:val="single" w:sz="4" w:space="0" w:color="auto"/>
              <w:right w:val="nil"/>
            </w:tcBorders>
          </w:tcPr>
          <w:p w14:paraId="24866CFC" w14:textId="750516DB" w:rsidR="00107519" w:rsidRPr="00715891" w:rsidRDefault="00107519" w:rsidP="00107519">
            <w:pPr>
              <w:keepNext/>
              <w:keepLines/>
              <w:jc w:val="center"/>
              <w:rPr>
                <w:rFonts w:eastAsia="Calibri"/>
                <w:sz w:val="22"/>
                <w:szCs w:val="22"/>
                <w:lang w:val="lt-LT" w:eastAsia="lt-LT"/>
              </w:rPr>
            </w:pPr>
            <w:r w:rsidRPr="00715891">
              <w:rPr>
                <w:rFonts w:eastAsia="Calibri"/>
                <w:sz w:val="22"/>
                <w:szCs w:val="22"/>
                <w:lang w:val="lt-LT" w:eastAsia="lt-LT"/>
              </w:rPr>
              <w:t>2,98</w:t>
            </w:r>
            <w:r w:rsidR="003B251E" w:rsidRPr="00715891">
              <w:rPr>
                <w:rFonts w:eastAsia="Calibri"/>
                <w:sz w:val="22"/>
                <w:szCs w:val="22"/>
                <w:lang w:val="lt-LT" w:eastAsia="lt-LT"/>
              </w:rPr>
              <w:t> </w:t>
            </w:r>
            <w:r w:rsidRPr="00715891">
              <w:rPr>
                <w:rFonts w:eastAsia="Calibri"/>
                <w:sz w:val="22"/>
                <w:szCs w:val="22"/>
                <w:lang w:val="lt-LT" w:eastAsia="lt-LT"/>
              </w:rPr>
              <w:t>±</w:t>
            </w:r>
            <w:r w:rsidR="003B251E" w:rsidRPr="00715891">
              <w:rPr>
                <w:rFonts w:eastAsia="Calibri"/>
                <w:sz w:val="22"/>
                <w:szCs w:val="22"/>
                <w:lang w:val="lt-LT" w:eastAsia="lt-LT"/>
              </w:rPr>
              <w:t> </w:t>
            </w:r>
            <w:r w:rsidRPr="00715891">
              <w:rPr>
                <w:rFonts w:eastAsia="Calibri"/>
                <w:sz w:val="22"/>
                <w:szCs w:val="22"/>
                <w:lang w:val="lt-LT" w:eastAsia="lt-LT"/>
              </w:rPr>
              <w:t>1,26</w:t>
            </w:r>
          </w:p>
        </w:tc>
        <w:tc>
          <w:tcPr>
            <w:tcW w:w="1102" w:type="pct"/>
            <w:tcBorders>
              <w:top w:val="single" w:sz="4" w:space="0" w:color="auto"/>
              <w:left w:val="nil"/>
              <w:bottom w:val="single" w:sz="4" w:space="0" w:color="auto"/>
              <w:right w:val="nil"/>
            </w:tcBorders>
          </w:tcPr>
          <w:p w14:paraId="540FC5E7" w14:textId="526D9078" w:rsidR="00107519" w:rsidRPr="00715891" w:rsidRDefault="00107519" w:rsidP="00107519">
            <w:pPr>
              <w:keepNext/>
              <w:keepLines/>
              <w:jc w:val="center"/>
              <w:rPr>
                <w:rFonts w:eastAsia="MS Mincho"/>
                <w:sz w:val="22"/>
                <w:szCs w:val="22"/>
                <w:lang w:val="lt-LT" w:eastAsia="ja-JP"/>
              </w:rPr>
            </w:pPr>
            <w:r w:rsidRPr="00715891">
              <w:rPr>
                <w:rFonts w:eastAsia="Calibri"/>
                <w:sz w:val="22"/>
                <w:szCs w:val="22"/>
                <w:lang w:val="lt-LT" w:eastAsia="lt-LT"/>
              </w:rPr>
              <w:t>2,98</w:t>
            </w:r>
            <w:r w:rsidR="003B251E" w:rsidRPr="00715891">
              <w:rPr>
                <w:rFonts w:eastAsia="Calibri"/>
                <w:sz w:val="22"/>
                <w:szCs w:val="22"/>
                <w:lang w:val="lt-LT" w:eastAsia="lt-LT"/>
              </w:rPr>
              <w:t> </w:t>
            </w:r>
            <w:r w:rsidRPr="00715891">
              <w:rPr>
                <w:rFonts w:eastAsia="Calibri"/>
                <w:sz w:val="22"/>
                <w:szCs w:val="22"/>
                <w:lang w:val="lt-LT" w:eastAsia="lt-LT"/>
              </w:rPr>
              <w:t>±</w:t>
            </w:r>
            <w:r w:rsidR="003B251E" w:rsidRPr="00715891">
              <w:rPr>
                <w:rFonts w:eastAsia="Calibri"/>
                <w:sz w:val="22"/>
                <w:szCs w:val="22"/>
                <w:lang w:val="lt-LT" w:eastAsia="lt-LT"/>
              </w:rPr>
              <w:t> </w:t>
            </w:r>
            <w:r w:rsidRPr="00715891">
              <w:rPr>
                <w:rFonts w:eastAsia="Calibri"/>
                <w:sz w:val="22"/>
                <w:szCs w:val="22"/>
                <w:lang w:val="lt-LT" w:eastAsia="lt-LT"/>
              </w:rPr>
              <w:t>1,12</w:t>
            </w:r>
          </w:p>
        </w:tc>
      </w:tr>
    </w:tbl>
    <w:p w14:paraId="2A1DC709" w14:textId="77777777" w:rsidR="00107519" w:rsidRPr="00715891" w:rsidRDefault="00107519" w:rsidP="00107519">
      <w:pPr>
        <w:rPr>
          <w:rFonts w:eastAsia="Calibri"/>
          <w:sz w:val="22"/>
          <w:szCs w:val="22"/>
          <w:lang w:val="lt-LT" w:eastAsia="lt-LT"/>
        </w:rPr>
      </w:pPr>
      <w:r w:rsidRPr="00715891">
        <w:rPr>
          <w:rFonts w:eastAsia="Calibri"/>
          <w:sz w:val="22"/>
          <w:szCs w:val="22"/>
          <w:lang w:val="lt-LT" w:eastAsia="lt-LT"/>
        </w:rPr>
        <w:t>GAN = Gancikloviras, vartotas į veną.</w:t>
      </w:r>
      <w:r w:rsidRPr="00715891">
        <w:rPr>
          <w:rFonts w:eastAsia="SimSun"/>
          <w:sz w:val="22"/>
          <w:szCs w:val="22"/>
          <w:lang w:val="lt-LT" w:eastAsia="ja-JP"/>
        </w:rPr>
        <w:t xml:space="preserve"> </w:t>
      </w:r>
      <w:r w:rsidRPr="00715891">
        <w:rPr>
          <w:rFonts w:eastAsia="Calibri"/>
          <w:sz w:val="22"/>
          <w:szCs w:val="22"/>
          <w:lang w:val="lt-LT" w:eastAsia="lt-LT"/>
        </w:rPr>
        <w:t>VAL = Valgancikloviras, geriamasis.</w:t>
      </w:r>
    </w:p>
    <w:p w14:paraId="53695DE3" w14:textId="77777777" w:rsidR="00107519" w:rsidRPr="00715891" w:rsidRDefault="00107519" w:rsidP="00107519">
      <w:pPr>
        <w:rPr>
          <w:sz w:val="22"/>
          <w:szCs w:val="22"/>
          <w:lang w:val="lt-LT" w:eastAsia="ja-JP"/>
        </w:rPr>
      </w:pPr>
    </w:p>
    <w:p w14:paraId="0C43C175" w14:textId="77777777" w:rsidR="00107519" w:rsidRPr="00715891" w:rsidRDefault="00107519" w:rsidP="00107519">
      <w:pPr>
        <w:rPr>
          <w:sz w:val="22"/>
          <w:szCs w:val="22"/>
          <w:lang w:val="lt-LT" w:eastAsia="ja-JP"/>
        </w:rPr>
      </w:pPr>
      <w:r w:rsidRPr="00715891">
        <w:rPr>
          <w:sz w:val="22"/>
          <w:szCs w:val="22"/>
          <w:lang w:val="lt-LT" w:eastAsia="ja-JP"/>
        </w:rPr>
        <w:t>Šie duomenys yra per maži, kad leistų daryti išvadas apie veiksmingumą ir pateikti dozavimo rekomendacijas vaikams, kuriems yra įgimta CMV infekcija.</w:t>
      </w:r>
    </w:p>
    <w:p w14:paraId="1E615FE0" w14:textId="77777777" w:rsidR="00107519" w:rsidRPr="00715891" w:rsidRDefault="00107519" w:rsidP="00107519">
      <w:pPr>
        <w:rPr>
          <w:sz w:val="22"/>
          <w:szCs w:val="22"/>
          <w:lang w:val="lt-LT" w:eastAsia="ja-JP"/>
        </w:rPr>
      </w:pPr>
    </w:p>
    <w:p w14:paraId="18A7DAF6" w14:textId="77777777" w:rsidR="001A239A" w:rsidRPr="00715891" w:rsidRDefault="001A239A" w:rsidP="001A239A">
      <w:pPr>
        <w:rPr>
          <w:i/>
          <w:sz w:val="22"/>
          <w:szCs w:val="22"/>
          <w:lang w:val="lt-LT" w:eastAsia="ja-JP"/>
        </w:rPr>
      </w:pPr>
      <w:r w:rsidRPr="00715891">
        <w:rPr>
          <w:i/>
          <w:sz w:val="22"/>
          <w:szCs w:val="22"/>
          <w:lang w:val="lt-LT" w:eastAsia="ja-JP"/>
        </w:rPr>
        <w:t>Senyvi pacientai</w:t>
      </w:r>
    </w:p>
    <w:p w14:paraId="7A87C6E3" w14:textId="504C1FD0" w:rsidR="001A239A" w:rsidRPr="00715891" w:rsidRDefault="001A239A" w:rsidP="001A239A">
      <w:pPr>
        <w:rPr>
          <w:sz w:val="22"/>
          <w:szCs w:val="22"/>
          <w:lang w:val="lt-LT" w:eastAsia="ja-JP"/>
        </w:rPr>
      </w:pPr>
      <w:r w:rsidRPr="00715891">
        <w:rPr>
          <w:sz w:val="22"/>
          <w:szCs w:val="22"/>
          <w:lang w:val="lt-LT" w:eastAsia="ja-JP"/>
        </w:rPr>
        <w:t>Valgancikloviro ar gancikloviro farmakokinetikos tyrimų vyresniems kaip 65</w:t>
      </w:r>
      <w:r w:rsidR="003B251E" w:rsidRPr="00715891">
        <w:rPr>
          <w:sz w:val="22"/>
          <w:szCs w:val="22"/>
          <w:lang w:val="lt-LT" w:eastAsia="ja-JP"/>
        </w:rPr>
        <w:t> </w:t>
      </w:r>
      <w:r w:rsidRPr="00715891">
        <w:rPr>
          <w:sz w:val="22"/>
          <w:szCs w:val="22"/>
          <w:lang w:val="lt-LT" w:eastAsia="ja-JP"/>
        </w:rPr>
        <w:t>metų suaugusiems pacientams neatlikta (žr. 4.2 skyrių).</w:t>
      </w:r>
    </w:p>
    <w:p w14:paraId="45E5E328" w14:textId="77777777" w:rsidR="001A239A" w:rsidRPr="00715891" w:rsidRDefault="001A239A" w:rsidP="001A239A">
      <w:pPr>
        <w:rPr>
          <w:sz w:val="22"/>
          <w:szCs w:val="22"/>
          <w:lang w:val="lt-LT" w:eastAsia="ja-JP"/>
        </w:rPr>
      </w:pPr>
    </w:p>
    <w:p w14:paraId="1F485691" w14:textId="77777777" w:rsidR="001A239A" w:rsidRPr="00715891" w:rsidRDefault="001A239A" w:rsidP="005B6B82">
      <w:pPr>
        <w:rPr>
          <w:i/>
          <w:sz w:val="22"/>
          <w:lang w:val="lt-LT"/>
        </w:rPr>
      </w:pPr>
      <w:r w:rsidRPr="00715891">
        <w:rPr>
          <w:i/>
          <w:sz w:val="22"/>
          <w:lang w:val="lt-LT"/>
        </w:rPr>
        <w:t>Sutrikusi inkstų funkcija</w:t>
      </w:r>
    </w:p>
    <w:p w14:paraId="352DB4C5" w14:textId="136D4EB3" w:rsidR="00B40C1A" w:rsidRPr="00715891" w:rsidRDefault="00B40C1A" w:rsidP="00B40C1A">
      <w:pPr>
        <w:rPr>
          <w:sz w:val="22"/>
          <w:szCs w:val="22"/>
          <w:lang w:val="lt-LT" w:eastAsia="ja-JP"/>
        </w:rPr>
      </w:pPr>
      <w:r w:rsidRPr="00715891">
        <w:rPr>
          <w:sz w:val="22"/>
          <w:szCs w:val="22"/>
          <w:lang w:val="lt-LT" w:eastAsia="ja-JP"/>
        </w:rPr>
        <w:t>Suformuoto organizme iš vienos išgertos 900</w:t>
      </w:r>
      <w:r w:rsidR="003B251E" w:rsidRPr="00715891">
        <w:rPr>
          <w:sz w:val="22"/>
          <w:szCs w:val="22"/>
          <w:lang w:val="lt-LT" w:eastAsia="ja-JP"/>
        </w:rPr>
        <w:t> </w:t>
      </w:r>
      <w:r w:rsidRPr="00715891">
        <w:rPr>
          <w:sz w:val="22"/>
          <w:szCs w:val="22"/>
          <w:lang w:val="lt-LT" w:eastAsia="ja-JP"/>
        </w:rPr>
        <w:t>mg valgancikloviro dozės gancikloviro farmakokinetika buvo įvertinta 24 savanoriams, kurių inkstų funkcija sutrikusi.</w:t>
      </w:r>
    </w:p>
    <w:p w14:paraId="357CB6F8" w14:textId="6370DE39" w:rsidR="00B40C1A" w:rsidRPr="00715891" w:rsidRDefault="00B40C1A" w:rsidP="00B40C1A">
      <w:pPr>
        <w:rPr>
          <w:sz w:val="22"/>
          <w:szCs w:val="22"/>
          <w:lang w:val="lt-LT" w:eastAsia="ja-JP"/>
        </w:rPr>
      </w:pPr>
      <w:r w:rsidRPr="00715891">
        <w:rPr>
          <w:sz w:val="22"/>
          <w:szCs w:val="22"/>
          <w:lang w:val="lt-LT" w:eastAsia="ja-JP"/>
        </w:rPr>
        <w:t>Gancikloviro, suformuoto iš vienos išgertos 900</w:t>
      </w:r>
      <w:r w:rsidR="003B251E" w:rsidRPr="00715891">
        <w:rPr>
          <w:sz w:val="22"/>
          <w:szCs w:val="22"/>
          <w:lang w:val="lt-LT" w:eastAsia="ja-JP"/>
        </w:rPr>
        <w:t> </w:t>
      </w:r>
      <w:r w:rsidRPr="00715891">
        <w:rPr>
          <w:sz w:val="22"/>
          <w:szCs w:val="22"/>
          <w:lang w:val="lt-LT" w:eastAsia="ja-JP"/>
        </w:rPr>
        <w:t>mg valgancikloviro tablečių dozės, farmakokinetikos parametrai pacient</w:t>
      </w:r>
      <w:r w:rsidR="009E7298" w:rsidRPr="00715891">
        <w:rPr>
          <w:sz w:val="22"/>
          <w:szCs w:val="22"/>
          <w:lang w:val="lt-LT" w:eastAsia="ja-JP"/>
        </w:rPr>
        <w:t xml:space="preserve">ams, kuriems yra </w:t>
      </w:r>
      <w:r w:rsidRPr="00715891">
        <w:rPr>
          <w:sz w:val="22"/>
          <w:szCs w:val="22"/>
          <w:lang w:val="lt-LT" w:eastAsia="ja-JP"/>
        </w:rPr>
        <w:t>įvairaus laipsnio inkstų funkcijos sutrikim</w:t>
      </w:r>
      <w:r w:rsidR="009E7298" w:rsidRPr="00715891">
        <w:rPr>
          <w:sz w:val="22"/>
          <w:szCs w:val="22"/>
          <w:lang w:val="lt-LT" w:eastAsia="ja-JP"/>
        </w:rPr>
        <w:t>as</w:t>
      </w:r>
      <w:r w:rsidRPr="00715891">
        <w:rPr>
          <w:sz w:val="22"/>
          <w:szCs w:val="22"/>
          <w:lang w:val="lt-LT" w:eastAsia="ja-JP"/>
        </w:rPr>
        <w:t>.</w:t>
      </w:r>
    </w:p>
    <w:p w14:paraId="0C8413ED" w14:textId="77777777" w:rsidR="00B40C1A" w:rsidRPr="00715891" w:rsidRDefault="00B40C1A" w:rsidP="00B40C1A">
      <w:pPr>
        <w:rPr>
          <w:sz w:val="22"/>
          <w:szCs w:val="22"/>
          <w:lang w:val="lt-LT"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676"/>
        <w:gridCol w:w="2165"/>
        <w:gridCol w:w="2029"/>
        <w:gridCol w:w="2299"/>
      </w:tblGrid>
      <w:tr w:rsidR="005B6B82" w:rsidRPr="004C2447" w14:paraId="114C6665" w14:textId="77777777" w:rsidTr="00EF476A">
        <w:tc>
          <w:tcPr>
            <w:tcW w:w="1043" w:type="pct"/>
            <w:shd w:val="clear" w:color="auto" w:fill="auto"/>
          </w:tcPr>
          <w:p w14:paraId="41FD17AE" w14:textId="77777777" w:rsidR="00B40C1A" w:rsidRPr="00715891" w:rsidRDefault="00B40C1A" w:rsidP="009E7298">
            <w:pPr>
              <w:rPr>
                <w:sz w:val="22"/>
                <w:szCs w:val="22"/>
                <w:lang w:val="lt-LT" w:eastAsia="ja-JP"/>
              </w:rPr>
            </w:pPr>
            <w:r w:rsidRPr="00715891">
              <w:rPr>
                <w:b/>
                <w:bCs/>
                <w:sz w:val="22"/>
                <w:szCs w:val="22"/>
                <w:lang w:val="lt-LT" w:eastAsia="ja-JP"/>
              </w:rPr>
              <w:t>Apskaičiuotas kreatinino klirensas (ml/min)</w:t>
            </w:r>
          </w:p>
        </w:tc>
        <w:tc>
          <w:tcPr>
            <w:tcW w:w="373" w:type="pct"/>
            <w:shd w:val="clear" w:color="auto" w:fill="auto"/>
          </w:tcPr>
          <w:p w14:paraId="25824AF9" w14:textId="77777777" w:rsidR="00B40C1A" w:rsidRPr="00715891" w:rsidRDefault="00B40C1A" w:rsidP="00B40C1A">
            <w:pPr>
              <w:rPr>
                <w:b/>
                <w:sz w:val="22"/>
                <w:szCs w:val="22"/>
                <w:lang w:val="lt-LT" w:eastAsia="ja-JP"/>
              </w:rPr>
            </w:pPr>
            <w:r w:rsidRPr="00715891">
              <w:rPr>
                <w:b/>
                <w:sz w:val="22"/>
                <w:szCs w:val="22"/>
                <w:lang w:val="lt-LT" w:eastAsia="ja-JP"/>
              </w:rPr>
              <w:t>N</w:t>
            </w:r>
          </w:p>
        </w:tc>
        <w:tc>
          <w:tcPr>
            <w:tcW w:w="1195" w:type="pct"/>
            <w:shd w:val="clear" w:color="auto" w:fill="auto"/>
          </w:tcPr>
          <w:p w14:paraId="1283075B" w14:textId="77777777" w:rsidR="00B40C1A" w:rsidRPr="00715891" w:rsidRDefault="00B40C1A" w:rsidP="00B40C1A">
            <w:pPr>
              <w:rPr>
                <w:b/>
                <w:bCs/>
                <w:sz w:val="22"/>
                <w:szCs w:val="22"/>
                <w:lang w:val="lt-LT" w:eastAsia="ja-JP"/>
              </w:rPr>
            </w:pPr>
            <w:r w:rsidRPr="00715891">
              <w:rPr>
                <w:b/>
                <w:bCs/>
                <w:sz w:val="22"/>
                <w:szCs w:val="22"/>
                <w:lang w:val="lt-LT" w:eastAsia="ja-JP"/>
              </w:rPr>
              <w:t>Tariamasis klirensas (m</w:t>
            </w:r>
            <w:r w:rsidR="009E7298" w:rsidRPr="00715891">
              <w:rPr>
                <w:b/>
                <w:bCs/>
                <w:sz w:val="22"/>
                <w:szCs w:val="22"/>
                <w:lang w:val="lt-LT" w:eastAsia="ja-JP"/>
              </w:rPr>
              <w:t>l</w:t>
            </w:r>
            <w:r w:rsidRPr="00715891">
              <w:rPr>
                <w:b/>
                <w:bCs/>
                <w:sz w:val="22"/>
                <w:szCs w:val="22"/>
                <w:lang w:val="lt-LT" w:eastAsia="ja-JP"/>
              </w:rPr>
              <w:t xml:space="preserve">/min) </w:t>
            </w:r>
          </w:p>
          <w:p w14:paraId="47BDD9D1" w14:textId="77777777" w:rsidR="00B40C1A" w:rsidRPr="00715891" w:rsidRDefault="00B40C1A" w:rsidP="00B40C1A">
            <w:pPr>
              <w:rPr>
                <w:sz w:val="22"/>
                <w:szCs w:val="22"/>
                <w:lang w:val="lt-LT" w:eastAsia="ja-JP"/>
              </w:rPr>
            </w:pPr>
            <w:r w:rsidRPr="00715891">
              <w:rPr>
                <w:b/>
                <w:bCs/>
                <w:sz w:val="22"/>
                <w:szCs w:val="22"/>
                <w:lang w:val="lt-LT" w:eastAsia="ja-JP"/>
              </w:rPr>
              <w:t xml:space="preserve">Vidurkis </w:t>
            </w:r>
            <w:r w:rsidRPr="00715891">
              <w:rPr>
                <w:rFonts w:ascii="Symbol" w:eastAsia="Calibri" w:hAnsi="Symbol" w:cs="Symbol"/>
                <w:sz w:val="22"/>
                <w:szCs w:val="22"/>
                <w:lang w:val="lt-LT" w:eastAsia="lt-LT"/>
              </w:rPr>
              <w:t></w:t>
            </w:r>
            <w:r w:rsidRPr="00715891">
              <w:rPr>
                <w:rFonts w:ascii="Symbol" w:eastAsia="Calibri" w:hAnsi="Symbol" w:cs="Symbol"/>
                <w:sz w:val="22"/>
                <w:szCs w:val="22"/>
                <w:lang w:val="lt-LT" w:eastAsia="lt-LT"/>
              </w:rPr>
              <w:t></w:t>
            </w:r>
            <w:r w:rsidRPr="00715891">
              <w:rPr>
                <w:b/>
                <w:bCs/>
                <w:sz w:val="22"/>
                <w:szCs w:val="22"/>
                <w:lang w:val="lt-LT" w:eastAsia="ja-JP"/>
              </w:rPr>
              <w:t>SN</w:t>
            </w:r>
          </w:p>
        </w:tc>
        <w:tc>
          <w:tcPr>
            <w:tcW w:w="1120" w:type="pct"/>
            <w:shd w:val="clear" w:color="auto" w:fill="auto"/>
          </w:tcPr>
          <w:p w14:paraId="595A03C3" w14:textId="77777777" w:rsidR="00B40C1A" w:rsidRPr="00715891" w:rsidRDefault="00B40C1A" w:rsidP="009E7298">
            <w:pPr>
              <w:rPr>
                <w:sz w:val="22"/>
                <w:szCs w:val="22"/>
                <w:lang w:val="lt-LT" w:eastAsia="ja-JP"/>
              </w:rPr>
            </w:pPr>
            <w:r w:rsidRPr="00715891">
              <w:rPr>
                <w:b/>
                <w:bCs/>
                <w:sz w:val="22"/>
                <w:szCs w:val="22"/>
                <w:lang w:val="lt-LT" w:eastAsia="ja-JP"/>
              </w:rPr>
              <w:t>AUC</w:t>
            </w:r>
            <w:r w:rsidRPr="00715891">
              <w:rPr>
                <w:b/>
                <w:bCs/>
                <w:sz w:val="22"/>
                <w:szCs w:val="22"/>
                <w:vertAlign w:val="subscript"/>
                <w:lang w:val="lt-LT" w:eastAsia="ja-JP"/>
              </w:rPr>
              <w:t>pask</w:t>
            </w:r>
            <w:r w:rsidRPr="00715891">
              <w:rPr>
                <w:b/>
                <w:bCs/>
                <w:sz w:val="22"/>
                <w:szCs w:val="22"/>
                <w:lang w:val="lt-LT" w:eastAsia="ja-JP"/>
              </w:rPr>
              <w:t xml:space="preserve"> (</w:t>
            </w:r>
            <w:r w:rsidR="009E7298" w:rsidRPr="00715891">
              <w:rPr>
                <w:b/>
                <w:bCs/>
                <w:sz w:val="22"/>
                <w:szCs w:val="22"/>
                <w:lang w:val="lt-LT" w:eastAsia="ja-JP"/>
              </w:rPr>
              <w:t>µ</w:t>
            </w:r>
            <w:r w:rsidRPr="00715891">
              <w:rPr>
                <w:b/>
                <w:bCs/>
                <w:sz w:val="22"/>
                <w:szCs w:val="22"/>
                <w:lang w:val="lt-LT" w:eastAsia="ja-JP"/>
              </w:rPr>
              <w:t>g∙val</w:t>
            </w:r>
            <w:r w:rsidR="009E7298" w:rsidRPr="00715891">
              <w:rPr>
                <w:b/>
                <w:bCs/>
                <w:sz w:val="22"/>
                <w:szCs w:val="22"/>
                <w:lang w:val="lt-LT" w:eastAsia="ja-JP"/>
              </w:rPr>
              <w:t>.</w:t>
            </w:r>
            <w:r w:rsidRPr="00715891">
              <w:rPr>
                <w:b/>
                <w:bCs/>
                <w:sz w:val="22"/>
                <w:szCs w:val="22"/>
                <w:lang w:val="lt-LT" w:eastAsia="ja-JP"/>
              </w:rPr>
              <w:t>/m</w:t>
            </w:r>
            <w:r w:rsidR="009E7298" w:rsidRPr="00715891">
              <w:rPr>
                <w:b/>
                <w:bCs/>
                <w:sz w:val="22"/>
                <w:szCs w:val="22"/>
                <w:lang w:val="lt-LT" w:eastAsia="ja-JP"/>
              </w:rPr>
              <w:t>l</w:t>
            </w:r>
            <w:r w:rsidRPr="00715891">
              <w:rPr>
                <w:b/>
                <w:bCs/>
                <w:sz w:val="22"/>
                <w:szCs w:val="22"/>
                <w:lang w:val="lt-LT" w:eastAsia="ja-JP"/>
              </w:rPr>
              <w:t xml:space="preserve">) Vidurkis </w:t>
            </w:r>
            <w:r w:rsidRPr="00715891">
              <w:rPr>
                <w:rFonts w:ascii="Symbol" w:eastAsia="Calibri" w:hAnsi="Symbol" w:cs="Symbol"/>
                <w:sz w:val="22"/>
                <w:szCs w:val="22"/>
                <w:lang w:val="lt-LT" w:eastAsia="lt-LT"/>
              </w:rPr>
              <w:t></w:t>
            </w:r>
            <w:r w:rsidRPr="00715891">
              <w:rPr>
                <w:rFonts w:ascii="Symbol" w:eastAsia="Calibri" w:hAnsi="Symbol" w:cs="Symbol"/>
                <w:sz w:val="22"/>
                <w:szCs w:val="22"/>
                <w:lang w:val="lt-LT" w:eastAsia="lt-LT"/>
              </w:rPr>
              <w:t></w:t>
            </w:r>
            <w:r w:rsidRPr="00715891">
              <w:rPr>
                <w:b/>
                <w:bCs/>
                <w:sz w:val="22"/>
                <w:szCs w:val="22"/>
                <w:lang w:val="lt-LT" w:eastAsia="ja-JP"/>
              </w:rPr>
              <w:t>SN</w:t>
            </w:r>
          </w:p>
        </w:tc>
        <w:tc>
          <w:tcPr>
            <w:tcW w:w="1269" w:type="pct"/>
            <w:shd w:val="clear" w:color="auto" w:fill="auto"/>
          </w:tcPr>
          <w:p w14:paraId="6D4F2BB3" w14:textId="77777777" w:rsidR="00B40C1A" w:rsidRPr="00715891" w:rsidRDefault="00B40C1A" w:rsidP="00323B04">
            <w:pPr>
              <w:rPr>
                <w:sz w:val="22"/>
                <w:szCs w:val="22"/>
                <w:lang w:val="lt-LT" w:eastAsia="ja-JP"/>
              </w:rPr>
            </w:pPr>
            <w:r w:rsidRPr="00715891">
              <w:rPr>
                <w:b/>
                <w:bCs/>
                <w:sz w:val="22"/>
                <w:szCs w:val="22"/>
                <w:lang w:val="lt-LT" w:eastAsia="ja-JP"/>
              </w:rPr>
              <w:t>Pusini</w:t>
            </w:r>
            <w:r w:rsidR="00323B04" w:rsidRPr="00715891">
              <w:rPr>
                <w:b/>
                <w:bCs/>
                <w:sz w:val="22"/>
                <w:szCs w:val="22"/>
                <w:lang w:val="lt-LT" w:eastAsia="ja-JP"/>
              </w:rPr>
              <w:t>o</w:t>
            </w:r>
            <w:r w:rsidRPr="00715891">
              <w:rPr>
                <w:b/>
                <w:bCs/>
                <w:sz w:val="22"/>
                <w:szCs w:val="22"/>
                <w:lang w:val="lt-LT" w:eastAsia="ja-JP"/>
              </w:rPr>
              <w:t xml:space="preserve"> gyvavimo laikas (valandomis) Vidurkis </w:t>
            </w:r>
            <w:r w:rsidRPr="00715891">
              <w:rPr>
                <w:rFonts w:ascii="Symbol" w:eastAsia="Calibri" w:hAnsi="Symbol" w:cs="Symbol"/>
                <w:sz w:val="22"/>
                <w:szCs w:val="22"/>
                <w:lang w:val="lt-LT" w:eastAsia="lt-LT"/>
              </w:rPr>
              <w:t></w:t>
            </w:r>
            <w:r w:rsidRPr="00715891">
              <w:rPr>
                <w:rFonts w:ascii="Symbol" w:eastAsia="Calibri" w:hAnsi="Symbol" w:cs="Symbol"/>
                <w:sz w:val="22"/>
                <w:szCs w:val="22"/>
                <w:lang w:val="lt-LT" w:eastAsia="lt-LT"/>
              </w:rPr>
              <w:t></w:t>
            </w:r>
            <w:r w:rsidRPr="00715891">
              <w:rPr>
                <w:b/>
                <w:bCs/>
                <w:sz w:val="22"/>
                <w:szCs w:val="22"/>
                <w:lang w:val="lt-LT" w:eastAsia="ja-JP"/>
              </w:rPr>
              <w:t>SN</w:t>
            </w:r>
          </w:p>
        </w:tc>
      </w:tr>
      <w:tr w:rsidR="005B6B82" w:rsidRPr="00715891" w14:paraId="2758CA83" w14:textId="77777777" w:rsidTr="00EF476A">
        <w:tc>
          <w:tcPr>
            <w:tcW w:w="1043" w:type="pct"/>
            <w:shd w:val="clear" w:color="auto" w:fill="auto"/>
          </w:tcPr>
          <w:p w14:paraId="3B00E79D" w14:textId="7C0A2F8F" w:rsidR="00B40C1A" w:rsidRPr="00715891" w:rsidRDefault="00B40C1A" w:rsidP="00B40C1A">
            <w:pPr>
              <w:rPr>
                <w:sz w:val="22"/>
                <w:szCs w:val="22"/>
                <w:lang w:val="lt-LT" w:eastAsia="ja-JP"/>
              </w:rPr>
            </w:pPr>
            <w:r w:rsidRPr="00715891">
              <w:rPr>
                <w:sz w:val="22"/>
                <w:szCs w:val="22"/>
                <w:lang w:val="lt-LT" w:eastAsia="ja-JP"/>
              </w:rPr>
              <w:t>51</w:t>
            </w:r>
            <w:r w:rsidR="003B251E" w:rsidRPr="00715891">
              <w:rPr>
                <w:sz w:val="22"/>
                <w:szCs w:val="22"/>
                <w:lang w:val="lt-LT" w:eastAsia="ja-JP"/>
              </w:rPr>
              <w:t> </w:t>
            </w:r>
            <w:r w:rsidR="003B251E" w:rsidRPr="00715891">
              <w:rPr>
                <w:sz w:val="22"/>
                <w:szCs w:val="22"/>
                <w:lang w:val="lt-LT" w:eastAsia="ja-JP"/>
              </w:rPr>
              <w:noBreakHyphen/>
              <w:t> </w:t>
            </w:r>
            <w:r w:rsidRPr="00715891">
              <w:rPr>
                <w:sz w:val="22"/>
                <w:szCs w:val="22"/>
                <w:lang w:val="lt-LT" w:eastAsia="ja-JP"/>
              </w:rPr>
              <w:t>70</w:t>
            </w:r>
          </w:p>
        </w:tc>
        <w:tc>
          <w:tcPr>
            <w:tcW w:w="373" w:type="pct"/>
            <w:shd w:val="clear" w:color="auto" w:fill="auto"/>
          </w:tcPr>
          <w:p w14:paraId="2CC25158" w14:textId="77777777" w:rsidR="00B40C1A" w:rsidRPr="00715891" w:rsidRDefault="00B40C1A" w:rsidP="00B40C1A">
            <w:pPr>
              <w:rPr>
                <w:sz w:val="22"/>
                <w:szCs w:val="22"/>
                <w:lang w:val="lt-LT" w:eastAsia="ja-JP"/>
              </w:rPr>
            </w:pPr>
            <w:r w:rsidRPr="00715891">
              <w:rPr>
                <w:sz w:val="22"/>
                <w:szCs w:val="22"/>
                <w:lang w:val="lt-LT" w:eastAsia="ja-JP"/>
              </w:rPr>
              <w:t xml:space="preserve">6 </w:t>
            </w:r>
          </w:p>
        </w:tc>
        <w:tc>
          <w:tcPr>
            <w:tcW w:w="1195" w:type="pct"/>
            <w:shd w:val="clear" w:color="auto" w:fill="auto"/>
          </w:tcPr>
          <w:p w14:paraId="35B7789B" w14:textId="09D486C9" w:rsidR="00B40C1A" w:rsidRPr="00715891" w:rsidRDefault="00B40C1A" w:rsidP="00B40C1A">
            <w:pPr>
              <w:rPr>
                <w:sz w:val="22"/>
                <w:szCs w:val="22"/>
                <w:lang w:val="lt-LT" w:eastAsia="ja-JP"/>
              </w:rPr>
            </w:pPr>
            <w:r w:rsidRPr="00715891">
              <w:rPr>
                <w:sz w:val="22"/>
                <w:szCs w:val="22"/>
                <w:lang w:val="lt-LT" w:eastAsia="ja-JP"/>
              </w:rPr>
              <w:t>249</w:t>
            </w:r>
            <w:r w:rsidR="003B251E" w:rsidRPr="00715891">
              <w:rPr>
                <w:sz w:val="22"/>
                <w:szCs w:val="22"/>
                <w:lang w:val="lt-LT" w:eastAsia="ja-JP"/>
              </w:rPr>
              <w:t> </w:t>
            </w:r>
            <w:r w:rsidRPr="00715891">
              <w:rPr>
                <w:rFonts w:ascii="Symbol" w:eastAsia="Calibri" w:hAnsi="Symbol" w:cs="Symbol"/>
                <w:sz w:val="22"/>
                <w:szCs w:val="22"/>
                <w:lang w:val="lt-LT" w:eastAsia="lt-LT"/>
              </w:rPr>
              <w:t></w:t>
            </w:r>
            <w:r w:rsidR="003B251E" w:rsidRPr="00715891">
              <w:rPr>
                <w:sz w:val="22"/>
                <w:szCs w:val="22"/>
                <w:lang w:val="lt-LT" w:eastAsia="ja-JP"/>
              </w:rPr>
              <w:t> </w:t>
            </w:r>
            <w:r w:rsidRPr="00715891">
              <w:rPr>
                <w:sz w:val="22"/>
                <w:szCs w:val="22"/>
                <w:lang w:val="lt-LT" w:eastAsia="ja-JP"/>
              </w:rPr>
              <w:t>99</w:t>
            </w:r>
          </w:p>
        </w:tc>
        <w:tc>
          <w:tcPr>
            <w:tcW w:w="1120" w:type="pct"/>
            <w:shd w:val="clear" w:color="auto" w:fill="auto"/>
          </w:tcPr>
          <w:p w14:paraId="5A9AB1C4" w14:textId="70A4D747" w:rsidR="00B40C1A" w:rsidRPr="00715891" w:rsidRDefault="00B40C1A" w:rsidP="00B40C1A">
            <w:pPr>
              <w:rPr>
                <w:sz w:val="22"/>
                <w:szCs w:val="22"/>
                <w:lang w:val="lt-LT" w:eastAsia="ja-JP"/>
              </w:rPr>
            </w:pPr>
            <w:r w:rsidRPr="00715891">
              <w:rPr>
                <w:sz w:val="22"/>
                <w:szCs w:val="22"/>
                <w:lang w:val="lt-LT" w:eastAsia="ja-JP"/>
              </w:rPr>
              <w:t>49,5</w:t>
            </w:r>
            <w:r w:rsidR="003B251E" w:rsidRPr="00715891">
              <w:rPr>
                <w:sz w:val="22"/>
                <w:szCs w:val="22"/>
                <w:lang w:val="lt-LT" w:eastAsia="ja-JP"/>
              </w:rPr>
              <w:t> </w:t>
            </w:r>
            <w:r w:rsidRPr="00715891">
              <w:rPr>
                <w:rFonts w:ascii="Symbol" w:eastAsia="Calibri" w:hAnsi="Symbol" w:cs="Symbol"/>
                <w:sz w:val="22"/>
                <w:szCs w:val="22"/>
                <w:lang w:val="lt-LT" w:eastAsia="lt-LT"/>
              </w:rPr>
              <w:t></w:t>
            </w:r>
            <w:r w:rsidR="003B251E" w:rsidRPr="00715891">
              <w:rPr>
                <w:sz w:val="22"/>
                <w:szCs w:val="22"/>
                <w:lang w:val="lt-LT" w:eastAsia="ja-JP"/>
              </w:rPr>
              <w:t> </w:t>
            </w:r>
            <w:r w:rsidRPr="00715891">
              <w:rPr>
                <w:sz w:val="22"/>
                <w:szCs w:val="22"/>
                <w:lang w:val="lt-LT" w:eastAsia="ja-JP"/>
              </w:rPr>
              <w:t>22,4</w:t>
            </w:r>
          </w:p>
        </w:tc>
        <w:tc>
          <w:tcPr>
            <w:tcW w:w="1269" w:type="pct"/>
            <w:shd w:val="clear" w:color="auto" w:fill="auto"/>
          </w:tcPr>
          <w:p w14:paraId="7BA295C6" w14:textId="7E269C37" w:rsidR="00B40C1A" w:rsidRPr="00715891" w:rsidRDefault="00B40C1A" w:rsidP="00B40C1A">
            <w:pPr>
              <w:rPr>
                <w:sz w:val="22"/>
                <w:szCs w:val="22"/>
                <w:lang w:val="lt-LT" w:eastAsia="ja-JP"/>
              </w:rPr>
            </w:pPr>
            <w:r w:rsidRPr="00715891">
              <w:rPr>
                <w:sz w:val="22"/>
                <w:szCs w:val="22"/>
                <w:lang w:val="lt-LT" w:eastAsia="ja-JP"/>
              </w:rPr>
              <w:t>4,85</w:t>
            </w:r>
            <w:r w:rsidR="003B251E" w:rsidRPr="00715891">
              <w:rPr>
                <w:sz w:val="22"/>
                <w:szCs w:val="22"/>
                <w:lang w:val="lt-LT" w:eastAsia="ja-JP"/>
              </w:rPr>
              <w:t> </w:t>
            </w:r>
            <w:r w:rsidRPr="00715891">
              <w:rPr>
                <w:rFonts w:ascii="Symbol" w:eastAsia="Calibri" w:hAnsi="Symbol" w:cs="Symbol"/>
                <w:sz w:val="22"/>
                <w:szCs w:val="22"/>
                <w:lang w:val="lt-LT" w:eastAsia="lt-LT"/>
              </w:rPr>
              <w:t></w:t>
            </w:r>
            <w:r w:rsidR="003B251E" w:rsidRPr="00715891">
              <w:rPr>
                <w:sz w:val="22"/>
                <w:szCs w:val="22"/>
                <w:lang w:val="lt-LT" w:eastAsia="ja-JP"/>
              </w:rPr>
              <w:t> </w:t>
            </w:r>
            <w:r w:rsidRPr="00715891">
              <w:rPr>
                <w:sz w:val="22"/>
                <w:szCs w:val="22"/>
                <w:lang w:val="lt-LT" w:eastAsia="ja-JP"/>
              </w:rPr>
              <w:t>1,4</w:t>
            </w:r>
          </w:p>
        </w:tc>
      </w:tr>
      <w:tr w:rsidR="005B6B82" w:rsidRPr="00715891" w14:paraId="6F44D50C" w14:textId="77777777" w:rsidTr="00EF476A">
        <w:tc>
          <w:tcPr>
            <w:tcW w:w="1043" w:type="pct"/>
            <w:shd w:val="clear" w:color="auto" w:fill="auto"/>
          </w:tcPr>
          <w:p w14:paraId="145DC78E" w14:textId="2A43EEFB" w:rsidR="00B40C1A" w:rsidRPr="00715891" w:rsidRDefault="00B40C1A" w:rsidP="00B40C1A">
            <w:pPr>
              <w:rPr>
                <w:sz w:val="22"/>
                <w:szCs w:val="22"/>
                <w:lang w:val="lt-LT" w:eastAsia="ja-JP"/>
              </w:rPr>
            </w:pPr>
            <w:r w:rsidRPr="00715891">
              <w:rPr>
                <w:sz w:val="22"/>
                <w:szCs w:val="22"/>
                <w:lang w:val="lt-LT" w:eastAsia="ja-JP"/>
              </w:rPr>
              <w:t>21</w:t>
            </w:r>
            <w:r w:rsidR="003B251E" w:rsidRPr="00715891">
              <w:rPr>
                <w:sz w:val="22"/>
                <w:szCs w:val="22"/>
                <w:lang w:val="lt-LT" w:eastAsia="ja-JP"/>
              </w:rPr>
              <w:t> </w:t>
            </w:r>
            <w:r w:rsidR="003B251E" w:rsidRPr="00715891">
              <w:rPr>
                <w:sz w:val="22"/>
                <w:szCs w:val="22"/>
                <w:lang w:val="lt-LT" w:eastAsia="ja-JP"/>
              </w:rPr>
              <w:noBreakHyphen/>
              <w:t> </w:t>
            </w:r>
            <w:r w:rsidRPr="00715891">
              <w:rPr>
                <w:sz w:val="22"/>
                <w:szCs w:val="22"/>
                <w:lang w:val="lt-LT" w:eastAsia="ja-JP"/>
              </w:rPr>
              <w:t>50</w:t>
            </w:r>
          </w:p>
        </w:tc>
        <w:tc>
          <w:tcPr>
            <w:tcW w:w="373" w:type="pct"/>
            <w:shd w:val="clear" w:color="auto" w:fill="auto"/>
          </w:tcPr>
          <w:p w14:paraId="6CBD3C65" w14:textId="77777777" w:rsidR="00B40C1A" w:rsidRPr="00715891" w:rsidRDefault="00B40C1A" w:rsidP="00B40C1A">
            <w:pPr>
              <w:rPr>
                <w:sz w:val="22"/>
                <w:szCs w:val="22"/>
                <w:lang w:val="lt-LT" w:eastAsia="ja-JP"/>
              </w:rPr>
            </w:pPr>
            <w:r w:rsidRPr="00715891">
              <w:rPr>
                <w:sz w:val="22"/>
                <w:szCs w:val="22"/>
                <w:lang w:val="lt-LT" w:eastAsia="ja-JP"/>
              </w:rPr>
              <w:t xml:space="preserve">6 </w:t>
            </w:r>
          </w:p>
        </w:tc>
        <w:tc>
          <w:tcPr>
            <w:tcW w:w="1195" w:type="pct"/>
            <w:shd w:val="clear" w:color="auto" w:fill="auto"/>
          </w:tcPr>
          <w:p w14:paraId="32C2D62B" w14:textId="5EBA77A6" w:rsidR="00B40C1A" w:rsidRPr="00715891" w:rsidRDefault="00B40C1A" w:rsidP="00B40C1A">
            <w:pPr>
              <w:rPr>
                <w:sz w:val="22"/>
                <w:szCs w:val="22"/>
                <w:lang w:val="lt-LT" w:eastAsia="ja-JP"/>
              </w:rPr>
            </w:pPr>
            <w:r w:rsidRPr="00715891">
              <w:rPr>
                <w:sz w:val="22"/>
                <w:szCs w:val="22"/>
                <w:lang w:val="lt-LT" w:eastAsia="ja-JP"/>
              </w:rPr>
              <w:t>136</w:t>
            </w:r>
            <w:r w:rsidR="003B251E" w:rsidRPr="00715891">
              <w:rPr>
                <w:sz w:val="22"/>
                <w:szCs w:val="22"/>
                <w:lang w:val="lt-LT" w:eastAsia="ja-JP"/>
              </w:rPr>
              <w:t> </w:t>
            </w:r>
            <w:r w:rsidRPr="00715891">
              <w:rPr>
                <w:rFonts w:ascii="Symbol" w:eastAsia="Calibri" w:hAnsi="Symbol" w:cs="Symbol"/>
                <w:sz w:val="22"/>
                <w:szCs w:val="22"/>
                <w:lang w:val="lt-LT" w:eastAsia="lt-LT"/>
              </w:rPr>
              <w:t></w:t>
            </w:r>
            <w:r w:rsidR="003B251E" w:rsidRPr="00715891">
              <w:rPr>
                <w:sz w:val="22"/>
                <w:szCs w:val="22"/>
                <w:lang w:val="lt-LT" w:eastAsia="ja-JP"/>
              </w:rPr>
              <w:t> </w:t>
            </w:r>
            <w:r w:rsidRPr="00715891">
              <w:rPr>
                <w:sz w:val="22"/>
                <w:szCs w:val="22"/>
                <w:lang w:val="lt-LT" w:eastAsia="ja-JP"/>
              </w:rPr>
              <w:t>64</w:t>
            </w:r>
          </w:p>
        </w:tc>
        <w:tc>
          <w:tcPr>
            <w:tcW w:w="1120" w:type="pct"/>
            <w:shd w:val="clear" w:color="auto" w:fill="auto"/>
          </w:tcPr>
          <w:p w14:paraId="779F039D" w14:textId="65E18FE3" w:rsidR="00B40C1A" w:rsidRPr="00715891" w:rsidRDefault="00B40C1A" w:rsidP="00B40C1A">
            <w:pPr>
              <w:rPr>
                <w:sz w:val="22"/>
                <w:szCs w:val="22"/>
                <w:lang w:val="lt-LT" w:eastAsia="ja-JP"/>
              </w:rPr>
            </w:pPr>
            <w:r w:rsidRPr="00715891">
              <w:rPr>
                <w:sz w:val="22"/>
                <w:szCs w:val="22"/>
                <w:lang w:val="lt-LT" w:eastAsia="ja-JP"/>
              </w:rPr>
              <w:t>91,9</w:t>
            </w:r>
            <w:r w:rsidR="003B251E" w:rsidRPr="00715891">
              <w:rPr>
                <w:sz w:val="22"/>
                <w:szCs w:val="22"/>
                <w:lang w:val="lt-LT" w:eastAsia="ja-JP"/>
              </w:rPr>
              <w:t> </w:t>
            </w:r>
            <w:r w:rsidRPr="00715891">
              <w:rPr>
                <w:rFonts w:ascii="Symbol" w:eastAsia="Calibri" w:hAnsi="Symbol" w:cs="Symbol"/>
                <w:sz w:val="22"/>
                <w:szCs w:val="22"/>
                <w:lang w:val="lt-LT" w:eastAsia="lt-LT"/>
              </w:rPr>
              <w:t></w:t>
            </w:r>
            <w:r w:rsidR="003B251E" w:rsidRPr="00715891">
              <w:rPr>
                <w:sz w:val="22"/>
                <w:szCs w:val="22"/>
                <w:lang w:val="lt-LT" w:eastAsia="ja-JP"/>
              </w:rPr>
              <w:t> </w:t>
            </w:r>
            <w:r w:rsidRPr="00715891">
              <w:rPr>
                <w:sz w:val="22"/>
                <w:szCs w:val="22"/>
                <w:lang w:val="lt-LT" w:eastAsia="ja-JP"/>
              </w:rPr>
              <w:t>43,9</w:t>
            </w:r>
          </w:p>
        </w:tc>
        <w:tc>
          <w:tcPr>
            <w:tcW w:w="1269" w:type="pct"/>
            <w:shd w:val="clear" w:color="auto" w:fill="auto"/>
          </w:tcPr>
          <w:p w14:paraId="2A5A8FA1" w14:textId="26BC63A1" w:rsidR="00B40C1A" w:rsidRPr="00715891" w:rsidRDefault="00B40C1A" w:rsidP="00A76348">
            <w:pPr>
              <w:rPr>
                <w:sz w:val="22"/>
                <w:szCs w:val="22"/>
                <w:lang w:val="lt-LT" w:eastAsia="ja-JP"/>
              </w:rPr>
            </w:pPr>
            <w:r w:rsidRPr="00715891">
              <w:rPr>
                <w:sz w:val="22"/>
                <w:szCs w:val="22"/>
                <w:lang w:val="lt-LT" w:eastAsia="ja-JP"/>
              </w:rPr>
              <w:t>10,2</w:t>
            </w:r>
            <w:r w:rsidR="003B251E" w:rsidRPr="00715891">
              <w:rPr>
                <w:sz w:val="22"/>
                <w:szCs w:val="22"/>
                <w:lang w:val="lt-LT" w:eastAsia="ja-JP"/>
              </w:rPr>
              <w:t> </w:t>
            </w:r>
            <w:r w:rsidRPr="00715891">
              <w:rPr>
                <w:rFonts w:ascii="Symbol" w:eastAsia="Calibri" w:hAnsi="Symbol" w:cs="Symbol"/>
                <w:sz w:val="22"/>
                <w:szCs w:val="22"/>
                <w:lang w:val="lt-LT" w:eastAsia="lt-LT"/>
              </w:rPr>
              <w:t></w:t>
            </w:r>
            <w:r w:rsidR="003B251E" w:rsidRPr="00715891">
              <w:rPr>
                <w:sz w:val="22"/>
                <w:szCs w:val="22"/>
                <w:lang w:val="lt-LT" w:eastAsia="ja-JP"/>
              </w:rPr>
              <w:t> </w:t>
            </w:r>
            <w:r w:rsidRPr="00715891">
              <w:rPr>
                <w:sz w:val="22"/>
                <w:szCs w:val="22"/>
                <w:lang w:val="lt-LT" w:eastAsia="ja-JP"/>
              </w:rPr>
              <w:t>4,4</w:t>
            </w:r>
          </w:p>
        </w:tc>
      </w:tr>
      <w:tr w:rsidR="005B6B82" w:rsidRPr="00715891" w14:paraId="0E04F225" w14:textId="77777777" w:rsidTr="00EF476A">
        <w:tc>
          <w:tcPr>
            <w:tcW w:w="1043" w:type="pct"/>
            <w:shd w:val="clear" w:color="auto" w:fill="auto"/>
          </w:tcPr>
          <w:p w14:paraId="3EAE2B17" w14:textId="2446DF7F" w:rsidR="00B40C1A" w:rsidRPr="00715891" w:rsidRDefault="00B40C1A" w:rsidP="00B40C1A">
            <w:pPr>
              <w:rPr>
                <w:sz w:val="22"/>
                <w:szCs w:val="22"/>
                <w:lang w:val="lt-LT" w:eastAsia="ja-JP"/>
              </w:rPr>
            </w:pPr>
            <w:r w:rsidRPr="00715891">
              <w:rPr>
                <w:sz w:val="22"/>
                <w:szCs w:val="22"/>
                <w:lang w:val="lt-LT" w:eastAsia="ja-JP"/>
              </w:rPr>
              <w:t>11</w:t>
            </w:r>
            <w:r w:rsidR="003B251E" w:rsidRPr="00715891">
              <w:rPr>
                <w:sz w:val="22"/>
                <w:szCs w:val="22"/>
                <w:lang w:val="lt-LT" w:eastAsia="ja-JP"/>
              </w:rPr>
              <w:t> </w:t>
            </w:r>
            <w:r w:rsidR="003B251E" w:rsidRPr="00715891">
              <w:rPr>
                <w:sz w:val="22"/>
                <w:szCs w:val="22"/>
                <w:lang w:val="lt-LT" w:eastAsia="ja-JP"/>
              </w:rPr>
              <w:noBreakHyphen/>
              <w:t> </w:t>
            </w:r>
            <w:r w:rsidRPr="00715891">
              <w:rPr>
                <w:sz w:val="22"/>
                <w:szCs w:val="22"/>
                <w:lang w:val="lt-LT" w:eastAsia="ja-JP"/>
              </w:rPr>
              <w:t>20</w:t>
            </w:r>
          </w:p>
        </w:tc>
        <w:tc>
          <w:tcPr>
            <w:tcW w:w="373" w:type="pct"/>
            <w:shd w:val="clear" w:color="auto" w:fill="auto"/>
          </w:tcPr>
          <w:p w14:paraId="3AB7E367" w14:textId="77777777" w:rsidR="00B40C1A" w:rsidRPr="00715891" w:rsidRDefault="00B40C1A" w:rsidP="00B40C1A">
            <w:pPr>
              <w:rPr>
                <w:sz w:val="22"/>
                <w:szCs w:val="22"/>
                <w:lang w:val="lt-LT" w:eastAsia="ja-JP"/>
              </w:rPr>
            </w:pPr>
            <w:r w:rsidRPr="00715891">
              <w:rPr>
                <w:sz w:val="22"/>
                <w:szCs w:val="22"/>
                <w:lang w:val="lt-LT" w:eastAsia="ja-JP"/>
              </w:rPr>
              <w:t xml:space="preserve">6 </w:t>
            </w:r>
          </w:p>
        </w:tc>
        <w:tc>
          <w:tcPr>
            <w:tcW w:w="1195" w:type="pct"/>
            <w:shd w:val="clear" w:color="auto" w:fill="auto"/>
          </w:tcPr>
          <w:p w14:paraId="3B9BBC49" w14:textId="5DE899D9" w:rsidR="00B40C1A" w:rsidRPr="00715891" w:rsidRDefault="00B40C1A" w:rsidP="00B40C1A">
            <w:pPr>
              <w:rPr>
                <w:sz w:val="22"/>
                <w:szCs w:val="22"/>
                <w:lang w:val="lt-LT" w:eastAsia="ja-JP"/>
              </w:rPr>
            </w:pPr>
            <w:r w:rsidRPr="00715891">
              <w:rPr>
                <w:sz w:val="22"/>
                <w:szCs w:val="22"/>
                <w:lang w:val="lt-LT" w:eastAsia="ja-JP"/>
              </w:rPr>
              <w:t>45</w:t>
            </w:r>
            <w:r w:rsidR="003B251E" w:rsidRPr="00715891">
              <w:rPr>
                <w:sz w:val="22"/>
                <w:szCs w:val="22"/>
                <w:lang w:val="lt-LT" w:eastAsia="ja-JP"/>
              </w:rPr>
              <w:t> </w:t>
            </w:r>
            <w:r w:rsidRPr="00715891">
              <w:rPr>
                <w:rFonts w:ascii="Symbol" w:eastAsia="Calibri" w:hAnsi="Symbol" w:cs="Symbol"/>
                <w:sz w:val="22"/>
                <w:szCs w:val="22"/>
                <w:lang w:val="lt-LT" w:eastAsia="lt-LT"/>
              </w:rPr>
              <w:t></w:t>
            </w:r>
            <w:r w:rsidR="003B251E" w:rsidRPr="00715891">
              <w:rPr>
                <w:sz w:val="22"/>
                <w:szCs w:val="22"/>
                <w:lang w:val="lt-LT" w:eastAsia="ja-JP"/>
              </w:rPr>
              <w:t> </w:t>
            </w:r>
            <w:r w:rsidRPr="00715891">
              <w:rPr>
                <w:sz w:val="22"/>
                <w:szCs w:val="22"/>
                <w:lang w:val="lt-LT" w:eastAsia="ja-JP"/>
              </w:rPr>
              <w:t>11</w:t>
            </w:r>
          </w:p>
        </w:tc>
        <w:tc>
          <w:tcPr>
            <w:tcW w:w="1120" w:type="pct"/>
            <w:shd w:val="clear" w:color="auto" w:fill="auto"/>
          </w:tcPr>
          <w:p w14:paraId="60931C80" w14:textId="544FE674" w:rsidR="00B40C1A" w:rsidRPr="00715891" w:rsidRDefault="00B40C1A" w:rsidP="00B40C1A">
            <w:pPr>
              <w:rPr>
                <w:sz w:val="22"/>
                <w:szCs w:val="22"/>
                <w:lang w:val="lt-LT" w:eastAsia="ja-JP"/>
              </w:rPr>
            </w:pPr>
            <w:r w:rsidRPr="00715891">
              <w:rPr>
                <w:sz w:val="22"/>
                <w:szCs w:val="22"/>
                <w:lang w:val="lt-LT" w:eastAsia="ja-JP"/>
              </w:rPr>
              <w:t>223</w:t>
            </w:r>
            <w:r w:rsidR="003B251E" w:rsidRPr="00715891">
              <w:rPr>
                <w:sz w:val="22"/>
                <w:szCs w:val="22"/>
                <w:lang w:val="lt-LT" w:eastAsia="ja-JP"/>
              </w:rPr>
              <w:t> </w:t>
            </w:r>
            <w:r w:rsidRPr="00715891">
              <w:rPr>
                <w:rFonts w:ascii="Symbol" w:eastAsia="Calibri" w:hAnsi="Symbol" w:cs="Symbol"/>
                <w:sz w:val="22"/>
                <w:szCs w:val="22"/>
                <w:lang w:val="lt-LT" w:eastAsia="lt-LT"/>
              </w:rPr>
              <w:t></w:t>
            </w:r>
            <w:r w:rsidR="003B251E" w:rsidRPr="00715891">
              <w:rPr>
                <w:sz w:val="22"/>
                <w:szCs w:val="22"/>
                <w:lang w:val="lt-LT" w:eastAsia="ja-JP"/>
              </w:rPr>
              <w:t> </w:t>
            </w:r>
            <w:r w:rsidRPr="00715891">
              <w:rPr>
                <w:sz w:val="22"/>
                <w:szCs w:val="22"/>
                <w:lang w:val="lt-LT" w:eastAsia="ja-JP"/>
              </w:rPr>
              <w:t xml:space="preserve">46 </w:t>
            </w:r>
          </w:p>
        </w:tc>
        <w:tc>
          <w:tcPr>
            <w:tcW w:w="1269" w:type="pct"/>
            <w:shd w:val="clear" w:color="auto" w:fill="auto"/>
          </w:tcPr>
          <w:p w14:paraId="06B94E7E" w14:textId="3E2E34B0" w:rsidR="00B40C1A" w:rsidRPr="00715891" w:rsidRDefault="00B40C1A" w:rsidP="00A76348">
            <w:pPr>
              <w:rPr>
                <w:sz w:val="22"/>
                <w:szCs w:val="22"/>
                <w:lang w:val="lt-LT" w:eastAsia="ja-JP"/>
              </w:rPr>
            </w:pPr>
            <w:r w:rsidRPr="00715891">
              <w:rPr>
                <w:sz w:val="22"/>
                <w:szCs w:val="22"/>
                <w:lang w:val="lt-LT" w:eastAsia="ja-JP"/>
              </w:rPr>
              <w:t>21,8</w:t>
            </w:r>
            <w:r w:rsidR="003B251E" w:rsidRPr="00715891">
              <w:rPr>
                <w:sz w:val="22"/>
                <w:szCs w:val="22"/>
                <w:lang w:val="lt-LT" w:eastAsia="ja-JP"/>
              </w:rPr>
              <w:t> </w:t>
            </w:r>
            <w:r w:rsidRPr="00715891">
              <w:rPr>
                <w:rFonts w:ascii="Symbol" w:eastAsia="Calibri" w:hAnsi="Symbol" w:cs="Symbol"/>
                <w:sz w:val="22"/>
                <w:szCs w:val="22"/>
                <w:lang w:val="lt-LT" w:eastAsia="lt-LT"/>
              </w:rPr>
              <w:t></w:t>
            </w:r>
            <w:r w:rsidR="003B251E" w:rsidRPr="00715891">
              <w:rPr>
                <w:sz w:val="22"/>
                <w:szCs w:val="22"/>
                <w:lang w:val="lt-LT" w:eastAsia="ja-JP"/>
              </w:rPr>
              <w:t> </w:t>
            </w:r>
            <w:r w:rsidRPr="00715891">
              <w:rPr>
                <w:sz w:val="22"/>
                <w:szCs w:val="22"/>
                <w:lang w:val="lt-LT" w:eastAsia="ja-JP"/>
              </w:rPr>
              <w:t>5,2</w:t>
            </w:r>
          </w:p>
        </w:tc>
      </w:tr>
      <w:tr w:rsidR="005B6B82" w:rsidRPr="00715891" w14:paraId="00735FFD" w14:textId="77777777" w:rsidTr="00EF476A">
        <w:tc>
          <w:tcPr>
            <w:tcW w:w="1043" w:type="pct"/>
            <w:shd w:val="clear" w:color="auto" w:fill="auto"/>
          </w:tcPr>
          <w:p w14:paraId="6ECA3C05" w14:textId="77777777" w:rsidR="00B40C1A" w:rsidRPr="00715891" w:rsidRDefault="00B40C1A" w:rsidP="00B40C1A">
            <w:pPr>
              <w:rPr>
                <w:sz w:val="22"/>
                <w:szCs w:val="22"/>
                <w:lang w:val="lt-LT" w:eastAsia="ja-JP"/>
              </w:rPr>
            </w:pPr>
            <w:r w:rsidRPr="00715891">
              <w:rPr>
                <w:rFonts w:ascii="Symbol" w:eastAsia="Calibri" w:hAnsi="Symbol" w:cs="Symbol"/>
                <w:sz w:val="22"/>
                <w:szCs w:val="22"/>
                <w:lang w:val="lt-LT" w:eastAsia="lt-LT"/>
              </w:rPr>
              <w:t></w:t>
            </w:r>
            <w:r w:rsidRPr="00715891">
              <w:rPr>
                <w:rFonts w:ascii="Symbol" w:eastAsia="Calibri" w:hAnsi="Symbol" w:cs="Symbol"/>
                <w:sz w:val="22"/>
                <w:szCs w:val="22"/>
                <w:lang w:val="lt-LT" w:eastAsia="lt-LT"/>
              </w:rPr>
              <w:t></w:t>
            </w:r>
            <w:r w:rsidRPr="00715891">
              <w:rPr>
                <w:sz w:val="22"/>
                <w:szCs w:val="22"/>
                <w:lang w:val="lt-LT" w:eastAsia="ja-JP"/>
              </w:rPr>
              <w:t>10</w:t>
            </w:r>
          </w:p>
        </w:tc>
        <w:tc>
          <w:tcPr>
            <w:tcW w:w="373" w:type="pct"/>
            <w:shd w:val="clear" w:color="auto" w:fill="auto"/>
          </w:tcPr>
          <w:p w14:paraId="5F6D9010" w14:textId="77777777" w:rsidR="00B40C1A" w:rsidRPr="00715891" w:rsidRDefault="00B40C1A" w:rsidP="00B40C1A">
            <w:pPr>
              <w:rPr>
                <w:sz w:val="22"/>
                <w:szCs w:val="22"/>
                <w:lang w:val="lt-LT" w:eastAsia="ja-JP"/>
              </w:rPr>
            </w:pPr>
            <w:r w:rsidRPr="00715891">
              <w:rPr>
                <w:sz w:val="22"/>
                <w:szCs w:val="22"/>
                <w:lang w:val="lt-LT" w:eastAsia="ja-JP"/>
              </w:rPr>
              <w:t xml:space="preserve">6 </w:t>
            </w:r>
          </w:p>
        </w:tc>
        <w:tc>
          <w:tcPr>
            <w:tcW w:w="1195" w:type="pct"/>
            <w:shd w:val="clear" w:color="auto" w:fill="auto"/>
          </w:tcPr>
          <w:p w14:paraId="093CA695" w14:textId="061DC660" w:rsidR="00B40C1A" w:rsidRPr="00715891" w:rsidRDefault="00B40C1A" w:rsidP="00B40C1A">
            <w:pPr>
              <w:rPr>
                <w:sz w:val="22"/>
                <w:szCs w:val="22"/>
                <w:lang w:val="lt-LT" w:eastAsia="ja-JP"/>
              </w:rPr>
            </w:pPr>
            <w:r w:rsidRPr="00715891">
              <w:rPr>
                <w:sz w:val="22"/>
                <w:szCs w:val="22"/>
                <w:lang w:val="lt-LT" w:eastAsia="ja-JP"/>
              </w:rPr>
              <w:t>12,8</w:t>
            </w:r>
            <w:r w:rsidR="003B251E" w:rsidRPr="00715891">
              <w:rPr>
                <w:sz w:val="22"/>
                <w:szCs w:val="22"/>
                <w:lang w:val="lt-LT" w:eastAsia="ja-JP"/>
              </w:rPr>
              <w:t> </w:t>
            </w:r>
            <w:r w:rsidRPr="00715891">
              <w:rPr>
                <w:rFonts w:ascii="Symbol" w:eastAsia="Calibri" w:hAnsi="Symbol" w:cs="Symbol"/>
                <w:sz w:val="22"/>
                <w:szCs w:val="22"/>
                <w:lang w:val="lt-LT" w:eastAsia="lt-LT"/>
              </w:rPr>
              <w:t></w:t>
            </w:r>
            <w:r w:rsidR="003B251E" w:rsidRPr="00715891">
              <w:rPr>
                <w:sz w:val="22"/>
                <w:szCs w:val="22"/>
                <w:lang w:val="lt-LT" w:eastAsia="ja-JP"/>
              </w:rPr>
              <w:t> </w:t>
            </w:r>
            <w:r w:rsidRPr="00715891">
              <w:rPr>
                <w:sz w:val="22"/>
                <w:szCs w:val="22"/>
                <w:lang w:val="lt-LT" w:eastAsia="ja-JP"/>
              </w:rPr>
              <w:t>8</w:t>
            </w:r>
          </w:p>
        </w:tc>
        <w:tc>
          <w:tcPr>
            <w:tcW w:w="1120" w:type="pct"/>
            <w:shd w:val="clear" w:color="auto" w:fill="auto"/>
          </w:tcPr>
          <w:p w14:paraId="76CF63C3" w14:textId="78F242D3" w:rsidR="00B40C1A" w:rsidRPr="00715891" w:rsidRDefault="00B40C1A" w:rsidP="00B40C1A">
            <w:pPr>
              <w:rPr>
                <w:sz w:val="22"/>
                <w:szCs w:val="22"/>
                <w:lang w:val="lt-LT" w:eastAsia="ja-JP"/>
              </w:rPr>
            </w:pPr>
            <w:r w:rsidRPr="00715891">
              <w:rPr>
                <w:sz w:val="22"/>
                <w:szCs w:val="22"/>
                <w:lang w:val="lt-LT" w:eastAsia="ja-JP"/>
              </w:rPr>
              <w:t>366</w:t>
            </w:r>
            <w:r w:rsidR="003B251E" w:rsidRPr="00715891">
              <w:rPr>
                <w:sz w:val="22"/>
                <w:szCs w:val="22"/>
                <w:lang w:val="lt-LT" w:eastAsia="ja-JP"/>
              </w:rPr>
              <w:t> </w:t>
            </w:r>
            <w:r w:rsidRPr="00715891">
              <w:rPr>
                <w:rFonts w:ascii="Symbol" w:eastAsia="Calibri" w:hAnsi="Symbol" w:cs="Symbol"/>
                <w:sz w:val="22"/>
                <w:szCs w:val="22"/>
                <w:lang w:val="lt-LT" w:eastAsia="lt-LT"/>
              </w:rPr>
              <w:t></w:t>
            </w:r>
            <w:r w:rsidR="003B251E" w:rsidRPr="00715891">
              <w:rPr>
                <w:sz w:val="22"/>
                <w:szCs w:val="22"/>
                <w:lang w:val="lt-LT" w:eastAsia="ja-JP"/>
              </w:rPr>
              <w:t> </w:t>
            </w:r>
            <w:r w:rsidRPr="00715891">
              <w:rPr>
                <w:sz w:val="22"/>
                <w:szCs w:val="22"/>
                <w:lang w:val="lt-LT" w:eastAsia="ja-JP"/>
              </w:rPr>
              <w:t>66</w:t>
            </w:r>
          </w:p>
        </w:tc>
        <w:tc>
          <w:tcPr>
            <w:tcW w:w="1269" w:type="pct"/>
            <w:shd w:val="clear" w:color="auto" w:fill="auto"/>
          </w:tcPr>
          <w:p w14:paraId="0D33348B" w14:textId="287EFE9D" w:rsidR="00B40C1A" w:rsidRPr="00715891" w:rsidRDefault="00B40C1A" w:rsidP="00A76348">
            <w:pPr>
              <w:rPr>
                <w:sz w:val="22"/>
                <w:szCs w:val="22"/>
                <w:lang w:val="lt-LT" w:eastAsia="ja-JP"/>
              </w:rPr>
            </w:pPr>
            <w:r w:rsidRPr="00715891">
              <w:rPr>
                <w:sz w:val="22"/>
                <w:szCs w:val="22"/>
                <w:lang w:val="lt-LT" w:eastAsia="ja-JP"/>
              </w:rPr>
              <w:t>67,5</w:t>
            </w:r>
            <w:r w:rsidR="003B251E" w:rsidRPr="00715891">
              <w:rPr>
                <w:sz w:val="22"/>
                <w:szCs w:val="22"/>
                <w:lang w:val="lt-LT" w:eastAsia="ja-JP"/>
              </w:rPr>
              <w:t> </w:t>
            </w:r>
            <w:r w:rsidRPr="00715891">
              <w:rPr>
                <w:rFonts w:ascii="Symbol" w:eastAsia="Calibri" w:hAnsi="Symbol" w:cs="Symbol"/>
                <w:sz w:val="22"/>
                <w:szCs w:val="22"/>
                <w:lang w:val="lt-LT" w:eastAsia="lt-LT"/>
              </w:rPr>
              <w:t></w:t>
            </w:r>
            <w:r w:rsidR="003B251E" w:rsidRPr="00715891">
              <w:rPr>
                <w:sz w:val="22"/>
                <w:szCs w:val="22"/>
                <w:lang w:val="lt-LT" w:eastAsia="ja-JP"/>
              </w:rPr>
              <w:t> </w:t>
            </w:r>
            <w:r w:rsidRPr="00715891">
              <w:rPr>
                <w:sz w:val="22"/>
                <w:szCs w:val="22"/>
                <w:lang w:val="lt-LT" w:eastAsia="ja-JP"/>
              </w:rPr>
              <w:t>34</w:t>
            </w:r>
          </w:p>
        </w:tc>
      </w:tr>
    </w:tbl>
    <w:p w14:paraId="653615D2" w14:textId="77777777" w:rsidR="00B40C1A" w:rsidRPr="00715891" w:rsidRDefault="00B40C1A" w:rsidP="00B40C1A">
      <w:pPr>
        <w:rPr>
          <w:sz w:val="22"/>
          <w:szCs w:val="22"/>
          <w:lang w:val="lt-LT" w:eastAsia="ja-JP"/>
        </w:rPr>
      </w:pPr>
    </w:p>
    <w:p w14:paraId="66EFF9DF" w14:textId="77777777" w:rsidR="00B40C1A" w:rsidRPr="00715891" w:rsidRDefault="00B40C1A" w:rsidP="00B40C1A">
      <w:pPr>
        <w:rPr>
          <w:sz w:val="22"/>
          <w:szCs w:val="22"/>
          <w:lang w:val="lt-LT" w:eastAsia="ja-JP"/>
        </w:rPr>
      </w:pPr>
      <w:r w:rsidRPr="00715891">
        <w:rPr>
          <w:sz w:val="22"/>
          <w:szCs w:val="22"/>
          <w:lang w:val="lt-LT" w:eastAsia="ja-JP"/>
        </w:rPr>
        <w:t xml:space="preserve">Silpnėjant inkstų veiklai mažėja iš valgancikloviro </w:t>
      </w:r>
      <w:r w:rsidR="00323B04" w:rsidRPr="00715891">
        <w:rPr>
          <w:sz w:val="22"/>
          <w:szCs w:val="22"/>
          <w:lang w:val="lt-LT" w:eastAsia="ja-JP"/>
        </w:rPr>
        <w:t>suformuoto</w:t>
      </w:r>
      <w:r w:rsidRPr="00715891">
        <w:rPr>
          <w:sz w:val="22"/>
          <w:szCs w:val="22"/>
          <w:lang w:val="lt-LT" w:eastAsia="ja-JP"/>
        </w:rPr>
        <w:t xml:space="preserve"> gancikloviro klirensas ir atitinkamai ilgėja galutinis pusin</w:t>
      </w:r>
      <w:r w:rsidR="00323B04" w:rsidRPr="00715891">
        <w:rPr>
          <w:sz w:val="22"/>
          <w:szCs w:val="22"/>
          <w:lang w:val="lt-LT" w:eastAsia="ja-JP"/>
        </w:rPr>
        <w:t>io gyvavimo</w:t>
      </w:r>
      <w:r w:rsidRPr="00715891">
        <w:rPr>
          <w:sz w:val="22"/>
          <w:szCs w:val="22"/>
          <w:lang w:val="lt-LT" w:eastAsia="ja-JP"/>
        </w:rPr>
        <w:t xml:space="preserve"> laikas. Todėl pacientams, kurių inkstų </w:t>
      </w:r>
      <w:r w:rsidR="00323B04" w:rsidRPr="00715891">
        <w:rPr>
          <w:sz w:val="22"/>
          <w:szCs w:val="22"/>
          <w:lang w:val="lt-LT" w:eastAsia="ja-JP"/>
        </w:rPr>
        <w:t>funkcija</w:t>
      </w:r>
      <w:r w:rsidRPr="00715891">
        <w:rPr>
          <w:sz w:val="22"/>
          <w:szCs w:val="22"/>
          <w:lang w:val="lt-LT" w:eastAsia="ja-JP"/>
        </w:rPr>
        <w:t xml:space="preserve"> sutrikusi, dozavimą reikia koreguoti (žr. 4.2 ir 4.4 skyrius).</w:t>
      </w:r>
    </w:p>
    <w:p w14:paraId="1F51CA7D" w14:textId="77777777" w:rsidR="00B40C1A" w:rsidRPr="00715891" w:rsidRDefault="00B40C1A" w:rsidP="00B40C1A">
      <w:pPr>
        <w:rPr>
          <w:sz w:val="22"/>
          <w:lang w:val="lt-LT"/>
        </w:rPr>
      </w:pPr>
    </w:p>
    <w:p w14:paraId="1FD1D529" w14:textId="77777777" w:rsidR="00B40C1A" w:rsidRPr="00715891" w:rsidRDefault="00B40C1A" w:rsidP="00B40C1A">
      <w:pPr>
        <w:rPr>
          <w:i/>
          <w:sz w:val="22"/>
          <w:szCs w:val="22"/>
          <w:lang w:val="lt-LT" w:eastAsia="ja-JP"/>
        </w:rPr>
      </w:pPr>
      <w:r w:rsidRPr="00715891">
        <w:rPr>
          <w:i/>
          <w:sz w:val="22"/>
          <w:lang w:val="lt-LT"/>
        </w:rPr>
        <w:t>Pacientams, kuriems atliekamos hemodializės</w:t>
      </w:r>
    </w:p>
    <w:p w14:paraId="4FEB3EC4" w14:textId="67F3F014" w:rsidR="00B40C1A" w:rsidRPr="00715891" w:rsidRDefault="00B40C1A" w:rsidP="00B40C1A">
      <w:pPr>
        <w:rPr>
          <w:sz w:val="22"/>
          <w:szCs w:val="22"/>
          <w:lang w:val="lt-LT" w:eastAsia="ja-JP"/>
        </w:rPr>
      </w:pPr>
      <w:r w:rsidRPr="00715891">
        <w:rPr>
          <w:sz w:val="22"/>
          <w:szCs w:val="22"/>
          <w:lang w:val="lt-LT" w:eastAsia="ja-JP"/>
        </w:rPr>
        <w:t xml:space="preserve">Pacientams, kuriems atliekamos hemodializės, </w:t>
      </w:r>
      <w:r w:rsidR="00323B04" w:rsidRPr="00715891">
        <w:rPr>
          <w:sz w:val="22"/>
          <w:szCs w:val="22"/>
          <w:lang w:val="lt-LT" w:eastAsia="ja-JP"/>
        </w:rPr>
        <w:t>Valganciclovir Sandoz</w:t>
      </w:r>
      <w:r w:rsidRPr="00715891">
        <w:rPr>
          <w:sz w:val="22"/>
          <w:szCs w:val="22"/>
          <w:lang w:val="lt-LT" w:eastAsia="ja-JP"/>
        </w:rPr>
        <w:t xml:space="preserve"> 450</w:t>
      </w:r>
      <w:r w:rsidR="003B251E" w:rsidRPr="00715891">
        <w:rPr>
          <w:sz w:val="22"/>
          <w:szCs w:val="22"/>
          <w:lang w:val="lt-LT" w:eastAsia="ja-JP"/>
        </w:rPr>
        <w:t> </w:t>
      </w:r>
      <w:r w:rsidRPr="00715891">
        <w:rPr>
          <w:sz w:val="22"/>
          <w:szCs w:val="22"/>
          <w:lang w:val="lt-LT" w:eastAsia="ja-JP"/>
        </w:rPr>
        <w:t xml:space="preserve">mg plėvele dengtų tablečių dozavimo rekomendacijų pateikti negalima, nes </w:t>
      </w:r>
      <w:r w:rsidR="00323B04" w:rsidRPr="00715891">
        <w:rPr>
          <w:sz w:val="22"/>
          <w:szCs w:val="22"/>
          <w:lang w:val="lt-LT" w:eastAsia="ja-JP"/>
        </w:rPr>
        <w:t>individuali</w:t>
      </w:r>
      <w:r w:rsidRPr="00715891">
        <w:rPr>
          <w:sz w:val="22"/>
          <w:szCs w:val="22"/>
          <w:lang w:val="lt-LT" w:eastAsia="ja-JP"/>
        </w:rPr>
        <w:t xml:space="preserve"> </w:t>
      </w:r>
      <w:r w:rsidR="00323B04" w:rsidRPr="00715891">
        <w:rPr>
          <w:sz w:val="22"/>
          <w:szCs w:val="22"/>
          <w:lang w:val="lt-LT" w:eastAsia="ja-JP"/>
        </w:rPr>
        <w:t>Valganciclovir Sandoz 450</w:t>
      </w:r>
      <w:r w:rsidR="003B251E" w:rsidRPr="00715891">
        <w:rPr>
          <w:sz w:val="22"/>
          <w:szCs w:val="22"/>
          <w:lang w:val="lt-LT" w:eastAsia="ja-JP"/>
        </w:rPr>
        <w:t> </w:t>
      </w:r>
      <w:r w:rsidR="00323B04" w:rsidRPr="00715891">
        <w:rPr>
          <w:sz w:val="22"/>
          <w:szCs w:val="22"/>
          <w:lang w:val="lt-LT" w:eastAsia="ja-JP"/>
        </w:rPr>
        <w:t xml:space="preserve">mg plėvele dengtų tablečių </w:t>
      </w:r>
      <w:r w:rsidRPr="00715891">
        <w:rPr>
          <w:sz w:val="22"/>
          <w:szCs w:val="22"/>
          <w:lang w:val="lt-LT" w:eastAsia="ja-JP"/>
        </w:rPr>
        <w:t xml:space="preserve">dozė </w:t>
      </w:r>
      <w:r w:rsidR="00323B04" w:rsidRPr="00715891">
        <w:rPr>
          <w:sz w:val="22"/>
          <w:szCs w:val="22"/>
          <w:lang w:val="lt-LT" w:eastAsia="ja-JP"/>
        </w:rPr>
        <w:t>reikalinga šiems pacientams, yra mažesnė už esančią tabletėje 450</w:t>
      </w:r>
      <w:r w:rsidR="003B251E" w:rsidRPr="00715891">
        <w:rPr>
          <w:sz w:val="22"/>
          <w:szCs w:val="22"/>
          <w:lang w:val="lt-LT" w:eastAsia="ja-JP"/>
        </w:rPr>
        <w:t> </w:t>
      </w:r>
      <w:r w:rsidR="00323B04" w:rsidRPr="00715891">
        <w:rPr>
          <w:sz w:val="22"/>
          <w:szCs w:val="22"/>
          <w:lang w:val="lt-LT" w:eastAsia="ja-JP"/>
        </w:rPr>
        <w:t>mg dozę</w:t>
      </w:r>
      <w:r w:rsidRPr="00715891">
        <w:rPr>
          <w:sz w:val="22"/>
          <w:szCs w:val="22"/>
          <w:lang w:val="lt-LT" w:eastAsia="ja-JP"/>
        </w:rPr>
        <w:t xml:space="preserve">. Taigi šiems pacientams </w:t>
      </w:r>
      <w:r w:rsidR="00323B04" w:rsidRPr="00715891">
        <w:rPr>
          <w:sz w:val="22"/>
          <w:szCs w:val="22"/>
          <w:lang w:val="lt-LT" w:eastAsia="ja-JP"/>
        </w:rPr>
        <w:t>Valganciclovir Sandoz 450</w:t>
      </w:r>
      <w:r w:rsidR="003B251E" w:rsidRPr="00715891">
        <w:rPr>
          <w:sz w:val="22"/>
          <w:szCs w:val="22"/>
          <w:lang w:val="lt-LT" w:eastAsia="ja-JP"/>
        </w:rPr>
        <w:t> </w:t>
      </w:r>
      <w:r w:rsidR="00323B04" w:rsidRPr="00715891">
        <w:rPr>
          <w:sz w:val="22"/>
          <w:szCs w:val="22"/>
          <w:lang w:val="lt-LT" w:eastAsia="ja-JP"/>
        </w:rPr>
        <w:t>mg plėvele dengtų tablečių turi būti nevartojama</w:t>
      </w:r>
      <w:r w:rsidRPr="00715891">
        <w:rPr>
          <w:sz w:val="22"/>
          <w:szCs w:val="22"/>
          <w:lang w:val="lt-LT" w:eastAsia="ja-JP"/>
        </w:rPr>
        <w:t xml:space="preserve"> (žr. 4.2 ir 4.4 skyrius).</w:t>
      </w:r>
    </w:p>
    <w:p w14:paraId="0ED3B9E0" w14:textId="77777777" w:rsidR="00323B04" w:rsidRPr="00715891" w:rsidRDefault="00323B04" w:rsidP="00B40C1A">
      <w:pPr>
        <w:rPr>
          <w:sz w:val="22"/>
          <w:szCs w:val="22"/>
          <w:lang w:val="lt-LT" w:eastAsia="ja-JP"/>
        </w:rPr>
      </w:pPr>
    </w:p>
    <w:p w14:paraId="6B8E8397" w14:textId="77777777" w:rsidR="00323B04" w:rsidRPr="00715891" w:rsidRDefault="00323B04" w:rsidP="00323B04">
      <w:pPr>
        <w:rPr>
          <w:i/>
          <w:sz w:val="22"/>
          <w:szCs w:val="22"/>
          <w:lang w:val="lt-LT" w:eastAsia="ja-JP"/>
        </w:rPr>
      </w:pPr>
      <w:r w:rsidRPr="00715891">
        <w:rPr>
          <w:i/>
          <w:sz w:val="22"/>
          <w:szCs w:val="22"/>
          <w:lang w:val="lt-LT" w:eastAsia="ja-JP"/>
        </w:rPr>
        <w:t>Stabilios būklės pacientai, kuriems persodintos kepenys</w:t>
      </w:r>
    </w:p>
    <w:p w14:paraId="555B210E" w14:textId="4B59169B" w:rsidR="00323B04" w:rsidRPr="00715891" w:rsidRDefault="00323B04" w:rsidP="00323B04">
      <w:pPr>
        <w:rPr>
          <w:sz w:val="22"/>
          <w:szCs w:val="22"/>
          <w:lang w:val="lt-LT" w:eastAsia="ja-JP"/>
        </w:rPr>
      </w:pPr>
      <w:r w:rsidRPr="00715891">
        <w:rPr>
          <w:sz w:val="22"/>
          <w:szCs w:val="22"/>
          <w:lang w:val="lt-LT" w:eastAsia="ja-JP"/>
        </w:rPr>
        <w:lastRenderedPageBreak/>
        <w:t>Iš valgancikloviro suformuoto gancikloviro farmakokinetika pacientų, kurių būklė po kepenų persodinimo buvo stabili, organizme buvo tirta vieno atviro 4</w:t>
      </w:r>
      <w:r w:rsidR="003B251E" w:rsidRPr="00715891">
        <w:rPr>
          <w:sz w:val="22"/>
          <w:szCs w:val="22"/>
          <w:lang w:val="lt-LT" w:eastAsia="ja-JP"/>
        </w:rPr>
        <w:t> </w:t>
      </w:r>
      <w:r w:rsidRPr="00715891">
        <w:rPr>
          <w:sz w:val="22"/>
          <w:szCs w:val="22"/>
          <w:lang w:val="lt-LT" w:eastAsia="ja-JP"/>
        </w:rPr>
        <w:t>dalių kryžminio klinikinio tyrimo metu (N</w:t>
      </w:r>
      <w:r w:rsidR="003B251E" w:rsidRPr="00715891">
        <w:rPr>
          <w:sz w:val="22"/>
          <w:szCs w:val="22"/>
          <w:lang w:val="lt-LT" w:eastAsia="ja-JP"/>
        </w:rPr>
        <w:t> </w:t>
      </w:r>
      <w:r w:rsidRPr="00715891">
        <w:rPr>
          <w:sz w:val="22"/>
          <w:szCs w:val="22"/>
          <w:lang w:val="lt-LT" w:eastAsia="ja-JP"/>
        </w:rPr>
        <w:t>=</w:t>
      </w:r>
      <w:r w:rsidR="003B251E" w:rsidRPr="00715891">
        <w:rPr>
          <w:sz w:val="22"/>
          <w:szCs w:val="22"/>
          <w:lang w:val="lt-LT" w:eastAsia="ja-JP"/>
        </w:rPr>
        <w:t> </w:t>
      </w:r>
      <w:r w:rsidRPr="00715891">
        <w:rPr>
          <w:sz w:val="22"/>
          <w:szCs w:val="22"/>
          <w:lang w:val="lt-LT" w:eastAsia="ja-JP"/>
        </w:rPr>
        <w:t>28). Išgėrus vienkartinę 900</w:t>
      </w:r>
      <w:r w:rsidR="003B251E" w:rsidRPr="00715891">
        <w:rPr>
          <w:sz w:val="22"/>
          <w:szCs w:val="22"/>
          <w:lang w:val="lt-LT" w:eastAsia="ja-JP"/>
        </w:rPr>
        <w:t> </w:t>
      </w:r>
      <w:r w:rsidRPr="00715891">
        <w:rPr>
          <w:sz w:val="22"/>
          <w:szCs w:val="22"/>
          <w:lang w:val="lt-LT" w:eastAsia="ja-JP"/>
        </w:rPr>
        <w:t>mg valgancikloviro dozę po valgio, iš valgancikloviro suformuoto gancikloviro biologinis prieinamumas buvo maždaug 60</w:t>
      </w:r>
      <w:r w:rsidR="0008171B" w:rsidRPr="00715891">
        <w:rPr>
          <w:sz w:val="22"/>
          <w:szCs w:val="22"/>
          <w:lang w:val="lt-LT" w:eastAsia="ja-JP"/>
        </w:rPr>
        <w:t> </w:t>
      </w:r>
      <w:r w:rsidRPr="00715891">
        <w:rPr>
          <w:sz w:val="22"/>
          <w:szCs w:val="22"/>
          <w:lang w:val="lt-LT" w:eastAsia="ja-JP"/>
        </w:rPr>
        <w:t xml:space="preserve">%. Gancikloviro AUC </w:t>
      </w:r>
      <w:r w:rsidRPr="00715891">
        <w:rPr>
          <w:sz w:val="22"/>
          <w:szCs w:val="22"/>
          <w:vertAlign w:val="subscript"/>
          <w:lang w:val="lt-LT" w:eastAsia="ja-JP"/>
        </w:rPr>
        <w:t>0-24val.</w:t>
      </w:r>
      <w:r w:rsidRPr="00715891">
        <w:rPr>
          <w:sz w:val="22"/>
          <w:szCs w:val="22"/>
          <w:lang w:val="lt-LT" w:eastAsia="ja-JP"/>
        </w:rPr>
        <w:t xml:space="preserve"> buvo panaš</w:t>
      </w:r>
      <w:r w:rsidR="00BB1D35" w:rsidRPr="00715891">
        <w:rPr>
          <w:sz w:val="22"/>
          <w:szCs w:val="22"/>
          <w:lang w:val="lt-LT" w:eastAsia="ja-JP"/>
        </w:rPr>
        <w:t>us</w:t>
      </w:r>
      <w:r w:rsidRPr="00715891">
        <w:rPr>
          <w:sz w:val="22"/>
          <w:szCs w:val="22"/>
          <w:lang w:val="lt-LT" w:eastAsia="ja-JP"/>
        </w:rPr>
        <w:t xml:space="preserve"> į </w:t>
      </w:r>
      <w:r w:rsidR="00BB1D35" w:rsidRPr="00715891">
        <w:rPr>
          <w:sz w:val="22"/>
          <w:szCs w:val="22"/>
          <w:lang w:val="lt-LT" w:eastAsia="ja-JP"/>
        </w:rPr>
        <w:t>AUC, kuris būna</w:t>
      </w:r>
      <w:r w:rsidRPr="00715891">
        <w:rPr>
          <w:sz w:val="22"/>
          <w:szCs w:val="22"/>
          <w:lang w:val="lt-LT" w:eastAsia="ja-JP"/>
        </w:rPr>
        <w:t xml:space="preserve"> į veną suleidus 5</w:t>
      </w:r>
      <w:r w:rsidR="003B251E" w:rsidRPr="00715891">
        <w:rPr>
          <w:sz w:val="22"/>
          <w:szCs w:val="22"/>
          <w:lang w:val="lt-LT" w:eastAsia="ja-JP"/>
        </w:rPr>
        <w:t> </w:t>
      </w:r>
      <w:r w:rsidRPr="00715891">
        <w:rPr>
          <w:sz w:val="22"/>
          <w:szCs w:val="22"/>
          <w:lang w:val="lt-LT" w:eastAsia="ja-JP"/>
        </w:rPr>
        <w:t>mg / kg</w:t>
      </w:r>
      <w:r w:rsidR="00BB1D35" w:rsidRPr="00715891">
        <w:rPr>
          <w:sz w:val="22"/>
          <w:szCs w:val="22"/>
          <w:lang w:val="lt-LT" w:eastAsia="ja-JP"/>
        </w:rPr>
        <w:t xml:space="preserve"> kūno svorio</w:t>
      </w:r>
      <w:r w:rsidRPr="00715891">
        <w:rPr>
          <w:sz w:val="22"/>
          <w:szCs w:val="22"/>
          <w:lang w:val="lt-LT" w:eastAsia="ja-JP"/>
        </w:rPr>
        <w:t xml:space="preserve"> gancikloviro dozę pacientams</w:t>
      </w:r>
      <w:r w:rsidR="00BB1D35" w:rsidRPr="00715891">
        <w:rPr>
          <w:sz w:val="22"/>
          <w:szCs w:val="22"/>
          <w:lang w:val="lt-LT" w:eastAsia="ja-JP"/>
        </w:rPr>
        <w:t>, kuriems persodintos kepenys</w:t>
      </w:r>
      <w:r w:rsidRPr="00715891">
        <w:rPr>
          <w:sz w:val="22"/>
          <w:szCs w:val="22"/>
          <w:lang w:val="lt-LT" w:eastAsia="ja-JP"/>
        </w:rPr>
        <w:t>.</w:t>
      </w:r>
    </w:p>
    <w:p w14:paraId="240FF0D3" w14:textId="77777777" w:rsidR="001A239A" w:rsidRPr="00715891" w:rsidRDefault="001A239A" w:rsidP="001A239A">
      <w:pPr>
        <w:rPr>
          <w:sz w:val="22"/>
          <w:lang w:val="lt-LT"/>
        </w:rPr>
      </w:pPr>
    </w:p>
    <w:p w14:paraId="1296A738" w14:textId="77777777" w:rsidR="001A239A" w:rsidRPr="00715891" w:rsidRDefault="001A239A" w:rsidP="001A239A">
      <w:pPr>
        <w:rPr>
          <w:i/>
          <w:sz w:val="22"/>
          <w:szCs w:val="22"/>
          <w:lang w:val="lt-LT" w:eastAsia="ja-JP"/>
        </w:rPr>
      </w:pPr>
      <w:r w:rsidRPr="00715891">
        <w:rPr>
          <w:i/>
          <w:sz w:val="22"/>
          <w:lang w:val="lt-LT"/>
        </w:rPr>
        <w:t>Sutrikusi kepenų funkcija</w:t>
      </w:r>
      <w:r w:rsidRPr="00715891">
        <w:rPr>
          <w:i/>
          <w:sz w:val="22"/>
          <w:szCs w:val="22"/>
          <w:lang w:val="lt-LT" w:eastAsia="ja-JP"/>
        </w:rPr>
        <w:t xml:space="preserve"> </w:t>
      </w:r>
    </w:p>
    <w:p w14:paraId="3899DDA5" w14:textId="77777777" w:rsidR="001A239A" w:rsidRPr="00715891" w:rsidRDefault="00323B04" w:rsidP="001A239A">
      <w:pPr>
        <w:rPr>
          <w:sz w:val="22"/>
          <w:szCs w:val="22"/>
          <w:lang w:val="lt-LT" w:eastAsia="ja-JP"/>
        </w:rPr>
      </w:pPr>
      <w:r w:rsidRPr="00715891">
        <w:rPr>
          <w:sz w:val="22"/>
          <w:szCs w:val="22"/>
          <w:lang w:val="lt-LT" w:eastAsia="ja-JP"/>
        </w:rPr>
        <w:t>Pacientams</w:t>
      </w:r>
      <w:r w:rsidR="001A239A" w:rsidRPr="00715891">
        <w:rPr>
          <w:sz w:val="22"/>
          <w:szCs w:val="22"/>
          <w:lang w:val="lt-LT" w:eastAsia="ja-JP"/>
        </w:rPr>
        <w:t>, kurių kepenų veikla sutrikusi, Valganciclovir Sandoz plėvele dengt</w:t>
      </w:r>
      <w:r w:rsidRPr="00715891">
        <w:rPr>
          <w:sz w:val="22"/>
          <w:szCs w:val="22"/>
          <w:lang w:val="lt-LT" w:eastAsia="ja-JP"/>
        </w:rPr>
        <w:t>ų</w:t>
      </w:r>
      <w:r w:rsidR="001A239A" w:rsidRPr="00715891">
        <w:rPr>
          <w:sz w:val="22"/>
          <w:szCs w:val="22"/>
          <w:lang w:val="lt-LT" w:eastAsia="ja-JP"/>
        </w:rPr>
        <w:t xml:space="preserve"> table</w:t>
      </w:r>
      <w:r w:rsidRPr="00715891">
        <w:rPr>
          <w:sz w:val="22"/>
          <w:szCs w:val="22"/>
          <w:lang w:val="lt-LT" w:eastAsia="ja-JP"/>
        </w:rPr>
        <w:t>čių</w:t>
      </w:r>
      <w:r w:rsidR="001A239A" w:rsidRPr="00715891">
        <w:rPr>
          <w:sz w:val="22"/>
          <w:szCs w:val="22"/>
          <w:lang w:val="lt-LT" w:eastAsia="ja-JP"/>
        </w:rPr>
        <w:t xml:space="preserve"> saugumas ir veiksmingumas netirtas. Dėl kepenų funkcijos sutrikimo gancikloviro farmakokinetika neturėtų kisti, nes jis yra šalinamas per inkstus, todėl konkrečios dozavimo rekomendacijos nėra pateiktos.</w:t>
      </w:r>
    </w:p>
    <w:p w14:paraId="01D8D5AB" w14:textId="77777777" w:rsidR="001A239A" w:rsidRPr="00715891" w:rsidRDefault="001A239A" w:rsidP="001A239A">
      <w:pPr>
        <w:rPr>
          <w:sz w:val="22"/>
          <w:szCs w:val="22"/>
          <w:lang w:val="lt-LT" w:eastAsia="ja-JP"/>
        </w:rPr>
      </w:pPr>
    </w:p>
    <w:p w14:paraId="7689A29C" w14:textId="77777777" w:rsidR="001A239A" w:rsidRPr="00715891" w:rsidRDefault="001A239A" w:rsidP="001A239A">
      <w:pPr>
        <w:rPr>
          <w:i/>
          <w:sz w:val="22"/>
          <w:szCs w:val="22"/>
          <w:lang w:val="lt-LT" w:eastAsia="ja-JP"/>
        </w:rPr>
      </w:pPr>
      <w:r w:rsidRPr="00715891">
        <w:rPr>
          <w:i/>
          <w:sz w:val="22"/>
          <w:szCs w:val="22"/>
          <w:lang w:val="lt-LT" w:eastAsia="ja-JP"/>
        </w:rPr>
        <w:t>Cistine fibroze sergantys pacientai</w:t>
      </w:r>
    </w:p>
    <w:p w14:paraId="1930424C" w14:textId="5F53AC18" w:rsidR="001A239A" w:rsidRPr="00715891" w:rsidRDefault="001A239A" w:rsidP="001A239A">
      <w:pPr>
        <w:rPr>
          <w:sz w:val="22"/>
          <w:szCs w:val="22"/>
          <w:lang w:val="lt-LT" w:eastAsia="ja-JP"/>
        </w:rPr>
      </w:pPr>
      <w:r w:rsidRPr="00715891">
        <w:rPr>
          <w:sz w:val="22"/>
          <w:szCs w:val="22"/>
          <w:lang w:val="lt-LT" w:eastAsia="ja-JP"/>
        </w:rPr>
        <w:t>I fazės farmakokinetikos klinikinio tyrimo metu 31 pacientui su persodintais plaučiais, kuriam yra cistinė fibrozė (CF) arba jos nėra (16</w:t>
      </w:r>
      <w:r w:rsidR="003B251E" w:rsidRPr="00715891">
        <w:rPr>
          <w:sz w:val="22"/>
          <w:szCs w:val="22"/>
          <w:lang w:val="lt-LT" w:eastAsia="ja-JP"/>
        </w:rPr>
        <w:t> </w:t>
      </w:r>
      <w:r w:rsidRPr="00715891">
        <w:rPr>
          <w:sz w:val="22"/>
          <w:szCs w:val="22"/>
          <w:lang w:val="lt-LT" w:eastAsia="ja-JP"/>
        </w:rPr>
        <w:t>CF / 15</w:t>
      </w:r>
      <w:r w:rsidR="003B251E" w:rsidRPr="00715891">
        <w:rPr>
          <w:sz w:val="22"/>
          <w:szCs w:val="22"/>
          <w:lang w:val="lt-LT" w:eastAsia="ja-JP"/>
        </w:rPr>
        <w:t> </w:t>
      </w:r>
      <w:r w:rsidRPr="00715891">
        <w:rPr>
          <w:sz w:val="22"/>
          <w:szCs w:val="22"/>
          <w:lang w:val="lt-LT" w:eastAsia="ja-JP"/>
        </w:rPr>
        <w:t xml:space="preserve">CF nėra), buvo taikyta profilaktika po </w:t>
      </w:r>
      <w:r w:rsidR="00BB1D35" w:rsidRPr="00715891">
        <w:rPr>
          <w:sz w:val="22"/>
          <w:szCs w:val="22"/>
          <w:lang w:val="lt-LT" w:eastAsia="ja-JP"/>
        </w:rPr>
        <w:t xml:space="preserve">persodinimo </w:t>
      </w:r>
      <w:r w:rsidRPr="00715891">
        <w:rPr>
          <w:sz w:val="22"/>
          <w:szCs w:val="22"/>
          <w:lang w:val="lt-LT" w:eastAsia="ja-JP"/>
        </w:rPr>
        <w:t>valgancikloviro 900</w:t>
      </w:r>
      <w:r w:rsidR="003B251E" w:rsidRPr="00715891">
        <w:rPr>
          <w:sz w:val="22"/>
          <w:szCs w:val="22"/>
          <w:lang w:val="lt-LT" w:eastAsia="ja-JP"/>
        </w:rPr>
        <w:t> </w:t>
      </w:r>
      <w:r w:rsidRPr="00715891">
        <w:rPr>
          <w:sz w:val="22"/>
          <w:szCs w:val="22"/>
          <w:lang w:val="lt-LT" w:eastAsia="ja-JP"/>
        </w:rPr>
        <w:t>mg paros doze. Šis tyrimas parodė, kad cistinė fibrozė bendrajai vidutinei sisteminei pacientų, kuriems persodinti plaučiai, ekspozicijai gancikloviru statistiškai reikšmingos įtakos nedaro. Pacientų, kuriems persodinti plaučiai, ekspozicija gancikloviru buvo panaši į tą, kuri, kaip buvo įrodyta, yra veiksminga CMV sukeltos ligos profilaktikai pacientams, kuriems yra persodintas kitoks solidinis organas.</w:t>
      </w:r>
    </w:p>
    <w:p w14:paraId="6B6C1F52" w14:textId="77777777" w:rsidR="001A239A" w:rsidRPr="00715891" w:rsidRDefault="001A239A" w:rsidP="00107519">
      <w:pPr>
        <w:rPr>
          <w:sz w:val="22"/>
          <w:szCs w:val="22"/>
          <w:lang w:val="lt-LT" w:eastAsia="ja-JP"/>
        </w:rPr>
      </w:pPr>
    </w:p>
    <w:p w14:paraId="2DFA7218" w14:textId="77777777" w:rsidR="00107519" w:rsidRPr="00715891" w:rsidRDefault="00107519" w:rsidP="005B6B82">
      <w:pPr>
        <w:rPr>
          <w:b/>
          <w:sz w:val="22"/>
          <w:lang w:val="lt-LT"/>
        </w:rPr>
      </w:pPr>
      <w:r w:rsidRPr="00715891">
        <w:rPr>
          <w:b/>
          <w:sz w:val="22"/>
          <w:lang w:val="lt-LT"/>
        </w:rPr>
        <w:t>5.3</w:t>
      </w:r>
      <w:r w:rsidRPr="00715891">
        <w:rPr>
          <w:b/>
          <w:sz w:val="22"/>
          <w:lang w:val="lt-LT"/>
        </w:rPr>
        <w:tab/>
        <w:t>Ikiklinikinių saugumo tyrimų duomenys</w:t>
      </w:r>
    </w:p>
    <w:p w14:paraId="7BF7CC5F" w14:textId="77777777" w:rsidR="00107519" w:rsidRPr="00715891" w:rsidRDefault="00107519" w:rsidP="00107519">
      <w:pPr>
        <w:keepNext/>
        <w:keepLines/>
        <w:rPr>
          <w:sz w:val="22"/>
          <w:szCs w:val="22"/>
          <w:lang w:val="lt-LT" w:eastAsia="ja-JP"/>
        </w:rPr>
      </w:pPr>
    </w:p>
    <w:p w14:paraId="6C68478E" w14:textId="198656B3" w:rsidR="00BB1D35" w:rsidRPr="00715891" w:rsidRDefault="00BB1D35" w:rsidP="005B6B82">
      <w:pPr>
        <w:rPr>
          <w:sz w:val="22"/>
          <w:szCs w:val="22"/>
          <w:lang w:val="lt-LT" w:eastAsia="ja-JP"/>
        </w:rPr>
      </w:pPr>
      <w:r w:rsidRPr="00715891">
        <w:rPr>
          <w:sz w:val="22"/>
          <w:szCs w:val="22"/>
          <w:lang w:val="lt-LT" w:eastAsia="ja-JP"/>
        </w:rPr>
        <w:t>Valgancikloviras yra gancikloviro pirmtakas, todėl tai, kas žinoma apie gancikloviro poveikį, tinka ir valganciklovirui.</w:t>
      </w:r>
    </w:p>
    <w:p w14:paraId="778DF3EA" w14:textId="51B8C04E" w:rsidR="009E7298" w:rsidRPr="00715891" w:rsidRDefault="009E7298" w:rsidP="009E7298">
      <w:pPr>
        <w:rPr>
          <w:sz w:val="22"/>
          <w:szCs w:val="22"/>
          <w:lang w:val="lt-LT" w:eastAsia="ja-JP"/>
        </w:rPr>
      </w:pPr>
      <w:r w:rsidRPr="00715891">
        <w:rPr>
          <w:sz w:val="22"/>
          <w:szCs w:val="22"/>
          <w:lang w:val="lt-LT" w:eastAsia="ja-JP"/>
        </w:rPr>
        <w:t>Ikiklinikinių saugumo tyrimų metu valgancikloviro toksinis poveikis buvo toks pat, kaip ir gancikloviro, ir pasireikšdavo, kai ekspozicija gancikloviru buvo tokia pat ar mažesnė, kaip ir žmogui skiriant įvadinę dozę.</w:t>
      </w:r>
    </w:p>
    <w:p w14:paraId="1BD3566A" w14:textId="3007F9AC" w:rsidR="009E7298" w:rsidRPr="00715891" w:rsidRDefault="009E7298" w:rsidP="009E7298">
      <w:pPr>
        <w:rPr>
          <w:sz w:val="22"/>
          <w:szCs w:val="22"/>
          <w:lang w:val="lt-LT" w:eastAsia="ja-JP"/>
        </w:rPr>
      </w:pPr>
      <w:r w:rsidRPr="00715891">
        <w:rPr>
          <w:sz w:val="22"/>
          <w:szCs w:val="22"/>
          <w:lang w:val="lt-LT" w:eastAsia="ja-JP"/>
        </w:rPr>
        <w:t xml:space="preserve">Nustatyti pokyčiai buvo toksinis poveikis lytinėms liaujoms (sėklidžių ląstelių netekimas) ir toksinis poveikis inkstams (uremija, ląstelių degeneracija), kurie buvo negrįžtami, bei toksinis poveikis kaulų čiulpams (anemija, neutropenija, limfocitopenija) ir toksinis poveikis virškinimo traktui (gleivinės ląstelių nekrozė), kurie buvo </w:t>
      </w:r>
      <w:r w:rsidR="005018F1" w:rsidRPr="00715891">
        <w:rPr>
          <w:sz w:val="22"/>
          <w:szCs w:val="22"/>
          <w:lang w:val="lt-LT" w:eastAsia="ja-JP"/>
        </w:rPr>
        <w:t>laikini</w:t>
      </w:r>
      <w:r w:rsidRPr="00715891">
        <w:rPr>
          <w:sz w:val="22"/>
          <w:szCs w:val="22"/>
          <w:lang w:val="lt-LT" w:eastAsia="ja-JP"/>
        </w:rPr>
        <w:t>.</w:t>
      </w:r>
    </w:p>
    <w:p w14:paraId="15A6E478" w14:textId="77777777" w:rsidR="005018F1" w:rsidRPr="00715891" w:rsidRDefault="005018F1" w:rsidP="00BB1D35">
      <w:pPr>
        <w:rPr>
          <w:sz w:val="22"/>
          <w:szCs w:val="22"/>
          <w:lang w:val="lt-LT" w:eastAsia="ja-JP"/>
        </w:rPr>
      </w:pPr>
    </w:p>
    <w:p w14:paraId="3E979FC4" w14:textId="3D020032" w:rsidR="00BB1D35" w:rsidRPr="00715891" w:rsidRDefault="00BB1D35" w:rsidP="00BB1D35">
      <w:pPr>
        <w:rPr>
          <w:sz w:val="22"/>
          <w:szCs w:val="22"/>
          <w:lang w:val="lt-LT" w:eastAsia="ja-JP"/>
        </w:rPr>
      </w:pPr>
      <w:r w:rsidRPr="00715891">
        <w:rPr>
          <w:sz w:val="22"/>
          <w:szCs w:val="22"/>
          <w:lang w:val="lt-LT" w:eastAsia="ja-JP"/>
        </w:rPr>
        <w:t>Gancikloviras buvo mutageniškas pelių limfomos ląstelėms bei klastogeniškas žinduolių ląstelėms. Toks rezultatas derinasi su teigiamais gancikloviro kancerogeniškumo tyrimų su pelėmis rezultatas. Gancikloviras laikomas potencialiu kancerogenu.</w:t>
      </w:r>
    </w:p>
    <w:p w14:paraId="59D909AE" w14:textId="30B6F34E" w:rsidR="005018F1" w:rsidRPr="00715891" w:rsidRDefault="005018F1" w:rsidP="00BB1D35">
      <w:pPr>
        <w:rPr>
          <w:sz w:val="22"/>
          <w:szCs w:val="22"/>
          <w:lang w:val="lt-LT" w:eastAsia="ja-JP"/>
        </w:rPr>
      </w:pPr>
      <w:r w:rsidRPr="00715891">
        <w:rPr>
          <w:sz w:val="22"/>
          <w:szCs w:val="22"/>
          <w:lang w:val="lt-LT" w:eastAsia="ja-JP"/>
        </w:rPr>
        <w:t>Kiti tyrimai įrodė, kad gancikloviras yra teratogeniškas, embriotoksiškas, slopina spermatogenezę (t. y., pablogina vyrų vaisingumą) ir slopina moterų vaisingumą.</w:t>
      </w:r>
    </w:p>
    <w:p w14:paraId="76552C21" w14:textId="77777777" w:rsidR="00BB1D35" w:rsidRPr="00715891" w:rsidRDefault="00BB1D35" w:rsidP="00BB1D35">
      <w:pPr>
        <w:rPr>
          <w:sz w:val="22"/>
          <w:szCs w:val="22"/>
          <w:lang w:val="lt-LT" w:eastAsia="ja-JP"/>
        </w:rPr>
      </w:pPr>
      <w:r w:rsidRPr="00715891">
        <w:rPr>
          <w:sz w:val="22"/>
          <w:szCs w:val="22"/>
          <w:lang w:val="lt-LT" w:eastAsia="ja-JP"/>
        </w:rPr>
        <w:t xml:space="preserve">Tyrimų su gyvūnais duomenys rodo, kad gancikloviras </w:t>
      </w:r>
      <w:r w:rsidR="00A5451E" w:rsidRPr="00715891">
        <w:rPr>
          <w:sz w:val="22"/>
          <w:szCs w:val="22"/>
          <w:lang w:val="lt-LT" w:eastAsia="ja-JP"/>
        </w:rPr>
        <w:t>išskiri</w:t>
      </w:r>
      <w:r w:rsidR="0008171B" w:rsidRPr="00715891">
        <w:rPr>
          <w:sz w:val="22"/>
          <w:szCs w:val="22"/>
          <w:lang w:val="lt-LT" w:eastAsia="ja-JP"/>
        </w:rPr>
        <w:t>a</w:t>
      </w:r>
      <w:r w:rsidR="00A5451E" w:rsidRPr="00715891">
        <w:rPr>
          <w:sz w:val="22"/>
          <w:szCs w:val="22"/>
          <w:lang w:val="lt-LT" w:eastAsia="ja-JP"/>
        </w:rPr>
        <w:t>mas</w:t>
      </w:r>
      <w:r w:rsidRPr="00715891">
        <w:rPr>
          <w:sz w:val="22"/>
          <w:szCs w:val="22"/>
          <w:lang w:val="lt-LT" w:eastAsia="ja-JP"/>
        </w:rPr>
        <w:t xml:space="preserve"> į </w:t>
      </w:r>
      <w:r w:rsidR="005018F1" w:rsidRPr="00715891">
        <w:rPr>
          <w:sz w:val="22"/>
          <w:szCs w:val="22"/>
          <w:lang w:val="lt-LT" w:eastAsia="ja-JP"/>
        </w:rPr>
        <w:t>jauniklius maitinančių</w:t>
      </w:r>
      <w:r w:rsidRPr="00715891">
        <w:rPr>
          <w:sz w:val="22"/>
          <w:szCs w:val="22"/>
          <w:lang w:val="lt-LT" w:eastAsia="ja-JP"/>
        </w:rPr>
        <w:t xml:space="preserve"> žiurkių pieną.</w:t>
      </w:r>
    </w:p>
    <w:p w14:paraId="789081A1" w14:textId="77777777" w:rsidR="00107519" w:rsidRPr="00715891" w:rsidRDefault="00107519" w:rsidP="00107519">
      <w:pPr>
        <w:rPr>
          <w:sz w:val="22"/>
          <w:szCs w:val="22"/>
          <w:lang w:val="lt-LT" w:eastAsia="ja-JP"/>
        </w:rPr>
      </w:pPr>
    </w:p>
    <w:p w14:paraId="5ACA06AE" w14:textId="77777777" w:rsidR="00107519" w:rsidRPr="00715891" w:rsidRDefault="00107519" w:rsidP="00107519">
      <w:pPr>
        <w:rPr>
          <w:rFonts w:eastAsia="Calibri"/>
          <w:sz w:val="22"/>
          <w:szCs w:val="22"/>
          <w:lang w:val="lt-LT" w:eastAsia="lt-LT"/>
        </w:rPr>
      </w:pPr>
    </w:p>
    <w:p w14:paraId="136F3188" w14:textId="77777777" w:rsidR="00107519" w:rsidRPr="00715891" w:rsidRDefault="00107519" w:rsidP="00107519">
      <w:pPr>
        <w:keepNext/>
        <w:keepLines/>
        <w:tabs>
          <w:tab w:val="left" w:pos="567"/>
        </w:tabs>
        <w:rPr>
          <w:b/>
          <w:sz w:val="22"/>
          <w:szCs w:val="22"/>
          <w:lang w:val="lt-LT" w:eastAsia="ja-JP"/>
        </w:rPr>
      </w:pPr>
      <w:r w:rsidRPr="00715891">
        <w:rPr>
          <w:b/>
          <w:sz w:val="22"/>
          <w:szCs w:val="22"/>
          <w:lang w:val="lt-LT" w:eastAsia="ja-JP"/>
        </w:rPr>
        <w:t>6.</w:t>
      </w:r>
      <w:r w:rsidRPr="00715891">
        <w:rPr>
          <w:b/>
          <w:sz w:val="22"/>
          <w:szCs w:val="22"/>
          <w:lang w:val="lt-LT" w:eastAsia="ja-JP"/>
        </w:rPr>
        <w:tab/>
        <w:t>FARMACINĖ INFORMACIJA</w:t>
      </w:r>
    </w:p>
    <w:p w14:paraId="2BCBEC99" w14:textId="77777777" w:rsidR="00107519" w:rsidRPr="00715891" w:rsidRDefault="00107519" w:rsidP="00107519">
      <w:pPr>
        <w:keepNext/>
        <w:keepLines/>
        <w:rPr>
          <w:sz w:val="22"/>
          <w:szCs w:val="22"/>
          <w:lang w:val="lt-LT" w:eastAsia="ja-JP"/>
        </w:rPr>
      </w:pPr>
    </w:p>
    <w:p w14:paraId="49407A48" w14:textId="77777777" w:rsidR="00107519" w:rsidRPr="00715891" w:rsidRDefault="00107519" w:rsidP="00107519">
      <w:pPr>
        <w:keepNext/>
        <w:keepLines/>
        <w:ind w:left="567" w:hanging="567"/>
        <w:outlineLvl w:val="1"/>
        <w:rPr>
          <w:b/>
          <w:kern w:val="28"/>
          <w:sz w:val="22"/>
          <w:szCs w:val="22"/>
          <w:lang w:val="lt-LT" w:eastAsia="ja-JP"/>
        </w:rPr>
      </w:pPr>
      <w:r w:rsidRPr="00715891">
        <w:rPr>
          <w:b/>
          <w:kern w:val="28"/>
          <w:sz w:val="22"/>
          <w:szCs w:val="22"/>
          <w:lang w:val="lt-LT" w:eastAsia="ja-JP"/>
        </w:rPr>
        <w:t>6.1</w:t>
      </w:r>
      <w:r w:rsidRPr="00715891">
        <w:rPr>
          <w:b/>
          <w:kern w:val="28"/>
          <w:sz w:val="22"/>
          <w:szCs w:val="22"/>
          <w:lang w:val="lt-LT" w:eastAsia="ja-JP"/>
        </w:rPr>
        <w:tab/>
        <w:t>Pagalbinių medžiagų sąrašas</w:t>
      </w:r>
    </w:p>
    <w:p w14:paraId="499FE7AF" w14:textId="77777777" w:rsidR="00107519" w:rsidRPr="00715891" w:rsidRDefault="00107519" w:rsidP="00107519">
      <w:pPr>
        <w:rPr>
          <w:sz w:val="22"/>
          <w:szCs w:val="22"/>
          <w:lang w:val="lt-LT" w:eastAsia="ja-JP"/>
        </w:rPr>
      </w:pPr>
    </w:p>
    <w:p w14:paraId="16880203" w14:textId="77777777" w:rsidR="00107519" w:rsidRPr="00715891" w:rsidRDefault="00107519" w:rsidP="00107519">
      <w:pPr>
        <w:rPr>
          <w:sz w:val="22"/>
          <w:szCs w:val="22"/>
          <w:lang w:val="lt-LT" w:eastAsia="ja-JP"/>
        </w:rPr>
      </w:pPr>
      <w:r w:rsidRPr="00715891">
        <w:rPr>
          <w:sz w:val="22"/>
          <w:szCs w:val="22"/>
          <w:u w:val="single"/>
          <w:lang w:val="lt-LT" w:eastAsia="ja-JP"/>
        </w:rPr>
        <w:t>Tabletės branduolys</w:t>
      </w:r>
    </w:p>
    <w:p w14:paraId="7AC1F3F8" w14:textId="77777777" w:rsidR="00107519" w:rsidRPr="00715891" w:rsidRDefault="00107519" w:rsidP="00107519">
      <w:pPr>
        <w:rPr>
          <w:sz w:val="22"/>
          <w:szCs w:val="22"/>
          <w:lang w:val="lt-LT" w:eastAsia="ja-JP"/>
        </w:rPr>
      </w:pPr>
      <w:r w:rsidRPr="00715891">
        <w:rPr>
          <w:sz w:val="22"/>
          <w:szCs w:val="22"/>
          <w:lang w:val="lt-LT" w:eastAsia="ja-JP"/>
        </w:rPr>
        <w:t>Mikrokristalinė celiuliozė (PH101)</w:t>
      </w:r>
    </w:p>
    <w:p w14:paraId="7DB96AD9" w14:textId="77777777" w:rsidR="00107519" w:rsidRPr="00715891" w:rsidRDefault="00107519" w:rsidP="00107519">
      <w:pPr>
        <w:rPr>
          <w:sz w:val="22"/>
          <w:szCs w:val="22"/>
          <w:lang w:val="lt-LT" w:eastAsia="ja-JP"/>
        </w:rPr>
      </w:pPr>
      <w:r w:rsidRPr="00715891">
        <w:rPr>
          <w:sz w:val="22"/>
          <w:szCs w:val="22"/>
          <w:lang w:val="lt-LT" w:eastAsia="ja-JP"/>
        </w:rPr>
        <w:t>Krospovidonas (A tipo)</w:t>
      </w:r>
    </w:p>
    <w:p w14:paraId="4D450D7A" w14:textId="322A62EA" w:rsidR="00107519" w:rsidRPr="00715891" w:rsidRDefault="00107519" w:rsidP="00107519">
      <w:pPr>
        <w:rPr>
          <w:sz w:val="22"/>
          <w:szCs w:val="22"/>
          <w:lang w:val="lt-LT" w:eastAsia="ja-JP"/>
        </w:rPr>
      </w:pPr>
      <w:r w:rsidRPr="00715891">
        <w:rPr>
          <w:sz w:val="22"/>
          <w:szCs w:val="22"/>
          <w:lang w:val="lt-LT" w:eastAsia="ja-JP"/>
        </w:rPr>
        <w:t>Povidonas K30</w:t>
      </w:r>
    </w:p>
    <w:p w14:paraId="6D22EAE4" w14:textId="77777777" w:rsidR="00107519" w:rsidRPr="00715891" w:rsidRDefault="00107519" w:rsidP="00107519">
      <w:pPr>
        <w:rPr>
          <w:sz w:val="22"/>
          <w:szCs w:val="22"/>
          <w:lang w:val="lt-LT" w:eastAsia="ja-JP"/>
        </w:rPr>
      </w:pPr>
      <w:r w:rsidRPr="00715891">
        <w:rPr>
          <w:sz w:val="22"/>
          <w:szCs w:val="22"/>
          <w:lang w:val="lt-LT" w:eastAsia="ja-JP"/>
        </w:rPr>
        <w:t>Stearino rūgštis 50</w:t>
      </w:r>
    </w:p>
    <w:p w14:paraId="6F9A2A68" w14:textId="77777777" w:rsidR="00107519" w:rsidRPr="00715891" w:rsidRDefault="00107519" w:rsidP="00107519">
      <w:pPr>
        <w:rPr>
          <w:sz w:val="22"/>
          <w:szCs w:val="22"/>
          <w:lang w:val="lt-LT" w:eastAsia="ja-JP"/>
        </w:rPr>
      </w:pPr>
    </w:p>
    <w:p w14:paraId="0859C21C" w14:textId="77777777" w:rsidR="00107519" w:rsidRPr="00715891" w:rsidRDefault="00107519" w:rsidP="00107519">
      <w:pPr>
        <w:rPr>
          <w:sz w:val="22"/>
          <w:szCs w:val="22"/>
          <w:u w:val="single"/>
          <w:lang w:val="lt-LT" w:eastAsia="ja-JP"/>
        </w:rPr>
      </w:pPr>
      <w:r w:rsidRPr="00715891">
        <w:rPr>
          <w:sz w:val="22"/>
          <w:szCs w:val="22"/>
          <w:u w:val="single"/>
          <w:lang w:val="lt-LT" w:eastAsia="ja-JP"/>
        </w:rPr>
        <w:t>Tabletės plėvelė</w:t>
      </w:r>
    </w:p>
    <w:p w14:paraId="7678560E" w14:textId="77777777" w:rsidR="00107519" w:rsidRPr="00715891" w:rsidRDefault="00107519" w:rsidP="00107519">
      <w:pPr>
        <w:rPr>
          <w:sz w:val="22"/>
          <w:szCs w:val="22"/>
          <w:lang w:val="lt-LT" w:eastAsia="ja-JP"/>
        </w:rPr>
      </w:pPr>
      <w:r w:rsidRPr="00715891">
        <w:rPr>
          <w:i/>
          <w:sz w:val="22"/>
          <w:szCs w:val="22"/>
          <w:lang w:val="lt-LT" w:eastAsia="ja-JP"/>
        </w:rPr>
        <w:t xml:space="preserve">Opadry Pink </w:t>
      </w:r>
      <w:r w:rsidRPr="00715891">
        <w:rPr>
          <w:i/>
          <w:sz w:val="22"/>
          <w:szCs w:val="22"/>
          <w:lang w:val="lt-LT"/>
        </w:rPr>
        <w:t>15B24005</w:t>
      </w:r>
      <w:r w:rsidRPr="00715891">
        <w:rPr>
          <w:sz w:val="22"/>
          <w:szCs w:val="22"/>
          <w:lang w:val="lt-LT" w:eastAsia="ja-JP"/>
        </w:rPr>
        <w:t>, kurio sudėtis:</w:t>
      </w:r>
    </w:p>
    <w:p w14:paraId="018A4589" w14:textId="1C4389C6" w:rsidR="00107519" w:rsidRPr="00715891" w:rsidRDefault="00107519" w:rsidP="00107519">
      <w:pPr>
        <w:rPr>
          <w:sz w:val="22"/>
          <w:szCs w:val="22"/>
          <w:lang w:val="lt-LT" w:eastAsia="ja-JP"/>
        </w:rPr>
      </w:pPr>
      <w:r w:rsidRPr="00715891">
        <w:rPr>
          <w:sz w:val="22"/>
          <w:szCs w:val="22"/>
          <w:lang w:val="lt-LT" w:eastAsia="ja-JP"/>
        </w:rPr>
        <w:t xml:space="preserve">Hipromeliozė </w:t>
      </w:r>
      <w:r w:rsidR="00A5451E" w:rsidRPr="00715891">
        <w:rPr>
          <w:sz w:val="22"/>
          <w:szCs w:val="22"/>
          <w:lang w:val="lt-LT" w:eastAsia="ja-JP"/>
        </w:rPr>
        <w:t xml:space="preserve">(E464) </w:t>
      </w:r>
      <w:r w:rsidRPr="00715891">
        <w:rPr>
          <w:sz w:val="22"/>
          <w:szCs w:val="22"/>
          <w:lang w:val="lt-LT" w:eastAsia="ja-JP"/>
        </w:rPr>
        <w:t>(3 cP)</w:t>
      </w:r>
    </w:p>
    <w:p w14:paraId="309A425B" w14:textId="66093197" w:rsidR="00107519" w:rsidRPr="00715891" w:rsidRDefault="00107519" w:rsidP="00107519">
      <w:pPr>
        <w:rPr>
          <w:sz w:val="22"/>
          <w:szCs w:val="22"/>
          <w:lang w:val="lt-LT" w:eastAsia="ja-JP"/>
        </w:rPr>
      </w:pPr>
      <w:r w:rsidRPr="00715891">
        <w:rPr>
          <w:sz w:val="22"/>
          <w:szCs w:val="22"/>
          <w:lang w:val="lt-LT" w:eastAsia="ja-JP"/>
        </w:rPr>
        <w:t xml:space="preserve">Hipromeliozė </w:t>
      </w:r>
      <w:r w:rsidR="00A5451E" w:rsidRPr="00715891">
        <w:rPr>
          <w:sz w:val="22"/>
          <w:szCs w:val="22"/>
          <w:lang w:val="lt-LT" w:eastAsia="ja-JP"/>
        </w:rPr>
        <w:t xml:space="preserve">(E464) </w:t>
      </w:r>
      <w:r w:rsidRPr="00715891">
        <w:rPr>
          <w:sz w:val="22"/>
          <w:szCs w:val="22"/>
          <w:lang w:val="lt-LT" w:eastAsia="ja-JP"/>
        </w:rPr>
        <w:t>(6 cP)</w:t>
      </w:r>
    </w:p>
    <w:p w14:paraId="28F06FA2" w14:textId="09C064B2" w:rsidR="00107519" w:rsidRPr="00715891" w:rsidRDefault="00107519" w:rsidP="00107519">
      <w:pPr>
        <w:rPr>
          <w:sz w:val="22"/>
          <w:szCs w:val="22"/>
          <w:lang w:val="lt-LT" w:eastAsia="ja-JP"/>
        </w:rPr>
      </w:pPr>
      <w:r w:rsidRPr="00715891">
        <w:rPr>
          <w:sz w:val="22"/>
          <w:szCs w:val="22"/>
          <w:lang w:val="lt-LT" w:eastAsia="ja-JP"/>
        </w:rPr>
        <w:t>Titano dioksidas (E171)</w:t>
      </w:r>
    </w:p>
    <w:p w14:paraId="2AF75F46" w14:textId="34E3B74A" w:rsidR="00107519" w:rsidRPr="00715891" w:rsidRDefault="00107519" w:rsidP="00107519">
      <w:pPr>
        <w:rPr>
          <w:sz w:val="22"/>
          <w:szCs w:val="22"/>
          <w:lang w:val="lt-LT" w:eastAsia="ja-JP"/>
        </w:rPr>
      </w:pPr>
      <w:r w:rsidRPr="00715891">
        <w:rPr>
          <w:sz w:val="22"/>
          <w:szCs w:val="22"/>
          <w:lang w:val="lt-LT" w:eastAsia="ja-JP"/>
        </w:rPr>
        <w:lastRenderedPageBreak/>
        <w:t>Makrogolis 400</w:t>
      </w:r>
      <w:r w:rsidR="00A5451E" w:rsidRPr="00715891">
        <w:rPr>
          <w:sz w:val="22"/>
          <w:szCs w:val="22"/>
          <w:lang w:val="lt-LT" w:eastAsia="ja-JP"/>
        </w:rPr>
        <w:t xml:space="preserve"> (E1521)</w:t>
      </w:r>
    </w:p>
    <w:p w14:paraId="6F0ED236" w14:textId="1EFB5552" w:rsidR="00107519" w:rsidRPr="00715891" w:rsidRDefault="00107519" w:rsidP="00107519">
      <w:pPr>
        <w:rPr>
          <w:sz w:val="22"/>
          <w:szCs w:val="22"/>
          <w:lang w:val="lt-LT" w:eastAsia="ja-JP"/>
        </w:rPr>
      </w:pPr>
      <w:r w:rsidRPr="00715891">
        <w:rPr>
          <w:sz w:val="22"/>
          <w:szCs w:val="22"/>
          <w:lang w:val="lt-LT" w:eastAsia="ja-JP"/>
        </w:rPr>
        <w:t>Raudonasis geležies oksidas (E172)</w:t>
      </w:r>
    </w:p>
    <w:p w14:paraId="26A358A5" w14:textId="2B04F08D" w:rsidR="00107519" w:rsidRPr="00715891" w:rsidRDefault="00107519" w:rsidP="00107519">
      <w:pPr>
        <w:rPr>
          <w:sz w:val="22"/>
          <w:szCs w:val="22"/>
          <w:lang w:val="lt-LT" w:eastAsia="ja-JP"/>
        </w:rPr>
      </w:pPr>
      <w:r w:rsidRPr="00715891">
        <w:rPr>
          <w:sz w:val="22"/>
          <w:szCs w:val="22"/>
          <w:lang w:val="lt-LT" w:eastAsia="ja-JP"/>
        </w:rPr>
        <w:t>Polisorbatas 80</w:t>
      </w:r>
      <w:r w:rsidR="00A5451E" w:rsidRPr="00715891">
        <w:rPr>
          <w:sz w:val="22"/>
          <w:szCs w:val="22"/>
          <w:lang w:val="lt-LT" w:eastAsia="ja-JP"/>
        </w:rPr>
        <w:t xml:space="preserve"> (E433)</w:t>
      </w:r>
    </w:p>
    <w:p w14:paraId="638C66EA" w14:textId="77777777" w:rsidR="00107519" w:rsidRPr="00715891" w:rsidRDefault="00107519" w:rsidP="00107519">
      <w:pPr>
        <w:rPr>
          <w:sz w:val="22"/>
          <w:szCs w:val="22"/>
          <w:lang w:val="lt-LT" w:eastAsia="ja-JP"/>
        </w:rPr>
      </w:pPr>
    </w:p>
    <w:p w14:paraId="1C5508F5" w14:textId="77777777" w:rsidR="00107519" w:rsidRPr="00715891" w:rsidRDefault="00107519" w:rsidP="00107519">
      <w:pPr>
        <w:ind w:left="567" w:hanging="567"/>
        <w:outlineLvl w:val="1"/>
        <w:rPr>
          <w:b/>
          <w:kern w:val="28"/>
          <w:sz w:val="22"/>
          <w:szCs w:val="22"/>
          <w:lang w:val="lt-LT" w:eastAsia="ja-JP"/>
        </w:rPr>
      </w:pPr>
      <w:r w:rsidRPr="00715891">
        <w:rPr>
          <w:b/>
          <w:kern w:val="28"/>
          <w:sz w:val="22"/>
          <w:szCs w:val="22"/>
          <w:lang w:val="lt-LT" w:eastAsia="ja-JP"/>
        </w:rPr>
        <w:t>6.2</w:t>
      </w:r>
      <w:r w:rsidRPr="00715891">
        <w:rPr>
          <w:b/>
          <w:kern w:val="28"/>
          <w:sz w:val="22"/>
          <w:szCs w:val="22"/>
          <w:lang w:val="lt-LT" w:eastAsia="ja-JP"/>
        </w:rPr>
        <w:tab/>
        <w:t>Nesuderinamumas</w:t>
      </w:r>
    </w:p>
    <w:p w14:paraId="054572B4" w14:textId="77777777" w:rsidR="00107519" w:rsidRPr="00715891" w:rsidRDefault="00107519" w:rsidP="00107519">
      <w:pPr>
        <w:rPr>
          <w:sz w:val="22"/>
          <w:szCs w:val="22"/>
          <w:lang w:val="lt-LT" w:eastAsia="ja-JP"/>
        </w:rPr>
      </w:pPr>
    </w:p>
    <w:p w14:paraId="544E12BF" w14:textId="77777777" w:rsidR="00107519" w:rsidRPr="00715891" w:rsidRDefault="00107519" w:rsidP="00107519">
      <w:pPr>
        <w:rPr>
          <w:sz w:val="22"/>
          <w:szCs w:val="22"/>
          <w:lang w:val="lt-LT" w:eastAsia="ja-JP"/>
        </w:rPr>
      </w:pPr>
      <w:r w:rsidRPr="00715891">
        <w:rPr>
          <w:sz w:val="22"/>
          <w:szCs w:val="22"/>
          <w:lang w:val="lt-LT" w:eastAsia="ja-JP"/>
        </w:rPr>
        <w:t>Duomenys nebūtini.</w:t>
      </w:r>
    </w:p>
    <w:p w14:paraId="5231FB6F" w14:textId="77777777" w:rsidR="00107519" w:rsidRPr="00715891" w:rsidRDefault="00107519" w:rsidP="00107519">
      <w:pPr>
        <w:rPr>
          <w:sz w:val="22"/>
          <w:szCs w:val="22"/>
          <w:lang w:val="lt-LT" w:eastAsia="ja-JP"/>
        </w:rPr>
      </w:pPr>
    </w:p>
    <w:p w14:paraId="6287A731" w14:textId="77777777" w:rsidR="00107519" w:rsidRPr="00715891" w:rsidRDefault="00107519" w:rsidP="00107519">
      <w:pPr>
        <w:ind w:left="567" w:hanging="567"/>
        <w:outlineLvl w:val="1"/>
        <w:rPr>
          <w:b/>
          <w:kern w:val="28"/>
          <w:sz w:val="22"/>
          <w:szCs w:val="22"/>
          <w:lang w:val="lt-LT" w:eastAsia="ja-JP"/>
        </w:rPr>
      </w:pPr>
      <w:r w:rsidRPr="00715891">
        <w:rPr>
          <w:b/>
          <w:kern w:val="28"/>
          <w:sz w:val="22"/>
          <w:szCs w:val="22"/>
          <w:lang w:val="lt-LT" w:eastAsia="ja-JP"/>
        </w:rPr>
        <w:t>6.3</w:t>
      </w:r>
      <w:r w:rsidRPr="00715891">
        <w:rPr>
          <w:b/>
          <w:kern w:val="28"/>
          <w:sz w:val="22"/>
          <w:szCs w:val="22"/>
          <w:lang w:val="lt-LT" w:eastAsia="ja-JP"/>
        </w:rPr>
        <w:tab/>
        <w:t>Tinkamumo laikas</w:t>
      </w:r>
    </w:p>
    <w:p w14:paraId="0925E2CA" w14:textId="77777777" w:rsidR="00107519" w:rsidRPr="00715891" w:rsidRDefault="00107519" w:rsidP="00107519">
      <w:pPr>
        <w:rPr>
          <w:sz w:val="22"/>
          <w:szCs w:val="22"/>
          <w:lang w:val="lt-LT" w:eastAsia="ja-JP"/>
        </w:rPr>
      </w:pPr>
    </w:p>
    <w:p w14:paraId="0D7A06A6" w14:textId="27FDFF1E" w:rsidR="00107519" w:rsidRPr="00715891" w:rsidRDefault="00107519" w:rsidP="00107519">
      <w:pPr>
        <w:rPr>
          <w:sz w:val="22"/>
          <w:szCs w:val="22"/>
          <w:lang w:val="lt-LT" w:eastAsia="ja-JP"/>
        </w:rPr>
      </w:pPr>
      <w:r w:rsidRPr="00715891">
        <w:rPr>
          <w:sz w:val="22"/>
          <w:szCs w:val="22"/>
          <w:lang w:val="lt-LT" w:eastAsia="ja-JP"/>
        </w:rPr>
        <w:t>3</w:t>
      </w:r>
      <w:r w:rsidR="003B251E" w:rsidRPr="00715891">
        <w:rPr>
          <w:sz w:val="22"/>
          <w:szCs w:val="22"/>
          <w:lang w:val="lt-LT" w:eastAsia="ja-JP"/>
        </w:rPr>
        <w:t> </w:t>
      </w:r>
      <w:r w:rsidRPr="00715891">
        <w:rPr>
          <w:sz w:val="22"/>
          <w:szCs w:val="22"/>
          <w:lang w:val="lt-LT" w:eastAsia="ja-JP"/>
        </w:rPr>
        <w:t>metai.</w:t>
      </w:r>
    </w:p>
    <w:p w14:paraId="1D5DC8AD" w14:textId="77777777" w:rsidR="00107519" w:rsidRPr="00715891" w:rsidRDefault="00107519" w:rsidP="00107519">
      <w:pPr>
        <w:rPr>
          <w:sz w:val="22"/>
          <w:szCs w:val="22"/>
          <w:lang w:val="lt-LT" w:eastAsia="ja-JP"/>
        </w:rPr>
      </w:pPr>
    </w:p>
    <w:p w14:paraId="31E85B6E" w14:textId="6F0CDE3B" w:rsidR="00107519" w:rsidRPr="00715891" w:rsidRDefault="00A5451E" w:rsidP="00107519">
      <w:pPr>
        <w:rPr>
          <w:sz w:val="22"/>
          <w:szCs w:val="22"/>
          <w:lang w:val="lt-LT" w:eastAsia="ja-JP"/>
        </w:rPr>
      </w:pPr>
      <w:r w:rsidRPr="00715891">
        <w:rPr>
          <w:sz w:val="22"/>
          <w:szCs w:val="22"/>
          <w:lang w:val="lt-LT" w:eastAsia="ja-JP"/>
        </w:rPr>
        <w:t>Tinkamumo laikas po pirmojo atidarymo:</w:t>
      </w:r>
    </w:p>
    <w:p w14:paraId="3A0868D9" w14:textId="5630F90A" w:rsidR="00107519" w:rsidRPr="00715891" w:rsidRDefault="00A5451E" w:rsidP="00107519">
      <w:pPr>
        <w:rPr>
          <w:sz w:val="22"/>
          <w:szCs w:val="22"/>
          <w:lang w:val="lt-LT" w:eastAsia="ja-JP"/>
        </w:rPr>
      </w:pPr>
      <w:r w:rsidRPr="00715891">
        <w:rPr>
          <w:sz w:val="22"/>
          <w:szCs w:val="22"/>
          <w:lang w:val="lt-LT" w:eastAsia="ja-JP"/>
        </w:rPr>
        <w:t>Buteliukai</w:t>
      </w:r>
      <w:r w:rsidR="00107519" w:rsidRPr="00715891">
        <w:rPr>
          <w:sz w:val="22"/>
          <w:szCs w:val="22"/>
          <w:lang w:val="lt-LT" w:eastAsia="ja-JP"/>
        </w:rPr>
        <w:t>: 2</w:t>
      </w:r>
      <w:r w:rsidR="003B251E" w:rsidRPr="00715891">
        <w:rPr>
          <w:sz w:val="22"/>
          <w:szCs w:val="22"/>
          <w:lang w:val="lt-LT" w:eastAsia="ja-JP"/>
        </w:rPr>
        <w:t> </w:t>
      </w:r>
      <w:r w:rsidR="00107519" w:rsidRPr="00715891">
        <w:rPr>
          <w:sz w:val="22"/>
          <w:szCs w:val="22"/>
          <w:lang w:val="lt-LT" w:eastAsia="ja-JP"/>
        </w:rPr>
        <w:t>mėnesiai</w:t>
      </w:r>
    </w:p>
    <w:p w14:paraId="6FAB1729" w14:textId="77777777" w:rsidR="00107519" w:rsidRPr="00715891" w:rsidRDefault="00107519" w:rsidP="00107519">
      <w:pPr>
        <w:rPr>
          <w:sz w:val="22"/>
          <w:szCs w:val="22"/>
          <w:lang w:val="lt-LT" w:eastAsia="ja-JP"/>
        </w:rPr>
      </w:pPr>
    </w:p>
    <w:p w14:paraId="11A460EE" w14:textId="77777777" w:rsidR="00107519" w:rsidRPr="00715891" w:rsidRDefault="00107519" w:rsidP="00107519">
      <w:pPr>
        <w:ind w:left="567" w:hanging="567"/>
        <w:outlineLvl w:val="1"/>
        <w:rPr>
          <w:b/>
          <w:kern w:val="28"/>
          <w:sz w:val="22"/>
          <w:szCs w:val="22"/>
          <w:lang w:val="lt-LT" w:eastAsia="ja-JP"/>
        </w:rPr>
      </w:pPr>
      <w:r w:rsidRPr="00715891">
        <w:rPr>
          <w:b/>
          <w:kern w:val="28"/>
          <w:sz w:val="22"/>
          <w:szCs w:val="22"/>
          <w:lang w:val="lt-LT" w:eastAsia="ja-JP"/>
        </w:rPr>
        <w:t>6.4</w:t>
      </w:r>
      <w:r w:rsidRPr="00715891">
        <w:rPr>
          <w:b/>
          <w:kern w:val="28"/>
          <w:sz w:val="22"/>
          <w:szCs w:val="22"/>
          <w:lang w:val="lt-LT" w:eastAsia="ja-JP"/>
        </w:rPr>
        <w:tab/>
        <w:t>Specialios laikymo sąlygos</w:t>
      </w:r>
    </w:p>
    <w:p w14:paraId="6A2746A0" w14:textId="77777777" w:rsidR="00107519" w:rsidRPr="00715891" w:rsidRDefault="00107519" w:rsidP="00107519">
      <w:pPr>
        <w:rPr>
          <w:sz w:val="22"/>
          <w:szCs w:val="22"/>
          <w:lang w:val="lt-LT" w:eastAsia="ja-JP"/>
        </w:rPr>
      </w:pPr>
    </w:p>
    <w:p w14:paraId="7FCD62DB" w14:textId="77777777" w:rsidR="00107519" w:rsidRPr="00715891" w:rsidRDefault="00107519" w:rsidP="00107519">
      <w:pPr>
        <w:rPr>
          <w:sz w:val="22"/>
          <w:szCs w:val="22"/>
          <w:lang w:val="lt-LT" w:eastAsia="ja-JP"/>
        </w:rPr>
      </w:pPr>
      <w:r w:rsidRPr="00715891">
        <w:rPr>
          <w:sz w:val="22"/>
          <w:szCs w:val="22"/>
          <w:lang w:val="lt-LT" w:eastAsia="ja-JP"/>
        </w:rPr>
        <w:t>Šiam vaistiniam preparatui specialių laikymo sąlygų nereikia.</w:t>
      </w:r>
    </w:p>
    <w:p w14:paraId="055659A2" w14:textId="77777777" w:rsidR="00107519" w:rsidRPr="00715891" w:rsidRDefault="00107519" w:rsidP="00107519">
      <w:pPr>
        <w:rPr>
          <w:sz w:val="22"/>
          <w:szCs w:val="22"/>
          <w:lang w:val="lt-LT" w:eastAsia="ja-JP"/>
        </w:rPr>
      </w:pPr>
    </w:p>
    <w:p w14:paraId="5CB948E2" w14:textId="77777777" w:rsidR="00107519" w:rsidRPr="00715891" w:rsidRDefault="00107519" w:rsidP="00107519">
      <w:pPr>
        <w:ind w:left="567" w:hanging="567"/>
        <w:outlineLvl w:val="1"/>
        <w:rPr>
          <w:b/>
          <w:kern w:val="28"/>
          <w:sz w:val="22"/>
          <w:szCs w:val="22"/>
          <w:lang w:val="lt-LT" w:eastAsia="ja-JP"/>
        </w:rPr>
      </w:pPr>
      <w:r w:rsidRPr="00715891">
        <w:rPr>
          <w:b/>
          <w:kern w:val="28"/>
          <w:sz w:val="22"/>
          <w:szCs w:val="22"/>
          <w:lang w:val="lt-LT" w:eastAsia="ja-JP"/>
        </w:rPr>
        <w:t>6.5</w:t>
      </w:r>
      <w:r w:rsidRPr="00715891">
        <w:rPr>
          <w:b/>
          <w:kern w:val="28"/>
          <w:sz w:val="22"/>
          <w:szCs w:val="22"/>
          <w:lang w:val="lt-LT" w:eastAsia="ja-JP"/>
        </w:rPr>
        <w:tab/>
        <w:t>Talpyklės pobūdis ir jos turinys</w:t>
      </w:r>
    </w:p>
    <w:p w14:paraId="4B2DE64F" w14:textId="77777777" w:rsidR="00107519" w:rsidRPr="00715891" w:rsidRDefault="00107519" w:rsidP="00107519">
      <w:pPr>
        <w:rPr>
          <w:sz w:val="22"/>
          <w:szCs w:val="22"/>
          <w:lang w:val="lt-LT" w:eastAsia="ja-JP"/>
        </w:rPr>
      </w:pPr>
    </w:p>
    <w:p w14:paraId="3AE9473B" w14:textId="580A912A" w:rsidR="00254696" w:rsidRPr="00715891" w:rsidRDefault="00A5451E" w:rsidP="00107519">
      <w:pPr>
        <w:rPr>
          <w:sz w:val="22"/>
          <w:szCs w:val="22"/>
          <w:lang w:val="lt-LT" w:eastAsia="ja-JP"/>
        </w:rPr>
      </w:pPr>
      <w:r w:rsidRPr="00715891">
        <w:rPr>
          <w:sz w:val="22"/>
          <w:szCs w:val="22"/>
          <w:lang w:val="lt-LT" w:eastAsia="ja-JP"/>
        </w:rPr>
        <w:t>Plėvele dengtos tabletės yra supakuotos į a</w:t>
      </w:r>
      <w:r w:rsidR="00107519" w:rsidRPr="00715891">
        <w:rPr>
          <w:sz w:val="22"/>
          <w:szCs w:val="22"/>
          <w:lang w:val="lt-LT" w:eastAsia="ja-JP"/>
        </w:rPr>
        <w:t xml:space="preserve">liuminio/PVC/aliuminio/OPA </w:t>
      </w:r>
      <w:r w:rsidRPr="00715891">
        <w:rPr>
          <w:sz w:val="22"/>
          <w:szCs w:val="22"/>
          <w:lang w:val="lt-LT" w:eastAsia="ja-JP"/>
        </w:rPr>
        <w:t>lizdines plokšteles, įdėtas į kartono dėžutę arba supakuot</w:t>
      </w:r>
      <w:r w:rsidR="000B56F2" w:rsidRPr="00715891">
        <w:rPr>
          <w:sz w:val="22"/>
          <w:szCs w:val="22"/>
          <w:lang w:val="lt-LT" w:eastAsia="ja-JP"/>
        </w:rPr>
        <w:t>o</w:t>
      </w:r>
      <w:r w:rsidRPr="00715891">
        <w:rPr>
          <w:sz w:val="22"/>
          <w:szCs w:val="22"/>
          <w:lang w:val="lt-LT" w:eastAsia="ja-JP"/>
        </w:rPr>
        <w:t xml:space="preserve">s DTPE buteliuke su vaikų sunkiai atidaromu užsukamuoju polipropileno dangteliu </w:t>
      </w:r>
      <w:r w:rsidR="00254696" w:rsidRPr="00715891">
        <w:rPr>
          <w:sz w:val="22"/>
          <w:szCs w:val="22"/>
          <w:lang w:val="lt-LT" w:eastAsia="ja-JP"/>
        </w:rPr>
        <w:t>ir minkštu</w:t>
      </w:r>
      <w:r w:rsidRPr="00715891">
        <w:rPr>
          <w:sz w:val="22"/>
          <w:szCs w:val="22"/>
          <w:lang w:val="lt-LT" w:eastAsia="ja-JP"/>
        </w:rPr>
        <w:t xml:space="preserve"> aliuminio įdėklu ir </w:t>
      </w:r>
      <w:r w:rsidR="00254696" w:rsidRPr="00715891">
        <w:rPr>
          <w:sz w:val="22"/>
          <w:szCs w:val="22"/>
          <w:lang w:val="lt-LT" w:eastAsia="ja-JP"/>
        </w:rPr>
        <w:t>įdėtu vatos</w:t>
      </w:r>
      <w:r w:rsidRPr="00715891">
        <w:rPr>
          <w:sz w:val="22"/>
          <w:szCs w:val="22"/>
          <w:lang w:val="lt-LT" w:eastAsia="ja-JP"/>
        </w:rPr>
        <w:t xml:space="preserve"> užpildu</w:t>
      </w:r>
      <w:r w:rsidR="00254696" w:rsidRPr="00715891">
        <w:rPr>
          <w:sz w:val="22"/>
          <w:szCs w:val="22"/>
          <w:lang w:val="lt-LT" w:eastAsia="ja-JP"/>
        </w:rPr>
        <w:t>.</w:t>
      </w:r>
    </w:p>
    <w:p w14:paraId="225E76CE" w14:textId="77777777" w:rsidR="00254696" w:rsidRPr="00715891" w:rsidRDefault="00254696" w:rsidP="00107519">
      <w:pPr>
        <w:rPr>
          <w:sz w:val="22"/>
          <w:szCs w:val="22"/>
          <w:lang w:val="lt-LT" w:eastAsia="ja-JP"/>
        </w:rPr>
      </w:pPr>
    </w:p>
    <w:p w14:paraId="1D00848B" w14:textId="77777777" w:rsidR="00107519" w:rsidRPr="00715891" w:rsidRDefault="00254696" w:rsidP="00107519">
      <w:pPr>
        <w:rPr>
          <w:sz w:val="22"/>
          <w:szCs w:val="22"/>
          <w:lang w:val="lt-LT" w:eastAsia="ja-JP"/>
        </w:rPr>
      </w:pPr>
      <w:r w:rsidRPr="00715891">
        <w:rPr>
          <w:sz w:val="22"/>
          <w:szCs w:val="22"/>
          <w:lang w:val="lt-LT" w:eastAsia="ja-JP"/>
        </w:rPr>
        <w:t>Lizdinė plokštelė</w:t>
      </w:r>
      <w:r w:rsidR="00107519" w:rsidRPr="00715891">
        <w:rPr>
          <w:sz w:val="22"/>
          <w:szCs w:val="22"/>
          <w:lang w:val="lt-LT" w:eastAsia="ja-JP"/>
        </w:rPr>
        <w:t>: 10, 30, 60, 90, 120 plėvele dengtų tablečių.</w:t>
      </w:r>
    </w:p>
    <w:p w14:paraId="180B7A2B" w14:textId="2476F6C3" w:rsidR="00107519" w:rsidRPr="00715891" w:rsidRDefault="00254696" w:rsidP="00107519">
      <w:pPr>
        <w:rPr>
          <w:sz w:val="22"/>
          <w:szCs w:val="22"/>
          <w:lang w:val="lt-LT" w:eastAsia="ja-JP"/>
        </w:rPr>
      </w:pPr>
      <w:r w:rsidRPr="00715891">
        <w:rPr>
          <w:sz w:val="22"/>
          <w:szCs w:val="22"/>
          <w:lang w:val="lt-LT" w:eastAsia="ja-JP"/>
        </w:rPr>
        <w:t>Buteliukas</w:t>
      </w:r>
      <w:r w:rsidR="00107519" w:rsidRPr="00715891">
        <w:rPr>
          <w:sz w:val="22"/>
          <w:szCs w:val="22"/>
          <w:lang w:val="lt-LT" w:eastAsia="ja-JP"/>
        </w:rPr>
        <w:t xml:space="preserve">: 60 plėvele dengtų tablečių. </w:t>
      </w:r>
    </w:p>
    <w:p w14:paraId="0B5A83EA" w14:textId="77777777" w:rsidR="00107519" w:rsidRPr="00715891" w:rsidRDefault="00107519" w:rsidP="00107519">
      <w:pPr>
        <w:rPr>
          <w:sz w:val="22"/>
          <w:szCs w:val="22"/>
          <w:lang w:val="lt-LT" w:eastAsia="ja-JP"/>
        </w:rPr>
      </w:pPr>
    </w:p>
    <w:p w14:paraId="2A8355A4" w14:textId="77777777" w:rsidR="00107519" w:rsidRPr="00715891" w:rsidRDefault="00107519" w:rsidP="00107519">
      <w:pPr>
        <w:rPr>
          <w:sz w:val="22"/>
          <w:szCs w:val="22"/>
          <w:lang w:val="lt-LT" w:eastAsia="ja-JP"/>
        </w:rPr>
      </w:pPr>
      <w:r w:rsidRPr="00715891">
        <w:rPr>
          <w:sz w:val="22"/>
          <w:szCs w:val="22"/>
          <w:lang w:val="lt-LT" w:eastAsia="ja-JP"/>
        </w:rPr>
        <w:t>Gali būti tiekiamos ne visų dydžių pakuotės.</w:t>
      </w:r>
    </w:p>
    <w:p w14:paraId="0B793FCF" w14:textId="77777777" w:rsidR="00107519" w:rsidRPr="00715891" w:rsidRDefault="00107519" w:rsidP="00107519">
      <w:pPr>
        <w:rPr>
          <w:sz w:val="22"/>
          <w:szCs w:val="22"/>
          <w:lang w:val="lt-LT" w:eastAsia="ja-JP"/>
        </w:rPr>
      </w:pPr>
    </w:p>
    <w:p w14:paraId="4591A9C3" w14:textId="77777777" w:rsidR="00107519" w:rsidRPr="00715891" w:rsidRDefault="00107519" w:rsidP="00107519">
      <w:pPr>
        <w:keepNext/>
        <w:keepLines/>
        <w:ind w:left="567" w:hanging="567"/>
        <w:outlineLvl w:val="1"/>
        <w:rPr>
          <w:b/>
          <w:kern w:val="28"/>
          <w:sz w:val="22"/>
          <w:szCs w:val="22"/>
          <w:lang w:val="lt-LT" w:eastAsia="ja-JP"/>
        </w:rPr>
      </w:pPr>
      <w:r w:rsidRPr="00715891">
        <w:rPr>
          <w:b/>
          <w:kern w:val="28"/>
          <w:sz w:val="22"/>
          <w:szCs w:val="22"/>
          <w:lang w:val="lt-LT" w:eastAsia="ja-JP"/>
        </w:rPr>
        <w:t>6.6</w:t>
      </w:r>
      <w:r w:rsidRPr="00715891">
        <w:rPr>
          <w:b/>
          <w:kern w:val="28"/>
          <w:sz w:val="22"/>
          <w:szCs w:val="22"/>
          <w:lang w:val="lt-LT" w:eastAsia="ja-JP"/>
        </w:rPr>
        <w:tab/>
      </w:r>
      <w:r w:rsidRPr="00715891">
        <w:rPr>
          <w:b/>
          <w:color w:val="000000"/>
          <w:kern w:val="28"/>
          <w:sz w:val="22"/>
          <w:szCs w:val="22"/>
          <w:lang w:val="lt-LT" w:eastAsia="ja-JP"/>
        </w:rPr>
        <w:t>Specialūs reikalavimai atliekoms tvarkyti</w:t>
      </w:r>
    </w:p>
    <w:p w14:paraId="4B46541A" w14:textId="77777777" w:rsidR="00107519" w:rsidRPr="00715891" w:rsidRDefault="00107519" w:rsidP="00107519">
      <w:pPr>
        <w:rPr>
          <w:sz w:val="22"/>
          <w:szCs w:val="22"/>
          <w:lang w:val="lt-LT" w:eastAsia="ja-JP"/>
        </w:rPr>
      </w:pPr>
    </w:p>
    <w:p w14:paraId="641539B1" w14:textId="77777777" w:rsidR="00107519" w:rsidRPr="00715891" w:rsidRDefault="00107519" w:rsidP="00107519">
      <w:pPr>
        <w:rPr>
          <w:sz w:val="22"/>
          <w:szCs w:val="22"/>
          <w:lang w:val="lt-LT" w:eastAsia="ja-JP"/>
        </w:rPr>
      </w:pPr>
      <w:r w:rsidRPr="00715891">
        <w:rPr>
          <w:sz w:val="22"/>
          <w:szCs w:val="22"/>
          <w:lang w:val="lt-LT" w:eastAsia="ja-JP"/>
        </w:rPr>
        <w:t>Nesuvartotą vaistinį preparatą ar atliekas reikia tvarkyti laikantis vietinių reikalavimų.</w:t>
      </w:r>
    </w:p>
    <w:p w14:paraId="1D5329BF" w14:textId="77777777" w:rsidR="00107519" w:rsidRPr="00715891" w:rsidRDefault="00107519" w:rsidP="00107519">
      <w:pPr>
        <w:rPr>
          <w:sz w:val="22"/>
          <w:szCs w:val="22"/>
          <w:lang w:val="lt-LT" w:eastAsia="ja-JP"/>
        </w:rPr>
      </w:pPr>
    </w:p>
    <w:p w14:paraId="1A755430" w14:textId="77777777" w:rsidR="00107519" w:rsidRPr="00715891" w:rsidRDefault="00107519" w:rsidP="00107519">
      <w:pPr>
        <w:rPr>
          <w:sz w:val="22"/>
          <w:szCs w:val="22"/>
          <w:lang w:val="lt-LT" w:eastAsia="ja-JP"/>
        </w:rPr>
      </w:pPr>
    </w:p>
    <w:p w14:paraId="222B7A13" w14:textId="02E55F60" w:rsidR="00107519" w:rsidRPr="00715891" w:rsidRDefault="00107519" w:rsidP="00107519">
      <w:pPr>
        <w:ind w:left="567" w:hanging="567"/>
        <w:outlineLvl w:val="0"/>
        <w:rPr>
          <w:b/>
          <w:caps/>
          <w:kern w:val="28"/>
          <w:sz w:val="22"/>
          <w:szCs w:val="22"/>
          <w:lang w:val="lt-LT" w:eastAsia="ja-JP"/>
        </w:rPr>
      </w:pPr>
      <w:r w:rsidRPr="00715891">
        <w:rPr>
          <w:b/>
          <w:caps/>
          <w:kern w:val="28"/>
          <w:sz w:val="22"/>
          <w:szCs w:val="22"/>
          <w:lang w:val="lt-LT" w:eastAsia="ja-JP"/>
        </w:rPr>
        <w:t>7.</w:t>
      </w:r>
      <w:r w:rsidRPr="00715891">
        <w:rPr>
          <w:b/>
          <w:caps/>
          <w:kern w:val="28"/>
          <w:sz w:val="22"/>
          <w:szCs w:val="22"/>
          <w:lang w:val="lt-LT" w:eastAsia="ja-JP"/>
        </w:rPr>
        <w:tab/>
      </w:r>
      <w:r w:rsidR="00254696" w:rsidRPr="00715891">
        <w:rPr>
          <w:b/>
          <w:caps/>
          <w:kern w:val="28"/>
          <w:sz w:val="22"/>
          <w:szCs w:val="22"/>
          <w:lang w:val="lt-LT" w:eastAsia="ja-JP"/>
        </w:rPr>
        <w:t>REGISTRUOTOJAS</w:t>
      </w:r>
      <w:r w:rsidR="00254696" w:rsidRPr="00715891" w:rsidDel="00254696">
        <w:rPr>
          <w:b/>
          <w:caps/>
          <w:kern w:val="28"/>
          <w:sz w:val="22"/>
          <w:szCs w:val="22"/>
          <w:lang w:val="lt-LT" w:eastAsia="ja-JP"/>
        </w:rPr>
        <w:t xml:space="preserve"> </w:t>
      </w:r>
    </w:p>
    <w:p w14:paraId="78F6ED10" w14:textId="77777777" w:rsidR="00107519" w:rsidRPr="00715891" w:rsidRDefault="00107519" w:rsidP="00107519">
      <w:pPr>
        <w:rPr>
          <w:sz w:val="22"/>
          <w:szCs w:val="22"/>
          <w:lang w:val="lt-LT" w:eastAsia="ja-JP"/>
        </w:rPr>
      </w:pPr>
    </w:p>
    <w:p w14:paraId="33F16790" w14:textId="77777777" w:rsidR="00107519" w:rsidRPr="00715891" w:rsidRDefault="00107519" w:rsidP="00107519">
      <w:pPr>
        <w:tabs>
          <w:tab w:val="left" w:pos="567"/>
        </w:tabs>
        <w:rPr>
          <w:sz w:val="22"/>
          <w:szCs w:val="22"/>
          <w:lang w:val="lt-LT"/>
        </w:rPr>
      </w:pPr>
      <w:r w:rsidRPr="00715891">
        <w:rPr>
          <w:sz w:val="22"/>
          <w:szCs w:val="22"/>
          <w:lang w:val="lt-LT"/>
        </w:rPr>
        <w:t>Sandoz d.d.</w:t>
      </w:r>
    </w:p>
    <w:p w14:paraId="4F1ED6C1" w14:textId="77777777" w:rsidR="00107519" w:rsidRPr="00715891" w:rsidRDefault="00107519" w:rsidP="00107519">
      <w:pPr>
        <w:tabs>
          <w:tab w:val="left" w:pos="567"/>
        </w:tabs>
        <w:rPr>
          <w:sz w:val="22"/>
          <w:szCs w:val="22"/>
          <w:lang w:val="lt-LT"/>
        </w:rPr>
      </w:pPr>
      <w:r w:rsidRPr="00715891">
        <w:rPr>
          <w:sz w:val="22"/>
          <w:szCs w:val="22"/>
          <w:lang w:val="lt-LT"/>
        </w:rPr>
        <w:t>Verovškova 57</w:t>
      </w:r>
    </w:p>
    <w:p w14:paraId="6D2182FA" w14:textId="77777777" w:rsidR="00107519" w:rsidRPr="00715891" w:rsidRDefault="00107519" w:rsidP="00107519">
      <w:pPr>
        <w:tabs>
          <w:tab w:val="left" w:pos="567"/>
        </w:tabs>
        <w:rPr>
          <w:sz w:val="22"/>
          <w:szCs w:val="22"/>
          <w:lang w:val="lt-LT"/>
        </w:rPr>
      </w:pPr>
      <w:r w:rsidRPr="00715891">
        <w:rPr>
          <w:sz w:val="22"/>
          <w:szCs w:val="22"/>
          <w:lang w:val="lt-LT"/>
        </w:rPr>
        <w:t>SI-1000 Ljubljana</w:t>
      </w:r>
    </w:p>
    <w:p w14:paraId="39AA9AFF" w14:textId="77777777" w:rsidR="00107519" w:rsidRPr="00715891" w:rsidRDefault="00107519" w:rsidP="00107519">
      <w:pPr>
        <w:tabs>
          <w:tab w:val="left" w:pos="567"/>
        </w:tabs>
        <w:rPr>
          <w:sz w:val="22"/>
          <w:szCs w:val="22"/>
          <w:lang w:val="lt-LT"/>
        </w:rPr>
      </w:pPr>
      <w:r w:rsidRPr="00715891">
        <w:rPr>
          <w:sz w:val="22"/>
          <w:szCs w:val="22"/>
          <w:lang w:val="lt-LT"/>
        </w:rPr>
        <w:t>Slovėnija</w:t>
      </w:r>
      <w:r w:rsidRPr="00715891" w:rsidDel="00F22949">
        <w:rPr>
          <w:sz w:val="22"/>
          <w:szCs w:val="22"/>
          <w:lang w:val="lt-LT"/>
        </w:rPr>
        <w:t xml:space="preserve"> </w:t>
      </w:r>
    </w:p>
    <w:p w14:paraId="6108EAF2" w14:textId="77777777" w:rsidR="00107519" w:rsidRPr="00715891" w:rsidRDefault="00107519" w:rsidP="00107519">
      <w:pPr>
        <w:rPr>
          <w:sz w:val="22"/>
          <w:szCs w:val="22"/>
          <w:lang w:val="lt-LT" w:eastAsia="ja-JP"/>
        </w:rPr>
      </w:pPr>
    </w:p>
    <w:p w14:paraId="2E2A3C9A" w14:textId="77777777" w:rsidR="00107519" w:rsidRPr="00715891" w:rsidRDefault="00107519" w:rsidP="00107519">
      <w:pPr>
        <w:rPr>
          <w:sz w:val="22"/>
          <w:szCs w:val="22"/>
          <w:lang w:val="lt-LT" w:eastAsia="ja-JP"/>
        </w:rPr>
      </w:pPr>
    </w:p>
    <w:p w14:paraId="2563AEFF" w14:textId="465E9C86" w:rsidR="00107519" w:rsidRPr="00715891" w:rsidRDefault="00107519" w:rsidP="00107519">
      <w:pPr>
        <w:keepNext/>
        <w:keepLines/>
        <w:ind w:left="567" w:hanging="567"/>
        <w:outlineLvl w:val="0"/>
        <w:rPr>
          <w:b/>
          <w:caps/>
          <w:kern w:val="28"/>
          <w:sz w:val="22"/>
          <w:szCs w:val="22"/>
          <w:lang w:val="lt-LT" w:eastAsia="ja-JP"/>
        </w:rPr>
      </w:pPr>
      <w:r w:rsidRPr="00715891">
        <w:rPr>
          <w:b/>
          <w:caps/>
          <w:kern w:val="28"/>
          <w:sz w:val="22"/>
          <w:szCs w:val="22"/>
          <w:lang w:val="lt-LT" w:eastAsia="ja-JP"/>
        </w:rPr>
        <w:t>8.</w:t>
      </w:r>
      <w:r w:rsidRPr="00715891">
        <w:rPr>
          <w:b/>
          <w:caps/>
          <w:kern w:val="28"/>
          <w:sz w:val="22"/>
          <w:szCs w:val="22"/>
          <w:lang w:val="lt-LT" w:eastAsia="ja-JP"/>
        </w:rPr>
        <w:tab/>
      </w:r>
      <w:r w:rsidR="00254696" w:rsidRPr="00715891">
        <w:rPr>
          <w:b/>
          <w:caps/>
          <w:kern w:val="28"/>
          <w:sz w:val="22"/>
          <w:szCs w:val="22"/>
          <w:lang w:val="lt-LT" w:eastAsia="ja-JP"/>
        </w:rPr>
        <w:t xml:space="preserve">REGISTRACIJOS </w:t>
      </w:r>
      <w:r w:rsidR="00254696" w:rsidRPr="00715891">
        <w:rPr>
          <w:b/>
          <w:caps/>
          <w:kern w:val="28"/>
          <w:sz w:val="22"/>
          <w:lang w:val="lt-LT"/>
        </w:rPr>
        <w:t>PAŽYMĖJIMO</w:t>
      </w:r>
      <w:r w:rsidR="00254696" w:rsidRPr="00715891">
        <w:rPr>
          <w:b/>
          <w:caps/>
          <w:kern w:val="28"/>
          <w:sz w:val="22"/>
          <w:szCs w:val="22"/>
          <w:lang w:val="lt-LT" w:eastAsia="ja-JP"/>
        </w:rPr>
        <w:t xml:space="preserve"> NUMERIS (-IAI)</w:t>
      </w:r>
    </w:p>
    <w:p w14:paraId="7C3D3850" w14:textId="77777777" w:rsidR="00107519" w:rsidRPr="00715891" w:rsidRDefault="00107519" w:rsidP="00107519">
      <w:pPr>
        <w:rPr>
          <w:sz w:val="22"/>
          <w:szCs w:val="22"/>
          <w:lang w:val="lt-LT" w:eastAsia="ja-JP"/>
        </w:rPr>
      </w:pPr>
    </w:p>
    <w:p w14:paraId="53A6406F" w14:textId="77777777" w:rsidR="00107519" w:rsidRPr="00715891" w:rsidRDefault="00107519" w:rsidP="00107519">
      <w:pPr>
        <w:rPr>
          <w:sz w:val="22"/>
          <w:szCs w:val="22"/>
          <w:u w:val="single"/>
          <w:lang w:val="lt-LT" w:eastAsia="ja-JP"/>
        </w:rPr>
      </w:pPr>
      <w:r w:rsidRPr="00715891">
        <w:rPr>
          <w:sz w:val="22"/>
          <w:szCs w:val="22"/>
          <w:u w:val="single"/>
          <w:lang w:val="lt-LT" w:eastAsia="ja-JP"/>
        </w:rPr>
        <w:t>Lizdinė plokštelė:</w:t>
      </w:r>
    </w:p>
    <w:p w14:paraId="3409A6F2" w14:textId="586628F7" w:rsidR="00507B18" w:rsidRPr="00715891" w:rsidRDefault="00507B18" w:rsidP="00507B18">
      <w:pPr>
        <w:rPr>
          <w:sz w:val="22"/>
          <w:szCs w:val="22"/>
          <w:lang w:val="lt-LT" w:eastAsia="ja-JP"/>
        </w:rPr>
      </w:pPr>
      <w:bookmarkStart w:id="1" w:name="_Hlk194587272"/>
      <w:r w:rsidRPr="00715891">
        <w:rPr>
          <w:sz w:val="22"/>
          <w:szCs w:val="22"/>
          <w:lang w:val="lt-LT" w:eastAsia="ja-JP"/>
        </w:rPr>
        <w:t xml:space="preserve">LT/1/14/3662/001 </w:t>
      </w:r>
      <w:bookmarkEnd w:id="1"/>
      <w:r w:rsidRPr="00715891">
        <w:rPr>
          <w:sz w:val="22"/>
          <w:szCs w:val="22"/>
          <w:lang w:val="lt-LT" w:eastAsia="ja-JP"/>
        </w:rPr>
        <w:t>– N10</w:t>
      </w:r>
    </w:p>
    <w:p w14:paraId="71565DD0" w14:textId="1326B189" w:rsidR="00507B18" w:rsidRPr="00715891" w:rsidRDefault="00507B18" w:rsidP="00507B18">
      <w:pPr>
        <w:rPr>
          <w:sz w:val="22"/>
          <w:szCs w:val="22"/>
          <w:lang w:val="lt-LT" w:eastAsia="ja-JP"/>
        </w:rPr>
      </w:pPr>
      <w:r w:rsidRPr="00715891">
        <w:rPr>
          <w:sz w:val="22"/>
          <w:szCs w:val="22"/>
          <w:lang w:val="lt-LT" w:eastAsia="ja-JP"/>
        </w:rPr>
        <w:t>LT/1/14/3662/002 – N30</w:t>
      </w:r>
    </w:p>
    <w:p w14:paraId="1959F4D8" w14:textId="0FBED621" w:rsidR="00507B18" w:rsidRPr="00715891" w:rsidRDefault="00507B18" w:rsidP="00507B18">
      <w:pPr>
        <w:rPr>
          <w:sz w:val="22"/>
          <w:szCs w:val="22"/>
          <w:lang w:val="lt-LT" w:eastAsia="ja-JP"/>
        </w:rPr>
      </w:pPr>
      <w:r w:rsidRPr="00715891">
        <w:rPr>
          <w:sz w:val="22"/>
          <w:szCs w:val="22"/>
          <w:lang w:val="lt-LT" w:eastAsia="ja-JP"/>
        </w:rPr>
        <w:t>LT/1/14/3662/003 – N60</w:t>
      </w:r>
    </w:p>
    <w:p w14:paraId="2B12B4BF" w14:textId="79F09CDD" w:rsidR="00507B18" w:rsidRPr="00715891" w:rsidRDefault="00507B18" w:rsidP="00507B18">
      <w:pPr>
        <w:rPr>
          <w:sz w:val="22"/>
          <w:szCs w:val="22"/>
          <w:lang w:val="lt-LT" w:eastAsia="ja-JP"/>
        </w:rPr>
      </w:pPr>
      <w:r w:rsidRPr="00715891">
        <w:rPr>
          <w:sz w:val="22"/>
          <w:szCs w:val="22"/>
          <w:lang w:val="lt-LT" w:eastAsia="ja-JP"/>
        </w:rPr>
        <w:t>LT/1/14/3662/004 – N90</w:t>
      </w:r>
    </w:p>
    <w:p w14:paraId="07ACD8A9" w14:textId="1928A6A0" w:rsidR="00507B18" w:rsidRPr="00715891" w:rsidRDefault="00507B18" w:rsidP="00507B18">
      <w:pPr>
        <w:rPr>
          <w:sz w:val="22"/>
          <w:szCs w:val="22"/>
          <w:lang w:val="lt-LT" w:eastAsia="ja-JP"/>
        </w:rPr>
      </w:pPr>
      <w:r w:rsidRPr="00715891">
        <w:rPr>
          <w:sz w:val="22"/>
          <w:szCs w:val="22"/>
          <w:lang w:val="lt-LT" w:eastAsia="ja-JP"/>
        </w:rPr>
        <w:t>LT/1/14/3662/005 – N120</w:t>
      </w:r>
    </w:p>
    <w:p w14:paraId="1A420012" w14:textId="743974EC" w:rsidR="00107519" w:rsidRPr="00715891" w:rsidRDefault="00D477BA" w:rsidP="00107519">
      <w:pPr>
        <w:rPr>
          <w:sz w:val="22"/>
          <w:szCs w:val="22"/>
          <w:u w:val="single"/>
          <w:lang w:val="lt-LT" w:eastAsia="ja-JP"/>
        </w:rPr>
      </w:pPr>
      <w:r w:rsidRPr="00715891">
        <w:rPr>
          <w:sz w:val="22"/>
          <w:szCs w:val="22"/>
          <w:u w:val="single"/>
          <w:lang w:val="lt-LT" w:eastAsia="ja-JP"/>
        </w:rPr>
        <w:t>Buteliukas</w:t>
      </w:r>
      <w:r w:rsidR="00107519" w:rsidRPr="00715891">
        <w:rPr>
          <w:sz w:val="22"/>
          <w:szCs w:val="22"/>
          <w:u w:val="single"/>
          <w:lang w:val="lt-LT" w:eastAsia="ja-JP"/>
        </w:rPr>
        <w:t>:</w:t>
      </w:r>
    </w:p>
    <w:p w14:paraId="710968C9" w14:textId="693708A9" w:rsidR="00107519" w:rsidRPr="00715891" w:rsidRDefault="00107519" w:rsidP="00107519">
      <w:pPr>
        <w:rPr>
          <w:sz w:val="22"/>
          <w:szCs w:val="22"/>
          <w:lang w:val="lt-LT" w:eastAsia="ja-JP"/>
        </w:rPr>
      </w:pPr>
      <w:r w:rsidRPr="00715891">
        <w:rPr>
          <w:sz w:val="22"/>
          <w:szCs w:val="22"/>
          <w:lang w:val="lt-LT" w:eastAsia="ja-JP"/>
        </w:rPr>
        <w:t>LT/1/14/3662/006</w:t>
      </w:r>
      <w:r w:rsidR="00507B18" w:rsidRPr="00715891">
        <w:rPr>
          <w:sz w:val="22"/>
          <w:szCs w:val="22"/>
          <w:lang w:val="lt-LT" w:eastAsia="ja-JP"/>
        </w:rPr>
        <w:t xml:space="preserve"> – N60</w:t>
      </w:r>
    </w:p>
    <w:p w14:paraId="1105D458" w14:textId="77777777" w:rsidR="00107519" w:rsidRPr="00715891" w:rsidRDefault="00107519" w:rsidP="00107519">
      <w:pPr>
        <w:rPr>
          <w:sz w:val="22"/>
          <w:szCs w:val="22"/>
          <w:lang w:val="lt-LT" w:eastAsia="ja-JP"/>
        </w:rPr>
      </w:pPr>
    </w:p>
    <w:p w14:paraId="27AFE80C" w14:textId="77777777" w:rsidR="00107519" w:rsidRPr="00715891" w:rsidRDefault="00107519" w:rsidP="00107519">
      <w:pPr>
        <w:rPr>
          <w:sz w:val="22"/>
          <w:szCs w:val="22"/>
          <w:lang w:val="lt-LT" w:eastAsia="ja-JP"/>
        </w:rPr>
      </w:pPr>
    </w:p>
    <w:p w14:paraId="2265D10E" w14:textId="54A3ABB9" w:rsidR="00107519" w:rsidRPr="00715891" w:rsidRDefault="00107519" w:rsidP="00107519">
      <w:pPr>
        <w:ind w:left="567" w:hanging="567"/>
        <w:outlineLvl w:val="0"/>
        <w:rPr>
          <w:b/>
          <w:caps/>
          <w:kern w:val="28"/>
          <w:sz w:val="22"/>
          <w:szCs w:val="22"/>
          <w:lang w:val="lt-LT" w:eastAsia="ja-JP"/>
        </w:rPr>
      </w:pPr>
      <w:r w:rsidRPr="00715891">
        <w:rPr>
          <w:b/>
          <w:caps/>
          <w:kern w:val="28"/>
          <w:sz w:val="22"/>
          <w:szCs w:val="22"/>
          <w:lang w:val="lt-LT" w:eastAsia="ja-JP"/>
        </w:rPr>
        <w:t>9.</w:t>
      </w:r>
      <w:r w:rsidRPr="00715891">
        <w:rPr>
          <w:b/>
          <w:caps/>
          <w:kern w:val="28"/>
          <w:sz w:val="22"/>
          <w:szCs w:val="22"/>
          <w:lang w:val="lt-LT" w:eastAsia="ja-JP"/>
        </w:rPr>
        <w:tab/>
      </w:r>
      <w:r w:rsidR="000B56F2" w:rsidRPr="00715891">
        <w:rPr>
          <w:b/>
          <w:sz w:val="22"/>
          <w:lang w:val="lt-LT"/>
        </w:rPr>
        <w:t>REGISTRAVIMO / PERREGISTRAVIMO DATA</w:t>
      </w:r>
      <w:r w:rsidR="000B56F2" w:rsidRPr="00715891" w:rsidDel="000B56F2">
        <w:rPr>
          <w:b/>
          <w:caps/>
          <w:kern w:val="28"/>
          <w:sz w:val="22"/>
          <w:szCs w:val="22"/>
          <w:lang w:val="lt-LT" w:eastAsia="ja-JP"/>
        </w:rPr>
        <w:t xml:space="preserve"> </w:t>
      </w:r>
    </w:p>
    <w:p w14:paraId="3711BE82" w14:textId="77777777" w:rsidR="00107519" w:rsidRPr="00715891" w:rsidRDefault="00107519" w:rsidP="00107519">
      <w:pPr>
        <w:rPr>
          <w:sz w:val="22"/>
          <w:szCs w:val="22"/>
          <w:lang w:val="lt-LT" w:eastAsia="ja-JP"/>
        </w:rPr>
      </w:pPr>
    </w:p>
    <w:p w14:paraId="3EC65273" w14:textId="7C23B34C" w:rsidR="00107519" w:rsidRPr="00715891" w:rsidRDefault="00107519" w:rsidP="00107519">
      <w:pPr>
        <w:rPr>
          <w:snapToGrid w:val="0"/>
          <w:sz w:val="22"/>
          <w:lang w:val="lt-LT"/>
        </w:rPr>
      </w:pPr>
      <w:r w:rsidRPr="00715891">
        <w:rPr>
          <w:snapToGrid w:val="0"/>
          <w:sz w:val="22"/>
          <w:lang w:val="lt-LT"/>
        </w:rPr>
        <w:lastRenderedPageBreak/>
        <w:t>R</w:t>
      </w:r>
      <w:r w:rsidR="00254696" w:rsidRPr="00715891">
        <w:rPr>
          <w:snapToGrid w:val="0"/>
          <w:sz w:val="22"/>
          <w:lang w:val="lt-LT"/>
        </w:rPr>
        <w:t>egistravimo data</w:t>
      </w:r>
      <w:r w:rsidRPr="00715891">
        <w:rPr>
          <w:snapToGrid w:val="0"/>
          <w:sz w:val="22"/>
          <w:lang w:val="lt-LT"/>
        </w:rPr>
        <w:t xml:space="preserve"> </w:t>
      </w:r>
      <w:r w:rsidR="00254696" w:rsidRPr="00715891">
        <w:rPr>
          <w:snapToGrid w:val="0"/>
          <w:sz w:val="22"/>
          <w:lang w:val="lt-LT"/>
        </w:rPr>
        <w:t>2014 </w:t>
      </w:r>
      <w:r w:rsidRPr="00715891">
        <w:rPr>
          <w:snapToGrid w:val="0"/>
          <w:sz w:val="22"/>
          <w:lang w:val="lt-LT"/>
        </w:rPr>
        <w:t>m. gruodžio</w:t>
      </w:r>
      <w:r w:rsidR="000B56F2" w:rsidRPr="00715891">
        <w:rPr>
          <w:snapToGrid w:val="0"/>
          <w:sz w:val="22"/>
          <w:lang w:val="lt-LT"/>
        </w:rPr>
        <w:t xml:space="preserve"> </w:t>
      </w:r>
      <w:r w:rsidR="00254696" w:rsidRPr="00715891">
        <w:rPr>
          <w:snapToGrid w:val="0"/>
          <w:sz w:val="22"/>
          <w:lang w:val="lt-LT"/>
        </w:rPr>
        <w:t>11 </w:t>
      </w:r>
      <w:r w:rsidRPr="00715891">
        <w:rPr>
          <w:snapToGrid w:val="0"/>
          <w:sz w:val="22"/>
          <w:lang w:val="lt-LT"/>
        </w:rPr>
        <w:t>d.</w:t>
      </w:r>
    </w:p>
    <w:p w14:paraId="00A25264" w14:textId="2D40D935" w:rsidR="00D477BA" w:rsidRPr="00715891" w:rsidRDefault="00D477BA" w:rsidP="00107519">
      <w:pPr>
        <w:rPr>
          <w:snapToGrid w:val="0"/>
          <w:sz w:val="22"/>
          <w:lang w:val="lt-LT"/>
        </w:rPr>
      </w:pPr>
      <w:r w:rsidRPr="00715891">
        <w:rPr>
          <w:snapToGrid w:val="0"/>
          <w:sz w:val="22"/>
          <w:lang w:val="lt-LT"/>
        </w:rPr>
        <w:t>Paskutinio perregi</w:t>
      </w:r>
      <w:r w:rsidR="00B73036" w:rsidRPr="00715891">
        <w:rPr>
          <w:snapToGrid w:val="0"/>
          <w:sz w:val="22"/>
          <w:lang w:val="lt-LT"/>
        </w:rPr>
        <w:t>s</w:t>
      </w:r>
      <w:r w:rsidRPr="00715891">
        <w:rPr>
          <w:snapToGrid w:val="0"/>
          <w:sz w:val="22"/>
          <w:lang w:val="lt-LT"/>
        </w:rPr>
        <w:t>travimo data</w:t>
      </w:r>
      <w:r w:rsidR="00507B18" w:rsidRPr="00715891">
        <w:rPr>
          <w:snapToGrid w:val="0"/>
          <w:sz w:val="22"/>
          <w:lang w:val="lt-LT"/>
        </w:rPr>
        <w:t xml:space="preserve"> 2020</w:t>
      </w:r>
      <w:r w:rsidR="003B251E" w:rsidRPr="00715891">
        <w:rPr>
          <w:snapToGrid w:val="0"/>
          <w:sz w:val="22"/>
          <w:lang w:val="lt-LT"/>
        </w:rPr>
        <w:t> </w:t>
      </w:r>
      <w:r w:rsidR="00507B18" w:rsidRPr="00715891">
        <w:rPr>
          <w:snapToGrid w:val="0"/>
          <w:sz w:val="22"/>
          <w:lang w:val="lt-LT"/>
        </w:rPr>
        <w:t>m. gegužės 13</w:t>
      </w:r>
      <w:r w:rsidR="003B251E" w:rsidRPr="00715891">
        <w:rPr>
          <w:snapToGrid w:val="0"/>
          <w:sz w:val="22"/>
          <w:lang w:val="lt-LT"/>
        </w:rPr>
        <w:t> </w:t>
      </w:r>
      <w:r w:rsidR="00507B18" w:rsidRPr="00715891">
        <w:rPr>
          <w:snapToGrid w:val="0"/>
          <w:sz w:val="22"/>
          <w:lang w:val="lt-LT"/>
        </w:rPr>
        <w:t>d.</w:t>
      </w:r>
    </w:p>
    <w:p w14:paraId="5955DBB8" w14:textId="38C1C15C" w:rsidR="00107519" w:rsidRPr="00715891" w:rsidRDefault="00107519" w:rsidP="00107519">
      <w:pPr>
        <w:ind w:left="567" w:hanging="567"/>
        <w:outlineLvl w:val="0"/>
        <w:rPr>
          <w:b/>
          <w:caps/>
          <w:kern w:val="28"/>
          <w:sz w:val="22"/>
          <w:szCs w:val="22"/>
          <w:lang w:val="lt-LT" w:eastAsia="ja-JP"/>
        </w:rPr>
      </w:pPr>
    </w:p>
    <w:p w14:paraId="4DDB08CB" w14:textId="77777777" w:rsidR="00107519" w:rsidRPr="00715891" w:rsidRDefault="00107519" w:rsidP="00107519">
      <w:pPr>
        <w:ind w:left="567" w:hanging="567"/>
        <w:outlineLvl w:val="0"/>
        <w:rPr>
          <w:b/>
          <w:caps/>
          <w:kern w:val="28"/>
          <w:sz w:val="22"/>
          <w:szCs w:val="22"/>
          <w:lang w:val="lt-LT" w:eastAsia="ja-JP"/>
        </w:rPr>
      </w:pPr>
    </w:p>
    <w:p w14:paraId="66ED439D" w14:textId="77777777" w:rsidR="00107519" w:rsidRPr="00715891" w:rsidRDefault="00107519" w:rsidP="00107519">
      <w:pPr>
        <w:ind w:left="567" w:hanging="567"/>
        <w:outlineLvl w:val="0"/>
        <w:rPr>
          <w:b/>
          <w:caps/>
          <w:kern w:val="28"/>
          <w:sz w:val="22"/>
          <w:szCs w:val="22"/>
          <w:lang w:val="lt-LT" w:eastAsia="ja-JP"/>
        </w:rPr>
      </w:pPr>
      <w:r w:rsidRPr="00715891">
        <w:rPr>
          <w:b/>
          <w:caps/>
          <w:kern w:val="28"/>
          <w:sz w:val="22"/>
          <w:szCs w:val="22"/>
          <w:lang w:val="lt-LT" w:eastAsia="ja-JP"/>
        </w:rPr>
        <w:t>10.</w:t>
      </w:r>
      <w:r w:rsidRPr="00715891">
        <w:rPr>
          <w:b/>
          <w:caps/>
          <w:kern w:val="28"/>
          <w:sz w:val="22"/>
          <w:szCs w:val="22"/>
          <w:lang w:val="lt-LT" w:eastAsia="ja-JP"/>
        </w:rPr>
        <w:tab/>
        <w:t>TEKSTO PERŽIŪROS DATA</w:t>
      </w:r>
    </w:p>
    <w:p w14:paraId="7D04E7C4" w14:textId="77777777" w:rsidR="0088035D" w:rsidRDefault="0088035D" w:rsidP="00107519">
      <w:pPr>
        <w:rPr>
          <w:snapToGrid w:val="0"/>
          <w:sz w:val="22"/>
          <w:lang w:val="lt-LT"/>
        </w:rPr>
      </w:pPr>
    </w:p>
    <w:p w14:paraId="3FC536A5" w14:textId="788AB9C0" w:rsidR="00107519" w:rsidRDefault="00BB0BA9" w:rsidP="00107519">
      <w:pPr>
        <w:rPr>
          <w:snapToGrid w:val="0"/>
          <w:sz w:val="22"/>
          <w:lang w:val="lt-LT"/>
        </w:rPr>
      </w:pPr>
      <w:r w:rsidRPr="00715891">
        <w:rPr>
          <w:snapToGrid w:val="0"/>
          <w:sz w:val="22"/>
          <w:lang w:val="lt-LT"/>
        </w:rPr>
        <w:t xml:space="preserve">2025 m. kovo </w:t>
      </w:r>
      <w:r w:rsidR="002B7EE8">
        <w:rPr>
          <w:snapToGrid w:val="0"/>
          <w:sz w:val="22"/>
          <w:lang w:val="lt-LT"/>
        </w:rPr>
        <w:t>30</w:t>
      </w:r>
      <w:r w:rsidRPr="00715891">
        <w:rPr>
          <w:snapToGrid w:val="0"/>
          <w:sz w:val="22"/>
          <w:lang w:val="lt-LT"/>
        </w:rPr>
        <w:t> d.</w:t>
      </w:r>
    </w:p>
    <w:p w14:paraId="3B98B788" w14:textId="77777777" w:rsidR="0088035D" w:rsidRPr="00715891" w:rsidRDefault="0088035D" w:rsidP="00107519">
      <w:pPr>
        <w:rPr>
          <w:sz w:val="22"/>
          <w:szCs w:val="22"/>
          <w:lang w:val="lt-LT" w:eastAsia="ja-JP"/>
        </w:rPr>
      </w:pPr>
    </w:p>
    <w:p w14:paraId="0BCE275E" w14:textId="1EEFD5AE" w:rsidR="00107519" w:rsidRPr="00715891" w:rsidRDefault="00107519" w:rsidP="00107519">
      <w:pPr>
        <w:rPr>
          <w:sz w:val="22"/>
          <w:szCs w:val="22"/>
          <w:lang w:val="lt-LT" w:eastAsia="ja-JP"/>
        </w:rPr>
      </w:pPr>
      <w:r w:rsidRPr="00715891">
        <w:rPr>
          <w:sz w:val="22"/>
          <w:szCs w:val="22"/>
          <w:lang w:val="lt-LT"/>
        </w:rPr>
        <w:t>Išsami informacija apie šį vaistinį preparatą pateikiama Valstybinės vaistų kontrolės tarnybos prie Lietuvos Respublikos sveikatos apsaugos ministerijos tinklalapyje</w:t>
      </w:r>
      <w:r w:rsidR="00EE28D8" w:rsidRPr="00715891">
        <w:rPr>
          <w:sz w:val="22"/>
          <w:szCs w:val="22"/>
          <w:lang w:val="lt-LT"/>
        </w:rPr>
        <w:t xml:space="preserve"> </w:t>
      </w:r>
      <w:hyperlink r:id="rId10" w:history="1">
        <w:r w:rsidR="00EE28D8" w:rsidRPr="00715891">
          <w:rPr>
            <w:rStyle w:val="Hipersaitas"/>
            <w:sz w:val="22"/>
            <w:szCs w:val="22"/>
            <w:lang w:val="lt-LT"/>
          </w:rPr>
          <w:t>https://vvkt.lrv.lt/lt/</w:t>
        </w:r>
      </w:hyperlink>
      <w:r w:rsidR="00EE28D8" w:rsidRPr="00715891">
        <w:rPr>
          <w:sz w:val="22"/>
          <w:szCs w:val="22"/>
          <w:lang w:val="lt-LT"/>
        </w:rPr>
        <w:t xml:space="preserve">. </w:t>
      </w:r>
    </w:p>
    <w:p w14:paraId="7EC9094D" w14:textId="77777777" w:rsidR="00107519" w:rsidRPr="00715891" w:rsidRDefault="00107519" w:rsidP="00107519">
      <w:pPr>
        <w:rPr>
          <w:sz w:val="22"/>
          <w:szCs w:val="22"/>
          <w:lang w:val="lt-LT" w:eastAsia="ja-JP"/>
        </w:rPr>
      </w:pPr>
    </w:p>
    <w:p w14:paraId="0176CC1B" w14:textId="77777777" w:rsidR="00107519" w:rsidRPr="00715891" w:rsidRDefault="00107519" w:rsidP="00107519">
      <w:pPr>
        <w:rPr>
          <w:b/>
          <w:sz w:val="22"/>
          <w:szCs w:val="22"/>
          <w:lang w:val="lt-LT" w:eastAsia="ja-JP"/>
        </w:rPr>
      </w:pPr>
      <w:r w:rsidRPr="00715891">
        <w:rPr>
          <w:sz w:val="22"/>
          <w:szCs w:val="22"/>
          <w:lang w:val="lt-LT" w:eastAsia="ja-JP"/>
        </w:rPr>
        <w:br w:type="page"/>
      </w:r>
    </w:p>
    <w:p w14:paraId="4580E879" w14:textId="77777777" w:rsidR="00107519" w:rsidRPr="00715891" w:rsidRDefault="00107519" w:rsidP="00107519">
      <w:pPr>
        <w:rPr>
          <w:sz w:val="22"/>
          <w:szCs w:val="22"/>
          <w:lang w:val="lt-LT"/>
        </w:rPr>
      </w:pPr>
    </w:p>
    <w:p w14:paraId="7D633A6E" w14:textId="77777777" w:rsidR="00107519" w:rsidRPr="00715891" w:rsidRDefault="00107519" w:rsidP="00107519">
      <w:pPr>
        <w:jc w:val="center"/>
        <w:rPr>
          <w:b/>
          <w:sz w:val="22"/>
          <w:szCs w:val="22"/>
          <w:lang w:val="lt-LT"/>
        </w:rPr>
      </w:pPr>
    </w:p>
    <w:p w14:paraId="62C57669" w14:textId="77777777" w:rsidR="00107519" w:rsidRPr="00715891" w:rsidRDefault="00107519" w:rsidP="00107519">
      <w:pPr>
        <w:jc w:val="center"/>
        <w:rPr>
          <w:b/>
          <w:sz w:val="22"/>
          <w:szCs w:val="22"/>
          <w:lang w:val="lt-LT"/>
        </w:rPr>
      </w:pPr>
    </w:p>
    <w:p w14:paraId="4C5C7C13" w14:textId="77777777" w:rsidR="00107519" w:rsidRPr="00715891" w:rsidRDefault="00107519" w:rsidP="00107519">
      <w:pPr>
        <w:jc w:val="center"/>
        <w:rPr>
          <w:b/>
          <w:sz w:val="22"/>
          <w:szCs w:val="22"/>
          <w:lang w:val="lt-LT"/>
        </w:rPr>
      </w:pPr>
    </w:p>
    <w:p w14:paraId="1310CE41" w14:textId="77777777" w:rsidR="00107519" w:rsidRPr="00715891" w:rsidRDefault="00107519" w:rsidP="00107519">
      <w:pPr>
        <w:jc w:val="center"/>
        <w:rPr>
          <w:b/>
          <w:sz w:val="22"/>
          <w:szCs w:val="22"/>
          <w:lang w:val="lt-LT"/>
        </w:rPr>
      </w:pPr>
    </w:p>
    <w:p w14:paraId="06C555EE" w14:textId="77777777" w:rsidR="00107519" w:rsidRPr="00715891" w:rsidRDefault="00107519" w:rsidP="00107519">
      <w:pPr>
        <w:jc w:val="center"/>
        <w:rPr>
          <w:b/>
          <w:sz w:val="22"/>
          <w:szCs w:val="22"/>
          <w:lang w:val="lt-LT"/>
        </w:rPr>
      </w:pPr>
    </w:p>
    <w:p w14:paraId="5B7E356B" w14:textId="77777777" w:rsidR="00107519" w:rsidRPr="00715891" w:rsidRDefault="00107519" w:rsidP="00107519">
      <w:pPr>
        <w:jc w:val="center"/>
        <w:rPr>
          <w:b/>
          <w:sz w:val="22"/>
          <w:szCs w:val="22"/>
          <w:lang w:val="lt-LT"/>
        </w:rPr>
      </w:pPr>
    </w:p>
    <w:p w14:paraId="13D43F49" w14:textId="77777777" w:rsidR="00107519" w:rsidRPr="00715891" w:rsidRDefault="00107519" w:rsidP="00107519">
      <w:pPr>
        <w:jc w:val="center"/>
        <w:rPr>
          <w:b/>
          <w:sz w:val="22"/>
          <w:szCs w:val="22"/>
          <w:lang w:val="lt-LT"/>
        </w:rPr>
      </w:pPr>
    </w:p>
    <w:p w14:paraId="508C9F32" w14:textId="77777777" w:rsidR="00107519" w:rsidRPr="00715891" w:rsidRDefault="00107519" w:rsidP="00107519">
      <w:pPr>
        <w:jc w:val="center"/>
        <w:rPr>
          <w:b/>
          <w:sz w:val="22"/>
          <w:szCs w:val="22"/>
          <w:lang w:val="lt-LT"/>
        </w:rPr>
      </w:pPr>
    </w:p>
    <w:p w14:paraId="3DC42C89" w14:textId="77777777" w:rsidR="00107519" w:rsidRPr="00715891" w:rsidRDefault="00107519" w:rsidP="00107519">
      <w:pPr>
        <w:jc w:val="center"/>
        <w:rPr>
          <w:b/>
          <w:sz w:val="22"/>
          <w:szCs w:val="22"/>
          <w:lang w:val="lt-LT"/>
        </w:rPr>
      </w:pPr>
    </w:p>
    <w:p w14:paraId="29ED68C6" w14:textId="77777777" w:rsidR="00107519" w:rsidRPr="00715891" w:rsidRDefault="00107519" w:rsidP="00107519">
      <w:pPr>
        <w:jc w:val="center"/>
        <w:rPr>
          <w:b/>
          <w:sz w:val="22"/>
          <w:szCs w:val="22"/>
          <w:lang w:val="lt-LT"/>
        </w:rPr>
      </w:pPr>
    </w:p>
    <w:p w14:paraId="13D94814" w14:textId="77777777" w:rsidR="00107519" w:rsidRPr="00715891" w:rsidRDefault="00107519" w:rsidP="00107519">
      <w:pPr>
        <w:jc w:val="center"/>
        <w:rPr>
          <w:b/>
          <w:sz w:val="22"/>
          <w:szCs w:val="22"/>
          <w:lang w:val="lt-LT"/>
        </w:rPr>
      </w:pPr>
    </w:p>
    <w:p w14:paraId="11AEDA12" w14:textId="77777777" w:rsidR="00107519" w:rsidRPr="00715891" w:rsidRDefault="00107519" w:rsidP="00107519">
      <w:pPr>
        <w:jc w:val="center"/>
        <w:rPr>
          <w:b/>
          <w:sz w:val="22"/>
          <w:szCs w:val="22"/>
          <w:lang w:val="lt-LT"/>
        </w:rPr>
      </w:pPr>
    </w:p>
    <w:p w14:paraId="7BF09DDB" w14:textId="77777777" w:rsidR="00107519" w:rsidRPr="00715891" w:rsidRDefault="00107519" w:rsidP="00107519">
      <w:pPr>
        <w:jc w:val="center"/>
        <w:rPr>
          <w:b/>
          <w:sz w:val="22"/>
          <w:szCs w:val="22"/>
          <w:lang w:val="lt-LT"/>
        </w:rPr>
      </w:pPr>
    </w:p>
    <w:p w14:paraId="58E4D909" w14:textId="77777777" w:rsidR="00107519" w:rsidRPr="00715891" w:rsidRDefault="00107519" w:rsidP="00107519">
      <w:pPr>
        <w:jc w:val="center"/>
        <w:rPr>
          <w:b/>
          <w:sz w:val="22"/>
          <w:szCs w:val="22"/>
          <w:lang w:val="lt-LT"/>
        </w:rPr>
      </w:pPr>
    </w:p>
    <w:p w14:paraId="5E671F7C" w14:textId="77777777" w:rsidR="00107519" w:rsidRPr="00715891" w:rsidRDefault="00107519" w:rsidP="00107519">
      <w:pPr>
        <w:jc w:val="center"/>
        <w:rPr>
          <w:b/>
          <w:sz w:val="22"/>
          <w:szCs w:val="22"/>
          <w:lang w:val="lt-LT"/>
        </w:rPr>
      </w:pPr>
    </w:p>
    <w:p w14:paraId="352FC37F" w14:textId="77777777" w:rsidR="00107519" w:rsidRPr="00715891" w:rsidRDefault="00107519" w:rsidP="00107519">
      <w:pPr>
        <w:jc w:val="center"/>
        <w:rPr>
          <w:b/>
          <w:sz w:val="22"/>
          <w:szCs w:val="22"/>
          <w:lang w:val="lt-LT"/>
        </w:rPr>
      </w:pPr>
    </w:p>
    <w:p w14:paraId="046BA4C0" w14:textId="77777777" w:rsidR="00107519" w:rsidRPr="00715891" w:rsidRDefault="00107519" w:rsidP="00107519">
      <w:pPr>
        <w:jc w:val="center"/>
        <w:rPr>
          <w:b/>
          <w:sz w:val="22"/>
          <w:szCs w:val="22"/>
          <w:lang w:val="lt-LT"/>
        </w:rPr>
      </w:pPr>
    </w:p>
    <w:p w14:paraId="309C0369" w14:textId="77777777" w:rsidR="00107519" w:rsidRPr="00715891" w:rsidRDefault="00107519" w:rsidP="00107519">
      <w:pPr>
        <w:jc w:val="center"/>
        <w:rPr>
          <w:b/>
          <w:sz w:val="22"/>
          <w:szCs w:val="22"/>
          <w:lang w:val="lt-LT"/>
        </w:rPr>
      </w:pPr>
    </w:p>
    <w:p w14:paraId="6C3BACAE" w14:textId="77777777" w:rsidR="00107519" w:rsidRPr="00715891" w:rsidRDefault="00107519" w:rsidP="00107519">
      <w:pPr>
        <w:jc w:val="center"/>
        <w:rPr>
          <w:b/>
          <w:sz w:val="22"/>
          <w:szCs w:val="22"/>
          <w:lang w:val="lt-LT"/>
        </w:rPr>
      </w:pPr>
    </w:p>
    <w:p w14:paraId="485C91BC" w14:textId="77777777" w:rsidR="00107519" w:rsidRPr="00715891" w:rsidRDefault="00107519" w:rsidP="00107519">
      <w:pPr>
        <w:jc w:val="center"/>
        <w:rPr>
          <w:b/>
          <w:sz w:val="22"/>
          <w:szCs w:val="22"/>
          <w:lang w:val="lt-LT"/>
        </w:rPr>
      </w:pPr>
    </w:p>
    <w:p w14:paraId="224FC353" w14:textId="77777777" w:rsidR="00107519" w:rsidRPr="00715891" w:rsidRDefault="00107519" w:rsidP="00107519">
      <w:pPr>
        <w:jc w:val="center"/>
        <w:rPr>
          <w:b/>
          <w:sz w:val="22"/>
          <w:szCs w:val="22"/>
          <w:lang w:val="lt-LT"/>
        </w:rPr>
      </w:pPr>
    </w:p>
    <w:p w14:paraId="6D5EBA02" w14:textId="77777777" w:rsidR="00D477BA" w:rsidRPr="00715891" w:rsidRDefault="00D477BA" w:rsidP="00107519">
      <w:pPr>
        <w:jc w:val="center"/>
        <w:rPr>
          <w:b/>
          <w:sz w:val="22"/>
          <w:szCs w:val="22"/>
          <w:lang w:val="lt-LT"/>
        </w:rPr>
      </w:pPr>
    </w:p>
    <w:p w14:paraId="6904FB73" w14:textId="189A2A8A" w:rsidR="00107519" w:rsidRPr="00715891" w:rsidRDefault="00107519" w:rsidP="00107519">
      <w:pPr>
        <w:jc w:val="center"/>
        <w:rPr>
          <w:b/>
          <w:sz w:val="22"/>
          <w:szCs w:val="22"/>
          <w:lang w:val="lt-LT"/>
        </w:rPr>
      </w:pPr>
      <w:r w:rsidRPr="00715891">
        <w:rPr>
          <w:b/>
          <w:sz w:val="22"/>
          <w:szCs w:val="22"/>
          <w:lang w:val="lt-LT"/>
        </w:rPr>
        <w:t>II PRIEDAS</w:t>
      </w:r>
    </w:p>
    <w:p w14:paraId="7F2F62BC" w14:textId="77777777" w:rsidR="00107519" w:rsidRPr="00715891" w:rsidRDefault="00107519" w:rsidP="00107519">
      <w:pPr>
        <w:spacing w:line="276" w:lineRule="auto"/>
        <w:ind w:left="1701" w:right="1416" w:hanging="567"/>
        <w:rPr>
          <w:sz w:val="22"/>
          <w:szCs w:val="22"/>
          <w:lang w:val="lt-LT"/>
        </w:rPr>
      </w:pPr>
    </w:p>
    <w:p w14:paraId="57EBBF15" w14:textId="12AECF01" w:rsidR="00254696" w:rsidRPr="00715891" w:rsidRDefault="00254696" w:rsidP="005B6B82">
      <w:pPr>
        <w:jc w:val="center"/>
        <w:rPr>
          <w:b/>
          <w:sz w:val="22"/>
          <w:szCs w:val="22"/>
          <w:lang w:val="lt-LT"/>
        </w:rPr>
      </w:pPr>
      <w:r w:rsidRPr="00715891">
        <w:rPr>
          <w:b/>
          <w:sz w:val="22"/>
          <w:szCs w:val="22"/>
          <w:lang w:val="lt-LT"/>
        </w:rPr>
        <w:t>REGISTRACIJOS SĄLYGOS</w:t>
      </w:r>
    </w:p>
    <w:p w14:paraId="63C4F432" w14:textId="77777777" w:rsidR="00107519" w:rsidRPr="00715891" w:rsidRDefault="00107519" w:rsidP="005B6B82">
      <w:pPr>
        <w:jc w:val="center"/>
        <w:rPr>
          <w:rFonts w:eastAsia="Calibri"/>
          <w:sz w:val="22"/>
          <w:szCs w:val="22"/>
          <w:lang w:val="lt-LT" w:eastAsia="x-none"/>
        </w:rPr>
      </w:pPr>
    </w:p>
    <w:p w14:paraId="15D91807" w14:textId="574820D8" w:rsidR="00107519" w:rsidRPr="00715891" w:rsidRDefault="00107519" w:rsidP="00107519">
      <w:pPr>
        <w:ind w:left="567" w:hanging="567"/>
        <w:outlineLvl w:val="0"/>
        <w:rPr>
          <w:rFonts w:eastAsia="Calibri"/>
          <w:b/>
          <w:caps/>
          <w:kern w:val="28"/>
          <w:sz w:val="22"/>
          <w:szCs w:val="22"/>
          <w:lang w:val="lt-LT" w:eastAsia="ja-JP"/>
        </w:rPr>
      </w:pPr>
      <w:r w:rsidRPr="00715891">
        <w:rPr>
          <w:rFonts w:eastAsia="Calibri"/>
          <w:b/>
          <w:caps/>
          <w:kern w:val="28"/>
          <w:sz w:val="22"/>
          <w:szCs w:val="22"/>
          <w:lang w:val="lt-LT" w:eastAsia="ja-JP"/>
        </w:rPr>
        <w:t>A</w:t>
      </w:r>
      <w:r w:rsidR="00254696" w:rsidRPr="00715891">
        <w:rPr>
          <w:rFonts w:eastAsia="Calibri"/>
          <w:b/>
          <w:caps/>
          <w:kern w:val="28"/>
          <w:sz w:val="22"/>
          <w:szCs w:val="22"/>
          <w:lang w:val="lt-LT" w:eastAsia="ja-JP"/>
        </w:rPr>
        <w:t>.</w:t>
      </w:r>
      <w:r w:rsidR="00254696" w:rsidRPr="00715891">
        <w:rPr>
          <w:rFonts w:eastAsia="Calibri"/>
          <w:b/>
          <w:caps/>
          <w:kern w:val="28"/>
          <w:sz w:val="22"/>
          <w:szCs w:val="22"/>
          <w:lang w:val="lt-LT" w:eastAsia="ja-JP"/>
        </w:rPr>
        <w:tab/>
      </w:r>
      <w:r w:rsidRPr="00715891">
        <w:rPr>
          <w:rFonts w:eastAsia="Calibri"/>
          <w:b/>
          <w:caps/>
          <w:kern w:val="28"/>
          <w:sz w:val="22"/>
          <w:szCs w:val="22"/>
          <w:lang w:val="lt-LT" w:eastAsia="ja-JP"/>
        </w:rPr>
        <w:t>GAMINTOJAS (-AI), ATSAKINGAS (-I) UŽ SERIJŲ IŠLEIDIMĄ</w:t>
      </w:r>
    </w:p>
    <w:p w14:paraId="447B93AB" w14:textId="77777777" w:rsidR="00107519" w:rsidRPr="00715891" w:rsidRDefault="00107519" w:rsidP="00107519">
      <w:pPr>
        <w:rPr>
          <w:rFonts w:eastAsia="Calibri"/>
          <w:sz w:val="22"/>
          <w:szCs w:val="22"/>
          <w:lang w:val="lt-LT" w:eastAsia="x-none"/>
        </w:rPr>
      </w:pPr>
    </w:p>
    <w:p w14:paraId="53DCD9C4" w14:textId="0520E340" w:rsidR="00107519" w:rsidRPr="00715891" w:rsidRDefault="00107519" w:rsidP="00107519">
      <w:pPr>
        <w:ind w:left="567" w:hanging="567"/>
        <w:outlineLvl w:val="0"/>
        <w:rPr>
          <w:rFonts w:eastAsia="Calibri"/>
          <w:b/>
          <w:caps/>
          <w:kern w:val="28"/>
          <w:sz w:val="22"/>
          <w:szCs w:val="22"/>
          <w:lang w:val="lt-LT" w:eastAsia="ja-JP"/>
        </w:rPr>
      </w:pPr>
      <w:r w:rsidRPr="00715891">
        <w:rPr>
          <w:rFonts w:eastAsia="Calibri"/>
          <w:b/>
          <w:caps/>
          <w:kern w:val="28"/>
          <w:sz w:val="22"/>
          <w:szCs w:val="22"/>
          <w:lang w:val="lt-LT" w:eastAsia="ja-JP"/>
        </w:rPr>
        <w:t>B</w:t>
      </w:r>
      <w:r w:rsidR="00254696" w:rsidRPr="00715891">
        <w:rPr>
          <w:rFonts w:eastAsia="Calibri"/>
          <w:b/>
          <w:caps/>
          <w:kern w:val="28"/>
          <w:sz w:val="22"/>
          <w:szCs w:val="22"/>
          <w:lang w:val="lt-LT" w:eastAsia="ja-JP"/>
        </w:rPr>
        <w:t>.</w:t>
      </w:r>
      <w:r w:rsidR="00254696" w:rsidRPr="00715891">
        <w:rPr>
          <w:rFonts w:eastAsia="Calibri"/>
          <w:b/>
          <w:caps/>
          <w:kern w:val="28"/>
          <w:sz w:val="22"/>
          <w:szCs w:val="22"/>
          <w:lang w:val="lt-LT" w:eastAsia="ja-JP"/>
        </w:rPr>
        <w:tab/>
      </w:r>
      <w:r w:rsidRPr="00715891">
        <w:rPr>
          <w:rFonts w:eastAsia="Calibri"/>
          <w:b/>
          <w:caps/>
          <w:kern w:val="28"/>
          <w:sz w:val="22"/>
          <w:szCs w:val="22"/>
          <w:lang w:val="lt-LT" w:eastAsia="ja-JP"/>
        </w:rPr>
        <w:t>TIEKIMO IR VARTOJIMO SĄLYGOS AR APRIBOJIMAI</w:t>
      </w:r>
    </w:p>
    <w:p w14:paraId="5A9B1B74" w14:textId="77777777" w:rsidR="00107519" w:rsidRPr="00715891" w:rsidRDefault="00107519" w:rsidP="00107519">
      <w:pPr>
        <w:rPr>
          <w:rFonts w:eastAsia="Calibri"/>
          <w:sz w:val="22"/>
          <w:szCs w:val="22"/>
          <w:lang w:val="lt-LT" w:eastAsia="x-none"/>
        </w:rPr>
      </w:pPr>
    </w:p>
    <w:p w14:paraId="0B791686" w14:textId="1F1E420B" w:rsidR="00107519" w:rsidRPr="00715891" w:rsidRDefault="00107519" w:rsidP="00107519">
      <w:pPr>
        <w:tabs>
          <w:tab w:val="left" w:pos="567"/>
        </w:tabs>
        <w:rPr>
          <w:rFonts w:eastAsia="Calibri"/>
          <w:b/>
          <w:sz w:val="22"/>
          <w:szCs w:val="22"/>
          <w:lang w:val="lt-LT" w:eastAsia="x-none"/>
        </w:rPr>
      </w:pPr>
      <w:r w:rsidRPr="00715891">
        <w:rPr>
          <w:rFonts w:eastAsia="Calibri"/>
          <w:sz w:val="22"/>
          <w:szCs w:val="22"/>
          <w:lang w:val="lt-LT" w:eastAsia="x-none"/>
        </w:rPr>
        <w:br w:type="page"/>
      </w:r>
      <w:r w:rsidRPr="00715891">
        <w:rPr>
          <w:rFonts w:eastAsia="Calibri"/>
          <w:b/>
          <w:sz w:val="22"/>
          <w:szCs w:val="22"/>
          <w:lang w:val="lt-LT" w:eastAsia="x-none"/>
        </w:rPr>
        <w:lastRenderedPageBreak/>
        <w:t>A.</w:t>
      </w:r>
      <w:r w:rsidRPr="00715891">
        <w:rPr>
          <w:rFonts w:eastAsia="Calibri"/>
          <w:b/>
          <w:sz w:val="22"/>
          <w:szCs w:val="22"/>
          <w:lang w:val="lt-LT" w:eastAsia="x-none"/>
        </w:rPr>
        <w:tab/>
      </w:r>
      <w:r w:rsidR="00D477BA" w:rsidRPr="00715891">
        <w:rPr>
          <w:b/>
          <w:snapToGrid w:val="0"/>
          <w:sz w:val="22"/>
          <w:szCs w:val="20"/>
          <w:lang w:val="lt-LT"/>
        </w:rPr>
        <w:t xml:space="preserve">GAMINTOJAS (-AI), ATSAKINGAS (-I) </w:t>
      </w:r>
      <w:r w:rsidRPr="00715891">
        <w:rPr>
          <w:rFonts w:eastAsia="Calibri"/>
          <w:b/>
          <w:sz w:val="22"/>
          <w:szCs w:val="22"/>
          <w:lang w:val="lt-LT" w:eastAsia="x-none"/>
        </w:rPr>
        <w:t>UŽ SERIJŲ IŠLEIDIMĄ</w:t>
      </w:r>
    </w:p>
    <w:p w14:paraId="3F61BCF1" w14:textId="77777777" w:rsidR="00107519" w:rsidRPr="00715891" w:rsidRDefault="00107519" w:rsidP="00107519">
      <w:pPr>
        <w:rPr>
          <w:rFonts w:eastAsia="Calibri"/>
          <w:sz w:val="22"/>
          <w:szCs w:val="22"/>
          <w:lang w:val="lt-LT" w:eastAsia="x-none"/>
        </w:rPr>
      </w:pPr>
    </w:p>
    <w:p w14:paraId="79099127" w14:textId="1423D957" w:rsidR="00D477BA" w:rsidRPr="00715891" w:rsidRDefault="00D477BA" w:rsidP="00107519">
      <w:pPr>
        <w:rPr>
          <w:rFonts w:eastAsia="Calibri"/>
          <w:sz w:val="22"/>
          <w:szCs w:val="22"/>
          <w:u w:val="single"/>
          <w:lang w:val="lt-LT" w:eastAsia="x-none"/>
        </w:rPr>
      </w:pPr>
      <w:r w:rsidRPr="00715891">
        <w:rPr>
          <w:snapToGrid w:val="0"/>
          <w:sz w:val="22"/>
          <w:u w:val="single"/>
          <w:lang w:val="lt-LT"/>
        </w:rPr>
        <w:t>Gamintojo (-ų), atsakingo (-ų) už serijų išleidimą, pavadinimas (-ai) ir adresas (-ai)</w:t>
      </w:r>
    </w:p>
    <w:p w14:paraId="6CE7C9BA" w14:textId="77777777" w:rsidR="00107519" w:rsidRPr="00715891" w:rsidRDefault="00107519" w:rsidP="00107519">
      <w:pPr>
        <w:rPr>
          <w:sz w:val="22"/>
          <w:szCs w:val="22"/>
          <w:lang w:val="lt-LT" w:eastAsia="de-DE"/>
        </w:rPr>
      </w:pPr>
    </w:p>
    <w:p w14:paraId="1332D172" w14:textId="77777777" w:rsidR="00107519" w:rsidRPr="00715891" w:rsidRDefault="00107519" w:rsidP="00107519">
      <w:pPr>
        <w:tabs>
          <w:tab w:val="left" w:pos="1260"/>
        </w:tabs>
        <w:rPr>
          <w:sz w:val="22"/>
          <w:szCs w:val="22"/>
          <w:lang w:val="lt-LT"/>
        </w:rPr>
      </w:pPr>
      <w:r w:rsidRPr="00715891">
        <w:rPr>
          <w:sz w:val="22"/>
          <w:szCs w:val="22"/>
          <w:lang w:val="lt-LT"/>
        </w:rPr>
        <w:t>LEK S.A.</w:t>
      </w:r>
    </w:p>
    <w:p w14:paraId="1F99B30B" w14:textId="77777777" w:rsidR="00107519" w:rsidRPr="00715891" w:rsidRDefault="00107519" w:rsidP="00107519">
      <w:pPr>
        <w:tabs>
          <w:tab w:val="left" w:pos="1260"/>
        </w:tabs>
        <w:rPr>
          <w:sz w:val="22"/>
          <w:szCs w:val="22"/>
          <w:lang w:val="lt-LT"/>
        </w:rPr>
      </w:pPr>
      <w:r w:rsidRPr="00715891">
        <w:rPr>
          <w:sz w:val="22"/>
          <w:szCs w:val="22"/>
          <w:lang w:val="lt-LT"/>
        </w:rPr>
        <w:t>ul. Domaniewska 50 C</w:t>
      </w:r>
    </w:p>
    <w:p w14:paraId="6676826A" w14:textId="77777777" w:rsidR="00107519" w:rsidRPr="00715891" w:rsidRDefault="00107519" w:rsidP="00107519">
      <w:pPr>
        <w:tabs>
          <w:tab w:val="left" w:pos="1260"/>
        </w:tabs>
        <w:rPr>
          <w:sz w:val="22"/>
          <w:szCs w:val="22"/>
          <w:lang w:val="lt-LT"/>
        </w:rPr>
      </w:pPr>
      <w:r w:rsidRPr="00715891">
        <w:rPr>
          <w:sz w:val="22"/>
          <w:szCs w:val="22"/>
          <w:lang w:val="lt-LT"/>
        </w:rPr>
        <w:t>02-672 Warszawa</w:t>
      </w:r>
    </w:p>
    <w:p w14:paraId="6B75F90B" w14:textId="77777777" w:rsidR="00107519" w:rsidRPr="00715891" w:rsidRDefault="00107519" w:rsidP="00107519">
      <w:pPr>
        <w:tabs>
          <w:tab w:val="left" w:pos="1260"/>
        </w:tabs>
        <w:rPr>
          <w:sz w:val="22"/>
          <w:szCs w:val="22"/>
          <w:lang w:val="lt-LT"/>
        </w:rPr>
      </w:pPr>
      <w:r w:rsidRPr="00715891">
        <w:rPr>
          <w:sz w:val="22"/>
          <w:szCs w:val="22"/>
          <w:lang w:val="lt-LT"/>
        </w:rPr>
        <w:t>Lenkija</w:t>
      </w:r>
    </w:p>
    <w:p w14:paraId="27E0015A" w14:textId="77777777" w:rsidR="00107519" w:rsidRPr="00715891" w:rsidRDefault="00107519" w:rsidP="00107519">
      <w:pPr>
        <w:tabs>
          <w:tab w:val="left" w:pos="567"/>
        </w:tabs>
        <w:rPr>
          <w:sz w:val="22"/>
          <w:szCs w:val="22"/>
          <w:lang w:val="lt-LT" w:eastAsia="lt-LT"/>
        </w:rPr>
      </w:pPr>
    </w:p>
    <w:p w14:paraId="57A091F7" w14:textId="77777777" w:rsidR="00107519" w:rsidRPr="00715891" w:rsidRDefault="00107519" w:rsidP="00107519">
      <w:pPr>
        <w:tabs>
          <w:tab w:val="left" w:pos="567"/>
        </w:tabs>
        <w:rPr>
          <w:sz w:val="22"/>
          <w:szCs w:val="22"/>
          <w:lang w:val="lt-LT" w:eastAsia="lt-LT"/>
        </w:rPr>
      </w:pPr>
      <w:r w:rsidRPr="00715891">
        <w:rPr>
          <w:sz w:val="22"/>
          <w:szCs w:val="22"/>
          <w:lang w:val="lt-LT" w:eastAsia="lt-LT"/>
        </w:rPr>
        <w:t>arba</w:t>
      </w:r>
    </w:p>
    <w:p w14:paraId="460C9A61" w14:textId="77777777" w:rsidR="00107519" w:rsidRPr="00715891" w:rsidRDefault="00107519" w:rsidP="00107519">
      <w:pPr>
        <w:tabs>
          <w:tab w:val="left" w:pos="567"/>
        </w:tabs>
        <w:rPr>
          <w:sz w:val="22"/>
          <w:szCs w:val="22"/>
          <w:lang w:val="lt-LT" w:eastAsia="lt-LT"/>
        </w:rPr>
      </w:pPr>
    </w:p>
    <w:p w14:paraId="6C8B596C" w14:textId="77777777" w:rsidR="00107519" w:rsidRPr="00715891" w:rsidRDefault="00107519" w:rsidP="00107519">
      <w:pPr>
        <w:tabs>
          <w:tab w:val="left" w:pos="1260"/>
        </w:tabs>
        <w:rPr>
          <w:sz w:val="22"/>
          <w:szCs w:val="22"/>
          <w:lang w:val="lt-LT"/>
        </w:rPr>
      </w:pPr>
      <w:r w:rsidRPr="00715891">
        <w:rPr>
          <w:sz w:val="22"/>
          <w:szCs w:val="22"/>
          <w:lang w:val="lt-LT"/>
        </w:rPr>
        <w:t>Salutas Pharma GmbH</w:t>
      </w:r>
    </w:p>
    <w:p w14:paraId="38F26A70" w14:textId="77777777" w:rsidR="00107519" w:rsidRPr="00715891" w:rsidRDefault="00107519" w:rsidP="00107519">
      <w:pPr>
        <w:tabs>
          <w:tab w:val="left" w:pos="1260"/>
        </w:tabs>
        <w:rPr>
          <w:sz w:val="22"/>
          <w:szCs w:val="22"/>
          <w:lang w:val="lt-LT"/>
        </w:rPr>
      </w:pPr>
      <w:r w:rsidRPr="00715891">
        <w:rPr>
          <w:sz w:val="22"/>
          <w:szCs w:val="22"/>
          <w:lang w:val="lt-LT"/>
        </w:rPr>
        <w:t>Otto-von-Guericke-Allee 1</w:t>
      </w:r>
    </w:p>
    <w:p w14:paraId="46EA1B3C" w14:textId="77777777" w:rsidR="00107519" w:rsidRPr="00715891" w:rsidRDefault="00107519" w:rsidP="00107519">
      <w:pPr>
        <w:tabs>
          <w:tab w:val="left" w:pos="1260"/>
        </w:tabs>
        <w:rPr>
          <w:sz w:val="22"/>
          <w:szCs w:val="22"/>
          <w:lang w:val="lt-LT"/>
        </w:rPr>
      </w:pPr>
      <w:r w:rsidRPr="00715891">
        <w:rPr>
          <w:sz w:val="22"/>
          <w:szCs w:val="22"/>
          <w:lang w:val="lt-LT"/>
        </w:rPr>
        <w:t>39179 Barleben</w:t>
      </w:r>
    </w:p>
    <w:p w14:paraId="1E23B0C1" w14:textId="77777777" w:rsidR="00107519" w:rsidRPr="00715891" w:rsidRDefault="00107519" w:rsidP="00107519">
      <w:pPr>
        <w:tabs>
          <w:tab w:val="left" w:pos="1260"/>
        </w:tabs>
        <w:rPr>
          <w:sz w:val="22"/>
          <w:szCs w:val="22"/>
          <w:lang w:val="lt-LT"/>
        </w:rPr>
      </w:pPr>
      <w:r w:rsidRPr="00715891">
        <w:rPr>
          <w:sz w:val="22"/>
          <w:szCs w:val="22"/>
          <w:lang w:val="lt-LT"/>
        </w:rPr>
        <w:t>Vokietija</w:t>
      </w:r>
    </w:p>
    <w:p w14:paraId="5A409B6D" w14:textId="77777777" w:rsidR="00107519" w:rsidRPr="00715891" w:rsidRDefault="00107519" w:rsidP="00107519">
      <w:pPr>
        <w:rPr>
          <w:sz w:val="22"/>
          <w:szCs w:val="22"/>
          <w:lang w:val="lt-LT" w:eastAsia="de-DE"/>
        </w:rPr>
      </w:pPr>
    </w:p>
    <w:p w14:paraId="7B979117" w14:textId="77777777" w:rsidR="00107519" w:rsidRPr="00715891" w:rsidRDefault="00107519" w:rsidP="00107519">
      <w:pPr>
        <w:rPr>
          <w:sz w:val="22"/>
          <w:szCs w:val="22"/>
          <w:lang w:val="lt-LT" w:eastAsia="de-DE"/>
        </w:rPr>
      </w:pPr>
      <w:r w:rsidRPr="00715891">
        <w:rPr>
          <w:sz w:val="22"/>
          <w:szCs w:val="22"/>
          <w:lang w:val="lt-LT" w:eastAsia="de-DE"/>
        </w:rPr>
        <w:t>arba</w:t>
      </w:r>
    </w:p>
    <w:p w14:paraId="00A62029" w14:textId="77777777" w:rsidR="00107519" w:rsidRPr="00715891" w:rsidRDefault="00107519" w:rsidP="00107519">
      <w:pPr>
        <w:rPr>
          <w:sz w:val="22"/>
          <w:szCs w:val="22"/>
          <w:lang w:val="lt-LT" w:eastAsia="de-DE"/>
        </w:rPr>
      </w:pPr>
    </w:p>
    <w:p w14:paraId="002C81AA" w14:textId="77777777" w:rsidR="00107519" w:rsidRPr="00715891" w:rsidRDefault="00107519" w:rsidP="00107519">
      <w:pPr>
        <w:tabs>
          <w:tab w:val="left" w:pos="1260"/>
        </w:tabs>
        <w:rPr>
          <w:bCs/>
          <w:sz w:val="22"/>
          <w:szCs w:val="22"/>
          <w:lang w:val="lt-LT"/>
        </w:rPr>
      </w:pPr>
      <w:r w:rsidRPr="00715891">
        <w:rPr>
          <w:bCs/>
          <w:sz w:val="22"/>
          <w:szCs w:val="22"/>
          <w:lang w:val="lt-LT"/>
        </w:rPr>
        <w:t>Lek Pharmaceuticals d.d.</w:t>
      </w:r>
    </w:p>
    <w:p w14:paraId="46771626" w14:textId="77777777" w:rsidR="00107519" w:rsidRPr="00715891" w:rsidRDefault="00107519" w:rsidP="00107519">
      <w:pPr>
        <w:tabs>
          <w:tab w:val="left" w:pos="1260"/>
        </w:tabs>
        <w:rPr>
          <w:bCs/>
          <w:sz w:val="22"/>
          <w:szCs w:val="22"/>
          <w:lang w:val="lt-LT"/>
        </w:rPr>
      </w:pPr>
      <w:r w:rsidRPr="00715891">
        <w:rPr>
          <w:bCs/>
          <w:sz w:val="22"/>
          <w:szCs w:val="22"/>
          <w:lang w:val="lt-LT"/>
        </w:rPr>
        <w:t>Verovškova 57</w:t>
      </w:r>
    </w:p>
    <w:p w14:paraId="61998867" w14:textId="77777777" w:rsidR="00107519" w:rsidRPr="00715891" w:rsidRDefault="00107519" w:rsidP="00107519">
      <w:pPr>
        <w:tabs>
          <w:tab w:val="left" w:pos="1260"/>
        </w:tabs>
        <w:rPr>
          <w:bCs/>
          <w:sz w:val="22"/>
          <w:szCs w:val="22"/>
          <w:lang w:val="lt-LT"/>
        </w:rPr>
      </w:pPr>
      <w:r w:rsidRPr="00715891">
        <w:rPr>
          <w:bCs/>
          <w:sz w:val="22"/>
          <w:szCs w:val="22"/>
          <w:lang w:val="lt-LT"/>
        </w:rPr>
        <w:t>1526 Ljubljana</w:t>
      </w:r>
    </w:p>
    <w:p w14:paraId="5A12CEA1" w14:textId="77777777" w:rsidR="00107519" w:rsidRPr="00715891" w:rsidRDefault="00107519" w:rsidP="00107519">
      <w:pPr>
        <w:tabs>
          <w:tab w:val="left" w:pos="1260"/>
        </w:tabs>
        <w:rPr>
          <w:bCs/>
          <w:sz w:val="22"/>
          <w:szCs w:val="22"/>
          <w:lang w:val="lt-LT"/>
        </w:rPr>
      </w:pPr>
      <w:r w:rsidRPr="00715891">
        <w:rPr>
          <w:bCs/>
          <w:sz w:val="22"/>
          <w:szCs w:val="22"/>
          <w:lang w:val="lt-LT"/>
        </w:rPr>
        <w:t>Slovėnija</w:t>
      </w:r>
    </w:p>
    <w:p w14:paraId="1E8DCFF4" w14:textId="77777777" w:rsidR="00107519" w:rsidRPr="00715891" w:rsidRDefault="00107519" w:rsidP="00107519">
      <w:pPr>
        <w:rPr>
          <w:sz w:val="22"/>
          <w:szCs w:val="22"/>
          <w:lang w:val="lt-LT"/>
        </w:rPr>
      </w:pPr>
    </w:p>
    <w:p w14:paraId="416F98D6" w14:textId="77777777" w:rsidR="00107519" w:rsidRPr="00715891" w:rsidRDefault="00107519" w:rsidP="00107519">
      <w:pPr>
        <w:rPr>
          <w:rFonts w:eastAsia="Calibri"/>
          <w:sz w:val="22"/>
          <w:szCs w:val="22"/>
          <w:lang w:val="lt-LT" w:eastAsia="x-none"/>
        </w:rPr>
      </w:pPr>
      <w:r w:rsidRPr="00715891">
        <w:rPr>
          <w:sz w:val="22"/>
          <w:szCs w:val="22"/>
          <w:lang w:val="lt-LT"/>
        </w:rPr>
        <w:t>Su pakuote pateikiamame lapelyje nurodomas gamintojo, atsakingo už konkrečios serijos išleidimą, pavadinimas ir adresas.</w:t>
      </w:r>
    </w:p>
    <w:p w14:paraId="7147115F" w14:textId="77777777" w:rsidR="00107519" w:rsidRPr="00715891" w:rsidRDefault="00107519" w:rsidP="00107519">
      <w:pPr>
        <w:rPr>
          <w:rFonts w:eastAsia="Calibri"/>
          <w:sz w:val="22"/>
          <w:szCs w:val="22"/>
          <w:lang w:val="lt-LT" w:eastAsia="x-none"/>
        </w:rPr>
      </w:pPr>
    </w:p>
    <w:p w14:paraId="4E725C3A" w14:textId="77777777" w:rsidR="00107519" w:rsidRPr="00715891" w:rsidRDefault="00107519" w:rsidP="00107519">
      <w:pPr>
        <w:rPr>
          <w:rFonts w:eastAsia="Calibri"/>
          <w:sz w:val="22"/>
          <w:szCs w:val="22"/>
          <w:lang w:val="lt-LT" w:eastAsia="x-none"/>
        </w:rPr>
      </w:pPr>
    </w:p>
    <w:p w14:paraId="1448FA82" w14:textId="59BACD7D" w:rsidR="00107519" w:rsidRPr="00715891" w:rsidRDefault="00107519" w:rsidP="00107519">
      <w:pPr>
        <w:tabs>
          <w:tab w:val="left" w:pos="567"/>
        </w:tabs>
        <w:rPr>
          <w:rFonts w:eastAsia="Calibri"/>
          <w:b/>
          <w:sz w:val="22"/>
          <w:szCs w:val="22"/>
          <w:lang w:val="lt-LT" w:eastAsia="x-none"/>
        </w:rPr>
      </w:pPr>
      <w:r w:rsidRPr="00715891">
        <w:rPr>
          <w:rFonts w:eastAsia="Calibri"/>
          <w:b/>
          <w:sz w:val="22"/>
          <w:szCs w:val="22"/>
          <w:lang w:val="lt-LT" w:eastAsia="x-none"/>
        </w:rPr>
        <w:t>B.</w:t>
      </w:r>
      <w:r w:rsidRPr="00715891">
        <w:rPr>
          <w:rFonts w:eastAsia="Calibri"/>
          <w:b/>
          <w:sz w:val="22"/>
          <w:szCs w:val="22"/>
          <w:lang w:val="lt-LT" w:eastAsia="x-none"/>
        </w:rPr>
        <w:tab/>
      </w:r>
      <w:r w:rsidRPr="00715891">
        <w:rPr>
          <w:rFonts w:eastAsia="Calibri"/>
          <w:b/>
          <w:sz w:val="22"/>
          <w:szCs w:val="22"/>
          <w:lang w:val="lt-LT" w:eastAsia="lt-LT"/>
        </w:rPr>
        <w:t>TIEKIMO IR VARTOJIMO SĄLYGOS AR APRIBOJIMAI</w:t>
      </w:r>
    </w:p>
    <w:p w14:paraId="4EBF141C" w14:textId="77777777" w:rsidR="00107519" w:rsidRPr="00715891" w:rsidRDefault="00107519" w:rsidP="00107519">
      <w:pPr>
        <w:rPr>
          <w:rFonts w:eastAsia="Calibri"/>
          <w:sz w:val="22"/>
          <w:szCs w:val="22"/>
          <w:lang w:val="lt-LT" w:eastAsia="x-none"/>
        </w:rPr>
      </w:pPr>
    </w:p>
    <w:p w14:paraId="13734992" w14:textId="77777777" w:rsidR="00107519" w:rsidRPr="00715891" w:rsidRDefault="00107519" w:rsidP="00107519">
      <w:pPr>
        <w:rPr>
          <w:rFonts w:eastAsia="Calibri"/>
          <w:sz w:val="22"/>
          <w:szCs w:val="22"/>
          <w:lang w:val="lt-LT" w:eastAsia="x-none"/>
        </w:rPr>
      </w:pPr>
      <w:r w:rsidRPr="00715891">
        <w:rPr>
          <w:rFonts w:eastAsia="Calibri"/>
          <w:sz w:val="22"/>
          <w:szCs w:val="22"/>
          <w:lang w:val="lt-LT" w:eastAsia="x-none"/>
        </w:rPr>
        <w:t>Receptinis vaistinis preparatas</w:t>
      </w:r>
      <w:r w:rsidR="000B56F2" w:rsidRPr="00715891">
        <w:rPr>
          <w:rFonts w:eastAsia="Calibri"/>
          <w:sz w:val="22"/>
          <w:szCs w:val="22"/>
          <w:lang w:val="lt-LT" w:eastAsia="x-none"/>
        </w:rPr>
        <w:t>.</w:t>
      </w:r>
    </w:p>
    <w:p w14:paraId="48DA1FE2" w14:textId="77777777" w:rsidR="00107519" w:rsidRPr="00715891" w:rsidRDefault="00107519" w:rsidP="00107519">
      <w:pPr>
        <w:rPr>
          <w:rFonts w:eastAsia="Calibri"/>
          <w:b/>
          <w:sz w:val="22"/>
          <w:szCs w:val="22"/>
          <w:lang w:val="lt-LT" w:eastAsia="x-none"/>
        </w:rPr>
      </w:pPr>
    </w:p>
    <w:p w14:paraId="730603A1" w14:textId="77777777" w:rsidR="00107519" w:rsidRPr="00715891" w:rsidRDefault="00107519" w:rsidP="00107519">
      <w:pPr>
        <w:ind w:left="567" w:hanging="567"/>
        <w:rPr>
          <w:sz w:val="22"/>
          <w:lang w:val="lt-LT"/>
        </w:rPr>
      </w:pPr>
      <w:r w:rsidRPr="00715891">
        <w:rPr>
          <w:sz w:val="22"/>
          <w:lang w:val="lt-LT"/>
        </w:rPr>
        <w:br w:type="page"/>
      </w:r>
    </w:p>
    <w:p w14:paraId="48C63238" w14:textId="77777777" w:rsidR="00107519" w:rsidRPr="00715891" w:rsidRDefault="00107519" w:rsidP="00107519">
      <w:pPr>
        <w:ind w:left="567" w:hanging="567"/>
        <w:rPr>
          <w:sz w:val="22"/>
          <w:lang w:val="lt-LT"/>
        </w:rPr>
      </w:pPr>
    </w:p>
    <w:p w14:paraId="76817C8F" w14:textId="77777777" w:rsidR="00107519" w:rsidRPr="00715891" w:rsidRDefault="00107519" w:rsidP="00107519">
      <w:pPr>
        <w:ind w:left="567" w:hanging="567"/>
        <w:rPr>
          <w:sz w:val="22"/>
          <w:lang w:val="lt-LT"/>
        </w:rPr>
      </w:pPr>
    </w:p>
    <w:p w14:paraId="60948191" w14:textId="77777777" w:rsidR="00107519" w:rsidRPr="00715891" w:rsidRDefault="00107519" w:rsidP="00107519">
      <w:pPr>
        <w:ind w:left="567" w:hanging="567"/>
        <w:rPr>
          <w:sz w:val="22"/>
          <w:lang w:val="lt-LT"/>
        </w:rPr>
      </w:pPr>
    </w:p>
    <w:p w14:paraId="3C3B8F30" w14:textId="77777777" w:rsidR="00107519" w:rsidRPr="00715891" w:rsidRDefault="00107519" w:rsidP="00107519">
      <w:pPr>
        <w:ind w:left="567" w:hanging="567"/>
        <w:rPr>
          <w:sz w:val="22"/>
          <w:lang w:val="lt-LT"/>
        </w:rPr>
      </w:pPr>
    </w:p>
    <w:p w14:paraId="53F0F369" w14:textId="77777777" w:rsidR="00107519" w:rsidRPr="00715891" w:rsidRDefault="00107519" w:rsidP="00107519">
      <w:pPr>
        <w:ind w:left="567" w:hanging="567"/>
        <w:rPr>
          <w:sz w:val="22"/>
          <w:lang w:val="lt-LT"/>
        </w:rPr>
      </w:pPr>
    </w:p>
    <w:p w14:paraId="5DB6EE37" w14:textId="77777777" w:rsidR="00107519" w:rsidRPr="00715891" w:rsidRDefault="00107519" w:rsidP="00107519">
      <w:pPr>
        <w:ind w:left="567" w:hanging="567"/>
        <w:rPr>
          <w:sz w:val="22"/>
          <w:lang w:val="lt-LT"/>
        </w:rPr>
      </w:pPr>
    </w:p>
    <w:p w14:paraId="4DDDA379" w14:textId="77777777" w:rsidR="00107519" w:rsidRPr="00715891" w:rsidRDefault="00107519" w:rsidP="00107519">
      <w:pPr>
        <w:ind w:left="567" w:hanging="567"/>
        <w:rPr>
          <w:sz w:val="22"/>
          <w:lang w:val="lt-LT"/>
        </w:rPr>
      </w:pPr>
    </w:p>
    <w:p w14:paraId="4AD53D96" w14:textId="77777777" w:rsidR="00107519" w:rsidRPr="00715891" w:rsidRDefault="00107519" w:rsidP="00107519">
      <w:pPr>
        <w:ind w:left="567" w:hanging="567"/>
        <w:rPr>
          <w:sz w:val="22"/>
          <w:lang w:val="lt-LT"/>
        </w:rPr>
      </w:pPr>
    </w:p>
    <w:p w14:paraId="71A87B28" w14:textId="77777777" w:rsidR="00107519" w:rsidRPr="00715891" w:rsidRDefault="00107519" w:rsidP="00107519">
      <w:pPr>
        <w:ind w:left="567" w:hanging="567"/>
        <w:rPr>
          <w:sz w:val="22"/>
          <w:lang w:val="lt-LT"/>
        </w:rPr>
      </w:pPr>
    </w:p>
    <w:p w14:paraId="67899B4D" w14:textId="77777777" w:rsidR="00107519" w:rsidRPr="00715891" w:rsidRDefault="00107519" w:rsidP="00107519">
      <w:pPr>
        <w:ind w:left="567" w:hanging="567"/>
        <w:rPr>
          <w:sz w:val="22"/>
          <w:lang w:val="lt-LT"/>
        </w:rPr>
      </w:pPr>
    </w:p>
    <w:p w14:paraId="2517B6DC" w14:textId="77777777" w:rsidR="00107519" w:rsidRPr="00715891" w:rsidRDefault="00107519" w:rsidP="00107519">
      <w:pPr>
        <w:ind w:left="567" w:hanging="567"/>
        <w:rPr>
          <w:sz w:val="22"/>
          <w:lang w:val="lt-LT"/>
        </w:rPr>
      </w:pPr>
    </w:p>
    <w:p w14:paraId="19CEE041" w14:textId="77777777" w:rsidR="00107519" w:rsidRPr="00715891" w:rsidRDefault="00107519" w:rsidP="00107519">
      <w:pPr>
        <w:ind w:left="567" w:hanging="567"/>
        <w:rPr>
          <w:sz w:val="22"/>
          <w:lang w:val="lt-LT"/>
        </w:rPr>
      </w:pPr>
    </w:p>
    <w:p w14:paraId="307DD849" w14:textId="77777777" w:rsidR="00107519" w:rsidRPr="00715891" w:rsidRDefault="00107519" w:rsidP="00107519">
      <w:pPr>
        <w:ind w:left="567" w:hanging="567"/>
        <w:rPr>
          <w:sz w:val="22"/>
          <w:lang w:val="lt-LT"/>
        </w:rPr>
      </w:pPr>
    </w:p>
    <w:p w14:paraId="66DF249C" w14:textId="77777777" w:rsidR="00107519" w:rsidRPr="00715891" w:rsidRDefault="00107519" w:rsidP="00107519">
      <w:pPr>
        <w:ind w:left="567" w:hanging="567"/>
        <w:rPr>
          <w:sz w:val="22"/>
          <w:lang w:val="lt-LT"/>
        </w:rPr>
      </w:pPr>
    </w:p>
    <w:p w14:paraId="198C6870" w14:textId="77777777" w:rsidR="00107519" w:rsidRPr="00715891" w:rsidRDefault="00107519" w:rsidP="00107519">
      <w:pPr>
        <w:ind w:left="567" w:hanging="567"/>
        <w:rPr>
          <w:sz w:val="22"/>
          <w:lang w:val="lt-LT"/>
        </w:rPr>
      </w:pPr>
    </w:p>
    <w:p w14:paraId="3A8F5C84" w14:textId="77777777" w:rsidR="00107519" w:rsidRPr="00715891" w:rsidRDefault="00107519" w:rsidP="00107519">
      <w:pPr>
        <w:ind w:left="567" w:hanging="567"/>
        <w:rPr>
          <w:sz w:val="22"/>
          <w:lang w:val="lt-LT"/>
        </w:rPr>
      </w:pPr>
    </w:p>
    <w:p w14:paraId="28DD06E7" w14:textId="77777777" w:rsidR="00107519" w:rsidRPr="00715891" w:rsidRDefault="00107519" w:rsidP="00107519">
      <w:pPr>
        <w:ind w:left="567" w:hanging="567"/>
        <w:rPr>
          <w:sz w:val="22"/>
          <w:lang w:val="lt-LT"/>
        </w:rPr>
      </w:pPr>
    </w:p>
    <w:p w14:paraId="425E8251" w14:textId="77777777" w:rsidR="00107519" w:rsidRPr="00715891" w:rsidRDefault="00107519" w:rsidP="00107519">
      <w:pPr>
        <w:ind w:left="567" w:hanging="567"/>
        <w:rPr>
          <w:sz w:val="22"/>
          <w:lang w:val="lt-LT"/>
        </w:rPr>
      </w:pPr>
    </w:p>
    <w:p w14:paraId="3EBA3252" w14:textId="77777777" w:rsidR="00107519" w:rsidRPr="00715891" w:rsidRDefault="00107519" w:rsidP="00107519">
      <w:pPr>
        <w:ind w:left="567" w:hanging="567"/>
        <w:rPr>
          <w:sz w:val="22"/>
          <w:lang w:val="lt-LT"/>
        </w:rPr>
      </w:pPr>
    </w:p>
    <w:p w14:paraId="082945EA" w14:textId="77777777" w:rsidR="00107519" w:rsidRPr="00715891" w:rsidRDefault="00107519" w:rsidP="00107519">
      <w:pPr>
        <w:ind w:left="567" w:hanging="567"/>
        <w:rPr>
          <w:sz w:val="22"/>
          <w:lang w:val="lt-LT"/>
        </w:rPr>
      </w:pPr>
    </w:p>
    <w:p w14:paraId="326BD87B" w14:textId="77777777" w:rsidR="00107519" w:rsidRPr="00715891" w:rsidRDefault="00107519" w:rsidP="00107519">
      <w:pPr>
        <w:ind w:left="567" w:hanging="567"/>
        <w:rPr>
          <w:sz w:val="22"/>
          <w:lang w:val="lt-LT"/>
        </w:rPr>
      </w:pPr>
    </w:p>
    <w:p w14:paraId="6E5CC28B" w14:textId="77777777" w:rsidR="00107519" w:rsidRPr="00715891" w:rsidRDefault="00107519" w:rsidP="00107519">
      <w:pPr>
        <w:ind w:left="567" w:hanging="567"/>
        <w:rPr>
          <w:sz w:val="22"/>
          <w:lang w:val="lt-LT"/>
        </w:rPr>
      </w:pPr>
    </w:p>
    <w:p w14:paraId="0262D868" w14:textId="77777777" w:rsidR="00D477BA" w:rsidRPr="00715891" w:rsidRDefault="00D477BA" w:rsidP="00107519">
      <w:pPr>
        <w:ind w:left="567" w:hanging="567"/>
        <w:jc w:val="center"/>
        <w:rPr>
          <w:b/>
          <w:sz w:val="22"/>
          <w:szCs w:val="22"/>
          <w:lang w:val="lt-LT"/>
        </w:rPr>
      </w:pPr>
    </w:p>
    <w:p w14:paraId="77A042DB" w14:textId="7F1276C1" w:rsidR="00107519" w:rsidRPr="00715891" w:rsidRDefault="00107519" w:rsidP="00107519">
      <w:pPr>
        <w:ind w:left="567" w:hanging="567"/>
        <w:jc w:val="center"/>
        <w:rPr>
          <w:b/>
          <w:sz w:val="22"/>
          <w:szCs w:val="22"/>
          <w:lang w:val="lt-LT"/>
        </w:rPr>
      </w:pPr>
      <w:r w:rsidRPr="00715891">
        <w:rPr>
          <w:b/>
          <w:sz w:val="22"/>
          <w:szCs w:val="22"/>
          <w:lang w:val="lt-LT"/>
        </w:rPr>
        <w:t>III PRIEDAS</w:t>
      </w:r>
    </w:p>
    <w:p w14:paraId="5A31CF35" w14:textId="77777777" w:rsidR="00107519" w:rsidRPr="00715891" w:rsidRDefault="00107519" w:rsidP="00107519">
      <w:pPr>
        <w:ind w:left="567" w:hanging="567"/>
        <w:jc w:val="center"/>
        <w:rPr>
          <w:b/>
          <w:sz w:val="22"/>
          <w:szCs w:val="22"/>
          <w:lang w:val="lt-LT"/>
        </w:rPr>
      </w:pPr>
    </w:p>
    <w:p w14:paraId="43E703A3" w14:textId="77777777" w:rsidR="00107519" w:rsidRPr="00715891" w:rsidRDefault="00107519" w:rsidP="00107519">
      <w:pPr>
        <w:ind w:left="567" w:hanging="567"/>
        <w:jc w:val="center"/>
        <w:rPr>
          <w:b/>
          <w:sz w:val="22"/>
          <w:szCs w:val="22"/>
          <w:lang w:val="lt-LT"/>
        </w:rPr>
      </w:pPr>
      <w:r w:rsidRPr="00715891">
        <w:rPr>
          <w:b/>
          <w:sz w:val="22"/>
          <w:szCs w:val="22"/>
          <w:lang w:val="lt-LT"/>
        </w:rPr>
        <w:t>ŽENKLINIMAS IR PAKUOTĖS LAPELIS</w:t>
      </w:r>
    </w:p>
    <w:p w14:paraId="108366D3" w14:textId="77777777" w:rsidR="00107519" w:rsidRPr="00715891" w:rsidRDefault="00107519" w:rsidP="00107519">
      <w:pPr>
        <w:ind w:left="567" w:hanging="567"/>
        <w:rPr>
          <w:sz w:val="22"/>
          <w:lang w:val="lt-LT"/>
        </w:rPr>
      </w:pPr>
      <w:r w:rsidRPr="00715891">
        <w:rPr>
          <w:sz w:val="22"/>
          <w:szCs w:val="22"/>
          <w:lang w:val="lt-LT"/>
        </w:rPr>
        <w:br w:type="page"/>
      </w:r>
    </w:p>
    <w:p w14:paraId="1C0C61A1" w14:textId="77777777" w:rsidR="00107519" w:rsidRPr="00715891" w:rsidRDefault="00107519" w:rsidP="00107519">
      <w:pPr>
        <w:ind w:left="567" w:hanging="567"/>
        <w:rPr>
          <w:sz w:val="22"/>
          <w:lang w:val="lt-LT"/>
        </w:rPr>
      </w:pPr>
    </w:p>
    <w:p w14:paraId="220A2113" w14:textId="77777777" w:rsidR="00107519" w:rsidRPr="00715891" w:rsidRDefault="00107519" w:rsidP="00107519">
      <w:pPr>
        <w:ind w:left="567" w:hanging="567"/>
        <w:rPr>
          <w:sz w:val="22"/>
          <w:lang w:val="lt-LT"/>
        </w:rPr>
      </w:pPr>
    </w:p>
    <w:p w14:paraId="79A3A998" w14:textId="77777777" w:rsidR="00107519" w:rsidRPr="00715891" w:rsidRDefault="00107519" w:rsidP="00107519">
      <w:pPr>
        <w:ind w:left="567" w:hanging="567"/>
        <w:rPr>
          <w:sz w:val="22"/>
          <w:lang w:val="lt-LT"/>
        </w:rPr>
      </w:pPr>
    </w:p>
    <w:p w14:paraId="16AE284E" w14:textId="77777777" w:rsidR="00107519" w:rsidRPr="00715891" w:rsidRDefault="00107519" w:rsidP="00107519">
      <w:pPr>
        <w:ind w:left="567" w:hanging="567"/>
        <w:rPr>
          <w:sz w:val="22"/>
          <w:lang w:val="lt-LT"/>
        </w:rPr>
      </w:pPr>
    </w:p>
    <w:p w14:paraId="324CE405" w14:textId="77777777" w:rsidR="00107519" w:rsidRPr="00715891" w:rsidRDefault="00107519" w:rsidP="00107519">
      <w:pPr>
        <w:ind w:left="567" w:hanging="567"/>
        <w:rPr>
          <w:sz w:val="22"/>
          <w:lang w:val="lt-LT"/>
        </w:rPr>
      </w:pPr>
    </w:p>
    <w:p w14:paraId="4AD469AF" w14:textId="77777777" w:rsidR="00107519" w:rsidRPr="00715891" w:rsidRDefault="00107519" w:rsidP="00107519">
      <w:pPr>
        <w:ind w:left="567" w:hanging="567"/>
        <w:rPr>
          <w:sz w:val="22"/>
          <w:lang w:val="lt-LT"/>
        </w:rPr>
      </w:pPr>
    </w:p>
    <w:p w14:paraId="51E73E8E" w14:textId="77777777" w:rsidR="00107519" w:rsidRPr="00715891" w:rsidRDefault="00107519" w:rsidP="00107519">
      <w:pPr>
        <w:ind w:left="567" w:hanging="567"/>
        <w:rPr>
          <w:sz w:val="22"/>
          <w:lang w:val="lt-LT"/>
        </w:rPr>
      </w:pPr>
    </w:p>
    <w:p w14:paraId="2F57C194" w14:textId="77777777" w:rsidR="00107519" w:rsidRPr="00715891" w:rsidRDefault="00107519" w:rsidP="00107519">
      <w:pPr>
        <w:ind w:left="567" w:hanging="567"/>
        <w:rPr>
          <w:sz w:val="22"/>
          <w:lang w:val="lt-LT"/>
        </w:rPr>
      </w:pPr>
    </w:p>
    <w:p w14:paraId="54AA0522" w14:textId="77777777" w:rsidR="00107519" w:rsidRPr="00715891" w:rsidRDefault="00107519" w:rsidP="00107519">
      <w:pPr>
        <w:ind w:left="567" w:hanging="567"/>
        <w:rPr>
          <w:sz w:val="22"/>
          <w:lang w:val="lt-LT"/>
        </w:rPr>
      </w:pPr>
    </w:p>
    <w:p w14:paraId="1993D64D" w14:textId="77777777" w:rsidR="00107519" w:rsidRPr="00715891" w:rsidRDefault="00107519" w:rsidP="00107519">
      <w:pPr>
        <w:ind w:left="567" w:hanging="567"/>
        <w:rPr>
          <w:sz w:val="22"/>
          <w:lang w:val="lt-LT"/>
        </w:rPr>
      </w:pPr>
    </w:p>
    <w:p w14:paraId="5790FF7E" w14:textId="77777777" w:rsidR="00107519" w:rsidRPr="00715891" w:rsidRDefault="00107519" w:rsidP="00107519">
      <w:pPr>
        <w:ind w:left="567" w:hanging="567"/>
        <w:rPr>
          <w:sz w:val="22"/>
          <w:lang w:val="lt-LT"/>
        </w:rPr>
      </w:pPr>
    </w:p>
    <w:p w14:paraId="70A67577" w14:textId="77777777" w:rsidR="00107519" w:rsidRPr="00715891" w:rsidRDefault="00107519" w:rsidP="00107519">
      <w:pPr>
        <w:ind w:left="567" w:hanging="567"/>
        <w:rPr>
          <w:sz w:val="22"/>
          <w:lang w:val="lt-LT"/>
        </w:rPr>
      </w:pPr>
    </w:p>
    <w:p w14:paraId="3CF53743" w14:textId="77777777" w:rsidR="00107519" w:rsidRPr="00715891" w:rsidRDefault="00107519" w:rsidP="00107519">
      <w:pPr>
        <w:ind w:left="567" w:hanging="567"/>
        <w:rPr>
          <w:sz w:val="22"/>
          <w:lang w:val="lt-LT"/>
        </w:rPr>
      </w:pPr>
    </w:p>
    <w:p w14:paraId="2655E7DF" w14:textId="77777777" w:rsidR="00107519" w:rsidRPr="00715891" w:rsidRDefault="00107519" w:rsidP="00107519">
      <w:pPr>
        <w:ind w:left="567" w:hanging="567"/>
        <w:rPr>
          <w:sz w:val="22"/>
          <w:lang w:val="lt-LT"/>
        </w:rPr>
      </w:pPr>
    </w:p>
    <w:p w14:paraId="48AD2A61" w14:textId="77777777" w:rsidR="00107519" w:rsidRPr="00715891" w:rsidRDefault="00107519" w:rsidP="00107519">
      <w:pPr>
        <w:ind w:left="567" w:hanging="567"/>
        <w:rPr>
          <w:sz w:val="22"/>
          <w:lang w:val="lt-LT"/>
        </w:rPr>
      </w:pPr>
    </w:p>
    <w:p w14:paraId="363FB94F" w14:textId="77777777" w:rsidR="00107519" w:rsidRPr="00715891" w:rsidRDefault="00107519" w:rsidP="00107519">
      <w:pPr>
        <w:ind w:left="567" w:hanging="567"/>
        <w:rPr>
          <w:sz w:val="22"/>
          <w:lang w:val="lt-LT"/>
        </w:rPr>
      </w:pPr>
    </w:p>
    <w:p w14:paraId="45B4DF05" w14:textId="77777777" w:rsidR="00107519" w:rsidRPr="00715891" w:rsidRDefault="00107519" w:rsidP="00107519">
      <w:pPr>
        <w:ind w:left="567" w:hanging="567"/>
        <w:rPr>
          <w:sz w:val="22"/>
          <w:lang w:val="lt-LT"/>
        </w:rPr>
      </w:pPr>
    </w:p>
    <w:p w14:paraId="46DC9C0E" w14:textId="77777777" w:rsidR="00107519" w:rsidRPr="00715891" w:rsidRDefault="00107519" w:rsidP="00107519">
      <w:pPr>
        <w:ind w:left="567" w:hanging="567"/>
        <w:rPr>
          <w:sz w:val="22"/>
          <w:lang w:val="lt-LT"/>
        </w:rPr>
      </w:pPr>
    </w:p>
    <w:p w14:paraId="185BABBE" w14:textId="77777777" w:rsidR="00107519" w:rsidRPr="00715891" w:rsidRDefault="00107519" w:rsidP="00107519">
      <w:pPr>
        <w:ind w:left="567" w:hanging="567"/>
        <w:rPr>
          <w:sz w:val="22"/>
          <w:lang w:val="lt-LT"/>
        </w:rPr>
      </w:pPr>
    </w:p>
    <w:p w14:paraId="0FD845A8" w14:textId="77777777" w:rsidR="00107519" w:rsidRPr="00715891" w:rsidRDefault="00107519" w:rsidP="00107519">
      <w:pPr>
        <w:ind w:left="567" w:hanging="567"/>
        <w:rPr>
          <w:sz w:val="22"/>
          <w:lang w:val="lt-LT"/>
        </w:rPr>
      </w:pPr>
    </w:p>
    <w:p w14:paraId="76F50942" w14:textId="77777777" w:rsidR="00107519" w:rsidRPr="00715891" w:rsidRDefault="00107519" w:rsidP="00107519">
      <w:pPr>
        <w:ind w:left="567" w:hanging="567"/>
        <w:rPr>
          <w:sz w:val="22"/>
          <w:lang w:val="lt-LT"/>
        </w:rPr>
      </w:pPr>
    </w:p>
    <w:p w14:paraId="317110E7" w14:textId="77777777" w:rsidR="00107519" w:rsidRPr="00715891" w:rsidRDefault="00107519" w:rsidP="00107519">
      <w:pPr>
        <w:ind w:left="567" w:hanging="567"/>
        <w:rPr>
          <w:sz w:val="22"/>
          <w:lang w:val="lt-LT"/>
        </w:rPr>
      </w:pPr>
    </w:p>
    <w:p w14:paraId="2035CB4C" w14:textId="77777777" w:rsidR="00453066" w:rsidRPr="00715891" w:rsidRDefault="00453066" w:rsidP="00107519">
      <w:pPr>
        <w:ind w:left="567" w:hanging="567"/>
        <w:jc w:val="center"/>
        <w:rPr>
          <w:b/>
          <w:sz w:val="22"/>
          <w:szCs w:val="22"/>
          <w:lang w:val="lt-LT"/>
        </w:rPr>
      </w:pPr>
    </w:p>
    <w:p w14:paraId="59A2455C" w14:textId="525BA0D4" w:rsidR="00107519" w:rsidRPr="00715891" w:rsidRDefault="00107519" w:rsidP="00107519">
      <w:pPr>
        <w:ind w:left="567" w:hanging="567"/>
        <w:jc w:val="center"/>
        <w:rPr>
          <w:b/>
          <w:sz w:val="22"/>
          <w:szCs w:val="22"/>
          <w:lang w:val="lt-LT"/>
        </w:rPr>
      </w:pPr>
      <w:r w:rsidRPr="00715891">
        <w:rPr>
          <w:b/>
          <w:sz w:val="22"/>
          <w:szCs w:val="22"/>
          <w:lang w:val="lt-LT"/>
        </w:rPr>
        <w:t>A. ŽENKLINIMAS</w:t>
      </w:r>
    </w:p>
    <w:p w14:paraId="414BB349" w14:textId="77777777" w:rsidR="00107519" w:rsidRPr="00715891" w:rsidRDefault="00107519" w:rsidP="00107519">
      <w:pPr>
        <w:pBdr>
          <w:top w:val="single" w:sz="4" w:space="1" w:color="auto"/>
          <w:left w:val="single" w:sz="4" w:space="4" w:color="auto"/>
          <w:bottom w:val="single" w:sz="4" w:space="1" w:color="auto"/>
          <w:right w:val="single" w:sz="4" w:space="4" w:color="auto"/>
        </w:pBdr>
        <w:rPr>
          <w:b/>
          <w:caps/>
          <w:sz w:val="22"/>
          <w:szCs w:val="22"/>
          <w:lang w:val="lt-LT"/>
        </w:rPr>
      </w:pPr>
      <w:r w:rsidRPr="00715891">
        <w:rPr>
          <w:sz w:val="22"/>
          <w:lang w:val="lt-LT"/>
        </w:rPr>
        <w:br w:type="page"/>
      </w:r>
      <w:r w:rsidRPr="00715891">
        <w:rPr>
          <w:b/>
          <w:caps/>
          <w:sz w:val="22"/>
          <w:szCs w:val="22"/>
          <w:lang w:val="lt-LT"/>
        </w:rPr>
        <w:lastRenderedPageBreak/>
        <w:t xml:space="preserve">Informacija ant </w:t>
      </w:r>
      <w:r w:rsidRPr="00715891">
        <w:rPr>
          <w:b/>
          <w:bCs/>
          <w:sz w:val="22"/>
          <w:szCs w:val="22"/>
          <w:lang w:val="lt-LT"/>
        </w:rPr>
        <w:t>IŠORINĖS</w:t>
      </w:r>
      <w:r w:rsidRPr="00715891">
        <w:rPr>
          <w:sz w:val="22"/>
          <w:szCs w:val="22"/>
          <w:lang w:val="lt-LT"/>
        </w:rPr>
        <w:t xml:space="preserve"> </w:t>
      </w:r>
      <w:r w:rsidRPr="00715891">
        <w:rPr>
          <w:b/>
          <w:caps/>
          <w:sz w:val="22"/>
          <w:szCs w:val="22"/>
          <w:lang w:val="lt-LT"/>
        </w:rPr>
        <w:t>pakuotės</w:t>
      </w:r>
    </w:p>
    <w:p w14:paraId="31C42BE7" w14:textId="73FC961D" w:rsidR="002D5F5D" w:rsidRPr="00715891" w:rsidRDefault="002D5F5D" w:rsidP="00107519">
      <w:pPr>
        <w:pBdr>
          <w:top w:val="single" w:sz="4" w:space="1" w:color="auto"/>
          <w:left w:val="single" w:sz="4" w:space="4" w:color="auto"/>
          <w:bottom w:val="single" w:sz="4" w:space="1" w:color="auto"/>
          <w:right w:val="single" w:sz="4" w:space="4" w:color="auto"/>
        </w:pBdr>
        <w:ind w:left="567" w:hanging="567"/>
        <w:rPr>
          <w:rFonts w:ascii="Times New Roman Bold" w:hAnsi="Times New Roman Bold"/>
          <w:b/>
          <w:sz w:val="22"/>
          <w:lang w:val="lt-LT"/>
        </w:rPr>
      </w:pPr>
    </w:p>
    <w:p w14:paraId="4DD50646" w14:textId="783A6070" w:rsidR="00107519" w:rsidRPr="00715891" w:rsidRDefault="00107519" w:rsidP="00107519">
      <w:pPr>
        <w:pBdr>
          <w:top w:val="single" w:sz="4" w:space="1" w:color="auto"/>
          <w:left w:val="single" w:sz="4" w:space="4" w:color="auto"/>
          <w:bottom w:val="single" w:sz="4" w:space="1" w:color="auto"/>
          <w:right w:val="single" w:sz="4" w:space="4" w:color="auto"/>
        </w:pBdr>
        <w:ind w:left="567" w:hanging="567"/>
        <w:rPr>
          <w:rFonts w:ascii="Times New Roman Bold" w:hAnsi="Times New Roman Bold"/>
          <w:b/>
          <w:caps/>
          <w:sz w:val="22"/>
          <w:szCs w:val="22"/>
          <w:lang w:val="lt-LT"/>
        </w:rPr>
      </w:pPr>
      <w:r w:rsidRPr="00715891">
        <w:rPr>
          <w:rFonts w:ascii="Times New Roman Bold" w:hAnsi="Times New Roman Bold"/>
          <w:b/>
          <w:sz w:val="22"/>
          <w:szCs w:val="22"/>
          <w:lang w:val="lt-LT"/>
        </w:rPr>
        <w:t>KARTONO DĖŽUTĖ</w:t>
      </w:r>
      <w:r w:rsidR="00453066" w:rsidRPr="00715891">
        <w:rPr>
          <w:rFonts w:ascii="Times New Roman Bold" w:hAnsi="Times New Roman Bold"/>
          <w:b/>
          <w:sz w:val="22"/>
          <w:szCs w:val="22"/>
          <w:lang w:val="lt-LT"/>
        </w:rPr>
        <w:t xml:space="preserve"> DTPE BUTELIUKUI </w:t>
      </w:r>
      <w:r w:rsidR="00B0689D" w:rsidRPr="00715891">
        <w:rPr>
          <w:rFonts w:ascii="Times New Roman Bold" w:hAnsi="Times New Roman Bold"/>
          <w:b/>
          <w:sz w:val="22"/>
          <w:szCs w:val="22"/>
          <w:lang w:val="lt-LT"/>
        </w:rPr>
        <w:t>ARBA</w:t>
      </w:r>
      <w:r w:rsidR="00453066" w:rsidRPr="00715891">
        <w:rPr>
          <w:rFonts w:ascii="Times New Roman Bold" w:hAnsi="Times New Roman Bold"/>
          <w:b/>
          <w:sz w:val="22"/>
          <w:szCs w:val="22"/>
          <w:lang w:val="lt-LT"/>
        </w:rPr>
        <w:t xml:space="preserve"> Al/OPA/Al/PVC LIZDINEI PLOKŠTELEI</w:t>
      </w:r>
    </w:p>
    <w:p w14:paraId="005E7E9B" w14:textId="77777777" w:rsidR="00107519" w:rsidRPr="00715891" w:rsidRDefault="00107519" w:rsidP="00107519">
      <w:pPr>
        <w:ind w:left="567" w:hanging="567"/>
        <w:rPr>
          <w:sz w:val="22"/>
          <w:szCs w:val="22"/>
          <w:lang w:val="lt-LT"/>
        </w:rPr>
      </w:pPr>
    </w:p>
    <w:p w14:paraId="442BA540" w14:textId="77777777" w:rsidR="00107519" w:rsidRPr="00715891" w:rsidRDefault="00107519" w:rsidP="00107519">
      <w:pPr>
        <w:ind w:left="567" w:hanging="567"/>
        <w:rPr>
          <w:sz w:val="22"/>
          <w:szCs w:val="22"/>
          <w:lang w:val="lt-LT"/>
        </w:rPr>
      </w:pPr>
    </w:p>
    <w:p w14:paraId="596F50C8" w14:textId="77777777" w:rsidR="00107519" w:rsidRPr="00715891" w:rsidRDefault="00107519" w:rsidP="00107519">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715891">
        <w:rPr>
          <w:b/>
          <w:caps/>
          <w:sz w:val="22"/>
          <w:szCs w:val="22"/>
          <w:lang w:val="lt-LT"/>
        </w:rPr>
        <w:t>1.</w:t>
      </w:r>
      <w:r w:rsidRPr="00715891">
        <w:rPr>
          <w:b/>
          <w:caps/>
          <w:sz w:val="22"/>
          <w:szCs w:val="22"/>
          <w:lang w:val="lt-LT"/>
        </w:rPr>
        <w:tab/>
        <w:t>vaistinio preparato pavadinimas</w:t>
      </w:r>
    </w:p>
    <w:p w14:paraId="1E7AEA4A" w14:textId="77777777" w:rsidR="00107519" w:rsidRPr="00715891" w:rsidRDefault="00107519" w:rsidP="00107519">
      <w:pPr>
        <w:ind w:left="567" w:hanging="567"/>
        <w:rPr>
          <w:sz w:val="22"/>
          <w:szCs w:val="22"/>
          <w:lang w:val="lt-LT"/>
        </w:rPr>
      </w:pPr>
    </w:p>
    <w:p w14:paraId="6C7AE65B" w14:textId="77777777" w:rsidR="00107519" w:rsidRPr="00715891" w:rsidRDefault="00107519" w:rsidP="00107519">
      <w:pPr>
        <w:rPr>
          <w:sz w:val="22"/>
          <w:szCs w:val="22"/>
          <w:lang w:val="lt-LT"/>
        </w:rPr>
      </w:pPr>
      <w:r w:rsidRPr="00715891">
        <w:rPr>
          <w:sz w:val="22"/>
          <w:szCs w:val="22"/>
          <w:lang w:val="lt-LT"/>
        </w:rPr>
        <w:t>Valganciclovir Sandoz 450 mg plėvele dengtos tabletės</w:t>
      </w:r>
    </w:p>
    <w:p w14:paraId="41E42A38" w14:textId="77777777" w:rsidR="003409EF" w:rsidRPr="00715891" w:rsidRDefault="003409EF" w:rsidP="00107519">
      <w:pPr>
        <w:ind w:left="567" w:hanging="567"/>
        <w:rPr>
          <w:sz w:val="22"/>
          <w:szCs w:val="22"/>
          <w:lang w:val="lt-LT"/>
        </w:rPr>
      </w:pPr>
    </w:p>
    <w:p w14:paraId="6934753E" w14:textId="3E558EC9" w:rsidR="00107519" w:rsidRPr="00715891" w:rsidRDefault="00D477BA" w:rsidP="00107519">
      <w:pPr>
        <w:ind w:left="567" w:hanging="567"/>
        <w:rPr>
          <w:sz w:val="22"/>
          <w:szCs w:val="22"/>
          <w:lang w:val="lt-LT"/>
        </w:rPr>
      </w:pPr>
      <w:r w:rsidRPr="00715891">
        <w:rPr>
          <w:sz w:val="22"/>
          <w:szCs w:val="22"/>
          <w:lang w:val="lt-LT"/>
        </w:rPr>
        <w:t>v</w:t>
      </w:r>
      <w:r w:rsidR="00107519" w:rsidRPr="00715891">
        <w:rPr>
          <w:sz w:val="22"/>
          <w:szCs w:val="22"/>
          <w:lang w:val="lt-LT"/>
        </w:rPr>
        <w:t>alganciclovirum</w:t>
      </w:r>
      <w:r w:rsidR="000E1714" w:rsidRPr="00715891">
        <w:rPr>
          <w:sz w:val="22"/>
          <w:szCs w:val="22"/>
          <w:lang w:val="lt-LT"/>
        </w:rPr>
        <w:t xml:space="preserve"> </w:t>
      </w:r>
    </w:p>
    <w:p w14:paraId="1C82AFA1" w14:textId="77777777" w:rsidR="00107519" w:rsidRPr="00715891" w:rsidRDefault="00107519" w:rsidP="00107519">
      <w:pPr>
        <w:ind w:left="567" w:hanging="567"/>
        <w:rPr>
          <w:sz w:val="22"/>
          <w:szCs w:val="22"/>
          <w:lang w:val="lt-LT"/>
        </w:rPr>
      </w:pPr>
    </w:p>
    <w:p w14:paraId="5C9880BD" w14:textId="77777777" w:rsidR="00107519" w:rsidRPr="00715891" w:rsidRDefault="00107519" w:rsidP="00107519">
      <w:pPr>
        <w:ind w:left="567" w:hanging="567"/>
        <w:rPr>
          <w:sz w:val="22"/>
          <w:szCs w:val="22"/>
          <w:lang w:val="lt-LT"/>
        </w:rPr>
      </w:pPr>
    </w:p>
    <w:p w14:paraId="618FB6EA" w14:textId="735386FD" w:rsidR="00107519" w:rsidRPr="00715891" w:rsidRDefault="00107519" w:rsidP="00107519">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715891">
        <w:rPr>
          <w:b/>
          <w:caps/>
          <w:sz w:val="22"/>
          <w:szCs w:val="22"/>
          <w:lang w:val="lt-LT"/>
        </w:rPr>
        <w:t>2.</w:t>
      </w:r>
      <w:r w:rsidRPr="00715891">
        <w:rPr>
          <w:b/>
          <w:caps/>
          <w:sz w:val="22"/>
          <w:szCs w:val="22"/>
          <w:lang w:val="lt-LT"/>
        </w:rPr>
        <w:tab/>
      </w:r>
      <w:r w:rsidR="00D477BA" w:rsidRPr="00715891">
        <w:rPr>
          <w:b/>
          <w:snapToGrid w:val="0"/>
          <w:sz w:val="22"/>
          <w:lang w:val="lt-LT"/>
        </w:rPr>
        <w:t>VEIKLIOJI (-IOS) MEDŽIAGA (-OS) IR JOS (-Ų) KIEKIS (-IAI)</w:t>
      </w:r>
    </w:p>
    <w:p w14:paraId="61690A32" w14:textId="77777777" w:rsidR="00107519" w:rsidRPr="00715891" w:rsidRDefault="00107519" w:rsidP="00107519">
      <w:pPr>
        <w:ind w:left="567" w:hanging="567"/>
        <w:rPr>
          <w:caps/>
          <w:sz w:val="22"/>
          <w:szCs w:val="22"/>
          <w:lang w:val="lt-LT"/>
        </w:rPr>
      </w:pPr>
    </w:p>
    <w:p w14:paraId="74AF2648" w14:textId="0835F870" w:rsidR="00107519" w:rsidRPr="00715891" w:rsidRDefault="00107519" w:rsidP="00107519">
      <w:pPr>
        <w:rPr>
          <w:rFonts w:eastAsia="Calibri"/>
          <w:sz w:val="22"/>
          <w:szCs w:val="22"/>
          <w:lang w:val="lt-LT" w:eastAsia="x-none"/>
        </w:rPr>
      </w:pPr>
      <w:r w:rsidRPr="00715891">
        <w:rPr>
          <w:rFonts w:eastAsia="Calibri"/>
          <w:sz w:val="22"/>
          <w:szCs w:val="22"/>
          <w:lang w:val="lt-LT" w:eastAsia="x-none"/>
        </w:rPr>
        <w:t>Kiekvienoje plėvele dengtoje tabletėje yra</w:t>
      </w:r>
      <w:r w:rsidR="0095063E" w:rsidRPr="00715891">
        <w:rPr>
          <w:rFonts w:eastAsia="Calibri"/>
          <w:sz w:val="22"/>
          <w:szCs w:val="22"/>
          <w:lang w:val="lt-LT" w:eastAsia="x-none"/>
        </w:rPr>
        <w:t xml:space="preserve"> </w:t>
      </w:r>
      <w:r w:rsidR="003409EF" w:rsidRPr="00715891">
        <w:rPr>
          <w:rFonts w:eastAsia="Calibri"/>
          <w:sz w:val="22"/>
          <w:szCs w:val="22"/>
          <w:lang w:val="lt-LT" w:eastAsia="x-none"/>
        </w:rPr>
        <w:t>45</w:t>
      </w:r>
      <w:r w:rsidR="0095063E" w:rsidRPr="00715891">
        <w:rPr>
          <w:rFonts w:eastAsia="Calibri"/>
          <w:sz w:val="22"/>
          <w:szCs w:val="22"/>
          <w:lang w:val="lt-LT" w:eastAsia="x-none"/>
        </w:rPr>
        <w:t>0</w:t>
      </w:r>
      <w:r w:rsidRPr="00715891">
        <w:rPr>
          <w:rFonts w:eastAsia="Calibri"/>
          <w:sz w:val="22"/>
          <w:szCs w:val="22"/>
          <w:lang w:val="lt-LT" w:eastAsia="x-none"/>
        </w:rPr>
        <w:t xml:space="preserve"> mg valgancikloviro </w:t>
      </w:r>
      <w:r w:rsidR="003409EF" w:rsidRPr="00715891">
        <w:rPr>
          <w:rFonts w:eastAsia="Calibri"/>
          <w:sz w:val="22"/>
          <w:szCs w:val="22"/>
          <w:lang w:val="lt-LT" w:eastAsia="x-none"/>
        </w:rPr>
        <w:t>(</w:t>
      </w:r>
      <w:r w:rsidRPr="00715891">
        <w:rPr>
          <w:rFonts w:eastAsia="Calibri"/>
          <w:sz w:val="22"/>
          <w:szCs w:val="22"/>
          <w:lang w:val="lt-LT" w:eastAsia="x-none"/>
        </w:rPr>
        <w:t>hidrochlorido</w:t>
      </w:r>
      <w:r w:rsidR="003409EF" w:rsidRPr="00715891">
        <w:rPr>
          <w:rFonts w:eastAsia="Calibri"/>
          <w:sz w:val="22"/>
          <w:szCs w:val="22"/>
          <w:lang w:val="lt-LT" w:eastAsia="x-none"/>
        </w:rPr>
        <w:t xml:space="preserve"> pavidalu)</w:t>
      </w:r>
      <w:r w:rsidR="000D770D" w:rsidRPr="00715891">
        <w:rPr>
          <w:rFonts w:eastAsia="Calibri"/>
          <w:sz w:val="22"/>
          <w:szCs w:val="22"/>
          <w:lang w:val="lt-LT" w:eastAsia="x-none"/>
        </w:rPr>
        <w:t>.</w:t>
      </w:r>
    </w:p>
    <w:p w14:paraId="7E5C937C" w14:textId="77777777" w:rsidR="00107519" w:rsidRPr="00715891" w:rsidRDefault="00107519" w:rsidP="00107519">
      <w:pPr>
        <w:ind w:left="567" w:hanging="567"/>
        <w:rPr>
          <w:caps/>
          <w:sz w:val="22"/>
          <w:szCs w:val="22"/>
          <w:lang w:val="lt-LT"/>
        </w:rPr>
      </w:pPr>
    </w:p>
    <w:p w14:paraId="4092FBA6" w14:textId="77777777" w:rsidR="00107519" w:rsidRPr="00715891" w:rsidRDefault="00107519" w:rsidP="00107519">
      <w:pPr>
        <w:ind w:left="567" w:hanging="567"/>
        <w:rPr>
          <w:caps/>
          <w:sz w:val="22"/>
          <w:szCs w:val="22"/>
          <w:lang w:val="lt-LT"/>
        </w:rPr>
      </w:pPr>
    </w:p>
    <w:p w14:paraId="61CCF608" w14:textId="77777777" w:rsidR="00107519" w:rsidRPr="00715891" w:rsidRDefault="00107519" w:rsidP="00107519">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715891">
        <w:rPr>
          <w:b/>
          <w:caps/>
          <w:sz w:val="22"/>
          <w:szCs w:val="22"/>
          <w:lang w:val="lt-LT"/>
        </w:rPr>
        <w:t>3.</w:t>
      </w:r>
      <w:r w:rsidRPr="00715891">
        <w:rPr>
          <w:b/>
          <w:caps/>
          <w:sz w:val="22"/>
          <w:szCs w:val="22"/>
          <w:lang w:val="lt-LT"/>
        </w:rPr>
        <w:tab/>
        <w:t>pagalbinių medžiagų sąrašas</w:t>
      </w:r>
    </w:p>
    <w:p w14:paraId="0F076BDF" w14:textId="77777777" w:rsidR="00107519" w:rsidRPr="00715891" w:rsidRDefault="00107519" w:rsidP="00107519">
      <w:pPr>
        <w:rPr>
          <w:caps/>
          <w:sz w:val="22"/>
          <w:szCs w:val="22"/>
          <w:lang w:val="lt-LT"/>
        </w:rPr>
      </w:pPr>
    </w:p>
    <w:p w14:paraId="2AC2111F" w14:textId="77777777" w:rsidR="00107519" w:rsidRPr="00715891" w:rsidRDefault="00107519" w:rsidP="00107519">
      <w:pPr>
        <w:rPr>
          <w:caps/>
          <w:sz w:val="22"/>
          <w:szCs w:val="22"/>
          <w:lang w:val="lt-LT"/>
        </w:rPr>
      </w:pPr>
    </w:p>
    <w:p w14:paraId="72179432" w14:textId="77777777" w:rsidR="00107519" w:rsidRPr="00715891" w:rsidRDefault="00107519" w:rsidP="00107519">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715891">
        <w:rPr>
          <w:b/>
          <w:caps/>
          <w:sz w:val="22"/>
          <w:szCs w:val="22"/>
          <w:lang w:val="lt-LT"/>
        </w:rPr>
        <w:t>4.</w:t>
      </w:r>
      <w:r w:rsidRPr="00715891">
        <w:rPr>
          <w:b/>
          <w:caps/>
          <w:sz w:val="22"/>
          <w:szCs w:val="22"/>
          <w:lang w:val="lt-LT"/>
        </w:rPr>
        <w:tab/>
        <w:t>FARMACINĖ forma ir KIEKIS PAKUOTĖJE</w:t>
      </w:r>
    </w:p>
    <w:p w14:paraId="0D9D3C60" w14:textId="77777777" w:rsidR="00107519" w:rsidRPr="00715891" w:rsidRDefault="00107519" w:rsidP="00107519">
      <w:pPr>
        <w:ind w:left="567" w:hanging="567"/>
        <w:rPr>
          <w:caps/>
          <w:sz w:val="22"/>
          <w:szCs w:val="22"/>
          <w:lang w:val="lt-LT"/>
        </w:rPr>
      </w:pPr>
    </w:p>
    <w:p w14:paraId="7800511A" w14:textId="77777777" w:rsidR="003409EF" w:rsidRPr="00715891" w:rsidRDefault="003409EF" w:rsidP="00107519">
      <w:pPr>
        <w:ind w:left="567" w:hanging="567"/>
        <w:rPr>
          <w:i/>
          <w:sz w:val="22"/>
          <w:szCs w:val="22"/>
          <w:lang w:val="lt-LT"/>
        </w:rPr>
      </w:pPr>
      <w:r w:rsidRPr="00715891">
        <w:rPr>
          <w:i/>
          <w:sz w:val="22"/>
          <w:szCs w:val="22"/>
          <w:highlight w:val="lightGray"/>
          <w:lang w:val="lt-LT"/>
        </w:rPr>
        <w:t>Lizdinė plokštelė</w:t>
      </w:r>
      <w:r w:rsidRPr="00715891">
        <w:rPr>
          <w:i/>
          <w:sz w:val="22"/>
          <w:szCs w:val="22"/>
          <w:lang w:val="lt-LT"/>
        </w:rPr>
        <w:t>:</w:t>
      </w:r>
    </w:p>
    <w:p w14:paraId="3F345220" w14:textId="77777777" w:rsidR="00107519" w:rsidRPr="00715891" w:rsidRDefault="00107519" w:rsidP="00107519">
      <w:pPr>
        <w:ind w:left="567" w:hanging="567"/>
        <w:rPr>
          <w:sz w:val="22"/>
          <w:szCs w:val="22"/>
          <w:lang w:val="lt-LT"/>
        </w:rPr>
      </w:pPr>
      <w:r w:rsidRPr="00715891">
        <w:rPr>
          <w:sz w:val="22"/>
          <w:szCs w:val="22"/>
          <w:lang w:val="lt-LT"/>
        </w:rPr>
        <w:t xml:space="preserve">10 </w:t>
      </w:r>
      <w:r w:rsidRPr="00715891">
        <w:rPr>
          <w:sz w:val="22"/>
          <w:highlight w:val="lightGray"/>
          <w:lang w:val="lt-LT"/>
        </w:rPr>
        <w:t>plėvele dengtų</w:t>
      </w:r>
      <w:r w:rsidRPr="00715891">
        <w:rPr>
          <w:sz w:val="22"/>
          <w:szCs w:val="22"/>
          <w:lang w:val="lt-LT"/>
        </w:rPr>
        <w:t xml:space="preserve"> tablečių</w:t>
      </w:r>
    </w:p>
    <w:p w14:paraId="553F5CE1" w14:textId="77777777" w:rsidR="00107519" w:rsidRPr="00715891" w:rsidRDefault="00107519" w:rsidP="00107519">
      <w:pPr>
        <w:ind w:left="567" w:hanging="567"/>
        <w:rPr>
          <w:sz w:val="22"/>
          <w:highlight w:val="lightGray"/>
          <w:lang w:val="lt-LT"/>
        </w:rPr>
      </w:pPr>
      <w:r w:rsidRPr="00715891">
        <w:rPr>
          <w:sz w:val="22"/>
          <w:highlight w:val="lightGray"/>
          <w:lang w:val="lt-LT"/>
        </w:rPr>
        <w:t>30 plėvele dengtų tablečių</w:t>
      </w:r>
    </w:p>
    <w:p w14:paraId="7ADB19F9" w14:textId="77777777" w:rsidR="00107519" w:rsidRPr="00715891" w:rsidRDefault="00107519" w:rsidP="00107519">
      <w:pPr>
        <w:ind w:left="567" w:hanging="567"/>
        <w:rPr>
          <w:sz w:val="22"/>
          <w:highlight w:val="lightGray"/>
          <w:lang w:val="lt-LT"/>
        </w:rPr>
      </w:pPr>
      <w:r w:rsidRPr="00715891">
        <w:rPr>
          <w:sz w:val="22"/>
          <w:highlight w:val="lightGray"/>
          <w:lang w:val="lt-LT"/>
        </w:rPr>
        <w:t>60 plėvele dengtų tablečių</w:t>
      </w:r>
    </w:p>
    <w:p w14:paraId="4280576C" w14:textId="77777777" w:rsidR="00107519" w:rsidRPr="00715891" w:rsidRDefault="00107519" w:rsidP="00107519">
      <w:pPr>
        <w:ind w:left="567" w:hanging="567"/>
        <w:rPr>
          <w:sz w:val="22"/>
          <w:highlight w:val="lightGray"/>
          <w:lang w:val="lt-LT"/>
        </w:rPr>
      </w:pPr>
      <w:r w:rsidRPr="00715891">
        <w:rPr>
          <w:sz w:val="22"/>
          <w:highlight w:val="lightGray"/>
          <w:lang w:val="lt-LT"/>
        </w:rPr>
        <w:t>90 plėvele dengtų tablečių</w:t>
      </w:r>
    </w:p>
    <w:p w14:paraId="50A6AEB6" w14:textId="77777777" w:rsidR="00107519" w:rsidRPr="00715891" w:rsidRDefault="00107519" w:rsidP="00107519">
      <w:pPr>
        <w:ind w:left="567" w:hanging="567"/>
        <w:rPr>
          <w:sz w:val="22"/>
          <w:szCs w:val="22"/>
          <w:lang w:val="lt-LT"/>
        </w:rPr>
      </w:pPr>
      <w:r w:rsidRPr="00715891">
        <w:rPr>
          <w:sz w:val="22"/>
          <w:highlight w:val="lightGray"/>
          <w:lang w:val="lt-LT"/>
        </w:rPr>
        <w:t>120 plėvele dengtų tablečių</w:t>
      </w:r>
    </w:p>
    <w:p w14:paraId="25896C36" w14:textId="77777777" w:rsidR="00107519" w:rsidRPr="00715891" w:rsidRDefault="00107519" w:rsidP="00107519">
      <w:pPr>
        <w:ind w:left="567" w:hanging="567"/>
        <w:rPr>
          <w:sz w:val="22"/>
          <w:szCs w:val="22"/>
          <w:lang w:val="lt-LT"/>
        </w:rPr>
      </w:pPr>
    </w:p>
    <w:p w14:paraId="24092345" w14:textId="0841FE18" w:rsidR="00107519" w:rsidRPr="00715891" w:rsidRDefault="00107519" w:rsidP="00107519">
      <w:pPr>
        <w:ind w:left="567" w:hanging="567"/>
        <w:rPr>
          <w:i/>
          <w:sz w:val="22"/>
          <w:lang w:val="lt-LT"/>
        </w:rPr>
      </w:pPr>
      <w:r w:rsidRPr="00715891">
        <w:rPr>
          <w:i/>
          <w:sz w:val="22"/>
          <w:highlight w:val="lightGray"/>
          <w:lang w:val="lt-LT"/>
        </w:rPr>
        <w:t xml:space="preserve">DTPE </w:t>
      </w:r>
      <w:r w:rsidR="003409EF" w:rsidRPr="00715891">
        <w:rPr>
          <w:i/>
          <w:sz w:val="22"/>
          <w:szCs w:val="22"/>
          <w:highlight w:val="lightGray"/>
          <w:lang w:val="lt-LT"/>
        </w:rPr>
        <w:t>buteliukas</w:t>
      </w:r>
    </w:p>
    <w:p w14:paraId="0D9AC4C4" w14:textId="77777777" w:rsidR="00107519" w:rsidRPr="00715891" w:rsidRDefault="00107519" w:rsidP="00107519">
      <w:pPr>
        <w:ind w:left="567" w:hanging="567"/>
        <w:rPr>
          <w:sz w:val="22"/>
          <w:szCs w:val="22"/>
          <w:lang w:val="lt-LT"/>
        </w:rPr>
      </w:pPr>
      <w:r w:rsidRPr="00715891">
        <w:rPr>
          <w:sz w:val="22"/>
          <w:lang w:val="lt-LT"/>
        </w:rPr>
        <w:t>60 plėvele dengtų tablečių</w:t>
      </w:r>
    </w:p>
    <w:p w14:paraId="057B5D9C" w14:textId="77777777" w:rsidR="00107519" w:rsidRPr="00715891" w:rsidRDefault="00107519" w:rsidP="00107519">
      <w:pPr>
        <w:ind w:left="567" w:hanging="567"/>
        <w:rPr>
          <w:sz w:val="22"/>
          <w:szCs w:val="22"/>
          <w:lang w:val="lt-LT"/>
        </w:rPr>
      </w:pPr>
    </w:p>
    <w:p w14:paraId="68C2EB4F" w14:textId="77777777" w:rsidR="00107519" w:rsidRPr="00715891" w:rsidRDefault="00107519" w:rsidP="00107519">
      <w:pPr>
        <w:ind w:left="567" w:hanging="567"/>
        <w:rPr>
          <w:sz w:val="22"/>
          <w:szCs w:val="22"/>
          <w:lang w:val="lt-LT"/>
        </w:rPr>
      </w:pPr>
    </w:p>
    <w:p w14:paraId="18CA1409" w14:textId="77777777" w:rsidR="00107519" w:rsidRPr="00715891" w:rsidRDefault="00107519" w:rsidP="00107519">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715891">
        <w:rPr>
          <w:b/>
          <w:caps/>
          <w:sz w:val="22"/>
          <w:szCs w:val="22"/>
          <w:lang w:val="lt-LT"/>
        </w:rPr>
        <w:t>5.</w:t>
      </w:r>
      <w:r w:rsidRPr="00715891">
        <w:rPr>
          <w:b/>
          <w:caps/>
          <w:sz w:val="22"/>
          <w:szCs w:val="22"/>
          <w:lang w:val="lt-LT"/>
        </w:rPr>
        <w:tab/>
        <w:t>vartojimo METODAS IR būdas (-Ai)</w:t>
      </w:r>
    </w:p>
    <w:p w14:paraId="1B6F6B0C" w14:textId="77777777" w:rsidR="00107519" w:rsidRPr="00715891" w:rsidRDefault="00107519" w:rsidP="00107519">
      <w:pPr>
        <w:ind w:left="567" w:hanging="567"/>
        <w:rPr>
          <w:caps/>
          <w:sz w:val="22"/>
          <w:szCs w:val="22"/>
          <w:lang w:val="lt-LT"/>
        </w:rPr>
      </w:pPr>
    </w:p>
    <w:p w14:paraId="3AE42576" w14:textId="77777777" w:rsidR="00107519" w:rsidRPr="00715891" w:rsidRDefault="00107519" w:rsidP="00107519">
      <w:pPr>
        <w:ind w:left="567" w:hanging="567"/>
        <w:rPr>
          <w:sz w:val="22"/>
          <w:szCs w:val="22"/>
          <w:lang w:val="lt-LT"/>
        </w:rPr>
      </w:pPr>
      <w:r w:rsidRPr="00715891">
        <w:rPr>
          <w:sz w:val="22"/>
          <w:szCs w:val="22"/>
          <w:lang w:val="lt-LT"/>
        </w:rPr>
        <w:t>Prieš vartojimą perskaitykite pakuotės lapelį.</w:t>
      </w:r>
    </w:p>
    <w:p w14:paraId="5D7DFE80" w14:textId="77777777" w:rsidR="003409EF" w:rsidRPr="00715891" w:rsidRDefault="003409EF" w:rsidP="003409EF">
      <w:pPr>
        <w:ind w:left="567" w:hanging="567"/>
        <w:rPr>
          <w:sz w:val="22"/>
          <w:szCs w:val="22"/>
          <w:lang w:val="lt-LT"/>
        </w:rPr>
      </w:pPr>
      <w:r w:rsidRPr="00715891">
        <w:rPr>
          <w:sz w:val="22"/>
          <w:szCs w:val="22"/>
          <w:lang w:val="lt-LT"/>
        </w:rPr>
        <w:t>Vartoti per burną.</w:t>
      </w:r>
    </w:p>
    <w:p w14:paraId="45995E26" w14:textId="77777777" w:rsidR="00107519" w:rsidRPr="00715891" w:rsidRDefault="00107519" w:rsidP="00107519">
      <w:pPr>
        <w:ind w:left="567" w:hanging="567"/>
        <w:rPr>
          <w:caps/>
          <w:sz w:val="22"/>
          <w:szCs w:val="22"/>
          <w:lang w:val="lt-LT"/>
        </w:rPr>
      </w:pPr>
    </w:p>
    <w:p w14:paraId="27BDB5FE" w14:textId="77777777" w:rsidR="00107519" w:rsidRPr="00715891" w:rsidRDefault="00107519" w:rsidP="00107519">
      <w:pPr>
        <w:ind w:left="567" w:hanging="567"/>
        <w:rPr>
          <w:caps/>
          <w:sz w:val="22"/>
          <w:szCs w:val="22"/>
          <w:lang w:val="lt-LT"/>
        </w:rPr>
      </w:pPr>
    </w:p>
    <w:p w14:paraId="33FB911D" w14:textId="77777777" w:rsidR="00107519" w:rsidRPr="00715891" w:rsidRDefault="00107519" w:rsidP="00107519">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715891">
        <w:rPr>
          <w:b/>
          <w:caps/>
          <w:sz w:val="22"/>
          <w:szCs w:val="22"/>
          <w:lang w:val="lt-LT"/>
        </w:rPr>
        <w:t>6.</w:t>
      </w:r>
      <w:r w:rsidRPr="00715891">
        <w:rPr>
          <w:b/>
          <w:caps/>
          <w:sz w:val="22"/>
          <w:szCs w:val="22"/>
          <w:lang w:val="lt-LT"/>
        </w:rPr>
        <w:tab/>
        <w:t>SPECIALUS Įspėjimas</w:t>
      </w:r>
      <w:r w:rsidRPr="00715891">
        <w:rPr>
          <w:sz w:val="22"/>
          <w:szCs w:val="22"/>
          <w:lang w:val="lt-LT"/>
        </w:rPr>
        <w:t xml:space="preserve">, </w:t>
      </w:r>
      <w:r w:rsidRPr="00715891">
        <w:rPr>
          <w:b/>
          <w:bCs/>
          <w:sz w:val="22"/>
          <w:szCs w:val="22"/>
          <w:lang w:val="lt-LT"/>
        </w:rPr>
        <w:t xml:space="preserve">KAD VAISTINĮ PREPARATĄ BŪTINA LAIKYTI </w:t>
      </w:r>
      <w:r w:rsidRPr="00715891">
        <w:rPr>
          <w:b/>
          <w:caps/>
          <w:sz w:val="22"/>
          <w:szCs w:val="22"/>
          <w:lang w:val="lt-LT"/>
        </w:rPr>
        <w:t>vaikams NEPASTEBIMOJE IR nepasiekiamoje vietoje</w:t>
      </w:r>
    </w:p>
    <w:p w14:paraId="54FAD615" w14:textId="77777777" w:rsidR="00107519" w:rsidRPr="00715891" w:rsidRDefault="00107519" w:rsidP="00107519">
      <w:pPr>
        <w:ind w:left="567" w:hanging="567"/>
        <w:rPr>
          <w:sz w:val="22"/>
          <w:szCs w:val="22"/>
          <w:lang w:val="lt-LT"/>
        </w:rPr>
      </w:pPr>
    </w:p>
    <w:p w14:paraId="35F3C796" w14:textId="77777777" w:rsidR="00107519" w:rsidRPr="00715891" w:rsidRDefault="00107519" w:rsidP="00107519">
      <w:pPr>
        <w:ind w:left="567" w:hanging="567"/>
        <w:rPr>
          <w:sz w:val="22"/>
          <w:szCs w:val="22"/>
          <w:lang w:val="lt-LT"/>
        </w:rPr>
      </w:pPr>
      <w:r w:rsidRPr="00715891">
        <w:rPr>
          <w:sz w:val="22"/>
          <w:szCs w:val="22"/>
          <w:lang w:val="lt-LT"/>
        </w:rPr>
        <w:t>Laikyti vaikams nepastebimoje ir nepasiekiamoje vietoje.</w:t>
      </w:r>
    </w:p>
    <w:p w14:paraId="643C84CE" w14:textId="77777777" w:rsidR="00107519" w:rsidRPr="00715891" w:rsidRDefault="00107519" w:rsidP="00107519">
      <w:pPr>
        <w:ind w:left="567" w:hanging="567"/>
        <w:rPr>
          <w:sz w:val="22"/>
          <w:szCs w:val="22"/>
          <w:lang w:val="lt-LT"/>
        </w:rPr>
      </w:pPr>
    </w:p>
    <w:p w14:paraId="00BFBF56" w14:textId="77777777" w:rsidR="00107519" w:rsidRPr="00715891" w:rsidRDefault="00107519" w:rsidP="00107519">
      <w:pPr>
        <w:ind w:left="567" w:hanging="567"/>
        <w:rPr>
          <w:sz w:val="22"/>
          <w:szCs w:val="22"/>
          <w:lang w:val="lt-LT"/>
        </w:rPr>
      </w:pPr>
    </w:p>
    <w:p w14:paraId="571BFA51" w14:textId="77777777" w:rsidR="00107519" w:rsidRPr="00715891" w:rsidRDefault="00107519" w:rsidP="00107519">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715891">
        <w:rPr>
          <w:b/>
          <w:caps/>
          <w:sz w:val="22"/>
          <w:szCs w:val="22"/>
          <w:lang w:val="lt-LT"/>
        </w:rPr>
        <w:t>7.</w:t>
      </w:r>
      <w:r w:rsidRPr="00715891">
        <w:rPr>
          <w:b/>
          <w:caps/>
          <w:sz w:val="22"/>
          <w:szCs w:val="22"/>
          <w:lang w:val="lt-LT"/>
        </w:rPr>
        <w:tab/>
        <w:t>kitas (-I) specialus (-ŪS) Įspėjimas (-AI) (jei reikia)</w:t>
      </w:r>
    </w:p>
    <w:p w14:paraId="675ED87B" w14:textId="77777777" w:rsidR="00107519" w:rsidRPr="00715891" w:rsidRDefault="00107519" w:rsidP="00107519">
      <w:pPr>
        <w:ind w:left="567" w:hanging="567"/>
        <w:rPr>
          <w:caps/>
          <w:sz w:val="22"/>
          <w:szCs w:val="22"/>
          <w:lang w:val="lt-LT"/>
        </w:rPr>
      </w:pPr>
    </w:p>
    <w:p w14:paraId="3CA3D0EF" w14:textId="77777777" w:rsidR="00107519" w:rsidRPr="00715891" w:rsidRDefault="00107519" w:rsidP="00107519">
      <w:pPr>
        <w:ind w:left="567" w:hanging="567"/>
        <w:rPr>
          <w:sz w:val="22"/>
          <w:szCs w:val="22"/>
          <w:lang w:val="lt-LT" w:eastAsia="ja-JP"/>
        </w:rPr>
      </w:pPr>
      <w:r w:rsidRPr="00715891">
        <w:rPr>
          <w:sz w:val="22"/>
          <w:szCs w:val="22"/>
          <w:lang w:val="lt-LT"/>
        </w:rPr>
        <w:t>Tabletės</w:t>
      </w:r>
      <w:r w:rsidRPr="00715891">
        <w:rPr>
          <w:sz w:val="22"/>
          <w:szCs w:val="22"/>
          <w:lang w:val="lt-LT" w:eastAsia="ja-JP"/>
        </w:rPr>
        <w:t xml:space="preserve"> negalima laužyti ar smulkinti.</w:t>
      </w:r>
    </w:p>
    <w:p w14:paraId="73932A07" w14:textId="77777777" w:rsidR="00107519" w:rsidRPr="00715891" w:rsidRDefault="00107519" w:rsidP="00107519">
      <w:pPr>
        <w:ind w:left="567" w:hanging="567"/>
        <w:rPr>
          <w:caps/>
          <w:sz w:val="22"/>
          <w:szCs w:val="22"/>
          <w:lang w:val="lt-LT"/>
        </w:rPr>
      </w:pPr>
    </w:p>
    <w:p w14:paraId="6FC03A23" w14:textId="77777777" w:rsidR="00107519" w:rsidRPr="00715891" w:rsidRDefault="00107519" w:rsidP="00107519">
      <w:pPr>
        <w:ind w:left="567" w:hanging="567"/>
        <w:rPr>
          <w:caps/>
          <w:sz w:val="22"/>
          <w:szCs w:val="22"/>
          <w:lang w:val="lt-LT"/>
        </w:rPr>
      </w:pPr>
    </w:p>
    <w:p w14:paraId="3C834AA0" w14:textId="77777777" w:rsidR="00107519" w:rsidRPr="00715891" w:rsidRDefault="00107519" w:rsidP="00107519">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715891">
        <w:rPr>
          <w:b/>
          <w:caps/>
          <w:sz w:val="22"/>
          <w:szCs w:val="22"/>
          <w:lang w:val="lt-LT"/>
        </w:rPr>
        <w:t>8.</w:t>
      </w:r>
      <w:r w:rsidRPr="00715891">
        <w:rPr>
          <w:b/>
          <w:caps/>
          <w:sz w:val="22"/>
          <w:szCs w:val="22"/>
          <w:lang w:val="lt-LT"/>
        </w:rPr>
        <w:tab/>
        <w:t>tinkamumo laikas</w:t>
      </w:r>
    </w:p>
    <w:p w14:paraId="13D2A3FC" w14:textId="77777777" w:rsidR="00107519" w:rsidRPr="00715891" w:rsidRDefault="00107519" w:rsidP="00107519">
      <w:pPr>
        <w:ind w:left="567" w:hanging="567"/>
        <w:rPr>
          <w:sz w:val="22"/>
          <w:szCs w:val="22"/>
          <w:lang w:val="lt-LT"/>
        </w:rPr>
      </w:pPr>
    </w:p>
    <w:p w14:paraId="12E9B572" w14:textId="1374E07B" w:rsidR="00107519" w:rsidRPr="00715891" w:rsidRDefault="003409EF" w:rsidP="00107519">
      <w:pPr>
        <w:ind w:left="567" w:hanging="567"/>
        <w:rPr>
          <w:sz w:val="22"/>
          <w:szCs w:val="22"/>
          <w:lang w:val="lt-LT"/>
        </w:rPr>
      </w:pPr>
      <w:r w:rsidRPr="00715891">
        <w:rPr>
          <w:sz w:val="22"/>
          <w:szCs w:val="22"/>
          <w:lang w:val="lt-LT"/>
        </w:rPr>
        <w:t>EXP</w:t>
      </w:r>
      <w:r w:rsidR="00107519" w:rsidRPr="00715891">
        <w:rPr>
          <w:sz w:val="22"/>
          <w:szCs w:val="22"/>
          <w:lang w:val="lt-LT"/>
        </w:rPr>
        <w:t xml:space="preserve"> {mm</w:t>
      </w:r>
      <w:r w:rsidR="00D477BA" w:rsidRPr="00715891">
        <w:rPr>
          <w:sz w:val="22"/>
          <w:szCs w:val="22"/>
          <w:lang w:val="lt-LT"/>
        </w:rPr>
        <w:t xml:space="preserve"> </w:t>
      </w:r>
      <w:r w:rsidR="00107519" w:rsidRPr="00715891">
        <w:rPr>
          <w:sz w:val="22"/>
          <w:szCs w:val="22"/>
          <w:lang w:val="lt-LT"/>
        </w:rPr>
        <w:t>MMMM}</w:t>
      </w:r>
    </w:p>
    <w:p w14:paraId="2AE2810D" w14:textId="1988A819" w:rsidR="00107519" w:rsidRPr="00715891" w:rsidRDefault="003409EF" w:rsidP="00107519">
      <w:pPr>
        <w:ind w:left="567" w:hanging="567"/>
        <w:rPr>
          <w:sz w:val="22"/>
          <w:szCs w:val="22"/>
          <w:highlight w:val="lightGray"/>
          <w:lang w:val="lt-LT"/>
        </w:rPr>
      </w:pPr>
      <w:r w:rsidRPr="00715891">
        <w:rPr>
          <w:sz w:val="22"/>
          <w:szCs w:val="22"/>
          <w:lang w:val="lt-LT"/>
        </w:rPr>
        <w:t>Tinkamumo laikas po pirmojo atidarymo</w:t>
      </w:r>
      <w:r w:rsidR="000D770D" w:rsidRPr="00715891">
        <w:rPr>
          <w:sz w:val="22"/>
          <w:szCs w:val="22"/>
          <w:lang w:val="lt-LT"/>
        </w:rPr>
        <w:t>:</w:t>
      </w:r>
      <w:r w:rsidRPr="00715891">
        <w:rPr>
          <w:sz w:val="22"/>
          <w:szCs w:val="22"/>
          <w:lang w:val="lt-LT"/>
        </w:rPr>
        <w:t xml:space="preserve"> </w:t>
      </w:r>
    </w:p>
    <w:p w14:paraId="4E7D90C3" w14:textId="64FCBC41" w:rsidR="00107519" w:rsidRPr="00715891" w:rsidRDefault="003409EF" w:rsidP="00107519">
      <w:pPr>
        <w:ind w:left="567" w:hanging="567"/>
        <w:rPr>
          <w:sz w:val="22"/>
          <w:szCs w:val="22"/>
          <w:lang w:val="lt-LT"/>
        </w:rPr>
      </w:pPr>
      <w:r w:rsidRPr="00715891">
        <w:rPr>
          <w:sz w:val="22"/>
          <w:szCs w:val="22"/>
          <w:lang w:val="lt-LT"/>
        </w:rPr>
        <w:t>Buteliukas: 2 mėnesiai</w:t>
      </w:r>
    </w:p>
    <w:p w14:paraId="7A131520" w14:textId="77777777" w:rsidR="00107519" w:rsidRPr="00715891" w:rsidRDefault="00107519" w:rsidP="00107519">
      <w:pPr>
        <w:ind w:left="567" w:hanging="567"/>
        <w:rPr>
          <w:sz w:val="22"/>
          <w:szCs w:val="22"/>
          <w:lang w:val="lt-LT"/>
        </w:rPr>
      </w:pPr>
    </w:p>
    <w:p w14:paraId="491E584C" w14:textId="77777777" w:rsidR="00107519" w:rsidRPr="00715891" w:rsidRDefault="00107519" w:rsidP="00107519">
      <w:pPr>
        <w:ind w:left="567" w:hanging="567"/>
        <w:rPr>
          <w:sz w:val="22"/>
          <w:szCs w:val="22"/>
          <w:lang w:val="lt-LT"/>
        </w:rPr>
      </w:pPr>
    </w:p>
    <w:p w14:paraId="2C2E3633" w14:textId="77777777" w:rsidR="00107519" w:rsidRPr="00715891" w:rsidRDefault="00107519" w:rsidP="00107519">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715891">
        <w:rPr>
          <w:b/>
          <w:caps/>
          <w:sz w:val="22"/>
          <w:szCs w:val="22"/>
          <w:lang w:val="lt-LT"/>
        </w:rPr>
        <w:t>9.</w:t>
      </w:r>
      <w:r w:rsidRPr="00715891">
        <w:rPr>
          <w:b/>
          <w:caps/>
          <w:sz w:val="22"/>
          <w:szCs w:val="22"/>
          <w:lang w:val="lt-LT"/>
        </w:rPr>
        <w:tab/>
        <w:t>SPECIALIOS laikymo sąlygos</w:t>
      </w:r>
    </w:p>
    <w:p w14:paraId="03E20D29" w14:textId="77777777" w:rsidR="00107519" w:rsidRPr="00715891" w:rsidRDefault="00107519" w:rsidP="00107519">
      <w:pPr>
        <w:rPr>
          <w:sz w:val="22"/>
          <w:szCs w:val="22"/>
          <w:lang w:val="lt-LT"/>
        </w:rPr>
      </w:pPr>
    </w:p>
    <w:p w14:paraId="121F8E14" w14:textId="77777777" w:rsidR="00107519" w:rsidRPr="00715891" w:rsidRDefault="00107519" w:rsidP="00107519">
      <w:pPr>
        <w:ind w:left="567" w:hanging="567"/>
        <w:rPr>
          <w:sz w:val="22"/>
          <w:szCs w:val="22"/>
          <w:lang w:val="lt-LT"/>
        </w:rPr>
      </w:pPr>
    </w:p>
    <w:p w14:paraId="5F9A40DF" w14:textId="77777777" w:rsidR="00107519" w:rsidRPr="00715891" w:rsidRDefault="00107519" w:rsidP="00107519">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715891">
        <w:rPr>
          <w:b/>
          <w:caps/>
          <w:sz w:val="22"/>
          <w:szCs w:val="22"/>
          <w:lang w:val="lt-LT"/>
        </w:rPr>
        <w:t>10.</w:t>
      </w:r>
      <w:r w:rsidRPr="00715891">
        <w:rPr>
          <w:b/>
          <w:caps/>
          <w:sz w:val="22"/>
          <w:szCs w:val="22"/>
          <w:lang w:val="lt-LT"/>
        </w:rPr>
        <w:tab/>
        <w:t xml:space="preserve">specialios atsargumo priemonės </w:t>
      </w:r>
      <w:r w:rsidRPr="00715891">
        <w:rPr>
          <w:b/>
          <w:sz w:val="22"/>
          <w:szCs w:val="22"/>
          <w:lang w:val="lt-LT"/>
        </w:rPr>
        <w:t xml:space="preserve">DĖL NESUVARTOTO </w:t>
      </w:r>
      <w:r w:rsidRPr="00715891">
        <w:rPr>
          <w:b/>
          <w:bCs/>
          <w:sz w:val="22"/>
          <w:szCs w:val="22"/>
          <w:lang w:val="lt-LT"/>
        </w:rPr>
        <w:t xml:space="preserve">VAISTINIO PREPARATO AR JO ATLIEKŲ </w:t>
      </w:r>
      <w:r w:rsidRPr="00715891">
        <w:rPr>
          <w:b/>
          <w:sz w:val="22"/>
          <w:szCs w:val="22"/>
          <w:lang w:val="lt-LT"/>
        </w:rPr>
        <w:t>TVARKYMO</w:t>
      </w:r>
      <w:r w:rsidRPr="00715891">
        <w:rPr>
          <w:b/>
          <w:caps/>
          <w:sz w:val="22"/>
          <w:szCs w:val="22"/>
          <w:lang w:val="lt-LT"/>
        </w:rPr>
        <w:t xml:space="preserve"> (jei reikia)</w:t>
      </w:r>
    </w:p>
    <w:p w14:paraId="3BB7A046" w14:textId="77777777" w:rsidR="00107519" w:rsidRPr="00715891" w:rsidRDefault="00107519" w:rsidP="00107519">
      <w:pPr>
        <w:ind w:left="567" w:hanging="567"/>
        <w:rPr>
          <w:caps/>
          <w:sz w:val="22"/>
          <w:szCs w:val="22"/>
          <w:lang w:val="lt-LT"/>
        </w:rPr>
      </w:pPr>
    </w:p>
    <w:p w14:paraId="0E8C818A" w14:textId="77777777" w:rsidR="00107519" w:rsidRPr="00715891" w:rsidRDefault="00107519" w:rsidP="00107519">
      <w:pPr>
        <w:ind w:left="567" w:hanging="567"/>
        <w:rPr>
          <w:caps/>
          <w:sz w:val="22"/>
          <w:szCs w:val="22"/>
          <w:lang w:val="lt-LT"/>
        </w:rPr>
      </w:pPr>
    </w:p>
    <w:p w14:paraId="3F523205" w14:textId="76D832AF" w:rsidR="00107519" w:rsidRPr="00715891" w:rsidRDefault="00107519" w:rsidP="00107519">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715891">
        <w:rPr>
          <w:b/>
          <w:caps/>
          <w:sz w:val="22"/>
          <w:szCs w:val="22"/>
          <w:lang w:val="lt-LT"/>
        </w:rPr>
        <w:t>11.</w:t>
      </w:r>
      <w:r w:rsidRPr="00715891">
        <w:rPr>
          <w:b/>
          <w:caps/>
          <w:sz w:val="22"/>
          <w:szCs w:val="22"/>
          <w:lang w:val="lt-LT"/>
        </w:rPr>
        <w:tab/>
      </w:r>
      <w:r w:rsidRPr="00715891">
        <w:rPr>
          <w:b/>
          <w:sz w:val="22"/>
          <w:szCs w:val="22"/>
          <w:lang w:val="lt-LT"/>
        </w:rPr>
        <w:t>R</w:t>
      </w:r>
      <w:r w:rsidR="003409EF" w:rsidRPr="00715891">
        <w:rPr>
          <w:b/>
          <w:sz w:val="22"/>
          <w:szCs w:val="22"/>
          <w:lang w:val="lt-LT"/>
        </w:rPr>
        <w:t>EGISTRUOTOJO</w:t>
      </w:r>
      <w:r w:rsidRPr="00715891">
        <w:rPr>
          <w:b/>
          <w:caps/>
          <w:sz w:val="22"/>
          <w:szCs w:val="22"/>
          <w:lang w:val="lt-LT"/>
        </w:rPr>
        <w:t xml:space="preserve"> pavadinimas ir adresas</w:t>
      </w:r>
    </w:p>
    <w:p w14:paraId="4F55CE12" w14:textId="77777777" w:rsidR="00107519" w:rsidRPr="00715891" w:rsidRDefault="00107519" w:rsidP="00107519">
      <w:pPr>
        <w:ind w:left="567" w:hanging="567"/>
        <w:rPr>
          <w:caps/>
          <w:sz w:val="22"/>
          <w:szCs w:val="22"/>
          <w:lang w:val="lt-LT"/>
        </w:rPr>
      </w:pPr>
    </w:p>
    <w:p w14:paraId="29CF63BA" w14:textId="77777777" w:rsidR="00107519" w:rsidRPr="00715891" w:rsidRDefault="00107519" w:rsidP="00107519">
      <w:pPr>
        <w:tabs>
          <w:tab w:val="left" w:pos="567"/>
        </w:tabs>
        <w:rPr>
          <w:sz w:val="22"/>
          <w:szCs w:val="22"/>
          <w:lang w:val="lt-LT"/>
        </w:rPr>
      </w:pPr>
      <w:r w:rsidRPr="00715891">
        <w:rPr>
          <w:sz w:val="22"/>
          <w:szCs w:val="22"/>
          <w:lang w:val="lt-LT"/>
        </w:rPr>
        <w:t>Sandoz d.d.</w:t>
      </w:r>
    </w:p>
    <w:p w14:paraId="1431B296" w14:textId="77777777" w:rsidR="00107519" w:rsidRPr="00715891" w:rsidRDefault="00107519" w:rsidP="00107519">
      <w:pPr>
        <w:tabs>
          <w:tab w:val="left" w:pos="567"/>
        </w:tabs>
        <w:rPr>
          <w:sz w:val="22"/>
          <w:szCs w:val="22"/>
          <w:lang w:val="lt-LT"/>
        </w:rPr>
      </w:pPr>
      <w:r w:rsidRPr="00715891">
        <w:rPr>
          <w:sz w:val="22"/>
          <w:szCs w:val="22"/>
          <w:lang w:val="lt-LT"/>
        </w:rPr>
        <w:t>Verovškova 57</w:t>
      </w:r>
    </w:p>
    <w:p w14:paraId="519CDA11" w14:textId="77777777" w:rsidR="00107519" w:rsidRPr="00715891" w:rsidRDefault="00107519" w:rsidP="00107519">
      <w:pPr>
        <w:tabs>
          <w:tab w:val="left" w:pos="567"/>
        </w:tabs>
        <w:rPr>
          <w:sz w:val="22"/>
          <w:szCs w:val="22"/>
          <w:lang w:val="lt-LT"/>
        </w:rPr>
      </w:pPr>
      <w:r w:rsidRPr="00715891">
        <w:rPr>
          <w:sz w:val="22"/>
          <w:szCs w:val="22"/>
          <w:lang w:val="lt-LT"/>
        </w:rPr>
        <w:t>SI-1000 Ljubljana</w:t>
      </w:r>
    </w:p>
    <w:p w14:paraId="09669326" w14:textId="77777777" w:rsidR="00107519" w:rsidRPr="00715891" w:rsidRDefault="00107519" w:rsidP="00107519">
      <w:pPr>
        <w:tabs>
          <w:tab w:val="left" w:pos="567"/>
        </w:tabs>
        <w:rPr>
          <w:sz w:val="22"/>
          <w:szCs w:val="22"/>
          <w:lang w:val="lt-LT"/>
        </w:rPr>
      </w:pPr>
      <w:r w:rsidRPr="00715891">
        <w:rPr>
          <w:sz w:val="22"/>
          <w:szCs w:val="22"/>
          <w:lang w:val="lt-LT"/>
        </w:rPr>
        <w:t>Slovėnija</w:t>
      </w:r>
      <w:r w:rsidRPr="00715891" w:rsidDel="00F22949">
        <w:rPr>
          <w:sz w:val="22"/>
          <w:szCs w:val="22"/>
          <w:lang w:val="lt-LT"/>
        </w:rPr>
        <w:t xml:space="preserve"> </w:t>
      </w:r>
    </w:p>
    <w:p w14:paraId="3F27CB88" w14:textId="77777777" w:rsidR="00107519" w:rsidRPr="00715891" w:rsidRDefault="00107519" w:rsidP="00107519">
      <w:pPr>
        <w:ind w:left="567" w:hanging="567"/>
        <w:rPr>
          <w:caps/>
          <w:sz w:val="22"/>
          <w:szCs w:val="22"/>
          <w:lang w:val="lt-LT"/>
        </w:rPr>
      </w:pPr>
    </w:p>
    <w:p w14:paraId="74B7F91E" w14:textId="77777777" w:rsidR="00107519" w:rsidRPr="00715891" w:rsidRDefault="00107519" w:rsidP="00107519">
      <w:pPr>
        <w:ind w:left="567" w:hanging="567"/>
        <w:rPr>
          <w:caps/>
          <w:sz w:val="22"/>
          <w:szCs w:val="22"/>
          <w:lang w:val="lt-LT"/>
        </w:rPr>
      </w:pPr>
    </w:p>
    <w:p w14:paraId="50DCF67F" w14:textId="5F1D4B80" w:rsidR="00107519" w:rsidRPr="00715891" w:rsidRDefault="00107519" w:rsidP="00107519">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715891">
        <w:rPr>
          <w:b/>
          <w:caps/>
          <w:sz w:val="22"/>
          <w:szCs w:val="22"/>
          <w:lang w:val="lt-LT"/>
        </w:rPr>
        <w:t>12.</w:t>
      </w:r>
      <w:r w:rsidRPr="00715891">
        <w:rPr>
          <w:b/>
          <w:caps/>
          <w:sz w:val="22"/>
          <w:szCs w:val="22"/>
          <w:lang w:val="lt-LT"/>
        </w:rPr>
        <w:tab/>
      </w:r>
      <w:r w:rsidRPr="00715891">
        <w:rPr>
          <w:b/>
          <w:sz w:val="22"/>
          <w:szCs w:val="22"/>
          <w:lang w:val="lt-LT"/>
        </w:rPr>
        <w:t>R</w:t>
      </w:r>
      <w:r w:rsidR="003409EF" w:rsidRPr="00715891">
        <w:rPr>
          <w:b/>
          <w:sz w:val="22"/>
          <w:szCs w:val="22"/>
          <w:lang w:val="lt-LT"/>
        </w:rPr>
        <w:t xml:space="preserve">EGISTRACIJOS </w:t>
      </w:r>
      <w:r w:rsidRPr="00715891">
        <w:rPr>
          <w:b/>
          <w:sz w:val="22"/>
          <w:szCs w:val="22"/>
          <w:lang w:val="lt-LT"/>
        </w:rPr>
        <w:t xml:space="preserve">PAŽYMĖJIMO </w:t>
      </w:r>
      <w:r w:rsidRPr="00715891">
        <w:rPr>
          <w:b/>
          <w:caps/>
          <w:sz w:val="22"/>
          <w:szCs w:val="22"/>
          <w:lang w:val="lt-LT"/>
        </w:rPr>
        <w:t>numeris (-IAI)</w:t>
      </w:r>
    </w:p>
    <w:p w14:paraId="47E9570E" w14:textId="77777777" w:rsidR="00107519" w:rsidRPr="00715891" w:rsidRDefault="00107519" w:rsidP="00107519">
      <w:pPr>
        <w:ind w:left="567" w:hanging="567"/>
        <w:rPr>
          <w:sz w:val="22"/>
          <w:szCs w:val="22"/>
          <w:lang w:val="lt-LT"/>
        </w:rPr>
      </w:pPr>
    </w:p>
    <w:p w14:paraId="5DBD83A9" w14:textId="698DC753" w:rsidR="00107519" w:rsidRPr="00715891" w:rsidRDefault="00107519" w:rsidP="00107519">
      <w:pPr>
        <w:rPr>
          <w:sz w:val="22"/>
          <w:szCs w:val="22"/>
          <w:u w:val="single"/>
          <w:lang w:val="lt-LT" w:eastAsia="ja-JP"/>
        </w:rPr>
      </w:pPr>
      <w:r w:rsidRPr="00715891">
        <w:rPr>
          <w:sz w:val="22"/>
          <w:highlight w:val="lightGray"/>
          <w:u w:val="single"/>
          <w:lang w:val="lt-LT"/>
        </w:rPr>
        <w:t>Lizdinė plokštel</w:t>
      </w:r>
      <w:r w:rsidRPr="00715891">
        <w:rPr>
          <w:sz w:val="22"/>
          <w:szCs w:val="22"/>
          <w:highlight w:val="lightGray"/>
          <w:u w:val="single"/>
          <w:lang w:val="lt-LT" w:eastAsia="ja-JP"/>
        </w:rPr>
        <w:t>ė</w:t>
      </w:r>
    </w:p>
    <w:p w14:paraId="22A80D74" w14:textId="77777777" w:rsidR="00507B18" w:rsidRPr="00715891" w:rsidRDefault="00507B18" w:rsidP="00507B18">
      <w:pPr>
        <w:rPr>
          <w:sz w:val="22"/>
          <w:highlight w:val="lightGray"/>
          <w:u w:val="single"/>
          <w:lang w:val="lt-LT"/>
        </w:rPr>
      </w:pPr>
      <w:r w:rsidRPr="00715891">
        <w:rPr>
          <w:sz w:val="22"/>
          <w:szCs w:val="22"/>
          <w:lang w:val="lt-LT" w:eastAsia="ja-JP"/>
        </w:rPr>
        <w:t xml:space="preserve">LT/1/14/3662/001 </w:t>
      </w:r>
      <w:r w:rsidRPr="00715891">
        <w:rPr>
          <w:sz w:val="22"/>
          <w:highlight w:val="lightGray"/>
          <w:u w:val="single"/>
          <w:lang w:val="lt-LT"/>
        </w:rPr>
        <w:t>– N10</w:t>
      </w:r>
    </w:p>
    <w:p w14:paraId="2418D4EA" w14:textId="77777777" w:rsidR="00507B18" w:rsidRPr="00715891" w:rsidRDefault="00507B18" w:rsidP="00507B18">
      <w:pPr>
        <w:rPr>
          <w:sz w:val="22"/>
          <w:highlight w:val="lightGray"/>
          <w:u w:val="single"/>
          <w:lang w:val="lt-LT"/>
        </w:rPr>
      </w:pPr>
      <w:r w:rsidRPr="00715891">
        <w:rPr>
          <w:sz w:val="22"/>
          <w:highlight w:val="lightGray"/>
          <w:u w:val="single"/>
          <w:lang w:val="lt-LT"/>
        </w:rPr>
        <w:t>LT/1/14/3662/002 – N30</w:t>
      </w:r>
    </w:p>
    <w:p w14:paraId="67ACCA34" w14:textId="77777777" w:rsidR="00507B18" w:rsidRPr="00715891" w:rsidRDefault="00507B18" w:rsidP="00507B18">
      <w:pPr>
        <w:rPr>
          <w:sz w:val="22"/>
          <w:highlight w:val="lightGray"/>
          <w:u w:val="single"/>
          <w:lang w:val="lt-LT"/>
        </w:rPr>
      </w:pPr>
      <w:r w:rsidRPr="00715891">
        <w:rPr>
          <w:sz w:val="22"/>
          <w:highlight w:val="lightGray"/>
          <w:u w:val="single"/>
          <w:lang w:val="lt-LT"/>
        </w:rPr>
        <w:t>LT/1/14/3662/003 – N60</w:t>
      </w:r>
    </w:p>
    <w:p w14:paraId="6AD62BBE" w14:textId="77777777" w:rsidR="00507B18" w:rsidRPr="00715891" w:rsidRDefault="00507B18" w:rsidP="00507B18">
      <w:pPr>
        <w:rPr>
          <w:sz w:val="22"/>
          <w:highlight w:val="lightGray"/>
          <w:u w:val="single"/>
          <w:lang w:val="lt-LT"/>
        </w:rPr>
      </w:pPr>
      <w:r w:rsidRPr="00715891">
        <w:rPr>
          <w:sz w:val="22"/>
          <w:highlight w:val="lightGray"/>
          <w:u w:val="single"/>
          <w:lang w:val="lt-LT"/>
        </w:rPr>
        <w:t>LT/1/14/3662/004 – N90</w:t>
      </w:r>
    </w:p>
    <w:p w14:paraId="355905B8" w14:textId="77777777" w:rsidR="00507B18" w:rsidRPr="00715891" w:rsidRDefault="00507B18" w:rsidP="00507B18">
      <w:pPr>
        <w:rPr>
          <w:sz w:val="22"/>
          <w:szCs w:val="22"/>
          <w:lang w:val="lt-LT" w:eastAsia="ja-JP"/>
        </w:rPr>
      </w:pPr>
      <w:r w:rsidRPr="00715891">
        <w:rPr>
          <w:sz w:val="22"/>
          <w:highlight w:val="lightGray"/>
          <w:u w:val="single"/>
          <w:lang w:val="lt-LT"/>
        </w:rPr>
        <w:t>LT/1/14/3662/005 – N120</w:t>
      </w:r>
    </w:p>
    <w:p w14:paraId="49656A62" w14:textId="1E48CA83" w:rsidR="00107519" w:rsidRPr="00715891" w:rsidRDefault="00507B18" w:rsidP="00107519">
      <w:pPr>
        <w:rPr>
          <w:sz w:val="22"/>
          <w:szCs w:val="22"/>
          <w:u w:val="single"/>
          <w:lang w:val="lt-LT" w:eastAsia="ja-JP"/>
        </w:rPr>
      </w:pPr>
      <w:r w:rsidRPr="00715891">
        <w:rPr>
          <w:sz w:val="22"/>
          <w:szCs w:val="22"/>
          <w:highlight w:val="lightGray"/>
          <w:u w:val="single"/>
          <w:lang w:val="lt-LT" w:eastAsia="ja-JP"/>
        </w:rPr>
        <w:t>B</w:t>
      </w:r>
      <w:r w:rsidR="00703611" w:rsidRPr="00715891">
        <w:rPr>
          <w:sz w:val="22"/>
          <w:szCs w:val="22"/>
          <w:highlight w:val="lightGray"/>
          <w:u w:val="single"/>
          <w:lang w:val="lt-LT" w:eastAsia="ja-JP"/>
        </w:rPr>
        <w:t>uteliukas</w:t>
      </w:r>
      <w:r w:rsidR="00107519" w:rsidRPr="00715891">
        <w:rPr>
          <w:sz w:val="22"/>
          <w:highlight w:val="lightGray"/>
          <w:u w:val="single"/>
          <w:lang w:val="lt-LT"/>
        </w:rPr>
        <w:t>:</w:t>
      </w:r>
    </w:p>
    <w:p w14:paraId="08E00963" w14:textId="77777777" w:rsidR="00507B18" w:rsidRPr="00715891" w:rsidRDefault="00507B18" w:rsidP="00507B18">
      <w:pPr>
        <w:rPr>
          <w:sz w:val="22"/>
          <w:u w:val="single"/>
          <w:lang w:val="lt-LT"/>
        </w:rPr>
      </w:pPr>
      <w:r w:rsidRPr="00715891">
        <w:rPr>
          <w:sz w:val="22"/>
          <w:highlight w:val="lightGray"/>
          <w:u w:val="single"/>
          <w:lang w:val="lt-LT"/>
        </w:rPr>
        <w:t>LT/1/14/3662/006 – N60</w:t>
      </w:r>
    </w:p>
    <w:p w14:paraId="1F3FEC45" w14:textId="77777777" w:rsidR="00107519" w:rsidRPr="00715891" w:rsidRDefault="00107519" w:rsidP="00107519">
      <w:pPr>
        <w:ind w:left="567" w:hanging="567"/>
        <w:rPr>
          <w:sz w:val="22"/>
          <w:szCs w:val="22"/>
          <w:lang w:val="lt-LT"/>
        </w:rPr>
      </w:pPr>
    </w:p>
    <w:p w14:paraId="7257D633" w14:textId="77777777" w:rsidR="00107519" w:rsidRPr="00715891" w:rsidRDefault="00107519" w:rsidP="00107519">
      <w:pPr>
        <w:ind w:left="567" w:hanging="567"/>
        <w:rPr>
          <w:sz w:val="22"/>
          <w:szCs w:val="22"/>
          <w:lang w:val="lt-LT"/>
        </w:rPr>
      </w:pPr>
    </w:p>
    <w:p w14:paraId="2EC15924" w14:textId="77777777" w:rsidR="00107519" w:rsidRPr="00715891" w:rsidRDefault="00107519" w:rsidP="00107519">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715891">
        <w:rPr>
          <w:b/>
          <w:caps/>
          <w:sz w:val="22"/>
          <w:szCs w:val="22"/>
          <w:lang w:val="lt-LT"/>
        </w:rPr>
        <w:t>13.</w:t>
      </w:r>
      <w:r w:rsidRPr="00715891">
        <w:rPr>
          <w:b/>
          <w:caps/>
          <w:sz w:val="22"/>
          <w:szCs w:val="22"/>
          <w:lang w:val="lt-LT"/>
        </w:rPr>
        <w:tab/>
        <w:t>serijos numeris</w:t>
      </w:r>
    </w:p>
    <w:p w14:paraId="4A85823C" w14:textId="77777777" w:rsidR="00107519" w:rsidRPr="00715891" w:rsidRDefault="00107519" w:rsidP="00107519">
      <w:pPr>
        <w:ind w:left="567" w:hanging="567"/>
        <w:rPr>
          <w:sz w:val="22"/>
          <w:szCs w:val="22"/>
          <w:lang w:val="lt-LT"/>
        </w:rPr>
      </w:pPr>
    </w:p>
    <w:p w14:paraId="7EE20E8F" w14:textId="51DE1714" w:rsidR="00107519" w:rsidRPr="00715891" w:rsidRDefault="00CC1A08" w:rsidP="00107519">
      <w:pPr>
        <w:ind w:left="567" w:hanging="567"/>
        <w:rPr>
          <w:sz w:val="22"/>
          <w:szCs w:val="22"/>
          <w:lang w:val="lt-LT"/>
        </w:rPr>
      </w:pPr>
      <w:r w:rsidRPr="00715891">
        <w:rPr>
          <w:sz w:val="22"/>
          <w:szCs w:val="22"/>
          <w:lang w:val="lt-LT"/>
        </w:rPr>
        <w:t>Lot</w:t>
      </w:r>
      <w:r w:rsidR="00D47954" w:rsidRPr="00715891">
        <w:rPr>
          <w:sz w:val="22"/>
          <w:szCs w:val="22"/>
          <w:lang w:val="lt-LT"/>
        </w:rPr>
        <w:t xml:space="preserve"> </w:t>
      </w:r>
      <w:r w:rsidR="00C325B2" w:rsidRPr="00715891">
        <w:rPr>
          <w:sz w:val="22"/>
          <w:lang w:val="lt-LT"/>
        </w:rPr>
        <w:t>{numeris}</w:t>
      </w:r>
    </w:p>
    <w:p w14:paraId="41559130" w14:textId="77777777" w:rsidR="00107519" w:rsidRPr="00715891" w:rsidRDefault="00107519" w:rsidP="00107519">
      <w:pPr>
        <w:ind w:left="567" w:hanging="567"/>
        <w:rPr>
          <w:sz w:val="22"/>
          <w:szCs w:val="22"/>
          <w:lang w:val="lt-LT"/>
        </w:rPr>
      </w:pPr>
    </w:p>
    <w:p w14:paraId="0AAFC76A" w14:textId="77777777" w:rsidR="00107519" w:rsidRPr="00715891" w:rsidRDefault="00107519" w:rsidP="00107519">
      <w:pPr>
        <w:ind w:left="567" w:hanging="567"/>
        <w:rPr>
          <w:sz w:val="22"/>
          <w:szCs w:val="22"/>
          <w:lang w:val="lt-LT"/>
        </w:rPr>
      </w:pPr>
    </w:p>
    <w:p w14:paraId="1481F358" w14:textId="77777777" w:rsidR="00107519" w:rsidRPr="00715891" w:rsidRDefault="00107519" w:rsidP="00107519">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715891">
        <w:rPr>
          <w:b/>
          <w:caps/>
          <w:sz w:val="22"/>
          <w:szCs w:val="22"/>
          <w:lang w:val="lt-LT"/>
        </w:rPr>
        <w:t>14.</w:t>
      </w:r>
      <w:r w:rsidRPr="00715891">
        <w:rPr>
          <w:b/>
          <w:caps/>
          <w:sz w:val="22"/>
          <w:szCs w:val="22"/>
          <w:lang w:val="lt-LT"/>
        </w:rPr>
        <w:tab/>
      </w:r>
      <w:r w:rsidRPr="00715891">
        <w:rPr>
          <w:b/>
          <w:sz w:val="22"/>
          <w:szCs w:val="22"/>
          <w:lang w:val="lt-LT"/>
        </w:rPr>
        <w:t>PARDAVIMO (IŠDAVIMO)</w:t>
      </w:r>
      <w:r w:rsidRPr="00715891">
        <w:rPr>
          <w:b/>
          <w:caps/>
          <w:sz w:val="22"/>
          <w:szCs w:val="22"/>
          <w:lang w:val="lt-LT"/>
        </w:rPr>
        <w:t xml:space="preserve"> tvarka</w:t>
      </w:r>
    </w:p>
    <w:p w14:paraId="58613588" w14:textId="77777777" w:rsidR="00107519" w:rsidRPr="00715891" w:rsidRDefault="00107519" w:rsidP="00107519">
      <w:pPr>
        <w:ind w:left="567" w:hanging="567"/>
        <w:rPr>
          <w:sz w:val="22"/>
          <w:szCs w:val="22"/>
          <w:lang w:val="lt-LT"/>
        </w:rPr>
      </w:pPr>
    </w:p>
    <w:p w14:paraId="244F95F3" w14:textId="7A698EAE" w:rsidR="00107519" w:rsidRPr="00715891" w:rsidRDefault="00107519" w:rsidP="00107519">
      <w:pPr>
        <w:ind w:left="567" w:hanging="567"/>
        <w:rPr>
          <w:sz w:val="22"/>
          <w:szCs w:val="22"/>
          <w:lang w:val="lt-LT"/>
        </w:rPr>
      </w:pPr>
      <w:r w:rsidRPr="00715891">
        <w:rPr>
          <w:sz w:val="22"/>
          <w:szCs w:val="22"/>
          <w:lang w:val="lt-LT"/>
        </w:rPr>
        <w:t>Receptinis vaist</w:t>
      </w:r>
      <w:r w:rsidR="003409EF" w:rsidRPr="00715891">
        <w:rPr>
          <w:sz w:val="22"/>
          <w:szCs w:val="22"/>
          <w:lang w:val="lt-LT"/>
        </w:rPr>
        <w:t>as</w:t>
      </w:r>
    </w:p>
    <w:p w14:paraId="1C384234" w14:textId="77777777" w:rsidR="00107519" w:rsidRPr="00715891" w:rsidRDefault="00107519" w:rsidP="00107519">
      <w:pPr>
        <w:ind w:left="567" w:hanging="567"/>
        <w:rPr>
          <w:sz w:val="22"/>
          <w:szCs w:val="22"/>
          <w:lang w:val="lt-LT"/>
        </w:rPr>
      </w:pPr>
    </w:p>
    <w:p w14:paraId="35507DD6" w14:textId="77777777" w:rsidR="00107519" w:rsidRPr="00715891" w:rsidRDefault="00107519" w:rsidP="00107519">
      <w:pPr>
        <w:ind w:left="567" w:hanging="567"/>
        <w:rPr>
          <w:sz w:val="22"/>
          <w:szCs w:val="22"/>
          <w:lang w:val="lt-LT"/>
        </w:rPr>
      </w:pPr>
    </w:p>
    <w:p w14:paraId="6BF85661" w14:textId="77777777" w:rsidR="00107519" w:rsidRPr="00715891" w:rsidRDefault="00107519" w:rsidP="00107519">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715891">
        <w:rPr>
          <w:b/>
          <w:caps/>
          <w:sz w:val="22"/>
          <w:szCs w:val="22"/>
          <w:lang w:val="lt-LT"/>
        </w:rPr>
        <w:t>15.</w:t>
      </w:r>
      <w:r w:rsidRPr="00715891">
        <w:rPr>
          <w:b/>
          <w:caps/>
          <w:sz w:val="22"/>
          <w:szCs w:val="22"/>
          <w:lang w:val="lt-LT"/>
        </w:rPr>
        <w:tab/>
        <w:t>vartojimo instrukcijA</w:t>
      </w:r>
    </w:p>
    <w:p w14:paraId="3116A6B3" w14:textId="77777777" w:rsidR="00107519" w:rsidRPr="00715891" w:rsidRDefault="00107519" w:rsidP="00107519">
      <w:pPr>
        <w:ind w:left="567" w:hanging="567"/>
        <w:rPr>
          <w:sz w:val="22"/>
          <w:szCs w:val="22"/>
          <w:lang w:val="lt-LT"/>
        </w:rPr>
      </w:pPr>
    </w:p>
    <w:p w14:paraId="4D05E463" w14:textId="77777777" w:rsidR="00107519" w:rsidRPr="00715891" w:rsidRDefault="00107519" w:rsidP="00107519">
      <w:pPr>
        <w:ind w:left="567" w:hanging="567"/>
        <w:rPr>
          <w:sz w:val="22"/>
          <w:szCs w:val="22"/>
          <w:lang w:val="lt-LT"/>
        </w:rPr>
      </w:pPr>
    </w:p>
    <w:p w14:paraId="76178F1D" w14:textId="77777777" w:rsidR="00107519" w:rsidRPr="00715891" w:rsidRDefault="00107519" w:rsidP="00107519">
      <w:pPr>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715891">
        <w:rPr>
          <w:b/>
          <w:sz w:val="22"/>
          <w:szCs w:val="22"/>
          <w:lang w:val="lt-LT"/>
        </w:rPr>
        <w:t>16.</w:t>
      </w:r>
      <w:r w:rsidRPr="00715891">
        <w:rPr>
          <w:b/>
          <w:sz w:val="22"/>
          <w:szCs w:val="22"/>
          <w:lang w:val="lt-LT"/>
        </w:rPr>
        <w:tab/>
        <w:t>INFORMACIJA BRAILIO RAŠTU</w:t>
      </w:r>
    </w:p>
    <w:p w14:paraId="00DA53FC" w14:textId="77777777" w:rsidR="00107519" w:rsidRPr="00715891" w:rsidRDefault="00107519" w:rsidP="00107519">
      <w:pPr>
        <w:rPr>
          <w:sz w:val="22"/>
          <w:szCs w:val="22"/>
          <w:lang w:val="lt-LT"/>
        </w:rPr>
      </w:pPr>
    </w:p>
    <w:p w14:paraId="52D4952E" w14:textId="77777777" w:rsidR="00107519" w:rsidRPr="00715891" w:rsidRDefault="00107519" w:rsidP="00107519">
      <w:pPr>
        <w:ind w:left="567" w:hanging="567"/>
        <w:rPr>
          <w:sz w:val="22"/>
          <w:szCs w:val="22"/>
          <w:lang w:val="lt-LT"/>
        </w:rPr>
      </w:pPr>
      <w:r w:rsidRPr="00715891">
        <w:rPr>
          <w:sz w:val="22"/>
          <w:szCs w:val="22"/>
          <w:lang w:val="lt-LT"/>
        </w:rPr>
        <w:t xml:space="preserve">Valganciclovir Sandoz </w:t>
      </w:r>
    </w:p>
    <w:p w14:paraId="406BED1D" w14:textId="77777777" w:rsidR="00107519" w:rsidRPr="00715891" w:rsidRDefault="00107519" w:rsidP="00107519">
      <w:pPr>
        <w:ind w:left="567" w:hanging="567"/>
        <w:rPr>
          <w:sz w:val="22"/>
          <w:szCs w:val="22"/>
          <w:lang w:val="lt-LT"/>
        </w:rPr>
      </w:pPr>
    </w:p>
    <w:p w14:paraId="077449F4" w14:textId="77777777" w:rsidR="003409EF" w:rsidRPr="00715891" w:rsidRDefault="003409EF" w:rsidP="005B6B82">
      <w:pPr>
        <w:tabs>
          <w:tab w:val="left" w:pos="567"/>
        </w:tabs>
        <w:spacing w:line="260" w:lineRule="exact"/>
        <w:rPr>
          <w:sz w:val="22"/>
          <w:shd w:val="clear" w:color="auto" w:fill="CCCCCC"/>
          <w:lang w:val="lt-LT"/>
        </w:rPr>
      </w:pPr>
    </w:p>
    <w:p w14:paraId="1345D602" w14:textId="77777777" w:rsidR="003409EF" w:rsidRPr="00715891" w:rsidRDefault="003409EF" w:rsidP="003409E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lang w:val="lt-LT"/>
        </w:rPr>
      </w:pPr>
      <w:r w:rsidRPr="00715891">
        <w:rPr>
          <w:b/>
          <w:snapToGrid w:val="0"/>
          <w:sz w:val="22"/>
          <w:szCs w:val="20"/>
          <w:lang w:val="lt-LT"/>
        </w:rPr>
        <w:t>17.</w:t>
      </w:r>
      <w:r w:rsidRPr="00715891">
        <w:rPr>
          <w:b/>
          <w:snapToGrid w:val="0"/>
          <w:sz w:val="22"/>
          <w:szCs w:val="20"/>
          <w:lang w:val="lt-LT"/>
        </w:rPr>
        <w:tab/>
        <w:t>UNIKALUS IDENTIFIKATORIUS – 2D BRŪKŠNINIS KODAS</w:t>
      </w:r>
    </w:p>
    <w:p w14:paraId="792FBF53" w14:textId="77777777" w:rsidR="003409EF" w:rsidRPr="00715891" w:rsidRDefault="003409EF" w:rsidP="003409EF">
      <w:pPr>
        <w:tabs>
          <w:tab w:val="left" w:pos="567"/>
        </w:tabs>
        <w:spacing w:line="260" w:lineRule="exact"/>
        <w:rPr>
          <w:snapToGrid w:val="0"/>
          <w:sz w:val="22"/>
          <w:szCs w:val="20"/>
          <w:lang w:val="lt-LT"/>
        </w:rPr>
      </w:pPr>
    </w:p>
    <w:p w14:paraId="37CBC0A0" w14:textId="77777777" w:rsidR="003409EF" w:rsidRPr="00715891" w:rsidRDefault="003409EF" w:rsidP="003409EF">
      <w:pPr>
        <w:tabs>
          <w:tab w:val="left" w:pos="567"/>
        </w:tabs>
        <w:spacing w:line="260" w:lineRule="exact"/>
        <w:rPr>
          <w:snapToGrid w:val="0"/>
          <w:sz w:val="22"/>
          <w:szCs w:val="22"/>
          <w:shd w:val="clear" w:color="auto" w:fill="CCCCCC"/>
          <w:lang w:val="lt-LT"/>
        </w:rPr>
      </w:pPr>
      <w:r w:rsidRPr="00715891">
        <w:rPr>
          <w:snapToGrid w:val="0"/>
          <w:sz w:val="22"/>
          <w:szCs w:val="20"/>
          <w:highlight w:val="lightGray"/>
          <w:lang w:val="lt-LT"/>
        </w:rPr>
        <w:t>2D brūkšninis kodas su nurodytu unikaliu identifikatoriumi.</w:t>
      </w:r>
    </w:p>
    <w:p w14:paraId="1EA97C24" w14:textId="77777777" w:rsidR="003409EF" w:rsidRPr="00715891" w:rsidRDefault="003409EF" w:rsidP="003409EF">
      <w:pPr>
        <w:tabs>
          <w:tab w:val="left" w:pos="567"/>
        </w:tabs>
        <w:spacing w:line="260" w:lineRule="exact"/>
        <w:rPr>
          <w:snapToGrid w:val="0"/>
          <w:sz w:val="22"/>
          <w:szCs w:val="22"/>
          <w:shd w:val="clear" w:color="auto" w:fill="CCCCCC"/>
          <w:lang w:val="lt-LT"/>
        </w:rPr>
      </w:pPr>
    </w:p>
    <w:p w14:paraId="670C2587" w14:textId="77777777" w:rsidR="003409EF" w:rsidRPr="00715891" w:rsidRDefault="003409EF" w:rsidP="003409EF">
      <w:pPr>
        <w:tabs>
          <w:tab w:val="left" w:pos="567"/>
        </w:tabs>
        <w:spacing w:line="260" w:lineRule="exact"/>
        <w:rPr>
          <w:snapToGrid w:val="0"/>
          <w:sz w:val="22"/>
          <w:szCs w:val="20"/>
          <w:lang w:val="lt-LT"/>
        </w:rPr>
      </w:pPr>
    </w:p>
    <w:p w14:paraId="58088B93" w14:textId="77777777" w:rsidR="003409EF" w:rsidRPr="00715891" w:rsidRDefault="003409EF" w:rsidP="003409E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szCs w:val="20"/>
          <w:lang w:val="lt-LT"/>
        </w:rPr>
      </w:pPr>
      <w:r w:rsidRPr="00715891">
        <w:rPr>
          <w:b/>
          <w:snapToGrid w:val="0"/>
          <w:sz w:val="22"/>
          <w:szCs w:val="20"/>
          <w:lang w:val="lt-LT"/>
        </w:rPr>
        <w:t>18.</w:t>
      </w:r>
      <w:r w:rsidRPr="00715891">
        <w:rPr>
          <w:b/>
          <w:snapToGrid w:val="0"/>
          <w:sz w:val="22"/>
          <w:szCs w:val="20"/>
          <w:lang w:val="lt-LT"/>
        </w:rPr>
        <w:tab/>
        <w:t>UNIKALUS IDENTIFIKATORIUS – ŽMONĖMS SUPRANTAMI DUOMENYS</w:t>
      </w:r>
    </w:p>
    <w:p w14:paraId="5ADF76F1" w14:textId="77777777" w:rsidR="003409EF" w:rsidRPr="00715891" w:rsidRDefault="003409EF" w:rsidP="003409EF">
      <w:pPr>
        <w:tabs>
          <w:tab w:val="left" w:pos="567"/>
        </w:tabs>
        <w:spacing w:line="260" w:lineRule="exact"/>
        <w:rPr>
          <w:snapToGrid w:val="0"/>
          <w:sz w:val="22"/>
          <w:szCs w:val="20"/>
          <w:lang w:val="lt-LT"/>
        </w:rPr>
      </w:pPr>
    </w:p>
    <w:p w14:paraId="49E2F502" w14:textId="77777777" w:rsidR="003409EF" w:rsidRPr="00715891" w:rsidRDefault="003409EF" w:rsidP="003409EF">
      <w:pPr>
        <w:tabs>
          <w:tab w:val="left" w:pos="567"/>
        </w:tabs>
        <w:spacing w:line="260" w:lineRule="exact"/>
        <w:rPr>
          <w:snapToGrid w:val="0"/>
          <w:sz w:val="22"/>
          <w:szCs w:val="22"/>
          <w:lang w:val="lt-LT"/>
        </w:rPr>
      </w:pPr>
      <w:r w:rsidRPr="00715891">
        <w:rPr>
          <w:snapToGrid w:val="0"/>
          <w:sz w:val="22"/>
          <w:szCs w:val="20"/>
          <w:lang w:val="lt-LT"/>
        </w:rPr>
        <w:lastRenderedPageBreak/>
        <w:t xml:space="preserve">PC: {numeris} </w:t>
      </w:r>
    </w:p>
    <w:p w14:paraId="22DE386D" w14:textId="77777777" w:rsidR="003409EF" w:rsidRPr="00715891" w:rsidRDefault="003409EF" w:rsidP="003409EF">
      <w:pPr>
        <w:tabs>
          <w:tab w:val="left" w:pos="567"/>
        </w:tabs>
        <w:spacing w:line="260" w:lineRule="exact"/>
        <w:rPr>
          <w:snapToGrid w:val="0"/>
          <w:sz w:val="22"/>
          <w:szCs w:val="22"/>
          <w:lang w:val="lt-LT"/>
        </w:rPr>
      </w:pPr>
      <w:r w:rsidRPr="00715891">
        <w:rPr>
          <w:snapToGrid w:val="0"/>
          <w:sz w:val="22"/>
          <w:szCs w:val="20"/>
          <w:lang w:val="lt-LT"/>
        </w:rPr>
        <w:t xml:space="preserve">SN: {numeris} </w:t>
      </w:r>
    </w:p>
    <w:p w14:paraId="42277A40" w14:textId="77777777" w:rsidR="003409EF" w:rsidRPr="00715891" w:rsidRDefault="003409EF" w:rsidP="003409EF">
      <w:pPr>
        <w:tabs>
          <w:tab w:val="left" w:pos="567"/>
        </w:tabs>
        <w:spacing w:line="260" w:lineRule="exact"/>
        <w:rPr>
          <w:snapToGrid w:val="0"/>
          <w:sz w:val="22"/>
          <w:szCs w:val="22"/>
          <w:lang w:val="lt-LT"/>
        </w:rPr>
      </w:pPr>
      <w:r w:rsidRPr="00715891">
        <w:rPr>
          <w:snapToGrid w:val="0"/>
          <w:sz w:val="22"/>
          <w:szCs w:val="20"/>
          <w:highlight w:val="lightGray"/>
          <w:lang w:val="lt-LT"/>
        </w:rPr>
        <w:t xml:space="preserve">NN: {numeris} </w:t>
      </w:r>
    </w:p>
    <w:p w14:paraId="7F89BC1E" w14:textId="77777777" w:rsidR="003409EF" w:rsidRPr="00715891" w:rsidRDefault="003409EF" w:rsidP="003409EF">
      <w:pPr>
        <w:tabs>
          <w:tab w:val="left" w:pos="567"/>
        </w:tabs>
        <w:spacing w:line="260" w:lineRule="exact"/>
        <w:rPr>
          <w:snapToGrid w:val="0"/>
          <w:vanish/>
          <w:sz w:val="22"/>
          <w:szCs w:val="22"/>
          <w:lang w:val="lt-LT"/>
        </w:rPr>
      </w:pPr>
    </w:p>
    <w:p w14:paraId="6202C70E" w14:textId="77777777" w:rsidR="00107519" w:rsidRPr="00715891" w:rsidRDefault="00107519" w:rsidP="00107519">
      <w:pPr>
        <w:ind w:left="567" w:hanging="567"/>
        <w:rPr>
          <w:sz w:val="22"/>
          <w:szCs w:val="22"/>
          <w:lang w:val="lt-LT"/>
        </w:rPr>
      </w:pPr>
    </w:p>
    <w:p w14:paraId="1F9B3D2E" w14:textId="77777777" w:rsidR="00107519" w:rsidRPr="00715891" w:rsidRDefault="00107519" w:rsidP="00107519">
      <w:pPr>
        <w:pBdr>
          <w:top w:val="single" w:sz="4" w:space="1" w:color="auto"/>
          <w:left w:val="single" w:sz="4" w:space="4" w:color="auto"/>
          <w:bottom w:val="single" w:sz="4" w:space="1" w:color="auto"/>
          <w:right w:val="single" w:sz="4" w:space="4" w:color="auto"/>
        </w:pBdr>
        <w:rPr>
          <w:b/>
          <w:snapToGrid w:val="0"/>
          <w:sz w:val="22"/>
          <w:lang w:val="lt-LT"/>
        </w:rPr>
      </w:pPr>
      <w:r w:rsidRPr="00715891">
        <w:rPr>
          <w:sz w:val="22"/>
          <w:szCs w:val="22"/>
          <w:lang w:val="lt-LT"/>
        </w:rPr>
        <w:br w:type="page"/>
      </w:r>
      <w:r w:rsidRPr="00715891">
        <w:rPr>
          <w:b/>
          <w:snapToGrid w:val="0"/>
          <w:sz w:val="22"/>
          <w:lang w:val="lt-LT"/>
        </w:rPr>
        <w:lastRenderedPageBreak/>
        <w:t>INFORMACIJA ANT VIDINĖS PAKUOTĖS</w:t>
      </w:r>
    </w:p>
    <w:p w14:paraId="2186C011" w14:textId="77777777" w:rsidR="00107519" w:rsidRPr="00715891" w:rsidRDefault="00107519" w:rsidP="00107519">
      <w:pPr>
        <w:pBdr>
          <w:top w:val="single" w:sz="4" w:space="1" w:color="auto"/>
          <w:left w:val="single" w:sz="4" w:space="4" w:color="auto"/>
          <w:bottom w:val="single" w:sz="4" w:space="1" w:color="auto"/>
          <w:right w:val="single" w:sz="4" w:space="4" w:color="auto"/>
        </w:pBdr>
        <w:ind w:left="567" w:hanging="567"/>
        <w:rPr>
          <w:rFonts w:ascii="Times New Roman Bold" w:hAnsi="Times New Roman Bold"/>
          <w:b/>
          <w:sz w:val="22"/>
          <w:szCs w:val="22"/>
          <w:lang w:val="lt-LT"/>
        </w:rPr>
      </w:pPr>
    </w:p>
    <w:p w14:paraId="4983020D" w14:textId="01BD63DA" w:rsidR="00107519" w:rsidRPr="00715891" w:rsidRDefault="00D47954" w:rsidP="00107519">
      <w:pPr>
        <w:pBdr>
          <w:top w:val="single" w:sz="4" w:space="1" w:color="auto"/>
          <w:left w:val="single" w:sz="4" w:space="4" w:color="auto"/>
          <w:bottom w:val="single" w:sz="4" w:space="1" w:color="auto"/>
          <w:right w:val="single" w:sz="4" w:space="4" w:color="auto"/>
        </w:pBdr>
        <w:ind w:left="567" w:hanging="567"/>
        <w:rPr>
          <w:rFonts w:ascii="Times New Roman Bold" w:hAnsi="Times New Roman Bold"/>
          <w:b/>
          <w:sz w:val="22"/>
          <w:szCs w:val="22"/>
          <w:lang w:val="lt-LT"/>
        </w:rPr>
      </w:pPr>
      <w:r w:rsidRPr="00715891">
        <w:rPr>
          <w:rFonts w:ascii="Times New Roman Bold" w:hAnsi="Times New Roman Bold"/>
          <w:b/>
          <w:sz w:val="22"/>
          <w:szCs w:val="22"/>
          <w:lang w:val="lt-LT"/>
        </w:rPr>
        <w:t xml:space="preserve">DTPE BUTELIUKO </w:t>
      </w:r>
      <w:r w:rsidR="00107519" w:rsidRPr="00715891">
        <w:rPr>
          <w:rFonts w:ascii="Times New Roman Bold" w:hAnsi="Times New Roman Bold"/>
          <w:b/>
          <w:sz w:val="22"/>
          <w:szCs w:val="22"/>
          <w:lang w:val="lt-LT"/>
        </w:rPr>
        <w:t>ETIKETĖ</w:t>
      </w:r>
    </w:p>
    <w:p w14:paraId="41F27734" w14:textId="77777777" w:rsidR="00107519" w:rsidRPr="00715891" w:rsidRDefault="00107519" w:rsidP="00107519">
      <w:pPr>
        <w:ind w:left="567" w:hanging="567"/>
        <w:rPr>
          <w:sz w:val="22"/>
          <w:szCs w:val="22"/>
          <w:lang w:val="lt-LT"/>
        </w:rPr>
      </w:pPr>
    </w:p>
    <w:p w14:paraId="0DD3CE80" w14:textId="77777777" w:rsidR="00107519" w:rsidRPr="00715891" w:rsidRDefault="00107519" w:rsidP="00107519">
      <w:pPr>
        <w:ind w:left="567" w:hanging="567"/>
        <w:rPr>
          <w:sz w:val="22"/>
          <w:szCs w:val="22"/>
          <w:lang w:val="lt-LT"/>
        </w:rPr>
      </w:pPr>
    </w:p>
    <w:p w14:paraId="11A5B85B" w14:textId="77777777" w:rsidR="00107519" w:rsidRPr="00715891" w:rsidRDefault="00107519" w:rsidP="00107519">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715891">
        <w:rPr>
          <w:b/>
          <w:caps/>
          <w:sz w:val="22"/>
          <w:szCs w:val="22"/>
          <w:lang w:val="lt-LT"/>
        </w:rPr>
        <w:t>1.</w:t>
      </w:r>
      <w:r w:rsidRPr="00715891">
        <w:rPr>
          <w:b/>
          <w:caps/>
          <w:sz w:val="22"/>
          <w:szCs w:val="22"/>
          <w:lang w:val="lt-LT"/>
        </w:rPr>
        <w:tab/>
        <w:t>vaistinio preparato pavadinimas</w:t>
      </w:r>
    </w:p>
    <w:p w14:paraId="1D9E22D9" w14:textId="77777777" w:rsidR="00107519" w:rsidRPr="00715891" w:rsidRDefault="00107519" w:rsidP="00107519">
      <w:pPr>
        <w:ind w:left="567" w:hanging="567"/>
        <w:rPr>
          <w:sz w:val="22"/>
          <w:szCs w:val="22"/>
          <w:lang w:val="lt-LT"/>
        </w:rPr>
      </w:pPr>
    </w:p>
    <w:p w14:paraId="56ABA39D" w14:textId="77777777" w:rsidR="00107519" w:rsidRPr="00715891" w:rsidRDefault="00107519" w:rsidP="00107519">
      <w:pPr>
        <w:rPr>
          <w:sz w:val="22"/>
          <w:szCs w:val="22"/>
          <w:lang w:val="lt-LT"/>
        </w:rPr>
      </w:pPr>
      <w:r w:rsidRPr="00715891">
        <w:rPr>
          <w:sz w:val="22"/>
          <w:szCs w:val="22"/>
          <w:lang w:val="lt-LT"/>
        </w:rPr>
        <w:t>Valganciclovir Sandoz 450 mg plėvele dengtos tabletės</w:t>
      </w:r>
    </w:p>
    <w:p w14:paraId="11B0B480" w14:textId="77777777" w:rsidR="00D47954" w:rsidRPr="00715891" w:rsidRDefault="00D47954" w:rsidP="00107519">
      <w:pPr>
        <w:ind w:left="567" w:hanging="567"/>
        <w:rPr>
          <w:sz w:val="22"/>
          <w:szCs w:val="22"/>
          <w:lang w:val="lt-LT"/>
        </w:rPr>
      </w:pPr>
    </w:p>
    <w:p w14:paraId="43094CA5" w14:textId="05D48875" w:rsidR="00107519" w:rsidRPr="00715891" w:rsidRDefault="00D477BA" w:rsidP="00107519">
      <w:pPr>
        <w:ind w:left="567" w:hanging="567"/>
        <w:rPr>
          <w:sz w:val="22"/>
          <w:szCs w:val="22"/>
          <w:lang w:val="lt-LT"/>
        </w:rPr>
      </w:pPr>
      <w:r w:rsidRPr="00715891">
        <w:rPr>
          <w:sz w:val="22"/>
          <w:szCs w:val="22"/>
          <w:lang w:val="lt-LT"/>
        </w:rPr>
        <w:t>v</w:t>
      </w:r>
      <w:r w:rsidR="00107519" w:rsidRPr="00715891">
        <w:rPr>
          <w:sz w:val="22"/>
          <w:szCs w:val="22"/>
          <w:lang w:val="lt-LT"/>
        </w:rPr>
        <w:t>alganciclovirum</w:t>
      </w:r>
      <w:r w:rsidR="00D47954" w:rsidRPr="00715891">
        <w:rPr>
          <w:sz w:val="22"/>
          <w:szCs w:val="22"/>
          <w:lang w:val="lt-LT"/>
        </w:rPr>
        <w:t xml:space="preserve"> </w:t>
      </w:r>
    </w:p>
    <w:p w14:paraId="56CE2DFB" w14:textId="77777777" w:rsidR="00107519" w:rsidRPr="00715891" w:rsidRDefault="00107519" w:rsidP="00107519">
      <w:pPr>
        <w:ind w:left="567" w:hanging="567"/>
        <w:rPr>
          <w:sz w:val="22"/>
          <w:szCs w:val="22"/>
          <w:lang w:val="lt-LT"/>
        </w:rPr>
      </w:pPr>
    </w:p>
    <w:p w14:paraId="3EC6E06F" w14:textId="77777777" w:rsidR="00107519" w:rsidRPr="00715891" w:rsidRDefault="00107519" w:rsidP="00107519">
      <w:pPr>
        <w:ind w:left="567" w:hanging="567"/>
        <w:rPr>
          <w:sz w:val="22"/>
          <w:szCs w:val="22"/>
          <w:lang w:val="lt-LT"/>
        </w:rPr>
      </w:pPr>
    </w:p>
    <w:p w14:paraId="6E9CCB87" w14:textId="4583A5B4" w:rsidR="00107519" w:rsidRPr="00715891" w:rsidRDefault="00107519" w:rsidP="00107519">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715891">
        <w:rPr>
          <w:b/>
          <w:caps/>
          <w:sz w:val="22"/>
          <w:szCs w:val="22"/>
          <w:lang w:val="lt-LT"/>
        </w:rPr>
        <w:t>2.</w:t>
      </w:r>
      <w:r w:rsidRPr="00715891">
        <w:rPr>
          <w:b/>
          <w:caps/>
          <w:sz w:val="22"/>
          <w:szCs w:val="22"/>
          <w:lang w:val="lt-LT"/>
        </w:rPr>
        <w:tab/>
      </w:r>
      <w:r w:rsidR="00D477BA" w:rsidRPr="00715891">
        <w:rPr>
          <w:b/>
          <w:snapToGrid w:val="0"/>
          <w:sz w:val="22"/>
          <w:lang w:val="lt-LT"/>
        </w:rPr>
        <w:t>VEIKLIOJI (-IOS) MEDŽIAGA (-OS) IR JOS (-Ų) KIEKIS (-IAI)</w:t>
      </w:r>
    </w:p>
    <w:p w14:paraId="1038E5A5" w14:textId="77777777" w:rsidR="00107519" w:rsidRPr="00715891" w:rsidRDefault="00107519" w:rsidP="00107519">
      <w:pPr>
        <w:ind w:left="567" w:hanging="567"/>
        <w:rPr>
          <w:caps/>
          <w:sz w:val="22"/>
          <w:szCs w:val="22"/>
          <w:lang w:val="lt-LT"/>
        </w:rPr>
      </w:pPr>
    </w:p>
    <w:p w14:paraId="55BE2F38" w14:textId="6678C2E1" w:rsidR="00107519" w:rsidRPr="00715891" w:rsidRDefault="00107519" w:rsidP="003C60C4">
      <w:pPr>
        <w:rPr>
          <w:caps/>
          <w:sz w:val="22"/>
          <w:lang w:val="lt-LT"/>
        </w:rPr>
      </w:pPr>
      <w:r w:rsidRPr="00715891">
        <w:rPr>
          <w:rFonts w:eastAsia="Calibri"/>
          <w:sz w:val="22"/>
          <w:lang w:val="lt-LT"/>
        </w:rPr>
        <w:t xml:space="preserve">Kiekvienoje plėvele dengtoje tabletėje yra </w:t>
      </w:r>
      <w:r w:rsidR="00D47954" w:rsidRPr="00715891">
        <w:rPr>
          <w:rFonts w:eastAsia="Calibri"/>
          <w:sz w:val="22"/>
          <w:lang w:val="lt-LT"/>
        </w:rPr>
        <w:t>450</w:t>
      </w:r>
      <w:r w:rsidRPr="00715891">
        <w:rPr>
          <w:rFonts w:eastAsia="Calibri"/>
          <w:sz w:val="22"/>
          <w:lang w:val="lt-LT"/>
        </w:rPr>
        <w:t> mg valgancikloviro</w:t>
      </w:r>
      <w:r w:rsidRPr="00715891">
        <w:rPr>
          <w:rFonts w:eastAsia="Calibri"/>
          <w:sz w:val="22"/>
          <w:szCs w:val="22"/>
          <w:lang w:val="lt-LT" w:eastAsia="x-none"/>
        </w:rPr>
        <w:t xml:space="preserve"> </w:t>
      </w:r>
      <w:r w:rsidR="00D47954" w:rsidRPr="00715891">
        <w:rPr>
          <w:rFonts w:eastAsia="Calibri"/>
          <w:sz w:val="22"/>
          <w:szCs w:val="22"/>
          <w:lang w:val="lt-LT" w:eastAsia="x-none"/>
        </w:rPr>
        <w:t>(</w:t>
      </w:r>
      <w:r w:rsidRPr="00715891">
        <w:rPr>
          <w:rFonts w:eastAsia="Calibri"/>
          <w:sz w:val="22"/>
          <w:szCs w:val="22"/>
          <w:lang w:val="lt-LT" w:eastAsia="x-none"/>
        </w:rPr>
        <w:t>hidrochlorido</w:t>
      </w:r>
      <w:r w:rsidR="00D47954" w:rsidRPr="00715891">
        <w:rPr>
          <w:rFonts w:eastAsia="Calibri"/>
          <w:sz w:val="22"/>
          <w:szCs w:val="22"/>
          <w:lang w:val="lt-LT" w:eastAsia="x-none"/>
        </w:rPr>
        <w:t xml:space="preserve"> pavidalu)</w:t>
      </w:r>
      <w:r w:rsidR="00D477BA" w:rsidRPr="00715891">
        <w:rPr>
          <w:rFonts w:eastAsia="Calibri"/>
          <w:sz w:val="22"/>
          <w:szCs w:val="22"/>
          <w:lang w:val="lt-LT" w:eastAsia="x-none"/>
        </w:rPr>
        <w:t>.</w:t>
      </w:r>
    </w:p>
    <w:p w14:paraId="7C265A65" w14:textId="1614664D" w:rsidR="00107519" w:rsidRPr="00715891" w:rsidRDefault="00107519" w:rsidP="00107519">
      <w:pPr>
        <w:ind w:left="567" w:hanging="567"/>
        <w:rPr>
          <w:caps/>
          <w:sz w:val="22"/>
          <w:szCs w:val="22"/>
          <w:lang w:val="lt-LT"/>
        </w:rPr>
      </w:pPr>
    </w:p>
    <w:p w14:paraId="27A5577A" w14:textId="77777777" w:rsidR="00D477BA" w:rsidRPr="00715891" w:rsidRDefault="00D477BA" w:rsidP="00107519">
      <w:pPr>
        <w:ind w:left="567" w:hanging="567"/>
        <w:rPr>
          <w:caps/>
          <w:sz w:val="22"/>
          <w:szCs w:val="22"/>
          <w:lang w:val="lt-LT"/>
        </w:rPr>
      </w:pPr>
    </w:p>
    <w:p w14:paraId="6666D9D6" w14:textId="77777777" w:rsidR="00107519" w:rsidRPr="00715891" w:rsidRDefault="00107519" w:rsidP="00107519">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715891">
        <w:rPr>
          <w:b/>
          <w:caps/>
          <w:sz w:val="22"/>
          <w:szCs w:val="22"/>
          <w:lang w:val="lt-LT"/>
        </w:rPr>
        <w:t>3.</w:t>
      </w:r>
      <w:r w:rsidRPr="00715891">
        <w:rPr>
          <w:b/>
          <w:caps/>
          <w:sz w:val="22"/>
          <w:szCs w:val="22"/>
          <w:lang w:val="lt-LT"/>
        </w:rPr>
        <w:tab/>
        <w:t>pagalbinių medžiagų sąrašas</w:t>
      </w:r>
    </w:p>
    <w:p w14:paraId="12BFDE68" w14:textId="77777777" w:rsidR="00107519" w:rsidRPr="00715891" w:rsidRDefault="00107519" w:rsidP="00107519">
      <w:pPr>
        <w:rPr>
          <w:caps/>
          <w:sz w:val="22"/>
          <w:szCs w:val="22"/>
          <w:lang w:val="lt-LT"/>
        </w:rPr>
      </w:pPr>
    </w:p>
    <w:p w14:paraId="65C3F254" w14:textId="77777777" w:rsidR="00107519" w:rsidRPr="00715891" w:rsidRDefault="00107519" w:rsidP="00107519">
      <w:pPr>
        <w:rPr>
          <w:caps/>
          <w:sz w:val="22"/>
          <w:szCs w:val="22"/>
          <w:lang w:val="lt-LT"/>
        </w:rPr>
      </w:pPr>
    </w:p>
    <w:p w14:paraId="29346359" w14:textId="77777777" w:rsidR="00107519" w:rsidRPr="00715891" w:rsidRDefault="00107519" w:rsidP="00107519">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715891">
        <w:rPr>
          <w:b/>
          <w:caps/>
          <w:sz w:val="22"/>
          <w:szCs w:val="22"/>
          <w:lang w:val="lt-LT"/>
        </w:rPr>
        <w:t>4.</w:t>
      </w:r>
      <w:r w:rsidRPr="00715891">
        <w:rPr>
          <w:b/>
          <w:caps/>
          <w:sz w:val="22"/>
          <w:szCs w:val="22"/>
          <w:lang w:val="lt-LT"/>
        </w:rPr>
        <w:tab/>
        <w:t>FARMACINĖ forma ir KIEKIS PAKUOTĖJE</w:t>
      </w:r>
    </w:p>
    <w:p w14:paraId="59D41736" w14:textId="77777777" w:rsidR="00107519" w:rsidRPr="00715891" w:rsidRDefault="00107519" w:rsidP="00107519">
      <w:pPr>
        <w:ind w:left="567" w:hanging="567"/>
        <w:rPr>
          <w:caps/>
          <w:sz w:val="22"/>
          <w:szCs w:val="22"/>
          <w:lang w:val="lt-LT"/>
        </w:rPr>
      </w:pPr>
    </w:p>
    <w:p w14:paraId="388B5034" w14:textId="77777777" w:rsidR="00107519" w:rsidRPr="00715891" w:rsidRDefault="00107519" w:rsidP="00107519">
      <w:pPr>
        <w:ind w:left="567" w:hanging="567"/>
        <w:rPr>
          <w:sz w:val="22"/>
          <w:szCs w:val="22"/>
          <w:lang w:val="lt-LT"/>
        </w:rPr>
      </w:pPr>
      <w:r w:rsidRPr="00715891">
        <w:rPr>
          <w:sz w:val="22"/>
          <w:szCs w:val="22"/>
          <w:lang w:val="lt-LT"/>
        </w:rPr>
        <w:t xml:space="preserve">60 </w:t>
      </w:r>
      <w:r w:rsidRPr="00715891">
        <w:rPr>
          <w:sz w:val="22"/>
          <w:highlight w:val="lightGray"/>
          <w:lang w:val="lt-LT"/>
        </w:rPr>
        <w:t>plėvele dengtų</w:t>
      </w:r>
      <w:r w:rsidRPr="00715891">
        <w:rPr>
          <w:sz w:val="22"/>
          <w:szCs w:val="22"/>
          <w:lang w:val="lt-LT"/>
        </w:rPr>
        <w:t xml:space="preserve"> tablečių</w:t>
      </w:r>
    </w:p>
    <w:p w14:paraId="5390AFB5" w14:textId="77777777" w:rsidR="00107519" w:rsidRPr="00715891" w:rsidRDefault="00107519" w:rsidP="00107519">
      <w:pPr>
        <w:ind w:left="567" w:hanging="567"/>
        <w:rPr>
          <w:sz w:val="22"/>
          <w:szCs w:val="22"/>
          <w:lang w:val="lt-LT"/>
        </w:rPr>
      </w:pPr>
    </w:p>
    <w:p w14:paraId="70B1A445" w14:textId="77777777" w:rsidR="00107519" w:rsidRPr="00715891" w:rsidRDefault="00107519" w:rsidP="00107519">
      <w:pPr>
        <w:ind w:left="567" w:hanging="567"/>
        <w:rPr>
          <w:sz w:val="22"/>
          <w:szCs w:val="22"/>
          <w:lang w:val="lt-LT"/>
        </w:rPr>
      </w:pPr>
    </w:p>
    <w:p w14:paraId="69F7CC05" w14:textId="77777777" w:rsidR="00107519" w:rsidRPr="00715891" w:rsidRDefault="00107519" w:rsidP="00107519">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715891">
        <w:rPr>
          <w:b/>
          <w:caps/>
          <w:sz w:val="22"/>
          <w:szCs w:val="22"/>
          <w:lang w:val="lt-LT"/>
        </w:rPr>
        <w:t>5.</w:t>
      </w:r>
      <w:r w:rsidRPr="00715891">
        <w:rPr>
          <w:b/>
          <w:caps/>
          <w:sz w:val="22"/>
          <w:szCs w:val="22"/>
          <w:lang w:val="lt-LT"/>
        </w:rPr>
        <w:tab/>
        <w:t>vartojimo METODAS IR būdas (-Ai)</w:t>
      </w:r>
    </w:p>
    <w:p w14:paraId="625ADDD1" w14:textId="77777777" w:rsidR="00107519" w:rsidRPr="00715891" w:rsidRDefault="00107519" w:rsidP="00107519">
      <w:pPr>
        <w:ind w:left="567" w:hanging="567"/>
        <w:rPr>
          <w:caps/>
          <w:sz w:val="22"/>
          <w:szCs w:val="22"/>
          <w:lang w:val="lt-LT"/>
        </w:rPr>
      </w:pPr>
    </w:p>
    <w:p w14:paraId="52FC7A62" w14:textId="77777777" w:rsidR="00D47954" w:rsidRPr="00715891" w:rsidRDefault="00D47954" w:rsidP="00107519">
      <w:pPr>
        <w:ind w:left="567" w:hanging="567"/>
        <w:rPr>
          <w:sz w:val="22"/>
          <w:szCs w:val="22"/>
          <w:lang w:val="lt-LT"/>
        </w:rPr>
      </w:pPr>
      <w:r w:rsidRPr="00715891">
        <w:rPr>
          <w:sz w:val="22"/>
          <w:szCs w:val="22"/>
          <w:lang w:val="lt-LT"/>
        </w:rPr>
        <w:t>Prieš vartojimą perskaitykite pakuotės lapelį.</w:t>
      </w:r>
    </w:p>
    <w:p w14:paraId="3AEFEB2D" w14:textId="77777777" w:rsidR="00107519" w:rsidRPr="00715891" w:rsidRDefault="00107519" w:rsidP="00107519">
      <w:pPr>
        <w:ind w:left="567" w:hanging="567"/>
        <w:rPr>
          <w:sz w:val="22"/>
          <w:szCs w:val="22"/>
          <w:lang w:val="lt-LT"/>
        </w:rPr>
      </w:pPr>
      <w:r w:rsidRPr="00715891">
        <w:rPr>
          <w:sz w:val="22"/>
          <w:szCs w:val="22"/>
          <w:lang w:val="lt-LT"/>
        </w:rPr>
        <w:t>Vartoti per burną.</w:t>
      </w:r>
    </w:p>
    <w:p w14:paraId="153C22A4" w14:textId="77777777" w:rsidR="00107519" w:rsidRPr="00715891" w:rsidRDefault="00107519" w:rsidP="00107519">
      <w:pPr>
        <w:ind w:left="567" w:hanging="567"/>
        <w:rPr>
          <w:caps/>
          <w:sz w:val="22"/>
          <w:szCs w:val="22"/>
          <w:lang w:val="lt-LT"/>
        </w:rPr>
      </w:pPr>
    </w:p>
    <w:p w14:paraId="3F099763" w14:textId="77777777" w:rsidR="00107519" w:rsidRPr="00715891" w:rsidRDefault="00107519" w:rsidP="00107519">
      <w:pPr>
        <w:ind w:left="567" w:hanging="567"/>
        <w:rPr>
          <w:caps/>
          <w:sz w:val="22"/>
          <w:szCs w:val="22"/>
          <w:lang w:val="lt-LT"/>
        </w:rPr>
      </w:pPr>
    </w:p>
    <w:p w14:paraId="6E019870" w14:textId="77777777" w:rsidR="00107519" w:rsidRPr="00715891" w:rsidRDefault="00107519" w:rsidP="00107519">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715891">
        <w:rPr>
          <w:b/>
          <w:caps/>
          <w:sz w:val="22"/>
          <w:szCs w:val="22"/>
          <w:lang w:val="lt-LT"/>
        </w:rPr>
        <w:t>6.</w:t>
      </w:r>
      <w:r w:rsidRPr="00715891">
        <w:rPr>
          <w:b/>
          <w:caps/>
          <w:sz w:val="22"/>
          <w:szCs w:val="22"/>
          <w:lang w:val="lt-LT"/>
        </w:rPr>
        <w:tab/>
        <w:t>SPECIALUS Įspėjimas</w:t>
      </w:r>
      <w:r w:rsidRPr="00715891">
        <w:rPr>
          <w:sz w:val="22"/>
          <w:szCs w:val="22"/>
          <w:lang w:val="lt-LT"/>
        </w:rPr>
        <w:t xml:space="preserve">, </w:t>
      </w:r>
      <w:r w:rsidRPr="00715891">
        <w:rPr>
          <w:b/>
          <w:bCs/>
          <w:sz w:val="22"/>
          <w:szCs w:val="22"/>
          <w:lang w:val="lt-LT"/>
        </w:rPr>
        <w:t xml:space="preserve">KAD VAISTINĮ PREPARATĄ BŪTINA LAIKYTI </w:t>
      </w:r>
      <w:r w:rsidRPr="00715891">
        <w:rPr>
          <w:b/>
          <w:caps/>
          <w:sz w:val="22"/>
          <w:szCs w:val="22"/>
          <w:lang w:val="lt-LT"/>
        </w:rPr>
        <w:t>vaikams NEPASTEBIMOJE IR nepasiekiamoje vietoje</w:t>
      </w:r>
    </w:p>
    <w:p w14:paraId="4E41FAF8" w14:textId="77777777" w:rsidR="00107519" w:rsidRPr="00715891" w:rsidRDefault="00107519" w:rsidP="00107519">
      <w:pPr>
        <w:ind w:left="567" w:hanging="567"/>
        <w:rPr>
          <w:sz w:val="22"/>
          <w:szCs w:val="22"/>
          <w:lang w:val="lt-LT"/>
        </w:rPr>
      </w:pPr>
    </w:p>
    <w:p w14:paraId="5445E6B7" w14:textId="77777777" w:rsidR="00107519" w:rsidRPr="00715891" w:rsidRDefault="00107519" w:rsidP="00107519">
      <w:pPr>
        <w:ind w:left="567" w:hanging="567"/>
        <w:rPr>
          <w:sz w:val="22"/>
          <w:szCs w:val="22"/>
          <w:lang w:val="lt-LT"/>
        </w:rPr>
      </w:pPr>
      <w:r w:rsidRPr="00715891">
        <w:rPr>
          <w:sz w:val="22"/>
          <w:szCs w:val="22"/>
          <w:lang w:val="lt-LT"/>
        </w:rPr>
        <w:t>Laikyti vaikams nepastebimoje ir nepasiekiamoje vietoje.</w:t>
      </w:r>
    </w:p>
    <w:p w14:paraId="18B0E688" w14:textId="77777777" w:rsidR="00107519" w:rsidRPr="00715891" w:rsidRDefault="00107519" w:rsidP="00107519">
      <w:pPr>
        <w:ind w:left="567" w:hanging="567"/>
        <w:rPr>
          <w:sz w:val="22"/>
          <w:szCs w:val="22"/>
          <w:lang w:val="lt-LT"/>
        </w:rPr>
      </w:pPr>
    </w:p>
    <w:p w14:paraId="5588A009" w14:textId="77777777" w:rsidR="00107519" w:rsidRPr="00715891" w:rsidRDefault="00107519" w:rsidP="00107519">
      <w:pPr>
        <w:ind w:left="567" w:hanging="567"/>
        <w:rPr>
          <w:sz w:val="22"/>
          <w:szCs w:val="22"/>
          <w:lang w:val="lt-LT"/>
        </w:rPr>
      </w:pPr>
    </w:p>
    <w:p w14:paraId="75704EAF" w14:textId="77777777" w:rsidR="00107519" w:rsidRPr="00715891" w:rsidRDefault="00107519" w:rsidP="00107519">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715891">
        <w:rPr>
          <w:b/>
          <w:caps/>
          <w:sz w:val="22"/>
          <w:szCs w:val="22"/>
          <w:lang w:val="lt-LT"/>
        </w:rPr>
        <w:t>7.</w:t>
      </w:r>
      <w:r w:rsidRPr="00715891">
        <w:rPr>
          <w:b/>
          <w:caps/>
          <w:sz w:val="22"/>
          <w:szCs w:val="22"/>
          <w:lang w:val="lt-LT"/>
        </w:rPr>
        <w:tab/>
        <w:t>kitas (-I) specialus (-ŪS) Įspėjimas (-AI) (jei reikia)</w:t>
      </w:r>
    </w:p>
    <w:p w14:paraId="70879279" w14:textId="77777777" w:rsidR="00107519" w:rsidRPr="00715891" w:rsidRDefault="00107519" w:rsidP="00107519">
      <w:pPr>
        <w:ind w:left="567" w:hanging="567"/>
        <w:rPr>
          <w:caps/>
          <w:sz w:val="22"/>
          <w:szCs w:val="22"/>
          <w:lang w:val="lt-LT"/>
        </w:rPr>
      </w:pPr>
    </w:p>
    <w:p w14:paraId="1C0B1263" w14:textId="77777777" w:rsidR="00107519" w:rsidRPr="00715891" w:rsidRDefault="00107519" w:rsidP="00107519">
      <w:pPr>
        <w:ind w:left="567" w:hanging="567"/>
        <w:rPr>
          <w:sz w:val="22"/>
          <w:szCs w:val="22"/>
          <w:lang w:val="lt-LT" w:eastAsia="ja-JP"/>
        </w:rPr>
      </w:pPr>
      <w:r w:rsidRPr="00715891">
        <w:rPr>
          <w:sz w:val="22"/>
          <w:szCs w:val="22"/>
          <w:lang w:val="lt-LT"/>
        </w:rPr>
        <w:t>Tabletės</w:t>
      </w:r>
      <w:r w:rsidRPr="00715891">
        <w:rPr>
          <w:sz w:val="22"/>
          <w:szCs w:val="22"/>
          <w:lang w:val="lt-LT" w:eastAsia="ja-JP"/>
        </w:rPr>
        <w:t xml:space="preserve"> negalima laužyti ar smulkinti.</w:t>
      </w:r>
    </w:p>
    <w:p w14:paraId="6FCD1F20" w14:textId="77777777" w:rsidR="00107519" w:rsidRPr="00715891" w:rsidRDefault="00107519" w:rsidP="00107519">
      <w:pPr>
        <w:ind w:left="567" w:hanging="567"/>
        <w:rPr>
          <w:caps/>
          <w:sz w:val="22"/>
          <w:szCs w:val="22"/>
          <w:lang w:val="lt-LT"/>
        </w:rPr>
      </w:pPr>
    </w:p>
    <w:p w14:paraId="2B30138D" w14:textId="77777777" w:rsidR="00107519" w:rsidRPr="00715891" w:rsidRDefault="00107519" w:rsidP="00107519">
      <w:pPr>
        <w:ind w:left="567" w:hanging="567"/>
        <w:rPr>
          <w:caps/>
          <w:sz w:val="22"/>
          <w:szCs w:val="22"/>
          <w:lang w:val="lt-LT"/>
        </w:rPr>
      </w:pPr>
    </w:p>
    <w:p w14:paraId="6E6AC4B0" w14:textId="77777777" w:rsidR="00107519" w:rsidRPr="00715891" w:rsidRDefault="00107519" w:rsidP="00107519">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715891">
        <w:rPr>
          <w:b/>
          <w:caps/>
          <w:sz w:val="22"/>
          <w:szCs w:val="22"/>
          <w:lang w:val="lt-LT"/>
        </w:rPr>
        <w:t>8.</w:t>
      </w:r>
      <w:r w:rsidRPr="00715891">
        <w:rPr>
          <w:b/>
          <w:caps/>
          <w:sz w:val="22"/>
          <w:szCs w:val="22"/>
          <w:lang w:val="lt-LT"/>
        </w:rPr>
        <w:tab/>
        <w:t>tinkamumo laikas</w:t>
      </w:r>
    </w:p>
    <w:p w14:paraId="1108842F" w14:textId="77777777" w:rsidR="00107519" w:rsidRPr="00715891" w:rsidRDefault="00107519" w:rsidP="00107519">
      <w:pPr>
        <w:ind w:left="567" w:hanging="567"/>
        <w:rPr>
          <w:sz w:val="22"/>
          <w:szCs w:val="22"/>
          <w:lang w:val="lt-LT"/>
        </w:rPr>
      </w:pPr>
    </w:p>
    <w:p w14:paraId="0EC3B673" w14:textId="41D91F6F" w:rsidR="00107519" w:rsidRPr="00715891" w:rsidRDefault="00D47954" w:rsidP="00107519">
      <w:pPr>
        <w:ind w:left="567" w:hanging="567"/>
        <w:rPr>
          <w:sz w:val="22"/>
          <w:szCs w:val="22"/>
          <w:lang w:val="lt-LT"/>
        </w:rPr>
      </w:pPr>
      <w:r w:rsidRPr="00715891">
        <w:rPr>
          <w:sz w:val="22"/>
          <w:szCs w:val="22"/>
          <w:lang w:val="lt-LT"/>
        </w:rPr>
        <w:t>EXP</w:t>
      </w:r>
      <w:r w:rsidR="00107519" w:rsidRPr="00715891">
        <w:rPr>
          <w:sz w:val="22"/>
          <w:szCs w:val="22"/>
          <w:lang w:val="lt-LT"/>
        </w:rPr>
        <w:t xml:space="preserve"> {mm</w:t>
      </w:r>
      <w:r w:rsidR="00D477BA" w:rsidRPr="00715891">
        <w:rPr>
          <w:sz w:val="22"/>
          <w:szCs w:val="22"/>
          <w:lang w:val="lt-LT"/>
        </w:rPr>
        <w:t xml:space="preserve"> </w:t>
      </w:r>
      <w:r w:rsidR="00107519" w:rsidRPr="00715891">
        <w:rPr>
          <w:sz w:val="22"/>
          <w:szCs w:val="22"/>
          <w:lang w:val="lt-LT"/>
        </w:rPr>
        <w:t>MMMM}</w:t>
      </w:r>
    </w:p>
    <w:p w14:paraId="053B162C" w14:textId="77777777" w:rsidR="00107519" w:rsidRPr="00715891" w:rsidRDefault="00107519" w:rsidP="00107519">
      <w:pPr>
        <w:ind w:left="567" w:hanging="567"/>
        <w:rPr>
          <w:sz w:val="22"/>
          <w:highlight w:val="lightGray"/>
          <w:lang w:val="lt-LT"/>
        </w:rPr>
      </w:pPr>
    </w:p>
    <w:p w14:paraId="46CE58E5" w14:textId="463DC5B6" w:rsidR="00D47954" w:rsidRPr="00715891" w:rsidRDefault="00D47954" w:rsidP="00107519">
      <w:pPr>
        <w:ind w:left="567" w:hanging="567"/>
        <w:rPr>
          <w:sz w:val="22"/>
          <w:szCs w:val="22"/>
          <w:lang w:val="lt-LT"/>
        </w:rPr>
      </w:pPr>
      <w:r w:rsidRPr="00715891">
        <w:rPr>
          <w:sz w:val="22"/>
          <w:szCs w:val="22"/>
          <w:lang w:val="lt-LT"/>
        </w:rPr>
        <w:t>Tinkamumo laikas po</w:t>
      </w:r>
      <w:r w:rsidR="00107519" w:rsidRPr="00715891">
        <w:rPr>
          <w:sz w:val="22"/>
          <w:szCs w:val="22"/>
          <w:lang w:val="lt-LT"/>
        </w:rPr>
        <w:t xml:space="preserve"> pirmojo atidarymo:</w:t>
      </w:r>
    </w:p>
    <w:p w14:paraId="75352AE5" w14:textId="2EDBF563" w:rsidR="00107519" w:rsidRPr="00715891" w:rsidRDefault="00107519" w:rsidP="00107519">
      <w:pPr>
        <w:ind w:left="567" w:hanging="567"/>
        <w:rPr>
          <w:sz w:val="22"/>
          <w:szCs w:val="22"/>
          <w:lang w:val="lt-LT"/>
        </w:rPr>
      </w:pPr>
      <w:r w:rsidRPr="00715891">
        <w:rPr>
          <w:sz w:val="22"/>
          <w:szCs w:val="22"/>
          <w:lang w:val="lt-LT"/>
        </w:rPr>
        <w:t>2 mėnesiai.</w:t>
      </w:r>
    </w:p>
    <w:p w14:paraId="13BB8E00" w14:textId="77777777" w:rsidR="00107519" w:rsidRPr="00715891" w:rsidRDefault="00107519" w:rsidP="00107519">
      <w:pPr>
        <w:ind w:left="567" w:hanging="567"/>
        <w:rPr>
          <w:sz w:val="22"/>
          <w:szCs w:val="22"/>
          <w:lang w:val="lt-LT"/>
        </w:rPr>
      </w:pPr>
    </w:p>
    <w:p w14:paraId="1D4364C1" w14:textId="77777777" w:rsidR="00107519" w:rsidRPr="00715891" w:rsidRDefault="00107519" w:rsidP="00107519">
      <w:pPr>
        <w:ind w:left="567" w:hanging="567"/>
        <w:rPr>
          <w:sz w:val="22"/>
          <w:szCs w:val="22"/>
          <w:lang w:val="lt-LT"/>
        </w:rPr>
      </w:pPr>
    </w:p>
    <w:p w14:paraId="3D7CEFEB" w14:textId="77777777" w:rsidR="00107519" w:rsidRPr="00715891" w:rsidRDefault="00107519" w:rsidP="00107519">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715891">
        <w:rPr>
          <w:b/>
          <w:caps/>
          <w:sz w:val="22"/>
          <w:szCs w:val="22"/>
          <w:lang w:val="lt-LT"/>
        </w:rPr>
        <w:t>9.</w:t>
      </w:r>
      <w:r w:rsidRPr="00715891">
        <w:rPr>
          <w:b/>
          <w:caps/>
          <w:sz w:val="22"/>
          <w:szCs w:val="22"/>
          <w:lang w:val="lt-LT"/>
        </w:rPr>
        <w:tab/>
        <w:t>SPECIALIOS laikymo sąlygos</w:t>
      </w:r>
    </w:p>
    <w:p w14:paraId="7D0CDFDC" w14:textId="77777777" w:rsidR="00107519" w:rsidRPr="00715891" w:rsidRDefault="00107519" w:rsidP="00107519">
      <w:pPr>
        <w:rPr>
          <w:sz w:val="22"/>
          <w:szCs w:val="22"/>
          <w:lang w:val="lt-LT"/>
        </w:rPr>
      </w:pPr>
    </w:p>
    <w:p w14:paraId="71F504CA" w14:textId="77777777" w:rsidR="00107519" w:rsidRPr="00715891" w:rsidRDefault="00107519" w:rsidP="00107519">
      <w:pPr>
        <w:ind w:left="567" w:hanging="567"/>
        <w:rPr>
          <w:sz w:val="22"/>
          <w:szCs w:val="22"/>
          <w:lang w:val="lt-LT"/>
        </w:rPr>
      </w:pPr>
    </w:p>
    <w:p w14:paraId="5FC59B9D" w14:textId="77777777" w:rsidR="00107519" w:rsidRPr="00715891" w:rsidRDefault="00107519" w:rsidP="00107519">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715891">
        <w:rPr>
          <w:b/>
          <w:caps/>
          <w:sz w:val="22"/>
          <w:szCs w:val="22"/>
          <w:lang w:val="lt-LT"/>
        </w:rPr>
        <w:lastRenderedPageBreak/>
        <w:t>10.</w:t>
      </w:r>
      <w:r w:rsidRPr="00715891">
        <w:rPr>
          <w:b/>
          <w:caps/>
          <w:sz w:val="22"/>
          <w:szCs w:val="22"/>
          <w:lang w:val="lt-LT"/>
        </w:rPr>
        <w:tab/>
        <w:t xml:space="preserve">specialios atsargumo priemonės </w:t>
      </w:r>
      <w:r w:rsidRPr="00715891">
        <w:rPr>
          <w:b/>
          <w:sz w:val="22"/>
          <w:szCs w:val="22"/>
          <w:lang w:val="lt-LT"/>
        </w:rPr>
        <w:t xml:space="preserve">DĖL NESUVARTOTO </w:t>
      </w:r>
      <w:r w:rsidRPr="00715891">
        <w:rPr>
          <w:b/>
          <w:bCs/>
          <w:sz w:val="22"/>
          <w:szCs w:val="22"/>
          <w:lang w:val="lt-LT"/>
        </w:rPr>
        <w:t xml:space="preserve">VAISTINIO PREPARATO AR JO ATLIEKŲ </w:t>
      </w:r>
      <w:r w:rsidRPr="00715891">
        <w:rPr>
          <w:b/>
          <w:sz w:val="22"/>
          <w:szCs w:val="22"/>
          <w:lang w:val="lt-LT"/>
        </w:rPr>
        <w:t>TVARKYMO</w:t>
      </w:r>
      <w:r w:rsidRPr="00715891">
        <w:rPr>
          <w:b/>
          <w:caps/>
          <w:sz w:val="22"/>
          <w:szCs w:val="22"/>
          <w:lang w:val="lt-LT"/>
        </w:rPr>
        <w:t xml:space="preserve"> (jei reikia)</w:t>
      </w:r>
    </w:p>
    <w:p w14:paraId="3AEFB4F8" w14:textId="77777777" w:rsidR="00107519" w:rsidRPr="00715891" w:rsidRDefault="00107519" w:rsidP="00107519">
      <w:pPr>
        <w:ind w:left="567" w:hanging="567"/>
        <w:rPr>
          <w:caps/>
          <w:sz w:val="22"/>
          <w:szCs w:val="22"/>
          <w:lang w:val="lt-LT"/>
        </w:rPr>
      </w:pPr>
    </w:p>
    <w:p w14:paraId="18FE6D41" w14:textId="77777777" w:rsidR="00107519" w:rsidRPr="00715891" w:rsidRDefault="00107519" w:rsidP="00107519">
      <w:pPr>
        <w:ind w:left="567" w:hanging="567"/>
        <w:rPr>
          <w:caps/>
          <w:sz w:val="22"/>
          <w:szCs w:val="22"/>
          <w:lang w:val="lt-LT"/>
        </w:rPr>
      </w:pPr>
    </w:p>
    <w:p w14:paraId="73B22450" w14:textId="27ABCB8F" w:rsidR="00107519" w:rsidRPr="00715891" w:rsidRDefault="00107519" w:rsidP="00107519">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715891">
        <w:rPr>
          <w:b/>
          <w:caps/>
          <w:sz w:val="22"/>
          <w:szCs w:val="22"/>
          <w:lang w:val="lt-LT"/>
        </w:rPr>
        <w:t>11.</w:t>
      </w:r>
      <w:r w:rsidRPr="00715891">
        <w:rPr>
          <w:b/>
          <w:caps/>
          <w:sz w:val="22"/>
          <w:szCs w:val="22"/>
          <w:lang w:val="lt-LT"/>
        </w:rPr>
        <w:tab/>
      </w:r>
      <w:r w:rsidRPr="00715891">
        <w:rPr>
          <w:b/>
          <w:sz w:val="22"/>
          <w:szCs w:val="22"/>
          <w:lang w:val="lt-LT"/>
        </w:rPr>
        <w:t>R</w:t>
      </w:r>
      <w:r w:rsidR="00D47954" w:rsidRPr="00715891">
        <w:rPr>
          <w:b/>
          <w:sz w:val="22"/>
          <w:szCs w:val="22"/>
          <w:lang w:val="lt-LT"/>
        </w:rPr>
        <w:t>REGISTRUOTOJO</w:t>
      </w:r>
      <w:r w:rsidRPr="00715891">
        <w:rPr>
          <w:b/>
          <w:caps/>
          <w:sz w:val="22"/>
          <w:szCs w:val="22"/>
          <w:lang w:val="lt-LT"/>
        </w:rPr>
        <w:t xml:space="preserve"> pavadinimas ir adresas</w:t>
      </w:r>
    </w:p>
    <w:p w14:paraId="1427F8C4" w14:textId="77777777" w:rsidR="00107519" w:rsidRPr="00715891" w:rsidRDefault="00107519" w:rsidP="00107519">
      <w:pPr>
        <w:ind w:left="567" w:hanging="567"/>
        <w:rPr>
          <w:caps/>
          <w:sz w:val="22"/>
          <w:szCs w:val="22"/>
          <w:lang w:val="lt-LT"/>
        </w:rPr>
      </w:pPr>
    </w:p>
    <w:p w14:paraId="5C7F39AA" w14:textId="77777777" w:rsidR="00107519" w:rsidRPr="00715891" w:rsidRDefault="00107519" w:rsidP="00107519">
      <w:pPr>
        <w:ind w:left="567" w:hanging="567"/>
        <w:rPr>
          <w:caps/>
          <w:sz w:val="22"/>
          <w:szCs w:val="22"/>
          <w:lang w:val="lt-LT"/>
        </w:rPr>
      </w:pPr>
      <w:r w:rsidRPr="00715891">
        <w:rPr>
          <w:caps/>
          <w:sz w:val="22"/>
          <w:szCs w:val="22"/>
          <w:lang w:val="lt-LT"/>
        </w:rPr>
        <w:t>SANDOZ</w:t>
      </w:r>
    </w:p>
    <w:p w14:paraId="17D40D05" w14:textId="77777777" w:rsidR="00107519" w:rsidRPr="00715891" w:rsidRDefault="00107519" w:rsidP="00107519">
      <w:pPr>
        <w:ind w:left="567" w:hanging="567"/>
        <w:rPr>
          <w:caps/>
          <w:sz w:val="22"/>
          <w:szCs w:val="22"/>
          <w:lang w:val="lt-LT"/>
        </w:rPr>
      </w:pPr>
    </w:p>
    <w:p w14:paraId="3D043FA0" w14:textId="77777777" w:rsidR="00107519" w:rsidRPr="00715891" w:rsidRDefault="00107519" w:rsidP="00107519">
      <w:pPr>
        <w:ind w:left="567" w:hanging="567"/>
        <w:rPr>
          <w:caps/>
          <w:sz w:val="22"/>
          <w:szCs w:val="22"/>
          <w:lang w:val="lt-LT"/>
        </w:rPr>
      </w:pPr>
    </w:p>
    <w:p w14:paraId="6709A98D" w14:textId="04ACFA34" w:rsidR="00107519" w:rsidRPr="00715891" w:rsidRDefault="00107519" w:rsidP="00107519">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715891">
        <w:rPr>
          <w:b/>
          <w:caps/>
          <w:sz w:val="22"/>
          <w:szCs w:val="22"/>
          <w:lang w:val="lt-LT"/>
        </w:rPr>
        <w:t>12.</w:t>
      </w:r>
      <w:r w:rsidRPr="00715891">
        <w:rPr>
          <w:b/>
          <w:caps/>
          <w:sz w:val="22"/>
          <w:szCs w:val="22"/>
          <w:lang w:val="lt-LT"/>
        </w:rPr>
        <w:tab/>
      </w:r>
      <w:r w:rsidRPr="00715891">
        <w:rPr>
          <w:b/>
          <w:sz w:val="22"/>
          <w:szCs w:val="22"/>
          <w:lang w:val="lt-LT"/>
        </w:rPr>
        <w:t>R</w:t>
      </w:r>
      <w:r w:rsidR="00D47954" w:rsidRPr="00715891">
        <w:rPr>
          <w:b/>
          <w:sz w:val="22"/>
          <w:szCs w:val="22"/>
          <w:lang w:val="lt-LT"/>
        </w:rPr>
        <w:t>EGISTRACIJOS</w:t>
      </w:r>
      <w:r w:rsidRPr="00715891">
        <w:rPr>
          <w:b/>
          <w:sz w:val="22"/>
          <w:szCs w:val="22"/>
          <w:lang w:val="lt-LT"/>
        </w:rPr>
        <w:t xml:space="preserve"> PAŽYMĖJIMO </w:t>
      </w:r>
      <w:r w:rsidRPr="00715891">
        <w:rPr>
          <w:b/>
          <w:caps/>
          <w:sz w:val="22"/>
          <w:szCs w:val="22"/>
          <w:lang w:val="lt-LT"/>
        </w:rPr>
        <w:t>numeris (-IAI)</w:t>
      </w:r>
    </w:p>
    <w:p w14:paraId="78BA6A8C" w14:textId="77777777" w:rsidR="00107519" w:rsidRPr="00715891" w:rsidRDefault="00107519" w:rsidP="00107519">
      <w:pPr>
        <w:ind w:left="567" w:hanging="567"/>
        <w:rPr>
          <w:sz w:val="22"/>
          <w:szCs w:val="22"/>
          <w:lang w:val="lt-LT"/>
        </w:rPr>
      </w:pPr>
    </w:p>
    <w:p w14:paraId="22968561" w14:textId="77777777" w:rsidR="00107519" w:rsidRPr="00715891" w:rsidRDefault="00107519" w:rsidP="00107519">
      <w:pPr>
        <w:rPr>
          <w:sz w:val="22"/>
          <w:szCs w:val="22"/>
          <w:lang w:val="lt-LT" w:eastAsia="ja-JP"/>
        </w:rPr>
      </w:pPr>
      <w:r w:rsidRPr="00715891">
        <w:rPr>
          <w:sz w:val="22"/>
          <w:szCs w:val="22"/>
          <w:lang w:val="lt-LT" w:eastAsia="ja-JP"/>
        </w:rPr>
        <w:t>LT/1/14/3662/006</w:t>
      </w:r>
    </w:p>
    <w:p w14:paraId="0387B248" w14:textId="77777777" w:rsidR="00107519" w:rsidRPr="00715891" w:rsidRDefault="00107519" w:rsidP="00107519">
      <w:pPr>
        <w:ind w:left="567" w:hanging="567"/>
        <w:rPr>
          <w:sz w:val="22"/>
          <w:szCs w:val="22"/>
          <w:lang w:val="lt-LT"/>
        </w:rPr>
      </w:pPr>
    </w:p>
    <w:p w14:paraId="07CF380C" w14:textId="77777777" w:rsidR="00107519" w:rsidRPr="00715891" w:rsidRDefault="00107519" w:rsidP="00107519">
      <w:pPr>
        <w:ind w:left="567" w:hanging="567"/>
        <w:rPr>
          <w:sz w:val="22"/>
          <w:szCs w:val="22"/>
          <w:lang w:val="lt-LT"/>
        </w:rPr>
      </w:pPr>
    </w:p>
    <w:p w14:paraId="33A5C734" w14:textId="77777777" w:rsidR="00107519" w:rsidRPr="00715891" w:rsidRDefault="00107519" w:rsidP="00107519">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715891">
        <w:rPr>
          <w:b/>
          <w:caps/>
          <w:sz w:val="22"/>
          <w:szCs w:val="22"/>
          <w:lang w:val="lt-LT"/>
        </w:rPr>
        <w:t>13.</w:t>
      </w:r>
      <w:r w:rsidRPr="00715891">
        <w:rPr>
          <w:b/>
          <w:caps/>
          <w:sz w:val="22"/>
          <w:szCs w:val="22"/>
          <w:lang w:val="lt-LT"/>
        </w:rPr>
        <w:tab/>
        <w:t>serijos numeris</w:t>
      </w:r>
    </w:p>
    <w:p w14:paraId="79D7DB1F" w14:textId="77777777" w:rsidR="00107519" w:rsidRPr="00715891" w:rsidRDefault="00107519" w:rsidP="00107519">
      <w:pPr>
        <w:ind w:left="567" w:hanging="567"/>
        <w:rPr>
          <w:sz w:val="22"/>
          <w:szCs w:val="22"/>
          <w:lang w:val="lt-LT"/>
        </w:rPr>
      </w:pPr>
    </w:p>
    <w:p w14:paraId="68FE2E2B" w14:textId="13164299" w:rsidR="00107519" w:rsidRPr="00715891" w:rsidRDefault="00CC1A08" w:rsidP="00107519">
      <w:pPr>
        <w:ind w:left="567" w:hanging="567"/>
        <w:rPr>
          <w:sz w:val="22"/>
          <w:szCs w:val="22"/>
          <w:lang w:val="lt-LT"/>
        </w:rPr>
      </w:pPr>
      <w:r w:rsidRPr="00715891">
        <w:rPr>
          <w:sz w:val="22"/>
          <w:szCs w:val="22"/>
          <w:lang w:val="lt-LT"/>
        </w:rPr>
        <w:t>Lot</w:t>
      </w:r>
      <w:r w:rsidRPr="00715891" w:rsidDel="00D47954">
        <w:rPr>
          <w:sz w:val="22"/>
          <w:szCs w:val="22"/>
          <w:lang w:val="lt-LT"/>
        </w:rPr>
        <w:t xml:space="preserve"> </w:t>
      </w:r>
      <w:r w:rsidR="00C325B2" w:rsidRPr="00715891">
        <w:rPr>
          <w:sz w:val="22"/>
          <w:lang w:val="lt-LT"/>
        </w:rPr>
        <w:t>{numeris}</w:t>
      </w:r>
    </w:p>
    <w:p w14:paraId="7A3E15D6" w14:textId="77777777" w:rsidR="00107519" w:rsidRPr="00715891" w:rsidRDefault="00107519" w:rsidP="00107519">
      <w:pPr>
        <w:ind w:left="567" w:hanging="567"/>
        <w:rPr>
          <w:sz w:val="22"/>
          <w:szCs w:val="22"/>
          <w:lang w:val="lt-LT"/>
        </w:rPr>
      </w:pPr>
    </w:p>
    <w:p w14:paraId="3AD8BA5D" w14:textId="77777777" w:rsidR="00107519" w:rsidRPr="00715891" w:rsidRDefault="00107519" w:rsidP="00107519">
      <w:pPr>
        <w:ind w:left="567" w:hanging="567"/>
        <w:rPr>
          <w:sz w:val="22"/>
          <w:szCs w:val="22"/>
          <w:lang w:val="lt-LT"/>
        </w:rPr>
      </w:pPr>
    </w:p>
    <w:p w14:paraId="277252EF" w14:textId="77777777" w:rsidR="00107519" w:rsidRPr="00715891" w:rsidRDefault="00107519" w:rsidP="00107519">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715891">
        <w:rPr>
          <w:b/>
          <w:caps/>
          <w:sz w:val="22"/>
          <w:szCs w:val="22"/>
          <w:lang w:val="lt-LT"/>
        </w:rPr>
        <w:t>14.</w:t>
      </w:r>
      <w:r w:rsidRPr="00715891">
        <w:rPr>
          <w:b/>
          <w:caps/>
          <w:sz w:val="22"/>
          <w:szCs w:val="22"/>
          <w:lang w:val="lt-LT"/>
        </w:rPr>
        <w:tab/>
      </w:r>
      <w:r w:rsidRPr="00715891">
        <w:rPr>
          <w:b/>
          <w:sz w:val="22"/>
          <w:szCs w:val="22"/>
          <w:lang w:val="lt-LT"/>
        </w:rPr>
        <w:t>PARDAVIMO (IŠDAVIMO)</w:t>
      </w:r>
      <w:r w:rsidRPr="00715891">
        <w:rPr>
          <w:b/>
          <w:caps/>
          <w:sz w:val="22"/>
          <w:szCs w:val="22"/>
          <w:lang w:val="lt-LT"/>
        </w:rPr>
        <w:t xml:space="preserve"> tvarka</w:t>
      </w:r>
    </w:p>
    <w:p w14:paraId="67E469CC" w14:textId="77777777" w:rsidR="00107519" w:rsidRPr="00715891" w:rsidRDefault="00107519" w:rsidP="00107519">
      <w:pPr>
        <w:ind w:left="567" w:hanging="567"/>
        <w:rPr>
          <w:sz w:val="22"/>
          <w:szCs w:val="22"/>
          <w:lang w:val="lt-LT"/>
        </w:rPr>
      </w:pPr>
    </w:p>
    <w:p w14:paraId="40BBA22F" w14:textId="643285D8" w:rsidR="00107519" w:rsidRPr="00715891" w:rsidRDefault="00107519" w:rsidP="00107519">
      <w:pPr>
        <w:ind w:left="567" w:hanging="567"/>
        <w:rPr>
          <w:sz w:val="22"/>
          <w:szCs w:val="22"/>
          <w:lang w:val="lt-LT"/>
        </w:rPr>
      </w:pPr>
      <w:r w:rsidRPr="00715891">
        <w:rPr>
          <w:sz w:val="22"/>
          <w:szCs w:val="22"/>
          <w:lang w:val="lt-LT"/>
        </w:rPr>
        <w:t>Receptinis vaist</w:t>
      </w:r>
      <w:r w:rsidR="00D47954" w:rsidRPr="00715891">
        <w:rPr>
          <w:sz w:val="22"/>
          <w:szCs w:val="22"/>
          <w:lang w:val="lt-LT"/>
        </w:rPr>
        <w:t>as</w:t>
      </w:r>
    </w:p>
    <w:p w14:paraId="7949AE33" w14:textId="77777777" w:rsidR="00107519" w:rsidRPr="00715891" w:rsidRDefault="00107519" w:rsidP="00107519">
      <w:pPr>
        <w:ind w:left="567" w:hanging="567"/>
        <w:rPr>
          <w:sz w:val="22"/>
          <w:szCs w:val="22"/>
          <w:lang w:val="lt-LT"/>
        </w:rPr>
      </w:pPr>
    </w:p>
    <w:p w14:paraId="1AACE586" w14:textId="77777777" w:rsidR="00107519" w:rsidRPr="00715891" w:rsidRDefault="00107519" w:rsidP="00107519">
      <w:pPr>
        <w:ind w:left="567" w:hanging="567"/>
        <w:rPr>
          <w:sz w:val="22"/>
          <w:szCs w:val="22"/>
          <w:lang w:val="lt-LT"/>
        </w:rPr>
      </w:pPr>
    </w:p>
    <w:p w14:paraId="75EDF70E" w14:textId="77777777" w:rsidR="00107519" w:rsidRPr="00715891" w:rsidRDefault="00107519" w:rsidP="00107519">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715891">
        <w:rPr>
          <w:b/>
          <w:caps/>
          <w:sz w:val="22"/>
          <w:szCs w:val="22"/>
          <w:lang w:val="lt-LT"/>
        </w:rPr>
        <w:t>15.</w:t>
      </w:r>
      <w:r w:rsidRPr="00715891">
        <w:rPr>
          <w:b/>
          <w:caps/>
          <w:sz w:val="22"/>
          <w:szCs w:val="22"/>
          <w:lang w:val="lt-LT"/>
        </w:rPr>
        <w:tab/>
        <w:t>vartojimo instrukcijA</w:t>
      </w:r>
    </w:p>
    <w:p w14:paraId="452BC8D3" w14:textId="77777777" w:rsidR="00107519" w:rsidRPr="00715891" w:rsidRDefault="00107519" w:rsidP="00107519">
      <w:pPr>
        <w:ind w:left="567" w:hanging="567"/>
        <w:rPr>
          <w:sz w:val="22"/>
          <w:szCs w:val="22"/>
          <w:lang w:val="lt-LT"/>
        </w:rPr>
      </w:pPr>
    </w:p>
    <w:p w14:paraId="3BC4207E" w14:textId="77777777" w:rsidR="00107519" w:rsidRPr="00715891" w:rsidRDefault="00107519" w:rsidP="00107519">
      <w:pPr>
        <w:ind w:left="567" w:hanging="567"/>
        <w:rPr>
          <w:sz w:val="22"/>
          <w:szCs w:val="22"/>
          <w:lang w:val="lt-LT"/>
        </w:rPr>
      </w:pPr>
    </w:p>
    <w:p w14:paraId="6E1F5371" w14:textId="77777777" w:rsidR="00107519" w:rsidRPr="00715891" w:rsidRDefault="00107519" w:rsidP="00107519">
      <w:pPr>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715891">
        <w:rPr>
          <w:b/>
          <w:sz w:val="22"/>
          <w:szCs w:val="22"/>
          <w:lang w:val="lt-LT"/>
        </w:rPr>
        <w:t>16.</w:t>
      </w:r>
      <w:r w:rsidRPr="00715891">
        <w:rPr>
          <w:b/>
          <w:sz w:val="22"/>
          <w:szCs w:val="22"/>
          <w:lang w:val="lt-LT"/>
        </w:rPr>
        <w:tab/>
        <w:t>INFORMACIJA BRAILIO RAŠTU</w:t>
      </w:r>
    </w:p>
    <w:p w14:paraId="42D115CE" w14:textId="77777777" w:rsidR="00107519" w:rsidRPr="00715891" w:rsidRDefault="00107519" w:rsidP="00107519">
      <w:pPr>
        <w:rPr>
          <w:sz w:val="22"/>
          <w:szCs w:val="22"/>
          <w:lang w:val="lt-LT"/>
        </w:rPr>
      </w:pPr>
    </w:p>
    <w:p w14:paraId="6A3E4E22" w14:textId="77777777" w:rsidR="00107519" w:rsidRPr="00715891" w:rsidRDefault="00107519" w:rsidP="00107519">
      <w:pPr>
        <w:ind w:left="567" w:hanging="567"/>
        <w:rPr>
          <w:sz w:val="22"/>
          <w:szCs w:val="22"/>
          <w:lang w:val="lt-LT"/>
        </w:rPr>
      </w:pPr>
    </w:p>
    <w:p w14:paraId="7348676F" w14:textId="77777777" w:rsidR="00D47954" w:rsidRPr="00715891" w:rsidRDefault="00D47954" w:rsidP="00D4795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lang w:val="lt-LT"/>
        </w:rPr>
      </w:pPr>
      <w:r w:rsidRPr="00715891">
        <w:rPr>
          <w:b/>
          <w:snapToGrid w:val="0"/>
          <w:sz w:val="22"/>
          <w:szCs w:val="20"/>
          <w:lang w:val="lt-LT"/>
        </w:rPr>
        <w:t>17.</w:t>
      </w:r>
      <w:r w:rsidRPr="00715891">
        <w:rPr>
          <w:b/>
          <w:snapToGrid w:val="0"/>
          <w:sz w:val="22"/>
          <w:szCs w:val="20"/>
          <w:lang w:val="lt-LT"/>
        </w:rPr>
        <w:tab/>
        <w:t>UNIKALUS IDENTIFIKATORIUS – 2D BRŪKŠNINIS KODAS</w:t>
      </w:r>
    </w:p>
    <w:p w14:paraId="3BB4FB8B" w14:textId="77777777" w:rsidR="00D47954" w:rsidRPr="00715891" w:rsidRDefault="00D47954" w:rsidP="00D47954">
      <w:pPr>
        <w:tabs>
          <w:tab w:val="left" w:pos="567"/>
        </w:tabs>
        <w:spacing w:line="260" w:lineRule="exact"/>
        <w:rPr>
          <w:snapToGrid w:val="0"/>
          <w:sz w:val="22"/>
          <w:szCs w:val="22"/>
          <w:shd w:val="clear" w:color="auto" w:fill="CCCCCC"/>
          <w:lang w:val="lt-LT"/>
        </w:rPr>
      </w:pPr>
    </w:p>
    <w:p w14:paraId="2922E4D4" w14:textId="77777777" w:rsidR="00D47954" w:rsidRPr="00715891" w:rsidRDefault="00D47954" w:rsidP="00D47954">
      <w:pPr>
        <w:tabs>
          <w:tab w:val="left" w:pos="567"/>
        </w:tabs>
        <w:spacing w:line="260" w:lineRule="exact"/>
        <w:rPr>
          <w:snapToGrid w:val="0"/>
          <w:sz w:val="22"/>
          <w:szCs w:val="20"/>
          <w:lang w:val="lt-LT"/>
        </w:rPr>
      </w:pPr>
    </w:p>
    <w:p w14:paraId="3AB170FB" w14:textId="77777777" w:rsidR="00D47954" w:rsidRPr="00715891" w:rsidRDefault="00D47954" w:rsidP="00D4795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szCs w:val="20"/>
          <w:lang w:val="lt-LT"/>
        </w:rPr>
      </w:pPr>
      <w:r w:rsidRPr="00715891">
        <w:rPr>
          <w:b/>
          <w:snapToGrid w:val="0"/>
          <w:sz w:val="22"/>
          <w:szCs w:val="20"/>
          <w:lang w:val="lt-LT"/>
        </w:rPr>
        <w:t>18.</w:t>
      </w:r>
      <w:r w:rsidRPr="00715891">
        <w:rPr>
          <w:b/>
          <w:snapToGrid w:val="0"/>
          <w:sz w:val="22"/>
          <w:szCs w:val="20"/>
          <w:lang w:val="lt-LT"/>
        </w:rPr>
        <w:tab/>
        <w:t>UNIKALUS IDENTIFIKATORIUS – ŽMONĖMS SUPRANTAMI DUOMENYS</w:t>
      </w:r>
    </w:p>
    <w:p w14:paraId="44483077" w14:textId="77777777" w:rsidR="00D47954" w:rsidRPr="00715891" w:rsidRDefault="00D47954" w:rsidP="00D47954">
      <w:pPr>
        <w:tabs>
          <w:tab w:val="left" w:pos="567"/>
        </w:tabs>
        <w:spacing w:line="260" w:lineRule="exact"/>
        <w:rPr>
          <w:snapToGrid w:val="0"/>
          <w:sz w:val="22"/>
          <w:szCs w:val="20"/>
          <w:lang w:val="lt-LT"/>
        </w:rPr>
      </w:pPr>
    </w:p>
    <w:p w14:paraId="2078128F" w14:textId="77777777" w:rsidR="00107519" w:rsidRPr="00715891" w:rsidRDefault="00107519" w:rsidP="00107519">
      <w:pPr>
        <w:ind w:left="567" w:hanging="567"/>
        <w:rPr>
          <w:sz w:val="22"/>
          <w:szCs w:val="22"/>
          <w:lang w:val="lt-LT"/>
        </w:rPr>
      </w:pPr>
    </w:p>
    <w:p w14:paraId="396CBCCF" w14:textId="11E9553D" w:rsidR="00107519" w:rsidRPr="00715891" w:rsidRDefault="00107519" w:rsidP="00107519">
      <w:pPr>
        <w:pBdr>
          <w:top w:val="single" w:sz="4" w:space="1" w:color="auto"/>
          <w:left w:val="single" w:sz="4" w:space="4" w:color="auto"/>
          <w:bottom w:val="single" w:sz="4" w:space="1" w:color="auto"/>
          <w:right w:val="single" w:sz="4" w:space="4" w:color="auto"/>
        </w:pBdr>
        <w:rPr>
          <w:b/>
          <w:caps/>
          <w:sz w:val="22"/>
          <w:szCs w:val="22"/>
          <w:lang w:val="lt-LT"/>
        </w:rPr>
      </w:pPr>
      <w:r w:rsidRPr="00715891">
        <w:rPr>
          <w:sz w:val="22"/>
          <w:szCs w:val="22"/>
          <w:lang w:val="lt-LT"/>
        </w:rPr>
        <w:br w:type="page"/>
      </w:r>
      <w:r w:rsidRPr="00715891">
        <w:rPr>
          <w:b/>
          <w:caps/>
          <w:sz w:val="22"/>
          <w:szCs w:val="22"/>
          <w:lang w:val="lt-LT"/>
        </w:rPr>
        <w:lastRenderedPageBreak/>
        <w:t xml:space="preserve">Minimali informacija ant LIZDINIŲ PLOKŠTELIŲ </w:t>
      </w:r>
      <w:r w:rsidR="00D477BA" w:rsidRPr="00715891">
        <w:rPr>
          <w:b/>
          <w:caps/>
          <w:sz w:val="22"/>
          <w:szCs w:val="22"/>
          <w:lang w:val="lt-LT"/>
        </w:rPr>
        <w:t>ARBA DVISLUOKSNIŲ JUOSTELIŲ</w:t>
      </w:r>
    </w:p>
    <w:p w14:paraId="1B942845" w14:textId="77777777" w:rsidR="00107519" w:rsidRPr="00715891" w:rsidRDefault="00107519" w:rsidP="00107519">
      <w:pPr>
        <w:pBdr>
          <w:top w:val="single" w:sz="4" w:space="1" w:color="auto"/>
          <w:left w:val="single" w:sz="4" w:space="4" w:color="auto"/>
          <w:bottom w:val="single" w:sz="4" w:space="1" w:color="auto"/>
          <w:right w:val="single" w:sz="4" w:space="4" w:color="auto"/>
        </w:pBdr>
        <w:ind w:left="567" w:hanging="567"/>
        <w:rPr>
          <w:b/>
          <w:caps/>
          <w:sz w:val="22"/>
          <w:szCs w:val="22"/>
          <w:lang w:val="lt-LT"/>
        </w:rPr>
      </w:pPr>
    </w:p>
    <w:p w14:paraId="1DD99518" w14:textId="77777777" w:rsidR="00107519" w:rsidRPr="00715891" w:rsidRDefault="00D47954" w:rsidP="00107519">
      <w:pPr>
        <w:pBdr>
          <w:top w:val="single" w:sz="4" w:space="1" w:color="auto"/>
          <w:left w:val="single" w:sz="4" w:space="4" w:color="auto"/>
          <w:bottom w:val="single" w:sz="4" w:space="1" w:color="auto"/>
          <w:right w:val="single" w:sz="4" w:space="4" w:color="auto"/>
        </w:pBdr>
        <w:ind w:left="567" w:hanging="567"/>
        <w:rPr>
          <w:rFonts w:ascii="Times New Roman Bold" w:hAnsi="Times New Roman Bold"/>
          <w:b/>
          <w:sz w:val="22"/>
          <w:szCs w:val="22"/>
          <w:lang w:val="lt-LT"/>
        </w:rPr>
      </w:pPr>
      <w:r w:rsidRPr="00715891">
        <w:rPr>
          <w:rFonts w:ascii="Times New Roman Bold" w:hAnsi="Times New Roman Bold"/>
          <w:b/>
          <w:sz w:val="22"/>
          <w:szCs w:val="22"/>
          <w:lang w:val="lt-LT"/>
        </w:rPr>
        <w:t xml:space="preserve">AL/OPA/AL/PVC </w:t>
      </w:r>
      <w:r w:rsidR="00107519" w:rsidRPr="00715891">
        <w:rPr>
          <w:rFonts w:ascii="Times New Roman Bold" w:hAnsi="Times New Roman Bold"/>
          <w:b/>
          <w:sz w:val="22"/>
          <w:szCs w:val="22"/>
          <w:lang w:val="lt-LT"/>
        </w:rPr>
        <w:t>LIZDINĖ PLOKŠTELĖ</w:t>
      </w:r>
    </w:p>
    <w:p w14:paraId="3F396BC5" w14:textId="77777777" w:rsidR="00107519" w:rsidRPr="00715891" w:rsidRDefault="00107519" w:rsidP="00107519">
      <w:pPr>
        <w:ind w:left="567" w:hanging="567"/>
        <w:rPr>
          <w:caps/>
          <w:sz w:val="22"/>
          <w:szCs w:val="22"/>
          <w:lang w:val="lt-LT"/>
        </w:rPr>
      </w:pPr>
    </w:p>
    <w:p w14:paraId="18E84B4C" w14:textId="77777777" w:rsidR="00107519" w:rsidRPr="00715891" w:rsidRDefault="00107519" w:rsidP="00107519">
      <w:pPr>
        <w:ind w:left="567" w:hanging="567"/>
        <w:rPr>
          <w:caps/>
          <w:sz w:val="22"/>
          <w:szCs w:val="22"/>
          <w:lang w:val="lt-LT"/>
        </w:rPr>
      </w:pPr>
    </w:p>
    <w:p w14:paraId="229D5736" w14:textId="77777777" w:rsidR="00107519" w:rsidRPr="00715891" w:rsidRDefault="00107519" w:rsidP="00107519">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715891">
        <w:rPr>
          <w:b/>
          <w:caps/>
          <w:sz w:val="22"/>
          <w:szCs w:val="22"/>
          <w:lang w:val="lt-LT"/>
        </w:rPr>
        <w:t>1.</w:t>
      </w:r>
      <w:r w:rsidRPr="00715891">
        <w:rPr>
          <w:b/>
          <w:caps/>
          <w:sz w:val="22"/>
          <w:szCs w:val="22"/>
          <w:lang w:val="lt-LT"/>
        </w:rPr>
        <w:tab/>
        <w:t>Vaistinio preparato pavadinimas</w:t>
      </w:r>
    </w:p>
    <w:p w14:paraId="092779BA" w14:textId="77777777" w:rsidR="00107519" w:rsidRPr="00715891" w:rsidRDefault="00107519" w:rsidP="00107519">
      <w:pPr>
        <w:ind w:left="567" w:hanging="567"/>
        <w:rPr>
          <w:sz w:val="22"/>
          <w:szCs w:val="22"/>
          <w:lang w:val="lt-LT"/>
        </w:rPr>
      </w:pPr>
    </w:p>
    <w:p w14:paraId="4A759682" w14:textId="77777777" w:rsidR="00107519" w:rsidRPr="00715891" w:rsidRDefault="00107519" w:rsidP="00107519">
      <w:pPr>
        <w:rPr>
          <w:sz w:val="22"/>
          <w:szCs w:val="22"/>
          <w:lang w:val="lt-LT"/>
        </w:rPr>
      </w:pPr>
      <w:r w:rsidRPr="00715891">
        <w:rPr>
          <w:sz w:val="22"/>
          <w:szCs w:val="22"/>
          <w:lang w:val="lt-LT"/>
        </w:rPr>
        <w:t xml:space="preserve">Valganciclovir Sandoz 450 mg </w:t>
      </w:r>
      <w:r w:rsidRPr="00715891">
        <w:rPr>
          <w:sz w:val="22"/>
          <w:highlight w:val="lightGray"/>
          <w:lang w:val="lt-LT"/>
        </w:rPr>
        <w:t>plėvele dengtos</w:t>
      </w:r>
      <w:r w:rsidRPr="00715891">
        <w:rPr>
          <w:sz w:val="22"/>
          <w:szCs w:val="22"/>
          <w:lang w:val="lt-LT"/>
        </w:rPr>
        <w:t xml:space="preserve"> tabletės</w:t>
      </w:r>
    </w:p>
    <w:p w14:paraId="1C1BCD13" w14:textId="4197BC2B" w:rsidR="00107519" w:rsidRPr="00715891" w:rsidRDefault="00D477BA" w:rsidP="00107519">
      <w:pPr>
        <w:ind w:left="567" w:hanging="567"/>
        <w:rPr>
          <w:sz w:val="22"/>
          <w:szCs w:val="22"/>
          <w:lang w:val="lt-LT"/>
        </w:rPr>
      </w:pPr>
      <w:r w:rsidRPr="00715891">
        <w:rPr>
          <w:sz w:val="22"/>
          <w:szCs w:val="22"/>
          <w:lang w:val="lt-LT"/>
        </w:rPr>
        <w:t>v</w:t>
      </w:r>
      <w:r w:rsidR="00107519" w:rsidRPr="00715891">
        <w:rPr>
          <w:sz w:val="22"/>
          <w:szCs w:val="22"/>
          <w:lang w:val="lt-LT"/>
        </w:rPr>
        <w:t>alganciclovirum</w:t>
      </w:r>
      <w:r w:rsidR="00D47954" w:rsidRPr="00715891">
        <w:rPr>
          <w:sz w:val="22"/>
          <w:szCs w:val="22"/>
          <w:lang w:val="lt-LT"/>
        </w:rPr>
        <w:t xml:space="preserve"> </w:t>
      </w:r>
    </w:p>
    <w:p w14:paraId="71970F31" w14:textId="77777777" w:rsidR="00107519" w:rsidRPr="00715891" w:rsidRDefault="00107519" w:rsidP="00107519">
      <w:pPr>
        <w:ind w:left="567" w:hanging="567"/>
        <w:rPr>
          <w:sz w:val="22"/>
          <w:szCs w:val="22"/>
          <w:lang w:val="lt-LT"/>
        </w:rPr>
      </w:pPr>
    </w:p>
    <w:p w14:paraId="4B2EBAF8" w14:textId="77777777" w:rsidR="00107519" w:rsidRPr="00715891" w:rsidRDefault="00107519" w:rsidP="00107519">
      <w:pPr>
        <w:ind w:left="567" w:hanging="567"/>
        <w:rPr>
          <w:sz w:val="22"/>
          <w:szCs w:val="22"/>
          <w:lang w:val="lt-LT"/>
        </w:rPr>
      </w:pPr>
    </w:p>
    <w:p w14:paraId="5AC792C9" w14:textId="6407A97D" w:rsidR="00107519" w:rsidRPr="00715891" w:rsidRDefault="00107519" w:rsidP="00107519">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715891">
        <w:rPr>
          <w:b/>
          <w:sz w:val="22"/>
          <w:szCs w:val="22"/>
          <w:lang w:val="lt-LT"/>
        </w:rPr>
        <w:t>2.</w:t>
      </w:r>
      <w:r w:rsidRPr="00715891">
        <w:rPr>
          <w:b/>
          <w:sz w:val="22"/>
          <w:szCs w:val="22"/>
          <w:lang w:val="lt-LT"/>
        </w:rPr>
        <w:tab/>
      </w:r>
      <w:r w:rsidRPr="00715891">
        <w:rPr>
          <w:b/>
          <w:caps/>
          <w:sz w:val="22"/>
          <w:szCs w:val="22"/>
          <w:lang w:val="lt-LT"/>
        </w:rPr>
        <w:t>R</w:t>
      </w:r>
      <w:r w:rsidR="00D47954" w:rsidRPr="00715891">
        <w:rPr>
          <w:b/>
          <w:caps/>
          <w:sz w:val="22"/>
          <w:szCs w:val="22"/>
          <w:lang w:val="lt-LT"/>
        </w:rPr>
        <w:t>EGISTRUOTOJO</w:t>
      </w:r>
      <w:r w:rsidRPr="00715891">
        <w:rPr>
          <w:b/>
          <w:caps/>
          <w:sz w:val="22"/>
          <w:szCs w:val="22"/>
          <w:lang w:val="lt-LT"/>
        </w:rPr>
        <w:t xml:space="preserve"> PAVADINIMAS</w:t>
      </w:r>
    </w:p>
    <w:p w14:paraId="355708EE" w14:textId="77777777" w:rsidR="00107519" w:rsidRPr="00715891" w:rsidRDefault="00107519" w:rsidP="00107519">
      <w:pPr>
        <w:ind w:left="567" w:hanging="567"/>
        <w:rPr>
          <w:sz w:val="22"/>
          <w:szCs w:val="22"/>
          <w:lang w:val="lt-LT"/>
        </w:rPr>
      </w:pPr>
    </w:p>
    <w:p w14:paraId="66FE591E" w14:textId="77777777" w:rsidR="00107519" w:rsidRPr="00715891" w:rsidRDefault="00107519" w:rsidP="00107519">
      <w:pPr>
        <w:ind w:left="567" w:hanging="567"/>
        <w:rPr>
          <w:caps/>
          <w:sz w:val="22"/>
          <w:szCs w:val="22"/>
          <w:lang w:val="lt-LT"/>
        </w:rPr>
      </w:pPr>
      <w:r w:rsidRPr="00715891">
        <w:rPr>
          <w:caps/>
          <w:sz w:val="22"/>
          <w:szCs w:val="22"/>
          <w:lang w:val="lt-LT"/>
        </w:rPr>
        <w:t>SANDOZ</w:t>
      </w:r>
    </w:p>
    <w:p w14:paraId="46ADB8C0" w14:textId="77777777" w:rsidR="00107519" w:rsidRPr="00715891" w:rsidRDefault="00107519" w:rsidP="00107519">
      <w:pPr>
        <w:ind w:left="567" w:hanging="567"/>
        <w:rPr>
          <w:sz w:val="22"/>
          <w:szCs w:val="22"/>
          <w:lang w:val="lt-LT"/>
        </w:rPr>
      </w:pPr>
    </w:p>
    <w:p w14:paraId="11958A53" w14:textId="77777777" w:rsidR="00107519" w:rsidRPr="00715891" w:rsidRDefault="00107519" w:rsidP="00107519">
      <w:pPr>
        <w:ind w:left="567" w:hanging="567"/>
        <w:rPr>
          <w:sz w:val="22"/>
          <w:szCs w:val="22"/>
          <w:lang w:val="lt-LT"/>
        </w:rPr>
      </w:pPr>
    </w:p>
    <w:p w14:paraId="30E84D32" w14:textId="77777777" w:rsidR="00107519" w:rsidRPr="00715891" w:rsidRDefault="00107519" w:rsidP="00107519">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715891">
        <w:rPr>
          <w:b/>
          <w:sz w:val="22"/>
          <w:szCs w:val="22"/>
          <w:lang w:val="lt-LT"/>
        </w:rPr>
        <w:t>3.</w:t>
      </w:r>
      <w:r w:rsidRPr="00715891">
        <w:rPr>
          <w:b/>
          <w:sz w:val="22"/>
          <w:szCs w:val="22"/>
          <w:lang w:val="lt-LT"/>
        </w:rPr>
        <w:tab/>
      </w:r>
      <w:r w:rsidRPr="00715891">
        <w:rPr>
          <w:b/>
          <w:caps/>
          <w:sz w:val="22"/>
          <w:szCs w:val="22"/>
          <w:lang w:val="lt-LT"/>
        </w:rPr>
        <w:t>tinkamumo laikas</w:t>
      </w:r>
    </w:p>
    <w:p w14:paraId="5AE65619" w14:textId="77777777" w:rsidR="00107519" w:rsidRPr="00715891" w:rsidRDefault="00107519" w:rsidP="00107519">
      <w:pPr>
        <w:rPr>
          <w:sz w:val="22"/>
          <w:szCs w:val="22"/>
          <w:lang w:val="lt-LT"/>
        </w:rPr>
      </w:pPr>
    </w:p>
    <w:p w14:paraId="5181DC3D" w14:textId="14FE17A0" w:rsidR="00107519" w:rsidRPr="00715891" w:rsidRDefault="00107519" w:rsidP="00107519">
      <w:pPr>
        <w:rPr>
          <w:sz w:val="22"/>
          <w:szCs w:val="22"/>
          <w:lang w:val="lt-LT"/>
        </w:rPr>
      </w:pPr>
      <w:r w:rsidRPr="00715891">
        <w:rPr>
          <w:sz w:val="22"/>
          <w:highlight w:val="lightGray"/>
          <w:lang w:val="lt-LT"/>
        </w:rPr>
        <w:t>EXP</w:t>
      </w:r>
      <w:r w:rsidRPr="00715891">
        <w:rPr>
          <w:sz w:val="22"/>
          <w:szCs w:val="22"/>
          <w:lang w:val="lt-LT"/>
        </w:rPr>
        <w:t xml:space="preserve"> {mm</w:t>
      </w:r>
      <w:r w:rsidR="005C2679" w:rsidRPr="00715891">
        <w:rPr>
          <w:sz w:val="22"/>
          <w:szCs w:val="22"/>
          <w:lang w:val="lt-LT"/>
        </w:rPr>
        <w:t>_</w:t>
      </w:r>
      <w:r w:rsidRPr="00715891">
        <w:rPr>
          <w:sz w:val="22"/>
          <w:szCs w:val="22"/>
          <w:lang w:val="lt-LT"/>
        </w:rPr>
        <w:t>MMMM}</w:t>
      </w:r>
    </w:p>
    <w:p w14:paraId="7DEB0438" w14:textId="77777777" w:rsidR="00107519" w:rsidRPr="00715891" w:rsidRDefault="00107519" w:rsidP="00107519">
      <w:pPr>
        <w:ind w:left="567" w:hanging="567"/>
        <w:rPr>
          <w:sz w:val="22"/>
          <w:szCs w:val="22"/>
          <w:lang w:val="lt-LT"/>
        </w:rPr>
      </w:pPr>
    </w:p>
    <w:p w14:paraId="3C0DE669" w14:textId="77777777" w:rsidR="00107519" w:rsidRPr="00715891" w:rsidRDefault="00107519" w:rsidP="00107519">
      <w:pPr>
        <w:ind w:left="567" w:hanging="567"/>
        <w:rPr>
          <w:sz w:val="22"/>
          <w:szCs w:val="22"/>
          <w:lang w:val="lt-LT"/>
        </w:rPr>
      </w:pPr>
    </w:p>
    <w:p w14:paraId="7C4D0C9A" w14:textId="77777777" w:rsidR="00107519" w:rsidRPr="00715891" w:rsidRDefault="00107519" w:rsidP="00107519">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715891">
        <w:rPr>
          <w:b/>
          <w:caps/>
          <w:sz w:val="22"/>
          <w:szCs w:val="22"/>
          <w:lang w:val="lt-LT"/>
        </w:rPr>
        <w:t>4.</w:t>
      </w:r>
      <w:r w:rsidRPr="00715891">
        <w:rPr>
          <w:b/>
          <w:caps/>
          <w:sz w:val="22"/>
          <w:szCs w:val="22"/>
          <w:lang w:val="lt-LT"/>
        </w:rPr>
        <w:tab/>
        <w:t>serijos numeris</w:t>
      </w:r>
    </w:p>
    <w:p w14:paraId="32E97492" w14:textId="77777777" w:rsidR="00107519" w:rsidRPr="00715891" w:rsidRDefault="00107519" w:rsidP="00107519">
      <w:pPr>
        <w:ind w:left="567" w:hanging="567"/>
        <w:rPr>
          <w:sz w:val="22"/>
          <w:szCs w:val="22"/>
          <w:lang w:val="lt-LT"/>
        </w:rPr>
      </w:pPr>
    </w:p>
    <w:p w14:paraId="4129CBFF" w14:textId="72DD13B0" w:rsidR="00107519" w:rsidRPr="00715891" w:rsidRDefault="00CC1A08" w:rsidP="00107519">
      <w:pPr>
        <w:ind w:left="567" w:hanging="567"/>
        <w:rPr>
          <w:sz w:val="22"/>
          <w:szCs w:val="22"/>
          <w:lang w:val="lt-LT"/>
        </w:rPr>
      </w:pPr>
      <w:r w:rsidRPr="00715891">
        <w:rPr>
          <w:sz w:val="22"/>
          <w:highlight w:val="lightGray"/>
          <w:lang w:val="lt-LT"/>
        </w:rPr>
        <w:t>Lot</w:t>
      </w:r>
      <w:r w:rsidR="00C325B2" w:rsidRPr="00715891">
        <w:rPr>
          <w:sz w:val="22"/>
          <w:szCs w:val="22"/>
          <w:lang w:val="lt-LT"/>
        </w:rPr>
        <w:t xml:space="preserve"> </w:t>
      </w:r>
      <w:r w:rsidR="005C2679" w:rsidRPr="00715891">
        <w:rPr>
          <w:rFonts w:eastAsia="Calibri"/>
          <w:sz w:val="22"/>
          <w:szCs w:val="22"/>
          <w:lang w:val="lt-LT" w:eastAsia="lt-LT"/>
        </w:rPr>
        <w:t>{numeris}</w:t>
      </w:r>
    </w:p>
    <w:p w14:paraId="7B83CFFF" w14:textId="77777777" w:rsidR="00107519" w:rsidRPr="00715891" w:rsidRDefault="00107519" w:rsidP="00107519">
      <w:pPr>
        <w:ind w:left="567" w:hanging="567"/>
        <w:rPr>
          <w:sz w:val="22"/>
          <w:szCs w:val="22"/>
          <w:lang w:val="lt-LT"/>
        </w:rPr>
      </w:pPr>
    </w:p>
    <w:p w14:paraId="0ACF6C17" w14:textId="77777777" w:rsidR="00107519" w:rsidRPr="00715891" w:rsidRDefault="00107519" w:rsidP="00107519">
      <w:pPr>
        <w:ind w:left="567" w:hanging="567"/>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07519" w:rsidRPr="00715891" w14:paraId="0A7EAA47" w14:textId="77777777" w:rsidTr="00EF476A">
        <w:tc>
          <w:tcPr>
            <w:tcW w:w="9287" w:type="dxa"/>
          </w:tcPr>
          <w:p w14:paraId="52726AF9" w14:textId="77777777" w:rsidR="00107519" w:rsidRPr="00715891" w:rsidRDefault="00107519" w:rsidP="00107519">
            <w:pPr>
              <w:tabs>
                <w:tab w:val="left" w:pos="142"/>
              </w:tabs>
              <w:ind w:left="567" w:hanging="567"/>
              <w:rPr>
                <w:b/>
                <w:sz w:val="22"/>
                <w:szCs w:val="22"/>
                <w:lang w:val="lt-LT"/>
              </w:rPr>
            </w:pPr>
            <w:r w:rsidRPr="00715891">
              <w:rPr>
                <w:b/>
                <w:sz w:val="22"/>
                <w:szCs w:val="22"/>
                <w:lang w:val="lt-LT"/>
              </w:rPr>
              <w:t>5.</w:t>
            </w:r>
            <w:r w:rsidRPr="00715891">
              <w:rPr>
                <w:b/>
                <w:sz w:val="22"/>
                <w:szCs w:val="22"/>
                <w:lang w:val="lt-LT"/>
              </w:rPr>
              <w:tab/>
              <w:t>KITA</w:t>
            </w:r>
          </w:p>
        </w:tc>
      </w:tr>
    </w:tbl>
    <w:p w14:paraId="385714C6" w14:textId="77777777" w:rsidR="00107519" w:rsidRPr="00715891" w:rsidRDefault="00107519" w:rsidP="00107519">
      <w:pPr>
        <w:ind w:right="113"/>
        <w:rPr>
          <w:sz w:val="22"/>
          <w:szCs w:val="22"/>
          <w:lang w:val="lt-LT"/>
        </w:rPr>
      </w:pPr>
    </w:p>
    <w:p w14:paraId="7FC4C57F" w14:textId="77777777" w:rsidR="00107519" w:rsidRPr="00715891" w:rsidRDefault="00107519" w:rsidP="00107519">
      <w:pPr>
        <w:ind w:right="113"/>
        <w:rPr>
          <w:sz w:val="22"/>
          <w:szCs w:val="22"/>
          <w:lang w:val="lt-LT"/>
        </w:rPr>
      </w:pPr>
    </w:p>
    <w:p w14:paraId="3AD9839C" w14:textId="77777777" w:rsidR="00107519" w:rsidRPr="00715891" w:rsidRDefault="00107519" w:rsidP="00107519">
      <w:pPr>
        <w:ind w:right="113"/>
        <w:rPr>
          <w:rFonts w:eastAsia="Calibri"/>
          <w:sz w:val="22"/>
          <w:szCs w:val="22"/>
          <w:lang w:val="lt-LT" w:eastAsia="lt-LT"/>
        </w:rPr>
      </w:pPr>
      <w:r w:rsidRPr="00715891">
        <w:rPr>
          <w:rFonts w:eastAsia="Calibri"/>
          <w:sz w:val="22"/>
          <w:szCs w:val="22"/>
          <w:lang w:val="lt-LT" w:eastAsia="lt-LT"/>
        </w:rPr>
        <w:br w:type="page"/>
      </w:r>
    </w:p>
    <w:p w14:paraId="459AD5DB" w14:textId="77777777" w:rsidR="00107519" w:rsidRPr="00715891" w:rsidRDefault="00107519" w:rsidP="00107519">
      <w:pPr>
        <w:jc w:val="center"/>
        <w:rPr>
          <w:b/>
          <w:sz w:val="22"/>
          <w:szCs w:val="22"/>
          <w:lang w:val="lt-LT" w:eastAsia="ja-JP"/>
        </w:rPr>
      </w:pPr>
    </w:p>
    <w:p w14:paraId="600B18C2" w14:textId="77777777" w:rsidR="00107519" w:rsidRPr="00715891" w:rsidRDefault="00107519" w:rsidP="00107519">
      <w:pPr>
        <w:jc w:val="center"/>
        <w:rPr>
          <w:b/>
          <w:sz w:val="22"/>
          <w:szCs w:val="22"/>
          <w:lang w:val="lt-LT" w:eastAsia="ja-JP"/>
        </w:rPr>
      </w:pPr>
    </w:p>
    <w:p w14:paraId="24C1C164" w14:textId="77777777" w:rsidR="00107519" w:rsidRPr="00715891" w:rsidRDefault="00107519" w:rsidP="00107519">
      <w:pPr>
        <w:jc w:val="center"/>
        <w:rPr>
          <w:b/>
          <w:sz w:val="22"/>
          <w:szCs w:val="22"/>
          <w:lang w:val="lt-LT" w:eastAsia="ja-JP"/>
        </w:rPr>
      </w:pPr>
    </w:p>
    <w:p w14:paraId="3824D6EC" w14:textId="77777777" w:rsidR="00107519" w:rsidRPr="00715891" w:rsidRDefault="00107519" w:rsidP="00107519">
      <w:pPr>
        <w:jc w:val="center"/>
        <w:rPr>
          <w:b/>
          <w:sz w:val="22"/>
          <w:szCs w:val="22"/>
          <w:lang w:val="lt-LT" w:eastAsia="ja-JP"/>
        </w:rPr>
      </w:pPr>
    </w:p>
    <w:p w14:paraId="7855DB0C" w14:textId="77777777" w:rsidR="00107519" w:rsidRPr="00715891" w:rsidRDefault="00107519" w:rsidP="00107519">
      <w:pPr>
        <w:jc w:val="center"/>
        <w:rPr>
          <w:rFonts w:eastAsia="Calibri"/>
          <w:sz w:val="22"/>
          <w:szCs w:val="22"/>
          <w:lang w:val="lt-LT" w:eastAsia="lt-LT"/>
        </w:rPr>
      </w:pPr>
    </w:p>
    <w:p w14:paraId="10C147DC" w14:textId="77777777" w:rsidR="00107519" w:rsidRPr="00715891" w:rsidRDefault="00107519" w:rsidP="00107519">
      <w:pPr>
        <w:jc w:val="center"/>
        <w:rPr>
          <w:b/>
          <w:sz w:val="22"/>
          <w:szCs w:val="22"/>
          <w:lang w:val="lt-LT" w:eastAsia="ja-JP"/>
        </w:rPr>
      </w:pPr>
    </w:p>
    <w:p w14:paraId="61EE76FF" w14:textId="77777777" w:rsidR="00107519" w:rsidRPr="00715891" w:rsidRDefault="00107519" w:rsidP="00107519">
      <w:pPr>
        <w:jc w:val="center"/>
        <w:rPr>
          <w:b/>
          <w:sz w:val="22"/>
          <w:szCs w:val="22"/>
          <w:lang w:val="lt-LT" w:eastAsia="ja-JP"/>
        </w:rPr>
      </w:pPr>
    </w:p>
    <w:p w14:paraId="1457F7B2" w14:textId="77777777" w:rsidR="00107519" w:rsidRPr="00715891" w:rsidRDefault="00107519" w:rsidP="00107519">
      <w:pPr>
        <w:jc w:val="center"/>
        <w:rPr>
          <w:b/>
          <w:sz w:val="22"/>
          <w:szCs w:val="22"/>
          <w:lang w:val="lt-LT" w:eastAsia="ja-JP"/>
        </w:rPr>
      </w:pPr>
    </w:p>
    <w:p w14:paraId="0DC62017" w14:textId="77777777" w:rsidR="00107519" w:rsidRPr="00715891" w:rsidRDefault="00107519" w:rsidP="00107519">
      <w:pPr>
        <w:jc w:val="center"/>
        <w:rPr>
          <w:b/>
          <w:sz w:val="22"/>
          <w:szCs w:val="22"/>
          <w:lang w:val="lt-LT" w:eastAsia="ja-JP"/>
        </w:rPr>
      </w:pPr>
    </w:p>
    <w:p w14:paraId="04C9BD38" w14:textId="77777777" w:rsidR="00107519" w:rsidRPr="00715891" w:rsidRDefault="00107519" w:rsidP="00107519">
      <w:pPr>
        <w:jc w:val="center"/>
        <w:rPr>
          <w:b/>
          <w:sz w:val="22"/>
          <w:szCs w:val="22"/>
          <w:lang w:val="lt-LT" w:eastAsia="ja-JP"/>
        </w:rPr>
      </w:pPr>
    </w:p>
    <w:p w14:paraId="4A6CBCEC" w14:textId="77777777" w:rsidR="00107519" w:rsidRPr="00715891" w:rsidRDefault="00107519" w:rsidP="00107519">
      <w:pPr>
        <w:jc w:val="center"/>
        <w:rPr>
          <w:b/>
          <w:sz w:val="22"/>
          <w:szCs w:val="22"/>
          <w:lang w:val="lt-LT" w:eastAsia="ja-JP"/>
        </w:rPr>
      </w:pPr>
    </w:p>
    <w:p w14:paraId="489890B0" w14:textId="77777777" w:rsidR="00107519" w:rsidRPr="00715891" w:rsidRDefault="00107519" w:rsidP="00107519">
      <w:pPr>
        <w:jc w:val="center"/>
        <w:rPr>
          <w:b/>
          <w:sz w:val="22"/>
          <w:szCs w:val="22"/>
          <w:lang w:val="lt-LT" w:eastAsia="ja-JP"/>
        </w:rPr>
      </w:pPr>
    </w:p>
    <w:p w14:paraId="1FF37972" w14:textId="77777777" w:rsidR="00107519" w:rsidRPr="00715891" w:rsidRDefault="00107519" w:rsidP="00107519">
      <w:pPr>
        <w:jc w:val="center"/>
        <w:rPr>
          <w:b/>
          <w:sz w:val="22"/>
          <w:szCs w:val="22"/>
          <w:lang w:val="lt-LT" w:eastAsia="ja-JP"/>
        </w:rPr>
      </w:pPr>
    </w:p>
    <w:p w14:paraId="5A86C528" w14:textId="77777777" w:rsidR="00107519" w:rsidRPr="00715891" w:rsidRDefault="00107519" w:rsidP="00107519">
      <w:pPr>
        <w:jc w:val="center"/>
        <w:rPr>
          <w:rFonts w:eastAsia="Calibri"/>
          <w:b/>
          <w:sz w:val="22"/>
          <w:szCs w:val="22"/>
          <w:lang w:val="lt-LT" w:eastAsia="lt-LT"/>
        </w:rPr>
      </w:pPr>
    </w:p>
    <w:p w14:paraId="7F4678F4" w14:textId="77777777" w:rsidR="00107519" w:rsidRPr="00715891" w:rsidRDefault="00107519" w:rsidP="00107519">
      <w:pPr>
        <w:jc w:val="center"/>
        <w:rPr>
          <w:rFonts w:eastAsia="Calibri"/>
          <w:b/>
          <w:sz w:val="22"/>
          <w:szCs w:val="22"/>
          <w:lang w:val="lt-LT" w:eastAsia="lt-LT"/>
        </w:rPr>
      </w:pPr>
    </w:p>
    <w:p w14:paraId="4D9B1849" w14:textId="77777777" w:rsidR="00107519" w:rsidRPr="00715891" w:rsidRDefault="00107519" w:rsidP="00107519">
      <w:pPr>
        <w:jc w:val="center"/>
        <w:rPr>
          <w:rFonts w:eastAsia="Calibri"/>
          <w:b/>
          <w:sz w:val="22"/>
          <w:szCs w:val="22"/>
          <w:lang w:val="lt-LT" w:eastAsia="lt-LT"/>
        </w:rPr>
      </w:pPr>
    </w:p>
    <w:p w14:paraId="51FF74DF" w14:textId="77777777" w:rsidR="00107519" w:rsidRPr="00715891" w:rsidRDefault="00107519" w:rsidP="00107519">
      <w:pPr>
        <w:jc w:val="center"/>
        <w:rPr>
          <w:rFonts w:eastAsia="Calibri"/>
          <w:b/>
          <w:sz w:val="22"/>
          <w:szCs w:val="22"/>
          <w:lang w:val="lt-LT" w:eastAsia="lt-LT"/>
        </w:rPr>
      </w:pPr>
    </w:p>
    <w:p w14:paraId="50336C5F" w14:textId="77777777" w:rsidR="00107519" w:rsidRPr="00715891" w:rsidRDefault="00107519" w:rsidP="00107519">
      <w:pPr>
        <w:jc w:val="center"/>
        <w:rPr>
          <w:rFonts w:eastAsia="Calibri"/>
          <w:b/>
          <w:sz w:val="22"/>
          <w:szCs w:val="22"/>
          <w:lang w:val="lt-LT" w:eastAsia="lt-LT"/>
        </w:rPr>
      </w:pPr>
    </w:p>
    <w:p w14:paraId="5FD15ECA" w14:textId="77777777" w:rsidR="00107519" w:rsidRPr="00715891" w:rsidRDefault="00107519" w:rsidP="00107519">
      <w:pPr>
        <w:jc w:val="center"/>
        <w:rPr>
          <w:rFonts w:eastAsia="Calibri"/>
          <w:b/>
          <w:sz w:val="22"/>
          <w:szCs w:val="22"/>
          <w:lang w:val="lt-LT" w:eastAsia="lt-LT"/>
        </w:rPr>
      </w:pPr>
    </w:p>
    <w:p w14:paraId="7E2E42E5" w14:textId="77777777" w:rsidR="00107519" w:rsidRPr="00715891" w:rsidRDefault="00107519" w:rsidP="00107519">
      <w:pPr>
        <w:jc w:val="center"/>
        <w:rPr>
          <w:rFonts w:eastAsia="Calibri"/>
          <w:b/>
          <w:sz w:val="22"/>
          <w:szCs w:val="22"/>
          <w:lang w:val="lt-LT" w:eastAsia="lt-LT"/>
        </w:rPr>
      </w:pPr>
    </w:p>
    <w:p w14:paraId="4FC95163" w14:textId="77777777" w:rsidR="00107519" w:rsidRPr="00715891" w:rsidRDefault="00107519" w:rsidP="00107519">
      <w:pPr>
        <w:jc w:val="center"/>
        <w:rPr>
          <w:rFonts w:eastAsia="Calibri"/>
          <w:b/>
          <w:sz w:val="22"/>
          <w:szCs w:val="22"/>
          <w:lang w:val="lt-LT" w:eastAsia="lt-LT"/>
        </w:rPr>
      </w:pPr>
    </w:p>
    <w:p w14:paraId="79442917" w14:textId="77777777" w:rsidR="00107519" w:rsidRPr="00715891" w:rsidRDefault="00107519" w:rsidP="00107519">
      <w:pPr>
        <w:ind w:left="567" w:hanging="567"/>
        <w:jc w:val="center"/>
        <w:rPr>
          <w:b/>
          <w:caps/>
          <w:sz w:val="22"/>
          <w:szCs w:val="22"/>
          <w:lang w:val="lt-LT" w:eastAsia="ja-JP"/>
        </w:rPr>
      </w:pPr>
    </w:p>
    <w:p w14:paraId="7484B8E4" w14:textId="77777777" w:rsidR="00D477BA" w:rsidRPr="00715891" w:rsidRDefault="00D477BA" w:rsidP="00107519">
      <w:pPr>
        <w:ind w:left="567" w:hanging="567"/>
        <w:jc w:val="center"/>
        <w:rPr>
          <w:b/>
          <w:caps/>
          <w:sz w:val="22"/>
          <w:szCs w:val="22"/>
          <w:lang w:val="lt-LT" w:eastAsia="ja-JP"/>
        </w:rPr>
      </w:pPr>
    </w:p>
    <w:p w14:paraId="46E9474C" w14:textId="714EBBBA" w:rsidR="00107519" w:rsidRPr="00715891" w:rsidRDefault="00107519" w:rsidP="00107519">
      <w:pPr>
        <w:ind w:left="567" w:hanging="567"/>
        <w:jc w:val="center"/>
        <w:rPr>
          <w:b/>
          <w:caps/>
          <w:sz w:val="22"/>
          <w:szCs w:val="22"/>
          <w:lang w:val="lt-LT" w:eastAsia="ja-JP"/>
        </w:rPr>
      </w:pPr>
      <w:r w:rsidRPr="00715891">
        <w:rPr>
          <w:b/>
          <w:caps/>
          <w:sz w:val="22"/>
          <w:szCs w:val="22"/>
          <w:lang w:val="lt-LT" w:eastAsia="ja-JP"/>
        </w:rPr>
        <w:t>B. PAKUOTĖS lapelis</w:t>
      </w:r>
    </w:p>
    <w:p w14:paraId="7E6116D5" w14:textId="77777777" w:rsidR="00107519" w:rsidRPr="00715891" w:rsidRDefault="00107519" w:rsidP="00107519">
      <w:pPr>
        <w:ind w:left="360"/>
        <w:jc w:val="center"/>
        <w:rPr>
          <w:b/>
          <w:caps/>
          <w:sz w:val="22"/>
          <w:szCs w:val="22"/>
          <w:lang w:val="lt-LT" w:eastAsia="ja-JP"/>
        </w:rPr>
      </w:pPr>
      <w:r w:rsidRPr="00715891">
        <w:rPr>
          <w:sz w:val="22"/>
          <w:szCs w:val="22"/>
          <w:lang w:val="lt-LT" w:eastAsia="ja-JP"/>
        </w:rPr>
        <w:br w:type="page"/>
      </w:r>
      <w:r w:rsidRPr="00715891">
        <w:rPr>
          <w:b/>
          <w:sz w:val="22"/>
          <w:szCs w:val="22"/>
          <w:lang w:val="lt-LT"/>
        </w:rPr>
        <w:lastRenderedPageBreak/>
        <w:t>Pakuotės lapelis: informacija pacientui</w:t>
      </w:r>
    </w:p>
    <w:p w14:paraId="6DB5DC9E" w14:textId="77777777" w:rsidR="00107519" w:rsidRPr="00715891" w:rsidRDefault="00107519" w:rsidP="00107519">
      <w:pPr>
        <w:ind w:left="360"/>
        <w:jc w:val="center"/>
        <w:rPr>
          <w:b/>
          <w:caps/>
          <w:sz w:val="22"/>
          <w:szCs w:val="22"/>
          <w:lang w:val="lt-LT" w:eastAsia="ja-JP"/>
        </w:rPr>
      </w:pPr>
    </w:p>
    <w:p w14:paraId="74DD8152" w14:textId="77777777" w:rsidR="00107519" w:rsidRPr="00715891" w:rsidRDefault="00107519" w:rsidP="00107519">
      <w:pPr>
        <w:ind w:left="360"/>
        <w:jc w:val="center"/>
        <w:rPr>
          <w:b/>
          <w:sz w:val="22"/>
          <w:szCs w:val="22"/>
          <w:lang w:val="lt-LT" w:eastAsia="ja-JP"/>
        </w:rPr>
      </w:pPr>
      <w:r w:rsidRPr="00715891">
        <w:rPr>
          <w:b/>
          <w:bCs/>
          <w:sz w:val="22"/>
          <w:szCs w:val="22"/>
          <w:lang w:val="lt-LT" w:eastAsia="ja-JP"/>
        </w:rPr>
        <w:t xml:space="preserve">Valganciclovir Sandoz </w:t>
      </w:r>
      <w:r w:rsidRPr="00715891">
        <w:rPr>
          <w:b/>
          <w:sz w:val="22"/>
          <w:szCs w:val="22"/>
          <w:lang w:val="lt-LT" w:eastAsia="ja-JP"/>
        </w:rPr>
        <w:t>450 mg plėvele dengtos tabletės</w:t>
      </w:r>
    </w:p>
    <w:p w14:paraId="70B72497" w14:textId="77777777" w:rsidR="00254696" w:rsidRPr="00715891" w:rsidRDefault="00254696" w:rsidP="00107519">
      <w:pPr>
        <w:ind w:left="360"/>
        <w:jc w:val="center"/>
        <w:rPr>
          <w:sz w:val="22"/>
          <w:szCs w:val="22"/>
          <w:lang w:val="lt-LT" w:eastAsia="ja-JP"/>
        </w:rPr>
      </w:pPr>
    </w:p>
    <w:p w14:paraId="3D03B429" w14:textId="15711B3A" w:rsidR="00107519" w:rsidRPr="00715891" w:rsidRDefault="00D477BA" w:rsidP="00107519">
      <w:pPr>
        <w:ind w:left="360"/>
        <w:jc w:val="center"/>
        <w:rPr>
          <w:b/>
          <w:caps/>
          <w:sz w:val="22"/>
          <w:szCs w:val="22"/>
          <w:lang w:val="lt-LT" w:eastAsia="ja-JP"/>
        </w:rPr>
      </w:pPr>
      <w:r w:rsidRPr="00715891">
        <w:rPr>
          <w:sz w:val="22"/>
          <w:szCs w:val="22"/>
          <w:lang w:val="lt-LT" w:eastAsia="ja-JP"/>
        </w:rPr>
        <w:t>v</w:t>
      </w:r>
      <w:r w:rsidR="00107519" w:rsidRPr="00715891">
        <w:rPr>
          <w:sz w:val="22"/>
          <w:szCs w:val="22"/>
          <w:lang w:val="lt-LT" w:eastAsia="ja-JP"/>
        </w:rPr>
        <w:t>algancikloviras</w:t>
      </w:r>
      <w:r w:rsidR="005A0087" w:rsidRPr="00715891">
        <w:rPr>
          <w:sz w:val="22"/>
          <w:szCs w:val="22"/>
          <w:lang w:val="lt-LT" w:eastAsia="ja-JP"/>
        </w:rPr>
        <w:t xml:space="preserve"> (hidrochlorido pavidalu)</w:t>
      </w:r>
    </w:p>
    <w:p w14:paraId="522353BF" w14:textId="77777777" w:rsidR="00107519" w:rsidRPr="00715891" w:rsidRDefault="00107519" w:rsidP="00107519">
      <w:pPr>
        <w:rPr>
          <w:sz w:val="22"/>
          <w:szCs w:val="22"/>
          <w:lang w:val="lt-LT" w:eastAsia="ja-JP"/>
        </w:rPr>
      </w:pPr>
    </w:p>
    <w:p w14:paraId="3050B1D6" w14:textId="77777777" w:rsidR="00107519" w:rsidRPr="00715891" w:rsidRDefault="00107519" w:rsidP="00107519">
      <w:pPr>
        <w:jc w:val="center"/>
        <w:rPr>
          <w:sz w:val="22"/>
          <w:szCs w:val="22"/>
          <w:lang w:val="lt-LT" w:eastAsia="ja-JP"/>
        </w:rPr>
      </w:pPr>
    </w:p>
    <w:p w14:paraId="22C3245A" w14:textId="77777777" w:rsidR="00107519" w:rsidRPr="00715891" w:rsidRDefault="00107519" w:rsidP="005B6B82">
      <w:pPr>
        <w:suppressAutoHyphens/>
        <w:rPr>
          <w:sz w:val="22"/>
          <w:szCs w:val="22"/>
          <w:lang w:val="lt-LT"/>
        </w:rPr>
      </w:pPr>
      <w:r w:rsidRPr="00715891">
        <w:rPr>
          <w:b/>
          <w:sz w:val="22"/>
          <w:szCs w:val="22"/>
          <w:lang w:val="lt-LT" w:eastAsia="ja-JP"/>
        </w:rPr>
        <w:t>Atidžiai perskaitykite visą šį lapelį, prieš pradėdami vartoti vaistą,</w:t>
      </w:r>
      <w:r w:rsidRPr="00715891">
        <w:rPr>
          <w:b/>
          <w:sz w:val="22"/>
          <w:szCs w:val="22"/>
          <w:lang w:val="lt-LT"/>
        </w:rPr>
        <w:t xml:space="preserve"> nes jame pateikiama Jums svarbi informacija.</w:t>
      </w:r>
    </w:p>
    <w:p w14:paraId="335660B8" w14:textId="77777777" w:rsidR="00107519" w:rsidRPr="00715891" w:rsidRDefault="00107519" w:rsidP="00107519">
      <w:pPr>
        <w:numPr>
          <w:ilvl w:val="0"/>
          <w:numId w:val="1"/>
        </w:numPr>
        <w:ind w:left="567" w:hanging="567"/>
        <w:rPr>
          <w:sz w:val="22"/>
          <w:szCs w:val="22"/>
          <w:lang w:val="lt-LT" w:eastAsia="ja-JP"/>
        </w:rPr>
      </w:pPr>
      <w:r w:rsidRPr="00715891">
        <w:rPr>
          <w:sz w:val="22"/>
          <w:szCs w:val="22"/>
          <w:lang w:val="lt-LT" w:eastAsia="ja-JP"/>
        </w:rPr>
        <w:t>Neišmeskite šio lapelio, nes vėl gali prireikti jį perskaityti.</w:t>
      </w:r>
    </w:p>
    <w:p w14:paraId="13C94C63" w14:textId="77777777" w:rsidR="00107519" w:rsidRPr="00715891" w:rsidRDefault="00107519" w:rsidP="00107519">
      <w:pPr>
        <w:numPr>
          <w:ilvl w:val="0"/>
          <w:numId w:val="2"/>
        </w:numPr>
        <w:ind w:left="567" w:right="-2" w:hanging="567"/>
        <w:rPr>
          <w:sz w:val="22"/>
          <w:szCs w:val="22"/>
          <w:lang w:val="lt-LT" w:eastAsia="ja-JP"/>
        </w:rPr>
      </w:pPr>
      <w:r w:rsidRPr="00715891">
        <w:rPr>
          <w:sz w:val="22"/>
          <w:szCs w:val="22"/>
          <w:lang w:val="lt-LT" w:eastAsia="ja-JP"/>
        </w:rPr>
        <w:t>Jeigu kiltų daugiau klausimų, kreipkitės į gydytoją arba vaistininką.</w:t>
      </w:r>
    </w:p>
    <w:p w14:paraId="2C8427C4" w14:textId="77777777" w:rsidR="00107519" w:rsidRPr="00715891" w:rsidRDefault="00107519" w:rsidP="00107519">
      <w:pPr>
        <w:numPr>
          <w:ilvl w:val="0"/>
          <w:numId w:val="3"/>
        </w:numPr>
        <w:ind w:left="567" w:right="-2" w:hanging="567"/>
        <w:rPr>
          <w:sz w:val="22"/>
          <w:szCs w:val="22"/>
          <w:lang w:val="lt-LT" w:eastAsia="ja-JP"/>
        </w:rPr>
      </w:pPr>
      <w:r w:rsidRPr="00715891">
        <w:rPr>
          <w:sz w:val="22"/>
          <w:szCs w:val="22"/>
          <w:lang w:val="lt-LT" w:eastAsia="ja-JP"/>
        </w:rPr>
        <w:t>Šis vaistas skirtas tik Jums, todėl kitiems žmonėms jo duoti negalima. Vaistas gali jiems pakenkti (net tiems, kurių ligos požymiai yra tokie patys kaip Jūsų).</w:t>
      </w:r>
    </w:p>
    <w:p w14:paraId="64F64DB6" w14:textId="77777777" w:rsidR="00107519" w:rsidRPr="00715891" w:rsidRDefault="00107519" w:rsidP="00107519">
      <w:pPr>
        <w:numPr>
          <w:ilvl w:val="0"/>
          <w:numId w:val="3"/>
        </w:numPr>
        <w:ind w:left="567" w:right="-2" w:hanging="567"/>
        <w:rPr>
          <w:b/>
          <w:sz w:val="22"/>
          <w:szCs w:val="22"/>
          <w:lang w:val="lt-LT" w:eastAsia="ja-JP"/>
        </w:rPr>
      </w:pPr>
      <w:r w:rsidRPr="00715891">
        <w:rPr>
          <w:sz w:val="22"/>
          <w:szCs w:val="22"/>
          <w:lang w:val="lt-LT" w:eastAsia="ja-JP"/>
        </w:rPr>
        <w:t xml:space="preserve">Jeigu pasireiškė šalutinis poveikis </w:t>
      </w:r>
      <w:r w:rsidRPr="00715891">
        <w:rPr>
          <w:sz w:val="22"/>
          <w:szCs w:val="22"/>
          <w:lang w:val="lt-LT"/>
        </w:rPr>
        <w:t>(net jeigu jis šiame lapelyje nenurodytas), kreipkitės į</w:t>
      </w:r>
      <w:r w:rsidRPr="00715891">
        <w:rPr>
          <w:sz w:val="22"/>
          <w:szCs w:val="22"/>
          <w:lang w:val="lt-LT" w:eastAsia="ja-JP"/>
        </w:rPr>
        <w:t xml:space="preserve"> gydytoją arba vaistininką. Žr. 4 skyrių.</w:t>
      </w:r>
    </w:p>
    <w:p w14:paraId="58103235" w14:textId="77777777" w:rsidR="00107519" w:rsidRPr="00715891" w:rsidRDefault="00107519" w:rsidP="00107519">
      <w:pPr>
        <w:ind w:right="-2"/>
        <w:rPr>
          <w:sz w:val="22"/>
          <w:szCs w:val="22"/>
          <w:lang w:val="lt-LT" w:eastAsia="ja-JP"/>
        </w:rPr>
      </w:pPr>
    </w:p>
    <w:p w14:paraId="0062F519" w14:textId="77777777" w:rsidR="00107519" w:rsidRPr="00715891" w:rsidRDefault="00107519" w:rsidP="00107519">
      <w:pPr>
        <w:rPr>
          <w:lang w:val="lt-LT" w:eastAsia="ja-JP"/>
        </w:rPr>
      </w:pPr>
    </w:p>
    <w:p w14:paraId="6F616B63" w14:textId="77777777" w:rsidR="00107519" w:rsidRPr="00715891" w:rsidRDefault="00107519" w:rsidP="00107519">
      <w:pPr>
        <w:rPr>
          <w:rFonts w:eastAsia="Calibri"/>
          <w:b/>
          <w:sz w:val="22"/>
          <w:szCs w:val="22"/>
          <w:lang w:val="lt-LT" w:eastAsia="ja-JP"/>
        </w:rPr>
      </w:pPr>
      <w:r w:rsidRPr="00715891">
        <w:rPr>
          <w:rFonts w:eastAsia="Calibri"/>
          <w:b/>
          <w:sz w:val="22"/>
          <w:szCs w:val="22"/>
          <w:lang w:val="lt-LT" w:eastAsia="ja-JP"/>
        </w:rPr>
        <w:t>Apie ką rašoma šiame lapelyje?</w:t>
      </w:r>
    </w:p>
    <w:p w14:paraId="0761B4B9" w14:textId="77777777" w:rsidR="00107519" w:rsidRPr="00715891" w:rsidRDefault="00107519" w:rsidP="00107519">
      <w:pPr>
        <w:numPr>
          <w:ilvl w:val="0"/>
          <w:numId w:val="20"/>
        </w:numPr>
        <w:ind w:left="567" w:hanging="567"/>
        <w:rPr>
          <w:sz w:val="22"/>
          <w:szCs w:val="22"/>
          <w:lang w:val="lt-LT" w:eastAsia="ja-JP"/>
        </w:rPr>
      </w:pPr>
      <w:r w:rsidRPr="00715891">
        <w:rPr>
          <w:sz w:val="22"/>
          <w:szCs w:val="22"/>
          <w:lang w:val="lt-LT" w:eastAsia="ja-JP"/>
        </w:rPr>
        <w:t>Kas yra Valganciclovir Sandoz ir kam jis vartojamas</w:t>
      </w:r>
    </w:p>
    <w:p w14:paraId="4A5ED388" w14:textId="77777777" w:rsidR="00107519" w:rsidRPr="00715891" w:rsidRDefault="00107519" w:rsidP="00107519">
      <w:pPr>
        <w:numPr>
          <w:ilvl w:val="0"/>
          <w:numId w:val="20"/>
        </w:numPr>
        <w:ind w:left="567" w:hanging="567"/>
        <w:rPr>
          <w:sz w:val="22"/>
          <w:szCs w:val="22"/>
          <w:lang w:val="lt-LT" w:eastAsia="ja-JP"/>
        </w:rPr>
      </w:pPr>
      <w:r w:rsidRPr="00715891">
        <w:rPr>
          <w:sz w:val="22"/>
          <w:szCs w:val="22"/>
          <w:lang w:val="lt-LT" w:eastAsia="ja-JP"/>
        </w:rPr>
        <w:t>Kas žinotina prieš vartojant Valganciclovir Sandoz</w:t>
      </w:r>
    </w:p>
    <w:p w14:paraId="32E5D655" w14:textId="77777777" w:rsidR="00107519" w:rsidRPr="00715891" w:rsidRDefault="00107519" w:rsidP="00107519">
      <w:pPr>
        <w:numPr>
          <w:ilvl w:val="0"/>
          <w:numId w:val="20"/>
        </w:numPr>
        <w:ind w:left="567" w:hanging="567"/>
        <w:rPr>
          <w:sz w:val="22"/>
          <w:szCs w:val="22"/>
          <w:lang w:val="lt-LT" w:eastAsia="ja-JP"/>
        </w:rPr>
      </w:pPr>
      <w:r w:rsidRPr="00715891">
        <w:rPr>
          <w:sz w:val="22"/>
          <w:szCs w:val="22"/>
          <w:lang w:val="lt-LT" w:eastAsia="ja-JP"/>
        </w:rPr>
        <w:t>Kaip vartoti Valganciclovir Sandoz</w:t>
      </w:r>
    </w:p>
    <w:p w14:paraId="365C511F" w14:textId="77777777" w:rsidR="00107519" w:rsidRPr="00715891" w:rsidRDefault="00107519" w:rsidP="00107519">
      <w:pPr>
        <w:numPr>
          <w:ilvl w:val="0"/>
          <w:numId w:val="20"/>
        </w:numPr>
        <w:ind w:left="567" w:hanging="567"/>
        <w:rPr>
          <w:sz w:val="22"/>
          <w:szCs w:val="22"/>
          <w:lang w:val="lt-LT" w:eastAsia="ja-JP"/>
        </w:rPr>
      </w:pPr>
      <w:r w:rsidRPr="00715891">
        <w:rPr>
          <w:sz w:val="22"/>
          <w:szCs w:val="22"/>
          <w:lang w:val="lt-LT" w:eastAsia="ja-JP"/>
        </w:rPr>
        <w:t>Galimas šalutinis poveikis</w:t>
      </w:r>
    </w:p>
    <w:p w14:paraId="0EA0EEBA" w14:textId="77777777" w:rsidR="00107519" w:rsidRPr="00715891" w:rsidRDefault="00107519" w:rsidP="00107519">
      <w:pPr>
        <w:numPr>
          <w:ilvl w:val="0"/>
          <w:numId w:val="20"/>
        </w:numPr>
        <w:ind w:left="567" w:hanging="567"/>
        <w:rPr>
          <w:sz w:val="22"/>
          <w:szCs w:val="22"/>
          <w:lang w:val="lt-LT" w:eastAsia="ja-JP"/>
        </w:rPr>
      </w:pPr>
      <w:r w:rsidRPr="00715891">
        <w:rPr>
          <w:sz w:val="22"/>
          <w:szCs w:val="22"/>
          <w:lang w:val="lt-LT" w:eastAsia="ja-JP"/>
        </w:rPr>
        <w:t xml:space="preserve">Kaip laikyti Valganciclovir Sandoz </w:t>
      </w:r>
    </w:p>
    <w:p w14:paraId="4EF30E97" w14:textId="77777777" w:rsidR="00107519" w:rsidRPr="00715891" w:rsidRDefault="00107519" w:rsidP="00107519">
      <w:pPr>
        <w:numPr>
          <w:ilvl w:val="0"/>
          <w:numId w:val="20"/>
        </w:numPr>
        <w:ind w:left="567" w:hanging="567"/>
        <w:rPr>
          <w:sz w:val="22"/>
          <w:szCs w:val="22"/>
          <w:lang w:val="lt-LT" w:eastAsia="ja-JP"/>
        </w:rPr>
      </w:pPr>
      <w:r w:rsidRPr="00715891">
        <w:rPr>
          <w:sz w:val="22"/>
          <w:szCs w:val="22"/>
          <w:lang w:val="lt-LT" w:eastAsia="ja-JP"/>
        </w:rPr>
        <w:t>Pakuotės turinys ir kita informacija</w:t>
      </w:r>
    </w:p>
    <w:p w14:paraId="5D839976" w14:textId="77777777" w:rsidR="00107519" w:rsidRPr="00715891" w:rsidRDefault="00107519" w:rsidP="00107519">
      <w:pPr>
        <w:rPr>
          <w:lang w:val="lt-LT" w:eastAsia="ja-JP"/>
        </w:rPr>
      </w:pPr>
    </w:p>
    <w:p w14:paraId="1CA31F35" w14:textId="77777777" w:rsidR="00107519" w:rsidRPr="00715891" w:rsidRDefault="00107519" w:rsidP="00107519">
      <w:pPr>
        <w:rPr>
          <w:lang w:val="lt-LT" w:eastAsia="ja-JP"/>
        </w:rPr>
      </w:pPr>
    </w:p>
    <w:p w14:paraId="38F0F7D7" w14:textId="77777777" w:rsidR="00107519" w:rsidRPr="00715891" w:rsidRDefault="00107519" w:rsidP="00107519">
      <w:pPr>
        <w:tabs>
          <w:tab w:val="left" w:pos="567"/>
        </w:tabs>
        <w:rPr>
          <w:sz w:val="22"/>
          <w:szCs w:val="22"/>
          <w:lang w:val="lt-LT" w:eastAsia="ja-JP"/>
        </w:rPr>
      </w:pPr>
      <w:r w:rsidRPr="00715891">
        <w:rPr>
          <w:b/>
          <w:sz w:val="22"/>
          <w:szCs w:val="22"/>
          <w:lang w:val="lt-LT" w:eastAsia="ja-JP"/>
        </w:rPr>
        <w:t>1.</w:t>
      </w:r>
      <w:r w:rsidRPr="00715891">
        <w:rPr>
          <w:b/>
          <w:sz w:val="22"/>
          <w:szCs w:val="22"/>
          <w:lang w:val="lt-LT" w:eastAsia="ja-JP"/>
        </w:rPr>
        <w:tab/>
        <w:t>Kas yra Valganciclovir Sandoz ir kam jis vartojamas</w:t>
      </w:r>
    </w:p>
    <w:p w14:paraId="0F60C6CE" w14:textId="77777777" w:rsidR="00107519" w:rsidRPr="00715891" w:rsidRDefault="00107519" w:rsidP="00107519">
      <w:pPr>
        <w:rPr>
          <w:sz w:val="22"/>
          <w:szCs w:val="22"/>
          <w:lang w:val="lt-LT" w:eastAsia="ja-JP"/>
        </w:rPr>
      </w:pPr>
    </w:p>
    <w:p w14:paraId="0EB77C32" w14:textId="77777777" w:rsidR="00107519" w:rsidRPr="00715891" w:rsidRDefault="00107519" w:rsidP="00107519">
      <w:pPr>
        <w:rPr>
          <w:sz w:val="22"/>
          <w:szCs w:val="22"/>
          <w:lang w:val="lt-LT" w:eastAsia="ja-JP"/>
        </w:rPr>
      </w:pPr>
      <w:r w:rsidRPr="00715891">
        <w:rPr>
          <w:sz w:val="22"/>
          <w:szCs w:val="22"/>
          <w:lang w:val="lt-LT" w:eastAsia="ja-JP"/>
        </w:rPr>
        <w:t>Valganciclovir Sandoz priklauso grupei vaistų, tiesiogiai neleidžiančių daugintis virusams. Veiklioji tablečių medžiaga valgancikloviras organizme paverčiama gancikloviru. Pastarasis trukdo virusų, vadinamų citomegalovirusais (CMV), dauginimąsi ir skverbimąsi į sveikas ląsteles. Asmenims, kurių imuninė sistema susilpnėjusi, CMV gali sukelti organų infekciją. Tai gali būti pavojinga gyvybei.</w:t>
      </w:r>
    </w:p>
    <w:p w14:paraId="302435D9" w14:textId="77777777" w:rsidR="00107519" w:rsidRPr="00715891" w:rsidRDefault="00107519" w:rsidP="00107519">
      <w:pPr>
        <w:rPr>
          <w:sz w:val="22"/>
          <w:szCs w:val="22"/>
          <w:lang w:val="lt-LT" w:eastAsia="ja-JP"/>
        </w:rPr>
      </w:pPr>
    </w:p>
    <w:p w14:paraId="78329BB2" w14:textId="77777777" w:rsidR="00107519" w:rsidRPr="00715891" w:rsidRDefault="00107519" w:rsidP="00107519">
      <w:pPr>
        <w:rPr>
          <w:sz w:val="22"/>
          <w:szCs w:val="22"/>
          <w:lang w:val="lt-LT" w:eastAsia="ja-JP"/>
        </w:rPr>
      </w:pPr>
      <w:r w:rsidRPr="00715891">
        <w:rPr>
          <w:sz w:val="22"/>
          <w:szCs w:val="22"/>
          <w:lang w:val="lt-LT" w:eastAsia="ja-JP"/>
        </w:rPr>
        <w:t>Valganciclovir Sandoz vartojamas:</w:t>
      </w:r>
    </w:p>
    <w:p w14:paraId="488C0203" w14:textId="26493A7B" w:rsidR="00107519" w:rsidRPr="00715891" w:rsidRDefault="00107519" w:rsidP="005B6B82">
      <w:pPr>
        <w:numPr>
          <w:ilvl w:val="0"/>
          <w:numId w:val="39"/>
        </w:numPr>
        <w:tabs>
          <w:tab w:val="clear" w:pos="720"/>
          <w:tab w:val="num" w:pos="567"/>
        </w:tabs>
        <w:ind w:left="567" w:hanging="567"/>
        <w:rPr>
          <w:sz w:val="22"/>
          <w:szCs w:val="22"/>
          <w:lang w:val="lt-LT" w:eastAsia="ja-JP"/>
        </w:rPr>
      </w:pPr>
      <w:r w:rsidRPr="00715891">
        <w:rPr>
          <w:sz w:val="22"/>
          <w:szCs w:val="22"/>
          <w:lang w:val="lt-LT" w:eastAsia="ja-JP"/>
        </w:rPr>
        <w:t>suaugusiųjų pacientų, kuriems yra įgytas imunodeficito sindromas (AIDS), akių tinklainės CMV infekcijai gydyti. Akių tinklainės CMV infekcija gali trikdyti regėjimą ir net sukelti aklumą</w:t>
      </w:r>
      <w:r w:rsidR="008B5ADB" w:rsidRPr="00715891">
        <w:rPr>
          <w:sz w:val="22"/>
          <w:szCs w:val="22"/>
          <w:lang w:val="lt-LT" w:eastAsia="ja-JP"/>
        </w:rPr>
        <w:t>;</w:t>
      </w:r>
    </w:p>
    <w:p w14:paraId="3E35FACA" w14:textId="625537C1" w:rsidR="00107519" w:rsidRPr="00715891" w:rsidRDefault="00107519" w:rsidP="005B6B82">
      <w:pPr>
        <w:numPr>
          <w:ilvl w:val="0"/>
          <w:numId w:val="39"/>
        </w:numPr>
        <w:tabs>
          <w:tab w:val="clear" w:pos="720"/>
          <w:tab w:val="num" w:pos="567"/>
        </w:tabs>
        <w:ind w:left="567" w:hanging="567"/>
        <w:rPr>
          <w:sz w:val="22"/>
          <w:szCs w:val="22"/>
          <w:lang w:val="lt-LT" w:eastAsia="ja-JP"/>
        </w:rPr>
      </w:pPr>
      <w:r w:rsidRPr="00715891">
        <w:rPr>
          <w:sz w:val="22"/>
          <w:szCs w:val="22"/>
          <w:lang w:val="lt-LT" w:eastAsia="ja-JP"/>
        </w:rPr>
        <w:t xml:space="preserve">CMV infekcijos profilaktikai </w:t>
      </w:r>
      <w:r w:rsidR="00254696" w:rsidRPr="00715891">
        <w:rPr>
          <w:sz w:val="22"/>
          <w:szCs w:val="22"/>
          <w:lang w:val="lt-LT" w:eastAsia="ja-JP"/>
        </w:rPr>
        <w:t>suaugusiesiems ir vaikams</w:t>
      </w:r>
      <w:r w:rsidRPr="00715891">
        <w:rPr>
          <w:sz w:val="22"/>
          <w:szCs w:val="22"/>
          <w:lang w:val="lt-LT" w:eastAsia="ja-JP"/>
        </w:rPr>
        <w:t>, kurie nėra apsikrėtę CMV, jeigu jiems persodintas CMV apsikrėtusio asmens organas.</w:t>
      </w:r>
    </w:p>
    <w:p w14:paraId="37E2FF16" w14:textId="77777777" w:rsidR="00107519" w:rsidRPr="00715891" w:rsidRDefault="00107519" w:rsidP="00107519">
      <w:pPr>
        <w:rPr>
          <w:sz w:val="22"/>
          <w:szCs w:val="22"/>
          <w:lang w:val="lt-LT" w:eastAsia="ja-JP"/>
        </w:rPr>
      </w:pPr>
    </w:p>
    <w:p w14:paraId="1A60B175" w14:textId="77777777" w:rsidR="00107519" w:rsidRPr="00715891" w:rsidRDefault="00107519" w:rsidP="00107519">
      <w:pPr>
        <w:rPr>
          <w:sz w:val="22"/>
          <w:szCs w:val="22"/>
          <w:lang w:val="lt-LT" w:eastAsia="ja-JP"/>
        </w:rPr>
      </w:pPr>
    </w:p>
    <w:p w14:paraId="0A848D67" w14:textId="77777777" w:rsidR="00107519" w:rsidRPr="00715891" w:rsidRDefault="00107519" w:rsidP="00EF476A">
      <w:pPr>
        <w:numPr>
          <w:ilvl w:val="0"/>
          <w:numId w:val="6"/>
        </w:numPr>
        <w:ind w:left="357" w:hanging="357"/>
        <w:rPr>
          <w:sz w:val="22"/>
          <w:szCs w:val="22"/>
          <w:lang w:val="lt-LT" w:eastAsia="ja-JP"/>
        </w:rPr>
      </w:pPr>
      <w:r w:rsidRPr="00715891">
        <w:rPr>
          <w:b/>
          <w:sz w:val="22"/>
          <w:szCs w:val="22"/>
          <w:lang w:val="lt-LT" w:eastAsia="ja-JP"/>
        </w:rPr>
        <w:t>Kas žinotina prieš vartojant Valganciclovir Sandoz</w:t>
      </w:r>
    </w:p>
    <w:p w14:paraId="1A316F3A" w14:textId="77777777" w:rsidR="00107519" w:rsidRPr="00715891" w:rsidRDefault="00107519" w:rsidP="00107519">
      <w:pPr>
        <w:rPr>
          <w:sz w:val="22"/>
          <w:szCs w:val="22"/>
          <w:lang w:val="lt-LT" w:eastAsia="ja-JP"/>
        </w:rPr>
      </w:pPr>
    </w:p>
    <w:p w14:paraId="7584D07F" w14:textId="71E53D90" w:rsidR="00107519" w:rsidRPr="00715891" w:rsidRDefault="00107519" w:rsidP="00107519">
      <w:pPr>
        <w:rPr>
          <w:sz w:val="22"/>
          <w:szCs w:val="22"/>
          <w:lang w:val="lt-LT" w:eastAsia="ja-JP"/>
        </w:rPr>
      </w:pPr>
      <w:r w:rsidRPr="00715891">
        <w:rPr>
          <w:b/>
          <w:bCs/>
          <w:sz w:val="22"/>
          <w:szCs w:val="22"/>
          <w:lang w:val="lt-LT" w:eastAsia="ja-JP"/>
        </w:rPr>
        <w:t>Valganciclovir Sandoz</w:t>
      </w:r>
      <w:r w:rsidRPr="00715891">
        <w:rPr>
          <w:sz w:val="22"/>
          <w:szCs w:val="22"/>
          <w:lang w:val="lt-LT" w:eastAsia="ja-JP"/>
        </w:rPr>
        <w:t xml:space="preserve"> </w:t>
      </w:r>
      <w:r w:rsidRPr="00715891">
        <w:rPr>
          <w:b/>
          <w:sz w:val="22"/>
          <w:szCs w:val="22"/>
          <w:lang w:val="lt-LT" w:eastAsia="ja-JP"/>
        </w:rPr>
        <w:t xml:space="preserve">vartoti </w:t>
      </w:r>
      <w:r w:rsidR="009B72CE" w:rsidRPr="00715891">
        <w:rPr>
          <w:b/>
          <w:sz w:val="22"/>
          <w:szCs w:val="22"/>
          <w:lang w:val="lt-LT" w:eastAsia="ja-JP"/>
        </w:rPr>
        <w:t>draudžiama</w:t>
      </w:r>
      <w:r w:rsidRPr="00715891">
        <w:rPr>
          <w:b/>
          <w:sz w:val="22"/>
          <w:szCs w:val="22"/>
          <w:lang w:val="lt-LT" w:eastAsia="ja-JP"/>
        </w:rPr>
        <w:t>:</w:t>
      </w:r>
    </w:p>
    <w:p w14:paraId="033F7C78" w14:textId="7A48D45B" w:rsidR="00107519" w:rsidRPr="00715891" w:rsidRDefault="00107519" w:rsidP="005B6B82">
      <w:pPr>
        <w:numPr>
          <w:ilvl w:val="0"/>
          <w:numId w:val="40"/>
        </w:numPr>
        <w:ind w:left="567" w:hanging="567"/>
        <w:rPr>
          <w:sz w:val="22"/>
          <w:szCs w:val="22"/>
          <w:lang w:val="lt-LT" w:eastAsia="ja-JP"/>
        </w:rPr>
      </w:pPr>
      <w:r w:rsidRPr="00715891">
        <w:rPr>
          <w:sz w:val="22"/>
          <w:szCs w:val="22"/>
          <w:lang w:val="lt-LT" w:eastAsia="ja-JP"/>
        </w:rPr>
        <w:t>jeigu yra alergija valganciklovirui</w:t>
      </w:r>
      <w:r w:rsidR="00571D29" w:rsidRPr="00715891">
        <w:rPr>
          <w:sz w:val="22"/>
          <w:szCs w:val="22"/>
          <w:lang w:val="lt-LT" w:eastAsia="ja-JP"/>
        </w:rPr>
        <w:t>, ganciklovirui</w:t>
      </w:r>
      <w:r w:rsidRPr="00715891">
        <w:rPr>
          <w:sz w:val="22"/>
          <w:szCs w:val="22"/>
          <w:lang w:val="lt-LT" w:eastAsia="ja-JP"/>
        </w:rPr>
        <w:t xml:space="preserve"> arba bet kuriai pagalbinei šio vaisto medžiagai (jos išvardytos 6 skyriuje);</w:t>
      </w:r>
    </w:p>
    <w:p w14:paraId="73D564BA" w14:textId="77777777" w:rsidR="00107519" w:rsidRPr="00715891" w:rsidRDefault="00107519" w:rsidP="005B6B82">
      <w:pPr>
        <w:numPr>
          <w:ilvl w:val="0"/>
          <w:numId w:val="40"/>
        </w:numPr>
        <w:ind w:left="567" w:hanging="567"/>
        <w:rPr>
          <w:sz w:val="22"/>
          <w:szCs w:val="22"/>
          <w:lang w:val="lt-LT" w:eastAsia="ja-JP"/>
        </w:rPr>
      </w:pPr>
      <w:r w:rsidRPr="00715891">
        <w:rPr>
          <w:sz w:val="22"/>
          <w:szCs w:val="22"/>
          <w:lang w:val="lt-LT" w:eastAsia="ja-JP"/>
        </w:rPr>
        <w:t>jeigu esate žindyvė.</w:t>
      </w:r>
    </w:p>
    <w:p w14:paraId="5C8622C3" w14:textId="77777777" w:rsidR="00107519" w:rsidRPr="00715891" w:rsidRDefault="00107519" w:rsidP="00107519">
      <w:pPr>
        <w:ind w:right="-2"/>
        <w:rPr>
          <w:sz w:val="22"/>
          <w:szCs w:val="22"/>
          <w:lang w:val="lt-LT" w:eastAsia="ja-JP"/>
        </w:rPr>
      </w:pPr>
    </w:p>
    <w:p w14:paraId="20F081F6" w14:textId="77777777" w:rsidR="00107519" w:rsidRPr="00715891" w:rsidRDefault="00107519" w:rsidP="00107519">
      <w:pPr>
        <w:keepNext/>
        <w:tabs>
          <w:tab w:val="left" w:pos="2835"/>
        </w:tabs>
        <w:outlineLvl w:val="3"/>
        <w:rPr>
          <w:rFonts w:eastAsia="Calibri"/>
          <w:b/>
          <w:sz w:val="22"/>
          <w:szCs w:val="22"/>
          <w:lang w:val="lt-LT" w:eastAsia="ja-JP"/>
        </w:rPr>
      </w:pPr>
      <w:r w:rsidRPr="00715891">
        <w:rPr>
          <w:rFonts w:eastAsia="Calibri"/>
          <w:b/>
          <w:sz w:val="22"/>
          <w:szCs w:val="22"/>
          <w:lang w:val="lt-LT" w:eastAsia="ja-JP"/>
        </w:rPr>
        <w:t>Įspėjimai ir atsargumo priemonės</w:t>
      </w:r>
    </w:p>
    <w:p w14:paraId="45B67C27" w14:textId="77777777" w:rsidR="00107519" w:rsidRPr="00715891" w:rsidRDefault="00107519" w:rsidP="00107519">
      <w:pPr>
        <w:ind w:right="-2"/>
        <w:rPr>
          <w:sz w:val="22"/>
          <w:szCs w:val="22"/>
          <w:lang w:val="lt-LT" w:eastAsia="ja-JP"/>
        </w:rPr>
      </w:pPr>
      <w:r w:rsidRPr="00715891">
        <w:rPr>
          <w:sz w:val="22"/>
          <w:szCs w:val="22"/>
          <w:lang w:val="lt-LT"/>
        </w:rPr>
        <w:t>Pasitarkite su gydytoju arba vaistininku, prieš pradėdami vartoti Valganciclovir Sandoz, jeigu:</w:t>
      </w:r>
    </w:p>
    <w:p w14:paraId="04C5D071" w14:textId="0CC5202F" w:rsidR="00571D29" w:rsidRPr="00715891" w:rsidRDefault="00571D29" w:rsidP="003C60C4">
      <w:pPr>
        <w:numPr>
          <w:ilvl w:val="0"/>
          <w:numId w:val="41"/>
        </w:numPr>
        <w:ind w:left="567" w:hanging="567"/>
        <w:rPr>
          <w:sz w:val="22"/>
          <w:szCs w:val="22"/>
          <w:lang w:val="lt-LT" w:eastAsia="ja-JP"/>
        </w:rPr>
      </w:pPr>
      <w:r w:rsidRPr="00715891">
        <w:rPr>
          <w:sz w:val="22"/>
          <w:szCs w:val="22"/>
          <w:lang w:val="lt-LT" w:eastAsia="ja-JP"/>
        </w:rPr>
        <w:t>esate alergiškas aciklovirui, penciklovirui, valaciklovirui arba famciklovirui. Tai yra kiti vaistai, vartojami nuo virusinių infekcijų</w:t>
      </w:r>
      <w:r w:rsidR="008B5ADB" w:rsidRPr="00715891">
        <w:rPr>
          <w:sz w:val="22"/>
          <w:szCs w:val="22"/>
          <w:lang w:val="lt-LT" w:eastAsia="ja-JP"/>
        </w:rPr>
        <w:t>.</w:t>
      </w:r>
    </w:p>
    <w:p w14:paraId="1B982787" w14:textId="77777777" w:rsidR="00BB0BA9" w:rsidRPr="00715891" w:rsidRDefault="00BB0BA9" w:rsidP="003C60C4">
      <w:pPr>
        <w:rPr>
          <w:b/>
          <w:sz w:val="22"/>
          <w:szCs w:val="22"/>
          <w:lang w:val="lt-LT" w:eastAsia="ja-JP"/>
        </w:rPr>
      </w:pPr>
    </w:p>
    <w:p w14:paraId="33DA4496" w14:textId="36093DE4" w:rsidR="00571D29" w:rsidRPr="00715891" w:rsidRDefault="00571D29" w:rsidP="003C60C4">
      <w:pPr>
        <w:rPr>
          <w:b/>
          <w:sz w:val="22"/>
          <w:szCs w:val="22"/>
          <w:lang w:val="lt-LT" w:eastAsia="ja-JP"/>
        </w:rPr>
      </w:pPr>
      <w:r w:rsidRPr="00715891">
        <w:rPr>
          <w:b/>
          <w:sz w:val="22"/>
          <w:szCs w:val="22"/>
          <w:lang w:val="lt-LT" w:eastAsia="ja-JP"/>
        </w:rPr>
        <w:t>Vartojant Valganciclovir Sandoz reikalingas tam tikras atsargumas, jeigu:</w:t>
      </w:r>
    </w:p>
    <w:p w14:paraId="5785F78C" w14:textId="77777777" w:rsidR="00107519" w:rsidRPr="00715891" w:rsidRDefault="00107519" w:rsidP="005B6B82">
      <w:pPr>
        <w:numPr>
          <w:ilvl w:val="0"/>
          <w:numId w:val="42"/>
        </w:numPr>
        <w:ind w:left="567" w:hanging="567"/>
        <w:rPr>
          <w:sz w:val="22"/>
          <w:szCs w:val="22"/>
          <w:lang w:val="lt-LT" w:eastAsia="ja-JP"/>
        </w:rPr>
      </w:pPr>
      <w:r w:rsidRPr="00715891">
        <w:rPr>
          <w:sz w:val="22"/>
          <w:szCs w:val="22"/>
          <w:lang w:val="lt-LT" w:eastAsia="ja-JP"/>
        </w:rPr>
        <w:lastRenderedPageBreak/>
        <w:t xml:space="preserve">yra mažas leukocitų, eritrocitų arba kraujo plokštelių (mažų ląstelių, dalyvaujančių kraujo krešėjime) skaičius. Prieš pradedant vartoti Valganciclovir Sandoz, gydytojas ištirs Jūsų kraują ir dar daugiau tyrimų bus daroma, kol vartosite šį vaistą; </w:t>
      </w:r>
    </w:p>
    <w:p w14:paraId="49769385" w14:textId="77777777" w:rsidR="00107519" w:rsidRPr="00715891" w:rsidRDefault="00107519" w:rsidP="005B6B82">
      <w:pPr>
        <w:numPr>
          <w:ilvl w:val="0"/>
          <w:numId w:val="42"/>
        </w:numPr>
        <w:ind w:left="567" w:hanging="567"/>
        <w:rPr>
          <w:sz w:val="22"/>
          <w:szCs w:val="22"/>
          <w:lang w:val="lt-LT" w:eastAsia="ja-JP"/>
        </w:rPr>
      </w:pPr>
      <w:r w:rsidRPr="00715891">
        <w:rPr>
          <w:sz w:val="22"/>
          <w:szCs w:val="22"/>
          <w:lang w:val="lt-LT" w:eastAsia="ja-JP"/>
        </w:rPr>
        <w:t>Jums taikoma radioterapija ar hemodializė;</w:t>
      </w:r>
    </w:p>
    <w:p w14:paraId="6506311A" w14:textId="77777777" w:rsidR="00107519" w:rsidRPr="00715891" w:rsidRDefault="00107519" w:rsidP="005B6B82">
      <w:pPr>
        <w:numPr>
          <w:ilvl w:val="0"/>
          <w:numId w:val="42"/>
        </w:numPr>
        <w:ind w:left="567" w:hanging="567"/>
        <w:rPr>
          <w:sz w:val="22"/>
          <w:szCs w:val="22"/>
          <w:lang w:val="lt-LT" w:eastAsia="ja-JP"/>
        </w:rPr>
      </w:pPr>
      <w:r w:rsidRPr="00715891">
        <w:rPr>
          <w:sz w:val="22"/>
          <w:szCs w:val="22"/>
          <w:lang w:val="lt-LT" w:eastAsia="ja-JP"/>
        </w:rPr>
        <w:t>Jums yra problemų dėl inkstų. Jūsų gydytojui gali reikėti paskirti mažesnę dozę ir dažnai tirti Jūsų kraują gydymo metu;</w:t>
      </w:r>
    </w:p>
    <w:p w14:paraId="39969FD7" w14:textId="77777777" w:rsidR="00107519" w:rsidRPr="00715891" w:rsidRDefault="00107519" w:rsidP="005B6B82">
      <w:pPr>
        <w:numPr>
          <w:ilvl w:val="0"/>
          <w:numId w:val="42"/>
        </w:numPr>
        <w:ind w:left="567" w:hanging="567"/>
        <w:rPr>
          <w:lang w:val="lt-LT" w:eastAsia="ja-JP"/>
        </w:rPr>
      </w:pPr>
      <w:r w:rsidRPr="00715891">
        <w:rPr>
          <w:sz w:val="22"/>
          <w:szCs w:val="22"/>
          <w:lang w:val="lt-LT" w:eastAsia="ja-JP"/>
        </w:rPr>
        <w:t>jeigu vartojate gancikloviro kapsulių ir gydytojas nori toliau Jus gydyti Valganciclovir Sandoz tabletėmis. Svarbu, kad nevartotumėte daugiau tablečių, negu paskirta gydytojo, nes gali kilti perdozavimo pavojus</w:t>
      </w:r>
      <w:r w:rsidRPr="00715891">
        <w:rPr>
          <w:lang w:val="lt-LT" w:eastAsia="ja-JP"/>
        </w:rPr>
        <w:t>.</w:t>
      </w:r>
    </w:p>
    <w:p w14:paraId="627EDC6F" w14:textId="77777777" w:rsidR="00107519" w:rsidRPr="00715891" w:rsidRDefault="00107519" w:rsidP="00107519">
      <w:pPr>
        <w:ind w:right="-2"/>
        <w:rPr>
          <w:b/>
          <w:i/>
          <w:sz w:val="22"/>
          <w:szCs w:val="22"/>
          <w:lang w:val="lt-LT" w:eastAsia="ja-JP"/>
        </w:rPr>
      </w:pPr>
    </w:p>
    <w:p w14:paraId="37DB8CA7" w14:textId="77777777" w:rsidR="00107519" w:rsidRPr="00715891" w:rsidRDefault="00107519" w:rsidP="00107519">
      <w:pPr>
        <w:jc w:val="both"/>
        <w:rPr>
          <w:sz w:val="22"/>
          <w:szCs w:val="22"/>
          <w:lang w:val="lt-LT" w:eastAsia="ja-JP"/>
        </w:rPr>
      </w:pPr>
      <w:r w:rsidRPr="00715891">
        <w:rPr>
          <w:b/>
          <w:sz w:val="22"/>
          <w:szCs w:val="22"/>
          <w:lang w:val="lt-LT" w:eastAsia="ja-JP"/>
        </w:rPr>
        <w:t>Kiti vaistai ir Valganciclovir Sandoz</w:t>
      </w:r>
    </w:p>
    <w:p w14:paraId="7CAFC5F2" w14:textId="77777777" w:rsidR="00107519" w:rsidRPr="00715891" w:rsidRDefault="00107519" w:rsidP="00107519">
      <w:pPr>
        <w:ind w:right="-2"/>
        <w:rPr>
          <w:sz w:val="22"/>
          <w:szCs w:val="22"/>
          <w:lang w:val="lt-LT" w:eastAsia="ja-JP"/>
        </w:rPr>
      </w:pPr>
      <w:r w:rsidRPr="00715891">
        <w:rPr>
          <w:sz w:val="22"/>
          <w:szCs w:val="22"/>
          <w:lang w:val="lt-LT" w:eastAsia="ja-JP"/>
        </w:rPr>
        <w:t>Jeigu vartojate ar neseniai vartojote kitų vaistų (įskaitant įsigytus be recepto) arba dėl to nesate tikri, apie tai pasakykite gydytojui arba vaistininkui.</w:t>
      </w:r>
    </w:p>
    <w:p w14:paraId="7E49C89A" w14:textId="77777777" w:rsidR="00107519" w:rsidRPr="00715891" w:rsidRDefault="00107519" w:rsidP="00107519">
      <w:pPr>
        <w:ind w:right="-2"/>
        <w:rPr>
          <w:sz w:val="22"/>
          <w:szCs w:val="22"/>
          <w:lang w:val="lt-LT" w:eastAsia="ja-JP"/>
        </w:rPr>
      </w:pPr>
    </w:p>
    <w:p w14:paraId="6FA1A72A" w14:textId="77777777" w:rsidR="00107519" w:rsidRPr="00715891" w:rsidRDefault="00107519" w:rsidP="00107519">
      <w:pPr>
        <w:ind w:right="-2"/>
        <w:rPr>
          <w:sz w:val="22"/>
          <w:szCs w:val="22"/>
          <w:lang w:val="lt-LT" w:eastAsia="ja-JP"/>
        </w:rPr>
      </w:pPr>
      <w:r w:rsidRPr="00715891">
        <w:rPr>
          <w:sz w:val="22"/>
          <w:szCs w:val="22"/>
          <w:lang w:val="lt-LT" w:eastAsia="ja-JP"/>
        </w:rPr>
        <w:t>Jeigu kartu su Valganciclovir Sandoz vartojate kitų vaistų, toks derinys gali paveikti į kraujo apytaką patenkančio vaisto kiekį arba gali sukelti kenksmingą poveikį. Pasakykite gydytojui, jeigu jau vartojate vaistų, kurių sudėtyje yra bet kurios toliau išvardytos medžiagos:</w:t>
      </w:r>
    </w:p>
    <w:p w14:paraId="2796F3C4" w14:textId="77777777" w:rsidR="00107519" w:rsidRPr="00715891" w:rsidRDefault="00107519" w:rsidP="005B6B82">
      <w:pPr>
        <w:numPr>
          <w:ilvl w:val="0"/>
          <w:numId w:val="43"/>
        </w:numPr>
        <w:ind w:left="567" w:hanging="567"/>
        <w:rPr>
          <w:sz w:val="22"/>
          <w:szCs w:val="22"/>
          <w:lang w:val="lt-LT" w:eastAsia="ja-JP"/>
        </w:rPr>
      </w:pPr>
      <w:r w:rsidRPr="00715891">
        <w:rPr>
          <w:sz w:val="22"/>
          <w:szCs w:val="22"/>
          <w:lang w:val="lt-LT" w:eastAsia="ja-JP"/>
        </w:rPr>
        <w:t>imipenemo-cilastatino (</w:t>
      </w:r>
      <w:r w:rsidRPr="00715891">
        <w:rPr>
          <w:b/>
          <w:sz w:val="22"/>
          <w:szCs w:val="22"/>
          <w:lang w:val="lt-LT" w:eastAsia="ja-JP"/>
        </w:rPr>
        <w:t>antibiotiko</w:t>
      </w:r>
      <w:r w:rsidRPr="00715891">
        <w:rPr>
          <w:sz w:val="22"/>
          <w:szCs w:val="22"/>
          <w:lang w:val="lt-LT" w:eastAsia="ja-JP"/>
        </w:rPr>
        <w:t>). Jo vartojimas kartu su Valganciclovir Sandoz gali sukelti priepuolius (traukulius);</w:t>
      </w:r>
    </w:p>
    <w:p w14:paraId="65126345" w14:textId="01706B11" w:rsidR="00107519" w:rsidRPr="00715891" w:rsidRDefault="00107519" w:rsidP="005B6B82">
      <w:pPr>
        <w:numPr>
          <w:ilvl w:val="0"/>
          <w:numId w:val="43"/>
        </w:numPr>
        <w:ind w:left="567" w:hanging="567"/>
        <w:rPr>
          <w:sz w:val="22"/>
          <w:szCs w:val="22"/>
          <w:lang w:val="lt-LT" w:eastAsia="ja-JP"/>
        </w:rPr>
      </w:pPr>
      <w:r w:rsidRPr="00715891">
        <w:rPr>
          <w:sz w:val="22"/>
          <w:szCs w:val="22"/>
          <w:lang w:val="lt-LT" w:eastAsia="ja-JP"/>
        </w:rPr>
        <w:t>zidovudino, didanozino, lamivudino,</w:t>
      </w:r>
      <w:r w:rsidR="00571D29" w:rsidRPr="00715891">
        <w:rPr>
          <w:sz w:val="22"/>
          <w:szCs w:val="22"/>
          <w:lang w:val="lt-LT" w:eastAsia="ja-JP"/>
        </w:rPr>
        <w:t xml:space="preserve"> stavudino, </w:t>
      </w:r>
      <w:r w:rsidRPr="00715891">
        <w:rPr>
          <w:sz w:val="22"/>
          <w:szCs w:val="22"/>
          <w:lang w:val="lt-LT" w:eastAsia="ja-JP"/>
        </w:rPr>
        <w:t xml:space="preserve">tenofoviro, abakaviro, emtricitabino ar panašios rūšies </w:t>
      </w:r>
      <w:r w:rsidRPr="00715891">
        <w:rPr>
          <w:b/>
          <w:sz w:val="22"/>
          <w:szCs w:val="22"/>
          <w:lang w:val="lt-LT" w:eastAsia="ja-JP"/>
        </w:rPr>
        <w:t>vaistų, vartojamų gydyti AIDS</w:t>
      </w:r>
      <w:r w:rsidRPr="00715891">
        <w:rPr>
          <w:sz w:val="22"/>
          <w:szCs w:val="22"/>
          <w:lang w:val="lt-LT" w:eastAsia="ja-JP"/>
        </w:rPr>
        <w:t>;</w:t>
      </w:r>
    </w:p>
    <w:p w14:paraId="0D772955" w14:textId="7FF52414" w:rsidR="00107519" w:rsidRPr="00715891" w:rsidRDefault="00107519" w:rsidP="005B6B82">
      <w:pPr>
        <w:numPr>
          <w:ilvl w:val="0"/>
          <w:numId w:val="43"/>
        </w:numPr>
        <w:ind w:left="567" w:hanging="567"/>
        <w:rPr>
          <w:sz w:val="22"/>
          <w:szCs w:val="22"/>
          <w:lang w:val="lt-LT" w:eastAsia="ja-JP"/>
        </w:rPr>
      </w:pPr>
      <w:r w:rsidRPr="00715891">
        <w:rPr>
          <w:sz w:val="22"/>
          <w:szCs w:val="22"/>
          <w:lang w:val="lt-LT" w:eastAsia="ja-JP"/>
        </w:rPr>
        <w:t xml:space="preserve">adefoviro ar </w:t>
      </w:r>
      <w:r w:rsidR="00571D29" w:rsidRPr="00715891">
        <w:rPr>
          <w:sz w:val="22"/>
          <w:szCs w:val="22"/>
          <w:lang w:val="lt-LT" w:eastAsia="ja-JP"/>
        </w:rPr>
        <w:t>bet kokių kitų vaistų</w:t>
      </w:r>
      <w:r w:rsidRPr="00715891">
        <w:rPr>
          <w:sz w:val="22"/>
          <w:szCs w:val="22"/>
          <w:lang w:val="lt-LT" w:eastAsia="ja-JP"/>
        </w:rPr>
        <w:t>, vartojamų gydyti hepatitą B ar C;</w:t>
      </w:r>
    </w:p>
    <w:p w14:paraId="2F795E7F" w14:textId="77777777" w:rsidR="00107519" w:rsidRPr="00715891" w:rsidRDefault="00107519" w:rsidP="005B6B82">
      <w:pPr>
        <w:numPr>
          <w:ilvl w:val="0"/>
          <w:numId w:val="43"/>
        </w:numPr>
        <w:ind w:left="567" w:hanging="567"/>
        <w:rPr>
          <w:sz w:val="22"/>
          <w:szCs w:val="22"/>
          <w:lang w:val="lt-LT" w:eastAsia="ja-JP"/>
        </w:rPr>
      </w:pPr>
      <w:r w:rsidRPr="00715891">
        <w:rPr>
          <w:sz w:val="22"/>
          <w:szCs w:val="22"/>
          <w:lang w:val="lt-LT" w:eastAsia="ja-JP"/>
        </w:rPr>
        <w:t>probenecido (</w:t>
      </w:r>
      <w:r w:rsidRPr="00715891">
        <w:rPr>
          <w:b/>
          <w:sz w:val="22"/>
          <w:szCs w:val="22"/>
          <w:lang w:val="lt-LT" w:eastAsia="ja-JP"/>
        </w:rPr>
        <w:t>vaisto nuo podagros</w:t>
      </w:r>
      <w:r w:rsidRPr="00715891">
        <w:rPr>
          <w:sz w:val="22"/>
          <w:szCs w:val="22"/>
          <w:lang w:val="lt-LT" w:eastAsia="ja-JP"/>
        </w:rPr>
        <w:t>). Probenecido ir Valganciclovir Sandoz vartojimas tuo pačiu laiku gali padidinti gancikloviro kiekį Jūsų kraujyje;</w:t>
      </w:r>
    </w:p>
    <w:p w14:paraId="5E2B05F3" w14:textId="77777777" w:rsidR="00107519" w:rsidRPr="00715891" w:rsidRDefault="00107519" w:rsidP="005B6B82">
      <w:pPr>
        <w:numPr>
          <w:ilvl w:val="0"/>
          <w:numId w:val="43"/>
        </w:numPr>
        <w:ind w:left="567" w:hanging="567"/>
        <w:rPr>
          <w:sz w:val="22"/>
          <w:szCs w:val="22"/>
          <w:lang w:val="lt-LT" w:eastAsia="ja-JP"/>
        </w:rPr>
      </w:pPr>
      <w:r w:rsidRPr="00715891">
        <w:rPr>
          <w:sz w:val="22"/>
          <w:szCs w:val="22"/>
          <w:lang w:val="lt-LT" w:eastAsia="ja-JP"/>
        </w:rPr>
        <w:t>mikofenolato mofetilio (</w:t>
      </w:r>
      <w:r w:rsidRPr="00715891">
        <w:rPr>
          <w:b/>
          <w:sz w:val="22"/>
          <w:szCs w:val="22"/>
          <w:lang w:val="lt-LT" w:eastAsia="ja-JP"/>
        </w:rPr>
        <w:t>vartojamo po organų persodinimo</w:t>
      </w:r>
      <w:r w:rsidRPr="00715891">
        <w:rPr>
          <w:sz w:val="22"/>
          <w:szCs w:val="22"/>
          <w:lang w:val="lt-LT" w:eastAsia="ja-JP"/>
        </w:rPr>
        <w:t>);</w:t>
      </w:r>
    </w:p>
    <w:p w14:paraId="339036FC" w14:textId="1C93EE6A" w:rsidR="00107519" w:rsidRPr="00715891" w:rsidRDefault="00107519" w:rsidP="005B6B82">
      <w:pPr>
        <w:numPr>
          <w:ilvl w:val="0"/>
          <w:numId w:val="43"/>
        </w:numPr>
        <w:ind w:left="567" w:hanging="567"/>
        <w:rPr>
          <w:sz w:val="22"/>
          <w:szCs w:val="22"/>
          <w:lang w:val="lt-LT" w:eastAsia="ja-JP"/>
        </w:rPr>
      </w:pPr>
      <w:r w:rsidRPr="00715891">
        <w:rPr>
          <w:sz w:val="22"/>
          <w:szCs w:val="22"/>
          <w:lang w:val="lt-LT"/>
        </w:rPr>
        <w:t xml:space="preserve">vinkristino, vinblastino, </w:t>
      </w:r>
      <w:r w:rsidR="00571D29" w:rsidRPr="00715891">
        <w:rPr>
          <w:sz w:val="22"/>
          <w:szCs w:val="22"/>
          <w:lang w:val="lt-LT"/>
        </w:rPr>
        <w:t>doksorubicino</w:t>
      </w:r>
      <w:r w:rsidRPr="00715891">
        <w:rPr>
          <w:sz w:val="22"/>
          <w:szCs w:val="22"/>
          <w:lang w:val="lt-LT"/>
        </w:rPr>
        <w:t xml:space="preserve">, hidroksikarbamido ar panašių </w:t>
      </w:r>
      <w:r w:rsidRPr="00715891">
        <w:rPr>
          <w:b/>
          <w:sz w:val="22"/>
          <w:szCs w:val="22"/>
          <w:lang w:val="lt-LT" w:eastAsia="ja-JP"/>
        </w:rPr>
        <w:t>vaistų nuo vėžio</w:t>
      </w:r>
      <w:r w:rsidRPr="00715891">
        <w:rPr>
          <w:sz w:val="22"/>
          <w:szCs w:val="22"/>
          <w:lang w:val="lt-LT" w:eastAsia="ja-JP"/>
        </w:rPr>
        <w:t>;</w:t>
      </w:r>
    </w:p>
    <w:p w14:paraId="3D413E02" w14:textId="0277B6DA" w:rsidR="00107519" w:rsidRPr="00715891" w:rsidRDefault="00107519" w:rsidP="005B6B82">
      <w:pPr>
        <w:numPr>
          <w:ilvl w:val="0"/>
          <w:numId w:val="43"/>
        </w:numPr>
        <w:ind w:left="567" w:hanging="567"/>
        <w:rPr>
          <w:sz w:val="22"/>
          <w:szCs w:val="22"/>
          <w:lang w:val="lt-LT" w:eastAsia="ja-JP"/>
        </w:rPr>
      </w:pPr>
      <w:r w:rsidRPr="00715891">
        <w:rPr>
          <w:sz w:val="22"/>
          <w:szCs w:val="22"/>
          <w:lang w:val="lt-LT" w:eastAsia="ja-JP"/>
        </w:rPr>
        <w:t xml:space="preserve">trimetoprimo, </w:t>
      </w:r>
      <w:r w:rsidRPr="00715891">
        <w:rPr>
          <w:sz w:val="22"/>
          <w:szCs w:val="22"/>
          <w:lang w:val="lt-LT"/>
        </w:rPr>
        <w:t xml:space="preserve">trimetroprimo ir </w:t>
      </w:r>
      <w:r w:rsidRPr="00715891">
        <w:rPr>
          <w:iCs/>
          <w:sz w:val="22"/>
          <w:szCs w:val="22"/>
          <w:lang w:val="lt-LT"/>
        </w:rPr>
        <w:t xml:space="preserve">sulfonamidų </w:t>
      </w:r>
      <w:r w:rsidRPr="00715891">
        <w:rPr>
          <w:sz w:val="22"/>
          <w:szCs w:val="22"/>
          <w:lang w:val="lt-LT"/>
        </w:rPr>
        <w:t xml:space="preserve">derinių, dapsono </w:t>
      </w:r>
      <w:r w:rsidRPr="00715891">
        <w:rPr>
          <w:sz w:val="22"/>
          <w:szCs w:val="22"/>
          <w:lang w:val="lt-LT" w:eastAsia="ja-JP"/>
        </w:rPr>
        <w:t>(</w:t>
      </w:r>
      <w:r w:rsidRPr="00715891">
        <w:rPr>
          <w:b/>
          <w:sz w:val="22"/>
          <w:szCs w:val="22"/>
          <w:lang w:val="lt-LT" w:eastAsia="ja-JP"/>
        </w:rPr>
        <w:t>antibiotikų</w:t>
      </w:r>
      <w:r w:rsidRPr="00715891">
        <w:rPr>
          <w:sz w:val="22"/>
          <w:szCs w:val="22"/>
          <w:lang w:val="lt-LT" w:eastAsia="ja-JP"/>
        </w:rPr>
        <w:t>);</w:t>
      </w:r>
    </w:p>
    <w:p w14:paraId="0AF4B0D7" w14:textId="77777777" w:rsidR="00107519" w:rsidRPr="00715891" w:rsidRDefault="00107519" w:rsidP="005B6B82">
      <w:pPr>
        <w:numPr>
          <w:ilvl w:val="0"/>
          <w:numId w:val="43"/>
        </w:numPr>
        <w:ind w:left="567" w:hanging="567"/>
        <w:rPr>
          <w:sz w:val="22"/>
          <w:szCs w:val="22"/>
          <w:lang w:val="lt-LT" w:eastAsia="ja-JP"/>
        </w:rPr>
      </w:pPr>
      <w:r w:rsidRPr="00715891">
        <w:rPr>
          <w:sz w:val="22"/>
          <w:szCs w:val="22"/>
          <w:lang w:val="lt-LT"/>
        </w:rPr>
        <w:t>pentamidino (</w:t>
      </w:r>
      <w:r w:rsidRPr="00715891">
        <w:rPr>
          <w:b/>
          <w:sz w:val="22"/>
          <w:szCs w:val="22"/>
          <w:lang w:val="lt-LT"/>
        </w:rPr>
        <w:t>vaisto, vartojamo parazitų sukeltoms ligoms ar plaučių infekcinėms ligoms gydyti</w:t>
      </w:r>
      <w:r w:rsidRPr="00715891">
        <w:rPr>
          <w:sz w:val="22"/>
          <w:szCs w:val="22"/>
          <w:lang w:val="lt-LT"/>
        </w:rPr>
        <w:t>);</w:t>
      </w:r>
    </w:p>
    <w:p w14:paraId="6830E0F9" w14:textId="30A1C17C" w:rsidR="00107519" w:rsidRPr="00715891" w:rsidRDefault="00107519" w:rsidP="005B6B82">
      <w:pPr>
        <w:numPr>
          <w:ilvl w:val="0"/>
          <w:numId w:val="43"/>
        </w:numPr>
        <w:ind w:left="567" w:hanging="567"/>
        <w:rPr>
          <w:sz w:val="22"/>
          <w:szCs w:val="22"/>
          <w:lang w:val="lt-LT" w:eastAsia="ja-JP"/>
        </w:rPr>
      </w:pPr>
      <w:r w:rsidRPr="00715891">
        <w:rPr>
          <w:sz w:val="22"/>
          <w:szCs w:val="22"/>
          <w:lang w:val="lt-LT"/>
        </w:rPr>
        <w:t>flucitozino ar amfotericin</w:t>
      </w:r>
      <w:r w:rsidR="008B5ADB" w:rsidRPr="00715891">
        <w:rPr>
          <w:sz w:val="22"/>
          <w:szCs w:val="22"/>
          <w:lang w:val="lt-LT"/>
        </w:rPr>
        <w:t>o</w:t>
      </w:r>
      <w:r w:rsidRPr="00715891">
        <w:rPr>
          <w:sz w:val="22"/>
          <w:szCs w:val="22"/>
          <w:lang w:val="lt-LT"/>
        </w:rPr>
        <w:t xml:space="preserve"> B (</w:t>
      </w:r>
      <w:r w:rsidRPr="00715891">
        <w:rPr>
          <w:b/>
          <w:sz w:val="22"/>
          <w:szCs w:val="22"/>
          <w:lang w:val="lt-LT"/>
        </w:rPr>
        <w:t>priešgrybelinių vaistų</w:t>
      </w:r>
      <w:r w:rsidRPr="00715891">
        <w:rPr>
          <w:sz w:val="22"/>
          <w:szCs w:val="22"/>
          <w:lang w:val="lt-LT"/>
        </w:rPr>
        <w:t>).</w:t>
      </w:r>
    </w:p>
    <w:p w14:paraId="3633AB7D" w14:textId="77777777" w:rsidR="00107519" w:rsidRPr="00715891" w:rsidRDefault="00107519" w:rsidP="00107519">
      <w:pPr>
        <w:ind w:left="567" w:hanging="567"/>
        <w:rPr>
          <w:sz w:val="22"/>
          <w:szCs w:val="22"/>
          <w:lang w:val="lt-LT" w:eastAsia="ja-JP"/>
        </w:rPr>
      </w:pPr>
    </w:p>
    <w:p w14:paraId="7746BDFD" w14:textId="77777777" w:rsidR="00107519" w:rsidRPr="00715891" w:rsidRDefault="00107519" w:rsidP="00107519">
      <w:pPr>
        <w:ind w:right="-2"/>
        <w:rPr>
          <w:sz w:val="22"/>
          <w:szCs w:val="22"/>
          <w:lang w:val="lt-LT" w:eastAsia="ja-JP"/>
        </w:rPr>
      </w:pPr>
      <w:r w:rsidRPr="00715891">
        <w:rPr>
          <w:b/>
          <w:sz w:val="22"/>
          <w:szCs w:val="22"/>
          <w:lang w:val="lt-LT" w:eastAsia="ja-JP"/>
        </w:rPr>
        <w:t>Valganciclovir Sandoz vartojimas su maistu ir gėrimais</w:t>
      </w:r>
    </w:p>
    <w:p w14:paraId="6FF37C1B" w14:textId="77777777" w:rsidR="00107519" w:rsidRPr="00715891" w:rsidRDefault="00107519" w:rsidP="00107519">
      <w:pPr>
        <w:ind w:right="-2"/>
        <w:rPr>
          <w:sz w:val="22"/>
          <w:szCs w:val="22"/>
          <w:lang w:val="lt-LT" w:eastAsia="ja-JP"/>
        </w:rPr>
      </w:pPr>
      <w:r w:rsidRPr="00715891">
        <w:rPr>
          <w:sz w:val="22"/>
          <w:szCs w:val="22"/>
          <w:lang w:val="lt-LT" w:eastAsia="ja-JP"/>
        </w:rPr>
        <w:t>Valganciclovir Sandoz reikia vartoti valgant. Jeigu dėl kokių nors priežasčių negalite valgyti, vis tiek įprastu laiku turite išgerti reikiamą Valganciclovir Sandoz dozę.</w:t>
      </w:r>
    </w:p>
    <w:p w14:paraId="6AED18E8" w14:textId="77777777" w:rsidR="00107519" w:rsidRPr="00715891" w:rsidRDefault="00107519" w:rsidP="00107519">
      <w:pPr>
        <w:ind w:right="-2"/>
        <w:rPr>
          <w:sz w:val="22"/>
          <w:szCs w:val="22"/>
          <w:lang w:val="lt-LT" w:eastAsia="ja-JP"/>
        </w:rPr>
      </w:pPr>
    </w:p>
    <w:p w14:paraId="24E17B49" w14:textId="77777777" w:rsidR="00107519" w:rsidRPr="00715891" w:rsidRDefault="00107519" w:rsidP="00107519">
      <w:pPr>
        <w:rPr>
          <w:b/>
          <w:sz w:val="22"/>
          <w:szCs w:val="22"/>
          <w:lang w:val="lt-LT" w:eastAsia="ja-JP"/>
        </w:rPr>
      </w:pPr>
      <w:r w:rsidRPr="00715891">
        <w:rPr>
          <w:b/>
          <w:sz w:val="22"/>
          <w:szCs w:val="22"/>
          <w:lang w:val="lt-LT" w:eastAsia="ja-JP"/>
        </w:rPr>
        <w:t>Nėštumas, žindymo laikotarpis ir vaisingumas</w:t>
      </w:r>
    </w:p>
    <w:p w14:paraId="794374DC" w14:textId="77777777" w:rsidR="00107519" w:rsidRPr="00715891" w:rsidRDefault="00107519" w:rsidP="00107519">
      <w:pPr>
        <w:ind w:right="-2"/>
        <w:rPr>
          <w:sz w:val="22"/>
          <w:szCs w:val="22"/>
          <w:lang w:val="lt-LT" w:eastAsia="ja-JP"/>
        </w:rPr>
      </w:pPr>
      <w:r w:rsidRPr="00715891">
        <w:rPr>
          <w:sz w:val="22"/>
          <w:szCs w:val="22"/>
          <w:lang w:val="lt-LT"/>
        </w:rPr>
        <w:t>Jeigu esate nėščia, žindote kūdikį, manote, kad galbūt esate nėščia, arba planuojate pastoti, tai prieš vartodama šį vaistą, pasitarkite su gydytoju arba vaistininku.</w:t>
      </w:r>
    </w:p>
    <w:p w14:paraId="2BE717DB" w14:textId="77777777" w:rsidR="00107519" w:rsidRPr="00715891" w:rsidRDefault="00107519" w:rsidP="00107519">
      <w:pPr>
        <w:ind w:right="-2"/>
        <w:rPr>
          <w:sz w:val="22"/>
          <w:szCs w:val="22"/>
          <w:lang w:val="lt-LT" w:eastAsia="ja-JP"/>
        </w:rPr>
      </w:pPr>
    </w:p>
    <w:p w14:paraId="5B8AF0D1" w14:textId="77777777" w:rsidR="006B5FA5" w:rsidRPr="00715891" w:rsidRDefault="00107519" w:rsidP="00107519">
      <w:pPr>
        <w:ind w:right="-2"/>
        <w:rPr>
          <w:sz w:val="22"/>
          <w:szCs w:val="22"/>
          <w:lang w:val="lt-LT" w:eastAsia="ja-JP"/>
        </w:rPr>
      </w:pPr>
      <w:r w:rsidRPr="00715891">
        <w:rPr>
          <w:sz w:val="22"/>
          <w:szCs w:val="22"/>
          <w:lang w:val="lt-LT" w:eastAsia="ja-JP"/>
        </w:rPr>
        <w:t xml:space="preserve">Jeigu esate nėščia, nevartokite </w:t>
      </w:r>
      <w:r w:rsidRPr="00715891">
        <w:rPr>
          <w:bCs/>
          <w:sz w:val="22"/>
          <w:szCs w:val="22"/>
          <w:lang w:val="lt-LT" w:eastAsia="ja-JP"/>
        </w:rPr>
        <w:t>Valganciclovir Sandoz, nebent gydytojas rekomenduoja vartoti</w:t>
      </w:r>
      <w:r w:rsidRPr="00715891">
        <w:rPr>
          <w:sz w:val="22"/>
          <w:szCs w:val="22"/>
          <w:lang w:val="lt-LT" w:eastAsia="ja-JP"/>
        </w:rPr>
        <w:t xml:space="preserve">. </w:t>
      </w:r>
      <w:r w:rsidR="006B5FA5" w:rsidRPr="00715891">
        <w:rPr>
          <w:sz w:val="22"/>
          <w:szCs w:val="22"/>
          <w:lang w:val="lt-LT" w:eastAsia="ja-JP"/>
        </w:rPr>
        <w:t xml:space="preserve">Jeigu esate nėščia arba planuojate pastoti, turite pasakyti savo gydytojui. </w:t>
      </w:r>
    </w:p>
    <w:p w14:paraId="7C456DF8" w14:textId="77777777" w:rsidR="00107519" w:rsidRPr="00715891" w:rsidRDefault="00107519" w:rsidP="00107519">
      <w:pPr>
        <w:ind w:right="-2"/>
        <w:rPr>
          <w:sz w:val="22"/>
          <w:szCs w:val="22"/>
          <w:lang w:val="lt-LT" w:eastAsia="ja-JP"/>
        </w:rPr>
      </w:pPr>
      <w:r w:rsidRPr="00715891">
        <w:rPr>
          <w:bCs/>
          <w:sz w:val="22"/>
          <w:szCs w:val="22"/>
          <w:lang w:val="lt-LT" w:eastAsia="ja-JP"/>
        </w:rPr>
        <w:t>Valganciclovir Sandoz</w:t>
      </w:r>
      <w:r w:rsidRPr="00715891">
        <w:rPr>
          <w:sz w:val="22"/>
          <w:szCs w:val="22"/>
          <w:lang w:val="lt-LT" w:eastAsia="ja-JP"/>
        </w:rPr>
        <w:t xml:space="preserve"> vartojimas nėštumo metu gali pakenkti Jūsų negimusiam kūdikiui.</w:t>
      </w:r>
    </w:p>
    <w:p w14:paraId="0E98C074" w14:textId="77777777" w:rsidR="00107519" w:rsidRPr="00715891" w:rsidRDefault="00107519" w:rsidP="00107519">
      <w:pPr>
        <w:ind w:right="-2"/>
        <w:rPr>
          <w:sz w:val="22"/>
          <w:szCs w:val="22"/>
          <w:lang w:val="lt-LT" w:eastAsia="ja-JP"/>
        </w:rPr>
      </w:pPr>
    </w:p>
    <w:p w14:paraId="151BD146" w14:textId="77777777" w:rsidR="00107519" w:rsidRPr="00715891" w:rsidRDefault="00107519" w:rsidP="00107519">
      <w:pPr>
        <w:rPr>
          <w:sz w:val="22"/>
          <w:szCs w:val="22"/>
          <w:lang w:val="lt-LT" w:eastAsia="ja-JP"/>
        </w:rPr>
      </w:pPr>
      <w:r w:rsidRPr="00715891">
        <w:rPr>
          <w:sz w:val="22"/>
          <w:szCs w:val="22"/>
          <w:lang w:val="lt-LT" w:eastAsia="ja-JP"/>
        </w:rPr>
        <w:t xml:space="preserve">Jeigu esate žindyvė, </w:t>
      </w:r>
      <w:r w:rsidRPr="00715891">
        <w:rPr>
          <w:bCs/>
          <w:sz w:val="22"/>
          <w:szCs w:val="22"/>
          <w:lang w:val="lt-LT" w:eastAsia="ja-JP"/>
        </w:rPr>
        <w:t>Valganciclovir Sandoz</w:t>
      </w:r>
      <w:r w:rsidRPr="00715891">
        <w:rPr>
          <w:sz w:val="22"/>
          <w:szCs w:val="22"/>
          <w:lang w:val="lt-LT" w:eastAsia="ja-JP"/>
        </w:rPr>
        <w:t xml:space="preserve"> turite nevartoti. Jeigu gydytojas nori pradėti Jus gydyti </w:t>
      </w:r>
      <w:r w:rsidRPr="00715891">
        <w:rPr>
          <w:bCs/>
          <w:sz w:val="22"/>
          <w:szCs w:val="22"/>
          <w:lang w:val="lt-LT" w:eastAsia="ja-JP"/>
        </w:rPr>
        <w:t>Valganciclovir Sandoz</w:t>
      </w:r>
      <w:r w:rsidRPr="00715891">
        <w:rPr>
          <w:sz w:val="22"/>
          <w:szCs w:val="22"/>
          <w:lang w:val="lt-LT" w:eastAsia="ja-JP"/>
        </w:rPr>
        <w:t>, turite nutraukti kūdikio žindymą prieš pradedant vartoti šių tablečių.</w:t>
      </w:r>
    </w:p>
    <w:p w14:paraId="67382792" w14:textId="77777777" w:rsidR="00107519" w:rsidRPr="00715891" w:rsidRDefault="00107519" w:rsidP="00107519">
      <w:pPr>
        <w:rPr>
          <w:sz w:val="22"/>
          <w:szCs w:val="22"/>
          <w:lang w:val="lt-LT" w:eastAsia="ja-JP"/>
        </w:rPr>
      </w:pPr>
    </w:p>
    <w:p w14:paraId="7052EE44" w14:textId="45AE6E49" w:rsidR="00107519" w:rsidRPr="00715891" w:rsidRDefault="00107519" w:rsidP="00107519">
      <w:pPr>
        <w:rPr>
          <w:sz w:val="22"/>
          <w:szCs w:val="22"/>
          <w:lang w:val="lt-LT" w:eastAsia="ja-JP"/>
        </w:rPr>
      </w:pPr>
      <w:r w:rsidRPr="00715891">
        <w:rPr>
          <w:bCs/>
          <w:sz w:val="22"/>
          <w:szCs w:val="22"/>
          <w:lang w:val="lt-LT" w:eastAsia="ja-JP"/>
        </w:rPr>
        <w:t>Valganciclovir Sandoz</w:t>
      </w:r>
      <w:r w:rsidRPr="00715891">
        <w:rPr>
          <w:sz w:val="22"/>
          <w:szCs w:val="22"/>
          <w:lang w:val="lt-LT" w:eastAsia="ja-JP"/>
        </w:rPr>
        <w:t xml:space="preserve"> vartojimo metu </w:t>
      </w:r>
      <w:r w:rsidR="006B5FA5" w:rsidRPr="00715891">
        <w:rPr>
          <w:sz w:val="22"/>
          <w:szCs w:val="22"/>
          <w:lang w:val="lt-LT" w:eastAsia="ja-JP"/>
        </w:rPr>
        <w:t xml:space="preserve">ir po gydymo baigimo dar bent </w:t>
      </w:r>
      <w:r w:rsidR="00C06C36" w:rsidRPr="00715891">
        <w:rPr>
          <w:sz w:val="22"/>
          <w:szCs w:val="22"/>
          <w:lang w:val="lt-LT" w:eastAsia="ja-JP"/>
        </w:rPr>
        <w:t xml:space="preserve">7 mėnesius </w:t>
      </w:r>
      <w:r w:rsidRPr="00715891">
        <w:rPr>
          <w:sz w:val="22"/>
          <w:szCs w:val="22"/>
          <w:lang w:val="lt-LT" w:eastAsia="ja-JP"/>
        </w:rPr>
        <w:t>vaisingo amžiaus moterys turi taikyti veiksmingą kontracepciją.</w:t>
      </w:r>
    </w:p>
    <w:p w14:paraId="388BABED" w14:textId="77777777" w:rsidR="00107519" w:rsidRPr="00715891" w:rsidRDefault="00107519" w:rsidP="00107519">
      <w:pPr>
        <w:rPr>
          <w:sz w:val="22"/>
          <w:szCs w:val="22"/>
          <w:lang w:val="lt-LT" w:eastAsia="ja-JP"/>
        </w:rPr>
      </w:pPr>
    </w:p>
    <w:p w14:paraId="614F7B70" w14:textId="096417EC" w:rsidR="00107519" w:rsidRPr="00715891" w:rsidRDefault="00107519" w:rsidP="00107519">
      <w:pPr>
        <w:rPr>
          <w:sz w:val="22"/>
          <w:szCs w:val="22"/>
          <w:lang w:val="lt-LT" w:eastAsia="ja-JP"/>
        </w:rPr>
      </w:pPr>
      <w:r w:rsidRPr="00715891">
        <w:rPr>
          <w:sz w:val="22"/>
          <w:szCs w:val="22"/>
          <w:lang w:val="lt-LT" w:eastAsia="ja-JP"/>
        </w:rPr>
        <w:t xml:space="preserve">Vyrai, kurių partnerės gali pastoti, turi naudoti prezervatyvus, kol vartoja </w:t>
      </w:r>
      <w:r w:rsidRPr="00715891">
        <w:rPr>
          <w:bCs/>
          <w:sz w:val="22"/>
          <w:szCs w:val="22"/>
          <w:lang w:val="lt-LT" w:eastAsia="ja-JP"/>
        </w:rPr>
        <w:t>Valganciclovir Sandoz</w:t>
      </w:r>
      <w:r w:rsidRPr="00715891">
        <w:rPr>
          <w:sz w:val="22"/>
          <w:szCs w:val="22"/>
          <w:lang w:val="lt-LT" w:eastAsia="ja-JP"/>
        </w:rPr>
        <w:t xml:space="preserve"> ir </w:t>
      </w:r>
      <w:r w:rsidR="00C06C36" w:rsidRPr="00715891">
        <w:rPr>
          <w:sz w:val="22"/>
          <w:szCs w:val="22"/>
          <w:lang w:val="lt-LT" w:eastAsia="ja-JP"/>
        </w:rPr>
        <w:t>4 mėnesius</w:t>
      </w:r>
      <w:r w:rsidRPr="00715891">
        <w:rPr>
          <w:sz w:val="22"/>
          <w:szCs w:val="22"/>
          <w:lang w:val="lt-LT" w:eastAsia="ja-JP"/>
        </w:rPr>
        <w:t xml:space="preserve"> po to, kai gydymas būna baigtas.</w:t>
      </w:r>
    </w:p>
    <w:p w14:paraId="413F5772" w14:textId="77777777" w:rsidR="00107519" w:rsidRPr="00715891" w:rsidRDefault="00107519" w:rsidP="00107519">
      <w:pPr>
        <w:rPr>
          <w:sz w:val="22"/>
          <w:szCs w:val="22"/>
          <w:lang w:val="lt-LT" w:eastAsia="ja-JP"/>
        </w:rPr>
      </w:pPr>
    </w:p>
    <w:p w14:paraId="4E2FE83B" w14:textId="77777777" w:rsidR="00107519" w:rsidRPr="00715891" w:rsidRDefault="00107519" w:rsidP="00107519">
      <w:pPr>
        <w:ind w:right="-2"/>
        <w:rPr>
          <w:b/>
          <w:sz w:val="22"/>
          <w:szCs w:val="22"/>
          <w:lang w:val="lt-LT" w:eastAsia="ja-JP"/>
        </w:rPr>
      </w:pPr>
      <w:r w:rsidRPr="00715891">
        <w:rPr>
          <w:b/>
          <w:sz w:val="22"/>
          <w:szCs w:val="22"/>
          <w:lang w:val="lt-LT" w:eastAsia="ja-JP"/>
        </w:rPr>
        <w:t>Vairavimas ir mechanizmų valdymas</w:t>
      </w:r>
    </w:p>
    <w:p w14:paraId="1EED0B42" w14:textId="37BF0868" w:rsidR="00107519" w:rsidRPr="00715891" w:rsidRDefault="00107519" w:rsidP="00107519">
      <w:pPr>
        <w:ind w:right="-2"/>
        <w:rPr>
          <w:sz w:val="22"/>
          <w:szCs w:val="22"/>
          <w:lang w:val="lt-LT" w:eastAsia="ja-JP"/>
        </w:rPr>
      </w:pPr>
      <w:r w:rsidRPr="00715891">
        <w:rPr>
          <w:sz w:val="22"/>
          <w:szCs w:val="22"/>
          <w:lang w:val="lt-LT" w:eastAsia="ja-JP"/>
        </w:rPr>
        <w:t xml:space="preserve">Jei vartodami šį vaistą jaučiate svaigulį, nuovargį, drebulį ar sumišimą, nevairuokite </w:t>
      </w:r>
      <w:r w:rsidR="008B5ADB" w:rsidRPr="00715891">
        <w:rPr>
          <w:sz w:val="22"/>
          <w:szCs w:val="22"/>
          <w:lang w:val="lt-LT" w:eastAsia="ja-JP"/>
        </w:rPr>
        <w:t>automobilio</w:t>
      </w:r>
      <w:r w:rsidRPr="00715891">
        <w:rPr>
          <w:sz w:val="22"/>
          <w:szCs w:val="22"/>
          <w:lang w:val="lt-LT" w:eastAsia="ja-JP"/>
        </w:rPr>
        <w:t xml:space="preserve"> ir nedirbkite su jokiais įrankiais ar mechanizmais. </w:t>
      </w:r>
    </w:p>
    <w:p w14:paraId="06D5A511" w14:textId="77777777" w:rsidR="00107519" w:rsidRPr="00715891" w:rsidRDefault="00107519" w:rsidP="00107519">
      <w:pPr>
        <w:ind w:right="-2"/>
        <w:rPr>
          <w:sz w:val="22"/>
          <w:szCs w:val="22"/>
          <w:lang w:val="lt-LT" w:eastAsia="ja-JP"/>
        </w:rPr>
      </w:pPr>
    </w:p>
    <w:p w14:paraId="4D2A3898" w14:textId="77777777" w:rsidR="00107519" w:rsidRPr="00715891" w:rsidRDefault="00107519" w:rsidP="00107519">
      <w:pPr>
        <w:rPr>
          <w:sz w:val="22"/>
          <w:szCs w:val="22"/>
          <w:lang w:val="lt-LT" w:eastAsia="ja-JP"/>
        </w:rPr>
      </w:pPr>
      <w:r w:rsidRPr="00715891">
        <w:rPr>
          <w:sz w:val="22"/>
          <w:szCs w:val="22"/>
          <w:lang w:val="lt-LT" w:eastAsia="ja-JP"/>
        </w:rPr>
        <w:lastRenderedPageBreak/>
        <w:t>Prieš vartojant bet kokį vaistą, būtina pasitarti su gydytoju arba vaistininku.</w:t>
      </w:r>
    </w:p>
    <w:p w14:paraId="67C9FAA1" w14:textId="77777777" w:rsidR="00107519" w:rsidRPr="00715891" w:rsidRDefault="00107519" w:rsidP="00107519">
      <w:pPr>
        <w:ind w:right="-2"/>
        <w:rPr>
          <w:sz w:val="22"/>
          <w:szCs w:val="22"/>
          <w:lang w:val="lt-LT" w:eastAsia="ja-JP"/>
        </w:rPr>
      </w:pPr>
    </w:p>
    <w:p w14:paraId="4AA0E368" w14:textId="77777777" w:rsidR="00107519" w:rsidRPr="00715891" w:rsidRDefault="00107519" w:rsidP="00107519">
      <w:pPr>
        <w:ind w:right="-2"/>
        <w:rPr>
          <w:sz w:val="22"/>
          <w:szCs w:val="22"/>
          <w:lang w:val="lt-LT" w:eastAsia="ja-JP"/>
        </w:rPr>
      </w:pPr>
    </w:p>
    <w:p w14:paraId="1940DC5C" w14:textId="77777777" w:rsidR="00107519" w:rsidRPr="00715891" w:rsidRDefault="00107519" w:rsidP="00107519">
      <w:pPr>
        <w:tabs>
          <w:tab w:val="left" w:pos="567"/>
        </w:tabs>
        <w:rPr>
          <w:sz w:val="22"/>
          <w:szCs w:val="22"/>
          <w:lang w:val="lt-LT" w:eastAsia="ja-JP"/>
        </w:rPr>
      </w:pPr>
      <w:r w:rsidRPr="00715891">
        <w:rPr>
          <w:b/>
          <w:sz w:val="22"/>
          <w:szCs w:val="22"/>
          <w:lang w:val="lt-LT" w:eastAsia="ja-JP"/>
        </w:rPr>
        <w:t>3.</w:t>
      </w:r>
      <w:r w:rsidRPr="00715891">
        <w:rPr>
          <w:b/>
          <w:sz w:val="22"/>
          <w:szCs w:val="22"/>
          <w:lang w:val="lt-LT" w:eastAsia="ja-JP"/>
        </w:rPr>
        <w:tab/>
        <w:t>Kaip vartoti Valganciclovir Sandoz</w:t>
      </w:r>
    </w:p>
    <w:p w14:paraId="68526526" w14:textId="77777777" w:rsidR="00107519" w:rsidRPr="00715891" w:rsidRDefault="00107519" w:rsidP="00107519">
      <w:pPr>
        <w:rPr>
          <w:b/>
          <w:sz w:val="22"/>
          <w:szCs w:val="22"/>
          <w:lang w:val="lt-LT" w:eastAsia="ja-JP"/>
        </w:rPr>
      </w:pPr>
    </w:p>
    <w:p w14:paraId="3BFF57B2" w14:textId="77777777" w:rsidR="00107519" w:rsidRPr="00715891" w:rsidRDefault="00107519" w:rsidP="00107519">
      <w:pPr>
        <w:rPr>
          <w:rFonts w:eastAsia="Calibri"/>
          <w:sz w:val="22"/>
          <w:szCs w:val="22"/>
          <w:lang w:val="lt-LT" w:eastAsia="ja-JP"/>
        </w:rPr>
      </w:pPr>
      <w:r w:rsidRPr="00715891">
        <w:rPr>
          <w:rFonts w:eastAsia="Calibri"/>
          <w:sz w:val="22"/>
          <w:szCs w:val="22"/>
          <w:lang w:val="lt-LT" w:eastAsia="ja-JP"/>
        </w:rPr>
        <w:t>Visada vartokite šį vaistą tiksliai kaip nurodė gydytojas. Jeigu abejojate, kreipkitės į gydytoją arba vaistininką.</w:t>
      </w:r>
    </w:p>
    <w:p w14:paraId="4DD408ED" w14:textId="77777777" w:rsidR="00107519" w:rsidRPr="00715891" w:rsidRDefault="00107519" w:rsidP="00107519">
      <w:pPr>
        <w:rPr>
          <w:sz w:val="22"/>
          <w:szCs w:val="22"/>
          <w:lang w:val="lt-LT" w:eastAsia="ja-JP"/>
        </w:rPr>
      </w:pPr>
      <w:r w:rsidRPr="00715891">
        <w:rPr>
          <w:sz w:val="22"/>
          <w:szCs w:val="22"/>
          <w:lang w:val="lt-LT" w:eastAsia="ja-JP"/>
        </w:rPr>
        <w:t>Su tabletėmis reikia elgtis atsargiai, jų negalima laužyti ar smulkinti.</w:t>
      </w:r>
      <w:r w:rsidRPr="00715891">
        <w:rPr>
          <w:b/>
          <w:sz w:val="22"/>
          <w:szCs w:val="22"/>
          <w:lang w:val="lt-LT" w:eastAsia="ja-JP"/>
        </w:rPr>
        <w:t xml:space="preserve"> </w:t>
      </w:r>
      <w:r w:rsidRPr="00715891">
        <w:rPr>
          <w:sz w:val="22"/>
          <w:szCs w:val="22"/>
          <w:lang w:val="lt-LT" w:eastAsia="ja-JP"/>
        </w:rPr>
        <w:t>Valganciclovir Sandoz tabletes turite nuryti sveikas ir, jei įmanoma, valgio metu. Jei netyčia palietėte apgadintą tabletę, kruopščiai nusiplaukite rankas muilu ir vandeniu. Jei miltelių nuo tablečių pateko į akis, rūpestingai išplaukite jas steriliu vandeniu, o jeigu jo neturite, – paprastu švariu vandeniu.</w:t>
      </w:r>
    </w:p>
    <w:p w14:paraId="5A674DF4" w14:textId="77777777" w:rsidR="00107519" w:rsidRPr="00715891" w:rsidRDefault="00107519" w:rsidP="00107519">
      <w:pPr>
        <w:rPr>
          <w:sz w:val="22"/>
          <w:szCs w:val="22"/>
          <w:lang w:val="lt-LT" w:eastAsia="ja-JP"/>
        </w:rPr>
      </w:pPr>
    </w:p>
    <w:p w14:paraId="48266C05" w14:textId="77777777" w:rsidR="00107519" w:rsidRPr="00715891" w:rsidRDefault="00107519" w:rsidP="00107519">
      <w:pPr>
        <w:rPr>
          <w:b/>
          <w:bCs/>
          <w:sz w:val="22"/>
          <w:szCs w:val="22"/>
          <w:lang w:val="lt-LT" w:eastAsia="ja-JP"/>
        </w:rPr>
      </w:pPr>
      <w:r w:rsidRPr="00715891">
        <w:rPr>
          <w:b/>
          <w:bCs/>
          <w:sz w:val="22"/>
          <w:szCs w:val="22"/>
          <w:lang w:val="lt-LT" w:eastAsia="ja-JP"/>
        </w:rPr>
        <w:t>Kad vaisto nebūtų perdozuota, tablečių vartokite tiksliai tiek, kiek nurodė gydytojas.</w:t>
      </w:r>
    </w:p>
    <w:p w14:paraId="050AE89E" w14:textId="77777777" w:rsidR="00107519" w:rsidRPr="00715891" w:rsidRDefault="00107519" w:rsidP="00107519">
      <w:pPr>
        <w:rPr>
          <w:sz w:val="22"/>
          <w:szCs w:val="22"/>
          <w:lang w:val="lt-LT" w:eastAsia="ja-JP"/>
        </w:rPr>
      </w:pPr>
    </w:p>
    <w:p w14:paraId="0E8A9EFD" w14:textId="77777777" w:rsidR="00107519" w:rsidRPr="00715891" w:rsidRDefault="00107519" w:rsidP="00107519">
      <w:pPr>
        <w:rPr>
          <w:sz w:val="22"/>
          <w:szCs w:val="22"/>
          <w:lang w:val="lt-LT" w:eastAsia="ja-JP"/>
        </w:rPr>
      </w:pPr>
      <w:r w:rsidRPr="00715891">
        <w:rPr>
          <w:sz w:val="22"/>
          <w:szCs w:val="22"/>
          <w:lang w:val="lt-LT" w:eastAsia="ja-JP"/>
        </w:rPr>
        <w:t>Valganciclovir Sandoz tabletės turi būti vartojamos, jeigu tik įmanoma, su maistu, – žiūrėkite 2 skyrių.</w:t>
      </w:r>
    </w:p>
    <w:p w14:paraId="7701FC1D" w14:textId="77777777" w:rsidR="00107519" w:rsidRPr="00715891" w:rsidRDefault="00107519" w:rsidP="00107519">
      <w:pPr>
        <w:rPr>
          <w:sz w:val="22"/>
          <w:szCs w:val="22"/>
          <w:lang w:val="lt-LT" w:eastAsia="ja-JP"/>
        </w:rPr>
      </w:pPr>
    </w:p>
    <w:p w14:paraId="2231EB2F" w14:textId="77777777" w:rsidR="00107519" w:rsidRPr="00715891" w:rsidRDefault="00107519" w:rsidP="00107519">
      <w:pPr>
        <w:rPr>
          <w:sz w:val="22"/>
          <w:szCs w:val="22"/>
          <w:lang w:val="lt-LT" w:eastAsia="ja-JP"/>
        </w:rPr>
      </w:pPr>
      <w:r w:rsidRPr="00715891">
        <w:rPr>
          <w:sz w:val="22"/>
          <w:szCs w:val="22"/>
          <w:lang w:val="lt-LT" w:eastAsia="ja-JP"/>
        </w:rPr>
        <w:t xml:space="preserve">Vaikams ir paaugliams, kuriems reikalingas dozės priderinimas, yra kitų tinkamų dozavimo formų. </w:t>
      </w:r>
    </w:p>
    <w:p w14:paraId="70182D48" w14:textId="77777777" w:rsidR="00107519" w:rsidRPr="00715891" w:rsidRDefault="00107519" w:rsidP="00107519">
      <w:pPr>
        <w:rPr>
          <w:sz w:val="22"/>
          <w:szCs w:val="22"/>
          <w:lang w:val="lt-LT" w:eastAsia="ja-JP"/>
        </w:rPr>
      </w:pPr>
    </w:p>
    <w:p w14:paraId="6A8E20BC" w14:textId="77777777" w:rsidR="00107519" w:rsidRPr="00715891" w:rsidRDefault="00107519" w:rsidP="00107519">
      <w:pPr>
        <w:tabs>
          <w:tab w:val="center" w:pos="4153"/>
          <w:tab w:val="right" w:pos="8306"/>
        </w:tabs>
        <w:rPr>
          <w:b/>
          <w:sz w:val="22"/>
          <w:szCs w:val="22"/>
          <w:u w:val="single"/>
          <w:lang w:val="lt-LT" w:eastAsia="ja-JP"/>
        </w:rPr>
      </w:pPr>
      <w:r w:rsidRPr="00715891">
        <w:rPr>
          <w:b/>
          <w:sz w:val="22"/>
          <w:szCs w:val="22"/>
          <w:u w:val="single"/>
          <w:lang w:val="lt-LT" w:eastAsia="ja-JP"/>
        </w:rPr>
        <w:t>Suaugusiesiems</w:t>
      </w:r>
    </w:p>
    <w:p w14:paraId="698AB69E" w14:textId="77777777" w:rsidR="00107519" w:rsidRPr="00715891" w:rsidRDefault="00107519" w:rsidP="00107519">
      <w:pPr>
        <w:rPr>
          <w:sz w:val="22"/>
          <w:szCs w:val="22"/>
          <w:lang w:val="lt-LT" w:eastAsia="ja-JP"/>
        </w:rPr>
      </w:pPr>
    </w:p>
    <w:p w14:paraId="098CC1F0" w14:textId="77777777" w:rsidR="00107519" w:rsidRPr="00715891" w:rsidRDefault="00107519" w:rsidP="00107519">
      <w:pPr>
        <w:tabs>
          <w:tab w:val="center" w:pos="4153"/>
          <w:tab w:val="right" w:pos="8306"/>
        </w:tabs>
        <w:rPr>
          <w:b/>
          <w:sz w:val="22"/>
          <w:szCs w:val="22"/>
          <w:lang w:val="lt-LT" w:eastAsia="ja-JP"/>
        </w:rPr>
      </w:pPr>
      <w:r w:rsidRPr="00715891">
        <w:rPr>
          <w:b/>
          <w:sz w:val="22"/>
          <w:szCs w:val="22"/>
          <w:lang w:val="lt-LT" w:eastAsia="ja-JP"/>
        </w:rPr>
        <w:t>CMV ligos profilaktika pacientams po transplantacijos</w:t>
      </w:r>
    </w:p>
    <w:p w14:paraId="77F8D54C" w14:textId="36B25765" w:rsidR="00107519" w:rsidRPr="00715891" w:rsidRDefault="00107519" w:rsidP="00107519">
      <w:pPr>
        <w:rPr>
          <w:sz w:val="22"/>
          <w:szCs w:val="22"/>
          <w:lang w:val="lt-LT" w:eastAsia="ja-JP"/>
        </w:rPr>
      </w:pPr>
      <w:r w:rsidRPr="00715891">
        <w:rPr>
          <w:sz w:val="22"/>
          <w:szCs w:val="22"/>
          <w:lang w:val="lt-LT" w:eastAsia="ja-JP"/>
        </w:rPr>
        <w:t>Turite pradėti vartoti tabletes per pirmąsias 10 parų po transplantacijos.</w:t>
      </w:r>
    </w:p>
    <w:p w14:paraId="201BBEE5" w14:textId="77777777" w:rsidR="00107519" w:rsidRPr="00715891" w:rsidRDefault="00107519" w:rsidP="00107519">
      <w:pPr>
        <w:rPr>
          <w:sz w:val="22"/>
          <w:szCs w:val="22"/>
          <w:lang w:val="lt-LT" w:eastAsia="ja-JP"/>
        </w:rPr>
      </w:pPr>
      <w:r w:rsidRPr="00715891">
        <w:rPr>
          <w:sz w:val="22"/>
          <w:szCs w:val="22"/>
          <w:lang w:val="lt-LT" w:eastAsia="ja-JP"/>
        </w:rPr>
        <w:t xml:space="preserve">Rekomenduojama dozė yra dvi tabletės KARTĄ per parą. </w:t>
      </w:r>
    </w:p>
    <w:p w14:paraId="63771B73" w14:textId="5FF65C53" w:rsidR="00107519" w:rsidRPr="00715891" w:rsidRDefault="00107519" w:rsidP="00107519">
      <w:pPr>
        <w:rPr>
          <w:sz w:val="22"/>
          <w:szCs w:val="22"/>
          <w:lang w:val="lt-LT" w:eastAsia="ja-JP"/>
        </w:rPr>
      </w:pPr>
      <w:r w:rsidRPr="00715891">
        <w:rPr>
          <w:sz w:val="22"/>
          <w:szCs w:val="22"/>
          <w:lang w:val="lt-LT" w:eastAsia="ja-JP"/>
        </w:rPr>
        <w:t>Turite tęsti šios dozės vartojimą iki 100 parų po transplantacijos. Jeigu Jums persodintas inkstas, gydytojas gali patarti vartoti šių tablečių 200</w:t>
      </w:r>
      <w:r w:rsidR="003B251E" w:rsidRPr="00715891">
        <w:rPr>
          <w:sz w:val="22"/>
          <w:szCs w:val="22"/>
          <w:lang w:val="lt-LT" w:eastAsia="ja-JP"/>
        </w:rPr>
        <w:t> </w:t>
      </w:r>
      <w:r w:rsidRPr="00715891">
        <w:rPr>
          <w:sz w:val="22"/>
          <w:szCs w:val="22"/>
          <w:lang w:val="lt-LT" w:eastAsia="ja-JP"/>
        </w:rPr>
        <w:t>parų.</w:t>
      </w:r>
    </w:p>
    <w:p w14:paraId="6B64F6D2" w14:textId="77777777" w:rsidR="00107519" w:rsidRPr="00715891" w:rsidRDefault="00107519" w:rsidP="00107519">
      <w:pPr>
        <w:rPr>
          <w:sz w:val="22"/>
          <w:szCs w:val="22"/>
          <w:u w:val="single"/>
          <w:lang w:val="lt-LT" w:eastAsia="ja-JP"/>
        </w:rPr>
      </w:pPr>
    </w:p>
    <w:p w14:paraId="1B5DD3A6" w14:textId="77777777" w:rsidR="00107519" w:rsidRPr="00715891" w:rsidRDefault="00107519" w:rsidP="00107519">
      <w:pPr>
        <w:rPr>
          <w:b/>
          <w:sz w:val="22"/>
          <w:szCs w:val="22"/>
          <w:lang w:val="lt-LT" w:eastAsia="ja-JP"/>
        </w:rPr>
      </w:pPr>
      <w:r w:rsidRPr="00715891">
        <w:rPr>
          <w:b/>
          <w:sz w:val="22"/>
          <w:szCs w:val="22"/>
          <w:lang w:val="lt-LT" w:eastAsia="ja-JP"/>
        </w:rPr>
        <w:t>Aktyvaus CMV retinito gydymas AIDS pacientams (vadinamas įvadinis gydymas)</w:t>
      </w:r>
    </w:p>
    <w:p w14:paraId="798D366E" w14:textId="0940C0B6" w:rsidR="00107519" w:rsidRPr="00715891" w:rsidRDefault="00107519" w:rsidP="00107519">
      <w:pPr>
        <w:rPr>
          <w:sz w:val="22"/>
          <w:szCs w:val="22"/>
          <w:lang w:val="lt-LT" w:eastAsia="ja-JP"/>
        </w:rPr>
      </w:pPr>
      <w:r w:rsidRPr="00715891">
        <w:rPr>
          <w:sz w:val="22"/>
          <w:szCs w:val="22"/>
          <w:lang w:val="lt-LT" w:eastAsia="ja-JP"/>
        </w:rPr>
        <w:t>Rekomenduojama Valganciclovir Sandoz dozė yra dvi tabletės DU KARTUS per parą 21</w:t>
      </w:r>
      <w:r w:rsidR="003B251E" w:rsidRPr="00715891">
        <w:rPr>
          <w:sz w:val="22"/>
          <w:szCs w:val="22"/>
          <w:lang w:val="lt-LT" w:eastAsia="ja-JP"/>
        </w:rPr>
        <w:t> </w:t>
      </w:r>
      <w:r w:rsidRPr="00715891">
        <w:rPr>
          <w:sz w:val="22"/>
          <w:szCs w:val="22"/>
          <w:lang w:val="lt-LT" w:eastAsia="ja-JP"/>
        </w:rPr>
        <w:t>parą</w:t>
      </w:r>
      <w:r w:rsidRPr="00715891">
        <w:rPr>
          <w:sz w:val="22"/>
          <w:szCs w:val="22"/>
          <w:lang w:val="lt-LT"/>
        </w:rPr>
        <w:t xml:space="preserve"> (tris savaites).</w:t>
      </w:r>
      <w:r w:rsidRPr="00715891">
        <w:rPr>
          <w:sz w:val="22"/>
          <w:szCs w:val="22"/>
          <w:lang w:val="lt-LT" w:eastAsia="ja-JP"/>
        </w:rPr>
        <w:t xml:space="preserve"> </w:t>
      </w:r>
    </w:p>
    <w:p w14:paraId="396E23D4" w14:textId="77777777" w:rsidR="00107519" w:rsidRPr="00715891" w:rsidRDefault="00107519" w:rsidP="00107519">
      <w:pPr>
        <w:rPr>
          <w:sz w:val="22"/>
          <w:szCs w:val="22"/>
          <w:lang w:val="lt-LT" w:eastAsia="ja-JP"/>
        </w:rPr>
      </w:pPr>
      <w:r w:rsidRPr="00715891">
        <w:rPr>
          <w:sz w:val="22"/>
          <w:szCs w:val="22"/>
          <w:lang w:val="lt-LT" w:eastAsia="ja-JP"/>
        </w:rPr>
        <w:t>Nevartokite šios dozės ilgiau negu 21 parą, jei gydytojas nenurodė, nes tai gali padidinti galimo šalutinio poveikio riziką.</w:t>
      </w:r>
    </w:p>
    <w:p w14:paraId="51615E3F" w14:textId="77777777" w:rsidR="00107519" w:rsidRPr="00715891" w:rsidRDefault="00107519" w:rsidP="00107519">
      <w:pPr>
        <w:outlineLvl w:val="5"/>
        <w:rPr>
          <w:rFonts w:eastAsia="Calibri"/>
          <w:b/>
          <w:sz w:val="22"/>
          <w:szCs w:val="22"/>
          <w:lang w:val="lt-LT" w:eastAsia="lt-LT"/>
        </w:rPr>
      </w:pPr>
    </w:p>
    <w:p w14:paraId="1F6975C0" w14:textId="77777777" w:rsidR="00107519" w:rsidRPr="00715891" w:rsidRDefault="00107519" w:rsidP="00107519">
      <w:pPr>
        <w:outlineLvl w:val="5"/>
        <w:rPr>
          <w:sz w:val="22"/>
          <w:szCs w:val="22"/>
          <w:lang w:val="lt-LT" w:eastAsia="ja-JP"/>
        </w:rPr>
      </w:pPr>
      <w:r w:rsidRPr="00715891">
        <w:rPr>
          <w:b/>
          <w:iCs/>
          <w:sz w:val="22"/>
          <w:szCs w:val="22"/>
          <w:lang w:val="lt-LT" w:eastAsia="ja-JP"/>
        </w:rPr>
        <w:t>Ilgesnis gydymas, kad neleisti pasikartoti aktyviam uždegimui CMV retinitu sergantiems AIDS pacientams (vadinamas palaikomasis gydymas)</w:t>
      </w:r>
    </w:p>
    <w:p w14:paraId="2BD6F894" w14:textId="142DB074" w:rsidR="00107519" w:rsidRPr="00715891" w:rsidRDefault="00107519" w:rsidP="00107519">
      <w:pPr>
        <w:rPr>
          <w:sz w:val="22"/>
          <w:szCs w:val="22"/>
          <w:lang w:val="lt-LT" w:eastAsia="ja-JP"/>
        </w:rPr>
      </w:pPr>
      <w:r w:rsidRPr="00715891">
        <w:rPr>
          <w:sz w:val="22"/>
          <w:szCs w:val="22"/>
          <w:lang w:val="lt-LT" w:eastAsia="ja-JP"/>
        </w:rPr>
        <w:t>Rekomenduojama dozė yra 2</w:t>
      </w:r>
      <w:r w:rsidR="003B251E" w:rsidRPr="00715891">
        <w:rPr>
          <w:sz w:val="22"/>
          <w:szCs w:val="22"/>
          <w:lang w:val="lt-LT" w:eastAsia="ja-JP"/>
        </w:rPr>
        <w:t> </w:t>
      </w:r>
      <w:r w:rsidRPr="00715891">
        <w:rPr>
          <w:sz w:val="22"/>
          <w:szCs w:val="22"/>
          <w:lang w:val="lt-LT" w:eastAsia="ja-JP"/>
        </w:rPr>
        <w:t xml:space="preserve">tabletės </w:t>
      </w:r>
      <w:r w:rsidRPr="00715891">
        <w:rPr>
          <w:bCs/>
          <w:sz w:val="22"/>
          <w:szCs w:val="22"/>
          <w:lang w:val="lt-LT" w:eastAsia="ja-JP"/>
        </w:rPr>
        <w:t>KARTĄ</w:t>
      </w:r>
      <w:r w:rsidRPr="00715891">
        <w:rPr>
          <w:sz w:val="22"/>
          <w:szCs w:val="22"/>
          <w:lang w:val="lt-LT" w:eastAsia="ja-JP"/>
        </w:rPr>
        <w:t xml:space="preserve"> per parą. Stenkitės vartoti tabletes kasdien tuo pačiu laiku. Gydytojas pasakys, kaip ilgai vartoti Valganciclovir Sandoz. Jei tebegydant šia doze retinitas blogėja, gydytojas gali nurodyti pakartoti įvadinį gydymą (kaip nurodyta pirmiau) arba gali nuspręsti skirti kitų vaistų CMV infekcijai gydyti.</w:t>
      </w:r>
    </w:p>
    <w:p w14:paraId="710B1796" w14:textId="77777777" w:rsidR="00107519" w:rsidRPr="00715891" w:rsidRDefault="00107519" w:rsidP="00107519">
      <w:pPr>
        <w:rPr>
          <w:sz w:val="22"/>
          <w:szCs w:val="22"/>
          <w:lang w:val="lt-LT" w:eastAsia="ja-JP"/>
        </w:rPr>
      </w:pPr>
    </w:p>
    <w:p w14:paraId="5194BCD1" w14:textId="77777777" w:rsidR="00107519" w:rsidRPr="00715891" w:rsidRDefault="00107519" w:rsidP="00107519">
      <w:pPr>
        <w:rPr>
          <w:sz w:val="22"/>
          <w:szCs w:val="22"/>
          <w:lang w:val="lt-LT" w:eastAsia="ja-JP"/>
        </w:rPr>
      </w:pPr>
      <w:r w:rsidRPr="00715891">
        <w:rPr>
          <w:b/>
          <w:sz w:val="22"/>
          <w:szCs w:val="22"/>
          <w:lang w:val="lt-LT" w:eastAsia="ja-JP"/>
        </w:rPr>
        <w:t>Senyvi pacientai</w:t>
      </w:r>
    </w:p>
    <w:p w14:paraId="521C8A59" w14:textId="77777777" w:rsidR="00107519" w:rsidRPr="00715891" w:rsidRDefault="00107519" w:rsidP="00107519">
      <w:pPr>
        <w:rPr>
          <w:sz w:val="22"/>
          <w:szCs w:val="22"/>
          <w:lang w:val="lt-LT" w:eastAsia="ja-JP"/>
        </w:rPr>
      </w:pPr>
      <w:r w:rsidRPr="00715891">
        <w:rPr>
          <w:sz w:val="22"/>
          <w:szCs w:val="22"/>
          <w:lang w:val="lt-LT" w:eastAsia="ja-JP"/>
        </w:rPr>
        <w:t>Valganciclovir Sandoz senyviems pacientams netirtas.</w:t>
      </w:r>
    </w:p>
    <w:p w14:paraId="2BF44BCE" w14:textId="77777777" w:rsidR="00107519" w:rsidRPr="00715891" w:rsidRDefault="00107519" w:rsidP="00107519">
      <w:pPr>
        <w:rPr>
          <w:sz w:val="22"/>
          <w:szCs w:val="22"/>
          <w:lang w:val="lt-LT" w:eastAsia="ja-JP"/>
        </w:rPr>
      </w:pPr>
    </w:p>
    <w:p w14:paraId="560CDEA6" w14:textId="77777777" w:rsidR="00107519" w:rsidRPr="00715891" w:rsidRDefault="00107519" w:rsidP="00107519">
      <w:pPr>
        <w:rPr>
          <w:b/>
          <w:bCs/>
          <w:sz w:val="22"/>
          <w:szCs w:val="22"/>
          <w:lang w:val="lt-LT" w:eastAsia="ja-JP"/>
        </w:rPr>
      </w:pPr>
      <w:r w:rsidRPr="00715891">
        <w:rPr>
          <w:b/>
          <w:bCs/>
          <w:sz w:val="22"/>
          <w:szCs w:val="22"/>
          <w:lang w:val="lt-LT" w:eastAsia="ja-JP"/>
        </w:rPr>
        <w:t>Pacientams, kurių inkstų veikla sutrikusi</w:t>
      </w:r>
    </w:p>
    <w:p w14:paraId="46C664B7" w14:textId="77777777" w:rsidR="00107519" w:rsidRPr="00715891" w:rsidRDefault="00107519" w:rsidP="00107519">
      <w:pPr>
        <w:rPr>
          <w:sz w:val="22"/>
          <w:szCs w:val="22"/>
          <w:lang w:val="lt-LT" w:eastAsia="ja-JP"/>
        </w:rPr>
      </w:pPr>
      <w:r w:rsidRPr="00715891">
        <w:rPr>
          <w:sz w:val="22"/>
          <w:szCs w:val="22"/>
          <w:lang w:val="lt-LT" w:eastAsia="ja-JP"/>
        </w:rPr>
        <w:t xml:space="preserve">Jei Jūsų inkstai veikia ne kaip reikiant, gydytojas gali patarti kasdien vartoti mažiau tablečių arba jų vartoti kiekvieną savaitę tik tam tikromis dienomis. </w:t>
      </w:r>
      <w:r w:rsidRPr="00715891">
        <w:rPr>
          <w:b/>
          <w:sz w:val="22"/>
          <w:szCs w:val="22"/>
          <w:lang w:val="lt-LT" w:eastAsia="ja-JP"/>
        </w:rPr>
        <w:t>Labai svarbu</w:t>
      </w:r>
      <w:r w:rsidRPr="00715891">
        <w:rPr>
          <w:sz w:val="22"/>
          <w:szCs w:val="22"/>
          <w:lang w:val="lt-LT" w:eastAsia="ja-JP"/>
        </w:rPr>
        <w:t xml:space="preserve"> vartoti tik tiek tablečių, kiek gydytojas paskyrė.</w:t>
      </w:r>
    </w:p>
    <w:p w14:paraId="44129539" w14:textId="77777777" w:rsidR="00107519" w:rsidRPr="00715891" w:rsidRDefault="00107519" w:rsidP="00107519">
      <w:pPr>
        <w:tabs>
          <w:tab w:val="center" w:pos="4153"/>
          <w:tab w:val="right" w:pos="8306"/>
        </w:tabs>
        <w:rPr>
          <w:sz w:val="22"/>
          <w:szCs w:val="22"/>
          <w:lang w:val="lt-LT" w:eastAsia="ja-JP"/>
        </w:rPr>
      </w:pPr>
    </w:p>
    <w:p w14:paraId="17F39642" w14:textId="77777777" w:rsidR="00107519" w:rsidRPr="00715891" w:rsidRDefault="00107519" w:rsidP="00107519">
      <w:pPr>
        <w:rPr>
          <w:b/>
          <w:bCs/>
          <w:sz w:val="22"/>
          <w:szCs w:val="22"/>
          <w:lang w:val="lt-LT" w:eastAsia="ja-JP"/>
        </w:rPr>
      </w:pPr>
      <w:r w:rsidRPr="00715891">
        <w:rPr>
          <w:b/>
          <w:bCs/>
          <w:sz w:val="22"/>
          <w:szCs w:val="22"/>
          <w:lang w:val="lt-LT" w:eastAsia="ja-JP"/>
        </w:rPr>
        <w:t>Pacientams, kurių kepenų veikla sutrikusi</w:t>
      </w:r>
    </w:p>
    <w:p w14:paraId="76D820B0" w14:textId="77777777" w:rsidR="00107519" w:rsidRPr="00715891" w:rsidRDefault="00107519" w:rsidP="00107519">
      <w:pPr>
        <w:rPr>
          <w:sz w:val="22"/>
          <w:szCs w:val="22"/>
          <w:lang w:val="lt-LT" w:eastAsia="ja-JP"/>
        </w:rPr>
      </w:pPr>
      <w:r w:rsidRPr="00715891">
        <w:rPr>
          <w:sz w:val="22"/>
          <w:szCs w:val="22"/>
          <w:lang w:val="lt-LT" w:eastAsia="ja-JP"/>
        </w:rPr>
        <w:t>Valgancikloviras pacientams, kurių sutrikusi kepenų veikla, netirtas.</w:t>
      </w:r>
    </w:p>
    <w:p w14:paraId="5C6B016A" w14:textId="77777777" w:rsidR="00107519" w:rsidRPr="00715891" w:rsidRDefault="00107519" w:rsidP="00107519">
      <w:pPr>
        <w:tabs>
          <w:tab w:val="center" w:pos="4153"/>
          <w:tab w:val="right" w:pos="8306"/>
        </w:tabs>
        <w:rPr>
          <w:rFonts w:eastAsia="Calibri"/>
          <w:b/>
          <w:sz w:val="22"/>
          <w:szCs w:val="22"/>
          <w:u w:val="single"/>
          <w:lang w:val="lt-LT" w:eastAsia="lt-LT"/>
        </w:rPr>
      </w:pPr>
    </w:p>
    <w:p w14:paraId="1022148E" w14:textId="77777777" w:rsidR="00107519" w:rsidRPr="00715891" w:rsidRDefault="00107519" w:rsidP="00107519">
      <w:pPr>
        <w:tabs>
          <w:tab w:val="center" w:pos="4153"/>
          <w:tab w:val="right" w:pos="8306"/>
        </w:tabs>
        <w:rPr>
          <w:b/>
          <w:sz w:val="22"/>
          <w:szCs w:val="22"/>
          <w:u w:val="single"/>
          <w:lang w:val="lt-LT" w:eastAsia="ja-JP"/>
        </w:rPr>
      </w:pPr>
      <w:r w:rsidRPr="00715891">
        <w:rPr>
          <w:b/>
          <w:sz w:val="22"/>
          <w:szCs w:val="22"/>
          <w:u w:val="single"/>
          <w:lang w:val="lt-LT" w:eastAsia="ja-JP"/>
        </w:rPr>
        <w:t>Vartojimas vaikams ir paaugliams</w:t>
      </w:r>
    </w:p>
    <w:p w14:paraId="067B4549" w14:textId="77777777" w:rsidR="00107519" w:rsidRPr="00715891" w:rsidRDefault="00107519" w:rsidP="00107519">
      <w:pPr>
        <w:tabs>
          <w:tab w:val="center" w:pos="4153"/>
          <w:tab w:val="right" w:pos="8306"/>
        </w:tabs>
        <w:rPr>
          <w:sz w:val="22"/>
          <w:szCs w:val="22"/>
          <w:lang w:val="lt-LT" w:eastAsia="ja-JP"/>
        </w:rPr>
      </w:pPr>
    </w:p>
    <w:p w14:paraId="421DAFC0" w14:textId="77777777" w:rsidR="00107519" w:rsidRPr="00715891" w:rsidRDefault="00107519" w:rsidP="00107519">
      <w:pPr>
        <w:tabs>
          <w:tab w:val="center" w:pos="4153"/>
          <w:tab w:val="right" w:pos="8306"/>
        </w:tabs>
        <w:rPr>
          <w:b/>
          <w:sz w:val="22"/>
          <w:szCs w:val="22"/>
          <w:lang w:val="lt-LT" w:eastAsia="ja-JP"/>
        </w:rPr>
      </w:pPr>
      <w:r w:rsidRPr="00715891">
        <w:rPr>
          <w:b/>
          <w:sz w:val="22"/>
          <w:szCs w:val="22"/>
          <w:lang w:val="lt-LT" w:eastAsia="ja-JP"/>
        </w:rPr>
        <w:t>CMV sukeltos ligos profilaktika pacientams po transplantacijos</w:t>
      </w:r>
    </w:p>
    <w:p w14:paraId="07EC355D" w14:textId="529A068E" w:rsidR="00107519" w:rsidRPr="00715891" w:rsidRDefault="00107519" w:rsidP="00107519">
      <w:pPr>
        <w:tabs>
          <w:tab w:val="center" w:pos="4153"/>
          <w:tab w:val="right" w:pos="8306"/>
        </w:tabs>
        <w:rPr>
          <w:sz w:val="22"/>
          <w:szCs w:val="22"/>
          <w:lang w:val="lt-LT" w:eastAsia="ja-JP"/>
        </w:rPr>
      </w:pPr>
      <w:r w:rsidRPr="00715891">
        <w:rPr>
          <w:sz w:val="22"/>
          <w:szCs w:val="22"/>
          <w:lang w:val="lt-LT" w:eastAsia="ja-JP"/>
        </w:rPr>
        <w:t>Vaikai turi pradėti vartoti šį vaistą per 10</w:t>
      </w:r>
      <w:r w:rsidR="003B251E" w:rsidRPr="00715891">
        <w:rPr>
          <w:sz w:val="22"/>
          <w:szCs w:val="22"/>
          <w:lang w:val="lt-LT" w:eastAsia="ja-JP"/>
        </w:rPr>
        <w:t> </w:t>
      </w:r>
      <w:r w:rsidRPr="00715891">
        <w:rPr>
          <w:sz w:val="22"/>
          <w:szCs w:val="22"/>
          <w:lang w:val="lt-LT" w:eastAsia="ja-JP"/>
        </w:rPr>
        <w:t>parų po organo persodinimo. Dozė gali skirtis atsižvelgiant į vaiko didumą ir turi būti geriama VIENĄ KARTĄ per parą. Remdamasis Jūsų vaiko ūgiu, kūno mase ir inkstų veikla tinkamiausią dozę nustatys gydytojas. Jūs turite toliau duoti šią dozę iki 100 parų. Jeigu Jūsų vaikui yra persodintas inkstas, gydytojas gali patarti vartoti tokią dozę iki 200</w:t>
      </w:r>
      <w:r w:rsidR="003B251E" w:rsidRPr="00715891">
        <w:rPr>
          <w:sz w:val="22"/>
          <w:szCs w:val="22"/>
          <w:lang w:val="lt-LT" w:eastAsia="ja-JP"/>
        </w:rPr>
        <w:t> </w:t>
      </w:r>
      <w:r w:rsidRPr="00715891">
        <w:rPr>
          <w:sz w:val="22"/>
          <w:szCs w:val="22"/>
          <w:lang w:val="lt-LT" w:eastAsia="ja-JP"/>
        </w:rPr>
        <w:t>parų.</w:t>
      </w:r>
      <w:r w:rsidR="006B5FA5" w:rsidRPr="00715891">
        <w:rPr>
          <w:sz w:val="22"/>
          <w:szCs w:val="22"/>
          <w:lang w:val="lt-LT" w:eastAsia="ja-JP"/>
        </w:rPr>
        <w:t xml:space="preserve"> </w:t>
      </w:r>
      <w:r w:rsidR="005A0087" w:rsidRPr="00715891">
        <w:rPr>
          <w:sz w:val="22"/>
          <w:szCs w:val="22"/>
          <w:lang w:val="lt-LT" w:eastAsia="ja-JP"/>
        </w:rPr>
        <w:t xml:space="preserve">Vaikai </w:t>
      </w:r>
      <w:r w:rsidR="005A0087" w:rsidRPr="00715891">
        <w:rPr>
          <w:sz w:val="22"/>
          <w:szCs w:val="22"/>
          <w:lang w:val="lt-LT" w:eastAsia="ja-JP"/>
        </w:rPr>
        <w:lastRenderedPageBreak/>
        <w:t xml:space="preserve">negalintis nuryti </w:t>
      </w:r>
      <w:r w:rsidR="006B5FA5" w:rsidRPr="00715891">
        <w:rPr>
          <w:sz w:val="22"/>
          <w:szCs w:val="22"/>
          <w:lang w:val="lt-LT" w:eastAsia="ja-JP"/>
        </w:rPr>
        <w:t>Valganciclovir Sandoz plėvele dengtų tablečių  gali vartoti valgancikloviro milteli</w:t>
      </w:r>
      <w:r w:rsidR="005A0087" w:rsidRPr="00715891">
        <w:rPr>
          <w:sz w:val="22"/>
          <w:szCs w:val="22"/>
          <w:lang w:val="lt-LT" w:eastAsia="ja-JP"/>
        </w:rPr>
        <w:t>us</w:t>
      </w:r>
      <w:r w:rsidR="006B5FA5" w:rsidRPr="00715891">
        <w:rPr>
          <w:sz w:val="22"/>
          <w:szCs w:val="22"/>
          <w:lang w:val="lt-LT" w:eastAsia="ja-JP"/>
        </w:rPr>
        <w:t xml:space="preserve"> geriamajam tirpalui.</w:t>
      </w:r>
    </w:p>
    <w:p w14:paraId="0BC7F7BF" w14:textId="77777777" w:rsidR="00107519" w:rsidRPr="00715891" w:rsidRDefault="00107519" w:rsidP="00107519">
      <w:pPr>
        <w:tabs>
          <w:tab w:val="center" w:pos="4153"/>
          <w:tab w:val="right" w:pos="8306"/>
        </w:tabs>
        <w:rPr>
          <w:sz w:val="22"/>
          <w:szCs w:val="22"/>
          <w:lang w:val="lt-LT" w:eastAsia="ja-JP"/>
        </w:rPr>
      </w:pPr>
    </w:p>
    <w:p w14:paraId="11780E64" w14:textId="79FA62D4" w:rsidR="00107519" w:rsidRPr="00715891" w:rsidRDefault="00107519" w:rsidP="00107519">
      <w:pPr>
        <w:ind w:right="-2"/>
        <w:rPr>
          <w:sz w:val="22"/>
          <w:szCs w:val="22"/>
          <w:lang w:val="lt-LT" w:eastAsia="ja-JP"/>
        </w:rPr>
      </w:pPr>
      <w:r w:rsidRPr="00715891">
        <w:rPr>
          <w:b/>
          <w:sz w:val="22"/>
          <w:szCs w:val="22"/>
          <w:lang w:val="lt-LT" w:eastAsia="ja-JP"/>
        </w:rPr>
        <w:t>Ką daryti pavartojus per didelę Valganciclovir Sandoz</w:t>
      </w:r>
      <w:r w:rsidRPr="00715891" w:rsidDel="00C5552C">
        <w:rPr>
          <w:b/>
          <w:sz w:val="22"/>
          <w:szCs w:val="22"/>
          <w:lang w:val="lt-LT" w:eastAsia="ja-JP"/>
        </w:rPr>
        <w:t xml:space="preserve"> </w:t>
      </w:r>
      <w:r w:rsidRPr="00715891">
        <w:rPr>
          <w:b/>
          <w:sz w:val="22"/>
          <w:szCs w:val="22"/>
          <w:lang w:val="lt-LT" w:eastAsia="ja-JP"/>
        </w:rPr>
        <w:t>dozę</w:t>
      </w:r>
    </w:p>
    <w:p w14:paraId="45CCC80D" w14:textId="77777777" w:rsidR="00107519" w:rsidRPr="00715891" w:rsidRDefault="00107519" w:rsidP="00107519">
      <w:pPr>
        <w:rPr>
          <w:sz w:val="22"/>
          <w:szCs w:val="22"/>
          <w:lang w:val="lt-LT" w:eastAsia="ja-JP"/>
        </w:rPr>
      </w:pPr>
      <w:r w:rsidRPr="00715891">
        <w:rPr>
          <w:sz w:val="22"/>
          <w:szCs w:val="22"/>
          <w:lang w:val="lt-LT" w:eastAsia="ja-JP"/>
        </w:rPr>
        <w:t>Jeigu suvartojote arba manote, kad suvartojote, daugiau tablečių negu reikėjo, nedelsdami kreipkitės į gydytoją arba vykite į ligoninę. Didesnės dozės negu paskirta vartojimas gali sukelti sunkių šalutinių reiškinių, ypač pakenkti kraujui arba inkstams. Dėl to Jus gali tekti gydyti ligoninėje.</w:t>
      </w:r>
    </w:p>
    <w:p w14:paraId="5C237DA0" w14:textId="77777777" w:rsidR="00107519" w:rsidRPr="00715891" w:rsidRDefault="00107519" w:rsidP="00107519">
      <w:pPr>
        <w:rPr>
          <w:sz w:val="22"/>
          <w:szCs w:val="22"/>
          <w:lang w:val="lt-LT" w:eastAsia="ja-JP"/>
        </w:rPr>
      </w:pPr>
    </w:p>
    <w:p w14:paraId="58975A56" w14:textId="77777777" w:rsidR="00107519" w:rsidRPr="00715891" w:rsidRDefault="00107519" w:rsidP="00107519">
      <w:pPr>
        <w:ind w:right="-2"/>
        <w:rPr>
          <w:sz w:val="22"/>
          <w:szCs w:val="22"/>
          <w:lang w:val="lt-LT" w:eastAsia="ja-JP"/>
        </w:rPr>
      </w:pPr>
      <w:r w:rsidRPr="00715891">
        <w:rPr>
          <w:b/>
          <w:sz w:val="22"/>
          <w:szCs w:val="22"/>
          <w:lang w:val="lt-LT" w:eastAsia="ja-JP"/>
        </w:rPr>
        <w:t>Pamiršus pavartoti Valganciclovir Sandoz</w:t>
      </w:r>
    </w:p>
    <w:p w14:paraId="41716EB5" w14:textId="77777777" w:rsidR="00107519" w:rsidRPr="00715891" w:rsidRDefault="00107519" w:rsidP="00107519">
      <w:pPr>
        <w:ind w:right="-2"/>
        <w:rPr>
          <w:sz w:val="22"/>
          <w:szCs w:val="22"/>
          <w:lang w:val="lt-LT" w:eastAsia="ja-JP"/>
        </w:rPr>
      </w:pPr>
      <w:r w:rsidRPr="00715891">
        <w:rPr>
          <w:sz w:val="22"/>
          <w:szCs w:val="22"/>
          <w:lang w:val="lt-LT" w:eastAsia="ja-JP"/>
        </w:rPr>
        <w:t xml:space="preserve">Jei pamiršote išgerti tablečių, </w:t>
      </w:r>
      <w:r w:rsidRPr="00715891">
        <w:rPr>
          <w:sz w:val="22"/>
          <w:szCs w:val="22"/>
          <w:lang w:val="lt-LT"/>
        </w:rPr>
        <w:t xml:space="preserve">suvartokite praleistą dozę, kai tik prisiminsite, ir kitą gerkite įprastu laiku. </w:t>
      </w:r>
      <w:r w:rsidRPr="00715891">
        <w:rPr>
          <w:sz w:val="22"/>
          <w:szCs w:val="22"/>
          <w:lang w:val="lt-LT" w:eastAsia="ja-JP"/>
        </w:rPr>
        <w:t>Negalima vartoti dvigubos dozės norint kompensuoti praleistas tabletes.</w:t>
      </w:r>
    </w:p>
    <w:p w14:paraId="37B0EAF3" w14:textId="77777777" w:rsidR="00107519" w:rsidRPr="00715891" w:rsidRDefault="00107519" w:rsidP="00107519">
      <w:pPr>
        <w:ind w:right="-2"/>
        <w:rPr>
          <w:sz w:val="22"/>
          <w:szCs w:val="22"/>
          <w:lang w:val="lt-LT" w:eastAsia="ja-JP"/>
        </w:rPr>
      </w:pPr>
    </w:p>
    <w:p w14:paraId="193233E9" w14:textId="77777777" w:rsidR="00107519" w:rsidRPr="00715891" w:rsidRDefault="00107519" w:rsidP="00107519">
      <w:pPr>
        <w:ind w:right="-2"/>
        <w:rPr>
          <w:b/>
          <w:sz w:val="22"/>
          <w:szCs w:val="22"/>
          <w:lang w:val="lt-LT" w:eastAsia="ja-JP"/>
        </w:rPr>
      </w:pPr>
      <w:r w:rsidRPr="00715891">
        <w:rPr>
          <w:b/>
          <w:sz w:val="22"/>
          <w:szCs w:val="22"/>
          <w:lang w:val="lt-LT" w:eastAsia="ja-JP"/>
        </w:rPr>
        <w:t>Nustojus vartoti Valganciclovir Sandoz</w:t>
      </w:r>
    </w:p>
    <w:p w14:paraId="35FE3DFF" w14:textId="77777777" w:rsidR="00107519" w:rsidRPr="00715891" w:rsidRDefault="00107519" w:rsidP="00107519">
      <w:pPr>
        <w:ind w:right="-2"/>
        <w:rPr>
          <w:sz w:val="22"/>
          <w:szCs w:val="22"/>
          <w:lang w:val="lt-LT" w:eastAsia="ja-JP"/>
        </w:rPr>
      </w:pPr>
      <w:r w:rsidRPr="00715891">
        <w:rPr>
          <w:sz w:val="22"/>
          <w:szCs w:val="22"/>
          <w:lang w:val="lt-LT" w:eastAsia="ja-JP"/>
        </w:rPr>
        <w:t>Nenustokite vartoti savo vaisto, nebent tai daryti liepė Jūsų gydytojas.</w:t>
      </w:r>
    </w:p>
    <w:p w14:paraId="759D3CFF" w14:textId="77777777" w:rsidR="00107519" w:rsidRPr="00715891" w:rsidRDefault="00107519" w:rsidP="00107519">
      <w:pPr>
        <w:ind w:right="-2"/>
        <w:rPr>
          <w:sz w:val="22"/>
          <w:szCs w:val="22"/>
          <w:lang w:val="lt-LT" w:eastAsia="ja-JP"/>
        </w:rPr>
      </w:pPr>
    </w:p>
    <w:p w14:paraId="2C39E8EA" w14:textId="77777777" w:rsidR="00107519" w:rsidRPr="00715891" w:rsidRDefault="00107519" w:rsidP="00107519">
      <w:pPr>
        <w:ind w:right="-2"/>
        <w:rPr>
          <w:sz w:val="22"/>
          <w:szCs w:val="22"/>
          <w:lang w:val="lt-LT" w:eastAsia="ja-JP"/>
        </w:rPr>
      </w:pPr>
      <w:r w:rsidRPr="00715891">
        <w:rPr>
          <w:sz w:val="22"/>
          <w:szCs w:val="22"/>
          <w:lang w:val="lt-LT" w:eastAsia="ja-JP"/>
        </w:rPr>
        <w:t>Jeigu kiltų daugiau klausimų dėl šio vaisto vartojimo, kreipkitės į gydytoją arba vaistininką.</w:t>
      </w:r>
    </w:p>
    <w:p w14:paraId="44A93099" w14:textId="77777777" w:rsidR="00107519" w:rsidRPr="00715891" w:rsidRDefault="00107519" w:rsidP="00107519">
      <w:pPr>
        <w:ind w:right="-2"/>
        <w:rPr>
          <w:sz w:val="22"/>
          <w:szCs w:val="22"/>
          <w:lang w:val="lt-LT" w:eastAsia="ja-JP"/>
        </w:rPr>
      </w:pPr>
    </w:p>
    <w:p w14:paraId="29BA4463" w14:textId="77777777" w:rsidR="00107519" w:rsidRPr="00715891" w:rsidRDefault="00107519" w:rsidP="00107519">
      <w:pPr>
        <w:ind w:right="-2"/>
        <w:rPr>
          <w:sz w:val="22"/>
          <w:szCs w:val="22"/>
          <w:lang w:val="lt-LT" w:eastAsia="ja-JP"/>
        </w:rPr>
      </w:pPr>
    </w:p>
    <w:p w14:paraId="69DE4588" w14:textId="77777777" w:rsidR="00107519" w:rsidRPr="00715891" w:rsidRDefault="00107519" w:rsidP="00107519">
      <w:pPr>
        <w:ind w:left="567" w:right="-2" w:hanging="567"/>
        <w:rPr>
          <w:sz w:val="22"/>
          <w:szCs w:val="22"/>
          <w:lang w:val="lt-LT" w:eastAsia="ja-JP"/>
        </w:rPr>
      </w:pPr>
      <w:r w:rsidRPr="00715891">
        <w:rPr>
          <w:b/>
          <w:sz w:val="22"/>
          <w:szCs w:val="22"/>
          <w:lang w:val="lt-LT" w:eastAsia="ja-JP"/>
        </w:rPr>
        <w:t>4.</w:t>
      </w:r>
      <w:r w:rsidRPr="00715891">
        <w:rPr>
          <w:b/>
          <w:sz w:val="22"/>
          <w:szCs w:val="22"/>
          <w:lang w:val="lt-LT" w:eastAsia="ja-JP"/>
        </w:rPr>
        <w:tab/>
        <w:t>Galimas šalutinis poveikis</w:t>
      </w:r>
    </w:p>
    <w:p w14:paraId="0F1E5BC2" w14:textId="77777777" w:rsidR="00107519" w:rsidRPr="00715891" w:rsidRDefault="00107519" w:rsidP="00107519">
      <w:pPr>
        <w:ind w:right="-29"/>
        <w:rPr>
          <w:sz w:val="22"/>
          <w:szCs w:val="22"/>
          <w:lang w:val="lt-LT" w:eastAsia="ja-JP"/>
        </w:rPr>
      </w:pPr>
    </w:p>
    <w:p w14:paraId="1AB2E3CA" w14:textId="77777777" w:rsidR="00107519" w:rsidRPr="00715891" w:rsidRDefault="00107519" w:rsidP="00107519">
      <w:pPr>
        <w:ind w:right="-29"/>
        <w:rPr>
          <w:sz w:val="22"/>
          <w:szCs w:val="22"/>
          <w:lang w:val="lt-LT" w:eastAsia="ja-JP"/>
        </w:rPr>
      </w:pPr>
      <w:r w:rsidRPr="00715891">
        <w:rPr>
          <w:sz w:val="22"/>
          <w:szCs w:val="22"/>
          <w:lang w:val="lt-LT" w:eastAsia="ja-JP"/>
        </w:rPr>
        <w:t>Šis vaistas, kaip ir visi kiti, gali sukelti šalutinį poveikį, nors jis pasireiškia ne visiems žmonėms.</w:t>
      </w:r>
    </w:p>
    <w:p w14:paraId="5BD98CB4" w14:textId="77777777" w:rsidR="00107519" w:rsidRPr="00715891" w:rsidRDefault="00107519" w:rsidP="00107519">
      <w:pPr>
        <w:ind w:right="-29"/>
        <w:rPr>
          <w:sz w:val="22"/>
          <w:szCs w:val="22"/>
          <w:lang w:val="lt-LT" w:eastAsia="ja-JP"/>
        </w:rPr>
      </w:pPr>
    </w:p>
    <w:p w14:paraId="43F7CACE" w14:textId="77777777" w:rsidR="00107519" w:rsidRPr="00715891" w:rsidRDefault="00107519" w:rsidP="00107519">
      <w:pPr>
        <w:ind w:right="-29"/>
        <w:rPr>
          <w:sz w:val="22"/>
          <w:szCs w:val="22"/>
          <w:lang w:val="lt-LT" w:eastAsia="ja-JP"/>
        </w:rPr>
      </w:pPr>
      <w:r w:rsidRPr="00715891">
        <w:rPr>
          <w:b/>
          <w:sz w:val="22"/>
          <w:szCs w:val="22"/>
          <w:lang w:val="lt-LT" w:eastAsia="ja-JP"/>
        </w:rPr>
        <w:t>Alerginės reakcijos</w:t>
      </w:r>
    </w:p>
    <w:p w14:paraId="142C0C84" w14:textId="5B94E5FE" w:rsidR="00107519" w:rsidRPr="00715891" w:rsidRDefault="00601A14" w:rsidP="00107519">
      <w:pPr>
        <w:ind w:right="-29"/>
        <w:rPr>
          <w:sz w:val="22"/>
          <w:szCs w:val="22"/>
          <w:lang w:val="lt-LT" w:eastAsia="ja-JP"/>
        </w:rPr>
      </w:pPr>
      <w:r w:rsidRPr="00715891">
        <w:rPr>
          <w:sz w:val="22"/>
          <w:szCs w:val="22"/>
          <w:lang w:val="lt-LT" w:eastAsia="ja-JP"/>
        </w:rPr>
        <w:t>Rečiau</w:t>
      </w:r>
      <w:r w:rsidR="00107519" w:rsidRPr="00715891">
        <w:rPr>
          <w:sz w:val="22"/>
          <w:szCs w:val="22"/>
          <w:lang w:val="lt-LT" w:eastAsia="ja-JP"/>
        </w:rPr>
        <w:t xml:space="preserve"> kaip vienam iš 1</w:t>
      </w:r>
      <w:r w:rsidR="009B72CE" w:rsidRPr="00715891">
        <w:rPr>
          <w:sz w:val="22"/>
          <w:szCs w:val="22"/>
          <w:lang w:val="lt-LT" w:eastAsia="ja-JP"/>
        </w:rPr>
        <w:t> </w:t>
      </w:r>
      <w:r w:rsidR="00107519" w:rsidRPr="00715891">
        <w:rPr>
          <w:sz w:val="22"/>
          <w:szCs w:val="22"/>
          <w:lang w:val="lt-LT" w:eastAsia="ja-JP"/>
        </w:rPr>
        <w:t>00</w:t>
      </w:r>
      <w:r w:rsidR="006B5FA5" w:rsidRPr="00715891">
        <w:rPr>
          <w:sz w:val="22"/>
          <w:szCs w:val="22"/>
          <w:lang w:val="lt-LT" w:eastAsia="ja-JP"/>
        </w:rPr>
        <w:t>0</w:t>
      </w:r>
      <w:r w:rsidR="00107519" w:rsidRPr="00715891">
        <w:rPr>
          <w:sz w:val="22"/>
          <w:szCs w:val="22"/>
          <w:lang w:val="lt-LT" w:eastAsia="ja-JP"/>
        </w:rPr>
        <w:t xml:space="preserve"> žmonių gali pasireikšti staigi ir sunki alerginė reakcija į valganciklovirą (anafilaksinis šokas). </w:t>
      </w:r>
      <w:r w:rsidR="00107519" w:rsidRPr="00715891">
        <w:rPr>
          <w:b/>
          <w:sz w:val="22"/>
          <w:szCs w:val="22"/>
          <w:lang w:val="lt-LT" w:eastAsia="ja-JP"/>
        </w:rPr>
        <w:t xml:space="preserve">NUSTOKITE </w:t>
      </w:r>
      <w:r w:rsidR="00107519" w:rsidRPr="00715891">
        <w:rPr>
          <w:sz w:val="22"/>
          <w:szCs w:val="22"/>
          <w:lang w:val="lt-LT" w:eastAsia="ja-JP"/>
        </w:rPr>
        <w:t>vartoti Valganciclovir Sandoz ir vykite į artimiausios ligoninės skubios pagalbos skyrių, jeigu pasireikš bet kuris toliau nurodytas pokytis:</w:t>
      </w:r>
    </w:p>
    <w:p w14:paraId="78E8E8F5" w14:textId="693BE243" w:rsidR="00107519" w:rsidRPr="00715891" w:rsidRDefault="00107519" w:rsidP="005B6B82">
      <w:pPr>
        <w:numPr>
          <w:ilvl w:val="1"/>
          <w:numId w:val="27"/>
        </w:numPr>
        <w:tabs>
          <w:tab w:val="left" w:pos="567"/>
        </w:tabs>
        <w:ind w:left="567" w:right="-29" w:hanging="567"/>
        <w:rPr>
          <w:sz w:val="22"/>
          <w:szCs w:val="22"/>
          <w:lang w:val="lt-LT" w:eastAsia="ja-JP"/>
        </w:rPr>
      </w:pPr>
      <w:r w:rsidRPr="00715891">
        <w:rPr>
          <w:sz w:val="22"/>
          <w:szCs w:val="22"/>
          <w:lang w:val="lt-LT" w:eastAsia="ja-JP"/>
        </w:rPr>
        <w:t>iškilas, niež</w:t>
      </w:r>
      <w:r w:rsidR="002568F6" w:rsidRPr="00715891">
        <w:rPr>
          <w:sz w:val="22"/>
          <w:szCs w:val="22"/>
          <w:lang w:val="lt-LT" w:eastAsia="ja-JP"/>
        </w:rPr>
        <w:t>t</w:t>
      </w:r>
      <w:r w:rsidRPr="00715891">
        <w:rPr>
          <w:sz w:val="22"/>
          <w:szCs w:val="22"/>
          <w:lang w:val="lt-LT" w:eastAsia="ja-JP"/>
        </w:rPr>
        <w:t>intis odos išbėrimas (</w:t>
      </w:r>
      <w:r w:rsidRPr="00715891">
        <w:rPr>
          <w:b/>
          <w:sz w:val="22"/>
          <w:szCs w:val="22"/>
          <w:lang w:val="lt-LT" w:eastAsia="ja-JP"/>
        </w:rPr>
        <w:t>dilgėlinė</w:t>
      </w:r>
      <w:r w:rsidRPr="00715891">
        <w:rPr>
          <w:sz w:val="22"/>
          <w:szCs w:val="22"/>
          <w:lang w:val="lt-LT" w:eastAsia="ja-JP"/>
        </w:rPr>
        <w:t>);</w:t>
      </w:r>
    </w:p>
    <w:p w14:paraId="1A3E0A60" w14:textId="396426B7" w:rsidR="00107519" w:rsidRPr="00715891" w:rsidRDefault="00107519" w:rsidP="005B6B82">
      <w:pPr>
        <w:numPr>
          <w:ilvl w:val="1"/>
          <w:numId w:val="27"/>
        </w:numPr>
        <w:tabs>
          <w:tab w:val="left" w:pos="567"/>
        </w:tabs>
        <w:ind w:left="567" w:right="-29" w:hanging="567"/>
        <w:rPr>
          <w:sz w:val="22"/>
          <w:szCs w:val="22"/>
          <w:lang w:val="lt-LT" w:eastAsia="ja-JP"/>
        </w:rPr>
      </w:pPr>
      <w:r w:rsidRPr="00715891">
        <w:rPr>
          <w:b/>
          <w:sz w:val="22"/>
          <w:szCs w:val="22"/>
          <w:lang w:val="lt-LT" w:eastAsia="ja-JP"/>
        </w:rPr>
        <w:t>staigus gerklės, veido, lūpų ir burnos pabrinkimas</w:t>
      </w:r>
      <w:r w:rsidRPr="00715891">
        <w:rPr>
          <w:sz w:val="22"/>
          <w:szCs w:val="22"/>
          <w:lang w:val="lt-LT" w:eastAsia="ja-JP"/>
        </w:rPr>
        <w:t>, dėl kurio gali būti sunku ryti ar kvėpuoti;</w:t>
      </w:r>
    </w:p>
    <w:p w14:paraId="5920B2A8" w14:textId="522E166B" w:rsidR="00107519" w:rsidRPr="00715891" w:rsidRDefault="00107519" w:rsidP="005B6B82">
      <w:pPr>
        <w:numPr>
          <w:ilvl w:val="1"/>
          <w:numId w:val="27"/>
        </w:numPr>
        <w:tabs>
          <w:tab w:val="left" w:pos="567"/>
        </w:tabs>
        <w:ind w:left="567" w:right="-29" w:hanging="567"/>
        <w:rPr>
          <w:sz w:val="22"/>
          <w:szCs w:val="22"/>
          <w:lang w:val="lt-LT" w:eastAsia="ja-JP"/>
        </w:rPr>
      </w:pPr>
      <w:r w:rsidRPr="00715891">
        <w:rPr>
          <w:b/>
          <w:sz w:val="22"/>
          <w:szCs w:val="22"/>
          <w:lang w:val="lt-LT" w:eastAsia="ja-JP"/>
        </w:rPr>
        <w:t>staigus rankų</w:t>
      </w:r>
      <w:smartTag w:uri="schemas-tilde-lv/tildestengine" w:element="metric2">
        <w:smartTagPr>
          <w:attr w:name="metric_value" w:val="."/>
          <w:attr w:name="metric_text" w:val="pėdų"/>
        </w:smartTagPr>
        <w:r w:rsidRPr="00715891">
          <w:rPr>
            <w:b/>
            <w:sz w:val="22"/>
            <w:szCs w:val="22"/>
            <w:lang w:val="lt-LT" w:eastAsia="ja-JP"/>
          </w:rPr>
          <w:t>, pėdų</w:t>
        </w:r>
      </w:smartTag>
      <w:r w:rsidRPr="00715891">
        <w:rPr>
          <w:b/>
          <w:sz w:val="22"/>
          <w:szCs w:val="22"/>
          <w:lang w:val="lt-LT" w:eastAsia="ja-JP"/>
        </w:rPr>
        <w:t xml:space="preserve"> ar kulkšnių patinimas</w:t>
      </w:r>
      <w:r w:rsidRPr="00715891">
        <w:rPr>
          <w:sz w:val="22"/>
          <w:szCs w:val="22"/>
          <w:lang w:val="lt-LT" w:eastAsia="ja-JP"/>
        </w:rPr>
        <w:t>.</w:t>
      </w:r>
    </w:p>
    <w:p w14:paraId="5672B032" w14:textId="77777777" w:rsidR="006B5FA5" w:rsidRPr="00715891" w:rsidRDefault="006B5FA5" w:rsidP="006B5FA5">
      <w:pPr>
        <w:ind w:right="-29"/>
        <w:rPr>
          <w:sz w:val="22"/>
          <w:szCs w:val="22"/>
          <w:lang w:val="lt-LT" w:eastAsia="ja-JP"/>
        </w:rPr>
      </w:pPr>
    </w:p>
    <w:p w14:paraId="08DE4DDA" w14:textId="77777777" w:rsidR="006B5FA5" w:rsidRPr="00715891" w:rsidRDefault="006B5FA5" w:rsidP="006B5FA5">
      <w:pPr>
        <w:ind w:right="-29"/>
        <w:rPr>
          <w:b/>
          <w:sz w:val="22"/>
          <w:szCs w:val="22"/>
          <w:lang w:val="lt-LT" w:eastAsia="ja-JP"/>
        </w:rPr>
      </w:pPr>
      <w:r w:rsidRPr="00715891">
        <w:rPr>
          <w:b/>
          <w:sz w:val="22"/>
          <w:szCs w:val="22"/>
          <w:lang w:val="lt-LT" w:eastAsia="ja-JP"/>
        </w:rPr>
        <w:t>Sunkus šalutinis poveikis</w:t>
      </w:r>
    </w:p>
    <w:p w14:paraId="535D55F2" w14:textId="77777777" w:rsidR="006B5FA5" w:rsidRPr="00715891" w:rsidRDefault="006B5FA5" w:rsidP="006B5FA5">
      <w:pPr>
        <w:ind w:right="-29"/>
        <w:rPr>
          <w:sz w:val="22"/>
          <w:szCs w:val="22"/>
          <w:lang w:val="lt-LT" w:eastAsia="ja-JP"/>
        </w:rPr>
      </w:pPr>
      <w:r w:rsidRPr="00715891">
        <w:rPr>
          <w:sz w:val="22"/>
          <w:szCs w:val="22"/>
          <w:lang w:val="lt-LT" w:eastAsia="ja-JP"/>
        </w:rPr>
        <w:t xml:space="preserve">Pastebėję bet kurį iš žemiau išvardyto sunkaus šalutinio poveikio atvejų, nedelsdami pasakykite savo gydytojui. Jūsų gydytojas gali nurodyti nutraukti </w:t>
      </w:r>
      <w:r w:rsidR="005E1152" w:rsidRPr="00715891">
        <w:rPr>
          <w:sz w:val="22"/>
          <w:szCs w:val="22"/>
          <w:lang w:val="lt-LT" w:eastAsia="ja-JP"/>
        </w:rPr>
        <w:t>Valganciclovir Sandoz vartojimą ir</w:t>
      </w:r>
      <w:r w:rsidRPr="00715891">
        <w:rPr>
          <w:sz w:val="22"/>
          <w:szCs w:val="22"/>
          <w:lang w:val="lt-LT" w:eastAsia="ja-JP"/>
        </w:rPr>
        <w:t xml:space="preserve"> Jums gali prireikti skubios medicininės pagalbos.</w:t>
      </w:r>
    </w:p>
    <w:p w14:paraId="3EB71622" w14:textId="77777777" w:rsidR="006B5FA5" w:rsidRPr="00715891" w:rsidRDefault="006B5FA5" w:rsidP="006B5FA5">
      <w:pPr>
        <w:ind w:right="-29"/>
        <w:rPr>
          <w:sz w:val="22"/>
          <w:szCs w:val="22"/>
          <w:lang w:val="lt-LT" w:eastAsia="ja-JP"/>
        </w:rPr>
      </w:pPr>
    </w:p>
    <w:p w14:paraId="10D8DB70" w14:textId="7EBD8A55" w:rsidR="006B5FA5" w:rsidRPr="00715891" w:rsidRDefault="006B5FA5" w:rsidP="006B5FA5">
      <w:pPr>
        <w:ind w:right="-29"/>
        <w:rPr>
          <w:sz w:val="22"/>
          <w:szCs w:val="22"/>
          <w:lang w:val="lt-LT" w:eastAsia="ja-JP"/>
        </w:rPr>
      </w:pPr>
      <w:r w:rsidRPr="00715891">
        <w:rPr>
          <w:b/>
          <w:sz w:val="22"/>
          <w:szCs w:val="22"/>
          <w:lang w:val="lt-LT" w:eastAsia="ja-JP"/>
        </w:rPr>
        <w:t>Labai dažn</w:t>
      </w:r>
      <w:r w:rsidR="00C06C36" w:rsidRPr="00715891">
        <w:rPr>
          <w:b/>
          <w:sz w:val="22"/>
          <w:szCs w:val="22"/>
          <w:lang w:val="lt-LT" w:eastAsia="ja-JP"/>
        </w:rPr>
        <w:t>i šalutinio poveikio reiškiniai</w:t>
      </w:r>
      <w:r w:rsidRPr="00715891">
        <w:rPr>
          <w:sz w:val="22"/>
          <w:szCs w:val="22"/>
          <w:lang w:val="lt-LT" w:eastAsia="ja-JP"/>
        </w:rPr>
        <w:t xml:space="preserve"> </w:t>
      </w:r>
      <w:r w:rsidRPr="004C2447">
        <w:rPr>
          <w:b/>
          <w:bCs/>
          <w:sz w:val="22"/>
          <w:szCs w:val="22"/>
          <w:lang w:val="lt-LT" w:eastAsia="ja-JP"/>
        </w:rPr>
        <w:t xml:space="preserve">(gali pasireikšti </w:t>
      </w:r>
      <w:r w:rsidR="00EE28D8" w:rsidRPr="004C2447">
        <w:rPr>
          <w:b/>
          <w:bCs/>
          <w:sz w:val="22"/>
          <w:szCs w:val="22"/>
          <w:lang w:val="lt-LT" w:eastAsia="ja-JP"/>
        </w:rPr>
        <w:t>ne rečiau kaip</w:t>
      </w:r>
      <w:r w:rsidRPr="004C2447">
        <w:rPr>
          <w:b/>
          <w:bCs/>
          <w:sz w:val="22"/>
          <w:szCs w:val="22"/>
          <w:lang w:val="lt-LT" w:eastAsia="ja-JP"/>
        </w:rPr>
        <w:t xml:space="preserve"> 1 iš 10 </w:t>
      </w:r>
      <w:r w:rsidR="00C06C36" w:rsidRPr="004C2447">
        <w:rPr>
          <w:b/>
          <w:bCs/>
          <w:sz w:val="22"/>
          <w:szCs w:val="22"/>
          <w:lang w:val="lt-LT" w:eastAsia="ja-JP"/>
        </w:rPr>
        <w:t>asmen</w:t>
      </w:r>
      <w:r w:rsidR="005E1152" w:rsidRPr="004C2447">
        <w:rPr>
          <w:b/>
          <w:bCs/>
          <w:sz w:val="22"/>
          <w:szCs w:val="22"/>
          <w:lang w:val="lt-LT" w:eastAsia="ja-JP"/>
        </w:rPr>
        <w:t>ų</w:t>
      </w:r>
      <w:r w:rsidRPr="004C2447">
        <w:rPr>
          <w:b/>
          <w:bCs/>
          <w:sz w:val="22"/>
          <w:szCs w:val="22"/>
          <w:lang w:val="lt-LT" w:eastAsia="ja-JP"/>
        </w:rPr>
        <w:t>):</w:t>
      </w:r>
    </w:p>
    <w:p w14:paraId="6A671D4B" w14:textId="77777777" w:rsidR="006B5FA5" w:rsidRPr="00715891" w:rsidRDefault="006B5FA5" w:rsidP="005E1152">
      <w:pPr>
        <w:numPr>
          <w:ilvl w:val="2"/>
          <w:numId w:val="31"/>
        </w:numPr>
        <w:ind w:left="567" w:right="-29" w:hanging="567"/>
        <w:rPr>
          <w:sz w:val="22"/>
          <w:szCs w:val="22"/>
          <w:lang w:val="lt-LT" w:eastAsia="ja-JP"/>
        </w:rPr>
      </w:pPr>
      <w:r w:rsidRPr="00715891">
        <w:rPr>
          <w:sz w:val="22"/>
          <w:szCs w:val="22"/>
          <w:lang w:val="lt-LT" w:eastAsia="ja-JP"/>
        </w:rPr>
        <w:t xml:space="preserve">mažas baltųjų kraujo </w:t>
      </w:r>
      <w:r w:rsidR="005E1152" w:rsidRPr="00715891">
        <w:rPr>
          <w:sz w:val="22"/>
          <w:szCs w:val="22"/>
          <w:lang w:val="lt-LT" w:eastAsia="ja-JP"/>
        </w:rPr>
        <w:t>ląstelių</w:t>
      </w:r>
      <w:r w:rsidRPr="00715891">
        <w:rPr>
          <w:sz w:val="22"/>
          <w:szCs w:val="22"/>
          <w:lang w:val="lt-LT" w:eastAsia="ja-JP"/>
        </w:rPr>
        <w:t xml:space="preserve"> kiekis - su infekcijos požymiais, tokiais kaip gerklės skausmas, burnos gleivinės opos ar karščiavimas;</w:t>
      </w:r>
    </w:p>
    <w:p w14:paraId="10DBBCA3" w14:textId="77777777" w:rsidR="006B5FA5" w:rsidRPr="00715891" w:rsidRDefault="006B5FA5" w:rsidP="005E1152">
      <w:pPr>
        <w:numPr>
          <w:ilvl w:val="2"/>
          <w:numId w:val="33"/>
        </w:numPr>
        <w:ind w:left="567" w:right="-29" w:hanging="567"/>
        <w:rPr>
          <w:sz w:val="22"/>
          <w:szCs w:val="22"/>
          <w:lang w:val="lt-LT" w:eastAsia="ja-JP"/>
        </w:rPr>
      </w:pPr>
      <w:r w:rsidRPr="00715891">
        <w:rPr>
          <w:sz w:val="22"/>
          <w:szCs w:val="22"/>
          <w:lang w:val="lt-LT" w:eastAsia="ja-JP"/>
        </w:rPr>
        <w:t xml:space="preserve">mažas raudonųjų kraujo </w:t>
      </w:r>
      <w:r w:rsidR="005E1152" w:rsidRPr="00715891">
        <w:rPr>
          <w:sz w:val="22"/>
          <w:szCs w:val="22"/>
          <w:lang w:val="lt-LT" w:eastAsia="ja-JP"/>
        </w:rPr>
        <w:t>ląstelių</w:t>
      </w:r>
      <w:r w:rsidRPr="00715891">
        <w:rPr>
          <w:sz w:val="22"/>
          <w:szCs w:val="22"/>
          <w:lang w:val="lt-LT" w:eastAsia="ja-JP"/>
        </w:rPr>
        <w:t xml:space="preserve"> kiekis - požymiai gali būti dusulys ar nuovargis, širdies plakimas ar blyški oda.</w:t>
      </w:r>
    </w:p>
    <w:p w14:paraId="58E06C64" w14:textId="77777777" w:rsidR="005E1152" w:rsidRPr="00715891" w:rsidRDefault="005E1152" w:rsidP="006B5FA5">
      <w:pPr>
        <w:ind w:right="-29"/>
        <w:rPr>
          <w:sz w:val="22"/>
          <w:szCs w:val="22"/>
          <w:lang w:val="lt-LT" w:eastAsia="ja-JP"/>
        </w:rPr>
      </w:pPr>
    </w:p>
    <w:p w14:paraId="34AB147E" w14:textId="3BDFF87A" w:rsidR="006B5FA5" w:rsidRPr="00715891" w:rsidRDefault="006B5FA5" w:rsidP="006B5FA5">
      <w:pPr>
        <w:ind w:right="-29"/>
        <w:rPr>
          <w:sz w:val="22"/>
          <w:szCs w:val="22"/>
          <w:lang w:val="lt-LT" w:eastAsia="ja-JP"/>
        </w:rPr>
      </w:pPr>
      <w:r w:rsidRPr="00715891">
        <w:rPr>
          <w:b/>
          <w:sz w:val="22"/>
          <w:szCs w:val="22"/>
          <w:lang w:val="lt-LT" w:eastAsia="ja-JP"/>
        </w:rPr>
        <w:t>Dažn</w:t>
      </w:r>
      <w:r w:rsidR="00C06C36" w:rsidRPr="00715891">
        <w:rPr>
          <w:b/>
          <w:sz w:val="22"/>
          <w:szCs w:val="22"/>
          <w:lang w:val="lt-LT" w:eastAsia="ja-JP"/>
        </w:rPr>
        <w:t>i šalutinio poveikio reiškiniai</w:t>
      </w:r>
      <w:r w:rsidRPr="00715891">
        <w:rPr>
          <w:sz w:val="22"/>
          <w:szCs w:val="22"/>
          <w:lang w:val="lt-LT" w:eastAsia="ja-JP"/>
        </w:rPr>
        <w:t xml:space="preserve"> </w:t>
      </w:r>
      <w:r w:rsidRPr="004C2447">
        <w:rPr>
          <w:b/>
          <w:bCs/>
          <w:sz w:val="22"/>
          <w:szCs w:val="22"/>
          <w:lang w:val="lt-LT" w:eastAsia="ja-JP"/>
        </w:rPr>
        <w:t xml:space="preserve">(gali pasireikšti </w:t>
      </w:r>
      <w:r w:rsidR="00601A14" w:rsidRPr="004C2447">
        <w:rPr>
          <w:b/>
          <w:bCs/>
          <w:sz w:val="22"/>
          <w:szCs w:val="22"/>
          <w:lang w:val="lt-LT" w:eastAsia="ja-JP"/>
        </w:rPr>
        <w:t>rečiau</w:t>
      </w:r>
      <w:r w:rsidRPr="004C2447">
        <w:rPr>
          <w:b/>
          <w:bCs/>
          <w:sz w:val="22"/>
          <w:szCs w:val="22"/>
          <w:lang w:val="lt-LT" w:eastAsia="ja-JP"/>
        </w:rPr>
        <w:t xml:space="preserve"> kaip 1 iš 10 </w:t>
      </w:r>
      <w:r w:rsidR="00C06C36" w:rsidRPr="004C2447">
        <w:rPr>
          <w:b/>
          <w:bCs/>
          <w:sz w:val="22"/>
          <w:szCs w:val="22"/>
          <w:lang w:val="lt-LT" w:eastAsia="ja-JP"/>
        </w:rPr>
        <w:t>asmen</w:t>
      </w:r>
      <w:r w:rsidR="005E1152" w:rsidRPr="004C2447">
        <w:rPr>
          <w:b/>
          <w:bCs/>
          <w:sz w:val="22"/>
          <w:szCs w:val="22"/>
          <w:lang w:val="lt-LT" w:eastAsia="ja-JP"/>
        </w:rPr>
        <w:t>ų</w:t>
      </w:r>
      <w:r w:rsidRPr="004C2447">
        <w:rPr>
          <w:b/>
          <w:bCs/>
          <w:sz w:val="22"/>
          <w:szCs w:val="22"/>
          <w:lang w:val="lt-LT" w:eastAsia="ja-JP"/>
        </w:rPr>
        <w:t>):</w:t>
      </w:r>
    </w:p>
    <w:p w14:paraId="223DE949" w14:textId="77777777" w:rsidR="006B5FA5" w:rsidRPr="00715891" w:rsidRDefault="006B5FA5" w:rsidP="005E1152">
      <w:pPr>
        <w:numPr>
          <w:ilvl w:val="2"/>
          <w:numId w:val="35"/>
        </w:numPr>
        <w:ind w:left="567" w:right="-29" w:hanging="567"/>
        <w:rPr>
          <w:sz w:val="22"/>
          <w:szCs w:val="22"/>
          <w:lang w:val="lt-LT" w:eastAsia="ja-JP"/>
        </w:rPr>
      </w:pPr>
      <w:r w:rsidRPr="00715891">
        <w:rPr>
          <w:sz w:val="22"/>
          <w:szCs w:val="22"/>
          <w:lang w:val="lt-LT" w:eastAsia="ja-JP"/>
        </w:rPr>
        <w:t xml:space="preserve">kraujo užkrėtimas (sepsis) – požymiai gali būti karščiavimas, </w:t>
      </w:r>
      <w:r w:rsidR="005E1152" w:rsidRPr="00715891">
        <w:rPr>
          <w:sz w:val="22"/>
          <w:szCs w:val="22"/>
          <w:lang w:val="lt-LT" w:eastAsia="ja-JP"/>
        </w:rPr>
        <w:t>drebulys</w:t>
      </w:r>
      <w:r w:rsidRPr="00715891">
        <w:rPr>
          <w:sz w:val="22"/>
          <w:szCs w:val="22"/>
          <w:lang w:val="lt-LT" w:eastAsia="ja-JP"/>
        </w:rPr>
        <w:t>, širdies plakimai, sumišimo būklė ir neaiški kalba;</w:t>
      </w:r>
    </w:p>
    <w:p w14:paraId="3C2B623F" w14:textId="77777777" w:rsidR="006B5FA5" w:rsidRPr="00715891" w:rsidRDefault="006B5FA5" w:rsidP="005E1152">
      <w:pPr>
        <w:numPr>
          <w:ilvl w:val="2"/>
          <w:numId w:val="35"/>
        </w:numPr>
        <w:ind w:left="567" w:right="-29" w:hanging="567"/>
        <w:rPr>
          <w:sz w:val="22"/>
          <w:szCs w:val="22"/>
          <w:lang w:val="lt-LT" w:eastAsia="ja-JP"/>
        </w:rPr>
      </w:pPr>
      <w:r w:rsidRPr="00715891">
        <w:rPr>
          <w:sz w:val="22"/>
          <w:szCs w:val="22"/>
          <w:lang w:val="lt-LT" w:eastAsia="ja-JP"/>
        </w:rPr>
        <w:t>mažas trombocitų kiekis - požymiai gali būti lengviau nei įprastai atsirandantis kraujavimas ar mėlynės, kraujas šlapime ar išmatose ar kraujavimas iš dantenų, šie kraujavimai gali būti sunkūs;</w:t>
      </w:r>
    </w:p>
    <w:p w14:paraId="6764E4B9" w14:textId="77777777" w:rsidR="006B5FA5" w:rsidRPr="00715891" w:rsidRDefault="006B5FA5" w:rsidP="005E1152">
      <w:pPr>
        <w:numPr>
          <w:ilvl w:val="2"/>
          <w:numId w:val="35"/>
        </w:numPr>
        <w:ind w:left="567" w:right="-29" w:hanging="567"/>
        <w:rPr>
          <w:sz w:val="22"/>
          <w:szCs w:val="22"/>
          <w:lang w:val="lt-LT" w:eastAsia="ja-JP"/>
        </w:rPr>
      </w:pPr>
      <w:r w:rsidRPr="00715891">
        <w:rPr>
          <w:sz w:val="22"/>
          <w:szCs w:val="22"/>
          <w:lang w:val="lt-LT" w:eastAsia="ja-JP"/>
        </w:rPr>
        <w:t>ypač mažas kraujo ląstelių skaičius;</w:t>
      </w:r>
    </w:p>
    <w:p w14:paraId="24A7853F" w14:textId="77777777" w:rsidR="006B5FA5" w:rsidRPr="00715891" w:rsidRDefault="006B5FA5" w:rsidP="005E1152">
      <w:pPr>
        <w:numPr>
          <w:ilvl w:val="2"/>
          <w:numId w:val="35"/>
        </w:numPr>
        <w:ind w:left="567" w:right="-29" w:hanging="567"/>
        <w:rPr>
          <w:sz w:val="22"/>
          <w:szCs w:val="22"/>
          <w:lang w:val="lt-LT" w:eastAsia="ja-JP"/>
        </w:rPr>
      </w:pPr>
      <w:r w:rsidRPr="00715891">
        <w:rPr>
          <w:sz w:val="22"/>
          <w:szCs w:val="22"/>
          <w:lang w:val="lt-LT" w:eastAsia="ja-JP"/>
        </w:rPr>
        <w:t>pankreatitas – požymiai yra ypač stiprus į nugarą plintantis skausmas;</w:t>
      </w:r>
    </w:p>
    <w:p w14:paraId="49AF74EA" w14:textId="77777777" w:rsidR="006B5FA5" w:rsidRPr="00715891" w:rsidRDefault="006B5FA5" w:rsidP="005E1152">
      <w:pPr>
        <w:numPr>
          <w:ilvl w:val="2"/>
          <w:numId w:val="35"/>
        </w:numPr>
        <w:ind w:left="567" w:right="-29" w:hanging="567"/>
        <w:rPr>
          <w:sz w:val="22"/>
          <w:szCs w:val="22"/>
          <w:lang w:val="lt-LT" w:eastAsia="ja-JP"/>
        </w:rPr>
      </w:pPr>
      <w:r w:rsidRPr="00715891">
        <w:rPr>
          <w:sz w:val="22"/>
          <w:szCs w:val="22"/>
          <w:lang w:val="lt-LT" w:eastAsia="ja-JP"/>
        </w:rPr>
        <w:t>traukuliai.</w:t>
      </w:r>
    </w:p>
    <w:p w14:paraId="6B25033B" w14:textId="77777777" w:rsidR="005E1152" w:rsidRPr="00715891" w:rsidRDefault="005E1152" w:rsidP="006B5FA5">
      <w:pPr>
        <w:ind w:right="-29"/>
        <w:rPr>
          <w:sz w:val="22"/>
          <w:szCs w:val="22"/>
          <w:lang w:val="lt-LT" w:eastAsia="ja-JP"/>
        </w:rPr>
      </w:pPr>
    </w:p>
    <w:p w14:paraId="05F9E08E" w14:textId="5553AB21" w:rsidR="006B5FA5" w:rsidRPr="00715891" w:rsidRDefault="006B5FA5" w:rsidP="006B5FA5">
      <w:pPr>
        <w:ind w:right="-29"/>
        <w:rPr>
          <w:sz w:val="22"/>
          <w:szCs w:val="22"/>
          <w:lang w:val="lt-LT" w:eastAsia="ja-JP"/>
        </w:rPr>
      </w:pPr>
      <w:r w:rsidRPr="00715891">
        <w:rPr>
          <w:b/>
          <w:sz w:val="22"/>
          <w:szCs w:val="22"/>
          <w:lang w:val="lt-LT" w:eastAsia="ja-JP"/>
        </w:rPr>
        <w:t>Nedažn</w:t>
      </w:r>
      <w:r w:rsidR="00C06C36" w:rsidRPr="00715891">
        <w:rPr>
          <w:b/>
          <w:sz w:val="22"/>
          <w:szCs w:val="22"/>
          <w:lang w:val="lt-LT" w:eastAsia="ja-JP"/>
        </w:rPr>
        <w:t>i šalutinio poveikio reiškiniai</w:t>
      </w:r>
      <w:r w:rsidRPr="00715891">
        <w:rPr>
          <w:sz w:val="22"/>
          <w:szCs w:val="22"/>
          <w:lang w:val="lt-LT" w:eastAsia="ja-JP"/>
        </w:rPr>
        <w:t xml:space="preserve"> </w:t>
      </w:r>
      <w:r w:rsidRPr="004C2447">
        <w:rPr>
          <w:b/>
          <w:bCs/>
          <w:sz w:val="22"/>
          <w:szCs w:val="22"/>
          <w:lang w:val="lt-LT" w:eastAsia="ja-JP"/>
        </w:rPr>
        <w:t xml:space="preserve">(gali pasireikšti </w:t>
      </w:r>
      <w:r w:rsidR="00601A14" w:rsidRPr="004C2447">
        <w:rPr>
          <w:b/>
          <w:bCs/>
          <w:sz w:val="22"/>
          <w:szCs w:val="22"/>
          <w:lang w:val="lt-LT" w:eastAsia="ja-JP"/>
        </w:rPr>
        <w:t>rečiau</w:t>
      </w:r>
      <w:r w:rsidRPr="004C2447">
        <w:rPr>
          <w:b/>
          <w:bCs/>
          <w:sz w:val="22"/>
          <w:szCs w:val="22"/>
          <w:lang w:val="lt-LT" w:eastAsia="ja-JP"/>
        </w:rPr>
        <w:t xml:space="preserve"> kaip 1 iš 100 </w:t>
      </w:r>
      <w:r w:rsidR="00C06C36" w:rsidRPr="004C2447">
        <w:rPr>
          <w:b/>
          <w:bCs/>
          <w:sz w:val="22"/>
          <w:szCs w:val="22"/>
          <w:lang w:val="lt-LT" w:eastAsia="ja-JP"/>
        </w:rPr>
        <w:t>asmen</w:t>
      </w:r>
      <w:r w:rsidR="005E1152" w:rsidRPr="004C2447">
        <w:rPr>
          <w:b/>
          <w:bCs/>
          <w:sz w:val="22"/>
          <w:szCs w:val="22"/>
          <w:lang w:val="lt-LT" w:eastAsia="ja-JP"/>
        </w:rPr>
        <w:t>ų</w:t>
      </w:r>
      <w:r w:rsidRPr="004C2447">
        <w:rPr>
          <w:b/>
          <w:bCs/>
          <w:sz w:val="22"/>
          <w:szCs w:val="22"/>
          <w:lang w:val="lt-LT" w:eastAsia="ja-JP"/>
        </w:rPr>
        <w:t>):</w:t>
      </w:r>
    </w:p>
    <w:p w14:paraId="5E284D46" w14:textId="77777777" w:rsidR="006B5FA5" w:rsidRPr="00715891" w:rsidRDefault="006B5FA5" w:rsidP="005E1152">
      <w:pPr>
        <w:numPr>
          <w:ilvl w:val="2"/>
          <w:numId w:val="37"/>
        </w:numPr>
        <w:ind w:left="567" w:right="-29" w:hanging="567"/>
        <w:rPr>
          <w:sz w:val="22"/>
          <w:szCs w:val="22"/>
          <w:lang w:val="lt-LT" w:eastAsia="ja-JP"/>
        </w:rPr>
      </w:pPr>
      <w:r w:rsidRPr="00715891">
        <w:rPr>
          <w:sz w:val="22"/>
          <w:szCs w:val="22"/>
          <w:lang w:val="lt-LT" w:eastAsia="ja-JP"/>
        </w:rPr>
        <w:t xml:space="preserve">kaulų čiulpų nepajėgumas gaminti kraujo </w:t>
      </w:r>
      <w:r w:rsidR="005E1152" w:rsidRPr="00715891">
        <w:rPr>
          <w:sz w:val="22"/>
          <w:szCs w:val="22"/>
          <w:lang w:val="lt-LT" w:eastAsia="ja-JP"/>
        </w:rPr>
        <w:t>ląsteles</w:t>
      </w:r>
      <w:r w:rsidRPr="00715891">
        <w:rPr>
          <w:sz w:val="22"/>
          <w:szCs w:val="22"/>
          <w:lang w:val="lt-LT" w:eastAsia="ja-JP"/>
        </w:rPr>
        <w:t>;</w:t>
      </w:r>
    </w:p>
    <w:p w14:paraId="4B295E48" w14:textId="77777777" w:rsidR="006B5FA5" w:rsidRPr="00715891" w:rsidRDefault="006B5FA5" w:rsidP="005E1152">
      <w:pPr>
        <w:numPr>
          <w:ilvl w:val="2"/>
          <w:numId w:val="37"/>
        </w:numPr>
        <w:ind w:left="567" w:right="-29" w:hanging="567"/>
        <w:rPr>
          <w:sz w:val="22"/>
          <w:szCs w:val="22"/>
          <w:lang w:val="lt-LT" w:eastAsia="ja-JP"/>
        </w:rPr>
      </w:pPr>
      <w:r w:rsidRPr="00715891">
        <w:rPr>
          <w:sz w:val="22"/>
          <w:szCs w:val="22"/>
          <w:lang w:val="lt-LT" w:eastAsia="ja-JP"/>
        </w:rPr>
        <w:t>haliucinacijos (nesančių dalykų girdėjimas ar matymas);</w:t>
      </w:r>
    </w:p>
    <w:p w14:paraId="0D12C08F" w14:textId="77777777" w:rsidR="006B5FA5" w:rsidRPr="00715891" w:rsidRDefault="006B5FA5" w:rsidP="005E1152">
      <w:pPr>
        <w:numPr>
          <w:ilvl w:val="2"/>
          <w:numId w:val="37"/>
        </w:numPr>
        <w:ind w:left="567" w:right="-29" w:hanging="567"/>
        <w:rPr>
          <w:sz w:val="22"/>
          <w:szCs w:val="22"/>
          <w:lang w:val="lt-LT" w:eastAsia="ja-JP"/>
        </w:rPr>
      </w:pPr>
      <w:r w:rsidRPr="00715891">
        <w:rPr>
          <w:sz w:val="22"/>
          <w:szCs w:val="22"/>
          <w:lang w:val="lt-LT" w:eastAsia="ja-JP"/>
        </w:rPr>
        <w:t>nenormalios mintys ar jausmai, ryšio su tikrove praradimas;</w:t>
      </w:r>
    </w:p>
    <w:p w14:paraId="2371DD9B" w14:textId="77777777" w:rsidR="006B5FA5" w:rsidRPr="00715891" w:rsidRDefault="006B5FA5" w:rsidP="005E1152">
      <w:pPr>
        <w:numPr>
          <w:ilvl w:val="2"/>
          <w:numId w:val="37"/>
        </w:numPr>
        <w:ind w:left="567" w:right="-29" w:hanging="567"/>
        <w:rPr>
          <w:sz w:val="22"/>
          <w:szCs w:val="22"/>
          <w:lang w:val="lt-LT" w:eastAsia="ja-JP"/>
        </w:rPr>
      </w:pPr>
      <w:r w:rsidRPr="00715891">
        <w:rPr>
          <w:sz w:val="22"/>
          <w:szCs w:val="22"/>
          <w:lang w:val="lt-LT" w:eastAsia="ja-JP"/>
        </w:rPr>
        <w:t xml:space="preserve">inkstų </w:t>
      </w:r>
      <w:r w:rsidR="005E1152" w:rsidRPr="00715891">
        <w:rPr>
          <w:sz w:val="22"/>
          <w:szCs w:val="22"/>
          <w:lang w:val="lt-LT" w:eastAsia="ja-JP"/>
        </w:rPr>
        <w:t>funkcijos</w:t>
      </w:r>
      <w:r w:rsidRPr="00715891">
        <w:rPr>
          <w:sz w:val="22"/>
          <w:szCs w:val="22"/>
          <w:lang w:val="lt-LT" w:eastAsia="ja-JP"/>
        </w:rPr>
        <w:t xml:space="preserve"> nepakankamumas.</w:t>
      </w:r>
    </w:p>
    <w:p w14:paraId="624F4ADD" w14:textId="77777777" w:rsidR="006B5FA5" w:rsidRPr="00715891" w:rsidRDefault="006B5FA5" w:rsidP="00107519">
      <w:pPr>
        <w:ind w:right="-29"/>
        <w:rPr>
          <w:sz w:val="22"/>
          <w:szCs w:val="22"/>
          <w:lang w:val="lt-LT" w:eastAsia="ja-JP"/>
        </w:rPr>
      </w:pPr>
    </w:p>
    <w:p w14:paraId="16F7EC09" w14:textId="77777777" w:rsidR="00107519" w:rsidRPr="00715891" w:rsidRDefault="00107519" w:rsidP="00107519">
      <w:pPr>
        <w:ind w:right="-29"/>
        <w:rPr>
          <w:sz w:val="22"/>
          <w:szCs w:val="22"/>
          <w:lang w:val="lt-LT" w:eastAsia="ja-JP"/>
        </w:rPr>
      </w:pPr>
      <w:r w:rsidRPr="00715891">
        <w:rPr>
          <w:sz w:val="22"/>
          <w:szCs w:val="22"/>
          <w:lang w:val="lt-LT" w:eastAsia="ja-JP"/>
        </w:rPr>
        <w:t>Toliau išvardytas šalutinis poveikis, kuris buvo pasireiškęs gydymo valgancikloviru arba gancikloviru metu.</w:t>
      </w:r>
    </w:p>
    <w:p w14:paraId="4026D063" w14:textId="77777777" w:rsidR="005E1152" w:rsidRPr="00715891" w:rsidRDefault="005E1152" w:rsidP="00107519">
      <w:pPr>
        <w:ind w:right="-29"/>
        <w:rPr>
          <w:sz w:val="22"/>
          <w:szCs w:val="22"/>
          <w:lang w:val="lt-LT" w:eastAsia="ja-JP"/>
        </w:rPr>
      </w:pPr>
    </w:p>
    <w:p w14:paraId="2C154BDE" w14:textId="77777777" w:rsidR="00107519" w:rsidRPr="00715891" w:rsidRDefault="005E1152" w:rsidP="00107519">
      <w:pPr>
        <w:ind w:right="-29"/>
        <w:rPr>
          <w:b/>
          <w:sz w:val="22"/>
          <w:szCs w:val="22"/>
          <w:lang w:val="lt-LT" w:eastAsia="ja-JP"/>
        </w:rPr>
      </w:pPr>
      <w:r w:rsidRPr="00715891">
        <w:rPr>
          <w:b/>
          <w:sz w:val="22"/>
          <w:szCs w:val="22"/>
          <w:lang w:val="lt-LT" w:eastAsia="ja-JP"/>
        </w:rPr>
        <w:t>Kitas šalutinis poveikis</w:t>
      </w:r>
    </w:p>
    <w:p w14:paraId="480C5EB0" w14:textId="21AC6842" w:rsidR="005E1152" w:rsidRPr="00715891" w:rsidRDefault="005E1152" w:rsidP="00107519">
      <w:pPr>
        <w:ind w:right="-29"/>
        <w:rPr>
          <w:sz w:val="22"/>
          <w:szCs w:val="22"/>
          <w:lang w:val="lt-LT" w:eastAsia="ja-JP"/>
        </w:rPr>
      </w:pPr>
      <w:r w:rsidRPr="00715891">
        <w:rPr>
          <w:sz w:val="22"/>
          <w:szCs w:val="22"/>
          <w:lang w:val="lt-LT" w:eastAsia="ja-JP"/>
        </w:rPr>
        <w:t xml:space="preserve">Pasakykite savo gydytojui, </w:t>
      </w:r>
      <w:r w:rsidR="00F67D86" w:rsidRPr="00715891">
        <w:rPr>
          <w:sz w:val="22"/>
          <w:szCs w:val="22"/>
          <w:lang w:val="lt-LT" w:eastAsia="ja-JP"/>
        </w:rPr>
        <w:t xml:space="preserve">vaistininkui </w:t>
      </w:r>
      <w:r w:rsidRPr="00715891">
        <w:rPr>
          <w:sz w:val="22"/>
          <w:szCs w:val="22"/>
          <w:lang w:val="lt-LT" w:eastAsia="ja-JP"/>
        </w:rPr>
        <w:t>ar slaugytoj</w:t>
      </w:r>
      <w:r w:rsidR="002D5B65" w:rsidRPr="00715891">
        <w:rPr>
          <w:sz w:val="22"/>
          <w:szCs w:val="22"/>
          <w:lang w:val="lt-LT" w:eastAsia="ja-JP"/>
        </w:rPr>
        <w:t xml:space="preserve">ai, </w:t>
      </w:r>
      <w:r w:rsidR="00F67D86" w:rsidRPr="00715891">
        <w:rPr>
          <w:sz w:val="22"/>
          <w:szCs w:val="22"/>
          <w:lang w:val="lt-LT" w:eastAsia="ja-JP"/>
        </w:rPr>
        <w:t xml:space="preserve">jeigu </w:t>
      </w:r>
      <w:r w:rsidR="002D5B65" w:rsidRPr="00715891">
        <w:rPr>
          <w:sz w:val="22"/>
          <w:szCs w:val="22"/>
          <w:lang w:val="lt-LT" w:eastAsia="ja-JP"/>
        </w:rPr>
        <w:t>pastebite bet kurį toliau išvardytą šalutinį poveikį:</w:t>
      </w:r>
    </w:p>
    <w:p w14:paraId="1D995404" w14:textId="77777777" w:rsidR="005E1152" w:rsidRPr="00715891" w:rsidRDefault="005E1152" w:rsidP="002D5B65">
      <w:pPr>
        <w:ind w:right="-29"/>
        <w:rPr>
          <w:sz w:val="22"/>
          <w:szCs w:val="22"/>
          <w:lang w:val="lt-LT" w:eastAsia="ja-JP"/>
        </w:rPr>
      </w:pPr>
    </w:p>
    <w:p w14:paraId="1E38DB45" w14:textId="18707566" w:rsidR="002D5B65" w:rsidRPr="00715891" w:rsidRDefault="002D5B65" w:rsidP="002D5B65">
      <w:pPr>
        <w:ind w:right="-29"/>
        <w:rPr>
          <w:sz w:val="22"/>
          <w:szCs w:val="22"/>
          <w:lang w:val="lt-LT" w:eastAsia="ja-JP"/>
        </w:rPr>
      </w:pPr>
      <w:r w:rsidRPr="00715891">
        <w:rPr>
          <w:b/>
          <w:sz w:val="22"/>
          <w:szCs w:val="22"/>
          <w:lang w:val="lt-LT" w:eastAsia="ja-JP"/>
        </w:rPr>
        <w:t>Labai dažn</w:t>
      </w:r>
      <w:r w:rsidR="00C06C36" w:rsidRPr="00715891">
        <w:rPr>
          <w:b/>
          <w:sz w:val="22"/>
          <w:szCs w:val="22"/>
          <w:lang w:val="lt-LT" w:eastAsia="ja-JP"/>
        </w:rPr>
        <w:t>i šalutinio poveikio reiškiniai</w:t>
      </w:r>
      <w:r w:rsidR="00C06C36" w:rsidRPr="00715891">
        <w:rPr>
          <w:sz w:val="22"/>
          <w:szCs w:val="22"/>
          <w:lang w:val="lt-LT" w:eastAsia="ja-JP"/>
        </w:rPr>
        <w:t xml:space="preserve"> </w:t>
      </w:r>
      <w:r w:rsidRPr="004C2447">
        <w:rPr>
          <w:b/>
          <w:sz w:val="22"/>
          <w:lang w:val="lt-LT"/>
        </w:rPr>
        <w:t>(</w:t>
      </w:r>
      <w:r w:rsidRPr="004C2447">
        <w:rPr>
          <w:b/>
          <w:sz w:val="22"/>
          <w:szCs w:val="22"/>
          <w:lang w:val="lt-LT" w:eastAsia="ja-JP"/>
        </w:rPr>
        <w:t xml:space="preserve">gali pasireikšti </w:t>
      </w:r>
      <w:r w:rsidR="00181DD6" w:rsidRPr="004C2447">
        <w:rPr>
          <w:b/>
          <w:sz w:val="22"/>
          <w:szCs w:val="22"/>
          <w:lang w:val="lt-LT" w:eastAsia="ja-JP"/>
        </w:rPr>
        <w:t>ne rečiau kaip</w:t>
      </w:r>
      <w:r w:rsidRPr="004C2447">
        <w:rPr>
          <w:b/>
          <w:sz w:val="22"/>
          <w:szCs w:val="22"/>
          <w:lang w:val="lt-LT" w:eastAsia="ja-JP"/>
        </w:rPr>
        <w:t xml:space="preserve"> vienam iš 10 </w:t>
      </w:r>
      <w:r w:rsidR="00C06C36" w:rsidRPr="004C2447">
        <w:rPr>
          <w:b/>
          <w:sz w:val="22"/>
          <w:szCs w:val="22"/>
          <w:lang w:val="lt-LT" w:eastAsia="ja-JP"/>
        </w:rPr>
        <w:t>asmen</w:t>
      </w:r>
      <w:r w:rsidR="00F32558" w:rsidRPr="004C2447">
        <w:rPr>
          <w:b/>
          <w:sz w:val="22"/>
          <w:szCs w:val="22"/>
          <w:lang w:val="lt-LT" w:eastAsia="ja-JP"/>
        </w:rPr>
        <w:t>ų</w:t>
      </w:r>
      <w:r w:rsidRPr="004C2447">
        <w:rPr>
          <w:b/>
          <w:sz w:val="22"/>
          <w:szCs w:val="22"/>
          <w:lang w:val="lt-LT" w:eastAsia="ja-JP"/>
        </w:rPr>
        <w:t>):</w:t>
      </w:r>
    </w:p>
    <w:p w14:paraId="0640BA4A" w14:textId="5FA09E29" w:rsidR="002D5B65" w:rsidRPr="00715891" w:rsidRDefault="002D5B65" w:rsidP="003C60C4">
      <w:pPr>
        <w:numPr>
          <w:ilvl w:val="0"/>
          <w:numId w:val="9"/>
        </w:numPr>
        <w:ind w:left="567" w:right="-29" w:hanging="567"/>
        <w:rPr>
          <w:sz w:val="22"/>
          <w:szCs w:val="22"/>
          <w:lang w:val="lt-LT" w:eastAsia="ja-JP"/>
        </w:rPr>
      </w:pPr>
      <w:r w:rsidRPr="00715891">
        <w:rPr>
          <w:sz w:val="22"/>
          <w:szCs w:val="22"/>
          <w:lang w:val="lt-LT" w:eastAsia="ja-JP"/>
        </w:rPr>
        <w:t>pienligė ir burnos pienligė;</w:t>
      </w:r>
    </w:p>
    <w:p w14:paraId="7C3762A6" w14:textId="77777777" w:rsidR="002D5B65" w:rsidRPr="00715891" w:rsidRDefault="002D5B65" w:rsidP="003C60C4">
      <w:pPr>
        <w:numPr>
          <w:ilvl w:val="0"/>
          <w:numId w:val="9"/>
        </w:numPr>
        <w:ind w:left="567" w:right="-29" w:hanging="567"/>
        <w:rPr>
          <w:sz w:val="22"/>
          <w:szCs w:val="22"/>
          <w:lang w:val="lt-LT" w:eastAsia="ja-JP"/>
        </w:rPr>
      </w:pPr>
      <w:r w:rsidRPr="00715891">
        <w:rPr>
          <w:sz w:val="22"/>
          <w:szCs w:val="22"/>
          <w:lang w:val="lt-LT" w:eastAsia="ja-JP"/>
        </w:rPr>
        <w:t>viršutinių kvėpavimo takų infekcija (pvz., sinusitas, tonzilitas);</w:t>
      </w:r>
    </w:p>
    <w:p w14:paraId="73D07C3A" w14:textId="77777777" w:rsidR="002D5B65" w:rsidRPr="00715891" w:rsidRDefault="002D5B65" w:rsidP="003C60C4">
      <w:pPr>
        <w:numPr>
          <w:ilvl w:val="0"/>
          <w:numId w:val="9"/>
        </w:numPr>
        <w:ind w:left="567" w:right="-29" w:hanging="567"/>
        <w:rPr>
          <w:sz w:val="22"/>
          <w:szCs w:val="22"/>
          <w:lang w:val="lt-LT" w:eastAsia="ja-JP"/>
        </w:rPr>
      </w:pPr>
      <w:r w:rsidRPr="00715891">
        <w:rPr>
          <w:sz w:val="22"/>
          <w:szCs w:val="22"/>
          <w:lang w:val="lt-LT" w:eastAsia="ja-JP"/>
        </w:rPr>
        <w:t>apetito sumažėjimas;</w:t>
      </w:r>
    </w:p>
    <w:p w14:paraId="203ABC13" w14:textId="77777777" w:rsidR="002D5B65" w:rsidRPr="00715891" w:rsidRDefault="002D5B65" w:rsidP="003C60C4">
      <w:pPr>
        <w:numPr>
          <w:ilvl w:val="0"/>
          <w:numId w:val="9"/>
        </w:numPr>
        <w:ind w:left="567" w:right="-29" w:hanging="567"/>
        <w:rPr>
          <w:sz w:val="22"/>
          <w:szCs w:val="22"/>
          <w:lang w:val="lt-LT" w:eastAsia="ja-JP"/>
        </w:rPr>
      </w:pPr>
      <w:r w:rsidRPr="00715891">
        <w:rPr>
          <w:sz w:val="22"/>
          <w:szCs w:val="22"/>
          <w:lang w:val="lt-LT" w:eastAsia="ja-JP"/>
        </w:rPr>
        <w:t>galvos skausmas;</w:t>
      </w:r>
    </w:p>
    <w:p w14:paraId="084DFA40" w14:textId="77777777" w:rsidR="002D5B65" w:rsidRPr="00715891" w:rsidRDefault="002D5B65" w:rsidP="003C60C4">
      <w:pPr>
        <w:numPr>
          <w:ilvl w:val="0"/>
          <w:numId w:val="9"/>
        </w:numPr>
        <w:ind w:left="567" w:right="-29" w:hanging="567"/>
        <w:rPr>
          <w:sz w:val="22"/>
          <w:szCs w:val="22"/>
          <w:lang w:val="lt-LT" w:eastAsia="ja-JP"/>
        </w:rPr>
      </w:pPr>
      <w:r w:rsidRPr="00715891">
        <w:rPr>
          <w:sz w:val="22"/>
          <w:szCs w:val="22"/>
          <w:lang w:val="lt-LT" w:eastAsia="ja-JP"/>
        </w:rPr>
        <w:t>kosulys;</w:t>
      </w:r>
    </w:p>
    <w:p w14:paraId="32861875" w14:textId="77777777" w:rsidR="002D5B65" w:rsidRPr="00715891" w:rsidRDefault="002D5B65" w:rsidP="003C60C4">
      <w:pPr>
        <w:numPr>
          <w:ilvl w:val="0"/>
          <w:numId w:val="9"/>
        </w:numPr>
        <w:ind w:left="567" w:right="-29" w:hanging="567"/>
        <w:rPr>
          <w:sz w:val="22"/>
          <w:szCs w:val="22"/>
          <w:lang w:val="lt-LT" w:eastAsia="ja-JP"/>
        </w:rPr>
      </w:pPr>
      <w:r w:rsidRPr="00715891">
        <w:rPr>
          <w:sz w:val="22"/>
          <w:szCs w:val="22"/>
          <w:lang w:val="lt-LT" w:eastAsia="ja-JP"/>
        </w:rPr>
        <w:t>dusulys;</w:t>
      </w:r>
    </w:p>
    <w:p w14:paraId="5D65049D" w14:textId="2FE069E8" w:rsidR="002D5B65" w:rsidRPr="00715891" w:rsidRDefault="002D5B65" w:rsidP="003C60C4">
      <w:pPr>
        <w:numPr>
          <w:ilvl w:val="0"/>
          <w:numId w:val="9"/>
        </w:numPr>
        <w:ind w:left="567" w:right="-29" w:hanging="567"/>
        <w:rPr>
          <w:sz w:val="22"/>
          <w:szCs w:val="22"/>
          <w:lang w:val="lt-LT" w:eastAsia="ja-JP"/>
        </w:rPr>
      </w:pPr>
      <w:r w:rsidRPr="00715891">
        <w:rPr>
          <w:sz w:val="22"/>
          <w:szCs w:val="22"/>
          <w:lang w:val="lt-LT" w:eastAsia="ja-JP"/>
        </w:rPr>
        <w:t>viduriavimas;</w:t>
      </w:r>
    </w:p>
    <w:p w14:paraId="076ED926" w14:textId="77777777" w:rsidR="002D5B65" w:rsidRPr="00715891" w:rsidRDefault="002D5B65" w:rsidP="003C60C4">
      <w:pPr>
        <w:numPr>
          <w:ilvl w:val="0"/>
          <w:numId w:val="9"/>
        </w:numPr>
        <w:ind w:left="567" w:right="-29" w:hanging="567"/>
        <w:rPr>
          <w:sz w:val="22"/>
          <w:szCs w:val="22"/>
          <w:lang w:val="lt-LT" w:eastAsia="ja-JP"/>
        </w:rPr>
      </w:pPr>
      <w:r w:rsidRPr="00715891">
        <w:rPr>
          <w:sz w:val="22"/>
          <w:szCs w:val="22"/>
          <w:lang w:val="lt-LT" w:eastAsia="ja-JP"/>
        </w:rPr>
        <w:t>pykinimas ar vėmimas;</w:t>
      </w:r>
    </w:p>
    <w:p w14:paraId="428D3FAD" w14:textId="77777777" w:rsidR="002D5B65" w:rsidRPr="00715891" w:rsidRDefault="002D5B65" w:rsidP="003C60C4">
      <w:pPr>
        <w:numPr>
          <w:ilvl w:val="0"/>
          <w:numId w:val="9"/>
        </w:numPr>
        <w:ind w:left="567" w:right="-29" w:hanging="567"/>
        <w:rPr>
          <w:sz w:val="22"/>
          <w:szCs w:val="22"/>
          <w:lang w:val="lt-LT" w:eastAsia="ja-JP"/>
        </w:rPr>
      </w:pPr>
      <w:r w:rsidRPr="00715891">
        <w:rPr>
          <w:sz w:val="22"/>
          <w:szCs w:val="22"/>
          <w:lang w:val="lt-LT" w:eastAsia="ja-JP"/>
        </w:rPr>
        <w:t>pilvo skausmas;</w:t>
      </w:r>
    </w:p>
    <w:p w14:paraId="3FD0A484" w14:textId="77777777" w:rsidR="002D5B65" w:rsidRPr="00715891" w:rsidRDefault="002D5B65" w:rsidP="003C60C4">
      <w:pPr>
        <w:numPr>
          <w:ilvl w:val="0"/>
          <w:numId w:val="9"/>
        </w:numPr>
        <w:ind w:left="567" w:right="-29" w:hanging="567"/>
        <w:rPr>
          <w:sz w:val="22"/>
          <w:szCs w:val="22"/>
          <w:lang w:val="lt-LT" w:eastAsia="ja-JP"/>
        </w:rPr>
      </w:pPr>
      <w:r w:rsidRPr="00715891">
        <w:rPr>
          <w:sz w:val="22"/>
          <w:szCs w:val="22"/>
          <w:lang w:val="lt-LT" w:eastAsia="ja-JP"/>
        </w:rPr>
        <w:t>egzema;</w:t>
      </w:r>
    </w:p>
    <w:p w14:paraId="42443F88" w14:textId="77777777" w:rsidR="002D5B65" w:rsidRPr="00715891" w:rsidRDefault="002D5B65" w:rsidP="003C60C4">
      <w:pPr>
        <w:numPr>
          <w:ilvl w:val="0"/>
          <w:numId w:val="9"/>
        </w:numPr>
        <w:ind w:left="567" w:right="-29" w:hanging="567"/>
        <w:rPr>
          <w:sz w:val="22"/>
          <w:szCs w:val="22"/>
          <w:lang w:val="lt-LT" w:eastAsia="ja-JP"/>
        </w:rPr>
      </w:pPr>
      <w:r w:rsidRPr="00715891">
        <w:rPr>
          <w:sz w:val="22"/>
          <w:szCs w:val="22"/>
          <w:lang w:val="lt-LT" w:eastAsia="ja-JP"/>
        </w:rPr>
        <w:t>nuovargis;</w:t>
      </w:r>
    </w:p>
    <w:p w14:paraId="4F462D9B" w14:textId="77777777" w:rsidR="002D5B65" w:rsidRPr="00715891" w:rsidRDefault="002D5B65" w:rsidP="003C60C4">
      <w:pPr>
        <w:numPr>
          <w:ilvl w:val="0"/>
          <w:numId w:val="9"/>
        </w:numPr>
        <w:ind w:left="567" w:right="-29" w:hanging="567"/>
        <w:rPr>
          <w:sz w:val="22"/>
          <w:szCs w:val="22"/>
          <w:lang w:val="lt-LT" w:eastAsia="ja-JP"/>
        </w:rPr>
      </w:pPr>
      <w:r w:rsidRPr="00715891">
        <w:rPr>
          <w:sz w:val="22"/>
          <w:szCs w:val="22"/>
          <w:lang w:val="lt-LT" w:eastAsia="ja-JP"/>
        </w:rPr>
        <w:t>karščiavimas.</w:t>
      </w:r>
    </w:p>
    <w:p w14:paraId="52506E0C" w14:textId="77777777" w:rsidR="002D5B65" w:rsidRPr="00715891" w:rsidRDefault="002D5B65" w:rsidP="002D5B65">
      <w:pPr>
        <w:ind w:left="567" w:right="-29" w:hanging="567"/>
        <w:rPr>
          <w:sz w:val="22"/>
          <w:szCs w:val="22"/>
          <w:lang w:val="lt-LT" w:eastAsia="ja-JP"/>
        </w:rPr>
      </w:pPr>
    </w:p>
    <w:p w14:paraId="729A9AEC" w14:textId="591390EC" w:rsidR="002D5B65" w:rsidRPr="004C2447" w:rsidRDefault="002D5B65" w:rsidP="005B6B82">
      <w:pPr>
        <w:ind w:right="-29"/>
        <w:rPr>
          <w:b/>
          <w:sz w:val="22"/>
          <w:szCs w:val="22"/>
          <w:lang w:val="lt-LT" w:eastAsia="ja-JP"/>
        </w:rPr>
      </w:pPr>
      <w:r w:rsidRPr="00715891">
        <w:rPr>
          <w:b/>
          <w:sz w:val="22"/>
          <w:szCs w:val="22"/>
          <w:lang w:val="lt-LT" w:eastAsia="ja-JP"/>
        </w:rPr>
        <w:t>Dažn</w:t>
      </w:r>
      <w:r w:rsidR="00C06C36" w:rsidRPr="00715891">
        <w:rPr>
          <w:b/>
          <w:sz w:val="22"/>
          <w:szCs w:val="22"/>
          <w:lang w:val="lt-LT" w:eastAsia="ja-JP"/>
        </w:rPr>
        <w:t>i šalutinio poveikio reiškiniai</w:t>
      </w:r>
      <w:r w:rsidR="00C06C36" w:rsidRPr="00715891">
        <w:rPr>
          <w:sz w:val="22"/>
          <w:szCs w:val="22"/>
          <w:lang w:val="lt-LT" w:eastAsia="ja-JP"/>
        </w:rPr>
        <w:t xml:space="preserve"> </w:t>
      </w:r>
      <w:r w:rsidRPr="004C2447">
        <w:rPr>
          <w:b/>
          <w:sz w:val="22"/>
          <w:lang w:val="lt-LT"/>
        </w:rPr>
        <w:t>(</w:t>
      </w:r>
      <w:r w:rsidRPr="004C2447">
        <w:rPr>
          <w:b/>
          <w:sz w:val="22"/>
          <w:szCs w:val="22"/>
          <w:lang w:val="lt-LT" w:eastAsia="ja-JP"/>
        </w:rPr>
        <w:t xml:space="preserve">gali pasireikšti </w:t>
      </w:r>
      <w:r w:rsidR="00601A14" w:rsidRPr="004C2447">
        <w:rPr>
          <w:b/>
          <w:sz w:val="22"/>
          <w:szCs w:val="22"/>
          <w:lang w:val="lt-LT" w:eastAsia="ja-JP"/>
        </w:rPr>
        <w:t>rečiau</w:t>
      </w:r>
      <w:r w:rsidRPr="004C2447">
        <w:rPr>
          <w:b/>
          <w:sz w:val="22"/>
          <w:szCs w:val="22"/>
          <w:lang w:val="lt-LT" w:eastAsia="ja-JP"/>
        </w:rPr>
        <w:t xml:space="preserve"> kaip 1 iš 10 </w:t>
      </w:r>
      <w:r w:rsidR="00C06C36" w:rsidRPr="004C2447">
        <w:rPr>
          <w:b/>
          <w:sz w:val="22"/>
          <w:szCs w:val="22"/>
          <w:lang w:val="lt-LT" w:eastAsia="ja-JP"/>
        </w:rPr>
        <w:t>asmen</w:t>
      </w:r>
      <w:r w:rsidR="00F32558" w:rsidRPr="004C2447">
        <w:rPr>
          <w:b/>
          <w:sz w:val="22"/>
          <w:szCs w:val="22"/>
          <w:lang w:val="lt-LT" w:eastAsia="ja-JP"/>
        </w:rPr>
        <w:t>ų</w:t>
      </w:r>
      <w:r w:rsidRPr="004C2447">
        <w:rPr>
          <w:b/>
          <w:sz w:val="22"/>
          <w:szCs w:val="22"/>
          <w:lang w:val="lt-LT" w:eastAsia="ja-JP"/>
        </w:rPr>
        <w:t>):</w:t>
      </w:r>
    </w:p>
    <w:p w14:paraId="30364466" w14:textId="00E0AB1A" w:rsidR="002D5B65" w:rsidRPr="00715891" w:rsidRDefault="002D5B65" w:rsidP="003C60C4">
      <w:pPr>
        <w:numPr>
          <w:ilvl w:val="0"/>
          <w:numId w:val="10"/>
        </w:numPr>
        <w:tabs>
          <w:tab w:val="clear" w:pos="720"/>
          <w:tab w:val="num" w:pos="567"/>
        </w:tabs>
        <w:ind w:left="567" w:right="-29" w:hanging="567"/>
        <w:rPr>
          <w:b/>
          <w:sz w:val="22"/>
          <w:szCs w:val="22"/>
          <w:lang w:val="lt-LT" w:eastAsia="ja-JP"/>
        </w:rPr>
      </w:pPr>
      <w:r w:rsidRPr="00715891">
        <w:rPr>
          <w:sz w:val="22"/>
          <w:szCs w:val="22"/>
          <w:lang w:val="lt-LT" w:eastAsia="ja-JP"/>
        </w:rPr>
        <w:t>gripas;</w:t>
      </w:r>
    </w:p>
    <w:p w14:paraId="2CEACFDA" w14:textId="77777777" w:rsidR="002D5B65" w:rsidRPr="00715891" w:rsidRDefault="002D5B65" w:rsidP="003C60C4">
      <w:pPr>
        <w:numPr>
          <w:ilvl w:val="0"/>
          <w:numId w:val="10"/>
        </w:numPr>
        <w:tabs>
          <w:tab w:val="clear" w:pos="720"/>
          <w:tab w:val="num" w:pos="567"/>
        </w:tabs>
        <w:ind w:left="567" w:right="-29" w:hanging="567"/>
        <w:rPr>
          <w:sz w:val="22"/>
          <w:szCs w:val="22"/>
          <w:lang w:val="lt-LT" w:eastAsia="ja-JP"/>
        </w:rPr>
      </w:pPr>
      <w:r w:rsidRPr="00715891">
        <w:rPr>
          <w:sz w:val="22"/>
          <w:szCs w:val="22"/>
          <w:lang w:val="lt-LT" w:eastAsia="ja-JP"/>
        </w:rPr>
        <w:t>šlapimo takų infekcija, kurios požymiai yra karščiavimas, dažnesnis šlapinimasis, skausmas šlapinantis;</w:t>
      </w:r>
    </w:p>
    <w:p w14:paraId="4734AD05" w14:textId="77777777" w:rsidR="002D5B65" w:rsidRPr="00715891" w:rsidRDefault="002D5B65" w:rsidP="003C60C4">
      <w:pPr>
        <w:numPr>
          <w:ilvl w:val="0"/>
          <w:numId w:val="10"/>
        </w:numPr>
        <w:tabs>
          <w:tab w:val="clear" w:pos="720"/>
          <w:tab w:val="num" w:pos="567"/>
        </w:tabs>
        <w:ind w:left="567" w:right="-29" w:hanging="567"/>
        <w:rPr>
          <w:sz w:val="22"/>
          <w:szCs w:val="22"/>
          <w:lang w:val="lt-LT" w:eastAsia="ja-JP"/>
        </w:rPr>
      </w:pPr>
      <w:r w:rsidRPr="00715891">
        <w:rPr>
          <w:sz w:val="22"/>
          <w:szCs w:val="22"/>
          <w:lang w:val="lt-LT" w:eastAsia="ja-JP"/>
        </w:rPr>
        <w:t>odos ir poodinio audinio infekcija;</w:t>
      </w:r>
    </w:p>
    <w:p w14:paraId="4ADE75F4" w14:textId="77777777" w:rsidR="002D5B65" w:rsidRPr="00715891" w:rsidRDefault="002D5B65" w:rsidP="003C60C4">
      <w:pPr>
        <w:numPr>
          <w:ilvl w:val="0"/>
          <w:numId w:val="10"/>
        </w:numPr>
        <w:tabs>
          <w:tab w:val="clear" w:pos="720"/>
          <w:tab w:val="num" w:pos="567"/>
        </w:tabs>
        <w:ind w:left="567" w:right="-29" w:hanging="567"/>
        <w:rPr>
          <w:sz w:val="22"/>
          <w:szCs w:val="22"/>
          <w:lang w:val="lt-LT" w:eastAsia="ja-JP"/>
        </w:rPr>
      </w:pPr>
      <w:r w:rsidRPr="00715891">
        <w:rPr>
          <w:sz w:val="22"/>
          <w:szCs w:val="22"/>
          <w:lang w:val="lt-LT" w:eastAsia="ja-JP"/>
        </w:rPr>
        <w:t>nesunki alerginė reakcija, kurios požymiai gali būti paraudusi ir niežtinti oda;</w:t>
      </w:r>
    </w:p>
    <w:p w14:paraId="535FE303" w14:textId="77777777" w:rsidR="002D5B65" w:rsidRPr="00715891" w:rsidRDefault="002D5B65" w:rsidP="003C60C4">
      <w:pPr>
        <w:numPr>
          <w:ilvl w:val="0"/>
          <w:numId w:val="10"/>
        </w:numPr>
        <w:tabs>
          <w:tab w:val="clear" w:pos="720"/>
          <w:tab w:val="num" w:pos="567"/>
        </w:tabs>
        <w:ind w:left="567" w:right="-29" w:hanging="567"/>
        <w:rPr>
          <w:sz w:val="22"/>
          <w:szCs w:val="22"/>
          <w:lang w:val="lt-LT" w:eastAsia="ja-JP"/>
        </w:rPr>
      </w:pPr>
      <w:r w:rsidRPr="00715891">
        <w:rPr>
          <w:sz w:val="22"/>
          <w:szCs w:val="22"/>
          <w:lang w:val="lt-LT" w:eastAsia="ja-JP"/>
        </w:rPr>
        <w:t>kūno masės mažėjimas;</w:t>
      </w:r>
    </w:p>
    <w:p w14:paraId="2094CDF9" w14:textId="77777777" w:rsidR="002D5B65" w:rsidRPr="00715891" w:rsidRDefault="002D5B65" w:rsidP="003C60C4">
      <w:pPr>
        <w:numPr>
          <w:ilvl w:val="0"/>
          <w:numId w:val="10"/>
        </w:numPr>
        <w:tabs>
          <w:tab w:val="clear" w:pos="720"/>
          <w:tab w:val="num" w:pos="567"/>
        </w:tabs>
        <w:ind w:left="567" w:right="-29" w:hanging="567"/>
        <w:rPr>
          <w:sz w:val="22"/>
          <w:szCs w:val="22"/>
          <w:lang w:val="lt-LT" w:eastAsia="ja-JP"/>
        </w:rPr>
      </w:pPr>
      <w:r w:rsidRPr="00715891">
        <w:rPr>
          <w:sz w:val="22"/>
          <w:szCs w:val="22"/>
          <w:lang w:val="lt-LT" w:eastAsia="ja-JP"/>
        </w:rPr>
        <w:t>depresijos, nerimo ar sumišimo jausmas;</w:t>
      </w:r>
    </w:p>
    <w:p w14:paraId="07AE81CF" w14:textId="77777777" w:rsidR="002D5B65" w:rsidRPr="00715891" w:rsidRDefault="002D5B65" w:rsidP="003C60C4">
      <w:pPr>
        <w:numPr>
          <w:ilvl w:val="0"/>
          <w:numId w:val="10"/>
        </w:numPr>
        <w:tabs>
          <w:tab w:val="clear" w:pos="720"/>
          <w:tab w:val="num" w:pos="567"/>
        </w:tabs>
        <w:ind w:left="567" w:right="-29" w:hanging="567"/>
        <w:rPr>
          <w:sz w:val="22"/>
          <w:szCs w:val="22"/>
          <w:lang w:val="lt-LT" w:eastAsia="ja-JP"/>
        </w:rPr>
      </w:pPr>
      <w:r w:rsidRPr="00715891">
        <w:rPr>
          <w:sz w:val="22"/>
          <w:szCs w:val="22"/>
          <w:lang w:val="lt-LT" w:eastAsia="ja-JP"/>
        </w:rPr>
        <w:t>miego sutrikimai;</w:t>
      </w:r>
    </w:p>
    <w:p w14:paraId="4CB68617" w14:textId="77777777" w:rsidR="002D5B65" w:rsidRPr="00715891" w:rsidRDefault="002D5B65" w:rsidP="003C60C4">
      <w:pPr>
        <w:numPr>
          <w:ilvl w:val="0"/>
          <w:numId w:val="10"/>
        </w:numPr>
        <w:tabs>
          <w:tab w:val="clear" w:pos="720"/>
          <w:tab w:val="num" w:pos="567"/>
        </w:tabs>
        <w:ind w:right="-29" w:hanging="720"/>
        <w:rPr>
          <w:sz w:val="22"/>
          <w:szCs w:val="22"/>
          <w:lang w:val="lt-LT" w:eastAsia="ja-JP"/>
        </w:rPr>
      </w:pPr>
      <w:r w:rsidRPr="00715891">
        <w:rPr>
          <w:sz w:val="22"/>
          <w:szCs w:val="22"/>
          <w:lang w:val="lt-LT" w:eastAsia="ja-JP"/>
        </w:rPr>
        <w:t>rankų ar kojų silpnumas ar tirpimas, galintis įtakoti Jūsų pusiausvyrą;</w:t>
      </w:r>
    </w:p>
    <w:p w14:paraId="1142FA6C" w14:textId="77777777" w:rsidR="002D5B65" w:rsidRPr="00715891" w:rsidRDefault="002D5B65" w:rsidP="003C60C4">
      <w:pPr>
        <w:numPr>
          <w:ilvl w:val="0"/>
          <w:numId w:val="10"/>
        </w:numPr>
        <w:tabs>
          <w:tab w:val="clear" w:pos="720"/>
        </w:tabs>
        <w:ind w:left="567" w:right="-29" w:hanging="567"/>
        <w:rPr>
          <w:sz w:val="22"/>
          <w:szCs w:val="22"/>
          <w:lang w:val="lt-LT" w:eastAsia="ja-JP"/>
        </w:rPr>
      </w:pPr>
      <w:r w:rsidRPr="00715891">
        <w:rPr>
          <w:sz w:val="22"/>
          <w:szCs w:val="22"/>
          <w:lang w:val="lt-LT" w:eastAsia="ja-JP"/>
        </w:rPr>
        <w:t>lytėjimo pokyčiai, dilgsėjimo, kutenimo, badymo ar deginimo pojūtis;</w:t>
      </w:r>
    </w:p>
    <w:p w14:paraId="518DC172" w14:textId="77777777" w:rsidR="002D5B65" w:rsidRPr="00715891" w:rsidRDefault="002D5B65" w:rsidP="003C60C4">
      <w:pPr>
        <w:numPr>
          <w:ilvl w:val="0"/>
          <w:numId w:val="10"/>
        </w:numPr>
        <w:tabs>
          <w:tab w:val="clear" w:pos="720"/>
          <w:tab w:val="num" w:pos="567"/>
        </w:tabs>
        <w:ind w:left="567" w:right="-29" w:hanging="567"/>
        <w:rPr>
          <w:b/>
          <w:sz w:val="22"/>
          <w:szCs w:val="22"/>
          <w:lang w:val="lt-LT" w:eastAsia="ja-JP"/>
        </w:rPr>
      </w:pPr>
      <w:r w:rsidRPr="00715891">
        <w:rPr>
          <w:sz w:val="22"/>
          <w:szCs w:val="22"/>
          <w:lang w:val="lt-LT" w:eastAsia="ja-JP"/>
        </w:rPr>
        <w:t>skonio pokyčiai;</w:t>
      </w:r>
    </w:p>
    <w:p w14:paraId="464325CE" w14:textId="77777777" w:rsidR="002D5B65" w:rsidRPr="00715891" w:rsidRDefault="002D5B65" w:rsidP="003C60C4">
      <w:pPr>
        <w:numPr>
          <w:ilvl w:val="0"/>
          <w:numId w:val="10"/>
        </w:numPr>
        <w:tabs>
          <w:tab w:val="clear" w:pos="720"/>
          <w:tab w:val="num" w:pos="567"/>
        </w:tabs>
        <w:ind w:left="567" w:right="-29" w:hanging="567"/>
        <w:rPr>
          <w:b/>
          <w:sz w:val="22"/>
          <w:szCs w:val="22"/>
          <w:lang w:val="lt-LT" w:eastAsia="ja-JP"/>
        </w:rPr>
      </w:pPr>
      <w:r w:rsidRPr="00715891">
        <w:rPr>
          <w:sz w:val="22"/>
          <w:szCs w:val="22"/>
          <w:lang w:val="lt-LT" w:eastAsia="ja-JP"/>
        </w:rPr>
        <w:t>drebulys;</w:t>
      </w:r>
    </w:p>
    <w:p w14:paraId="190E1F30" w14:textId="77777777" w:rsidR="002D5B65" w:rsidRPr="00715891" w:rsidRDefault="002D5B65" w:rsidP="003C60C4">
      <w:pPr>
        <w:numPr>
          <w:ilvl w:val="0"/>
          <w:numId w:val="10"/>
        </w:numPr>
        <w:tabs>
          <w:tab w:val="clear" w:pos="720"/>
          <w:tab w:val="num" w:pos="567"/>
        </w:tabs>
        <w:ind w:left="567" w:right="-29" w:hanging="567"/>
        <w:rPr>
          <w:sz w:val="22"/>
          <w:szCs w:val="22"/>
          <w:lang w:val="lt-LT" w:eastAsia="ja-JP"/>
        </w:rPr>
      </w:pPr>
      <w:r w:rsidRPr="00715891">
        <w:rPr>
          <w:sz w:val="22"/>
          <w:szCs w:val="22"/>
          <w:lang w:val="lt-LT" w:eastAsia="ja-JP"/>
        </w:rPr>
        <w:t>akių uždegimas (konjunktyvitas); akių skausmas ar regėjimo sutrikimai;</w:t>
      </w:r>
    </w:p>
    <w:p w14:paraId="4DCF35A0" w14:textId="4610B6F2" w:rsidR="002D5B65" w:rsidRPr="00715891" w:rsidRDefault="002D5B65" w:rsidP="003C60C4">
      <w:pPr>
        <w:numPr>
          <w:ilvl w:val="0"/>
          <w:numId w:val="10"/>
        </w:numPr>
        <w:tabs>
          <w:tab w:val="clear" w:pos="720"/>
          <w:tab w:val="num" w:pos="567"/>
        </w:tabs>
        <w:ind w:left="567" w:right="-29" w:hanging="567"/>
        <w:rPr>
          <w:sz w:val="22"/>
          <w:szCs w:val="22"/>
          <w:lang w:val="lt-LT" w:eastAsia="ja-JP"/>
        </w:rPr>
      </w:pPr>
      <w:r w:rsidRPr="00715891">
        <w:rPr>
          <w:sz w:val="22"/>
          <w:szCs w:val="22"/>
          <w:lang w:val="lt-LT" w:eastAsia="ja-JP"/>
        </w:rPr>
        <w:t>ausų skausmas;</w:t>
      </w:r>
    </w:p>
    <w:p w14:paraId="21491604" w14:textId="428CECC9" w:rsidR="002D5B65" w:rsidRPr="00715891" w:rsidRDefault="002D5B65" w:rsidP="003C60C4">
      <w:pPr>
        <w:numPr>
          <w:ilvl w:val="0"/>
          <w:numId w:val="10"/>
        </w:numPr>
        <w:tabs>
          <w:tab w:val="clear" w:pos="720"/>
          <w:tab w:val="num" w:pos="567"/>
        </w:tabs>
        <w:ind w:left="567" w:right="-29" w:hanging="567"/>
        <w:rPr>
          <w:sz w:val="22"/>
          <w:szCs w:val="22"/>
          <w:lang w:val="lt-LT" w:eastAsia="ja-JP"/>
        </w:rPr>
      </w:pPr>
      <w:r w:rsidRPr="00715891">
        <w:rPr>
          <w:sz w:val="22"/>
          <w:szCs w:val="22"/>
          <w:lang w:val="lt-LT" w:eastAsia="ja-JP"/>
        </w:rPr>
        <w:t>žemas kraujospūdis, dėl ko galite jausti svaigulį ar alpulį;</w:t>
      </w:r>
    </w:p>
    <w:p w14:paraId="0BDE5798" w14:textId="77777777" w:rsidR="002D5B65" w:rsidRPr="00715891" w:rsidRDefault="002D5B65" w:rsidP="003C60C4">
      <w:pPr>
        <w:numPr>
          <w:ilvl w:val="0"/>
          <w:numId w:val="10"/>
        </w:numPr>
        <w:tabs>
          <w:tab w:val="clear" w:pos="720"/>
          <w:tab w:val="num" w:pos="567"/>
        </w:tabs>
        <w:ind w:left="567" w:right="-29" w:hanging="567"/>
        <w:rPr>
          <w:sz w:val="22"/>
          <w:szCs w:val="22"/>
          <w:lang w:val="lt-LT" w:eastAsia="ja-JP"/>
        </w:rPr>
      </w:pPr>
      <w:r w:rsidRPr="00715891">
        <w:rPr>
          <w:sz w:val="22"/>
          <w:szCs w:val="22"/>
          <w:lang w:val="lt-LT" w:eastAsia="ja-JP"/>
        </w:rPr>
        <w:t>rijimo sutrikimai;</w:t>
      </w:r>
    </w:p>
    <w:p w14:paraId="6BD32846" w14:textId="3364C3D8" w:rsidR="002D5B65" w:rsidRPr="00715891" w:rsidRDefault="002D5B65" w:rsidP="003C60C4">
      <w:pPr>
        <w:numPr>
          <w:ilvl w:val="0"/>
          <w:numId w:val="10"/>
        </w:numPr>
        <w:tabs>
          <w:tab w:val="clear" w:pos="720"/>
          <w:tab w:val="num" w:pos="567"/>
        </w:tabs>
        <w:ind w:left="567" w:right="-29" w:hanging="567"/>
        <w:rPr>
          <w:sz w:val="22"/>
          <w:szCs w:val="22"/>
          <w:lang w:val="lt-LT" w:eastAsia="ja-JP"/>
        </w:rPr>
      </w:pPr>
      <w:r w:rsidRPr="00715891">
        <w:rPr>
          <w:sz w:val="22"/>
          <w:szCs w:val="22"/>
          <w:lang w:val="lt-LT" w:eastAsia="ja-JP"/>
        </w:rPr>
        <w:t>vidurių užkietėjimas, pilvo pūtimas, nevirškinimas, pilvo skausmas, pilvo patinimas;</w:t>
      </w:r>
    </w:p>
    <w:p w14:paraId="1EBCFF44" w14:textId="3BBA13BB" w:rsidR="002D5B65" w:rsidRPr="00715891" w:rsidRDefault="002D5B65" w:rsidP="003C60C4">
      <w:pPr>
        <w:numPr>
          <w:ilvl w:val="0"/>
          <w:numId w:val="10"/>
        </w:numPr>
        <w:tabs>
          <w:tab w:val="clear" w:pos="720"/>
          <w:tab w:val="num" w:pos="567"/>
        </w:tabs>
        <w:ind w:left="567" w:right="-29" w:hanging="567"/>
        <w:rPr>
          <w:sz w:val="22"/>
          <w:szCs w:val="22"/>
          <w:lang w:val="lt-LT" w:eastAsia="ja-JP"/>
        </w:rPr>
      </w:pPr>
      <w:r w:rsidRPr="00715891">
        <w:rPr>
          <w:sz w:val="22"/>
          <w:szCs w:val="22"/>
          <w:lang w:val="lt-LT" w:eastAsia="ja-JP"/>
        </w:rPr>
        <w:t>burnos išopėjimas;</w:t>
      </w:r>
    </w:p>
    <w:p w14:paraId="539994AA" w14:textId="77777777" w:rsidR="002D5B65" w:rsidRPr="00715891" w:rsidRDefault="002D5B65" w:rsidP="003C60C4">
      <w:pPr>
        <w:numPr>
          <w:ilvl w:val="0"/>
          <w:numId w:val="10"/>
        </w:numPr>
        <w:tabs>
          <w:tab w:val="clear" w:pos="720"/>
          <w:tab w:val="num" w:pos="567"/>
        </w:tabs>
        <w:ind w:left="567" w:right="-29" w:hanging="567"/>
        <w:rPr>
          <w:sz w:val="22"/>
          <w:szCs w:val="22"/>
          <w:lang w:val="lt-LT" w:eastAsia="ja-JP"/>
        </w:rPr>
      </w:pPr>
      <w:r w:rsidRPr="00715891">
        <w:rPr>
          <w:sz w:val="22"/>
          <w:szCs w:val="22"/>
          <w:lang w:val="lt-LT" w:eastAsia="ja-JP"/>
        </w:rPr>
        <w:t>nenormalūs kepenų ar inkstų funkcijos laboratorinių tyrimų duomenys;</w:t>
      </w:r>
    </w:p>
    <w:p w14:paraId="45E92A1B" w14:textId="6C93B3BD" w:rsidR="002D5B65" w:rsidRPr="00715891" w:rsidRDefault="002D5B65" w:rsidP="003C60C4">
      <w:pPr>
        <w:numPr>
          <w:ilvl w:val="0"/>
          <w:numId w:val="10"/>
        </w:numPr>
        <w:tabs>
          <w:tab w:val="clear" w:pos="720"/>
          <w:tab w:val="num" w:pos="567"/>
        </w:tabs>
        <w:ind w:left="567" w:right="-29" w:hanging="567"/>
        <w:rPr>
          <w:sz w:val="22"/>
          <w:szCs w:val="22"/>
          <w:lang w:val="lt-LT" w:eastAsia="ja-JP"/>
        </w:rPr>
      </w:pPr>
      <w:r w:rsidRPr="00715891">
        <w:rPr>
          <w:sz w:val="22"/>
          <w:szCs w:val="22"/>
          <w:lang w:val="lt-LT" w:eastAsia="ja-JP"/>
        </w:rPr>
        <w:t>naktinis prakaitavimas;</w:t>
      </w:r>
    </w:p>
    <w:p w14:paraId="1D011A50" w14:textId="79634C72" w:rsidR="002D5B65" w:rsidRPr="00715891" w:rsidRDefault="002D5B65" w:rsidP="003C60C4">
      <w:pPr>
        <w:numPr>
          <w:ilvl w:val="0"/>
          <w:numId w:val="10"/>
        </w:numPr>
        <w:tabs>
          <w:tab w:val="clear" w:pos="720"/>
          <w:tab w:val="num" w:pos="567"/>
        </w:tabs>
        <w:ind w:left="567" w:right="-29" w:hanging="567"/>
        <w:rPr>
          <w:sz w:val="22"/>
          <w:szCs w:val="22"/>
          <w:lang w:val="lt-LT" w:eastAsia="ja-JP"/>
        </w:rPr>
      </w:pPr>
      <w:r w:rsidRPr="00715891">
        <w:rPr>
          <w:sz w:val="22"/>
          <w:szCs w:val="22"/>
          <w:lang w:val="lt-LT" w:eastAsia="ja-JP"/>
        </w:rPr>
        <w:t>niežulys, išbėrimas;</w:t>
      </w:r>
    </w:p>
    <w:p w14:paraId="4E5B33FF" w14:textId="77777777" w:rsidR="002D5B65" w:rsidRPr="00715891" w:rsidRDefault="002D5B65" w:rsidP="003C60C4">
      <w:pPr>
        <w:numPr>
          <w:ilvl w:val="0"/>
          <w:numId w:val="10"/>
        </w:numPr>
        <w:tabs>
          <w:tab w:val="clear" w:pos="720"/>
          <w:tab w:val="num" w:pos="567"/>
        </w:tabs>
        <w:ind w:left="567" w:right="-29" w:hanging="567"/>
        <w:rPr>
          <w:sz w:val="22"/>
          <w:szCs w:val="22"/>
          <w:lang w:val="lt-LT" w:eastAsia="ja-JP"/>
        </w:rPr>
      </w:pPr>
      <w:r w:rsidRPr="00715891">
        <w:rPr>
          <w:sz w:val="22"/>
          <w:szCs w:val="22"/>
          <w:lang w:val="lt-LT" w:eastAsia="ja-JP"/>
        </w:rPr>
        <w:t>plaukų slinkimas;</w:t>
      </w:r>
    </w:p>
    <w:p w14:paraId="1BE69BAD" w14:textId="72207090" w:rsidR="002D5B65" w:rsidRPr="00715891" w:rsidRDefault="002D5B65" w:rsidP="003C60C4">
      <w:pPr>
        <w:numPr>
          <w:ilvl w:val="0"/>
          <w:numId w:val="10"/>
        </w:numPr>
        <w:tabs>
          <w:tab w:val="clear" w:pos="720"/>
          <w:tab w:val="num" w:pos="567"/>
        </w:tabs>
        <w:ind w:left="567" w:right="-29" w:hanging="567"/>
        <w:rPr>
          <w:sz w:val="22"/>
          <w:szCs w:val="22"/>
          <w:lang w:val="lt-LT" w:eastAsia="ja-JP"/>
        </w:rPr>
      </w:pPr>
      <w:r w:rsidRPr="00715891">
        <w:rPr>
          <w:sz w:val="22"/>
          <w:szCs w:val="22"/>
          <w:lang w:val="lt-LT" w:eastAsia="ja-JP"/>
        </w:rPr>
        <w:t>nugaros skausmas, raumenų ar sąnarių skausmas, raumenų spazmai;</w:t>
      </w:r>
    </w:p>
    <w:p w14:paraId="78EEEDBF" w14:textId="66BD9008" w:rsidR="002D5B65" w:rsidRPr="00715891" w:rsidRDefault="002D5B65" w:rsidP="003C60C4">
      <w:pPr>
        <w:numPr>
          <w:ilvl w:val="0"/>
          <w:numId w:val="10"/>
        </w:numPr>
        <w:tabs>
          <w:tab w:val="clear" w:pos="720"/>
          <w:tab w:val="num" w:pos="567"/>
        </w:tabs>
        <w:ind w:left="567" w:right="-29" w:hanging="567"/>
        <w:rPr>
          <w:sz w:val="22"/>
          <w:szCs w:val="22"/>
          <w:lang w:val="lt-LT" w:eastAsia="ja-JP"/>
        </w:rPr>
      </w:pPr>
      <w:r w:rsidRPr="00715891">
        <w:rPr>
          <w:sz w:val="22"/>
          <w:szCs w:val="22"/>
          <w:lang w:val="lt-LT" w:eastAsia="ja-JP"/>
        </w:rPr>
        <w:t>svaigulys, silpnumas ar bendrai bloga savijauta.</w:t>
      </w:r>
    </w:p>
    <w:p w14:paraId="0123B78B" w14:textId="77777777" w:rsidR="002D5B65" w:rsidRPr="00715891" w:rsidRDefault="002D5B65" w:rsidP="002D5B65">
      <w:pPr>
        <w:tabs>
          <w:tab w:val="num" w:pos="567"/>
        </w:tabs>
        <w:ind w:left="567" w:right="-29" w:hanging="567"/>
        <w:rPr>
          <w:rFonts w:eastAsia="Calibri"/>
          <w:sz w:val="22"/>
          <w:szCs w:val="22"/>
          <w:lang w:val="lt-LT" w:eastAsia="lt-LT"/>
        </w:rPr>
      </w:pPr>
    </w:p>
    <w:p w14:paraId="52450C69" w14:textId="7CB1D705" w:rsidR="002D5B65" w:rsidRPr="00715891" w:rsidRDefault="002D5B65" w:rsidP="005B6B82">
      <w:pPr>
        <w:ind w:left="567" w:right="-29" w:hanging="567"/>
        <w:rPr>
          <w:sz w:val="22"/>
          <w:szCs w:val="22"/>
          <w:lang w:val="lt-LT" w:eastAsia="ja-JP"/>
        </w:rPr>
      </w:pPr>
      <w:r w:rsidRPr="00715891">
        <w:rPr>
          <w:rFonts w:eastAsia="Calibri"/>
          <w:b/>
          <w:sz w:val="22"/>
          <w:szCs w:val="22"/>
          <w:lang w:val="lt-LT" w:eastAsia="lt-LT"/>
        </w:rPr>
        <w:t>Nedažn</w:t>
      </w:r>
      <w:r w:rsidR="00C06C36" w:rsidRPr="00715891">
        <w:rPr>
          <w:rFonts w:eastAsia="Calibri"/>
          <w:b/>
          <w:sz w:val="22"/>
          <w:szCs w:val="22"/>
          <w:lang w:val="lt-LT" w:eastAsia="lt-LT"/>
        </w:rPr>
        <w:t xml:space="preserve">i </w:t>
      </w:r>
      <w:r w:rsidR="00C06C36" w:rsidRPr="00715891">
        <w:rPr>
          <w:b/>
          <w:sz w:val="22"/>
          <w:szCs w:val="22"/>
          <w:lang w:val="lt-LT" w:eastAsia="ja-JP"/>
        </w:rPr>
        <w:t>šalutinio poveikio reiškiniai</w:t>
      </w:r>
      <w:r w:rsidR="00C06C36" w:rsidRPr="00715891">
        <w:rPr>
          <w:sz w:val="22"/>
          <w:szCs w:val="22"/>
          <w:lang w:val="lt-LT" w:eastAsia="ja-JP"/>
        </w:rPr>
        <w:t xml:space="preserve"> </w:t>
      </w:r>
      <w:r w:rsidRPr="004C2447">
        <w:rPr>
          <w:b/>
          <w:sz w:val="22"/>
          <w:lang w:val="lt-LT"/>
        </w:rPr>
        <w:t>(</w:t>
      </w:r>
      <w:r w:rsidRPr="004C2447">
        <w:rPr>
          <w:b/>
          <w:sz w:val="22"/>
          <w:szCs w:val="22"/>
          <w:lang w:val="lt-LT" w:eastAsia="ja-JP"/>
        </w:rPr>
        <w:t xml:space="preserve">gali pasireikšti </w:t>
      </w:r>
      <w:r w:rsidR="00601A14" w:rsidRPr="004C2447">
        <w:rPr>
          <w:b/>
          <w:sz w:val="22"/>
          <w:szCs w:val="22"/>
          <w:lang w:val="lt-LT" w:eastAsia="ja-JP"/>
        </w:rPr>
        <w:t>rečiau</w:t>
      </w:r>
      <w:r w:rsidRPr="004C2447">
        <w:rPr>
          <w:b/>
          <w:sz w:val="22"/>
          <w:szCs w:val="22"/>
          <w:lang w:val="lt-LT" w:eastAsia="ja-JP"/>
        </w:rPr>
        <w:t xml:space="preserve"> kaip 1 iš 100 </w:t>
      </w:r>
      <w:r w:rsidR="00C06C36" w:rsidRPr="004C2447">
        <w:rPr>
          <w:b/>
          <w:sz w:val="22"/>
          <w:szCs w:val="22"/>
          <w:lang w:val="lt-LT" w:eastAsia="ja-JP"/>
        </w:rPr>
        <w:t>asmen</w:t>
      </w:r>
      <w:r w:rsidR="00F32558" w:rsidRPr="004C2447">
        <w:rPr>
          <w:b/>
          <w:sz w:val="22"/>
          <w:szCs w:val="22"/>
          <w:lang w:val="lt-LT" w:eastAsia="ja-JP"/>
        </w:rPr>
        <w:t>ų</w:t>
      </w:r>
      <w:r w:rsidRPr="004C2447">
        <w:rPr>
          <w:b/>
          <w:sz w:val="22"/>
          <w:szCs w:val="22"/>
          <w:lang w:val="lt-LT" w:eastAsia="ja-JP"/>
        </w:rPr>
        <w:t>):</w:t>
      </w:r>
    </w:p>
    <w:p w14:paraId="3DFA0BD6" w14:textId="268AA589" w:rsidR="002D5B65" w:rsidRPr="00715891" w:rsidRDefault="002D5B65" w:rsidP="003C60C4">
      <w:pPr>
        <w:numPr>
          <w:ilvl w:val="0"/>
          <w:numId w:val="11"/>
        </w:numPr>
        <w:tabs>
          <w:tab w:val="clear" w:pos="720"/>
        </w:tabs>
        <w:ind w:left="567" w:right="-29" w:hanging="567"/>
        <w:rPr>
          <w:sz w:val="22"/>
          <w:szCs w:val="22"/>
          <w:lang w:val="lt-LT" w:eastAsia="ja-JP"/>
        </w:rPr>
      </w:pPr>
      <w:r w:rsidRPr="00715891">
        <w:rPr>
          <w:sz w:val="22"/>
          <w:szCs w:val="22"/>
          <w:lang w:val="lt-LT" w:eastAsia="ja-JP"/>
        </w:rPr>
        <w:t>susijaudinimo būsena;</w:t>
      </w:r>
    </w:p>
    <w:p w14:paraId="3CA4E111" w14:textId="21A51B62" w:rsidR="002D5B65" w:rsidRPr="00715891" w:rsidRDefault="002D5B65" w:rsidP="005B6B82">
      <w:pPr>
        <w:numPr>
          <w:ilvl w:val="0"/>
          <w:numId w:val="11"/>
        </w:numPr>
        <w:tabs>
          <w:tab w:val="clear" w:pos="720"/>
        </w:tabs>
        <w:ind w:left="567" w:right="-29" w:hanging="567"/>
        <w:rPr>
          <w:sz w:val="22"/>
          <w:szCs w:val="22"/>
          <w:lang w:val="lt-LT" w:eastAsia="ja-JP"/>
        </w:rPr>
      </w:pPr>
      <w:r w:rsidRPr="00715891">
        <w:rPr>
          <w:sz w:val="22"/>
          <w:szCs w:val="22"/>
          <w:lang w:val="lt-LT" w:eastAsia="ja-JP"/>
        </w:rPr>
        <w:t>virpulys, drebėjimas (tremoras);</w:t>
      </w:r>
    </w:p>
    <w:p w14:paraId="1C5B183A" w14:textId="22803942" w:rsidR="002D5B65" w:rsidRPr="00715891" w:rsidRDefault="002D5B65" w:rsidP="005B6B82">
      <w:pPr>
        <w:numPr>
          <w:ilvl w:val="0"/>
          <w:numId w:val="11"/>
        </w:numPr>
        <w:tabs>
          <w:tab w:val="clear" w:pos="720"/>
        </w:tabs>
        <w:ind w:left="567" w:right="-29" w:hanging="567"/>
        <w:rPr>
          <w:sz w:val="22"/>
          <w:szCs w:val="22"/>
          <w:lang w:val="lt-LT" w:eastAsia="ja-JP"/>
        </w:rPr>
      </w:pPr>
      <w:r w:rsidRPr="00715891">
        <w:rPr>
          <w:sz w:val="22"/>
          <w:szCs w:val="22"/>
          <w:lang w:val="lt-LT" w:eastAsia="ja-JP"/>
        </w:rPr>
        <w:t>kurtumas;</w:t>
      </w:r>
    </w:p>
    <w:p w14:paraId="6DBD34BF" w14:textId="1E68C652" w:rsidR="002D5B65" w:rsidRPr="00715891" w:rsidRDefault="002D5B65" w:rsidP="003C60C4">
      <w:pPr>
        <w:numPr>
          <w:ilvl w:val="0"/>
          <w:numId w:val="11"/>
        </w:numPr>
        <w:tabs>
          <w:tab w:val="clear" w:pos="720"/>
        </w:tabs>
        <w:ind w:left="567" w:right="-29" w:hanging="567"/>
        <w:rPr>
          <w:sz w:val="22"/>
          <w:szCs w:val="22"/>
          <w:lang w:val="lt-LT" w:eastAsia="ja-JP"/>
        </w:rPr>
      </w:pPr>
      <w:r w:rsidRPr="00715891">
        <w:rPr>
          <w:sz w:val="22"/>
          <w:szCs w:val="22"/>
          <w:lang w:val="lt-LT" w:eastAsia="ja-JP"/>
        </w:rPr>
        <w:t>netolygus širdies plakimas;</w:t>
      </w:r>
    </w:p>
    <w:p w14:paraId="0E9D6EC3" w14:textId="2071BB9D" w:rsidR="002D5B65" w:rsidRPr="00715891" w:rsidRDefault="002D5B65" w:rsidP="005B6B82">
      <w:pPr>
        <w:numPr>
          <w:ilvl w:val="0"/>
          <w:numId w:val="11"/>
        </w:numPr>
        <w:tabs>
          <w:tab w:val="clear" w:pos="720"/>
        </w:tabs>
        <w:ind w:left="567" w:right="-29" w:hanging="567"/>
        <w:rPr>
          <w:sz w:val="22"/>
          <w:szCs w:val="22"/>
          <w:lang w:val="lt-LT" w:eastAsia="ja-JP"/>
        </w:rPr>
      </w:pPr>
      <w:r w:rsidRPr="00715891">
        <w:rPr>
          <w:sz w:val="22"/>
          <w:szCs w:val="22"/>
          <w:lang w:val="lt-LT" w:eastAsia="ja-JP"/>
        </w:rPr>
        <w:t>dilgėlinė, odos sausmė;</w:t>
      </w:r>
    </w:p>
    <w:p w14:paraId="48AEED8E" w14:textId="33FE64F6" w:rsidR="002D5B65" w:rsidRPr="00715891" w:rsidRDefault="002D5B65" w:rsidP="005B6B82">
      <w:pPr>
        <w:numPr>
          <w:ilvl w:val="0"/>
          <w:numId w:val="11"/>
        </w:numPr>
        <w:tabs>
          <w:tab w:val="clear" w:pos="720"/>
        </w:tabs>
        <w:ind w:left="567" w:right="-29" w:hanging="567"/>
        <w:rPr>
          <w:sz w:val="22"/>
          <w:szCs w:val="22"/>
          <w:lang w:val="lt-LT" w:eastAsia="ja-JP"/>
        </w:rPr>
      </w:pPr>
      <w:r w:rsidRPr="00715891">
        <w:rPr>
          <w:sz w:val="22"/>
          <w:szCs w:val="22"/>
          <w:lang w:val="lt-LT" w:eastAsia="ja-JP"/>
        </w:rPr>
        <w:t>kraujas šlapime;</w:t>
      </w:r>
    </w:p>
    <w:p w14:paraId="79DC3BB2" w14:textId="49FAB388" w:rsidR="002D5B65" w:rsidRPr="00715891" w:rsidRDefault="002D5B65" w:rsidP="005B6B82">
      <w:pPr>
        <w:numPr>
          <w:ilvl w:val="0"/>
          <w:numId w:val="11"/>
        </w:numPr>
        <w:tabs>
          <w:tab w:val="clear" w:pos="720"/>
        </w:tabs>
        <w:ind w:left="567" w:right="-29" w:hanging="567"/>
        <w:rPr>
          <w:sz w:val="22"/>
          <w:szCs w:val="22"/>
          <w:lang w:val="lt-LT" w:eastAsia="ja-JP"/>
        </w:rPr>
      </w:pPr>
      <w:r w:rsidRPr="00715891">
        <w:rPr>
          <w:sz w:val="22"/>
          <w:szCs w:val="22"/>
          <w:lang w:val="lt-LT" w:eastAsia="ja-JP"/>
        </w:rPr>
        <w:lastRenderedPageBreak/>
        <w:t>vyrų nevaisingumas – žiūrėkite poskyrį „Vaisingumas“;</w:t>
      </w:r>
    </w:p>
    <w:p w14:paraId="10EB1713" w14:textId="77777777" w:rsidR="002D5B65" w:rsidRPr="00715891" w:rsidRDefault="002D5B65" w:rsidP="003C60C4">
      <w:pPr>
        <w:numPr>
          <w:ilvl w:val="0"/>
          <w:numId w:val="11"/>
        </w:numPr>
        <w:tabs>
          <w:tab w:val="clear" w:pos="720"/>
        </w:tabs>
        <w:ind w:left="567" w:right="-29" w:hanging="567"/>
        <w:rPr>
          <w:sz w:val="22"/>
          <w:szCs w:val="22"/>
          <w:lang w:val="lt-LT" w:eastAsia="ja-JP"/>
        </w:rPr>
      </w:pPr>
      <w:r w:rsidRPr="00715891">
        <w:rPr>
          <w:sz w:val="22"/>
          <w:szCs w:val="22"/>
          <w:lang w:val="lt-LT" w:eastAsia="ja-JP"/>
        </w:rPr>
        <w:t>krūtinės skausmas.</w:t>
      </w:r>
    </w:p>
    <w:p w14:paraId="4D4F106E" w14:textId="77777777" w:rsidR="00107519" w:rsidRPr="00715891" w:rsidRDefault="00107519" w:rsidP="00107519">
      <w:pPr>
        <w:ind w:right="-29"/>
        <w:rPr>
          <w:rFonts w:eastAsia="Calibri"/>
          <w:sz w:val="22"/>
          <w:szCs w:val="22"/>
          <w:lang w:val="lt-LT" w:eastAsia="lt-LT"/>
        </w:rPr>
      </w:pPr>
    </w:p>
    <w:p w14:paraId="6D363289" w14:textId="77777777" w:rsidR="00107519" w:rsidRPr="00715891" w:rsidRDefault="00107519" w:rsidP="00107519">
      <w:pPr>
        <w:ind w:right="-29"/>
        <w:rPr>
          <w:sz w:val="22"/>
          <w:szCs w:val="22"/>
          <w:lang w:val="lt-LT" w:eastAsia="ja-JP"/>
        </w:rPr>
      </w:pPr>
      <w:r w:rsidRPr="00715891">
        <w:rPr>
          <w:sz w:val="22"/>
          <w:szCs w:val="22"/>
          <w:lang w:val="lt-LT" w:eastAsia="ja-JP"/>
        </w:rPr>
        <w:t>Vidinio akies sluoksnio atsilupimas (tinklainės atšoka) įvyko tik AIDS pacientams, kurie buvo gydomi valgancikloviru nuo CMV infekcijos.</w:t>
      </w:r>
    </w:p>
    <w:p w14:paraId="533DA529" w14:textId="77777777" w:rsidR="00107519" w:rsidRPr="00715891" w:rsidRDefault="00107519" w:rsidP="00107519">
      <w:pPr>
        <w:rPr>
          <w:b/>
          <w:snapToGrid w:val="0"/>
          <w:sz w:val="22"/>
          <w:szCs w:val="22"/>
          <w:lang w:val="lt-LT"/>
        </w:rPr>
      </w:pPr>
    </w:p>
    <w:p w14:paraId="7EF5E53D" w14:textId="77777777" w:rsidR="00107519" w:rsidRPr="00715891" w:rsidRDefault="00107519" w:rsidP="00107519">
      <w:pPr>
        <w:keepNext/>
        <w:tabs>
          <w:tab w:val="left" w:pos="567"/>
        </w:tabs>
        <w:jc w:val="both"/>
        <w:outlineLvl w:val="3"/>
        <w:rPr>
          <w:rFonts w:eastAsia="SimSun"/>
          <w:b/>
          <w:sz w:val="22"/>
          <w:szCs w:val="22"/>
          <w:lang w:val="lt-LT" w:eastAsia="lt-LT"/>
        </w:rPr>
      </w:pPr>
      <w:r w:rsidRPr="00715891">
        <w:rPr>
          <w:rFonts w:eastAsia="SimSun"/>
          <w:b/>
          <w:sz w:val="22"/>
          <w:szCs w:val="22"/>
          <w:lang w:val="lt-LT" w:eastAsia="lt-LT"/>
        </w:rPr>
        <w:t>Papildomas šalutinis poveikis vaikams ir paaugliams</w:t>
      </w:r>
    </w:p>
    <w:p w14:paraId="3A686313" w14:textId="77777777" w:rsidR="00107519" w:rsidRPr="00715891" w:rsidRDefault="00107519" w:rsidP="00107519">
      <w:pPr>
        <w:tabs>
          <w:tab w:val="left" w:pos="567"/>
        </w:tabs>
        <w:rPr>
          <w:rFonts w:eastAsia="SimSun"/>
          <w:b/>
          <w:sz w:val="22"/>
          <w:szCs w:val="22"/>
          <w:lang w:val="lt-LT" w:eastAsia="zh-CN"/>
        </w:rPr>
      </w:pPr>
    </w:p>
    <w:p w14:paraId="51ADAAF1" w14:textId="77777777" w:rsidR="00107519" w:rsidRPr="00715891" w:rsidRDefault="00107519" w:rsidP="00107519">
      <w:pPr>
        <w:rPr>
          <w:b/>
          <w:snapToGrid w:val="0"/>
          <w:sz w:val="22"/>
          <w:szCs w:val="22"/>
          <w:lang w:val="lt-LT"/>
        </w:rPr>
      </w:pPr>
      <w:r w:rsidRPr="00715891">
        <w:rPr>
          <w:rFonts w:eastAsia="SimSun"/>
          <w:sz w:val="22"/>
          <w:szCs w:val="22"/>
          <w:lang w:val="lt-LT" w:eastAsia="zh-CN"/>
        </w:rPr>
        <w:t>Vaikams ir paaugliams bei suaugusiesiems pastebėti šalutinio poveikio atvejai yra panašūs.</w:t>
      </w:r>
    </w:p>
    <w:p w14:paraId="0E83ADA1" w14:textId="77777777" w:rsidR="00107519" w:rsidRPr="00715891" w:rsidRDefault="00107519" w:rsidP="00107519">
      <w:pPr>
        <w:ind w:right="-2"/>
        <w:rPr>
          <w:rFonts w:eastAsia="Calibri"/>
          <w:b/>
          <w:sz w:val="22"/>
          <w:szCs w:val="22"/>
          <w:lang w:val="lt-LT" w:eastAsia="lt-LT"/>
        </w:rPr>
      </w:pPr>
    </w:p>
    <w:p w14:paraId="6CA8B74D" w14:textId="77777777" w:rsidR="00107519" w:rsidRPr="00715891" w:rsidRDefault="00107519" w:rsidP="00107519">
      <w:pPr>
        <w:keepNext/>
        <w:rPr>
          <w:b/>
          <w:snapToGrid w:val="0"/>
          <w:sz w:val="22"/>
          <w:szCs w:val="22"/>
          <w:lang w:val="lt-LT" w:eastAsia="lt-LT"/>
        </w:rPr>
      </w:pPr>
      <w:r w:rsidRPr="00715891">
        <w:rPr>
          <w:b/>
          <w:snapToGrid w:val="0"/>
          <w:sz w:val="22"/>
          <w:szCs w:val="22"/>
          <w:lang w:val="lt-LT" w:eastAsia="lt-LT"/>
        </w:rPr>
        <w:t>Pranešimas apie šalutinį poveikį</w:t>
      </w:r>
    </w:p>
    <w:p w14:paraId="34693460" w14:textId="13B899B6" w:rsidR="00C06C36" w:rsidRPr="00715891" w:rsidRDefault="00C06C36" w:rsidP="00C06C36">
      <w:pPr>
        <w:tabs>
          <w:tab w:val="left" w:pos="567"/>
        </w:tabs>
        <w:spacing w:line="260" w:lineRule="exact"/>
        <w:ind w:right="-449"/>
        <w:rPr>
          <w:sz w:val="22"/>
          <w:lang w:val="lt-LT"/>
        </w:rPr>
      </w:pPr>
      <w:r w:rsidRPr="004C2447">
        <w:rPr>
          <w:sz w:val="22"/>
          <w:lang w:val="lt-LT"/>
        </w:rPr>
        <w:t>Jeigu pasireiškė šalutinis poveikis, įskaitant šiame lapelyje nenurodytą, pasakykite gydytojui</w:t>
      </w:r>
      <w:r w:rsidR="00181DD6" w:rsidRPr="00715891">
        <w:rPr>
          <w:sz w:val="22"/>
          <w:lang w:val="lt-LT"/>
        </w:rPr>
        <w:t xml:space="preserve"> arba</w:t>
      </w:r>
      <w:r w:rsidRPr="004C2447">
        <w:rPr>
          <w:sz w:val="22"/>
          <w:lang w:val="lt-LT"/>
        </w:rPr>
        <w:t xml:space="preserve"> vaistininkui.</w:t>
      </w:r>
      <w:r w:rsidRPr="004C2447">
        <w:rPr>
          <w:sz w:val="22"/>
          <w:szCs w:val="22"/>
          <w:lang w:val="lt-LT" w:eastAsia="lt-LT"/>
        </w:rPr>
        <w:t xml:space="preserve"> Pranešimą apie šalutinį poveikį galite užpildyti ir pateikti Valstybinės vaistų kontrolės tarnybos prie Lietuvos Respublikos sveikatos apsaugos ministerijos tinklalapyje </w:t>
      </w:r>
      <w:r w:rsidRPr="004C2447">
        <w:rPr>
          <w:color w:val="0000EE"/>
          <w:sz w:val="22"/>
          <w:szCs w:val="22"/>
          <w:u w:val="single"/>
          <w:lang w:val="lt-LT" w:eastAsia="lt-LT"/>
        </w:rPr>
        <w:t>https://vvkt.lrv.lt/lt/</w:t>
      </w:r>
      <w:r w:rsidRPr="004C2447">
        <w:rPr>
          <w:sz w:val="22"/>
          <w:szCs w:val="22"/>
          <w:lang w:val="lt-LT" w:eastAsia="lt-LT"/>
        </w:rPr>
        <w:t xml:space="preserve"> nurodytais būdais arba paskambinti nemokamu telefonu 8 800 73 568. </w:t>
      </w:r>
      <w:r w:rsidRPr="004C2447">
        <w:rPr>
          <w:sz w:val="22"/>
          <w:lang w:val="lt-LT"/>
        </w:rPr>
        <w:t>Pranešdami apie šalutinį poveikį galite mums padėti gauti daugiau informacijos apie šio vaisto saugumą.</w:t>
      </w:r>
    </w:p>
    <w:p w14:paraId="7B959464" w14:textId="77777777" w:rsidR="00C06C36" w:rsidRPr="00715891" w:rsidRDefault="00C06C36" w:rsidP="00C06C36">
      <w:pPr>
        <w:tabs>
          <w:tab w:val="left" w:pos="567"/>
        </w:tabs>
        <w:spacing w:line="260" w:lineRule="exact"/>
        <w:ind w:right="-449"/>
        <w:rPr>
          <w:sz w:val="22"/>
          <w:lang w:val="lt-LT"/>
        </w:rPr>
      </w:pPr>
    </w:p>
    <w:p w14:paraId="356F0415" w14:textId="77777777" w:rsidR="00181DD6" w:rsidRPr="004C2447" w:rsidRDefault="00181DD6" w:rsidP="00C06C36">
      <w:pPr>
        <w:tabs>
          <w:tab w:val="left" w:pos="567"/>
        </w:tabs>
        <w:spacing w:line="260" w:lineRule="exact"/>
        <w:ind w:right="-449"/>
        <w:rPr>
          <w:sz w:val="22"/>
          <w:lang w:val="lt-LT"/>
        </w:rPr>
      </w:pPr>
    </w:p>
    <w:p w14:paraId="08B4FE6D" w14:textId="77777777" w:rsidR="00107519" w:rsidRPr="00715891" w:rsidRDefault="00107519" w:rsidP="00107519">
      <w:pPr>
        <w:tabs>
          <w:tab w:val="left" w:pos="567"/>
        </w:tabs>
        <w:rPr>
          <w:sz w:val="22"/>
          <w:szCs w:val="22"/>
          <w:lang w:val="lt-LT" w:eastAsia="ja-JP"/>
        </w:rPr>
      </w:pPr>
      <w:r w:rsidRPr="00715891">
        <w:rPr>
          <w:b/>
          <w:sz w:val="22"/>
          <w:szCs w:val="22"/>
          <w:lang w:val="lt-LT" w:eastAsia="ja-JP"/>
        </w:rPr>
        <w:t>5.</w:t>
      </w:r>
      <w:r w:rsidRPr="00715891">
        <w:rPr>
          <w:b/>
          <w:sz w:val="22"/>
          <w:szCs w:val="22"/>
          <w:lang w:val="lt-LT" w:eastAsia="ja-JP"/>
        </w:rPr>
        <w:tab/>
        <w:t>Kaip laikyti Valganciclovir Sandoz</w:t>
      </w:r>
    </w:p>
    <w:p w14:paraId="22914A81" w14:textId="77777777" w:rsidR="00107519" w:rsidRPr="00715891" w:rsidRDefault="00107519" w:rsidP="00107519">
      <w:pPr>
        <w:ind w:right="-2"/>
        <w:rPr>
          <w:sz w:val="22"/>
          <w:szCs w:val="22"/>
          <w:lang w:val="lt-LT" w:eastAsia="ja-JP"/>
        </w:rPr>
      </w:pPr>
    </w:p>
    <w:p w14:paraId="3AE40577" w14:textId="77777777" w:rsidR="00107519" w:rsidRPr="00715891" w:rsidRDefault="00107519" w:rsidP="00107519">
      <w:pPr>
        <w:ind w:right="-2"/>
        <w:rPr>
          <w:sz w:val="22"/>
          <w:szCs w:val="22"/>
          <w:lang w:val="lt-LT"/>
        </w:rPr>
      </w:pPr>
      <w:r w:rsidRPr="00715891">
        <w:rPr>
          <w:sz w:val="22"/>
          <w:szCs w:val="22"/>
          <w:lang w:val="lt-LT"/>
        </w:rPr>
        <w:t>Šį vaistą laikykite vaikams nepastebimoje ir nepasiekiamoje vietoje.</w:t>
      </w:r>
    </w:p>
    <w:p w14:paraId="58B26E76" w14:textId="77777777" w:rsidR="00107519" w:rsidRPr="00715891" w:rsidRDefault="00107519" w:rsidP="00107519">
      <w:pPr>
        <w:ind w:right="-2"/>
        <w:rPr>
          <w:sz w:val="22"/>
          <w:szCs w:val="22"/>
          <w:lang w:val="lt-LT" w:eastAsia="ja-JP"/>
        </w:rPr>
      </w:pPr>
    </w:p>
    <w:p w14:paraId="65802C4D" w14:textId="03A96DE2" w:rsidR="00107519" w:rsidRPr="00715891" w:rsidRDefault="00107519" w:rsidP="00107519">
      <w:pPr>
        <w:ind w:right="-2"/>
        <w:rPr>
          <w:sz w:val="22"/>
          <w:szCs w:val="22"/>
          <w:lang w:val="lt-LT" w:eastAsia="ja-JP"/>
        </w:rPr>
      </w:pPr>
      <w:r w:rsidRPr="00715891">
        <w:rPr>
          <w:sz w:val="22"/>
          <w:szCs w:val="22"/>
          <w:lang w:val="lt-LT" w:eastAsia="ja-JP"/>
        </w:rPr>
        <w:t xml:space="preserve">Ant </w:t>
      </w:r>
      <w:r w:rsidR="005357CC" w:rsidRPr="00715891">
        <w:rPr>
          <w:sz w:val="22"/>
          <w:szCs w:val="22"/>
          <w:lang w:val="lt-LT" w:eastAsia="ja-JP"/>
        </w:rPr>
        <w:t xml:space="preserve">dėžutės, </w:t>
      </w:r>
      <w:r w:rsidR="00F67554" w:rsidRPr="00715891">
        <w:rPr>
          <w:sz w:val="22"/>
          <w:szCs w:val="22"/>
          <w:lang w:val="lt-LT" w:eastAsia="ja-JP"/>
        </w:rPr>
        <w:t>lizdinės plokštelės</w:t>
      </w:r>
      <w:r w:rsidR="005357CC" w:rsidRPr="00715891">
        <w:rPr>
          <w:sz w:val="22"/>
          <w:szCs w:val="22"/>
          <w:lang w:val="lt-LT" w:eastAsia="ja-JP"/>
        </w:rPr>
        <w:t xml:space="preserve"> ir </w:t>
      </w:r>
      <w:r w:rsidR="00F67554" w:rsidRPr="00715891">
        <w:rPr>
          <w:sz w:val="22"/>
          <w:szCs w:val="22"/>
          <w:lang w:val="lt-LT" w:eastAsia="ja-JP"/>
        </w:rPr>
        <w:t xml:space="preserve">buteliuko </w:t>
      </w:r>
      <w:r w:rsidRPr="00715891">
        <w:rPr>
          <w:sz w:val="22"/>
          <w:szCs w:val="22"/>
          <w:lang w:val="lt-LT" w:eastAsia="ja-JP"/>
        </w:rPr>
        <w:t xml:space="preserve">po </w:t>
      </w:r>
      <w:r w:rsidR="00181DD6" w:rsidRPr="00715891">
        <w:rPr>
          <w:sz w:val="22"/>
          <w:szCs w:val="22"/>
          <w:lang w:val="lt-LT" w:eastAsia="ja-JP"/>
        </w:rPr>
        <w:t>„</w:t>
      </w:r>
      <w:r w:rsidRPr="00715891">
        <w:rPr>
          <w:sz w:val="22"/>
          <w:lang w:val="lt-LT"/>
        </w:rPr>
        <w:t>EXP</w:t>
      </w:r>
      <w:r w:rsidR="00181DD6" w:rsidRPr="00715891">
        <w:rPr>
          <w:sz w:val="22"/>
          <w:lang w:val="lt-LT"/>
        </w:rPr>
        <w:t>“</w:t>
      </w:r>
      <w:r w:rsidRPr="00715891">
        <w:rPr>
          <w:sz w:val="22"/>
          <w:szCs w:val="22"/>
          <w:lang w:val="lt-LT" w:eastAsia="ja-JP"/>
        </w:rPr>
        <w:t xml:space="preserve"> nurodytam tinkamumo laikui pasibaigus, šio vaisto vartoti negalima. Vaistas tinkamas vartoti iki paskutinės nurodyto mėnesio dienos.</w:t>
      </w:r>
    </w:p>
    <w:p w14:paraId="013067C2" w14:textId="77777777" w:rsidR="00107519" w:rsidRPr="00715891" w:rsidRDefault="00107519" w:rsidP="00107519">
      <w:pPr>
        <w:ind w:right="-2"/>
        <w:rPr>
          <w:sz w:val="22"/>
          <w:szCs w:val="22"/>
          <w:lang w:val="lt-LT" w:eastAsia="ja-JP"/>
        </w:rPr>
      </w:pPr>
    </w:p>
    <w:p w14:paraId="39093287" w14:textId="0AB3D032" w:rsidR="00107519" w:rsidRPr="00715891" w:rsidRDefault="00107519" w:rsidP="00107519">
      <w:pPr>
        <w:ind w:right="-2"/>
        <w:rPr>
          <w:sz w:val="22"/>
          <w:szCs w:val="22"/>
          <w:lang w:val="lt-LT" w:eastAsia="ja-JP"/>
        </w:rPr>
      </w:pPr>
      <w:r w:rsidRPr="00715891">
        <w:rPr>
          <w:sz w:val="22"/>
          <w:szCs w:val="22"/>
          <w:lang w:val="lt-LT" w:eastAsia="ja-JP"/>
        </w:rPr>
        <w:t>Šiam vais</w:t>
      </w:r>
      <w:r w:rsidR="00F67D86" w:rsidRPr="00715891">
        <w:rPr>
          <w:sz w:val="22"/>
          <w:szCs w:val="22"/>
          <w:lang w:val="lt-LT" w:eastAsia="ja-JP"/>
        </w:rPr>
        <w:t>t</w:t>
      </w:r>
      <w:r w:rsidR="00F67554" w:rsidRPr="00715891">
        <w:rPr>
          <w:sz w:val="22"/>
          <w:szCs w:val="22"/>
          <w:lang w:val="lt-LT" w:eastAsia="ja-JP"/>
        </w:rPr>
        <w:t>ui</w:t>
      </w:r>
      <w:r w:rsidRPr="00715891">
        <w:rPr>
          <w:sz w:val="22"/>
          <w:szCs w:val="22"/>
          <w:lang w:val="lt-LT" w:eastAsia="ja-JP"/>
        </w:rPr>
        <w:t xml:space="preserve"> specialių laikymo sąlygų nereikia.</w:t>
      </w:r>
    </w:p>
    <w:p w14:paraId="30E42F99" w14:textId="77777777" w:rsidR="00107519" w:rsidRPr="00715891" w:rsidRDefault="00107519" w:rsidP="00107519">
      <w:pPr>
        <w:ind w:right="-2"/>
        <w:rPr>
          <w:sz w:val="22"/>
          <w:szCs w:val="22"/>
          <w:lang w:val="lt-LT" w:eastAsia="ja-JP"/>
        </w:rPr>
      </w:pPr>
    </w:p>
    <w:p w14:paraId="3D02DB9F" w14:textId="77777777" w:rsidR="00F67554" w:rsidRPr="00715891" w:rsidRDefault="00F67554" w:rsidP="00107519">
      <w:pPr>
        <w:ind w:right="-2"/>
        <w:rPr>
          <w:sz w:val="22"/>
          <w:szCs w:val="22"/>
          <w:lang w:val="lt-LT" w:eastAsia="ja-JP"/>
        </w:rPr>
      </w:pPr>
      <w:r w:rsidRPr="00715891">
        <w:rPr>
          <w:sz w:val="22"/>
          <w:szCs w:val="22"/>
          <w:lang w:val="lt-LT" w:eastAsia="ja-JP"/>
        </w:rPr>
        <w:t>Tinkamumo laikas po pirmojo atidarymo:</w:t>
      </w:r>
    </w:p>
    <w:p w14:paraId="31B030D7" w14:textId="45E69785" w:rsidR="00F67554" w:rsidRPr="00715891" w:rsidRDefault="00F67554" w:rsidP="00107519">
      <w:pPr>
        <w:ind w:right="-2"/>
        <w:rPr>
          <w:sz w:val="22"/>
          <w:szCs w:val="22"/>
          <w:lang w:val="lt-LT" w:eastAsia="ja-JP"/>
        </w:rPr>
      </w:pPr>
      <w:r w:rsidRPr="00715891">
        <w:rPr>
          <w:sz w:val="22"/>
          <w:szCs w:val="22"/>
          <w:lang w:val="lt-LT" w:eastAsia="ja-JP"/>
        </w:rPr>
        <w:t>Buteliuka</w:t>
      </w:r>
      <w:r w:rsidR="0039561F" w:rsidRPr="00715891">
        <w:rPr>
          <w:sz w:val="22"/>
          <w:szCs w:val="22"/>
          <w:lang w:val="lt-LT" w:eastAsia="ja-JP"/>
        </w:rPr>
        <w:t>s</w:t>
      </w:r>
      <w:r w:rsidRPr="00715891">
        <w:rPr>
          <w:sz w:val="22"/>
          <w:szCs w:val="22"/>
          <w:lang w:val="lt-LT" w:eastAsia="ja-JP"/>
        </w:rPr>
        <w:t>: 2 mėnesiai</w:t>
      </w:r>
      <w:r w:rsidR="007238CC" w:rsidRPr="00715891">
        <w:rPr>
          <w:sz w:val="22"/>
          <w:szCs w:val="22"/>
          <w:lang w:val="lt-LT" w:eastAsia="ja-JP"/>
        </w:rPr>
        <w:t>.</w:t>
      </w:r>
    </w:p>
    <w:p w14:paraId="4F4E65EC" w14:textId="77777777" w:rsidR="00F67554" w:rsidRPr="00715891" w:rsidRDefault="00F67554" w:rsidP="00107519">
      <w:pPr>
        <w:ind w:right="-2"/>
        <w:rPr>
          <w:sz w:val="22"/>
          <w:szCs w:val="22"/>
          <w:lang w:val="lt-LT" w:eastAsia="ja-JP"/>
        </w:rPr>
      </w:pPr>
    </w:p>
    <w:p w14:paraId="0DA8E2F5" w14:textId="77777777" w:rsidR="00107519" w:rsidRPr="00715891" w:rsidRDefault="00107519" w:rsidP="00107519">
      <w:pPr>
        <w:ind w:right="-2"/>
        <w:rPr>
          <w:sz w:val="22"/>
          <w:szCs w:val="22"/>
          <w:lang w:val="lt-LT" w:eastAsia="ja-JP"/>
        </w:rPr>
      </w:pPr>
      <w:r w:rsidRPr="00715891">
        <w:rPr>
          <w:sz w:val="22"/>
          <w:szCs w:val="22"/>
          <w:lang w:val="lt-LT" w:eastAsia="ja-JP"/>
        </w:rPr>
        <w:t xml:space="preserve">Vaistų negalima išmesti į kanalizaciją </w:t>
      </w:r>
      <w:r w:rsidRPr="00715891">
        <w:rPr>
          <w:sz w:val="22"/>
          <w:highlight w:val="lightGray"/>
          <w:lang w:val="lt-LT"/>
        </w:rPr>
        <w:t>arba su buitinėmis atliekomis</w:t>
      </w:r>
      <w:r w:rsidRPr="00715891">
        <w:rPr>
          <w:sz w:val="22"/>
          <w:szCs w:val="22"/>
          <w:lang w:val="lt-LT" w:eastAsia="ja-JP"/>
        </w:rPr>
        <w:t>. Kaip išmesti nereikalingus vaistus, klauskite vaistininko. Šios priemonės padės apsaugoti aplinką.</w:t>
      </w:r>
    </w:p>
    <w:p w14:paraId="23178AC7" w14:textId="77777777" w:rsidR="00107519" w:rsidRPr="00715891" w:rsidRDefault="00107519" w:rsidP="00107519">
      <w:pPr>
        <w:rPr>
          <w:sz w:val="22"/>
          <w:szCs w:val="22"/>
          <w:lang w:val="lt-LT" w:eastAsia="ja-JP"/>
        </w:rPr>
      </w:pPr>
    </w:p>
    <w:p w14:paraId="5933A97E" w14:textId="77777777" w:rsidR="00107519" w:rsidRPr="00715891" w:rsidRDefault="00107519" w:rsidP="00107519">
      <w:pPr>
        <w:ind w:right="-2"/>
        <w:rPr>
          <w:sz w:val="22"/>
          <w:szCs w:val="22"/>
          <w:lang w:val="lt-LT" w:eastAsia="ja-JP"/>
        </w:rPr>
      </w:pPr>
    </w:p>
    <w:p w14:paraId="2DFA1F44" w14:textId="77777777" w:rsidR="00107519" w:rsidRPr="00715891" w:rsidRDefault="00107519" w:rsidP="00107519">
      <w:pPr>
        <w:keepNext/>
        <w:keepLines/>
        <w:numPr>
          <w:ilvl w:val="12"/>
          <w:numId w:val="0"/>
        </w:numPr>
        <w:ind w:left="567" w:hanging="567"/>
        <w:outlineLvl w:val="0"/>
        <w:rPr>
          <w:b/>
          <w:sz w:val="22"/>
          <w:szCs w:val="22"/>
          <w:lang w:val="lt-LT" w:eastAsia="ja-JP"/>
        </w:rPr>
      </w:pPr>
      <w:r w:rsidRPr="00715891">
        <w:rPr>
          <w:b/>
          <w:sz w:val="22"/>
          <w:szCs w:val="22"/>
          <w:lang w:val="lt-LT" w:eastAsia="ja-JP"/>
        </w:rPr>
        <w:t>6.</w:t>
      </w:r>
      <w:r w:rsidRPr="00715891">
        <w:rPr>
          <w:sz w:val="22"/>
          <w:szCs w:val="22"/>
          <w:lang w:val="lt-LT" w:eastAsia="ja-JP"/>
        </w:rPr>
        <w:tab/>
      </w:r>
      <w:r w:rsidRPr="00715891">
        <w:rPr>
          <w:b/>
          <w:sz w:val="22"/>
          <w:szCs w:val="22"/>
          <w:lang w:val="lt-LT" w:eastAsia="ja-JP"/>
        </w:rPr>
        <w:t>Pakuotės turinys ir kita informacija</w:t>
      </w:r>
    </w:p>
    <w:p w14:paraId="6F8E3B08" w14:textId="77777777" w:rsidR="00107519" w:rsidRPr="00715891" w:rsidRDefault="00107519" w:rsidP="00107519">
      <w:pPr>
        <w:keepNext/>
        <w:keepLines/>
        <w:ind w:left="567" w:hanging="567"/>
        <w:rPr>
          <w:sz w:val="22"/>
          <w:szCs w:val="22"/>
          <w:lang w:val="lt-LT" w:eastAsia="ja-JP"/>
        </w:rPr>
      </w:pPr>
    </w:p>
    <w:p w14:paraId="3E7B9F1D" w14:textId="77777777" w:rsidR="00107519" w:rsidRPr="00715891" w:rsidRDefault="00107519" w:rsidP="00107519">
      <w:pPr>
        <w:keepNext/>
        <w:keepLines/>
        <w:numPr>
          <w:ilvl w:val="12"/>
          <w:numId w:val="0"/>
        </w:numPr>
        <w:outlineLvl w:val="4"/>
        <w:rPr>
          <w:b/>
          <w:sz w:val="22"/>
          <w:szCs w:val="22"/>
          <w:lang w:val="lt-LT" w:eastAsia="ja-JP"/>
        </w:rPr>
      </w:pPr>
      <w:r w:rsidRPr="00715891">
        <w:rPr>
          <w:b/>
          <w:bCs/>
          <w:iCs/>
          <w:sz w:val="22"/>
          <w:szCs w:val="22"/>
          <w:lang w:val="lt-LT" w:eastAsia="ja-JP"/>
        </w:rPr>
        <w:t xml:space="preserve">Valganciclovir Sandoz </w:t>
      </w:r>
      <w:r w:rsidRPr="00715891">
        <w:rPr>
          <w:b/>
          <w:sz w:val="22"/>
          <w:szCs w:val="22"/>
          <w:lang w:val="lt-LT" w:eastAsia="ja-JP"/>
        </w:rPr>
        <w:t>sudėtis</w:t>
      </w:r>
    </w:p>
    <w:p w14:paraId="2793E318" w14:textId="77777777" w:rsidR="00107519" w:rsidRPr="00715891" w:rsidRDefault="00107519" w:rsidP="00107519">
      <w:pPr>
        <w:keepNext/>
        <w:keepLines/>
        <w:numPr>
          <w:ilvl w:val="12"/>
          <w:numId w:val="0"/>
        </w:numPr>
        <w:rPr>
          <w:sz w:val="22"/>
          <w:szCs w:val="22"/>
          <w:lang w:val="lt-LT" w:eastAsia="ja-JP"/>
        </w:rPr>
      </w:pPr>
    </w:p>
    <w:p w14:paraId="11A7044F" w14:textId="77777777" w:rsidR="00453066" w:rsidRPr="00715891" w:rsidRDefault="00107519" w:rsidP="005B6B82">
      <w:pPr>
        <w:keepNext/>
        <w:keepLines/>
        <w:rPr>
          <w:sz w:val="22"/>
          <w:szCs w:val="22"/>
          <w:lang w:val="lt-LT" w:eastAsia="ja-JP"/>
        </w:rPr>
      </w:pPr>
      <w:r w:rsidRPr="00715891">
        <w:rPr>
          <w:sz w:val="22"/>
          <w:szCs w:val="22"/>
          <w:lang w:val="lt-LT" w:eastAsia="ja-JP"/>
        </w:rPr>
        <w:t>Veiklioji medžiaga yra valgancikloviras</w:t>
      </w:r>
      <w:r w:rsidR="00453066" w:rsidRPr="00715891">
        <w:rPr>
          <w:sz w:val="22"/>
          <w:szCs w:val="22"/>
          <w:lang w:val="lt-LT" w:eastAsia="ja-JP"/>
        </w:rPr>
        <w:t xml:space="preserve"> (hidrochlorido pavidalu)</w:t>
      </w:r>
      <w:r w:rsidR="00262CCC" w:rsidRPr="00715891">
        <w:rPr>
          <w:sz w:val="22"/>
          <w:szCs w:val="22"/>
          <w:lang w:val="lt-LT" w:eastAsia="ja-JP"/>
        </w:rPr>
        <w:t xml:space="preserve">. </w:t>
      </w:r>
    </w:p>
    <w:p w14:paraId="6F7BD51A" w14:textId="01E573BC" w:rsidR="00107519" w:rsidRPr="00715891" w:rsidRDefault="00262CCC" w:rsidP="005B6B82">
      <w:pPr>
        <w:keepNext/>
        <w:keepLines/>
        <w:rPr>
          <w:sz w:val="22"/>
          <w:szCs w:val="22"/>
          <w:lang w:val="lt-LT" w:eastAsia="ja-JP"/>
        </w:rPr>
      </w:pPr>
      <w:r w:rsidRPr="00715891">
        <w:rPr>
          <w:sz w:val="22"/>
          <w:szCs w:val="22"/>
          <w:lang w:val="lt-LT" w:eastAsia="ja-JP"/>
        </w:rPr>
        <w:t xml:space="preserve">Kiekvienoje tabletėje yra </w:t>
      </w:r>
      <w:r w:rsidR="005A0087" w:rsidRPr="00715891">
        <w:rPr>
          <w:sz w:val="22"/>
          <w:szCs w:val="22"/>
          <w:lang w:val="lt-LT" w:eastAsia="ja-JP"/>
        </w:rPr>
        <w:t>450</w:t>
      </w:r>
      <w:r w:rsidRPr="00715891">
        <w:rPr>
          <w:sz w:val="22"/>
          <w:szCs w:val="22"/>
          <w:lang w:val="lt-LT" w:eastAsia="ja-JP"/>
        </w:rPr>
        <w:t> mg valgancikloviro</w:t>
      </w:r>
      <w:r w:rsidR="005A0087" w:rsidRPr="00715891">
        <w:rPr>
          <w:sz w:val="22"/>
          <w:szCs w:val="22"/>
          <w:lang w:val="lt-LT" w:eastAsia="ja-JP"/>
        </w:rPr>
        <w:t xml:space="preserve"> (</w:t>
      </w:r>
      <w:r w:rsidRPr="00715891">
        <w:rPr>
          <w:sz w:val="22"/>
          <w:szCs w:val="22"/>
          <w:lang w:val="lt-LT" w:eastAsia="ja-JP"/>
        </w:rPr>
        <w:t>hidrochlorido</w:t>
      </w:r>
      <w:r w:rsidR="005A0087" w:rsidRPr="00715891">
        <w:rPr>
          <w:sz w:val="22"/>
          <w:szCs w:val="22"/>
          <w:lang w:val="lt-LT" w:eastAsia="ja-JP"/>
        </w:rPr>
        <w:t xml:space="preserve"> pavidalu).</w:t>
      </w:r>
    </w:p>
    <w:p w14:paraId="7CAB27EC" w14:textId="77777777" w:rsidR="00F67554" w:rsidRPr="00715891" w:rsidRDefault="00F67554" w:rsidP="003C60C4">
      <w:pPr>
        <w:rPr>
          <w:sz w:val="22"/>
          <w:szCs w:val="22"/>
          <w:lang w:val="lt-LT" w:eastAsia="ja-JP"/>
        </w:rPr>
      </w:pPr>
    </w:p>
    <w:p w14:paraId="4D279513" w14:textId="3D47EA9E" w:rsidR="00107519" w:rsidRPr="00715891" w:rsidRDefault="00107519" w:rsidP="005B6B82">
      <w:pPr>
        <w:rPr>
          <w:sz w:val="22"/>
          <w:szCs w:val="22"/>
          <w:lang w:val="lt-LT" w:eastAsia="ja-JP"/>
        </w:rPr>
      </w:pPr>
      <w:r w:rsidRPr="00715891">
        <w:rPr>
          <w:sz w:val="22"/>
          <w:szCs w:val="22"/>
          <w:lang w:val="lt-LT" w:eastAsia="ja-JP"/>
        </w:rPr>
        <w:t xml:space="preserve">Pagalbinės medžiagos. </w:t>
      </w:r>
      <w:r w:rsidR="00F67554" w:rsidRPr="00715891">
        <w:rPr>
          <w:sz w:val="22"/>
          <w:szCs w:val="22"/>
          <w:lang w:val="lt-LT" w:eastAsia="ja-JP"/>
        </w:rPr>
        <w:br/>
      </w:r>
      <w:r w:rsidRPr="00715891">
        <w:rPr>
          <w:i/>
          <w:sz w:val="22"/>
          <w:szCs w:val="22"/>
          <w:lang w:val="lt-LT" w:eastAsia="ja-JP"/>
        </w:rPr>
        <w:t>Tabletės branduolys</w:t>
      </w:r>
      <w:r w:rsidRPr="00715891">
        <w:rPr>
          <w:sz w:val="22"/>
          <w:szCs w:val="22"/>
          <w:lang w:val="lt-LT" w:eastAsia="ja-JP"/>
        </w:rPr>
        <w:t xml:space="preserve">: mikrokristalinė celiuliozė (PH101), krospovidonas (A tipo), povidonas (K30), stearino rūgštis 50. </w:t>
      </w:r>
      <w:r w:rsidR="00F67554" w:rsidRPr="00715891">
        <w:rPr>
          <w:sz w:val="22"/>
          <w:szCs w:val="22"/>
          <w:lang w:val="lt-LT" w:eastAsia="ja-JP"/>
        </w:rPr>
        <w:br/>
      </w:r>
      <w:r w:rsidRPr="00715891">
        <w:rPr>
          <w:i/>
          <w:sz w:val="22"/>
          <w:szCs w:val="22"/>
          <w:lang w:val="lt-LT" w:eastAsia="ja-JP"/>
        </w:rPr>
        <w:t>Tabletės plėvelė</w:t>
      </w:r>
      <w:r w:rsidRPr="00715891">
        <w:rPr>
          <w:sz w:val="22"/>
          <w:szCs w:val="22"/>
          <w:lang w:val="lt-LT" w:eastAsia="ja-JP"/>
        </w:rPr>
        <w:t xml:space="preserve">: </w:t>
      </w:r>
      <w:r w:rsidRPr="00715891">
        <w:rPr>
          <w:i/>
          <w:iCs/>
          <w:sz w:val="22"/>
          <w:szCs w:val="22"/>
          <w:lang w:val="lt-LT" w:eastAsia="ja-JP"/>
        </w:rPr>
        <w:t xml:space="preserve">Opadry Pink </w:t>
      </w:r>
      <w:r w:rsidRPr="00715891">
        <w:rPr>
          <w:i/>
          <w:iCs/>
          <w:sz w:val="22"/>
          <w:szCs w:val="22"/>
          <w:lang w:val="lt-LT"/>
        </w:rPr>
        <w:t>15B24005</w:t>
      </w:r>
      <w:r w:rsidRPr="00715891">
        <w:rPr>
          <w:sz w:val="22"/>
          <w:szCs w:val="22"/>
          <w:lang w:val="lt-LT" w:eastAsia="ja-JP"/>
        </w:rPr>
        <w:t xml:space="preserve">, kurio sudėtis: hipromeliozė </w:t>
      </w:r>
      <w:r w:rsidR="00F67554" w:rsidRPr="00715891">
        <w:rPr>
          <w:sz w:val="22"/>
          <w:szCs w:val="22"/>
          <w:lang w:val="lt-LT" w:eastAsia="ja-JP"/>
        </w:rPr>
        <w:t xml:space="preserve">(E464) </w:t>
      </w:r>
      <w:r w:rsidRPr="00715891">
        <w:rPr>
          <w:sz w:val="22"/>
          <w:szCs w:val="22"/>
          <w:lang w:val="lt-LT" w:eastAsia="ja-JP"/>
        </w:rPr>
        <w:t>(3</w:t>
      </w:r>
      <w:r w:rsidR="00BB70C7" w:rsidRPr="00715891">
        <w:rPr>
          <w:sz w:val="22"/>
          <w:szCs w:val="22"/>
          <w:lang w:val="lt-LT" w:eastAsia="ja-JP"/>
        </w:rPr>
        <w:t> </w:t>
      </w:r>
      <w:r w:rsidRPr="00715891">
        <w:rPr>
          <w:sz w:val="22"/>
          <w:szCs w:val="22"/>
          <w:lang w:val="lt-LT" w:eastAsia="ja-JP"/>
        </w:rPr>
        <w:t>cP), hipromeliozė</w:t>
      </w:r>
      <w:r w:rsidR="00F67554" w:rsidRPr="00715891">
        <w:rPr>
          <w:sz w:val="22"/>
          <w:szCs w:val="22"/>
          <w:lang w:val="lt-LT" w:eastAsia="ja-JP"/>
        </w:rPr>
        <w:t xml:space="preserve"> (E464) </w:t>
      </w:r>
      <w:r w:rsidRPr="00715891">
        <w:rPr>
          <w:sz w:val="22"/>
          <w:szCs w:val="22"/>
          <w:lang w:val="lt-LT" w:eastAsia="ja-JP"/>
        </w:rPr>
        <w:t>(6</w:t>
      </w:r>
      <w:r w:rsidR="00BB70C7" w:rsidRPr="00715891">
        <w:rPr>
          <w:sz w:val="22"/>
          <w:szCs w:val="22"/>
          <w:lang w:val="lt-LT" w:eastAsia="ja-JP"/>
        </w:rPr>
        <w:t> </w:t>
      </w:r>
      <w:r w:rsidRPr="00715891">
        <w:rPr>
          <w:sz w:val="22"/>
          <w:szCs w:val="22"/>
          <w:lang w:val="lt-LT" w:eastAsia="ja-JP"/>
        </w:rPr>
        <w:t>cP), titano dioksidas (E171), makrogolis 400</w:t>
      </w:r>
      <w:r w:rsidR="00F67554" w:rsidRPr="00715891">
        <w:rPr>
          <w:sz w:val="22"/>
          <w:szCs w:val="22"/>
          <w:lang w:val="lt-LT" w:eastAsia="ja-JP"/>
        </w:rPr>
        <w:t xml:space="preserve"> (E1521)</w:t>
      </w:r>
      <w:r w:rsidRPr="00715891">
        <w:rPr>
          <w:sz w:val="22"/>
          <w:szCs w:val="22"/>
          <w:lang w:val="lt-LT" w:eastAsia="ja-JP"/>
        </w:rPr>
        <w:t>, raudonasis geležies oksidas (E172), polisorbatas 80</w:t>
      </w:r>
      <w:r w:rsidR="00F67554" w:rsidRPr="00715891">
        <w:rPr>
          <w:sz w:val="22"/>
          <w:szCs w:val="22"/>
          <w:lang w:val="lt-LT" w:eastAsia="ja-JP"/>
        </w:rPr>
        <w:t xml:space="preserve"> (E433)</w:t>
      </w:r>
      <w:r w:rsidRPr="00715891">
        <w:rPr>
          <w:sz w:val="22"/>
          <w:szCs w:val="22"/>
          <w:lang w:val="lt-LT" w:eastAsia="ja-JP"/>
        </w:rPr>
        <w:t>.</w:t>
      </w:r>
    </w:p>
    <w:p w14:paraId="028EDBFD" w14:textId="77777777" w:rsidR="00107519" w:rsidRPr="00715891" w:rsidRDefault="00107519" w:rsidP="00107519">
      <w:pPr>
        <w:rPr>
          <w:sz w:val="22"/>
          <w:szCs w:val="22"/>
          <w:lang w:val="lt-LT" w:eastAsia="ja-JP"/>
        </w:rPr>
      </w:pPr>
    </w:p>
    <w:p w14:paraId="3D9A2378" w14:textId="77777777" w:rsidR="00107519" w:rsidRPr="00715891" w:rsidRDefault="00107519" w:rsidP="00107519">
      <w:pPr>
        <w:rPr>
          <w:b/>
          <w:sz w:val="22"/>
          <w:szCs w:val="22"/>
          <w:lang w:val="lt-LT" w:eastAsia="ja-JP"/>
        </w:rPr>
      </w:pPr>
      <w:r w:rsidRPr="00715891">
        <w:rPr>
          <w:b/>
          <w:sz w:val="22"/>
          <w:szCs w:val="22"/>
          <w:lang w:val="lt-LT" w:eastAsia="ja-JP"/>
        </w:rPr>
        <w:t>Valganciclovir Sandoz išvaizda ir kiekis pakuotėje</w:t>
      </w:r>
    </w:p>
    <w:p w14:paraId="5D4F9307" w14:textId="77777777" w:rsidR="00107519" w:rsidRPr="00715891" w:rsidRDefault="00107519" w:rsidP="00107519">
      <w:pPr>
        <w:rPr>
          <w:sz w:val="22"/>
          <w:szCs w:val="22"/>
          <w:lang w:val="lt-LT" w:eastAsia="ja-JP"/>
        </w:rPr>
      </w:pPr>
    </w:p>
    <w:p w14:paraId="50C85B9E" w14:textId="15E91D9E" w:rsidR="00107519" w:rsidRPr="00715891" w:rsidRDefault="00107519" w:rsidP="00107519">
      <w:pPr>
        <w:rPr>
          <w:sz w:val="22"/>
          <w:szCs w:val="22"/>
          <w:lang w:val="lt-LT" w:eastAsia="ja-JP"/>
        </w:rPr>
      </w:pPr>
      <w:r w:rsidRPr="00715891">
        <w:rPr>
          <w:sz w:val="22"/>
          <w:szCs w:val="22"/>
          <w:lang w:val="lt-LT" w:eastAsia="ja-JP"/>
        </w:rPr>
        <w:t>Valganciclovir Sandoz yra rožinės spalvos, ovalios, abipus išgaubtos plėvele dengtos tabletės (16,7 </w:t>
      </w:r>
      <w:r w:rsidRPr="00715891">
        <w:rPr>
          <w:lang w:val="lt-LT" w:eastAsia="zh-TW"/>
        </w:rPr>
        <w:t>x 7,8</w:t>
      </w:r>
      <w:r w:rsidR="003E6EA1" w:rsidRPr="00715891">
        <w:rPr>
          <w:lang w:val="lt-LT" w:eastAsia="zh-TW"/>
        </w:rPr>
        <w:t> </w:t>
      </w:r>
      <w:r w:rsidRPr="00715891">
        <w:rPr>
          <w:lang w:val="lt-LT" w:eastAsia="zh-TW"/>
        </w:rPr>
        <w:t>mm)</w:t>
      </w:r>
      <w:r w:rsidRPr="00715891">
        <w:rPr>
          <w:sz w:val="22"/>
          <w:szCs w:val="22"/>
          <w:lang w:val="lt-LT" w:eastAsia="ja-JP"/>
        </w:rPr>
        <w:t xml:space="preserve">, kurių vienoje pusėje įspausta </w:t>
      </w:r>
      <w:r w:rsidR="005E1A8A" w:rsidRPr="00715891">
        <w:rPr>
          <w:sz w:val="22"/>
          <w:szCs w:val="22"/>
          <w:lang w:val="lt-LT" w:eastAsia="ja-JP"/>
        </w:rPr>
        <w:t>„</w:t>
      </w:r>
      <w:r w:rsidRPr="00715891">
        <w:rPr>
          <w:sz w:val="22"/>
          <w:szCs w:val="22"/>
          <w:lang w:val="lt-LT" w:eastAsia="ja-JP"/>
        </w:rPr>
        <w:t>J</w:t>
      </w:r>
      <w:r w:rsidR="005E1A8A" w:rsidRPr="00715891">
        <w:rPr>
          <w:sz w:val="22"/>
          <w:szCs w:val="22"/>
          <w:lang w:val="lt-LT" w:eastAsia="ja-JP"/>
        </w:rPr>
        <w:t>“</w:t>
      </w:r>
      <w:r w:rsidRPr="00715891">
        <w:rPr>
          <w:sz w:val="22"/>
          <w:szCs w:val="22"/>
          <w:lang w:val="lt-LT" w:eastAsia="ja-JP"/>
        </w:rPr>
        <w:t xml:space="preserve">, o kitoje – </w:t>
      </w:r>
      <w:r w:rsidR="005E1A8A" w:rsidRPr="00715891">
        <w:rPr>
          <w:sz w:val="22"/>
          <w:szCs w:val="22"/>
          <w:lang w:val="lt-LT" w:eastAsia="ja-JP"/>
        </w:rPr>
        <w:t>„</w:t>
      </w:r>
      <w:r w:rsidRPr="00715891">
        <w:rPr>
          <w:sz w:val="22"/>
          <w:szCs w:val="22"/>
          <w:lang w:val="lt-LT" w:eastAsia="ja-JP"/>
        </w:rPr>
        <w:t>156</w:t>
      </w:r>
      <w:r w:rsidR="005E1A8A" w:rsidRPr="00715891">
        <w:rPr>
          <w:sz w:val="22"/>
          <w:szCs w:val="22"/>
          <w:lang w:val="lt-LT" w:eastAsia="ja-JP"/>
        </w:rPr>
        <w:t>“.</w:t>
      </w:r>
    </w:p>
    <w:p w14:paraId="316FA1B4" w14:textId="77777777" w:rsidR="00107519" w:rsidRPr="00715891" w:rsidRDefault="00107519" w:rsidP="00107519">
      <w:pPr>
        <w:rPr>
          <w:sz w:val="22"/>
          <w:szCs w:val="22"/>
          <w:lang w:val="lt-LT" w:eastAsia="ja-JP"/>
        </w:rPr>
      </w:pPr>
    </w:p>
    <w:p w14:paraId="229B400C" w14:textId="7D39D8AD" w:rsidR="00F67554" w:rsidRPr="00715891" w:rsidRDefault="00F67554" w:rsidP="00F67554">
      <w:pPr>
        <w:rPr>
          <w:sz w:val="22"/>
          <w:szCs w:val="22"/>
          <w:lang w:val="lt-LT" w:eastAsia="ja-JP"/>
        </w:rPr>
      </w:pPr>
      <w:r w:rsidRPr="00715891">
        <w:rPr>
          <w:sz w:val="22"/>
          <w:szCs w:val="22"/>
          <w:lang w:val="lt-LT" w:eastAsia="ja-JP"/>
        </w:rPr>
        <w:t>Plėvele dengtos tabletės yra supakuotos į aliuminio/PVC/aliuminio/OPA lizdines plokšteles, įdėtas į kartono dėžutę arba supakuot</w:t>
      </w:r>
      <w:r w:rsidR="00BB70C7" w:rsidRPr="00715891">
        <w:rPr>
          <w:sz w:val="22"/>
          <w:szCs w:val="22"/>
          <w:lang w:val="lt-LT" w:eastAsia="ja-JP"/>
        </w:rPr>
        <w:t>o</w:t>
      </w:r>
      <w:r w:rsidRPr="00715891">
        <w:rPr>
          <w:sz w:val="22"/>
          <w:szCs w:val="22"/>
          <w:lang w:val="lt-LT" w:eastAsia="ja-JP"/>
        </w:rPr>
        <w:t>s DTPE buteliuke su vaikų sunkiai atidaromu užsukamuoju polipropileno dangteliu ir minkštu aliuminio įdėklu ir įdėtu vatos užpildu.</w:t>
      </w:r>
    </w:p>
    <w:p w14:paraId="38F4D50A" w14:textId="77777777" w:rsidR="00F67554" w:rsidRPr="00715891" w:rsidRDefault="00F67554" w:rsidP="00F67554">
      <w:pPr>
        <w:rPr>
          <w:sz w:val="22"/>
          <w:szCs w:val="22"/>
          <w:lang w:val="lt-LT" w:eastAsia="ja-JP"/>
        </w:rPr>
      </w:pPr>
    </w:p>
    <w:p w14:paraId="239DC1D1" w14:textId="77777777" w:rsidR="00F67554" w:rsidRPr="00715891" w:rsidRDefault="00F67554" w:rsidP="00F67554">
      <w:pPr>
        <w:rPr>
          <w:sz w:val="22"/>
          <w:szCs w:val="22"/>
          <w:lang w:val="lt-LT" w:eastAsia="ja-JP"/>
        </w:rPr>
      </w:pPr>
      <w:r w:rsidRPr="00715891">
        <w:rPr>
          <w:sz w:val="22"/>
          <w:szCs w:val="22"/>
          <w:lang w:val="lt-LT" w:eastAsia="ja-JP"/>
        </w:rPr>
        <w:lastRenderedPageBreak/>
        <w:t>Lizdinė plokštelė: 10, 30, 60, 90, 120 plėvele dengtų tablečių.</w:t>
      </w:r>
    </w:p>
    <w:p w14:paraId="762138F4" w14:textId="77777777" w:rsidR="00F67554" w:rsidRPr="00715891" w:rsidRDefault="00F67554" w:rsidP="00F67554">
      <w:pPr>
        <w:rPr>
          <w:sz w:val="22"/>
          <w:szCs w:val="22"/>
          <w:lang w:val="lt-LT" w:eastAsia="ja-JP"/>
        </w:rPr>
      </w:pPr>
      <w:r w:rsidRPr="00715891">
        <w:rPr>
          <w:sz w:val="22"/>
          <w:szCs w:val="22"/>
          <w:lang w:val="lt-LT" w:eastAsia="ja-JP"/>
        </w:rPr>
        <w:t xml:space="preserve">Buteliukas: 60 plėvele dengtų tablečių. </w:t>
      </w:r>
    </w:p>
    <w:p w14:paraId="7392D429" w14:textId="77777777" w:rsidR="00F67554" w:rsidRPr="00715891" w:rsidRDefault="00F67554" w:rsidP="00F67554">
      <w:pPr>
        <w:rPr>
          <w:sz w:val="22"/>
          <w:szCs w:val="22"/>
          <w:lang w:val="lt-LT" w:eastAsia="ja-JP"/>
        </w:rPr>
      </w:pPr>
    </w:p>
    <w:p w14:paraId="55D92A5E" w14:textId="77777777" w:rsidR="00107519" w:rsidRPr="00715891" w:rsidRDefault="00107519" w:rsidP="00107519">
      <w:pPr>
        <w:rPr>
          <w:sz w:val="22"/>
          <w:szCs w:val="22"/>
          <w:lang w:val="lt-LT" w:eastAsia="ja-JP"/>
        </w:rPr>
      </w:pPr>
      <w:r w:rsidRPr="00715891">
        <w:rPr>
          <w:sz w:val="22"/>
          <w:szCs w:val="22"/>
          <w:lang w:val="lt-LT" w:eastAsia="ja-JP"/>
        </w:rPr>
        <w:t>Gali būti tiekiamos ne visų dydžių pakuotės.</w:t>
      </w:r>
    </w:p>
    <w:p w14:paraId="073B34FD" w14:textId="77777777" w:rsidR="00107519" w:rsidRPr="00715891" w:rsidRDefault="00107519" w:rsidP="00107519">
      <w:pPr>
        <w:rPr>
          <w:sz w:val="22"/>
          <w:szCs w:val="22"/>
          <w:lang w:val="lt-LT" w:eastAsia="ja-JP"/>
        </w:rPr>
      </w:pPr>
    </w:p>
    <w:p w14:paraId="056C836A" w14:textId="2F3A53BE" w:rsidR="00107519" w:rsidRPr="00715891" w:rsidRDefault="00107519" w:rsidP="00107519">
      <w:pPr>
        <w:rPr>
          <w:sz w:val="22"/>
          <w:szCs w:val="22"/>
          <w:lang w:val="lt-LT" w:eastAsia="ja-JP"/>
        </w:rPr>
      </w:pPr>
      <w:r w:rsidRPr="00715891">
        <w:rPr>
          <w:b/>
          <w:sz w:val="22"/>
          <w:szCs w:val="22"/>
          <w:lang w:val="lt-LT" w:eastAsia="ja-JP"/>
        </w:rPr>
        <w:t>R</w:t>
      </w:r>
      <w:r w:rsidR="00F67554" w:rsidRPr="00715891">
        <w:rPr>
          <w:b/>
          <w:sz w:val="22"/>
          <w:szCs w:val="22"/>
          <w:lang w:val="lt-LT" w:eastAsia="ja-JP"/>
        </w:rPr>
        <w:t>egistruotojas</w:t>
      </w:r>
      <w:r w:rsidRPr="00715891">
        <w:rPr>
          <w:sz w:val="22"/>
          <w:szCs w:val="22"/>
          <w:lang w:val="lt-LT" w:eastAsia="ja-JP"/>
        </w:rPr>
        <w:t xml:space="preserve"> </w:t>
      </w:r>
      <w:r w:rsidRPr="00715891">
        <w:rPr>
          <w:b/>
          <w:sz w:val="22"/>
          <w:szCs w:val="22"/>
          <w:lang w:val="lt-LT" w:eastAsia="ja-JP"/>
        </w:rPr>
        <w:t>ir gamintojas</w:t>
      </w:r>
    </w:p>
    <w:p w14:paraId="2EFA2125" w14:textId="77777777" w:rsidR="00107519" w:rsidRPr="00715891" w:rsidRDefault="00107519" w:rsidP="00107519">
      <w:pPr>
        <w:tabs>
          <w:tab w:val="left" w:pos="1260"/>
        </w:tabs>
        <w:rPr>
          <w:sz w:val="22"/>
          <w:szCs w:val="22"/>
          <w:lang w:val="lt-LT"/>
        </w:rPr>
      </w:pPr>
    </w:p>
    <w:p w14:paraId="4CD665A7" w14:textId="3C0022EC" w:rsidR="00107519" w:rsidRPr="00715891" w:rsidRDefault="00107519" w:rsidP="00107519">
      <w:pPr>
        <w:tabs>
          <w:tab w:val="left" w:pos="567"/>
        </w:tabs>
        <w:rPr>
          <w:i/>
          <w:sz w:val="22"/>
          <w:szCs w:val="22"/>
          <w:lang w:val="lt-LT"/>
        </w:rPr>
      </w:pPr>
      <w:r w:rsidRPr="00715891">
        <w:rPr>
          <w:i/>
          <w:sz w:val="22"/>
          <w:szCs w:val="22"/>
          <w:lang w:val="lt-LT"/>
        </w:rPr>
        <w:t>R</w:t>
      </w:r>
      <w:r w:rsidR="00F67554" w:rsidRPr="00715891">
        <w:rPr>
          <w:i/>
          <w:sz w:val="22"/>
          <w:szCs w:val="22"/>
          <w:lang w:val="lt-LT"/>
        </w:rPr>
        <w:t>egistruotojas</w:t>
      </w:r>
    </w:p>
    <w:p w14:paraId="58069002" w14:textId="77777777" w:rsidR="00107519" w:rsidRPr="00715891" w:rsidRDefault="00107519" w:rsidP="00107519">
      <w:pPr>
        <w:tabs>
          <w:tab w:val="left" w:pos="567"/>
        </w:tabs>
        <w:rPr>
          <w:sz w:val="22"/>
          <w:szCs w:val="22"/>
          <w:lang w:val="lt-LT"/>
        </w:rPr>
      </w:pPr>
      <w:r w:rsidRPr="00715891">
        <w:rPr>
          <w:sz w:val="22"/>
          <w:szCs w:val="22"/>
          <w:lang w:val="lt-LT"/>
        </w:rPr>
        <w:t>Sandoz d.d.</w:t>
      </w:r>
    </w:p>
    <w:p w14:paraId="0ECF7C7D" w14:textId="77777777" w:rsidR="00107519" w:rsidRPr="00715891" w:rsidRDefault="00107519" w:rsidP="00107519">
      <w:pPr>
        <w:tabs>
          <w:tab w:val="left" w:pos="567"/>
        </w:tabs>
        <w:rPr>
          <w:sz w:val="22"/>
          <w:szCs w:val="22"/>
          <w:lang w:val="lt-LT"/>
        </w:rPr>
      </w:pPr>
      <w:r w:rsidRPr="00715891">
        <w:rPr>
          <w:sz w:val="22"/>
          <w:szCs w:val="22"/>
          <w:lang w:val="lt-LT"/>
        </w:rPr>
        <w:t>Verovškova 57</w:t>
      </w:r>
    </w:p>
    <w:p w14:paraId="48E78021" w14:textId="77777777" w:rsidR="00107519" w:rsidRPr="00715891" w:rsidRDefault="00107519" w:rsidP="00107519">
      <w:pPr>
        <w:tabs>
          <w:tab w:val="left" w:pos="567"/>
        </w:tabs>
        <w:rPr>
          <w:sz w:val="22"/>
          <w:szCs w:val="22"/>
          <w:lang w:val="lt-LT"/>
        </w:rPr>
      </w:pPr>
      <w:r w:rsidRPr="00715891">
        <w:rPr>
          <w:sz w:val="22"/>
          <w:szCs w:val="22"/>
          <w:lang w:val="lt-LT"/>
        </w:rPr>
        <w:t>SI-1000 Ljubljana</w:t>
      </w:r>
    </w:p>
    <w:p w14:paraId="742B5F15" w14:textId="77777777" w:rsidR="00107519" w:rsidRPr="00715891" w:rsidRDefault="00107519" w:rsidP="00107519">
      <w:pPr>
        <w:tabs>
          <w:tab w:val="left" w:pos="567"/>
        </w:tabs>
        <w:rPr>
          <w:sz w:val="22"/>
          <w:szCs w:val="22"/>
          <w:lang w:val="lt-LT"/>
        </w:rPr>
      </w:pPr>
      <w:r w:rsidRPr="00715891">
        <w:rPr>
          <w:sz w:val="22"/>
          <w:szCs w:val="22"/>
          <w:lang w:val="lt-LT"/>
        </w:rPr>
        <w:t>Slovėnija</w:t>
      </w:r>
      <w:r w:rsidRPr="00715891" w:rsidDel="00F22949">
        <w:rPr>
          <w:sz w:val="22"/>
          <w:szCs w:val="22"/>
          <w:lang w:val="lt-LT"/>
        </w:rPr>
        <w:t xml:space="preserve"> </w:t>
      </w:r>
    </w:p>
    <w:p w14:paraId="3EEB9473" w14:textId="77777777" w:rsidR="00107519" w:rsidRPr="00715891" w:rsidRDefault="00107519" w:rsidP="00107519">
      <w:pPr>
        <w:tabs>
          <w:tab w:val="left" w:pos="1260"/>
        </w:tabs>
        <w:rPr>
          <w:sz w:val="22"/>
          <w:szCs w:val="22"/>
          <w:lang w:val="lt-LT"/>
        </w:rPr>
      </w:pPr>
    </w:p>
    <w:p w14:paraId="6EAAE84D" w14:textId="2B21F7D0" w:rsidR="00107519" w:rsidRPr="00715891" w:rsidRDefault="00107519" w:rsidP="00107519">
      <w:pPr>
        <w:tabs>
          <w:tab w:val="left" w:pos="1260"/>
        </w:tabs>
        <w:rPr>
          <w:i/>
          <w:sz w:val="22"/>
          <w:szCs w:val="22"/>
          <w:lang w:val="lt-LT"/>
        </w:rPr>
      </w:pPr>
      <w:r w:rsidRPr="00715891">
        <w:rPr>
          <w:i/>
          <w:sz w:val="22"/>
          <w:szCs w:val="22"/>
          <w:lang w:val="lt-LT"/>
        </w:rPr>
        <w:t>Gamintoja</w:t>
      </w:r>
      <w:r w:rsidR="00EE28D8" w:rsidRPr="00715891">
        <w:rPr>
          <w:i/>
          <w:sz w:val="22"/>
          <w:szCs w:val="22"/>
          <w:lang w:val="lt-LT"/>
        </w:rPr>
        <w:t>s</w:t>
      </w:r>
    </w:p>
    <w:p w14:paraId="2D9EBAB9" w14:textId="77777777" w:rsidR="00107519" w:rsidRPr="00715891" w:rsidRDefault="00107519" w:rsidP="00107519">
      <w:pPr>
        <w:tabs>
          <w:tab w:val="left" w:pos="1260"/>
        </w:tabs>
        <w:rPr>
          <w:sz w:val="22"/>
          <w:szCs w:val="22"/>
          <w:lang w:val="lt-LT"/>
        </w:rPr>
      </w:pPr>
      <w:r w:rsidRPr="00715891">
        <w:rPr>
          <w:sz w:val="22"/>
          <w:szCs w:val="22"/>
          <w:lang w:val="lt-LT"/>
        </w:rPr>
        <w:t>LEK S.A.</w:t>
      </w:r>
    </w:p>
    <w:p w14:paraId="3D6E22A6" w14:textId="77777777" w:rsidR="00107519" w:rsidRPr="00715891" w:rsidRDefault="00107519" w:rsidP="00107519">
      <w:pPr>
        <w:tabs>
          <w:tab w:val="left" w:pos="1260"/>
        </w:tabs>
        <w:rPr>
          <w:sz w:val="22"/>
          <w:szCs w:val="22"/>
          <w:lang w:val="lt-LT"/>
        </w:rPr>
      </w:pPr>
      <w:r w:rsidRPr="00715891">
        <w:rPr>
          <w:sz w:val="22"/>
          <w:szCs w:val="22"/>
          <w:lang w:val="lt-LT"/>
        </w:rPr>
        <w:t>ul. Domaniewska 50 C</w:t>
      </w:r>
    </w:p>
    <w:p w14:paraId="4534132B" w14:textId="77777777" w:rsidR="00107519" w:rsidRPr="00715891" w:rsidRDefault="00107519" w:rsidP="00107519">
      <w:pPr>
        <w:tabs>
          <w:tab w:val="left" w:pos="1260"/>
        </w:tabs>
        <w:rPr>
          <w:sz w:val="22"/>
          <w:szCs w:val="22"/>
          <w:lang w:val="lt-LT"/>
        </w:rPr>
      </w:pPr>
      <w:r w:rsidRPr="00715891">
        <w:rPr>
          <w:sz w:val="22"/>
          <w:szCs w:val="22"/>
          <w:lang w:val="lt-LT"/>
        </w:rPr>
        <w:t>02-672 Warszawa</w:t>
      </w:r>
    </w:p>
    <w:p w14:paraId="79D042CB" w14:textId="77777777" w:rsidR="00107519" w:rsidRPr="00715891" w:rsidRDefault="00107519" w:rsidP="00107519">
      <w:pPr>
        <w:tabs>
          <w:tab w:val="left" w:pos="1260"/>
        </w:tabs>
        <w:rPr>
          <w:sz w:val="22"/>
          <w:szCs w:val="22"/>
          <w:lang w:val="lt-LT"/>
        </w:rPr>
      </w:pPr>
      <w:r w:rsidRPr="00715891">
        <w:rPr>
          <w:sz w:val="22"/>
          <w:szCs w:val="22"/>
          <w:lang w:val="lt-LT"/>
        </w:rPr>
        <w:t>Lenkija</w:t>
      </w:r>
    </w:p>
    <w:p w14:paraId="459F4E59" w14:textId="77777777" w:rsidR="00107519" w:rsidRPr="00715891" w:rsidRDefault="00107519" w:rsidP="00107519">
      <w:pPr>
        <w:tabs>
          <w:tab w:val="left" w:pos="567"/>
        </w:tabs>
        <w:rPr>
          <w:sz w:val="22"/>
          <w:szCs w:val="22"/>
          <w:lang w:val="lt-LT" w:eastAsia="lt-LT"/>
        </w:rPr>
      </w:pPr>
    </w:p>
    <w:p w14:paraId="0B8D75B1" w14:textId="77777777" w:rsidR="00107519" w:rsidRPr="00715891" w:rsidRDefault="00107519" w:rsidP="00107519">
      <w:pPr>
        <w:tabs>
          <w:tab w:val="left" w:pos="567"/>
        </w:tabs>
        <w:rPr>
          <w:sz w:val="22"/>
          <w:szCs w:val="22"/>
          <w:lang w:val="lt-LT" w:eastAsia="lt-LT"/>
        </w:rPr>
      </w:pPr>
      <w:r w:rsidRPr="00715891">
        <w:rPr>
          <w:sz w:val="22"/>
          <w:szCs w:val="22"/>
          <w:lang w:val="lt-LT" w:eastAsia="lt-LT"/>
        </w:rPr>
        <w:t>arba</w:t>
      </w:r>
    </w:p>
    <w:p w14:paraId="4CE8B41C" w14:textId="77777777" w:rsidR="00107519" w:rsidRPr="00715891" w:rsidRDefault="00107519" w:rsidP="00107519">
      <w:pPr>
        <w:tabs>
          <w:tab w:val="left" w:pos="567"/>
        </w:tabs>
        <w:rPr>
          <w:sz w:val="22"/>
          <w:szCs w:val="22"/>
          <w:lang w:val="lt-LT" w:eastAsia="lt-LT"/>
        </w:rPr>
      </w:pPr>
    </w:p>
    <w:p w14:paraId="1652617A" w14:textId="77777777" w:rsidR="00107519" w:rsidRPr="00715891" w:rsidRDefault="00107519" w:rsidP="00107519">
      <w:pPr>
        <w:tabs>
          <w:tab w:val="left" w:pos="1260"/>
        </w:tabs>
        <w:rPr>
          <w:sz w:val="22"/>
          <w:szCs w:val="22"/>
          <w:lang w:val="lt-LT"/>
        </w:rPr>
      </w:pPr>
      <w:r w:rsidRPr="00715891">
        <w:rPr>
          <w:sz w:val="22"/>
          <w:szCs w:val="22"/>
          <w:lang w:val="lt-LT"/>
        </w:rPr>
        <w:t>Salutas Pharma GmbH</w:t>
      </w:r>
    </w:p>
    <w:p w14:paraId="71724DD9" w14:textId="77777777" w:rsidR="00107519" w:rsidRPr="00715891" w:rsidRDefault="00107519" w:rsidP="00107519">
      <w:pPr>
        <w:tabs>
          <w:tab w:val="left" w:pos="1260"/>
        </w:tabs>
        <w:rPr>
          <w:sz w:val="22"/>
          <w:szCs w:val="22"/>
          <w:lang w:val="lt-LT"/>
        </w:rPr>
      </w:pPr>
      <w:r w:rsidRPr="00715891">
        <w:rPr>
          <w:sz w:val="22"/>
          <w:szCs w:val="22"/>
          <w:lang w:val="lt-LT"/>
        </w:rPr>
        <w:t>Otto-von-Guericke-Allee 1</w:t>
      </w:r>
    </w:p>
    <w:p w14:paraId="49217771" w14:textId="77777777" w:rsidR="00107519" w:rsidRPr="00715891" w:rsidRDefault="00107519" w:rsidP="00107519">
      <w:pPr>
        <w:tabs>
          <w:tab w:val="left" w:pos="1260"/>
        </w:tabs>
        <w:rPr>
          <w:sz w:val="22"/>
          <w:szCs w:val="22"/>
          <w:lang w:val="lt-LT"/>
        </w:rPr>
      </w:pPr>
      <w:r w:rsidRPr="00715891">
        <w:rPr>
          <w:sz w:val="22"/>
          <w:szCs w:val="22"/>
          <w:lang w:val="lt-LT"/>
        </w:rPr>
        <w:t>39179 Barleben</w:t>
      </w:r>
    </w:p>
    <w:p w14:paraId="23EFFC66" w14:textId="77777777" w:rsidR="00107519" w:rsidRPr="00715891" w:rsidRDefault="00107519" w:rsidP="00107519">
      <w:pPr>
        <w:tabs>
          <w:tab w:val="left" w:pos="1260"/>
        </w:tabs>
        <w:rPr>
          <w:sz w:val="22"/>
          <w:szCs w:val="22"/>
          <w:lang w:val="lt-LT"/>
        </w:rPr>
      </w:pPr>
      <w:r w:rsidRPr="00715891">
        <w:rPr>
          <w:sz w:val="22"/>
          <w:szCs w:val="22"/>
          <w:lang w:val="lt-LT"/>
        </w:rPr>
        <w:t>Vokietija</w:t>
      </w:r>
    </w:p>
    <w:p w14:paraId="48B2A06F" w14:textId="77777777" w:rsidR="00107519" w:rsidRPr="00715891" w:rsidRDefault="00107519" w:rsidP="00107519">
      <w:pPr>
        <w:rPr>
          <w:sz w:val="22"/>
          <w:szCs w:val="22"/>
          <w:lang w:val="lt-LT" w:eastAsia="de-DE"/>
        </w:rPr>
      </w:pPr>
    </w:p>
    <w:p w14:paraId="07C191D4" w14:textId="77777777" w:rsidR="00107519" w:rsidRPr="00715891" w:rsidRDefault="00107519" w:rsidP="00107519">
      <w:pPr>
        <w:rPr>
          <w:sz w:val="22"/>
          <w:szCs w:val="22"/>
          <w:lang w:val="lt-LT" w:eastAsia="de-DE"/>
        </w:rPr>
      </w:pPr>
      <w:r w:rsidRPr="00715891">
        <w:rPr>
          <w:sz w:val="22"/>
          <w:szCs w:val="22"/>
          <w:lang w:val="lt-LT" w:eastAsia="de-DE"/>
        </w:rPr>
        <w:t>arba</w:t>
      </w:r>
    </w:p>
    <w:p w14:paraId="28041AC7" w14:textId="77777777" w:rsidR="00107519" w:rsidRPr="00715891" w:rsidRDefault="00107519" w:rsidP="00107519">
      <w:pPr>
        <w:rPr>
          <w:sz w:val="22"/>
          <w:szCs w:val="22"/>
          <w:lang w:val="lt-LT" w:eastAsia="de-DE"/>
        </w:rPr>
      </w:pPr>
    </w:p>
    <w:p w14:paraId="408416F0" w14:textId="77777777" w:rsidR="00107519" w:rsidRPr="00715891" w:rsidRDefault="00107519" w:rsidP="00107519">
      <w:pPr>
        <w:tabs>
          <w:tab w:val="left" w:pos="1260"/>
        </w:tabs>
        <w:rPr>
          <w:bCs/>
          <w:sz w:val="22"/>
          <w:szCs w:val="22"/>
          <w:lang w:val="lt-LT"/>
        </w:rPr>
      </w:pPr>
      <w:r w:rsidRPr="00715891">
        <w:rPr>
          <w:bCs/>
          <w:sz w:val="22"/>
          <w:szCs w:val="22"/>
          <w:lang w:val="lt-LT"/>
        </w:rPr>
        <w:t>Lek Pharmaceuticals d.d.</w:t>
      </w:r>
    </w:p>
    <w:p w14:paraId="2670DC71" w14:textId="77777777" w:rsidR="00107519" w:rsidRPr="00715891" w:rsidRDefault="00107519" w:rsidP="00107519">
      <w:pPr>
        <w:tabs>
          <w:tab w:val="left" w:pos="1260"/>
        </w:tabs>
        <w:rPr>
          <w:bCs/>
          <w:sz w:val="22"/>
          <w:szCs w:val="22"/>
          <w:lang w:val="lt-LT"/>
        </w:rPr>
      </w:pPr>
      <w:r w:rsidRPr="00715891">
        <w:rPr>
          <w:bCs/>
          <w:sz w:val="22"/>
          <w:szCs w:val="22"/>
          <w:lang w:val="lt-LT"/>
        </w:rPr>
        <w:t>Verovškova 57</w:t>
      </w:r>
    </w:p>
    <w:p w14:paraId="52C59A11" w14:textId="77777777" w:rsidR="00107519" w:rsidRPr="00715891" w:rsidRDefault="00107519" w:rsidP="00107519">
      <w:pPr>
        <w:tabs>
          <w:tab w:val="left" w:pos="1260"/>
        </w:tabs>
        <w:rPr>
          <w:bCs/>
          <w:sz w:val="22"/>
          <w:szCs w:val="22"/>
          <w:lang w:val="lt-LT"/>
        </w:rPr>
      </w:pPr>
      <w:r w:rsidRPr="00715891">
        <w:rPr>
          <w:bCs/>
          <w:sz w:val="22"/>
          <w:szCs w:val="22"/>
          <w:lang w:val="lt-LT"/>
        </w:rPr>
        <w:t>1526 Ljubljana</w:t>
      </w:r>
    </w:p>
    <w:p w14:paraId="01B44ECE" w14:textId="77777777" w:rsidR="00107519" w:rsidRPr="00715891" w:rsidRDefault="00107519" w:rsidP="00107519">
      <w:pPr>
        <w:tabs>
          <w:tab w:val="left" w:pos="1260"/>
        </w:tabs>
        <w:rPr>
          <w:bCs/>
          <w:sz w:val="22"/>
          <w:szCs w:val="22"/>
          <w:lang w:val="lt-LT"/>
        </w:rPr>
      </w:pPr>
      <w:r w:rsidRPr="00715891">
        <w:rPr>
          <w:bCs/>
          <w:sz w:val="22"/>
          <w:szCs w:val="22"/>
          <w:lang w:val="lt-LT"/>
        </w:rPr>
        <w:t>Slovėnija</w:t>
      </w:r>
    </w:p>
    <w:p w14:paraId="7D3FD307" w14:textId="77777777" w:rsidR="00107519" w:rsidRPr="00715891" w:rsidRDefault="00107519" w:rsidP="00107519">
      <w:pPr>
        <w:tabs>
          <w:tab w:val="left" w:pos="567"/>
        </w:tabs>
        <w:rPr>
          <w:sz w:val="22"/>
          <w:szCs w:val="22"/>
          <w:lang w:val="lt-LT"/>
        </w:rPr>
      </w:pPr>
    </w:p>
    <w:p w14:paraId="148FBB78" w14:textId="512CAFFE" w:rsidR="00107519" w:rsidRPr="00715891" w:rsidRDefault="00107519" w:rsidP="00107519">
      <w:pPr>
        <w:rPr>
          <w:sz w:val="22"/>
          <w:szCs w:val="22"/>
          <w:lang w:val="lt-LT"/>
        </w:rPr>
      </w:pPr>
      <w:r w:rsidRPr="00715891">
        <w:rPr>
          <w:sz w:val="22"/>
          <w:szCs w:val="22"/>
          <w:lang w:val="lt-LT"/>
        </w:rPr>
        <w:t xml:space="preserve">Jeigu apie šį vaistą norite sužinoti daugiau, kreipkitės į vietinį </w:t>
      </w:r>
      <w:r w:rsidR="00F67554" w:rsidRPr="00715891">
        <w:rPr>
          <w:sz w:val="22"/>
          <w:szCs w:val="22"/>
          <w:lang w:val="lt-LT"/>
        </w:rPr>
        <w:t>registruotojo</w:t>
      </w:r>
      <w:r w:rsidRPr="00715891">
        <w:rPr>
          <w:sz w:val="22"/>
          <w:szCs w:val="22"/>
          <w:lang w:val="lt-LT"/>
        </w:rPr>
        <w:t xml:space="preserve"> atstovą</w:t>
      </w:r>
      <w:r w:rsidR="00181DD6" w:rsidRPr="00715891">
        <w:rPr>
          <w:sz w:val="22"/>
          <w:szCs w:val="22"/>
          <w:lang w:val="lt-LT"/>
        </w:rPr>
        <w:t>:</w:t>
      </w:r>
    </w:p>
    <w:p w14:paraId="6917A1D0" w14:textId="77777777" w:rsidR="00107519" w:rsidRPr="00715891" w:rsidRDefault="00107519" w:rsidP="00107519">
      <w:pPr>
        <w:rPr>
          <w:sz w:val="22"/>
          <w:szCs w:val="22"/>
          <w:lang w:val="lt-LT"/>
        </w:rPr>
      </w:pPr>
    </w:p>
    <w:tbl>
      <w:tblPr>
        <w:tblW w:w="4678"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78"/>
      </w:tblGrid>
      <w:tr w:rsidR="00107519" w:rsidRPr="004C2447" w14:paraId="57AB3FA3" w14:textId="77777777" w:rsidTr="00EF476A">
        <w:tc>
          <w:tcPr>
            <w:tcW w:w="4678" w:type="dxa"/>
          </w:tcPr>
          <w:p w14:paraId="4AA7A3BF" w14:textId="77777777" w:rsidR="00107519" w:rsidRPr="00715891" w:rsidRDefault="00107519" w:rsidP="00107519">
            <w:pPr>
              <w:rPr>
                <w:sz w:val="22"/>
                <w:szCs w:val="22"/>
                <w:lang w:val="lt-LT"/>
              </w:rPr>
            </w:pPr>
            <w:r w:rsidRPr="00715891">
              <w:rPr>
                <w:sz w:val="22"/>
                <w:szCs w:val="22"/>
                <w:lang w:val="lt-LT"/>
              </w:rPr>
              <w:t>Sandoz Pharmaceuticals d.d. filialas</w:t>
            </w:r>
          </w:p>
          <w:p w14:paraId="33DFA9D8" w14:textId="335E95E6" w:rsidR="00107519" w:rsidRPr="00715891" w:rsidRDefault="00107519" w:rsidP="00107519">
            <w:pPr>
              <w:rPr>
                <w:sz w:val="22"/>
                <w:szCs w:val="22"/>
                <w:lang w:val="lt-LT"/>
              </w:rPr>
            </w:pPr>
            <w:r w:rsidRPr="00715891">
              <w:rPr>
                <w:sz w:val="22"/>
                <w:szCs w:val="22"/>
                <w:lang w:val="lt-LT"/>
              </w:rPr>
              <w:t>Tel. +370 5 2636037</w:t>
            </w:r>
          </w:p>
          <w:p w14:paraId="56B77909" w14:textId="77DAD5BC" w:rsidR="00107519" w:rsidRPr="00715891" w:rsidRDefault="00107519" w:rsidP="00107519">
            <w:pPr>
              <w:rPr>
                <w:sz w:val="22"/>
                <w:szCs w:val="22"/>
                <w:lang w:val="lt-LT" w:eastAsia="lt-LT"/>
              </w:rPr>
            </w:pPr>
          </w:p>
        </w:tc>
      </w:tr>
    </w:tbl>
    <w:p w14:paraId="597946FB" w14:textId="1F03956A" w:rsidR="00267EBF" w:rsidRPr="00715891" w:rsidRDefault="00267EBF" w:rsidP="00107519">
      <w:pPr>
        <w:tabs>
          <w:tab w:val="left" w:pos="567"/>
        </w:tabs>
        <w:rPr>
          <w:sz w:val="22"/>
          <w:szCs w:val="22"/>
          <w:lang w:val="lt-LT"/>
        </w:rPr>
      </w:pPr>
    </w:p>
    <w:p w14:paraId="0A564BC5" w14:textId="214686C2" w:rsidR="00267EBF" w:rsidRPr="00715891" w:rsidRDefault="00267EBF" w:rsidP="00267EBF">
      <w:pPr>
        <w:rPr>
          <w:b/>
          <w:sz w:val="22"/>
          <w:szCs w:val="22"/>
          <w:lang w:val="lt-LT" w:eastAsia="ja-JP"/>
        </w:rPr>
      </w:pPr>
      <w:r w:rsidRPr="00715891">
        <w:rPr>
          <w:b/>
          <w:sz w:val="22"/>
          <w:szCs w:val="22"/>
          <w:lang w:val="lt-LT" w:eastAsia="ja-JP"/>
        </w:rPr>
        <w:t xml:space="preserve">Šis vaistas </w:t>
      </w:r>
      <w:r w:rsidR="00181DD6" w:rsidRPr="00715891">
        <w:rPr>
          <w:b/>
          <w:sz w:val="22"/>
          <w:szCs w:val="22"/>
          <w:lang w:val="lt-LT" w:eastAsia="ja-JP"/>
        </w:rPr>
        <w:t xml:space="preserve">Europos ekonominės erdvės </w:t>
      </w:r>
      <w:r w:rsidRPr="00715891">
        <w:rPr>
          <w:b/>
          <w:sz w:val="22"/>
          <w:szCs w:val="22"/>
          <w:lang w:val="lt-LT" w:eastAsia="ja-JP"/>
        </w:rPr>
        <w:t xml:space="preserve">valstybėse narėse </w:t>
      </w:r>
      <w:r w:rsidR="00181DD6" w:rsidRPr="00715891">
        <w:rPr>
          <w:b/>
          <w:sz w:val="22"/>
          <w:szCs w:val="22"/>
          <w:lang w:val="lt-LT" w:eastAsia="ja-JP"/>
        </w:rPr>
        <w:t xml:space="preserve">ir Jungtinėje Karalystėje (Šiaurės Airijoje) </w:t>
      </w:r>
      <w:r w:rsidRPr="00715891">
        <w:rPr>
          <w:b/>
          <w:sz w:val="22"/>
          <w:szCs w:val="22"/>
          <w:lang w:val="lt-LT" w:eastAsia="ja-JP"/>
        </w:rPr>
        <w:t>registruotas tokiais pavadinimais:</w:t>
      </w:r>
    </w:p>
    <w:p w14:paraId="6787CD63" w14:textId="77777777" w:rsidR="00267EBF" w:rsidRPr="00715891" w:rsidRDefault="00267EBF" w:rsidP="00107519">
      <w:pPr>
        <w:tabs>
          <w:tab w:val="left" w:pos="567"/>
        </w:tabs>
        <w:rPr>
          <w:sz w:val="22"/>
          <w:szCs w:val="22"/>
          <w:lang w:val="lt-LT"/>
        </w:rPr>
      </w:pPr>
    </w:p>
    <w:tbl>
      <w:tblPr>
        <w:tblStyle w:val="Lentelstinklelis"/>
        <w:tblW w:w="0" w:type="auto"/>
        <w:tblLook w:val="04A0" w:firstRow="1" w:lastRow="0" w:firstColumn="1" w:lastColumn="0" w:noHBand="0" w:noVBand="1"/>
      </w:tblPr>
      <w:tblGrid>
        <w:gridCol w:w="4530"/>
        <w:gridCol w:w="4530"/>
      </w:tblGrid>
      <w:tr w:rsidR="00267EBF" w:rsidRPr="00715891" w14:paraId="602B0C48" w14:textId="77777777" w:rsidTr="00EF476A">
        <w:tc>
          <w:tcPr>
            <w:tcW w:w="4530" w:type="dxa"/>
          </w:tcPr>
          <w:p w14:paraId="5B644DA8" w14:textId="29AC84E3" w:rsidR="00267EBF" w:rsidRPr="00715891" w:rsidRDefault="00267EBF" w:rsidP="00267EBF">
            <w:pPr>
              <w:tabs>
                <w:tab w:val="left" w:pos="567"/>
              </w:tabs>
              <w:rPr>
                <w:sz w:val="22"/>
                <w:szCs w:val="22"/>
                <w:lang w:val="lt-LT"/>
              </w:rPr>
            </w:pPr>
            <w:r w:rsidRPr="00715891">
              <w:rPr>
                <w:sz w:val="22"/>
                <w:szCs w:val="22"/>
                <w:lang w:val="lt-LT"/>
              </w:rPr>
              <w:t>Nyderlandai, Austrija, Belgija, Čekija, Danija, Estija, Suomija, Pranc</w:t>
            </w:r>
            <w:r w:rsidR="005E54D2">
              <w:rPr>
                <w:sz w:val="22"/>
                <w:szCs w:val="22"/>
                <w:lang w:val="lt-LT"/>
              </w:rPr>
              <w:t>ū</w:t>
            </w:r>
            <w:r w:rsidRPr="00715891">
              <w:rPr>
                <w:sz w:val="22"/>
                <w:szCs w:val="22"/>
                <w:lang w:val="lt-LT"/>
              </w:rPr>
              <w:t>zija, Italija, Latvija, Lietuva, Liuksemburgas, Norvegija, Portugalija, Rumunija, Ispanija, Švedija</w:t>
            </w:r>
          </w:p>
        </w:tc>
        <w:tc>
          <w:tcPr>
            <w:tcW w:w="4530" w:type="dxa"/>
          </w:tcPr>
          <w:p w14:paraId="32040B1C" w14:textId="6C0546C5" w:rsidR="00267EBF" w:rsidRPr="00715891" w:rsidRDefault="00267EBF" w:rsidP="00107519">
            <w:pPr>
              <w:tabs>
                <w:tab w:val="left" w:pos="567"/>
              </w:tabs>
              <w:rPr>
                <w:sz w:val="22"/>
                <w:szCs w:val="22"/>
                <w:lang w:val="lt-LT"/>
              </w:rPr>
            </w:pPr>
            <w:r w:rsidRPr="00715891">
              <w:rPr>
                <w:sz w:val="22"/>
                <w:szCs w:val="22"/>
                <w:lang w:val="lt-LT" w:eastAsia="lt-LT"/>
              </w:rPr>
              <w:t>Valganciclovir Sandoz</w:t>
            </w:r>
          </w:p>
        </w:tc>
      </w:tr>
      <w:tr w:rsidR="00267EBF" w:rsidRPr="00715891" w14:paraId="5881EE92" w14:textId="77777777" w:rsidTr="00EF476A">
        <w:tc>
          <w:tcPr>
            <w:tcW w:w="4530" w:type="dxa"/>
          </w:tcPr>
          <w:p w14:paraId="0F7A8E2A" w14:textId="70F4EED5" w:rsidR="00267EBF" w:rsidRPr="00715891" w:rsidRDefault="00267EBF" w:rsidP="00107519">
            <w:pPr>
              <w:tabs>
                <w:tab w:val="left" w:pos="567"/>
              </w:tabs>
              <w:rPr>
                <w:sz w:val="22"/>
                <w:szCs w:val="22"/>
                <w:lang w:val="lt-LT"/>
              </w:rPr>
            </w:pPr>
            <w:r w:rsidRPr="00715891">
              <w:rPr>
                <w:sz w:val="22"/>
                <w:szCs w:val="22"/>
                <w:lang w:val="lt-LT"/>
              </w:rPr>
              <w:t>Kipras</w:t>
            </w:r>
          </w:p>
        </w:tc>
        <w:tc>
          <w:tcPr>
            <w:tcW w:w="4530" w:type="dxa"/>
          </w:tcPr>
          <w:p w14:paraId="6BAC9FF8" w14:textId="5FC8C6BD" w:rsidR="00267EBF" w:rsidRPr="00715891" w:rsidRDefault="00267EBF" w:rsidP="00107519">
            <w:pPr>
              <w:tabs>
                <w:tab w:val="left" w:pos="567"/>
              </w:tabs>
              <w:rPr>
                <w:sz w:val="22"/>
                <w:szCs w:val="22"/>
                <w:lang w:val="lt-LT"/>
              </w:rPr>
            </w:pPr>
            <w:r w:rsidRPr="00715891">
              <w:rPr>
                <w:sz w:val="22"/>
                <w:szCs w:val="22"/>
                <w:lang w:val="lt-LT" w:eastAsia="lt-LT"/>
              </w:rPr>
              <w:t>Valganciclovir HCL Sandoz</w:t>
            </w:r>
          </w:p>
        </w:tc>
      </w:tr>
      <w:tr w:rsidR="00267EBF" w:rsidRPr="00715891" w14:paraId="6FCF9187" w14:textId="77777777" w:rsidTr="00EF476A">
        <w:tc>
          <w:tcPr>
            <w:tcW w:w="4530" w:type="dxa"/>
          </w:tcPr>
          <w:p w14:paraId="0BAA2C16" w14:textId="65E9CFD2" w:rsidR="00267EBF" w:rsidRPr="00715891" w:rsidRDefault="00267EBF" w:rsidP="00107519">
            <w:pPr>
              <w:tabs>
                <w:tab w:val="left" w:pos="567"/>
              </w:tabs>
              <w:rPr>
                <w:sz w:val="22"/>
                <w:szCs w:val="22"/>
                <w:lang w:val="lt-LT"/>
              </w:rPr>
            </w:pPr>
            <w:r w:rsidRPr="00715891">
              <w:rPr>
                <w:sz w:val="22"/>
                <w:szCs w:val="22"/>
                <w:lang w:val="lt-LT"/>
              </w:rPr>
              <w:t>Vokietija</w:t>
            </w:r>
          </w:p>
        </w:tc>
        <w:tc>
          <w:tcPr>
            <w:tcW w:w="4530" w:type="dxa"/>
          </w:tcPr>
          <w:p w14:paraId="1A6A01B1" w14:textId="73736BAE" w:rsidR="00267EBF" w:rsidRPr="00715891" w:rsidRDefault="00267EBF" w:rsidP="00107519">
            <w:pPr>
              <w:tabs>
                <w:tab w:val="left" w:pos="567"/>
              </w:tabs>
              <w:rPr>
                <w:sz w:val="22"/>
                <w:szCs w:val="22"/>
                <w:lang w:val="lt-LT"/>
              </w:rPr>
            </w:pPr>
            <w:r w:rsidRPr="00715891">
              <w:rPr>
                <w:sz w:val="22"/>
                <w:szCs w:val="22"/>
                <w:lang w:val="lt-LT" w:eastAsia="lt-LT"/>
              </w:rPr>
              <w:t>Valganciclovir HEXAL</w:t>
            </w:r>
          </w:p>
        </w:tc>
      </w:tr>
      <w:tr w:rsidR="00267EBF" w:rsidRPr="00715891" w14:paraId="0FA35447" w14:textId="77777777" w:rsidTr="00EF476A">
        <w:tc>
          <w:tcPr>
            <w:tcW w:w="4530" w:type="dxa"/>
          </w:tcPr>
          <w:p w14:paraId="16F7DFAA" w14:textId="394522AD" w:rsidR="00267EBF" w:rsidRPr="00715891" w:rsidRDefault="00267EBF" w:rsidP="00107519">
            <w:pPr>
              <w:tabs>
                <w:tab w:val="left" w:pos="567"/>
              </w:tabs>
              <w:rPr>
                <w:sz w:val="22"/>
                <w:szCs w:val="22"/>
                <w:lang w:val="lt-LT"/>
              </w:rPr>
            </w:pPr>
            <w:r w:rsidRPr="00715891">
              <w:rPr>
                <w:sz w:val="22"/>
                <w:szCs w:val="22"/>
                <w:lang w:val="lt-LT"/>
              </w:rPr>
              <w:t>Airija</w:t>
            </w:r>
          </w:p>
        </w:tc>
        <w:tc>
          <w:tcPr>
            <w:tcW w:w="4530" w:type="dxa"/>
          </w:tcPr>
          <w:p w14:paraId="3E4C4943" w14:textId="0AAF6789" w:rsidR="00267EBF" w:rsidRPr="00715891" w:rsidRDefault="00267EBF" w:rsidP="00107519">
            <w:pPr>
              <w:tabs>
                <w:tab w:val="left" w:pos="567"/>
              </w:tabs>
              <w:rPr>
                <w:sz w:val="22"/>
                <w:szCs w:val="22"/>
                <w:lang w:val="lt-LT" w:eastAsia="lt-LT"/>
              </w:rPr>
            </w:pPr>
            <w:r w:rsidRPr="00715891">
              <w:rPr>
                <w:sz w:val="22"/>
                <w:szCs w:val="22"/>
                <w:lang w:val="lt-LT" w:eastAsia="lt-LT"/>
              </w:rPr>
              <w:t>Valganciclovir Rowex</w:t>
            </w:r>
          </w:p>
        </w:tc>
      </w:tr>
      <w:tr w:rsidR="00267EBF" w:rsidRPr="00715891" w14:paraId="08A0657A" w14:textId="77777777" w:rsidTr="00EF476A">
        <w:tc>
          <w:tcPr>
            <w:tcW w:w="4530" w:type="dxa"/>
          </w:tcPr>
          <w:p w14:paraId="2D48C1AF" w14:textId="0300E609" w:rsidR="00267EBF" w:rsidRPr="00715891" w:rsidRDefault="00267EBF" w:rsidP="00107519">
            <w:pPr>
              <w:tabs>
                <w:tab w:val="left" w:pos="567"/>
              </w:tabs>
              <w:rPr>
                <w:sz w:val="22"/>
                <w:szCs w:val="22"/>
                <w:lang w:val="lt-LT"/>
              </w:rPr>
            </w:pPr>
            <w:r w:rsidRPr="00715891">
              <w:rPr>
                <w:sz w:val="22"/>
                <w:szCs w:val="22"/>
                <w:lang w:val="lt-LT"/>
              </w:rPr>
              <w:t>Lenkija</w:t>
            </w:r>
          </w:p>
        </w:tc>
        <w:tc>
          <w:tcPr>
            <w:tcW w:w="4530" w:type="dxa"/>
          </w:tcPr>
          <w:p w14:paraId="5B3B2FAA" w14:textId="536D49FE" w:rsidR="00267EBF" w:rsidRPr="00715891" w:rsidRDefault="00267EBF" w:rsidP="00107519">
            <w:pPr>
              <w:tabs>
                <w:tab w:val="left" w:pos="567"/>
              </w:tabs>
              <w:rPr>
                <w:sz w:val="22"/>
                <w:szCs w:val="22"/>
                <w:lang w:val="lt-LT" w:eastAsia="lt-LT"/>
              </w:rPr>
            </w:pPr>
            <w:r w:rsidRPr="00715891">
              <w:rPr>
                <w:sz w:val="22"/>
                <w:szCs w:val="22"/>
                <w:lang w:val="lt-LT" w:eastAsia="lt-LT"/>
              </w:rPr>
              <w:t>Ceglar</w:t>
            </w:r>
          </w:p>
        </w:tc>
      </w:tr>
      <w:tr w:rsidR="00267EBF" w:rsidRPr="00715891" w14:paraId="61E38E0D" w14:textId="77777777" w:rsidTr="00EF476A">
        <w:tc>
          <w:tcPr>
            <w:tcW w:w="4530" w:type="dxa"/>
          </w:tcPr>
          <w:p w14:paraId="4ECC5E4A" w14:textId="56554AE0" w:rsidR="00267EBF" w:rsidRPr="00715891" w:rsidRDefault="00267EBF" w:rsidP="00107519">
            <w:pPr>
              <w:tabs>
                <w:tab w:val="left" w:pos="567"/>
              </w:tabs>
              <w:rPr>
                <w:sz w:val="22"/>
                <w:szCs w:val="22"/>
                <w:lang w:val="lt-LT"/>
              </w:rPr>
            </w:pPr>
            <w:r w:rsidRPr="00715891">
              <w:rPr>
                <w:sz w:val="22"/>
                <w:szCs w:val="22"/>
                <w:lang w:val="lt-LT"/>
              </w:rPr>
              <w:t>Slovėnija</w:t>
            </w:r>
          </w:p>
        </w:tc>
        <w:tc>
          <w:tcPr>
            <w:tcW w:w="4530" w:type="dxa"/>
          </w:tcPr>
          <w:p w14:paraId="114A13BA" w14:textId="1A79345C" w:rsidR="00267EBF" w:rsidRPr="00715891" w:rsidRDefault="00267EBF" w:rsidP="00107519">
            <w:pPr>
              <w:tabs>
                <w:tab w:val="left" w:pos="567"/>
              </w:tabs>
              <w:rPr>
                <w:sz w:val="22"/>
                <w:szCs w:val="22"/>
                <w:lang w:val="lt-LT" w:eastAsia="lt-LT"/>
              </w:rPr>
            </w:pPr>
            <w:r w:rsidRPr="00715891">
              <w:rPr>
                <w:sz w:val="22"/>
                <w:szCs w:val="22"/>
                <w:lang w:val="lt-LT" w:eastAsia="lt-LT"/>
              </w:rPr>
              <w:t>Valganciklovir Lek</w:t>
            </w:r>
          </w:p>
        </w:tc>
      </w:tr>
      <w:tr w:rsidR="00267EBF" w:rsidRPr="00715891" w14:paraId="4D71BC50" w14:textId="77777777" w:rsidTr="00EF476A">
        <w:tc>
          <w:tcPr>
            <w:tcW w:w="4530" w:type="dxa"/>
          </w:tcPr>
          <w:p w14:paraId="7CF4EF78" w14:textId="2364C7DD" w:rsidR="00267EBF" w:rsidRPr="00715891" w:rsidRDefault="00267EBF" w:rsidP="00107519">
            <w:pPr>
              <w:tabs>
                <w:tab w:val="left" w:pos="567"/>
              </w:tabs>
              <w:rPr>
                <w:sz w:val="22"/>
                <w:szCs w:val="22"/>
                <w:lang w:val="lt-LT"/>
              </w:rPr>
            </w:pPr>
            <w:r w:rsidRPr="00715891">
              <w:rPr>
                <w:sz w:val="22"/>
                <w:szCs w:val="22"/>
                <w:lang w:val="lt-LT"/>
              </w:rPr>
              <w:t>Jun</w:t>
            </w:r>
            <w:r w:rsidR="00D56DED" w:rsidRPr="00715891">
              <w:rPr>
                <w:sz w:val="22"/>
                <w:szCs w:val="22"/>
                <w:lang w:val="lt-LT"/>
              </w:rPr>
              <w:t>g</w:t>
            </w:r>
            <w:r w:rsidRPr="00715891">
              <w:rPr>
                <w:sz w:val="22"/>
                <w:szCs w:val="22"/>
                <w:lang w:val="lt-LT"/>
              </w:rPr>
              <w:t xml:space="preserve">tinė Karalystė </w:t>
            </w:r>
            <w:r w:rsidR="00181DD6" w:rsidRPr="00715891">
              <w:rPr>
                <w:sz w:val="22"/>
                <w:szCs w:val="22"/>
                <w:lang w:val="lt-LT"/>
              </w:rPr>
              <w:t>(Šiaurės Airija)</w:t>
            </w:r>
          </w:p>
        </w:tc>
        <w:tc>
          <w:tcPr>
            <w:tcW w:w="4530" w:type="dxa"/>
          </w:tcPr>
          <w:p w14:paraId="5B93BACA" w14:textId="288A08EB" w:rsidR="00267EBF" w:rsidRPr="00715891" w:rsidRDefault="00267EBF" w:rsidP="00107519">
            <w:pPr>
              <w:tabs>
                <w:tab w:val="left" w:pos="567"/>
              </w:tabs>
              <w:rPr>
                <w:sz w:val="22"/>
                <w:szCs w:val="22"/>
                <w:lang w:val="lt-LT" w:eastAsia="lt-LT"/>
              </w:rPr>
            </w:pPr>
            <w:r w:rsidRPr="00715891">
              <w:rPr>
                <w:sz w:val="22"/>
                <w:szCs w:val="22"/>
                <w:lang w:val="lt-LT" w:eastAsia="lt-LT"/>
              </w:rPr>
              <w:t>Valganciclovir</w:t>
            </w:r>
          </w:p>
        </w:tc>
      </w:tr>
    </w:tbl>
    <w:p w14:paraId="65339924" w14:textId="77777777" w:rsidR="00107519" w:rsidRPr="00715891" w:rsidRDefault="00107519" w:rsidP="00107519">
      <w:pPr>
        <w:tabs>
          <w:tab w:val="left" w:pos="567"/>
        </w:tabs>
        <w:rPr>
          <w:sz w:val="22"/>
          <w:szCs w:val="22"/>
          <w:lang w:val="lt-LT"/>
        </w:rPr>
      </w:pPr>
    </w:p>
    <w:p w14:paraId="5DB88ACC" w14:textId="5A72CC15" w:rsidR="00107519" w:rsidRPr="00715891" w:rsidRDefault="00107519" w:rsidP="00107519">
      <w:pPr>
        <w:tabs>
          <w:tab w:val="left" w:pos="567"/>
        </w:tabs>
        <w:rPr>
          <w:sz w:val="22"/>
          <w:szCs w:val="22"/>
          <w:lang w:val="lt-LT"/>
        </w:rPr>
      </w:pPr>
      <w:r w:rsidRPr="00715891">
        <w:rPr>
          <w:b/>
          <w:sz w:val="22"/>
          <w:szCs w:val="22"/>
          <w:lang w:val="lt-LT"/>
        </w:rPr>
        <w:t xml:space="preserve">Šis pakuotės lapelis paskutinį kartą peržiūrėtas </w:t>
      </w:r>
      <w:r w:rsidR="00EE28D8" w:rsidRPr="00715891">
        <w:rPr>
          <w:b/>
          <w:sz w:val="22"/>
          <w:szCs w:val="22"/>
          <w:lang w:val="lt-LT"/>
        </w:rPr>
        <w:t>2025-03-</w:t>
      </w:r>
      <w:r w:rsidR="002B7EE8">
        <w:rPr>
          <w:b/>
          <w:sz w:val="22"/>
          <w:szCs w:val="22"/>
          <w:lang w:val="lt-LT"/>
        </w:rPr>
        <w:t>30</w:t>
      </w:r>
      <w:r w:rsidR="00EE28D8" w:rsidRPr="00715891">
        <w:rPr>
          <w:b/>
          <w:sz w:val="22"/>
          <w:szCs w:val="22"/>
          <w:lang w:val="lt-LT"/>
        </w:rPr>
        <w:t>.</w:t>
      </w:r>
    </w:p>
    <w:p w14:paraId="0BB18FE6" w14:textId="77777777" w:rsidR="00107519" w:rsidRPr="00715891" w:rsidRDefault="00107519" w:rsidP="00107519">
      <w:pPr>
        <w:tabs>
          <w:tab w:val="left" w:pos="567"/>
        </w:tabs>
        <w:rPr>
          <w:sz w:val="22"/>
          <w:szCs w:val="22"/>
          <w:lang w:val="lt-LT"/>
        </w:rPr>
      </w:pPr>
    </w:p>
    <w:p w14:paraId="3AE2FD15" w14:textId="6698263E" w:rsidR="00F47BF9" w:rsidRPr="0088035D" w:rsidRDefault="00107519" w:rsidP="005E1A8A">
      <w:pPr>
        <w:rPr>
          <w:color w:val="0000FF"/>
          <w:sz w:val="22"/>
          <w:szCs w:val="22"/>
          <w:u w:val="single"/>
          <w:lang w:val="lt-LT"/>
        </w:rPr>
      </w:pPr>
      <w:r w:rsidRPr="00715891">
        <w:rPr>
          <w:sz w:val="22"/>
          <w:szCs w:val="22"/>
          <w:lang w:val="lt-LT"/>
        </w:rPr>
        <w:t xml:space="preserve">Išsami informacija apie šį </w:t>
      </w:r>
      <w:r w:rsidRPr="00715891">
        <w:rPr>
          <w:sz w:val="22"/>
          <w:lang w:val="lt-LT"/>
        </w:rPr>
        <w:t>vaistą</w:t>
      </w:r>
      <w:r w:rsidRPr="00715891">
        <w:rPr>
          <w:sz w:val="22"/>
          <w:szCs w:val="22"/>
          <w:lang w:val="lt-LT"/>
        </w:rPr>
        <w:t xml:space="preserve"> pateikiama Valstybinės vaistų kontrolės tarnybos prie Lietuvos Respublikos sveikatos apsaugos ministerijos tinklalapyje</w:t>
      </w:r>
      <w:r w:rsidR="00181DD6" w:rsidRPr="00715891">
        <w:rPr>
          <w:sz w:val="22"/>
          <w:szCs w:val="22"/>
          <w:lang w:val="lt-LT"/>
        </w:rPr>
        <w:t xml:space="preserve"> </w:t>
      </w:r>
      <w:hyperlink r:id="rId11" w:history="1">
        <w:r w:rsidR="00181DD6" w:rsidRPr="00715891">
          <w:rPr>
            <w:rStyle w:val="Hipersaitas"/>
            <w:sz w:val="22"/>
            <w:szCs w:val="22"/>
            <w:lang w:val="lt-LT"/>
          </w:rPr>
          <w:t>https://vvkt.lrv.lt/lt/</w:t>
        </w:r>
      </w:hyperlink>
      <w:r w:rsidR="00181DD6" w:rsidRPr="00715891">
        <w:rPr>
          <w:sz w:val="22"/>
          <w:szCs w:val="22"/>
          <w:lang w:val="lt-LT"/>
        </w:rPr>
        <w:t xml:space="preserve">. </w:t>
      </w:r>
    </w:p>
    <w:sectPr w:rsidR="00F47BF9" w:rsidRPr="0088035D" w:rsidSect="003E26F1">
      <w:footerReference w:type="even" r:id="rId12"/>
      <w:footerReference w:type="default" r:id="rId13"/>
      <w:pgSz w:w="11906" w:h="16838"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CADA6" w14:textId="77777777" w:rsidR="00F30384" w:rsidRDefault="00F30384">
      <w:r>
        <w:separator/>
      </w:r>
    </w:p>
  </w:endnote>
  <w:endnote w:type="continuationSeparator" w:id="0">
    <w:p w14:paraId="14360C8A" w14:textId="77777777" w:rsidR="00F30384" w:rsidRDefault="00F30384">
      <w:r>
        <w:continuationSeparator/>
      </w:r>
    </w:p>
  </w:endnote>
  <w:endnote w:type="continuationNotice" w:id="1">
    <w:p w14:paraId="24D05184" w14:textId="77777777" w:rsidR="00F30384" w:rsidRDefault="00F303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6B83D" w14:textId="77777777" w:rsidR="00EF476A" w:rsidRDefault="00EF476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6B6CBF6" w14:textId="77777777" w:rsidR="00EF476A" w:rsidRDefault="00EF476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52587" w14:textId="6C71E17F" w:rsidR="00EF476A" w:rsidRPr="005B6B82" w:rsidRDefault="00EF476A">
    <w:pPr>
      <w:pStyle w:val="Porat"/>
      <w:framePr w:wrap="around" w:vAnchor="text" w:hAnchor="margin" w:xAlign="center" w:y="1"/>
      <w:rPr>
        <w:rStyle w:val="Puslapionumeris"/>
      </w:rPr>
    </w:pPr>
    <w:r w:rsidRPr="005B6B82">
      <w:rPr>
        <w:rStyle w:val="Puslapionumeris"/>
      </w:rPr>
      <w:fldChar w:fldCharType="begin"/>
    </w:r>
    <w:r>
      <w:rPr>
        <w:rStyle w:val="Puslapionumeris"/>
      </w:rPr>
      <w:instrText xml:space="preserve">PAGE  </w:instrText>
    </w:r>
    <w:r w:rsidRPr="005B6B82">
      <w:rPr>
        <w:rStyle w:val="Puslapionumeris"/>
      </w:rPr>
      <w:fldChar w:fldCharType="separate"/>
    </w:r>
    <w:r w:rsidR="00B727C7">
      <w:rPr>
        <w:rStyle w:val="Puslapionumeris"/>
        <w:noProof/>
      </w:rPr>
      <w:t>2</w:t>
    </w:r>
    <w:r w:rsidRPr="005B6B82">
      <w:rPr>
        <w:rStyle w:val="Puslapionumeris"/>
      </w:rPr>
      <w:fldChar w:fldCharType="end"/>
    </w:r>
  </w:p>
  <w:p w14:paraId="16FD6E6F" w14:textId="77777777" w:rsidR="00EF476A" w:rsidRDefault="00EF476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0636E" w14:textId="77777777" w:rsidR="00F30384" w:rsidRDefault="00F30384">
      <w:r>
        <w:separator/>
      </w:r>
    </w:p>
  </w:footnote>
  <w:footnote w:type="continuationSeparator" w:id="0">
    <w:p w14:paraId="387B90C4" w14:textId="77777777" w:rsidR="00F30384" w:rsidRDefault="00F30384">
      <w:r>
        <w:continuationSeparator/>
      </w:r>
    </w:p>
  </w:footnote>
  <w:footnote w:type="continuationNotice" w:id="1">
    <w:p w14:paraId="40041E9C" w14:textId="77777777" w:rsidR="00F30384" w:rsidRDefault="00F3038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AD0C45"/>
    <w:multiLevelType w:val="hybridMultilevel"/>
    <w:tmpl w:val="DAD4AED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CC184F"/>
    <w:multiLevelType w:val="hybridMultilevel"/>
    <w:tmpl w:val="9A36A6AC"/>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 w15:restartNumberingAfterBreak="0">
    <w:nsid w:val="06E24778"/>
    <w:multiLevelType w:val="hybridMultilevel"/>
    <w:tmpl w:val="01325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90823"/>
    <w:multiLevelType w:val="hybridMultilevel"/>
    <w:tmpl w:val="B23C34AA"/>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3F092C"/>
    <w:multiLevelType w:val="singleLevel"/>
    <w:tmpl w:val="1C1CC8FA"/>
    <w:lvl w:ilvl="0">
      <w:numFmt w:val="bullet"/>
      <w:lvlText w:val="-"/>
      <w:lvlJc w:val="left"/>
      <w:pPr>
        <w:tabs>
          <w:tab w:val="num" w:pos="360"/>
        </w:tabs>
        <w:ind w:left="360" w:hanging="360"/>
      </w:pPr>
      <w:rPr>
        <w:rFonts w:hint="default"/>
      </w:rPr>
    </w:lvl>
  </w:abstractNum>
  <w:abstractNum w:abstractNumId="6" w15:restartNumberingAfterBreak="0">
    <w:nsid w:val="0DBE60DD"/>
    <w:multiLevelType w:val="hybridMultilevel"/>
    <w:tmpl w:val="9B187D7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02C2641"/>
    <w:multiLevelType w:val="hybridMultilevel"/>
    <w:tmpl w:val="4CA268D2"/>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8" w15:restartNumberingAfterBreak="0">
    <w:nsid w:val="10400D36"/>
    <w:multiLevelType w:val="hybridMultilevel"/>
    <w:tmpl w:val="0820317C"/>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3C93FC7"/>
    <w:multiLevelType w:val="hybridMultilevel"/>
    <w:tmpl w:val="ED044FDC"/>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EB41D2"/>
    <w:multiLevelType w:val="multilevel"/>
    <w:tmpl w:val="C2DE753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1A184571"/>
    <w:multiLevelType w:val="hybridMultilevel"/>
    <w:tmpl w:val="AA2A90C6"/>
    <w:lvl w:ilvl="0" w:tplc="0409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35601B"/>
    <w:multiLevelType w:val="singleLevel"/>
    <w:tmpl w:val="FFFFFFFF"/>
    <w:lvl w:ilvl="0">
      <w:start w:val="1"/>
      <w:numFmt w:val="bullet"/>
      <w:lvlText w:val="-"/>
      <w:legacy w:legacy="1" w:legacySpace="0" w:legacyIndent="360"/>
      <w:lvlJc w:val="left"/>
      <w:pPr>
        <w:ind w:left="360" w:hanging="360"/>
      </w:pPr>
    </w:lvl>
  </w:abstractNum>
  <w:abstractNum w:abstractNumId="13" w15:restartNumberingAfterBreak="0">
    <w:nsid w:val="22507E4B"/>
    <w:multiLevelType w:val="hybridMultilevel"/>
    <w:tmpl w:val="C6727B5E"/>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2DF0781"/>
    <w:multiLevelType w:val="hybridMultilevel"/>
    <w:tmpl w:val="1FB4B808"/>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32328C8"/>
    <w:multiLevelType w:val="hybridMultilevel"/>
    <w:tmpl w:val="7DDAAE86"/>
    <w:lvl w:ilvl="0" w:tplc="04270019">
      <w:start w:val="1"/>
      <w:numFmt w:val="low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6" w15:restartNumberingAfterBreak="0">
    <w:nsid w:val="2677600D"/>
    <w:multiLevelType w:val="hybridMultilevel"/>
    <w:tmpl w:val="2B083F44"/>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7FA4DC5"/>
    <w:multiLevelType w:val="hybridMultilevel"/>
    <w:tmpl w:val="7C4ABDC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8E065F6"/>
    <w:multiLevelType w:val="hybridMultilevel"/>
    <w:tmpl w:val="54304336"/>
    <w:lvl w:ilvl="0" w:tplc="4472609C">
      <w:start w:val="1"/>
      <w:numFmt w:val="bullet"/>
      <w:lvlText w:val=""/>
      <w:lvlJc w:val="left"/>
      <w:pPr>
        <w:ind w:left="36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9D21628"/>
    <w:multiLevelType w:val="hybridMultilevel"/>
    <w:tmpl w:val="69541A70"/>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0" w15:restartNumberingAfterBreak="0">
    <w:nsid w:val="2C5B5E06"/>
    <w:multiLevelType w:val="hybridMultilevel"/>
    <w:tmpl w:val="9A68F5C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F7B425D"/>
    <w:multiLevelType w:val="hybridMultilevel"/>
    <w:tmpl w:val="419EC10C"/>
    <w:lvl w:ilvl="0" w:tplc="3FCAA52C">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B65D7A"/>
    <w:multiLevelType w:val="singleLevel"/>
    <w:tmpl w:val="FFFFFFFF"/>
    <w:lvl w:ilvl="0">
      <w:start w:val="1"/>
      <w:numFmt w:val="bullet"/>
      <w:lvlText w:val="-"/>
      <w:legacy w:legacy="1" w:legacySpace="0" w:legacyIndent="360"/>
      <w:lvlJc w:val="left"/>
      <w:pPr>
        <w:ind w:left="360" w:hanging="360"/>
      </w:pPr>
    </w:lvl>
  </w:abstractNum>
  <w:abstractNum w:abstractNumId="23" w15:restartNumberingAfterBreak="0">
    <w:nsid w:val="33A15244"/>
    <w:multiLevelType w:val="hybridMultilevel"/>
    <w:tmpl w:val="75105E32"/>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4472609C">
      <w:start w:val="1"/>
      <w:numFmt w:val="bullet"/>
      <w:lvlText w:val=""/>
      <w:lvlJc w:val="left"/>
      <w:pPr>
        <w:ind w:left="2160" w:hanging="360"/>
      </w:pPr>
      <w:rPr>
        <w:rFonts w:ascii="Symbol" w:hAnsi="Symbol" w:hint="default"/>
        <w:color w:val="auto"/>
        <w:sz w:val="22"/>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4B379AC"/>
    <w:multiLevelType w:val="singleLevel"/>
    <w:tmpl w:val="3F68E8FC"/>
    <w:lvl w:ilvl="0">
      <w:start w:val="2"/>
      <w:numFmt w:val="decimal"/>
      <w:lvlText w:val="%1."/>
      <w:legacy w:legacy="1" w:legacySpace="0" w:legacyIndent="360"/>
      <w:lvlJc w:val="left"/>
      <w:pPr>
        <w:ind w:left="360" w:hanging="360"/>
      </w:pPr>
      <w:rPr>
        <w:rFonts w:cs="Times New Roman"/>
        <w:b/>
      </w:rPr>
    </w:lvl>
  </w:abstractNum>
  <w:abstractNum w:abstractNumId="25" w15:restartNumberingAfterBreak="0">
    <w:nsid w:val="354F475C"/>
    <w:multiLevelType w:val="hybridMultilevel"/>
    <w:tmpl w:val="9A9605E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7D301C"/>
    <w:multiLevelType w:val="hybridMultilevel"/>
    <w:tmpl w:val="B49A2262"/>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98C645B"/>
    <w:multiLevelType w:val="hybridMultilevel"/>
    <w:tmpl w:val="940C1064"/>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6090DB6"/>
    <w:multiLevelType w:val="hybridMultilevel"/>
    <w:tmpl w:val="7EA4C6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07D22CE"/>
    <w:multiLevelType w:val="hybridMultilevel"/>
    <w:tmpl w:val="E53EF8E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15143EA"/>
    <w:multiLevelType w:val="hybridMultilevel"/>
    <w:tmpl w:val="215C3F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D444F4"/>
    <w:multiLevelType w:val="hybridMultilevel"/>
    <w:tmpl w:val="EDBCC836"/>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D277918"/>
    <w:multiLevelType w:val="hybridMultilevel"/>
    <w:tmpl w:val="A48285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571606F"/>
    <w:multiLevelType w:val="hybridMultilevel"/>
    <w:tmpl w:val="E5C0A750"/>
    <w:lvl w:ilvl="0" w:tplc="3FCAA52C">
      <w:numFmt w:val="bullet"/>
      <w:lvlText w:val="-"/>
      <w:lvlJc w:val="left"/>
      <w:pPr>
        <w:ind w:left="720" w:hanging="360"/>
      </w:pPr>
      <w:rPr>
        <w:rFonts w:ascii="Times New Roman" w:eastAsia="Times New Roman" w:hAnsi="Times New Roman" w:cs="Times New Roman" w:hint="default"/>
      </w:rPr>
    </w:lvl>
    <w:lvl w:ilvl="1" w:tplc="CE3691B2">
      <w:numFmt w:val="bullet"/>
      <w:lvlText w:val="–"/>
      <w:lvlJc w:val="left"/>
      <w:pPr>
        <w:ind w:left="1650" w:hanging="570"/>
      </w:pPr>
      <w:rPr>
        <w:rFonts w:ascii="Times New Roman" w:eastAsia="Times New Roman" w:hAnsi="Times New Roman" w:cs="Times New Roman" w:hint="default"/>
      </w:rPr>
    </w:lvl>
    <w:lvl w:ilvl="2" w:tplc="2A903FA6">
      <w:numFmt w:val="bullet"/>
      <w:lvlText w:val="•"/>
      <w:lvlJc w:val="left"/>
      <w:pPr>
        <w:ind w:left="2370" w:hanging="57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B457997"/>
    <w:multiLevelType w:val="hybridMultilevel"/>
    <w:tmpl w:val="B9C69B26"/>
    <w:lvl w:ilvl="0" w:tplc="8C3433B6">
      <w:numFmt w:val="bullet"/>
      <w:lvlText w:val=""/>
      <w:lvlJc w:val="left"/>
      <w:pPr>
        <w:ind w:left="720" w:hanging="360"/>
      </w:pPr>
      <w:rPr>
        <w:rFonts w:ascii="Symbol" w:hAnsi="Symbol" w:cs="Times New Roman" w:hint="default"/>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B586F28"/>
    <w:multiLevelType w:val="hybridMultilevel"/>
    <w:tmpl w:val="63F8853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B7B0A2C"/>
    <w:multiLevelType w:val="hybridMultilevel"/>
    <w:tmpl w:val="CF6CF872"/>
    <w:lvl w:ilvl="0" w:tplc="78060EBA">
      <w:start w:val="1"/>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940229"/>
    <w:multiLevelType w:val="singleLevel"/>
    <w:tmpl w:val="FFFFFFFF"/>
    <w:lvl w:ilvl="0">
      <w:start w:val="1"/>
      <w:numFmt w:val="bullet"/>
      <w:lvlText w:val="-"/>
      <w:legacy w:legacy="1" w:legacySpace="0" w:legacyIndent="360"/>
      <w:lvlJc w:val="left"/>
      <w:pPr>
        <w:ind w:left="360" w:hanging="360"/>
      </w:pPr>
    </w:lvl>
  </w:abstractNum>
  <w:abstractNum w:abstractNumId="38" w15:restartNumberingAfterBreak="0">
    <w:nsid w:val="6FF978F3"/>
    <w:multiLevelType w:val="hybridMultilevel"/>
    <w:tmpl w:val="8D6032C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12909AC"/>
    <w:multiLevelType w:val="hybridMultilevel"/>
    <w:tmpl w:val="65C821AE"/>
    <w:lvl w:ilvl="0" w:tplc="78060EBA">
      <w:start w:val="1"/>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9514B3"/>
    <w:multiLevelType w:val="hybridMultilevel"/>
    <w:tmpl w:val="7E62F1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C3F60AE"/>
    <w:multiLevelType w:val="hybridMultilevel"/>
    <w:tmpl w:val="95C8B196"/>
    <w:lvl w:ilvl="0" w:tplc="8C3433B6">
      <w:numFmt w:val="bullet"/>
      <w:lvlText w:val=""/>
      <w:lvlJc w:val="left"/>
      <w:pPr>
        <w:ind w:left="720" w:hanging="360"/>
      </w:pPr>
      <w:rPr>
        <w:rFonts w:ascii="Symbol" w:hAnsi="Symbol" w:cs="Times New Roman" w:hint="default"/>
        <w:sz w:val="22"/>
      </w:rPr>
    </w:lvl>
    <w:lvl w:ilvl="1" w:tplc="8C3433B6">
      <w:numFmt w:val="bullet"/>
      <w:lvlText w:val=""/>
      <w:lvlJc w:val="left"/>
      <w:pPr>
        <w:ind w:left="1440" w:hanging="360"/>
      </w:pPr>
      <w:rPr>
        <w:rFonts w:ascii="Symbol" w:hAnsi="Symbol" w:cs="Times New Roman" w:hint="default"/>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7"/>
  </w:num>
  <w:num w:numId="2">
    <w:abstractNumId w:val="12"/>
  </w:num>
  <w:num w:numId="3">
    <w:abstractNumId w:val="2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24"/>
    <w:lvlOverride w:ilvl="0">
      <w:startOverride w:val="2"/>
    </w:lvlOverride>
  </w:num>
  <w:num w:numId="7">
    <w:abstractNumId w:val="0"/>
    <w:lvlOverride w:ilvl="0">
      <w:lvl w:ilvl="0">
        <w:numFmt w:val="bullet"/>
        <w:lvlText w:val="-"/>
        <w:legacy w:legacy="1" w:legacySpace="0" w:legacyIndent="360"/>
        <w:lvlJc w:val="left"/>
        <w:pPr>
          <w:ind w:left="360" w:hanging="360"/>
        </w:pPr>
      </w:lvl>
    </w:lvlOverride>
  </w:num>
  <w:num w:numId="8">
    <w:abstractNumId w:val="39"/>
  </w:num>
  <w:num w:numId="9">
    <w:abstractNumId w:val="3"/>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32"/>
  </w:num>
  <w:num w:numId="15">
    <w:abstractNumId w:val="25"/>
  </w:num>
  <w:num w:numId="16">
    <w:abstractNumId w:val="15"/>
  </w:num>
  <w:num w:numId="17">
    <w:abstractNumId w:val="2"/>
  </w:num>
  <w:num w:numId="18">
    <w:abstractNumId w:val="29"/>
  </w:num>
  <w:num w:numId="19">
    <w:abstractNumId w:val="13"/>
  </w:num>
  <w:num w:numId="20">
    <w:abstractNumId w:val="40"/>
  </w:num>
  <w:num w:numId="21">
    <w:abstractNumId w:val="21"/>
  </w:num>
  <w:num w:numId="22">
    <w:abstractNumId w:val="33"/>
  </w:num>
  <w:num w:numId="23">
    <w:abstractNumId w:val="14"/>
  </w:num>
  <w:num w:numId="24">
    <w:abstractNumId w:val="16"/>
  </w:num>
  <w:num w:numId="25">
    <w:abstractNumId w:val="5"/>
  </w:num>
  <w:num w:numId="26">
    <w:abstractNumId w:val="34"/>
  </w:num>
  <w:num w:numId="27">
    <w:abstractNumId w:val="41"/>
  </w:num>
  <w:num w:numId="28">
    <w:abstractNumId w:val="31"/>
  </w:num>
  <w:num w:numId="29">
    <w:abstractNumId w:val="23"/>
  </w:num>
  <w:num w:numId="30">
    <w:abstractNumId w:val="4"/>
  </w:num>
  <w:num w:numId="31">
    <w:abstractNumId w:val="27"/>
  </w:num>
  <w:num w:numId="32">
    <w:abstractNumId w:val="17"/>
  </w:num>
  <w:num w:numId="33">
    <w:abstractNumId w:val="28"/>
  </w:num>
  <w:num w:numId="34">
    <w:abstractNumId w:val="38"/>
  </w:num>
  <w:num w:numId="35">
    <w:abstractNumId w:val="6"/>
  </w:num>
  <w:num w:numId="36">
    <w:abstractNumId w:val="20"/>
  </w:num>
  <w:num w:numId="37">
    <w:abstractNumId w:val="35"/>
  </w:num>
  <w:num w:numId="38">
    <w:abstractNumId w:val="1"/>
  </w:num>
  <w:num w:numId="39">
    <w:abstractNumId w:val="11"/>
  </w:num>
  <w:num w:numId="40">
    <w:abstractNumId w:val="8"/>
  </w:num>
  <w:num w:numId="41">
    <w:abstractNumId w:val="18"/>
  </w:num>
  <w:num w:numId="42">
    <w:abstractNumId w:val="26"/>
  </w:num>
  <w:num w:numId="43">
    <w:abstractNumId w:val="9"/>
  </w:num>
  <w:num w:numId="44">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fr-FR" w:vendorID="64" w:dllVersion="6" w:nlCheck="1" w:checkStyle="0"/>
  <w:activeWritingStyle w:appName="MSWord" w:lang="de-CH"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en-GB" w:vendorID="64" w:dllVersion="6" w:nlCheck="1" w:checkStyle="1"/>
  <w:activeWritingStyle w:appName="MSWord" w:lang="es-ES" w:vendorID="64" w:dllVersion="6" w:nlCheck="1" w:checkStyle="0"/>
  <w:activeWritingStyle w:appName="MSWord" w:lang="en-US" w:vendorID="64" w:dllVersion="0" w:nlCheck="1" w:checkStyle="0"/>
  <w:activeWritingStyle w:appName="MSWord" w:lang="pt-BR" w:vendorID="64" w:dllVersion="0" w:nlCheck="1" w:checkStyle="0"/>
  <w:activeWritingStyle w:appName="MSWord" w:lang="fi-FI" w:vendorID="64" w:dllVersion="0" w:nlCheck="1" w:checkStyle="0"/>
  <w:activeWritingStyle w:appName="MSWord" w:lang="de-DE" w:vendorID="64" w:dllVersion="0" w:nlCheck="1" w:checkStyle="0"/>
  <w:activeWritingStyle w:appName="MSWord" w:lang="fr-FR" w:vendorID="64" w:dllVersion="0" w:nlCheck="1" w:checkStyle="0"/>
  <w:activeWritingStyle w:appName="MSWord" w:lang="de-CH"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475"/>
    <w:rsid w:val="00007470"/>
    <w:rsid w:val="000077B9"/>
    <w:rsid w:val="00015168"/>
    <w:rsid w:val="0001692A"/>
    <w:rsid w:val="00022356"/>
    <w:rsid w:val="00033CC6"/>
    <w:rsid w:val="00045236"/>
    <w:rsid w:val="0004650B"/>
    <w:rsid w:val="000476AA"/>
    <w:rsid w:val="000616F6"/>
    <w:rsid w:val="00063E83"/>
    <w:rsid w:val="000654D2"/>
    <w:rsid w:val="000717E6"/>
    <w:rsid w:val="00075F44"/>
    <w:rsid w:val="0008171B"/>
    <w:rsid w:val="00085B5F"/>
    <w:rsid w:val="00086F44"/>
    <w:rsid w:val="000972F0"/>
    <w:rsid w:val="000B4014"/>
    <w:rsid w:val="000B56F2"/>
    <w:rsid w:val="000B6D52"/>
    <w:rsid w:val="000C2F51"/>
    <w:rsid w:val="000D6F24"/>
    <w:rsid w:val="000D770D"/>
    <w:rsid w:val="000E037D"/>
    <w:rsid w:val="000E1714"/>
    <w:rsid w:val="000E464B"/>
    <w:rsid w:val="000E573D"/>
    <w:rsid w:val="000E689D"/>
    <w:rsid w:val="000E744E"/>
    <w:rsid w:val="000F0BA2"/>
    <w:rsid w:val="000F5337"/>
    <w:rsid w:val="00107519"/>
    <w:rsid w:val="00107C39"/>
    <w:rsid w:val="00111899"/>
    <w:rsid w:val="00114438"/>
    <w:rsid w:val="0011472E"/>
    <w:rsid w:val="00122F94"/>
    <w:rsid w:val="001302FC"/>
    <w:rsid w:val="00135471"/>
    <w:rsid w:val="00143DC5"/>
    <w:rsid w:val="001453F1"/>
    <w:rsid w:val="001518C6"/>
    <w:rsid w:val="00152483"/>
    <w:rsid w:val="00156C46"/>
    <w:rsid w:val="00163473"/>
    <w:rsid w:val="00164278"/>
    <w:rsid w:val="0017543A"/>
    <w:rsid w:val="00181DD6"/>
    <w:rsid w:val="001853F0"/>
    <w:rsid w:val="00192BAB"/>
    <w:rsid w:val="0019533F"/>
    <w:rsid w:val="00197195"/>
    <w:rsid w:val="001979E6"/>
    <w:rsid w:val="001A239A"/>
    <w:rsid w:val="001A54F9"/>
    <w:rsid w:val="001A68BD"/>
    <w:rsid w:val="001B1E51"/>
    <w:rsid w:val="001B381F"/>
    <w:rsid w:val="001B5498"/>
    <w:rsid w:val="001B7CDA"/>
    <w:rsid w:val="001D753F"/>
    <w:rsid w:val="001E438C"/>
    <w:rsid w:val="001F587A"/>
    <w:rsid w:val="001F6FCA"/>
    <w:rsid w:val="001F7D9E"/>
    <w:rsid w:val="001F7DA0"/>
    <w:rsid w:val="00203F24"/>
    <w:rsid w:val="00204C1E"/>
    <w:rsid w:val="00210F2F"/>
    <w:rsid w:val="002214AD"/>
    <w:rsid w:val="00224090"/>
    <w:rsid w:val="002269B1"/>
    <w:rsid w:val="00227C1E"/>
    <w:rsid w:val="00230FFA"/>
    <w:rsid w:val="00234261"/>
    <w:rsid w:val="00235386"/>
    <w:rsid w:val="00250BDF"/>
    <w:rsid w:val="00253D90"/>
    <w:rsid w:val="00254696"/>
    <w:rsid w:val="002568F6"/>
    <w:rsid w:val="00260834"/>
    <w:rsid w:val="00262CCC"/>
    <w:rsid w:val="002675EC"/>
    <w:rsid w:val="00267EBF"/>
    <w:rsid w:val="002704B8"/>
    <w:rsid w:val="002844F9"/>
    <w:rsid w:val="002855C4"/>
    <w:rsid w:val="0028596F"/>
    <w:rsid w:val="00285A2F"/>
    <w:rsid w:val="0028713A"/>
    <w:rsid w:val="0029268D"/>
    <w:rsid w:val="002934A8"/>
    <w:rsid w:val="002954B3"/>
    <w:rsid w:val="0029588D"/>
    <w:rsid w:val="00296D20"/>
    <w:rsid w:val="00297EE0"/>
    <w:rsid w:val="002A2561"/>
    <w:rsid w:val="002B07A2"/>
    <w:rsid w:val="002B3291"/>
    <w:rsid w:val="002B3425"/>
    <w:rsid w:val="002B7EE8"/>
    <w:rsid w:val="002D334A"/>
    <w:rsid w:val="002D5B65"/>
    <w:rsid w:val="002D5F5D"/>
    <w:rsid w:val="002D6E7D"/>
    <w:rsid w:val="002E00DF"/>
    <w:rsid w:val="002E1AAD"/>
    <w:rsid w:val="002E224D"/>
    <w:rsid w:val="003064C2"/>
    <w:rsid w:val="00307131"/>
    <w:rsid w:val="0031078C"/>
    <w:rsid w:val="00314865"/>
    <w:rsid w:val="00323B04"/>
    <w:rsid w:val="003320A6"/>
    <w:rsid w:val="00332A51"/>
    <w:rsid w:val="00333278"/>
    <w:rsid w:val="00337D94"/>
    <w:rsid w:val="00340737"/>
    <w:rsid w:val="003409EF"/>
    <w:rsid w:val="0034469D"/>
    <w:rsid w:val="00346E66"/>
    <w:rsid w:val="00347732"/>
    <w:rsid w:val="00355806"/>
    <w:rsid w:val="00357129"/>
    <w:rsid w:val="00360B09"/>
    <w:rsid w:val="0037199C"/>
    <w:rsid w:val="00374F70"/>
    <w:rsid w:val="003924C4"/>
    <w:rsid w:val="0039380D"/>
    <w:rsid w:val="0039561F"/>
    <w:rsid w:val="0039730D"/>
    <w:rsid w:val="00397985"/>
    <w:rsid w:val="003B251E"/>
    <w:rsid w:val="003C60C4"/>
    <w:rsid w:val="003C6A21"/>
    <w:rsid w:val="003D13D9"/>
    <w:rsid w:val="003D696F"/>
    <w:rsid w:val="003E11C6"/>
    <w:rsid w:val="003E26F1"/>
    <w:rsid w:val="003E4847"/>
    <w:rsid w:val="003E6BF9"/>
    <w:rsid w:val="003E6EA1"/>
    <w:rsid w:val="003F29E3"/>
    <w:rsid w:val="00400619"/>
    <w:rsid w:val="00401A73"/>
    <w:rsid w:val="004033D9"/>
    <w:rsid w:val="004044B7"/>
    <w:rsid w:val="00411EF3"/>
    <w:rsid w:val="00413D86"/>
    <w:rsid w:val="00416053"/>
    <w:rsid w:val="00420FEF"/>
    <w:rsid w:val="00423D5F"/>
    <w:rsid w:val="00431824"/>
    <w:rsid w:val="00435D1C"/>
    <w:rsid w:val="0044197A"/>
    <w:rsid w:val="00443376"/>
    <w:rsid w:val="00451725"/>
    <w:rsid w:val="00453066"/>
    <w:rsid w:val="004604FD"/>
    <w:rsid w:val="00486BA6"/>
    <w:rsid w:val="00492DF5"/>
    <w:rsid w:val="004B028E"/>
    <w:rsid w:val="004B4650"/>
    <w:rsid w:val="004B4A1A"/>
    <w:rsid w:val="004C00E4"/>
    <w:rsid w:val="004C1622"/>
    <w:rsid w:val="004C1DD3"/>
    <w:rsid w:val="004C2447"/>
    <w:rsid w:val="004C3BF1"/>
    <w:rsid w:val="004D081E"/>
    <w:rsid w:val="004D275E"/>
    <w:rsid w:val="004D7724"/>
    <w:rsid w:val="004D7A29"/>
    <w:rsid w:val="004E5B42"/>
    <w:rsid w:val="004F2490"/>
    <w:rsid w:val="004F485D"/>
    <w:rsid w:val="00500B61"/>
    <w:rsid w:val="005011F3"/>
    <w:rsid w:val="005018F1"/>
    <w:rsid w:val="005034DE"/>
    <w:rsid w:val="00505E8A"/>
    <w:rsid w:val="00507B18"/>
    <w:rsid w:val="005128B3"/>
    <w:rsid w:val="005134CC"/>
    <w:rsid w:val="0052058E"/>
    <w:rsid w:val="00525324"/>
    <w:rsid w:val="00526A91"/>
    <w:rsid w:val="005304A5"/>
    <w:rsid w:val="005332B6"/>
    <w:rsid w:val="00533FE3"/>
    <w:rsid w:val="005357CC"/>
    <w:rsid w:val="0055569D"/>
    <w:rsid w:val="00571146"/>
    <w:rsid w:val="00571D29"/>
    <w:rsid w:val="005809EF"/>
    <w:rsid w:val="00582055"/>
    <w:rsid w:val="0058689D"/>
    <w:rsid w:val="0059520B"/>
    <w:rsid w:val="00597850"/>
    <w:rsid w:val="005A0087"/>
    <w:rsid w:val="005B065B"/>
    <w:rsid w:val="005B6232"/>
    <w:rsid w:val="005B6B82"/>
    <w:rsid w:val="005C1336"/>
    <w:rsid w:val="005C2679"/>
    <w:rsid w:val="005E1152"/>
    <w:rsid w:val="005E1A8A"/>
    <w:rsid w:val="005E1E35"/>
    <w:rsid w:val="005E2913"/>
    <w:rsid w:val="005E54D2"/>
    <w:rsid w:val="005E6FA4"/>
    <w:rsid w:val="00600C63"/>
    <w:rsid w:val="00601A14"/>
    <w:rsid w:val="00606EB9"/>
    <w:rsid w:val="006109F0"/>
    <w:rsid w:val="00623712"/>
    <w:rsid w:val="0062733B"/>
    <w:rsid w:val="00627570"/>
    <w:rsid w:val="00632B6A"/>
    <w:rsid w:val="006342DC"/>
    <w:rsid w:val="00635B05"/>
    <w:rsid w:val="00645DEF"/>
    <w:rsid w:val="00647D10"/>
    <w:rsid w:val="006552B0"/>
    <w:rsid w:val="00662B42"/>
    <w:rsid w:val="00664AC2"/>
    <w:rsid w:val="00675453"/>
    <w:rsid w:val="006755E1"/>
    <w:rsid w:val="00676A15"/>
    <w:rsid w:val="00681911"/>
    <w:rsid w:val="00690076"/>
    <w:rsid w:val="00690305"/>
    <w:rsid w:val="00692AD0"/>
    <w:rsid w:val="006A0086"/>
    <w:rsid w:val="006A2F17"/>
    <w:rsid w:val="006A384E"/>
    <w:rsid w:val="006A5561"/>
    <w:rsid w:val="006B42C4"/>
    <w:rsid w:val="006B4C93"/>
    <w:rsid w:val="006B4FA0"/>
    <w:rsid w:val="006B59EE"/>
    <w:rsid w:val="006B5FA5"/>
    <w:rsid w:val="006C6707"/>
    <w:rsid w:val="006D3A85"/>
    <w:rsid w:val="006E2FA3"/>
    <w:rsid w:val="006E3BB9"/>
    <w:rsid w:val="006E3D32"/>
    <w:rsid w:val="006E5A41"/>
    <w:rsid w:val="006F5E7F"/>
    <w:rsid w:val="00702140"/>
    <w:rsid w:val="00703611"/>
    <w:rsid w:val="007059D4"/>
    <w:rsid w:val="007076E7"/>
    <w:rsid w:val="007109C8"/>
    <w:rsid w:val="00715891"/>
    <w:rsid w:val="007238CC"/>
    <w:rsid w:val="00724EAD"/>
    <w:rsid w:val="00734097"/>
    <w:rsid w:val="007362E0"/>
    <w:rsid w:val="00743D85"/>
    <w:rsid w:val="007474E5"/>
    <w:rsid w:val="00753165"/>
    <w:rsid w:val="00756995"/>
    <w:rsid w:val="00756B5F"/>
    <w:rsid w:val="00757007"/>
    <w:rsid w:val="00760019"/>
    <w:rsid w:val="007601AE"/>
    <w:rsid w:val="00760535"/>
    <w:rsid w:val="007635B7"/>
    <w:rsid w:val="00774D11"/>
    <w:rsid w:val="00777C5B"/>
    <w:rsid w:val="00782EB2"/>
    <w:rsid w:val="00785CF5"/>
    <w:rsid w:val="007918AD"/>
    <w:rsid w:val="0079664B"/>
    <w:rsid w:val="007A333B"/>
    <w:rsid w:val="007A3559"/>
    <w:rsid w:val="007A4926"/>
    <w:rsid w:val="007B0931"/>
    <w:rsid w:val="007B4F55"/>
    <w:rsid w:val="007C0445"/>
    <w:rsid w:val="007C06D0"/>
    <w:rsid w:val="007C1B03"/>
    <w:rsid w:val="007D1C90"/>
    <w:rsid w:val="007D3DDB"/>
    <w:rsid w:val="007D6029"/>
    <w:rsid w:val="007D6C35"/>
    <w:rsid w:val="007F5907"/>
    <w:rsid w:val="007F5F3A"/>
    <w:rsid w:val="008059DF"/>
    <w:rsid w:val="00810F98"/>
    <w:rsid w:val="008168FA"/>
    <w:rsid w:val="00817FD0"/>
    <w:rsid w:val="0082314B"/>
    <w:rsid w:val="00833B93"/>
    <w:rsid w:val="008400CF"/>
    <w:rsid w:val="00840611"/>
    <w:rsid w:val="00845275"/>
    <w:rsid w:val="008561C4"/>
    <w:rsid w:val="00863C12"/>
    <w:rsid w:val="008675D7"/>
    <w:rsid w:val="008777CB"/>
    <w:rsid w:val="0088035D"/>
    <w:rsid w:val="008817A5"/>
    <w:rsid w:val="00887989"/>
    <w:rsid w:val="00893949"/>
    <w:rsid w:val="00896DBA"/>
    <w:rsid w:val="008B4AE4"/>
    <w:rsid w:val="008B5ADB"/>
    <w:rsid w:val="008B7648"/>
    <w:rsid w:val="008E26BE"/>
    <w:rsid w:val="008E52ED"/>
    <w:rsid w:val="008E67E9"/>
    <w:rsid w:val="008E7CCB"/>
    <w:rsid w:val="008F1DCB"/>
    <w:rsid w:val="0090012E"/>
    <w:rsid w:val="00910409"/>
    <w:rsid w:val="00921184"/>
    <w:rsid w:val="00922AF9"/>
    <w:rsid w:val="009248E4"/>
    <w:rsid w:val="00924B40"/>
    <w:rsid w:val="00930EEF"/>
    <w:rsid w:val="009401B1"/>
    <w:rsid w:val="009420E3"/>
    <w:rsid w:val="0095063E"/>
    <w:rsid w:val="00953983"/>
    <w:rsid w:val="0095699A"/>
    <w:rsid w:val="009656B4"/>
    <w:rsid w:val="009852F1"/>
    <w:rsid w:val="009861A7"/>
    <w:rsid w:val="00991501"/>
    <w:rsid w:val="0099310A"/>
    <w:rsid w:val="00997500"/>
    <w:rsid w:val="009A1EA0"/>
    <w:rsid w:val="009B6861"/>
    <w:rsid w:val="009B72CE"/>
    <w:rsid w:val="009C14C5"/>
    <w:rsid w:val="009C27A8"/>
    <w:rsid w:val="009C3A87"/>
    <w:rsid w:val="009D179C"/>
    <w:rsid w:val="009D183F"/>
    <w:rsid w:val="009D5A71"/>
    <w:rsid w:val="009E7298"/>
    <w:rsid w:val="009F01AE"/>
    <w:rsid w:val="00A02485"/>
    <w:rsid w:val="00A02C6A"/>
    <w:rsid w:val="00A076B5"/>
    <w:rsid w:val="00A209D7"/>
    <w:rsid w:val="00A37934"/>
    <w:rsid w:val="00A43335"/>
    <w:rsid w:val="00A448AF"/>
    <w:rsid w:val="00A45B56"/>
    <w:rsid w:val="00A4627F"/>
    <w:rsid w:val="00A510B7"/>
    <w:rsid w:val="00A5451E"/>
    <w:rsid w:val="00A61380"/>
    <w:rsid w:val="00A62E89"/>
    <w:rsid w:val="00A6384B"/>
    <w:rsid w:val="00A664B6"/>
    <w:rsid w:val="00A75403"/>
    <w:rsid w:val="00A75BA1"/>
    <w:rsid w:val="00A76348"/>
    <w:rsid w:val="00A81254"/>
    <w:rsid w:val="00A86CC9"/>
    <w:rsid w:val="00A871BD"/>
    <w:rsid w:val="00A926C8"/>
    <w:rsid w:val="00A96F82"/>
    <w:rsid w:val="00AB4DD6"/>
    <w:rsid w:val="00AC1AEE"/>
    <w:rsid w:val="00AC4A37"/>
    <w:rsid w:val="00AD26BF"/>
    <w:rsid w:val="00AE309F"/>
    <w:rsid w:val="00AE3ECC"/>
    <w:rsid w:val="00AE5524"/>
    <w:rsid w:val="00AF4B4E"/>
    <w:rsid w:val="00AF7DF3"/>
    <w:rsid w:val="00B0689D"/>
    <w:rsid w:val="00B10B99"/>
    <w:rsid w:val="00B13E82"/>
    <w:rsid w:val="00B1608B"/>
    <w:rsid w:val="00B163BE"/>
    <w:rsid w:val="00B251BC"/>
    <w:rsid w:val="00B316EC"/>
    <w:rsid w:val="00B319FB"/>
    <w:rsid w:val="00B32475"/>
    <w:rsid w:val="00B32498"/>
    <w:rsid w:val="00B32ADD"/>
    <w:rsid w:val="00B36059"/>
    <w:rsid w:val="00B3766F"/>
    <w:rsid w:val="00B40C1A"/>
    <w:rsid w:val="00B41D1A"/>
    <w:rsid w:val="00B56042"/>
    <w:rsid w:val="00B628D3"/>
    <w:rsid w:val="00B656F7"/>
    <w:rsid w:val="00B66259"/>
    <w:rsid w:val="00B727C7"/>
    <w:rsid w:val="00B73036"/>
    <w:rsid w:val="00B863E1"/>
    <w:rsid w:val="00B90B89"/>
    <w:rsid w:val="00B90CAB"/>
    <w:rsid w:val="00B93AA6"/>
    <w:rsid w:val="00B957C0"/>
    <w:rsid w:val="00BA25AC"/>
    <w:rsid w:val="00BA6721"/>
    <w:rsid w:val="00BB0BA9"/>
    <w:rsid w:val="00BB1D35"/>
    <w:rsid w:val="00BB2C58"/>
    <w:rsid w:val="00BB5476"/>
    <w:rsid w:val="00BB70C7"/>
    <w:rsid w:val="00BC115E"/>
    <w:rsid w:val="00BC3F01"/>
    <w:rsid w:val="00BC55AC"/>
    <w:rsid w:val="00BD0212"/>
    <w:rsid w:val="00BF00D6"/>
    <w:rsid w:val="00BF6F14"/>
    <w:rsid w:val="00C0569B"/>
    <w:rsid w:val="00C06C36"/>
    <w:rsid w:val="00C13E2A"/>
    <w:rsid w:val="00C1632A"/>
    <w:rsid w:val="00C20084"/>
    <w:rsid w:val="00C325B2"/>
    <w:rsid w:val="00C35404"/>
    <w:rsid w:val="00C438BE"/>
    <w:rsid w:val="00C447D1"/>
    <w:rsid w:val="00C53C17"/>
    <w:rsid w:val="00C552AA"/>
    <w:rsid w:val="00C57045"/>
    <w:rsid w:val="00C57D8F"/>
    <w:rsid w:val="00C626DF"/>
    <w:rsid w:val="00C72082"/>
    <w:rsid w:val="00C92C53"/>
    <w:rsid w:val="00C953D8"/>
    <w:rsid w:val="00C979E2"/>
    <w:rsid w:val="00CA3E0A"/>
    <w:rsid w:val="00CB5357"/>
    <w:rsid w:val="00CC1A08"/>
    <w:rsid w:val="00CC2CA8"/>
    <w:rsid w:val="00CC741E"/>
    <w:rsid w:val="00CC7D3C"/>
    <w:rsid w:val="00CD4BDA"/>
    <w:rsid w:val="00CD71EC"/>
    <w:rsid w:val="00CE7616"/>
    <w:rsid w:val="00CF0A91"/>
    <w:rsid w:val="00CF2568"/>
    <w:rsid w:val="00CF4E9F"/>
    <w:rsid w:val="00CF6DDF"/>
    <w:rsid w:val="00D228CA"/>
    <w:rsid w:val="00D249B6"/>
    <w:rsid w:val="00D31590"/>
    <w:rsid w:val="00D317CB"/>
    <w:rsid w:val="00D31B52"/>
    <w:rsid w:val="00D3491B"/>
    <w:rsid w:val="00D45C6A"/>
    <w:rsid w:val="00D45E1E"/>
    <w:rsid w:val="00D470CA"/>
    <w:rsid w:val="00D477BA"/>
    <w:rsid w:val="00D47954"/>
    <w:rsid w:val="00D53D0B"/>
    <w:rsid w:val="00D54262"/>
    <w:rsid w:val="00D557F4"/>
    <w:rsid w:val="00D56DED"/>
    <w:rsid w:val="00D616D8"/>
    <w:rsid w:val="00D61ACD"/>
    <w:rsid w:val="00D64826"/>
    <w:rsid w:val="00D72A96"/>
    <w:rsid w:val="00D805E2"/>
    <w:rsid w:val="00D822F4"/>
    <w:rsid w:val="00D85CEC"/>
    <w:rsid w:val="00D928D6"/>
    <w:rsid w:val="00D976AA"/>
    <w:rsid w:val="00DB2F1F"/>
    <w:rsid w:val="00DC69CF"/>
    <w:rsid w:val="00DD194F"/>
    <w:rsid w:val="00DD38DC"/>
    <w:rsid w:val="00DE105C"/>
    <w:rsid w:val="00DE1C57"/>
    <w:rsid w:val="00DE23DA"/>
    <w:rsid w:val="00DE65C9"/>
    <w:rsid w:val="00DE66FB"/>
    <w:rsid w:val="00DF6AD1"/>
    <w:rsid w:val="00E06C7F"/>
    <w:rsid w:val="00E273C0"/>
    <w:rsid w:val="00E300F1"/>
    <w:rsid w:val="00E60E4E"/>
    <w:rsid w:val="00E64A97"/>
    <w:rsid w:val="00E7178A"/>
    <w:rsid w:val="00E72F27"/>
    <w:rsid w:val="00E8528A"/>
    <w:rsid w:val="00E9210A"/>
    <w:rsid w:val="00E92CDB"/>
    <w:rsid w:val="00E97049"/>
    <w:rsid w:val="00EA23FA"/>
    <w:rsid w:val="00EB0EB5"/>
    <w:rsid w:val="00EB1DB1"/>
    <w:rsid w:val="00EB5158"/>
    <w:rsid w:val="00EC4637"/>
    <w:rsid w:val="00EC57AA"/>
    <w:rsid w:val="00EC7DA1"/>
    <w:rsid w:val="00ED2B72"/>
    <w:rsid w:val="00ED74A0"/>
    <w:rsid w:val="00EE28D8"/>
    <w:rsid w:val="00EE310D"/>
    <w:rsid w:val="00EE33CF"/>
    <w:rsid w:val="00EE3A69"/>
    <w:rsid w:val="00EE50AF"/>
    <w:rsid w:val="00EF136D"/>
    <w:rsid w:val="00EF476A"/>
    <w:rsid w:val="00EF60B9"/>
    <w:rsid w:val="00F00AC6"/>
    <w:rsid w:val="00F06D6C"/>
    <w:rsid w:val="00F1193D"/>
    <w:rsid w:val="00F22302"/>
    <w:rsid w:val="00F226CD"/>
    <w:rsid w:val="00F22AD1"/>
    <w:rsid w:val="00F2317C"/>
    <w:rsid w:val="00F2402C"/>
    <w:rsid w:val="00F26AB2"/>
    <w:rsid w:val="00F26AF8"/>
    <w:rsid w:val="00F27346"/>
    <w:rsid w:val="00F30384"/>
    <w:rsid w:val="00F31662"/>
    <w:rsid w:val="00F32558"/>
    <w:rsid w:val="00F33C0A"/>
    <w:rsid w:val="00F33DB6"/>
    <w:rsid w:val="00F4227F"/>
    <w:rsid w:val="00F47BF9"/>
    <w:rsid w:val="00F51FB8"/>
    <w:rsid w:val="00F55B94"/>
    <w:rsid w:val="00F60883"/>
    <w:rsid w:val="00F609B4"/>
    <w:rsid w:val="00F60DA7"/>
    <w:rsid w:val="00F6248A"/>
    <w:rsid w:val="00F67554"/>
    <w:rsid w:val="00F67D86"/>
    <w:rsid w:val="00F706F6"/>
    <w:rsid w:val="00F71C50"/>
    <w:rsid w:val="00F75C82"/>
    <w:rsid w:val="00F77A8D"/>
    <w:rsid w:val="00F77E93"/>
    <w:rsid w:val="00F77F60"/>
    <w:rsid w:val="00F8172D"/>
    <w:rsid w:val="00F90E25"/>
    <w:rsid w:val="00F965AB"/>
    <w:rsid w:val="00F96CF0"/>
    <w:rsid w:val="00FC22F1"/>
    <w:rsid w:val="00FD4DFD"/>
    <w:rsid w:val="00FE39D7"/>
    <w:rsid w:val="00FE4985"/>
    <w:rsid w:val="00FF0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hapeDefaults>
    <o:shapedefaults v:ext="edit" spidmax="1026"/>
    <o:shapelayout v:ext="edit">
      <o:idmap v:ext="edit" data="1"/>
    </o:shapelayout>
  </w:shapeDefaults>
  <w:decimalSymbol w:val=","/>
  <w:listSeparator w:val=";"/>
  <w14:docId w14:val="014F0E8E"/>
  <w15:chartTrackingRefBased/>
  <w15:docId w15:val="{45A3BB37-24DD-454C-9D30-47D510A7A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2CCC"/>
    <w:rPr>
      <w:sz w:val="24"/>
      <w:szCs w:val="24"/>
      <w:lang w:val="en-GB" w:eastAsia="en-US"/>
    </w:rPr>
  </w:style>
  <w:style w:type="paragraph" w:styleId="Antrat1">
    <w:name w:val="heading 1"/>
    <w:basedOn w:val="prastasis"/>
    <w:next w:val="prastasis"/>
    <w:link w:val="Antrat1Diagrama"/>
    <w:qFormat/>
    <w:rsid w:val="007D1C90"/>
    <w:pPr>
      <w:keepNext/>
      <w:spacing w:before="240" w:after="60"/>
      <w:outlineLvl w:val="0"/>
    </w:pPr>
    <w:rPr>
      <w:rFonts w:ascii="Arial" w:hAnsi="Arial" w:cs="Arial"/>
      <w:b/>
      <w:bCs/>
      <w:kern w:val="32"/>
      <w:sz w:val="32"/>
      <w:szCs w:val="32"/>
    </w:rPr>
  </w:style>
  <w:style w:type="paragraph" w:styleId="Antrat2">
    <w:name w:val="heading 2"/>
    <w:basedOn w:val="Heading1NavyHeading11"/>
    <w:next w:val="Pagrindinistekstas"/>
    <w:link w:val="Antrat2Diagrama"/>
    <w:qFormat/>
    <w:rsid w:val="00B32475"/>
    <w:pPr>
      <w:spacing w:before="180"/>
      <w:outlineLvl w:val="1"/>
    </w:pPr>
    <w:rPr>
      <w:caps w:val="0"/>
    </w:rPr>
  </w:style>
  <w:style w:type="paragraph" w:styleId="Antrat3">
    <w:name w:val="heading 3"/>
    <w:basedOn w:val="Antrat2"/>
    <w:next w:val="Pagrindinistekstas"/>
    <w:qFormat/>
    <w:rsid w:val="00B32475"/>
    <w:pPr>
      <w:outlineLvl w:val="2"/>
    </w:pPr>
  </w:style>
  <w:style w:type="paragraph" w:styleId="Antrat4">
    <w:name w:val="heading 4"/>
    <w:basedOn w:val="prastasis"/>
    <w:next w:val="prastasis"/>
    <w:link w:val="Antrat4Diagrama"/>
    <w:qFormat/>
    <w:rsid w:val="009248E4"/>
    <w:pPr>
      <w:keepNext/>
      <w:tabs>
        <w:tab w:val="left" w:pos="2835"/>
      </w:tabs>
      <w:outlineLvl w:val="3"/>
    </w:pPr>
    <w:rPr>
      <w:rFonts w:eastAsia="Calibri"/>
      <w:szCs w:val="20"/>
      <w:u w:val="single"/>
      <w:lang w:val="lt-LT" w:eastAsia="ja-JP"/>
    </w:rPr>
  </w:style>
  <w:style w:type="paragraph" w:styleId="Antrat5">
    <w:name w:val="heading 5"/>
    <w:basedOn w:val="prastasis"/>
    <w:next w:val="prastasis"/>
    <w:link w:val="Antrat5Diagrama"/>
    <w:qFormat/>
    <w:rsid w:val="009248E4"/>
    <w:pPr>
      <w:spacing w:before="240" w:after="60"/>
      <w:outlineLvl w:val="4"/>
    </w:pPr>
    <w:rPr>
      <w:rFonts w:eastAsia="Calibri"/>
      <w:b/>
      <w:bCs/>
      <w:i/>
      <w:iCs/>
      <w:sz w:val="26"/>
      <w:szCs w:val="26"/>
      <w:lang w:val="lt-LT"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NavyHeading11">
    <w:name w:val="Heading 1.Navy Heading 11"/>
    <w:basedOn w:val="prastasis"/>
    <w:next w:val="Pagrindinistekstas"/>
    <w:rsid w:val="00B32475"/>
    <w:pPr>
      <w:keepNext/>
      <w:widowControl w:val="0"/>
      <w:spacing w:before="240" w:after="60"/>
    </w:pPr>
    <w:rPr>
      <w:b/>
      <w:caps/>
      <w:kern w:val="28"/>
      <w:szCs w:val="20"/>
      <w:lang w:val="en-US"/>
    </w:rPr>
  </w:style>
  <w:style w:type="paragraph" w:styleId="Pagrindinistekstas">
    <w:name w:val="Body Text"/>
    <w:basedOn w:val="prastasis"/>
    <w:link w:val="PagrindinistekstasDiagrama"/>
    <w:rsid w:val="00B32475"/>
    <w:pPr>
      <w:widowControl w:val="0"/>
      <w:spacing w:after="240" w:line="312" w:lineRule="auto"/>
    </w:pPr>
    <w:rPr>
      <w:szCs w:val="20"/>
      <w:lang w:val="en-US"/>
    </w:rPr>
  </w:style>
  <w:style w:type="paragraph" w:styleId="Antrats">
    <w:name w:val="header"/>
    <w:basedOn w:val="prastasis"/>
    <w:link w:val="AntratsDiagrama"/>
    <w:rsid w:val="00B32475"/>
    <w:pPr>
      <w:widowControl w:val="0"/>
      <w:tabs>
        <w:tab w:val="center" w:pos="4320"/>
        <w:tab w:val="right" w:pos="8640"/>
      </w:tabs>
    </w:pPr>
    <w:rPr>
      <w:szCs w:val="20"/>
      <w:lang w:val="en-US"/>
    </w:rPr>
  </w:style>
  <w:style w:type="paragraph" w:styleId="Pagrindinistekstas3">
    <w:name w:val="Body Text 3"/>
    <w:basedOn w:val="prastasis"/>
    <w:link w:val="Pagrindinistekstas3Diagrama"/>
    <w:rsid w:val="00B32475"/>
    <w:pPr>
      <w:widowControl w:val="0"/>
    </w:pPr>
    <w:rPr>
      <w:sz w:val="22"/>
      <w:szCs w:val="20"/>
      <w:lang w:val="en-US"/>
    </w:rPr>
  </w:style>
  <w:style w:type="paragraph" w:styleId="Porat">
    <w:name w:val="footer"/>
    <w:basedOn w:val="prastasis"/>
    <w:link w:val="PoratDiagrama"/>
    <w:uiPriority w:val="99"/>
    <w:rsid w:val="00B32475"/>
    <w:pPr>
      <w:widowControl w:val="0"/>
      <w:tabs>
        <w:tab w:val="center" w:pos="4153"/>
        <w:tab w:val="right" w:pos="8306"/>
      </w:tabs>
    </w:pPr>
    <w:rPr>
      <w:szCs w:val="20"/>
      <w:lang w:val="en-US"/>
    </w:rPr>
  </w:style>
  <w:style w:type="paragraph" w:styleId="Pagrindinistekstas2">
    <w:name w:val="Body Text 2"/>
    <w:basedOn w:val="prastasis"/>
    <w:link w:val="Pagrindinistekstas2Diagrama"/>
    <w:rsid w:val="00B32475"/>
    <w:pPr>
      <w:tabs>
        <w:tab w:val="left" w:pos="567"/>
      </w:tabs>
      <w:spacing w:line="360" w:lineRule="auto"/>
      <w:jc w:val="both"/>
    </w:pPr>
    <w:rPr>
      <w:szCs w:val="20"/>
      <w:lang w:val="en-US"/>
    </w:rPr>
  </w:style>
  <w:style w:type="paragraph" w:styleId="Pagrindiniotekstotrauka">
    <w:name w:val="Body Text Indent"/>
    <w:basedOn w:val="prastasis"/>
    <w:rsid w:val="00B32475"/>
    <w:pPr>
      <w:tabs>
        <w:tab w:val="left" w:pos="567"/>
      </w:tabs>
      <w:spacing w:line="360" w:lineRule="auto"/>
      <w:ind w:left="420"/>
      <w:jc w:val="both"/>
    </w:pPr>
    <w:rPr>
      <w:szCs w:val="20"/>
      <w:lang w:val="en-US"/>
    </w:rPr>
  </w:style>
  <w:style w:type="character" w:styleId="Puslapionumeris">
    <w:name w:val="page number"/>
    <w:basedOn w:val="Numatytasispastraiposriftas"/>
    <w:rsid w:val="00B32475"/>
  </w:style>
  <w:style w:type="paragraph" w:customStyle="1" w:styleId="listssp">
    <w:name w:val="list:ssp"/>
    <w:basedOn w:val="prastasis"/>
    <w:rsid w:val="00B32475"/>
    <w:rPr>
      <w:szCs w:val="20"/>
      <w:lang w:eastAsia="en-GB"/>
    </w:rPr>
  </w:style>
  <w:style w:type="paragraph" w:styleId="prastasiniatinklio">
    <w:name w:val="Normal (Web)"/>
    <w:basedOn w:val="prastasis"/>
    <w:rsid w:val="00B32475"/>
    <w:pPr>
      <w:spacing w:before="100" w:beforeAutospacing="1" w:after="100" w:afterAutospacing="1"/>
    </w:pPr>
    <w:rPr>
      <w:lang w:val="de-DE" w:eastAsia="de-DE"/>
    </w:rPr>
  </w:style>
  <w:style w:type="paragraph" w:styleId="Pavadinimas">
    <w:name w:val="Title"/>
    <w:basedOn w:val="prastasis"/>
    <w:qFormat/>
    <w:rsid w:val="00B32475"/>
    <w:pPr>
      <w:jc w:val="center"/>
    </w:pPr>
    <w:rPr>
      <w:b/>
      <w:sz w:val="22"/>
      <w:szCs w:val="20"/>
    </w:rPr>
  </w:style>
  <w:style w:type="character" w:styleId="Hipersaitas">
    <w:name w:val="Hyperlink"/>
    <w:rsid w:val="00B32475"/>
    <w:rPr>
      <w:color w:val="0000FF"/>
      <w:u w:val="single"/>
    </w:rPr>
  </w:style>
  <w:style w:type="paragraph" w:customStyle="1" w:styleId="Normal11pt">
    <w:name w:val="Normal + 11 pt"/>
    <w:basedOn w:val="Pagrindinistekstas"/>
    <w:rsid w:val="007918AD"/>
    <w:pPr>
      <w:spacing w:after="0"/>
    </w:pPr>
    <w:rPr>
      <w:sz w:val="22"/>
      <w:szCs w:val="22"/>
      <w:lang w:eastAsia="ar-SA"/>
    </w:rPr>
  </w:style>
  <w:style w:type="paragraph" w:customStyle="1" w:styleId="BTEMEASMCA">
    <w:name w:val="BT EMEA_SMCA"/>
    <w:basedOn w:val="prastasis"/>
    <w:link w:val="BTEMEASMCAChar"/>
    <w:rsid w:val="003E26F1"/>
    <w:pPr>
      <w:widowControl w:val="0"/>
      <w:suppressAutoHyphens/>
    </w:pPr>
    <w:rPr>
      <w:rFonts w:eastAsia="Lucida Sans Unicode"/>
      <w:sz w:val="22"/>
      <w:szCs w:val="22"/>
      <w:lang w:val="en-US"/>
    </w:rPr>
  </w:style>
  <w:style w:type="paragraph" w:styleId="Debesliotekstas">
    <w:name w:val="Balloon Text"/>
    <w:basedOn w:val="prastasis"/>
    <w:link w:val="DebesliotekstasDiagrama"/>
    <w:semiHidden/>
    <w:rsid w:val="00CC741E"/>
    <w:rPr>
      <w:rFonts w:ascii="Tahoma" w:hAnsi="Tahoma" w:cs="Tahoma"/>
      <w:sz w:val="16"/>
      <w:szCs w:val="16"/>
    </w:rPr>
  </w:style>
  <w:style w:type="paragraph" w:customStyle="1" w:styleId="PI-1EMEASMCA">
    <w:name w:val="PI-1 EMEA_SMCA"/>
    <w:basedOn w:val="Antrat2"/>
    <w:autoRedefine/>
    <w:rsid w:val="007D1C90"/>
    <w:pPr>
      <w:widowControl/>
      <w:tabs>
        <w:tab w:val="left" w:pos="567"/>
      </w:tabs>
      <w:spacing w:before="0" w:after="0"/>
      <w:ind w:left="567" w:hanging="567"/>
    </w:pPr>
    <w:rPr>
      <w:kern w:val="0"/>
      <w:sz w:val="22"/>
      <w:szCs w:val="22"/>
      <w:lang w:val="lt-LT"/>
    </w:rPr>
  </w:style>
  <w:style w:type="paragraph" w:customStyle="1" w:styleId="PI-2EMEASMCA">
    <w:name w:val="PI-2 EMEA_SMCA"/>
    <w:basedOn w:val="Antrat3"/>
    <w:autoRedefine/>
    <w:rsid w:val="007D1C90"/>
    <w:pPr>
      <w:keepLines/>
      <w:widowControl/>
      <w:tabs>
        <w:tab w:val="left" w:pos="567"/>
      </w:tabs>
      <w:spacing w:before="0" w:after="0"/>
      <w:ind w:left="567" w:hanging="567"/>
    </w:pPr>
    <w:rPr>
      <w:sz w:val="22"/>
      <w:szCs w:val="22"/>
      <w:lang w:val="lt-LT"/>
    </w:rPr>
  </w:style>
  <w:style w:type="paragraph" w:customStyle="1" w:styleId="TTEMEASMCA">
    <w:name w:val="TT EMEA_SMCA"/>
    <w:basedOn w:val="Antrat1"/>
    <w:link w:val="TTEMEASMCAChar"/>
    <w:autoRedefine/>
    <w:rsid w:val="007D1C90"/>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7D1C90"/>
    <w:rPr>
      <w:b/>
      <w:caps/>
      <w:sz w:val="22"/>
      <w:szCs w:val="22"/>
      <w:lang w:val="en-US" w:eastAsia="en-US" w:bidi="ar-SA"/>
    </w:rPr>
  </w:style>
  <w:style w:type="paragraph" w:customStyle="1" w:styleId="BTAnIIEMEASMCA">
    <w:name w:val="BT(AnII) EMEA_SMCA"/>
    <w:basedOn w:val="Debesliotekstas"/>
    <w:autoRedefine/>
    <w:rsid w:val="007D1C90"/>
    <w:pPr>
      <w:tabs>
        <w:tab w:val="left" w:pos="1701"/>
      </w:tabs>
      <w:ind w:left="1701" w:hanging="567"/>
    </w:pPr>
    <w:rPr>
      <w:rFonts w:ascii="Times New Roman" w:hAnsi="Times New Roman"/>
      <w:b/>
      <w:sz w:val="22"/>
      <w:szCs w:val="22"/>
    </w:rPr>
  </w:style>
  <w:style w:type="character" w:customStyle="1" w:styleId="BTEMEASMCAChar">
    <w:name w:val="BT EMEA_SMCA Char"/>
    <w:link w:val="BTEMEASMCA"/>
    <w:rsid w:val="007D1C90"/>
    <w:rPr>
      <w:rFonts w:eastAsia="Lucida Sans Unicode"/>
      <w:sz w:val="22"/>
      <w:szCs w:val="22"/>
      <w:lang w:bidi="ar-SA"/>
    </w:rPr>
  </w:style>
  <w:style w:type="paragraph" w:customStyle="1" w:styleId="BTuEMEASMCA">
    <w:name w:val="BT(u) EMEA_SMCA"/>
    <w:basedOn w:val="BTEMEASMCA"/>
    <w:autoRedefine/>
    <w:rsid w:val="007D1C90"/>
    <w:pPr>
      <w:widowControl/>
      <w:suppressAutoHyphens w:val="0"/>
    </w:pPr>
    <w:rPr>
      <w:rFonts w:eastAsia="Times New Roman"/>
      <w:u w:val="single"/>
      <w:lang w:val="lt-LT"/>
    </w:rPr>
  </w:style>
  <w:style w:type="character" w:customStyle="1" w:styleId="Antrat4Diagrama">
    <w:name w:val="Antraštė 4 Diagrama"/>
    <w:link w:val="Antrat4"/>
    <w:rsid w:val="009248E4"/>
    <w:rPr>
      <w:rFonts w:eastAsia="Calibri"/>
      <w:sz w:val="24"/>
      <w:u w:val="single"/>
      <w:lang w:eastAsia="ja-JP"/>
    </w:rPr>
  </w:style>
  <w:style w:type="character" w:customStyle="1" w:styleId="Antrat5Diagrama">
    <w:name w:val="Antraštė 5 Diagrama"/>
    <w:link w:val="Antrat5"/>
    <w:rsid w:val="009248E4"/>
    <w:rPr>
      <w:rFonts w:eastAsia="Calibri"/>
      <w:b/>
      <w:bCs/>
      <w:i/>
      <w:iCs/>
      <w:sz w:val="26"/>
      <w:szCs w:val="26"/>
      <w:lang w:eastAsia="ja-JP"/>
    </w:rPr>
  </w:style>
  <w:style w:type="numbering" w:customStyle="1" w:styleId="NoList1">
    <w:name w:val="No List1"/>
    <w:next w:val="Sraonra"/>
    <w:uiPriority w:val="99"/>
    <w:semiHidden/>
    <w:unhideWhenUsed/>
    <w:rsid w:val="009248E4"/>
  </w:style>
  <w:style w:type="character" w:customStyle="1" w:styleId="Antrat1Diagrama">
    <w:name w:val="Antraštė 1 Diagrama"/>
    <w:link w:val="Antrat1"/>
    <w:rsid w:val="009248E4"/>
    <w:rPr>
      <w:rFonts w:ascii="Arial" w:hAnsi="Arial" w:cs="Arial"/>
      <w:b/>
      <w:bCs/>
      <w:kern w:val="32"/>
      <w:sz w:val="32"/>
      <w:szCs w:val="32"/>
      <w:lang w:val="en-GB" w:eastAsia="en-US"/>
    </w:rPr>
  </w:style>
  <w:style w:type="character" w:customStyle="1" w:styleId="Antrat2Diagrama">
    <w:name w:val="Antraštė 2 Diagrama"/>
    <w:link w:val="Antrat2"/>
    <w:rsid w:val="009248E4"/>
    <w:rPr>
      <w:b/>
      <w:kern w:val="28"/>
      <w:sz w:val="24"/>
      <w:lang w:val="en-US" w:eastAsia="en-US"/>
    </w:rPr>
  </w:style>
  <w:style w:type="numbering" w:customStyle="1" w:styleId="Sraonra1">
    <w:name w:val="Sąrašo nėra1"/>
    <w:next w:val="Sraonra"/>
    <w:uiPriority w:val="99"/>
    <w:semiHidden/>
    <w:unhideWhenUsed/>
    <w:rsid w:val="009248E4"/>
  </w:style>
  <w:style w:type="numbering" w:customStyle="1" w:styleId="Sraonra11">
    <w:name w:val="Sąrašo nėra11"/>
    <w:next w:val="Sraonra"/>
    <w:semiHidden/>
    <w:rsid w:val="009248E4"/>
  </w:style>
  <w:style w:type="character" w:customStyle="1" w:styleId="DebesliotekstasDiagrama">
    <w:name w:val="Debesėlio tekstas Diagrama"/>
    <w:link w:val="Debesliotekstas"/>
    <w:semiHidden/>
    <w:rsid w:val="009248E4"/>
    <w:rPr>
      <w:rFonts w:ascii="Tahoma" w:hAnsi="Tahoma" w:cs="Tahoma"/>
      <w:sz w:val="16"/>
      <w:szCs w:val="16"/>
      <w:lang w:val="en-GB" w:eastAsia="en-US"/>
    </w:rPr>
  </w:style>
  <w:style w:type="character" w:customStyle="1" w:styleId="Pagrindinistekstas2Diagrama">
    <w:name w:val="Pagrindinis tekstas 2 Diagrama"/>
    <w:link w:val="Pagrindinistekstas2"/>
    <w:rsid w:val="009248E4"/>
    <w:rPr>
      <w:sz w:val="24"/>
      <w:lang w:val="en-US" w:eastAsia="en-US"/>
    </w:rPr>
  </w:style>
  <w:style w:type="character" w:customStyle="1" w:styleId="PagrindinistekstasDiagrama">
    <w:name w:val="Pagrindinis tekstas Diagrama"/>
    <w:link w:val="Pagrindinistekstas"/>
    <w:rsid w:val="009248E4"/>
    <w:rPr>
      <w:sz w:val="24"/>
      <w:lang w:val="en-US" w:eastAsia="en-US"/>
    </w:rPr>
  </w:style>
  <w:style w:type="character" w:customStyle="1" w:styleId="Pagrindinistekstas3Diagrama">
    <w:name w:val="Pagrindinis tekstas 3 Diagrama"/>
    <w:link w:val="Pagrindinistekstas3"/>
    <w:rsid w:val="009248E4"/>
    <w:rPr>
      <w:sz w:val="22"/>
      <w:lang w:val="en-US" w:eastAsia="en-US"/>
    </w:rPr>
  </w:style>
  <w:style w:type="paragraph" w:styleId="Dokumentoinaostekstas">
    <w:name w:val="endnote text"/>
    <w:basedOn w:val="prastasis"/>
    <w:next w:val="prastasis"/>
    <w:link w:val="DokumentoinaostekstasDiagrama"/>
    <w:rsid w:val="009248E4"/>
    <w:rPr>
      <w:rFonts w:eastAsia="Calibri"/>
      <w:sz w:val="22"/>
      <w:szCs w:val="20"/>
      <w:lang w:val="en-US" w:eastAsia="ja-JP"/>
    </w:rPr>
  </w:style>
  <w:style w:type="character" w:customStyle="1" w:styleId="DokumentoinaostekstasDiagrama">
    <w:name w:val="Dokumento išnašos tekstas Diagrama"/>
    <w:link w:val="Dokumentoinaostekstas"/>
    <w:rsid w:val="009248E4"/>
    <w:rPr>
      <w:rFonts w:eastAsia="Calibri"/>
      <w:sz w:val="22"/>
      <w:lang w:val="en-US" w:eastAsia="ja-JP"/>
    </w:rPr>
  </w:style>
  <w:style w:type="character" w:customStyle="1" w:styleId="PoratDiagrama">
    <w:name w:val="Poraštė Diagrama"/>
    <w:link w:val="Porat"/>
    <w:uiPriority w:val="99"/>
    <w:rsid w:val="009248E4"/>
    <w:rPr>
      <w:sz w:val="24"/>
      <w:lang w:val="en-US" w:eastAsia="en-US"/>
    </w:rPr>
  </w:style>
  <w:style w:type="paragraph" w:customStyle="1" w:styleId="Text">
    <w:name w:val="Text"/>
    <w:rsid w:val="009248E4"/>
    <w:pPr>
      <w:suppressAutoHyphens/>
    </w:pPr>
    <w:rPr>
      <w:rFonts w:ascii="Arial" w:eastAsia="Calibri" w:hAnsi="Arial"/>
      <w:lang w:val="en-GB"/>
    </w:rPr>
  </w:style>
  <w:style w:type="character" w:styleId="Grietas">
    <w:name w:val="Strong"/>
    <w:qFormat/>
    <w:rsid w:val="009248E4"/>
    <w:rPr>
      <w:b/>
    </w:rPr>
  </w:style>
  <w:style w:type="character" w:customStyle="1" w:styleId="AntratsDiagrama">
    <w:name w:val="Antraštės Diagrama"/>
    <w:link w:val="Antrats"/>
    <w:rsid w:val="009248E4"/>
    <w:rPr>
      <w:sz w:val="24"/>
      <w:lang w:val="en-US" w:eastAsia="en-US"/>
    </w:rPr>
  </w:style>
  <w:style w:type="paragraph" w:customStyle="1" w:styleId="TextTi10">
    <w:name w:val="Text:Ti10"/>
    <w:basedOn w:val="prastasis"/>
    <w:link w:val="TextTi10Char"/>
    <w:rsid w:val="009248E4"/>
    <w:rPr>
      <w:rFonts w:eastAsia="Calibri"/>
      <w:sz w:val="20"/>
      <w:szCs w:val="20"/>
      <w:lang w:val="lt-LT" w:eastAsia="ja-JP"/>
    </w:rPr>
  </w:style>
  <w:style w:type="character" w:customStyle="1" w:styleId="TextTi10Char">
    <w:name w:val="Text:Ti10 Char"/>
    <w:link w:val="TextTi10"/>
    <w:locked/>
    <w:rsid w:val="009248E4"/>
    <w:rPr>
      <w:rFonts w:eastAsia="Calibri"/>
      <w:lang w:eastAsia="ja-JP"/>
    </w:rPr>
  </w:style>
  <w:style w:type="character" w:styleId="Komentaronuoroda">
    <w:name w:val="annotation reference"/>
    <w:rsid w:val="009248E4"/>
    <w:rPr>
      <w:sz w:val="16"/>
    </w:rPr>
  </w:style>
  <w:style w:type="paragraph" w:styleId="Komentarotekstas">
    <w:name w:val="annotation text"/>
    <w:basedOn w:val="prastasis"/>
    <w:link w:val="KomentarotekstasDiagrama"/>
    <w:rsid w:val="009248E4"/>
    <w:pPr>
      <w:spacing w:after="200" w:line="276" w:lineRule="auto"/>
    </w:pPr>
    <w:rPr>
      <w:rFonts w:ascii="Calibri" w:hAnsi="Calibri"/>
      <w:sz w:val="20"/>
      <w:szCs w:val="20"/>
      <w:lang w:val="en-US"/>
    </w:rPr>
  </w:style>
  <w:style w:type="character" w:customStyle="1" w:styleId="KomentarotekstasDiagrama">
    <w:name w:val="Komentaro tekstas Diagrama"/>
    <w:link w:val="Komentarotekstas"/>
    <w:rsid w:val="009248E4"/>
    <w:rPr>
      <w:rFonts w:ascii="Calibri" w:hAnsi="Calibri"/>
      <w:lang w:val="en-US" w:eastAsia="en-US"/>
    </w:rPr>
  </w:style>
  <w:style w:type="paragraph" w:styleId="Komentarotema">
    <w:name w:val="annotation subject"/>
    <w:basedOn w:val="Komentarotekstas"/>
    <w:next w:val="Komentarotekstas"/>
    <w:link w:val="KomentarotemaDiagrama"/>
    <w:rsid w:val="009248E4"/>
    <w:rPr>
      <w:b/>
      <w:bCs/>
    </w:rPr>
  </w:style>
  <w:style w:type="character" w:customStyle="1" w:styleId="KomentarotemaDiagrama">
    <w:name w:val="Komentaro tema Diagrama"/>
    <w:link w:val="Komentarotema"/>
    <w:rsid w:val="009248E4"/>
    <w:rPr>
      <w:rFonts w:ascii="Calibri" w:hAnsi="Calibri"/>
      <w:b/>
      <w:bCs/>
      <w:lang w:val="en-US" w:eastAsia="en-US"/>
    </w:rPr>
  </w:style>
  <w:style w:type="paragraph" w:styleId="Betarp">
    <w:name w:val="No Spacing"/>
    <w:uiPriority w:val="1"/>
    <w:qFormat/>
    <w:rsid w:val="009248E4"/>
    <w:rPr>
      <w:rFonts w:ascii="Calibri" w:eastAsia="Calibri" w:hAnsi="Calibri"/>
      <w:sz w:val="22"/>
      <w:szCs w:val="22"/>
      <w:lang w:eastAsia="en-US"/>
    </w:rPr>
  </w:style>
  <w:style w:type="paragraph" w:styleId="Paprastasistekstas">
    <w:name w:val="Plain Text"/>
    <w:basedOn w:val="prastasis"/>
    <w:link w:val="PaprastasistekstasDiagrama"/>
    <w:uiPriority w:val="99"/>
    <w:unhideWhenUsed/>
    <w:rsid w:val="00107519"/>
    <w:rPr>
      <w:rFonts w:ascii="Calibri" w:eastAsia="Calibri" w:hAnsi="Calibri" w:cs="Consolas"/>
      <w:sz w:val="22"/>
      <w:szCs w:val="21"/>
      <w:lang w:val="en-US"/>
    </w:rPr>
  </w:style>
  <w:style w:type="character" w:customStyle="1" w:styleId="PaprastasistekstasDiagrama">
    <w:name w:val="Paprastasis tekstas Diagrama"/>
    <w:link w:val="Paprastasistekstas"/>
    <w:uiPriority w:val="99"/>
    <w:rsid w:val="00107519"/>
    <w:rPr>
      <w:rFonts w:ascii="Calibri" w:eastAsia="Calibri" w:hAnsi="Calibri" w:cs="Consolas"/>
      <w:sz w:val="22"/>
      <w:szCs w:val="21"/>
      <w:lang w:val="en-US" w:eastAsia="en-US"/>
    </w:rPr>
  </w:style>
  <w:style w:type="table" w:styleId="Lentelstinklelis">
    <w:name w:val="Table Grid"/>
    <w:basedOn w:val="prastojilentel"/>
    <w:rsid w:val="00267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56DED"/>
    <w:rPr>
      <w:sz w:val="24"/>
      <w:szCs w:val="24"/>
      <w:lang w:val="en-GB" w:eastAsia="en-US"/>
    </w:rPr>
  </w:style>
  <w:style w:type="paragraph" w:styleId="Sraopastraipa">
    <w:name w:val="List Paragraph"/>
    <w:basedOn w:val="prastasis"/>
    <w:uiPriority w:val="34"/>
    <w:qFormat/>
    <w:rsid w:val="007109C8"/>
    <w:pPr>
      <w:ind w:left="720"/>
      <w:contextualSpacing/>
    </w:pPr>
  </w:style>
  <w:style w:type="character" w:customStyle="1" w:styleId="UnresolvedMention">
    <w:name w:val="Unresolved Mention"/>
    <w:basedOn w:val="Numatytasispastraiposriftas"/>
    <w:uiPriority w:val="99"/>
    <w:semiHidden/>
    <w:unhideWhenUsed/>
    <w:rsid w:val="00EE2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515663">
      <w:bodyDiv w:val="1"/>
      <w:marLeft w:val="0"/>
      <w:marRight w:val="0"/>
      <w:marTop w:val="0"/>
      <w:marBottom w:val="0"/>
      <w:divBdr>
        <w:top w:val="none" w:sz="0" w:space="0" w:color="auto"/>
        <w:left w:val="none" w:sz="0" w:space="0" w:color="auto"/>
        <w:bottom w:val="none" w:sz="0" w:space="0" w:color="auto"/>
        <w:right w:val="none" w:sz="0" w:space="0" w:color="auto"/>
      </w:divBdr>
    </w:div>
    <w:div w:id="292946243">
      <w:bodyDiv w:val="1"/>
      <w:marLeft w:val="0"/>
      <w:marRight w:val="0"/>
      <w:marTop w:val="0"/>
      <w:marBottom w:val="0"/>
      <w:divBdr>
        <w:top w:val="none" w:sz="0" w:space="0" w:color="auto"/>
        <w:left w:val="none" w:sz="0" w:space="0" w:color="auto"/>
        <w:bottom w:val="none" w:sz="0" w:space="0" w:color="auto"/>
        <w:right w:val="none" w:sz="0" w:space="0" w:color="auto"/>
      </w:divBdr>
    </w:div>
    <w:div w:id="492641767">
      <w:bodyDiv w:val="1"/>
      <w:marLeft w:val="0"/>
      <w:marRight w:val="0"/>
      <w:marTop w:val="0"/>
      <w:marBottom w:val="0"/>
      <w:divBdr>
        <w:top w:val="none" w:sz="0" w:space="0" w:color="auto"/>
        <w:left w:val="none" w:sz="0" w:space="0" w:color="auto"/>
        <w:bottom w:val="none" w:sz="0" w:space="0" w:color="auto"/>
        <w:right w:val="none" w:sz="0" w:space="0" w:color="auto"/>
      </w:divBdr>
    </w:div>
    <w:div w:id="531841806">
      <w:bodyDiv w:val="1"/>
      <w:marLeft w:val="0"/>
      <w:marRight w:val="0"/>
      <w:marTop w:val="0"/>
      <w:marBottom w:val="0"/>
      <w:divBdr>
        <w:top w:val="none" w:sz="0" w:space="0" w:color="auto"/>
        <w:left w:val="none" w:sz="0" w:space="0" w:color="auto"/>
        <w:bottom w:val="none" w:sz="0" w:space="0" w:color="auto"/>
        <w:right w:val="none" w:sz="0" w:space="0" w:color="auto"/>
      </w:divBdr>
    </w:div>
    <w:div w:id="563565586">
      <w:bodyDiv w:val="1"/>
      <w:marLeft w:val="0"/>
      <w:marRight w:val="0"/>
      <w:marTop w:val="0"/>
      <w:marBottom w:val="0"/>
      <w:divBdr>
        <w:top w:val="none" w:sz="0" w:space="0" w:color="auto"/>
        <w:left w:val="none" w:sz="0" w:space="0" w:color="auto"/>
        <w:bottom w:val="none" w:sz="0" w:space="0" w:color="auto"/>
        <w:right w:val="none" w:sz="0" w:space="0" w:color="auto"/>
      </w:divBdr>
    </w:div>
    <w:div w:id="657610782">
      <w:bodyDiv w:val="1"/>
      <w:marLeft w:val="0"/>
      <w:marRight w:val="0"/>
      <w:marTop w:val="0"/>
      <w:marBottom w:val="0"/>
      <w:divBdr>
        <w:top w:val="none" w:sz="0" w:space="0" w:color="auto"/>
        <w:left w:val="none" w:sz="0" w:space="0" w:color="auto"/>
        <w:bottom w:val="none" w:sz="0" w:space="0" w:color="auto"/>
        <w:right w:val="none" w:sz="0" w:space="0" w:color="auto"/>
      </w:divBdr>
    </w:div>
    <w:div w:id="719062329">
      <w:bodyDiv w:val="1"/>
      <w:marLeft w:val="0"/>
      <w:marRight w:val="0"/>
      <w:marTop w:val="0"/>
      <w:marBottom w:val="0"/>
      <w:divBdr>
        <w:top w:val="none" w:sz="0" w:space="0" w:color="auto"/>
        <w:left w:val="none" w:sz="0" w:space="0" w:color="auto"/>
        <w:bottom w:val="none" w:sz="0" w:space="0" w:color="auto"/>
        <w:right w:val="none" w:sz="0" w:space="0" w:color="auto"/>
      </w:divBdr>
    </w:div>
    <w:div w:id="917983135">
      <w:bodyDiv w:val="1"/>
      <w:marLeft w:val="0"/>
      <w:marRight w:val="0"/>
      <w:marTop w:val="0"/>
      <w:marBottom w:val="0"/>
      <w:divBdr>
        <w:top w:val="none" w:sz="0" w:space="0" w:color="auto"/>
        <w:left w:val="none" w:sz="0" w:space="0" w:color="auto"/>
        <w:bottom w:val="none" w:sz="0" w:space="0" w:color="auto"/>
        <w:right w:val="none" w:sz="0" w:space="0" w:color="auto"/>
      </w:divBdr>
    </w:div>
    <w:div w:id="1222205267">
      <w:bodyDiv w:val="1"/>
      <w:marLeft w:val="0"/>
      <w:marRight w:val="0"/>
      <w:marTop w:val="0"/>
      <w:marBottom w:val="0"/>
      <w:divBdr>
        <w:top w:val="none" w:sz="0" w:space="0" w:color="auto"/>
        <w:left w:val="none" w:sz="0" w:space="0" w:color="auto"/>
        <w:bottom w:val="none" w:sz="0" w:space="0" w:color="auto"/>
        <w:right w:val="none" w:sz="0" w:space="0" w:color="auto"/>
      </w:divBdr>
    </w:div>
    <w:div w:id="1322193285">
      <w:bodyDiv w:val="1"/>
      <w:marLeft w:val="0"/>
      <w:marRight w:val="0"/>
      <w:marTop w:val="0"/>
      <w:marBottom w:val="0"/>
      <w:divBdr>
        <w:top w:val="none" w:sz="0" w:space="0" w:color="auto"/>
        <w:left w:val="none" w:sz="0" w:space="0" w:color="auto"/>
        <w:bottom w:val="none" w:sz="0" w:space="0" w:color="auto"/>
        <w:right w:val="none" w:sz="0" w:space="0" w:color="auto"/>
      </w:divBdr>
    </w:div>
    <w:div w:id="191393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vkt.lrv.l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4229A-F599-4A6C-8474-B7BE6ACE3CB1}">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39</Pages>
  <Words>10380</Words>
  <Characters>71210</Characters>
  <Application>Microsoft Office Word</Application>
  <DocSecurity>4</DocSecurity>
  <Lines>593</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UAB "Corpus Medica"</Company>
  <LinksUpToDate>false</LinksUpToDate>
  <CharactersWithSpaces>81428</CharactersWithSpaces>
  <SharedDoc>false</SharedDoc>
  <HLinks>
    <vt:vector size="30" baseType="variant">
      <vt:variant>
        <vt:i4>7077950</vt:i4>
      </vt:variant>
      <vt:variant>
        <vt:i4>24</vt:i4>
      </vt:variant>
      <vt:variant>
        <vt:i4>0</vt:i4>
      </vt:variant>
      <vt:variant>
        <vt:i4>5</vt:i4>
      </vt:variant>
      <vt:variant>
        <vt:lpwstr>http://www.vvkt.lt/</vt:lpwstr>
      </vt:variant>
      <vt:variant>
        <vt:lpwstr/>
      </vt:variant>
      <vt:variant>
        <vt:i4>8060954</vt:i4>
      </vt:variant>
      <vt:variant>
        <vt:i4>21</vt:i4>
      </vt:variant>
      <vt:variant>
        <vt:i4>0</vt:i4>
      </vt:variant>
      <vt:variant>
        <vt:i4>5</vt:i4>
      </vt:variant>
      <vt:variant>
        <vt:lpwstr>mailto:info.lithuania@sandoz.com</vt:lpwstr>
      </vt:variant>
      <vt:variant>
        <vt:lpwstr/>
      </vt:variant>
      <vt:variant>
        <vt:i4>7077950</vt:i4>
      </vt:variant>
      <vt:variant>
        <vt:i4>12</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Vaida</dc:creator>
  <cp:keywords/>
  <dc:description/>
  <cp:lastModifiedBy>Albina Burkauskaitė</cp:lastModifiedBy>
  <cp:revision>2</cp:revision>
  <cp:lastPrinted>2018-07-09T11:05:00Z</cp:lastPrinted>
  <dcterms:created xsi:type="dcterms:W3CDTF">2025-06-13T10:30:00Z</dcterms:created>
  <dcterms:modified xsi:type="dcterms:W3CDTF">2025-06-13T10:30:00Z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2024-11-04T12:08:01Z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5fca94a8-b187-49ad-a3d6-e19c19ecfbc3</vt:lpwstr>
  </property>
  <property fmtid="{D5CDD505-2E9C-101B-9397-08002B2CF9AE}" pid="8" name="MSIP_Label_3c9bec58-8084-492e-8360-0e1cfe36408c_ContentBits">
    <vt:lpwstr>0</vt:lpwstr>
  </property>
</Properties>
</file>