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CBAC" w14:textId="77777777" w:rsidR="00CF1BFF" w:rsidRPr="00253DCF" w:rsidRDefault="00CF1BFF" w:rsidP="00CF1BFF">
      <w:pPr>
        <w:widowControl w:val="0"/>
        <w:spacing w:after="0" w:line="240" w:lineRule="auto"/>
        <w:rPr>
          <w:rFonts w:ascii="Times New Roman" w:eastAsia="Times New Roman" w:hAnsi="Times New Roman" w:cs="Times New Roman"/>
          <w:snapToGrid w:val="0"/>
          <w:color w:val="008000"/>
          <w:szCs w:val="20"/>
        </w:rPr>
      </w:pPr>
    </w:p>
    <w:p w14:paraId="7E834A6A"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0DCAC8E9"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378A449F"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4E776785"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55CB3866"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03F8E26"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13D33A0"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3F269A7"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5CBEE0D"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B786661"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4FC623E"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151B78C"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6FB3339"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DE908D7"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00518F6"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E9B9520"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1B49491"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7B42B09"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5E3C021"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D4E83E1"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826076C"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5F790AB"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575A46C"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t>I PRIEDAS</w:t>
      </w:r>
    </w:p>
    <w:p w14:paraId="2D3194D5"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szCs w:val="24"/>
        </w:rPr>
      </w:pPr>
    </w:p>
    <w:p w14:paraId="622781CC" w14:textId="77777777" w:rsidR="00CF1BFF" w:rsidRPr="00253DCF" w:rsidRDefault="00CF1BFF" w:rsidP="00CF1BFF">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PREPARATO CHARAKTERISTIKŲ SANTRAUKA</w:t>
      </w:r>
    </w:p>
    <w:p w14:paraId="20AB67D2" w14:textId="77777777" w:rsidR="00CF1BFF" w:rsidRPr="00253DCF" w:rsidRDefault="00CF1BFF" w:rsidP="00CF1BFF">
      <w:pPr>
        <w:tabs>
          <w:tab w:val="left" w:pos="-1440"/>
          <w:tab w:val="left" w:pos="-720"/>
          <w:tab w:val="left" w:pos="567"/>
        </w:tabs>
        <w:spacing w:after="0" w:line="260" w:lineRule="exact"/>
        <w:rPr>
          <w:rFonts w:ascii="Times New Roman" w:eastAsia="Times New Roman" w:hAnsi="Times New Roman" w:cs="Times New Roman"/>
          <w:snapToGrid w:val="0"/>
          <w:szCs w:val="24"/>
        </w:rPr>
      </w:pPr>
    </w:p>
    <w:p w14:paraId="6ABAAEAA"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br w:type="page"/>
      </w:r>
      <w:r w:rsidRPr="00253DCF">
        <w:rPr>
          <w:rFonts w:ascii="Times New Roman" w:eastAsia="Times New Roman" w:hAnsi="Times New Roman" w:cs="Times New Roman"/>
          <w:b/>
          <w:bCs/>
          <w:snapToGrid w:val="0"/>
          <w:szCs w:val="26"/>
          <w:lang w:eastAsia="x-none"/>
        </w:rPr>
        <w:lastRenderedPageBreak/>
        <w:t>1.</w:t>
      </w:r>
      <w:r w:rsidRPr="00253DCF">
        <w:rPr>
          <w:rFonts w:ascii="Times New Roman" w:eastAsia="Times New Roman" w:hAnsi="Times New Roman" w:cs="Times New Roman"/>
          <w:b/>
          <w:bCs/>
          <w:snapToGrid w:val="0"/>
          <w:szCs w:val="26"/>
          <w:lang w:eastAsia="x-none"/>
        </w:rPr>
        <w:tab/>
        <w:t>VAISTINIO PREPARATO PAVADINIMAS</w:t>
      </w:r>
    </w:p>
    <w:p w14:paraId="16CBA59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D9D93E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bookmarkStart w:id="0" w:name="_GoBack"/>
      <w:r w:rsidRPr="00253DCF">
        <w:rPr>
          <w:rFonts w:ascii="Times New Roman" w:eastAsia="Times New Roman" w:hAnsi="Times New Roman" w:cs="Times New Roman"/>
          <w:snapToGrid w:val="0"/>
          <w:szCs w:val="24"/>
        </w:rPr>
        <w:t xml:space="preserve">MANTOMED </w:t>
      </w:r>
      <w:bookmarkEnd w:id="0"/>
      <w:r w:rsidRPr="00253DCF">
        <w:rPr>
          <w:rFonts w:ascii="Times New Roman" w:eastAsia="Times New Roman" w:hAnsi="Times New Roman" w:cs="Times New Roman"/>
          <w:snapToGrid w:val="0"/>
          <w:szCs w:val="24"/>
        </w:rPr>
        <w:t>5 mg plėvele dengtos tabletės</w:t>
      </w:r>
    </w:p>
    <w:p w14:paraId="413F3E1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MANTOMED 10 mg plėvele dengtos tabletės </w:t>
      </w:r>
    </w:p>
    <w:p w14:paraId="323E9F6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 xml:space="preserve">MANTOMED </w:t>
      </w:r>
      <w:r w:rsidRPr="00253DCF">
        <w:rPr>
          <w:rFonts w:ascii="Times New Roman" w:eastAsia="Times New Roman" w:hAnsi="Times New Roman" w:cs="Times New Roman"/>
          <w:snapToGrid w:val="0"/>
          <w:szCs w:val="24"/>
        </w:rPr>
        <w:t>15 mg plėvele dengtos tabletės</w:t>
      </w:r>
    </w:p>
    <w:p w14:paraId="2776D79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 xml:space="preserve">MANTOMED </w:t>
      </w:r>
      <w:r w:rsidRPr="00253DCF">
        <w:rPr>
          <w:rFonts w:ascii="Times New Roman" w:eastAsia="Times New Roman" w:hAnsi="Times New Roman" w:cs="Times New Roman"/>
          <w:snapToGrid w:val="0"/>
          <w:szCs w:val="24"/>
        </w:rPr>
        <w:t>20 mg plėvele dengtos tabletės</w:t>
      </w:r>
    </w:p>
    <w:p w14:paraId="153A72A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E4D81F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E7F4F32"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2.</w:t>
      </w:r>
      <w:r w:rsidRPr="00253DCF">
        <w:rPr>
          <w:rFonts w:ascii="Times New Roman" w:eastAsia="Times New Roman" w:hAnsi="Times New Roman" w:cs="Times New Roman"/>
          <w:b/>
          <w:bCs/>
          <w:snapToGrid w:val="0"/>
          <w:szCs w:val="26"/>
          <w:lang w:eastAsia="x-none"/>
        </w:rPr>
        <w:tab/>
        <w:t>KOKYBINĖ IR KIEKYBINĖ SUDĖTIS</w:t>
      </w:r>
    </w:p>
    <w:p w14:paraId="750E1E2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9A8D60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Kiekvienoje plėvele dengtoje tabletėje yra 5 mg memantino hidrochlorido, atitinkančio 4,15 mg memantino.</w:t>
      </w:r>
    </w:p>
    <w:p w14:paraId="1D26B19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Kiekvienoje plėvele dengtoje tabletėje yra 10 mg memantino hidrochlorido, atitinkančio 8,31 mg memantino.</w:t>
      </w:r>
    </w:p>
    <w:p w14:paraId="7078B84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Kiekvienoje plėvele dengtoje tabletėje yra 15 mg memantino hidrochlorido, atitinkančio 12,46 mg memantino.</w:t>
      </w:r>
    </w:p>
    <w:p w14:paraId="6242CA1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Kiekvienoje plėvele dengtoje tabletėje yra 20 mg memantino hidrochlorido, atitinkančio 16,62 mg memantino.</w:t>
      </w:r>
    </w:p>
    <w:p w14:paraId="374EF0A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A720D0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Visos pagalbinės medžiagos išvardytos 6.1 skyriuje.</w:t>
      </w:r>
    </w:p>
    <w:p w14:paraId="346ABCC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DD8119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5272FF5"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3.</w:t>
      </w:r>
      <w:r w:rsidRPr="00253DCF">
        <w:rPr>
          <w:rFonts w:ascii="Times New Roman" w:eastAsia="Times New Roman" w:hAnsi="Times New Roman" w:cs="Times New Roman"/>
          <w:b/>
          <w:bCs/>
          <w:snapToGrid w:val="0"/>
          <w:szCs w:val="26"/>
          <w:lang w:eastAsia="x-none"/>
        </w:rPr>
        <w:tab/>
        <w:t>FARMACINĖ FORMA</w:t>
      </w:r>
    </w:p>
    <w:p w14:paraId="2B67B81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50D843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r w:rsidRPr="00253DCF">
        <w:rPr>
          <w:rFonts w:ascii="Times New Roman" w:eastAsia="Times New Roman" w:hAnsi="Times New Roman" w:cs="Times New Roman"/>
          <w:snapToGrid w:val="0"/>
          <w:szCs w:val="24"/>
        </w:rPr>
        <w:t>Plėvele dengta tabletė.</w:t>
      </w:r>
    </w:p>
    <w:p w14:paraId="329657F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p>
    <w:p w14:paraId="4CB8C59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5 mg plėvele dengtos tabletės yra: geltonos, apvalios, abipus išgaubtos, dengtos plėvele, branduolio skersmuo 6 mm.</w:t>
      </w:r>
    </w:p>
    <w:p w14:paraId="67801FA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94BD4B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r w:rsidRPr="00253DCF">
        <w:rPr>
          <w:rFonts w:ascii="Times New Roman" w:eastAsia="Times New Roman" w:hAnsi="Times New Roman" w:cs="Times New Roman"/>
          <w:snapToGrid w:val="0"/>
          <w:szCs w:val="24"/>
        </w:rPr>
        <w:t xml:space="preserve">10 mg plėvele dengtos tabletės yra: geltonos, pailgos, abipus išgaubtos, su vagele abiejose pusėse, dengtos plėvele, branduolio skersmuo 5,6 x 11,1 mm. Tabletę galima padalyti į lygias dozes. </w:t>
      </w:r>
    </w:p>
    <w:p w14:paraId="2D2C320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p>
    <w:p w14:paraId="1388A75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15 mg plėvele dengtos tabletės yra: rožinės, apvalios, abipus išgaubtos, dengtos plėvele, branduolio skersmuo 9,5 mm.</w:t>
      </w:r>
    </w:p>
    <w:p w14:paraId="7C896CA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F1B3D8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20</w:t>
      </w:r>
      <w:r>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4"/>
        </w:rPr>
        <w:t xml:space="preserve">mg plėvele dengtos tabletės yra: geltonos, apvalios, abipus išgaubtos, dengtos plėvele, branduolio skersmuo 10,3 mm.  </w:t>
      </w:r>
    </w:p>
    <w:p w14:paraId="1313661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p>
    <w:p w14:paraId="6A404D3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lang w:eastAsia="x-none"/>
        </w:rPr>
      </w:pPr>
    </w:p>
    <w:p w14:paraId="3FDFB836"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4.</w:t>
      </w:r>
      <w:r w:rsidRPr="00253DCF">
        <w:rPr>
          <w:rFonts w:ascii="Times New Roman" w:eastAsia="Times New Roman" w:hAnsi="Times New Roman" w:cs="Times New Roman"/>
          <w:b/>
          <w:bCs/>
          <w:snapToGrid w:val="0"/>
          <w:szCs w:val="26"/>
          <w:lang w:eastAsia="x-none"/>
        </w:rPr>
        <w:tab/>
        <w:t>KLINIKINĖ INFORMACIJA</w:t>
      </w:r>
    </w:p>
    <w:p w14:paraId="04AAB90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489DB80"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4.1</w:t>
      </w:r>
      <w:r w:rsidRPr="00253DCF">
        <w:rPr>
          <w:rFonts w:ascii="Times New Roman" w:eastAsia="Times New Roman" w:hAnsi="Times New Roman" w:cs="Times New Roman"/>
          <w:b/>
          <w:bCs/>
          <w:snapToGrid w:val="0"/>
          <w:szCs w:val="28"/>
          <w:lang w:eastAsia="x-none"/>
        </w:rPr>
        <w:tab/>
        <w:t>Terapinės indikacijos</w:t>
      </w:r>
    </w:p>
    <w:p w14:paraId="57B684A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00CF67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Vidutinio sunkumo ir sunkios Alzheimerio (</w:t>
      </w:r>
      <w:r w:rsidRPr="00253DCF">
        <w:rPr>
          <w:rFonts w:ascii="Times New Roman" w:eastAsia="Times New Roman" w:hAnsi="Times New Roman" w:cs="Times New Roman"/>
          <w:i/>
          <w:snapToGrid w:val="0"/>
          <w:szCs w:val="24"/>
        </w:rPr>
        <w:t>Alzheimer</w:t>
      </w:r>
      <w:r w:rsidRPr="00253DCF">
        <w:rPr>
          <w:rFonts w:ascii="Times New Roman" w:eastAsia="Times New Roman" w:hAnsi="Times New Roman" w:cs="Times New Roman"/>
          <w:snapToGrid w:val="0"/>
          <w:szCs w:val="24"/>
        </w:rPr>
        <w:t xml:space="preserve">) </w:t>
      </w:r>
      <w:r w:rsidRPr="00D66DF5">
        <w:rPr>
          <w:rFonts w:ascii="Times New Roman" w:eastAsia="Times New Roman" w:hAnsi="Times New Roman" w:cs="Times New Roman"/>
          <w:snapToGrid w:val="0"/>
          <w:szCs w:val="24"/>
        </w:rPr>
        <w:t>lig</w:t>
      </w:r>
      <w:r>
        <w:rPr>
          <w:rFonts w:ascii="Times New Roman" w:eastAsia="Times New Roman" w:hAnsi="Times New Roman" w:cs="Times New Roman"/>
          <w:snapToGrid w:val="0"/>
          <w:szCs w:val="24"/>
        </w:rPr>
        <w:t>a sergančių suaugusių pacientų</w:t>
      </w:r>
      <w:r w:rsidRPr="00253DCF">
        <w:rPr>
          <w:rFonts w:ascii="Times New Roman" w:eastAsia="Times New Roman" w:hAnsi="Times New Roman" w:cs="Times New Roman"/>
          <w:snapToGrid w:val="0"/>
          <w:szCs w:val="24"/>
        </w:rPr>
        <w:t xml:space="preserve"> gydymas.</w:t>
      </w:r>
    </w:p>
    <w:p w14:paraId="5C589C6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E7525CF"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4.2</w:t>
      </w:r>
      <w:r w:rsidRPr="00253DCF">
        <w:rPr>
          <w:rFonts w:ascii="Times New Roman" w:eastAsia="Times New Roman" w:hAnsi="Times New Roman" w:cs="Times New Roman"/>
          <w:b/>
          <w:bCs/>
          <w:snapToGrid w:val="0"/>
          <w:szCs w:val="28"/>
          <w:lang w:eastAsia="x-none"/>
        </w:rPr>
        <w:tab/>
        <w:t>Dozavimas ir vartojimo metodas</w:t>
      </w:r>
    </w:p>
    <w:p w14:paraId="7F3862D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134E0D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Šiuo vaistiniu preparatu turi pradėti gydyti ir gydymo metu pacientą prižiūrėti gydytojas, turintis Alzheimerio ligos diagnozės nustatymo ir jos gydymo patirtį. Gydyti galima pradėti tuo atveju, jeigu yra slaugytojas, kuris galės reguliariai prižiūrėti šio vaistinio preparato vartojimą. Ligos diagnozę būtina nustatyti, laikantis dabartinių nurodymų. Memantino toleravimas ir dozavimas turi būti reguliariai įvertinami, pageidautina kas tris mėnesius nuo gydymo pradžios. Po to, memantino klinikinė nauda pacientui ir gydymo toleravimas turi būti reguliariai įvertinami remiantis galiojančiomis klinikinėmis gairėmis. Palaikomasis gydymas gali būti tęsiamas tol, kol yra gydomasis poveikis ir pacientas gerai toleruoja gydymą memantinu. Apie gydymo memantinu nutraukimą reikia pagalvoti, jei nebėra terapinio poveikio požymių arba pacientas netoleruoja gydymo.</w:t>
      </w:r>
    </w:p>
    <w:p w14:paraId="54A2995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CE21E8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u w:val="single"/>
        </w:rPr>
      </w:pPr>
      <w:r w:rsidRPr="00253DCF">
        <w:rPr>
          <w:rFonts w:ascii="Times New Roman" w:eastAsia="Times New Roman" w:hAnsi="Times New Roman" w:cs="Times New Roman"/>
          <w:snapToGrid w:val="0"/>
          <w:szCs w:val="24"/>
          <w:u w:val="single"/>
        </w:rPr>
        <w:t>Dozavimas</w:t>
      </w:r>
    </w:p>
    <w:p w14:paraId="09BB406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u w:val="single"/>
        </w:rPr>
      </w:pPr>
    </w:p>
    <w:p w14:paraId="6FA1500E" w14:textId="77777777" w:rsidR="00CF1BFF" w:rsidRPr="00253DCF" w:rsidRDefault="00CF1BFF" w:rsidP="00CF1BFF">
      <w:pPr>
        <w:tabs>
          <w:tab w:val="left" w:pos="567"/>
        </w:tabs>
        <w:spacing w:after="0" w:line="260" w:lineRule="exact"/>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Suaugusiems žmonėms</w:t>
      </w:r>
    </w:p>
    <w:p w14:paraId="1A89173C"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Dozės titravimas</w:t>
      </w:r>
    </w:p>
    <w:p w14:paraId="184D0CE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Rekomenduojama pradinė doze yra 5 mg per parą. Ji per 4 savaites palaipsniui didinama iki rekomenduojamos palaikomosios dozes, kaip nurodyta žemiau:</w:t>
      </w:r>
    </w:p>
    <w:p w14:paraId="5EF3AA1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4D02CF6"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1 savaitė (1–7 diena):</w:t>
      </w:r>
    </w:p>
    <w:p w14:paraId="0159AA9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Pacientas 7 dienas kartą per parą turi gerti vieną 5 mg plėvele dengtą tabletę.</w:t>
      </w:r>
    </w:p>
    <w:p w14:paraId="67F238C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279D110"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2 savaitė (8–14 diena):</w:t>
      </w:r>
    </w:p>
    <w:p w14:paraId="265627C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Pacientas 7 dienas kartą per parą turi gerti vieną 10 mg plėvele dengtą tabletę.</w:t>
      </w:r>
    </w:p>
    <w:p w14:paraId="5240FCB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22D041B"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3 savaitė (15–21 diena):</w:t>
      </w:r>
    </w:p>
    <w:p w14:paraId="340335A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Pacientas 7 dienas kartą per parą turi gerti vieną 15 mg plėvele dengtą tabletę.</w:t>
      </w:r>
    </w:p>
    <w:p w14:paraId="7A2F450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278F2B2"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4 savaitė (22-28 diena):</w:t>
      </w:r>
    </w:p>
    <w:p w14:paraId="75034A9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Pacientas 7 dienas kartą per parą turi gerti vieną 20 mg plėvele dengtą tabletę.</w:t>
      </w:r>
    </w:p>
    <w:p w14:paraId="1A5157F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Didžiausia paros doze yra 20 mg.</w:t>
      </w:r>
    </w:p>
    <w:p w14:paraId="3DA8E99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41507B1" w14:textId="77777777" w:rsidR="00CF1BFF" w:rsidRPr="00556077" w:rsidRDefault="00CF1BFF" w:rsidP="00CF1BFF">
      <w:pPr>
        <w:tabs>
          <w:tab w:val="left" w:pos="567"/>
        </w:tabs>
        <w:spacing w:after="0" w:line="260" w:lineRule="exact"/>
        <w:rPr>
          <w:rFonts w:ascii="Times New Roman" w:hAnsi="Times New Roman"/>
          <w:i/>
          <w:u w:val="single"/>
        </w:rPr>
      </w:pPr>
      <w:r w:rsidRPr="00556077">
        <w:rPr>
          <w:rFonts w:ascii="Times New Roman" w:hAnsi="Times New Roman"/>
          <w:i/>
          <w:u w:val="single"/>
        </w:rPr>
        <w:t>Palaikomoji dozė</w:t>
      </w:r>
    </w:p>
    <w:p w14:paraId="05D4C4A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Rekomenduojama palaikomoji dozė yra 20 mg per parą.</w:t>
      </w:r>
    </w:p>
    <w:p w14:paraId="4E88183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616245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i/>
          <w:snapToGrid w:val="0"/>
          <w:szCs w:val="24"/>
        </w:rPr>
        <w:t xml:space="preserve">Senyviems </w:t>
      </w:r>
      <w:r>
        <w:rPr>
          <w:rFonts w:ascii="Times New Roman" w:eastAsia="Times New Roman" w:hAnsi="Times New Roman" w:cs="Times New Roman"/>
          <w:i/>
          <w:snapToGrid w:val="0"/>
          <w:szCs w:val="24"/>
        </w:rPr>
        <w:t>žmonėms</w:t>
      </w:r>
      <w:r w:rsidRPr="00253DCF">
        <w:rPr>
          <w:rFonts w:ascii="Times New Roman" w:eastAsia="Times New Roman" w:hAnsi="Times New Roman" w:cs="Times New Roman"/>
          <w:i/>
          <w:snapToGrid w:val="0"/>
          <w:szCs w:val="24"/>
        </w:rPr>
        <w:t xml:space="preserve"> </w:t>
      </w:r>
      <w:r w:rsidRPr="00253DCF">
        <w:rPr>
          <w:rFonts w:ascii="Times New Roman" w:eastAsia="Times New Roman" w:hAnsi="Times New Roman" w:cs="Times New Roman"/>
          <w:snapToGrid w:val="0"/>
          <w:szCs w:val="24"/>
        </w:rPr>
        <w:t xml:space="preserve"> </w:t>
      </w:r>
    </w:p>
    <w:p w14:paraId="2A7CEB1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Remiantis klinikinių tyrimų rezultatais, vyresniems nei 65 metų žmonėms paros dozė yra 20 mg (20 mg kartą per parą), kaip nurodyta aukščiau.</w:t>
      </w:r>
    </w:p>
    <w:p w14:paraId="1553576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94DBF6C" w14:textId="77777777" w:rsidR="00CF1BFF" w:rsidRPr="00253DCF" w:rsidRDefault="00CF1BFF" w:rsidP="00CF1BFF">
      <w:pPr>
        <w:tabs>
          <w:tab w:val="left" w:pos="567"/>
        </w:tabs>
        <w:spacing w:after="0" w:line="260" w:lineRule="exact"/>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 xml:space="preserve">Vaikų populiacija </w:t>
      </w:r>
    </w:p>
    <w:p w14:paraId="76B56F5E"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Duomenų nėra.</w:t>
      </w:r>
    </w:p>
    <w:p w14:paraId="297E60E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057A221" w14:textId="77777777" w:rsidR="00CF1BFF" w:rsidRPr="00253DCF" w:rsidRDefault="00CF1BFF" w:rsidP="00CF1BFF">
      <w:pPr>
        <w:tabs>
          <w:tab w:val="left" w:pos="567"/>
        </w:tabs>
        <w:spacing w:after="0" w:line="260" w:lineRule="exact"/>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Pacientams, kurių inkstų funkcija sutrikusi</w:t>
      </w:r>
    </w:p>
    <w:p w14:paraId="6CF3B8A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Jeigu yra lengvas inkstų funkcijos sutrikimas (kreatinino klirensas 50 80 ml/min.), dozės koreguoti nereikia. Jei yra vidutinio sunkumo inkstų funkcijos sutrikimas (kreatinino klirensas 30 49 ml/min.), paros dozė yra 10 mg. Jei toleruojama gerai, po mažiausiai 7 gydymo parų paros dozė gali būti didinama iki 20 mg pagal standartinę titravimo schemą. Ligoniams, sergantiems sunkiu inkstų funkcijos sutrikimu (kreatinino klirensas 5 </w:t>
      </w:r>
      <w:r>
        <w:rPr>
          <w:rFonts w:ascii="Times New Roman" w:eastAsia="Times New Roman" w:hAnsi="Times New Roman" w:cs="Times New Roman"/>
          <w:snapToGrid w:val="0"/>
          <w:szCs w:val="24"/>
        </w:rPr>
        <w:t xml:space="preserve">– </w:t>
      </w:r>
      <w:r w:rsidRPr="00253DCF">
        <w:rPr>
          <w:rFonts w:ascii="Times New Roman" w:eastAsia="Times New Roman" w:hAnsi="Times New Roman" w:cs="Times New Roman"/>
          <w:snapToGrid w:val="0"/>
          <w:szCs w:val="24"/>
        </w:rPr>
        <w:t>29</w:t>
      </w:r>
      <w:r>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4"/>
        </w:rPr>
        <w:t>ml/min.), paros dozė turėtų būti 10 mg.</w:t>
      </w:r>
    </w:p>
    <w:p w14:paraId="5CFF076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ECAD6B3" w14:textId="77777777" w:rsidR="00CF1BFF" w:rsidRPr="00253DCF" w:rsidRDefault="00CF1BFF" w:rsidP="00CF1BFF">
      <w:pPr>
        <w:tabs>
          <w:tab w:val="left" w:pos="567"/>
        </w:tabs>
        <w:spacing w:after="0" w:line="260" w:lineRule="exact"/>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 xml:space="preserve">Pacientams, kurių kepenų funkcija sutrikusi </w:t>
      </w:r>
    </w:p>
    <w:p w14:paraId="069B6F4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Pacientams, sergantiems lengvu ar vidutinio sunkumo kepenų funkcijos sutrikimu (</w:t>
      </w:r>
      <w:r w:rsidRPr="00253DCF">
        <w:rPr>
          <w:rFonts w:ascii="Times New Roman" w:eastAsia="Times New Roman" w:hAnsi="Times New Roman" w:cs="Times New Roman"/>
          <w:i/>
          <w:snapToGrid w:val="0"/>
          <w:szCs w:val="24"/>
        </w:rPr>
        <w:t>Child-Plugh</w:t>
      </w:r>
      <w:r w:rsidRPr="00253DCF">
        <w:rPr>
          <w:rFonts w:ascii="Times New Roman" w:eastAsia="Times New Roman" w:hAnsi="Times New Roman" w:cs="Times New Roman"/>
          <w:snapToGrid w:val="0"/>
          <w:szCs w:val="24"/>
        </w:rPr>
        <w:t xml:space="preserve"> A ir </w:t>
      </w:r>
      <w:r w:rsidRPr="00253DCF">
        <w:rPr>
          <w:rFonts w:ascii="Times New Roman" w:eastAsia="Times New Roman" w:hAnsi="Times New Roman" w:cs="Times New Roman"/>
          <w:i/>
          <w:snapToGrid w:val="0"/>
          <w:szCs w:val="24"/>
        </w:rPr>
        <w:t>Child-Plugh</w:t>
      </w:r>
      <w:r w:rsidRPr="00253DCF">
        <w:rPr>
          <w:rFonts w:ascii="Times New Roman" w:eastAsia="Times New Roman" w:hAnsi="Times New Roman" w:cs="Times New Roman"/>
          <w:snapToGrid w:val="0"/>
          <w:szCs w:val="24"/>
        </w:rPr>
        <w:t xml:space="preserve"> B), dozės koreguoti nereikia. Apie ligonių, sergančių sunkiu kepenų funkcijos sutrikimu, gydymą memantinu duomenų nėra. MANTOMED nerekomenduojama skirti sunkiu kepenų funkcijos sutrikimu sergantiems pacientams.</w:t>
      </w:r>
    </w:p>
    <w:p w14:paraId="140930B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F9DC2BA" w14:textId="77777777" w:rsidR="00CF1BFF" w:rsidRPr="0082770E" w:rsidRDefault="00CF1BFF" w:rsidP="00CF1BFF">
      <w:pPr>
        <w:tabs>
          <w:tab w:val="left" w:pos="567"/>
        </w:tabs>
        <w:spacing w:after="0" w:line="260" w:lineRule="exact"/>
        <w:rPr>
          <w:rFonts w:ascii="Times New Roman" w:eastAsia="Times New Roman" w:hAnsi="Times New Roman" w:cs="Times New Roman"/>
          <w:snapToGrid w:val="0"/>
          <w:szCs w:val="24"/>
          <w:u w:val="single"/>
        </w:rPr>
      </w:pPr>
      <w:r w:rsidRPr="0082770E">
        <w:rPr>
          <w:rFonts w:ascii="Times New Roman" w:eastAsia="Times New Roman" w:hAnsi="Times New Roman" w:cs="Times New Roman"/>
          <w:snapToGrid w:val="0"/>
          <w:szCs w:val="24"/>
          <w:u w:val="single"/>
        </w:rPr>
        <w:t>Vartojimo metodas</w:t>
      </w:r>
    </w:p>
    <w:p w14:paraId="22443DE7"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MANTOMED</w:t>
      </w:r>
      <w:r w:rsidRPr="00BA1CBD">
        <w:rPr>
          <w:rFonts w:ascii="Times New Roman" w:eastAsia="Times New Roman" w:hAnsi="Times New Roman" w:cs="Times New Roman"/>
          <w:snapToGrid w:val="0"/>
          <w:szCs w:val="24"/>
        </w:rPr>
        <w:t xml:space="preserve"> reikia vartoti per burną vieną kartą per parą ir kasdien vartoti tuo pačiu metu. Šias plėvele</w:t>
      </w:r>
      <w:r>
        <w:rPr>
          <w:rFonts w:ascii="Times New Roman" w:eastAsia="Times New Roman" w:hAnsi="Times New Roman" w:cs="Times New Roman"/>
          <w:snapToGrid w:val="0"/>
          <w:szCs w:val="24"/>
        </w:rPr>
        <w:t xml:space="preserve"> </w:t>
      </w:r>
      <w:r w:rsidRPr="00BA1CBD">
        <w:rPr>
          <w:rFonts w:ascii="Times New Roman" w:eastAsia="Times New Roman" w:hAnsi="Times New Roman" w:cs="Times New Roman"/>
          <w:snapToGrid w:val="0"/>
          <w:szCs w:val="24"/>
        </w:rPr>
        <w:t>dengtas tabletes galima vartoti valgio metu arba nevalgius.</w:t>
      </w:r>
    </w:p>
    <w:p w14:paraId="2F0782B6"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4"/>
        </w:rPr>
      </w:pPr>
    </w:p>
    <w:p w14:paraId="4E2E5802"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4.3</w:t>
      </w:r>
      <w:r w:rsidRPr="00253DCF">
        <w:rPr>
          <w:rFonts w:ascii="Times New Roman" w:eastAsia="Times New Roman" w:hAnsi="Times New Roman" w:cs="Times New Roman"/>
          <w:b/>
          <w:bCs/>
          <w:snapToGrid w:val="0"/>
          <w:szCs w:val="28"/>
          <w:lang w:eastAsia="x-none"/>
        </w:rPr>
        <w:tab/>
        <w:t>Kontraindikacijos</w:t>
      </w:r>
    </w:p>
    <w:p w14:paraId="62F3210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4474E1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Padidėjęs jautrumas veikliajai arba bet kuriai 6.1 skyriuje nurodytai pagalbinei medžiagai.</w:t>
      </w:r>
    </w:p>
    <w:p w14:paraId="5E8B401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F277320"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4.4</w:t>
      </w:r>
      <w:r w:rsidRPr="00253DCF">
        <w:rPr>
          <w:rFonts w:ascii="Times New Roman" w:eastAsia="Times New Roman" w:hAnsi="Times New Roman" w:cs="Times New Roman"/>
          <w:b/>
          <w:bCs/>
          <w:snapToGrid w:val="0"/>
          <w:szCs w:val="28"/>
          <w:lang w:eastAsia="x-none"/>
        </w:rPr>
        <w:tab/>
        <w:t>Specialūs įspėjimai ir atsargumo priemonės</w:t>
      </w:r>
    </w:p>
    <w:p w14:paraId="47785D4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F9E5D27"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Pacientus, kurie serga epilepsija ir kuriems anksčiau buvo traukulių priepuolių arba pacientus, kurie turi rizikos faktorių, sukeliančių epilepsiją, šiuo vaistiniu preparatu reikia gydyti atsargiai.</w:t>
      </w:r>
    </w:p>
    <w:p w14:paraId="2968998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 xml:space="preserve"> </w:t>
      </w:r>
    </w:p>
    <w:p w14:paraId="2CD5B8E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Kartu su memantinu nereikia vartoti N-metil-D-aspartato (NMDA) antagonistų (amantadino, ketamino, dekstrometorfano). Šios medžiagos veikia tą pačią receptorių sistemą, kaip ir memantinas, todėl nepageidaujamas poveikis (daugiausia centrinei nervų sistemai, CNS) gali pasireikšti daug dažniau ar būti stipresnis (taip pat žr. 4.5 skyrių).</w:t>
      </w:r>
    </w:p>
    <w:p w14:paraId="1E23B4B0"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0"/>
        </w:rPr>
      </w:pPr>
    </w:p>
    <w:p w14:paraId="5AD788F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 xml:space="preserve">Pacientus, kuriems yra veiksnių, galinčių gydymo memantinu metu padidinti šlapimo pH (žr. 5.2 skyriaus poskyrį „Eliminacija“), būtina atidžiai prižiūrėti. Prie minėtų veiksnių priklauso esminis dietos pakeitimas, pvz., vietoj mėsiškų patiekalų pradėjus vartoti vegetariškų, arba didelio kiekio šarminamųjų buferinių medžiagų vartojimas. Be to, šlapimo pH gali padidėti inkstų kanalėlių acidozės metu ir sergant sunkia šlapimo organų infekcine liga, sukelta </w:t>
      </w:r>
      <w:r w:rsidRPr="00253DCF">
        <w:rPr>
          <w:rFonts w:ascii="Times New Roman" w:eastAsia="Times New Roman" w:hAnsi="Times New Roman" w:cs="Times New Roman"/>
          <w:i/>
          <w:snapToGrid w:val="0"/>
          <w:szCs w:val="20"/>
        </w:rPr>
        <w:t>Proteus</w:t>
      </w:r>
      <w:r w:rsidRPr="00253DCF">
        <w:rPr>
          <w:rFonts w:ascii="Times New Roman" w:eastAsia="Times New Roman" w:hAnsi="Times New Roman" w:cs="Times New Roman"/>
          <w:snapToGrid w:val="0"/>
          <w:szCs w:val="20"/>
        </w:rPr>
        <w:t xml:space="preserve"> bakterijų.</w:t>
      </w:r>
    </w:p>
    <w:p w14:paraId="19AD90EC"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0"/>
        </w:rPr>
      </w:pPr>
    </w:p>
    <w:p w14:paraId="329D5B84" w14:textId="77777777" w:rsidR="00CF1BFF" w:rsidRPr="00556077" w:rsidRDefault="00CF1BFF" w:rsidP="00CF1BFF">
      <w:pPr>
        <w:tabs>
          <w:tab w:val="left" w:pos="567"/>
        </w:tabs>
        <w:spacing w:after="0" w:line="260" w:lineRule="exact"/>
        <w:rPr>
          <w:rFonts w:ascii="Times New Roman" w:hAnsi="Times New Roman"/>
        </w:rPr>
      </w:pPr>
      <w:r w:rsidRPr="00253DCF">
        <w:rPr>
          <w:rFonts w:ascii="Times New Roman" w:eastAsia="Times New Roman" w:hAnsi="Times New Roman" w:cs="Times New Roman"/>
          <w:snapToGrid w:val="0"/>
          <w:szCs w:val="20"/>
        </w:rPr>
        <w:t>Ligoniai, kuriuos neseniai ištiko miokardo infarktas, kurie serga nekontroliuojama hipertenzija arba dekompensuotu staziniu širdies nepakankamumu (III-IV funkcinės klasės pagal Niujorko širdies asociacijos (NYHA) klasifikaciją), į daugumą klinikinių tyrimų įtraukti nebuvo. Dėl šios priežasties duomenų apie tokių pacientų gydymą yra nedaug ir juos gydymo metu būtina atidžiai prižiūrėti.</w:t>
      </w:r>
    </w:p>
    <w:p w14:paraId="59CCB01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C8D4E96" w14:textId="77777777" w:rsidR="00CF1BFF" w:rsidRPr="0082770E" w:rsidRDefault="00CF1BFF" w:rsidP="00CF1BFF">
      <w:pPr>
        <w:tabs>
          <w:tab w:val="left" w:pos="567"/>
        </w:tabs>
        <w:spacing w:after="0" w:line="260" w:lineRule="exact"/>
        <w:rPr>
          <w:rFonts w:ascii="Times New Roman" w:eastAsia="Times New Roman" w:hAnsi="Times New Roman" w:cs="Times New Roman"/>
          <w:snapToGrid w:val="0"/>
          <w:szCs w:val="24"/>
        </w:rPr>
      </w:pPr>
      <w:r w:rsidRPr="0082770E">
        <w:rPr>
          <w:rFonts w:ascii="Times New Roman" w:eastAsia="Times New Roman" w:hAnsi="Times New Roman" w:cs="Times New Roman"/>
          <w:snapToGrid w:val="0"/>
          <w:szCs w:val="24"/>
        </w:rPr>
        <w:t xml:space="preserve">Šio vaistinio preparato </w:t>
      </w:r>
      <w:r>
        <w:rPr>
          <w:rFonts w:ascii="Times New Roman" w:eastAsia="Times New Roman" w:hAnsi="Times New Roman" w:cs="Times New Roman"/>
          <w:snapToGrid w:val="0"/>
          <w:szCs w:val="24"/>
        </w:rPr>
        <w:t>plėvele dengtoje</w:t>
      </w:r>
      <w:r w:rsidRPr="0082770E">
        <w:rPr>
          <w:rFonts w:ascii="Times New Roman" w:eastAsia="Times New Roman" w:hAnsi="Times New Roman" w:cs="Times New Roman"/>
          <w:snapToGrid w:val="0"/>
          <w:szCs w:val="24"/>
        </w:rPr>
        <w:t xml:space="preserve"> tabletėje yra mažiau kaip 1 mmol (23 mg) natrio, t.</w:t>
      </w:r>
      <w:r>
        <w:rPr>
          <w:rFonts w:ascii="Times New Roman" w:eastAsia="Times New Roman" w:hAnsi="Times New Roman" w:cs="Times New Roman"/>
          <w:snapToGrid w:val="0"/>
          <w:szCs w:val="24"/>
        </w:rPr>
        <w:t xml:space="preserve"> </w:t>
      </w:r>
      <w:r w:rsidRPr="0082770E">
        <w:rPr>
          <w:rFonts w:ascii="Times New Roman" w:eastAsia="Times New Roman" w:hAnsi="Times New Roman" w:cs="Times New Roman"/>
          <w:snapToGrid w:val="0"/>
          <w:szCs w:val="24"/>
        </w:rPr>
        <w:t>y. jis beveik neturi reikšmės.</w:t>
      </w:r>
    </w:p>
    <w:p w14:paraId="740C823E"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4"/>
        </w:rPr>
      </w:pPr>
    </w:p>
    <w:p w14:paraId="1EED75BE"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4.5</w:t>
      </w:r>
      <w:r w:rsidRPr="00253DCF">
        <w:rPr>
          <w:rFonts w:ascii="Times New Roman" w:eastAsia="Times New Roman" w:hAnsi="Times New Roman" w:cs="Times New Roman"/>
          <w:b/>
          <w:bCs/>
          <w:snapToGrid w:val="0"/>
          <w:szCs w:val="28"/>
          <w:lang w:eastAsia="x-none"/>
        </w:rPr>
        <w:tab/>
        <w:t>Sąveika su kitais vaistiniais preparatais ir kitokia sąveika</w:t>
      </w:r>
    </w:p>
    <w:p w14:paraId="16CABF2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B153AA6"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lang w:eastAsia="lt-LT"/>
        </w:rPr>
        <w:t>Toliau nurodyta sąveika su kitais vaistiniais preparatais galima dėl memantino veikimo būdo ir dėl sukeliamo farmakologinio poveikio:</w:t>
      </w:r>
    </w:p>
    <w:p w14:paraId="7877E49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A888F08" w14:textId="77777777" w:rsidR="00CF1BFF" w:rsidRPr="00F8050D" w:rsidRDefault="00CF1BFF" w:rsidP="00CF1BFF">
      <w:pPr>
        <w:pStyle w:val="Sraopastraipa"/>
        <w:numPr>
          <w:ilvl w:val="0"/>
          <w:numId w:val="13"/>
        </w:numPr>
        <w:ind w:left="567" w:hanging="567"/>
        <w:rPr>
          <w:lang w:val="lt-LT"/>
        </w:rPr>
      </w:pPr>
      <w:r w:rsidRPr="00556077">
        <w:rPr>
          <w:lang w:val="lt-LT"/>
        </w:rPr>
        <w:t>Dėl veikimo būdo memantinas, kaip ir kiti NMDA antagonistai, gali stiprinti kartu vartojamų L-dopos, dopaminerginių agonistų bei anticholinerginių preparatų poveikį, silpninti barbitūratų ir neuroleptikų poveikį. Memantinas gali keisti kartu vartojamų skeleto raumenis atpalaiduojančių preparatų dantroleno bei baklofeno poveikį, todėl gali reikėti koreguoti jų dozę.</w:t>
      </w:r>
    </w:p>
    <w:p w14:paraId="53E3DF3A" w14:textId="77777777" w:rsidR="00CF1BFF" w:rsidRPr="00F8050D" w:rsidRDefault="00CF1BFF" w:rsidP="00CF1BFF">
      <w:pPr>
        <w:pStyle w:val="Sraopastraipa"/>
        <w:numPr>
          <w:ilvl w:val="0"/>
          <w:numId w:val="13"/>
        </w:numPr>
        <w:ind w:left="567" w:hanging="567"/>
        <w:rPr>
          <w:lang w:val="lt-LT"/>
        </w:rPr>
      </w:pPr>
      <w:r w:rsidRPr="00556077">
        <w:rPr>
          <w:lang w:val="lt-LT"/>
        </w:rPr>
        <w:t xml:space="preserve">Kartu su amantadinu memantino vartoti negalima, kadangi gali pasireikšti toksinė psichozė: abi veikliosios medžiagos yra panašios cheminės struktūros NMDA antagonistai. Panaši sąveika galima ir su ketaminu bei dekstrometorfanu (žr. 4.4 skyrių). </w:t>
      </w:r>
      <w:r w:rsidRPr="00F8050D">
        <w:rPr>
          <w:lang w:val="lt-LT"/>
        </w:rPr>
        <w:t>Remiantis vienu mokslinėje literatūroje aprašytu atveju, rizika galima ir kartu su memantinu vartojant fenitoino.</w:t>
      </w:r>
    </w:p>
    <w:p w14:paraId="67F78C2F" w14:textId="77777777" w:rsidR="00CF1BFF" w:rsidRPr="00F8050D" w:rsidRDefault="00CF1BFF" w:rsidP="00CF1BFF">
      <w:pPr>
        <w:pStyle w:val="Sraopastraipa"/>
        <w:numPr>
          <w:ilvl w:val="0"/>
          <w:numId w:val="13"/>
        </w:numPr>
        <w:ind w:left="567" w:hanging="567"/>
        <w:rPr>
          <w:lang w:val="lt-LT"/>
        </w:rPr>
      </w:pPr>
      <w:r w:rsidRPr="00556077">
        <w:rPr>
          <w:lang w:val="lt-LT"/>
        </w:rPr>
        <w:t>Kitos veikliosios medžiagos, kurios</w:t>
      </w:r>
      <w:r w:rsidRPr="00F8050D">
        <w:rPr>
          <w:lang w:val="lt-LT"/>
        </w:rPr>
        <w:t xml:space="preserve"> iš organizmo išskiriamos veikiant tai pačiai inkstų katijonų pernešimo sistemai kaip ir memantinas (pvz., cimetidinas, ranitidinas, prokainamidas, chinidinas, chininas, nikotinas), gali didinti jo koncentraciją kraujyje. </w:t>
      </w:r>
    </w:p>
    <w:p w14:paraId="1EC9D84B" w14:textId="77777777" w:rsidR="00CF1BFF" w:rsidRPr="00F8050D" w:rsidRDefault="00CF1BFF" w:rsidP="00CF1BFF">
      <w:pPr>
        <w:pStyle w:val="Sraopastraipa"/>
        <w:numPr>
          <w:ilvl w:val="0"/>
          <w:numId w:val="13"/>
        </w:numPr>
        <w:ind w:left="567" w:hanging="567"/>
        <w:rPr>
          <w:lang w:val="lt-LT"/>
        </w:rPr>
      </w:pPr>
      <w:r w:rsidRPr="00556077">
        <w:rPr>
          <w:lang w:val="lt-LT"/>
        </w:rPr>
        <w:t>Kartu su memantinu vartojant</w:t>
      </w:r>
      <w:r w:rsidRPr="00F8050D">
        <w:rPr>
          <w:lang w:val="lt-LT"/>
        </w:rPr>
        <w:t xml:space="preserve"> hidrochlorotiazido arba sudėtinio jo preparato, gali sumažėti hidrochlorotiazido kiekis kraujo serume.</w:t>
      </w:r>
    </w:p>
    <w:p w14:paraId="407B7A55" w14:textId="77777777" w:rsidR="00CF1BFF" w:rsidRPr="00F8050D" w:rsidRDefault="00CF1BFF" w:rsidP="00CF1BFF">
      <w:pPr>
        <w:pStyle w:val="Sraopastraipa"/>
        <w:numPr>
          <w:ilvl w:val="0"/>
          <w:numId w:val="13"/>
        </w:numPr>
        <w:ind w:left="567" w:hanging="567"/>
        <w:rPr>
          <w:lang w:val="lt-LT"/>
        </w:rPr>
      </w:pPr>
      <w:r w:rsidRPr="00F8050D">
        <w:rPr>
          <w:lang w:val="lt-LT"/>
        </w:rPr>
        <w:t>Gydant po to, kai MANTOMED pateko į rinką, pacientams, kurie kartu su šiuo vaistiniu preparatu vartojo varfarino, pavieniais atvejais padidėjo tarptautinis normalizuotas santykis (TNS). Nors priežastinis tokio pokyčio ryšys nenustatytas, tačiau pacientams, gydomiems MANTOMED ir kartu geriamaisiais antikoaguliantais, patariama atidžiai sekti protrombino laiką arba TNS.</w:t>
      </w:r>
    </w:p>
    <w:p w14:paraId="5C10D47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CB48F7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Sveikiems jauniems individams atliktuose vienos dozes farmakokinetikos tyrimuose veikliųjų medžiagų sąveikos tarp gliburido/metformino ar donepezilo ir memantino nenustatyta.</w:t>
      </w:r>
    </w:p>
    <w:p w14:paraId="05EF6ED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D7CF07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Sveikiems jauniems individams atliktuose klinikiniuose tyrimuose memantino poveikio galantamino farmakokinetikai nenustatyta.</w:t>
      </w:r>
    </w:p>
    <w:p w14:paraId="4D212F4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D1FF69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CYP izofermentų (1A2, 2A6, 2C9, 2D6, 2E1 bei 3A), monooksigenazės, kurios sudėtyje yra flavino, epoksido hidralazės ar sulfatacijos, memantinas </w:t>
      </w:r>
      <w:r w:rsidRPr="00253DCF">
        <w:rPr>
          <w:rFonts w:ascii="Times New Roman" w:hAnsi="Times New Roman"/>
          <w:i/>
        </w:rPr>
        <w:t>in vitro</w:t>
      </w:r>
      <w:r w:rsidRPr="00253DCF">
        <w:rPr>
          <w:rFonts w:ascii="Times New Roman" w:eastAsia="Times New Roman" w:hAnsi="Times New Roman" w:cs="Times New Roman"/>
          <w:snapToGrid w:val="0"/>
          <w:szCs w:val="24"/>
        </w:rPr>
        <w:t xml:space="preserve"> neslopina.</w:t>
      </w:r>
    </w:p>
    <w:p w14:paraId="1E44988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89BAB43"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4.6</w:t>
      </w:r>
      <w:r w:rsidRPr="00253DCF">
        <w:rPr>
          <w:rFonts w:ascii="Times New Roman" w:eastAsia="Times New Roman" w:hAnsi="Times New Roman" w:cs="Times New Roman"/>
          <w:b/>
          <w:bCs/>
          <w:snapToGrid w:val="0"/>
          <w:szCs w:val="28"/>
          <w:lang w:eastAsia="x-none"/>
        </w:rPr>
        <w:tab/>
        <w:t>Vaisingumas, nėštumo ir žindymo laikotarpis</w:t>
      </w:r>
    </w:p>
    <w:p w14:paraId="170602B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CA38E2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color w:val="0D0D0D"/>
          <w:szCs w:val="24"/>
          <w:u w:val="single"/>
        </w:rPr>
      </w:pPr>
      <w:r w:rsidRPr="00253DCF">
        <w:rPr>
          <w:rFonts w:ascii="Times New Roman" w:eastAsia="Times New Roman" w:hAnsi="Times New Roman" w:cs="Times New Roman"/>
          <w:snapToGrid w:val="0"/>
          <w:color w:val="0D0D0D"/>
          <w:szCs w:val="24"/>
          <w:u w:val="single"/>
        </w:rPr>
        <w:t>Nėštumas</w:t>
      </w:r>
    </w:p>
    <w:p w14:paraId="099186A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color w:val="0D0D0D"/>
          <w:szCs w:val="24"/>
        </w:rPr>
      </w:pPr>
      <w:r>
        <w:rPr>
          <w:rFonts w:ascii="Times New Roman" w:eastAsia="Times New Roman" w:hAnsi="Times New Roman" w:cs="Times New Roman"/>
          <w:snapToGrid w:val="0"/>
          <w:color w:val="0D0D0D"/>
          <w:szCs w:val="24"/>
        </w:rPr>
        <w:t>D</w:t>
      </w:r>
      <w:r w:rsidRPr="00D66DF5">
        <w:rPr>
          <w:rFonts w:ascii="Times New Roman" w:eastAsia="Times New Roman" w:hAnsi="Times New Roman" w:cs="Times New Roman"/>
          <w:snapToGrid w:val="0"/>
          <w:color w:val="0D0D0D"/>
          <w:szCs w:val="24"/>
        </w:rPr>
        <w:t>uomenų</w:t>
      </w:r>
      <w:r w:rsidRPr="00253DCF">
        <w:rPr>
          <w:rFonts w:ascii="Times New Roman" w:eastAsia="Times New Roman" w:hAnsi="Times New Roman" w:cs="Times New Roman"/>
          <w:snapToGrid w:val="0"/>
          <w:color w:val="0D0D0D"/>
          <w:szCs w:val="24"/>
        </w:rPr>
        <w:t xml:space="preserve"> apie memantino vartojimą nėštumo metu nėra</w:t>
      </w:r>
      <w:r>
        <w:rPr>
          <w:rFonts w:ascii="Times New Roman" w:eastAsia="Times New Roman" w:hAnsi="Times New Roman" w:cs="Times New Roman"/>
          <w:snapToGrid w:val="0"/>
          <w:color w:val="0D0D0D"/>
          <w:szCs w:val="24"/>
        </w:rPr>
        <w:t xml:space="preserve"> arba jų nepakanka</w:t>
      </w:r>
      <w:r w:rsidRPr="00253DCF">
        <w:rPr>
          <w:rFonts w:ascii="Times New Roman" w:eastAsia="Times New Roman" w:hAnsi="Times New Roman" w:cs="Times New Roman"/>
          <w:snapToGrid w:val="0"/>
          <w:color w:val="0D0D0D"/>
          <w:szCs w:val="24"/>
        </w:rPr>
        <w:t>. Su gyvūnais atlikti tyrimai parodė, kad kai memantino ekspozicija buvo tokia pat arba šiek tiek didesnė, nei būna žmogaus organizme, sulėtėja vaisiaus augimas (žr. 5.3 skyrių). Galimas pavojus žmogui nežinomas. Nėščias moteris memantinu galima gydyti tik jei neabejotinai būtina.</w:t>
      </w:r>
    </w:p>
    <w:p w14:paraId="2EE75A4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color w:val="0D0D0D"/>
          <w:szCs w:val="24"/>
        </w:rPr>
      </w:pPr>
    </w:p>
    <w:p w14:paraId="7C7F5D0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color w:val="0D0D0D"/>
          <w:szCs w:val="24"/>
          <w:u w:val="single"/>
        </w:rPr>
      </w:pPr>
      <w:r w:rsidRPr="00253DCF">
        <w:rPr>
          <w:rFonts w:ascii="Times New Roman" w:eastAsia="Times New Roman" w:hAnsi="Times New Roman" w:cs="Times New Roman"/>
          <w:snapToGrid w:val="0"/>
          <w:color w:val="0D0D0D"/>
          <w:szCs w:val="24"/>
          <w:u w:val="single"/>
        </w:rPr>
        <w:t>Žindymas</w:t>
      </w:r>
    </w:p>
    <w:p w14:paraId="3D211D2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color w:val="0D0D0D"/>
          <w:szCs w:val="20"/>
        </w:rPr>
      </w:pPr>
      <w:r w:rsidRPr="00253DCF">
        <w:rPr>
          <w:rFonts w:ascii="Times New Roman" w:eastAsia="Times New Roman" w:hAnsi="Times New Roman" w:cs="Times New Roman"/>
          <w:snapToGrid w:val="0"/>
          <w:color w:val="0D0D0D"/>
          <w:szCs w:val="24"/>
        </w:rPr>
        <w:t>Ar memantinas išsiskiria su motinos pienu, nežinoma, tačiau memantinas yra lipofilinė medžiaga, todėl į pieną patekti gali. Memantino vartojančioms moterims žindyti negalima.</w:t>
      </w:r>
    </w:p>
    <w:p w14:paraId="3A6836D0" w14:textId="77777777" w:rsidR="00CF1BFF" w:rsidRPr="00556077" w:rsidRDefault="00CF1BFF" w:rsidP="00CF1BFF">
      <w:pPr>
        <w:tabs>
          <w:tab w:val="left" w:pos="567"/>
        </w:tabs>
        <w:spacing w:after="0" w:line="260" w:lineRule="exact"/>
        <w:rPr>
          <w:rFonts w:ascii="Times New Roman" w:hAnsi="Times New Roman"/>
          <w:color w:val="0D0D0D"/>
        </w:rPr>
      </w:pPr>
    </w:p>
    <w:p w14:paraId="4B0B94A4" w14:textId="77777777" w:rsidR="00CF1BFF" w:rsidRPr="00312473" w:rsidRDefault="00CF1BFF" w:rsidP="00CF1BFF">
      <w:pPr>
        <w:tabs>
          <w:tab w:val="left" w:pos="567"/>
        </w:tabs>
        <w:spacing w:after="0" w:line="260" w:lineRule="exact"/>
        <w:rPr>
          <w:rFonts w:ascii="Times New Roman" w:eastAsia="Times New Roman" w:hAnsi="Times New Roman" w:cs="Times New Roman"/>
          <w:i/>
          <w:iCs/>
          <w:snapToGrid w:val="0"/>
          <w:color w:val="0D0D0D"/>
          <w:szCs w:val="20"/>
        </w:rPr>
      </w:pPr>
      <w:r w:rsidRPr="00312473">
        <w:rPr>
          <w:rFonts w:ascii="Times New Roman" w:eastAsia="Times New Roman" w:hAnsi="Times New Roman" w:cs="Times New Roman"/>
          <w:i/>
          <w:iCs/>
          <w:snapToGrid w:val="0"/>
          <w:color w:val="0D0D0D"/>
          <w:szCs w:val="20"/>
        </w:rPr>
        <w:t>Vaisingumas</w:t>
      </w:r>
    </w:p>
    <w:p w14:paraId="16523192"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color w:val="0D0D0D"/>
          <w:szCs w:val="20"/>
        </w:rPr>
      </w:pPr>
      <w:r w:rsidRPr="00312473">
        <w:rPr>
          <w:rFonts w:ascii="Times New Roman" w:eastAsia="Times New Roman" w:hAnsi="Times New Roman" w:cs="Times New Roman"/>
          <w:snapToGrid w:val="0"/>
          <w:color w:val="0D0D0D"/>
          <w:szCs w:val="20"/>
        </w:rPr>
        <w:t>Nepageidaujamo memantino poveikio vyrų ir moterų vaisingumui nepastebėta.</w:t>
      </w:r>
    </w:p>
    <w:p w14:paraId="6A446748" w14:textId="77777777" w:rsidR="00CF1BFF" w:rsidRPr="00D66DF5" w:rsidRDefault="00CF1BFF" w:rsidP="00CF1BFF">
      <w:pPr>
        <w:tabs>
          <w:tab w:val="left" w:pos="567"/>
        </w:tabs>
        <w:spacing w:after="0" w:line="260" w:lineRule="exact"/>
        <w:rPr>
          <w:rFonts w:ascii="Times New Roman" w:eastAsia="Times New Roman" w:hAnsi="Times New Roman" w:cs="Times New Roman"/>
          <w:snapToGrid w:val="0"/>
          <w:szCs w:val="24"/>
        </w:rPr>
      </w:pPr>
    </w:p>
    <w:p w14:paraId="5D3B2CAA"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4.7</w:t>
      </w:r>
      <w:r w:rsidRPr="00253DCF">
        <w:rPr>
          <w:rFonts w:ascii="Times New Roman" w:eastAsia="Times New Roman" w:hAnsi="Times New Roman" w:cs="Times New Roman"/>
          <w:b/>
          <w:bCs/>
          <w:snapToGrid w:val="0"/>
          <w:szCs w:val="28"/>
          <w:lang w:eastAsia="x-none"/>
        </w:rPr>
        <w:tab/>
        <w:t>Poveikis gebėjimui vairuoti ir valdyti mechanizmus</w:t>
      </w:r>
    </w:p>
    <w:p w14:paraId="422D6B1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37262C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Sergant vidutinio sunkumo arba sunkia Alzheimerio liga, gebėjimas vairuoti ir valdyti mechanizmus paprastai sutrinka. MANTOMED gali silpnai arba vidutiniškai paveikti gebėjimą vairuoti ir valdyti</w:t>
      </w:r>
    </w:p>
    <w:p w14:paraId="3644CEE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mechanizmus, todėl pacientus būtina apie tai įspėti.</w:t>
      </w:r>
    </w:p>
    <w:p w14:paraId="08C14C0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A8D9A07" w14:textId="77777777" w:rsidR="00CF1BFF" w:rsidRPr="00253DCF" w:rsidRDefault="00CF1BFF" w:rsidP="00CF1BFF">
      <w:pPr>
        <w:tabs>
          <w:tab w:val="left" w:pos="567"/>
        </w:tabs>
        <w:spacing w:after="0" w:line="240" w:lineRule="auto"/>
        <w:outlineLvl w:val="0"/>
        <w:rPr>
          <w:rFonts w:ascii="Times New Roman" w:eastAsia="Times New Roman" w:hAnsi="Times New Roman" w:cs="Times New Roman"/>
          <w:snapToGrid w:val="0"/>
          <w:szCs w:val="20"/>
        </w:rPr>
      </w:pPr>
      <w:r w:rsidRPr="00253DCF">
        <w:rPr>
          <w:rFonts w:ascii="Times New Roman" w:eastAsia="Times New Roman" w:hAnsi="Times New Roman" w:cs="Times New Roman"/>
          <w:b/>
          <w:snapToGrid w:val="0"/>
          <w:szCs w:val="20"/>
        </w:rPr>
        <w:t>4.8</w:t>
      </w:r>
      <w:r w:rsidRPr="00253DCF">
        <w:rPr>
          <w:rFonts w:ascii="Times New Roman" w:eastAsia="Times New Roman" w:hAnsi="Times New Roman" w:cs="Times New Roman"/>
          <w:b/>
          <w:snapToGrid w:val="0"/>
          <w:szCs w:val="20"/>
        </w:rPr>
        <w:tab/>
        <w:t>Nepageidaujamas poveikis</w:t>
      </w:r>
    </w:p>
    <w:p w14:paraId="255AEC5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u w:val="single"/>
        </w:rPr>
      </w:pPr>
    </w:p>
    <w:p w14:paraId="2C2896F3" w14:textId="77777777" w:rsidR="00CF1BFF" w:rsidRPr="008C3FF2" w:rsidRDefault="00CF1BFF" w:rsidP="00CF1BFF">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Saugumo duomenų santrauka</w:t>
      </w:r>
    </w:p>
    <w:p w14:paraId="2C33B29C" w14:textId="77777777" w:rsidR="00CF1BFF" w:rsidRPr="00253DCF" w:rsidRDefault="00CF1BFF" w:rsidP="00CF1BFF">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Klinikinių tyrimų metu 1784 lengva, vidutinio sunkumo ar sunkia Alzheimerio liga sergantys ligoniai buvo gydyti memantinu, 1596 - placebu. Bendras nepageidaujamų reakcijų dažnis memantinu gydomiems tiriamiesiems buvo toks pat, kaip placebo vartojusiems pacientams. Paprastai nepageidaujamos reakcijos būdavo lengvos arba vidutinio sunkumo. Dažniausios nepageidaujamos reakcijos, kurios memantinu gydomiems ligoniams pasireiškė dažniau, negu vartojusiems placebo, buvo svaigulys (atitinkamai 6,3</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5,6</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galvos skausmas (atitinkamai 5,2</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3,9</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vidurių užkietėjimas (atitinkamai 4,6</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2,6</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somnolencija (atitinkamai 3,4</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2,2</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hipertenzija (atitinkamai 4,1</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 ir 2,8</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rPr>
        <w:t>%).</w:t>
      </w:r>
    </w:p>
    <w:p w14:paraId="5657C557" w14:textId="77777777" w:rsidR="00CF1BFF" w:rsidRPr="00253DCF" w:rsidRDefault="00CF1BFF" w:rsidP="00CF1BFF">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03A7D11" w14:textId="77777777" w:rsidR="00CF1BFF" w:rsidRPr="008C3FF2" w:rsidRDefault="00CF1BFF" w:rsidP="00CF1BFF">
      <w:pPr>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Nepageidaujamų reakcijų santrauka lentelėje</w:t>
      </w:r>
    </w:p>
    <w:p w14:paraId="5EDC9C36" w14:textId="77777777" w:rsidR="00CF1BFF" w:rsidRPr="00253DCF" w:rsidRDefault="00CF1BFF" w:rsidP="00CF1BFF">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szCs w:val="20"/>
        </w:rPr>
        <w:t>Lentelėje išvardytos nepageidaujamos reakcijos, pasireiškusios memantino vartojusiems pacientams klinikinių tyrimų metu ir po to, kai preparatas pateko į rinką. Kiekvienoje dažnio grupėje nepageidaujamas poveikis pateikiamas mažėjančio sunkumo tvarka.</w:t>
      </w:r>
    </w:p>
    <w:p w14:paraId="5061B5CF" w14:textId="77777777" w:rsidR="00CF1BFF" w:rsidRPr="00253DCF" w:rsidRDefault="00CF1BFF" w:rsidP="00CF1BFF">
      <w:pPr>
        <w:tabs>
          <w:tab w:val="left" w:pos="567"/>
        </w:tabs>
        <w:autoSpaceDE w:val="0"/>
        <w:autoSpaceDN w:val="0"/>
        <w:adjustRightInd w:val="0"/>
        <w:spacing w:after="0" w:line="360" w:lineRule="auto"/>
        <w:jc w:val="both"/>
        <w:rPr>
          <w:rFonts w:ascii="Times New Roman" w:eastAsia="Times New Roman" w:hAnsi="Times New Roman" w:cs="Times New Roman"/>
          <w:snapToGrid w:val="0"/>
        </w:rPr>
      </w:pPr>
    </w:p>
    <w:p w14:paraId="4F88A788"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Nepageidaujamo poveikio, suskirstyto pagal organų sistemų klases, dažnis apibūdinamas taip: labai dažnas (≥ 1/10), dažnas (nuo ≥ 1/100 iki &lt; 1/10), nedažnas (nuo ≥ 1/1 000 iki &lt; 1/100), retas (nuo ≥ 1/10 000 iki &lt; 1/1000), labai retas (&lt; 1/10 000) ir dažnis nežinomas (negali būti apskaičiuotas pagal turimus duomenis).</w:t>
      </w:r>
      <w:r w:rsidRPr="008C3FF2">
        <w:t xml:space="preserve"> </w:t>
      </w:r>
      <w:r w:rsidRPr="008C3FF2">
        <w:rPr>
          <w:rFonts w:ascii="Times New Roman" w:eastAsia="Times New Roman" w:hAnsi="Times New Roman" w:cs="Times New Roman"/>
          <w:snapToGrid w:val="0"/>
        </w:rPr>
        <w:t>Kiekvienoje dažnio grupėje nepageidaujamas poveikis pateikiamas mažėjančio sunkumo tvarka.</w:t>
      </w:r>
    </w:p>
    <w:p w14:paraId="488FE45F" w14:textId="77777777" w:rsidR="00CF1BFF" w:rsidRPr="00253DCF" w:rsidRDefault="00CF1BFF" w:rsidP="00CF1BFF">
      <w:pPr>
        <w:tabs>
          <w:tab w:val="left" w:pos="567"/>
        </w:tabs>
        <w:autoSpaceDE w:val="0"/>
        <w:autoSpaceDN w:val="0"/>
        <w:adjustRightInd w:val="0"/>
        <w:spacing w:after="0" w:line="360" w:lineRule="auto"/>
        <w:jc w:val="both"/>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788"/>
        <w:gridCol w:w="1465"/>
        <w:gridCol w:w="1744"/>
        <w:gridCol w:w="897"/>
        <w:gridCol w:w="1053"/>
        <w:gridCol w:w="1653"/>
      </w:tblGrid>
      <w:tr w:rsidR="00CF1BFF" w:rsidRPr="00253DCF" w14:paraId="2AE181C2" w14:textId="77777777" w:rsidTr="00B97802">
        <w:tc>
          <w:tcPr>
            <w:tcW w:w="0" w:type="auto"/>
            <w:shd w:val="clear" w:color="auto" w:fill="auto"/>
            <w:tcMar>
              <w:left w:w="28" w:type="dxa"/>
              <w:right w:w="28" w:type="dxa"/>
            </w:tcMar>
          </w:tcPr>
          <w:p w14:paraId="5338F3CA" w14:textId="77777777" w:rsidR="00CF1BFF" w:rsidRPr="00253DCF" w:rsidRDefault="00CF1BFF" w:rsidP="00B97802">
            <w:pPr>
              <w:tabs>
                <w:tab w:val="left" w:pos="0"/>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Organų sistemos klasė</w:t>
            </w:r>
          </w:p>
        </w:tc>
        <w:tc>
          <w:tcPr>
            <w:tcW w:w="0" w:type="auto"/>
            <w:tcMar>
              <w:left w:w="28" w:type="dxa"/>
              <w:right w:w="28" w:type="dxa"/>
            </w:tcMar>
          </w:tcPr>
          <w:p w14:paraId="4AED801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Labai dažnas (≥ 1/10)</w:t>
            </w:r>
          </w:p>
        </w:tc>
        <w:tc>
          <w:tcPr>
            <w:tcW w:w="0" w:type="auto"/>
            <w:tcMar>
              <w:left w:w="28" w:type="dxa"/>
              <w:right w:w="28" w:type="dxa"/>
            </w:tcMar>
          </w:tcPr>
          <w:p w14:paraId="14571DC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Dažnas (nuo ≥ 1/100 iki &lt; 1/10)</w:t>
            </w:r>
          </w:p>
        </w:tc>
        <w:tc>
          <w:tcPr>
            <w:tcW w:w="0" w:type="auto"/>
            <w:tcMar>
              <w:left w:w="28" w:type="dxa"/>
              <w:right w:w="28" w:type="dxa"/>
            </w:tcMar>
          </w:tcPr>
          <w:p w14:paraId="6D1D98E7"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Nedažnas (nuo ≥ 1/1 000 iki &lt; 1/100)</w:t>
            </w:r>
          </w:p>
        </w:tc>
        <w:tc>
          <w:tcPr>
            <w:tcW w:w="0" w:type="auto"/>
            <w:tcMar>
              <w:left w:w="28" w:type="dxa"/>
              <w:right w:w="28" w:type="dxa"/>
            </w:tcMar>
          </w:tcPr>
          <w:p w14:paraId="237FD8AB"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Retas (nuo ≥ 1/10 000 iki &lt; 1/1000)</w:t>
            </w:r>
          </w:p>
        </w:tc>
        <w:tc>
          <w:tcPr>
            <w:tcW w:w="0" w:type="auto"/>
            <w:tcMar>
              <w:left w:w="28" w:type="dxa"/>
              <w:right w:w="28" w:type="dxa"/>
            </w:tcMar>
          </w:tcPr>
          <w:p w14:paraId="7AA7F09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r w:rsidRPr="00253DCF">
              <w:rPr>
                <w:rFonts w:ascii="Times New Roman" w:eastAsia="Times New Roman" w:hAnsi="Times New Roman" w:cs="Times New Roman"/>
                <w:b/>
                <w:bCs/>
                <w:snapToGrid w:val="0"/>
              </w:rPr>
              <w:t>Labai retas (&lt; 1/10 000)</w:t>
            </w:r>
          </w:p>
        </w:tc>
        <w:tc>
          <w:tcPr>
            <w:tcW w:w="0" w:type="auto"/>
            <w:tcMar>
              <w:left w:w="28" w:type="dxa"/>
              <w:right w:w="28" w:type="dxa"/>
            </w:tcMar>
          </w:tcPr>
          <w:p w14:paraId="17C67E5F" w14:textId="77777777" w:rsidR="00CF1BFF" w:rsidRPr="00253DCF" w:rsidRDefault="00CF1BFF" w:rsidP="00B97802">
            <w:pPr>
              <w:tabs>
                <w:tab w:val="left" w:pos="567"/>
              </w:tabs>
              <w:spacing w:after="0" w:line="240" w:lineRule="auto"/>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Dažnis nežinomas (negali būti apskaičiuotas pagal turimus duomenis).</w:t>
            </w:r>
          </w:p>
          <w:p w14:paraId="34EAB2FE"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b/>
                <w:snapToGrid w:val="0"/>
                <w:highlight w:val="yellow"/>
              </w:rPr>
            </w:pPr>
          </w:p>
        </w:tc>
      </w:tr>
      <w:tr w:rsidR="00CF1BFF" w:rsidRPr="00253DCF" w14:paraId="6B0E7631" w14:textId="77777777" w:rsidTr="00B97802">
        <w:tc>
          <w:tcPr>
            <w:tcW w:w="0" w:type="auto"/>
            <w:tcMar>
              <w:left w:w="28" w:type="dxa"/>
              <w:right w:w="28" w:type="dxa"/>
            </w:tcMar>
          </w:tcPr>
          <w:p w14:paraId="283BADE5"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Infekcijos ir infestacijos</w:t>
            </w:r>
          </w:p>
        </w:tc>
        <w:tc>
          <w:tcPr>
            <w:tcW w:w="0" w:type="auto"/>
            <w:tcMar>
              <w:left w:w="28" w:type="dxa"/>
              <w:right w:w="28" w:type="dxa"/>
            </w:tcMar>
          </w:tcPr>
          <w:p w14:paraId="148AE96F"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302A067D"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5747C7F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Grybelinė infekcija</w:t>
            </w:r>
          </w:p>
        </w:tc>
        <w:tc>
          <w:tcPr>
            <w:tcW w:w="0" w:type="auto"/>
            <w:tcMar>
              <w:left w:w="28" w:type="dxa"/>
              <w:right w:w="28" w:type="dxa"/>
            </w:tcMar>
          </w:tcPr>
          <w:p w14:paraId="77CF57C5"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6867293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58A5C8A0"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r>
      <w:tr w:rsidR="00CF1BFF" w:rsidRPr="00253DCF" w14:paraId="7A1D77A5" w14:textId="77777777" w:rsidTr="00B97802">
        <w:tc>
          <w:tcPr>
            <w:tcW w:w="0" w:type="auto"/>
            <w:tcMar>
              <w:left w:w="28" w:type="dxa"/>
              <w:right w:w="28" w:type="dxa"/>
            </w:tcMar>
          </w:tcPr>
          <w:p w14:paraId="24D92E5D"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Imuninės sistemos sutrikimai</w:t>
            </w:r>
          </w:p>
        </w:tc>
        <w:tc>
          <w:tcPr>
            <w:tcW w:w="0" w:type="auto"/>
            <w:tcMar>
              <w:left w:w="28" w:type="dxa"/>
              <w:right w:w="28" w:type="dxa"/>
            </w:tcMar>
          </w:tcPr>
          <w:p w14:paraId="3AD4634D"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00F25FB0"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Padidėjęs jautrumas vaistui</w:t>
            </w:r>
          </w:p>
        </w:tc>
        <w:tc>
          <w:tcPr>
            <w:tcW w:w="0" w:type="auto"/>
            <w:tcMar>
              <w:left w:w="28" w:type="dxa"/>
              <w:right w:w="28" w:type="dxa"/>
            </w:tcMar>
          </w:tcPr>
          <w:p w14:paraId="6D4D86D3"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523A4D1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21ABEA6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5B4B7D9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r>
      <w:tr w:rsidR="00CF1BFF" w:rsidRPr="00253DCF" w14:paraId="62864A66" w14:textId="77777777" w:rsidTr="00B97802">
        <w:tc>
          <w:tcPr>
            <w:tcW w:w="0" w:type="auto"/>
            <w:tcMar>
              <w:left w:w="28" w:type="dxa"/>
              <w:right w:w="28" w:type="dxa"/>
            </w:tcMar>
          </w:tcPr>
          <w:p w14:paraId="5783EFD3"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Psichikos sutrikimai</w:t>
            </w:r>
          </w:p>
        </w:tc>
        <w:tc>
          <w:tcPr>
            <w:tcW w:w="0" w:type="auto"/>
            <w:tcMar>
              <w:left w:w="28" w:type="dxa"/>
              <w:right w:w="28" w:type="dxa"/>
            </w:tcMar>
          </w:tcPr>
          <w:p w14:paraId="7B94474B"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027FF9B1"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Mieguistumas</w:t>
            </w:r>
          </w:p>
        </w:tc>
        <w:tc>
          <w:tcPr>
            <w:tcW w:w="0" w:type="auto"/>
            <w:tcMar>
              <w:left w:w="28" w:type="dxa"/>
              <w:right w:w="28" w:type="dxa"/>
            </w:tcMar>
          </w:tcPr>
          <w:p w14:paraId="029AAF15"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Sumišimas</w:t>
            </w:r>
            <w:r w:rsidRPr="00253DCF">
              <w:rPr>
                <w:rFonts w:ascii="Times New Roman" w:eastAsia="Times New Roman" w:hAnsi="Times New Roman" w:cs="Times New Roman"/>
                <w:snapToGrid w:val="0"/>
                <w:vertAlign w:val="superscript"/>
              </w:rPr>
              <w:t>1</w:t>
            </w:r>
          </w:p>
          <w:p w14:paraId="033B597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vertAlign w:val="superscript"/>
              </w:rPr>
            </w:pPr>
            <w:r w:rsidRPr="00253DCF">
              <w:rPr>
                <w:rFonts w:ascii="Times New Roman" w:eastAsia="Times New Roman" w:hAnsi="Times New Roman" w:cs="Times New Roman"/>
                <w:snapToGrid w:val="0"/>
              </w:rPr>
              <w:t>Haliucinacijos</w:t>
            </w:r>
            <w:r w:rsidRPr="00253DCF">
              <w:rPr>
                <w:rFonts w:ascii="Times New Roman" w:eastAsia="Times New Roman" w:hAnsi="Times New Roman" w:cs="Times New Roman"/>
                <w:snapToGrid w:val="0"/>
                <w:vertAlign w:val="superscript"/>
              </w:rPr>
              <w:t>1</w:t>
            </w:r>
          </w:p>
        </w:tc>
        <w:tc>
          <w:tcPr>
            <w:tcW w:w="0" w:type="auto"/>
            <w:tcMar>
              <w:left w:w="28" w:type="dxa"/>
              <w:right w:w="28" w:type="dxa"/>
            </w:tcMar>
          </w:tcPr>
          <w:p w14:paraId="16E370AF"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2E66A89B"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335F1A7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Psichozės reakcijos</w:t>
            </w:r>
            <w:r w:rsidRPr="00253DCF">
              <w:rPr>
                <w:rFonts w:ascii="Times New Roman" w:eastAsia="Times New Roman" w:hAnsi="Times New Roman" w:cs="Times New Roman"/>
                <w:snapToGrid w:val="0"/>
                <w:vertAlign w:val="superscript"/>
              </w:rPr>
              <w:t>2</w:t>
            </w:r>
          </w:p>
        </w:tc>
      </w:tr>
      <w:tr w:rsidR="00CF1BFF" w:rsidRPr="00253DCF" w14:paraId="7226CC6A" w14:textId="77777777" w:rsidTr="00B97802">
        <w:tc>
          <w:tcPr>
            <w:tcW w:w="0" w:type="auto"/>
            <w:tcMar>
              <w:left w:w="28" w:type="dxa"/>
              <w:right w:w="28" w:type="dxa"/>
            </w:tcMar>
          </w:tcPr>
          <w:p w14:paraId="54E113BB"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Nervų sistemos sutrikimai</w:t>
            </w:r>
          </w:p>
        </w:tc>
        <w:tc>
          <w:tcPr>
            <w:tcW w:w="0" w:type="auto"/>
            <w:tcMar>
              <w:left w:w="28" w:type="dxa"/>
              <w:right w:w="28" w:type="dxa"/>
            </w:tcMar>
          </w:tcPr>
          <w:p w14:paraId="59BEBD41"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056F5C0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Svaigulys</w:t>
            </w:r>
          </w:p>
          <w:p w14:paraId="1C2A4439"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Pusiausvyros sutrikimai</w:t>
            </w:r>
          </w:p>
        </w:tc>
        <w:tc>
          <w:tcPr>
            <w:tcW w:w="0" w:type="auto"/>
            <w:tcMar>
              <w:left w:w="28" w:type="dxa"/>
              <w:right w:w="28" w:type="dxa"/>
            </w:tcMar>
          </w:tcPr>
          <w:p w14:paraId="1C8803B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Eisenos sutrikimas</w:t>
            </w:r>
          </w:p>
        </w:tc>
        <w:tc>
          <w:tcPr>
            <w:tcW w:w="0" w:type="auto"/>
            <w:tcMar>
              <w:left w:w="28" w:type="dxa"/>
              <w:right w:w="28" w:type="dxa"/>
            </w:tcMar>
          </w:tcPr>
          <w:p w14:paraId="2903687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02CC313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Traukuliai</w:t>
            </w:r>
          </w:p>
        </w:tc>
        <w:tc>
          <w:tcPr>
            <w:tcW w:w="0" w:type="auto"/>
            <w:tcMar>
              <w:left w:w="28" w:type="dxa"/>
              <w:right w:w="28" w:type="dxa"/>
            </w:tcMar>
          </w:tcPr>
          <w:p w14:paraId="6E87FDF7" w14:textId="77777777" w:rsidR="00CF1BFF" w:rsidRPr="00253DCF" w:rsidRDefault="00CF1BFF" w:rsidP="00B97802">
            <w:pPr>
              <w:tabs>
                <w:tab w:val="left" w:pos="567"/>
              </w:tabs>
              <w:spacing w:after="0" w:line="240" w:lineRule="auto"/>
              <w:rPr>
                <w:rFonts w:ascii="Times New Roman" w:eastAsia="Times New Roman" w:hAnsi="Times New Roman" w:cs="Times New Roman"/>
                <w:snapToGrid w:val="0"/>
              </w:rPr>
            </w:pPr>
          </w:p>
        </w:tc>
      </w:tr>
      <w:tr w:rsidR="00CF1BFF" w:rsidRPr="00253DCF" w14:paraId="11E9FA07" w14:textId="77777777" w:rsidTr="00B97802">
        <w:tc>
          <w:tcPr>
            <w:tcW w:w="0" w:type="auto"/>
            <w:tcMar>
              <w:left w:w="28" w:type="dxa"/>
              <w:right w:w="28" w:type="dxa"/>
            </w:tcMar>
          </w:tcPr>
          <w:p w14:paraId="557CEDA0"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Širdies sutrikimai</w:t>
            </w:r>
          </w:p>
        </w:tc>
        <w:tc>
          <w:tcPr>
            <w:tcW w:w="0" w:type="auto"/>
            <w:tcMar>
              <w:left w:w="28" w:type="dxa"/>
              <w:right w:w="28" w:type="dxa"/>
            </w:tcMar>
          </w:tcPr>
          <w:p w14:paraId="34B4FB5A"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1E1B7893"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1EED60D1"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Širdies nepakankamumas</w:t>
            </w:r>
          </w:p>
        </w:tc>
        <w:tc>
          <w:tcPr>
            <w:tcW w:w="0" w:type="auto"/>
            <w:tcMar>
              <w:left w:w="28" w:type="dxa"/>
              <w:right w:w="28" w:type="dxa"/>
            </w:tcMar>
          </w:tcPr>
          <w:p w14:paraId="13A7FB5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2E62AC33"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1A74E7B6"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r>
      <w:tr w:rsidR="00CF1BFF" w:rsidRPr="00253DCF" w14:paraId="23A48233" w14:textId="77777777" w:rsidTr="00B97802">
        <w:tc>
          <w:tcPr>
            <w:tcW w:w="0" w:type="auto"/>
            <w:tcMar>
              <w:left w:w="28" w:type="dxa"/>
              <w:right w:w="28" w:type="dxa"/>
            </w:tcMar>
          </w:tcPr>
          <w:p w14:paraId="582987E7" w14:textId="77777777" w:rsidR="00CF1BFF" w:rsidRPr="00556077" w:rsidRDefault="00CF1BFF" w:rsidP="00B97802">
            <w:pPr>
              <w:tabs>
                <w:tab w:val="left" w:pos="567"/>
              </w:tabs>
              <w:spacing w:after="0" w:line="240" w:lineRule="auto"/>
              <w:jc w:val="both"/>
              <w:rPr>
                <w:rFonts w:ascii="Times New Roman" w:hAnsi="Times New Roman"/>
                <w:highlight w:val="yellow"/>
              </w:rPr>
            </w:pPr>
            <w:r w:rsidRPr="00556077">
              <w:rPr>
                <w:rFonts w:ascii="Times New Roman" w:hAnsi="Times New Roman"/>
              </w:rPr>
              <w:t>Kraujagyslių sutrikimai</w:t>
            </w:r>
          </w:p>
        </w:tc>
        <w:tc>
          <w:tcPr>
            <w:tcW w:w="0" w:type="auto"/>
            <w:tcMar>
              <w:left w:w="28" w:type="dxa"/>
              <w:right w:w="28" w:type="dxa"/>
            </w:tcMar>
          </w:tcPr>
          <w:p w14:paraId="4C4F8CF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22DF0C90"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r w:rsidRPr="00253DCF">
              <w:rPr>
                <w:rFonts w:ascii="Times New Roman" w:eastAsia="Times New Roman" w:hAnsi="Times New Roman" w:cs="Times New Roman"/>
                <w:snapToGrid w:val="0"/>
              </w:rPr>
              <w:t>Hipertenzija</w:t>
            </w:r>
          </w:p>
        </w:tc>
        <w:tc>
          <w:tcPr>
            <w:tcW w:w="0" w:type="auto"/>
            <w:tcMar>
              <w:left w:w="28" w:type="dxa"/>
              <w:right w:w="28" w:type="dxa"/>
            </w:tcMar>
          </w:tcPr>
          <w:p w14:paraId="61F1B253" w14:textId="77777777" w:rsidR="00CF1BFF" w:rsidRPr="00253DCF" w:rsidRDefault="00CF1BFF" w:rsidP="00B97802">
            <w:pPr>
              <w:tabs>
                <w:tab w:val="left" w:pos="567"/>
              </w:tabs>
              <w:spacing w:after="0" w:line="240" w:lineRule="auto"/>
              <w:rPr>
                <w:rFonts w:ascii="Times New Roman" w:eastAsia="Times New Roman" w:hAnsi="Times New Roman" w:cs="Times New Roman"/>
                <w:snapToGrid w:val="0"/>
                <w:highlight w:val="yellow"/>
              </w:rPr>
            </w:pPr>
            <w:r w:rsidRPr="00253DCF">
              <w:rPr>
                <w:rFonts w:ascii="Times New Roman" w:eastAsia="Times New Roman" w:hAnsi="Times New Roman" w:cs="Times New Roman"/>
                <w:snapToGrid w:val="0"/>
              </w:rPr>
              <w:t>Venų trombozė, tromboembolija</w:t>
            </w:r>
          </w:p>
        </w:tc>
        <w:tc>
          <w:tcPr>
            <w:tcW w:w="0" w:type="auto"/>
            <w:tcMar>
              <w:left w:w="28" w:type="dxa"/>
              <w:right w:w="28" w:type="dxa"/>
            </w:tcMar>
          </w:tcPr>
          <w:p w14:paraId="1052F4F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598C8743"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7F2E05E1"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r>
      <w:tr w:rsidR="00CF1BFF" w:rsidRPr="00253DCF" w14:paraId="31401F1C" w14:textId="77777777" w:rsidTr="00B97802">
        <w:tc>
          <w:tcPr>
            <w:tcW w:w="0" w:type="auto"/>
            <w:tcMar>
              <w:left w:w="28" w:type="dxa"/>
              <w:right w:w="28" w:type="dxa"/>
            </w:tcMar>
          </w:tcPr>
          <w:p w14:paraId="7923A2EF" w14:textId="77777777" w:rsidR="00CF1BFF" w:rsidRPr="00556077" w:rsidRDefault="00CF1BFF" w:rsidP="00B97802">
            <w:pPr>
              <w:tabs>
                <w:tab w:val="left" w:pos="567"/>
              </w:tabs>
              <w:spacing w:after="0" w:line="240" w:lineRule="auto"/>
              <w:jc w:val="both"/>
              <w:rPr>
                <w:rFonts w:ascii="Times New Roman" w:hAnsi="Times New Roman"/>
                <w:highlight w:val="yellow"/>
              </w:rPr>
            </w:pPr>
            <w:r w:rsidRPr="00556077">
              <w:rPr>
                <w:rFonts w:ascii="Times New Roman" w:hAnsi="Times New Roman"/>
              </w:rPr>
              <w:t>Kvėpavimo sistemos, krūtinės ląstos ir tarpuplaučio sutrikimai</w:t>
            </w:r>
          </w:p>
        </w:tc>
        <w:tc>
          <w:tcPr>
            <w:tcW w:w="0" w:type="auto"/>
            <w:tcMar>
              <w:left w:w="28" w:type="dxa"/>
              <w:right w:w="28" w:type="dxa"/>
            </w:tcMar>
          </w:tcPr>
          <w:p w14:paraId="672EA4CE"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037567F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r w:rsidRPr="00253DCF">
              <w:rPr>
                <w:rFonts w:ascii="Times New Roman" w:eastAsia="Times New Roman" w:hAnsi="Times New Roman" w:cs="Times New Roman"/>
                <w:snapToGrid w:val="0"/>
              </w:rPr>
              <w:t>Dusulys</w:t>
            </w:r>
          </w:p>
        </w:tc>
        <w:tc>
          <w:tcPr>
            <w:tcW w:w="0" w:type="auto"/>
            <w:tcMar>
              <w:left w:w="28" w:type="dxa"/>
              <w:right w:w="28" w:type="dxa"/>
            </w:tcMar>
          </w:tcPr>
          <w:p w14:paraId="4A21AB7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08BB09E9"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0A77ECCA"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35C3BD40"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r>
      <w:tr w:rsidR="00CF1BFF" w:rsidRPr="00253DCF" w14:paraId="38ADB958" w14:textId="77777777" w:rsidTr="00B97802">
        <w:tc>
          <w:tcPr>
            <w:tcW w:w="0" w:type="auto"/>
            <w:tcMar>
              <w:left w:w="28" w:type="dxa"/>
              <w:right w:w="28" w:type="dxa"/>
            </w:tcMar>
          </w:tcPr>
          <w:p w14:paraId="03F64D5E" w14:textId="77777777" w:rsidR="00CF1BFF" w:rsidRPr="00556077" w:rsidRDefault="00CF1BFF" w:rsidP="00B97802">
            <w:pPr>
              <w:tabs>
                <w:tab w:val="left" w:pos="567"/>
              </w:tabs>
              <w:spacing w:after="0" w:line="240" w:lineRule="auto"/>
              <w:jc w:val="both"/>
              <w:rPr>
                <w:rFonts w:ascii="Times New Roman" w:hAnsi="Times New Roman"/>
              </w:rPr>
            </w:pPr>
            <w:r w:rsidRPr="00556077">
              <w:rPr>
                <w:rFonts w:ascii="Times New Roman" w:hAnsi="Times New Roman"/>
              </w:rPr>
              <w:t>Virškinimo trakto sutrikimai</w:t>
            </w:r>
          </w:p>
        </w:tc>
        <w:tc>
          <w:tcPr>
            <w:tcW w:w="0" w:type="auto"/>
            <w:tcMar>
              <w:left w:w="28" w:type="dxa"/>
              <w:right w:w="28" w:type="dxa"/>
            </w:tcMar>
          </w:tcPr>
          <w:p w14:paraId="1B02BA9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52BDB3A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Vidurių užkietėjimas</w:t>
            </w:r>
          </w:p>
        </w:tc>
        <w:tc>
          <w:tcPr>
            <w:tcW w:w="0" w:type="auto"/>
            <w:tcMar>
              <w:left w:w="28" w:type="dxa"/>
              <w:right w:w="28" w:type="dxa"/>
            </w:tcMar>
          </w:tcPr>
          <w:p w14:paraId="52A13A3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Vėmimas</w:t>
            </w:r>
          </w:p>
        </w:tc>
        <w:tc>
          <w:tcPr>
            <w:tcW w:w="0" w:type="auto"/>
            <w:tcMar>
              <w:left w:w="28" w:type="dxa"/>
              <w:right w:w="28" w:type="dxa"/>
            </w:tcMar>
          </w:tcPr>
          <w:p w14:paraId="0E42830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28A98ED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0BD9AC25"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Pankreatitas</w:t>
            </w:r>
            <w:r w:rsidRPr="00253DCF">
              <w:rPr>
                <w:rFonts w:ascii="Times New Roman" w:eastAsia="Times New Roman" w:hAnsi="Times New Roman" w:cs="Times New Roman"/>
                <w:snapToGrid w:val="0"/>
                <w:vertAlign w:val="superscript"/>
              </w:rPr>
              <w:t>2</w:t>
            </w:r>
          </w:p>
        </w:tc>
      </w:tr>
      <w:tr w:rsidR="00CF1BFF" w:rsidRPr="00253DCF" w14:paraId="20B060DF" w14:textId="77777777" w:rsidTr="00B97802">
        <w:tc>
          <w:tcPr>
            <w:tcW w:w="0" w:type="auto"/>
            <w:tcMar>
              <w:left w:w="28" w:type="dxa"/>
              <w:right w:w="28" w:type="dxa"/>
            </w:tcMar>
          </w:tcPr>
          <w:p w14:paraId="7BAC3DC1" w14:textId="77777777" w:rsidR="00CF1BFF" w:rsidRPr="00556077" w:rsidRDefault="00CF1BFF" w:rsidP="00B97802">
            <w:pPr>
              <w:tabs>
                <w:tab w:val="left" w:pos="567"/>
              </w:tabs>
              <w:spacing w:after="0" w:line="240" w:lineRule="auto"/>
              <w:rPr>
                <w:rFonts w:ascii="Times New Roman" w:hAnsi="Times New Roman"/>
              </w:rPr>
            </w:pPr>
            <w:r w:rsidRPr="00556077">
              <w:rPr>
                <w:rFonts w:ascii="Times New Roman" w:hAnsi="Times New Roman"/>
              </w:rPr>
              <w:t>Kepenų, tulžies pūslės ir latakų sutrikimai</w:t>
            </w:r>
          </w:p>
        </w:tc>
        <w:tc>
          <w:tcPr>
            <w:tcW w:w="0" w:type="auto"/>
            <w:tcMar>
              <w:left w:w="28" w:type="dxa"/>
              <w:right w:w="28" w:type="dxa"/>
            </w:tcMar>
          </w:tcPr>
          <w:p w14:paraId="19CA1EAF"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w:t>
            </w:r>
          </w:p>
        </w:tc>
        <w:tc>
          <w:tcPr>
            <w:tcW w:w="0" w:type="auto"/>
            <w:tcMar>
              <w:left w:w="28" w:type="dxa"/>
              <w:right w:w="28" w:type="dxa"/>
            </w:tcMar>
          </w:tcPr>
          <w:p w14:paraId="7A07E5EE"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 Padidėję kepenų funkcijos tyrimų rezultatai</w:t>
            </w:r>
          </w:p>
        </w:tc>
        <w:tc>
          <w:tcPr>
            <w:tcW w:w="0" w:type="auto"/>
            <w:tcMar>
              <w:left w:w="28" w:type="dxa"/>
              <w:right w:w="28" w:type="dxa"/>
            </w:tcMar>
          </w:tcPr>
          <w:p w14:paraId="1C0CCACF"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31CD17AE"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241235B2"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p>
        </w:tc>
        <w:tc>
          <w:tcPr>
            <w:tcW w:w="0" w:type="auto"/>
            <w:tcMar>
              <w:left w:w="28" w:type="dxa"/>
              <w:right w:w="28" w:type="dxa"/>
            </w:tcMar>
          </w:tcPr>
          <w:p w14:paraId="69A2AC14"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rPr>
            </w:pPr>
            <w:r w:rsidRPr="00253DCF">
              <w:rPr>
                <w:rFonts w:ascii="Times New Roman" w:eastAsia="Times New Roman" w:hAnsi="Times New Roman" w:cs="Times New Roman"/>
                <w:snapToGrid w:val="0"/>
              </w:rPr>
              <w:t>Hepatitas</w:t>
            </w:r>
          </w:p>
        </w:tc>
      </w:tr>
      <w:tr w:rsidR="00CF1BFF" w:rsidRPr="00253DCF" w14:paraId="111B00AB" w14:textId="77777777" w:rsidTr="00B97802">
        <w:tc>
          <w:tcPr>
            <w:tcW w:w="0" w:type="auto"/>
            <w:tcMar>
              <w:left w:w="28" w:type="dxa"/>
              <w:right w:w="28" w:type="dxa"/>
            </w:tcMar>
          </w:tcPr>
          <w:p w14:paraId="29810A2E" w14:textId="77777777" w:rsidR="00CF1BFF" w:rsidRPr="00556077" w:rsidRDefault="00CF1BFF" w:rsidP="00B97802">
            <w:pPr>
              <w:tabs>
                <w:tab w:val="left" w:pos="567"/>
              </w:tabs>
              <w:spacing w:after="0" w:line="240" w:lineRule="auto"/>
              <w:rPr>
                <w:rFonts w:ascii="Times New Roman" w:hAnsi="Times New Roman"/>
                <w:highlight w:val="yellow"/>
              </w:rPr>
            </w:pPr>
            <w:r w:rsidRPr="00556077">
              <w:rPr>
                <w:rFonts w:ascii="Times New Roman" w:hAnsi="Times New Roman"/>
              </w:rPr>
              <w:t>Bendrieji sutrikimai ir vartojimo vietos pažeidimai</w:t>
            </w:r>
          </w:p>
        </w:tc>
        <w:tc>
          <w:tcPr>
            <w:tcW w:w="0" w:type="auto"/>
            <w:tcMar>
              <w:left w:w="28" w:type="dxa"/>
              <w:right w:w="28" w:type="dxa"/>
            </w:tcMar>
          </w:tcPr>
          <w:p w14:paraId="56703EE8"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2B2A2CF7"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r w:rsidRPr="00253DCF">
              <w:rPr>
                <w:rFonts w:ascii="Times New Roman" w:eastAsia="Times New Roman" w:hAnsi="Times New Roman" w:cs="Times New Roman"/>
                <w:snapToGrid w:val="0"/>
              </w:rPr>
              <w:t>Galvos skausmas</w:t>
            </w:r>
          </w:p>
        </w:tc>
        <w:tc>
          <w:tcPr>
            <w:tcW w:w="0" w:type="auto"/>
            <w:tcMar>
              <w:left w:w="28" w:type="dxa"/>
              <w:right w:w="28" w:type="dxa"/>
            </w:tcMar>
          </w:tcPr>
          <w:p w14:paraId="0C0BBBAD"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r w:rsidRPr="00253DCF">
              <w:rPr>
                <w:rFonts w:ascii="Times New Roman" w:eastAsia="Times New Roman" w:hAnsi="Times New Roman" w:cs="Times New Roman"/>
                <w:snapToGrid w:val="0"/>
              </w:rPr>
              <w:t>Nuovargis</w:t>
            </w:r>
          </w:p>
        </w:tc>
        <w:tc>
          <w:tcPr>
            <w:tcW w:w="0" w:type="auto"/>
            <w:tcMar>
              <w:left w:w="28" w:type="dxa"/>
              <w:right w:w="28" w:type="dxa"/>
            </w:tcMar>
          </w:tcPr>
          <w:p w14:paraId="392B9B50"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58F22021"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c>
          <w:tcPr>
            <w:tcW w:w="0" w:type="auto"/>
            <w:tcMar>
              <w:left w:w="28" w:type="dxa"/>
              <w:right w:w="28" w:type="dxa"/>
            </w:tcMar>
          </w:tcPr>
          <w:p w14:paraId="5BC78A8C" w14:textId="77777777" w:rsidR="00CF1BFF" w:rsidRPr="00253DCF" w:rsidRDefault="00CF1BFF" w:rsidP="00B97802">
            <w:pPr>
              <w:tabs>
                <w:tab w:val="left" w:pos="567"/>
              </w:tabs>
              <w:spacing w:after="0" w:line="240" w:lineRule="auto"/>
              <w:jc w:val="both"/>
              <w:rPr>
                <w:rFonts w:ascii="Times New Roman" w:eastAsia="Times New Roman" w:hAnsi="Times New Roman" w:cs="Times New Roman"/>
                <w:snapToGrid w:val="0"/>
                <w:highlight w:val="yellow"/>
              </w:rPr>
            </w:pPr>
          </w:p>
        </w:tc>
      </w:tr>
    </w:tbl>
    <w:p w14:paraId="53F5517F" w14:textId="77777777" w:rsidR="00CF1BFF" w:rsidRPr="00253DCF" w:rsidRDefault="00CF1BFF" w:rsidP="00CF1BFF">
      <w:pPr>
        <w:tabs>
          <w:tab w:val="left" w:pos="567"/>
        </w:tabs>
        <w:autoSpaceDE w:val="0"/>
        <w:autoSpaceDN w:val="0"/>
        <w:adjustRightInd w:val="0"/>
        <w:spacing w:after="0" w:line="360" w:lineRule="auto"/>
        <w:jc w:val="both"/>
        <w:rPr>
          <w:rFonts w:ascii="Times New Roman" w:eastAsia="Times New Roman" w:hAnsi="Times New Roman" w:cs="Times New Roman"/>
          <w:snapToGrid w:val="0"/>
        </w:rPr>
      </w:pPr>
    </w:p>
    <w:p w14:paraId="054469E1"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vertAlign w:val="superscript"/>
        </w:rPr>
        <w:t>1</w:t>
      </w:r>
      <w:r w:rsidRPr="00253DCF">
        <w:rPr>
          <w:rFonts w:ascii="Times New Roman" w:eastAsia="Times New Roman" w:hAnsi="Times New Roman" w:cs="Times New Roman"/>
          <w:snapToGrid w:val="0"/>
          <w:szCs w:val="20"/>
        </w:rPr>
        <w:t xml:space="preserve"> Haliucinacijų atsirado daugiausia pacientams, sergantiems sunkia Alzheimerio liga</w:t>
      </w:r>
    </w:p>
    <w:p w14:paraId="2C9E9011"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vertAlign w:val="superscript"/>
        </w:rPr>
        <w:t>2</w:t>
      </w:r>
      <w:r w:rsidRPr="00253DCF">
        <w:rPr>
          <w:rFonts w:ascii="Times New Roman" w:eastAsia="Times New Roman" w:hAnsi="Times New Roman" w:cs="Times New Roman"/>
          <w:snapToGrid w:val="0"/>
          <w:szCs w:val="20"/>
        </w:rPr>
        <w:t xml:space="preserve"> Pavienių atvejų buvo vaistiniu preparatu gydant po to, kai jis pateko i rinką</w:t>
      </w:r>
    </w:p>
    <w:p w14:paraId="5A099FE9"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highlight w:val="yellow"/>
        </w:rPr>
      </w:pPr>
    </w:p>
    <w:p w14:paraId="3E488F47"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Alzheimerio ligos metu gali pasireikšti depresija, mintys apie savižudybę ir liga baigtis savižudybe.</w:t>
      </w:r>
    </w:p>
    <w:p w14:paraId="00AD6446"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Tokių reiškinių buvo ir MANTOMED gydytiems pacientams po to, kai šis vaistinis preparatas</w:t>
      </w:r>
    </w:p>
    <w:p w14:paraId="16EC7DDD"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rPr>
        <w:t>pateko į rinką.</w:t>
      </w:r>
    </w:p>
    <w:p w14:paraId="09A5561D"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rPr>
      </w:pPr>
    </w:p>
    <w:p w14:paraId="26E558D0"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253DCF">
        <w:rPr>
          <w:rFonts w:ascii="Times New Roman" w:eastAsia="Times New Roman" w:hAnsi="Times New Roman" w:cs="Times New Roman"/>
          <w:snapToGrid w:val="0"/>
          <w:szCs w:val="24"/>
          <w:u w:val="single"/>
        </w:rPr>
        <w:t>Pranešimas apie įtariamas nepageidaujamas reakcijas</w:t>
      </w:r>
    </w:p>
    <w:p w14:paraId="478CDD38" w14:textId="77777777" w:rsidR="00CF1BFF" w:rsidRPr="00253DCF" w:rsidRDefault="00CF1BFF" w:rsidP="00CF1BFF">
      <w:pPr>
        <w:tabs>
          <w:tab w:val="left" w:pos="567"/>
        </w:tabs>
        <w:spacing w:after="0" w:line="260" w:lineRule="exact"/>
        <w:rPr>
          <w:rFonts w:ascii="Times New Roman" w:hAnsi="Times New Roman"/>
        </w:rPr>
      </w:pPr>
      <w:r w:rsidRPr="00253DCF">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53DCF">
        <w:rPr>
          <w:rFonts w:ascii="Times New Roman" w:hAnsi="Times New Roman"/>
          <w:color w:val="0000FF"/>
          <w:u w:val="single"/>
        </w:rPr>
        <w:t>http://</w:t>
      </w:r>
      <w:hyperlink r:id="rId7" w:history="1">
        <w:r w:rsidRPr="00253DCF">
          <w:rPr>
            <w:rFonts w:ascii="Times New Roman" w:hAnsi="Times New Roman"/>
            <w:color w:val="0000FF"/>
            <w:u w:val="single"/>
          </w:rPr>
          <w:t>www.vvkt.lt</w:t>
        </w:r>
      </w:hyperlink>
      <w:r w:rsidRPr="00253DCF">
        <w:rPr>
          <w:rFonts w:ascii="Times New Roman" w:hAnsi="Times New Roman"/>
          <w:color w:val="0000FF"/>
          <w:u w:val="single"/>
        </w:rPr>
        <w:t>/</w:t>
      </w:r>
      <w:r w:rsidRPr="00253DCF">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53DCF">
          <w:rPr>
            <w:rFonts w:ascii="Times New Roman" w:hAnsi="Times New Roman"/>
            <w:color w:val="0000FF"/>
            <w:u w:val="single"/>
          </w:rPr>
          <w:t>NepageidaujamaR@vvkt.lt</w:t>
        </w:r>
      </w:hyperlink>
      <w:r w:rsidRPr="00253DCF">
        <w:rPr>
          <w:rFonts w:ascii="Times New Roman" w:hAnsi="Times New Roman"/>
        </w:rPr>
        <w:t xml:space="preserve">), per interneto svetainę (adresu </w:t>
      </w:r>
      <w:hyperlink r:id="rId9" w:history="1">
        <w:r w:rsidRPr="00253DCF">
          <w:rPr>
            <w:rFonts w:ascii="Times New Roman" w:hAnsi="Times New Roman"/>
            <w:color w:val="0000FF"/>
            <w:u w:val="single"/>
          </w:rPr>
          <w:t>http://www.vvkt.lt</w:t>
        </w:r>
      </w:hyperlink>
      <w:r w:rsidRPr="00253DCF">
        <w:rPr>
          <w:rFonts w:ascii="Times New Roman" w:hAnsi="Times New Roman"/>
        </w:rPr>
        <w:t>).</w:t>
      </w:r>
    </w:p>
    <w:p w14:paraId="020F91A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A52E5BF"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4.9</w:t>
      </w:r>
      <w:r w:rsidRPr="00253DCF">
        <w:rPr>
          <w:rFonts w:ascii="Times New Roman" w:eastAsia="Times New Roman" w:hAnsi="Times New Roman" w:cs="Times New Roman"/>
          <w:b/>
          <w:bCs/>
          <w:snapToGrid w:val="0"/>
          <w:szCs w:val="28"/>
          <w:lang w:eastAsia="x-none"/>
        </w:rPr>
        <w:tab/>
        <w:t>Perdozavimas</w:t>
      </w:r>
    </w:p>
    <w:p w14:paraId="4944877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50D97C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Klinikinių tyrimų metu ir vaistiniu preparatu gydant po to, kai jis pateko i rinką, perdozavimo atvejų pasitaikė labai mažai.</w:t>
      </w:r>
    </w:p>
    <w:p w14:paraId="5583917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336F7D1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 xml:space="preserve">Simptomai </w:t>
      </w:r>
    </w:p>
    <w:p w14:paraId="571E711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 xml:space="preserve">Palyginti didelis perdozavimas (3 paras iš eiles vartota po 200 mg arba 105 mg per parą) pasireiškė tik nuovargiu, silpnumu ir (arba) viduriavimu, arba simptomų neatsirado. Pacientams, pavartojusiems mažesnę negu 140 mg arba nežinomo dydžio dozę, atsirado centrinės nervų sistemos (sumišimas, mieguistumas, somnolencija, svaigulys, sujaudinimas, agresija, haliucinacijos ir eisenos sutrikimai) ir (arba) virškinimo trakto (vėmimas ir viduriavimas) simptomų. </w:t>
      </w:r>
    </w:p>
    <w:p w14:paraId="45E5266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Didžiausio perdozavimo atveju pacientui, išgėrusiam 2000 mg memantino, pasireiškė poveikis centrinei nervų sistemai (10 parų trukusi koma, po to diplopija ir ažitacija), tačiau jis išgyveno. Pacientui buvo taikytas simptominis gydymas ir plazmafereze. Jis pasveiko, nepraeinančių pasekmių neliko.</w:t>
      </w:r>
    </w:p>
    <w:p w14:paraId="02FEBC8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Kito didelio perdozavimo atveju pacientas irgi išgyveno ir pasveiko. Jis buvo išgėręs 400 mg memantino. Pacientui atsirado centrinės nervų sistemos simptomų, tokių kaip neramumas, psichozė, regos haliucinacijų, prieštraukulinis aktyvumas, somnolencija, stuporas ir sąmonės praradimas.</w:t>
      </w:r>
    </w:p>
    <w:p w14:paraId="01930D4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0170A01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u w:val="single"/>
        </w:rPr>
      </w:pPr>
      <w:r w:rsidRPr="00556077">
        <w:rPr>
          <w:rFonts w:ascii="Times New Roman" w:hAnsi="Times New Roman"/>
          <w:u w:val="single"/>
        </w:rPr>
        <w:t>Gydymas</w:t>
      </w:r>
      <w:r w:rsidRPr="00253DCF">
        <w:rPr>
          <w:rFonts w:ascii="Times New Roman" w:eastAsia="Times New Roman" w:hAnsi="Times New Roman" w:cs="Times New Roman"/>
          <w:snapToGrid w:val="0"/>
          <w:szCs w:val="20"/>
          <w:u w:val="single"/>
        </w:rPr>
        <w:t xml:space="preserve"> </w:t>
      </w:r>
    </w:p>
    <w:p w14:paraId="58BAF15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Perdozavimo gydymas yra simptominis. Specifinio priešnuodžio intoksikacijos ar perdozavimo atveju nėra. Reikia įprastinėmis priemonėmis, t. y. skrandžio plovimu ir aktyvintąja anglimi, šalinti veikliąją medžiagą iš skrandžio (nutraukti galimą patekimą į enterohepatinę sistemą), rūgštinti šlapimą, stiprinti diurezę.</w:t>
      </w:r>
    </w:p>
    <w:p w14:paraId="16C94C8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Atsiradus per didelio bendrojo centrinės nervų sistemos (CNS) stimuliavimo simptomų, svarstytinas atsargus simptominis gydymas.</w:t>
      </w:r>
    </w:p>
    <w:p w14:paraId="4389FD1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FBEFC4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CDFF31F"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5.</w:t>
      </w:r>
      <w:r w:rsidRPr="00253DCF">
        <w:rPr>
          <w:rFonts w:ascii="Times New Roman" w:eastAsia="Times New Roman" w:hAnsi="Times New Roman" w:cs="Times New Roman"/>
          <w:b/>
          <w:bCs/>
          <w:snapToGrid w:val="0"/>
          <w:szCs w:val="26"/>
          <w:lang w:eastAsia="x-none"/>
        </w:rPr>
        <w:tab/>
        <w:t>FARMAKOLOGINĖS SAVYBĖS</w:t>
      </w:r>
    </w:p>
    <w:p w14:paraId="367EDE3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C203B8D"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5.1</w:t>
      </w:r>
      <w:r w:rsidRPr="00253DCF">
        <w:rPr>
          <w:rFonts w:ascii="Times New Roman" w:eastAsia="Times New Roman" w:hAnsi="Times New Roman" w:cs="Times New Roman"/>
          <w:b/>
          <w:snapToGrid w:val="0"/>
          <w:szCs w:val="24"/>
          <w:lang w:eastAsia="x-none"/>
        </w:rPr>
        <w:t xml:space="preserve"> </w:t>
      </w:r>
      <w:r w:rsidRPr="00253DCF">
        <w:rPr>
          <w:rFonts w:ascii="Times New Roman" w:eastAsia="Times New Roman" w:hAnsi="Times New Roman" w:cs="Times New Roman"/>
          <w:b/>
          <w:bCs/>
          <w:snapToGrid w:val="0"/>
          <w:szCs w:val="28"/>
          <w:lang w:eastAsia="x-none"/>
        </w:rPr>
        <w:tab/>
        <w:t>Farmakodinaminės savybės</w:t>
      </w:r>
    </w:p>
    <w:p w14:paraId="3B9959F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51CB54B"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Farmakoterapinė grupė – psichoanaleptikai, kiti vaistiniai preparatai nuo demencijos, ATC kodas – N06DX01.</w:t>
      </w:r>
    </w:p>
    <w:p w14:paraId="3963B4F2"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1217251"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Daugėja duomenų, rodančių, kad sutrikus glutamaterginei neurotransmisijai, ypač NMDA receptorių lygyje, neurodegeneracinė demencija progresuoja greičiau, ryškėja jos simptomai. </w:t>
      </w:r>
    </w:p>
    <w:p w14:paraId="3B2B756D"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0D44B4F0"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Memantino veikimas priklauso nuo potencialo. Memantinas yra vidutinio afiniteto nekonkurenciniu būdu veikiantis NMDA receptorių antagonistas. Memantinas moduliuoja per daug padidėjusio gliutamato kiekio sukeliamą poveikį, sąlygojantį nervų sistemos funkcijos sutrikimą.</w:t>
      </w:r>
    </w:p>
    <w:p w14:paraId="1FDE029A"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3169641" w14:textId="77777777" w:rsidR="00CF1BFF" w:rsidRPr="00253DCF" w:rsidRDefault="00CF1BFF" w:rsidP="00CF1BFF">
      <w:pPr>
        <w:spacing w:after="0" w:line="240" w:lineRule="auto"/>
        <w:rPr>
          <w:rFonts w:ascii="Times New Roman" w:eastAsia="Times New Roman" w:hAnsi="Times New Roman" w:cs="Times New Roman"/>
          <w:snapToGrid w:val="0"/>
          <w:u w:val="single"/>
        </w:rPr>
      </w:pPr>
      <w:r w:rsidRPr="00253DCF">
        <w:rPr>
          <w:rFonts w:ascii="Times New Roman" w:eastAsia="Times New Roman" w:hAnsi="Times New Roman" w:cs="Times New Roman"/>
          <w:snapToGrid w:val="0"/>
          <w:u w:val="single"/>
        </w:rPr>
        <w:t>Klinikiniai tyrimai</w:t>
      </w:r>
    </w:p>
    <w:p w14:paraId="348EF9F4"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Pagrindžiamojo tyrimo metu memantino monoterapija buvo taikyta 252 ambulatoriškai gydomiems ligoniams, sergantiems vidutinio sunkumo arba sunkia Alzheimerio liga (prieš gydymą protinės būklės trumpo tyrimo (MMSE) skalės bendras balų skaičius buvo 3–14). Gauti rezultatai rodo, jog šeštą gydymo mėnesį memantino poveikis buvo naudingesnis negu placebo (pokyčių požymiai sprendžiant pagal klinicisto pokalbį (CIBIC-plus): p=0,025, Alzheimerio ligos bendradarbiavimo tyrimas – kasdienės veiklos tyrimas (ADCS-ADLsev): p=0,003, sunkaus pažeidimo požymių kompleksas (SIB): p = 0,002).</w:t>
      </w:r>
    </w:p>
    <w:p w14:paraId="6C17E44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B9D3B14"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Pagrindžiamojo tyrimo metu memantino monoterapija buvo taikyta 403 ligoniams, sergantiems lengva arba vidutinio sunkumo Alzheimerio liga (prieš gydymą MMSE skalės bendras balų skaičius buvo 10 22). Gauti rezultatai rodo, jog memantino poveikis buvo statistiškai reikšmingai geresnis negu placebo svarbiausiai vertinamajai baigčiai: Alzheimerio ligos vertinimo skalei (ADAS-cog) (p=0,003) ir CIBIC-plus (p=0,004) 24 gydymo savaitę atlikus paskutinį vertinamąjį stebėjimą (LOCF). Kito tyrimo metu memantinu buvo gydyta 470 pacientų, sergančių lengva arba vidutinio sunkumo Alzheimerio liga (prieš gydymą MMSE skalės bendras balų skaičius buvo 11 23), kurie į grupes buvo skirstyti atsitiktinių imčių būdu. Remiantis pirminės žvalgomosios analizės duomenimis, 24 gydymo savaitę statistiškai reikšmingo svarbiausios veiksmingumo vertinamosios baigties skirtumo nebuvo.</w:t>
      </w:r>
    </w:p>
    <w:p w14:paraId="09F04C9B"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2B77DCB"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Šešių III fazės 6 mėnesių trukmės kontrolinių (poveikis lygintas su placebo sukeliamu) tyrimų, kuriuose dalyvavo vidutinio sunkumo arba sunkia Alzheimerio liga (prieš gydymą MMSE skalės bendras balų skaičius buvo &lt;20) sergantys ligoniai (įskaitant vartojusius vien memantino arba vartojusius nekintamą dozę acetilcholinesterazės inhibitoriaus), </w:t>
      </w:r>
      <w:r w:rsidRPr="00D66DF5">
        <w:rPr>
          <w:rFonts w:ascii="Times New Roman" w:eastAsia="Times New Roman" w:hAnsi="Times New Roman" w:cs="Times New Roman"/>
          <w:snapToGrid w:val="0"/>
          <w:szCs w:val="24"/>
        </w:rPr>
        <w:t>metaanaliz</w:t>
      </w:r>
      <w:r>
        <w:rPr>
          <w:rFonts w:ascii="Times New Roman" w:eastAsia="Times New Roman" w:hAnsi="Times New Roman" w:cs="Times New Roman"/>
          <w:snapToGrid w:val="0"/>
          <w:szCs w:val="24"/>
        </w:rPr>
        <w:t>ė</w:t>
      </w:r>
      <w:r w:rsidRPr="00D66DF5">
        <w:rPr>
          <w:rFonts w:ascii="Times New Roman" w:eastAsia="Times New Roman" w:hAnsi="Times New Roman" w:cs="Times New Roman"/>
          <w:snapToGrid w:val="0"/>
          <w:szCs w:val="24"/>
        </w:rPr>
        <w:t>s</w:t>
      </w:r>
      <w:r w:rsidRPr="00253DCF">
        <w:rPr>
          <w:rFonts w:ascii="Times New Roman" w:eastAsia="Times New Roman" w:hAnsi="Times New Roman" w:cs="Times New Roman"/>
          <w:snapToGrid w:val="0"/>
          <w:szCs w:val="24"/>
        </w:rPr>
        <w:t xml:space="preserve"> duomenys rodo, kad pažinimo, bendrosios būklės ir funkcijos tyrimų duomenims memantinas sukėlė statistiškai reikšmingesnį poveikį. Gauti rezultatai rodo, jog tiems pacientams, kuriems buvo nustatytas tuo pačiu metu vykstantis visų trijų parametrų blogėjimas, memantino poveikis saugant nuo blogėjimo buvo statistiškai reikšmingas: placebo vartojusių tiriamųjų, kuriems visi trys parametrai pablogėjo, buvo 2 kartus daugiau, negu vartojusių memantino (atitinkamai 21 % ir 11 %, p &lt;0,0001).</w:t>
      </w:r>
    </w:p>
    <w:p w14:paraId="3461CA62"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69DF230"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5.2</w:t>
      </w:r>
      <w:r w:rsidRPr="00253DCF">
        <w:rPr>
          <w:rFonts w:ascii="Times New Roman" w:eastAsia="Times New Roman" w:hAnsi="Times New Roman" w:cs="Times New Roman"/>
          <w:b/>
          <w:bCs/>
          <w:snapToGrid w:val="0"/>
          <w:szCs w:val="28"/>
          <w:lang w:eastAsia="x-none"/>
        </w:rPr>
        <w:tab/>
        <w:t>Farmakokinetinės savybės</w:t>
      </w:r>
    </w:p>
    <w:p w14:paraId="1460D41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1B50FC1"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 xml:space="preserve">Absorbcija </w:t>
      </w:r>
    </w:p>
    <w:p w14:paraId="7A2A4F0E"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i/>
          <w:snapToGrid w:val="0"/>
          <w:szCs w:val="20"/>
        </w:rPr>
      </w:pPr>
      <w:r w:rsidRPr="00253DCF">
        <w:rPr>
          <w:rFonts w:ascii="Times New Roman" w:eastAsia="Times New Roman" w:hAnsi="Times New Roman" w:cs="Times New Roman"/>
          <w:snapToGrid w:val="0"/>
          <w:szCs w:val="20"/>
        </w:rPr>
        <w:t>Memantino absoliutus biologinis prieinamumas yra apie 100</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T</w:t>
      </w:r>
      <w:r w:rsidRPr="00253DCF">
        <w:rPr>
          <w:rFonts w:ascii="Times New Roman" w:eastAsia="Times New Roman" w:hAnsi="Times New Roman" w:cs="Times New Roman"/>
          <w:snapToGrid w:val="0"/>
          <w:vertAlign w:val="subscript"/>
        </w:rPr>
        <w:t>max</w:t>
      </w:r>
      <w:r w:rsidRPr="00253DCF">
        <w:rPr>
          <w:rFonts w:ascii="Times New Roman" w:eastAsia="Times New Roman" w:hAnsi="Times New Roman" w:cs="Times New Roman"/>
          <w:snapToGrid w:val="0"/>
          <w:szCs w:val="20"/>
        </w:rPr>
        <w:t xml:space="preserve"> atsiranda po 3 8 val. Maistas absorbcijai įtakos nedaro.</w:t>
      </w:r>
    </w:p>
    <w:p w14:paraId="4427B429"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i/>
          <w:snapToGrid w:val="0"/>
          <w:szCs w:val="20"/>
        </w:rPr>
      </w:pPr>
    </w:p>
    <w:p w14:paraId="42376E46"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Pasiskirstymas</w:t>
      </w:r>
    </w:p>
    <w:p w14:paraId="638E440D"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i/>
          <w:snapToGrid w:val="0"/>
          <w:szCs w:val="20"/>
        </w:rPr>
      </w:pPr>
      <w:r w:rsidRPr="00253DCF">
        <w:rPr>
          <w:rFonts w:ascii="Times New Roman" w:eastAsia="Times New Roman" w:hAnsi="Times New Roman" w:cs="Times New Roman"/>
          <w:snapToGrid w:val="0"/>
          <w:szCs w:val="20"/>
        </w:rPr>
        <w:t>Vartojant 20 mg paros dozę, koncentracija plazmoje tuo metu, kai vaistinio preparato apykaita organizme tampa pastovi, svyruoja nuo 70</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ng/ml (0,5</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μmol) iki 150</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ng/ml (1</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μmol). Atskirų žmonių organizme ji labai skiriasi. Vartojant 5 30 mg paros dozę, vidutinis koncentracijos smegenų skystyje ir kraujo serume santykis yra 0,52. Pasiskirstymo tūris yra maždaug 10 l/kg. Apie 45</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memantino jungiasi prie kraujo plazmos baltymų.</w:t>
      </w:r>
    </w:p>
    <w:p w14:paraId="63D591A5"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p>
    <w:p w14:paraId="13414880"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 xml:space="preserve">Biotransformacija </w:t>
      </w:r>
    </w:p>
    <w:p w14:paraId="4A871D02"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Apie 80</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xml:space="preserve">% žmogaus kraujyje esančio memantino kiekio yra nepakitusios medžiagos pavidalu. Svarbiausias metabolitas žmogaus organizme yra N-3,5-dimetilgludantanas. Jis yra 4- ir 6-hidroksimemantino bei 1-nitrozo-3,5-dimetiladamantano izomerų mišinys. Nė vienas iš metabolitų NMDA receptorių neblokuoja. Kad memantinas būtų metabolizuojamas veikiant citochromo P 450 fermentų sistemai, tyrimų </w:t>
      </w:r>
      <w:r w:rsidRPr="00253DCF">
        <w:rPr>
          <w:rFonts w:ascii="Times New Roman" w:hAnsi="Times New Roman"/>
          <w:i/>
        </w:rPr>
        <w:t>in vitro</w:t>
      </w:r>
      <w:r w:rsidRPr="00253DCF">
        <w:rPr>
          <w:rFonts w:ascii="Times New Roman" w:eastAsia="Times New Roman" w:hAnsi="Times New Roman" w:cs="Times New Roman"/>
          <w:snapToGrid w:val="0"/>
          <w:szCs w:val="20"/>
        </w:rPr>
        <w:t xml:space="preserve"> metu nepastebėta. Tyrimo metu išgėrus 14C žymėto memantino, 84</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dozės iš organizmo išsiskyrė per 20 parų, daugiau negu 99</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to kiekio pasišalino pro inkstus.</w:t>
      </w:r>
    </w:p>
    <w:p w14:paraId="3C70ACA5"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p>
    <w:p w14:paraId="499C0464"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 xml:space="preserve">Eliminacija </w:t>
      </w:r>
    </w:p>
    <w:p w14:paraId="016150FD"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Memantinas eliminuojamas monoeksponentiniu būdu. Galutinės pusinės eliminacijos laikas yra 60 - 100 val. Savanorių, kurių inkstai sveiki, organizme bendras vaisto klirensas yra 170</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ml/min./1,73</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 xml:space="preserve">m2, dalį bendro inkstų klirenso sudaro vaisto sekrecija į inkstų kanalėlius. </w:t>
      </w:r>
    </w:p>
    <w:p w14:paraId="0D6CB987"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Inkstuose vyksta ir vaistinio preparato reabsorbcija, galbūt veikiant katijonų pernešimo baltymams. Jeigu šlapimas šarminis, memantino eliminacijos greitis gali sumažėti 7 - 9 kartus (žr. 4.4 skyrių). Šlapimas gali pašarmėti iš esmės pakeitus dietą, pvz., vietoj mėsiškų patiekalų pradėjus vartoti vegetariškų, arba geriant daug šarminamųjų buferinių medžiagų.</w:t>
      </w:r>
    </w:p>
    <w:p w14:paraId="1F162BB0"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p>
    <w:p w14:paraId="3096D465"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Tiesinis pobūdis</w:t>
      </w:r>
    </w:p>
    <w:p w14:paraId="255EF388"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Tyrimais su sveikais savanoriais nustatyta, jog 10-40 mg memantino dozių farmakokinetika yra tiesinė.</w:t>
      </w:r>
    </w:p>
    <w:p w14:paraId="46B17984"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rPr>
      </w:pPr>
    </w:p>
    <w:p w14:paraId="218F9BA1"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253DCF">
        <w:rPr>
          <w:rFonts w:ascii="Times New Roman" w:eastAsia="Times New Roman" w:hAnsi="Times New Roman" w:cs="Times New Roman"/>
          <w:snapToGrid w:val="0"/>
          <w:szCs w:val="20"/>
          <w:u w:val="single"/>
        </w:rPr>
        <w:t xml:space="preserve">Santykis tarp farmakokinetikos ir farmakodinamikos </w:t>
      </w:r>
    </w:p>
    <w:p w14:paraId="1D52230B" w14:textId="77777777" w:rsidR="00CF1BFF" w:rsidRPr="00253DCF" w:rsidRDefault="00CF1BFF" w:rsidP="00CF1BFF">
      <w:pPr>
        <w:tabs>
          <w:tab w:val="left" w:pos="567"/>
        </w:tabs>
        <w:spacing w:after="0" w:line="240" w:lineRule="auto"/>
        <w:contextualSpacing/>
        <w:outlineLvl w:val="0"/>
        <w:rPr>
          <w:rFonts w:ascii="Times New Roman" w:eastAsia="Times New Roman" w:hAnsi="Times New Roman" w:cs="Times New Roman"/>
          <w:iCs/>
          <w:snapToGrid w:val="0"/>
          <w:color w:val="000000"/>
          <w:szCs w:val="20"/>
        </w:rPr>
      </w:pPr>
      <w:r w:rsidRPr="00253DCF">
        <w:rPr>
          <w:rFonts w:ascii="Times New Roman" w:eastAsia="Times New Roman" w:hAnsi="Times New Roman" w:cs="Times New Roman"/>
          <w:snapToGrid w:val="0"/>
          <w:szCs w:val="20"/>
        </w:rPr>
        <w:t>Vartojant 20 mg paros dozę, smegenų skystyje atsiranda koncentracija, atitinkanti memantino slopinamosios konstantos (k</w:t>
      </w:r>
      <w:r w:rsidRPr="00556077">
        <w:rPr>
          <w:rFonts w:ascii="Times New Roman" w:hAnsi="Times New Roman"/>
          <w:vertAlign w:val="subscript"/>
        </w:rPr>
        <w:t>i</w:t>
      </w:r>
      <w:r w:rsidRPr="00253DCF">
        <w:rPr>
          <w:rFonts w:ascii="Times New Roman" w:eastAsia="Times New Roman" w:hAnsi="Times New Roman" w:cs="Times New Roman"/>
          <w:snapToGrid w:val="0"/>
          <w:szCs w:val="20"/>
        </w:rPr>
        <w:t>) reikšmę. Frontalinėje žmogaus smegenų žievėje ši konstanta yra 0,5</w:t>
      </w:r>
      <w:r w:rsidRPr="00253DCF">
        <w:rPr>
          <w:rFonts w:ascii="Times New Roman" w:eastAsia="Times New Roman" w:hAnsi="Times New Roman" w:cs="Times New Roman"/>
          <w:snapToGrid w:val="0"/>
          <w:szCs w:val="24"/>
        </w:rPr>
        <w:t> </w:t>
      </w:r>
      <w:r w:rsidRPr="00253DCF">
        <w:rPr>
          <w:rFonts w:ascii="Times New Roman" w:eastAsia="Times New Roman" w:hAnsi="Times New Roman" w:cs="Times New Roman"/>
          <w:snapToGrid w:val="0"/>
          <w:szCs w:val="20"/>
        </w:rPr>
        <w:t>μmol.</w:t>
      </w:r>
    </w:p>
    <w:p w14:paraId="73170F45"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snapToGrid w:val="0"/>
        </w:rPr>
      </w:pPr>
    </w:p>
    <w:p w14:paraId="56B1C5B2"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5.3</w:t>
      </w:r>
      <w:r w:rsidRPr="00253DCF">
        <w:rPr>
          <w:rFonts w:ascii="Times New Roman" w:eastAsia="Times New Roman" w:hAnsi="Times New Roman" w:cs="Times New Roman"/>
          <w:b/>
          <w:bCs/>
          <w:snapToGrid w:val="0"/>
          <w:szCs w:val="28"/>
          <w:lang w:eastAsia="x-none"/>
        </w:rPr>
        <w:tab/>
        <w:t>Ikiklinikinių saugumo tyrimų duomenys</w:t>
      </w:r>
    </w:p>
    <w:p w14:paraId="7CFA32C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57AD276"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Trumpalaikių tyrimų metu žiurkėms memantinas, kaip ir kiti NMDA antagonistai, sukėlė neuronų vakuolizaciją ir nekrozę (</w:t>
      </w:r>
      <w:r w:rsidRPr="00253DCF">
        <w:rPr>
          <w:rFonts w:ascii="Times New Roman" w:eastAsia="Times New Roman" w:hAnsi="Times New Roman" w:cs="Times New Roman"/>
          <w:i/>
          <w:snapToGrid w:val="0"/>
          <w:szCs w:val="24"/>
        </w:rPr>
        <w:t>Olney</w:t>
      </w:r>
      <w:r w:rsidRPr="00253DCF">
        <w:rPr>
          <w:rFonts w:ascii="Times New Roman" w:eastAsia="Times New Roman" w:hAnsi="Times New Roman" w:cs="Times New Roman"/>
          <w:snapToGrid w:val="0"/>
          <w:szCs w:val="24"/>
        </w:rPr>
        <w:t xml:space="preserve"> pažeidimą), tačiau tik tokios dozės, nuo kurių didžiausia koncentracija kraujo serume buvo labai didele. Prieš vakuolizaciją ir nekrozę atsirado ataksija bei kitokių simptomų. Ilgalaikių tyrimų metu minėtas poveikis nepasireiškė nei graužikams, nei kitokiems gyvūnams, todėl klinikinė tokių duomenų reikšmė nežinoma. </w:t>
      </w:r>
    </w:p>
    <w:p w14:paraId="73E8CE82"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54742AB"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Kartotinių dozių toksinio poveikio tyrimų metu graužikams ir šunims (bet ne beždžionėms) atsirado nepastovių pokyčių akyse. Klinikinių memantino tyrimų metu, atlikus specifinius akių tyrimus, pokyčių nepastebėta. </w:t>
      </w:r>
    </w:p>
    <w:p w14:paraId="59D57442"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CD9F585"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Dėl memantino susikaupimo lizosomose graužikų plaučiuose atsirado makrofagų fosfolipidozė. Tokios savybės būdingos ir kitoms bazinėms amfifilinėms veikliosioms medžiagoms. Tarp tokio kaupimosi ir plaučių vakuolizacijos ryšys yra įmanomas. Tokį poveikį graužikams sukėlė tik didelės dozės. Ar šie duomenys reikšmingi žmogui, neaišku. </w:t>
      </w:r>
    </w:p>
    <w:p w14:paraId="00ACDE97"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rPr>
        <w:t>Įprastinių tyrimų metu genotoksinio memantino poveikio nepastebėta. Žiurkėms ir pelėms, vaistinio preparato vartojusioms visą gyvavimo laikotarpį, kancerogeninis poveikis nepasireiškė. Žiurkėms ir triušiams teratogeninio poveikio nedarė net ir tokios memantino dozės, kurios sukėlė toksinį poveikį patelėms. Vaisingumo memantinas nesutrikdė. Žiurkėms memantinas, kai ekspozicija buvo tokia pati ar šiek tiek didesnė, nei būna žmonių organizme, sulėtino vaisiaus augimą.</w:t>
      </w:r>
    </w:p>
    <w:p w14:paraId="02E3F04B"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D8631E1"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03478C4"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6.</w:t>
      </w:r>
      <w:r w:rsidRPr="00253DCF">
        <w:rPr>
          <w:rFonts w:ascii="Times New Roman" w:eastAsia="Times New Roman" w:hAnsi="Times New Roman" w:cs="Times New Roman"/>
          <w:b/>
          <w:bCs/>
          <w:snapToGrid w:val="0"/>
          <w:szCs w:val="26"/>
          <w:lang w:eastAsia="x-none"/>
        </w:rPr>
        <w:tab/>
        <w:t>FARMACINĖ INFORMACIJA</w:t>
      </w:r>
    </w:p>
    <w:p w14:paraId="1809B14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6E29B81"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6.1</w:t>
      </w:r>
      <w:r w:rsidRPr="00253DCF">
        <w:rPr>
          <w:rFonts w:ascii="Times New Roman" w:eastAsia="Times New Roman" w:hAnsi="Times New Roman" w:cs="Times New Roman"/>
          <w:b/>
          <w:bCs/>
          <w:snapToGrid w:val="0"/>
          <w:szCs w:val="28"/>
          <w:lang w:eastAsia="x-none"/>
        </w:rPr>
        <w:tab/>
        <w:t>Pagalbinių medžiagų sąrašas</w:t>
      </w:r>
    </w:p>
    <w:p w14:paraId="7E746BDE"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35B12D7" w14:textId="77777777" w:rsidR="00CF1BFF" w:rsidRPr="00253DCF" w:rsidRDefault="00CF1BFF" w:rsidP="00CF1BFF">
      <w:pPr>
        <w:spacing w:after="0" w:line="240" w:lineRule="auto"/>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5 mg, 10 mg, 15 mg, 20 mg plėvele dengtų tablečių šerdis</w:t>
      </w:r>
    </w:p>
    <w:p w14:paraId="67EEB139"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Mikrokristalinė celiuliozė</w:t>
      </w:r>
    </w:p>
    <w:p w14:paraId="4B11BFDB"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color w:val="000000"/>
          <w:lang w:eastAsia="el-GR"/>
        </w:rPr>
      </w:pPr>
      <w:r w:rsidRPr="00253DCF">
        <w:rPr>
          <w:rFonts w:ascii="Times New Roman" w:eastAsia="Times New Roman" w:hAnsi="Times New Roman" w:cs="Times New Roman"/>
          <w:snapToGrid w:val="0"/>
          <w:color w:val="000000"/>
          <w:lang w:eastAsia="el-GR"/>
        </w:rPr>
        <w:t>Kroskarmeliozės natrio druska</w:t>
      </w:r>
    </w:p>
    <w:p w14:paraId="02FA20D6"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Koloidinis bevandenis silicio dioksidas</w:t>
      </w:r>
    </w:p>
    <w:p w14:paraId="50CA50E9"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Magnio stearatas</w:t>
      </w:r>
    </w:p>
    <w:p w14:paraId="7C8EEA10" w14:textId="77777777" w:rsidR="00CF1BFF" w:rsidRPr="00253DCF" w:rsidRDefault="00CF1BFF" w:rsidP="00CF1BFF">
      <w:pPr>
        <w:spacing w:after="0" w:line="240" w:lineRule="auto"/>
        <w:rPr>
          <w:rFonts w:ascii="Times New Roman" w:eastAsia="Times New Roman" w:hAnsi="Times New Roman" w:cs="Times New Roman"/>
          <w:i/>
          <w:snapToGrid w:val="0"/>
          <w:szCs w:val="24"/>
          <w:highlight w:val="yellow"/>
        </w:rPr>
      </w:pPr>
    </w:p>
    <w:p w14:paraId="11B65C7B" w14:textId="77777777" w:rsidR="00CF1BFF" w:rsidRPr="00253DCF" w:rsidRDefault="00CF1BFF" w:rsidP="00CF1BFF">
      <w:pPr>
        <w:spacing w:after="0" w:line="240" w:lineRule="auto"/>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5 mg, 10 mg, ir 20 mg plėvele dengtų tablečių plėvelė</w:t>
      </w:r>
    </w:p>
    <w:p w14:paraId="1C06871E"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Hipromeliozė</w:t>
      </w:r>
    </w:p>
    <w:p w14:paraId="417A58B9"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Titano dioksidas (E 171)</w:t>
      </w:r>
    </w:p>
    <w:p w14:paraId="0DAA8E59"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Makrogolis 400</w:t>
      </w:r>
    </w:p>
    <w:p w14:paraId="63239757"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Geltonasis geležies oksidas (E 172)</w:t>
      </w:r>
    </w:p>
    <w:p w14:paraId="6771C87C"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13251BC2" w14:textId="77777777" w:rsidR="00CF1BFF" w:rsidRPr="00253DCF" w:rsidRDefault="00CF1BFF" w:rsidP="00CF1BFF">
      <w:pPr>
        <w:spacing w:after="0" w:line="240" w:lineRule="auto"/>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15 mg plėvele dengtų tablečių plėvelė</w:t>
      </w:r>
    </w:p>
    <w:p w14:paraId="11A6ABBC"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Hipromeliozė</w:t>
      </w:r>
    </w:p>
    <w:p w14:paraId="4216FEFF"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Titano dioksidas (E 171)</w:t>
      </w:r>
    </w:p>
    <w:p w14:paraId="07416338"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Makrogolis 400</w:t>
      </w:r>
    </w:p>
    <w:p w14:paraId="72880201"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Raudonasis geležies oksidas (E 172)</w:t>
      </w:r>
    </w:p>
    <w:p w14:paraId="66C1D613"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353E7E87"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6.2</w:t>
      </w:r>
      <w:r w:rsidRPr="00253DCF">
        <w:rPr>
          <w:rFonts w:ascii="Times New Roman" w:eastAsia="Times New Roman" w:hAnsi="Times New Roman" w:cs="Times New Roman"/>
          <w:b/>
          <w:bCs/>
          <w:snapToGrid w:val="0"/>
          <w:szCs w:val="28"/>
          <w:lang w:eastAsia="x-none"/>
        </w:rPr>
        <w:tab/>
        <w:t>Nesuderinamumas</w:t>
      </w:r>
    </w:p>
    <w:p w14:paraId="3988E2E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37573EF"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Duomenys nebūtini.</w:t>
      </w:r>
    </w:p>
    <w:p w14:paraId="5BED849E"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20597B6"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6.3</w:t>
      </w:r>
      <w:r w:rsidRPr="00253DCF">
        <w:rPr>
          <w:rFonts w:ascii="Times New Roman" w:eastAsia="Times New Roman" w:hAnsi="Times New Roman" w:cs="Times New Roman"/>
          <w:b/>
          <w:bCs/>
          <w:snapToGrid w:val="0"/>
          <w:szCs w:val="28"/>
          <w:lang w:eastAsia="x-none"/>
        </w:rPr>
        <w:tab/>
        <w:t>Tinkamumo laikas</w:t>
      </w:r>
    </w:p>
    <w:p w14:paraId="6B99F3B0"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0C268739" w14:textId="715FB0E5" w:rsidR="00CF1BFF" w:rsidRPr="00253DCF" w:rsidRDefault="002F6A0D" w:rsidP="00CF1BFF">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4</w:t>
      </w:r>
      <w:r w:rsidRPr="00253DCF">
        <w:rPr>
          <w:rFonts w:ascii="Times New Roman" w:eastAsia="Times New Roman" w:hAnsi="Times New Roman" w:cs="Times New Roman"/>
          <w:snapToGrid w:val="0"/>
          <w:szCs w:val="24"/>
        </w:rPr>
        <w:t xml:space="preserve"> </w:t>
      </w:r>
      <w:r w:rsidR="00CF1BFF" w:rsidRPr="00253DCF">
        <w:rPr>
          <w:rFonts w:ascii="Times New Roman" w:eastAsia="Times New Roman" w:hAnsi="Times New Roman" w:cs="Times New Roman"/>
          <w:snapToGrid w:val="0"/>
          <w:szCs w:val="24"/>
        </w:rPr>
        <w:t>metai</w:t>
      </w:r>
    </w:p>
    <w:p w14:paraId="3D1E58EB"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0460696"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6.4</w:t>
      </w:r>
      <w:r w:rsidRPr="00253DCF">
        <w:rPr>
          <w:rFonts w:ascii="Times New Roman" w:eastAsia="Times New Roman" w:hAnsi="Times New Roman" w:cs="Times New Roman"/>
          <w:b/>
          <w:bCs/>
          <w:snapToGrid w:val="0"/>
          <w:szCs w:val="28"/>
          <w:lang w:eastAsia="x-none"/>
        </w:rPr>
        <w:tab/>
        <w:t>Specialios laikymo sąlygos</w:t>
      </w:r>
    </w:p>
    <w:p w14:paraId="297792D1"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B482C19" w14:textId="77777777" w:rsidR="00CF1BFF" w:rsidRPr="00253DCF" w:rsidRDefault="00CF1BFF" w:rsidP="00CF1BFF">
      <w:pPr>
        <w:spacing w:after="0" w:line="240" w:lineRule="auto"/>
        <w:rPr>
          <w:rFonts w:ascii="Times New Roman" w:eastAsia="Times New Roman" w:hAnsi="Times New Roman" w:cs="Times New Roman"/>
          <w:snapToGrid w:val="0"/>
          <w:color w:val="0D0D0D"/>
          <w:szCs w:val="24"/>
        </w:rPr>
      </w:pPr>
      <w:r w:rsidRPr="00253DCF">
        <w:rPr>
          <w:rFonts w:ascii="Times New Roman" w:eastAsia="Times New Roman" w:hAnsi="Times New Roman" w:cs="Times New Roman"/>
          <w:snapToGrid w:val="0"/>
          <w:color w:val="0D0D0D"/>
          <w:szCs w:val="24"/>
        </w:rPr>
        <w:t>Šiam vaistiniam preparatui specialių laikymo sąlygų nereikia.</w:t>
      </w:r>
    </w:p>
    <w:p w14:paraId="4AD0A28F"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0F91BF2"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6.5</w:t>
      </w:r>
      <w:r w:rsidRPr="00253DCF">
        <w:rPr>
          <w:rFonts w:ascii="Times New Roman" w:eastAsia="Times New Roman" w:hAnsi="Times New Roman" w:cs="Times New Roman"/>
          <w:b/>
          <w:bCs/>
          <w:snapToGrid w:val="0"/>
          <w:szCs w:val="28"/>
          <w:lang w:eastAsia="x-none"/>
        </w:rPr>
        <w:tab/>
        <w:t>Talpyklės pobūdis ir jos turinys</w:t>
      </w:r>
      <w:r w:rsidRPr="00253DCF">
        <w:rPr>
          <w:rFonts w:ascii="Times New Roman" w:eastAsia="Times New Roman" w:hAnsi="Times New Roman" w:cs="Times New Roman"/>
          <w:b/>
          <w:snapToGrid w:val="0"/>
          <w:szCs w:val="24"/>
          <w:lang w:eastAsia="x-none"/>
        </w:rPr>
        <w:t xml:space="preserve"> </w:t>
      </w:r>
    </w:p>
    <w:p w14:paraId="2FB1DE25"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5A3F301"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PVC/PE/PVDC/aliuminio permatomos lizdinės plokštelės arba PA/aliuminio/PVC/aliuminio lizdinės plokštelės, supakuotos kartoninėse dėžutėse po 14, 28, 30, 50, 56, 60, 70, 100, 112 arba 1000 tablečių.</w:t>
      </w:r>
    </w:p>
    <w:p w14:paraId="0DAE44BC"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18F8BD4"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Gali būti tiekiamos ne visų dydžių pakuotės.</w:t>
      </w:r>
    </w:p>
    <w:p w14:paraId="2AF43250"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53AE8EC"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1" w:name="OLE_LINK1"/>
      <w:r w:rsidRPr="00253DCF">
        <w:rPr>
          <w:rFonts w:ascii="Times New Roman" w:eastAsia="Times New Roman" w:hAnsi="Times New Roman" w:cs="Times New Roman"/>
          <w:b/>
          <w:bCs/>
          <w:snapToGrid w:val="0"/>
          <w:szCs w:val="28"/>
          <w:lang w:eastAsia="x-none"/>
        </w:rPr>
        <w:t>6.6</w:t>
      </w:r>
      <w:r w:rsidRPr="00253DCF">
        <w:rPr>
          <w:rFonts w:ascii="Times New Roman" w:eastAsia="Times New Roman" w:hAnsi="Times New Roman" w:cs="Times New Roman"/>
          <w:b/>
          <w:bCs/>
          <w:snapToGrid w:val="0"/>
          <w:szCs w:val="28"/>
          <w:lang w:eastAsia="x-none"/>
        </w:rPr>
        <w:tab/>
        <w:t>Specialūs reikalavimai atliekoms tvarkyti</w:t>
      </w:r>
    </w:p>
    <w:bookmarkEnd w:id="1"/>
    <w:p w14:paraId="700698F9"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48277062"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Specialių reikalavimų nėra.</w:t>
      </w:r>
    </w:p>
    <w:p w14:paraId="2C0F370B"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EBF79DC"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2B2D718"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7.</w:t>
      </w:r>
      <w:r w:rsidRPr="00253DCF">
        <w:rPr>
          <w:rFonts w:ascii="Times New Roman" w:eastAsia="Times New Roman" w:hAnsi="Times New Roman" w:cs="Times New Roman"/>
          <w:b/>
          <w:bCs/>
          <w:snapToGrid w:val="0"/>
          <w:szCs w:val="26"/>
          <w:lang w:eastAsia="x-none"/>
        </w:rPr>
        <w:tab/>
        <w:t>REGISTRUOTOJAS</w:t>
      </w:r>
    </w:p>
    <w:p w14:paraId="51F29C51"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363BF24"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Medochemie Ltd</w:t>
      </w:r>
      <w:r>
        <w:rPr>
          <w:rFonts w:ascii="Times New Roman" w:eastAsia="Times New Roman" w:hAnsi="Times New Roman" w:cs="Times New Roman"/>
          <w:snapToGrid w:val="0"/>
          <w:szCs w:val="24"/>
        </w:rPr>
        <w:t>.</w:t>
      </w:r>
    </w:p>
    <w:p w14:paraId="04A8C19E"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1-10 Constantinoupoleos Street</w:t>
      </w:r>
    </w:p>
    <w:p w14:paraId="59186F56"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3011 Limassol</w:t>
      </w:r>
    </w:p>
    <w:p w14:paraId="19742524"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14:paraId="17C182F7"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5C9E9A3"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E14FCFC"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8.</w:t>
      </w:r>
      <w:r w:rsidRPr="00253DCF">
        <w:rPr>
          <w:rFonts w:ascii="Times New Roman" w:eastAsia="Times New Roman" w:hAnsi="Times New Roman" w:cs="Times New Roman"/>
          <w:b/>
          <w:bCs/>
          <w:snapToGrid w:val="0"/>
          <w:szCs w:val="26"/>
          <w:lang w:eastAsia="x-none"/>
        </w:rPr>
        <w:tab/>
        <w:t xml:space="preserve">REGISTRACIJOS </w:t>
      </w:r>
      <w:r w:rsidRPr="00253DCF">
        <w:rPr>
          <w:rFonts w:ascii="Times New Roman" w:eastAsia="Times New Roman" w:hAnsi="Times New Roman" w:cs="Times New Roman"/>
          <w:b/>
          <w:bCs/>
          <w:snapToGrid w:val="0"/>
          <w:lang w:eastAsia="x-none"/>
        </w:rPr>
        <w:t>PAŽYMĖJIMO</w:t>
      </w:r>
      <w:r w:rsidRPr="00253DCF">
        <w:rPr>
          <w:rFonts w:ascii="Times New Roman" w:eastAsia="Times New Roman" w:hAnsi="Times New Roman" w:cs="Times New Roman"/>
          <w:b/>
          <w:bCs/>
          <w:snapToGrid w:val="0"/>
          <w:szCs w:val="26"/>
          <w:lang w:eastAsia="x-none"/>
        </w:rPr>
        <w:t xml:space="preserve"> NUMERIS (-IAI) </w:t>
      </w:r>
    </w:p>
    <w:p w14:paraId="663A499A" w14:textId="77777777" w:rsidR="00CF1BFF" w:rsidRPr="00253DCF" w:rsidRDefault="00CF1BFF" w:rsidP="00CF1BFF">
      <w:pPr>
        <w:spacing w:after="0" w:line="240" w:lineRule="auto"/>
        <w:rPr>
          <w:rFonts w:ascii="Times New Roman" w:eastAsia="Times New Roman" w:hAnsi="Times New Roman" w:cs="Times New Roman"/>
          <w:snapToGrid w:val="0"/>
          <w:szCs w:val="24"/>
        </w:rPr>
      </w:pPr>
    </w:p>
    <w:tbl>
      <w:tblPr>
        <w:tblW w:w="0" w:type="auto"/>
        <w:tblLook w:val="04A0" w:firstRow="1" w:lastRow="0" w:firstColumn="1" w:lastColumn="0" w:noHBand="0" w:noVBand="1"/>
      </w:tblPr>
      <w:tblGrid>
        <w:gridCol w:w="4535"/>
        <w:gridCol w:w="4535"/>
      </w:tblGrid>
      <w:tr w:rsidR="00CF1BFF" w:rsidRPr="00253DCF" w14:paraId="36ED5044" w14:textId="77777777" w:rsidTr="00B97802">
        <w:tc>
          <w:tcPr>
            <w:tcW w:w="4927" w:type="dxa"/>
          </w:tcPr>
          <w:p w14:paraId="65269506" w14:textId="77777777" w:rsidR="00CF1BFF" w:rsidRPr="00253DCF" w:rsidRDefault="00CF1BFF" w:rsidP="00B97802">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5 mg </w:t>
            </w:r>
          </w:p>
          <w:p w14:paraId="142FFF98"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LT/1/14/3647/001 – N14</w:t>
            </w:r>
          </w:p>
          <w:p w14:paraId="106D19BA"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LT/1/14/3647/002 – N28</w:t>
            </w:r>
          </w:p>
          <w:p w14:paraId="4480AE31"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LT/1/14/3647/003 – N30</w:t>
            </w:r>
          </w:p>
          <w:p w14:paraId="17A75B6E"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LT/1/14/3647/004 – N50</w:t>
            </w:r>
          </w:p>
          <w:p w14:paraId="0A6B4555"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LT/1/14/3647/005 – N56</w:t>
            </w:r>
          </w:p>
          <w:p w14:paraId="504F9476"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LT/1/14/3647/006 – N60</w:t>
            </w:r>
          </w:p>
          <w:p w14:paraId="17FF50C1" w14:textId="77777777" w:rsidR="00CF1BFF" w:rsidRPr="00253DC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LT/1/14/3647/007 – N70</w:t>
            </w:r>
          </w:p>
          <w:p w14:paraId="38C9C671" w14:textId="77777777" w:rsidR="00CF1BFF" w:rsidRDefault="00CF1BFF" w:rsidP="00B97802">
            <w:pPr>
              <w:spacing w:after="0" w:line="240" w:lineRule="auto"/>
              <w:rPr>
                <w:rFonts w:ascii="Times New Roman" w:eastAsia="Times New Roman" w:hAnsi="Times New Roman" w:cs="Times New Roman"/>
                <w:snapToGrid w:val="0"/>
              </w:rPr>
            </w:pPr>
            <w:r w:rsidRPr="00253DCF">
              <w:rPr>
                <w:rFonts w:ascii="Times New Roman" w:eastAsia="Times New Roman" w:hAnsi="Times New Roman" w:cs="Times New Roman"/>
                <w:snapToGrid w:val="0"/>
              </w:rPr>
              <w:t>LT/1/14/3647/008 – N100</w:t>
            </w:r>
          </w:p>
          <w:p w14:paraId="2FCEBE16" w14:textId="77777777" w:rsidR="00CF1BFF" w:rsidRDefault="00CF1BFF" w:rsidP="00B97802">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LT/1/14/3647/037</w:t>
            </w:r>
            <w:r w:rsidRPr="00556077">
              <w:rPr>
                <w:rFonts w:ascii="Times New Roman" w:eastAsia="Times New Roman" w:hAnsi="Times New Roman" w:cs="Times New Roman"/>
                <w:snapToGrid w:val="0"/>
              </w:rPr>
              <w:t xml:space="preserve"> – N1</w:t>
            </w:r>
            <w:r>
              <w:rPr>
                <w:rFonts w:ascii="Times New Roman" w:eastAsia="Times New Roman" w:hAnsi="Times New Roman" w:cs="Times New Roman"/>
                <w:snapToGrid w:val="0"/>
              </w:rPr>
              <w:t>12</w:t>
            </w:r>
          </w:p>
          <w:p w14:paraId="295F0E16" w14:textId="77777777" w:rsidR="00CF1BFF" w:rsidRPr="00253DCF" w:rsidRDefault="00CF1BFF" w:rsidP="00B97802">
            <w:pPr>
              <w:spacing w:after="0" w:line="240" w:lineRule="auto"/>
              <w:rPr>
                <w:rFonts w:ascii="Times New Roman" w:eastAsia="Times New Roman" w:hAnsi="Times New Roman" w:cs="Times New Roman"/>
                <w:snapToGrid w:val="0"/>
                <w:sz w:val="16"/>
                <w:szCs w:val="16"/>
              </w:rPr>
            </w:pPr>
            <w:r w:rsidRPr="00253DCF">
              <w:rPr>
                <w:rFonts w:ascii="Times New Roman" w:eastAsia="Times New Roman" w:hAnsi="Times New Roman" w:cs="Times New Roman"/>
                <w:snapToGrid w:val="0"/>
              </w:rPr>
              <w:t>LT/1/14/3647/009 – N1000</w:t>
            </w:r>
          </w:p>
        </w:tc>
        <w:tc>
          <w:tcPr>
            <w:tcW w:w="4927" w:type="dxa"/>
          </w:tcPr>
          <w:p w14:paraId="3EAC2F65" w14:textId="77777777" w:rsidR="00CF1BFF" w:rsidRPr="00253DCF" w:rsidRDefault="00CF1BFF" w:rsidP="00B97802">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10 mg </w:t>
            </w:r>
          </w:p>
          <w:p w14:paraId="6EA30184"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LT/1/14/3647/010 – N14</w:t>
            </w:r>
          </w:p>
          <w:p w14:paraId="7E7E1E42"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LT/1/14/3647/011 – N28</w:t>
            </w:r>
          </w:p>
          <w:p w14:paraId="475BCD2D"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LT/1/14/3647/012 – N30</w:t>
            </w:r>
          </w:p>
          <w:p w14:paraId="27DB1349"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LT/1/14/3647/013 – N50</w:t>
            </w:r>
          </w:p>
          <w:p w14:paraId="1A7FAC7E"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LT/1/14/3647/014 – N56</w:t>
            </w:r>
          </w:p>
          <w:p w14:paraId="2F091080"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LT/1/14/3647/015 – N60</w:t>
            </w:r>
          </w:p>
          <w:p w14:paraId="09CAD738"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LT/1/14/3647/016 – N70</w:t>
            </w:r>
          </w:p>
          <w:p w14:paraId="45AF3538" w14:textId="77777777" w:rsidR="00CF1BF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LT/1/14/3647/017 – N100</w:t>
            </w:r>
          </w:p>
          <w:p w14:paraId="6D996FD2" w14:textId="77777777" w:rsidR="00CF1BFF" w:rsidRPr="00253DCF" w:rsidRDefault="00CF1BFF" w:rsidP="00B97802">
            <w:pPr>
              <w:spacing w:after="0" w:line="240" w:lineRule="auto"/>
              <w:rPr>
                <w:rFonts w:ascii="Times New Roman" w:eastAsia="Times New Roman" w:hAnsi="Times New Roman" w:cs="Times New Roman"/>
                <w:bCs/>
                <w:szCs w:val="24"/>
              </w:rPr>
            </w:pPr>
            <w:r w:rsidRPr="00556077">
              <w:rPr>
                <w:rFonts w:ascii="Times New Roman" w:eastAsia="Times New Roman" w:hAnsi="Times New Roman" w:cs="Times New Roman"/>
                <w:bCs/>
                <w:szCs w:val="24"/>
              </w:rPr>
              <w:t>LT/1/14/3647/0</w:t>
            </w:r>
            <w:r>
              <w:rPr>
                <w:rFonts w:ascii="Times New Roman" w:eastAsia="Times New Roman" w:hAnsi="Times New Roman" w:cs="Times New Roman"/>
                <w:bCs/>
                <w:szCs w:val="24"/>
              </w:rPr>
              <w:t>38</w:t>
            </w:r>
            <w:r w:rsidRPr="00556077">
              <w:rPr>
                <w:rFonts w:ascii="Times New Roman" w:eastAsia="Times New Roman" w:hAnsi="Times New Roman" w:cs="Times New Roman"/>
                <w:bCs/>
                <w:szCs w:val="24"/>
              </w:rPr>
              <w:t xml:space="preserve"> – N112</w:t>
            </w:r>
          </w:p>
          <w:p w14:paraId="3263BA42" w14:textId="77777777" w:rsidR="00CF1BFF" w:rsidRPr="00253DCF" w:rsidRDefault="00CF1BFF" w:rsidP="00B97802">
            <w:pPr>
              <w:spacing w:after="12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bCs/>
                <w:szCs w:val="24"/>
              </w:rPr>
              <w:t>LT/1/14/3647/018 – N1000</w:t>
            </w:r>
          </w:p>
        </w:tc>
      </w:tr>
      <w:tr w:rsidR="00CF1BFF" w:rsidRPr="00253DCF" w14:paraId="0B683032" w14:textId="77777777" w:rsidTr="00B97802">
        <w:tc>
          <w:tcPr>
            <w:tcW w:w="4927" w:type="dxa"/>
          </w:tcPr>
          <w:p w14:paraId="492D15D2" w14:textId="77777777" w:rsidR="00CF1BFF" w:rsidRPr="00253DCF" w:rsidRDefault="00CF1BFF" w:rsidP="00B97802">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15 mg </w:t>
            </w:r>
          </w:p>
          <w:p w14:paraId="61AB0050"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 xml:space="preserve"> LT/1/14/3647/019 – N14</w:t>
            </w:r>
          </w:p>
          <w:p w14:paraId="7837F3E5"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LT/1/14/3647/020 – N28</w:t>
            </w:r>
          </w:p>
          <w:p w14:paraId="15949B8B"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LT/1/14/3647/021 – N30</w:t>
            </w:r>
          </w:p>
          <w:p w14:paraId="011FE703"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LT/1/14/3647/022 – N50</w:t>
            </w:r>
          </w:p>
          <w:p w14:paraId="3FEE0474"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LT/1/14/3647/023 – N56</w:t>
            </w:r>
          </w:p>
          <w:p w14:paraId="292DAFFC"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LT/1/14/3647/024 – N60</w:t>
            </w:r>
          </w:p>
          <w:p w14:paraId="58C50D51" w14:textId="77777777" w:rsidR="00CF1BFF" w:rsidRPr="00253DC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LT/1/14/3647/025 – N70</w:t>
            </w:r>
          </w:p>
          <w:p w14:paraId="1A9CD42A" w14:textId="77777777" w:rsidR="00CF1BFF" w:rsidRDefault="00CF1BFF" w:rsidP="00B97802">
            <w:pPr>
              <w:spacing w:after="0" w:line="240" w:lineRule="auto"/>
              <w:rPr>
                <w:rFonts w:ascii="Times New Roman" w:eastAsia="Times New Roman" w:hAnsi="Times New Roman" w:cs="Times New Roman"/>
                <w:bCs/>
                <w:szCs w:val="24"/>
              </w:rPr>
            </w:pPr>
            <w:r w:rsidRPr="00253DCF">
              <w:rPr>
                <w:rFonts w:ascii="Times New Roman" w:eastAsia="Times New Roman" w:hAnsi="Times New Roman" w:cs="Times New Roman"/>
                <w:bCs/>
                <w:szCs w:val="24"/>
              </w:rPr>
              <w:t>LT/1/14/3647/026 – N100</w:t>
            </w:r>
          </w:p>
          <w:p w14:paraId="0D840CC7" w14:textId="77777777" w:rsidR="00CF1BFF" w:rsidRPr="00253DCF" w:rsidRDefault="00CF1BFF" w:rsidP="00B97802">
            <w:pPr>
              <w:spacing w:after="0" w:line="240" w:lineRule="auto"/>
              <w:rPr>
                <w:rFonts w:ascii="Times New Roman" w:eastAsia="Times New Roman" w:hAnsi="Times New Roman" w:cs="Times New Roman"/>
                <w:bCs/>
                <w:szCs w:val="24"/>
              </w:rPr>
            </w:pPr>
            <w:r w:rsidRPr="00556077">
              <w:rPr>
                <w:rFonts w:ascii="Times New Roman" w:eastAsia="Times New Roman" w:hAnsi="Times New Roman" w:cs="Times New Roman"/>
                <w:bCs/>
                <w:szCs w:val="24"/>
              </w:rPr>
              <w:t>LT/1/14/3647/0</w:t>
            </w:r>
            <w:r>
              <w:rPr>
                <w:rFonts w:ascii="Times New Roman" w:eastAsia="Times New Roman" w:hAnsi="Times New Roman" w:cs="Times New Roman"/>
                <w:bCs/>
                <w:szCs w:val="24"/>
              </w:rPr>
              <w:t>39</w:t>
            </w:r>
            <w:r w:rsidRPr="00556077">
              <w:rPr>
                <w:rFonts w:ascii="Times New Roman" w:eastAsia="Times New Roman" w:hAnsi="Times New Roman" w:cs="Times New Roman"/>
                <w:bCs/>
                <w:szCs w:val="24"/>
              </w:rPr>
              <w:t xml:space="preserve"> – N112</w:t>
            </w:r>
          </w:p>
          <w:p w14:paraId="1DEAE6A4" w14:textId="77777777" w:rsidR="00CF1BFF" w:rsidRPr="00253DCF" w:rsidRDefault="00CF1BFF" w:rsidP="00B97802">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bCs/>
                <w:szCs w:val="24"/>
              </w:rPr>
              <w:t>LT/1/14/3647/027 – N1000</w:t>
            </w:r>
          </w:p>
        </w:tc>
        <w:tc>
          <w:tcPr>
            <w:tcW w:w="4927" w:type="dxa"/>
          </w:tcPr>
          <w:p w14:paraId="579EEBD5" w14:textId="77777777" w:rsidR="00CF1BFF" w:rsidRPr="00253DCF" w:rsidRDefault="00CF1BFF" w:rsidP="00B97802">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20 mg </w:t>
            </w:r>
          </w:p>
          <w:p w14:paraId="06CA2472"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LT/1/14/3647/028 – N14</w:t>
            </w:r>
          </w:p>
          <w:p w14:paraId="13E4E9A1"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LT/1/14/3647/029 – N28</w:t>
            </w:r>
          </w:p>
          <w:p w14:paraId="4FE39284"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LT/1/14/3647/030 – N30</w:t>
            </w:r>
          </w:p>
          <w:p w14:paraId="6878A14D"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LT/1/14/3647/031 – N50</w:t>
            </w:r>
          </w:p>
          <w:p w14:paraId="76D0EE85"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LT/1/14/3647/032 – N56</w:t>
            </w:r>
          </w:p>
          <w:p w14:paraId="485B6591"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LT/1/14/3647/033 – N60</w:t>
            </w:r>
          </w:p>
          <w:p w14:paraId="75545240"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LT/1/14/3647/034 – N70</w:t>
            </w:r>
          </w:p>
          <w:p w14:paraId="3EE454A4" w14:textId="77777777" w:rsidR="00CF1BFF" w:rsidRDefault="00CF1BFF" w:rsidP="00B97802">
            <w:pPr>
              <w:spacing w:after="0" w:line="240" w:lineRule="auto"/>
              <w:rPr>
                <w:rFonts w:ascii="Times New Roman" w:eastAsia="Times New Roman" w:hAnsi="Times New Roman" w:cs="Times New Roman"/>
                <w:bCs/>
                <w:snapToGrid w:val="0"/>
                <w:szCs w:val="24"/>
              </w:rPr>
            </w:pPr>
            <w:r w:rsidRPr="00253DCF">
              <w:rPr>
                <w:rFonts w:ascii="Times New Roman" w:eastAsia="Times New Roman" w:hAnsi="Times New Roman" w:cs="Times New Roman"/>
                <w:bCs/>
                <w:snapToGrid w:val="0"/>
                <w:szCs w:val="24"/>
              </w:rPr>
              <w:t>LT/1/14/3647/035 – N100</w:t>
            </w:r>
          </w:p>
          <w:p w14:paraId="588FE6ED" w14:textId="77777777" w:rsidR="00CF1BFF" w:rsidRPr="00253DCF" w:rsidRDefault="00CF1BFF" w:rsidP="00B97802">
            <w:pPr>
              <w:spacing w:after="0" w:line="240" w:lineRule="auto"/>
              <w:rPr>
                <w:rFonts w:ascii="Times New Roman" w:eastAsia="Times New Roman" w:hAnsi="Times New Roman" w:cs="Times New Roman"/>
                <w:bCs/>
                <w:snapToGrid w:val="0"/>
                <w:szCs w:val="24"/>
              </w:rPr>
            </w:pPr>
            <w:r w:rsidRPr="00556077">
              <w:rPr>
                <w:rFonts w:ascii="Times New Roman" w:eastAsia="Times New Roman" w:hAnsi="Times New Roman" w:cs="Times New Roman"/>
                <w:bCs/>
                <w:snapToGrid w:val="0"/>
                <w:szCs w:val="24"/>
              </w:rPr>
              <w:t>LT/1/14/3647/0</w:t>
            </w:r>
            <w:r>
              <w:rPr>
                <w:rFonts w:ascii="Times New Roman" w:eastAsia="Times New Roman" w:hAnsi="Times New Roman" w:cs="Times New Roman"/>
                <w:bCs/>
                <w:snapToGrid w:val="0"/>
                <w:szCs w:val="24"/>
              </w:rPr>
              <w:t>40</w:t>
            </w:r>
            <w:r w:rsidRPr="00556077">
              <w:rPr>
                <w:rFonts w:ascii="Times New Roman" w:eastAsia="Times New Roman" w:hAnsi="Times New Roman" w:cs="Times New Roman"/>
                <w:bCs/>
                <w:snapToGrid w:val="0"/>
                <w:szCs w:val="24"/>
              </w:rPr>
              <w:t xml:space="preserve"> – N112</w:t>
            </w:r>
          </w:p>
          <w:p w14:paraId="239AF9A7" w14:textId="77777777" w:rsidR="00CF1BFF" w:rsidRPr="00253DCF" w:rsidRDefault="00CF1BFF" w:rsidP="00B97802">
            <w:pPr>
              <w:spacing w:after="12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bCs/>
                <w:snapToGrid w:val="0"/>
                <w:szCs w:val="24"/>
              </w:rPr>
              <w:t>LT/1/14/3647/036 – N1000</w:t>
            </w:r>
          </w:p>
        </w:tc>
      </w:tr>
    </w:tbl>
    <w:p w14:paraId="370DAE4E"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2E4AC65"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39B6722A"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9.</w:t>
      </w:r>
      <w:r w:rsidRPr="00253DCF">
        <w:rPr>
          <w:rFonts w:ascii="Times New Roman" w:eastAsia="Times New Roman" w:hAnsi="Times New Roman" w:cs="Times New Roman"/>
          <w:b/>
          <w:bCs/>
          <w:snapToGrid w:val="0"/>
          <w:szCs w:val="26"/>
          <w:lang w:eastAsia="x-none"/>
        </w:rPr>
        <w:tab/>
        <w:t>REGISTRAVIMO / PERREGISTRAVIMO DATA</w:t>
      </w:r>
    </w:p>
    <w:p w14:paraId="27467613"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552C6EF3" w14:textId="77777777" w:rsidR="00CF1BFF" w:rsidRPr="00253DCF" w:rsidRDefault="00CF1BFF" w:rsidP="00CF1BFF">
      <w:pPr>
        <w:tabs>
          <w:tab w:val="left" w:pos="1296"/>
        </w:tabs>
        <w:snapToGrid w:val="0"/>
        <w:spacing w:after="0" w:line="240" w:lineRule="auto"/>
        <w:rPr>
          <w:rFonts w:ascii="Times New Roman" w:eastAsia="Times New Roman" w:hAnsi="Times New Roman" w:cs="Times New Roman"/>
          <w:szCs w:val="24"/>
        </w:rPr>
      </w:pPr>
      <w:r w:rsidRPr="00253DCF">
        <w:rPr>
          <w:rFonts w:ascii="Times New Roman" w:eastAsia="Times New Roman" w:hAnsi="Times New Roman" w:cs="Times New Roman"/>
          <w:noProof/>
          <w:szCs w:val="24"/>
        </w:rPr>
        <w:t>Registravimo data 2014 m. spalio 27 d.</w:t>
      </w:r>
    </w:p>
    <w:p w14:paraId="24A93506"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Paskutinio perregistravimo data 2019 m. gruodžio 23 d.</w:t>
      </w:r>
    </w:p>
    <w:p w14:paraId="0A63EB5E"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364933DD"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31578066"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10.</w:t>
      </w:r>
      <w:r w:rsidRPr="00253DCF">
        <w:rPr>
          <w:rFonts w:ascii="Times New Roman" w:eastAsia="Times New Roman" w:hAnsi="Times New Roman" w:cs="Times New Roman"/>
          <w:b/>
          <w:bCs/>
          <w:snapToGrid w:val="0"/>
          <w:szCs w:val="26"/>
          <w:lang w:eastAsia="x-none"/>
        </w:rPr>
        <w:tab/>
        <w:t>TEKSTO PERŽIŪROS DATA</w:t>
      </w:r>
    </w:p>
    <w:p w14:paraId="04E59E1A"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77EF0523" w14:textId="7A63916F"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202</w:t>
      </w:r>
      <w:r w:rsidR="00293733">
        <w:rPr>
          <w:rFonts w:ascii="Times New Roman" w:eastAsia="Times New Roman" w:hAnsi="Times New Roman" w:cs="Times New Roman"/>
          <w:snapToGrid w:val="0"/>
          <w:szCs w:val="24"/>
        </w:rPr>
        <w:t>4</w:t>
      </w:r>
      <w:r w:rsidRPr="00253DCF">
        <w:rPr>
          <w:rFonts w:ascii="Times New Roman" w:eastAsia="Times New Roman" w:hAnsi="Times New Roman" w:cs="Times New Roman"/>
          <w:snapToGrid w:val="0"/>
          <w:szCs w:val="24"/>
        </w:rPr>
        <w:t xml:space="preserve"> m. </w:t>
      </w:r>
      <w:r w:rsidR="00293733">
        <w:rPr>
          <w:rFonts w:ascii="Times New Roman" w:eastAsia="Times New Roman" w:hAnsi="Times New Roman" w:cs="Times New Roman"/>
          <w:snapToGrid w:val="0"/>
          <w:szCs w:val="24"/>
        </w:rPr>
        <w:t>rugsėjo 11</w:t>
      </w:r>
      <w:r>
        <w:rPr>
          <w:rFonts w:ascii="Times New Roman" w:eastAsia="Times New Roman" w:hAnsi="Times New Roman" w:cs="Times New Roman"/>
          <w:snapToGrid w:val="0"/>
          <w:szCs w:val="24"/>
        </w:rPr>
        <w:t xml:space="preserve"> d.</w:t>
      </w:r>
    </w:p>
    <w:p w14:paraId="27A50AAD"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0197452D"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34576E9" w14:textId="77777777" w:rsidR="00CF1BFF" w:rsidRPr="00253DCF" w:rsidRDefault="00CF1BFF" w:rsidP="00CF1BFF">
      <w:pPr>
        <w:tabs>
          <w:tab w:val="left" w:pos="5954"/>
          <w:tab w:val="left" w:pos="6237"/>
          <w:tab w:val="left" w:pos="6663"/>
          <w:tab w:val="left" w:pos="6946"/>
        </w:tabs>
        <w:spacing w:after="0" w:line="240" w:lineRule="auto"/>
        <w:rPr>
          <w:rFonts w:ascii="Times New Roman" w:eastAsia="SimSun" w:hAnsi="Times New Roman" w:cs="Times New Roman"/>
        </w:rPr>
      </w:pPr>
      <w:r w:rsidRPr="00253DCF">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253DCF">
        <w:rPr>
          <w:rFonts w:ascii="Times New Roman" w:eastAsia="SimSun" w:hAnsi="Times New Roman" w:cs="Times New Roman"/>
          <w:i/>
        </w:rPr>
        <w:t xml:space="preserve"> </w:t>
      </w:r>
      <w:hyperlink r:id="rId10" w:history="1">
        <w:r w:rsidRPr="00253DCF">
          <w:rPr>
            <w:rFonts w:ascii="Times New Roman" w:eastAsia="SimSun" w:hAnsi="Times New Roman" w:cs="Times New Roman"/>
            <w:color w:val="0000FF"/>
            <w:u w:val="single"/>
          </w:rPr>
          <w:t>http://www.vvkt.lt</w:t>
        </w:r>
      </w:hyperlink>
    </w:p>
    <w:p w14:paraId="3AEF9EE4"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5AF526E"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1FA0D99"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b/>
          <w:sz w:val="20"/>
          <w:szCs w:val="20"/>
        </w:rPr>
      </w:pPr>
      <w:r w:rsidRPr="00253DCF">
        <w:rPr>
          <w:rFonts w:ascii="Times New Roman" w:eastAsia="SimSun" w:hAnsi="Times New Roman" w:cs="Times New Roman"/>
          <w:sz w:val="20"/>
          <w:szCs w:val="20"/>
        </w:rPr>
        <w:br w:type="page"/>
      </w:r>
    </w:p>
    <w:p w14:paraId="70E84C91"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b/>
          <w:sz w:val="20"/>
          <w:szCs w:val="20"/>
        </w:rPr>
      </w:pPr>
    </w:p>
    <w:p w14:paraId="1ACE5A68"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b/>
          <w:sz w:val="20"/>
          <w:szCs w:val="20"/>
        </w:rPr>
      </w:pPr>
    </w:p>
    <w:p w14:paraId="796EF868"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b/>
          <w:sz w:val="20"/>
          <w:szCs w:val="20"/>
        </w:rPr>
      </w:pPr>
    </w:p>
    <w:p w14:paraId="313CA990" w14:textId="77777777" w:rsidR="00CF1BFF" w:rsidRPr="00253DCF" w:rsidRDefault="00CF1BFF" w:rsidP="00CF1BFF">
      <w:pPr>
        <w:tabs>
          <w:tab w:val="left" w:pos="5954"/>
          <w:tab w:val="left" w:pos="6237"/>
          <w:tab w:val="left" w:pos="6663"/>
          <w:tab w:val="left" w:pos="6946"/>
        </w:tabs>
        <w:spacing w:after="0" w:line="240" w:lineRule="auto"/>
        <w:jc w:val="center"/>
        <w:rPr>
          <w:rFonts w:ascii="Times New Roman" w:eastAsia="SimSun" w:hAnsi="Times New Roman" w:cs="Times New Roman"/>
          <w:b/>
          <w:sz w:val="20"/>
          <w:szCs w:val="20"/>
        </w:rPr>
      </w:pPr>
    </w:p>
    <w:p w14:paraId="7F41D5D8" w14:textId="77777777" w:rsidR="00CF1BFF" w:rsidRPr="00253DCF" w:rsidRDefault="00CF1BFF" w:rsidP="00CF1BFF">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rPr>
      </w:pPr>
    </w:p>
    <w:p w14:paraId="1BB5CC3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86705B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352DA6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C917F9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4D91D2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8400B5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C005FA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56248F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696B1A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E2B3AA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B75D55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287095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17EC73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7AD7D0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5A2F6B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7DEF37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F2FE0C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ACDCD2A" w14:textId="77777777" w:rsidR="00CF1BFF" w:rsidRPr="00253DCF" w:rsidRDefault="00CF1BFF" w:rsidP="00CF1BFF">
      <w:pPr>
        <w:tabs>
          <w:tab w:val="left" w:pos="567"/>
        </w:tabs>
        <w:spacing w:after="0" w:line="260" w:lineRule="exact"/>
        <w:jc w:val="center"/>
        <w:rPr>
          <w:rFonts w:ascii="Times New Roman" w:eastAsia="Times New Roman" w:hAnsi="Times New Roman" w:cs="Times New Roman"/>
          <w:b/>
          <w:snapToGrid w:val="0"/>
          <w:szCs w:val="20"/>
        </w:rPr>
      </w:pPr>
    </w:p>
    <w:p w14:paraId="04448C91" w14:textId="77777777" w:rsidR="00CF1BFF" w:rsidRPr="00253DCF" w:rsidRDefault="00CF1BFF" w:rsidP="00CF1BFF">
      <w:pPr>
        <w:tabs>
          <w:tab w:val="left" w:pos="567"/>
        </w:tabs>
        <w:spacing w:after="0" w:line="260" w:lineRule="exact"/>
        <w:jc w:val="center"/>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II PRIEDAS</w:t>
      </w:r>
    </w:p>
    <w:p w14:paraId="54D15504" w14:textId="77777777" w:rsidR="00CF1BFF" w:rsidRPr="00253DCF" w:rsidRDefault="00CF1BFF" w:rsidP="00CF1BFF">
      <w:pPr>
        <w:tabs>
          <w:tab w:val="left" w:pos="567"/>
        </w:tabs>
        <w:spacing w:after="0" w:line="260" w:lineRule="exact"/>
        <w:ind w:left="1701" w:right="1416" w:hanging="567"/>
        <w:rPr>
          <w:rFonts w:ascii="Times New Roman" w:eastAsia="Times New Roman" w:hAnsi="Times New Roman" w:cs="Times New Roman"/>
          <w:snapToGrid w:val="0"/>
          <w:szCs w:val="20"/>
        </w:rPr>
      </w:pPr>
    </w:p>
    <w:p w14:paraId="7DB75916" w14:textId="77777777" w:rsidR="00CF1BFF" w:rsidRPr="00253DCF" w:rsidRDefault="00CF1BFF" w:rsidP="00CF1BFF">
      <w:pPr>
        <w:tabs>
          <w:tab w:val="left" w:pos="567"/>
        </w:tabs>
        <w:spacing w:after="0" w:line="260" w:lineRule="exact"/>
        <w:jc w:val="center"/>
        <w:rPr>
          <w:rFonts w:ascii="Times New Roman" w:eastAsia="Times New Roman" w:hAnsi="Times New Roman" w:cs="Times New Roman"/>
          <w:i/>
          <w:snapToGrid w:val="0"/>
          <w:szCs w:val="20"/>
        </w:rPr>
      </w:pPr>
      <w:r w:rsidRPr="00253DCF">
        <w:rPr>
          <w:rFonts w:ascii="Times New Roman" w:eastAsia="Times New Roman" w:hAnsi="Times New Roman" w:cs="Times New Roman"/>
          <w:b/>
          <w:snapToGrid w:val="0"/>
          <w:szCs w:val="20"/>
        </w:rPr>
        <w:t>REGISTRACIJOS SĄLYGOS</w:t>
      </w:r>
    </w:p>
    <w:p w14:paraId="7DE18AA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509093EA" w14:textId="77777777" w:rsidR="00CF1BFF" w:rsidRPr="00253DCF" w:rsidRDefault="00CF1BFF" w:rsidP="00CF1BFF">
      <w:pPr>
        <w:tabs>
          <w:tab w:val="left" w:pos="1701"/>
        </w:tabs>
        <w:spacing w:after="0" w:line="260" w:lineRule="exact"/>
        <w:ind w:left="1701" w:right="567" w:hanging="567"/>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A.</w:t>
      </w:r>
      <w:r w:rsidRPr="00253DCF">
        <w:rPr>
          <w:rFonts w:ascii="Times New Roman" w:eastAsia="Times New Roman" w:hAnsi="Times New Roman" w:cs="Times New Roman"/>
          <w:b/>
          <w:snapToGrid w:val="0"/>
          <w:szCs w:val="24"/>
        </w:rPr>
        <w:tab/>
        <w:t>GAMINTOJAS (-AI), ATSAKINGAS (-I) UŽ SERIJŲ IŠLEIDIMĄ</w:t>
      </w:r>
    </w:p>
    <w:p w14:paraId="558745DB" w14:textId="77777777" w:rsidR="00CF1BFF" w:rsidRPr="00253DCF" w:rsidRDefault="00CF1BFF" w:rsidP="00CF1BFF">
      <w:pPr>
        <w:tabs>
          <w:tab w:val="left" w:pos="1701"/>
        </w:tabs>
        <w:spacing w:after="0" w:line="260" w:lineRule="exact"/>
        <w:ind w:left="567" w:right="567" w:hanging="567"/>
        <w:rPr>
          <w:rFonts w:ascii="Times New Roman" w:eastAsia="Times New Roman" w:hAnsi="Times New Roman" w:cs="Times New Roman"/>
          <w:snapToGrid w:val="0"/>
          <w:szCs w:val="24"/>
        </w:rPr>
      </w:pPr>
    </w:p>
    <w:p w14:paraId="418FD832" w14:textId="77777777" w:rsidR="00CF1BFF" w:rsidRPr="00253DCF" w:rsidRDefault="00CF1BFF" w:rsidP="00CF1BFF">
      <w:pPr>
        <w:tabs>
          <w:tab w:val="left" w:pos="1701"/>
        </w:tabs>
        <w:spacing w:after="0" w:line="260" w:lineRule="exact"/>
        <w:ind w:left="1701" w:right="567" w:hanging="567"/>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B.</w:t>
      </w:r>
      <w:r w:rsidRPr="00253DCF">
        <w:rPr>
          <w:rFonts w:ascii="Times New Roman" w:eastAsia="Times New Roman" w:hAnsi="Times New Roman" w:cs="Times New Roman"/>
          <w:b/>
          <w:snapToGrid w:val="0"/>
          <w:szCs w:val="20"/>
        </w:rPr>
        <w:tab/>
        <w:t>TIEKIMO IR VARTOJIMO SĄLYGOS AR APRIBOJIMAI</w:t>
      </w:r>
    </w:p>
    <w:p w14:paraId="4665D6BF" w14:textId="77777777" w:rsidR="00CF1BFF" w:rsidRPr="00253DCF" w:rsidRDefault="00CF1BFF" w:rsidP="00CF1BFF">
      <w:pPr>
        <w:tabs>
          <w:tab w:val="left" w:pos="1701"/>
        </w:tabs>
        <w:spacing w:after="0" w:line="260" w:lineRule="exact"/>
        <w:ind w:left="567" w:right="567" w:hanging="567"/>
        <w:rPr>
          <w:rFonts w:ascii="Times New Roman" w:eastAsia="Times New Roman" w:hAnsi="Times New Roman" w:cs="Times New Roman"/>
          <w:snapToGrid w:val="0"/>
          <w:szCs w:val="20"/>
        </w:rPr>
      </w:pPr>
    </w:p>
    <w:p w14:paraId="4BEC3C65" w14:textId="77777777" w:rsidR="00CF1BFF" w:rsidRPr="00253DCF" w:rsidRDefault="00CF1BFF" w:rsidP="00CF1BFF">
      <w:pPr>
        <w:tabs>
          <w:tab w:val="left" w:pos="567"/>
        </w:tabs>
        <w:spacing w:after="0" w:line="260" w:lineRule="exact"/>
        <w:ind w:left="1701" w:right="1558" w:hanging="850"/>
        <w:rPr>
          <w:rFonts w:ascii="Times New Roman" w:eastAsia="Times New Roman" w:hAnsi="Times New Roman" w:cs="Times New Roman"/>
          <w:b/>
          <w:snapToGrid w:val="0"/>
          <w:szCs w:val="20"/>
        </w:rPr>
      </w:pPr>
    </w:p>
    <w:p w14:paraId="40D5D4D2" w14:textId="77777777" w:rsidR="00CF1BFF" w:rsidRPr="00253DCF" w:rsidRDefault="00CF1BFF" w:rsidP="00CF1BFF">
      <w:pPr>
        <w:tabs>
          <w:tab w:val="left" w:pos="567"/>
        </w:tabs>
        <w:spacing w:after="0" w:line="260" w:lineRule="exact"/>
        <w:ind w:left="567" w:hanging="567"/>
        <w:rPr>
          <w:rFonts w:ascii="Times New Roman" w:eastAsia="Times New Roman" w:hAnsi="Times New Roman" w:cs="Times New Roman"/>
          <w:snapToGrid w:val="0"/>
          <w:szCs w:val="20"/>
        </w:rPr>
      </w:pPr>
    </w:p>
    <w:p w14:paraId="665245DE" w14:textId="77777777" w:rsidR="00CF1BFF" w:rsidRPr="00253DCF" w:rsidRDefault="00CF1BFF" w:rsidP="00CF1BFF">
      <w:pPr>
        <w:tabs>
          <w:tab w:val="left" w:pos="567"/>
        </w:tabs>
        <w:spacing w:after="0" w:line="260" w:lineRule="exact"/>
        <w:ind w:right="-1"/>
        <w:rPr>
          <w:rFonts w:ascii="Times New Roman" w:eastAsia="Times New Roman" w:hAnsi="Times New Roman" w:cs="Times New Roman"/>
          <w:snapToGrid w:val="0"/>
          <w:szCs w:val="20"/>
        </w:rPr>
      </w:pPr>
    </w:p>
    <w:p w14:paraId="7D4F3DB8" w14:textId="77777777" w:rsidR="00CF1BFF" w:rsidRPr="00253DCF" w:rsidRDefault="00CF1BFF" w:rsidP="00CF1BFF">
      <w:pPr>
        <w:tabs>
          <w:tab w:val="left" w:pos="567"/>
        </w:tabs>
        <w:spacing w:after="0" w:line="260" w:lineRule="exact"/>
        <w:ind w:left="567" w:hanging="567"/>
        <w:rPr>
          <w:rFonts w:ascii="Times New Roman" w:eastAsia="Times New Roman" w:hAnsi="Times New Roman" w:cs="Times New Roman"/>
          <w:b/>
          <w:snapToGrid w:val="0"/>
          <w:szCs w:val="24"/>
        </w:rPr>
      </w:pPr>
      <w:r w:rsidRPr="00253DCF">
        <w:rPr>
          <w:rFonts w:ascii="Times New Roman" w:eastAsia="Times New Roman" w:hAnsi="Times New Roman" w:cs="Times New Roman"/>
          <w:snapToGrid w:val="0"/>
          <w:szCs w:val="20"/>
        </w:rPr>
        <w:br w:type="page"/>
      </w:r>
      <w:r w:rsidRPr="00253DCF">
        <w:rPr>
          <w:rFonts w:ascii="Times New Roman" w:eastAsia="Times New Roman" w:hAnsi="Times New Roman" w:cs="Times New Roman"/>
          <w:b/>
          <w:snapToGrid w:val="0"/>
          <w:szCs w:val="20"/>
        </w:rPr>
        <w:t>A.</w:t>
      </w:r>
      <w:r w:rsidRPr="00253DCF">
        <w:rPr>
          <w:rFonts w:ascii="Times New Roman" w:eastAsia="Times New Roman" w:hAnsi="Times New Roman" w:cs="Times New Roman"/>
          <w:b/>
          <w:snapToGrid w:val="0"/>
          <w:szCs w:val="24"/>
        </w:rPr>
        <w:tab/>
        <w:t xml:space="preserve">GAMINTOJAS (-AI), ATSAKINGAS (-I) </w:t>
      </w:r>
      <w:r w:rsidRPr="00253DCF">
        <w:rPr>
          <w:rFonts w:ascii="Times New Roman" w:eastAsia="Times New Roman" w:hAnsi="Times New Roman" w:cs="Times New Roman"/>
          <w:b/>
          <w:snapToGrid w:val="0"/>
          <w:szCs w:val="20"/>
        </w:rPr>
        <w:t>UŽ SERIJŲ IŠLEIDIMĄ</w:t>
      </w:r>
    </w:p>
    <w:p w14:paraId="63FFC78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695B63E" w14:textId="77777777" w:rsidR="00CF1BFF" w:rsidRPr="00253DCF" w:rsidRDefault="00CF1BFF" w:rsidP="00CF1BFF">
      <w:pPr>
        <w:tabs>
          <w:tab w:val="left" w:pos="567"/>
        </w:tabs>
        <w:spacing w:after="0" w:line="240" w:lineRule="auto"/>
        <w:jc w:val="both"/>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u w:val="single"/>
        </w:rPr>
        <w:t>Gamintojo (-ų), atsakingo (-ų) už serijų išleidimą, pavadinimas (-ai) ir adresas (-ai)</w:t>
      </w:r>
    </w:p>
    <w:p w14:paraId="187D579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B9536DC" w14:textId="34CCC910"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Medochemie Ltd</w:t>
      </w:r>
      <w:r w:rsidR="00CE1D34">
        <w:rPr>
          <w:rFonts w:ascii="Times New Roman" w:eastAsia="Times New Roman" w:hAnsi="Times New Roman" w:cs="Times New Roman"/>
          <w:snapToGrid w:val="0"/>
          <w:szCs w:val="24"/>
        </w:rPr>
        <w:t>.</w:t>
      </w:r>
    </w:p>
    <w:p w14:paraId="46665FF3"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Central Factory</w:t>
      </w:r>
    </w:p>
    <w:p w14:paraId="607BD8CC"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1-10 Constantinoupoleos street</w:t>
      </w:r>
    </w:p>
    <w:p w14:paraId="0A38FD0E"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3011 Limassol</w:t>
      </w:r>
    </w:p>
    <w:p w14:paraId="4750A7A0" w14:textId="77777777" w:rsidR="00CF1BF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14:paraId="01368EC9" w14:textId="77777777" w:rsidR="00CE1D34" w:rsidRDefault="00CE1D34" w:rsidP="004B7CC8">
      <w:pPr>
        <w:spacing w:after="0" w:line="240" w:lineRule="auto"/>
        <w:rPr>
          <w:rFonts w:ascii="Times New Roman" w:eastAsia="Times New Roman" w:hAnsi="Times New Roman" w:cs="Times New Roman"/>
          <w:snapToGrid w:val="0"/>
          <w:szCs w:val="24"/>
        </w:rPr>
      </w:pPr>
    </w:p>
    <w:p w14:paraId="30930A9D"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14:paraId="140AF40B"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0340F6A8"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Medochemie Ltd.</w:t>
      </w:r>
    </w:p>
    <w:p w14:paraId="6E434865"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Factory AZ</w:t>
      </w:r>
    </w:p>
    <w:p w14:paraId="263D41D5"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CE1D34">
        <w:rPr>
          <w:rFonts w:ascii="Times New Roman" w:eastAsia="Times New Roman" w:hAnsi="Times New Roman" w:cs="Times New Roman"/>
          <w:snapToGrid w:val="0"/>
          <w:szCs w:val="24"/>
        </w:rPr>
        <w:t>2 Michael Erakleous Street, Agios Athanassios Industrial Area,</w:t>
      </w:r>
    </w:p>
    <w:p w14:paraId="17134B98" w14:textId="77777777" w:rsidR="00CE1D34"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CE1D34">
        <w:rPr>
          <w:rFonts w:ascii="Times New Roman" w:eastAsia="Times New Roman" w:hAnsi="Times New Roman" w:cs="Times New Roman"/>
          <w:snapToGrid w:val="0"/>
          <w:szCs w:val="24"/>
        </w:rPr>
        <w:t>Agios Athanassios, Limassol, 4101</w:t>
      </w:r>
    </w:p>
    <w:p w14:paraId="5A47B712" w14:textId="77777777" w:rsidR="00CE1D34" w:rsidRPr="00253DCF" w:rsidRDefault="00CE1D34" w:rsidP="00CE1D3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Kipras</w:t>
      </w:r>
    </w:p>
    <w:p w14:paraId="68A569D7" w14:textId="77777777" w:rsidR="00CE1D34" w:rsidRPr="00253DCF" w:rsidRDefault="00CE1D34" w:rsidP="00CF1BFF">
      <w:pPr>
        <w:spacing w:after="0" w:line="240" w:lineRule="auto"/>
        <w:rPr>
          <w:rFonts w:ascii="Times New Roman" w:eastAsia="Times New Roman" w:hAnsi="Times New Roman" w:cs="Times New Roman"/>
          <w:snapToGrid w:val="0"/>
          <w:szCs w:val="24"/>
        </w:rPr>
      </w:pPr>
    </w:p>
    <w:p w14:paraId="7C3B7F09" w14:textId="6519A4D4" w:rsidR="00CF1BFF" w:rsidRDefault="006947E9" w:rsidP="00CF1BFF">
      <w:pPr>
        <w:tabs>
          <w:tab w:val="left" w:pos="567"/>
        </w:tabs>
        <w:spacing w:after="0" w:line="260" w:lineRule="exact"/>
        <w:rPr>
          <w:rFonts w:ascii="Times New Roman" w:eastAsia="Times New Roman" w:hAnsi="Times New Roman" w:cs="Times New Roman"/>
          <w:snapToGrid w:val="0"/>
          <w:szCs w:val="24"/>
        </w:rPr>
      </w:pPr>
      <w:r w:rsidRPr="006947E9">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3AA49DC3" w14:textId="77777777" w:rsidR="006947E9" w:rsidRPr="00253DCF" w:rsidRDefault="006947E9" w:rsidP="00CF1BFF">
      <w:pPr>
        <w:tabs>
          <w:tab w:val="left" w:pos="567"/>
        </w:tabs>
        <w:spacing w:after="0" w:line="260" w:lineRule="exact"/>
        <w:rPr>
          <w:rFonts w:ascii="Times New Roman" w:eastAsia="Times New Roman" w:hAnsi="Times New Roman" w:cs="Times New Roman"/>
          <w:snapToGrid w:val="0"/>
          <w:szCs w:val="24"/>
        </w:rPr>
      </w:pPr>
    </w:p>
    <w:p w14:paraId="11857B4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8D701C6" w14:textId="77777777" w:rsidR="00CF1BFF" w:rsidRPr="00253DCF" w:rsidRDefault="00CF1BFF" w:rsidP="00CF1BFF">
      <w:pPr>
        <w:tabs>
          <w:tab w:val="left" w:pos="567"/>
        </w:tabs>
        <w:spacing w:after="0" w:line="240" w:lineRule="auto"/>
        <w:ind w:left="567" w:hanging="567"/>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B.</w:t>
      </w:r>
      <w:r w:rsidRPr="00253DCF">
        <w:rPr>
          <w:rFonts w:ascii="Times New Roman" w:eastAsia="Times New Roman" w:hAnsi="Times New Roman" w:cs="Times New Roman"/>
          <w:b/>
          <w:snapToGrid w:val="0"/>
          <w:szCs w:val="24"/>
        </w:rPr>
        <w:tab/>
        <w:t>TIEKIMO IR VARTOJIMO SĄLYGOS AR APRIBOJIMAI</w:t>
      </w:r>
    </w:p>
    <w:p w14:paraId="7B6BDE7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443989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Receptinis vaistinis preparatas.</w:t>
      </w:r>
    </w:p>
    <w:p w14:paraId="604276D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0D695D5" w14:textId="77777777" w:rsidR="00CF1BFF" w:rsidRPr="00253DCF" w:rsidRDefault="00CF1BFF" w:rsidP="00CF1BFF">
      <w:pPr>
        <w:tabs>
          <w:tab w:val="left" w:pos="567"/>
        </w:tabs>
        <w:spacing w:after="0" w:line="260" w:lineRule="exact"/>
        <w:ind w:right="566"/>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br w:type="page"/>
      </w:r>
    </w:p>
    <w:p w14:paraId="733F0A4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547965C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50439C5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4CD10C1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0AC9DCC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D283D0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0BBAE56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1BFE82F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0DF4326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6C3F458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525A51C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6DFF6EE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B4E24D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FE89B2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19943C6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66DDCED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66545036"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4B962678"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5A4EB74A"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18DA68BA"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0DF06F0E"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5BE12A80"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b/>
          <w:snapToGrid w:val="0"/>
          <w:szCs w:val="20"/>
        </w:rPr>
      </w:pPr>
    </w:p>
    <w:p w14:paraId="6828561A"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E7C08F8"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t>III PRIEDAS</w:t>
      </w:r>
    </w:p>
    <w:p w14:paraId="2771170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88CD749"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t>ŽENKLINIMAS IR PAKUOTĖS LAPELIS</w:t>
      </w:r>
    </w:p>
    <w:p w14:paraId="0E2BD56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br w:type="page"/>
      </w:r>
    </w:p>
    <w:p w14:paraId="42A687A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9AE736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48DDB3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11F613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BE1301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8FF4D5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546815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CDC705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FCED15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C41A35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D2404F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9DE5E3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2D0C3D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DF5C58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8A6BAC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F578D9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CE020C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D56C90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56B4E7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0ACF54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64B8A4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B04909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92B1585"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4E5591E"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t>A. ŽENKLINIMAS</w:t>
      </w:r>
    </w:p>
    <w:p w14:paraId="1D98D0E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br w:type="page"/>
      </w:r>
    </w:p>
    <w:p w14:paraId="0A9220AF"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INFORMACIJA ANT IŠORINĖS PAKUOTĖS</w:t>
      </w:r>
    </w:p>
    <w:p w14:paraId="22FC7DFE"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4B7A3763" w14:textId="77777777" w:rsidR="00CF1BFF" w:rsidRPr="00253DCF" w:rsidRDefault="00CF1BFF" w:rsidP="00CF1BF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4"/>
        </w:rPr>
        <w:t>KARTONO DĖŽUTĖ</w:t>
      </w:r>
    </w:p>
    <w:p w14:paraId="2AABC10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A1A2C1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91A9824"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w:t>
      </w:r>
      <w:r w:rsidRPr="00253DCF">
        <w:rPr>
          <w:rFonts w:ascii="Times New Roman" w:eastAsia="Times New Roman" w:hAnsi="Times New Roman" w:cs="Times New Roman"/>
          <w:b/>
          <w:snapToGrid w:val="0"/>
          <w:szCs w:val="24"/>
        </w:rPr>
        <w:tab/>
      </w:r>
      <w:r w:rsidRPr="00253DCF">
        <w:rPr>
          <w:rFonts w:ascii="Times New Roman" w:eastAsia="Times New Roman" w:hAnsi="Times New Roman" w:cs="Times New Roman"/>
          <w:b/>
          <w:caps/>
          <w:snapToGrid w:val="0"/>
          <w:szCs w:val="24"/>
        </w:rPr>
        <w:t>VAISTINIO</w:t>
      </w:r>
      <w:r w:rsidRPr="00253DCF">
        <w:rPr>
          <w:rFonts w:ascii="Times New Roman" w:eastAsia="Times New Roman" w:hAnsi="Times New Roman" w:cs="Times New Roman"/>
          <w:b/>
          <w:snapToGrid w:val="0"/>
          <w:szCs w:val="24"/>
        </w:rPr>
        <w:t xml:space="preserve"> PREPARATO PAVADINIMAS</w:t>
      </w:r>
    </w:p>
    <w:p w14:paraId="0C4B8DD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98D7F8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5 mg plėvele dengtos tabletės</w:t>
      </w:r>
    </w:p>
    <w:p w14:paraId="5462DCC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MANTOMED 10 mg plėvele dengtos tabletės</w:t>
      </w:r>
    </w:p>
    <w:p w14:paraId="6FBD6E2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MANTOMED 15 mg plėvele dengtos tabletės</w:t>
      </w:r>
    </w:p>
    <w:p w14:paraId="5136B0A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MANTOMED 20 mg plėvele dengtos tabletės</w:t>
      </w:r>
    </w:p>
    <w:p w14:paraId="3A247174" w14:textId="64016D7C" w:rsidR="00CF1BFF" w:rsidRPr="00253DCF" w:rsidRDefault="00F237AC" w:rsidP="00CF1BFF">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w:t>
      </w:r>
      <w:r w:rsidR="00CF1BFF" w:rsidRPr="00253DCF">
        <w:rPr>
          <w:rFonts w:ascii="Times New Roman" w:eastAsia="Times New Roman" w:hAnsi="Times New Roman" w:cs="Times New Roman"/>
          <w:snapToGrid w:val="0"/>
          <w:szCs w:val="24"/>
        </w:rPr>
        <w:t xml:space="preserve">emantini hydrochloridum  </w:t>
      </w:r>
    </w:p>
    <w:p w14:paraId="2321471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EB1BA1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33CD1AF"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2.</w:t>
      </w:r>
      <w:r w:rsidRPr="00253DCF">
        <w:rPr>
          <w:rFonts w:ascii="Times New Roman" w:eastAsia="Times New Roman" w:hAnsi="Times New Roman" w:cs="Times New Roman"/>
          <w:b/>
          <w:snapToGrid w:val="0"/>
          <w:szCs w:val="24"/>
        </w:rPr>
        <w:tab/>
        <w:t>VEIKLIOJI (-IOS) MEDŽIAGA (-OS) IR JOS (-Ų) KIEKIS (-IAI)</w:t>
      </w:r>
    </w:p>
    <w:p w14:paraId="1F44EB7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208D86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Kiekvienoje plėvele dengtoje tabletėje yra 5 mg memantino hidrochlorido, atitinkančio 4,15 mg memantino.</w:t>
      </w:r>
    </w:p>
    <w:p w14:paraId="186250B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Kiekvienoje plėvele dengtoje tabletėje yra 10 mg memantino hidrochlorido, atitinkančio 8,31 mg memantino.</w:t>
      </w:r>
    </w:p>
    <w:p w14:paraId="0EBF54E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Kiekvienoje plėvele dengtoje tabletėje yra 15 mg memantino hidrochlorido, atitinkančio 12,46 mg memantino.</w:t>
      </w:r>
    </w:p>
    <w:p w14:paraId="5D28BBE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Kiekvienoje plėvele dengtoje tabletėje yra 20 mg memantino hidrochlorido, atitinkančio 16,62 mg memantino.</w:t>
      </w:r>
    </w:p>
    <w:p w14:paraId="7EBE015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A46075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B94C9B5"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3.</w:t>
      </w:r>
      <w:r w:rsidRPr="00253DCF">
        <w:rPr>
          <w:rFonts w:ascii="Times New Roman" w:eastAsia="Times New Roman" w:hAnsi="Times New Roman" w:cs="Times New Roman"/>
          <w:b/>
          <w:snapToGrid w:val="0"/>
          <w:szCs w:val="24"/>
        </w:rPr>
        <w:tab/>
        <w:t>PAGALBINIŲ MEDŽIAGŲ SĄRAŠAS</w:t>
      </w:r>
    </w:p>
    <w:p w14:paraId="260AFF9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EFB3D3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7680ACC"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4.</w:t>
      </w:r>
      <w:r w:rsidRPr="00253DCF">
        <w:rPr>
          <w:rFonts w:ascii="Times New Roman" w:eastAsia="Times New Roman" w:hAnsi="Times New Roman" w:cs="Times New Roman"/>
          <w:b/>
          <w:snapToGrid w:val="0"/>
          <w:szCs w:val="24"/>
        </w:rPr>
        <w:tab/>
        <w:t>FARMACINĖ FORMA IR KIEKIS PAKUOTĖJE</w:t>
      </w:r>
    </w:p>
    <w:p w14:paraId="4D73073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0E8409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Plėvele dengta tabletė.</w:t>
      </w:r>
      <w:r w:rsidRPr="00253DCF">
        <w:rPr>
          <w:rFonts w:ascii="Times New Roman" w:eastAsia="Times New Roman" w:hAnsi="Times New Roman" w:cs="Times New Roman"/>
          <w:snapToGrid w:val="0"/>
          <w:szCs w:val="24"/>
        </w:rPr>
        <w:t xml:space="preserve">  </w:t>
      </w:r>
    </w:p>
    <w:p w14:paraId="7902AD8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6C7271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14 </w:t>
      </w:r>
      <w:r w:rsidRPr="00556077">
        <w:rPr>
          <w:rFonts w:ascii="Times New Roman" w:eastAsia="Times New Roman" w:hAnsi="Times New Roman" w:cs="Times New Roman"/>
          <w:snapToGrid w:val="0"/>
          <w:szCs w:val="24"/>
          <w:highlight w:val="lightGray"/>
        </w:rPr>
        <w:t>plėvele dengtų</w:t>
      </w:r>
      <w:r w:rsidRPr="00253DCF">
        <w:rPr>
          <w:rFonts w:ascii="Times New Roman" w:eastAsia="Times New Roman" w:hAnsi="Times New Roman" w:cs="Times New Roman"/>
          <w:snapToGrid w:val="0"/>
          <w:szCs w:val="24"/>
        </w:rPr>
        <w:t xml:space="preserve"> tablečių.</w:t>
      </w:r>
    </w:p>
    <w:p w14:paraId="5133C00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28 plėvele dengtos tabletės.</w:t>
      </w:r>
    </w:p>
    <w:p w14:paraId="495A8D3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30 plėvele dengtų tablečių.</w:t>
      </w:r>
    </w:p>
    <w:p w14:paraId="31E7FAB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50 plėvele dengtų tablečių.</w:t>
      </w:r>
    </w:p>
    <w:p w14:paraId="2B8A8E8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56 plėvele dengtos tabletės.</w:t>
      </w:r>
    </w:p>
    <w:p w14:paraId="7D8BC76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60 plėvele dengtų tablečių.</w:t>
      </w:r>
    </w:p>
    <w:p w14:paraId="766CE6B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70 plėvele dengtų tablečių.</w:t>
      </w:r>
    </w:p>
    <w:p w14:paraId="4ADC253E"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100 plėvele dengtų tablečių.</w:t>
      </w:r>
    </w:p>
    <w:p w14:paraId="7A8D93DC" w14:textId="77777777" w:rsidR="00CF1BFF" w:rsidRPr="00556077"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F8050D">
        <w:rPr>
          <w:rFonts w:ascii="Times New Roman" w:eastAsia="Times New Roman" w:hAnsi="Times New Roman" w:cs="Times New Roman"/>
          <w:snapToGrid w:val="0"/>
          <w:szCs w:val="24"/>
          <w:highlight w:val="lightGray"/>
        </w:rPr>
        <w:t>112 plėvele dengtų tablečių</w:t>
      </w:r>
    </w:p>
    <w:p w14:paraId="246E650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1000 plėvele dengtų tablečių.</w:t>
      </w:r>
    </w:p>
    <w:p w14:paraId="3A27363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D584A1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F1FAB07"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5.</w:t>
      </w:r>
      <w:r w:rsidRPr="00253DCF">
        <w:rPr>
          <w:rFonts w:ascii="Times New Roman" w:eastAsia="Times New Roman" w:hAnsi="Times New Roman" w:cs="Times New Roman"/>
          <w:b/>
          <w:snapToGrid w:val="0"/>
          <w:szCs w:val="24"/>
        </w:rPr>
        <w:tab/>
        <w:t>VARTOJIMO METODAS IR BŪDAS (-AI)</w:t>
      </w:r>
    </w:p>
    <w:p w14:paraId="4CF0EE6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1F5D9F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Vartoti per burną. </w:t>
      </w:r>
    </w:p>
    <w:p w14:paraId="5FB8246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Prieš vartojimą perskaitykite pakuotės lapelį.</w:t>
      </w:r>
    </w:p>
    <w:p w14:paraId="3658B84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4A1DB6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06BAC74"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6.</w:t>
      </w:r>
      <w:r w:rsidRPr="00253DCF">
        <w:rPr>
          <w:rFonts w:ascii="Times New Roman" w:eastAsia="Times New Roman" w:hAnsi="Times New Roman" w:cs="Times New Roman"/>
          <w:b/>
          <w:snapToGrid w:val="0"/>
          <w:szCs w:val="24"/>
        </w:rPr>
        <w:tab/>
        <w:t>SPECIALUS ĮSPĖJIMAS, KAD VAISTINĮ PREPARATĄ BŪTINA LAIKYTI VAIKAMS NEPASTEBIMOJE IR  NEPASIEKIAMOJE VIETOJE</w:t>
      </w:r>
    </w:p>
    <w:p w14:paraId="4DC3BF6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9927D0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Laikyti vaikams nepastebimoje ir nepasiekiamoje vietoje.</w:t>
      </w:r>
    </w:p>
    <w:p w14:paraId="33D4432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11FEF9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136C925"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7.</w:t>
      </w:r>
      <w:r w:rsidRPr="00253DCF">
        <w:rPr>
          <w:rFonts w:ascii="Times New Roman" w:eastAsia="Times New Roman" w:hAnsi="Times New Roman" w:cs="Times New Roman"/>
          <w:b/>
          <w:snapToGrid w:val="0"/>
          <w:szCs w:val="24"/>
        </w:rPr>
        <w:tab/>
        <w:t>KITAS (-I) SPECIALUS (-ŪS) ĮSPĖJIMAS (-AI) (JEI REIKIA)</w:t>
      </w:r>
    </w:p>
    <w:p w14:paraId="5DCF7C4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BDEFED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4E44D09"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8.</w:t>
      </w:r>
      <w:r w:rsidRPr="00253DCF">
        <w:rPr>
          <w:rFonts w:ascii="Times New Roman" w:eastAsia="Times New Roman" w:hAnsi="Times New Roman" w:cs="Times New Roman"/>
          <w:b/>
          <w:snapToGrid w:val="0"/>
          <w:szCs w:val="24"/>
        </w:rPr>
        <w:tab/>
        <w:t>TINKAMUMO LAIKAS</w:t>
      </w:r>
    </w:p>
    <w:p w14:paraId="356C29B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18903F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 xml:space="preserve">EXP: </w:t>
      </w:r>
      <w:r w:rsidRPr="00253DCF">
        <w:rPr>
          <w:rFonts w:ascii="Times New Roman" w:eastAsia="Times New Roman" w:hAnsi="Times New Roman" w:cs="Times New Roman"/>
          <w:snapToGrid w:val="0"/>
        </w:rPr>
        <w:t>{mm-MMMM}</w:t>
      </w:r>
    </w:p>
    <w:p w14:paraId="506A9E5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549F1A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0C8A9C0" w14:textId="77777777" w:rsidR="00CF1BFF" w:rsidRPr="00253DCF" w:rsidRDefault="00CF1BFF" w:rsidP="00CF1B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9.</w:t>
      </w:r>
      <w:r w:rsidRPr="00253DCF">
        <w:rPr>
          <w:rFonts w:ascii="Times New Roman" w:eastAsia="Times New Roman" w:hAnsi="Times New Roman" w:cs="Times New Roman"/>
          <w:b/>
          <w:snapToGrid w:val="0"/>
          <w:szCs w:val="24"/>
        </w:rPr>
        <w:tab/>
        <w:t>SPECIALIOS LAIKYMO SĄLYGOS</w:t>
      </w:r>
    </w:p>
    <w:p w14:paraId="4D24FDE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F2E120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576D22A"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10.</w:t>
      </w:r>
      <w:r w:rsidRPr="00253DCF">
        <w:rPr>
          <w:rFonts w:ascii="Times New Roman" w:eastAsia="Times New Roman" w:hAnsi="Times New Roman" w:cs="Times New Roman"/>
          <w:b/>
          <w:snapToGrid w:val="0"/>
          <w:szCs w:val="24"/>
        </w:rPr>
        <w:tab/>
        <w:t>SPECIALIOS ATSARGUMO PRIEMONĖS DĖL NESUVARTOTO VAISTINIO PREPARATO AR JO ATLIEKŲ TVARKYMO (JEI REIKIA)</w:t>
      </w:r>
    </w:p>
    <w:p w14:paraId="7A69688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8DAEF2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214D646"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11.</w:t>
      </w:r>
      <w:r w:rsidRPr="00253DCF">
        <w:rPr>
          <w:rFonts w:ascii="Times New Roman" w:eastAsia="Times New Roman" w:hAnsi="Times New Roman" w:cs="Times New Roman"/>
          <w:b/>
          <w:snapToGrid w:val="0"/>
          <w:szCs w:val="24"/>
        </w:rPr>
        <w:tab/>
      </w:r>
      <w:r w:rsidRPr="00253DCF">
        <w:rPr>
          <w:rFonts w:ascii="Times New Roman" w:eastAsia="Times New Roman" w:hAnsi="Times New Roman" w:cs="Times New Roman"/>
          <w:b/>
          <w:caps/>
          <w:snapToGrid w:val="0"/>
          <w:szCs w:val="24"/>
        </w:rPr>
        <w:t>REGISTRUOTOJO PAVADINIMAS IR ADRESAS</w:t>
      </w:r>
    </w:p>
    <w:p w14:paraId="346D1CF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8FDDC6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Medochemie Ltd</w:t>
      </w:r>
      <w:r>
        <w:rPr>
          <w:rFonts w:ascii="Times New Roman" w:eastAsia="Times New Roman" w:hAnsi="Times New Roman" w:cs="Times New Roman"/>
          <w:snapToGrid w:val="0"/>
          <w:szCs w:val="24"/>
        </w:rPr>
        <w:t>.</w:t>
      </w:r>
      <w:r w:rsidRPr="00253DCF">
        <w:rPr>
          <w:rFonts w:ascii="Times New Roman" w:eastAsia="Times New Roman" w:hAnsi="Times New Roman" w:cs="Times New Roman"/>
          <w:snapToGrid w:val="0"/>
          <w:szCs w:val="24"/>
        </w:rPr>
        <w:t xml:space="preserve">, 1-10 Constantinoupoleos Street, 3011 Limassol, Kipras </w:t>
      </w:r>
    </w:p>
    <w:p w14:paraId="1DFDCBC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C7FD2D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EC81609"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12.</w:t>
      </w:r>
      <w:r w:rsidRPr="00253DCF">
        <w:rPr>
          <w:rFonts w:ascii="Times New Roman" w:eastAsia="Times New Roman" w:hAnsi="Times New Roman" w:cs="Times New Roman"/>
          <w:b/>
          <w:snapToGrid w:val="0"/>
          <w:szCs w:val="24"/>
        </w:rPr>
        <w:tab/>
        <w:t xml:space="preserve">REGISTRACIJOS PAŽYMĖJIMO NUMERIS (-IAI) </w:t>
      </w:r>
    </w:p>
    <w:p w14:paraId="1D023D4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9F47BE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 xml:space="preserve">5 mg </w:t>
      </w:r>
    </w:p>
    <w:p w14:paraId="3341CA2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0"/>
        </w:rPr>
        <w:t xml:space="preserve">LT/1/14/3647/001 </w:t>
      </w:r>
      <w:r w:rsidRPr="00253DCF">
        <w:rPr>
          <w:rFonts w:ascii="Times New Roman" w:eastAsia="Times New Roman" w:hAnsi="Times New Roman" w:cs="Times New Roman"/>
          <w:snapToGrid w:val="0"/>
          <w:szCs w:val="24"/>
          <w:highlight w:val="lightGray"/>
        </w:rPr>
        <w:t>– N14</w:t>
      </w:r>
    </w:p>
    <w:p w14:paraId="7DF4D21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LT/1/14/3647/002 – N28</w:t>
      </w:r>
    </w:p>
    <w:p w14:paraId="342BD43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LT/1/14/3647/003 – N30</w:t>
      </w:r>
    </w:p>
    <w:p w14:paraId="1078BCD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LT/1/14/3647/004 – N50</w:t>
      </w:r>
    </w:p>
    <w:p w14:paraId="02F03CF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LT/1/14/3647/005 – N56</w:t>
      </w:r>
    </w:p>
    <w:p w14:paraId="555EF16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LT/1/14/3647/006 – N60</w:t>
      </w:r>
    </w:p>
    <w:p w14:paraId="365F959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LT/1/14/3647/007 – N70</w:t>
      </w:r>
    </w:p>
    <w:p w14:paraId="0BFADA43"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LT/1/14/3647/008 – N100</w:t>
      </w:r>
    </w:p>
    <w:p w14:paraId="3194015A" w14:textId="77777777" w:rsidR="00CF1BFF" w:rsidRPr="007200B1"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F8050D">
        <w:rPr>
          <w:rFonts w:ascii="Times New Roman" w:eastAsia="Times New Roman" w:hAnsi="Times New Roman" w:cs="Times New Roman"/>
          <w:snapToGrid w:val="0"/>
          <w:szCs w:val="24"/>
          <w:highlight w:val="lightGray"/>
        </w:rPr>
        <w:t>LT/1/14/3647/037 – N112</w:t>
      </w:r>
    </w:p>
    <w:p w14:paraId="1604985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LT/1/14/3647/009 – N1000</w:t>
      </w:r>
    </w:p>
    <w:p w14:paraId="4954EF6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 xml:space="preserve">10 mg </w:t>
      </w:r>
    </w:p>
    <w:p w14:paraId="5A70822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LT/1/14/3647/010 – N14</w:t>
      </w:r>
    </w:p>
    <w:p w14:paraId="293D0BA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LT/1/14/3647/011 – N28</w:t>
      </w:r>
    </w:p>
    <w:p w14:paraId="25F59D9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LT/1/14/3647/012 – N30</w:t>
      </w:r>
    </w:p>
    <w:p w14:paraId="5AABE7C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LT/1/14/3647/013 – N50</w:t>
      </w:r>
    </w:p>
    <w:p w14:paraId="0FE8688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LT/1/14/3647/014 – N56</w:t>
      </w:r>
    </w:p>
    <w:p w14:paraId="61FFFB8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LT/1/14/3647/015 – N60</w:t>
      </w:r>
    </w:p>
    <w:p w14:paraId="34626CF9"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LT/1/14/3647/016 – N70</w:t>
      </w:r>
    </w:p>
    <w:p w14:paraId="3EFB65FF"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LT/1/14/3647/017 – N100</w:t>
      </w:r>
    </w:p>
    <w:p w14:paraId="4D84C3CC" w14:textId="77777777" w:rsidR="00CF1BFF" w:rsidRPr="007200B1"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F8050D">
        <w:rPr>
          <w:rFonts w:ascii="Times New Roman" w:eastAsia="Times New Roman" w:hAnsi="Times New Roman" w:cs="Times New Roman"/>
          <w:snapToGrid w:val="0"/>
          <w:szCs w:val="24"/>
          <w:highlight w:val="lightGray"/>
        </w:rPr>
        <w:t>LT/1/14/3647/038 – N112</w:t>
      </w:r>
    </w:p>
    <w:p w14:paraId="795852F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LT/1/14/3647/018 – N1000</w:t>
      </w:r>
    </w:p>
    <w:p w14:paraId="4C745A4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 xml:space="preserve">15 mg </w:t>
      </w:r>
    </w:p>
    <w:p w14:paraId="26B8094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LT/1/14/3647/019 – N14</w:t>
      </w:r>
    </w:p>
    <w:p w14:paraId="7D486DB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LT/1/14/3647/020 – N28</w:t>
      </w:r>
    </w:p>
    <w:p w14:paraId="5EA6C50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LT/1/14/3647/021 – N30</w:t>
      </w:r>
    </w:p>
    <w:p w14:paraId="3EE2520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LT/1/14/3647/022 – N50</w:t>
      </w:r>
    </w:p>
    <w:p w14:paraId="0B7182E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LT/1/14/3647/023 – N56</w:t>
      </w:r>
    </w:p>
    <w:p w14:paraId="1CB79FC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LT/1/14/3647/024 – N60</w:t>
      </w:r>
    </w:p>
    <w:p w14:paraId="4B79503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LT/1/14/3647/025 – N70</w:t>
      </w:r>
    </w:p>
    <w:p w14:paraId="08061270"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LT/1/14/3647/026 – N100</w:t>
      </w:r>
    </w:p>
    <w:p w14:paraId="6BFE13B9" w14:textId="77777777" w:rsidR="00CF1BFF" w:rsidRPr="007200B1"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F8050D">
        <w:rPr>
          <w:rFonts w:ascii="Times New Roman" w:eastAsia="Times New Roman" w:hAnsi="Times New Roman" w:cs="Times New Roman"/>
          <w:snapToGrid w:val="0"/>
          <w:szCs w:val="24"/>
          <w:highlight w:val="lightGray"/>
        </w:rPr>
        <w:t>LT/1/14/3647/039 – N112</w:t>
      </w:r>
    </w:p>
    <w:p w14:paraId="0D47938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LT/1/14/3647/027 – N1000</w:t>
      </w:r>
    </w:p>
    <w:p w14:paraId="0DF3442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 xml:space="preserve">20 mg </w:t>
      </w:r>
    </w:p>
    <w:p w14:paraId="4889BEF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LT/1/14/3647/028 – N14</w:t>
      </w:r>
    </w:p>
    <w:p w14:paraId="6770ECA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LT/1/14/3647/029 – N28</w:t>
      </w:r>
    </w:p>
    <w:p w14:paraId="7234202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LT/1/14/3647/030 – N30</w:t>
      </w:r>
    </w:p>
    <w:p w14:paraId="54C275A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LT/1/14/3647/031 – N50</w:t>
      </w:r>
    </w:p>
    <w:p w14:paraId="43292AE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LT/1/14/3647/032 – N56</w:t>
      </w:r>
    </w:p>
    <w:p w14:paraId="1D602E4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LT/1/14/3647/033 – N60</w:t>
      </w:r>
    </w:p>
    <w:p w14:paraId="0DDBF00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LT/1/14/3647/034 – N70</w:t>
      </w:r>
    </w:p>
    <w:p w14:paraId="4994D42D" w14:textId="77777777" w:rsidR="00CF1BF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LT/1/14/3647/035 – N100</w:t>
      </w:r>
    </w:p>
    <w:p w14:paraId="6D9C97B0" w14:textId="77777777" w:rsidR="00CF1BFF" w:rsidRPr="007200B1"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F8050D">
        <w:rPr>
          <w:rFonts w:ascii="Times New Roman" w:eastAsia="Times New Roman" w:hAnsi="Times New Roman" w:cs="Times New Roman"/>
          <w:snapToGrid w:val="0"/>
          <w:szCs w:val="24"/>
          <w:highlight w:val="lightGray"/>
        </w:rPr>
        <w:t>LT/1/14/3647/040 – N112</w:t>
      </w:r>
    </w:p>
    <w:p w14:paraId="2B7436DF" w14:textId="77777777" w:rsidR="00CF1BFF" w:rsidRPr="00253DCF" w:rsidRDefault="00CF1BFF" w:rsidP="00CF1BFF">
      <w:pPr>
        <w:tabs>
          <w:tab w:val="left" w:pos="567"/>
        </w:tabs>
        <w:spacing w:after="0" w:line="260" w:lineRule="exact"/>
        <w:rPr>
          <w:rFonts w:ascii="Times New Roman" w:eastAsia="Times New Roman" w:hAnsi="Times New Roman" w:cs="Times New Roman"/>
          <w:bCs/>
          <w:szCs w:val="24"/>
        </w:rPr>
      </w:pPr>
      <w:r w:rsidRPr="00253DCF">
        <w:rPr>
          <w:rFonts w:ascii="Times New Roman" w:eastAsia="Times New Roman" w:hAnsi="Times New Roman" w:cs="Times New Roman"/>
          <w:snapToGrid w:val="0"/>
          <w:szCs w:val="24"/>
          <w:highlight w:val="lightGray"/>
        </w:rPr>
        <w:t>LT/1/14/3647/036 – N1000</w:t>
      </w:r>
    </w:p>
    <w:p w14:paraId="2469CD4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9F4BC1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CE17B88"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13.</w:t>
      </w:r>
      <w:r w:rsidRPr="00253DCF">
        <w:rPr>
          <w:rFonts w:ascii="Times New Roman" w:eastAsia="Times New Roman" w:hAnsi="Times New Roman" w:cs="Times New Roman"/>
          <w:b/>
          <w:snapToGrid w:val="0"/>
          <w:szCs w:val="24"/>
        </w:rPr>
        <w:tab/>
        <w:t xml:space="preserve">SERIJOS NUMERIS </w:t>
      </w:r>
    </w:p>
    <w:p w14:paraId="414CBF7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3859EE6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253DCF">
        <w:rPr>
          <w:rFonts w:ascii="Times New Roman" w:eastAsia="Times New Roman" w:hAnsi="Times New Roman" w:cs="Times New Roman"/>
          <w:snapToGrid w:val="0"/>
          <w:szCs w:val="20"/>
        </w:rPr>
        <w:t>Lot:</w:t>
      </w:r>
    </w:p>
    <w:p w14:paraId="6D1BCBC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E65230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8FE8582"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14.</w:t>
      </w:r>
      <w:r w:rsidRPr="00253DCF">
        <w:rPr>
          <w:rFonts w:ascii="Times New Roman" w:eastAsia="Times New Roman" w:hAnsi="Times New Roman" w:cs="Times New Roman"/>
          <w:b/>
          <w:snapToGrid w:val="0"/>
          <w:szCs w:val="24"/>
        </w:rPr>
        <w:tab/>
        <w:t>PARDAVIMO (IŠDAVIMO) TVARKA</w:t>
      </w:r>
    </w:p>
    <w:p w14:paraId="0754B9A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861EA1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Receptinis vaistas.</w:t>
      </w:r>
    </w:p>
    <w:p w14:paraId="3F5E72A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56286D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FDC4CE2" w14:textId="77777777" w:rsidR="00CF1BFF" w:rsidRPr="00253DCF" w:rsidRDefault="00CF1BFF" w:rsidP="00CF1BF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15.</w:t>
      </w:r>
      <w:r w:rsidRPr="00253DCF">
        <w:rPr>
          <w:rFonts w:ascii="Times New Roman" w:eastAsia="Times New Roman" w:hAnsi="Times New Roman" w:cs="Times New Roman"/>
          <w:b/>
          <w:snapToGrid w:val="0"/>
          <w:szCs w:val="24"/>
        </w:rPr>
        <w:tab/>
        <w:t>VARTOJIMO INSTRUKCIJA</w:t>
      </w:r>
    </w:p>
    <w:p w14:paraId="517E655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7901F83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5B9C58BB" w14:textId="77777777" w:rsidR="00CF1BFF" w:rsidRPr="00253DCF" w:rsidRDefault="00CF1BFF" w:rsidP="00CF1BF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b/>
          <w:snapToGrid w:val="0"/>
          <w:szCs w:val="24"/>
        </w:rPr>
        <w:t>16.</w:t>
      </w:r>
      <w:r w:rsidRPr="00253DCF">
        <w:rPr>
          <w:rFonts w:ascii="Times New Roman" w:eastAsia="Times New Roman" w:hAnsi="Times New Roman" w:cs="Times New Roman"/>
          <w:b/>
          <w:snapToGrid w:val="0"/>
          <w:szCs w:val="24"/>
        </w:rPr>
        <w:tab/>
        <w:t>INFORMACIJA BRAILIO RAŠTU</w:t>
      </w:r>
    </w:p>
    <w:p w14:paraId="1804D66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CA2DAE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5 mg</w:t>
      </w:r>
    </w:p>
    <w:p w14:paraId="5EB5B34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mantomed 10 mg</w:t>
      </w:r>
    </w:p>
    <w:p w14:paraId="7BAC7ED0"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mantomed 15 mg</w:t>
      </w:r>
    </w:p>
    <w:p w14:paraId="2389FCB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mantomed 20 mg</w:t>
      </w:r>
    </w:p>
    <w:p w14:paraId="7FB06B1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E0857A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1183BED" w14:textId="77777777" w:rsidR="00CF1BFF" w:rsidRPr="00F8050D" w:rsidRDefault="00CF1BFF" w:rsidP="00CF1BF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F8050D">
        <w:rPr>
          <w:rFonts w:ascii="Times New Roman" w:hAnsi="Times New Roman"/>
          <w:b/>
        </w:rPr>
        <w:t>17.</w:t>
      </w:r>
      <w:r w:rsidRPr="00F8050D">
        <w:rPr>
          <w:rFonts w:ascii="Times New Roman" w:hAnsi="Times New Roman"/>
          <w:b/>
        </w:rPr>
        <w:tab/>
        <w:t>UNIKALUS IDENTIFIKATORIUS – 2D BRŪKŠNINIS KODAS</w:t>
      </w:r>
    </w:p>
    <w:p w14:paraId="69BFAFCA" w14:textId="77777777" w:rsidR="00CF1BFF" w:rsidRPr="00F8050D" w:rsidRDefault="00CF1BFF" w:rsidP="00CF1BFF">
      <w:pPr>
        <w:tabs>
          <w:tab w:val="left" w:pos="567"/>
        </w:tabs>
        <w:spacing w:after="0" w:line="260" w:lineRule="exact"/>
        <w:rPr>
          <w:rFonts w:ascii="Times New Roman" w:hAnsi="Times New Roman"/>
        </w:rPr>
      </w:pPr>
    </w:p>
    <w:p w14:paraId="79C7B72A" w14:textId="77777777" w:rsidR="00CF1BFF" w:rsidRPr="00F8050D" w:rsidRDefault="00CF1BFF" w:rsidP="00CF1BFF">
      <w:pPr>
        <w:tabs>
          <w:tab w:val="left" w:pos="567"/>
        </w:tabs>
        <w:spacing w:after="0" w:line="260" w:lineRule="exact"/>
        <w:rPr>
          <w:rFonts w:ascii="Times New Roman" w:hAnsi="Times New Roman"/>
          <w:shd w:val="clear" w:color="auto" w:fill="CCCCCC"/>
        </w:rPr>
      </w:pPr>
      <w:r w:rsidRPr="00F8050D">
        <w:rPr>
          <w:rFonts w:ascii="Times New Roman" w:hAnsi="Times New Roman"/>
          <w:highlight w:val="lightGray"/>
        </w:rPr>
        <w:t>2D brūkšninis kodas su nurodytu unikaliu identifikatoriumi.</w:t>
      </w:r>
    </w:p>
    <w:p w14:paraId="7DCABDD7" w14:textId="77777777" w:rsidR="00CF1BFF" w:rsidRPr="00F8050D" w:rsidRDefault="00CF1BFF" w:rsidP="00CF1BFF">
      <w:pPr>
        <w:tabs>
          <w:tab w:val="left" w:pos="567"/>
        </w:tabs>
        <w:spacing w:after="0" w:line="260" w:lineRule="exact"/>
        <w:rPr>
          <w:rFonts w:ascii="Times New Roman" w:hAnsi="Times New Roman"/>
        </w:rPr>
      </w:pPr>
    </w:p>
    <w:p w14:paraId="65E1DD69" w14:textId="77777777" w:rsidR="00CF1BFF" w:rsidRPr="00F8050D" w:rsidRDefault="00CF1BFF" w:rsidP="00CF1BFF">
      <w:pPr>
        <w:tabs>
          <w:tab w:val="left" w:pos="567"/>
        </w:tabs>
        <w:spacing w:after="0" w:line="260" w:lineRule="exact"/>
        <w:rPr>
          <w:rFonts w:ascii="Times New Roman" w:hAnsi="Times New Roman"/>
          <w:vanish/>
        </w:rPr>
      </w:pPr>
    </w:p>
    <w:p w14:paraId="24F7EC2C" w14:textId="77777777" w:rsidR="00CF1BFF" w:rsidRPr="00F8050D" w:rsidRDefault="00CF1BFF" w:rsidP="00CF1BFF">
      <w:pPr>
        <w:tabs>
          <w:tab w:val="left" w:pos="567"/>
        </w:tabs>
        <w:spacing w:after="0" w:line="260" w:lineRule="exact"/>
        <w:rPr>
          <w:rFonts w:ascii="Times New Roman" w:hAnsi="Times New Roman"/>
        </w:rPr>
      </w:pPr>
    </w:p>
    <w:p w14:paraId="562C2475" w14:textId="77777777" w:rsidR="00CF1BFF" w:rsidRPr="00F8050D" w:rsidRDefault="00CF1BFF" w:rsidP="00CF1BF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F8050D">
        <w:rPr>
          <w:rFonts w:ascii="Times New Roman" w:hAnsi="Times New Roman"/>
          <w:b/>
        </w:rPr>
        <w:t>18.</w:t>
      </w:r>
      <w:r w:rsidRPr="00F8050D">
        <w:rPr>
          <w:rFonts w:ascii="Times New Roman" w:hAnsi="Times New Roman"/>
          <w:b/>
        </w:rPr>
        <w:tab/>
        <w:t>UNIKALUS IDENTIFIKATORIUS – ŽMONĖMS SUPRANTAMI DUOMENYS</w:t>
      </w:r>
    </w:p>
    <w:p w14:paraId="767F797D" w14:textId="77777777" w:rsidR="00CF1BFF" w:rsidRPr="00F8050D" w:rsidRDefault="00CF1BFF" w:rsidP="00CF1BFF">
      <w:pPr>
        <w:tabs>
          <w:tab w:val="left" w:pos="567"/>
        </w:tabs>
        <w:spacing w:after="0" w:line="260" w:lineRule="exact"/>
        <w:rPr>
          <w:rFonts w:ascii="Times New Roman" w:hAnsi="Times New Roman"/>
        </w:rPr>
      </w:pPr>
    </w:p>
    <w:p w14:paraId="13649A36" w14:textId="77777777" w:rsidR="00CF1BFF" w:rsidRPr="00F8050D" w:rsidRDefault="00CF1BFF" w:rsidP="00CF1BFF">
      <w:pPr>
        <w:tabs>
          <w:tab w:val="left" w:pos="567"/>
        </w:tabs>
        <w:spacing w:after="0" w:line="260" w:lineRule="exact"/>
        <w:rPr>
          <w:rFonts w:ascii="Times New Roman" w:hAnsi="Times New Roman"/>
        </w:rPr>
      </w:pPr>
      <w:r w:rsidRPr="00F8050D">
        <w:rPr>
          <w:rFonts w:ascii="Times New Roman" w:hAnsi="Times New Roman"/>
        </w:rPr>
        <w:t>PC: {numeris}</w:t>
      </w:r>
    </w:p>
    <w:p w14:paraId="157CCF61" w14:textId="77777777" w:rsidR="00CF1BFF" w:rsidRPr="00F8050D" w:rsidRDefault="00CF1BFF" w:rsidP="00CF1BFF">
      <w:pPr>
        <w:tabs>
          <w:tab w:val="left" w:pos="567"/>
        </w:tabs>
        <w:spacing w:after="0" w:line="260" w:lineRule="exact"/>
        <w:rPr>
          <w:rFonts w:ascii="Times New Roman" w:hAnsi="Times New Roman"/>
        </w:rPr>
      </w:pPr>
      <w:r w:rsidRPr="00F8050D">
        <w:rPr>
          <w:rFonts w:ascii="Times New Roman" w:hAnsi="Times New Roman"/>
        </w:rPr>
        <w:t>SN: {numeris}</w:t>
      </w:r>
    </w:p>
    <w:p w14:paraId="702C73D5" w14:textId="77777777" w:rsidR="00CF1BFF" w:rsidRPr="00F8050D" w:rsidRDefault="00CF1BFF" w:rsidP="00CF1BFF">
      <w:pPr>
        <w:tabs>
          <w:tab w:val="left" w:pos="567"/>
        </w:tabs>
        <w:spacing w:after="0" w:line="260" w:lineRule="exact"/>
        <w:rPr>
          <w:rFonts w:ascii="Times New Roman" w:hAnsi="Times New Roman"/>
        </w:rPr>
      </w:pPr>
      <w:r w:rsidRPr="00F8050D">
        <w:rPr>
          <w:rFonts w:ascii="Times New Roman" w:hAnsi="Times New Roman"/>
          <w:highlight w:val="lightGray"/>
        </w:rPr>
        <w:t>NN: {numeris}</w:t>
      </w:r>
    </w:p>
    <w:p w14:paraId="7464AA09" w14:textId="77777777" w:rsidR="00CF1BFF" w:rsidRPr="00F8050D" w:rsidRDefault="00CF1BFF" w:rsidP="00CF1BFF">
      <w:pPr>
        <w:tabs>
          <w:tab w:val="left" w:pos="567"/>
        </w:tabs>
        <w:spacing w:after="0" w:line="260" w:lineRule="exact"/>
        <w:rPr>
          <w:rFonts w:ascii="Times New Roman" w:hAnsi="Times New Roman"/>
        </w:rPr>
      </w:pPr>
    </w:p>
    <w:p w14:paraId="54DC1E9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br w:type="page"/>
      </w:r>
    </w:p>
    <w:p w14:paraId="1B8F7D46"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MINIMALI INFORMACIJA ANT LIZDINIŲ PLOKŠTELIŲ ARBA DVISLUOKSNIŲ JUOSTELIŲ</w:t>
      </w:r>
    </w:p>
    <w:p w14:paraId="6AC5B327"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4"/>
        </w:rPr>
      </w:pPr>
    </w:p>
    <w:p w14:paraId="3D76DF5F" w14:textId="77777777" w:rsidR="00CF1BFF" w:rsidRPr="00253DCF" w:rsidRDefault="00CF1BFF" w:rsidP="00CF1BF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0"/>
        </w:rPr>
      </w:pPr>
      <w:r w:rsidRPr="00253DCF">
        <w:rPr>
          <w:rFonts w:ascii="Times New Roman" w:eastAsia="Times New Roman" w:hAnsi="Times New Roman" w:cs="Times New Roman"/>
          <w:b/>
          <w:iCs/>
          <w:snapToGrid w:val="0"/>
        </w:rPr>
        <w:t>LIZDINĖ PLOKŠTELĖ</w:t>
      </w:r>
      <w:r w:rsidRPr="00253DCF">
        <w:rPr>
          <w:rFonts w:ascii="Times New Roman" w:eastAsia="Times New Roman" w:hAnsi="Times New Roman" w:cs="Times New Roman"/>
          <w:b/>
          <w:snapToGrid w:val="0"/>
          <w:szCs w:val="24"/>
        </w:rPr>
        <w:t xml:space="preserve"> </w:t>
      </w:r>
      <w:r w:rsidRPr="00253DCF">
        <w:rPr>
          <w:rFonts w:ascii="Times New Roman" w:eastAsia="Times New Roman" w:hAnsi="Times New Roman" w:cs="Times New Roman"/>
          <w:b/>
          <w:snapToGrid w:val="0"/>
          <w:szCs w:val="20"/>
        </w:rPr>
        <w:t xml:space="preserve"> </w:t>
      </w:r>
    </w:p>
    <w:p w14:paraId="14641143"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5DF6F15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5953A58"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1.</w:t>
      </w:r>
      <w:r w:rsidRPr="00253DCF">
        <w:rPr>
          <w:rFonts w:ascii="Times New Roman" w:eastAsia="Times New Roman" w:hAnsi="Times New Roman" w:cs="Times New Roman"/>
          <w:b/>
          <w:snapToGrid w:val="0"/>
          <w:szCs w:val="24"/>
        </w:rPr>
        <w:tab/>
      </w:r>
      <w:r w:rsidRPr="00253DCF">
        <w:rPr>
          <w:rFonts w:ascii="Times New Roman" w:eastAsia="Times New Roman" w:hAnsi="Times New Roman" w:cs="Times New Roman"/>
          <w:b/>
          <w:caps/>
          <w:snapToGrid w:val="0"/>
          <w:szCs w:val="24"/>
        </w:rPr>
        <w:t>VAISTINIO</w:t>
      </w:r>
      <w:r w:rsidRPr="00253DCF">
        <w:rPr>
          <w:rFonts w:ascii="Times New Roman" w:eastAsia="Times New Roman" w:hAnsi="Times New Roman" w:cs="Times New Roman"/>
          <w:b/>
          <w:snapToGrid w:val="0"/>
          <w:szCs w:val="24"/>
        </w:rPr>
        <w:t xml:space="preserve"> PREPARATO PAVADINIMAS</w:t>
      </w:r>
    </w:p>
    <w:p w14:paraId="28EC347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8A55B5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MANTOMED 5 mg plėvele dengtos tabletės  </w:t>
      </w:r>
    </w:p>
    <w:p w14:paraId="4AAD4B6E"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MANTOMED 10 mg plėvele dengtos tabletės</w:t>
      </w:r>
    </w:p>
    <w:p w14:paraId="7533915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lightGray"/>
        </w:rPr>
      </w:pPr>
      <w:r w:rsidRPr="00253DCF">
        <w:rPr>
          <w:rFonts w:ascii="Times New Roman" w:eastAsia="Times New Roman" w:hAnsi="Times New Roman" w:cs="Times New Roman"/>
          <w:snapToGrid w:val="0"/>
          <w:szCs w:val="24"/>
          <w:highlight w:val="lightGray"/>
        </w:rPr>
        <w:t xml:space="preserve">MANTOMED 15 mg plėvele dengtos tabletės  </w:t>
      </w:r>
    </w:p>
    <w:p w14:paraId="565C141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highlight w:val="lightGray"/>
        </w:rPr>
        <w:t>MANTOMED 20 mg plėvele dengtos tabletės</w:t>
      </w:r>
      <w:r w:rsidRPr="00253DCF">
        <w:rPr>
          <w:rFonts w:ascii="Times New Roman" w:eastAsia="Times New Roman" w:hAnsi="Times New Roman" w:cs="Times New Roman"/>
          <w:snapToGrid w:val="0"/>
          <w:szCs w:val="24"/>
        </w:rPr>
        <w:t xml:space="preserve">  </w:t>
      </w:r>
    </w:p>
    <w:p w14:paraId="257BB3DD" w14:textId="25D2099C" w:rsidR="00CF1BFF" w:rsidRPr="00253DCF" w:rsidRDefault="00F237AC" w:rsidP="00CF1BFF">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w:t>
      </w:r>
      <w:r w:rsidR="00CF1BFF" w:rsidRPr="00253DCF">
        <w:rPr>
          <w:rFonts w:ascii="Times New Roman" w:eastAsia="Times New Roman" w:hAnsi="Times New Roman" w:cs="Times New Roman"/>
          <w:snapToGrid w:val="0"/>
          <w:szCs w:val="24"/>
        </w:rPr>
        <w:t>emantini hydrochloridum</w:t>
      </w:r>
    </w:p>
    <w:p w14:paraId="15AFE24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788921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D593D17"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2.</w:t>
      </w:r>
      <w:r w:rsidRPr="00253DCF">
        <w:rPr>
          <w:rFonts w:ascii="Times New Roman" w:eastAsia="Times New Roman" w:hAnsi="Times New Roman" w:cs="Times New Roman"/>
          <w:b/>
          <w:snapToGrid w:val="0"/>
          <w:szCs w:val="24"/>
        </w:rPr>
        <w:tab/>
      </w:r>
      <w:r w:rsidRPr="00253DCF">
        <w:rPr>
          <w:rFonts w:ascii="Times New Roman" w:eastAsia="Times New Roman" w:hAnsi="Times New Roman" w:cs="Times New Roman"/>
          <w:b/>
          <w:caps/>
          <w:snapToGrid w:val="0"/>
          <w:szCs w:val="24"/>
        </w:rPr>
        <w:t>REGISTRUOTOJO pavadinimas</w:t>
      </w:r>
    </w:p>
    <w:p w14:paraId="1389992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20C592D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Medochemie Ltd </w:t>
      </w:r>
      <w:r w:rsidRPr="00253DCF">
        <w:rPr>
          <w:rFonts w:ascii="Times New Roman" w:eastAsia="Times New Roman" w:hAnsi="Times New Roman" w:cs="Times New Roman"/>
          <w:snapToGrid w:val="0"/>
          <w:szCs w:val="24"/>
          <w:highlight w:val="lightGray"/>
        </w:rPr>
        <w:t>{logotipas}</w:t>
      </w:r>
    </w:p>
    <w:p w14:paraId="569EE68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 </w:t>
      </w:r>
    </w:p>
    <w:p w14:paraId="28FE60CC"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1D43BD7" w14:textId="77777777" w:rsidR="00CF1BFF" w:rsidRPr="00253DCF" w:rsidRDefault="00CF1BFF" w:rsidP="00CF1BF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3.</w:t>
      </w:r>
      <w:r w:rsidRPr="00253DCF">
        <w:rPr>
          <w:rFonts w:ascii="Times New Roman" w:eastAsia="Times New Roman" w:hAnsi="Times New Roman" w:cs="Times New Roman"/>
          <w:b/>
          <w:snapToGrid w:val="0"/>
          <w:szCs w:val="24"/>
        </w:rPr>
        <w:tab/>
        <w:t>TINKAMUMO LAIKAS</w:t>
      </w:r>
    </w:p>
    <w:p w14:paraId="060876C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0DC0A72D"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r w:rsidRPr="00556077">
        <w:rPr>
          <w:rFonts w:ascii="Times New Roman" w:eastAsia="Times New Roman" w:hAnsi="Times New Roman" w:cs="Times New Roman"/>
          <w:snapToGrid w:val="0"/>
          <w:szCs w:val="20"/>
          <w:highlight w:val="lightGray"/>
        </w:rPr>
        <w:t>EXP</w:t>
      </w:r>
      <w:r w:rsidRPr="00253DCF">
        <w:rPr>
          <w:rFonts w:ascii="Times New Roman" w:eastAsia="Times New Roman" w:hAnsi="Times New Roman" w:cs="Times New Roman"/>
          <w:snapToGrid w:val="0"/>
          <w:szCs w:val="20"/>
        </w:rPr>
        <w:t xml:space="preserve"> </w:t>
      </w:r>
      <w:r w:rsidRPr="00253DCF">
        <w:rPr>
          <w:rFonts w:ascii="Times New Roman" w:eastAsia="Times New Roman" w:hAnsi="Times New Roman" w:cs="Times New Roman"/>
          <w:snapToGrid w:val="0"/>
          <w:highlight w:val="lightGray"/>
        </w:rPr>
        <w:t>{mm-MMMM}</w:t>
      </w:r>
    </w:p>
    <w:p w14:paraId="32DA33C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80034B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AF48816" w14:textId="77777777" w:rsidR="00CF1BFF" w:rsidRPr="00253DCF" w:rsidRDefault="00CF1BFF" w:rsidP="00CF1BF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4.</w:t>
      </w:r>
      <w:r w:rsidRPr="00253DCF">
        <w:rPr>
          <w:rFonts w:ascii="Times New Roman" w:eastAsia="Times New Roman" w:hAnsi="Times New Roman" w:cs="Times New Roman"/>
          <w:b/>
          <w:snapToGrid w:val="0"/>
          <w:szCs w:val="24"/>
        </w:rPr>
        <w:tab/>
        <w:t>SERIJOS NUMERIS</w:t>
      </w:r>
    </w:p>
    <w:p w14:paraId="521581D8"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1E230ABF"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556077">
        <w:rPr>
          <w:rFonts w:ascii="Times New Roman" w:eastAsia="Times New Roman" w:hAnsi="Times New Roman" w:cs="Times New Roman"/>
          <w:snapToGrid w:val="0"/>
          <w:szCs w:val="24"/>
          <w:highlight w:val="lightGray"/>
        </w:rPr>
        <w:t>Lot</w:t>
      </w:r>
    </w:p>
    <w:p w14:paraId="415FFB9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1A44485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4897318E" w14:textId="77777777" w:rsidR="00CF1BFF" w:rsidRPr="00253DCF" w:rsidRDefault="00CF1BFF" w:rsidP="00CF1B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5.</w:t>
      </w:r>
      <w:r w:rsidRPr="00253DCF">
        <w:rPr>
          <w:rFonts w:ascii="Times New Roman" w:eastAsia="Times New Roman" w:hAnsi="Times New Roman" w:cs="Times New Roman"/>
          <w:b/>
          <w:snapToGrid w:val="0"/>
          <w:szCs w:val="24"/>
        </w:rPr>
        <w:tab/>
        <w:t>KITA</w:t>
      </w:r>
    </w:p>
    <w:p w14:paraId="6B54DE2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1DBD956"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br w:type="page"/>
      </w:r>
    </w:p>
    <w:p w14:paraId="5A2D7741"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1D44EF9A"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78A8AB80"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79C8556B"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1581D6E5"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311DCDC2"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5F6B58A7"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3434DBF4"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6AE6FEF2"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3ACF8BEA"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47376F8B"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34BEF1AD"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1C4A4CF2"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6976A43F"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0787F7E8"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063E2BCB" w14:textId="77777777" w:rsidR="00CF1BFF" w:rsidRPr="00253DCF" w:rsidRDefault="00CF1BFF" w:rsidP="00CF1BFF">
      <w:pPr>
        <w:tabs>
          <w:tab w:val="left" w:pos="567"/>
        </w:tabs>
        <w:spacing w:after="0" w:line="260" w:lineRule="exact"/>
        <w:outlineLvl w:val="0"/>
        <w:rPr>
          <w:rFonts w:ascii="Times New Roman" w:eastAsia="Times New Roman" w:hAnsi="Times New Roman" w:cs="Times New Roman"/>
          <w:snapToGrid w:val="0"/>
          <w:szCs w:val="20"/>
        </w:rPr>
      </w:pPr>
    </w:p>
    <w:p w14:paraId="1A22BA2E"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414D295D"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4838A688"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40598FC4"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46ED1C4F"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1163CED4"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3D026379"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p>
    <w:p w14:paraId="1FAEE53D" w14:textId="77777777" w:rsidR="00CF1BFF" w:rsidRPr="00253DCF" w:rsidRDefault="00CF1BFF" w:rsidP="00CF1BFF">
      <w:pPr>
        <w:tabs>
          <w:tab w:val="left" w:pos="567"/>
        </w:tabs>
        <w:spacing w:after="0" w:line="260" w:lineRule="exact"/>
        <w:jc w:val="center"/>
        <w:outlineLvl w:val="0"/>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B. PAKUOTĖS LAPELIS</w:t>
      </w:r>
    </w:p>
    <w:p w14:paraId="139D0531" w14:textId="77777777" w:rsidR="00CF1BFF" w:rsidRPr="00253DCF" w:rsidRDefault="00CF1BFF" w:rsidP="00CF1BF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br w:type="page"/>
        <w:t>Pakuotės lapelis:</w:t>
      </w:r>
      <w:r w:rsidRPr="00253DCF">
        <w:rPr>
          <w:rFonts w:ascii="Times New Roman" w:eastAsia="Times New Roman" w:hAnsi="Times New Roman" w:cs="Times New Roman"/>
          <w:b/>
          <w:snapToGrid w:val="0"/>
          <w:szCs w:val="24"/>
          <w:lang w:eastAsia="x-none"/>
        </w:rPr>
        <w:t xml:space="preserve"> </w:t>
      </w:r>
      <w:r w:rsidRPr="00253DCF">
        <w:rPr>
          <w:rFonts w:ascii="Times New Roman" w:eastAsia="Times New Roman" w:hAnsi="Times New Roman" w:cs="Times New Roman"/>
          <w:b/>
          <w:bCs/>
          <w:iCs/>
          <w:snapToGrid w:val="0"/>
          <w:szCs w:val="28"/>
          <w:lang w:eastAsia="x-none"/>
        </w:rPr>
        <w:t>informacija vartotojui</w:t>
      </w:r>
    </w:p>
    <w:p w14:paraId="09DCECD7" w14:textId="77777777" w:rsidR="00CF1BFF" w:rsidRPr="00253DCF" w:rsidRDefault="00CF1BFF" w:rsidP="00CF1BFF">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14:paraId="7B76A4E1" w14:textId="77777777" w:rsidR="00CF1BFF" w:rsidRPr="00253DCF" w:rsidRDefault="00CF1BFF" w:rsidP="00CF1BF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5 mg plėvele dengtos tabletės</w:t>
      </w:r>
    </w:p>
    <w:p w14:paraId="11A05576" w14:textId="77777777" w:rsidR="00CF1BFF" w:rsidRPr="00253DCF" w:rsidRDefault="00CF1BFF" w:rsidP="00CF1BF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10 mg plėvele dengtos tabletės</w:t>
      </w:r>
    </w:p>
    <w:p w14:paraId="4EFB3DF3" w14:textId="77777777" w:rsidR="00CF1BFF" w:rsidRPr="00253DCF" w:rsidRDefault="00CF1BFF" w:rsidP="00CF1BF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15 mg plėvele dengtos tabletės</w:t>
      </w:r>
    </w:p>
    <w:p w14:paraId="178461F4" w14:textId="77777777" w:rsidR="00CF1BFF" w:rsidRPr="00253DCF" w:rsidRDefault="00CF1BFF" w:rsidP="00CF1BF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20 mg plėvele dengtos tabletės</w:t>
      </w:r>
    </w:p>
    <w:p w14:paraId="4CAE9CD7" w14:textId="77777777" w:rsidR="00CF1BFF" w:rsidRPr="00253DCF" w:rsidRDefault="00CF1BFF" w:rsidP="00CF1BFF">
      <w:pPr>
        <w:numPr>
          <w:ilvl w:val="12"/>
          <w:numId w:val="0"/>
        </w:numPr>
        <w:spacing w:after="0" w:line="240" w:lineRule="auto"/>
        <w:jc w:val="center"/>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memantino hidrochloridas</w:t>
      </w:r>
    </w:p>
    <w:p w14:paraId="61C3BDB8"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2D521EFA" w14:textId="77777777" w:rsidR="00CF1BFF" w:rsidRPr="00253DCF" w:rsidRDefault="00CF1BFF" w:rsidP="00CF1BFF">
      <w:pPr>
        <w:tabs>
          <w:tab w:val="left" w:pos="567"/>
        </w:tabs>
        <w:spacing w:after="0" w:line="240" w:lineRule="auto"/>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427B1C36" w14:textId="77777777" w:rsidR="00CF1BFF" w:rsidRPr="00253DCF" w:rsidRDefault="00CF1BFF" w:rsidP="00CF1BFF">
      <w:pPr>
        <w:numPr>
          <w:ilvl w:val="0"/>
          <w:numId w:val="3"/>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Neišmeskite šio lapelio, nes vėl gali prireikti jį perskaityti. </w:t>
      </w:r>
    </w:p>
    <w:p w14:paraId="07F610B9" w14:textId="77777777" w:rsidR="00CF1BFF" w:rsidRPr="00253DCF" w:rsidRDefault="00CF1BFF" w:rsidP="00CF1BFF">
      <w:pPr>
        <w:numPr>
          <w:ilvl w:val="0"/>
          <w:numId w:val="3"/>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kiltų daugiau klausimų, kreipkitės į gydytoją arba vaistininką.</w:t>
      </w:r>
    </w:p>
    <w:p w14:paraId="05EC392A" w14:textId="77777777" w:rsidR="00CF1BFF" w:rsidRPr="00253DCF" w:rsidRDefault="00CF1BFF" w:rsidP="00CF1BFF">
      <w:pPr>
        <w:numPr>
          <w:ilvl w:val="0"/>
          <w:numId w:val="3"/>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Šis vaistas skirtas tik Jums, todėl kitiems žmonėms jo duoti negalima. Vaistas gali jiems pakenkti (net tiems, kurių ligos požymiai yra tokie patys kaip Jūsų).</w:t>
      </w:r>
    </w:p>
    <w:p w14:paraId="5259BD53" w14:textId="77777777" w:rsidR="00CF1BFF" w:rsidRPr="00253DCF" w:rsidRDefault="00CF1BFF" w:rsidP="00CF1BFF">
      <w:pPr>
        <w:numPr>
          <w:ilvl w:val="0"/>
          <w:numId w:val="3"/>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57C0F46A" w14:textId="77777777" w:rsidR="00CF1BFF" w:rsidRPr="00253DCF" w:rsidRDefault="00CF1BFF" w:rsidP="00CF1BFF">
      <w:pPr>
        <w:tabs>
          <w:tab w:val="left" w:pos="567"/>
        </w:tabs>
        <w:spacing w:after="0" w:line="240" w:lineRule="auto"/>
        <w:ind w:left="567"/>
        <w:rPr>
          <w:rFonts w:ascii="Times New Roman" w:eastAsia="Times New Roman" w:hAnsi="Times New Roman" w:cs="Times New Roman"/>
          <w:snapToGrid w:val="0"/>
          <w:szCs w:val="24"/>
        </w:rPr>
      </w:pPr>
    </w:p>
    <w:p w14:paraId="206D697E" w14:textId="77777777" w:rsidR="00CF1BFF" w:rsidRPr="00253DCF" w:rsidRDefault="00CF1BFF" w:rsidP="00CF1BFF">
      <w:pPr>
        <w:spacing w:after="0" w:line="240" w:lineRule="auto"/>
        <w:ind w:right="-2"/>
        <w:rPr>
          <w:rFonts w:ascii="Times New Roman" w:eastAsia="Times New Roman" w:hAnsi="Times New Roman" w:cs="Times New Roman"/>
          <w:snapToGrid w:val="0"/>
          <w:szCs w:val="24"/>
        </w:rPr>
      </w:pPr>
    </w:p>
    <w:p w14:paraId="2074B83A"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Apie ką rašoma šiame lapelyje?</w:t>
      </w:r>
    </w:p>
    <w:p w14:paraId="38CC5E6A" w14:textId="77777777" w:rsidR="00CF1BFF" w:rsidRPr="00253DCF" w:rsidRDefault="00CF1BFF" w:rsidP="00CF1BFF">
      <w:pPr>
        <w:numPr>
          <w:ilvl w:val="12"/>
          <w:numId w:val="0"/>
        </w:numPr>
        <w:spacing w:after="0" w:line="240" w:lineRule="auto"/>
        <w:ind w:left="284" w:right="-2"/>
        <w:rPr>
          <w:rFonts w:ascii="Times New Roman" w:eastAsia="Times New Roman" w:hAnsi="Times New Roman" w:cs="Times New Roman"/>
          <w:snapToGrid w:val="0"/>
          <w:szCs w:val="24"/>
        </w:rPr>
      </w:pPr>
    </w:p>
    <w:p w14:paraId="134EDE14"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Kas yra MANTOMED ir kam jis vartojamas </w:t>
      </w:r>
    </w:p>
    <w:p w14:paraId="53AA6960"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Kas žinotina prieš vartojant MANTOMED</w:t>
      </w:r>
    </w:p>
    <w:p w14:paraId="4B9965FC"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Kaip vartoti MANTOMED</w:t>
      </w:r>
    </w:p>
    <w:p w14:paraId="56EA53C8"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Galimas šalutinis poveikis </w:t>
      </w:r>
    </w:p>
    <w:p w14:paraId="769CF452"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Kaip laikyti MANTOMED</w:t>
      </w:r>
    </w:p>
    <w:p w14:paraId="7E55F7BB" w14:textId="77777777" w:rsidR="00CF1BFF" w:rsidRPr="00253DCF" w:rsidRDefault="00CF1BFF" w:rsidP="00CF1BFF">
      <w:pPr>
        <w:numPr>
          <w:ilvl w:val="0"/>
          <w:numId w:val="8"/>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Pakuotės turinys ir kita informacija</w:t>
      </w:r>
    </w:p>
    <w:p w14:paraId="430DAA35"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7E479508"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1B2D55AF" w14:textId="77777777" w:rsidR="00CF1BFF" w:rsidRPr="00253DCF" w:rsidRDefault="00CF1BFF" w:rsidP="00CF1BF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1.</w:t>
      </w:r>
      <w:r w:rsidRPr="00253DCF">
        <w:rPr>
          <w:rFonts w:ascii="Times New Roman" w:eastAsia="Times New Roman" w:hAnsi="Times New Roman" w:cs="Times New Roman"/>
          <w:b/>
          <w:bCs/>
          <w:snapToGrid w:val="0"/>
          <w:szCs w:val="28"/>
          <w:lang w:eastAsia="x-none"/>
        </w:rPr>
        <w:tab/>
        <w:t>Kas yra MANTOMED ir kam jis vartojamas</w:t>
      </w:r>
    </w:p>
    <w:p w14:paraId="353CE521"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7C2EF28F"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556077">
        <w:rPr>
          <w:rFonts w:ascii="Times New Roman" w:hAnsi="Times New Roman"/>
        </w:rPr>
        <w:t>MANTOMED</w:t>
      </w:r>
      <w:r>
        <w:rPr>
          <w:rFonts w:ascii="Times New Roman" w:eastAsia="Times New Roman" w:hAnsi="Times New Roman" w:cs="Times New Roman"/>
          <w:snapToGrid w:val="0"/>
          <w:szCs w:val="24"/>
        </w:rPr>
        <w:t xml:space="preserve"> sudėtyje yra veikliosios medžiagos memantino hidrochlorido. Jis</w:t>
      </w:r>
      <w:r w:rsidRPr="00253DCF">
        <w:rPr>
          <w:rFonts w:ascii="Times New Roman" w:eastAsia="Times New Roman" w:hAnsi="Times New Roman" w:cs="Times New Roman"/>
          <w:snapToGrid w:val="0"/>
          <w:szCs w:val="24"/>
        </w:rPr>
        <w:t xml:space="preserve"> priklauso vaistų, kurie vadinami </w:t>
      </w:r>
      <w:r>
        <w:rPr>
          <w:rFonts w:ascii="Times New Roman" w:eastAsia="Times New Roman" w:hAnsi="Times New Roman" w:cs="Times New Roman"/>
          <w:snapToGrid w:val="0"/>
          <w:szCs w:val="24"/>
        </w:rPr>
        <w:t>priešdemenciniais</w:t>
      </w:r>
      <w:r w:rsidRPr="00253DCF">
        <w:rPr>
          <w:rFonts w:ascii="Times New Roman" w:eastAsia="Times New Roman" w:hAnsi="Times New Roman" w:cs="Times New Roman"/>
          <w:snapToGrid w:val="0"/>
          <w:szCs w:val="24"/>
        </w:rPr>
        <w:t xml:space="preserve">, grupei. Atmintis, sergant Alzheimerio liga, prarandama dėl signalų perdavimo galvos smegenyse sutrikimo. Smegenyse yra N-metil-D-aspartatui (NMDA) jautrių receptorių, kurie dalyvauja perduodant nervinį signalą, svarbų mokymuisi ir atminčiai. </w:t>
      </w:r>
      <w:r>
        <w:rPr>
          <w:rFonts w:ascii="Times New Roman" w:eastAsia="Times New Roman" w:hAnsi="Times New Roman" w:cs="Times New Roman"/>
          <w:snapToGrid w:val="0"/>
          <w:szCs w:val="24"/>
        </w:rPr>
        <w:t>Memantinas</w:t>
      </w:r>
      <w:r w:rsidRPr="00253DCF">
        <w:rPr>
          <w:rFonts w:ascii="Times New Roman" w:eastAsia="Times New Roman" w:hAnsi="Times New Roman" w:cs="Times New Roman"/>
          <w:snapToGrid w:val="0"/>
          <w:szCs w:val="24"/>
        </w:rPr>
        <w:t xml:space="preserve"> priklauso vaistų, vadinamų NMDA receptorių antagonistais, grupei. Veikdamas šiuos receptorius, </w:t>
      </w:r>
      <w:r>
        <w:rPr>
          <w:rFonts w:ascii="Times New Roman" w:eastAsia="Times New Roman" w:hAnsi="Times New Roman" w:cs="Times New Roman"/>
          <w:snapToGrid w:val="0"/>
          <w:szCs w:val="24"/>
        </w:rPr>
        <w:t>memantinas</w:t>
      </w:r>
      <w:r w:rsidRPr="00253DCF">
        <w:rPr>
          <w:rFonts w:ascii="Times New Roman" w:eastAsia="Times New Roman" w:hAnsi="Times New Roman" w:cs="Times New Roman"/>
          <w:snapToGrid w:val="0"/>
          <w:szCs w:val="24"/>
        </w:rPr>
        <w:t xml:space="preserve"> gerina nervinių signalų perdavimą ir atmintį.</w:t>
      </w:r>
    </w:p>
    <w:p w14:paraId="301C5468" w14:textId="77777777" w:rsidR="00CF1BFF" w:rsidRPr="00D66DF5"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49DEE861"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gydomi pacientai, sergantys vidutinio sunkumo ir sunkia Alzheimerio liga.</w:t>
      </w:r>
    </w:p>
    <w:p w14:paraId="0785BFD6" w14:textId="77777777" w:rsidR="00CF1BFF" w:rsidRPr="00253DCF" w:rsidRDefault="00CF1BFF" w:rsidP="00CF1BFF">
      <w:pPr>
        <w:numPr>
          <w:ilvl w:val="12"/>
          <w:numId w:val="0"/>
        </w:numPr>
        <w:tabs>
          <w:tab w:val="left" w:pos="7535"/>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ab/>
      </w:r>
    </w:p>
    <w:p w14:paraId="311D2C1E" w14:textId="77777777" w:rsidR="00CF1BFF" w:rsidRPr="00253DCF" w:rsidRDefault="00CF1BFF" w:rsidP="00CF1BFF">
      <w:pPr>
        <w:numPr>
          <w:ilvl w:val="12"/>
          <w:numId w:val="0"/>
        </w:numPr>
        <w:tabs>
          <w:tab w:val="left" w:pos="7535"/>
        </w:tabs>
        <w:spacing w:after="0" w:line="240" w:lineRule="auto"/>
        <w:ind w:right="-2"/>
        <w:rPr>
          <w:rFonts w:ascii="Times New Roman" w:eastAsia="Times New Roman" w:hAnsi="Times New Roman" w:cs="Times New Roman"/>
          <w:snapToGrid w:val="0"/>
          <w:szCs w:val="24"/>
        </w:rPr>
      </w:pPr>
    </w:p>
    <w:p w14:paraId="4732374A"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253DCF">
        <w:rPr>
          <w:rFonts w:ascii="Times New Roman" w:eastAsia="Times New Roman" w:hAnsi="Times New Roman" w:cs="Times New Roman"/>
          <w:b/>
          <w:bCs/>
          <w:snapToGrid w:val="0"/>
          <w:lang w:eastAsia="x-none"/>
        </w:rPr>
        <w:t>2.</w:t>
      </w:r>
      <w:r w:rsidRPr="00253DCF">
        <w:rPr>
          <w:rFonts w:ascii="Times New Roman" w:eastAsia="Times New Roman" w:hAnsi="Times New Roman" w:cs="Times New Roman"/>
          <w:b/>
          <w:bCs/>
          <w:snapToGrid w:val="0"/>
          <w:lang w:eastAsia="x-none"/>
        </w:rPr>
        <w:tab/>
        <w:t>Kas žinotina prieš vartojant MANTOMED</w:t>
      </w:r>
    </w:p>
    <w:p w14:paraId="6C7FFB28" w14:textId="77777777" w:rsidR="00CF1BFF" w:rsidRPr="00253DCF" w:rsidRDefault="00CF1BFF" w:rsidP="00CF1BFF">
      <w:pPr>
        <w:numPr>
          <w:ilvl w:val="12"/>
          <w:numId w:val="0"/>
        </w:numPr>
        <w:tabs>
          <w:tab w:val="left" w:pos="7535"/>
        </w:tabs>
        <w:spacing w:after="0" w:line="240" w:lineRule="auto"/>
        <w:ind w:right="-2"/>
        <w:rPr>
          <w:rFonts w:ascii="Times New Roman" w:eastAsia="Times New Roman" w:hAnsi="Times New Roman" w:cs="Times New Roman"/>
          <w:snapToGrid w:val="0"/>
          <w:szCs w:val="20"/>
        </w:rPr>
      </w:pPr>
    </w:p>
    <w:p w14:paraId="04D30F3E"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MANTOMED vartoti negalima</w:t>
      </w:r>
    </w:p>
    <w:p w14:paraId="2FFC6B9B" w14:textId="77777777" w:rsidR="00CF1BFF" w:rsidRPr="00253DCF" w:rsidRDefault="00CF1BFF" w:rsidP="00CF1BFF">
      <w:pPr>
        <w:numPr>
          <w:ilvl w:val="0"/>
          <w:numId w:val="14"/>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yra alergija memantino hidrochloridui arba bet kuriai pagalbinei šio vaisto medžiagai (jos išvardytos 6 skyriuje).</w:t>
      </w:r>
    </w:p>
    <w:p w14:paraId="01B8E7FD"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2DA87DBF"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Įspėjimai ir atsargumo priemonės </w:t>
      </w:r>
    </w:p>
    <w:p w14:paraId="33ECE201"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Pasitarkite su gydytoju arba vaistininku, prieš pradėdami vartoti MANTOMED:</w:t>
      </w:r>
    </w:p>
    <w:p w14:paraId="21A71423" w14:textId="77777777" w:rsidR="00CF1BFF" w:rsidRPr="00F8050D" w:rsidRDefault="00CF1BFF" w:rsidP="00CF1BFF">
      <w:pPr>
        <w:pStyle w:val="Sraopastraipa"/>
        <w:numPr>
          <w:ilvl w:val="0"/>
          <w:numId w:val="14"/>
        </w:numPr>
        <w:tabs>
          <w:tab w:val="left" w:pos="6848"/>
        </w:tabs>
        <w:autoSpaceDE w:val="0"/>
        <w:autoSpaceDN w:val="0"/>
        <w:adjustRightInd w:val="0"/>
        <w:ind w:left="567" w:hanging="567"/>
        <w:rPr>
          <w:lang w:val="lt-LT"/>
        </w:rPr>
      </w:pPr>
      <w:r w:rsidRPr="00556077">
        <w:rPr>
          <w:lang w:val="lt-LT"/>
        </w:rPr>
        <w:t>jeigu yra buvę epilepsijos traukulių priepuolių;</w:t>
      </w:r>
      <w:r w:rsidRPr="00556077">
        <w:rPr>
          <w:lang w:val="lt-LT"/>
        </w:rPr>
        <w:tab/>
      </w:r>
    </w:p>
    <w:p w14:paraId="21BC390A" w14:textId="77777777" w:rsidR="00CF1BFF" w:rsidRPr="00F8050D" w:rsidRDefault="00CF1BFF" w:rsidP="00CF1BFF">
      <w:pPr>
        <w:pStyle w:val="Sraopastraipa"/>
        <w:numPr>
          <w:ilvl w:val="0"/>
          <w:numId w:val="14"/>
        </w:numPr>
        <w:autoSpaceDE w:val="0"/>
        <w:autoSpaceDN w:val="0"/>
        <w:adjustRightInd w:val="0"/>
        <w:ind w:left="567" w:hanging="567"/>
        <w:rPr>
          <w:lang w:val="lt-LT"/>
        </w:rPr>
      </w:pPr>
      <w:r w:rsidRPr="00556077">
        <w:rPr>
          <w:lang w:val="lt-LT"/>
        </w:rPr>
        <w:t>jeigu neseniai ištiko miokardo infarktas (širdies priepuolis), sergate staziniu širdies nepakankamumu arba nekontroliuojama hipertenzija (didelio kraujospūdžio liga).</w:t>
      </w:r>
    </w:p>
    <w:p w14:paraId="4CE5028F"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089FFE32"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Minėtais atvejais ligoniui būtina atidi gydytojo priežiūra. Jis reguliariai nustatinės, ar naudinga toliau vartoti MANTOMED.</w:t>
      </w:r>
    </w:p>
    <w:p w14:paraId="7CE77A42" w14:textId="77777777" w:rsidR="00CF1BFF" w:rsidRPr="00D66DF5"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574A3BB9"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yra inkstų veiklos sutrikimas (inkstų liga), gydymo metu gydytojas atidžiai stebės inkstų funkciją ir, jei reikia, koreguos memantino dozę.</w:t>
      </w:r>
    </w:p>
    <w:p w14:paraId="55E20AE3" w14:textId="77777777" w:rsidR="00CF1BF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5BC888C5" w14:textId="77777777" w:rsidR="00CF1BF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D2909">
        <w:rPr>
          <w:rFonts w:ascii="Times New Roman" w:eastAsia="Times New Roman" w:hAnsi="Times New Roman" w:cs="Times New Roman"/>
          <w:snapToGrid w:val="0"/>
        </w:rPr>
        <w:t xml:space="preserve">Jeigu yra inkstų kanalėlių acidozė (dėl inkstų funkcijos sutrikimo </w:t>
      </w:r>
      <w:r>
        <w:rPr>
          <w:rFonts w:ascii="Times New Roman" w:eastAsia="Times New Roman" w:hAnsi="Times New Roman" w:cs="Times New Roman"/>
          <w:snapToGrid w:val="0"/>
        </w:rPr>
        <w:t>[</w:t>
      </w:r>
      <w:r w:rsidRPr="00FD2909">
        <w:rPr>
          <w:rFonts w:ascii="Times New Roman" w:eastAsia="Times New Roman" w:hAnsi="Times New Roman" w:cs="Times New Roman"/>
          <w:snapToGrid w:val="0"/>
        </w:rPr>
        <w:t>blogos inkstų funkcijos</w:t>
      </w:r>
      <w:r>
        <w:rPr>
          <w:rFonts w:ascii="Times New Roman" w:eastAsia="Times New Roman" w:hAnsi="Times New Roman" w:cs="Times New Roman"/>
          <w:snapToGrid w:val="0"/>
        </w:rPr>
        <w:t>]</w:t>
      </w:r>
      <w:r w:rsidRPr="00FD2909">
        <w:rPr>
          <w:rFonts w:ascii="Times New Roman" w:eastAsia="Times New Roman" w:hAnsi="Times New Roman" w:cs="Times New Roman"/>
          <w:snapToGrid w:val="0"/>
        </w:rPr>
        <w:t xml:space="preserve"> kraujyje</w:t>
      </w:r>
      <w:r>
        <w:rPr>
          <w:rFonts w:ascii="Times New Roman" w:eastAsia="Times New Roman" w:hAnsi="Times New Roman" w:cs="Times New Roman"/>
          <w:snapToGrid w:val="0"/>
        </w:rPr>
        <w:t xml:space="preserve"> </w:t>
      </w:r>
      <w:r w:rsidRPr="00FD2909">
        <w:rPr>
          <w:rFonts w:ascii="Times New Roman" w:eastAsia="Times New Roman" w:hAnsi="Times New Roman" w:cs="Times New Roman"/>
          <w:snapToGrid w:val="0"/>
        </w:rPr>
        <w:t>padaugėja rūgštis sudarančių medžiagų) arba sunki infekcinė šlapimo takų (latakų, kuriais teka</w:t>
      </w:r>
      <w:r>
        <w:rPr>
          <w:rFonts w:ascii="Times New Roman" w:eastAsia="Times New Roman" w:hAnsi="Times New Roman" w:cs="Times New Roman"/>
          <w:snapToGrid w:val="0"/>
        </w:rPr>
        <w:t xml:space="preserve"> </w:t>
      </w:r>
      <w:r w:rsidRPr="00FD2909">
        <w:rPr>
          <w:rFonts w:ascii="Times New Roman" w:eastAsia="Times New Roman" w:hAnsi="Times New Roman" w:cs="Times New Roman"/>
          <w:snapToGrid w:val="0"/>
        </w:rPr>
        <w:t>šlapimas) liga, gydytojui gali reikėti keisti dozę.</w:t>
      </w:r>
    </w:p>
    <w:p w14:paraId="3733D365" w14:textId="77777777" w:rsidR="00CF1BFF" w:rsidRPr="00D66DF5"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5A419DC2"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Kartu su MANTOMED nerekomenduojama vartoti amantadino (vaisto Parkinsono ligai gydyti), ketamino (medžiagos, kuri įprastai vartojama kaip anestetikas), dekstrometorfano (vaisto, kurio įprastai vartojama gydyti kosuliui) bei kitų NMDA receptorių antagonistų.</w:t>
      </w:r>
    </w:p>
    <w:p w14:paraId="224E140A"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28638113"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253DCF">
        <w:rPr>
          <w:rFonts w:ascii="Times New Roman" w:eastAsia="Times New Roman" w:hAnsi="Times New Roman" w:cs="Times New Roman"/>
          <w:b/>
          <w:snapToGrid w:val="0"/>
        </w:rPr>
        <w:t>Vaikams ir paaugliams</w:t>
      </w:r>
    </w:p>
    <w:p w14:paraId="0C5B8DA6"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Vaikams ir jaunesniems nei 18 metų paaugliams MANTOMED vartoti nerekomenduojama.</w:t>
      </w:r>
    </w:p>
    <w:p w14:paraId="2F55C151"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07E61A1E"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Kiti vaistai ir MANTOMED </w:t>
      </w:r>
    </w:p>
    <w:p w14:paraId="2184B4A3"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vartojate ar neseniai vartojote kitų vaistų arba dėl to nesate tikri, apie tai pasakykite gydytojui arba vaistininkui.</w:t>
      </w:r>
    </w:p>
    <w:p w14:paraId="7B128C7B"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1A43E87"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ypač gali keisti toliau išvardintų vaistų poveikį, todėl gydytojui gali prireikti koreguoti jų dozę:</w:t>
      </w:r>
    </w:p>
    <w:p w14:paraId="64FF6DA0" w14:textId="77777777" w:rsidR="00CF1BFF" w:rsidRPr="00556077" w:rsidRDefault="00CF1BFF" w:rsidP="00CF1BFF">
      <w:pPr>
        <w:pStyle w:val="Sraopastraipa"/>
        <w:numPr>
          <w:ilvl w:val="0"/>
          <w:numId w:val="15"/>
        </w:numPr>
        <w:autoSpaceDE w:val="0"/>
        <w:autoSpaceDN w:val="0"/>
        <w:adjustRightInd w:val="0"/>
        <w:ind w:left="567" w:hanging="567"/>
      </w:pPr>
      <w:r w:rsidRPr="00556077">
        <w:t>amantadino, ketamino, dekstrometorfano;</w:t>
      </w:r>
    </w:p>
    <w:p w14:paraId="361D6FE3" w14:textId="77777777" w:rsidR="00CF1BFF" w:rsidRPr="00556077" w:rsidRDefault="00CF1BFF" w:rsidP="00CF1BFF">
      <w:pPr>
        <w:pStyle w:val="Sraopastraipa"/>
        <w:numPr>
          <w:ilvl w:val="0"/>
          <w:numId w:val="15"/>
        </w:numPr>
        <w:autoSpaceDE w:val="0"/>
        <w:autoSpaceDN w:val="0"/>
        <w:adjustRightInd w:val="0"/>
        <w:ind w:left="567" w:hanging="567"/>
      </w:pPr>
      <w:r w:rsidRPr="00556077">
        <w:t>dantroleno, baklofeno;</w:t>
      </w:r>
    </w:p>
    <w:p w14:paraId="225A2C5C" w14:textId="77777777" w:rsidR="00CF1BFF" w:rsidRPr="00556077" w:rsidRDefault="00CF1BFF" w:rsidP="00CF1BFF">
      <w:pPr>
        <w:pStyle w:val="Sraopastraipa"/>
        <w:numPr>
          <w:ilvl w:val="0"/>
          <w:numId w:val="15"/>
        </w:numPr>
        <w:autoSpaceDE w:val="0"/>
        <w:autoSpaceDN w:val="0"/>
        <w:adjustRightInd w:val="0"/>
        <w:ind w:left="567" w:hanging="567"/>
      </w:pPr>
      <w:r w:rsidRPr="00556077">
        <w:t xml:space="preserve">cimetidino, ranitidino, prokainamido, chinidino, chinino, nikotino; </w:t>
      </w:r>
    </w:p>
    <w:p w14:paraId="7864978A" w14:textId="77777777" w:rsidR="00CF1BFF" w:rsidRPr="00556077" w:rsidRDefault="00CF1BFF" w:rsidP="00CF1BFF">
      <w:pPr>
        <w:pStyle w:val="Sraopastraipa"/>
        <w:numPr>
          <w:ilvl w:val="0"/>
          <w:numId w:val="15"/>
        </w:numPr>
        <w:autoSpaceDE w:val="0"/>
        <w:autoSpaceDN w:val="0"/>
        <w:adjustRightInd w:val="0"/>
        <w:ind w:left="567" w:hanging="567"/>
      </w:pPr>
      <w:r w:rsidRPr="00556077">
        <w:t>hidrochlorotiazido (</w:t>
      </w:r>
      <w:r w:rsidRPr="00556077">
        <w:rPr>
          <w:lang w:val="lt-LT"/>
        </w:rPr>
        <w:t>įskaitant kombinuotuosius preparatus,</w:t>
      </w:r>
      <w:r w:rsidRPr="00556077">
        <w:t xml:space="preserve"> kuriuose yra hidrochlorotiazido);</w:t>
      </w:r>
    </w:p>
    <w:p w14:paraId="46168C55" w14:textId="77777777" w:rsidR="00CF1BFF" w:rsidRPr="00556077" w:rsidRDefault="00CF1BFF" w:rsidP="00CF1BFF">
      <w:pPr>
        <w:pStyle w:val="Sraopastraipa"/>
        <w:numPr>
          <w:ilvl w:val="0"/>
          <w:numId w:val="15"/>
        </w:numPr>
        <w:autoSpaceDE w:val="0"/>
        <w:autoSpaceDN w:val="0"/>
        <w:adjustRightInd w:val="0"/>
        <w:ind w:left="567" w:hanging="567"/>
      </w:pPr>
      <w:r w:rsidRPr="00556077">
        <w:rPr>
          <w:lang w:val="lt-LT"/>
        </w:rPr>
        <w:t>anticholinerginių vaistų (vaistų, paprastai vartojamų nuo judesių sutrikimų arba žarnyno spazmų);</w:t>
      </w:r>
    </w:p>
    <w:p w14:paraId="6A1274D0" w14:textId="77777777" w:rsidR="00CF1BFF" w:rsidRPr="00556077" w:rsidRDefault="00CF1BFF" w:rsidP="00CF1BFF">
      <w:pPr>
        <w:pStyle w:val="Sraopastraipa"/>
        <w:numPr>
          <w:ilvl w:val="0"/>
          <w:numId w:val="15"/>
        </w:numPr>
        <w:autoSpaceDE w:val="0"/>
        <w:autoSpaceDN w:val="0"/>
        <w:adjustRightInd w:val="0"/>
        <w:ind w:left="567" w:hanging="567"/>
      </w:pPr>
      <w:r w:rsidRPr="00556077">
        <w:rPr>
          <w:lang w:val="lt-LT"/>
        </w:rPr>
        <w:t>vaistų nuo traukulių (juos šalinančių arba neleidžiančių jiems prasidėti);</w:t>
      </w:r>
    </w:p>
    <w:p w14:paraId="61184AE5" w14:textId="77777777" w:rsidR="00CF1BFF" w:rsidRPr="00556077" w:rsidRDefault="00CF1BFF" w:rsidP="00CF1BFF">
      <w:pPr>
        <w:pStyle w:val="Sraopastraipa"/>
        <w:numPr>
          <w:ilvl w:val="0"/>
          <w:numId w:val="15"/>
        </w:numPr>
        <w:autoSpaceDE w:val="0"/>
        <w:autoSpaceDN w:val="0"/>
        <w:adjustRightInd w:val="0"/>
        <w:ind w:left="567" w:hanging="567"/>
      </w:pPr>
      <w:r w:rsidRPr="00556077">
        <w:rPr>
          <w:lang w:val="lt-LT"/>
        </w:rPr>
        <w:t>barbitūratų (migdomųjų vaistų);</w:t>
      </w:r>
    </w:p>
    <w:p w14:paraId="7BFE0C47" w14:textId="77777777" w:rsidR="00CF1BFF" w:rsidRPr="00556077" w:rsidRDefault="00CF1BFF" w:rsidP="00CF1BFF">
      <w:pPr>
        <w:pStyle w:val="Sraopastraipa"/>
        <w:numPr>
          <w:ilvl w:val="0"/>
          <w:numId w:val="15"/>
        </w:numPr>
        <w:autoSpaceDE w:val="0"/>
        <w:autoSpaceDN w:val="0"/>
        <w:adjustRightInd w:val="0"/>
        <w:ind w:left="567" w:hanging="567"/>
      </w:pPr>
      <w:r w:rsidRPr="00556077">
        <w:rPr>
          <w:lang w:val="lt-LT"/>
        </w:rPr>
        <w:t>dopaminerginės sistemos agonistų (pavyzdžiui L-dopos, bromokriptino);</w:t>
      </w:r>
    </w:p>
    <w:p w14:paraId="5C29FEDF" w14:textId="77777777" w:rsidR="00CF1BFF" w:rsidRPr="00556077" w:rsidRDefault="00CF1BFF" w:rsidP="00CF1BFF">
      <w:pPr>
        <w:pStyle w:val="Sraopastraipa"/>
        <w:numPr>
          <w:ilvl w:val="0"/>
          <w:numId w:val="15"/>
        </w:numPr>
        <w:autoSpaceDE w:val="0"/>
        <w:autoSpaceDN w:val="0"/>
        <w:adjustRightInd w:val="0"/>
        <w:ind w:left="567" w:hanging="567"/>
      </w:pPr>
      <w:r w:rsidRPr="00556077">
        <w:rPr>
          <w:lang w:val="lt-LT"/>
        </w:rPr>
        <w:t>neuroleptikų (vaistų nuo psichikos ligų);</w:t>
      </w:r>
    </w:p>
    <w:p w14:paraId="52238D3F" w14:textId="77777777" w:rsidR="00CF1BFF" w:rsidRPr="00556077" w:rsidRDefault="00CF1BFF" w:rsidP="00CF1BFF">
      <w:pPr>
        <w:pStyle w:val="Sraopastraipa"/>
        <w:numPr>
          <w:ilvl w:val="0"/>
          <w:numId w:val="15"/>
        </w:numPr>
        <w:autoSpaceDE w:val="0"/>
        <w:autoSpaceDN w:val="0"/>
        <w:adjustRightInd w:val="0"/>
        <w:ind w:left="567" w:hanging="567"/>
        <w:jc w:val="both"/>
      </w:pPr>
      <w:r w:rsidRPr="00556077">
        <w:rPr>
          <w:lang w:val="lt-LT"/>
        </w:rPr>
        <w:t>geriamųjų antikoaguliantų.</w:t>
      </w:r>
    </w:p>
    <w:p w14:paraId="38EE9ABB"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4B2C08A"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Atvykus į ligoninę, gydytojui reikia pasakyti apie MANTOMED vartojimą.</w:t>
      </w:r>
    </w:p>
    <w:p w14:paraId="48914859"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08914C7C"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highlight w:val="yellow"/>
        </w:rPr>
      </w:pPr>
      <w:r w:rsidRPr="00253DCF">
        <w:rPr>
          <w:rFonts w:ascii="Times New Roman" w:eastAsia="Times New Roman" w:hAnsi="Times New Roman" w:cs="Times New Roman"/>
          <w:b/>
          <w:bCs/>
          <w:snapToGrid w:val="0"/>
        </w:rPr>
        <w:t>MANTOMED vartojimas su maistu ir gėrimais</w:t>
      </w:r>
    </w:p>
    <w:p w14:paraId="492FF5D5"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planuojama iš esmės keisti dietą arba neseniai ji buvo pakeista (pvz., įprastinė į vegetarinę), reikia informuoti gydytoją, kadangi gali reikėti keisti dozę.</w:t>
      </w:r>
    </w:p>
    <w:p w14:paraId="4FF6BC7A"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47A974D4"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Nėštumas, žindymo laikotarpis ir vaisingumas</w:t>
      </w:r>
    </w:p>
    <w:p w14:paraId="4AF3C10E"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4422057"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nėščioms moterims vartoti nerekomenduojama.</w:t>
      </w:r>
    </w:p>
    <w:p w14:paraId="77DF4C72"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C849D03"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vartojančioms moterims maitinti krūtimi negalima.</w:t>
      </w:r>
    </w:p>
    <w:p w14:paraId="16884FA3"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0663E800" w14:textId="77777777" w:rsidR="00CF1BFF" w:rsidRPr="00253DCF" w:rsidRDefault="00CF1BFF" w:rsidP="00CF1BF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Vairavimas ir mechanizmų valdymas </w:t>
      </w:r>
    </w:p>
    <w:p w14:paraId="41C7FBED"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rPr>
      </w:pPr>
      <w:r w:rsidRPr="00253DCF">
        <w:rPr>
          <w:rFonts w:ascii="Times New Roman" w:eastAsia="Times New Roman" w:hAnsi="Times New Roman" w:cs="Times New Roman"/>
          <w:snapToGrid w:val="0"/>
        </w:rPr>
        <w:t xml:space="preserve">Ar dėl Jūsų ligos galima saugiai vairuoti ir valdyti mechanizmus, pasakys gydytojas. </w:t>
      </w:r>
    </w:p>
    <w:p w14:paraId="30188838"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rPr>
        <w:t>Vartojant MANTOMED, gali kisti reakcija, todėl Jums gali neleisti vairuoti ir valdyti mechanizmus.</w:t>
      </w:r>
    </w:p>
    <w:p w14:paraId="382E8D02"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6CE45632" w14:textId="77777777" w:rsidR="00CF1BFF" w:rsidRPr="00863498" w:rsidRDefault="00CF1BFF" w:rsidP="00CF1BFF">
      <w:pPr>
        <w:tabs>
          <w:tab w:val="left" w:pos="567"/>
        </w:tabs>
        <w:spacing w:after="0" w:line="260" w:lineRule="exact"/>
        <w:rPr>
          <w:rFonts w:ascii="Times New Roman" w:eastAsia="Times New Roman" w:hAnsi="Times New Roman" w:cs="Times New Roman"/>
          <w:snapToGrid w:val="0"/>
          <w:szCs w:val="24"/>
        </w:rPr>
      </w:pPr>
      <w:r w:rsidRPr="00863498">
        <w:rPr>
          <w:rFonts w:ascii="Times New Roman" w:eastAsia="Times New Roman" w:hAnsi="Times New Roman" w:cs="Times New Roman"/>
          <w:snapToGrid w:val="0"/>
          <w:szCs w:val="24"/>
        </w:rPr>
        <w:t xml:space="preserve">Šio vaisto </w:t>
      </w:r>
      <w:r>
        <w:rPr>
          <w:rFonts w:ascii="Times New Roman" w:eastAsia="Times New Roman" w:hAnsi="Times New Roman" w:cs="Times New Roman"/>
          <w:snapToGrid w:val="0"/>
          <w:szCs w:val="24"/>
        </w:rPr>
        <w:t>plėvele dengtoje</w:t>
      </w:r>
      <w:r w:rsidRPr="00863498">
        <w:rPr>
          <w:rFonts w:ascii="Times New Roman" w:eastAsia="Times New Roman" w:hAnsi="Times New Roman" w:cs="Times New Roman"/>
          <w:snapToGrid w:val="0"/>
          <w:szCs w:val="24"/>
        </w:rPr>
        <w:t xml:space="preserve"> tabletėje yra mažiau kaip 1 mmol (23 mg) natrio, t.</w:t>
      </w:r>
      <w:r>
        <w:rPr>
          <w:rFonts w:ascii="Times New Roman" w:eastAsia="Times New Roman" w:hAnsi="Times New Roman" w:cs="Times New Roman"/>
          <w:snapToGrid w:val="0"/>
          <w:szCs w:val="24"/>
        </w:rPr>
        <w:t xml:space="preserve"> </w:t>
      </w:r>
      <w:r w:rsidRPr="00863498">
        <w:rPr>
          <w:rFonts w:ascii="Times New Roman" w:eastAsia="Times New Roman" w:hAnsi="Times New Roman" w:cs="Times New Roman"/>
          <w:snapToGrid w:val="0"/>
          <w:szCs w:val="24"/>
        </w:rPr>
        <w:t>y. jis beveik neturi reikšmės.</w:t>
      </w:r>
    </w:p>
    <w:p w14:paraId="0ECBBF84" w14:textId="77777777" w:rsidR="00CF1BFF" w:rsidRPr="00D66DF5"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397EEE77"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558F17F5"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3.</w:t>
      </w:r>
      <w:r w:rsidRPr="00253DCF">
        <w:rPr>
          <w:rFonts w:ascii="Times New Roman" w:eastAsia="Times New Roman" w:hAnsi="Times New Roman" w:cs="Times New Roman"/>
          <w:b/>
          <w:bCs/>
          <w:snapToGrid w:val="0"/>
          <w:szCs w:val="26"/>
          <w:lang w:eastAsia="x-none"/>
        </w:rPr>
        <w:tab/>
        <w:t>Kaip vartoti MANTOMED</w:t>
      </w:r>
    </w:p>
    <w:p w14:paraId="6D96EBD7"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51E28F24"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Ši gydymo pradžiai skirta MANTOMED pakuotė naudojama tik pradedant gydymą MANTOMED.</w:t>
      </w:r>
    </w:p>
    <w:p w14:paraId="7B9A319D"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Visada vartokite šį vaistą tiksliai kaip nurodė gydytojas. Jeigu abejojate, kreipkitės į gydytoją arba vaistininką.</w:t>
      </w:r>
    </w:p>
    <w:p w14:paraId="656E568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54FB95F9"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Dozavimas</w:t>
      </w:r>
    </w:p>
    <w:p w14:paraId="52B54C1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Rekomenduojama gydomoji paros dozė yra 20 mg. Iš pradžių vartojama mažesnė dozė, pirmosiomis 3 gydymo savaitėmis ji laipsniškai didinama. Gydymo schema nurodoma ir ant gydymo pradžiai skirtos pakuotės. Vartojama po vieną tabletę per parą.</w:t>
      </w:r>
    </w:p>
    <w:p w14:paraId="103612DD"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p>
    <w:p w14:paraId="057E5459"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 savaitė (1–7 diena):</w:t>
      </w:r>
    </w:p>
    <w:p w14:paraId="5A768650"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5 mg tabletę.</w:t>
      </w:r>
    </w:p>
    <w:p w14:paraId="100B9CC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p>
    <w:p w14:paraId="288B5A56"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 savaitė (8–14 diena):</w:t>
      </w:r>
    </w:p>
    <w:p w14:paraId="0515645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10 mg tabletę.</w:t>
      </w:r>
    </w:p>
    <w:p w14:paraId="20B83CCC"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p>
    <w:p w14:paraId="57011EF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3 savaitė (15–21 diena):</w:t>
      </w:r>
    </w:p>
    <w:p w14:paraId="610F0203"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15 mg tabletę.</w:t>
      </w:r>
    </w:p>
    <w:p w14:paraId="17CD2414"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p>
    <w:p w14:paraId="33EDD7D3"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4 savaitė (22-28 diena):</w:t>
      </w:r>
    </w:p>
    <w:p w14:paraId="467D9B35" w14:textId="77777777" w:rsidR="00CF1BFF" w:rsidRPr="00253DCF" w:rsidRDefault="00CF1BFF" w:rsidP="00CF1BFF">
      <w:pPr>
        <w:autoSpaceDE w:val="0"/>
        <w:autoSpaceDN w:val="0"/>
        <w:adjustRightInd w:val="0"/>
        <w:spacing w:after="0" w:line="240" w:lineRule="auto"/>
        <w:jc w:val="both"/>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20 mg tabletę.</w:t>
      </w:r>
    </w:p>
    <w:p w14:paraId="5BB82D20" w14:textId="77777777" w:rsidR="00CF1BFF" w:rsidRPr="00253DCF" w:rsidRDefault="00CF1BFF" w:rsidP="00CF1BFF">
      <w:pPr>
        <w:autoSpaceDE w:val="0"/>
        <w:autoSpaceDN w:val="0"/>
        <w:adjustRightInd w:val="0"/>
        <w:spacing w:after="0" w:line="240" w:lineRule="auto"/>
        <w:jc w:val="both"/>
        <w:rPr>
          <w:rFonts w:ascii="Times New Roman" w:eastAsia="Times New Roman" w:hAnsi="Times New Roman" w:cs="Times New Roman"/>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tblGrid>
      <w:tr w:rsidR="00CF1BFF" w:rsidRPr="00253DCF" w14:paraId="23BC1F76" w14:textId="77777777" w:rsidTr="00B97802">
        <w:tc>
          <w:tcPr>
            <w:tcW w:w="2808" w:type="dxa"/>
          </w:tcPr>
          <w:p w14:paraId="43A7FB8B"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 savaitė</w:t>
            </w:r>
          </w:p>
          <w:p w14:paraId="1E69D1F3"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14:paraId="5CA81192"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5 mg tabletė</w:t>
            </w:r>
          </w:p>
          <w:p w14:paraId="36B6F404"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r>
      <w:tr w:rsidR="00CF1BFF" w:rsidRPr="00253DCF" w14:paraId="4A8F8E89" w14:textId="77777777" w:rsidTr="00B97802">
        <w:tc>
          <w:tcPr>
            <w:tcW w:w="2808" w:type="dxa"/>
          </w:tcPr>
          <w:p w14:paraId="030FBBD3"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 savaitė</w:t>
            </w:r>
          </w:p>
          <w:p w14:paraId="0DA54BD9"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14:paraId="195B6E2C"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10 mg tabletė</w:t>
            </w:r>
          </w:p>
          <w:p w14:paraId="639E4A26"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r>
      <w:tr w:rsidR="00CF1BFF" w:rsidRPr="00253DCF" w14:paraId="4D5445DB" w14:textId="77777777" w:rsidTr="00B97802">
        <w:tc>
          <w:tcPr>
            <w:tcW w:w="2808" w:type="dxa"/>
          </w:tcPr>
          <w:p w14:paraId="005C0BD8"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3 savaitė</w:t>
            </w:r>
          </w:p>
          <w:p w14:paraId="663F0A6C"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14:paraId="1B7FD0D7"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15 mg tabletė</w:t>
            </w:r>
          </w:p>
          <w:p w14:paraId="117B96C9"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r>
      <w:tr w:rsidR="00CF1BFF" w:rsidRPr="00253DCF" w14:paraId="2C20A1DE" w14:textId="77777777" w:rsidTr="00B97802">
        <w:tc>
          <w:tcPr>
            <w:tcW w:w="2808" w:type="dxa"/>
          </w:tcPr>
          <w:p w14:paraId="3508BC2C"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Nuo 4 savaitės</w:t>
            </w:r>
          </w:p>
          <w:p w14:paraId="2B27C71E"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14:paraId="300E894A"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20 mg tabletė kartą per parą</w:t>
            </w:r>
          </w:p>
          <w:p w14:paraId="38B5A8FC" w14:textId="77777777" w:rsidR="00CF1BFF" w:rsidRPr="00253DCF" w:rsidRDefault="00CF1BFF" w:rsidP="00B97802">
            <w:pPr>
              <w:autoSpaceDE w:val="0"/>
              <w:autoSpaceDN w:val="0"/>
              <w:adjustRightInd w:val="0"/>
              <w:spacing w:after="0" w:line="240" w:lineRule="auto"/>
              <w:jc w:val="center"/>
              <w:rPr>
                <w:rFonts w:ascii="Times New Roman" w:eastAsia="Times New Roman" w:hAnsi="Times New Roman" w:cs="Times New Roman"/>
                <w:lang w:eastAsia="ro-RO"/>
              </w:rPr>
            </w:pPr>
          </w:p>
        </w:tc>
      </w:tr>
    </w:tbl>
    <w:p w14:paraId="7AEE7EB6"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p>
    <w:p w14:paraId="2A800DB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Palaikomoji dozė</w:t>
      </w:r>
    </w:p>
    <w:p w14:paraId="0D9C1528"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Rekomenduojama palaikomoji paros dozė yra 20 mg.</w:t>
      </w:r>
    </w:p>
    <w:p w14:paraId="37E45EEC"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Kaip toliau vartoti vaistą, pasitarkite su gydytoju.</w:t>
      </w:r>
    </w:p>
    <w:p w14:paraId="4F1A50D6"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3F9BF80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Pacientams, kurių inkstų funkcija sutrikusi</w:t>
      </w:r>
    </w:p>
    <w:p w14:paraId="5D883AE1"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Jeigu sutrikusi inkstų funkcija, dozę nustato gydytojas. Tokiu atveju vaisto vartojimo metu gydytojo nurodytais intervalais reikia daryti inkstų funkcijos tyrimus.</w:t>
      </w:r>
    </w:p>
    <w:p w14:paraId="4E47A500"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2D91D3FB"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Vartojimo metodas</w:t>
      </w:r>
    </w:p>
    <w:p w14:paraId="4E7E1C00"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MANTOMED reikia gerti kartą per parą. Kad poveikis būtų geresnis, vaistą reikia vartoti reguliariai ir kasdien tuo pačiu paros metu. Tabletę reikia nuryti užsigeriant vandeniu.</w:t>
      </w:r>
    </w:p>
    <w:p w14:paraId="57050158"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Vaisto galima gerti valgio metu arba nevalgius.</w:t>
      </w:r>
    </w:p>
    <w:p w14:paraId="76116289"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13FE0C3F"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Gydymo trukmė</w:t>
      </w:r>
    </w:p>
    <w:p w14:paraId="142884B6"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MANTOMED galima vartoti tol, kol išlieka teigiamas jo poveikis. Gydymo metu vaisto veiksmingumą reguliariai vertins gydytojas.</w:t>
      </w:r>
    </w:p>
    <w:p w14:paraId="7177F9F4"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22BCFC8E"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 xml:space="preserve">Ką daryti pavartojus per didelę MANTOMED dozę? </w:t>
      </w:r>
    </w:p>
    <w:p w14:paraId="47319140" w14:textId="77777777" w:rsidR="00CF1BFF" w:rsidRPr="00253DCF" w:rsidRDefault="00CF1BFF" w:rsidP="00CF1BFF">
      <w:pPr>
        <w:tabs>
          <w:tab w:val="left" w:pos="567"/>
        </w:tabs>
        <w:spacing w:after="0" w:line="240" w:lineRule="auto"/>
        <w:ind w:right="-2"/>
        <w:rPr>
          <w:rFonts w:ascii="Times New Roman" w:eastAsia="SimSun" w:hAnsi="Times New Roman" w:cs="Times New Roman"/>
          <w:szCs w:val="24"/>
          <w:lang w:eastAsia="zh-CN"/>
        </w:rPr>
      </w:pPr>
      <w:r w:rsidRPr="00253DCF">
        <w:rPr>
          <w:rFonts w:ascii="Times New Roman" w:eastAsia="SimSun" w:hAnsi="Times New Roman" w:cs="Times New Roman"/>
          <w:szCs w:val="24"/>
          <w:lang w:eastAsia="zh-CN"/>
        </w:rPr>
        <w:t>Didesnė MANTOMED dozė žalingo poveikio sukelti neturėtų. Gali pasireikšti stipresnis šalutinis poveikis (žr. 4 skyrių „Galimas šalutinis poveikis“).</w:t>
      </w:r>
    </w:p>
    <w:p w14:paraId="539E30E5" w14:textId="77777777" w:rsidR="00CF1BFF" w:rsidRPr="00253DCF" w:rsidRDefault="00CF1BFF" w:rsidP="00CF1BFF">
      <w:pPr>
        <w:tabs>
          <w:tab w:val="left" w:pos="567"/>
        </w:tabs>
        <w:spacing w:after="0" w:line="240" w:lineRule="auto"/>
        <w:ind w:right="-2"/>
        <w:rPr>
          <w:rFonts w:ascii="Times New Roman" w:eastAsia="SimSun" w:hAnsi="Times New Roman" w:cs="Times New Roman"/>
          <w:szCs w:val="24"/>
          <w:lang w:eastAsia="zh-CN"/>
        </w:rPr>
      </w:pPr>
      <w:r w:rsidRPr="00253DCF">
        <w:rPr>
          <w:rFonts w:ascii="Times New Roman" w:eastAsia="SimSun" w:hAnsi="Times New Roman" w:cs="Times New Roman"/>
          <w:szCs w:val="20"/>
          <w:lang w:eastAsia="zh-CN"/>
        </w:rPr>
        <w:t xml:space="preserve">MANTOMED </w:t>
      </w:r>
      <w:r w:rsidRPr="00253DCF">
        <w:rPr>
          <w:rFonts w:ascii="Times New Roman" w:eastAsia="SimSun" w:hAnsi="Times New Roman" w:cs="Times New Roman"/>
          <w:szCs w:val="24"/>
          <w:lang w:eastAsia="zh-CN"/>
        </w:rPr>
        <w:t>perdozavus, reikia kreiptis į gydytoją, kadangi gali būti reikalinga jo pagalba.</w:t>
      </w:r>
    </w:p>
    <w:p w14:paraId="76C6A990"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p>
    <w:p w14:paraId="3E63FA7D"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Pamiršus pavartoti MANTOMED</w:t>
      </w:r>
    </w:p>
    <w:p w14:paraId="1C8D6CF2" w14:textId="77777777" w:rsidR="00CF1BFF" w:rsidRPr="00253DCF" w:rsidRDefault="00CF1BFF" w:rsidP="00CF1BFF">
      <w:pPr>
        <w:tabs>
          <w:tab w:val="left" w:pos="567"/>
        </w:tabs>
        <w:autoSpaceDE w:val="0"/>
        <w:autoSpaceDN w:val="0"/>
        <w:adjustRightInd w:val="0"/>
        <w:spacing w:after="0" w:line="240" w:lineRule="auto"/>
        <w:contextualSpacing/>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Įprastiniu laiku neišgertą dozę reikia gerti tada, kai ateina kitos dozės vartojimo laikas.</w:t>
      </w:r>
    </w:p>
    <w:p w14:paraId="78994A17" w14:textId="77777777" w:rsidR="00CF1BFF" w:rsidRPr="00253DCF" w:rsidRDefault="00CF1BFF" w:rsidP="00CF1BFF">
      <w:pPr>
        <w:tabs>
          <w:tab w:val="left" w:pos="567"/>
        </w:tabs>
        <w:autoSpaceDE w:val="0"/>
        <w:autoSpaceDN w:val="0"/>
        <w:adjustRightInd w:val="0"/>
        <w:spacing w:after="0" w:line="240" w:lineRule="auto"/>
        <w:contextualSpacing/>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Negalima vartoti dvigubos dozės norint kompensuoti praleistą dozę.</w:t>
      </w:r>
    </w:p>
    <w:p w14:paraId="2BBC4DD1" w14:textId="77777777" w:rsidR="00CF1BFF" w:rsidRPr="00253DCF" w:rsidRDefault="00CF1BFF" w:rsidP="00CF1BFF">
      <w:pPr>
        <w:numPr>
          <w:ilvl w:val="12"/>
          <w:numId w:val="0"/>
        </w:numPr>
        <w:spacing w:after="0" w:line="240" w:lineRule="auto"/>
        <w:ind w:right="-29"/>
        <w:rPr>
          <w:rFonts w:ascii="Times New Roman" w:eastAsia="Times New Roman" w:hAnsi="Times New Roman" w:cs="Times New Roman"/>
          <w:snapToGrid w:val="0"/>
          <w:szCs w:val="24"/>
        </w:rPr>
      </w:pPr>
      <w:r w:rsidRPr="00253DCF">
        <w:rPr>
          <w:rFonts w:ascii="Times New Roman" w:eastAsia="Times New Roman" w:hAnsi="Times New Roman" w:cs="Times New Roman"/>
          <w:lang w:eastAsia="ro-RO"/>
        </w:rPr>
        <w:t>Jeigu kiltų daugiau klausimų dėl šio vaisto vartojimo, kreipkitės į gydytoją arba vaistininką.</w:t>
      </w:r>
    </w:p>
    <w:p w14:paraId="72020F55" w14:textId="77777777" w:rsidR="00CF1BFF" w:rsidRPr="00253DCF" w:rsidRDefault="00CF1BFF" w:rsidP="00CF1BFF">
      <w:pPr>
        <w:numPr>
          <w:ilvl w:val="12"/>
          <w:numId w:val="0"/>
        </w:numPr>
        <w:spacing w:after="0" w:line="240" w:lineRule="auto"/>
        <w:rPr>
          <w:rFonts w:ascii="Times New Roman" w:eastAsia="Times New Roman" w:hAnsi="Times New Roman" w:cs="Times New Roman"/>
          <w:snapToGrid w:val="0"/>
          <w:szCs w:val="24"/>
        </w:rPr>
      </w:pPr>
    </w:p>
    <w:p w14:paraId="541329DC" w14:textId="77777777" w:rsidR="00CF1BFF" w:rsidRPr="00253DCF" w:rsidRDefault="00CF1BFF" w:rsidP="00CF1BFF">
      <w:pPr>
        <w:numPr>
          <w:ilvl w:val="12"/>
          <w:numId w:val="0"/>
        </w:numPr>
        <w:spacing w:after="0" w:line="240" w:lineRule="auto"/>
        <w:rPr>
          <w:rFonts w:ascii="Times New Roman" w:eastAsia="Times New Roman" w:hAnsi="Times New Roman" w:cs="Times New Roman"/>
          <w:snapToGrid w:val="0"/>
          <w:szCs w:val="24"/>
        </w:rPr>
      </w:pPr>
    </w:p>
    <w:p w14:paraId="7E39D208"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4.</w:t>
      </w:r>
      <w:r w:rsidRPr="00253DCF">
        <w:rPr>
          <w:rFonts w:ascii="Times New Roman" w:eastAsia="Times New Roman" w:hAnsi="Times New Roman" w:cs="Times New Roman"/>
          <w:b/>
          <w:bCs/>
          <w:snapToGrid w:val="0"/>
          <w:szCs w:val="26"/>
          <w:lang w:eastAsia="x-none"/>
        </w:rPr>
        <w:tab/>
        <w:t>Galimas šalutinis poveikis</w:t>
      </w:r>
    </w:p>
    <w:p w14:paraId="0B3B7971" w14:textId="77777777" w:rsidR="00CF1BFF" w:rsidRPr="00253DCF" w:rsidRDefault="00CF1BFF" w:rsidP="00CF1BFF">
      <w:pPr>
        <w:numPr>
          <w:ilvl w:val="12"/>
          <w:numId w:val="0"/>
        </w:numPr>
        <w:spacing w:after="0" w:line="240" w:lineRule="auto"/>
        <w:rPr>
          <w:rFonts w:ascii="Times New Roman" w:eastAsia="Times New Roman" w:hAnsi="Times New Roman" w:cs="Times New Roman"/>
          <w:snapToGrid w:val="0"/>
          <w:szCs w:val="24"/>
        </w:rPr>
      </w:pPr>
    </w:p>
    <w:p w14:paraId="03AE9356"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Šis vaistas, kaip ir visi kiti, gali sukelti šalutinį poveikį, nors jis pasireiškia ne visiems žmonėms.</w:t>
      </w:r>
    </w:p>
    <w:p w14:paraId="5B56EEF5"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Paprastai šalutinis poveikis būna silpnas arba vidutinio stiprumo.</w:t>
      </w:r>
    </w:p>
    <w:p w14:paraId="311A06FE"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p>
    <w:p w14:paraId="4E8B1DE2"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Dažnas (</w:t>
      </w:r>
      <w:r>
        <w:rPr>
          <w:rFonts w:ascii="Times New Roman" w:eastAsia="Times New Roman" w:hAnsi="Times New Roman" w:cs="Times New Roman"/>
          <w:i/>
          <w:snapToGrid w:val="0"/>
          <w:szCs w:val="24"/>
        </w:rPr>
        <w:t xml:space="preserve">gali </w:t>
      </w:r>
      <w:r w:rsidRPr="00D66DF5">
        <w:rPr>
          <w:rFonts w:ascii="Times New Roman" w:eastAsia="Times New Roman" w:hAnsi="Times New Roman" w:cs="Times New Roman"/>
          <w:i/>
          <w:snapToGrid w:val="0"/>
          <w:szCs w:val="24"/>
        </w:rPr>
        <w:t>pasirei</w:t>
      </w:r>
      <w:r>
        <w:rPr>
          <w:rFonts w:ascii="Times New Roman" w:eastAsia="Times New Roman" w:hAnsi="Times New Roman" w:cs="Times New Roman"/>
          <w:i/>
          <w:snapToGrid w:val="0"/>
          <w:szCs w:val="24"/>
        </w:rPr>
        <w:t>kšti</w:t>
      </w:r>
      <w:r w:rsidRPr="00253DCF">
        <w:rPr>
          <w:rFonts w:ascii="Times New Roman" w:eastAsia="Times New Roman" w:hAnsi="Times New Roman" w:cs="Times New Roman"/>
          <w:i/>
          <w:snapToGrid w:val="0"/>
          <w:szCs w:val="24"/>
        </w:rPr>
        <w:t xml:space="preserve"> </w:t>
      </w:r>
      <w:r w:rsidRPr="00253DCF">
        <w:rPr>
          <w:rFonts w:ascii="Times New Roman" w:eastAsia="Times New Roman" w:hAnsi="Times New Roman" w:cs="Times New Roman"/>
          <w:i/>
          <w:iCs/>
          <w:snapToGrid w:val="0"/>
          <w:lang w:eastAsia="lt-LT"/>
        </w:rPr>
        <w:t xml:space="preserve">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 pacientų</w:t>
      </w:r>
      <w:r w:rsidRPr="00253DCF">
        <w:rPr>
          <w:rFonts w:ascii="Times New Roman" w:eastAsia="Times New Roman" w:hAnsi="Times New Roman" w:cs="Times New Roman"/>
          <w:i/>
          <w:snapToGrid w:val="0"/>
          <w:szCs w:val="24"/>
        </w:rPr>
        <w:t>):</w:t>
      </w:r>
    </w:p>
    <w:p w14:paraId="4A063840" w14:textId="77777777" w:rsidR="00CF1BFF" w:rsidRPr="00F8050D" w:rsidRDefault="00CF1BFF" w:rsidP="00CF1BFF">
      <w:pPr>
        <w:pStyle w:val="Sraopastraipa"/>
        <w:keepNext/>
        <w:numPr>
          <w:ilvl w:val="0"/>
          <w:numId w:val="16"/>
        </w:numPr>
        <w:ind w:left="567" w:hanging="567"/>
        <w:outlineLvl w:val="3"/>
        <w:rPr>
          <w:lang w:val="lt-LT"/>
        </w:rPr>
      </w:pPr>
      <w:r w:rsidRPr="00556077">
        <w:rPr>
          <w:lang w:val="lt-LT"/>
        </w:rPr>
        <w:t>Galvos skausmas, mieguistumas, vidurių užkietėjimas, padidėję kepenų funkcijos tyrimų rodmenys, svaigulys, pusiausvyros sutrikimas, dusulys, didelis kraujospūdis ir padidėjęs jautrumas vaistui.</w:t>
      </w:r>
    </w:p>
    <w:p w14:paraId="6BA8BE39"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p>
    <w:p w14:paraId="43967BC8"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i/>
          <w:iCs/>
          <w:snapToGrid w:val="0"/>
          <w:lang w:eastAsia="lt-LT"/>
        </w:rPr>
      </w:pPr>
      <w:r w:rsidRPr="00253DCF">
        <w:rPr>
          <w:rFonts w:ascii="Times New Roman" w:eastAsia="Times New Roman" w:hAnsi="Times New Roman" w:cs="Times New Roman"/>
          <w:i/>
          <w:iCs/>
          <w:snapToGrid w:val="0"/>
          <w:lang w:eastAsia="lt-LT"/>
        </w:rPr>
        <w:t>Nedažnas (</w:t>
      </w:r>
      <w:r>
        <w:rPr>
          <w:rFonts w:ascii="Times New Roman" w:eastAsia="Times New Roman" w:hAnsi="Times New Roman" w:cs="Times New Roman"/>
          <w:i/>
          <w:iCs/>
          <w:snapToGrid w:val="0"/>
          <w:lang w:eastAsia="lt-LT"/>
        </w:rPr>
        <w:t xml:space="preserve">gali </w:t>
      </w:r>
      <w:r w:rsidRPr="00D66DF5">
        <w:rPr>
          <w:rFonts w:ascii="Times New Roman" w:eastAsia="Times New Roman" w:hAnsi="Times New Roman" w:cs="Times New Roman"/>
          <w:i/>
          <w:iCs/>
          <w:snapToGrid w:val="0"/>
          <w:lang w:eastAsia="lt-LT"/>
        </w:rPr>
        <w:t>pasirei</w:t>
      </w:r>
      <w:r>
        <w:rPr>
          <w:rFonts w:ascii="Times New Roman" w:eastAsia="Times New Roman" w:hAnsi="Times New Roman" w:cs="Times New Roman"/>
          <w:i/>
          <w:iCs/>
          <w:snapToGrid w:val="0"/>
          <w:lang w:eastAsia="lt-LT"/>
        </w:rPr>
        <w:t>kšti</w:t>
      </w:r>
      <w:r w:rsidRPr="00253DCF">
        <w:rPr>
          <w:rFonts w:ascii="Times New Roman" w:eastAsia="Times New Roman" w:hAnsi="Times New Roman" w:cs="Times New Roman"/>
          <w:i/>
          <w:iCs/>
          <w:snapToGrid w:val="0"/>
          <w:lang w:eastAsia="lt-LT"/>
        </w:rPr>
        <w:t xml:space="preserve"> 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100 pacientų):</w:t>
      </w:r>
    </w:p>
    <w:p w14:paraId="7F1770DC" w14:textId="77777777" w:rsidR="00CF1BFF" w:rsidRPr="00F8050D" w:rsidRDefault="00CF1BFF" w:rsidP="00CF1BFF">
      <w:pPr>
        <w:pStyle w:val="Sraopastraipa"/>
        <w:keepNext/>
        <w:numPr>
          <w:ilvl w:val="0"/>
          <w:numId w:val="16"/>
        </w:numPr>
        <w:ind w:left="567" w:hanging="567"/>
        <w:outlineLvl w:val="3"/>
        <w:rPr>
          <w:lang w:val="lt-LT"/>
        </w:rPr>
      </w:pPr>
      <w:r w:rsidRPr="00556077">
        <w:rPr>
          <w:lang w:val="lt-LT"/>
        </w:rPr>
        <w:t>Nuovargis, grybelinė infekcija, sumišimas, haliucinacijos, vėmimas, eisenos sutrikimas, širdies nepakankamumas ir kraujo krešulių venose atsiradimas (trombozė/ tromboembolija).</w:t>
      </w:r>
    </w:p>
    <w:p w14:paraId="4151938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0"/>
        </w:rPr>
      </w:pPr>
    </w:p>
    <w:p w14:paraId="719528DC"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i/>
          <w:iCs/>
          <w:snapToGrid w:val="0"/>
          <w:lang w:eastAsia="lt-LT"/>
        </w:rPr>
      </w:pPr>
      <w:r w:rsidRPr="00253DCF">
        <w:rPr>
          <w:rFonts w:ascii="Times New Roman" w:eastAsia="Times New Roman" w:hAnsi="Times New Roman" w:cs="Times New Roman"/>
          <w:i/>
          <w:iCs/>
          <w:snapToGrid w:val="0"/>
          <w:lang w:eastAsia="lt-LT"/>
        </w:rPr>
        <w:t>Labai retas (</w:t>
      </w:r>
      <w:r>
        <w:rPr>
          <w:rFonts w:ascii="Times New Roman" w:eastAsia="Times New Roman" w:hAnsi="Times New Roman" w:cs="Times New Roman"/>
          <w:i/>
          <w:iCs/>
          <w:snapToGrid w:val="0"/>
          <w:lang w:eastAsia="lt-LT"/>
        </w:rPr>
        <w:t xml:space="preserve">gali </w:t>
      </w:r>
      <w:r w:rsidRPr="00D66DF5">
        <w:rPr>
          <w:rFonts w:ascii="Times New Roman" w:eastAsia="Times New Roman" w:hAnsi="Times New Roman" w:cs="Times New Roman"/>
          <w:i/>
          <w:iCs/>
          <w:snapToGrid w:val="0"/>
          <w:lang w:eastAsia="lt-LT"/>
        </w:rPr>
        <w:t>pasirei</w:t>
      </w:r>
      <w:r>
        <w:rPr>
          <w:rFonts w:ascii="Times New Roman" w:eastAsia="Times New Roman" w:hAnsi="Times New Roman" w:cs="Times New Roman"/>
          <w:i/>
          <w:iCs/>
          <w:snapToGrid w:val="0"/>
          <w:lang w:eastAsia="lt-LT"/>
        </w:rPr>
        <w:t>kšti</w:t>
      </w:r>
      <w:r w:rsidRPr="00253DCF">
        <w:rPr>
          <w:rFonts w:ascii="Times New Roman" w:eastAsia="Times New Roman" w:hAnsi="Times New Roman" w:cs="Times New Roman"/>
          <w:i/>
          <w:iCs/>
          <w:snapToGrid w:val="0"/>
          <w:lang w:eastAsia="lt-LT"/>
        </w:rPr>
        <w:t xml:space="preserve"> 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10 000 pacientų):</w:t>
      </w:r>
    </w:p>
    <w:p w14:paraId="024D6E12" w14:textId="77777777" w:rsidR="00CF1BFF" w:rsidRPr="00556077" w:rsidRDefault="00CF1BFF" w:rsidP="00CF1BFF">
      <w:pPr>
        <w:pStyle w:val="Sraopastraipa"/>
        <w:keepNext/>
        <w:numPr>
          <w:ilvl w:val="0"/>
          <w:numId w:val="16"/>
        </w:numPr>
        <w:ind w:left="567" w:hanging="567"/>
        <w:outlineLvl w:val="3"/>
      </w:pPr>
      <w:r w:rsidRPr="00556077">
        <w:rPr>
          <w:lang w:val="lt-LT"/>
        </w:rPr>
        <w:t>Traukuliai.</w:t>
      </w:r>
    </w:p>
    <w:p w14:paraId="6F845C9D"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p>
    <w:p w14:paraId="43E1D618" w14:textId="77777777" w:rsidR="00CF1BFF" w:rsidRPr="00253DCF" w:rsidRDefault="00CF1BFF" w:rsidP="00CF1BFF">
      <w:pPr>
        <w:autoSpaceDE w:val="0"/>
        <w:autoSpaceDN w:val="0"/>
        <w:adjustRightInd w:val="0"/>
        <w:spacing w:after="0" w:line="240" w:lineRule="auto"/>
        <w:rPr>
          <w:rFonts w:ascii="Times New Roman" w:eastAsia="Times New Roman" w:hAnsi="Times New Roman" w:cs="Times New Roman"/>
          <w:i/>
          <w:iCs/>
          <w:snapToGrid w:val="0"/>
          <w:lang w:eastAsia="lt-LT"/>
        </w:rPr>
      </w:pPr>
      <w:r>
        <w:rPr>
          <w:rFonts w:ascii="Times New Roman" w:eastAsia="Times New Roman" w:hAnsi="Times New Roman" w:cs="Times New Roman"/>
          <w:i/>
          <w:iCs/>
          <w:snapToGrid w:val="0"/>
          <w:lang w:eastAsia="lt-LT"/>
        </w:rPr>
        <w:t>Dažnis n</w:t>
      </w:r>
      <w:r w:rsidRPr="00D66DF5">
        <w:rPr>
          <w:rFonts w:ascii="Times New Roman" w:eastAsia="Times New Roman" w:hAnsi="Times New Roman" w:cs="Times New Roman"/>
          <w:i/>
          <w:iCs/>
          <w:snapToGrid w:val="0"/>
          <w:lang w:eastAsia="lt-LT"/>
        </w:rPr>
        <w:t>ežinomas (</w:t>
      </w:r>
      <w:r w:rsidRPr="00253DCF">
        <w:rPr>
          <w:rFonts w:ascii="Times New Roman" w:eastAsia="Times New Roman" w:hAnsi="Times New Roman" w:cs="Times New Roman"/>
          <w:i/>
          <w:iCs/>
          <w:snapToGrid w:val="0"/>
          <w:lang w:eastAsia="lt-LT"/>
        </w:rPr>
        <w:t>negali būti apskaičiuotas pagal turimus duomenis):</w:t>
      </w:r>
    </w:p>
    <w:p w14:paraId="49DF2638" w14:textId="77777777" w:rsidR="00CF1BFF" w:rsidRPr="00F8050D" w:rsidRDefault="00CF1BFF" w:rsidP="00CF1BFF">
      <w:pPr>
        <w:pStyle w:val="Sraopastraipa"/>
        <w:keepNext/>
        <w:numPr>
          <w:ilvl w:val="0"/>
          <w:numId w:val="16"/>
        </w:numPr>
        <w:ind w:left="567" w:hanging="567"/>
        <w:outlineLvl w:val="3"/>
        <w:rPr>
          <w:lang w:val="lt-LT"/>
        </w:rPr>
      </w:pPr>
      <w:r w:rsidRPr="00556077">
        <w:rPr>
          <w:lang w:val="lt-LT"/>
        </w:rPr>
        <w:t>Kasos uždegimas, kepenų uždegimas (hepatitas), psichozinės reakcijos.</w:t>
      </w:r>
    </w:p>
    <w:p w14:paraId="10CA0179"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snapToGrid w:val="0"/>
          <w:szCs w:val="24"/>
        </w:rPr>
      </w:pPr>
    </w:p>
    <w:p w14:paraId="30A72B3E" w14:textId="77777777" w:rsidR="00CF1BFF" w:rsidRPr="00253DCF" w:rsidRDefault="00CF1BFF" w:rsidP="00CF1BFF">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snapToGrid w:val="0"/>
          <w:szCs w:val="24"/>
        </w:rPr>
        <w:t>Alzheimerio ligos metu gali pasireikšti depresija, atsirasti minčių apie savižudybę ar būti įvykdyta savižudybė. Tokių reiškinių buvo ir MANTOMED gydytiems pacientams.</w:t>
      </w:r>
    </w:p>
    <w:p w14:paraId="1832AA6A" w14:textId="77777777" w:rsidR="00CF1BFF" w:rsidRPr="00253DCF" w:rsidRDefault="00CF1BFF" w:rsidP="00CF1BFF">
      <w:pPr>
        <w:tabs>
          <w:tab w:val="left" w:pos="567"/>
        </w:tabs>
        <w:spacing w:after="0" w:line="240" w:lineRule="auto"/>
        <w:rPr>
          <w:rFonts w:ascii="Times New Roman" w:eastAsia="Times New Roman" w:hAnsi="Times New Roman" w:cs="Times New Roman"/>
          <w:b/>
          <w:snapToGrid w:val="0"/>
          <w:szCs w:val="24"/>
        </w:rPr>
      </w:pPr>
    </w:p>
    <w:p w14:paraId="6AC06385" w14:textId="77777777" w:rsidR="00CF1BFF" w:rsidRPr="00253DCF" w:rsidRDefault="00CF1BFF" w:rsidP="00CF1BFF">
      <w:pPr>
        <w:tabs>
          <w:tab w:val="left" w:pos="567"/>
        </w:tabs>
        <w:spacing w:after="0" w:line="240" w:lineRule="auto"/>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Pranešimas apie šalutinį poveikį</w:t>
      </w:r>
    </w:p>
    <w:p w14:paraId="71B6DC4D" w14:textId="77777777" w:rsidR="00CF1BFF" w:rsidRPr="00253DCF" w:rsidRDefault="00CF1BFF" w:rsidP="00CF1BFF">
      <w:pPr>
        <w:tabs>
          <w:tab w:val="left" w:pos="567"/>
        </w:tabs>
        <w:spacing w:after="0" w:line="260" w:lineRule="exact"/>
        <w:rPr>
          <w:rFonts w:ascii="Times New Roman" w:hAnsi="Times New Roman"/>
        </w:rPr>
      </w:pPr>
      <w:r w:rsidRPr="00253DCF">
        <w:rPr>
          <w:rFonts w:ascii="Times New Roman" w:eastAsia="Times New Roman" w:hAnsi="Times New Roman" w:cs="Times New Roman"/>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253DCF">
          <w:rPr>
            <w:rFonts w:ascii="Times New Roman" w:hAnsi="Times New Roman"/>
            <w:color w:val="0000FF"/>
            <w:u w:val="single"/>
          </w:rPr>
          <w:t>www.vvkt.lt</w:t>
        </w:r>
      </w:hyperlink>
      <w:r w:rsidRPr="00253DCF">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253DCF">
          <w:rPr>
            <w:rFonts w:ascii="Times New Roman" w:hAnsi="Times New Roman"/>
            <w:color w:val="0000FF"/>
            <w:u w:val="single"/>
          </w:rPr>
          <w:t>NepageidaujamaR@vvkt.lt</w:t>
        </w:r>
      </w:hyperlink>
      <w:r w:rsidRPr="00253DCF">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3" w:history="1">
        <w:r w:rsidRPr="00253DCF">
          <w:rPr>
            <w:rFonts w:ascii="Times New Roman" w:hAnsi="Times New Roman"/>
            <w:color w:val="0000FF"/>
            <w:u w:val="single"/>
          </w:rPr>
          <w:t>http://www.vvkt.lt</w:t>
        </w:r>
      </w:hyperlink>
      <w:r w:rsidRPr="00253DCF">
        <w:rPr>
          <w:rFonts w:ascii="Times New Roman" w:eastAsia="Times New Roman" w:hAnsi="Times New Roman" w:cs="Times New Roman"/>
          <w:noProof/>
          <w:snapToGrid w:val="0"/>
        </w:rPr>
        <w:t xml:space="preserve">). </w:t>
      </w:r>
      <w:r w:rsidRPr="00253DCF">
        <w:rPr>
          <w:rFonts w:ascii="Times New Roman" w:hAnsi="Times New Roman"/>
        </w:rPr>
        <w:t>Pranešdami apie šalutinį poveikį galite mums padėti gauti daugiau informacijos apie šio vaisto saugumą.</w:t>
      </w:r>
    </w:p>
    <w:p w14:paraId="0F2E60E6" w14:textId="77777777" w:rsidR="00CF1BFF" w:rsidRPr="00253DCF" w:rsidRDefault="00CF1BFF" w:rsidP="00CF1BFF">
      <w:pPr>
        <w:tabs>
          <w:tab w:val="left" w:pos="567"/>
        </w:tabs>
        <w:spacing w:after="0" w:line="260" w:lineRule="exact"/>
        <w:ind w:right="-449"/>
        <w:rPr>
          <w:rFonts w:ascii="Times New Roman" w:eastAsia="Times New Roman" w:hAnsi="Times New Roman" w:cs="Times New Roman"/>
          <w:snapToGrid w:val="0"/>
          <w:szCs w:val="24"/>
        </w:rPr>
      </w:pPr>
    </w:p>
    <w:p w14:paraId="014812D4" w14:textId="77777777" w:rsidR="00CF1BFF" w:rsidRPr="00253DCF" w:rsidRDefault="00CF1BFF" w:rsidP="00CF1BFF">
      <w:pPr>
        <w:tabs>
          <w:tab w:val="left" w:pos="567"/>
        </w:tabs>
        <w:spacing w:after="0" w:line="260" w:lineRule="exact"/>
        <w:ind w:right="-449"/>
        <w:rPr>
          <w:rFonts w:ascii="Times New Roman" w:eastAsia="Times New Roman" w:hAnsi="Times New Roman" w:cs="Times New Roman"/>
          <w:snapToGrid w:val="0"/>
          <w:szCs w:val="24"/>
        </w:rPr>
      </w:pPr>
    </w:p>
    <w:p w14:paraId="4506F621"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5.</w:t>
      </w:r>
      <w:r w:rsidRPr="00253DCF">
        <w:rPr>
          <w:rFonts w:ascii="Times New Roman" w:eastAsia="Times New Roman" w:hAnsi="Times New Roman" w:cs="Times New Roman"/>
          <w:b/>
          <w:bCs/>
          <w:snapToGrid w:val="0"/>
          <w:szCs w:val="26"/>
          <w:lang w:eastAsia="x-none"/>
        </w:rPr>
        <w:tab/>
        <w:t>Kaip laikyti MANTOMED</w:t>
      </w:r>
    </w:p>
    <w:p w14:paraId="371D22C9"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73CC534E"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Šį vaistą laikykite vaikams nepastebimoje ir nepasiekiamoje vietoje.</w:t>
      </w:r>
    </w:p>
    <w:p w14:paraId="00A4D2D2"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4E3882F4"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Ant dėžutės po „EXP“ ir lizdinės plokštelės nurodytam tinkamumo laikui pasibaigus, šio vaisto vartoti negalima. Vaistas tinkamas vartoti iki paskutinės nurodyto mėnesio dienos.</w:t>
      </w:r>
    </w:p>
    <w:p w14:paraId="69049B1D"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70BF8FFC"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Šiam vaistui specialių laikymo sąlygų nereikia.</w:t>
      </w:r>
    </w:p>
    <w:p w14:paraId="00039855"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24F7AA01"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i/>
          <w:snapToGrid w:val="0"/>
          <w:szCs w:val="20"/>
        </w:rPr>
      </w:pPr>
      <w:r w:rsidRPr="00253DCF">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14:paraId="4C41B9E3"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108512BF"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p>
    <w:p w14:paraId="5C2CD9F0" w14:textId="77777777" w:rsidR="00CF1BFF" w:rsidRPr="00253DCF" w:rsidRDefault="00CF1BFF" w:rsidP="00CF1BF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6.</w:t>
      </w:r>
      <w:r w:rsidRPr="00253DCF">
        <w:rPr>
          <w:rFonts w:ascii="Times New Roman" w:eastAsia="Times New Roman" w:hAnsi="Times New Roman" w:cs="Times New Roman"/>
          <w:bCs/>
          <w:snapToGrid w:val="0"/>
          <w:szCs w:val="26"/>
          <w:lang w:eastAsia="x-none"/>
        </w:rPr>
        <w:tab/>
      </w:r>
      <w:r w:rsidRPr="00253DCF">
        <w:rPr>
          <w:rFonts w:ascii="Times New Roman" w:eastAsia="Times New Roman" w:hAnsi="Times New Roman" w:cs="Times New Roman"/>
          <w:b/>
          <w:bCs/>
          <w:snapToGrid w:val="0"/>
          <w:szCs w:val="26"/>
          <w:lang w:eastAsia="x-none"/>
        </w:rPr>
        <w:t>Pakuotės turinys ir kita informacija</w:t>
      </w:r>
    </w:p>
    <w:p w14:paraId="3FB1C100" w14:textId="77777777" w:rsidR="00CF1BFF" w:rsidRPr="00253DCF" w:rsidRDefault="00CF1BFF" w:rsidP="00CF1BFF">
      <w:pPr>
        <w:numPr>
          <w:ilvl w:val="12"/>
          <w:numId w:val="0"/>
        </w:numPr>
        <w:spacing w:after="0" w:line="240" w:lineRule="auto"/>
        <w:rPr>
          <w:rFonts w:ascii="Times New Roman" w:eastAsia="Times New Roman" w:hAnsi="Times New Roman" w:cs="Times New Roman"/>
          <w:snapToGrid w:val="0"/>
          <w:szCs w:val="24"/>
        </w:rPr>
      </w:pPr>
    </w:p>
    <w:p w14:paraId="2145FDA9"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MANTOMED sudėtis</w:t>
      </w:r>
    </w:p>
    <w:p w14:paraId="1520FC03"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
          <w:bCs/>
          <w:snapToGrid w:val="0"/>
          <w:szCs w:val="28"/>
          <w:lang w:eastAsia="x-none"/>
        </w:rPr>
      </w:pPr>
    </w:p>
    <w:p w14:paraId="2D70BABC" w14:textId="77777777" w:rsidR="00CF1BFF" w:rsidRPr="00F8050D" w:rsidRDefault="00CF1BFF" w:rsidP="00CF1BFF">
      <w:pPr>
        <w:pStyle w:val="Sraopastraipa"/>
        <w:numPr>
          <w:ilvl w:val="0"/>
          <w:numId w:val="18"/>
        </w:numPr>
        <w:spacing w:line="240" w:lineRule="auto"/>
        <w:ind w:left="567" w:right="-2" w:hanging="720"/>
        <w:rPr>
          <w:lang w:val="lt-LT"/>
        </w:rPr>
      </w:pPr>
      <w:r w:rsidRPr="00F8050D">
        <w:rPr>
          <w:lang w:val="lt-LT"/>
        </w:rPr>
        <w:t>Veiklioji medžiaga yra memantino hidrochloridas. Kiekvienoje tabletėje yra 5 mg, 10 mg, 15 mg arba 20 mg memantino hidrochlorido, atitinkančio 4,15 mg, 8,31 mg, 12,46 mg arba 16,62 mg memantino.</w:t>
      </w:r>
    </w:p>
    <w:p w14:paraId="58B88840"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14:paraId="3A4FE3CE" w14:textId="77777777" w:rsidR="00CF1BFF" w:rsidRPr="00F8050D" w:rsidRDefault="00CF1BFF" w:rsidP="00CF1BFF">
      <w:pPr>
        <w:pStyle w:val="Sraopastraipa"/>
        <w:numPr>
          <w:ilvl w:val="0"/>
          <w:numId w:val="18"/>
        </w:numPr>
        <w:spacing w:line="240" w:lineRule="auto"/>
        <w:ind w:left="567" w:hanging="567"/>
        <w:rPr>
          <w:lang w:val="lt-LT"/>
        </w:rPr>
      </w:pPr>
      <w:r w:rsidRPr="00556077">
        <w:rPr>
          <w:lang w:val="lt-LT"/>
        </w:rPr>
        <w:t xml:space="preserve">Pagalbinės MANTOMED 5 mg, 10 mg, 15 mg, 20 mg plėvele dengtų tablečių medžiagos yra: mikrokristalinė celiuliozė, </w:t>
      </w:r>
      <w:r w:rsidRPr="00556077">
        <w:rPr>
          <w:color w:val="000000"/>
          <w:lang w:val="lt-LT"/>
        </w:rPr>
        <w:t xml:space="preserve">kroskarmeliozės natrio druska, </w:t>
      </w:r>
      <w:r w:rsidRPr="00556077">
        <w:rPr>
          <w:lang w:val="lt-LT"/>
        </w:rPr>
        <w:t>koloidinis bevandenis silicio dioksidas, magnio stearatas.</w:t>
      </w:r>
    </w:p>
    <w:p w14:paraId="25E32689" w14:textId="77777777" w:rsidR="00CF1BFF" w:rsidRPr="00F8050D" w:rsidRDefault="00CF1BFF" w:rsidP="00CF1BFF">
      <w:pPr>
        <w:pStyle w:val="Sraopastraipa"/>
        <w:spacing w:line="240" w:lineRule="auto"/>
        <w:ind w:left="567"/>
        <w:rPr>
          <w:lang w:val="lt-LT"/>
        </w:rPr>
      </w:pPr>
      <w:r w:rsidRPr="00556077">
        <w:rPr>
          <w:lang w:val="lt-LT"/>
        </w:rPr>
        <w:t>5 mg, 10 mg ir 20 mg plėvele dengtų tablečių plėvelės sudėtis: hipromeliozė, titano dioksidas (E 171), makrogolis 400, geltonasis geležies oksidas (E 172).</w:t>
      </w:r>
    </w:p>
    <w:p w14:paraId="164A214D" w14:textId="77777777" w:rsidR="00CF1BFF" w:rsidRPr="00F8050D" w:rsidRDefault="00CF1BFF" w:rsidP="00CF1BFF">
      <w:pPr>
        <w:pStyle w:val="Sraopastraipa"/>
        <w:spacing w:line="240" w:lineRule="auto"/>
        <w:ind w:left="567"/>
        <w:rPr>
          <w:lang w:val="lt-LT"/>
        </w:rPr>
      </w:pPr>
      <w:r w:rsidRPr="00556077">
        <w:rPr>
          <w:lang w:val="lt-LT"/>
        </w:rPr>
        <w:t>15 mg plėvele dengtų tablečių plėvelės sudėtis: hipromeliozė, titano dioksidas (E 171), makrogolis 400, raudonasis geležies oksidas (E 172).</w:t>
      </w:r>
    </w:p>
    <w:p w14:paraId="34EC3E0C"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6615193D"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MANTOMED išvaizda ir kiekis pakuotėje</w:t>
      </w:r>
    </w:p>
    <w:p w14:paraId="527632E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5 mg plėvele dengtos tabletės yra geltonos, apvalios, abipus išgaubtos, dengtos plėvele, branduolio skersmuo 6 mm.</w:t>
      </w:r>
    </w:p>
    <w:p w14:paraId="1B8C4195"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6EBCAD4B"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r w:rsidRPr="00253DCF">
        <w:rPr>
          <w:rFonts w:ascii="Times New Roman" w:eastAsia="Times New Roman" w:hAnsi="Times New Roman" w:cs="Times New Roman"/>
          <w:snapToGrid w:val="0"/>
          <w:szCs w:val="24"/>
        </w:rPr>
        <w:t xml:space="preserve">MANTOMED 10 mg plėvele dengtos tabletės yra geltonos, pailgos, abipus išgaubtos, su vagele abiejose pusėse, dengtos plėvele, branduolio skersmuo 5,6 x 11,1 mm. Tabletę galima padalyti į lygias dozes. </w:t>
      </w:r>
    </w:p>
    <w:p w14:paraId="575110F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highlight w:val="yellow"/>
        </w:rPr>
      </w:pPr>
    </w:p>
    <w:p w14:paraId="5C05350A"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15 mg plėvele dengtos tabletės yra rožinės, apvalios, abipus išgaubtos, dengtos plėvele, branduolio skersmuo 9,5 mm.</w:t>
      </w:r>
    </w:p>
    <w:p w14:paraId="4ED0A1E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p>
    <w:p w14:paraId="34DF78D4"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MANTOMED 20 mg plėvele dengtos tabletės yra geltonos, apvalios, abipus išgaubtos, dengtos plėvele, branduolio skersmuo 10,3 mm.  </w:t>
      </w:r>
    </w:p>
    <w:p w14:paraId="7C2B1E0D"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14:paraId="1D2CCC0A"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bCs/>
          <w:snapToGrid w:val="0"/>
          <w:szCs w:val="28"/>
          <w:lang w:eastAsia="x-none"/>
        </w:rPr>
        <w:t xml:space="preserve">Visų stiprumų MANTOMED plėvele dengtos tabletės yra tiekiamos </w:t>
      </w:r>
      <w:r w:rsidRPr="00253DCF">
        <w:rPr>
          <w:rFonts w:ascii="Times New Roman" w:eastAsia="Times New Roman" w:hAnsi="Times New Roman" w:cs="Times New Roman"/>
          <w:snapToGrid w:val="0"/>
          <w:szCs w:val="24"/>
        </w:rPr>
        <w:t>PVC/PE/PVDC/aliuminio permatomose lizdinėse plokštelėse arba PA/aliuminio/PVC/aliuminio lizdinėse plokštelėse, supakuotose kartoninėse dėžutėse po 14, 28, 30, 50, 56, 60, 70, 100</w:t>
      </w:r>
      <w:r>
        <w:rPr>
          <w:rFonts w:ascii="Times New Roman" w:eastAsia="Times New Roman" w:hAnsi="Times New Roman" w:cs="Times New Roman"/>
          <w:snapToGrid w:val="0"/>
          <w:szCs w:val="24"/>
        </w:rPr>
        <w:t>, 112 arba</w:t>
      </w:r>
      <w:r w:rsidRPr="00253DCF">
        <w:rPr>
          <w:rFonts w:ascii="Times New Roman" w:eastAsia="Times New Roman" w:hAnsi="Times New Roman" w:cs="Times New Roman"/>
          <w:snapToGrid w:val="0"/>
          <w:szCs w:val="24"/>
        </w:rPr>
        <w:t xml:space="preserve"> 1000 tablečių.</w:t>
      </w:r>
    </w:p>
    <w:p w14:paraId="5A9C6416" w14:textId="77777777" w:rsidR="00CF1BFF" w:rsidRPr="00253DCF" w:rsidRDefault="00CF1BFF" w:rsidP="00CF1BFF">
      <w:pPr>
        <w:spacing w:after="0" w:line="240" w:lineRule="auto"/>
        <w:rPr>
          <w:rFonts w:ascii="Times New Roman" w:eastAsia="Times New Roman" w:hAnsi="Times New Roman" w:cs="Times New Roman"/>
          <w:snapToGrid w:val="0"/>
          <w:szCs w:val="24"/>
        </w:rPr>
      </w:pPr>
    </w:p>
    <w:p w14:paraId="3CB892A2"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Gali būti tiekiamos ne visų dydžių pakuotės.</w:t>
      </w:r>
    </w:p>
    <w:p w14:paraId="0FDE273F"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14:paraId="58945FEC" w14:textId="77777777" w:rsidR="00CF1BFF" w:rsidRPr="00253DCF" w:rsidRDefault="00CF1BFF" w:rsidP="00CF1BF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Registruotojas ir gamintojas</w:t>
      </w:r>
    </w:p>
    <w:p w14:paraId="4F30B7E0" w14:textId="77777777" w:rsidR="00CF1BFF" w:rsidRPr="00253DCF" w:rsidRDefault="00CF1BFF" w:rsidP="00CF1BFF">
      <w:pPr>
        <w:spacing w:after="0" w:line="240" w:lineRule="auto"/>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Registruotojas</w:t>
      </w:r>
    </w:p>
    <w:p w14:paraId="1B0AEFBC"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Medochemie Ltd</w:t>
      </w:r>
      <w:r>
        <w:rPr>
          <w:rFonts w:ascii="Times New Roman" w:eastAsia="Times New Roman" w:hAnsi="Times New Roman" w:cs="Times New Roman"/>
          <w:snapToGrid w:val="0"/>
          <w:szCs w:val="24"/>
        </w:rPr>
        <w:t>.</w:t>
      </w:r>
    </w:p>
    <w:p w14:paraId="0D9BAD3B"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1-10 Constantinoupoleos Street</w:t>
      </w:r>
    </w:p>
    <w:p w14:paraId="2851712C"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3011 Limassol</w:t>
      </w:r>
    </w:p>
    <w:p w14:paraId="576F7C6D" w14:textId="77777777" w:rsidR="00CF1BFF" w:rsidRPr="00253DCF" w:rsidRDefault="00CF1BFF" w:rsidP="00CF1BF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14:paraId="6B053A76" w14:textId="77777777" w:rsidR="00CF1BFF" w:rsidRPr="00253DCF" w:rsidRDefault="00CF1BFF" w:rsidP="00CF1BFF">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42A0AB0A"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Gamintojas</w:t>
      </w:r>
    </w:p>
    <w:p w14:paraId="28CE874F" w14:textId="79666F6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Medochemie Ltd</w:t>
      </w:r>
      <w:r w:rsidR="00CE1D34">
        <w:rPr>
          <w:rFonts w:ascii="Times New Roman" w:eastAsia="Times New Roman" w:hAnsi="Times New Roman" w:cs="Times New Roman"/>
          <w:snapToGrid w:val="0"/>
          <w:szCs w:val="24"/>
        </w:rPr>
        <w:t>.</w:t>
      </w:r>
    </w:p>
    <w:p w14:paraId="1629B206"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Central Factory</w:t>
      </w:r>
    </w:p>
    <w:p w14:paraId="589F5F3A"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1-10 Constantinoupoleos street</w:t>
      </w:r>
    </w:p>
    <w:p w14:paraId="7515261C"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3011 Limassol</w:t>
      </w:r>
    </w:p>
    <w:p w14:paraId="4763EB8B" w14:textId="77777777" w:rsidR="00CF1BF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14:paraId="73053392" w14:textId="77777777"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70EE4A0A" w14:textId="0100911D"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14:paraId="681C1F76" w14:textId="77777777"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61A73B4D" w14:textId="73EDC620"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Medochemie Ltd.</w:t>
      </w:r>
    </w:p>
    <w:p w14:paraId="5C8216A2" w14:textId="0F0170DE"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Factory AZ</w:t>
      </w:r>
    </w:p>
    <w:p w14:paraId="2F01A71E" w14:textId="63235DA9"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CE1D34">
        <w:rPr>
          <w:rFonts w:ascii="Times New Roman" w:eastAsia="Times New Roman" w:hAnsi="Times New Roman" w:cs="Times New Roman"/>
          <w:snapToGrid w:val="0"/>
          <w:szCs w:val="24"/>
        </w:rPr>
        <w:t>2 Michael Erakleous Street, Agios Athanassios Industrial Area,</w:t>
      </w:r>
    </w:p>
    <w:p w14:paraId="17987F02" w14:textId="6C4D4421" w:rsidR="00CE1D34"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CE1D34">
        <w:rPr>
          <w:rFonts w:ascii="Times New Roman" w:eastAsia="Times New Roman" w:hAnsi="Times New Roman" w:cs="Times New Roman"/>
          <w:snapToGrid w:val="0"/>
          <w:szCs w:val="24"/>
        </w:rPr>
        <w:t>Agios Athanassios, Limassol, 4101</w:t>
      </w:r>
    </w:p>
    <w:p w14:paraId="5D11A09F" w14:textId="0454737C" w:rsidR="00CE1D34" w:rsidRPr="00253DCF" w:rsidRDefault="00CE1D34"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Kipras</w:t>
      </w:r>
    </w:p>
    <w:p w14:paraId="5F501893"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1ECB9A84"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apie šį vaistą norite sužinoti daugiau, kreipkitės į vietinį registruotojo atstovą:</w:t>
      </w:r>
    </w:p>
    <w:p w14:paraId="03F38F00" w14:textId="77777777" w:rsidR="00CF1BFF" w:rsidRPr="00253DCF" w:rsidRDefault="00CF1BFF" w:rsidP="00CF1BFF">
      <w:pPr>
        <w:tabs>
          <w:tab w:val="left" w:pos="567"/>
        </w:tabs>
        <w:spacing w:after="0" w:line="240" w:lineRule="auto"/>
        <w:rPr>
          <w:rFonts w:ascii="Times New Roman" w:eastAsia="Times New Roman" w:hAnsi="Times New Roman" w:cs="Times New Roman"/>
          <w:snapToGrid w:val="0"/>
          <w:szCs w:val="24"/>
        </w:rPr>
      </w:pPr>
    </w:p>
    <w:p w14:paraId="31C1ACB2"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UAB </w:t>
      </w:r>
      <w:r w:rsidRPr="00F8050D">
        <w:rPr>
          <w:rFonts w:ascii="Times New Roman" w:hAnsi="Times New Roman"/>
        </w:rPr>
        <w:t>„</w:t>
      </w:r>
      <w:r w:rsidRPr="00253DCF">
        <w:rPr>
          <w:rFonts w:ascii="Times New Roman" w:eastAsia="Times New Roman" w:hAnsi="Times New Roman" w:cs="Times New Roman"/>
          <w:snapToGrid w:val="0"/>
          <w:szCs w:val="24"/>
        </w:rPr>
        <w:t>Medochemie Lithuania”</w:t>
      </w:r>
    </w:p>
    <w:p w14:paraId="6E0AFD4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Gintaro 9-36</w:t>
      </w:r>
    </w:p>
    <w:p w14:paraId="36A2A997"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LT-47198, Kaunas</w:t>
      </w:r>
    </w:p>
    <w:p w14:paraId="1950CCD1" w14:textId="77777777" w:rsidR="00CF1BFF" w:rsidRPr="00253DCF" w:rsidRDefault="00CF1BFF" w:rsidP="00CF1BF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Tel. +370 37 338358</w:t>
      </w:r>
    </w:p>
    <w:p w14:paraId="4BCE21ED" w14:textId="77777777" w:rsidR="00CF1BFF" w:rsidRPr="00253DCF" w:rsidRDefault="00CF1BFF" w:rsidP="00CF1BFF">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253DCF">
        <w:rPr>
          <w:rFonts w:ascii="Times New Roman" w:eastAsia="Times New Roman" w:hAnsi="Times New Roman" w:cs="Times New Roman"/>
          <w:snapToGrid w:val="0"/>
          <w:szCs w:val="20"/>
        </w:rPr>
        <w:t xml:space="preserve">El. paštas: </w:t>
      </w:r>
      <w:hyperlink r:id="rId14" w:history="1">
        <w:r w:rsidRPr="00253DCF">
          <w:rPr>
            <w:rFonts w:ascii="Times New Roman" w:eastAsia="SimSun" w:hAnsi="Times New Roman" w:cs="Times New Roman"/>
            <w:snapToGrid w:val="0"/>
            <w:color w:val="0000FF"/>
            <w:u w:val="single"/>
          </w:rPr>
          <w:t>lithuania@medochemie.</w:t>
        </w:r>
      </w:hyperlink>
      <w:r w:rsidRPr="00253DCF">
        <w:rPr>
          <w:rFonts w:ascii="Times New Roman" w:eastAsia="SimSun" w:hAnsi="Times New Roman" w:cs="Times New Roman"/>
          <w:snapToGrid w:val="0"/>
          <w:color w:val="0000FF"/>
          <w:u w:val="single"/>
        </w:rPr>
        <w:t>com</w:t>
      </w:r>
    </w:p>
    <w:p w14:paraId="3DF85D2F" w14:textId="77777777" w:rsidR="00CF1BFF" w:rsidRPr="00253DCF" w:rsidRDefault="00CF1BFF" w:rsidP="00CF1BFF">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7C1BB6FA" w14:textId="513FD897" w:rsidR="00CF1BFF" w:rsidRDefault="00CF1BFF" w:rsidP="00CF1BFF">
      <w:pPr>
        <w:numPr>
          <w:ilvl w:val="12"/>
          <w:numId w:val="0"/>
        </w:numPr>
        <w:spacing w:after="0" w:line="240" w:lineRule="auto"/>
        <w:ind w:right="-2"/>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Šis pakuotės lapelis paskutinį kartą peržiūrėtas</w:t>
      </w:r>
      <w:r w:rsidR="005A453A">
        <w:rPr>
          <w:rFonts w:ascii="Times New Roman" w:eastAsia="Times New Roman" w:hAnsi="Times New Roman" w:cs="Times New Roman"/>
          <w:b/>
          <w:snapToGrid w:val="0"/>
          <w:szCs w:val="20"/>
        </w:rPr>
        <w:t xml:space="preserve"> 2023-07-13.</w:t>
      </w:r>
    </w:p>
    <w:p w14:paraId="5F58DC36" w14:textId="77777777" w:rsidR="00CE1D34" w:rsidRPr="00253DCF" w:rsidRDefault="00CE1D34" w:rsidP="00CF1BFF">
      <w:pPr>
        <w:numPr>
          <w:ilvl w:val="12"/>
          <w:numId w:val="0"/>
        </w:numPr>
        <w:spacing w:after="0" w:line="240" w:lineRule="auto"/>
        <w:ind w:right="-2"/>
        <w:rPr>
          <w:rFonts w:ascii="Times New Roman" w:eastAsia="Times New Roman" w:hAnsi="Times New Roman" w:cs="Times New Roman"/>
          <w:i/>
          <w:snapToGrid w:val="0"/>
          <w:szCs w:val="20"/>
        </w:rPr>
      </w:pPr>
    </w:p>
    <w:p w14:paraId="4E478C08" w14:textId="77777777" w:rsidR="00CF1BFF" w:rsidRPr="00253DCF" w:rsidRDefault="00CF1BFF" w:rsidP="00CF1BF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 xml:space="preserve">Išsami informacija apie šį </w:t>
      </w:r>
      <w:r w:rsidRPr="00253DCF">
        <w:rPr>
          <w:rFonts w:ascii="Times New Roman" w:eastAsia="Times New Roman" w:hAnsi="Times New Roman" w:cs="Times New Roman"/>
          <w:snapToGrid w:val="0"/>
          <w:szCs w:val="24"/>
        </w:rPr>
        <w:t>vaistą</w:t>
      </w:r>
      <w:r w:rsidRPr="00253DC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253DCF">
        <w:rPr>
          <w:rFonts w:ascii="Times New Roman" w:eastAsia="Times New Roman" w:hAnsi="Times New Roman" w:cs="Times New Roman"/>
          <w:i/>
          <w:snapToGrid w:val="0"/>
          <w:szCs w:val="24"/>
        </w:rPr>
        <w:t xml:space="preserve"> </w:t>
      </w:r>
      <w:hyperlink r:id="rId15" w:history="1">
        <w:r w:rsidRPr="00253DCF">
          <w:rPr>
            <w:rFonts w:ascii="Times New Roman" w:eastAsia="SimSun" w:hAnsi="Times New Roman" w:cs="Times New Roman"/>
            <w:snapToGrid w:val="0"/>
            <w:color w:val="0000FF"/>
            <w:szCs w:val="20"/>
            <w:u w:val="single"/>
          </w:rPr>
          <w:t>http://www.vvkt.lt/</w:t>
        </w:r>
      </w:hyperlink>
      <w:r w:rsidRPr="00253DCF">
        <w:rPr>
          <w:rFonts w:ascii="Times New Roman" w:eastAsia="Times New Roman" w:hAnsi="Times New Roman" w:cs="Times New Roman"/>
          <w:snapToGrid w:val="0"/>
          <w:szCs w:val="20"/>
        </w:rPr>
        <w:t>.</w:t>
      </w:r>
    </w:p>
    <w:p w14:paraId="29D3E872" w14:textId="77777777" w:rsidR="00CF1BFF" w:rsidRPr="00253DCF" w:rsidRDefault="00CF1BFF" w:rsidP="00CF1BFF">
      <w:pPr>
        <w:tabs>
          <w:tab w:val="left" w:pos="567"/>
        </w:tabs>
        <w:spacing w:after="0" w:line="260" w:lineRule="exact"/>
        <w:rPr>
          <w:rFonts w:ascii="Times New Roman" w:hAnsi="Times New Roman"/>
        </w:rPr>
      </w:pPr>
    </w:p>
    <w:p w14:paraId="41893993" w14:textId="77777777" w:rsidR="00CF1BFF" w:rsidRPr="00253DCF" w:rsidRDefault="00CF1BFF" w:rsidP="00CF1BFF"/>
    <w:p w14:paraId="2E740F84" w14:textId="77777777" w:rsidR="00627DA1" w:rsidRDefault="00627DA1"/>
    <w:sectPr w:rsidR="00627DA1" w:rsidSect="00010DB9">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6BA7" w14:textId="77777777" w:rsidR="00293733" w:rsidRDefault="00293733">
      <w:pPr>
        <w:spacing w:after="0" w:line="240" w:lineRule="auto"/>
      </w:pPr>
      <w:r>
        <w:separator/>
      </w:r>
    </w:p>
  </w:endnote>
  <w:endnote w:type="continuationSeparator" w:id="0">
    <w:p w14:paraId="112ED975" w14:textId="77777777" w:rsidR="00293733" w:rsidRDefault="00293733">
      <w:pPr>
        <w:spacing w:after="0" w:line="240" w:lineRule="auto"/>
      </w:pPr>
      <w:r>
        <w:continuationSeparator/>
      </w:r>
    </w:p>
  </w:endnote>
  <w:endnote w:type="continuationNotice" w:id="1">
    <w:p w14:paraId="6B916E80" w14:textId="77777777" w:rsidR="00293733" w:rsidRDefault="00293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238414"/>
      <w:docPartObj>
        <w:docPartGallery w:val="Page Numbers (Bottom of Page)"/>
        <w:docPartUnique/>
      </w:docPartObj>
    </w:sdtPr>
    <w:sdtEndPr/>
    <w:sdtContent>
      <w:p w14:paraId="4DD6CE28" w14:textId="72C54789" w:rsidR="00F51613" w:rsidRDefault="006761DE">
        <w:pPr>
          <w:pStyle w:val="Porat"/>
          <w:jc w:val="center"/>
        </w:pPr>
        <w:r>
          <w:fldChar w:fldCharType="begin"/>
        </w:r>
        <w:r>
          <w:instrText>PAGE   \* MERGEFORMAT</w:instrText>
        </w:r>
        <w:r>
          <w:fldChar w:fldCharType="separate"/>
        </w:r>
        <w:r w:rsidR="00CA210B" w:rsidRPr="00CA210B">
          <w:rPr>
            <w:noProof/>
            <w:lang w:val="lt-LT"/>
          </w:rPr>
          <w:t>1</w:t>
        </w:r>
        <w:r>
          <w:fldChar w:fldCharType="end"/>
        </w:r>
      </w:p>
    </w:sdtContent>
  </w:sdt>
  <w:p w14:paraId="44AFA647" w14:textId="77777777" w:rsidR="00F51613" w:rsidRDefault="00F516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81EA3" w14:textId="77777777" w:rsidR="00293733" w:rsidRDefault="00293733">
      <w:pPr>
        <w:spacing w:after="0" w:line="240" w:lineRule="auto"/>
      </w:pPr>
      <w:r>
        <w:separator/>
      </w:r>
    </w:p>
  </w:footnote>
  <w:footnote w:type="continuationSeparator" w:id="0">
    <w:p w14:paraId="1E81A128" w14:textId="77777777" w:rsidR="00293733" w:rsidRDefault="00293733">
      <w:pPr>
        <w:spacing w:after="0" w:line="240" w:lineRule="auto"/>
      </w:pPr>
      <w:r>
        <w:continuationSeparator/>
      </w:r>
    </w:p>
  </w:footnote>
  <w:footnote w:type="continuationNotice" w:id="1">
    <w:p w14:paraId="01BC654D" w14:textId="77777777" w:rsidR="00293733" w:rsidRDefault="00293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A647" w14:textId="77777777" w:rsidR="00556077" w:rsidRDefault="005560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122624"/>
    <w:multiLevelType w:val="hybridMultilevel"/>
    <w:tmpl w:val="F8D0E6EA"/>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82951"/>
    <w:multiLevelType w:val="hybridMultilevel"/>
    <w:tmpl w:val="6B32B6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1BF"/>
    <w:multiLevelType w:val="hybridMultilevel"/>
    <w:tmpl w:val="AE0C7F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84BD4"/>
    <w:multiLevelType w:val="hybridMultilevel"/>
    <w:tmpl w:val="1EE206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6624C"/>
    <w:multiLevelType w:val="hybridMultilevel"/>
    <w:tmpl w:val="72EC35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64113"/>
    <w:multiLevelType w:val="hybridMultilevel"/>
    <w:tmpl w:val="7A9EA330"/>
    <w:lvl w:ilvl="0" w:tplc="8AA2DA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6043A"/>
    <w:multiLevelType w:val="hybridMultilevel"/>
    <w:tmpl w:val="A5565E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66143"/>
    <w:multiLevelType w:val="hybridMultilevel"/>
    <w:tmpl w:val="2F066102"/>
    <w:lvl w:ilvl="0" w:tplc="C83E8D74">
      <w:start w:val="1"/>
      <w:numFmt w:val="decimal"/>
      <w:lvlText w:val="%1."/>
      <w:lvlJc w:val="left"/>
      <w:pPr>
        <w:tabs>
          <w:tab w:val="num" w:pos="794"/>
        </w:tabs>
        <w:ind w:left="794" w:hanging="51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981223B"/>
    <w:multiLevelType w:val="hybridMultilevel"/>
    <w:tmpl w:val="BE0AFB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297"/>
    <w:multiLevelType w:val="hybridMultilevel"/>
    <w:tmpl w:val="CB7E3AD6"/>
    <w:lvl w:ilvl="0" w:tplc="FFFFFFFF">
      <w:start w:val="1"/>
      <w:numFmt w:val="bullet"/>
      <w:lvlText w:val="-"/>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7F07F2"/>
    <w:multiLevelType w:val="hybridMultilevel"/>
    <w:tmpl w:val="E146DD1C"/>
    <w:lvl w:ilvl="0" w:tplc="0427000F">
      <w:start w:val="1"/>
      <w:numFmt w:val="decimal"/>
      <w:lvlText w:val="%1."/>
      <w:lvlJc w:val="left"/>
      <w:pPr>
        <w:tabs>
          <w:tab w:val="num" w:pos="1004"/>
        </w:tabs>
        <w:ind w:left="1004" w:hanging="360"/>
      </w:p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14" w15:restartNumberingAfterBreak="0">
    <w:nsid w:val="7BEF550E"/>
    <w:multiLevelType w:val="hybridMultilevel"/>
    <w:tmpl w:val="3EA845A6"/>
    <w:lvl w:ilvl="0" w:tplc="C83E8D74">
      <w:start w:val="1"/>
      <w:numFmt w:val="decimal"/>
      <w:lvlText w:val="%1."/>
      <w:lvlJc w:val="left"/>
      <w:pPr>
        <w:tabs>
          <w:tab w:val="num" w:pos="794"/>
        </w:tabs>
        <w:ind w:left="794" w:hanging="51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5" w15:restartNumberingAfterBreak="0">
    <w:nsid w:val="7E526499"/>
    <w:multiLevelType w:val="hybridMultilevel"/>
    <w:tmpl w:val="362A57E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5"/>
  </w:num>
  <w:num w:numId="7">
    <w:abstractNumId w:val="13"/>
  </w:num>
  <w:num w:numId="8">
    <w:abstractNumId w:val="14"/>
  </w:num>
  <w:num w:numId="9">
    <w:abstractNumId w:val="7"/>
  </w:num>
  <w:num w:numId="10">
    <w:abstractNumId w:val="10"/>
  </w:num>
  <w:num w:numId="11">
    <w:abstractNumId w:val="12"/>
  </w:num>
  <w:num w:numId="12">
    <w:abstractNumId w:val="1"/>
  </w:num>
  <w:num w:numId="13">
    <w:abstractNumId w:val="4"/>
  </w:num>
  <w:num w:numId="14">
    <w:abstractNumId w:val="6"/>
  </w:num>
  <w:num w:numId="15">
    <w:abstractNumId w:val="11"/>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FF"/>
    <w:rsid w:val="00025E48"/>
    <w:rsid w:val="00044570"/>
    <w:rsid w:val="000672B7"/>
    <w:rsid w:val="00082814"/>
    <w:rsid w:val="000E76E3"/>
    <w:rsid w:val="00130543"/>
    <w:rsid w:val="00134CA6"/>
    <w:rsid w:val="001814EF"/>
    <w:rsid w:val="0020637F"/>
    <w:rsid w:val="00253DCF"/>
    <w:rsid w:val="00264BED"/>
    <w:rsid w:val="00293733"/>
    <w:rsid w:val="002950A3"/>
    <w:rsid w:val="002A1D29"/>
    <w:rsid w:val="002F6A0D"/>
    <w:rsid w:val="00312473"/>
    <w:rsid w:val="00331A6E"/>
    <w:rsid w:val="0038011D"/>
    <w:rsid w:val="00396992"/>
    <w:rsid w:val="003B7E8E"/>
    <w:rsid w:val="003D01F9"/>
    <w:rsid w:val="003E6EA3"/>
    <w:rsid w:val="00402DBB"/>
    <w:rsid w:val="004164D3"/>
    <w:rsid w:val="004402CD"/>
    <w:rsid w:val="004B7CC8"/>
    <w:rsid w:val="004D6850"/>
    <w:rsid w:val="004E055E"/>
    <w:rsid w:val="004F6A96"/>
    <w:rsid w:val="00523C1A"/>
    <w:rsid w:val="00524E6C"/>
    <w:rsid w:val="00552A65"/>
    <w:rsid w:val="00556077"/>
    <w:rsid w:val="005720AB"/>
    <w:rsid w:val="005A453A"/>
    <w:rsid w:val="005D4407"/>
    <w:rsid w:val="005F0213"/>
    <w:rsid w:val="00605DA1"/>
    <w:rsid w:val="00606F78"/>
    <w:rsid w:val="00627DA1"/>
    <w:rsid w:val="006500B3"/>
    <w:rsid w:val="006569DD"/>
    <w:rsid w:val="006761DE"/>
    <w:rsid w:val="006947E9"/>
    <w:rsid w:val="007200B1"/>
    <w:rsid w:val="00760714"/>
    <w:rsid w:val="007D1D84"/>
    <w:rsid w:val="007D4501"/>
    <w:rsid w:val="0082770E"/>
    <w:rsid w:val="00835227"/>
    <w:rsid w:val="00863498"/>
    <w:rsid w:val="008738B4"/>
    <w:rsid w:val="00880933"/>
    <w:rsid w:val="008944CD"/>
    <w:rsid w:val="008C3FF2"/>
    <w:rsid w:val="008C4532"/>
    <w:rsid w:val="00920242"/>
    <w:rsid w:val="009412B8"/>
    <w:rsid w:val="00945286"/>
    <w:rsid w:val="00947296"/>
    <w:rsid w:val="00A146E0"/>
    <w:rsid w:val="00A37A10"/>
    <w:rsid w:val="00A734D9"/>
    <w:rsid w:val="00AF3AEF"/>
    <w:rsid w:val="00B4422F"/>
    <w:rsid w:val="00B571D6"/>
    <w:rsid w:val="00B94197"/>
    <w:rsid w:val="00BA1CBD"/>
    <w:rsid w:val="00BA1E3E"/>
    <w:rsid w:val="00BD0B56"/>
    <w:rsid w:val="00BF32B3"/>
    <w:rsid w:val="00C04ED8"/>
    <w:rsid w:val="00C439A6"/>
    <w:rsid w:val="00C8755B"/>
    <w:rsid w:val="00CA210B"/>
    <w:rsid w:val="00CE1D34"/>
    <w:rsid w:val="00CF1BFF"/>
    <w:rsid w:val="00D55C0D"/>
    <w:rsid w:val="00D86FE7"/>
    <w:rsid w:val="00DD796E"/>
    <w:rsid w:val="00E62E04"/>
    <w:rsid w:val="00E96492"/>
    <w:rsid w:val="00EA1256"/>
    <w:rsid w:val="00EB5BF2"/>
    <w:rsid w:val="00F03281"/>
    <w:rsid w:val="00F07A06"/>
    <w:rsid w:val="00F237AC"/>
    <w:rsid w:val="00F51613"/>
    <w:rsid w:val="00F666C8"/>
    <w:rsid w:val="00F8050D"/>
    <w:rsid w:val="00F8645D"/>
    <w:rsid w:val="00FA266F"/>
    <w:rsid w:val="00FB0111"/>
    <w:rsid w:val="00FD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18C1"/>
  <w15:chartTrackingRefBased/>
  <w15:docId w15:val="{D2CC5C81-2A7C-40A5-AC97-8E4C635C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453A"/>
    <w:rPr>
      <w:kern w:val="0"/>
      <w:lang w:val="lt-LT"/>
      <w14:ligatures w14:val="none"/>
    </w:rPr>
  </w:style>
  <w:style w:type="paragraph" w:styleId="Antrat1">
    <w:name w:val="heading 1"/>
    <w:basedOn w:val="prastasis"/>
    <w:next w:val="prastasis"/>
    <w:link w:val="Antrat1Diagrama"/>
    <w:uiPriority w:val="99"/>
    <w:qFormat/>
    <w:rsid w:val="00CF1BFF"/>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CF1BFF"/>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CF1BFF"/>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CF1BFF"/>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CF1BFF"/>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CF1BF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CF1BF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CF1BF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CF1BFF"/>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F1BFF"/>
    <w:rPr>
      <w:rFonts w:ascii="Times New Roman" w:eastAsia="SimSun" w:hAnsi="Times New Roman" w:cs="Times New Roman"/>
      <w:b/>
      <w:caps/>
      <w:kern w:val="0"/>
      <w:sz w:val="26"/>
      <w:szCs w:val="20"/>
      <w14:ligatures w14:val="none"/>
    </w:rPr>
  </w:style>
  <w:style w:type="character" w:customStyle="1" w:styleId="Antrat2Diagrama">
    <w:name w:val="Antraštė 2 Diagrama"/>
    <w:basedOn w:val="Numatytasispastraiposriftas"/>
    <w:link w:val="Antrat2"/>
    <w:uiPriority w:val="99"/>
    <w:rsid w:val="00CF1BFF"/>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CF1BFF"/>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CF1BFF"/>
    <w:rPr>
      <w:rFonts w:ascii="Calibri" w:eastAsia="Times New Roman" w:hAnsi="Calibri" w:cs="Times New Roman"/>
      <w:b/>
      <w:bCs/>
      <w:snapToGrid w:val="0"/>
      <w:kern w:val="0"/>
      <w:sz w:val="28"/>
      <w:szCs w:val="28"/>
      <w:lang w:val="en-GB" w:eastAsia="x-none"/>
      <w14:ligatures w14:val="none"/>
    </w:rPr>
  </w:style>
  <w:style w:type="character" w:customStyle="1" w:styleId="Antrat5Diagrama">
    <w:name w:val="Antraštė 5 Diagrama"/>
    <w:basedOn w:val="Numatytasispastraiposriftas"/>
    <w:link w:val="Antrat5"/>
    <w:uiPriority w:val="99"/>
    <w:rsid w:val="00CF1BFF"/>
    <w:rPr>
      <w:rFonts w:ascii="Times New Roman" w:eastAsia="SimSun" w:hAnsi="Times New Roman" w:cs="Times New Roman"/>
      <w:noProof/>
      <w:kern w:val="0"/>
      <w:szCs w:val="20"/>
      <w:lang w:val="en-GB"/>
      <w14:ligatures w14:val="none"/>
    </w:rPr>
  </w:style>
  <w:style w:type="character" w:customStyle="1" w:styleId="Antrat6Diagrama">
    <w:name w:val="Antraštė 6 Diagrama"/>
    <w:basedOn w:val="Numatytasispastraiposriftas"/>
    <w:link w:val="Antrat6"/>
    <w:uiPriority w:val="99"/>
    <w:rsid w:val="00CF1BFF"/>
    <w:rPr>
      <w:rFonts w:ascii="Times New Roman" w:eastAsia="SimSu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CF1BFF"/>
    <w:rPr>
      <w:rFonts w:ascii="Times New Roman" w:eastAsia="SimSu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CF1BFF"/>
    <w:rPr>
      <w:rFonts w:ascii="Times New Roman" w:eastAsia="SimSu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CF1BFF"/>
    <w:rPr>
      <w:rFonts w:ascii="Times New Roman" w:eastAsia="SimSun" w:hAnsi="Times New Roman" w:cs="Times New Roman"/>
      <w:b/>
      <w:i/>
      <w:kern w:val="0"/>
      <w:szCs w:val="20"/>
      <w:lang w:val="en-GB"/>
      <w14:ligatures w14:val="none"/>
    </w:rPr>
  </w:style>
  <w:style w:type="numbering" w:customStyle="1" w:styleId="Sraonra1">
    <w:name w:val="Sąrašo nėra1"/>
    <w:next w:val="Sraonra"/>
    <w:uiPriority w:val="99"/>
    <w:semiHidden/>
    <w:unhideWhenUsed/>
    <w:rsid w:val="00CF1BFF"/>
  </w:style>
  <w:style w:type="paragraph" w:styleId="Porat">
    <w:name w:val="footer"/>
    <w:basedOn w:val="prastasis"/>
    <w:link w:val="PoratDiagrama"/>
    <w:uiPriority w:val="99"/>
    <w:rsid w:val="00CF1BFF"/>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CF1BFF"/>
    <w:rPr>
      <w:rFonts w:ascii="Times New Roman" w:eastAsia="Times New Roman" w:hAnsi="Times New Roman" w:cs="Times New Roman"/>
      <w:snapToGrid w:val="0"/>
      <w:kern w:val="0"/>
      <w:szCs w:val="20"/>
      <w:lang w:val="en-GB" w:eastAsia="x-none"/>
      <w14:ligatures w14:val="none"/>
    </w:rPr>
  </w:style>
  <w:style w:type="character" w:customStyle="1" w:styleId="HeaderChar">
    <w:name w:val="Header Char"/>
    <w:rsid w:val="00CF1BFF"/>
    <w:rPr>
      <w:snapToGrid w:val="0"/>
      <w:sz w:val="22"/>
      <w:lang w:val="en-GB" w:eastAsia="en-US"/>
    </w:rPr>
  </w:style>
  <w:style w:type="character" w:styleId="Puslapionumeris">
    <w:name w:val="page number"/>
    <w:uiPriority w:val="99"/>
    <w:rsid w:val="00CF1BFF"/>
    <w:rPr>
      <w:rFonts w:cs="Times New Roman"/>
    </w:rPr>
  </w:style>
  <w:style w:type="character" w:styleId="Hipersaitas">
    <w:name w:val="Hyperlink"/>
    <w:uiPriority w:val="99"/>
    <w:rsid w:val="00CF1BFF"/>
    <w:rPr>
      <w:color w:val="0000FF"/>
      <w:u w:val="single"/>
    </w:rPr>
  </w:style>
  <w:style w:type="paragraph" w:customStyle="1" w:styleId="BodytextAgency">
    <w:name w:val="Body text (Agency)"/>
    <w:basedOn w:val="prastasis"/>
    <w:link w:val="BodytextAgencyChar"/>
    <w:uiPriority w:val="99"/>
    <w:rsid w:val="00CF1BFF"/>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uiPriority w:val="99"/>
    <w:locked/>
    <w:rsid w:val="00CF1BFF"/>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5A453A"/>
    <w:pPr>
      <w:spacing w:after="0" w:line="240" w:lineRule="auto"/>
    </w:pPr>
    <w:rPr>
      <w:rFonts w:ascii="Verdana" w:eastAsia="Times New Roman" w:hAnsi="Verdana" w:cs="Times New Roman"/>
      <w:snapToGrid w:val="0"/>
      <w:kern w:val="0"/>
      <w:sz w:val="18"/>
      <w:lang w:val="en-GB" w:eastAsia="lt-LT"/>
      <w14:ligatures w14:val="none"/>
    </w:rPr>
  </w:style>
  <w:style w:type="character" w:customStyle="1" w:styleId="NormalAgencyChar">
    <w:name w:val="Normal (Agency) Char"/>
    <w:link w:val="NormalAgency"/>
    <w:uiPriority w:val="99"/>
    <w:locked/>
    <w:rsid w:val="00CF1BFF"/>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CF1BFF"/>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F1BFF"/>
    <w:rPr>
      <w:rFonts w:ascii="Courier New" w:hAnsi="Courier New"/>
      <w:color w:val="00FF00"/>
      <w:sz w:val="40"/>
    </w:rPr>
  </w:style>
  <w:style w:type="character" w:customStyle="1" w:styleId="tw4winTerm">
    <w:name w:val="tw4winTerm"/>
    <w:uiPriority w:val="99"/>
    <w:rsid w:val="00CF1BFF"/>
    <w:rPr>
      <w:color w:val="0000FF"/>
    </w:rPr>
  </w:style>
  <w:style w:type="character" w:customStyle="1" w:styleId="tw4winPopup">
    <w:name w:val="tw4winPopup"/>
    <w:uiPriority w:val="99"/>
    <w:rsid w:val="00CF1BFF"/>
    <w:rPr>
      <w:rFonts w:ascii="Courier New" w:hAnsi="Courier New"/>
      <w:noProof/>
      <w:color w:val="008000"/>
    </w:rPr>
  </w:style>
  <w:style w:type="character" w:customStyle="1" w:styleId="tw4winJump">
    <w:name w:val="tw4winJump"/>
    <w:uiPriority w:val="99"/>
    <w:rsid w:val="00CF1BFF"/>
    <w:rPr>
      <w:rFonts w:ascii="Courier New" w:hAnsi="Courier New"/>
      <w:noProof/>
      <w:color w:val="008080"/>
    </w:rPr>
  </w:style>
  <w:style w:type="character" w:customStyle="1" w:styleId="tw4winExternal">
    <w:name w:val="tw4winExternal"/>
    <w:uiPriority w:val="99"/>
    <w:rsid w:val="00CF1BFF"/>
    <w:rPr>
      <w:rFonts w:ascii="Courier New" w:hAnsi="Courier New"/>
      <w:noProof/>
      <w:color w:val="808080"/>
    </w:rPr>
  </w:style>
  <w:style w:type="character" w:customStyle="1" w:styleId="tw4winInternal">
    <w:name w:val="tw4winInternal"/>
    <w:uiPriority w:val="99"/>
    <w:rsid w:val="00CF1BFF"/>
    <w:rPr>
      <w:rFonts w:ascii="Courier New" w:hAnsi="Courier New"/>
      <w:noProof/>
      <w:color w:val="FF0000"/>
    </w:rPr>
  </w:style>
  <w:style w:type="character" w:customStyle="1" w:styleId="DONOTTRANSLATE">
    <w:name w:val="DO_NOT_TRANSLATE"/>
    <w:uiPriority w:val="99"/>
    <w:rsid w:val="00CF1BFF"/>
    <w:rPr>
      <w:rFonts w:ascii="Courier New" w:hAnsi="Courier New"/>
      <w:noProof/>
      <w:color w:val="800000"/>
    </w:rPr>
  </w:style>
  <w:style w:type="paragraph" w:styleId="Debesliotekstas">
    <w:name w:val="Balloon Text"/>
    <w:basedOn w:val="prastasis"/>
    <w:link w:val="DebesliotekstasDiagrama"/>
    <w:uiPriority w:val="99"/>
    <w:rsid w:val="00CF1BFF"/>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F1BFF"/>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CF1BFF"/>
    <w:rPr>
      <w:sz w:val="16"/>
      <w:szCs w:val="16"/>
    </w:rPr>
  </w:style>
  <w:style w:type="paragraph" w:styleId="Komentarotekstas">
    <w:name w:val="annotation text"/>
    <w:basedOn w:val="prastasis"/>
    <w:link w:val="KomentarotekstasDiagrama"/>
    <w:uiPriority w:val="99"/>
    <w:rsid w:val="00CF1BFF"/>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CF1BFF"/>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CF1BFF"/>
    <w:rPr>
      <w:b/>
      <w:bCs/>
    </w:rPr>
  </w:style>
  <w:style w:type="character" w:customStyle="1" w:styleId="KomentarotemaDiagrama">
    <w:name w:val="Komentaro tema Diagrama"/>
    <w:basedOn w:val="KomentarotekstasDiagrama"/>
    <w:link w:val="Komentarotema"/>
    <w:uiPriority w:val="99"/>
    <w:rsid w:val="00CF1BFF"/>
    <w:rPr>
      <w:rFonts w:ascii="Times New Roman" w:eastAsia="Times New Roman" w:hAnsi="Times New Roman" w:cs="Times New Roman"/>
      <w:b/>
      <w:bCs/>
      <w:snapToGrid w:val="0"/>
      <w:kern w:val="0"/>
      <w:sz w:val="20"/>
      <w:szCs w:val="20"/>
      <w:lang w:val="en-GB"/>
      <w14:ligatures w14:val="none"/>
    </w:rPr>
  </w:style>
  <w:style w:type="paragraph" w:customStyle="1" w:styleId="EMEAEnBodyText">
    <w:name w:val="EMEA En Body Text"/>
    <w:basedOn w:val="prastasis"/>
    <w:uiPriority w:val="99"/>
    <w:rsid w:val="00CF1BF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F1BFF"/>
    <w:rPr>
      <w:rFonts w:ascii="Courier New" w:hAnsi="Courier New"/>
      <w:vanish/>
      <w:color w:val="800080"/>
      <w:sz w:val="24"/>
      <w:vertAlign w:val="subscript"/>
    </w:rPr>
  </w:style>
  <w:style w:type="paragraph" w:styleId="Antrats">
    <w:name w:val="header"/>
    <w:basedOn w:val="prastasis"/>
    <w:link w:val="AntratsDiagrama"/>
    <w:uiPriority w:val="99"/>
    <w:rsid w:val="00CF1BFF"/>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CF1BFF"/>
    <w:rPr>
      <w:rFonts w:ascii="Times New Roman" w:eastAsia="SimSun" w:hAnsi="Times New Roman" w:cs="Times New Roman"/>
      <w:kern w:val="0"/>
      <w:szCs w:val="20"/>
      <w:lang w:val="en-GB" w:eastAsia="zh-CN"/>
      <w14:ligatures w14:val="none"/>
    </w:rPr>
  </w:style>
  <w:style w:type="paragraph" w:styleId="Dokumentostruktra">
    <w:name w:val="Document Map"/>
    <w:basedOn w:val="prastasis"/>
    <w:link w:val="DokumentostruktraDiagrama"/>
    <w:uiPriority w:val="99"/>
    <w:rsid w:val="00CF1BF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F1BFF"/>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CF1BF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CF1BFF"/>
    <w:rPr>
      <w:rFonts w:ascii="Times New Roman" w:eastAsia="SimSu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CF1BF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CF1BFF"/>
    <w:rPr>
      <w:rFonts w:ascii="Times New Roman" w:eastAsia="SimSu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CF1BF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CF1BFF"/>
    <w:rPr>
      <w:rFonts w:ascii="Times New Roman" w:eastAsia="SimSun" w:hAnsi="Times New Roman" w:cs="Times New Roman"/>
      <w:b/>
      <w:bCs/>
      <w:color w:val="0000FF"/>
      <w:kern w:val="0"/>
      <w:lang w:val="en-GB"/>
      <w14:ligatures w14:val="none"/>
    </w:rPr>
  </w:style>
  <w:style w:type="paragraph" w:styleId="Pagrindinistekstas">
    <w:name w:val="Body Text"/>
    <w:basedOn w:val="prastasis"/>
    <w:link w:val="PagrindinistekstasDiagrama"/>
    <w:uiPriority w:val="99"/>
    <w:rsid w:val="00CF1BFF"/>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CF1BFF"/>
    <w:rPr>
      <w:rFonts w:ascii="Times New Roman" w:eastAsia="SimSun" w:hAnsi="Times New Roman" w:cs="Times New Roman"/>
      <w:i/>
      <w:color w:val="008000"/>
      <w:kern w:val="0"/>
      <w:szCs w:val="20"/>
      <w:lang w:val="en-GB"/>
      <w14:ligatures w14:val="none"/>
    </w:rPr>
  </w:style>
  <w:style w:type="paragraph" w:styleId="Pagrindinistekstas2">
    <w:name w:val="Body Text 2"/>
    <w:basedOn w:val="prastasis"/>
    <w:link w:val="Pagrindinistekstas2Diagrama"/>
    <w:uiPriority w:val="99"/>
    <w:rsid w:val="00CF1BF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CF1BFF"/>
    <w:rPr>
      <w:rFonts w:ascii="Times New Roman" w:eastAsia="SimSun" w:hAnsi="Times New Roman" w:cs="Times New Roman"/>
      <w:b/>
      <w:bCs/>
      <w:color w:val="0000FF"/>
      <w:kern w:val="0"/>
      <w:u w:val="single"/>
      <w:lang w:val="en-GB"/>
      <w14:ligatures w14:val="none"/>
    </w:rPr>
  </w:style>
  <w:style w:type="paragraph" w:customStyle="1" w:styleId="AHeader1">
    <w:name w:val="AHeader 1"/>
    <w:basedOn w:val="prastasis"/>
    <w:uiPriority w:val="99"/>
    <w:rsid w:val="00CF1BF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F1BFF"/>
    <w:pPr>
      <w:tabs>
        <w:tab w:val="clear" w:pos="720"/>
        <w:tab w:val="num" w:pos="360"/>
      </w:tabs>
      <w:ind w:left="709" w:hanging="425"/>
    </w:pPr>
    <w:rPr>
      <w:sz w:val="22"/>
    </w:rPr>
  </w:style>
  <w:style w:type="paragraph" w:customStyle="1" w:styleId="AHeader3">
    <w:name w:val="AHeader 3"/>
    <w:basedOn w:val="AHeader2"/>
    <w:uiPriority w:val="99"/>
    <w:rsid w:val="00CF1BFF"/>
    <w:pPr>
      <w:ind w:left="1276" w:hanging="567"/>
    </w:pPr>
  </w:style>
  <w:style w:type="paragraph" w:customStyle="1" w:styleId="AHeader2abc">
    <w:name w:val="AHeader 2 abc"/>
    <w:basedOn w:val="AHeader3"/>
    <w:uiPriority w:val="99"/>
    <w:rsid w:val="00CF1BFF"/>
    <w:pPr>
      <w:jc w:val="both"/>
    </w:pPr>
    <w:rPr>
      <w:b w:val="0"/>
      <w:bCs w:val="0"/>
    </w:rPr>
  </w:style>
  <w:style w:type="paragraph" w:customStyle="1" w:styleId="AHeader3abc">
    <w:name w:val="AHeader 3 abc"/>
    <w:basedOn w:val="AHeader2abc"/>
    <w:uiPriority w:val="99"/>
    <w:rsid w:val="00CF1BFF"/>
    <w:pPr>
      <w:ind w:left="1701" w:hanging="425"/>
    </w:pPr>
  </w:style>
  <w:style w:type="paragraph" w:styleId="Pagrindiniotekstotrauka3">
    <w:name w:val="Body Text Indent 3"/>
    <w:basedOn w:val="prastasis"/>
    <w:link w:val="Pagrindiniotekstotrauka3Diagrama"/>
    <w:uiPriority w:val="99"/>
    <w:rsid w:val="00CF1BF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CF1BFF"/>
    <w:rPr>
      <w:rFonts w:ascii="Times New Roman" w:eastAsia="SimSun" w:hAnsi="Times New Roman" w:cs="Times New Roman"/>
      <w:kern w:val="0"/>
      <w:szCs w:val="21"/>
      <w:lang w:val="en-GB"/>
      <w14:ligatures w14:val="none"/>
    </w:rPr>
  </w:style>
  <w:style w:type="character" w:styleId="Perirtashipersaitas">
    <w:name w:val="FollowedHyperlink"/>
    <w:uiPriority w:val="99"/>
    <w:rsid w:val="00CF1BFF"/>
    <w:rPr>
      <w:rFonts w:cs="Times New Roman"/>
      <w:color w:val="800080"/>
      <w:u w:val="single"/>
    </w:rPr>
  </w:style>
  <w:style w:type="character" w:styleId="Grietas">
    <w:name w:val="Strong"/>
    <w:uiPriority w:val="99"/>
    <w:qFormat/>
    <w:rsid w:val="00CF1BFF"/>
    <w:rPr>
      <w:rFonts w:cs="Times New Roman"/>
      <w:b/>
      <w:bCs/>
    </w:rPr>
  </w:style>
  <w:style w:type="paragraph" w:customStyle="1" w:styleId="TableheadingrowsAgency">
    <w:name w:val="Table heading rows (Agency)"/>
    <w:basedOn w:val="BodytextAgency"/>
    <w:uiPriority w:val="99"/>
    <w:rsid w:val="00CF1BF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F1BF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CF1BFF"/>
    <w:rPr>
      <w:rFonts w:ascii="Courier New" w:eastAsia="SimSun" w:hAnsi="Courier New" w:cs="Times New Roman"/>
      <w:kern w:val="0"/>
      <w:sz w:val="20"/>
      <w:szCs w:val="20"/>
      <w14:ligatures w14:val="none"/>
    </w:rPr>
  </w:style>
  <w:style w:type="paragraph" w:customStyle="1" w:styleId="Default">
    <w:name w:val="Default"/>
    <w:rsid w:val="005A453A"/>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Pavadinimas">
    <w:name w:val="Title"/>
    <w:basedOn w:val="prastasis"/>
    <w:link w:val="PavadinimasDiagrama"/>
    <w:uiPriority w:val="99"/>
    <w:qFormat/>
    <w:rsid w:val="00CF1BFF"/>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CF1BFF"/>
    <w:rPr>
      <w:rFonts w:ascii="Times New Roman" w:eastAsia="SimSun" w:hAnsi="Times New Roman" w:cs="Times New Roman"/>
      <w:b/>
      <w:kern w:val="0"/>
      <w:szCs w:val="20"/>
      <w:lang w:val="en-GB"/>
      <w14:ligatures w14:val="none"/>
    </w:rPr>
  </w:style>
  <w:style w:type="paragraph" w:styleId="Dokumentoinaostekstas">
    <w:name w:val="endnote text"/>
    <w:basedOn w:val="prastasis"/>
    <w:link w:val="DokumentoinaostekstasDiagrama"/>
    <w:uiPriority w:val="99"/>
    <w:rsid w:val="00CF1BFF"/>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CF1BFF"/>
    <w:rPr>
      <w:rFonts w:ascii="Times New Roman" w:eastAsia="SimSun" w:hAnsi="Times New Roman" w:cs="Times New Roman"/>
      <w:kern w:val="0"/>
      <w:szCs w:val="20"/>
      <w:lang w:val="en-GB"/>
      <w14:ligatures w14:val="none"/>
    </w:rPr>
  </w:style>
  <w:style w:type="paragraph" w:customStyle="1" w:styleId="BTEMEASMCA">
    <w:name w:val="BT EMEA_SMCA"/>
    <w:basedOn w:val="prastasis"/>
    <w:link w:val="BTEMEASMCAChar"/>
    <w:autoRedefine/>
    <w:uiPriority w:val="99"/>
    <w:rsid w:val="00CF1BFF"/>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CF1BFF"/>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CF1BFF"/>
    <w:rPr>
      <w:snapToGrid w:val="0"/>
      <w:lang w:val="en-GB" w:eastAsia="en-US" w:bidi="ar-SA"/>
    </w:rPr>
  </w:style>
  <w:style w:type="paragraph" w:customStyle="1" w:styleId="CM12">
    <w:name w:val="CM12"/>
    <w:basedOn w:val="Default"/>
    <w:next w:val="Default"/>
    <w:uiPriority w:val="99"/>
    <w:rsid w:val="00CF1BFF"/>
    <w:pPr>
      <w:widowControl w:val="0"/>
    </w:pPr>
    <w:rPr>
      <w:color w:val="auto"/>
      <w:lang w:eastAsia="en-US"/>
    </w:rPr>
  </w:style>
  <w:style w:type="table" w:styleId="Lentelstinklelis">
    <w:name w:val="Table Grid"/>
    <w:basedOn w:val="prastojilentel"/>
    <w:uiPriority w:val="59"/>
    <w:rsid w:val="00CF1BFF"/>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F1BFF"/>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paragraph" w:styleId="Pataisymai">
    <w:name w:val="Revision"/>
    <w:hidden/>
    <w:uiPriority w:val="99"/>
    <w:semiHidden/>
    <w:rsid w:val="005A453A"/>
    <w:pPr>
      <w:spacing w:after="0" w:line="240" w:lineRule="auto"/>
    </w:pPr>
    <w:rPr>
      <w:rFonts w:ascii="Times New Roman" w:eastAsia="Times New Roman" w:hAnsi="Times New Roman" w:cs="Times New Roman"/>
      <w:snapToGrid w:val="0"/>
      <w:kern w:val="0"/>
      <w:szCs w:val="20"/>
      <w:lang w:val="en-GB"/>
      <w14:ligatures w14:val="none"/>
    </w:rPr>
  </w:style>
  <w:style w:type="table" w:customStyle="1" w:styleId="TablegridAgencyblack">
    <w:name w:val="Table grid (Agency) black"/>
    <w:uiPriority w:val="99"/>
    <w:semiHidden/>
    <w:rsid w:val="00CF1BFF"/>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B4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lithuania@medoch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25837</Words>
  <Characters>14728</Characters>
  <Application>Microsoft Office Word</Application>
  <DocSecurity>4</DocSecurity>
  <Lines>122</Lines>
  <Paragraphs>80</Paragraphs>
  <ScaleCrop>false</ScaleCrop>
  <HeadingPairs>
    <vt:vector size="8" baseType="variant">
      <vt:variant>
        <vt:lpstr>Pavadinimas</vt:lpstr>
      </vt:variant>
      <vt:variant>
        <vt:i4>1</vt:i4>
      </vt:variant>
      <vt:variant>
        <vt:lpstr>Antraštės</vt:lpstr>
      </vt:variant>
      <vt:variant>
        <vt:i4>96</vt:i4>
      </vt:variant>
      <vt:variant>
        <vt:lpstr>Title</vt:lpstr>
      </vt:variant>
      <vt:variant>
        <vt:i4>1</vt:i4>
      </vt:variant>
      <vt:variant>
        <vt:lpstr>Headings</vt:lpstr>
      </vt:variant>
      <vt:variant>
        <vt:i4>96</vt:i4>
      </vt:variant>
    </vt:vector>
  </HeadingPairs>
  <TitlesOfParts>
    <vt:vector size="194"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Absorbcija </vt:lpstr>
      <vt:lpstr>Memantino absoliutus biologinis prieinamumas yra apie 100 %, Tmax atsiranda po 3</vt:lpstr>
      <vt:lpstr/>
      <vt:lpstr>Pasiskirstymas</vt:lpstr>
      <vt:lpstr>Vartojant 20 mg paros dozę, koncentracija plazmoje tuo metu, kai vaistinio prepa</vt:lpstr>
      <vt:lpstr/>
      <vt:lpstr>Biotransformacija </vt:lpstr>
      <vt:lpstr>Apie 80 % žmogaus kraujyje esančio memantino kiekio yra nepakitusios medžiagos p</vt:lpstr>
      <vt:lpstr/>
      <vt:lpstr>Eliminacija </vt:lpstr>
      <vt:lpstr>Memantinas eliminuojamas monoeksponentiniu būdu. Galutinės pusinės eliminacijos </vt:lpstr>
      <vt:lpstr>Inkstuose vyksta ir vaistinio preparato reabsorbcija, galbūt veikiant katijonų p</vt:lpstr>
      <vt:lpstr/>
      <vt:lpstr>Tiesinis pobūdis</vt:lpstr>
      <vt:lpstr>Tyrimais su sveikais savanoriais nustatyta, jog 10-40 mg memantino dozių farmako</vt:lpstr>
      <vt:lpstr/>
      <vt:lpstr>Santykis tarp farmakokinetikos ir farmakodinamikos </vt:lpstr>
      <vt:lpstr>Vartojant 20 mg paros dozę, smegenų skystyje atsiranda koncentracija, atitinkant</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MANTOMED</vt:lpstr>
      <vt:lpstr>        4.	Galimas šalutinis poveikis</vt:lpstr>
      <vt:lpstr>        5.	Kaip laikyti MANTOMED</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Absorbcija </vt:lpstr>
      <vt:lpstr>Memantino absoliutus biologinis prieinamumas yra apie 100 %, Tmax atsiranda po 3</vt:lpstr>
      <vt:lpstr/>
      <vt:lpstr>Pasiskirstymas</vt:lpstr>
      <vt:lpstr>Vartojant 20 mg paros dozę, koncentracija plazmoje tuo metu, kai vaistinio prepa</vt:lpstr>
      <vt:lpstr/>
      <vt:lpstr>Biotransformacija </vt:lpstr>
      <vt:lpstr>Apie 80 % žmogaus kraujyje esančio memantino kiekio yra nepakitusios medžiagos p</vt:lpstr>
      <vt:lpstr/>
      <vt:lpstr>Eliminacija </vt:lpstr>
      <vt:lpstr>Memantinas eliminuojamas monoeksponentiniu būdu. Galutinės pusinės eliminacijos </vt:lpstr>
      <vt:lpstr>Inkstuose vyksta ir vaistinio preparato reabsorbcija, galbūt veikiant katijonų p</vt:lpstr>
      <vt:lpstr/>
      <vt:lpstr>Tiesinis pobūdis</vt:lpstr>
      <vt:lpstr>Tyrimais su sveikais savanoriais nustatyta, jog 10-40 mg memantino dozių farmako</vt:lpstr>
      <vt:lpstr/>
      <vt:lpstr>Santykis tarp farmakokinetikos ir farmakodinamikos </vt:lpstr>
      <vt:lpstr>Vartojant 20 mg paros dozę, smegenų skystyje atsiranda koncentracija, atitinkant</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MANTOMED</vt:lpstr>
      <vt:lpstr>        4.	Galimas šalutinis poveikis</vt:lpstr>
      <vt:lpstr>        5.	Kaip laikyti MANTOMED</vt:lpstr>
      <vt:lpstr>        6.	Pakuotės turinys ir kita informacija</vt:lpstr>
    </vt:vector>
  </TitlesOfParts>
  <Company/>
  <LinksUpToDate>false</LinksUpToDate>
  <CharactersWithSpaces>40485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2024-09-23T10:47:00Z</dcterms:created>
  <dcterms:modified xsi:type="dcterms:W3CDTF">2024-09-23T10:47:00Z</dcterms:modified>
</cp:coreProperties>
</file>