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44671" w14:textId="77777777" w:rsidR="00DC1CDC" w:rsidRPr="00DC1CDC" w:rsidRDefault="00DC1CDC" w:rsidP="00DC1CDC">
      <w:pPr>
        <w:spacing w:after="0" w:line="240" w:lineRule="auto"/>
        <w:rPr>
          <w:rFonts w:ascii="Times New Roman" w:eastAsia="Times New Roman" w:hAnsi="Times New Roman"/>
        </w:rPr>
      </w:pPr>
    </w:p>
    <w:p w14:paraId="0E3F2B6E" w14:textId="77777777" w:rsidR="00DC1CDC" w:rsidRPr="00DC1CDC" w:rsidRDefault="00DC1CDC" w:rsidP="00DC1CDC">
      <w:pPr>
        <w:spacing w:after="0" w:line="240" w:lineRule="auto"/>
        <w:rPr>
          <w:rFonts w:ascii="Times New Roman" w:hAnsi="Times New Roman"/>
        </w:rPr>
      </w:pPr>
    </w:p>
    <w:p w14:paraId="2871CE4A" w14:textId="77777777" w:rsidR="00DC1CDC" w:rsidRPr="00DC1CDC" w:rsidRDefault="00DC1CDC" w:rsidP="00DC1CDC">
      <w:pPr>
        <w:spacing w:after="0" w:line="240" w:lineRule="auto"/>
        <w:rPr>
          <w:rFonts w:ascii="Times New Roman" w:hAnsi="Times New Roman"/>
        </w:rPr>
      </w:pPr>
    </w:p>
    <w:p w14:paraId="3103B09F" w14:textId="77777777" w:rsidR="00DC1CDC" w:rsidRPr="00DC1CDC" w:rsidRDefault="00DC1CDC" w:rsidP="00DC1CDC">
      <w:pPr>
        <w:spacing w:after="0" w:line="240" w:lineRule="auto"/>
        <w:rPr>
          <w:rFonts w:ascii="Times New Roman" w:hAnsi="Times New Roman"/>
        </w:rPr>
      </w:pPr>
    </w:p>
    <w:p w14:paraId="759B7F07" w14:textId="77777777" w:rsidR="00DC1CDC" w:rsidRPr="00DC1CDC" w:rsidRDefault="00DC1CDC" w:rsidP="00DC1CDC">
      <w:pPr>
        <w:spacing w:after="0" w:line="240" w:lineRule="auto"/>
        <w:rPr>
          <w:rFonts w:ascii="Times New Roman" w:hAnsi="Times New Roman"/>
        </w:rPr>
      </w:pPr>
    </w:p>
    <w:p w14:paraId="69652361" w14:textId="77777777" w:rsidR="00DC1CDC" w:rsidRPr="00DC1CDC" w:rsidRDefault="00DC1CDC" w:rsidP="00DC1CDC">
      <w:pPr>
        <w:spacing w:after="0" w:line="240" w:lineRule="auto"/>
        <w:rPr>
          <w:rFonts w:ascii="Times New Roman" w:hAnsi="Times New Roman"/>
        </w:rPr>
      </w:pPr>
    </w:p>
    <w:p w14:paraId="680B398C" w14:textId="77777777" w:rsidR="00DC1CDC" w:rsidRPr="00DC1CDC" w:rsidRDefault="00DC1CDC" w:rsidP="00DC1CDC">
      <w:pPr>
        <w:spacing w:after="0" w:line="240" w:lineRule="auto"/>
        <w:rPr>
          <w:rFonts w:ascii="Times New Roman" w:hAnsi="Times New Roman"/>
        </w:rPr>
      </w:pPr>
    </w:p>
    <w:p w14:paraId="11AB8CA0" w14:textId="77777777" w:rsidR="00DC1CDC" w:rsidRPr="00DC1CDC" w:rsidRDefault="00DC1CDC" w:rsidP="00DC1CDC">
      <w:pPr>
        <w:spacing w:after="0" w:line="240" w:lineRule="auto"/>
        <w:rPr>
          <w:rFonts w:ascii="Times New Roman" w:eastAsia="Times New Roman" w:hAnsi="Times New Roman"/>
        </w:rPr>
      </w:pPr>
    </w:p>
    <w:p w14:paraId="7D3E84A7" w14:textId="77777777" w:rsidR="00DC1CDC" w:rsidRPr="00DC1CDC" w:rsidRDefault="00DC1CDC" w:rsidP="00DC1CDC">
      <w:pPr>
        <w:spacing w:after="0" w:line="240" w:lineRule="auto"/>
        <w:rPr>
          <w:rFonts w:ascii="Times New Roman" w:hAnsi="Times New Roman"/>
        </w:rPr>
      </w:pPr>
    </w:p>
    <w:p w14:paraId="6273F327" w14:textId="77777777" w:rsidR="00DC1CDC" w:rsidRPr="00DC1CDC" w:rsidRDefault="00DC1CDC" w:rsidP="00DC1CDC">
      <w:pPr>
        <w:spacing w:after="0" w:line="240" w:lineRule="auto"/>
        <w:rPr>
          <w:rFonts w:ascii="Times New Roman" w:hAnsi="Times New Roman"/>
        </w:rPr>
      </w:pPr>
    </w:p>
    <w:p w14:paraId="1543FC02" w14:textId="77777777" w:rsidR="00DC1CDC" w:rsidRPr="00DC1CDC" w:rsidRDefault="00DC1CDC" w:rsidP="00DC1CDC">
      <w:pPr>
        <w:spacing w:after="0" w:line="240" w:lineRule="auto"/>
        <w:rPr>
          <w:rFonts w:ascii="Times New Roman" w:hAnsi="Times New Roman"/>
        </w:rPr>
      </w:pPr>
    </w:p>
    <w:p w14:paraId="6C278E39" w14:textId="77777777" w:rsidR="00DC1CDC" w:rsidRPr="00DC1CDC" w:rsidRDefault="00DC1CDC" w:rsidP="00DC1CDC">
      <w:pPr>
        <w:spacing w:after="0" w:line="240" w:lineRule="auto"/>
        <w:rPr>
          <w:rFonts w:ascii="Times New Roman" w:eastAsia="Times New Roman" w:hAnsi="Times New Roman"/>
        </w:rPr>
      </w:pPr>
    </w:p>
    <w:p w14:paraId="44881512" w14:textId="77777777" w:rsidR="00DC1CDC" w:rsidRPr="00DC1CDC" w:rsidRDefault="00DC1CDC" w:rsidP="00DC1CDC">
      <w:pPr>
        <w:spacing w:after="0" w:line="240" w:lineRule="auto"/>
        <w:rPr>
          <w:rFonts w:ascii="Times New Roman" w:eastAsia="Times New Roman" w:hAnsi="Times New Roman"/>
        </w:rPr>
      </w:pPr>
    </w:p>
    <w:p w14:paraId="339D30D3" w14:textId="77777777" w:rsidR="00DC1CDC" w:rsidRPr="00DC1CDC" w:rsidRDefault="00DC1CDC" w:rsidP="00DC1CDC">
      <w:pPr>
        <w:spacing w:after="0" w:line="240" w:lineRule="auto"/>
        <w:rPr>
          <w:rFonts w:ascii="Times New Roman" w:eastAsia="Times New Roman" w:hAnsi="Times New Roman"/>
        </w:rPr>
      </w:pPr>
    </w:p>
    <w:p w14:paraId="3066EDF6" w14:textId="77777777" w:rsidR="00DC1CDC" w:rsidRPr="00DC1CDC" w:rsidRDefault="00DC1CDC" w:rsidP="00DC1CDC">
      <w:pPr>
        <w:spacing w:after="0" w:line="240" w:lineRule="auto"/>
        <w:rPr>
          <w:rFonts w:ascii="Times New Roman" w:eastAsia="Times New Roman" w:hAnsi="Times New Roman"/>
        </w:rPr>
      </w:pPr>
    </w:p>
    <w:p w14:paraId="77C3D200" w14:textId="77777777" w:rsidR="00DC1CDC" w:rsidRPr="00DC1CDC" w:rsidRDefault="00DC1CDC" w:rsidP="00DC1CDC">
      <w:pPr>
        <w:spacing w:after="0" w:line="240" w:lineRule="auto"/>
        <w:rPr>
          <w:rFonts w:ascii="Times New Roman" w:eastAsia="Times New Roman" w:hAnsi="Times New Roman"/>
        </w:rPr>
      </w:pPr>
    </w:p>
    <w:p w14:paraId="2E5C4FD3" w14:textId="77777777" w:rsidR="00DC1CDC" w:rsidRPr="00DC1CDC" w:rsidRDefault="00DC1CDC" w:rsidP="00DC1CDC">
      <w:pPr>
        <w:spacing w:after="0" w:line="240" w:lineRule="auto"/>
        <w:rPr>
          <w:rFonts w:ascii="Times New Roman" w:eastAsia="Times New Roman" w:hAnsi="Times New Roman"/>
        </w:rPr>
      </w:pPr>
    </w:p>
    <w:p w14:paraId="266F1504" w14:textId="77777777" w:rsidR="00DC1CDC" w:rsidRPr="00DC1CDC" w:rsidRDefault="00DC1CDC" w:rsidP="00DC1CDC">
      <w:pPr>
        <w:spacing w:after="0" w:line="240" w:lineRule="auto"/>
        <w:rPr>
          <w:rFonts w:ascii="Times New Roman" w:eastAsia="Times New Roman" w:hAnsi="Times New Roman"/>
        </w:rPr>
      </w:pPr>
    </w:p>
    <w:p w14:paraId="0E85F93F" w14:textId="77777777" w:rsidR="00DC1CDC" w:rsidRPr="00DC1CDC" w:rsidRDefault="00DC1CDC" w:rsidP="00DC1CDC">
      <w:pPr>
        <w:spacing w:after="0" w:line="240" w:lineRule="auto"/>
        <w:rPr>
          <w:rFonts w:ascii="Times New Roman" w:hAnsi="Times New Roman"/>
        </w:rPr>
      </w:pPr>
    </w:p>
    <w:p w14:paraId="44B7A19B" w14:textId="77777777" w:rsidR="00DC1CDC" w:rsidRPr="00DC1CDC" w:rsidRDefault="00DC1CDC" w:rsidP="00DC1CDC">
      <w:pPr>
        <w:spacing w:after="0" w:line="240" w:lineRule="auto"/>
        <w:rPr>
          <w:rFonts w:ascii="Times New Roman" w:hAnsi="Times New Roman"/>
        </w:rPr>
      </w:pPr>
    </w:p>
    <w:p w14:paraId="53BF883B" w14:textId="77777777" w:rsidR="00DC1CDC" w:rsidRPr="00DC1CDC" w:rsidRDefault="00DC1CDC" w:rsidP="00DC1CDC">
      <w:pPr>
        <w:spacing w:after="0" w:line="240" w:lineRule="auto"/>
        <w:rPr>
          <w:rFonts w:ascii="Times New Roman" w:hAnsi="Times New Roman"/>
        </w:rPr>
      </w:pPr>
    </w:p>
    <w:p w14:paraId="75DA1FDD" w14:textId="77777777" w:rsidR="00DC1CDC" w:rsidRPr="00DC1CDC" w:rsidRDefault="00DC1CDC" w:rsidP="00DC1CDC">
      <w:pPr>
        <w:spacing w:after="0" w:line="240" w:lineRule="auto"/>
        <w:rPr>
          <w:rFonts w:ascii="Times New Roman" w:hAnsi="Times New Roman"/>
        </w:rPr>
      </w:pPr>
    </w:p>
    <w:p w14:paraId="4C0558B8" w14:textId="77777777" w:rsidR="00DC1CDC" w:rsidRPr="00DC1CDC" w:rsidRDefault="00DC1CDC" w:rsidP="00DC1CDC">
      <w:pPr>
        <w:spacing w:after="0" w:line="240" w:lineRule="auto"/>
        <w:rPr>
          <w:rFonts w:ascii="Times New Roman" w:hAnsi="Times New Roman"/>
        </w:rPr>
      </w:pPr>
    </w:p>
    <w:p w14:paraId="0429795E" w14:textId="77777777" w:rsidR="00DC1CDC" w:rsidRPr="00D9492F" w:rsidRDefault="00DC1CDC" w:rsidP="00DC1CDC">
      <w:pPr>
        <w:spacing w:after="0" w:line="240" w:lineRule="auto"/>
        <w:jc w:val="center"/>
        <w:rPr>
          <w:rFonts w:ascii="Times New Roman" w:hAnsi="Times New Roman"/>
        </w:rPr>
      </w:pPr>
      <w:r w:rsidRPr="00D9492F">
        <w:rPr>
          <w:rFonts w:ascii="Times New Roman" w:hAnsi="Times New Roman"/>
          <w:b/>
        </w:rPr>
        <w:t>I PRIEDAS</w:t>
      </w:r>
    </w:p>
    <w:p w14:paraId="4621BB8D" w14:textId="77777777" w:rsidR="00DC1CDC" w:rsidRPr="00D9492F" w:rsidRDefault="00DC1CDC" w:rsidP="00DC1CDC">
      <w:pPr>
        <w:spacing w:after="0" w:line="240" w:lineRule="auto"/>
        <w:jc w:val="center"/>
        <w:rPr>
          <w:rFonts w:ascii="Times New Roman" w:hAnsi="Times New Roman"/>
          <w:b/>
        </w:rPr>
      </w:pPr>
    </w:p>
    <w:p w14:paraId="1724F71A" w14:textId="77777777" w:rsidR="00DC1CDC" w:rsidRPr="00D9492F" w:rsidRDefault="00DC1CDC" w:rsidP="00DC1CDC">
      <w:pPr>
        <w:spacing w:after="0" w:line="240" w:lineRule="auto"/>
        <w:jc w:val="center"/>
        <w:rPr>
          <w:rFonts w:ascii="Times New Roman" w:eastAsia="Times New Roman" w:hAnsi="Times New Roman"/>
          <w:b/>
        </w:rPr>
      </w:pPr>
      <w:r w:rsidRPr="00D9492F">
        <w:rPr>
          <w:rFonts w:ascii="Times New Roman" w:eastAsia="Times New Roman" w:hAnsi="Times New Roman"/>
          <w:b/>
        </w:rPr>
        <w:t>PREPARATO CHARAKTERISTIKŲ SANTRAUKA</w:t>
      </w:r>
    </w:p>
    <w:p w14:paraId="002862FC" w14:textId="77777777" w:rsidR="00DC1CDC" w:rsidRPr="00D9492F" w:rsidRDefault="00DC1CDC" w:rsidP="00DC1CDC">
      <w:pPr>
        <w:spacing w:after="0" w:line="240" w:lineRule="auto"/>
        <w:rPr>
          <w:rFonts w:ascii="Times New Roman" w:hAnsi="Times New Roman"/>
        </w:rPr>
      </w:pPr>
    </w:p>
    <w:p w14:paraId="286A1C6A" w14:textId="77777777" w:rsidR="00DC1CDC" w:rsidRPr="00D9492F" w:rsidRDefault="00DC1CDC" w:rsidP="00DC1CDC">
      <w:pPr>
        <w:spacing w:after="0" w:line="240" w:lineRule="auto"/>
        <w:rPr>
          <w:rFonts w:ascii="Times New Roman" w:hAnsi="Times New Roman"/>
        </w:rPr>
      </w:pPr>
    </w:p>
    <w:p w14:paraId="09D0D133" w14:textId="77777777" w:rsidR="00DC1CDC" w:rsidRPr="00D9492F" w:rsidRDefault="00DC1CDC" w:rsidP="00DC1CDC">
      <w:pPr>
        <w:spacing w:after="0" w:line="240" w:lineRule="auto"/>
        <w:rPr>
          <w:rFonts w:ascii="Times New Roman" w:hAnsi="Times New Roman"/>
        </w:rPr>
      </w:pPr>
    </w:p>
    <w:p w14:paraId="2AF6465A" w14:textId="77777777" w:rsidR="00DC1CDC" w:rsidRPr="00D9492F" w:rsidRDefault="00DC1CDC" w:rsidP="00DC1CDC">
      <w:pPr>
        <w:spacing w:after="0" w:line="240" w:lineRule="auto"/>
        <w:rPr>
          <w:rFonts w:ascii="Times New Roman" w:hAnsi="Times New Roman"/>
        </w:rPr>
      </w:pPr>
    </w:p>
    <w:p w14:paraId="44F5C6B5" w14:textId="77777777" w:rsidR="00DC1CDC" w:rsidRPr="00D9492F" w:rsidRDefault="00DC1CDC" w:rsidP="00DC1CDC">
      <w:pPr>
        <w:keepNext/>
        <w:keepLines/>
        <w:tabs>
          <w:tab w:val="left" w:pos="567"/>
        </w:tabs>
        <w:spacing w:after="0" w:line="240" w:lineRule="auto"/>
        <w:rPr>
          <w:rFonts w:ascii="Times New Roman" w:hAnsi="Times New Roman"/>
          <w:b/>
        </w:rPr>
      </w:pPr>
      <w:r w:rsidRPr="00D9492F">
        <w:rPr>
          <w:rFonts w:ascii="Times New Roman" w:hAnsi="Times New Roman"/>
        </w:rPr>
        <w:br w:type="page"/>
      </w:r>
      <w:r w:rsidRPr="00D9492F">
        <w:rPr>
          <w:rFonts w:ascii="Times New Roman" w:hAnsi="Times New Roman"/>
          <w:b/>
        </w:rPr>
        <w:lastRenderedPageBreak/>
        <w:t>1.</w:t>
      </w:r>
      <w:r w:rsidRPr="00D9492F">
        <w:rPr>
          <w:rFonts w:ascii="Times New Roman" w:hAnsi="Times New Roman"/>
          <w:b/>
        </w:rPr>
        <w:tab/>
        <w:t>VAISTINIO PREPARATO PAVADINIMAS</w:t>
      </w:r>
    </w:p>
    <w:p w14:paraId="23D4E9B1" w14:textId="77777777" w:rsidR="00DC1CDC" w:rsidRPr="00D9492F" w:rsidRDefault="00DC1CDC" w:rsidP="00DC1CDC">
      <w:pPr>
        <w:spacing w:after="0" w:line="240" w:lineRule="auto"/>
        <w:rPr>
          <w:rFonts w:ascii="Times New Roman" w:hAnsi="Times New Roman"/>
        </w:rPr>
      </w:pPr>
    </w:p>
    <w:p w14:paraId="3A160045" w14:textId="4CCFF418"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Docetaxel SanoSwiss </w:t>
      </w:r>
      <w:r w:rsidR="008233A7" w:rsidRPr="00D9492F">
        <w:rPr>
          <w:rFonts w:ascii="Times New Roman" w:hAnsi="Times New Roman"/>
        </w:rPr>
        <w:t>4</w:t>
      </w:r>
      <w:r w:rsidRPr="00D9492F">
        <w:rPr>
          <w:rFonts w:ascii="Times New Roman" w:hAnsi="Times New Roman"/>
        </w:rPr>
        <w:t>0 mg/ml koncentratas infuziniam tirpalui</w:t>
      </w:r>
    </w:p>
    <w:p w14:paraId="3CE5473F" w14:textId="77777777" w:rsidR="00DC1CDC" w:rsidRPr="00D9492F" w:rsidRDefault="00DC1CDC" w:rsidP="00DC1CDC">
      <w:pPr>
        <w:spacing w:after="0" w:line="240" w:lineRule="auto"/>
        <w:rPr>
          <w:rFonts w:ascii="Times New Roman" w:hAnsi="Times New Roman"/>
        </w:rPr>
      </w:pPr>
    </w:p>
    <w:p w14:paraId="42EB1820" w14:textId="77777777" w:rsidR="00DC1CDC" w:rsidRPr="00D9492F" w:rsidRDefault="00DC1CDC" w:rsidP="00DC1CDC">
      <w:pPr>
        <w:spacing w:after="0" w:line="240" w:lineRule="auto"/>
        <w:rPr>
          <w:rFonts w:ascii="Times New Roman" w:hAnsi="Times New Roman"/>
        </w:rPr>
      </w:pPr>
    </w:p>
    <w:p w14:paraId="50094E1A"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2.</w:t>
      </w:r>
      <w:r w:rsidRPr="00D9492F">
        <w:rPr>
          <w:rFonts w:ascii="Times New Roman" w:hAnsi="Times New Roman"/>
          <w:b/>
        </w:rPr>
        <w:tab/>
        <w:t>KOKYBINĖ IR KIEKYBINĖ SUDĖTIS</w:t>
      </w:r>
    </w:p>
    <w:p w14:paraId="10062A6B" w14:textId="77777777" w:rsidR="00DC1CDC" w:rsidRPr="00D9492F" w:rsidRDefault="00DC1CDC" w:rsidP="00DC1CDC">
      <w:pPr>
        <w:spacing w:after="0" w:line="240" w:lineRule="auto"/>
        <w:rPr>
          <w:rFonts w:ascii="Times New Roman" w:hAnsi="Times New Roman"/>
        </w:rPr>
      </w:pPr>
    </w:p>
    <w:p w14:paraId="5795FEB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Kiekviename koncentrato infuziniam tirpalui mililitre yra 40 mg docetakselio.</w:t>
      </w:r>
    </w:p>
    <w:p w14:paraId="3059CD5C" w14:textId="77777777" w:rsidR="00DC1CDC" w:rsidRPr="00D9492F" w:rsidRDefault="00DC1CDC" w:rsidP="00DC1CDC">
      <w:pPr>
        <w:spacing w:after="0" w:line="240" w:lineRule="auto"/>
        <w:rPr>
          <w:rFonts w:ascii="Times New Roman" w:hAnsi="Times New Roman"/>
        </w:rPr>
      </w:pPr>
    </w:p>
    <w:p w14:paraId="00280736"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Kiekviename 0,5 ml koncentrato infuziniam tirpalui flakone yra 20 mg docetakselio.</w:t>
      </w:r>
    </w:p>
    <w:p w14:paraId="1AA94C5B" w14:textId="77777777" w:rsidR="00DC1CDC" w:rsidRPr="00D9492F" w:rsidRDefault="00DC1CDC" w:rsidP="00DC1CDC">
      <w:pPr>
        <w:spacing w:after="0" w:line="240" w:lineRule="auto"/>
        <w:rPr>
          <w:rFonts w:ascii="Times New Roman" w:hAnsi="Times New Roman"/>
        </w:rPr>
      </w:pPr>
    </w:p>
    <w:p w14:paraId="6BE2F93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Kiekviename 2 ml koncentrato infuziniam tirpalui flakone yra 80 mg docetakselio.</w:t>
      </w:r>
    </w:p>
    <w:p w14:paraId="7D7F264C" w14:textId="77777777" w:rsidR="00DC1CDC" w:rsidRPr="00D9492F" w:rsidRDefault="00DC1CDC" w:rsidP="00DC1CDC">
      <w:pPr>
        <w:spacing w:after="0" w:line="240" w:lineRule="auto"/>
        <w:rPr>
          <w:rFonts w:ascii="Times New Roman" w:hAnsi="Times New Roman"/>
        </w:rPr>
      </w:pPr>
    </w:p>
    <w:p w14:paraId="11ED1EEF" w14:textId="77777777" w:rsidR="00DC1CDC" w:rsidRPr="00D9492F" w:rsidRDefault="00DC1CDC" w:rsidP="00DC1CDC">
      <w:pPr>
        <w:spacing w:after="0" w:line="240" w:lineRule="auto"/>
        <w:rPr>
          <w:rFonts w:ascii="Times New Roman" w:hAnsi="Times New Roman"/>
          <w:u w:val="single"/>
        </w:rPr>
      </w:pPr>
      <w:r w:rsidRPr="00D9492F">
        <w:rPr>
          <w:rFonts w:ascii="Times New Roman" w:hAnsi="Times New Roman"/>
          <w:u w:val="single"/>
        </w:rPr>
        <w:t>Pagalbinės medžiagos, kurių poveikis žinomas:</w:t>
      </w:r>
    </w:p>
    <w:p w14:paraId="50C86AE6"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kiekviename koncentrato infuziniam tirpalui </w:t>
      </w:r>
      <w:bookmarkStart w:id="0" w:name="_GoBack"/>
      <w:r w:rsidRPr="00D9492F">
        <w:rPr>
          <w:rFonts w:ascii="Times New Roman" w:hAnsi="Times New Roman"/>
        </w:rPr>
        <w:t>mililitre yra 40,9 % (m/m) bevandenio etanolio (326 mg).</w:t>
      </w:r>
      <w:bookmarkEnd w:id="0"/>
    </w:p>
    <w:p w14:paraId="33B9DC9C" w14:textId="77777777" w:rsidR="00DC1CDC" w:rsidRPr="00D9492F" w:rsidRDefault="00DC1CDC" w:rsidP="00DC1CDC">
      <w:pPr>
        <w:spacing w:after="0" w:line="240" w:lineRule="auto"/>
        <w:rPr>
          <w:rFonts w:ascii="Times New Roman" w:hAnsi="Times New Roman"/>
        </w:rPr>
      </w:pPr>
    </w:p>
    <w:p w14:paraId="7C512B7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Visos pagalbinės medžiagos išvardytos 6.1 skyriuje.</w:t>
      </w:r>
    </w:p>
    <w:p w14:paraId="50FCF8BA" w14:textId="77777777" w:rsidR="00DC1CDC" w:rsidRPr="00D9492F" w:rsidRDefault="00DC1CDC" w:rsidP="00DC1CDC">
      <w:pPr>
        <w:spacing w:after="0" w:line="240" w:lineRule="auto"/>
        <w:rPr>
          <w:rFonts w:ascii="Times New Roman" w:hAnsi="Times New Roman"/>
        </w:rPr>
      </w:pPr>
    </w:p>
    <w:p w14:paraId="13DECD84" w14:textId="77777777" w:rsidR="00DC1CDC" w:rsidRPr="00D9492F" w:rsidRDefault="00DC1CDC" w:rsidP="00DC1CDC">
      <w:pPr>
        <w:spacing w:after="0" w:line="240" w:lineRule="auto"/>
        <w:rPr>
          <w:rFonts w:ascii="Times New Roman" w:hAnsi="Times New Roman"/>
        </w:rPr>
      </w:pPr>
    </w:p>
    <w:p w14:paraId="657F018A" w14:textId="77777777" w:rsidR="00DC1CDC" w:rsidRPr="00D9492F" w:rsidRDefault="00DC1CDC" w:rsidP="00DC1CDC">
      <w:pPr>
        <w:keepNext/>
        <w:keepLines/>
        <w:spacing w:after="0" w:line="240" w:lineRule="auto"/>
        <w:ind w:left="567" w:hanging="567"/>
        <w:rPr>
          <w:rFonts w:ascii="Times New Roman" w:eastAsia="Times New Roman" w:hAnsi="Times New Roman"/>
          <w:b/>
        </w:rPr>
      </w:pPr>
      <w:r w:rsidRPr="00D9492F">
        <w:rPr>
          <w:rFonts w:ascii="Times New Roman" w:eastAsia="Times New Roman" w:hAnsi="Times New Roman"/>
          <w:b/>
        </w:rPr>
        <w:t>3.</w:t>
      </w:r>
      <w:r w:rsidRPr="00D9492F">
        <w:rPr>
          <w:rFonts w:ascii="Times New Roman" w:eastAsia="Times New Roman" w:hAnsi="Times New Roman"/>
          <w:b/>
        </w:rPr>
        <w:tab/>
      </w:r>
      <w:r w:rsidRPr="00D9492F">
        <w:rPr>
          <w:rFonts w:ascii="Times New Roman" w:eastAsia="Times New Roman" w:hAnsi="Times New Roman"/>
          <w:b/>
          <w:caps/>
          <w:noProof/>
        </w:rPr>
        <w:t>FARMACINĖ</w:t>
      </w:r>
      <w:r w:rsidRPr="00D9492F">
        <w:rPr>
          <w:rFonts w:ascii="Times New Roman" w:eastAsia="Times New Roman" w:hAnsi="Times New Roman"/>
          <w:b/>
        </w:rPr>
        <w:t xml:space="preserve"> FORMA </w:t>
      </w:r>
    </w:p>
    <w:p w14:paraId="546AFB00" w14:textId="77777777" w:rsidR="00DC1CDC" w:rsidRPr="00D9492F" w:rsidRDefault="00DC1CDC" w:rsidP="00DC1CDC">
      <w:pPr>
        <w:spacing w:after="0" w:line="240" w:lineRule="auto"/>
        <w:rPr>
          <w:rFonts w:ascii="Times New Roman" w:hAnsi="Times New Roman"/>
        </w:rPr>
      </w:pPr>
    </w:p>
    <w:p w14:paraId="272C101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Koncentratas infuziniam tirpalui.</w:t>
      </w:r>
    </w:p>
    <w:p w14:paraId="6072C53B" w14:textId="77777777" w:rsidR="00DC1CDC" w:rsidRPr="00D9492F" w:rsidRDefault="00DC1CDC" w:rsidP="00DC1CDC">
      <w:pPr>
        <w:spacing w:after="0" w:line="240" w:lineRule="auto"/>
        <w:rPr>
          <w:rFonts w:ascii="Times New Roman" w:hAnsi="Times New Roman"/>
        </w:rPr>
      </w:pPr>
    </w:p>
    <w:p w14:paraId="2E055814" w14:textId="7C8FC94A" w:rsidR="00DC1CDC" w:rsidRPr="00D9492F" w:rsidRDefault="00965A62" w:rsidP="00DC1CDC">
      <w:pPr>
        <w:spacing w:after="0" w:line="240" w:lineRule="auto"/>
        <w:rPr>
          <w:rFonts w:ascii="Times New Roman" w:hAnsi="Times New Roman"/>
          <w:color w:val="000000"/>
        </w:rPr>
      </w:pPr>
      <w:r w:rsidRPr="00D9492F">
        <w:rPr>
          <w:rFonts w:ascii="Times New Roman" w:hAnsi="Times New Roman"/>
          <w:color w:val="000000"/>
        </w:rPr>
        <w:t>Sterilus k</w:t>
      </w:r>
      <w:r w:rsidR="00DC1CDC" w:rsidRPr="00D9492F">
        <w:rPr>
          <w:rFonts w:ascii="Times New Roman" w:hAnsi="Times New Roman"/>
          <w:color w:val="000000"/>
        </w:rPr>
        <w:t>oncentratas yra geltonas arba gelsvas tirpalas</w:t>
      </w:r>
      <w:r w:rsidR="002D5D6B" w:rsidRPr="00D9492F">
        <w:rPr>
          <w:rFonts w:ascii="Times New Roman" w:hAnsi="Times New Roman"/>
          <w:color w:val="000000"/>
        </w:rPr>
        <w:t xml:space="preserve">, kurio </w:t>
      </w:r>
      <w:r w:rsidR="00D2377D" w:rsidRPr="00D9492F">
        <w:rPr>
          <w:rFonts w:ascii="Times New Roman" w:hAnsi="Times New Roman"/>
          <w:color w:val="000000"/>
        </w:rPr>
        <w:t>pH yra 2,5 – 4,5</w:t>
      </w:r>
    </w:p>
    <w:p w14:paraId="1E10C378" w14:textId="77777777" w:rsidR="00DC1CDC" w:rsidRPr="00D9492F" w:rsidRDefault="00DC1CDC" w:rsidP="00DC1CDC">
      <w:pPr>
        <w:spacing w:after="0" w:line="240" w:lineRule="auto"/>
        <w:rPr>
          <w:rFonts w:ascii="Times New Roman" w:hAnsi="Times New Roman"/>
        </w:rPr>
      </w:pPr>
    </w:p>
    <w:p w14:paraId="0427A206" w14:textId="77777777" w:rsidR="00DC1CDC" w:rsidRPr="00D9492F" w:rsidRDefault="00DC1CDC" w:rsidP="00DC1CDC">
      <w:pPr>
        <w:spacing w:after="0" w:line="240" w:lineRule="auto"/>
        <w:rPr>
          <w:rFonts w:ascii="Times New Roman" w:hAnsi="Times New Roman"/>
        </w:rPr>
      </w:pPr>
    </w:p>
    <w:p w14:paraId="7F7F61F8"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4.</w:t>
      </w:r>
      <w:r w:rsidRPr="00D9492F">
        <w:rPr>
          <w:rFonts w:ascii="Times New Roman" w:hAnsi="Times New Roman"/>
          <w:b/>
        </w:rPr>
        <w:tab/>
        <w:t>KLINIKINĖ INFORMACIJA</w:t>
      </w:r>
    </w:p>
    <w:p w14:paraId="54DE6439" w14:textId="77777777" w:rsidR="00DC1CDC" w:rsidRPr="00D9492F" w:rsidRDefault="00DC1CDC" w:rsidP="00DC1CDC">
      <w:pPr>
        <w:spacing w:after="0" w:line="240" w:lineRule="auto"/>
        <w:rPr>
          <w:rFonts w:ascii="Times New Roman" w:hAnsi="Times New Roman"/>
        </w:rPr>
      </w:pPr>
    </w:p>
    <w:p w14:paraId="72B7C5BB" w14:textId="77777777" w:rsidR="00DC1CDC" w:rsidRPr="00D9492F" w:rsidRDefault="00DC1CDC" w:rsidP="00DC1CDC">
      <w:pPr>
        <w:keepNext/>
        <w:keepLines/>
        <w:spacing w:after="0" w:line="240" w:lineRule="auto"/>
        <w:ind w:left="567" w:hanging="567"/>
        <w:rPr>
          <w:rFonts w:ascii="Times New Roman" w:hAnsi="Times New Roman"/>
          <w:b/>
        </w:rPr>
      </w:pPr>
      <w:bookmarkStart w:id="1" w:name="_Ref16773225"/>
      <w:r w:rsidRPr="00D9492F">
        <w:rPr>
          <w:rFonts w:ascii="Times New Roman" w:hAnsi="Times New Roman"/>
          <w:b/>
        </w:rPr>
        <w:t>4.1</w:t>
      </w:r>
      <w:r w:rsidRPr="00D9492F">
        <w:rPr>
          <w:rFonts w:ascii="Times New Roman" w:hAnsi="Times New Roman"/>
          <w:b/>
        </w:rPr>
        <w:tab/>
        <w:t>Terapinės indikacijos</w:t>
      </w:r>
      <w:bookmarkEnd w:id="1"/>
    </w:p>
    <w:p w14:paraId="0F298DC6" w14:textId="77777777" w:rsidR="00DC1CDC" w:rsidRPr="00D9492F" w:rsidRDefault="00DC1CDC" w:rsidP="00DC1CDC">
      <w:pPr>
        <w:spacing w:after="0" w:line="240" w:lineRule="auto"/>
        <w:rPr>
          <w:rFonts w:ascii="Times New Roman" w:hAnsi="Times New Roman"/>
        </w:rPr>
      </w:pPr>
    </w:p>
    <w:p w14:paraId="08903F7B" w14:textId="77777777" w:rsidR="008944E7" w:rsidRPr="00D9492F" w:rsidRDefault="008944E7" w:rsidP="008944E7">
      <w:pPr>
        <w:keepNext/>
        <w:keepLines/>
        <w:spacing w:after="0" w:line="240" w:lineRule="auto"/>
        <w:outlineLvl w:val="8"/>
        <w:rPr>
          <w:rFonts w:ascii="Times New Roman" w:hAnsi="Times New Roman"/>
          <w:u w:val="single"/>
        </w:rPr>
      </w:pPr>
      <w:r w:rsidRPr="00D9492F">
        <w:rPr>
          <w:rFonts w:ascii="Times New Roman" w:hAnsi="Times New Roman"/>
          <w:u w:val="single"/>
        </w:rPr>
        <w:t>Krūties vėžys</w:t>
      </w:r>
    </w:p>
    <w:p w14:paraId="20DFFEDE" w14:textId="77777777" w:rsidR="008944E7" w:rsidRPr="00D9492F" w:rsidRDefault="008944E7" w:rsidP="008944E7">
      <w:pPr>
        <w:spacing w:after="0" w:line="240" w:lineRule="auto"/>
        <w:rPr>
          <w:rFonts w:ascii="Times New Roman" w:hAnsi="Times New Roman"/>
        </w:rPr>
      </w:pPr>
      <w:r w:rsidRPr="00D9492F">
        <w:rPr>
          <w:rFonts w:ascii="Times New Roman" w:hAnsi="Times New Roman"/>
        </w:rPr>
        <w:t>Docetaxel SanoSwiss skirtas vartoti derinant su doksorubicinu ir ciklofosfamidu pagalbiniam gydymui pacientėms, sergančioms:</w:t>
      </w:r>
    </w:p>
    <w:p w14:paraId="4C41526E" w14:textId="77777777" w:rsidR="008944E7" w:rsidRPr="00D9492F" w:rsidRDefault="008944E7" w:rsidP="008944E7">
      <w:pPr>
        <w:keepNext/>
        <w:keepLines/>
        <w:numPr>
          <w:ilvl w:val="0"/>
          <w:numId w:val="21"/>
        </w:numPr>
        <w:spacing w:after="0" w:line="240" w:lineRule="auto"/>
        <w:rPr>
          <w:rFonts w:ascii="Times New Roman" w:hAnsi="Times New Roman"/>
        </w:rPr>
      </w:pPr>
      <w:r w:rsidRPr="00D9492F">
        <w:rPr>
          <w:rFonts w:ascii="Times New Roman" w:hAnsi="Times New Roman"/>
        </w:rPr>
        <w:t>tinkamu operuoti krūties vėžiu, metastazavusiu į limfmazgius;</w:t>
      </w:r>
    </w:p>
    <w:p w14:paraId="01042041" w14:textId="77777777" w:rsidR="008944E7" w:rsidRPr="00D9492F" w:rsidRDefault="008944E7" w:rsidP="008944E7">
      <w:pPr>
        <w:keepNext/>
        <w:keepLines/>
        <w:numPr>
          <w:ilvl w:val="0"/>
          <w:numId w:val="21"/>
        </w:numPr>
        <w:spacing w:after="0" w:line="240" w:lineRule="auto"/>
        <w:rPr>
          <w:rFonts w:ascii="Times New Roman" w:hAnsi="Times New Roman"/>
        </w:rPr>
      </w:pPr>
      <w:r w:rsidRPr="00D9492F">
        <w:rPr>
          <w:rFonts w:ascii="Times New Roman" w:hAnsi="Times New Roman"/>
        </w:rPr>
        <w:t>tinkamu operuoti krūties vėžiu, nemetastazavusiu į limfmazgius.</w:t>
      </w:r>
    </w:p>
    <w:p w14:paraId="16560C5F" w14:textId="77777777" w:rsidR="008944E7" w:rsidRPr="00D9492F" w:rsidRDefault="008944E7" w:rsidP="008944E7">
      <w:pPr>
        <w:spacing w:after="0" w:line="240" w:lineRule="auto"/>
        <w:rPr>
          <w:rFonts w:ascii="Times New Roman" w:hAnsi="Times New Roman"/>
        </w:rPr>
      </w:pPr>
    </w:p>
    <w:p w14:paraId="7E25592C" w14:textId="77777777" w:rsidR="008944E7" w:rsidRPr="00D9492F" w:rsidRDefault="008944E7" w:rsidP="008944E7">
      <w:pPr>
        <w:spacing w:after="0" w:line="240" w:lineRule="auto"/>
        <w:rPr>
          <w:rFonts w:ascii="Times New Roman" w:hAnsi="Times New Roman"/>
        </w:rPr>
      </w:pPr>
      <w:r w:rsidRPr="00D9492F">
        <w:rPr>
          <w:rFonts w:ascii="Times New Roman" w:hAnsi="Times New Roman"/>
        </w:rPr>
        <w:t>Pacientėms, sergančioms tinkamu operuoti į limfmazgius nemetastazavusiu krūties vėžiu, pagalbinis gydymas gali būti taikomas tik tuo atveju, jei pagal tarptautinius ankstyvo krūties vėžio pradinio gydymo kriterijus, šioms pacientėms galima chemoterapija (žr. 5.1 skyrių).</w:t>
      </w:r>
    </w:p>
    <w:p w14:paraId="79DAEF52" w14:textId="77777777" w:rsidR="008944E7" w:rsidRPr="00D9492F" w:rsidRDefault="008944E7" w:rsidP="008944E7">
      <w:pPr>
        <w:spacing w:after="0" w:line="240" w:lineRule="auto"/>
        <w:rPr>
          <w:rFonts w:ascii="Times New Roman" w:hAnsi="Times New Roman"/>
        </w:rPr>
      </w:pPr>
    </w:p>
    <w:p w14:paraId="5F1C0876" w14:textId="3A7C6DE9" w:rsidR="008944E7" w:rsidRPr="00D9492F" w:rsidRDefault="008944E7" w:rsidP="008944E7">
      <w:pPr>
        <w:spacing w:after="0" w:line="240" w:lineRule="auto"/>
        <w:rPr>
          <w:rFonts w:ascii="Times New Roman" w:hAnsi="Times New Roman"/>
        </w:rPr>
      </w:pPr>
      <w:r w:rsidRPr="00D9492F">
        <w:rPr>
          <w:rFonts w:ascii="Times New Roman" w:hAnsi="Times New Roman"/>
        </w:rPr>
        <w:t>Docetaxel SanoSwiss skirtas vartoti, derinant su doksorubicinu, lokaliai progresavusiam arba metastaziniam krūties vėžiui gydyti pacientėms, kurios anksčiau nebuvo gydytos nuo šios ligos citotoksiniais vaistiniais preparatais.</w:t>
      </w:r>
    </w:p>
    <w:p w14:paraId="517D7174" w14:textId="77777777" w:rsidR="008944E7" w:rsidRPr="00D9492F" w:rsidRDefault="008944E7" w:rsidP="008944E7">
      <w:pPr>
        <w:spacing w:after="0" w:line="240" w:lineRule="auto"/>
        <w:rPr>
          <w:rFonts w:ascii="Times New Roman" w:hAnsi="Times New Roman"/>
        </w:rPr>
      </w:pPr>
    </w:p>
    <w:p w14:paraId="54766022" w14:textId="5291498D" w:rsidR="008944E7" w:rsidRPr="00D9492F" w:rsidRDefault="008944E7" w:rsidP="008944E7">
      <w:pPr>
        <w:spacing w:after="0" w:line="240" w:lineRule="auto"/>
        <w:rPr>
          <w:rFonts w:ascii="Times New Roman" w:hAnsi="Times New Roman"/>
        </w:rPr>
      </w:pPr>
      <w:r w:rsidRPr="00D9492F">
        <w:rPr>
          <w:rFonts w:ascii="Times New Roman" w:hAnsi="Times New Roman"/>
        </w:rPr>
        <w:t>Docetaxel SanoSwiss skirtas vartoti lokaliai progresavusio arba metastazinio krūties vėžio monoterapijai, jei citotoksinė chemoterapija, kurios sudėtyje buvo antraciklinas arba alkilinantis vaistinis preparatas, buvo neveiksminga.</w:t>
      </w:r>
    </w:p>
    <w:p w14:paraId="5C52CEE4" w14:textId="77777777" w:rsidR="008944E7" w:rsidRPr="00D9492F" w:rsidRDefault="008944E7" w:rsidP="008944E7">
      <w:pPr>
        <w:spacing w:after="0" w:line="240" w:lineRule="auto"/>
        <w:rPr>
          <w:rFonts w:ascii="Times New Roman" w:hAnsi="Times New Roman"/>
        </w:rPr>
      </w:pPr>
    </w:p>
    <w:p w14:paraId="6FD7F929" w14:textId="77777777" w:rsidR="008944E7" w:rsidRPr="00D9492F" w:rsidRDefault="008944E7" w:rsidP="008944E7">
      <w:pPr>
        <w:spacing w:after="0" w:line="240" w:lineRule="auto"/>
        <w:rPr>
          <w:rFonts w:ascii="Times New Roman" w:hAnsi="Times New Roman"/>
        </w:rPr>
      </w:pPr>
      <w:r w:rsidRPr="00D9492F">
        <w:rPr>
          <w:rFonts w:ascii="Times New Roman" w:hAnsi="Times New Roman"/>
        </w:rPr>
        <w:t>Docetaxel SanoSwiss skirtas vartoti, derinant su transtuzumabu, metastaziniam krūties vėžiui gydyti, jei nustatyta naviko HER2 hiperekspresija ir jeigu metastazinio vėžio chemoterapija anksčiau netaikyta.</w:t>
      </w:r>
    </w:p>
    <w:p w14:paraId="4B7E8F28" w14:textId="77777777" w:rsidR="008944E7" w:rsidRPr="00D9492F" w:rsidRDefault="008944E7" w:rsidP="008944E7">
      <w:pPr>
        <w:spacing w:after="0" w:line="240" w:lineRule="auto"/>
        <w:rPr>
          <w:rFonts w:ascii="Times New Roman" w:hAnsi="Times New Roman"/>
        </w:rPr>
      </w:pPr>
    </w:p>
    <w:p w14:paraId="5146D5B6" w14:textId="2ABF921F" w:rsidR="008944E7" w:rsidRPr="00D9492F" w:rsidRDefault="008944E7" w:rsidP="008944E7">
      <w:pPr>
        <w:spacing w:after="0" w:line="240" w:lineRule="auto"/>
        <w:rPr>
          <w:rFonts w:ascii="Times New Roman" w:hAnsi="Times New Roman"/>
        </w:rPr>
      </w:pPr>
      <w:r w:rsidRPr="00D9492F">
        <w:rPr>
          <w:rFonts w:ascii="Times New Roman" w:hAnsi="Times New Roman"/>
        </w:rPr>
        <w:t>Docetaxel SanoSwiss skirtas vartoti, derinant su kapecitabinu, lokaliai progresavusiam arba metastaziniam krūties vėžiui gydyti, jei citotoksinė chemoterapija, kurios sudėtyje buvo antraciklinas, buvo neveiksminga.</w:t>
      </w:r>
    </w:p>
    <w:p w14:paraId="25817B57" w14:textId="77777777" w:rsidR="008944E7" w:rsidRPr="00D9492F" w:rsidRDefault="008944E7" w:rsidP="008944E7">
      <w:pPr>
        <w:spacing w:after="0" w:line="240" w:lineRule="auto"/>
        <w:rPr>
          <w:rFonts w:ascii="Times New Roman" w:hAnsi="Times New Roman"/>
        </w:rPr>
      </w:pPr>
    </w:p>
    <w:p w14:paraId="7365725F" w14:textId="77777777" w:rsidR="008944E7" w:rsidRPr="00D9492F" w:rsidRDefault="008944E7" w:rsidP="008944E7">
      <w:pPr>
        <w:spacing w:after="0" w:line="240" w:lineRule="auto"/>
        <w:rPr>
          <w:rFonts w:ascii="Times New Roman" w:hAnsi="Times New Roman"/>
          <w:u w:val="single"/>
        </w:rPr>
      </w:pPr>
      <w:r w:rsidRPr="00D9492F">
        <w:rPr>
          <w:rFonts w:ascii="Times New Roman" w:hAnsi="Times New Roman"/>
          <w:u w:val="single"/>
        </w:rPr>
        <w:t>Nesmulkialąstelinis plaučių vėžys</w:t>
      </w:r>
    </w:p>
    <w:p w14:paraId="15E1A871" w14:textId="12557852" w:rsidR="008944E7" w:rsidRPr="00D9492F" w:rsidRDefault="008944E7" w:rsidP="008944E7">
      <w:pPr>
        <w:spacing w:after="0" w:line="240" w:lineRule="auto"/>
        <w:rPr>
          <w:rFonts w:ascii="Times New Roman" w:hAnsi="Times New Roman"/>
        </w:rPr>
      </w:pPr>
      <w:r w:rsidRPr="00D9492F">
        <w:rPr>
          <w:rFonts w:ascii="Times New Roman" w:hAnsi="Times New Roman"/>
        </w:rPr>
        <w:lastRenderedPageBreak/>
        <w:t>Docetaxel SanoSwiss skirtas vartoti lokaliai progresavusiam arba metastaziniam nesmulkialąsteliniam plaučių vėžiui</w:t>
      </w:r>
      <w:r w:rsidRPr="00D9492F" w:rsidDel="001A75E2">
        <w:rPr>
          <w:rFonts w:ascii="Times New Roman" w:hAnsi="Times New Roman"/>
        </w:rPr>
        <w:t xml:space="preserve"> </w:t>
      </w:r>
      <w:r w:rsidRPr="00D9492F">
        <w:rPr>
          <w:rFonts w:ascii="Times New Roman" w:hAnsi="Times New Roman"/>
        </w:rPr>
        <w:t>gydyti, jei ankstesnė chemoterapija buvo neveiksminga.</w:t>
      </w:r>
    </w:p>
    <w:p w14:paraId="0D07A955" w14:textId="77777777" w:rsidR="008944E7" w:rsidRPr="00D9492F" w:rsidRDefault="008944E7" w:rsidP="008944E7">
      <w:pPr>
        <w:spacing w:after="0" w:line="240" w:lineRule="auto"/>
        <w:rPr>
          <w:rFonts w:ascii="Times New Roman" w:hAnsi="Times New Roman"/>
        </w:rPr>
      </w:pPr>
    </w:p>
    <w:p w14:paraId="79F7D0C8" w14:textId="73F59915" w:rsidR="008944E7" w:rsidRPr="00D9492F" w:rsidRDefault="008944E7" w:rsidP="008944E7">
      <w:pPr>
        <w:spacing w:after="0" w:line="240" w:lineRule="auto"/>
        <w:rPr>
          <w:rFonts w:ascii="Times New Roman" w:hAnsi="Times New Roman"/>
        </w:rPr>
      </w:pPr>
      <w:r w:rsidRPr="00D9492F">
        <w:rPr>
          <w:rFonts w:ascii="Times New Roman" w:hAnsi="Times New Roman"/>
        </w:rPr>
        <w:t>Docetaxel SanoSwiss skirtas vartoti, derinant su cisplatina, neoperuotinam lokaliai progresavusiam  arba metastaziniam nesmulkialąsteliniam plaučių vėžiui</w:t>
      </w:r>
      <w:r w:rsidRPr="00D9492F" w:rsidDel="001A75E2">
        <w:rPr>
          <w:rFonts w:ascii="Times New Roman" w:hAnsi="Times New Roman"/>
        </w:rPr>
        <w:t xml:space="preserve"> </w:t>
      </w:r>
      <w:r w:rsidRPr="00D9492F">
        <w:rPr>
          <w:rFonts w:ascii="Times New Roman" w:hAnsi="Times New Roman"/>
        </w:rPr>
        <w:t>gydyti pacientams, kuriems šios ligos chemoterapija anksčiau netaikyta.</w:t>
      </w:r>
    </w:p>
    <w:p w14:paraId="33117D9F" w14:textId="77777777" w:rsidR="008944E7" w:rsidRPr="00D9492F" w:rsidRDefault="008944E7" w:rsidP="008944E7">
      <w:pPr>
        <w:spacing w:after="0" w:line="240" w:lineRule="auto"/>
        <w:rPr>
          <w:rFonts w:ascii="Times New Roman" w:hAnsi="Times New Roman"/>
        </w:rPr>
      </w:pPr>
    </w:p>
    <w:p w14:paraId="410D0511" w14:textId="77777777" w:rsidR="008944E7" w:rsidRPr="00D9492F" w:rsidRDefault="008944E7" w:rsidP="008944E7">
      <w:pPr>
        <w:spacing w:after="0" w:line="240" w:lineRule="auto"/>
        <w:rPr>
          <w:rFonts w:ascii="Times New Roman" w:hAnsi="Times New Roman"/>
          <w:u w:val="single"/>
        </w:rPr>
      </w:pPr>
      <w:r w:rsidRPr="00D9492F">
        <w:rPr>
          <w:rFonts w:ascii="Times New Roman" w:hAnsi="Times New Roman"/>
          <w:u w:val="single"/>
        </w:rPr>
        <w:t>Prostatos vėžys</w:t>
      </w:r>
    </w:p>
    <w:p w14:paraId="2B8841E2" w14:textId="756E7073" w:rsidR="008944E7" w:rsidRPr="00D9492F" w:rsidRDefault="008944E7" w:rsidP="008944E7">
      <w:pPr>
        <w:spacing w:after="0" w:line="240" w:lineRule="auto"/>
        <w:rPr>
          <w:rFonts w:ascii="Times New Roman" w:hAnsi="Times New Roman"/>
        </w:rPr>
      </w:pPr>
      <w:r w:rsidRPr="00D9492F">
        <w:rPr>
          <w:rFonts w:ascii="Times New Roman" w:hAnsi="Times New Roman"/>
        </w:rPr>
        <w:t xml:space="preserve">Docetaxel SanoSwiss skirtas vartoti, derinant su prednizonu ar prednizolonu, </w:t>
      </w:r>
      <w:r w:rsidR="006C0026" w:rsidRPr="00D9492F">
        <w:rPr>
          <w:rFonts w:ascii="Times New Roman" w:hAnsi="Times New Roman"/>
        </w:rPr>
        <w:t xml:space="preserve">kastracijai </w:t>
      </w:r>
      <w:r w:rsidRPr="00D9492F">
        <w:rPr>
          <w:rFonts w:ascii="Times New Roman" w:hAnsi="Times New Roman"/>
        </w:rPr>
        <w:t xml:space="preserve"> atspariam metastaziniam prostatos vėžiui gydyti.</w:t>
      </w:r>
    </w:p>
    <w:p w14:paraId="4FBC6053" w14:textId="684C37FC" w:rsidR="006C0026" w:rsidRPr="00D9492F" w:rsidRDefault="006C0026" w:rsidP="006C0026">
      <w:pPr>
        <w:spacing w:after="0" w:line="240" w:lineRule="auto"/>
        <w:rPr>
          <w:rFonts w:ascii="Times New Roman" w:hAnsi="Times New Roman"/>
        </w:rPr>
      </w:pPr>
      <w:r w:rsidRPr="00D9492F">
        <w:rPr>
          <w:rFonts w:ascii="Times New Roman" w:hAnsi="Times New Roman"/>
        </w:rPr>
        <w:t>Docetaxel SanoSwiss</w:t>
      </w:r>
      <w:r w:rsidR="000F6E68" w:rsidRPr="00D9492F">
        <w:rPr>
          <w:rFonts w:ascii="Times New Roman" w:hAnsi="Times New Roman"/>
        </w:rPr>
        <w:t xml:space="preserve"> skirtas</w:t>
      </w:r>
      <w:r w:rsidRPr="00D9492F">
        <w:rPr>
          <w:rFonts w:ascii="Times New Roman" w:hAnsi="Times New Roman"/>
        </w:rPr>
        <w:t xml:space="preserve"> varto</w:t>
      </w:r>
      <w:r w:rsidR="000F6E68" w:rsidRPr="00D9492F">
        <w:rPr>
          <w:rFonts w:ascii="Times New Roman" w:hAnsi="Times New Roman"/>
        </w:rPr>
        <w:t>ti</w:t>
      </w:r>
      <w:r w:rsidRPr="00D9492F">
        <w:rPr>
          <w:rFonts w:ascii="Times New Roman" w:hAnsi="Times New Roman"/>
        </w:rPr>
        <w:t xml:space="preserve"> </w:t>
      </w:r>
      <w:r w:rsidR="000F6E68" w:rsidRPr="00D9492F">
        <w:rPr>
          <w:rFonts w:ascii="Times New Roman" w:hAnsi="Times New Roman"/>
        </w:rPr>
        <w:t>derinant</w:t>
      </w:r>
      <w:r w:rsidRPr="00D9492F">
        <w:rPr>
          <w:rFonts w:ascii="Times New Roman" w:hAnsi="Times New Roman"/>
        </w:rPr>
        <w:t xml:space="preserve"> su androgenų deprivacijos terapija (ADT), kartu su prednizonu ar prednizolonu arba be jų, metastazavusi</w:t>
      </w:r>
      <w:r w:rsidR="000F6E68" w:rsidRPr="00D9492F">
        <w:rPr>
          <w:rFonts w:ascii="Times New Roman" w:hAnsi="Times New Roman"/>
        </w:rPr>
        <w:t>o</w:t>
      </w:r>
      <w:r w:rsidRPr="00D9492F">
        <w:rPr>
          <w:rFonts w:ascii="Times New Roman" w:hAnsi="Times New Roman"/>
        </w:rPr>
        <w:t xml:space="preserve"> hormonams jautr</w:t>
      </w:r>
      <w:r w:rsidR="000F6E68" w:rsidRPr="00D9492F">
        <w:rPr>
          <w:rFonts w:ascii="Times New Roman" w:hAnsi="Times New Roman"/>
        </w:rPr>
        <w:t>aus</w:t>
      </w:r>
      <w:r w:rsidRPr="00D9492F">
        <w:rPr>
          <w:rFonts w:ascii="Times New Roman" w:hAnsi="Times New Roman"/>
        </w:rPr>
        <w:t xml:space="preserve"> prostatos vėži</w:t>
      </w:r>
      <w:r w:rsidR="000F6E68" w:rsidRPr="00D9492F">
        <w:rPr>
          <w:rFonts w:ascii="Times New Roman" w:hAnsi="Times New Roman"/>
        </w:rPr>
        <w:t>o</w:t>
      </w:r>
      <w:r w:rsidRPr="00D9492F">
        <w:rPr>
          <w:rFonts w:ascii="Times New Roman" w:hAnsi="Times New Roman"/>
        </w:rPr>
        <w:t xml:space="preserve"> gydy</w:t>
      </w:r>
      <w:r w:rsidR="000F6E68" w:rsidRPr="00D9492F">
        <w:rPr>
          <w:rFonts w:ascii="Times New Roman" w:hAnsi="Times New Roman"/>
        </w:rPr>
        <w:t>mui</w:t>
      </w:r>
      <w:r w:rsidRPr="00D9492F">
        <w:rPr>
          <w:rFonts w:ascii="Times New Roman" w:hAnsi="Times New Roman"/>
        </w:rPr>
        <w:t>.</w:t>
      </w:r>
    </w:p>
    <w:p w14:paraId="25543360" w14:textId="77777777" w:rsidR="008944E7" w:rsidRPr="00D9492F" w:rsidRDefault="008944E7" w:rsidP="008944E7">
      <w:pPr>
        <w:spacing w:after="0" w:line="240" w:lineRule="auto"/>
        <w:rPr>
          <w:rFonts w:ascii="Times New Roman" w:hAnsi="Times New Roman"/>
        </w:rPr>
      </w:pPr>
    </w:p>
    <w:p w14:paraId="2A43AD2A" w14:textId="77777777" w:rsidR="008944E7" w:rsidRPr="00D9492F" w:rsidRDefault="008944E7" w:rsidP="008944E7">
      <w:pPr>
        <w:spacing w:after="0" w:line="240" w:lineRule="auto"/>
        <w:rPr>
          <w:rFonts w:ascii="Times New Roman" w:hAnsi="Times New Roman"/>
          <w:u w:val="single"/>
        </w:rPr>
      </w:pPr>
      <w:r w:rsidRPr="00D9492F">
        <w:rPr>
          <w:rFonts w:ascii="Times New Roman" w:hAnsi="Times New Roman"/>
          <w:u w:val="single"/>
        </w:rPr>
        <w:t>Skrandžio adenokarcinoma</w:t>
      </w:r>
    </w:p>
    <w:p w14:paraId="0156DC15" w14:textId="77777777" w:rsidR="008944E7" w:rsidRPr="00D9492F" w:rsidRDefault="008944E7" w:rsidP="008944E7">
      <w:pPr>
        <w:spacing w:after="0" w:line="240" w:lineRule="auto"/>
        <w:rPr>
          <w:rFonts w:ascii="Times New Roman" w:hAnsi="Times New Roman"/>
        </w:rPr>
      </w:pPr>
      <w:r w:rsidRPr="00D9492F">
        <w:rPr>
          <w:rFonts w:ascii="Times New Roman" w:hAnsi="Times New Roman"/>
        </w:rPr>
        <w:t>Docetaxel SanoSwiss skirtas vartoti, derinant su cisplatina ir 5-fluorouracilu, metastazinei skrandžio adenokarcinomai, įskaitant skrandžio ir stemplės jungties adenokarcinomą, gydyti pacientams, kuriems metastazinės</w:t>
      </w:r>
      <w:r w:rsidRPr="00D9492F" w:rsidDel="00FB4F6E">
        <w:rPr>
          <w:rFonts w:ascii="Times New Roman" w:hAnsi="Times New Roman"/>
        </w:rPr>
        <w:t xml:space="preserve"> </w:t>
      </w:r>
      <w:r w:rsidRPr="00D9492F">
        <w:rPr>
          <w:rFonts w:ascii="Times New Roman" w:hAnsi="Times New Roman"/>
        </w:rPr>
        <w:t>ligos chemoterapija anksčiau netaikyta.</w:t>
      </w:r>
    </w:p>
    <w:p w14:paraId="7C45D177" w14:textId="77777777" w:rsidR="008944E7" w:rsidRPr="00D9492F" w:rsidRDefault="008944E7" w:rsidP="008944E7">
      <w:pPr>
        <w:spacing w:after="0" w:line="240" w:lineRule="auto"/>
        <w:rPr>
          <w:rFonts w:ascii="Times New Roman" w:hAnsi="Times New Roman"/>
        </w:rPr>
      </w:pPr>
    </w:p>
    <w:p w14:paraId="1D81B925" w14:textId="77777777" w:rsidR="008944E7" w:rsidRPr="00D9492F" w:rsidRDefault="008944E7" w:rsidP="008944E7">
      <w:pPr>
        <w:spacing w:after="0" w:line="240" w:lineRule="auto"/>
        <w:rPr>
          <w:rFonts w:ascii="Times New Roman" w:hAnsi="Times New Roman"/>
          <w:u w:val="single"/>
        </w:rPr>
      </w:pPr>
      <w:r w:rsidRPr="00D9492F">
        <w:rPr>
          <w:rFonts w:ascii="Times New Roman" w:hAnsi="Times New Roman"/>
          <w:u w:val="single"/>
        </w:rPr>
        <w:t>Galvos ir kaklo vėžys</w:t>
      </w:r>
    </w:p>
    <w:p w14:paraId="14A889A6" w14:textId="2FFEBCC8" w:rsidR="008944E7" w:rsidRPr="00D9492F" w:rsidRDefault="008944E7" w:rsidP="008944E7">
      <w:pPr>
        <w:spacing w:after="0" w:line="240" w:lineRule="auto"/>
        <w:rPr>
          <w:rFonts w:ascii="Times New Roman" w:hAnsi="Times New Roman"/>
        </w:rPr>
      </w:pPr>
      <w:r w:rsidRPr="00D9492F">
        <w:rPr>
          <w:rFonts w:ascii="Times New Roman" w:hAnsi="Times New Roman"/>
        </w:rPr>
        <w:t>Docetaxel SanoSwiss skirtas vartoti, derinant su cisplatina ir 5-fluorouracilu, lokaliai progresavusio galvos</w:t>
      </w:r>
      <w:r w:rsidRPr="00D9492F" w:rsidDel="00FB4F6E">
        <w:rPr>
          <w:rFonts w:ascii="Times New Roman" w:hAnsi="Times New Roman"/>
        </w:rPr>
        <w:t xml:space="preserve"> </w:t>
      </w:r>
      <w:r w:rsidRPr="00D9492F">
        <w:rPr>
          <w:rFonts w:ascii="Times New Roman" w:hAnsi="Times New Roman"/>
        </w:rPr>
        <w:t>ir kaklo plokščialąstelinio vėžio įvadiniam gydymui.</w:t>
      </w:r>
    </w:p>
    <w:p w14:paraId="66809F9A" w14:textId="77777777" w:rsidR="00DC1CDC" w:rsidRPr="00D9492F" w:rsidRDefault="00DC1CDC" w:rsidP="00DC1CDC">
      <w:pPr>
        <w:spacing w:after="0" w:line="240" w:lineRule="auto"/>
        <w:rPr>
          <w:rFonts w:ascii="Times New Roman" w:hAnsi="Times New Roman"/>
        </w:rPr>
      </w:pPr>
    </w:p>
    <w:p w14:paraId="6F77C576" w14:textId="77777777" w:rsidR="00DC1CDC" w:rsidRPr="00D9492F" w:rsidRDefault="00DC1CDC" w:rsidP="00DC1CDC">
      <w:pPr>
        <w:keepNext/>
        <w:keepLines/>
        <w:spacing w:after="0" w:line="240" w:lineRule="auto"/>
        <w:ind w:left="567" w:hanging="567"/>
        <w:rPr>
          <w:rFonts w:ascii="Times New Roman" w:hAnsi="Times New Roman"/>
          <w:b/>
        </w:rPr>
      </w:pPr>
      <w:bookmarkStart w:id="2" w:name="_Ref16308852"/>
      <w:r w:rsidRPr="00D9492F">
        <w:rPr>
          <w:rFonts w:ascii="Times New Roman" w:hAnsi="Times New Roman"/>
          <w:b/>
        </w:rPr>
        <w:t>4.2</w:t>
      </w:r>
      <w:r w:rsidRPr="00D9492F">
        <w:rPr>
          <w:rFonts w:ascii="Times New Roman" w:hAnsi="Times New Roman"/>
          <w:b/>
        </w:rPr>
        <w:tab/>
        <w:t xml:space="preserve">Dozavimas ir vartojimo </w:t>
      </w:r>
      <w:bookmarkEnd w:id="2"/>
      <w:r w:rsidRPr="00D9492F">
        <w:rPr>
          <w:rFonts w:ascii="Times New Roman" w:hAnsi="Times New Roman"/>
          <w:b/>
        </w:rPr>
        <w:t>metodas</w:t>
      </w:r>
    </w:p>
    <w:p w14:paraId="60DF3CFF" w14:textId="77777777" w:rsidR="00DC1CDC" w:rsidRPr="00D9492F" w:rsidRDefault="00DC1CDC" w:rsidP="00DC1CDC">
      <w:pPr>
        <w:spacing w:after="0" w:line="240" w:lineRule="auto"/>
        <w:rPr>
          <w:rFonts w:ascii="Times New Roman" w:hAnsi="Times New Roman"/>
        </w:rPr>
      </w:pPr>
    </w:p>
    <w:p w14:paraId="6F33E9A9" w14:textId="77777777" w:rsidR="00DC1CDC" w:rsidRPr="00D9492F" w:rsidRDefault="00DC1CDC" w:rsidP="00DC1CDC">
      <w:pPr>
        <w:spacing w:after="0"/>
        <w:rPr>
          <w:rFonts w:ascii="Times New Roman" w:hAnsi="Times New Roman"/>
          <w:u w:val="single"/>
        </w:rPr>
      </w:pPr>
      <w:r w:rsidRPr="00D9492F">
        <w:rPr>
          <w:rFonts w:ascii="Times New Roman" w:hAnsi="Times New Roman"/>
          <w:u w:val="single"/>
        </w:rPr>
        <w:t>Dozavimas</w:t>
      </w:r>
    </w:p>
    <w:p w14:paraId="3597EF3B" w14:textId="77777777" w:rsidR="00DC1CDC" w:rsidRPr="00D9492F" w:rsidRDefault="00DC1CDC" w:rsidP="00DC1CDC">
      <w:pPr>
        <w:spacing w:after="0" w:line="240" w:lineRule="auto"/>
        <w:rPr>
          <w:rFonts w:ascii="Times New Roman" w:hAnsi="Times New Roman"/>
        </w:rPr>
      </w:pPr>
    </w:p>
    <w:p w14:paraId="20C1879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Docetakselį galima vartoti tik specializuotuose citotoksinės chemoterapijos skyriuose, prižiūrint gydytojui – kvalifikuotam priešvėžinės chemoterapijos specialistui (žr. 6.6 skyrių).</w:t>
      </w:r>
    </w:p>
    <w:p w14:paraId="3B7ABD69" w14:textId="77777777" w:rsidR="00DC1CDC" w:rsidRPr="00D9492F" w:rsidRDefault="00DC1CDC" w:rsidP="00DC1CDC">
      <w:pPr>
        <w:spacing w:after="0" w:line="240" w:lineRule="auto"/>
        <w:rPr>
          <w:rFonts w:ascii="Times New Roman" w:hAnsi="Times New Roman"/>
        </w:rPr>
      </w:pPr>
    </w:p>
    <w:p w14:paraId="6EC1490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Jeigu nėra kontraindikacijų, tai, gydant krūties, plaučių nesmulkiųjų ląstelių, skrandžio, galvos ar kaklo vėžį, galima </w:t>
      </w:r>
      <w:r w:rsidR="00677D33" w:rsidRPr="00D9492F">
        <w:rPr>
          <w:rFonts w:ascii="Times New Roman" w:hAnsi="Times New Roman"/>
        </w:rPr>
        <w:t xml:space="preserve">skirti </w:t>
      </w:r>
      <w:r w:rsidRPr="00D9492F">
        <w:rPr>
          <w:rFonts w:ascii="Times New Roman" w:hAnsi="Times New Roman"/>
        </w:rPr>
        <w:t xml:space="preserve">premedikaciją: 3 dienas duodama gerti kortikosteroido, pvz., deksametazono 16 mg per parą (pvz., 2 kartus po 8 mg). Deksametazonas pradedamas vartoti likus dienai iki docetakselio (žr. 4.4 skyrių). Hematotoksinio poveikio pavojui sumažinti profilaktiškai galima vartoti </w:t>
      </w:r>
      <w:r w:rsidR="00677D33" w:rsidRPr="00D9492F">
        <w:rPr>
          <w:rFonts w:ascii="Times New Roman" w:hAnsi="Times New Roman"/>
        </w:rPr>
        <w:t>granuliocitų kolonijas stimuliuojančio faktoriaus (</w:t>
      </w:r>
      <w:r w:rsidRPr="00D9492F">
        <w:rPr>
          <w:rFonts w:ascii="Times New Roman" w:hAnsi="Times New Roman"/>
        </w:rPr>
        <w:t>G</w:t>
      </w:r>
      <w:r w:rsidRPr="00D9492F">
        <w:rPr>
          <w:rFonts w:ascii="Times New Roman" w:hAnsi="Times New Roman"/>
        </w:rPr>
        <w:noBreakHyphen/>
        <w:t>KSF</w:t>
      </w:r>
      <w:r w:rsidR="00677D33" w:rsidRPr="00D9492F">
        <w:rPr>
          <w:rFonts w:ascii="Times New Roman" w:hAnsi="Times New Roman"/>
        </w:rPr>
        <w:t>)</w:t>
      </w:r>
      <w:r w:rsidRPr="00D9492F">
        <w:rPr>
          <w:rFonts w:ascii="Times New Roman" w:hAnsi="Times New Roman"/>
        </w:rPr>
        <w:t>.</w:t>
      </w:r>
    </w:p>
    <w:p w14:paraId="081B49E5" w14:textId="0F0416B3"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Gydant </w:t>
      </w:r>
      <w:r w:rsidR="006C0026" w:rsidRPr="00D9492F">
        <w:rPr>
          <w:rFonts w:ascii="Times New Roman" w:hAnsi="Times New Roman"/>
        </w:rPr>
        <w:t xml:space="preserve">metastazavusį kastracijai atsparų </w:t>
      </w:r>
      <w:r w:rsidRPr="00D9492F">
        <w:rPr>
          <w:rFonts w:ascii="Times New Roman" w:hAnsi="Times New Roman"/>
        </w:rPr>
        <w:t>prostatos vėžį, premedikacijai rekomenduojama duoti gerti 8 mg deksametazono likus 12 val., 3 val. ir 1 val. iki docetakselio infuzijos, atsižvelgiant į tai, kad kartu vartojamas prednizonas arba prednizolonas (žr. 4.4 skyrių).</w:t>
      </w:r>
    </w:p>
    <w:p w14:paraId="4D534FCB" w14:textId="33AED2CE" w:rsidR="006C0026" w:rsidRPr="00D9492F" w:rsidRDefault="006C0026" w:rsidP="006C0026">
      <w:pPr>
        <w:spacing w:after="0" w:line="240" w:lineRule="auto"/>
        <w:rPr>
          <w:rFonts w:ascii="Times New Roman" w:hAnsi="Times New Roman"/>
        </w:rPr>
      </w:pPr>
      <w:r w:rsidRPr="00D9492F">
        <w:rPr>
          <w:rFonts w:ascii="Times New Roman" w:hAnsi="Times New Roman"/>
        </w:rPr>
        <w:t>Gydant hormonams jautrų prostatos vėžį, premedikacijai rekomenduojama skirti 8</w:t>
      </w:r>
      <w:r w:rsidR="000F6E68" w:rsidRPr="00D9492F">
        <w:rPr>
          <w:rFonts w:ascii="Times New Roman" w:hAnsi="Times New Roman"/>
        </w:rPr>
        <w:t> </w:t>
      </w:r>
      <w:r w:rsidRPr="00D9492F">
        <w:rPr>
          <w:rFonts w:ascii="Times New Roman" w:hAnsi="Times New Roman"/>
        </w:rPr>
        <w:t>mg geriamojo deksametazono likus 12</w:t>
      </w:r>
      <w:r w:rsidR="000F6E68" w:rsidRPr="00D9492F">
        <w:rPr>
          <w:rFonts w:ascii="Times New Roman" w:hAnsi="Times New Roman"/>
        </w:rPr>
        <w:t> </w:t>
      </w:r>
      <w:r w:rsidRPr="00D9492F">
        <w:rPr>
          <w:rFonts w:ascii="Times New Roman" w:hAnsi="Times New Roman"/>
        </w:rPr>
        <w:t>val., 3</w:t>
      </w:r>
      <w:r w:rsidR="000F6E68" w:rsidRPr="00D9492F">
        <w:rPr>
          <w:rFonts w:ascii="Times New Roman" w:hAnsi="Times New Roman"/>
        </w:rPr>
        <w:t> </w:t>
      </w:r>
      <w:r w:rsidRPr="00D9492F">
        <w:rPr>
          <w:rFonts w:ascii="Times New Roman" w:hAnsi="Times New Roman"/>
        </w:rPr>
        <w:t>val. ir 1</w:t>
      </w:r>
      <w:r w:rsidR="000F6E68" w:rsidRPr="00D9492F">
        <w:rPr>
          <w:rFonts w:ascii="Times New Roman" w:hAnsi="Times New Roman"/>
        </w:rPr>
        <w:t> </w:t>
      </w:r>
      <w:r w:rsidRPr="00D9492F">
        <w:rPr>
          <w:rFonts w:ascii="Times New Roman" w:hAnsi="Times New Roman"/>
        </w:rPr>
        <w:t>val. iki docetakselio infuzijos, nepriklausomai nuo to, ar kartu vartojamas prednizonas ar prednizolonas (žr. 4.4</w:t>
      </w:r>
      <w:r w:rsidR="000F6E68" w:rsidRPr="00D9492F">
        <w:rPr>
          <w:rFonts w:ascii="Times New Roman" w:hAnsi="Times New Roman"/>
        </w:rPr>
        <w:t> </w:t>
      </w:r>
      <w:r w:rsidRPr="00D9492F">
        <w:rPr>
          <w:rFonts w:ascii="Times New Roman" w:hAnsi="Times New Roman"/>
        </w:rPr>
        <w:t>skyrių).</w:t>
      </w:r>
    </w:p>
    <w:p w14:paraId="19EE7A16" w14:textId="77777777" w:rsidR="00DC1CDC" w:rsidRPr="00D9492F" w:rsidRDefault="00DC1CDC" w:rsidP="00DC1CDC">
      <w:pPr>
        <w:spacing w:after="0" w:line="240" w:lineRule="auto"/>
        <w:rPr>
          <w:rFonts w:ascii="Times New Roman" w:hAnsi="Times New Roman"/>
        </w:rPr>
      </w:pPr>
    </w:p>
    <w:p w14:paraId="6CCE51B1"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Docetakselio </w:t>
      </w:r>
      <w:r w:rsidR="00EF0EAD" w:rsidRPr="00D9492F">
        <w:rPr>
          <w:rFonts w:ascii="Times New Roman" w:hAnsi="Times New Roman"/>
        </w:rPr>
        <w:t xml:space="preserve">suleidžiama </w:t>
      </w:r>
      <w:r w:rsidRPr="00D9492F">
        <w:rPr>
          <w:rFonts w:ascii="Times New Roman" w:hAnsi="Times New Roman"/>
        </w:rPr>
        <w:t>per 1 val., kas 3 savaites.</w:t>
      </w:r>
    </w:p>
    <w:p w14:paraId="4220D9E1" w14:textId="77777777" w:rsidR="00DC1CDC" w:rsidRPr="00D9492F" w:rsidRDefault="00DC1CDC" w:rsidP="00DC1CDC">
      <w:pPr>
        <w:spacing w:after="0" w:line="240" w:lineRule="auto"/>
        <w:rPr>
          <w:rFonts w:ascii="Times New Roman" w:hAnsi="Times New Roman"/>
        </w:rPr>
      </w:pPr>
    </w:p>
    <w:p w14:paraId="015359D8" w14:textId="77777777" w:rsidR="00DC1CDC" w:rsidRPr="00D9492F" w:rsidRDefault="00DC1CDC" w:rsidP="00DC1CDC">
      <w:pPr>
        <w:keepNext/>
        <w:keepLines/>
        <w:spacing w:after="0" w:line="240" w:lineRule="auto"/>
        <w:outlineLvl w:val="8"/>
        <w:rPr>
          <w:rFonts w:ascii="Times New Roman" w:eastAsia="Times New Roman" w:hAnsi="Times New Roman"/>
          <w:i/>
        </w:rPr>
      </w:pPr>
      <w:r w:rsidRPr="00D9492F">
        <w:rPr>
          <w:rFonts w:ascii="Times New Roman" w:eastAsia="Times New Roman" w:hAnsi="Times New Roman"/>
          <w:i/>
        </w:rPr>
        <w:t>Krūties vėžys</w:t>
      </w:r>
    </w:p>
    <w:p w14:paraId="75AA636B"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Rekomenduojama docetakselio dozė tinkamo operuoti į limfmazgius metastazavusio ir į limfmazgius nemetastazavusio krūties vėžio pagalbiniam gydymui – 75 mg/m</w:t>
      </w:r>
      <w:r w:rsidRPr="00D9492F">
        <w:rPr>
          <w:rFonts w:ascii="Times New Roman" w:hAnsi="Times New Roman"/>
          <w:vertAlign w:val="superscript"/>
        </w:rPr>
        <w:t>2</w:t>
      </w:r>
      <w:r w:rsidRPr="00D9492F">
        <w:rPr>
          <w:rFonts w:ascii="Times New Roman" w:hAnsi="Times New Roman"/>
        </w:rPr>
        <w:t xml:space="preserve">. Ji </w:t>
      </w:r>
      <w:r w:rsidR="004B08C7" w:rsidRPr="00D9492F">
        <w:rPr>
          <w:rFonts w:ascii="Times New Roman" w:hAnsi="Times New Roman"/>
        </w:rPr>
        <w:t xml:space="preserve">leidžiama </w:t>
      </w:r>
      <w:r w:rsidRPr="00D9492F">
        <w:rPr>
          <w:rFonts w:ascii="Times New Roman" w:hAnsi="Times New Roman"/>
        </w:rPr>
        <w:t>1 val. po 50 mg/m</w:t>
      </w:r>
      <w:r w:rsidRPr="00D9492F">
        <w:rPr>
          <w:rFonts w:ascii="Times New Roman" w:hAnsi="Times New Roman"/>
          <w:vertAlign w:val="superscript"/>
        </w:rPr>
        <w:t>2 </w:t>
      </w:r>
      <w:r w:rsidRPr="00D9492F">
        <w:rPr>
          <w:rFonts w:ascii="Times New Roman" w:hAnsi="Times New Roman"/>
        </w:rPr>
        <w:t>doksorubicino ir 500 mg/m</w:t>
      </w:r>
      <w:r w:rsidRPr="00D9492F">
        <w:rPr>
          <w:rFonts w:ascii="Times New Roman" w:hAnsi="Times New Roman"/>
          <w:vertAlign w:val="superscript"/>
        </w:rPr>
        <w:t>2 </w:t>
      </w:r>
      <w:r w:rsidRPr="00D9492F">
        <w:rPr>
          <w:rFonts w:ascii="Times New Roman" w:hAnsi="Times New Roman"/>
        </w:rPr>
        <w:t xml:space="preserve">ciklofosfamido, kas 3 savaites, iš viso </w:t>
      </w:r>
      <w:r w:rsidR="00CC2A61" w:rsidRPr="00D9492F">
        <w:rPr>
          <w:rFonts w:ascii="Times New Roman" w:hAnsi="Times New Roman"/>
        </w:rPr>
        <w:t xml:space="preserve">- </w:t>
      </w:r>
      <w:r w:rsidRPr="00D9492F">
        <w:rPr>
          <w:rFonts w:ascii="Times New Roman" w:hAnsi="Times New Roman"/>
        </w:rPr>
        <w:t>6 kursus (TAC gydymo planas) (taip pat žr. „Dozės koregavimas gydymo metu”).</w:t>
      </w:r>
    </w:p>
    <w:p w14:paraId="24B509AB"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Lokaliai progresavusiam ar metastazavusiam krūties vėžiui gydyti rekomenduojama docetakselio dozė monoterapijai – 100 mg/m</w:t>
      </w:r>
      <w:r w:rsidRPr="00D9492F">
        <w:rPr>
          <w:rFonts w:ascii="Times New Roman" w:hAnsi="Times New Roman"/>
          <w:vertAlign w:val="superscript"/>
        </w:rPr>
        <w:t>2</w:t>
      </w:r>
      <w:r w:rsidRPr="00D9492F">
        <w:rPr>
          <w:rFonts w:ascii="Times New Roman" w:hAnsi="Times New Roman"/>
        </w:rPr>
        <w:t>. Pirmosios eilės gydymui 75 mg/m</w:t>
      </w:r>
      <w:r w:rsidRPr="00D9492F">
        <w:rPr>
          <w:rFonts w:ascii="Times New Roman" w:hAnsi="Times New Roman"/>
          <w:vertAlign w:val="superscript"/>
        </w:rPr>
        <w:t>2 </w:t>
      </w:r>
      <w:r w:rsidRPr="00D9492F">
        <w:rPr>
          <w:rFonts w:ascii="Times New Roman" w:hAnsi="Times New Roman"/>
        </w:rPr>
        <w:t>docetakselio derinama su 50 mg/m</w:t>
      </w:r>
      <w:r w:rsidRPr="00D9492F">
        <w:rPr>
          <w:rFonts w:ascii="Times New Roman" w:hAnsi="Times New Roman"/>
          <w:vertAlign w:val="superscript"/>
        </w:rPr>
        <w:t>2 </w:t>
      </w:r>
      <w:r w:rsidRPr="00D9492F">
        <w:rPr>
          <w:rFonts w:ascii="Times New Roman" w:hAnsi="Times New Roman"/>
        </w:rPr>
        <w:t xml:space="preserve">doksorubicino. </w:t>
      </w:r>
    </w:p>
    <w:p w14:paraId="5040A5A2" w14:textId="77777777" w:rsidR="00DC1CDC" w:rsidRPr="00D9492F" w:rsidRDefault="00DC1CDC" w:rsidP="00DC1CDC">
      <w:pPr>
        <w:spacing w:after="0" w:line="240" w:lineRule="auto"/>
        <w:rPr>
          <w:rFonts w:ascii="Times New Roman" w:hAnsi="Times New Roman"/>
        </w:rPr>
      </w:pPr>
    </w:p>
    <w:p w14:paraId="5B1F20C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Rekomenduojama docetakselio dozė kartu vartojant trastuzumabą – 100 mg/m</w:t>
      </w:r>
      <w:r w:rsidRPr="00D9492F">
        <w:rPr>
          <w:rFonts w:ascii="Times New Roman" w:hAnsi="Times New Roman"/>
          <w:vertAlign w:val="superscript"/>
        </w:rPr>
        <w:t>2 </w:t>
      </w:r>
      <w:r w:rsidRPr="00D9492F">
        <w:rPr>
          <w:rFonts w:ascii="Times New Roman" w:hAnsi="Times New Roman"/>
        </w:rPr>
        <w:t xml:space="preserve">kas 3 savaites (trastuzumabo vartojama kas savaitę). Pagrindinio tyrimo metu pirmoji docetakselio infuzija pradėta kitą dieną po pirmosios trastuzumabo dozės. Kitos docetakselio dozės </w:t>
      </w:r>
      <w:r w:rsidR="00CC2A61" w:rsidRPr="00D9492F">
        <w:rPr>
          <w:rFonts w:ascii="Times New Roman" w:hAnsi="Times New Roman"/>
        </w:rPr>
        <w:t xml:space="preserve">skirtos </w:t>
      </w:r>
      <w:r w:rsidRPr="00D9492F">
        <w:rPr>
          <w:rFonts w:ascii="Times New Roman" w:hAnsi="Times New Roman"/>
        </w:rPr>
        <w:t>tuoj pat po trastuzumabo infuzijos, jei ankstesnę trastuzumabo dozę pacientė toleravo gerai. Kaip dozuoti ir</w:t>
      </w:r>
    </w:p>
    <w:p w14:paraId="54384AF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vartoti trastuzumabą, nurodyta pastarojo vaistinio preparato charakteristikų santraukoje.</w:t>
      </w:r>
    </w:p>
    <w:p w14:paraId="0EA141E0" w14:textId="77777777" w:rsidR="00DC1CDC" w:rsidRPr="00D9492F" w:rsidRDefault="00DC1CDC" w:rsidP="00DC1CDC">
      <w:pPr>
        <w:spacing w:after="0" w:line="240" w:lineRule="auto"/>
        <w:rPr>
          <w:rFonts w:ascii="Times New Roman" w:hAnsi="Times New Roman"/>
        </w:rPr>
      </w:pPr>
    </w:p>
    <w:p w14:paraId="5B68D4D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Rekomenduojama docetakselio dozė kartu vartojant kapecitabiną – 75 mg/m</w:t>
      </w:r>
      <w:r w:rsidRPr="00D9492F">
        <w:rPr>
          <w:rFonts w:ascii="Times New Roman" w:hAnsi="Times New Roman"/>
          <w:vertAlign w:val="superscript"/>
        </w:rPr>
        <w:t>2 </w:t>
      </w:r>
      <w:r w:rsidRPr="00D9492F">
        <w:rPr>
          <w:rFonts w:ascii="Times New Roman" w:hAnsi="Times New Roman"/>
        </w:rPr>
        <w:t>kas 3 savaites. Kapecitabino vartojama po 1250 mg/m</w:t>
      </w:r>
      <w:r w:rsidRPr="00D9492F">
        <w:rPr>
          <w:rFonts w:ascii="Times New Roman" w:hAnsi="Times New Roman"/>
          <w:vertAlign w:val="superscript"/>
        </w:rPr>
        <w:t>2 </w:t>
      </w:r>
      <w:r w:rsidRPr="00D9492F">
        <w:rPr>
          <w:rFonts w:ascii="Times New Roman" w:hAnsi="Times New Roman"/>
        </w:rPr>
        <w:t>2 kartus per parą (per 30 min. po valgio) 2 savaites, po kurių daroma savaitės pertrauka. Kaip apskaičiuoti kapecitabino dozę pagal kūno paviršiaus plotą, nurodyta pastarojo vaistinio preparato charakteristikų santraukoje.</w:t>
      </w:r>
    </w:p>
    <w:p w14:paraId="5FB9105E" w14:textId="77777777" w:rsidR="00DC1CDC" w:rsidRPr="00D9492F" w:rsidRDefault="00DC1CDC" w:rsidP="00DC1CDC">
      <w:pPr>
        <w:spacing w:after="0" w:line="240" w:lineRule="auto"/>
        <w:rPr>
          <w:rFonts w:ascii="Times New Roman" w:hAnsi="Times New Roman"/>
          <w:u w:val="single"/>
        </w:rPr>
      </w:pPr>
    </w:p>
    <w:p w14:paraId="59B5DA10" w14:textId="77777777" w:rsidR="00DC1CDC" w:rsidRPr="00D9492F" w:rsidRDefault="00DC1CDC" w:rsidP="00DC1CDC">
      <w:pPr>
        <w:keepNext/>
        <w:keepLines/>
        <w:spacing w:after="0" w:line="240" w:lineRule="auto"/>
        <w:outlineLvl w:val="8"/>
        <w:rPr>
          <w:rFonts w:ascii="Times New Roman" w:eastAsia="Times New Roman" w:hAnsi="Times New Roman"/>
          <w:i/>
        </w:rPr>
      </w:pPr>
      <w:r w:rsidRPr="00D9492F">
        <w:rPr>
          <w:rFonts w:ascii="Times New Roman" w:eastAsia="Times New Roman" w:hAnsi="Times New Roman"/>
          <w:i/>
        </w:rPr>
        <w:t>Nesmulkialąstelinis plaučių vėžys</w:t>
      </w:r>
    </w:p>
    <w:p w14:paraId="307B719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Plaučių nesmulkiųjų ląstelių vėžiui gydyti pacientams, kuriems anksčiau chemoterapija netaikyta, rekomenduojama </w:t>
      </w:r>
      <w:r w:rsidR="001344AB" w:rsidRPr="00D9492F">
        <w:rPr>
          <w:rFonts w:ascii="Times New Roman" w:hAnsi="Times New Roman"/>
        </w:rPr>
        <w:t xml:space="preserve">skirti </w:t>
      </w:r>
      <w:r w:rsidRPr="00D9492F">
        <w:rPr>
          <w:rFonts w:ascii="Times New Roman" w:hAnsi="Times New Roman"/>
        </w:rPr>
        <w:t>75 mg/m</w:t>
      </w:r>
      <w:r w:rsidRPr="00D9492F">
        <w:rPr>
          <w:rFonts w:ascii="Times New Roman" w:hAnsi="Times New Roman"/>
          <w:vertAlign w:val="superscript"/>
        </w:rPr>
        <w:t>2 </w:t>
      </w:r>
      <w:r w:rsidRPr="00D9492F">
        <w:rPr>
          <w:rFonts w:ascii="Times New Roman" w:hAnsi="Times New Roman"/>
        </w:rPr>
        <w:t>docetakselio, o paskui tuoj pat 75 mg/m</w:t>
      </w:r>
      <w:r w:rsidRPr="00D9492F">
        <w:rPr>
          <w:rFonts w:ascii="Times New Roman" w:hAnsi="Times New Roman"/>
          <w:vertAlign w:val="superscript"/>
        </w:rPr>
        <w:t>2 </w:t>
      </w:r>
      <w:r w:rsidRPr="00D9492F">
        <w:rPr>
          <w:rFonts w:ascii="Times New Roman" w:hAnsi="Times New Roman"/>
        </w:rPr>
        <w:t>cisplatinos (pastarosios infuzijos trukmė – 30</w:t>
      </w:r>
      <w:r w:rsidRPr="00D9492F">
        <w:rPr>
          <w:rFonts w:ascii="Times New Roman" w:hAnsi="Times New Roman"/>
        </w:rPr>
        <w:noBreakHyphen/>
        <w:t>60 min.). Jei ankstesnė chemoterapija, kurios pagrindinis vaistinis preparatas – platinos junginys, buvo neveiksminga, tai rekomenduojama vartoti 75 mg/m</w:t>
      </w:r>
      <w:r w:rsidRPr="00D9492F">
        <w:rPr>
          <w:rFonts w:ascii="Times New Roman" w:hAnsi="Times New Roman"/>
          <w:vertAlign w:val="superscript"/>
        </w:rPr>
        <w:t>2 </w:t>
      </w:r>
      <w:r w:rsidRPr="00D9492F">
        <w:rPr>
          <w:rFonts w:ascii="Times New Roman" w:hAnsi="Times New Roman"/>
        </w:rPr>
        <w:t>docetakselio monoterapijai.</w:t>
      </w:r>
    </w:p>
    <w:p w14:paraId="0AC10579" w14:textId="77777777" w:rsidR="00DC1CDC" w:rsidRPr="00D9492F" w:rsidRDefault="00DC1CDC" w:rsidP="00DC1CDC">
      <w:pPr>
        <w:spacing w:after="0" w:line="240" w:lineRule="auto"/>
        <w:rPr>
          <w:rFonts w:ascii="Times New Roman" w:hAnsi="Times New Roman"/>
        </w:rPr>
      </w:pPr>
    </w:p>
    <w:p w14:paraId="29FBAA1B" w14:textId="5E9FBC76" w:rsidR="00DC1CDC" w:rsidRPr="00D9492F" w:rsidRDefault="00DC1CDC" w:rsidP="00DC1CDC">
      <w:pPr>
        <w:keepNext/>
        <w:keepLines/>
        <w:spacing w:after="0" w:line="240" w:lineRule="auto"/>
        <w:outlineLvl w:val="8"/>
        <w:rPr>
          <w:rFonts w:ascii="Times New Roman" w:eastAsia="Times New Roman" w:hAnsi="Times New Roman"/>
          <w:i/>
        </w:rPr>
      </w:pPr>
      <w:r w:rsidRPr="00D9492F">
        <w:rPr>
          <w:rFonts w:ascii="Times New Roman" w:eastAsia="Times New Roman" w:hAnsi="Times New Roman"/>
          <w:i/>
        </w:rPr>
        <w:t>Prostatos vėžys</w:t>
      </w:r>
    </w:p>
    <w:p w14:paraId="310DDE99" w14:textId="2813C98E" w:rsidR="006C0026" w:rsidRPr="00D9492F" w:rsidRDefault="006C0026" w:rsidP="00D9492F">
      <w:pPr>
        <w:spacing w:after="0" w:line="240" w:lineRule="auto"/>
        <w:rPr>
          <w:rFonts w:ascii="Times New Roman" w:hAnsi="Times New Roman"/>
          <w:i/>
          <w:iCs/>
        </w:rPr>
      </w:pPr>
      <w:r w:rsidRPr="00D9492F">
        <w:rPr>
          <w:rFonts w:ascii="Times New Roman" w:hAnsi="Times New Roman"/>
          <w:i/>
          <w:iCs/>
        </w:rPr>
        <w:t xml:space="preserve">Metastazavęs kastracijai atsparus prostatos vėžys </w:t>
      </w:r>
    </w:p>
    <w:p w14:paraId="36B99BA9"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Rekomenduojama docetakselio dozė – 75 mg/m</w:t>
      </w:r>
      <w:r w:rsidRPr="00D9492F">
        <w:rPr>
          <w:rFonts w:ascii="Times New Roman" w:hAnsi="Times New Roman"/>
          <w:vertAlign w:val="superscript"/>
        </w:rPr>
        <w:t>2</w:t>
      </w:r>
      <w:r w:rsidRPr="00D9492F">
        <w:rPr>
          <w:rFonts w:ascii="Times New Roman" w:hAnsi="Times New Roman"/>
        </w:rPr>
        <w:t>. Taip pat duodama gerti 2 kartus per parą po 5 mg prednizono arba prednizolono be pertraukų (žr. 5.1 skyrių).</w:t>
      </w:r>
    </w:p>
    <w:p w14:paraId="1CE54E62" w14:textId="77777777" w:rsidR="006C0026" w:rsidRPr="00D9492F" w:rsidRDefault="006C0026" w:rsidP="006C0026">
      <w:pPr>
        <w:spacing w:after="0" w:line="240" w:lineRule="auto"/>
        <w:rPr>
          <w:rFonts w:ascii="Times New Roman" w:hAnsi="Times New Roman"/>
        </w:rPr>
      </w:pPr>
    </w:p>
    <w:p w14:paraId="23FCBABA" w14:textId="77777777" w:rsidR="006C0026" w:rsidRPr="00D9492F" w:rsidRDefault="006C0026" w:rsidP="006C0026">
      <w:pPr>
        <w:spacing w:after="0" w:line="240" w:lineRule="auto"/>
        <w:rPr>
          <w:rFonts w:ascii="Times New Roman" w:hAnsi="Times New Roman"/>
          <w:i/>
          <w:iCs/>
        </w:rPr>
      </w:pPr>
      <w:r w:rsidRPr="00D9492F">
        <w:rPr>
          <w:rFonts w:ascii="Times New Roman" w:hAnsi="Times New Roman"/>
          <w:i/>
          <w:iCs/>
        </w:rPr>
        <w:t xml:space="preserve">Metastazavęs hormonams jautrus prostatos vėžys </w:t>
      </w:r>
    </w:p>
    <w:p w14:paraId="31944318" w14:textId="56A426EE" w:rsidR="006C0026" w:rsidRPr="00D9492F" w:rsidRDefault="006C0026" w:rsidP="006C0026">
      <w:pPr>
        <w:spacing w:after="0" w:line="240" w:lineRule="auto"/>
        <w:rPr>
          <w:rFonts w:ascii="Times New Roman" w:hAnsi="Times New Roman"/>
        </w:rPr>
      </w:pPr>
      <w:r w:rsidRPr="00D9492F">
        <w:rPr>
          <w:rFonts w:ascii="Times New Roman" w:hAnsi="Times New Roman"/>
        </w:rPr>
        <w:t>Rekomenduojama docetakselio dozė – 75</w:t>
      </w:r>
      <w:r w:rsidR="001E7FFA" w:rsidRPr="00D9492F">
        <w:rPr>
          <w:rFonts w:ascii="Times New Roman" w:hAnsi="Times New Roman"/>
        </w:rPr>
        <w:t> </w:t>
      </w:r>
      <w:r w:rsidRPr="00D9492F">
        <w:rPr>
          <w:rFonts w:ascii="Times New Roman" w:hAnsi="Times New Roman"/>
        </w:rPr>
        <w:t>mg/m2 kas 3</w:t>
      </w:r>
      <w:r w:rsidR="001E7FFA" w:rsidRPr="00D9492F">
        <w:rPr>
          <w:rFonts w:ascii="Times New Roman" w:hAnsi="Times New Roman"/>
        </w:rPr>
        <w:t> </w:t>
      </w:r>
      <w:r w:rsidRPr="00D9492F">
        <w:rPr>
          <w:rFonts w:ascii="Times New Roman" w:hAnsi="Times New Roman"/>
        </w:rPr>
        <w:t>savaites, iš viso skiriami 6</w:t>
      </w:r>
      <w:r w:rsidR="001E7FFA" w:rsidRPr="00D9492F">
        <w:rPr>
          <w:rFonts w:ascii="Times New Roman" w:hAnsi="Times New Roman"/>
        </w:rPr>
        <w:t> </w:t>
      </w:r>
      <w:r w:rsidRPr="00D9492F">
        <w:rPr>
          <w:rFonts w:ascii="Times New Roman" w:hAnsi="Times New Roman"/>
        </w:rPr>
        <w:t>ciklai. Taip pat gali būti skiriama po 5</w:t>
      </w:r>
      <w:r w:rsidR="001E7FFA" w:rsidRPr="00D9492F">
        <w:rPr>
          <w:rFonts w:ascii="Times New Roman" w:hAnsi="Times New Roman"/>
        </w:rPr>
        <w:t> </w:t>
      </w:r>
      <w:r w:rsidRPr="00D9492F">
        <w:rPr>
          <w:rFonts w:ascii="Times New Roman" w:hAnsi="Times New Roman"/>
        </w:rPr>
        <w:t>mg geriamojo prednizono arba prednizolono 2</w:t>
      </w:r>
      <w:r w:rsidR="001E7FFA" w:rsidRPr="00D9492F">
        <w:rPr>
          <w:rFonts w:ascii="Times New Roman" w:hAnsi="Times New Roman"/>
        </w:rPr>
        <w:t> </w:t>
      </w:r>
      <w:r w:rsidRPr="00D9492F">
        <w:rPr>
          <w:rFonts w:ascii="Times New Roman" w:hAnsi="Times New Roman"/>
        </w:rPr>
        <w:t>kartus per parą be pertraukų.</w:t>
      </w:r>
    </w:p>
    <w:p w14:paraId="099571AC" w14:textId="77777777" w:rsidR="00DC1CDC" w:rsidRPr="00D9492F" w:rsidRDefault="00DC1CDC" w:rsidP="00DC1CDC">
      <w:pPr>
        <w:spacing w:after="0" w:line="240" w:lineRule="auto"/>
        <w:rPr>
          <w:rFonts w:ascii="Times New Roman" w:hAnsi="Times New Roman"/>
        </w:rPr>
      </w:pPr>
    </w:p>
    <w:p w14:paraId="45368DB4" w14:textId="77777777" w:rsidR="00DC1CDC" w:rsidRPr="00D9492F" w:rsidRDefault="00DC1CDC" w:rsidP="00DC1CDC">
      <w:pPr>
        <w:keepNext/>
        <w:keepLines/>
        <w:spacing w:after="0" w:line="240" w:lineRule="auto"/>
        <w:rPr>
          <w:rFonts w:ascii="Times New Roman" w:hAnsi="Times New Roman"/>
          <w:i/>
        </w:rPr>
      </w:pPr>
      <w:r w:rsidRPr="00D9492F">
        <w:rPr>
          <w:rFonts w:ascii="Times New Roman" w:hAnsi="Times New Roman"/>
          <w:i/>
        </w:rPr>
        <w:t>Skrandžio adenokarcinoma</w:t>
      </w:r>
    </w:p>
    <w:p w14:paraId="58E71166"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Rekomenduojama docetakselio dozė yra 75 mg/m</w:t>
      </w:r>
      <w:r w:rsidRPr="00D9492F">
        <w:rPr>
          <w:rFonts w:ascii="Times New Roman" w:hAnsi="Times New Roman"/>
          <w:vertAlign w:val="superscript"/>
        </w:rPr>
        <w:t>2</w:t>
      </w:r>
      <w:r w:rsidRPr="00D9492F">
        <w:rPr>
          <w:rFonts w:ascii="Times New Roman" w:hAnsi="Times New Roman"/>
        </w:rPr>
        <w:t xml:space="preserve">, ji </w:t>
      </w:r>
      <w:r w:rsidR="008628CA" w:rsidRPr="00D9492F">
        <w:rPr>
          <w:rFonts w:ascii="Times New Roman" w:hAnsi="Times New Roman"/>
        </w:rPr>
        <w:t xml:space="preserve">suleidžiama </w:t>
      </w:r>
      <w:r w:rsidRPr="00D9492F">
        <w:rPr>
          <w:rFonts w:ascii="Times New Roman" w:hAnsi="Times New Roman"/>
        </w:rPr>
        <w:t xml:space="preserve">per vieną valandą, po to </w:t>
      </w:r>
      <w:r w:rsidR="008628CA" w:rsidRPr="00D9492F">
        <w:rPr>
          <w:rFonts w:ascii="Times New Roman" w:hAnsi="Times New Roman"/>
        </w:rPr>
        <w:t xml:space="preserve">skiriama </w:t>
      </w:r>
      <w:r w:rsidRPr="00D9492F">
        <w:rPr>
          <w:rFonts w:ascii="Times New Roman" w:hAnsi="Times New Roman"/>
        </w:rPr>
        <w:t>75 mg/m</w:t>
      </w:r>
      <w:r w:rsidRPr="00D9492F">
        <w:rPr>
          <w:rFonts w:ascii="Times New Roman" w:hAnsi="Times New Roman"/>
          <w:vertAlign w:val="superscript"/>
        </w:rPr>
        <w:t>2 </w:t>
      </w:r>
      <w:r w:rsidRPr="00D9492F">
        <w:rPr>
          <w:rFonts w:ascii="Times New Roman" w:hAnsi="Times New Roman"/>
        </w:rPr>
        <w:t>cisplatinos dozė (infuzijos trukmė – 1–3 val.)</w:t>
      </w:r>
      <w:r w:rsidR="00F84C5B" w:rsidRPr="00D9492F">
        <w:rPr>
          <w:rFonts w:ascii="Times New Roman" w:hAnsi="Times New Roman"/>
        </w:rPr>
        <w:t>.</w:t>
      </w:r>
      <w:r w:rsidRPr="00D9492F">
        <w:rPr>
          <w:rFonts w:ascii="Times New Roman" w:hAnsi="Times New Roman"/>
        </w:rPr>
        <w:t xml:space="preserve"> </w:t>
      </w:r>
      <w:r w:rsidR="00F84C5B" w:rsidRPr="00D9492F">
        <w:rPr>
          <w:rFonts w:ascii="Times New Roman" w:hAnsi="Times New Roman"/>
        </w:rPr>
        <w:t>A</w:t>
      </w:r>
      <w:r w:rsidRPr="00D9492F">
        <w:rPr>
          <w:rFonts w:ascii="Times New Roman" w:hAnsi="Times New Roman"/>
        </w:rPr>
        <w:t xml:space="preserve">biejų vaistinių preparatų </w:t>
      </w:r>
      <w:r w:rsidR="00F84C5B" w:rsidRPr="00D9492F">
        <w:rPr>
          <w:rFonts w:ascii="Times New Roman" w:hAnsi="Times New Roman"/>
        </w:rPr>
        <w:t xml:space="preserve">skiriama </w:t>
      </w:r>
      <w:r w:rsidRPr="00D9492F">
        <w:rPr>
          <w:rFonts w:ascii="Times New Roman" w:hAnsi="Times New Roman"/>
        </w:rPr>
        <w:t xml:space="preserve">tik pirmąją dieną. Po to 5 dienas </w:t>
      </w:r>
      <w:r w:rsidR="00F84C5B" w:rsidRPr="00D9492F">
        <w:rPr>
          <w:rFonts w:ascii="Times New Roman" w:hAnsi="Times New Roman"/>
        </w:rPr>
        <w:t xml:space="preserve">leidžiama </w:t>
      </w:r>
      <w:r w:rsidRPr="00D9492F">
        <w:rPr>
          <w:rFonts w:ascii="Times New Roman" w:hAnsi="Times New Roman"/>
        </w:rPr>
        <w:t>750 mg/m</w:t>
      </w:r>
      <w:r w:rsidRPr="00D9492F">
        <w:rPr>
          <w:rFonts w:ascii="Times New Roman" w:hAnsi="Times New Roman"/>
          <w:vertAlign w:val="superscript"/>
        </w:rPr>
        <w:t>2</w:t>
      </w:r>
      <w:r w:rsidRPr="00D9492F">
        <w:rPr>
          <w:rFonts w:ascii="Times New Roman" w:hAnsi="Times New Roman"/>
        </w:rPr>
        <w:t> 5</w:t>
      </w:r>
      <w:r w:rsidRPr="00D9492F">
        <w:rPr>
          <w:rFonts w:ascii="Times New Roman" w:hAnsi="Times New Roman"/>
        </w:rPr>
        <w:noBreakHyphen/>
        <w:t>fluorouracilo dozė (infuzijos trukmė yra 24 valandos, pirmoji infuzija pradedama iš karto po cisplatinos infuzijos pabaigos). Toks gydymo kursas kartojamas kas tris savaites. Prieš cisplatinos infuziją pacientams būtina skirti vaistinių preparatų nuo vėmimo bei sulašinti reikiamą kiekį skysčių. Kad sumažėtų hematologinių komplikacijų pavojus, būtina profilaktika G-KSF (žr. poskyrį „Dozės koregavimas gydymo metu“).</w:t>
      </w:r>
    </w:p>
    <w:p w14:paraId="33935C2F" w14:textId="77777777" w:rsidR="00DC1CDC" w:rsidRPr="00D9492F" w:rsidRDefault="00DC1CDC" w:rsidP="00DC1CDC">
      <w:pPr>
        <w:spacing w:after="0" w:line="240" w:lineRule="auto"/>
        <w:rPr>
          <w:rFonts w:ascii="Times New Roman" w:hAnsi="Times New Roman"/>
        </w:rPr>
      </w:pPr>
    </w:p>
    <w:p w14:paraId="374440A8" w14:textId="77777777" w:rsidR="00DC1CDC" w:rsidRPr="00D9492F" w:rsidRDefault="00DC1CDC" w:rsidP="00DC1CDC">
      <w:pPr>
        <w:keepNext/>
        <w:keepLines/>
        <w:spacing w:after="0" w:line="240" w:lineRule="auto"/>
        <w:rPr>
          <w:rFonts w:ascii="Times New Roman" w:hAnsi="Times New Roman"/>
          <w:i/>
        </w:rPr>
      </w:pPr>
      <w:r w:rsidRPr="00D9492F">
        <w:rPr>
          <w:rFonts w:ascii="Times New Roman" w:hAnsi="Times New Roman"/>
          <w:bCs/>
          <w:i/>
        </w:rPr>
        <w:t>Galvos ir kaklo vėžys</w:t>
      </w:r>
    </w:p>
    <w:p w14:paraId="50712EB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Prieš cisplatinos infuziją ir po jos pacientams būtina skirti vaistinių preparatų nuo vėmimo bei sulašinti reikiamą kiekį skysčių. Siekiant sumažinti toksinio poveikio krauj</w:t>
      </w:r>
      <w:r w:rsidR="00DC0BAA" w:rsidRPr="00D9492F">
        <w:rPr>
          <w:rFonts w:ascii="Times New Roman" w:hAnsi="Times New Roman"/>
        </w:rPr>
        <w:t>odarai</w:t>
      </w:r>
      <w:r w:rsidRPr="00D9492F">
        <w:rPr>
          <w:rFonts w:ascii="Times New Roman" w:hAnsi="Times New Roman"/>
        </w:rPr>
        <w:t xml:space="preserve"> riziką, galima skirti profilaktinį gydymą G-KSF. TAX 323 bei TAX 324 tyrimų metu visi docetakseliu gydyti pacientai profilaktiškai vartojo antibiotikų.</w:t>
      </w:r>
    </w:p>
    <w:p w14:paraId="211B1454" w14:textId="77777777" w:rsidR="00DC1CDC" w:rsidRPr="00D9492F" w:rsidRDefault="00DC1CDC" w:rsidP="00DC1CDC">
      <w:pPr>
        <w:spacing w:after="0" w:line="240" w:lineRule="auto"/>
        <w:rPr>
          <w:rFonts w:ascii="Times New Roman" w:hAnsi="Times New Roman"/>
        </w:rPr>
      </w:pPr>
    </w:p>
    <w:p w14:paraId="26E7A42C" w14:textId="77777777" w:rsidR="00DC1CDC" w:rsidRPr="00D9492F" w:rsidRDefault="00DC1CDC" w:rsidP="00DC1CDC">
      <w:pPr>
        <w:numPr>
          <w:ilvl w:val="0"/>
          <w:numId w:val="24"/>
        </w:numPr>
        <w:spacing w:after="0" w:line="240" w:lineRule="auto"/>
        <w:ind w:left="567" w:hanging="567"/>
        <w:rPr>
          <w:rFonts w:ascii="Times New Roman" w:hAnsi="Times New Roman"/>
        </w:rPr>
      </w:pPr>
      <w:r w:rsidRPr="00D9492F">
        <w:rPr>
          <w:rFonts w:ascii="Times New Roman" w:hAnsi="Times New Roman"/>
        </w:rPr>
        <w:t>Įvadinė chemoterapija, kai vėliau gydoma spinduliais (TAX 323)</w:t>
      </w:r>
    </w:p>
    <w:p w14:paraId="1F91F4AB" w14:textId="7276627B" w:rsidR="00DC1CDC" w:rsidRPr="00D9492F" w:rsidRDefault="00DC1CDC" w:rsidP="00DC1CDC">
      <w:pPr>
        <w:spacing w:after="0" w:line="240" w:lineRule="auto"/>
        <w:ind w:left="567"/>
        <w:rPr>
          <w:rFonts w:ascii="Times New Roman" w:hAnsi="Times New Roman"/>
        </w:rPr>
      </w:pPr>
      <w:r w:rsidRPr="00D9492F">
        <w:rPr>
          <w:rFonts w:ascii="Times New Roman" w:hAnsi="Times New Roman"/>
        </w:rPr>
        <w:t>Įvadiniam neoperuojamo lokaliai progresavusio plokščialąstelinio galvos ir kaklo vėžio (PGKV) gydymui rekomenduojama docetakselio dozė yra 75 mg/m</w:t>
      </w:r>
      <w:r w:rsidRPr="00D9492F">
        <w:rPr>
          <w:rFonts w:ascii="Times New Roman" w:hAnsi="Times New Roman"/>
          <w:vertAlign w:val="superscript"/>
        </w:rPr>
        <w:t>2</w:t>
      </w:r>
      <w:r w:rsidRPr="00D9492F">
        <w:rPr>
          <w:rFonts w:ascii="Times New Roman" w:hAnsi="Times New Roman"/>
        </w:rPr>
        <w:t xml:space="preserve">, ji </w:t>
      </w:r>
      <w:r w:rsidR="00D64310" w:rsidRPr="00D9492F">
        <w:rPr>
          <w:rFonts w:ascii="Times New Roman" w:hAnsi="Times New Roman"/>
        </w:rPr>
        <w:t xml:space="preserve">suleidžiama </w:t>
      </w:r>
      <w:r w:rsidRPr="00D9492F">
        <w:rPr>
          <w:rFonts w:ascii="Times New Roman" w:hAnsi="Times New Roman"/>
        </w:rPr>
        <w:t xml:space="preserve">per vieną valandą, po to </w:t>
      </w:r>
      <w:r w:rsidR="00D64310" w:rsidRPr="00D9492F">
        <w:rPr>
          <w:rFonts w:ascii="Times New Roman" w:hAnsi="Times New Roman"/>
        </w:rPr>
        <w:t xml:space="preserve">skiriama </w:t>
      </w:r>
      <w:r w:rsidRPr="00D9492F">
        <w:rPr>
          <w:rFonts w:ascii="Times New Roman" w:hAnsi="Times New Roman"/>
        </w:rPr>
        <w:t>75 mg/m</w:t>
      </w:r>
      <w:r w:rsidRPr="00D9492F">
        <w:rPr>
          <w:rFonts w:ascii="Times New Roman" w:hAnsi="Times New Roman"/>
          <w:vertAlign w:val="superscript"/>
        </w:rPr>
        <w:t>2 </w:t>
      </w:r>
      <w:r w:rsidRPr="00D9492F">
        <w:rPr>
          <w:rFonts w:ascii="Times New Roman" w:hAnsi="Times New Roman"/>
        </w:rPr>
        <w:t>cisplatinos dozė (infuzijos trukmė – 1 val.)</w:t>
      </w:r>
      <w:r w:rsidR="00D64310" w:rsidRPr="00D9492F">
        <w:rPr>
          <w:rFonts w:ascii="Times New Roman" w:hAnsi="Times New Roman"/>
        </w:rPr>
        <w:t>.</w:t>
      </w:r>
      <w:r w:rsidRPr="00D9492F">
        <w:rPr>
          <w:rFonts w:ascii="Times New Roman" w:hAnsi="Times New Roman"/>
        </w:rPr>
        <w:t xml:space="preserve"> </w:t>
      </w:r>
      <w:r w:rsidR="00D64310" w:rsidRPr="00D9492F">
        <w:rPr>
          <w:rFonts w:ascii="Times New Roman" w:hAnsi="Times New Roman"/>
        </w:rPr>
        <w:t>A</w:t>
      </w:r>
      <w:r w:rsidRPr="00D9492F">
        <w:rPr>
          <w:rFonts w:ascii="Times New Roman" w:hAnsi="Times New Roman"/>
        </w:rPr>
        <w:t xml:space="preserve">biejų vaistinių preparatų </w:t>
      </w:r>
      <w:r w:rsidR="00D64310" w:rsidRPr="00D9492F">
        <w:rPr>
          <w:rFonts w:ascii="Times New Roman" w:hAnsi="Times New Roman"/>
        </w:rPr>
        <w:t xml:space="preserve">skiriama </w:t>
      </w:r>
      <w:r w:rsidRPr="00D9492F">
        <w:rPr>
          <w:rFonts w:ascii="Times New Roman" w:hAnsi="Times New Roman"/>
        </w:rPr>
        <w:t xml:space="preserve">tik pirmąją dieną. Po to 5 dienas nuolat </w:t>
      </w:r>
      <w:r w:rsidR="006C0026" w:rsidRPr="00D9492F">
        <w:rPr>
          <w:rFonts w:ascii="Times New Roman" w:hAnsi="Times New Roman"/>
        </w:rPr>
        <w:t>infuzuojama</w:t>
      </w:r>
      <w:r w:rsidR="00D64310" w:rsidRPr="00D9492F">
        <w:rPr>
          <w:rFonts w:ascii="Times New Roman" w:hAnsi="Times New Roman"/>
        </w:rPr>
        <w:t> </w:t>
      </w:r>
      <w:r w:rsidRPr="00D9492F">
        <w:rPr>
          <w:rFonts w:ascii="Times New Roman" w:hAnsi="Times New Roman"/>
        </w:rPr>
        <w:t>5</w:t>
      </w:r>
      <w:r w:rsidRPr="00D9492F">
        <w:rPr>
          <w:rFonts w:ascii="Times New Roman" w:hAnsi="Times New Roman"/>
        </w:rPr>
        <w:noBreakHyphen/>
        <w:t>fluorouracilo (paros dozė</w:t>
      </w:r>
      <w:r w:rsidR="00E11C7B" w:rsidRPr="00D9492F">
        <w:rPr>
          <w:rFonts w:ascii="Times New Roman" w:hAnsi="Times New Roman"/>
        </w:rPr>
        <w:t xml:space="preserve"> - </w:t>
      </w:r>
      <w:r w:rsidRPr="00D9492F">
        <w:rPr>
          <w:rFonts w:ascii="Times New Roman" w:hAnsi="Times New Roman"/>
        </w:rPr>
        <w:t xml:space="preserve"> 750 mg/m</w:t>
      </w:r>
      <w:r w:rsidRPr="00D9492F">
        <w:rPr>
          <w:rFonts w:ascii="Times New Roman" w:hAnsi="Times New Roman"/>
          <w:vertAlign w:val="superscript"/>
        </w:rPr>
        <w:t>2</w:t>
      </w:r>
      <w:r w:rsidRPr="00D9492F">
        <w:rPr>
          <w:rFonts w:ascii="Times New Roman" w:hAnsi="Times New Roman"/>
        </w:rPr>
        <w:t>). Toks gydymo kursas kartojamas kas tris savaites</w:t>
      </w:r>
      <w:r w:rsidR="00D64310" w:rsidRPr="00D9492F">
        <w:rPr>
          <w:rFonts w:ascii="Times New Roman" w:hAnsi="Times New Roman"/>
        </w:rPr>
        <w:t>, iš viso</w:t>
      </w:r>
      <w:r w:rsidRPr="00D9492F">
        <w:rPr>
          <w:rFonts w:ascii="Times New Roman" w:hAnsi="Times New Roman"/>
        </w:rPr>
        <w:t xml:space="preserve"> 4 kartus. Po chemoterapijos būtinas gydymas spinduliais.</w:t>
      </w:r>
    </w:p>
    <w:p w14:paraId="3D63FEF1" w14:textId="77777777" w:rsidR="00DC1CDC" w:rsidRPr="00D9492F" w:rsidRDefault="00DC1CDC" w:rsidP="00DC1CDC">
      <w:pPr>
        <w:spacing w:after="0" w:line="240" w:lineRule="auto"/>
        <w:rPr>
          <w:rFonts w:ascii="Times New Roman" w:hAnsi="Times New Roman"/>
        </w:rPr>
      </w:pPr>
    </w:p>
    <w:p w14:paraId="40382D95" w14:textId="77777777" w:rsidR="00DC1CDC" w:rsidRPr="00D9492F" w:rsidRDefault="00DC1CDC" w:rsidP="00DC1CDC">
      <w:pPr>
        <w:keepNext/>
        <w:keepLines/>
        <w:numPr>
          <w:ilvl w:val="0"/>
          <w:numId w:val="10"/>
        </w:numPr>
        <w:tabs>
          <w:tab w:val="clear" w:pos="354"/>
        </w:tabs>
        <w:spacing w:after="0" w:line="240" w:lineRule="auto"/>
        <w:ind w:left="567" w:hanging="567"/>
        <w:rPr>
          <w:rFonts w:ascii="Times New Roman" w:hAnsi="Times New Roman"/>
        </w:rPr>
      </w:pPr>
      <w:r w:rsidRPr="00D9492F">
        <w:rPr>
          <w:rFonts w:ascii="Times New Roman" w:hAnsi="Times New Roman"/>
        </w:rPr>
        <w:t>Įvadinė chemoterapija, kai vėliau taikoma chemoterapija bei gydoma spinduliais (TAX 324)</w:t>
      </w:r>
    </w:p>
    <w:p w14:paraId="4639724A" w14:textId="010471DF" w:rsidR="00DC1CDC" w:rsidRPr="00D9492F" w:rsidRDefault="00DC1CDC" w:rsidP="00DC1CDC">
      <w:pPr>
        <w:keepNext/>
        <w:keepLines/>
        <w:spacing w:after="0" w:line="240" w:lineRule="auto"/>
        <w:ind w:left="567"/>
        <w:rPr>
          <w:rFonts w:ascii="Times New Roman" w:hAnsi="Times New Roman"/>
        </w:rPr>
      </w:pPr>
      <w:r w:rsidRPr="00D9492F">
        <w:rPr>
          <w:rFonts w:ascii="Times New Roman" w:hAnsi="Times New Roman"/>
        </w:rPr>
        <w:t>Įvadiniam lokaliai progresavusio plokščialąstelinio galvos ir kaklo vėžio (PGKV) gydymui (jei rezekcija techniškai neįmanoma, pagijimo po chirurginio gydymo tikimybė maža bei siekiama išsaugoti organus) rekomenduojama docetakselio dozė yra 75 mg/m</w:t>
      </w:r>
      <w:r w:rsidRPr="00D9492F">
        <w:rPr>
          <w:rFonts w:ascii="Times New Roman" w:hAnsi="Times New Roman"/>
          <w:vertAlign w:val="superscript"/>
        </w:rPr>
        <w:t>2</w:t>
      </w:r>
      <w:r w:rsidRPr="00D9492F">
        <w:rPr>
          <w:rFonts w:ascii="Times New Roman" w:hAnsi="Times New Roman"/>
        </w:rPr>
        <w:t xml:space="preserve">, ji </w:t>
      </w:r>
      <w:r w:rsidR="006C0026" w:rsidRPr="00D9492F">
        <w:rPr>
          <w:rFonts w:ascii="Times New Roman" w:hAnsi="Times New Roman"/>
        </w:rPr>
        <w:t xml:space="preserve">infuzuojama </w:t>
      </w:r>
      <w:r w:rsidRPr="00D9492F">
        <w:rPr>
          <w:rFonts w:ascii="Times New Roman" w:hAnsi="Times New Roman"/>
        </w:rPr>
        <w:t xml:space="preserve">per vieną valandą, po to </w:t>
      </w:r>
      <w:r w:rsidR="00BE2720" w:rsidRPr="00D9492F">
        <w:rPr>
          <w:rFonts w:ascii="Times New Roman" w:hAnsi="Times New Roman"/>
        </w:rPr>
        <w:t xml:space="preserve">skiriama </w:t>
      </w:r>
      <w:r w:rsidRPr="00D9492F">
        <w:rPr>
          <w:rFonts w:ascii="Times New Roman" w:hAnsi="Times New Roman"/>
        </w:rPr>
        <w:t>100 mg/m</w:t>
      </w:r>
      <w:r w:rsidRPr="00D9492F">
        <w:rPr>
          <w:rFonts w:ascii="Times New Roman" w:hAnsi="Times New Roman"/>
          <w:vertAlign w:val="superscript"/>
        </w:rPr>
        <w:t>2 </w:t>
      </w:r>
      <w:r w:rsidRPr="00D9492F">
        <w:rPr>
          <w:rFonts w:ascii="Times New Roman" w:hAnsi="Times New Roman"/>
        </w:rPr>
        <w:t>cisplatinos dozė (infuzijos trukmė 30 min.</w:t>
      </w:r>
      <w:r w:rsidR="00BE2720" w:rsidRPr="00D9492F">
        <w:rPr>
          <w:rFonts w:ascii="Times New Roman" w:hAnsi="Times New Roman"/>
        </w:rPr>
        <w:t xml:space="preserve"> </w:t>
      </w:r>
      <w:r w:rsidRPr="00D9492F">
        <w:rPr>
          <w:rFonts w:ascii="Times New Roman" w:hAnsi="Times New Roman"/>
        </w:rPr>
        <w:noBreakHyphen/>
      </w:r>
      <w:r w:rsidR="00BE2720" w:rsidRPr="00D9492F">
        <w:rPr>
          <w:rFonts w:ascii="Times New Roman" w:hAnsi="Times New Roman"/>
        </w:rPr>
        <w:t xml:space="preserve"> </w:t>
      </w:r>
      <w:r w:rsidRPr="00D9492F">
        <w:rPr>
          <w:rFonts w:ascii="Times New Roman" w:hAnsi="Times New Roman"/>
        </w:rPr>
        <w:t>3 val.)</w:t>
      </w:r>
      <w:r w:rsidR="00BE2720" w:rsidRPr="00D9492F">
        <w:rPr>
          <w:rFonts w:ascii="Times New Roman" w:hAnsi="Times New Roman"/>
        </w:rPr>
        <w:t>.</w:t>
      </w:r>
      <w:r w:rsidRPr="00D9492F">
        <w:rPr>
          <w:rFonts w:ascii="Times New Roman" w:hAnsi="Times New Roman"/>
        </w:rPr>
        <w:t xml:space="preserve"> </w:t>
      </w:r>
      <w:r w:rsidR="00BE2720" w:rsidRPr="00D9492F">
        <w:rPr>
          <w:rFonts w:ascii="Times New Roman" w:hAnsi="Times New Roman"/>
        </w:rPr>
        <w:t>A</w:t>
      </w:r>
      <w:r w:rsidRPr="00D9492F">
        <w:rPr>
          <w:rFonts w:ascii="Times New Roman" w:hAnsi="Times New Roman"/>
        </w:rPr>
        <w:t xml:space="preserve">biejų vaistinių preparatų </w:t>
      </w:r>
      <w:r w:rsidR="00BE2720" w:rsidRPr="00D9492F">
        <w:rPr>
          <w:rFonts w:ascii="Times New Roman" w:hAnsi="Times New Roman"/>
        </w:rPr>
        <w:t xml:space="preserve">skiriama </w:t>
      </w:r>
      <w:r w:rsidRPr="00D9492F">
        <w:rPr>
          <w:rFonts w:ascii="Times New Roman" w:hAnsi="Times New Roman"/>
        </w:rPr>
        <w:t>tik pirmąją dieną. Po to 1</w:t>
      </w:r>
      <w:r w:rsidRPr="00D9492F">
        <w:rPr>
          <w:rFonts w:ascii="Times New Roman" w:hAnsi="Times New Roman"/>
        </w:rPr>
        <w:noBreakHyphen/>
        <w:t xml:space="preserve">4 dieną nuolat </w:t>
      </w:r>
      <w:r w:rsidR="006C0026" w:rsidRPr="00D9492F">
        <w:rPr>
          <w:rFonts w:ascii="Times New Roman" w:hAnsi="Times New Roman"/>
        </w:rPr>
        <w:t xml:space="preserve">infuzuojama </w:t>
      </w:r>
      <w:r w:rsidRPr="00D9492F">
        <w:rPr>
          <w:rFonts w:ascii="Times New Roman" w:hAnsi="Times New Roman"/>
        </w:rPr>
        <w:t>5</w:t>
      </w:r>
      <w:r w:rsidRPr="00D9492F">
        <w:rPr>
          <w:rFonts w:ascii="Times New Roman" w:hAnsi="Times New Roman"/>
        </w:rPr>
        <w:noBreakHyphen/>
        <w:t xml:space="preserve">fluorouracilo (paros dozė </w:t>
      </w:r>
      <w:r w:rsidR="00E11C7B" w:rsidRPr="00D9492F">
        <w:rPr>
          <w:rFonts w:ascii="Times New Roman" w:hAnsi="Times New Roman"/>
        </w:rPr>
        <w:t xml:space="preserve">- </w:t>
      </w:r>
      <w:r w:rsidRPr="00D9492F">
        <w:rPr>
          <w:rFonts w:ascii="Times New Roman" w:hAnsi="Times New Roman"/>
        </w:rPr>
        <w:t>1000 mg/m</w:t>
      </w:r>
      <w:r w:rsidRPr="00D9492F">
        <w:rPr>
          <w:rFonts w:ascii="Times New Roman" w:hAnsi="Times New Roman"/>
          <w:vertAlign w:val="superscript"/>
        </w:rPr>
        <w:t>2</w:t>
      </w:r>
      <w:r w:rsidRPr="00D9492F">
        <w:rPr>
          <w:rFonts w:ascii="Times New Roman" w:hAnsi="Times New Roman"/>
        </w:rPr>
        <w:t>).</w:t>
      </w:r>
      <w:r w:rsidR="006C0026" w:rsidRPr="00D9492F">
        <w:rPr>
          <w:rFonts w:ascii="Times New Roman" w:hAnsi="Times New Roman"/>
        </w:rPr>
        <w:t xml:space="preserve"> Toks gydymo kursas kartojamas kas tris savaites, iš viso 3</w:t>
      </w:r>
      <w:r w:rsidR="001E7FFA" w:rsidRPr="00D9492F">
        <w:rPr>
          <w:rFonts w:ascii="Times New Roman" w:hAnsi="Times New Roman"/>
        </w:rPr>
        <w:t> </w:t>
      </w:r>
      <w:r w:rsidR="006C0026" w:rsidRPr="00D9492F">
        <w:rPr>
          <w:rFonts w:ascii="Times New Roman" w:hAnsi="Times New Roman"/>
        </w:rPr>
        <w:t>kartus. Po chemoterapijos būtina tolesnė chemoterapija bei gydymas spinduli</w:t>
      </w:r>
      <w:r w:rsidR="001E7FFA" w:rsidRPr="00D9492F">
        <w:rPr>
          <w:rFonts w:ascii="Times New Roman" w:hAnsi="Times New Roman"/>
        </w:rPr>
        <w:t>ne terapija</w:t>
      </w:r>
      <w:r w:rsidR="006C0026" w:rsidRPr="00D9492F">
        <w:rPr>
          <w:rFonts w:ascii="Times New Roman" w:hAnsi="Times New Roman"/>
        </w:rPr>
        <w:t>.</w:t>
      </w:r>
    </w:p>
    <w:p w14:paraId="76E0267A" w14:textId="77777777" w:rsidR="00DC1CDC" w:rsidRPr="00D9492F" w:rsidRDefault="00DC1CDC" w:rsidP="00DC1CDC">
      <w:pPr>
        <w:spacing w:after="0" w:line="240" w:lineRule="auto"/>
        <w:rPr>
          <w:rFonts w:ascii="Times New Roman" w:hAnsi="Times New Roman"/>
        </w:rPr>
      </w:pPr>
    </w:p>
    <w:p w14:paraId="1031155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Informacijos apie cisplatinos ir 5</w:t>
      </w:r>
      <w:r w:rsidRPr="00D9492F">
        <w:rPr>
          <w:rFonts w:ascii="Times New Roman" w:hAnsi="Times New Roman"/>
        </w:rPr>
        <w:noBreakHyphen/>
        <w:t>fluorouracilo dozės keitimą pateikta atitinkamoje vaistinių preparatų charakteristikų santraukoje.</w:t>
      </w:r>
    </w:p>
    <w:p w14:paraId="460BE67F" w14:textId="77777777" w:rsidR="00DC1CDC" w:rsidRPr="00D9492F" w:rsidRDefault="00DC1CDC" w:rsidP="00DC1CDC">
      <w:pPr>
        <w:spacing w:after="0" w:line="240" w:lineRule="auto"/>
        <w:rPr>
          <w:rFonts w:ascii="Times New Roman" w:hAnsi="Times New Roman"/>
        </w:rPr>
      </w:pPr>
    </w:p>
    <w:p w14:paraId="51966BB4"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lastRenderedPageBreak/>
        <w:t>Dozės koregavimas gydymo metu</w:t>
      </w:r>
    </w:p>
    <w:p w14:paraId="12AEC2DE" w14:textId="77777777" w:rsidR="00DC1CDC" w:rsidRPr="00D9492F" w:rsidRDefault="00DC1CDC" w:rsidP="00DC1CDC">
      <w:pPr>
        <w:spacing w:after="0" w:line="240" w:lineRule="auto"/>
        <w:rPr>
          <w:rFonts w:ascii="Times New Roman" w:hAnsi="Times New Roman"/>
        </w:rPr>
      </w:pPr>
    </w:p>
    <w:p w14:paraId="55767665" w14:textId="77777777" w:rsidR="00DC1CDC" w:rsidRPr="00D9492F" w:rsidRDefault="00DC1CDC" w:rsidP="00DC1CDC">
      <w:pPr>
        <w:keepNext/>
        <w:keepLines/>
        <w:spacing w:after="0" w:line="240" w:lineRule="auto"/>
        <w:outlineLvl w:val="8"/>
        <w:rPr>
          <w:rFonts w:ascii="Times New Roman" w:eastAsia="Times New Roman" w:hAnsi="Times New Roman"/>
          <w:i/>
        </w:rPr>
      </w:pPr>
      <w:r w:rsidRPr="00D9492F">
        <w:rPr>
          <w:rFonts w:ascii="Times New Roman" w:eastAsia="Times New Roman" w:hAnsi="Times New Roman"/>
          <w:i/>
        </w:rPr>
        <w:t>Bendros pastabos</w:t>
      </w:r>
    </w:p>
    <w:p w14:paraId="3CA8DFE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Docetakselio </w:t>
      </w:r>
      <w:r w:rsidR="009366CD" w:rsidRPr="00D9492F">
        <w:rPr>
          <w:rFonts w:ascii="Times New Roman" w:hAnsi="Times New Roman"/>
        </w:rPr>
        <w:t xml:space="preserve">skiriama </w:t>
      </w:r>
      <w:r w:rsidRPr="00D9492F">
        <w:rPr>
          <w:rFonts w:ascii="Times New Roman" w:hAnsi="Times New Roman"/>
        </w:rPr>
        <w:t>tada, kai neutrofilų skaičius yra 1 500/mm</w:t>
      </w:r>
      <w:r w:rsidRPr="00D9492F">
        <w:rPr>
          <w:rFonts w:ascii="Times New Roman" w:hAnsi="Times New Roman"/>
          <w:vertAlign w:val="superscript"/>
        </w:rPr>
        <w:t>3 </w:t>
      </w:r>
      <w:r w:rsidRPr="00D9492F">
        <w:rPr>
          <w:rFonts w:ascii="Times New Roman" w:hAnsi="Times New Roman"/>
        </w:rPr>
        <w:t>arba didesnis.</w:t>
      </w:r>
    </w:p>
    <w:p w14:paraId="35A35BC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Jei chemoterapijos docetakseliu metu pasireiškė febrilinė neutropenija, neutrofilų skaičius ilgiau kaip savaitę buvo mažesnis kaip 500/mm</w:t>
      </w:r>
      <w:r w:rsidRPr="00D9492F">
        <w:rPr>
          <w:rFonts w:ascii="Times New Roman" w:hAnsi="Times New Roman"/>
          <w:vertAlign w:val="superscript"/>
        </w:rPr>
        <w:t>3</w:t>
      </w:r>
      <w:r w:rsidRPr="00D9492F">
        <w:rPr>
          <w:rFonts w:ascii="Times New Roman" w:hAnsi="Times New Roman"/>
        </w:rPr>
        <w:t>, pasireiškė sunkių ar kumuliacinių odos reakcijų arba sunki periferinė neuropatija, tai kitų gydymo kursų metu šio vaistinio preparato dozė mažinama (vietoje 100 mg/m</w:t>
      </w:r>
      <w:r w:rsidRPr="00D9492F">
        <w:rPr>
          <w:rFonts w:ascii="Times New Roman" w:hAnsi="Times New Roman"/>
          <w:vertAlign w:val="superscript"/>
        </w:rPr>
        <w:t>2</w:t>
      </w:r>
      <w:r w:rsidRPr="00D9492F">
        <w:rPr>
          <w:rFonts w:ascii="Times New Roman" w:hAnsi="Times New Roman"/>
        </w:rPr>
        <w:t> skiriama 75 mg/m</w:t>
      </w:r>
      <w:r w:rsidRPr="00D9492F">
        <w:rPr>
          <w:rFonts w:ascii="Times New Roman" w:hAnsi="Times New Roman"/>
          <w:vertAlign w:val="superscript"/>
        </w:rPr>
        <w:t>2</w:t>
      </w:r>
      <w:r w:rsidRPr="00D9492F">
        <w:rPr>
          <w:rFonts w:ascii="Times New Roman" w:hAnsi="Times New Roman"/>
        </w:rPr>
        <w:t>, vietoje 75 mg/m</w:t>
      </w:r>
      <w:r w:rsidRPr="00D9492F">
        <w:rPr>
          <w:rFonts w:ascii="Times New Roman" w:hAnsi="Times New Roman"/>
          <w:vertAlign w:val="superscript"/>
        </w:rPr>
        <w:t>2 </w:t>
      </w:r>
      <w:r w:rsidRPr="00D9492F">
        <w:rPr>
          <w:rFonts w:ascii="Times New Roman" w:hAnsi="Times New Roman"/>
        </w:rPr>
        <w:t>skiriama 60 mg/m</w:t>
      </w:r>
      <w:r w:rsidRPr="00D9492F">
        <w:rPr>
          <w:rFonts w:ascii="Times New Roman" w:hAnsi="Times New Roman"/>
          <w:vertAlign w:val="superscript"/>
        </w:rPr>
        <w:t>2</w:t>
      </w:r>
      <w:r w:rsidRPr="00D9492F">
        <w:rPr>
          <w:rFonts w:ascii="Times New Roman" w:hAnsi="Times New Roman"/>
        </w:rPr>
        <w:t>). Jei, sumažinus dozę iki 60 mg/m</w:t>
      </w:r>
      <w:r w:rsidRPr="00D9492F">
        <w:rPr>
          <w:rFonts w:ascii="Times New Roman" w:hAnsi="Times New Roman"/>
          <w:vertAlign w:val="superscript"/>
        </w:rPr>
        <w:t>2</w:t>
      </w:r>
      <w:r w:rsidRPr="00D9492F">
        <w:rPr>
          <w:rFonts w:ascii="Times New Roman" w:hAnsi="Times New Roman"/>
        </w:rPr>
        <w:t>, minėtų reakcijų vis vien pasireiškia, gydymą reikia nutraukti.</w:t>
      </w:r>
    </w:p>
    <w:p w14:paraId="570451C8" w14:textId="77777777" w:rsidR="00DC1CDC" w:rsidRPr="00D9492F" w:rsidRDefault="00DC1CDC" w:rsidP="00DC1CDC">
      <w:pPr>
        <w:spacing w:after="0" w:line="240" w:lineRule="auto"/>
        <w:rPr>
          <w:rFonts w:ascii="Times New Roman" w:hAnsi="Times New Roman"/>
        </w:rPr>
      </w:pPr>
    </w:p>
    <w:p w14:paraId="5BC24EDB" w14:textId="77777777" w:rsidR="00DC1CDC" w:rsidRPr="00D9492F" w:rsidRDefault="00DC1CDC" w:rsidP="00DC1CDC">
      <w:pPr>
        <w:keepNext/>
        <w:keepLines/>
        <w:spacing w:after="0" w:line="240" w:lineRule="auto"/>
        <w:outlineLvl w:val="8"/>
        <w:rPr>
          <w:rFonts w:ascii="Times New Roman" w:eastAsia="Times New Roman" w:hAnsi="Times New Roman"/>
          <w:i/>
        </w:rPr>
      </w:pPr>
      <w:r w:rsidRPr="00D9492F">
        <w:rPr>
          <w:rFonts w:ascii="Times New Roman" w:eastAsia="Times New Roman" w:hAnsi="Times New Roman"/>
          <w:i/>
        </w:rPr>
        <w:t>Pagalbinis krūties vėžio gydymas</w:t>
      </w:r>
    </w:p>
    <w:p w14:paraId="4858024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Pacientėms, kurioms taikomas pagalbinis krūties vėžio gydymas docetakseliu, doksorubucinu ir ciklofosfamidu (TAC), reikia spręsti dėl G</w:t>
      </w:r>
      <w:r w:rsidRPr="00D9492F">
        <w:rPr>
          <w:rFonts w:ascii="Times New Roman" w:hAnsi="Times New Roman"/>
        </w:rPr>
        <w:noBreakHyphen/>
        <w:t>KSF profilaktinio vartojimo gydymo pradžioje. Pacientėms, kurioms pasireiškia febrilinė neutropenija ar su neutropenija susijusios infekcijos, visų vėlesnių kursų metu docetakselio dozę reikia sumažinti iki 60 mg/m² (žr. 4.4 ir 4.8 skyrius). Pasireiškus 3</w:t>
      </w:r>
      <w:r w:rsidRPr="00D9492F">
        <w:rPr>
          <w:rFonts w:ascii="Times New Roman" w:hAnsi="Times New Roman"/>
        </w:rPr>
        <w:noBreakHyphen/>
        <w:t>4 laipsnio stomatitui, dozę reikia sumažinti, paliekant 60 mg/m².</w:t>
      </w:r>
    </w:p>
    <w:p w14:paraId="735CF62C" w14:textId="77777777" w:rsidR="00DC1CDC" w:rsidRPr="00D9492F" w:rsidRDefault="00DC1CDC" w:rsidP="00DC1CDC">
      <w:pPr>
        <w:spacing w:after="0" w:line="240" w:lineRule="auto"/>
        <w:rPr>
          <w:rFonts w:ascii="Times New Roman" w:hAnsi="Times New Roman"/>
        </w:rPr>
      </w:pPr>
    </w:p>
    <w:p w14:paraId="505CEAA6" w14:textId="77777777" w:rsidR="00DC1CDC" w:rsidRPr="00D9492F" w:rsidRDefault="00DC1CDC" w:rsidP="00DC1CDC">
      <w:pPr>
        <w:keepNext/>
        <w:keepLines/>
        <w:spacing w:after="0" w:line="240" w:lineRule="auto"/>
        <w:rPr>
          <w:rFonts w:ascii="Times New Roman" w:hAnsi="Times New Roman"/>
          <w:i/>
        </w:rPr>
      </w:pPr>
      <w:r w:rsidRPr="00D9492F">
        <w:rPr>
          <w:rFonts w:ascii="Times New Roman" w:hAnsi="Times New Roman"/>
          <w:i/>
        </w:rPr>
        <w:t>Kartu vartojant cisplatiną</w:t>
      </w:r>
    </w:p>
    <w:p w14:paraId="17A2B51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Jei iš pradžių </w:t>
      </w:r>
      <w:r w:rsidR="002F7302" w:rsidRPr="00D9492F">
        <w:rPr>
          <w:rFonts w:ascii="Times New Roman" w:hAnsi="Times New Roman"/>
        </w:rPr>
        <w:t xml:space="preserve">skirta </w:t>
      </w:r>
      <w:r w:rsidRPr="00D9492F">
        <w:rPr>
          <w:rFonts w:ascii="Times New Roman" w:hAnsi="Times New Roman"/>
        </w:rPr>
        <w:t>75 mg/m</w:t>
      </w:r>
      <w:r w:rsidRPr="00D9492F">
        <w:rPr>
          <w:rFonts w:ascii="Times New Roman" w:hAnsi="Times New Roman"/>
          <w:vertAlign w:val="superscript"/>
        </w:rPr>
        <w:t>2 </w:t>
      </w:r>
      <w:r w:rsidRPr="00D9492F">
        <w:rPr>
          <w:rFonts w:ascii="Times New Roman" w:hAnsi="Times New Roman"/>
        </w:rPr>
        <w:t>docetakselio</w:t>
      </w:r>
      <w:r w:rsidR="0020367A" w:rsidRPr="00D9492F">
        <w:rPr>
          <w:rFonts w:ascii="Times New Roman" w:hAnsi="Times New Roman"/>
        </w:rPr>
        <w:t>,</w:t>
      </w:r>
      <w:r w:rsidRPr="00D9492F">
        <w:rPr>
          <w:rFonts w:ascii="Times New Roman" w:hAnsi="Times New Roman"/>
        </w:rPr>
        <w:t xml:space="preserve"> derinant su cisplatina, o trombocitų skaičius ankstesnio gydymo kurso metu buvo sumažėjęs iki mažesnio kaip 25 000/mm</w:t>
      </w:r>
      <w:r w:rsidRPr="00D9492F">
        <w:rPr>
          <w:rFonts w:ascii="Times New Roman" w:hAnsi="Times New Roman"/>
          <w:vertAlign w:val="superscript"/>
        </w:rPr>
        <w:t>3</w:t>
      </w:r>
      <w:r w:rsidRPr="00D9492F">
        <w:rPr>
          <w:rFonts w:ascii="Times New Roman" w:hAnsi="Times New Roman"/>
        </w:rPr>
        <w:t xml:space="preserve">, pasireiškė febrilinė neutropenija arba sunkus nehematotoksinis poveikis, tai vėlesnių gydymo kursų metu </w:t>
      </w:r>
      <w:r w:rsidR="002F7302" w:rsidRPr="00D9492F">
        <w:rPr>
          <w:rFonts w:ascii="Times New Roman" w:hAnsi="Times New Roman"/>
        </w:rPr>
        <w:t xml:space="preserve">skiriama </w:t>
      </w:r>
      <w:r w:rsidRPr="00D9492F">
        <w:rPr>
          <w:rFonts w:ascii="Times New Roman" w:hAnsi="Times New Roman"/>
        </w:rPr>
        <w:t>mažesnė docetakselio dozė – 65 mg/m</w:t>
      </w:r>
      <w:r w:rsidRPr="00D9492F">
        <w:rPr>
          <w:rFonts w:ascii="Times New Roman" w:hAnsi="Times New Roman"/>
          <w:vertAlign w:val="superscript"/>
        </w:rPr>
        <w:t>2</w:t>
      </w:r>
      <w:r w:rsidRPr="00D9492F">
        <w:rPr>
          <w:rFonts w:ascii="Times New Roman" w:hAnsi="Times New Roman"/>
        </w:rPr>
        <w:t>. Cisplatinos dozė koreguojama kaip nurodyta atitinkamoje vaistinio preparato charakteristikų santraukoje.</w:t>
      </w:r>
    </w:p>
    <w:p w14:paraId="580A7545" w14:textId="77777777" w:rsidR="00DC1CDC" w:rsidRPr="00D9492F" w:rsidRDefault="00DC1CDC" w:rsidP="00DC1CDC">
      <w:pPr>
        <w:spacing w:after="0" w:line="240" w:lineRule="auto"/>
        <w:rPr>
          <w:rFonts w:ascii="Times New Roman" w:hAnsi="Times New Roman"/>
        </w:rPr>
      </w:pPr>
    </w:p>
    <w:p w14:paraId="2441B534" w14:textId="77777777" w:rsidR="00DC1CDC" w:rsidRPr="00D9492F" w:rsidRDefault="00DC1CDC" w:rsidP="00DC1CDC">
      <w:pPr>
        <w:keepNext/>
        <w:keepLines/>
        <w:spacing w:after="0" w:line="240" w:lineRule="auto"/>
        <w:rPr>
          <w:rFonts w:ascii="Times New Roman" w:hAnsi="Times New Roman"/>
          <w:i/>
        </w:rPr>
      </w:pPr>
      <w:r w:rsidRPr="00D9492F">
        <w:rPr>
          <w:rFonts w:ascii="Times New Roman" w:hAnsi="Times New Roman"/>
          <w:i/>
        </w:rPr>
        <w:t>Kartu vartojant kapecitabiną</w:t>
      </w:r>
    </w:p>
    <w:p w14:paraId="07D15D44" w14:textId="77777777" w:rsidR="00DC1CDC" w:rsidRPr="00D9492F" w:rsidRDefault="00DC1CDC" w:rsidP="00DC1CDC">
      <w:pPr>
        <w:numPr>
          <w:ilvl w:val="0"/>
          <w:numId w:val="24"/>
        </w:numPr>
        <w:spacing w:after="0" w:line="240" w:lineRule="auto"/>
        <w:ind w:left="567" w:hanging="567"/>
        <w:rPr>
          <w:rFonts w:ascii="Times New Roman" w:hAnsi="Times New Roman"/>
        </w:rPr>
      </w:pPr>
      <w:r w:rsidRPr="00D9492F">
        <w:rPr>
          <w:rFonts w:ascii="Times New Roman" w:hAnsi="Times New Roman"/>
        </w:rPr>
        <w:t>Kaip koreguoti kartu su docetakseliu vartojamo kapecitabino dozę, nurodyta pastarojo vaistinio preparato charakteristikų santraukoje.</w:t>
      </w:r>
    </w:p>
    <w:p w14:paraId="05F3B739" w14:textId="77777777" w:rsidR="00DC1CDC" w:rsidRPr="00D9492F" w:rsidRDefault="00DC1CDC" w:rsidP="00DC1CDC">
      <w:pPr>
        <w:numPr>
          <w:ilvl w:val="0"/>
          <w:numId w:val="24"/>
        </w:numPr>
        <w:spacing w:after="0" w:line="240" w:lineRule="auto"/>
        <w:ind w:left="567" w:hanging="567"/>
        <w:rPr>
          <w:rFonts w:ascii="Times New Roman" w:hAnsi="Times New Roman"/>
        </w:rPr>
      </w:pPr>
      <w:r w:rsidRPr="00D9492F">
        <w:rPr>
          <w:rFonts w:ascii="Times New Roman" w:hAnsi="Times New Roman"/>
        </w:rPr>
        <w:t>Pirmą kartą pasireiškus 2 laipsnio toksiniam poveikiui, kuris išlieka iki kito docetakselio ir kapecitabino derinio vartojimo kurso, vaistinio preparato vartojimas atidedamas, kol toksinis poveikis susilpnės iki 0</w:t>
      </w:r>
      <w:r w:rsidRPr="00D9492F">
        <w:rPr>
          <w:rFonts w:ascii="Times New Roman" w:hAnsi="Times New Roman"/>
        </w:rPr>
        <w:noBreakHyphen/>
        <w:t xml:space="preserve">1 laipsnio, o paskui vartojama tokia pati dozė kaip iš pradžių. </w:t>
      </w:r>
    </w:p>
    <w:p w14:paraId="71C8BE0D" w14:textId="77777777" w:rsidR="00DC1CDC" w:rsidRPr="00D9492F" w:rsidRDefault="00DC1CDC" w:rsidP="00DC1CDC">
      <w:pPr>
        <w:numPr>
          <w:ilvl w:val="0"/>
          <w:numId w:val="24"/>
        </w:numPr>
        <w:spacing w:after="0" w:line="240" w:lineRule="auto"/>
        <w:ind w:left="567" w:hanging="567"/>
        <w:rPr>
          <w:rFonts w:ascii="Times New Roman" w:hAnsi="Times New Roman"/>
        </w:rPr>
      </w:pPr>
      <w:r w:rsidRPr="00D9492F">
        <w:rPr>
          <w:rFonts w:ascii="Times New Roman" w:hAnsi="Times New Roman"/>
        </w:rPr>
        <w:t>Antrą kartą pasireiškus 2 laipsnio toksiniam poveikiui arba pirmą kartą pasireiškus 3 laipsnio toksiniam poveikiui (bet kada gydymo kurso metu), vaistinio preparato vartojimas atidedamas, kol toksinis poveikis susilpnės iki 0</w:t>
      </w:r>
      <w:r w:rsidRPr="00D9492F">
        <w:rPr>
          <w:rFonts w:ascii="Times New Roman" w:hAnsi="Times New Roman"/>
        </w:rPr>
        <w:noBreakHyphen/>
        <w:t>1 laipsnio, o paskui docetakselio vartojama 55 mg/m</w:t>
      </w:r>
      <w:r w:rsidRPr="00D9492F">
        <w:rPr>
          <w:rFonts w:ascii="Times New Roman" w:hAnsi="Times New Roman"/>
          <w:vertAlign w:val="superscript"/>
        </w:rPr>
        <w:t>2 </w:t>
      </w:r>
      <w:r w:rsidRPr="00D9492F">
        <w:rPr>
          <w:rFonts w:ascii="Times New Roman" w:hAnsi="Times New Roman"/>
        </w:rPr>
        <w:t>dozėmis. Atsinaujinus minėtam toksiniam poveikiui arba pirmą kartą pasireiškus 4 laipsnio toksiniam poveikiui, docetakselio vartojimą reikia nutraukti.</w:t>
      </w:r>
    </w:p>
    <w:p w14:paraId="3D2FE957" w14:textId="77777777" w:rsidR="00DC1CDC" w:rsidRPr="00D9492F" w:rsidRDefault="00DC1CDC" w:rsidP="00DC1CDC">
      <w:pPr>
        <w:spacing w:after="0" w:line="240" w:lineRule="auto"/>
        <w:rPr>
          <w:rFonts w:ascii="Times New Roman" w:hAnsi="Times New Roman"/>
          <w:b/>
        </w:rPr>
      </w:pPr>
      <w:r w:rsidRPr="00D9492F">
        <w:rPr>
          <w:rFonts w:ascii="Times New Roman" w:hAnsi="Times New Roman"/>
        </w:rPr>
        <w:t>Kaip koreguoti trastuzumabo dozę, nurodyta trastuzumabo charakteristikų santraukoje.</w:t>
      </w:r>
    </w:p>
    <w:p w14:paraId="721788BE" w14:textId="77777777" w:rsidR="00DC1CDC" w:rsidRPr="00D9492F" w:rsidRDefault="00DC1CDC" w:rsidP="00DC1CDC">
      <w:pPr>
        <w:spacing w:after="0" w:line="240" w:lineRule="auto"/>
        <w:rPr>
          <w:rFonts w:ascii="Times New Roman" w:hAnsi="Times New Roman"/>
        </w:rPr>
      </w:pPr>
    </w:p>
    <w:p w14:paraId="0BE5CE92" w14:textId="77777777" w:rsidR="00DC1CDC" w:rsidRPr="00D9492F" w:rsidRDefault="00DC1CDC" w:rsidP="00DC1CDC">
      <w:pPr>
        <w:keepNext/>
        <w:keepLines/>
        <w:spacing w:after="0" w:line="240" w:lineRule="auto"/>
        <w:rPr>
          <w:rFonts w:ascii="Times New Roman" w:hAnsi="Times New Roman"/>
          <w:bCs/>
          <w:i/>
        </w:rPr>
      </w:pPr>
      <w:r w:rsidRPr="00D9492F">
        <w:rPr>
          <w:rFonts w:ascii="Times New Roman" w:hAnsi="Times New Roman"/>
          <w:bCs/>
          <w:i/>
        </w:rPr>
        <w:t>Kartu vartojant cisplatiną ir 5-fluorouracilą</w:t>
      </w:r>
    </w:p>
    <w:p w14:paraId="0A328019"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Jei nepaisant G</w:t>
      </w:r>
      <w:r w:rsidRPr="00D9492F">
        <w:rPr>
          <w:rFonts w:ascii="Times New Roman" w:hAnsi="Times New Roman"/>
        </w:rPr>
        <w:noBreakHyphen/>
        <w:t>KSF vartojimo pasireiškia febrilinė neutropenija, ilgalaikė neutropenija ar su neutropenija susijusi infekcija, docetakselio dozę būtina sumažinti nuo 75 iki 60 mg/m</w:t>
      </w:r>
      <w:r w:rsidRPr="00D9492F">
        <w:rPr>
          <w:rFonts w:ascii="Times New Roman" w:hAnsi="Times New Roman"/>
          <w:vertAlign w:val="superscript"/>
        </w:rPr>
        <w:t>2</w:t>
      </w:r>
      <w:r w:rsidRPr="00D9492F">
        <w:rPr>
          <w:rFonts w:ascii="Times New Roman" w:hAnsi="Times New Roman"/>
        </w:rPr>
        <w:t>. Jei ir toliau kartojasi komplikuotos neutropenijos epizodai, docetakselio dozę būtina sumažinti nuo 60 iki 45 mg/m</w:t>
      </w:r>
      <w:r w:rsidRPr="00D9492F">
        <w:rPr>
          <w:rFonts w:ascii="Times New Roman" w:hAnsi="Times New Roman"/>
          <w:vertAlign w:val="superscript"/>
        </w:rPr>
        <w:t>2</w:t>
      </w:r>
      <w:r w:rsidRPr="00D9492F">
        <w:rPr>
          <w:rFonts w:ascii="Times New Roman" w:hAnsi="Times New Roman"/>
        </w:rPr>
        <w:t>. Pasireiškus 4 laipsnio trombocitopenijai, docetakselio dozę būtina sumažinti nuo 75 iki 60 mg/m</w:t>
      </w:r>
      <w:r w:rsidRPr="00D9492F">
        <w:rPr>
          <w:rFonts w:ascii="Times New Roman" w:hAnsi="Times New Roman"/>
          <w:vertAlign w:val="superscript"/>
        </w:rPr>
        <w:t>2</w:t>
      </w:r>
      <w:r w:rsidRPr="00D9492F">
        <w:rPr>
          <w:rFonts w:ascii="Times New Roman" w:hAnsi="Times New Roman"/>
        </w:rPr>
        <w:t xml:space="preserve">. Tolimesnių gydymo docetakseliu kursų negalima skirti tol, kol neutrofilų </w:t>
      </w:r>
      <w:r w:rsidR="00111F5B" w:rsidRPr="00D9492F">
        <w:rPr>
          <w:rFonts w:ascii="Times New Roman" w:hAnsi="Times New Roman"/>
        </w:rPr>
        <w:t xml:space="preserve">skaičius </w:t>
      </w:r>
      <w:r w:rsidRPr="00D9492F">
        <w:rPr>
          <w:rFonts w:ascii="Times New Roman" w:hAnsi="Times New Roman"/>
        </w:rPr>
        <w:t>netaps &gt; 1500 ląstelių/mm</w:t>
      </w:r>
      <w:r w:rsidRPr="00D9492F">
        <w:rPr>
          <w:rFonts w:ascii="Times New Roman" w:hAnsi="Times New Roman"/>
          <w:vertAlign w:val="superscript"/>
        </w:rPr>
        <w:t>3</w:t>
      </w:r>
      <w:r w:rsidRPr="00D9492F">
        <w:rPr>
          <w:rFonts w:ascii="Times New Roman" w:hAnsi="Times New Roman"/>
        </w:rPr>
        <w:t>, o trombocitų skaičius &gt; 100000 ląstelių /mm</w:t>
      </w:r>
      <w:r w:rsidRPr="00D9492F">
        <w:rPr>
          <w:rFonts w:ascii="Times New Roman" w:hAnsi="Times New Roman"/>
          <w:vertAlign w:val="superscript"/>
        </w:rPr>
        <w:t>3</w:t>
      </w:r>
      <w:r w:rsidRPr="00D9492F">
        <w:rPr>
          <w:rFonts w:ascii="Times New Roman" w:hAnsi="Times New Roman"/>
        </w:rPr>
        <w:t>. Jei toksinis poveikis išlieka ilgai, gydymą būtina nutraukti (žr. 4.4 skyrių).</w:t>
      </w:r>
    </w:p>
    <w:p w14:paraId="4E68F661" w14:textId="77777777" w:rsidR="00DC1CDC" w:rsidRPr="00D9492F" w:rsidRDefault="00DC1CDC" w:rsidP="00DC1CDC">
      <w:pPr>
        <w:spacing w:after="0" w:line="240" w:lineRule="auto"/>
        <w:jc w:val="both"/>
        <w:rPr>
          <w:rFonts w:ascii="Times New Roman" w:hAnsi="Times New Roman"/>
        </w:rPr>
      </w:pPr>
      <w:r w:rsidRPr="00D9492F">
        <w:rPr>
          <w:rFonts w:ascii="Times New Roman" w:hAnsi="Times New Roman"/>
        </w:rPr>
        <w:t>Toliau pateiktos dozės koregavimo rekomendacijos, jei docetakseliu ir cisplatina bei 5</w:t>
      </w:r>
      <w:r w:rsidRPr="00D9492F">
        <w:rPr>
          <w:rFonts w:ascii="Times New Roman" w:hAnsi="Times New Roman"/>
        </w:rPr>
        <w:noBreakHyphen/>
        <w:t>fluorouracilu (5</w:t>
      </w:r>
      <w:r w:rsidRPr="00D9492F">
        <w:rPr>
          <w:rFonts w:ascii="Times New Roman" w:hAnsi="Times New Roman"/>
        </w:rPr>
        <w:noBreakHyphen/>
        <w:t>FU) gydomam pacientui pasireiškia toksinis poveikis:</w:t>
      </w:r>
    </w:p>
    <w:p w14:paraId="2BC0C307" w14:textId="77777777" w:rsidR="00DC1CDC" w:rsidRPr="00D9492F" w:rsidRDefault="00DC1CDC" w:rsidP="00DC1CDC">
      <w:pPr>
        <w:spacing w:after="0" w:line="240" w:lineRule="auto"/>
        <w:jc w:val="both"/>
        <w:rPr>
          <w:rFonts w:ascii="Times New Roman" w:hAnsi="Times New Roman"/>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028"/>
        <w:gridCol w:w="5760"/>
      </w:tblGrid>
      <w:tr w:rsidR="00DC1CDC" w:rsidRPr="00D9492F" w14:paraId="3104C644" w14:textId="77777777" w:rsidTr="0003751A">
        <w:trPr>
          <w:jc w:val="center"/>
        </w:trPr>
        <w:tc>
          <w:tcPr>
            <w:tcW w:w="2028" w:type="dxa"/>
          </w:tcPr>
          <w:p w14:paraId="1D06AA94" w14:textId="77777777" w:rsidR="00DC1CDC" w:rsidRPr="00D9492F" w:rsidRDefault="00DC1CDC" w:rsidP="00DC1CDC">
            <w:pPr>
              <w:keepNext/>
              <w:keepLines/>
              <w:tabs>
                <w:tab w:val="left" w:pos="284"/>
              </w:tabs>
              <w:spacing w:after="0" w:line="240" w:lineRule="auto"/>
              <w:jc w:val="center"/>
              <w:rPr>
                <w:rFonts w:ascii="Times New Roman" w:hAnsi="Times New Roman"/>
                <w:bCs/>
                <w:u w:val="single"/>
              </w:rPr>
            </w:pPr>
            <w:r w:rsidRPr="00D9492F">
              <w:rPr>
                <w:rFonts w:ascii="Times New Roman" w:hAnsi="Times New Roman"/>
                <w:bCs/>
                <w:u w:val="single"/>
              </w:rPr>
              <w:lastRenderedPageBreak/>
              <w:t>Toksinis poveikis</w:t>
            </w:r>
          </w:p>
        </w:tc>
        <w:tc>
          <w:tcPr>
            <w:tcW w:w="5760" w:type="dxa"/>
          </w:tcPr>
          <w:p w14:paraId="23CAAABC" w14:textId="77777777" w:rsidR="00DC1CDC" w:rsidRPr="00D9492F" w:rsidRDefault="00DC1CDC" w:rsidP="00DC1CDC">
            <w:pPr>
              <w:keepNext/>
              <w:keepLines/>
              <w:tabs>
                <w:tab w:val="left" w:pos="199"/>
                <w:tab w:val="left" w:pos="284"/>
                <w:tab w:val="left" w:pos="567"/>
                <w:tab w:val="left" w:pos="851"/>
                <w:tab w:val="left" w:pos="1276"/>
                <w:tab w:val="left" w:pos="8222"/>
              </w:tabs>
              <w:spacing w:after="0" w:line="240" w:lineRule="auto"/>
              <w:jc w:val="center"/>
              <w:rPr>
                <w:rFonts w:ascii="Times New Roman" w:hAnsi="Times New Roman"/>
                <w:bCs/>
                <w:u w:val="single"/>
              </w:rPr>
            </w:pPr>
            <w:r w:rsidRPr="00D9492F">
              <w:rPr>
                <w:rFonts w:ascii="Times New Roman" w:hAnsi="Times New Roman"/>
                <w:bCs/>
                <w:u w:val="single"/>
              </w:rPr>
              <w:t>Dozės koregavimas</w:t>
            </w:r>
          </w:p>
        </w:tc>
      </w:tr>
      <w:tr w:rsidR="00DC1CDC" w:rsidRPr="00D9492F" w14:paraId="49ECC00C" w14:textId="77777777" w:rsidTr="0003751A">
        <w:trPr>
          <w:jc w:val="center"/>
        </w:trPr>
        <w:tc>
          <w:tcPr>
            <w:tcW w:w="2028" w:type="dxa"/>
          </w:tcPr>
          <w:p w14:paraId="1F36DB9F" w14:textId="77777777" w:rsidR="00DC1CDC" w:rsidRPr="00D9492F" w:rsidRDefault="00DC1CDC" w:rsidP="00DC1CDC">
            <w:pPr>
              <w:keepNext/>
              <w:keepLines/>
              <w:tabs>
                <w:tab w:val="left" w:pos="284"/>
              </w:tabs>
              <w:spacing w:after="0" w:line="240" w:lineRule="auto"/>
              <w:rPr>
                <w:rFonts w:ascii="Times New Roman" w:hAnsi="Times New Roman"/>
              </w:rPr>
            </w:pPr>
            <w:r w:rsidRPr="00D9492F">
              <w:rPr>
                <w:rFonts w:ascii="Times New Roman" w:hAnsi="Times New Roman"/>
              </w:rPr>
              <w:t>3 laipsnio viduriavimas</w:t>
            </w:r>
          </w:p>
        </w:tc>
        <w:tc>
          <w:tcPr>
            <w:tcW w:w="5760" w:type="dxa"/>
          </w:tcPr>
          <w:p w14:paraId="16943017" w14:textId="77777777" w:rsidR="00DC1CDC" w:rsidRPr="00D9492F" w:rsidRDefault="00DC1CDC" w:rsidP="00DC1CDC">
            <w:pPr>
              <w:keepNext/>
              <w:keepLines/>
              <w:tabs>
                <w:tab w:val="left" w:pos="199"/>
                <w:tab w:val="left" w:pos="284"/>
                <w:tab w:val="left" w:pos="567"/>
                <w:tab w:val="left" w:pos="851"/>
                <w:tab w:val="left" w:pos="1276"/>
                <w:tab w:val="left" w:pos="8222"/>
              </w:tabs>
              <w:spacing w:after="0" w:line="240" w:lineRule="auto"/>
              <w:rPr>
                <w:rFonts w:ascii="Times New Roman" w:hAnsi="Times New Roman"/>
              </w:rPr>
            </w:pPr>
            <w:r w:rsidRPr="00D9492F">
              <w:rPr>
                <w:rFonts w:ascii="Times New Roman" w:hAnsi="Times New Roman"/>
              </w:rPr>
              <w:t>Pirmasis epizodas: 5</w:t>
            </w:r>
            <w:r w:rsidRPr="00D9492F">
              <w:rPr>
                <w:rFonts w:ascii="Times New Roman" w:hAnsi="Times New Roman"/>
              </w:rPr>
              <w:noBreakHyphen/>
              <w:t>FU dozę mažinti 20 %.</w:t>
            </w:r>
          </w:p>
          <w:p w14:paraId="4E05A737" w14:textId="77777777" w:rsidR="00DC1CDC" w:rsidRPr="00D9492F" w:rsidRDefault="00DC1CDC" w:rsidP="00DC1CDC">
            <w:pPr>
              <w:keepNext/>
              <w:keepLines/>
              <w:tabs>
                <w:tab w:val="left" w:pos="199"/>
                <w:tab w:val="left" w:pos="284"/>
                <w:tab w:val="left" w:pos="567"/>
                <w:tab w:val="left" w:pos="851"/>
                <w:tab w:val="left" w:pos="1276"/>
                <w:tab w:val="left" w:pos="8222"/>
              </w:tabs>
              <w:spacing w:after="0" w:line="240" w:lineRule="auto"/>
              <w:rPr>
                <w:rFonts w:ascii="Times New Roman" w:hAnsi="Times New Roman"/>
              </w:rPr>
            </w:pPr>
            <w:r w:rsidRPr="00D9492F">
              <w:rPr>
                <w:rFonts w:ascii="Times New Roman" w:hAnsi="Times New Roman"/>
              </w:rPr>
              <w:t>Antrasis epizodas: docetakselio dozę mažinti 20 %.</w:t>
            </w:r>
          </w:p>
        </w:tc>
      </w:tr>
      <w:tr w:rsidR="00DC1CDC" w:rsidRPr="00D9492F" w14:paraId="3B02B97E" w14:textId="77777777" w:rsidTr="0003751A">
        <w:trPr>
          <w:jc w:val="center"/>
        </w:trPr>
        <w:tc>
          <w:tcPr>
            <w:tcW w:w="2028" w:type="dxa"/>
          </w:tcPr>
          <w:p w14:paraId="1A9068C0" w14:textId="77777777" w:rsidR="00DC1CDC" w:rsidRPr="00D9492F" w:rsidRDefault="00DC1CDC" w:rsidP="00DC1CDC">
            <w:pPr>
              <w:keepNext/>
              <w:keepLines/>
              <w:tabs>
                <w:tab w:val="left" w:pos="284"/>
              </w:tabs>
              <w:spacing w:after="0" w:line="240" w:lineRule="auto"/>
              <w:rPr>
                <w:rFonts w:ascii="Times New Roman" w:hAnsi="Times New Roman"/>
              </w:rPr>
            </w:pPr>
            <w:r w:rsidRPr="00D9492F">
              <w:rPr>
                <w:rFonts w:ascii="Times New Roman" w:hAnsi="Times New Roman"/>
              </w:rPr>
              <w:t>4 laipsnio viduriavimas</w:t>
            </w:r>
          </w:p>
        </w:tc>
        <w:tc>
          <w:tcPr>
            <w:tcW w:w="5760" w:type="dxa"/>
          </w:tcPr>
          <w:p w14:paraId="310F3FCE" w14:textId="77777777" w:rsidR="00DC1CDC" w:rsidRPr="00D9492F" w:rsidRDefault="00DC1CDC" w:rsidP="00DC1CDC">
            <w:pPr>
              <w:keepNext/>
              <w:keepLines/>
              <w:tabs>
                <w:tab w:val="left" w:pos="199"/>
                <w:tab w:val="left" w:pos="284"/>
                <w:tab w:val="left" w:pos="567"/>
                <w:tab w:val="left" w:pos="851"/>
                <w:tab w:val="left" w:pos="1276"/>
                <w:tab w:val="left" w:pos="8222"/>
              </w:tabs>
              <w:spacing w:after="0" w:line="240" w:lineRule="auto"/>
              <w:rPr>
                <w:rFonts w:ascii="Times New Roman" w:hAnsi="Times New Roman"/>
              </w:rPr>
            </w:pPr>
            <w:r w:rsidRPr="00D9492F">
              <w:rPr>
                <w:rFonts w:ascii="Times New Roman" w:hAnsi="Times New Roman"/>
              </w:rPr>
              <w:t>Pirmasis epizodas: docetakselio ir 5</w:t>
            </w:r>
            <w:r w:rsidRPr="00D9492F">
              <w:rPr>
                <w:rFonts w:ascii="Times New Roman" w:hAnsi="Times New Roman"/>
              </w:rPr>
              <w:noBreakHyphen/>
              <w:t>FU dozę mažinti 20 %.</w:t>
            </w:r>
          </w:p>
          <w:p w14:paraId="310F8233" w14:textId="77777777" w:rsidR="00DC1CDC" w:rsidRPr="00D9492F" w:rsidRDefault="00DC1CDC" w:rsidP="00DC1CDC">
            <w:pPr>
              <w:keepNext/>
              <w:keepLines/>
              <w:tabs>
                <w:tab w:val="left" w:pos="199"/>
                <w:tab w:val="left" w:pos="284"/>
                <w:tab w:val="left" w:pos="567"/>
                <w:tab w:val="left" w:pos="851"/>
                <w:tab w:val="left" w:pos="1276"/>
                <w:tab w:val="left" w:pos="8222"/>
              </w:tabs>
              <w:spacing w:after="0" w:line="240" w:lineRule="auto"/>
              <w:rPr>
                <w:rFonts w:ascii="Times New Roman" w:hAnsi="Times New Roman"/>
              </w:rPr>
            </w:pPr>
            <w:r w:rsidRPr="00D9492F">
              <w:rPr>
                <w:rFonts w:ascii="Times New Roman" w:hAnsi="Times New Roman"/>
              </w:rPr>
              <w:t>Antrasis epizodas: nutraukti gydymą.</w:t>
            </w:r>
          </w:p>
        </w:tc>
      </w:tr>
      <w:tr w:rsidR="00DC1CDC" w:rsidRPr="00D9492F" w14:paraId="0BF0ABBF" w14:textId="77777777" w:rsidTr="0003751A">
        <w:trPr>
          <w:jc w:val="center"/>
        </w:trPr>
        <w:tc>
          <w:tcPr>
            <w:tcW w:w="2028" w:type="dxa"/>
          </w:tcPr>
          <w:p w14:paraId="7292DDE1" w14:textId="77777777" w:rsidR="00DC1CDC" w:rsidRPr="00D9492F" w:rsidRDefault="00DC1CDC" w:rsidP="00DC1CDC">
            <w:pPr>
              <w:keepNext/>
              <w:keepLines/>
              <w:tabs>
                <w:tab w:val="left" w:pos="142"/>
                <w:tab w:val="left" w:pos="567"/>
                <w:tab w:val="left" w:pos="851"/>
                <w:tab w:val="left" w:pos="1276"/>
                <w:tab w:val="left" w:pos="8222"/>
              </w:tabs>
              <w:spacing w:after="0" w:line="240" w:lineRule="auto"/>
              <w:rPr>
                <w:rFonts w:ascii="Times New Roman" w:hAnsi="Times New Roman"/>
              </w:rPr>
            </w:pPr>
            <w:r w:rsidRPr="00D9492F">
              <w:rPr>
                <w:rFonts w:ascii="Times New Roman" w:hAnsi="Times New Roman"/>
              </w:rPr>
              <w:t>3 laipsnio stomatitas</w:t>
            </w:r>
            <w:r w:rsidR="00B61766" w:rsidRPr="00D9492F">
              <w:rPr>
                <w:rFonts w:ascii="Times New Roman" w:hAnsi="Times New Roman"/>
              </w:rPr>
              <w:t xml:space="preserve"> ar </w:t>
            </w:r>
            <w:r w:rsidRPr="00D9492F">
              <w:rPr>
                <w:rFonts w:ascii="Times New Roman" w:hAnsi="Times New Roman"/>
              </w:rPr>
              <w:t>mukozitas</w:t>
            </w:r>
          </w:p>
          <w:p w14:paraId="0756E90B" w14:textId="77777777" w:rsidR="00DC1CDC" w:rsidRPr="00D9492F" w:rsidRDefault="00DC1CDC" w:rsidP="00DC1CDC">
            <w:pPr>
              <w:keepNext/>
              <w:keepLines/>
              <w:tabs>
                <w:tab w:val="left" w:pos="142"/>
                <w:tab w:val="left" w:pos="567"/>
                <w:tab w:val="left" w:pos="851"/>
                <w:tab w:val="left" w:pos="1276"/>
                <w:tab w:val="left" w:pos="8222"/>
              </w:tabs>
              <w:spacing w:after="0" w:line="240" w:lineRule="auto"/>
              <w:rPr>
                <w:rFonts w:ascii="Times New Roman" w:hAnsi="Times New Roman"/>
              </w:rPr>
            </w:pPr>
          </w:p>
        </w:tc>
        <w:tc>
          <w:tcPr>
            <w:tcW w:w="5760" w:type="dxa"/>
          </w:tcPr>
          <w:p w14:paraId="2C36F87B" w14:textId="77777777" w:rsidR="00DC1CDC" w:rsidRPr="00D9492F" w:rsidRDefault="00DC1CDC" w:rsidP="00DC1CDC">
            <w:pPr>
              <w:keepNext/>
              <w:keepLines/>
              <w:tabs>
                <w:tab w:val="left" w:pos="199"/>
                <w:tab w:val="left" w:pos="284"/>
                <w:tab w:val="left" w:pos="567"/>
                <w:tab w:val="left" w:pos="851"/>
                <w:tab w:val="left" w:pos="1276"/>
                <w:tab w:val="left" w:pos="8222"/>
              </w:tabs>
              <w:spacing w:after="0" w:line="240" w:lineRule="auto"/>
              <w:rPr>
                <w:rFonts w:ascii="Times New Roman" w:hAnsi="Times New Roman"/>
              </w:rPr>
            </w:pPr>
            <w:r w:rsidRPr="00D9492F">
              <w:rPr>
                <w:rFonts w:ascii="Times New Roman" w:hAnsi="Times New Roman"/>
              </w:rPr>
              <w:t>Pirmasis epizodas: 5</w:t>
            </w:r>
            <w:r w:rsidRPr="00D9492F">
              <w:rPr>
                <w:rFonts w:ascii="Times New Roman" w:hAnsi="Times New Roman"/>
              </w:rPr>
              <w:noBreakHyphen/>
              <w:t>FU dozę mažinti 20 %.</w:t>
            </w:r>
          </w:p>
          <w:p w14:paraId="53E743F9" w14:textId="77777777" w:rsidR="00DC1CDC" w:rsidRPr="00D9492F" w:rsidRDefault="00DC1CDC" w:rsidP="00DC1CDC">
            <w:pPr>
              <w:keepNext/>
              <w:keepLines/>
              <w:tabs>
                <w:tab w:val="left" w:pos="199"/>
                <w:tab w:val="left" w:pos="284"/>
                <w:tab w:val="left" w:pos="567"/>
                <w:tab w:val="left" w:pos="851"/>
                <w:tab w:val="left" w:pos="1276"/>
                <w:tab w:val="left" w:pos="8222"/>
              </w:tabs>
              <w:spacing w:after="0" w:line="240" w:lineRule="auto"/>
              <w:rPr>
                <w:rFonts w:ascii="Times New Roman" w:hAnsi="Times New Roman"/>
              </w:rPr>
            </w:pPr>
            <w:r w:rsidRPr="00D9492F">
              <w:rPr>
                <w:rFonts w:ascii="Times New Roman" w:hAnsi="Times New Roman"/>
              </w:rPr>
              <w:t>Antrasis epizodas: nutraukti tik 5</w:t>
            </w:r>
            <w:r w:rsidRPr="00D9492F">
              <w:rPr>
                <w:rFonts w:ascii="Times New Roman" w:hAnsi="Times New Roman"/>
              </w:rPr>
              <w:noBreakHyphen/>
              <w:t xml:space="preserve">FU vartojimą visų </w:t>
            </w:r>
            <w:r w:rsidR="00615A6B" w:rsidRPr="00D9492F">
              <w:rPr>
                <w:rFonts w:ascii="Times New Roman" w:hAnsi="Times New Roman"/>
              </w:rPr>
              <w:t xml:space="preserve">vėlesnių </w:t>
            </w:r>
            <w:r w:rsidRPr="00D9492F">
              <w:rPr>
                <w:rFonts w:ascii="Times New Roman" w:hAnsi="Times New Roman"/>
              </w:rPr>
              <w:t>ciklų metu.</w:t>
            </w:r>
          </w:p>
          <w:p w14:paraId="6A27979F" w14:textId="77777777" w:rsidR="00DC1CDC" w:rsidRPr="00D9492F" w:rsidRDefault="00DC1CDC" w:rsidP="00DC1CDC">
            <w:pPr>
              <w:keepNext/>
              <w:keepLines/>
              <w:tabs>
                <w:tab w:val="left" w:pos="199"/>
                <w:tab w:val="left" w:pos="284"/>
                <w:tab w:val="left" w:pos="567"/>
                <w:tab w:val="left" w:pos="851"/>
                <w:tab w:val="left" w:pos="1276"/>
                <w:tab w:val="left" w:pos="8222"/>
              </w:tabs>
              <w:spacing w:after="0" w:line="240" w:lineRule="auto"/>
              <w:rPr>
                <w:rFonts w:ascii="Times New Roman" w:hAnsi="Times New Roman"/>
              </w:rPr>
            </w:pPr>
            <w:r w:rsidRPr="00D9492F">
              <w:rPr>
                <w:rFonts w:ascii="Times New Roman" w:hAnsi="Times New Roman"/>
              </w:rPr>
              <w:t>Trečiasis epizodas: docetakselio dozę mažinti 20 %.</w:t>
            </w:r>
          </w:p>
        </w:tc>
      </w:tr>
      <w:tr w:rsidR="00DC1CDC" w:rsidRPr="00D9492F" w14:paraId="1B945A7C" w14:textId="77777777" w:rsidTr="0003751A">
        <w:trPr>
          <w:jc w:val="center"/>
        </w:trPr>
        <w:tc>
          <w:tcPr>
            <w:tcW w:w="2028" w:type="dxa"/>
          </w:tcPr>
          <w:p w14:paraId="2AF970F7" w14:textId="77777777" w:rsidR="00DC1CDC" w:rsidRPr="00D9492F" w:rsidRDefault="00DC1CDC" w:rsidP="00DC1CDC">
            <w:pPr>
              <w:keepNext/>
              <w:keepLines/>
              <w:tabs>
                <w:tab w:val="left" w:pos="142"/>
                <w:tab w:val="left" w:pos="567"/>
                <w:tab w:val="left" w:pos="851"/>
                <w:tab w:val="left" w:pos="1276"/>
                <w:tab w:val="left" w:pos="8222"/>
              </w:tabs>
              <w:spacing w:after="0" w:line="240" w:lineRule="auto"/>
              <w:rPr>
                <w:rFonts w:ascii="Times New Roman" w:hAnsi="Times New Roman"/>
              </w:rPr>
            </w:pPr>
            <w:r w:rsidRPr="00D9492F">
              <w:rPr>
                <w:rFonts w:ascii="Times New Roman" w:hAnsi="Times New Roman"/>
              </w:rPr>
              <w:t>4 laipsnio stomatitas</w:t>
            </w:r>
            <w:r w:rsidR="00B61766" w:rsidRPr="00D9492F">
              <w:rPr>
                <w:rFonts w:ascii="Times New Roman" w:hAnsi="Times New Roman"/>
              </w:rPr>
              <w:t xml:space="preserve"> ar </w:t>
            </w:r>
            <w:r w:rsidRPr="00D9492F">
              <w:rPr>
                <w:rFonts w:ascii="Times New Roman" w:hAnsi="Times New Roman"/>
              </w:rPr>
              <w:t>mukozitas</w:t>
            </w:r>
          </w:p>
        </w:tc>
        <w:tc>
          <w:tcPr>
            <w:tcW w:w="5760" w:type="dxa"/>
          </w:tcPr>
          <w:p w14:paraId="3E6F7E82" w14:textId="77777777" w:rsidR="00DC1CDC" w:rsidRPr="00D9492F" w:rsidRDefault="00DC1CDC" w:rsidP="00DC1CDC">
            <w:pPr>
              <w:keepNext/>
              <w:keepLines/>
              <w:tabs>
                <w:tab w:val="left" w:pos="199"/>
                <w:tab w:val="left" w:pos="284"/>
                <w:tab w:val="left" w:pos="567"/>
                <w:tab w:val="left" w:pos="851"/>
                <w:tab w:val="left" w:pos="1276"/>
                <w:tab w:val="left" w:pos="8222"/>
              </w:tabs>
              <w:spacing w:after="0" w:line="240" w:lineRule="auto"/>
              <w:rPr>
                <w:rFonts w:ascii="Times New Roman" w:hAnsi="Times New Roman"/>
              </w:rPr>
            </w:pPr>
            <w:r w:rsidRPr="00D9492F">
              <w:rPr>
                <w:rFonts w:ascii="Times New Roman" w:hAnsi="Times New Roman"/>
              </w:rPr>
              <w:t>Pirmasis epizodas: nutraukti tik 5</w:t>
            </w:r>
            <w:r w:rsidRPr="00D9492F">
              <w:rPr>
                <w:rFonts w:ascii="Times New Roman" w:hAnsi="Times New Roman"/>
              </w:rPr>
              <w:noBreakHyphen/>
              <w:t xml:space="preserve">FU vartojimą visų </w:t>
            </w:r>
            <w:r w:rsidR="00615A6B" w:rsidRPr="00D9492F">
              <w:rPr>
                <w:rFonts w:ascii="Times New Roman" w:hAnsi="Times New Roman"/>
              </w:rPr>
              <w:t xml:space="preserve">vėlesnių </w:t>
            </w:r>
            <w:r w:rsidRPr="00D9492F">
              <w:rPr>
                <w:rFonts w:ascii="Times New Roman" w:hAnsi="Times New Roman"/>
              </w:rPr>
              <w:t>ciklų metu.</w:t>
            </w:r>
          </w:p>
          <w:p w14:paraId="565525B4" w14:textId="77777777" w:rsidR="00DC1CDC" w:rsidRPr="00D9492F" w:rsidRDefault="00DC1CDC" w:rsidP="00DC1CDC">
            <w:pPr>
              <w:keepNext/>
              <w:keepLines/>
              <w:tabs>
                <w:tab w:val="left" w:pos="199"/>
                <w:tab w:val="left" w:pos="284"/>
                <w:tab w:val="left" w:pos="567"/>
                <w:tab w:val="left" w:pos="851"/>
                <w:tab w:val="left" w:pos="1276"/>
                <w:tab w:val="left" w:pos="8222"/>
              </w:tabs>
              <w:spacing w:after="0" w:line="240" w:lineRule="auto"/>
              <w:rPr>
                <w:rFonts w:ascii="Times New Roman" w:hAnsi="Times New Roman"/>
              </w:rPr>
            </w:pPr>
            <w:r w:rsidRPr="00D9492F">
              <w:rPr>
                <w:rFonts w:ascii="Times New Roman" w:hAnsi="Times New Roman"/>
              </w:rPr>
              <w:t>Antrasis epizodas: docetakselio dozę mažinti 20 %.</w:t>
            </w:r>
          </w:p>
        </w:tc>
      </w:tr>
    </w:tbl>
    <w:p w14:paraId="256016B3" w14:textId="77777777" w:rsidR="00DC1CDC" w:rsidRPr="00D9492F" w:rsidRDefault="00DC1CDC" w:rsidP="00DC1CDC">
      <w:pPr>
        <w:spacing w:after="0" w:line="240" w:lineRule="auto"/>
        <w:rPr>
          <w:rFonts w:ascii="Times New Roman" w:hAnsi="Times New Roman"/>
        </w:rPr>
      </w:pPr>
    </w:p>
    <w:p w14:paraId="725387B9"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Kaip koreguoti cisplatinos ir 5</w:t>
      </w:r>
      <w:r w:rsidRPr="00D9492F">
        <w:rPr>
          <w:rFonts w:ascii="Times New Roman" w:hAnsi="Times New Roman"/>
        </w:rPr>
        <w:noBreakHyphen/>
        <w:t>fluorouracilo dozę, žr. atitinkamą vaistinio preparato charakteristikų santrauką.</w:t>
      </w:r>
    </w:p>
    <w:p w14:paraId="098AB4FA" w14:textId="77777777" w:rsidR="00DC1CDC" w:rsidRPr="00D9492F" w:rsidRDefault="00DC1CDC" w:rsidP="00DC1CDC">
      <w:pPr>
        <w:spacing w:after="0" w:line="240" w:lineRule="auto"/>
        <w:rPr>
          <w:rFonts w:ascii="Times New Roman" w:hAnsi="Times New Roman"/>
        </w:rPr>
      </w:pPr>
    </w:p>
    <w:p w14:paraId="294D9C89" w14:textId="77777777" w:rsidR="00DC1CDC" w:rsidRPr="00D9492F" w:rsidRDefault="00DC1CDC" w:rsidP="00DC1CDC">
      <w:pPr>
        <w:spacing w:after="0" w:line="240" w:lineRule="auto"/>
        <w:rPr>
          <w:rFonts w:ascii="Times New Roman" w:hAnsi="Times New Roman"/>
          <w:bCs/>
          <w:iCs/>
        </w:rPr>
      </w:pPr>
      <w:r w:rsidRPr="00D9492F">
        <w:rPr>
          <w:rFonts w:ascii="Times New Roman" w:hAnsi="Times New Roman"/>
          <w:bCs/>
          <w:iCs/>
        </w:rPr>
        <w:t xml:space="preserve">Pagrindinių </w:t>
      </w:r>
      <w:r w:rsidRPr="00D9492F">
        <w:rPr>
          <w:rFonts w:ascii="Times New Roman" w:hAnsi="Times New Roman"/>
        </w:rPr>
        <w:t>PGKV</w:t>
      </w:r>
      <w:r w:rsidRPr="00D9492F">
        <w:rPr>
          <w:rFonts w:ascii="Times New Roman" w:hAnsi="Times New Roman"/>
          <w:bCs/>
          <w:iCs/>
        </w:rPr>
        <w:t xml:space="preserve"> tyrimų metu pacientams, kuriems atsirado neutropenija su komplikacijomis, įskaitant ilgalaikę neutropeniją, febrilinę neutropeniją ar infekciją, </w:t>
      </w:r>
      <w:r w:rsidRPr="00D9492F">
        <w:rPr>
          <w:rFonts w:ascii="Times New Roman" w:hAnsi="Times New Roman"/>
        </w:rPr>
        <w:t>visų vėlesnių kursų metu rekomenduota vartoti G</w:t>
      </w:r>
      <w:r w:rsidRPr="00D9492F">
        <w:rPr>
          <w:rFonts w:ascii="Times New Roman" w:hAnsi="Times New Roman"/>
        </w:rPr>
        <w:noBreakHyphen/>
        <w:t>KSF profilaktikai (pvz., 6</w:t>
      </w:r>
      <w:r w:rsidRPr="00D9492F">
        <w:rPr>
          <w:rFonts w:ascii="Times New Roman" w:hAnsi="Times New Roman"/>
        </w:rPr>
        <w:noBreakHyphen/>
        <w:t>15 kurso dienomis)</w:t>
      </w:r>
      <w:r w:rsidRPr="00D9492F">
        <w:rPr>
          <w:rFonts w:ascii="Times New Roman" w:hAnsi="Times New Roman"/>
          <w:bCs/>
          <w:iCs/>
        </w:rPr>
        <w:t>.</w:t>
      </w:r>
    </w:p>
    <w:p w14:paraId="0F07524E" w14:textId="77777777" w:rsidR="006C0026" w:rsidRPr="00D9492F" w:rsidRDefault="006C0026" w:rsidP="006C0026">
      <w:pPr>
        <w:keepNext/>
        <w:keepLines/>
        <w:spacing w:after="0" w:line="240" w:lineRule="auto"/>
        <w:rPr>
          <w:rFonts w:ascii="Times New Roman" w:hAnsi="Times New Roman"/>
          <w:iCs/>
          <w:u w:val="single"/>
        </w:rPr>
      </w:pPr>
    </w:p>
    <w:p w14:paraId="217AF2B6" w14:textId="4F9BCCC0" w:rsidR="00DC1CDC" w:rsidRPr="00D9492F" w:rsidRDefault="001E7FFA" w:rsidP="00D9492F">
      <w:pPr>
        <w:keepNext/>
        <w:keepLines/>
        <w:spacing w:after="0" w:line="240" w:lineRule="auto"/>
        <w:rPr>
          <w:rFonts w:ascii="Times New Roman" w:hAnsi="Times New Roman"/>
          <w:iCs/>
          <w:u w:val="single"/>
        </w:rPr>
      </w:pPr>
      <w:r w:rsidRPr="00D9492F">
        <w:rPr>
          <w:rFonts w:ascii="Times New Roman" w:hAnsi="Times New Roman"/>
          <w:iCs/>
          <w:u w:val="single"/>
        </w:rPr>
        <w:t>Ypatingos populiacijos</w:t>
      </w:r>
      <w:r w:rsidR="006C0026" w:rsidRPr="00D9492F">
        <w:rPr>
          <w:rFonts w:ascii="Times New Roman" w:hAnsi="Times New Roman"/>
          <w:iCs/>
          <w:u w:val="single"/>
        </w:rPr>
        <w:t xml:space="preserve">: </w:t>
      </w:r>
    </w:p>
    <w:p w14:paraId="04BDF9C7" w14:textId="77777777" w:rsidR="00DC1CDC" w:rsidRPr="00D9492F" w:rsidRDefault="00DC1CDC" w:rsidP="00DC1CDC">
      <w:pPr>
        <w:keepNext/>
        <w:keepLines/>
        <w:spacing w:after="0" w:line="240" w:lineRule="auto"/>
        <w:rPr>
          <w:rFonts w:ascii="Times New Roman" w:hAnsi="Times New Roman"/>
          <w:b/>
        </w:rPr>
      </w:pPr>
      <w:r w:rsidRPr="00D9492F">
        <w:rPr>
          <w:rFonts w:ascii="Times New Roman" w:hAnsi="Times New Roman"/>
          <w:i/>
        </w:rPr>
        <w:t>Pacienta</w:t>
      </w:r>
      <w:r w:rsidR="00B4395A" w:rsidRPr="00D9492F">
        <w:rPr>
          <w:rFonts w:ascii="Times New Roman" w:hAnsi="Times New Roman"/>
          <w:i/>
        </w:rPr>
        <w:t>ms</w:t>
      </w:r>
      <w:r w:rsidRPr="00D9492F">
        <w:rPr>
          <w:rFonts w:ascii="Times New Roman" w:hAnsi="Times New Roman"/>
          <w:i/>
        </w:rPr>
        <w:t>, kurių kepenų funkcija sutrikusi</w:t>
      </w:r>
    </w:p>
    <w:p w14:paraId="0723E99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Jei transaminazių (ALT ir (arba) AST) koncentracija yra daugiau kaip 1,5 karto didesnė negu viršutinė normos riba (VNR), o šarminės fosfatazės koncentracija – daugiau kaip 2,5 karto didesnė negu VNR, tai rekomenduojama dozė, remiantis 100 mg/m</w:t>
      </w:r>
      <w:r w:rsidRPr="00D9492F">
        <w:rPr>
          <w:rFonts w:ascii="Times New Roman" w:hAnsi="Times New Roman"/>
          <w:vertAlign w:val="superscript"/>
        </w:rPr>
        <w:t>2 </w:t>
      </w:r>
      <w:r w:rsidRPr="00D9492F">
        <w:rPr>
          <w:rFonts w:ascii="Times New Roman" w:hAnsi="Times New Roman"/>
        </w:rPr>
        <w:t>dozėmis monoterapijai vartojamo docetakselio farmakokinetikos duomenimis, – 75 mg/m</w:t>
      </w:r>
      <w:r w:rsidRPr="00D9492F">
        <w:rPr>
          <w:rFonts w:ascii="Times New Roman" w:hAnsi="Times New Roman"/>
          <w:vertAlign w:val="superscript"/>
        </w:rPr>
        <w:t>2 </w:t>
      </w:r>
      <w:r w:rsidRPr="00D9492F">
        <w:rPr>
          <w:rFonts w:ascii="Times New Roman" w:hAnsi="Times New Roman"/>
        </w:rPr>
        <w:t>(žr. 4.4 ir 5.2</w:t>
      </w:r>
      <w:r w:rsidR="00134347" w:rsidRPr="00D9492F">
        <w:rPr>
          <w:rFonts w:ascii="Times New Roman" w:hAnsi="Times New Roman"/>
        </w:rPr>
        <w:t xml:space="preserve"> skyrius</w:t>
      </w:r>
      <w:r w:rsidRPr="00D9492F">
        <w:rPr>
          <w:rFonts w:ascii="Times New Roman" w:hAnsi="Times New Roman"/>
        </w:rPr>
        <w:t xml:space="preserve">). Jei bilirubino koncentracija serume didesnė negu VNR ir (arba) ALT ir AST koncentracija daugiau kaip 3,5 karto didesnė negu VNR, o šarminės fosfatazės koncentracija daugiau kaip 6 kartus didesnė negu VNR, tai galimybės nurodyti dozės mažinimo </w:t>
      </w:r>
      <w:r w:rsidR="003F1A6C" w:rsidRPr="00D9492F">
        <w:rPr>
          <w:rFonts w:ascii="Times New Roman" w:hAnsi="Times New Roman"/>
        </w:rPr>
        <w:t xml:space="preserve">rekomendacijų </w:t>
      </w:r>
      <w:r w:rsidRPr="00D9492F">
        <w:rPr>
          <w:rFonts w:ascii="Times New Roman" w:hAnsi="Times New Roman"/>
        </w:rPr>
        <w:t xml:space="preserve">nėra. Tokiais atvejais docetakselio skiriama tik tada, kai neišvengiamai būtina. </w:t>
      </w:r>
    </w:p>
    <w:p w14:paraId="07C5E6DC" w14:textId="77777777" w:rsidR="00DC1CDC" w:rsidRPr="00D9492F" w:rsidRDefault="00DC1CDC" w:rsidP="00DC1CDC">
      <w:pPr>
        <w:spacing w:after="0" w:line="240" w:lineRule="auto"/>
        <w:rPr>
          <w:rFonts w:ascii="Times New Roman" w:hAnsi="Times New Roman"/>
          <w:iCs/>
        </w:rPr>
      </w:pPr>
      <w:r w:rsidRPr="00D9492F">
        <w:rPr>
          <w:rFonts w:ascii="Times New Roman" w:hAnsi="Times New Roman"/>
        </w:rPr>
        <w:t>Jei ALT ir (arba) AST koncentracija buvo daugiau kaip 1,5 karto didesnė negu VNR, šarminės fosfatazės koncentracija – daugiau kaip 2,5 karto didesnė negu VNR,</w:t>
      </w:r>
      <w:r w:rsidRPr="00D9492F">
        <w:rPr>
          <w:rFonts w:ascii="Times New Roman" w:hAnsi="Times New Roman"/>
          <w:iCs/>
        </w:rPr>
        <w:t xml:space="preserve"> o</w:t>
      </w:r>
      <w:r w:rsidRPr="00D9492F">
        <w:rPr>
          <w:rFonts w:ascii="Times New Roman" w:hAnsi="Times New Roman"/>
          <w:iCs/>
          <w:color w:val="0000FF"/>
        </w:rPr>
        <w:t xml:space="preserve"> </w:t>
      </w:r>
      <w:r w:rsidRPr="00D9492F">
        <w:rPr>
          <w:rFonts w:ascii="Times New Roman" w:hAnsi="Times New Roman"/>
          <w:iCs/>
        </w:rPr>
        <w:t xml:space="preserve">bilirubino koncentracija viršijo VNR, tokie pacientai nebuvo įtraukiami į pagrindinį klinikinį tyrimą, kurio metu skrandžio adenokarcinoma sergantys pacientai buvo gydomi </w:t>
      </w:r>
      <w:r w:rsidRPr="00D9492F">
        <w:rPr>
          <w:rFonts w:ascii="Times New Roman" w:hAnsi="Times New Roman"/>
        </w:rPr>
        <w:t xml:space="preserve">docetakseliu, </w:t>
      </w:r>
      <w:r w:rsidRPr="00D9492F">
        <w:rPr>
          <w:rFonts w:ascii="Times New Roman" w:hAnsi="Times New Roman"/>
          <w:iCs/>
        </w:rPr>
        <w:t>cisplatina ir 5</w:t>
      </w:r>
      <w:r w:rsidRPr="00D9492F">
        <w:rPr>
          <w:rFonts w:ascii="Times New Roman" w:hAnsi="Times New Roman"/>
          <w:iCs/>
        </w:rPr>
        <w:noBreakHyphen/>
        <w:t>fluorouracilu</w:t>
      </w:r>
      <w:r w:rsidR="00D237AA" w:rsidRPr="00D9492F">
        <w:rPr>
          <w:rFonts w:ascii="Times New Roman" w:hAnsi="Times New Roman"/>
          <w:iCs/>
        </w:rPr>
        <w:t>.</w:t>
      </w:r>
      <w:r w:rsidRPr="00D9492F">
        <w:rPr>
          <w:rFonts w:ascii="Times New Roman" w:hAnsi="Times New Roman"/>
          <w:iCs/>
        </w:rPr>
        <w:t xml:space="preserve"> </w:t>
      </w:r>
      <w:r w:rsidR="00D237AA" w:rsidRPr="00D9492F">
        <w:rPr>
          <w:rFonts w:ascii="Times New Roman" w:hAnsi="Times New Roman"/>
        </w:rPr>
        <w:t>G</w:t>
      </w:r>
      <w:r w:rsidRPr="00D9492F">
        <w:rPr>
          <w:rFonts w:ascii="Times New Roman" w:hAnsi="Times New Roman"/>
        </w:rPr>
        <w:t xml:space="preserve">alimybės tokiems pacientams nurodyti dozės mažinimo </w:t>
      </w:r>
      <w:r w:rsidR="003F1A6C" w:rsidRPr="00D9492F">
        <w:rPr>
          <w:rFonts w:ascii="Times New Roman" w:hAnsi="Times New Roman"/>
        </w:rPr>
        <w:t xml:space="preserve">rekomendacijų </w:t>
      </w:r>
      <w:r w:rsidRPr="00D9492F">
        <w:rPr>
          <w:rFonts w:ascii="Times New Roman" w:hAnsi="Times New Roman"/>
        </w:rPr>
        <w:t>nėra</w:t>
      </w:r>
      <w:r w:rsidRPr="00D9492F">
        <w:rPr>
          <w:rFonts w:ascii="Times New Roman" w:hAnsi="Times New Roman"/>
          <w:iCs/>
        </w:rPr>
        <w:t xml:space="preserve">, jiems docetakselio skiriama tik tada, kai neišvengiamai būtina. </w:t>
      </w:r>
      <w:r w:rsidRPr="00D9492F">
        <w:rPr>
          <w:rFonts w:ascii="Times New Roman" w:hAnsi="Times New Roman"/>
        </w:rPr>
        <w:t>Duomenų apie docetakselio derinimą su kitais vaistiniais preparatais</w:t>
      </w:r>
      <w:r w:rsidR="003F1A6C" w:rsidRPr="00D9492F">
        <w:rPr>
          <w:rFonts w:ascii="Times New Roman" w:hAnsi="Times New Roman"/>
        </w:rPr>
        <w:t>,</w:t>
      </w:r>
      <w:r w:rsidRPr="00D9492F">
        <w:rPr>
          <w:rFonts w:ascii="Times New Roman" w:hAnsi="Times New Roman"/>
        </w:rPr>
        <w:t xml:space="preserve"> esant kitoms indikacijoms kepenų nepakankamumu sergantiems pacientams nėra.</w:t>
      </w:r>
    </w:p>
    <w:p w14:paraId="4E362996" w14:textId="77777777" w:rsidR="00DC1CDC" w:rsidRPr="00D9492F" w:rsidRDefault="00DC1CDC" w:rsidP="00DC1CDC">
      <w:pPr>
        <w:spacing w:after="0" w:line="240" w:lineRule="auto"/>
        <w:rPr>
          <w:rFonts w:ascii="Times New Roman" w:hAnsi="Times New Roman"/>
        </w:rPr>
      </w:pPr>
    </w:p>
    <w:p w14:paraId="0EE64B05" w14:textId="77777777" w:rsidR="00DC1CDC" w:rsidRPr="00D9492F" w:rsidRDefault="00DC1CDC" w:rsidP="00DC1CDC">
      <w:pPr>
        <w:keepNext/>
        <w:keepLines/>
        <w:spacing w:after="0" w:line="240" w:lineRule="auto"/>
        <w:rPr>
          <w:rFonts w:ascii="Times New Roman" w:hAnsi="Times New Roman"/>
          <w:i/>
        </w:rPr>
      </w:pPr>
      <w:r w:rsidRPr="00D9492F">
        <w:rPr>
          <w:rFonts w:ascii="Times New Roman" w:hAnsi="Times New Roman"/>
          <w:i/>
        </w:rPr>
        <w:t>Vaikų populiacija</w:t>
      </w:r>
    </w:p>
    <w:p w14:paraId="33D8A50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Docetaxel SanoSwiss saugumas ir veiksmingumas gydant 1 mėnesio ir jaunesnius nei 18 metų vaikus, sergančius nosiaryklės karcinoma, nenustatytas. </w:t>
      </w:r>
    </w:p>
    <w:p w14:paraId="193FEFD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Docetaxel SanoSwiss vartojimas vaikams, kurie sirgtų krūties vėžiu, plaučių nesmulkialąsteliniu vėžiu, prostatos vėžiu, skrandžio karcinoma, galvos ir kaklo vėžiu, neaktualus, išskyrus II arba III tipo mažiau diferencijuotą nosiaryklės karcinomą. </w:t>
      </w:r>
    </w:p>
    <w:p w14:paraId="44DFB21D" w14:textId="77777777" w:rsidR="00DC1CDC" w:rsidRPr="00D9492F" w:rsidRDefault="00DC1CDC" w:rsidP="00DC1CDC">
      <w:pPr>
        <w:spacing w:after="0" w:line="240" w:lineRule="auto"/>
        <w:rPr>
          <w:rFonts w:ascii="Times New Roman" w:hAnsi="Times New Roman"/>
        </w:rPr>
      </w:pPr>
    </w:p>
    <w:p w14:paraId="54C0DB2D" w14:textId="77777777" w:rsidR="00DC1CDC" w:rsidRPr="00D9492F" w:rsidRDefault="00DC1CDC" w:rsidP="00DC1CDC">
      <w:pPr>
        <w:keepNext/>
        <w:keepLines/>
        <w:spacing w:after="0" w:line="240" w:lineRule="auto"/>
        <w:rPr>
          <w:rFonts w:ascii="Times New Roman" w:hAnsi="Times New Roman"/>
          <w:i/>
        </w:rPr>
      </w:pPr>
      <w:r w:rsidRPr="00D9492F">
        <w:rPr>
          <w:rFonts w:ascii="Times New Roman" w:hAnsi="Times New Roman"/>
          <w:i/>
        </w:rPr>
        <w:t>Senyvi</w:t>
      </w:r>
      <w:r w:rsidR="00AA6CD2" w:rsidRPr="00D9492F">
        <w:rPr>
          <w:rFonts w:ascii="Times New Roman" w:hAnsi="Times New Roman"/>
          <w:i/>
        </w:rPr>
        <w:t>ems</w:t>
      </w:r>
      <w:r w:rsidRPr="00D9492F">
        <w:rPr>
          <w:rFonts w:ascii="Times New Roman" w:hAnsi="Times New Roman"/>
          <w:i/>
        </w:rPr>
        <w:t xml:space="preserve"> pacienta</w:t>
      </w:r>
      <w:r w:rsidR="00AA6CD2" w:rsidRPr="00D9492F">
        <w:rPr>
          <w:rFonts w:ascii="Times New Roman" w:hAnsi="Times New Roman"/>
          <w:i/>
        </w:rPr>
        <w:t>ms</w:t>
      </w:r>
    </w:p>
    <w:p w14:paraId="05A5229F"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Remiantis populiacine farmakokinetikos analize, nėra specialių nurodymų, kaip vartoti šį vaistinį preparatą senyviems pacientams. Rekomenduojama pradinė kapecitabino, derinamo su docetakseliu, dozė 60 metų ir vyresniems pacientams yra 75 % įprastos (žr. kapecitabino charakteristikų santrauką).</w:t>
      </w:r>
    </w:p>
    <w:p w14:paraId="2B2DD600" w14:textId="77777777" w:rsidR="00DC1CDC" w:rsidRPr="00D9492F" w:rsidRDefault="00DC1CDC" w:rsidP="00DC1CDC">
      <w:pPr>
        <w:spacing w:after="0" w:line="240" w:lineRule="auto"/>
        <w:rPr>
          <w:rFonts w:ascii="Times New Roman" w:hAnsi="Times New Roman"/>
        </w:rPr>
      </w:pPr>
    </w:p>
    <w:p w14:paraId="1877863C" w14:textId="77777777" w:rsidR="00DC1CDC" w:rsidRPr="00D9492F" w:rsidRDefault="00DC1CDC" w:rsidP="00DC1CDC">
      <w:pPr>
        <w:spacing w:after="0" w:line="240" w:lineRule="auto"/>
        <w:rPr>
          <w:rFonts w:ascii="Times New Roman" w:hAnsi="Times New Roman"/>
          <w:u w:val="single"/>
        </w:rPr>
      </w:pPr>
      <w:r w:rsidRPr="00D9492F">
        <w:rPr>
          <w:rFonts w:ascii="Times New Roman" w:hAnsi="Times New Roman"/>
          <w:u w:val="single"/>
        </w:rPr>
        <w:t>Vartojimo metodas</w:t>
      </w:r>
    </w:p>
    <w:p w14:paraId="3C65632B"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Leisti į veną.</w:t>
      </w:r>
    </w:p>
    <w:p w14:paraId="189A4B61" w14:textId="77777777" w:rsidR="00F26A6E" w:rsidRPr="00D9492F" w:rsidRDefault="00F26A6E" w:rsidP="00DC1CDC">
      <w:pPr>
        <w:spacing w:after="0" w:line="240" w:lineRule="auto"/>
        <w:rPr>
          <w:rFonts w:ascii="Times New Roman" w:hAnsi="Times New Roman"/>
        </w:rPr>
      </w:pPr>
    </w:p>
    <w:p w14:paraId="724A8B26" w14:textId="77777777" w:rsidR="00F26A6E" w:rsidRPr="00D9492F" w:rsidRDefault="00F26A6E" w:rsidP="00DC1CDC">
      <w:pPr>
        <w:spacing w:after="0" w:line="240" w:lineRule="auto"/>
        <w:rPr>
          <w:rFonts w:ascii="Times New Roman" w:hAnsi="Times New Roman"/>
        </w:rPr>
      </w:pPr>
      <w:r w:rsidRPr="00D9492F">
        <w:rPr>
          <w:rFonts w:ascii="Times New Roman" w:hAnsi="Times New Roman"/>
          <w:noProof/>
          <w:szCs w:val="24"/>
        </w:rPr>
        <w:t>Vaistinio preparato ruošimo prieš vartojant instrukcija pateikiama 6.6 skyriuje.</w:t>
      </w:r>
    </w:p>
    <w:p w14:paraId="30C91283" w14:textId="77777777" w:rsidR="00DC1CDC" w:rsidRPr="00D9492F" w:rsidRDefault="00DC1CDC" w:rsidP="00DC1CDC">
      <w:pPr>
        <w:spacing w:after="0" w:line="240" w:lineRule="auto"/>
        <w:rPr>
          <w:rFonts w:ascii="Times New Roman" w:hAnsi="Times New Roman"/>
        </w:rPr>
      </w:pPr>
    </w:p>
    <w:p w14:paraId="2CD80009" w14:textId="77777777" w:rsidR="00DC1CDC" w:rsidRPr="00D9492F" w:rsidRDefault="00DC1CDC" w:rsidP="00DC1CDC">
      <w:pPr>
        <w:keepNext/>
        <w:keepLines/>
        <w:tabs>
          <w:tab w:val="left" w:pos="567"/>
        </w:tabs>
        <w:spacing w:after="0" w:line="240" w:lineRule="auto"/>
        <w:rPr>
          <w:rFonts w:ascii="Times New Roman" w:hAnsi="Times New Roman"/>
          <w:b/>
        </w:rPr>
      </w:pPr>
      <w:bookmarkStart w:id="3" w:name="_Ref16306547"/>
      <w:r w:rsidRPr="00D9492F">
        <w:rPr>
          <w:rFonts w:ascii="Times New Roman" w:hAnsi="Times New Roman"/>
          <w:b/>
        </w:rPr>
        <w:t>4.3</w:t>
      </w:r>
      <w:r w:rsidRPr="00D9492F">
        <w:rPr>
          <w:rFonts w:ascii="Times New Roman" w:hAnsi="Times New Roman"/>
          <w:b/>
        </w:rPr>
        <w:tab/>
        <w:t>Kontraindikacijos</w:t>
      </w:r>
      <w:bookmarkEnd w:id="3"/>
    </w:p>
    <w:p w14:paraId="758627F1" w14:textId="77777777" w:rsidR="00DC1CDC" w:rsidRPr="00D9492F" w:rsidRDefault="00DC1CDC" w:rsidP="00DC1CDC">
      <w:pPr>
        <w:spacing w:after="0" w:line="240" w:lineRule="auto"/>
        <w:rPr>
          <w:rFonts w:ascii="Times New Roman" w:hAnsi="Times New Roman"/>
        </w:rPr>
      </w:pPr>
    </w:p>
    <w:p w14:paraId="36B73E1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lastRenderedPageBreak/>
        <w:t>Padidėjęs jautrumas veikliajai arba bet kuriai 6.1 skyriuje nurodytai pagalbinei medžiagai.</w:t>
      </w:r>
    </w:p>
    <w:p w14:paraId="2ED6B83A" w14:textId="77777777" w:rsidR="00DC1CDC" w:rsidRPr="00D9492F" w:rsidRDefault="00DC1CDC" w:rsidP="00DC1CDC">
      <w:pPr>
        <w:spacing w:after="0" w:line="240" w:lineRule="auto"/>
        <w:rPr>
          <w:rFonts w:ascii="Times New Roman" w:hAnsi="Times New Roman"/>
        </w:rPr>
      </w:pPr>
    </w:p>
    <w:p w14:paraId="7E664CC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Docetaxel SanoSwiss negalima vartoti pacientams, kurių neutrofilų skaičius iki gydymo mažesnis kaip 1 500/mm</w:t>
      </w:r>
      <w:r w:rsidRPr="00D9492F">
        <w:rPr>
          <w:rFonts w:ascii="Times New Roman" w:hAnsi="Times New Roman"/>
          <w:vertAlign w:val="superscript"/>
        </w:rPr>
        <w:t>3</w:t>
      </w:r>
      <w:r w:rsidRPr="00D9492F">
        <w:rPr>
          <w:rFonts w:ascii="Times New Roman" w:hAnsi="Times New Roman"/>
        </w:rPr>
        <w:t>.</w:t>
      </w:r>
    </w:p>
    <w:p w14:paraId="359D5C78" w14:textId="77777777" w:rsidR="00DC1CDC" w:rsidRPr="00D9492F" w:rsidRDefault="00DC1CDC" w:rsidP="00DC1CDC">
      <w:pPr>
        <w:spacing w:after="0" w:line="240" w:lineRule="auto"/>
        <w:rPr>
          <w:rFonts w:ascii="Times New Roman" w:hAnsi="Times New Roman"/>
        </w:rPr>
      </w:pPr>
    </w:p>
    <w:p w14:paraId="70F1352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Docetaxel SanoSwiss negalima vartoti pacientams, kuriems yra sunkus kepenų nepakankamumas, kadangi duomenų apie docetakselio vartojimą šia liga sergantiems pacientams nėra (žr. 4.2 ir 4.4 skyriuose).</w:t>
      </w:r>
    </w:p>
    <w:p w14:paraId="7090A634" w14:textId="77777777" w:rsidR="00DC1CDC" w:rsidRPr="00D9492F" w:rsidRDefault="00DC1CDC" w:rsidP="00DC1CDC">
      <w:pPr>
        <w:spacing w:after="0" w:line="240" w:lineRule="auto"/>
        <w:rPr>
          <w:rFonts w:ascii="Times New Roman" w:hAnsi="Times New Roman"/>
        </w:rPr>
      </w:pPr>
    </w:p>
    <w:p w14:paraId="78450A1B"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Vartojant docetakselį, taikomos ir kartu vartojamiems vaistiniams preparatams nustatytos kontraindikacijos.</w:t>
      </w:r>
    </w:p>
    <w:p w14:paraId="0BA19956" w14:textId="77777777" w:rsidR="00DC1CDC" w:rsidRPr="00D9492F" w:rsidRDefault="00DC1CDC" w:rsidP="00DC1CDC">
      <w:pPr>
        <w:spacing w:after="0" w:line="240" w:lineRule="auto"/>
        <w:rPr>
          <w:rFonts w:ascii="Times New Roman" w:hAnsi="Times New Roman"/>
        </w:rPr>
      </w:pPr>
      <w:bookmarkStart w:id="4" w:name="_Ref16305995"/>
    </w:p>
    <w:p w14:paraId="51841E88" w14:textId="77777777" w:rsidR="00DC1CDC" w:rsidRPr="00D9492F" w:rsidRDefault="00DC1CDC" w:rsidP="00DC1CDC">
      <w:pPr>
        <w:keepNext/>
        <w:keepLines/>
        <w:spacing w:after="0" w:line="240" w:lineRule="auto"/>
        <w:ind w:left="567" w:hanging="567"/>
        <w:rPr>
          <w:rFonts w:ascii="Times New Roman" w:eastAsia="Times New Roman" w:hAnsi="Times New Roman"/>
          <w:b/>
        </w:rPr>
      </w:pPr>
      <w:r w:rsidRPr="00D9492F">
        <w:rPr>
          <w:rFonts w:ascii="Times New Roman" w:eastAsia="Times New Roman" w:hAnsi="Times New Roman"/>
          <w:b/>
        </w:rPr>
        <w:t>4.4</w:t>
      </w:r>
      <w:r w:rsidRPr="00D9492F">
        <w:rPr>
          <w:rFonts w:ascii="Times New Roman" w:eastAsia="Times New Roman" w:hAnsi="Times New Roman"/>
          <w:b/>
        </w:rPr>
        <w:tab/>
        <w:t>Specialūs įspėjimai ir atsargumo priemonės</w:t>
      </w:r>
      <w:bookmarkEnd w:id="4"/>
    </w:p>
    <w:p w14:paraId="54941A47" w14:textId="77777777" w:rsidR="00DC1CDC" w:rsidRPr="00D9492F" w:rsidRDefault="00DC1CDC" w:rsidP="00DC1CDC">
      <w:pPr>
        <w:spacing w:after="0" w:line="240" w:lineRule="auto"/>
        <w:rPr>
          <w:rFonts w:ascii="Times New Roman" w:hAnsi="Times New Roman"/>
        </w:rPr>
      </w:pPr>
    </w:p>
    <w:p w14:paraId="50C0EB96"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Gydant krūties vėžį ar plaučių nesmulkiųjų ląstelių vėžį, skysčių susilaikymo dažnį ir sunkumą bei padidėjusio jautrumo reakcijų sunkumą gali sumažinti likus dienai iki docetakselio vartojimo pradėta premedikacija geriamuoju kortikosteroidu (jeigu nėra kontraindikacijų), pvz., 3 dienas duodama po 16 mg (pvz., 2 kartus po 8 mg) deksametazono. Gydant prostatos vėžį premedikacijai duodama gerti 8 mg deksametazono likus 12 val., 3 val. ir 1 val. iki docetakselio infuzijos (žr. 4.2 skyrių).</w:t>
      </w:r>
    </w:p>
    <w:p w14:paraId="141AB283" w14:textId="77777777" w:rsidR="00DC1CDC" w:rsidRPr="00D9492F" w:rsidRDefault="00DC1CDC" w:rsidP="00DC1CDC">
      <w:pPr>
        <w:spacing w:after="0" w:line="240" w:lineRule="auto"/>
        <w:rPr>
          <w:rFonts w:ascii="Times New Roman" w:hAnsi="Times New Roman"/>
        </w:rPr>
      </w:pPr>
    </w:p>
    <w:p w14:paraId="5F3EF6F9"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Hematologinės reakcijos</w:t>
      </w:r>
    </w:p>
    <w:p w14:paraId="0D958ED1"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Dažniausia docetakselio nepageidaujama reakcija – neutropenija. Ryškiausio neutrofilų skaičiaus sumažėjimo mediana – 7 dienos po vaistinio preparato vartojimo, tačiau, jei iki tol taikytas ekstensyvus gydymas, ji gali pasireikšti ir anksčiau. Reikia dažnai </w:t>
      </w:r>
      <w:r w:rsidR="000F4E8F" w:rsidRPr="00D9492F">
        <w:rPr>
          <w:rFonts w:ascii="Times New Roman" w:hAnsi="Times New Roman"/>
        </w:rPr>
        <w:t xml:space="preserve">atlikti </w:t>
      </w:r>
      <w:r w:rsidRPr="00D9492F">
        <w:rPr>
          <w:rFonts w:ascii="Times New Roman" w:hAnsi="Times New Roman"/>
        </w:rPr>
        <w:t>visų docetakseliu gydomų pacientų piln</w:t>
      </w:r>
      <w:r w:rsidR="000F4E8F" w:rsidRPr="00D9492F">
        <w:rPr>
          <w:rFonts w:ascii="Times New Roman" w:hAnsi="Times New Roman"/>
        </w:rPr>
        <w:t>ą</w:t>
      </w:r>
      <w:r w:rsidRPr="00D9492F">
        <w:rPr>
          <w:rFonts w:ascii="Times New Roman" w:hAnsi="Times New Roman"/>
        </w:rPr>
        <w:t xml:space="preserve"> kraujo </w:t>
      </w:r>
      <w:r w:rsidR="000F4E8F" w:rsidRPr="00D9492F">
        <w:rPr>
          <w:rFonts w:ascii="Times New Roman" w:hAnsi="Times New Roman"/>
        </w:rPr>
        <w:t>tyrimą</w:t>
      </w:r>
      <w:r w:rsidRPr="00D9492F">
        <w:rPr>
          <w:rFonts w:ascii="Times New Roman" w:hAnsi="Times New Roman"/>
        </w:rPr>
        <w:t xml:space="preserve">. Kitą docetakselio dozę reikia </w:t>
      </w:r>
      <w:r w:rsidR="006B3B8C" w:rsidRPr="00D9492F">
        <w:rPr>
          <w:rFonts w:ascii="Times New Roman" w:hAnsi="Times New Roman"/>
        </w:rPr>
        <w:t xml:space="preserve">skirti </w:t>
      </w:r>
      <w:r w:rsidRPr="00D9492F">
        <w:rPr>
          <w:rFonts w:ascii="Times New Roman" w:hAnsi="Times New Roman"/>
        </w:rPr>
        <w:t>tada, kai neutrofilų skaičius tampa 1 500/mm</w:t>
      </w:r>
      <w:r w:rsidRPr="00D9492F">
        <w:rPr>
          <w:rFonts w:ascii="Times New Roman" w:hAnsi="Times New Roman"/>
          <w:vertAlign w:val="superscript"/>
        </w:rPr>
        <w:t>3 </w:t>
      </w:r>
      <w:r w:rsidRPr="00D9492F">
        <w:rPr>
          <w:rFonts w:ascii="Times New Roman" w:hAnsi="Times New Roman"/>
        </w:rPr>
        <w:t>arba didesnis (žr. 4.2 skyrių).</w:t>
      </w:r>
    </w:p>
    <w:p w14:paraId="3D94B208" w14:textId="77777777" w:rsidR="00DC1CDC" w:rsidRPr="00D9492F" w:rsidRDefault="00DC1CDC" w:rsidP="00DC1CDC">
      <w:pPr>
        <w:spacing w:after="0" w:line="240" w:lineRule="auto"/>
        <w:rPr>
          <w:rFonts w:ascii="Times New Roman" w:hAnsi="Times New Roman"/>
        </w:rPr>
      </w:pPr>
    </w:p>
    <w:p w14:paraId="0C7EA909"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Jei, gydant docetakseliu, pasireiškė sunki neutropenija (7 dienas arba ilgiau neutrofilų skaičius buvo mažesnis kaip 500/mm</w:t>
      </w:r>
      <w:r w:rsidRPr="00D9492F">
        <w:rPr>
          <w:rFonts w:ascii="Times New Roman" w:hAnsi="Times New Roman"/>
          <w:vertAlign w:val="superscript"/>
        </w:rPr>
        <w:t>3</w:t>
      </w:r>
      <w:r w:rsidRPr="00D9492F">
        <w:rPr>
          <w:rFonts w:ascii="Times New Roman" w:hAnsi="Times New Roman"/>
        </w:rPr>
        <w:t xml:space="preserve">), tai vėlesnių gydymo kursų metu rekomenduojama </w:t>
      </w:r>
      <w:r w:rsidR="006B3B8C" w:rsidRPr="00D9492F">
        <w:rPr>
          <w:rFonts w:ascii="Times New Roman" w:hAnsi="Times New Roman"/>
        </w:rPr>
        <w:t xml:space="preserve">skirti </w:t>
      </w:r>
      <w:r w:rsidRPr="00D9492F">
        <w:rPr>
          <w:rFonts w:ascii="Times New Roman" w:hAnsi="Times New Roman"/>
        </w:rPr>
        <w:t>mažesnę šio vaistinio preparato dozę arba imtis simptominių priemonių (žr. 4.2 skyrių).</w:t>
      </w:r>
    </w:p>
    <w:p w14:paraId="722786B9" w14:textId="77777777" w:rsidR="00DC1CDC" w:rsidRPr="00D9492F" w:rsidRDefault="00DC1CDC" w:rsidP="00DC1CDC">
      <w:pPr>
        <w:spacing w:after="0" w:line="240" w:lineRule="auto"/>
        <w:rPr>
          <w:rFonts w:ascii="Times New Roman" w:hAnsi="Times New Roman"/>
        </w:rPr>
      </w:pPr>
    </w:p>
    <w:p w14:paraId="716859D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Jei pacientams, kurie docetakselį vartojo kartu su cisplatina ir 5</w:t>
      </w:r>
      <w:r w:rsidRPr="00D9492F">
        <w:rPr>
          <w:rFonts w:ascii="Times New Roman" w:hAnsi="Times New Roman"/>
        </w:rPr>
        <w:noBreakHyphen/>
        <w:t>fluorouracilu (TCF), būdavo skiriamas profilaktinis gydymas G</w:t>
      </w:r>
      <w:r w:rsidRPr="00D9492F">
        <w:rPr>
          <w:rFonts w:ascii="Times New Roman" w:hAnsi="Times New Roman"/>
        </w:rPr>
        <w:noBreakHyphen/>
        <w:t>KSF, febrilinė neutropenija bei su neutropenija susijusių infekcijų pasireikšdavo rečiau. Kad sumažėtų komplikuotos neutropenijos (febrilinės neutropenijos, ilgalaikės neutropenijos ar su neutropenija susijusios infekcijos) pavojus, pacientams, kurie gydomi naudojant TCF schemą, būtina profilaktika G</w:t>
      </w:r>
      <w:r w:rsidRPr="00D9492F">
        <w:rPr>
          <w:rFonts w:ascii="Times New Roman" w:hAnsi="Times New Roman"/>
        </w:rPr>
        <w:noBreakHyphen/>
        <w:t>KSF. Pacientus, kurie gydomi naudojant TCF schemą, būtina atidžiai stebėti (žr. 4.2 ir 4.8 skyrius).</w:t>
      </w:r>
    </w:p>
    <w:p w14:paraId="4B4BB060" w14:textId="77777777" w:rsidR="00DC1CDC" w:rsidRPr="00D9492F" w:rsidRDefault="00DC1CDC" w:rsidP="00DC1CDC">
      <w:pPr>
        <w:spacing w:after="0" w:line="240" w:lineRule="auto"/>
        <w:rPr>
          <w:rFonts w:ascii="Times New Roman" w:hAnsi="Times New Roman"/>
        </w:rPr>
      </w:pPr>
    </w:p>
    <w:p w14:paraId="31BA24E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Jei pacientams, vartojantiems docetakselį kartu su doksorubucinu ir ciklofosamidu (TAC), gydymo pradžioje buvo skiriamas profilaktinis gydymas G</w:t>
      </w:r>
      <w:r w:rsidRPr="00D9492F">
        <w:rPr>
          <w:rFonts w:ascii="Times New Roman" w:hAnsi="Times New Roman"/>
        </w:rPr>
        <w:noBreakHyphen/>
        <w:t>KSF, febrilinė neutropenija ir</w:t>
      </w:r>
      <w:r w:rsidR="00CE5F42" w:rsidRPr="00D9492F">
        <w:rPr>
          <w:rFonts w:ascii="Times New Roman" w:hAnsi="Times New Roman"/>
        </w:rPr>
        <w:t xml:space="preserve"> (</w:t>
      </w:r>
      <w:r w:rsidRPr="00D9492F">
        <w:rPr>
          <w:rFonts w:ascii="Times New Roman" w:hAnsi="Times New Roman"/>
        </w:rPr>
        <w:t>ar</w:t>
      </w:r>
      <w:r w:rsidR="00CE5F42" w:rsidRPr="00D9492F">
        <w:rPr>
          <w:rFonts w:ascii="Times New Roman" w:hAnsi="Times New Roman"/>
        </w:rPr>
        <w:t>)</w:t>
      </w:r>
      <w:r w:rsidRPr="00D9492F">
        <w:rPr>
          <w:rFonts w:ascii="Times New Roman" w:hAnsi="Times New Roman"/>
        </w:rPr>
        <w:t xml:space="preserve"> su neutropenija susijusios infekcijos pasireikšdavo rečiau. Kad sumažėtų komplikuotos neutropenijos (febrilinės neutropenijos, ilgalaikės neutropenijos ar su neutropenija susijusios infekcijos) pavojus, pacientams, kurie gydomi naudojant TAC schemą krūties vėžio gydymui, būtina profilaktika G</w:t>
      </w:r>
      <w:r w:rsidRPr="00D9492F">
        <w:rPr>
          <w:rFonts w:ascii="Times New Roman" w:hAnsi="Times New Roman"/>
        </w:rPr>
        <w:noBreakHyphen/>
        <w:t>KSF. Pacientus, kurie gydomi naudojant TAC schemą, būtina atidžiai stebėti (žr. 4.2 ir 4.8 skyrius).</w:t>
      </w:r>
    </w:p>
    <w:p w14:paraId="6BB390B3" w14:textId="77777777" w:rsidR="006C0026" w:rsidRPr="00D9492F" w:rsidRDefault="006C0026" w:rsidP="006C0026">
      <w:pPr>
        <w:keepNext/>
        <w:keepLines/>
        <w:spacing w:after="0" w:line="240" w:lineRule="auto"/>
        <w:rPr>
          <w:rFonts w:ascii="Times New Roman" w:hAnsi="Times New Roman"/>
          <w:u w:val="single"/>
        </w:rPr>
      </w:pPr>
    </w:p>
    <w:p w14:paraId="4AF6864E" w14:textId="0765E94B" w:rsidR="006C0026" w:rsidRPr="00D9492F" w:rsidRDefault="006C0026" w:rsidP="006C0026">
      <w:pPr>
        <w:keepNext/>
        <w:keepLines/>
        <w:spacing w:after="0" w:line="240" w:lineRule="auto"/>
        <w:rPr>
          <w:rFonts w:ascii="Times New Roman" w:hAnsi="Times New Roman"/>
          <w:u w:val="single"/>
        </w:rPr>
      </w:pPr>
      <w:r w:rsidRPr="00D9492F">
        <w:rPr>
          <w:rFonts w:ascii="Times New Roman" w:hAnsi="Times New Roman"/>
          <w:u w:val="single"/>
        </w:rPr>
        <w:t xml:space="preserve">Virškinimo trakto reakcijos </w:t>
      </w:r>
    </w:p>
    <w:p w14:paraId="6E8B2EF5" w14:textId="77777777" w:rsidR="006C0026" w:rsidRPr="00D9492F" w:rsidRDefault="006C0026" w:rsidP="006C0026">
      <w:pPr>
        <w:keepNext/>
        <w:keepLines/>
        <w:spacing w:after="0" w:line="240" w:lineRule="auto"/>
        <w:rPr>
          <w:rFonts w:ascii="Times New Roman" w:hAnsi="Times New Roman"/>
        </w:rPr>
      </w:pPr>
      <w:r w:rsidRPr="00D9492F">
        <w:rPr>
          <w:rFonts w:ascii="Times New Roman" w:hAnsi="Times New Roman"/>
        </w:rPr>
        <w:t xml:space="preserve">Atsargiai gydyti rekomenduojama pacientus, kuriems yra neutropenija, ypač atsižvelgiant į virškinimo trakto komplikacijų pasireiškimo riziką. Nors dauguma atvejų atsirado gydymo schemos, kai vienas iš vartojamų vaistinių preparatų yra docetakselis, pirmojo ar antrojo ciklų metu, enterokolitas gali pasireikšti bet kuriuo metu ir gali sukelti mirtį jau pirmąją pasireiškimo dieną. Pacientus būtina atidžiai stebėti, ar nepasireiškia ankstyvųjų virškinimo trakto sunkaus toksinio poveikio požymių (žr. </w:t>
      </w:r>
    </w:p>
    <w:p w14:paraId="6C9557ED" w14:textId="3B1A2C3D" w:rsidR="006C0026" w:rsidRPr="00D9492F" w:rsidRDefault="006C0026" w:rsidP="006C0026">
      <w:pPr>
        <w:keepNext/>
        <w:keepLines/>
        <w:spacing w:after="0" w:line="240" w:lineRule="auto"/>
        <w:rPr>
          <w:rFonts w:ascii="Times New Roman" w:hAnsi="Times New Roman"/>
        </w:rPr>
      </w:pPr>
      <w:r w:rsidRPr="00D9492F">
        <w:rPr>
          <w:rFonts w:ascii="Times New Roman" w:hAnsi="Times New Roman"/>
        </w:rPr>
        <w:t>4.2</w:t>
      </w:r>
      <w:r w:rsidR="001E7FFA" w:rsidRPr="00D9492F">
        <w:rPr>
          <w:rFonts w:ascii="Times New Roman" w:hAnsi="Times New Roman"/>
        </w:rPr>
        <w:t> </w:t>
      </w:r>
      <w:r w:rsidRPr="00D9492F">
        <w:rPr>
          <w:rFonts w:ascii="Times New Roman" w:hAnsi="Times New Roman"/>
        </w:rPr>
        <w:t>skyrių, 4.4</w:t>
      </w:r>
      <w:r w:rsidR="001E7FFA" w:rsidRPr="00D9492F">
        <w:rPr>
          <w:rFonts w:ascii="Times New Roman" w:hAnsi="Times New Roman"/>
        </w:rPr>
        <w:t> </w:t>
      </w:r>
      <w:r w:rsidRPr="00D9492F">
        <w:rPr>
          <w:rFonts w:ascii="Times New Roman" w:hAnsi="Times New Roman"/>
        </w:rPr>
        <w:t>skyriaus poskyrį „Hematologinės reakcijos“ ir 4.8</w:t>
      </w:r>
      <w:r w:rsidR="001E7FFA" w:rsidRPr="00D9492F">
        <w:rPr>
          <w:rFonts w:ascii="Times New Roman" w:hAnsi="Times New Roman"/>
        </w:rPr>
        <w:t> </w:t>
      </w:r>
      <w:r w:rsidRPr="00D9492F">
        <w:rPr>
          <w:rFonts w:ascii="Times New Roman" w:hAnsi="Times New Roman"/>
        </w:rPr>
        <w:t xml:space="preserve">skyrių). </w:t>
      </w:r>
    </w:p>
    <w:p w14:paraId="4D27479A" w14:textId="77777777" w:rsidR="00DC1CDC" w:rsidRPr="00D9492F" w:rsidRDefault="00DC1CDC" w:rsidP="00DC1CDC">
      <w:pPr>
        <w:spacing w:after="0" w:line="240" w:lineRule="auto"/>
        <w:rPr>
          <w:rFonts w:ascii="Times New Roman" w:hAnsi="Times New Roman"/>
        </w:rPr>
      </w:pPr>
    </w:p>
    <w:p w14:paraId="76F2BEED"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Padidėjusio jautrumo reakcijos</w:t>
      </w:r>
    </w:p>
    <w:p w14:paraId="59937E16" w14:textId="3A69CF1D"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Būtina atidžiai stebėti, ar nepasireiškė padidėjusio jautrumo reakcijų, ypač pirmosios ir antrosios infuzijos metu. Pradėjus docetakselio infuziją, padidėjusio jautrumo reakcijų gali pasireikšti per kelias minutes, todėl būtina turėti priemonių hipotenzijai ir bronchų spazmui šalinti. Dėl lengvų padidėjusio </w:t>
      </w:r>
      <w:r w:rsidRPr="00D9492F">
        <w:rPr>
          <w:rFonts w:ascii="Times New Roman" w:hAnsi="Times New Roman"/>
        </w:rPr>
        <w:lastRenderedPageBreak/>
        <w:t>jautrumo reakcijos simptomų (veido paraudimo dėl kraujo priplūdimo, lokalių odos reakcijų), infuzijos nutraukti nereikia. Jei pasireiškia sunkių reakcijų, t.</w:t>
      </w:r>
      <w:r w:rsidR="0071036F" w:rsidRPr="00D9492F">
        <w:rPr>
          <w:rFonts w:ascii="Times New Roman" w:hAnsi="Times New Roman"/>
        </w:rPr>
        <w:t xml:space="preserve"> </w:t>
      </w:r>
      <w:r w:rsidRPr="00D9492F">
        <w:rPr>
          <w:rFonts w:ascii="Times New Roman" w:hAnsi="Times New Roman"/>
        </w:rPr>
        <w:t>y. sunki hipotenzija, bronchų spazmas arba išplitęs išbėrimas (eritema), būtina nedelsiant nutraukti docetakselio infuziją ir atitinkamai gydyti. Jei buvo sunkių padidėjusio jautrumo reakcijų, pakartotinai docetakselio skirti negalima. Pacientams, kuriems anksčiau buvo pasireiškusi padidėjusio jautrumo reakcija į paklitakselį, gali būti padidėjusio jautrumo reakcijos į docetakselį, įskaitant sunkesnę padidėjusio jautrumo reakciją, atsiradimo rizik</w:t>
      </w:r>
      <w:r w:rsidR="00AD682C" w:rsidRPr="00D9492F">
        <w:rPr>
          <w:rFonts w:ascii="Times New Roman" w:hAnsi="Times New Roman"/>
        </w:rPr>
        <w:t>a</w:t>
      </w:r>
      <w:r w:rsidRPr="00D9492F">
        <w:rPr>
          <w:rFonts w:ascii="Times New Roman" w:hAnsi="Times New Roman"/>
        </w:rPr>
        <w:t>. Pra</w:t>
      </w:r>
      <w:r w:rsidR="00EB6235" w:rsidRPr="00D9492F">
        <w:rPr>
          <w:rFonts w:ascii="Times New Roman" w:hAnsi="Times New Roman"/>
        </w:rPr>
        <w:t>d</w:t>
      </w:r>
      <w:r w:rsidRPr="00D9492F">
        <w:rPr>
          <w:rFonts w:ascii="Times New Roman" w:hAnsi="Times New Roman"/>
        </w:rPr>
        <w:t>edant gydymą docetakseliu, tokius pacientus reikia atidžiai stebėti.</w:t>
      </w:r>
    </w:p>
    <w:p w14:paraId="0A58F2BA" w14:textId="77777777" w:rsidR="00DC1CDC" w:rsidRPr="00D9492F" w:rsidRDefault="00DC1CDC" w:rsidP="00DC1CDC">
      <w:pPr>
        <w:spacing w:after="0" w:line="240" w:lineRule="auto"/>
        <w:rPr>
          <w:rFonts w:ascii="Times New Roman" w:hAnsi="Times New Roman"/>
        </w:rPr>
      </w:pPr>
    </w:p>
    <w:p w14:paraId="11649028"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Odos reakcijos</w:t>
      </w:r>
    </w:p>
    <w:p w14:paraId="59FB060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Buvo atvejų, kai pasireiškė lokali galūnių (delnų ir padų) odos eritema su edema, po to deskvamacija. Aprašyta atvejų, kai pasireiškė sunkių simptomų (išbėrimas, po kurio įvyko deskvamacija), dėl kurių teko laikinai ar visam laikui nutraukti docetakselio vartojimą (žr. 4.2 skyrių).</w:t>
      </w:r>
    </w:p>
    <w:p w14:paraId="0E8CDEC5" w14:textId="77777777" w:rsidR="006C0026" w:rsidRPr="00D9492F" w:rsidRDefault="006C0026" w:rsidP="006C0026">
      <w:pPr>
        <w:spacing w:after="0" w:line="240" w:lineRule="auto"/>
        <w:rPr>
          <w:rFonts w:ascii="Times New Roman" w:hAnsi="Times New Roman"/>
        </w:rPr>
      </w:pPr>
    </w:p>
    <w:p w14:paraId="31E4639F" w14:textId="0500E639" w:rsidR="006C0026" w:rsidRPr="00D9492F" w:rsidRDefault="006C0026" w:rsidP="006C0026">
      <w:pPr>
        <w:spacing w:after="0" w:line="240" w:lineRule="auto"/>
        <w:rPr>
          <w:rFonts w:ascii="Times New Roman" w:hAnsi="Times New Roman"/>
        </w:rPr>
      </w:pPr>
      <w:r w:rsidRPr="00D9492F">
        <w:rPr>
          <w:rFonts w:ascii="Times New Roman" w:hAnsi="Times New Roman"/>
        </w:rPr>
        <w:t xml:space="preserve">Gauta pranešimų apie su docetakselio vartojimu susijusias sunkias odos nepageidaujamas reakcijas </w:t>
      </w:r>
    </w:p>
    <w:p w14:paraId="21CE9A1D" w14:textId="77777777" w:rsidR="006C0026" w:rsidRPr="00D9492F" w:rsidRDefault="006C0026" w:rsidP="006C0026">
      <w:pPr>
        <w:spacing w:after="0" w:line="240" w:lineRule="auto"/>
        <w:rPr>
          <w:rFonts w:ascii="Times New Roman" w:hAnsi="Times New Roman"/>
        </w:rPr>
      </w:pPr>
      <w:r w:rsidRPr="00D9492F">
        <w:rPr>
          <w:rFonts w:ascii="Times New Roman" w:hAnsi="Times New Roman"/>
        </w:rPr>
        <w:t>(SONR), pvz., Stivenso-Džonsono (</w:t>
      </w:r>
      <w:r w:rsidRPr="00D9492F">
        <w:rPr>
          <w:rFonts w:ascii="Times New Roman" w:hAnsi="Times New Roman"/>
          <w:i/>
          <w:iCs/>
        </w:rPr>
        <w:t>Stevens-Johnson</w:t>
      </w:r>
      <w:r w:rsidRPr="00D9492F">
        <w:rPr>
          <w:rFonts w:ascii="Times New Roman" w:hAnsi="Times New Roman"/>
        </w:rPr>
        <w:t xml:space="preserve">) sindromą (SJS), toksinę epidermio nekrolizę  (TEN) ir ūminę išplitusią egzanteminę pustuliozę (angl. </w:t>
      </w:r>
      <w:r w:rsidRPr="00D9492F">
        <w:rPr>
          <w:rFonts w:ascii="Times New Roman" w:hAnsi="Times New Roman"/>
          <w:i/>
          <w:iCs/>
        </w:rPr>
        <w:t>acute generalised exanthematous pustulosis</w:t>
      </w:r>
      <w:r w:rsidRPr="00D9492F">
        <w:rPr>
          <w:rFonts w:ascii="Times New Roman" w:hAnsi="Times New Roman"/>
        </w:rPr>
        <w:t>, AGEP). Pacientus reikia informuoti, kokie yra sunkių odos sutrikimų požymiai ir simptomai, ir juos atidžiai stebėti. Jeigu atsiranda tokioms reakcijoms būdingų požymių ar simptomų, būtina apsvarstyti gydymo docetakseliu nutraukimą.</w:t>
      </w:r>
    </w:p>
    <w:p w14:paraId="0E24116B" w14:textId="77777777" w:rsidR="00DC1CDC" w:rsidRPr="00D9492F" w:rsidRDefault="00DC1CDC" w:rsidP="00DC1CDC">
      <w:pPr>
        <w:spacing w:after="0" w:line="240" w:lineRule="auto"/>
        <w:rPr>
          <w:rFonts w:ascii="Times New Roman" w:hAnsi="Times New Roman"/>
        </w:rPr>
      </w:pPr>
    </w:p>
    <w:p w14:paraId="18BCF08B"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Skysčių susilaikymas</w:t>
      </w:r>
    </w:p>
    <w:p w14:paraId="2364C097"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Nustačius sunkų skysčių susilaikymą (pvz., pleuros efuziją, perikardo efuziją arba ascitą), pacientą reikia atidžiai stebėti.</w:t>
      </w:r>
    </w:p>
    <w:p w14:paraId="6B3D2E41" w14:textId="77777777" w:rsidR="00DC1CDC" w:rsidRPr="00D9492F" w:rsidRDefault="00DC1CDC" w:rsidP="00DC1CDC">
      <w:pPr>
        <w:spacing w:after="0" w:line="240" w:lineRule="auto"/>
        <w:rPr>
          <w:rFonts w:ascii="Times New Roman" w:hAnsi="Times New Roman"/>
        </w:rPr>
      </w:pPr>
    </w:p>
    <w:p w14:paraId="252465CE" w14:textId="77777777" w:rsidR="00DC1CDC" w:rsidRPr="00D9492F" w:rsidRDefault="00DC1CDC" w:rsidP="00DC1CDC">
      <w:pPr>
        <w:autoSpaceDE w:val="0"/>
        <w:autoSpaceDN w:val="0"/>
        <w:adjustRightInd w:val="0"/>
        <w:spacing w:after="0" w:line="240" w:lineRule="auto"/>
        <w:rPr>
          <w:rFonts w:ascii="Times New Roman" w:eastAsia="TimesNewRoman" w:hAnsi="Times New Roman"/>
          <w:u w:val="single"/>
          <w:lang w:eastAsia="en-GB"/>
        </w:rPr>
      </w:pPr>
      <w:r w:rsidRPr="00D9492F">
        <w:rPr>
          <w:rFonts w:ascii="Times New Roman" w:eastAsia="TimesNewRoman" w:hAnsi="Times New Roman"/>
          <w:u w:val="single"/>
          <w:lang w:eastAsia="en-GB"/>
        </w:rPr>
        <w:t>Kvėpavimo sistemos sutrikimai</w:t>
      </w:r>
    </w:p>
    <w:p w14:paraId="006262C9" w14:textId="77777777" w:rsidR="00DC1CDC" w:rsidRPr="00D9492F" w:rsidRDefault="00DC1CDC" w:rsidP="00DC1CDC">
      <w:pPr>
        <w:spacing w:after="0" w:line="240" w:lineRule="auto"/>
        <w:rPr>
          <w:rFonts w:ascii="Times New Roman" w:eastAsia="TimesNewRoman" w:hAnsi="Times New Roman"/>
          <w:lang w:eastAsia="en-GB"/>
        </w:rPr>
      </w:pPr>
      <w:r w:rsidRPr="00D9492F">
        <w:rPr>
          <w:rFonts w:ascii="Times New Roman" w:eastAsia="TimesNewRoman" w:hAnsi="Times New Roman"/>
          <w:lang w:eastAsia="en-GB"/>
        </w:rPr>
        <w:t>Gauta pranešimų apie ūminio kvėpavimo sutrikimo sindromą, intersticinę pneumoniją</w:t>
      </w:r>
      <w:r w:rsidR="00692B7A" w:rsidRPr="00D9492F">
        <w:rPr>
          <w:rFonts w:ascii="Times New Roman" w:eastAsia="TimesNewRoman" w:hAnsi="Times New Roman"/>
          <w:lang w:eastAsia="en-GB"/>
        </w:rPr>
        <w:t xml:space="preserve"> ar </w:t>
      </w:r>
      <w:r w:rsidRPr="00D9492F">
        <w:rPr>
          <w:rFonts w:ascii="Times New Roman" w:eastAsia="TimesNewRoman" w:hAnsi="Times New Roman"/>
          <w:lang w:eastAsia="en-GB"/>
        </w:rPr>
        <w:t>pneumonitą, intersticinę plaučių ligą, plaučių fibrozę ir kvėpavimo nepakankamumą, kurie gali būti mirties priežastimi. Gauta pranešimų apie spindulinio pneumonito atvejus pacientams, kuriems kartu buvo taikomas spindulinis gydymas.</w:t>
      </w:r>
    </w:p>
    <w:p w14:paraId="59746F6B" w14:textId="77777777" w:rsidR="00DC1CDC" w:rsidRPr="00D9492F" w:rsidRDefault="00DC1CDC" w:rsidP="00DC1CDC">
      <w:pPr>
        <w:spacing w:after="0" w:line="240" w:lineRule="auto"/>
        <w:rPr>
          <w:rFonts w:ascii="Times New Roman" w:eastAsia="TimesNewRoman" w:hAnsi="Times New Roman"/>
          <w:lang w:eastAsia="en-GB"/>
        </w:rPr>
      </w:pPr>
      <w:r w:rsidRPr="00D9492F">
        <w:rPr>
          <w:rFonts w:ascii="Times New Roman" w:eastAsia="TimesNewRoman" w:hAnsi="Times New Roman"/>
          <w:lang w:eastAsia="en-GB"/>
        </w:rPr>
        <w:t>Atsiradus naujų arba pasunkėjus kvėpavimo sutrikimo simptomams, pacientą reikia atidžiai stebėti, skubiai ištirti ir paskirti tinkamą gydymą. Kol bus nustatyta diagnozė, rekomenduojama sustabdyti gydymą docetakseliu. Anksti pradėtos taikyti pagalbinio gydymo priemonės gali pagerinti būklę. Būtina atidžiai įvertinti gydymo docetakseliu tęsimo terapinę naudą.</w:t>
      </w:r>
    </w:p>
    <w:p w14:paraId="62E330C4" w14:textId="77777777" w:rsidR="00DC1CDC" w:rsidRPr="00D9492F" w:rsidRDefault="00DC1CDC" w:rsidP="00DC1CDC">
      <w:pPr>
        <w:spacing w:after="0" w:line="240" w:lineRule="auto"/>
        <w:rPr>
          <w:rFonts w:ascii="Times New Roman" w:eastAsia="TimesNewRoman" w:hAnsi="Times New Roman"/>
          <w:lang w:eastAsia="en-GB"/>
        </w:rPr>
      </w:pPr>
    </w:p>
    <w:p w14:paraId="40D2AFB6"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Pacientai, kurių kepenų funkcija sutrikusi</w:t>
      </w:r>
    </w:p>
    <w:p w14:paraId="6DABB12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Jei docetakselio skiriama 100 mg/m</w:t>
      </w:r>
      <w:r w:rsidRPr="00D9492F">
        <w:rPr>
          <w:rFonts w:ascii="Times New Roman" w:hAnsi="Times New Roman"/>
          <w:vertAlign w:val="superscript"/>
        </w:rPr>
        <w:t>2 </w:t>
      </w:r>
      <w:r w:rsidRPr="00D9492F">
        <w:rPr>
          <w:rFonts w:ascii="Times New Roman" w:hAnsi="Times New Roman"/>
        </w:rPr>
        <w:t>dozėmis monoterapijai pacientui, kurio serum</w:t>
      </w:r>
      <w:r w:rsidR="00692B7A" w:rsidRPr="00D9492F">
        <w:rPr>
          <w:rFonts w:ascii="Times New Roman" w:hAnsi="Times New Roman"/>
        </w:rPr>
        <w:t>o</w:t>
      </w:r>
      <w:r w:rsidRPr="00D9492F">
        <w:rPr>
          <w:rFonts w:ascii="Times New Roman" w:hAnsi="Times New Roman"/>
        </w:rPr>
        <w:t xml:space="preserve"> transaminazių (ALT ir (arba) AST) koncentracija yra daugiau kaip 1,5 karto didesnė negu VNR, o šarminės fosfatazės koncentracija – daugiau kaip 2,5 karto didesnė negu VNR, tai sunkių nepageidaujamų reakcijų, pvz., mirties nuo toksinio poveikio (įskaitant sepsį), kraujavimo virškinimo trakte, dėl kurio pacientas taip pat gali mirti, febrilinės neutropenijos, infekcijos, trombocitopenijos, stomatito ir astenijos pavojus yra didesnis. Dėl to pacientams, kurių kepenų funkcijos rodmenys padidėję, rekomenduojama 75 mg/m</w:t>
      </w:r>
      <w:r w:rsidRPr="00D9492F">
        <w:rPr>
          <w:rFonts w:ascii="Times New Roman" w:hAnsi="Times New Roman"/>
          <w:vertAlign w:val="superscript"/>
        </w:rPr>
        <w:t>2 </w:t>
      </w:r>
      <w:r w:rsidRPr="00D9492F">
        <w:rPr>
          <w:rFonts w:ascii="Times New Roman" w:hAnsi="Times New Roman"/>
        </w:rPr>
        <w:t xml:space="preserve">docetakselio dozė. Prieš </w:t>
      </w:r>
      <w:r w:rsidR="00C942E9" w:rsidRPr="00D9492F">
        <w:rPr>
          <w:rFonts w:ascii="Times New Roman" w:hAnsi="Times New Roman"/>
        </w:rPr>
        <w:t xml:space="preserve">skiriant </w:t>
      </w:r>
      <w:r w:rsidRPr="00D9492F">
        <w:rPr>
          <w:rFonts w:ascii="Times New Roman" w:hAnsi="Times New Roman"/>
        </w:rPr>
        <w:t>pirmąją ir kiekvieną kitą docetakselio dozę, juos reikia ištirti (žr. 4.2 skyrių).</w:t>
      </w:r>
    </w:p>
    <w:p w14:paraId="6EB835C7" w14:textId="77777777" w:rsidR="00DC1CDC" w:rsidRPr="00D9492F" w:rsidRDefault="00DC1CDC" w:rsidP="00DC1CDC">
      <w:pPr>
        <w:spacing w:after="0" w:line="240" w:lineRule="auto"/>
        <w:rPr>
          <w:rFonts w:ascii="Times New Roman" w:hAnsi="Times New Roman"/>
        </w:rPr>
      </w:pPr>
    </w:p>
    <w:p w14:paraId="2BF40303" w14:textId="7BF84C9E"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Jei bilirubino koncentracija serume yra didesnė negu VNR ir (arba) ALT ir AST koncentracija daugiau kaip 3,5 karto didesnė negu VNR, o šarminės fosfatazės koncentracija daugiau kaip 6 kartus didesnė negu VNR, tai galimybės nurodyti dozės mažinimo </w:t>
      </w:r>
      <w:r w:rsidR="00C942E9" w:rsidRPr="00D9492F">
        <w:rPr>
          <w:rFonts w:ascii="Times New Roman" w:hAnsi="Times New Roman"/>
        </w:rPr>
        <w:t>rekomen</w:t>
      </w:r>
      <w:r w:rsidR="004864CB" w:rsidRPr="00D9492F">
        <w:rPr>
          <w:rFonts w:ascii="Times New Roman" w:hAnsi="Times New Roman"/>
        </w:rPr>
        <w:t>d</w:t>
      </w:r>
      <w:r w:rsidR="00C942E9" w:rsidRPr="00D9492F">
        <w:rPr>
          <w:rFonts w:ascii="Times New Roman" w:hAnsi="Times New Roman"/>
        </w:rPr>
        <w:t>acij</w:t>
      </w:r>
      <w:r w:rsidR="00FC1982" w:rsidRPr="00D9492F">
        <w:rPr>
          <w:rFonts w:ascii="Times New Roman" w:hAnsi="Times New Roman"/>
        </w:rPr>
        <w:t>ų</w:t>
      </w:r>
      <w:r w:rsidR="00C942E9" w:rsidRPr="00D9492F">
        <w:rPr>
          <w:rFonts w:ascii="Times New Roman" w:hAnsi="Times New Roman"/>
        </w:rPr>
        <w:t xml:space="preserve"> </w:t>
      </w:r>
      <w:r w:rsidRPr="00D9492F">
        <w:rPr>
          <w:rFonts w:ascii="Times New Roman" w:hAnsi="Times New Roman"/>
        </w:rPr>
        <w:t>nėra. Tokiais atvejais docetakselio skiriama tik tada, kai neišvengiamai būtina.</w:t>
      </w:r>
    </w:p>
    <w:p w14:paraId="4B245D56"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Jei ALT ir (arba) AST koncentracija buvo daugiau kaip 1,5 karto didesnė negu VNR, šarminės fosfatazės koncentracija – daugiau kaip 2,5 karto didesnė negu VNR,</w:t>
      </w:r>
      <w:r w:rsidRPr="00D9492F">
        <w:rPr>
          <w:rFonts w:ascii="Times New Roman" w:hAnsi="Times New Roman"/>
          <w:iCs/>
        </w:rPr>
        <w:t xml:space="preserve"> </w:t>
      </w:r>
      <w:r w:rsidRPr="00D9492F">
        <w:rPr>
          <w:rFonts w:ascii="Times New Roman" w:hAnsi="Times New Roman"/>
          <w:iCs/>
          <w:color w:val="0000FF"/>
        </w:rPr>
        <w:t>o</w:t>
      </w:r>
      <w:r w:rsidRPr="00D9492F">
        <w:rPr>
          <w:rFonts w:ascii="Times New Roman" w:hAnsi="Times New Roman"/>
          <w:iCs/>
          <w:color w:val="0000FF"/>
          <w:u w:val="single"/>
        </w:rPr>
        <w:t xml:space="preserve"> </w:t>
      </w:r>
      <w:r w:rsidRPr="00D9492F">
        <w:rPr>
          <w:rFonts w:ascii="Times New Roman" w:hAnsi="Times New Roman"/>
          <w:iCs/>
        </w:rPr>
        <w:t>bilirubino koncentracija viršijo VNR, tokie</w:t>
      </w:r>
      <w:r w:rsidRPr="00D9492F">
        <w:rPr>
          <w:rFonts w:ascii="Times New Roman" w:hAnsi="Times New Roman"/>
        </w:rPr>
        <w:t xml:space="preserve"> </w:t>
      </w:r>
      <w:r w:rsidRPr="00D9492F">
        <w:rPr>
          <w:rFonts w:ascii="Times New Roman" w:hAnsi="Times New Roman"/>
          <w:iCs/>
        </w:rPr>
        <w:t xml:space="preserve">pacientai nebuvo įtraukiami į pagrindinį klinikinį tyrimą, kurio metu skrandžio adenokarcinoma sergantys pacientai buvo gydomi </w:t>
      </w:r>
      <w:r w:rsidRPr="00D9492F">
        <w:rPr>
          <w:rFonts w:ascii="Times New Roman" w:hAnsi="Times New Roman"/>
        </w:rPr>
        <w:t xml:space="preserve">Docetaxel SanoSwiss, </w:t>
      </w:r>
      <w:r w:rsidRPr="00D9492F">
        <w:rPr>
          <w:rFonts w:ascii="Times New Roman" w:hAnsi="Times New Roman"/>
          <w:iCs/>
        </w:rPr>
        <w:t>cisplatina ir 5</w:t>
      </w:r>
      <w:r w:rsidRPr="00D9492F">
        <w:rPr>
          <w:rFonts w:ascii="Times New Roman" w:hAnsi="Times New Roman"/>
        </w:rPr>
        <w:noBreakHyphen/>
      </w:r>
      <w:r w:rsidRPr="00D9492F">
        <w:rPr>
          <w:rFonts w:ascii="Times New Roman" w:hAnsi="Times New Roman"/>
          <w:iCs/>
        </w:rPr>
        <w:t>fluorouracilu</w:t>
      </w:r>
      <w:r w:rsidR="00FC1982" w:rsidRPr="00D9492F">
        <w:rPr>
          <w:rFonts w:ascii="Times New Roman" w:hAnsi="Times New Roman"/>
          <w:iCs/>
        </w:rPr>
        <w:t>.</w:t>
      </w:r>
      <w:r w:rsidRPr="00D9492F">
        <w:rPr>
          <w:rFonts w:ascii="Times New Roman" w:hAnsi="Times New Roman"/>
          <w:iCs/>
        </w:rPr>
        <w:t xml:space="preserve"> </w:t>
      </w:r>
      <w:r w:rsidR="00FC1982" w:rsidRPr="00D9492F">
        <w:rPr>
          <w:rFonts w:ascii="Times New Roman" w:hAnsi="Times New Roman"/>
        </w:rPr>
        <w:t>G</w:t>
      </w:r>
      <w:r w:rsidRPr="00D9492F">
        <w:rPr>
          <w:rFonts w:ascii="Times New Roman" w:hAnsi="Times New Roman"/>
        </w:rPr>
        <w:t xml:space="preserve">alimybės tokiems pacientams nurodyti dozės mažinimo </w:t>
      </w:r>
      <w:r w:rsidR="00FC1982" w:rsidRPr="00D9492F">
        <w:rPr>
          <w:rFonts w:ascii="Times New Roman" w:hAnsi="Times New Roman"/>
        </w:rPr>
        <w:t>rekomendacijų</w:t>
      </w:r>
      <w:r w:rsidRPr="00D9492F">
        <w:rPr>
          <w:rFonts w:ascii="Times New Roman" w:hAnsi="Times New Roman"/>
        </w:rPr>
        <w:t xml:space="preserve"> nėra</w:t>
      </w:r>
      <w:r w:rsidRPr="00D9492F">
        <w:rPr>
          <w:rFonts w:ascii="Times New Roman" w:hAnsi="Times New Roman"/>
          <w:iCs/>
        </w:rPr>
        <w:t xml:space="preserve">, jiems docetakselio skiriama tik tada, kai neišvengiamai būtina. </w:t>
      </w:r>
      <w:r w:rsidRPr="00D9492F">
        <w:rPr>
          <w:rFonts w:ascii="Times New Roman" w:hAnsi="Times New Roman"/>
        </w:rPr>
        <w:t>Duomenų apie docetakselio derinimą su kitais vaistiniais preparatais</w:t>
      </w:r>
      <w:r w:rsidR="00FC1982" w:rsidRPr="00D9492F">
        <w:rPr>
          <w:rFonts w:ascii="Times New Roman" w:hAnsi="Times New Roman"/>
        </w:rPr>
        <w:t>,</w:t>
      </w:r>
      <w:r w:rsidRPr="00D9492F">
        <w:rPr>
          <w:rFonts w:ascii="Times New Roman" w:hAnsi="Times New Roman"/>
        </w:rPr>
        <w:t xml:space="preserve"> esant kitoms indikacijoms kepenų nepakankamumu sergantiems pacientams nėra.</w:t>
      </w:r>
    </w:p>
    <w:p w14:paraId="4D1D7E83" w14:textId="77777777" w:rsidR="00DC1CDC" w:rsidRPr="00D9492F" w:rsidRDefault="00DC1CDC" w:rsidP="00DC1CDC">
      <w:pPr>
        <w:spacing w:after="0" w:line="240" w:lineRule="auto"/>
        <w:rPr>
          <w:rFonts w:ascii="Times New Roman" w:hAnsi="Times New Roman"/>
        </w:rPr>
      </w:pPr>
    </w:p>
    <w:p w14:paraId="7F8B525C"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lastRenderedPageBreak/>
        <w:t>Pacientai, kurių inkstų funkcija sutrikusi</w:t>
      </w:r>
    </w:p>
    <w:p w14:paraId="1EE38D6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Pacientams, kuriems yra sunkus inkstų </w:t>
      </w:r>
      <w:r w:rsidR="002E2908" w:rsidRPr="00D9492F">
        <w:rPr>
          <w:rFonts w:ascii="Times New Roman" w:hAnsi="Times New Roman"/>
        </w:rPr>
        <w:t>funkcijos sutrikimas</w:t>
      </w:r>
      <w:r w:rsidRPr="00D9492F">
        <w:rPr>
          <w:rFonts w:ascii="Times New Roman" w:hAnsi="Times New Roman"/>
        </w:rPr>
        <w:t>, docetakselio vartojimo patirties nėra.</w:t>
      </w:r>
    </w:p>
    <w:p w14:paraId="1AB49D89" w14:textId="77777777" w:rsidR="00DC1CDC" w:rsidRPr="00D9492F" w:rsidRDefault="00DC1CDC" w:rsidP="00DC1CDC">
      <w:pPr>
        <w:spacing w:after="0" w:line="240" w:lineRule="auto"/>
        <w:rPr>
          <w:rFonts w:ascii="Times New Roman" w:hAnsi="Times New Roman"/>
        </w:rPr>
      </w:pPr>
    </w:p>
    <w:p w14:paraId="1E0C4094"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Nervų sistema</w:t>
      </w:r>
    </w:p>
    <w:p w14:paraId="57161CE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Pasireiškus sunkiam periferiniam neurotoksiniam poveikiui, reikia mažinti dozę (žr. 4.2 skyrių).</w:t>
      </w:r>
    </w:p>
    <w:p w14:paraId="065F60B3" w14:textId="77777777" w:rsidR="00DC1CDC" w:rsidRPr="00D9492F" w:rsidRDefault="00DC1CDC" w:rsidP="00DC1CDC">
      <w:pPr>
        <w:spacing w:after="0" w:line="240" w:lineRule="auto"/>
        <w:rPr>
          <w:rFonts w:ascii="Times New Roman" w:hAnsi="Times New Roman"/>
        </w:rPr>
      </w:pPr>
    </w:p>
    <w:p w14:paraId="140D6EE6"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Toksinis poveikis širdžiai</w:t>
      </w:r>
    </w:p>
    <w:p w14:paraId="6264260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Aprašyta atvejų, kai, kartu vartojant docetakselį ir trastuzumabą, pasireiškė širdies nepakankamumas, ypač po chemoterapijos, kurios sudėtyje yra antraciklinas (doksorubicinas arba epirubicinas). Širdies nepakankamumas gali būti vidutinis ar sunkus, aprašyta mirties nuo jo atvejų (žr. 4.8 skyrių).</w:t>
      </w:r>
    </w:p>
    <w:p w14:paraId="371498EA" w14:textId="77777777" w:rsidR="00DC1CDC" w:rsidRPr="00D9492F" w:rsidRDefault="00DC1CDC" w:rsidP="00DC1CDC">
      <w:pPr>
        <w:spacing w:after="0" w:line="240" w:lineRule="auto"/>
        <w:rPr>
          <w:rFonts w:ascii="Times New Roman" w:hAnsi="Times New Roman"/>
        </w:rPr>
      </w:pPr>
    </w:p>
    <w:p w14:paraId="2C3B1AD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Svarstant gydymo docetakselio ir trastuzumabo deriniu tikslingumą, reikia ištirti širdies būklę prieš gydymą. Gydymo metu širdies funkcijos tyrimus reikia nuolat </w:t>
      </w:r>
      <w:r w:rsidR="00315525" w:rsidRPr="00D9492F">
        <w:rPr>
          <w:rFonts w:ascii="Times New Roman" w:hAnsi="Times New Roman"/>
        </w:rPr>
        <w:t xml:space="preserve">kartoti </w:t>
      </w:r>
      <w:r w:rsidRPr="00D9492F">
        <w:rPr>
          <w:rFonts w:ascii="Times New Roman" w:hAnsi="Times New Roman"/>
        </w:rPr>
        <w:t>(pvz., kas 3 mėn.)</w:t>
      </w:r>
      <w:r w:rsidR="00315525" w:rsidRPr="00D9492F">
        <w:rPr>
          <w:rFonts w:ascii="Times New Roman" w:hAnsi="Times New Roman"/>
        </w:rPr>
        <w:t>,</w:t>
      </w:r>
      <w:r w:rsidRPr="00D9492F">
        <w:rPr>
          <w:rFonts w:ascii="Times New Roman" w:hAnsi="Times New Roman"/>
        </w:rPr>
        <w:t xml:space="preserve"> norint nustatyti, kurių pacientų širdies funkcija gali būti sutrikusi. Išsamiau ž</w:t>
      </w:r>
      <w:r w:rsidR="00C50106" w:rsidRPr="00D9492F">
        <w:rPr>
          <w:rFonts w:ascii="Times New Roman" w:hAnsi="Times New Roman"/>
        </w:rPr>
        <w:t>iū</w:t>
      </w:r>
      <w:r w:rsidRPr="00D9492F">
        <w:rPr>
          <w:rFonts w:ascii="Times New Roman" w:hAnsi="Times New Roman"/>
        </w:rPr>
        <w:t>r</w:t>
      </w:r>
      <w:r w:rsidR="00C50106" w:rsidRPr="00D9492F">
        <w:rPr>
          <w:rFonts w:ascii="Times New Roman" w:hAnsi="Times New Roman"/>
        </w:rPr>
        <w:t>ėti</w:t>
      </w:r>
      <w:r w:rsidRPr="00D9492F">
        <w:rPr>
          <w:rFonts w:ascii="Times New Roman" w:hAnsi="Times New Roman"/>
        </w:rPr>
        <w:t xml:space="preserve"> trastuzumabo preparato charakteristikų santrauką.</w:t>
      </w:r>
    </w:p>
    <w:p w14:paraId="542EF331" w14:textId="77777777" w:rsidR="006C0026" w:rsidRPr="00D9492F" w:rsidRDefault="006C0026" w:rsidP="006C0026">
      <w:pPr>
        <w:spacing w:after="0" w:line="240" w:lineRule="auto"/>
        <w:rPr>
          <w:rFonts w:ascii="Times New Roman" w:hAnsi="Times New Roman"/>
        </w:rPr>
      </w:pPr>
      <w:r w:rsidRPr="00D9492F">
        <w:rPr>
          <w:rFonts w:ascii="Times New Roman" w:hAnsi="Times New Roman"/>
        </w:rPr>
        <w:t xml:space="preserve">Gauta pranešimų apie skilvelių aritmijos, įskaitant skilvelių tachikardiją (kartais mirtiną), atvejus pacientams, gydytiems docetakseliu, kai kartu buvo vartojama doksorubicino, 5-fluorouracilo ir (arba) ciklofosfamido (žr. 4.8 skyrių).  </w:t>
      </w:r>
    </w:p>
    <w:p w14:paraId="283473D9" w14:textId="761FFAAC" w:rsidR="006C0026" w:rsidRPr="00D9492F" w:rsidRDefault="006C0026" w:rsidP="006C0026">
      <w:pPr>
        <w:spacing w:after="0" w:line="240" w:lineRule="auto"/>
        <w:rPr>
          <w:rFonts w:ascii="Times New Roman" w:hAnsi="Times New Roman"/>
        </w:rPr>
      </w:pPr>
      <w:r w:rsidRPr="00D9492F">
        <w:rPr>
          <w:rFonts w:ascii="Times New Roman" w:hAnsi="Times New Roman"/>
        </w:rPr>
        <w:t xml:space="preserve">Rekomenduojama širdies </w:t>
      </w:r>
      <w:r w:rsidR="001E7FFA" w:rsidRPr="00D9492F">
        <w:rPr>
          <w:rFonts w:ascii="Times New Roman" w:hAnsi="Times New Roman"/>
        </w:rPr>
        <w:t>funkciją</w:t>
      </w:r>
      <w:r w:rsidRPr="00D9492F">
        <w:rPr>
          <w:rFonts w:ascii="Times New Roman" w:hAnsi="Times New Roman"/>
        </w:rPr>
        <w:t xml:space="preserve"> ištirti prieš gydymo pradžią.</w:t>
      </w:r>
    </w:p>
    <w:p w14:paraId="72811E57" w14:textId="77777777" w:rsidR="00DC1CDC" w:rsidRPr="00D9492F" w:rsidRDefault="00DC1CDC" w:rsidP="00DC1CDC">
      <w:pPr>
        <w:spacing w:after="0" w:line="240" w:lineRule="auto"/>
        <w:rPr>
          <w:rFonts w:ascii="Times New Roman" w:hAnsi="Times New Roman"/>
        </w:rPr>
      </w:pPr>
    </w:p>
    <w:p w14:paraId="5E75DBF3"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Akių sutrikimai</w:t>
      </w:r>
    </w:p>
    <w:p w14:paraId="6A83EC4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Gauta pranešimų apie cistinės geltonosios dėmės edemos (GDE) atvejus pacientams, gydytiems docetakseliu. Pacientams, kurių regėjimas sutrikęs, turi būti atliekama skubi ir pilna oftalmologinė apžiūra. Diagnozavus GDE, gydymas docetakseliu turi būti nutrauktas ir pradėtas kitas tinkamas gydymas (žr. 4.8 skyrių).</w:t>
      </w:r>
    </w:p>
    <w:p w14:paraId="3B9134D8" w14:textId="77777777" w:rsidR="006C0026" w:rsidRPr="00D9492F" w:rsidRDefault="006C0026" w:rsidP="006C0026">
      <w:pPr>
        <w:keepNext/>
        <w:keepLines/>
        <w:spacing w:after="0" w:line="240" w:lineRule="auto"/>
        <w:rPr>
          <w:rFonts w:ascii="Times New Roman" w:hAnsi="Times New Roman"/>
          <w:u w:val="single"/>
        </w:rPr>
      </w:pPr>
    </w:p>
    <w:p w14:paraId="0445DEB6" w14:textId="43E08282" w:rsidR="006C0026" w:rsidRPr="00D9492F" w:rsidRDefault="006C0026" w:rsidP="006C0026">
      <w:pPr>
        <w:keepNext/>
        <w:keepLines/>
        <w:spacing w:after="0" w:line="240" w:lineRule="auto"/>
        <w:rPr>
          <w:rFonts w:ascii="Times New Roman" w:hAnsi="Times New Roman"/>
          <w:u w:val="single"/>
        </w:rPr>
      </w:pPr>
      <w:r w:rsidRPr="00D9492F">
        <w:rPr>
          <w:rFonts w:ascii="Times New Roman" w:hAnsi="Times New Roman"/>
          <w:u w:val="single"/>
        </w:rPr>
        <w:t xml:space="preserve">Antras pirminis vėžys </w:t>
      </w:r>
    </w:p>
    <w:p w14:paraId="077DA06C" w14:textId="6C6E0B01" w:rsidR="006C0026" w:rsidRPr="00D9492F" w:rsidRDefault="006C0026" w:rsidP="006C0026">
      <w:pPr>
        <w:keepNext/>
        <w:keepLines/>
        <w:spacing w:after="0" w:line="240" w:lineRule="auto"/>
        <w:rPr>
          <w:rFonts w:ascii="Times New Roman" w:hAnsi="Times New Roman"/>
        </w:rPr>
      </w:pPr>
      <w:r w:rsidRPr="00D9492F">
        <w:rPr>
          <w:rFonts w:ascii="Times New Roman" w:hAnsi="Times New Roman"/>
        </w:rPr>
        <w:t xml:space="preserve">Pranešta apie antro pirminio vėžio atvejus, kai docetakselio vartota </w:t>
      </w:r>
      <w:r w:rsidR="00D33482" w:rsidRPr="00D9492F">
        <w:rPr>
          <w:rFonts w:ascii="Times New Roman" w:hAnsi="Times New Roman"/>
        </w:rPr>
        <w:t>derinant</w:t>
      </w:r>
      <w:r w:rsidRPr="00D9492F">
        <w:rPr>
          <w:rFonts w:ascii="Times New Roman" w:hAnsi="Times New Roman"/>
        </w:rPr>
        <w:t xml:space="preserve"> ir kitokį vėžio gydymą, kuris gali sukelti antrą pirminį vėžį. Antras pirminis vėžys (įskaitant ūminę mieloidinę leukemiją, mielodisplazinį sindromą ir ne Hodžkino limfomą) gali pasireikšti po gydymo, kurio metu vienas iš vartotų vaistinių preparatų buvo docetakselis, praėjus keliems mėnesiams ar metams. Pacientus būtina stebėti, ar neatsiranda antro pirminio vėžio (žr. 4.8</w:t>
      </w:r>
      <w:r w:rsidR="00D33482" w:rsidRPr="00D9492F">
        <w:rPr>
          <w:rFonts w:ascii="Times New Roman" w:hAnsi="Times New Roman"/>
        </w:rPr>
        <w:t> </w:t>
      </w:r>
      <w:r w:rsidRPr="00D9492F">
        <w:rPr>
          <w:rFonts w:ascii="Times New Roman" w:hAnsi="Times New Roman"/>
        </w:rPr>
        <w:t xml:space="preserve">skyrių). </w:t>
      </w:r>
    </w:p>
    <w:p w14:paraId="3445CFE6" w14:textId="77777777" w:rsidR="004F63C2" w:rsidRPr="00D9492F" w:rsidRDefault="004F63C2" w:rsidP="004F63C2">
      <w:pPr>
        <w:keepNext/>
        <w:keepLines/>
        <w:spacing w:after="0" w:line="240" w:lineRule="auto"/>
        <w:rPr>
          <w:rFonts w:ascii="Times New Roman" w:hAnsi="Times New Roman"/>
          <w:u w:val="single"/>
        </w:rPr>
      </w:pPr>
    </w:p>
    <w:p w14:paraId="4453B33C" w14:textId="3F081621" w:rsidR="004F63C2" w:rsidRPr="00D9492F" w:rsidRDefault="004F63C2" w:rsidP="004F63C2">
      <w:pPr>
        <w:keepNext/>
        <w:keepLines/>
        <w:spacing w:after="0" w:line="240" w:lineRule="auto"/>
        <w:rPr>
          <w:rFonts w:ascii="Times New Roman" w:hAnsi="Times New Roman"/>
          <w:u w:val="single"/>
        </w:rPr>
      </w:pPr>
      <w:r w:rsidRPr="00D9492F">
        <w:rPr>
          <w:rFonts w:ascii="Times New Roman" w:hAnsi="Times New Roman"/>
          <w:u w:val="single"/>
        </w:rPr>
        <w:t>Naviko lizės sindromas</w:t>
      </w:r>
    </w:p>
    <w:p w14:paraId="5A0FE800" w14:textId="23FB039F" w:rsidR="004F63C2" w:rsidRPr="00D9492F" w:rsidRDefault="004F63C2" w:rsidP="004F63C2">
      <w:pPr>
        <w:keepNext/>
        <w:keepLines/>
        <w:spacing w:after="0" w:line="240" w:lineRule="auto"/>
        <w:rPr>
          <w:rFonts w:ascii="Times New Roman" w:hAnsi="Times New Roman"/>
        </w:rPr>
      </w:pPr>
      <w:r w:rsidRPr="00D9492F">
        <w:rPr>
          <w:rFonts w:ascii="Times New Roman" w:hAnsi="Times New Roman"/>
        </w:rPr>
        <w:t>Pranešta apie su docetakseliu susijusio naviko lizės sindromo atvejus po pirmojo arba antrojo ciklo (žr. 4.8</w:t>
      </w:r>
      <w:r w:rsidR="00052B9E" w:rsidRPr="00D9492F">
        <w:rPr>
          <w:rFonts w:ascii="Times New Roman" w:hAnsi="Times New Roman"/>
        </w:rPr>
        <w:t> </w:t>
      </w:r>
      <w:r w:rsidRPr="00D9492F">
        <w:rPr>
          <w:rFonts w:ascii="Times New Roman" w:hAnsi="Times New Roman"/>
        </w:rPr>
        <w:t>skyrių). Pacientus, kuriems yra naviko lizės sindromo pasireiškimo rizika (pvz., jei yra inkstų funkcijos sutrikimas, hiperurikemija, didelis navikas, greitas progresavimas), būtina atidžiai stebėti. Prieš pradedant gydymą rekomenduojama koreguoti dehidrataciją ir didel</w:t>
      </w:r>
      <w:r w:rsidR="00052B9E" w:rsidRPr="00D9492F">
        <w:rPr>
          <w:rFonts w:ascii="Times New Roman" w:hAnsi="Times New Roman"/>
        </w:rPr>
        <w:t>ę</w:t>
      </w:r>
      <w:r w:rsidRPr="00D9492F">
        <w:rPr>
          <w:rFonts w:ascii="Times New Roman" w:hAnsi="Times New Roman"/>
        </w:rPr>
        <w:t xml:space="preserve"> šlapimo rūgšties </w:t>
      </w:r>
      <w:r w:rsidR="00052B9E" w:rsidRPr="00D9492F">
        <w:rPr>
          <w:rFonts w:ascii="Times New Roman" w:hAnsi="Times New Roman"/>
        </w:rPr>
        <w:t>koncentraciją</w:t>
      </w:r>
      <w:r w:rsidRPr="00D9492F">
        <w:rPr>
          <w:rFonts w:ascii="Times New Roman" w:hAnsi="Times New Roman"/>
        </w:rPr>
        <w:t>.</w:t>
      </w:r>
    </w:p>
    <w:p w14:paraId="620CCC1D" w14:textId="77777777" w:rsidR="00DC1CDC" w:rsidRPr="00D9492F" w:rsidRDefault="00DC1CDC" w:rsidP="00DC1CDC">
      <w:pPr>
        <w:spacing w:after="0" w:line="240" w:lineRule="auto"/>
        <w:rPr>
          <w:rFonts w:ascii="Times New Roman" w:hAnsi="Times New Roman"/>
        </w:rPr>
      </w:pPr>
    </w:p>
    <w:p w14:paraId="1FFF70B2"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Kitos atsargumo priemonės</w:t>
      </w:r>
    </w:p>
    <w:p w14:paraId="25930F51"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Gydymo laikotarpiu kontracepcijos priemones turi naudoti ir moterys, ir vyrai, o pastarieji turi saugotis dar bent 6 mėn. pasibaigus gydymui (žr. 4.6 skyrių).</w:t>
      </w:r>
    </w:p>
    <w:p w14:paraId="15BF682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Reikia vengti kartu </w:t>
      </w:r>
      <w:r w:rsidR="00C66179" w:rsidRPr="00D9492F">
        <w:rPr>
          <w:rFonts w:ascii="Times New Roman" w:hAnsi="Times New Roman"/>
        </w:rPr>
        <w:t xml:space="preserve">su </w:t>
      </w:r>
      <w:r w:rsidRPr="00D9492F">
        <w:rPr>
          <w:rFonts w:ascii="Times New Roman" w:hAnsi="Times New Roman"/>
        </w:rPr>
        <w:t>docetakseliu vartoti stipraus poveikio CYP3A4 inhibitorių (pvz., ketokonazolo, itrakonazolo, klaritromicino, indinaviro, nefazodono, nelfinaviro, ritonaviro, sakvinaviro, telitromicino ir vorikonazolo) (žr. 4.5 skyrių).</w:t>
      </w:r>
    </w:p>
    <w:p w14:paraId="6B0C4057" w14:textId="77777777" w:rsidR="00DC1CDC" w:rsidRPr="00D9492F" w:rsidRDefault="00DC1CDC" w:rsidP="00DC1CDC">
      <w:pPr>
        <w:spacing w:after="0" w:line="240" w:lineRule="auto"/>
        <w:rPr>
          <w:rFonts w:ascii="Times New Roman" w:hAnsi="Times New Roman"/>
        </w:rPr>
      </w:pPr>
    </w:p>
    <w:p w14:paraId="500D3A12"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Papildomos atsargumo priemonės taikant pagalbinį krūties vėžio gydymą</w:t>
      </w:r>
    </w:p>
    <w:p w14:paraId="2679B71B" w14:textId="77777777" w:rsidR="00DC1CDC" w:rsidRPr="00D9492F" w:rsidRDefault="00DC1CDC" w:rsidP="00DC1CDC">
      <w:pPr>
        <w:spacing w:after="0" w:line="240" w:lineRule="auto"/>
        <w:rPr>
          <w:rFonts w:ascii="Times New Roman" w:hAnsi="Times New Roman"/>
        </w:rPr>
      </w:pPr>
    </w:p>
    <w:p w14:paraId="2672563C" w14:textId="77777777" w:rsidR="00DC1CDC" w:rsidRPr="00D9492F" w:rsidRDefault="00DC1CDC" w:rsidP="00DC1CDC">
      <w:pPr>
        <w:keepNext/>
        <w:keepLines/>
        <w:spacing w:after="0" w:line="240" w:lineRule="auto"/>
        <w:rPr>
          <w:rFonts w:ascii="Times New Roman" w:eastAsia="Times New Roman" w:hAnsi="Times New Roman"/>
          <w:i/>
        </w:rPr>
      </w:pPr>
      <w:r w:rsidRPr="00D9492F">
        <w:rPr>
          <w:rFonts w:ascii="Times New Roman" w:eastAsia="Times New Roman" w:hAnsi="Times New Roman"/>
          <w:i/>
        </w:rPr>
        <w:t>Neutropenija su komplikacijomis</w:t>
      </w:r>
    </w:p>
    <w:p w14:paraId="0B6303F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Pasireiškus neutropenijai su komplikacijomis (ilgalaikė neutropenija, febrilinė neutropenija ar infekcija), reikia apsvarstyti, ar nebūtų tikslinga sumažinti dozę ir papildomai skirti G</w:t>
      </w:r>
      <w:r w:rsidRPr="00D9492F">
        <w:rPr>
          <w:rFonts w:ascii="Times New Roman" w:hAnsi="Times New Roman"/>
        </w:rPr>
        <w:noBreakHyphen/>
        <w:t>KSF (žr. 4.2 skyrių).</w:t>
      </w:r>
    </w:p>
    <w:p w14:paraId="709B7E68" w14:textId="77777777" w:rsidR="00DC1CDC" w:rsidRPr="00D9492F" w:rsidRDefault="00DC1CDC" w:rsidP="00DC1CDC">
      <w:pPr>
        <w:spacing w:after="0" w:line="240" w:lineRule="auto"/>
        <w:rPr>
          <w:rFonts w:ascii="Times New Roman" w:hAnsi="Times New Roman"/>
        </w:rPr>
      </w:pPr>
    </w:p>
    <w:p w14:paraId="184D42A9" w14:textId="77777777" w:rsidR="00DC1CDC" w:rsidRPr="00D9492F" w:rsidRDefault="00DC1CDC" w:rsidP="00DC1CDC">
      <w:pPr>
        <w:keepNext/>
        <w:keepLines/>
        <w:spacing w:after="0" w:line="240" w:lineRule="auto"/>
        <w:rPr>
          <w:rFonts w:ascii="Times New Roman" w:eastAsia="Times New Roman" w:hAnsi="Times New Roman"/>
          <w:i/>
        </w:rPr>
      </w:pPr>
      <w:r w:rsidRPr="00D9492F">
        <w:rPr>
          <w:rFonts w:ascii="Times New Roman" w:eastAsia="Times New Roman" w:hAnsi="Times New Roman"/>
          <w:i/>
        </w:rPr>
        <w:lastRenderedPageBreak/>
        <w:t>Virškinimo trakto reakcijos</w:t>
      </w:r>
    </w:p>
    <w:p w14:paraId="67031001"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Ankstyvas pilvo skausmas ir skausmingumas, karščiavimas bei viduriavimas su neutropenija ar be jos gali būti ankstyvieji sunkaus toksinio poveikio virškinimo traktui simptomai. Jiems pasireiškus, pacientę reikia nedelsiant ištirti ir atitinkamai gydyti. </w:t>
      </w:r>
    </w:p>
    <w:p w14:paraId="7B89E28E" w14:textId="77777777" w:rsidR="00DC1CDC" w:rsidRPr="00D9492F" w:rsidRDefault="00DC1CDC" w:rsidP="00DC1CDC">
      <w:pPr>
        <w:spacing w:after="0" w:line="240" w:lineRule="auto"/>
        <w:rPr>
          <w:rFonts w:ascii="Times New Roman" w:hAnsi="Times New Roman"/>
        </w:rPr>
      </w:pPr>
    </w:p>
    <w:p w14:paraId="73C56CE0" w14:textId="77777777" w:rsidR="00DC1CDC" w:rsidRPr="00D9492F" w:rsidRDefault="00DC1CDC" w:rsidP="00DC1CDC">
      <w:pPr>
        <w:keepNext/>
        <w:keepLines/>
        <w:spacing w:after="0" w:line="240" w:lineRule="auto"/>
        <w:rPr>
          <w:rFonts w:ascii="Times New Roman" w:eastAsia="Times New Roman" w:hAnsi="Times New Roman"/>
          <w:i/>
        </w:rPr>
      </w:pPr>
      <w:r w:rsidRPr="00D9492F">
        <w:rPr>
          <w:rFonts w:ascii="Times New Roman" w:eastAsia="Times New Roman" w:hAnsi="Times New Roman"/>
          <w:i/>
        </w:rPr>
        <w:t xml:space="preserve">Stazinis širdies nepakankamumas </w:t>
      </w:r>
    </w:p>
    <w:p w14:paraId="77EEC0F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Gydant ir vėlesnio stebėjimo laikotarpiu pacientę reikia stebėti dėl galimų stazinio širdies nepakankamumo </w:t>
      </w:r>
      <w:r w:rsidR="002644F2" w:rsidRPr="00D9492F">
        <w:rPr>
          <w:rFonts w:ascii="Times New Roman" w:hAnsi="Times New Roman"/>
        </w:rPr>
        <w:t xml:space="preserve">(SŠN) </w:t>
      </w:r>
      <w:r w:rsidRPr="00D9492F">
        <w:rPr>
          <w:rFonts w:ascii="Times New Roman" w:hAnsi="Times New Roman"/>
        </w:rPr>
        <w:t>simptomų. Nustatyta, kad pirmaisiais metais po gydymo taikant TAC gydymo schemą pacientėms, sirgusioms į į limfmazgius metastazavusiu krūties vėžiu, SŠN pasireiškimo rizika</w:t>
      </w:r>
    </w:p>
    <w:p w14:paraId="1D6E8E3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buvo didesnė (žr. 4.8 ir 5.1 skyrius).</w:t>
      </w:r>
    </w:p>
    <w:p w14:paraId="35539C64" w14:textId="77777777" w:rsidR="00DC1CDC" w:rsidRPr="00D9492F" w:rsidRDefault="00DC1CDC" w:rsidP="00DC1CDC">
      <w:pPr>
        <w:spacing w:after="0" w:line="240" w:lineRule="auto"/>
        <w:rPr>
          <w:rFonts w:ascii="Times New Roman" w:hAnsi="Times New Roman"/>
        </w:rPr>
      </w:pPr>
    </w:p>
    <w:p w14:paraId="138614A2" w14:textId="6BECCA8D" w:rsidR="00DC1CDC" w:rsidRPr="00D9492F" w:rsidRDefault="00DC1CDC" w:rsidP="00DC1CDC">
      <w:pPr>
        <w:spacing w:after="0" w:line="240" w:lineRule="auto"/>
        <w:rPr>
          <w:rFonts w:ascii="Times New Roman" w:hAnsi="Times New Roman"/>
        </w:rPr>
      </w:pPr>
      <w:r w:rsidRPr="00D9492F">
        <w:rPr>
          <w:rFonts w:ascii="Times New Roman" w:hAnsi="Times New Roman"/>
        </w:rPr>
        <w:t>.</w:t>
      </w:r>
    </w:p>
    <w:p w14:paraId="19D23650" w14:textId="77777777" w:rsidR="00DC1CDC" w:rsidRPr="00D9492F" w:rsidRDefault="00DC1CDC" w:rsidP="00DC1CDC">
      <w:pPr>
        <w:spacing w:after="0" w:line="240" w:lineRule="auto"/>
        <w:rPr>
          <w:rFonts w:ascii="Times New Roman" w:hAnsi="Times New Roman"/>
        </w:rPr>
      </w:pPr>
    </w:p>
    <w:p w14:paraId="307A5C07" w14:textId="77777777" w:rsidR="00DC1CDC" w:rsidRPr="00D9492F" w:rsidRDefault="00DC1CDC" w:rsidP="00DC1CDC">
      <w:pPr>
        <w:keepNext/>
        <w:keepLines/>
        <w:spacing w:after="0" w:line="240" w:lineRule="auto"/>
        <w:rPr>
          <w:rFonts w:ascii="Times New Roman" w:eastAsia="Times New Roman" w:hAnsi="Times New Roman"/>
          <w:i/>
        </w:rPr>
      </w:pPr>
      <w:r w:rsidRPr="00D9492F">
        <w:rPr>
          <w:rFonts w:ascii="Times New Roman" w:eastAsia="Times New Roman" w:hAnsi="Times New Roman"/>
          <w:i/>
        </w:rPr>
        <w:t>Pacientėms, kurioms 4 ar daugiau limfmazgių rasta metastazių</w:t>
      </w:r>
    </w:p>
    <w:p w14:paraId="06508D8C" w14:textId="3D1A926D" w:rsidR="00DC1CDC" w:rsidRPr="00D9492F" w:rsidRDefault="00DC1CDC" w:rsidP="00431505">
      <w:pPr>
        <w:spacing w:after="0" w:line="240" w:lineRule="auto"/>
        <w:rPr>
          <w:rFonts w:ascii="Times New Roman" w:hAnsi="Times New Roman"/>
        </w:rPr>
      </w:pPr>
      <w:r w:rsidRPr="00D9492F">
        <w:rPr>
          <w:rFonts w:ascii="Times New Roman" w:hAnsi="Times New Roman"/>
        </w:rPr>
        <w:t xml:space="preserve">Pacientėms, kurioms 4 ar daugiau limfmazgių rasta metastazių, teigiamas </w:t>
      </w:r>
      <w:r w:rsidR="00431505" w:rsidRPr="00D9492F">
        <w:rPr>
          <w:rFonts w:ascii="Times New Roman" w:hAnsi="Times New Roman"/>
        </w:rPr>
        <w:t xml:space="preserve">išgyvenamumas </w:t>
      </w:r>
      <w:r w:rsidRPr="00D9492F">
        <w:rPr>
          <w:rFonts w:ascii="Times New Roman" w:hAnsi="Times New Roman"/>
        </w:rPr>
        <w:t>be ligos simptomų (</w:t>
      </w:r>
      <w:r w:rsidR="00431505" w:rsidRPr="00D9492F">
        <w:rPr>
          <w:rFonts w:ascii="Times New Roman" w:hAnsi="Times New Roman"/>
        </w:rPr>
        <w:t>I</w:t>
      </w:r>
      <w:r w:rsidRPr="00D9492F">
        <w:rPr>
          <w:rFonts w:ascii="Times New Roman" w:hAnsi="Times New Roman"/>
        </w:rPr>
        <w:t>BLS) ir bendrojo išgyvenamumo (BI) pokytis nebuvo statistiškai reikšmingas, todėl galutinė duomenų analizė šioms pacientėms TAC palankaus naudos ir rizikos santykio pilnai</w:t>
      </w:r>
      <w:r w:rsidRPr="00D9492F">
        <w:rPr>
          <w:rFonts w:ascii="Times New Roman" w:eastAsia="TimesNewRoman" w:hAnsi="Times New Roman"/>
          <w:lang w:eastAsia="en-GB"/>
        </w:rPr>
        <w:t xml:space="preserve"> neparodė (žr. 5.1 skyrių).</w:t>
      </w:r>
    </w:p>
    <w:p w14:paraId="5B52F8CB" w14:textId="77777777" w:rsidR="00DC1CDC" w:rsidRPr="00D9492F" w:rsidRDefault="00DC1CDC" w:rsidP="00DC1CDC">
      <w:pPr>
        <w:spacing w:after="0" w:line="240" w:lineRule="auto"/>
        <w:rPr>
          <w:rFonts w:ascii="Times New Roman" w:hAnsi="Times New Roman"/>
        </w:rPr>
      </w:pPr>
    </w:p>
    <w:p w14:paraId="191F61C9" w14:textId="3F7041AE" w:rsidR="00DC1CDC" w:rsidRPr="00D9492F" w:rsidRDefault="00DC1CDC" w:rsidP="00DC1CDC">
      <w:pPr>
        <w:keepNext/>
        <w:keepLines/>
        <w:spacing w:after="0" w:line="240" w:lineRule="auto"/>
        <w:rPr>
          <w:rFonts w:ascii="Times New Roman" w:eastAsia="Times New Roman" w:hAnsi="Times New Roman"/>
          <w:i/>
        </w:rPr>
      </w:pPr>
      <w:r w:rsidRPr="00D9492F">
        <w:rPr>
          <w:rFonts w:ascii="Times New Roman" w:eastAsia="Times New Roman" w:hAnsi="Times New Roman"/>
          <w:i/>
        </w:rPr>
        <w:t>Senyvi</w:t>
      </w:r>
      <w:r w:rsidR="00052B9E" w:rsidRPr="00D9492F">
        <w:rPr>
          <w:rFonts w:ascii="Times New Roman" w:eastAsia="Times New Roman" w:hAnsi="Times New Roman"/>
          <w:i/>
        </w:rPr>
        <w:t>ems</w:t>
      </w:r>
      <w:r w:rsidRPr="00D9492F">
        <w:rPr>
          <w:rFonts w:ascii="Times New Roman" w:eastAsia="Times New Roman" w:hAnsi="Times New Roman"/>
          <w:i/>
        </w:rPr>
        <w:t xml:space="preserve"> pacienta</w:t>
      </w:r>
      <w:r w:rsidR="00052B9E" w:rsidRPr="00D9492F">
        <w:rPr>
          <w:rFonts w:ascii="Times New Roman" w:eastAsia="Times New Roman" w:hAnsi="Times New Roman"/>
          <w:i/>
        </w:rPr>
        <w:t>ms</w:t>
      </w:r>
    </w:p>
    <w:p w14:paraId="75B76ECF" w14:textId="63C2E31D" w:rsidR="006C0026" w:rsidRPr="00D9492F" w:rsidRDefault="006C0026" w:rsidP="00D9492F">
      <w:pPr>
        <w:spacing w:after="0" w:line="240" w:lineRule="auto"/>
        <w:rPr>
          <w:rFonts w:ascii="Times New Roman" w:hAnsi="Times New Roman"/>
          <w:i/>
          <w:iCs/>
        </w:rPr>
      </w:pPr>
      <w:r w:rsidRPr="00D9492F">
        <w:rPr>
          <w:rFonts w:ascii="Times New Roman" w:hAnsi="Times New Roman"/>
          <w:i/>
          <w:iCs/>
        </w:rPr>
        <w:t xml:space="preserve">Atsargumo priemonės Docetaxel SanoSwiss skiriant krūties vėžio adjuvantiniam gydymui </w:t>
      </w:r>
    </w:p>
    <w:p w14:paraId="63F70DEB"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Duomenų apie vyresnių kaip 70 metų pacienčių gydymą docetakselio, doksorubicino ir ciklofosfamido deriniu nepakanka.</w:t>
      </w:r>
    </w:p>
    <w:p w14:paraId="59D6C419" w14:textId="77777777" w:rsidR="006C0026" w:rsidRPr="00D9492F" w:rsidRDefault="006C0026" w:rsidP="006C0026">
      <w:pPr>
        <w:spacing w:after="0" w:line="240" w:lineRule="auto"/>
        <w:rPr>
          <w:rFonts w:ascii="Times New Roman" w:hAnsi="Times New Roman"/>
          <w:i/>
          <w:iCs/>
        </w:rPr>
      </w:pPr>
    </w:p>
    <w:p w14:paraId="17DDEF87" w14:textId="1F2DCEA6" w:rsidR="00DC1CDC" w:rsidRPr="00D9492F" w:rsidRDefault="006C0026" w:rsidP="00DC1CDC">
      <w:pPr>
        <w:spacing w:after="0" w:line="240" w:lineRule="auto"/>
        <w:rPr>
          <w:rFonts w:ascii="Times New Roman" w:hAnsi="Times New Roman"/>
          <w:i/>
          <w:iCs/>
        </w:rPr>
      </w:pPr>
      <w:r w:rsidRPr="00D9492F">
        <w:rPr>
          <w:rFonts w:ascii="Times New Roman" w:hAnsi="Times New Roman"/>
          <w:i/>
          <w:iCs/>
        </w:rPr>
        <w:t xml:space="preserve">Atsargumo priemonės Docetaxel SanoSwiss skiriant kastracijai atsparaus prostatos vėžio gydymui </w:t>
      </w:r>
    </w:p>
    <w:p w14:paraId="383ACAE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Iš 333 pacientų, tiriant prostatos vėžio gydymą</w:t>
      </w:r>
      <w:r w:rsidR="004503D5" w:rsidRPr="00D9492F">
        <w:rPr>
          <w:rFonts w:ascii="Times New Roman" w:hAnsi="Times New Roman"/>
        </w:rPr>
        <w:t>,</w:t>
      </w:r>
      <w:r w:rsidRPr="00D9492F">
        <w:rPr>
          <w:rFonts w:ascii="Times New Roman" w:hAnsi="Times New Roman"/>
        </w:rPr>
        <w:t xml:space="preserve"> vartojusių docetakselį kas 3 savaites, 209 buvo 65 metų ar vyresni, 68 – vyresni kaip 75 metų. Vartojant docetakselį kas 3 savaites, su juo susijusių nagų pokyčių 65 metų ir vyresniems pacientams atsirado </w:t>
      </w:r>
      <w:r w:rsidRPr="00D9492F">
        <w:rPr>
          <w:rFonts w:ascii="Times New Roman" w:hAnsi="Times New Roman"/>
        </w:rPr>
        <w:sym w:font="Symbol" w:char="F0B3"/>
      </w:r>
      <w:r w:rsidRPr="00D9492F">
        <w:rPr>
          <w:rFonts w:ascii="Times New Roman" w:hAnsi="Times New Roman"/>
        </w:rPr>
        <w:t> 10</w:t>
      </w:r>
      <w:r w:rsidR="003A02B0" w:rsidRPr="00D9492F">
        <w:rPr>
          <w:rFonts w:ascii="Times New Roman" w:hAnsi="Times New Roman"/>
        </w:rPr>
        <w:t xml:space="preserve"> </w:t>
      </w:r>
      <w:r w:rsidRPr="00D9492F">
        <w:rPr>
          <w:rFonts w:ascii="Times New Roman" w:hAnsi="Times New Roman"/>
        </w:rPr>
        <w:t>% dažniau negu jaunesniems. Su vaistiniu preparatu susijęs karščiavimas, viduriavimas, anoreksija ir periferinė edema 75 metų ir vyresniems pacientams pasireiškė </w:t>
      </w:r>
      <w:r w:rsidRPr="00D9492F">
        <w:rPr>
          <w:rFonts w:ascii="Times New Roman" w:hAnsi="Times New Roman"/>
        </w:rPr>
        <w:sym w:font="Symbol" w:char="F0B3"/>
      </w:r>
      <w:r w:rsidRPr="00D9492F">
        <w:rPr>
          <w:rFonts w:ascii="Times New Roman" w:hAnsi="Times New Roman"/>
        </w:rPr>
        <w:t> 10</w:t>
      </w:r>
      <w:r w:rsidR="003A02B0" w:rsidRPr="00D9492F">
        <w:rPr>
          <w:rFonts w:ascii="Times New Roman" w:hAnsi="Times New Roman"/>
        </w:rPr>
        <w:t xml:space="preserve"> </w:t>
      </w:r>
      <w:r w:rsidRPr="00D9492F">
        <w:rPr>
          <w:rFonts w:ascii="Times New Roman" w:hAnsi="Times New Roman"/>
        </w:rPr>
        <w:t>% dažniau negu jaunesniems kaip 65 metų.</w:t>
      </w:r>
    </w:p>
    <w:p w14:paraId="3E02421F" w14:textId="77777777" w:rsidR="006C0026" w:rsidRPr="00D9492F" w:rsidRDefault="006C0026" w:rsidP="006C0026">
      <w:pPr>
        <w:spacing w:after="0" w:line="240" w:lineRule="auto"/>
        <w:rPr>
          <w:rFonts w:ascii="Times New Roman" w:hAnsi="Times New Roman"/>
          <w:i/>
          <w:iCs/>
        </w:rPr>
      </w:pPr>
    </w:p>
    <w:p w14:paraId="1B1AC081" w14:textId="2A5FF337" w:rsidR="006C0026" w:rsidRPr="00D9492F" w:rsidRDefault="006C0026" w:rsidP="006C0026">
      <w:pPr>
        <w:spacing w:after="0" w:line="240" w:lineRule="auto"/>
        <w:rPr>
          <w:rFonts w:ascii="Times New Roman" w:hAnsi="Times New Roman"/>
          <w:i/>
          <w:iCs/>
        </w:rPr>
      </w:pPr>
      <w:r w:rsidRPr="00D9492F">
        <w:rPr>
          <w:rFonts w:ascii="Times New Roman" w:hAnsi="Times New Roman"/>
          <w:i/>
          <w:iCs/>
        </w:rPr>
        <w:t xml:space="preserve">Atsargumo priemonės Docetaxel SanoSwiss skiriant hormonams jautraus prostatos vėžio gydymui </w:t>
      </w:r>
    </w:p>
    <w:p w14:paraId="6C57C5A4" w14:textId="13562D13" w:rsidR="006C0026" w:rsidRPr="00D9492F" w:rsidRDefault="006C0026" w:rsidP="006C0026">
      <w:pPr>
        <w:spacing w:after="0" w:line="240" w:lineRule="auto"/>
        <w:rPr>
          <w:rFonts w:ascii="Times New Roman" w:hAnsi="Times New Roman"/>
        </w:rPr>
      </w:pPr>
      <w:r w:rsidRPr="00D9492F">
        <w:rPr>
          <w:rFonts w:ascii="Times New Roman" w:hAnsi="Times New Roman"/>
        </w:rPr>
        <w:t>Iš 545</w:t>
      </w:r>
      <w:r w:rsidR="00052B9E" w:rsidRPr="00D9492F">
        <w:rPr>
          <w:rFonts w:ascii="Times New Roman" w:hAnsi="Times New Roman"/>
        </w:rPr>
        <w:t> </w:t>
      </w:r>
      <w:r w:rsidRPr="00D9492F">
        <w:rPr>
          <w:rFonts w:ascii="Times New Roman" w:hAnsi="Times New Roman"/>
        </w:rPr>
        <w:t>pacientų, vartojusių docetakselį kas 3</w:t>
      </w:r>
      <w:r w:rsidR="00052B9E" w:rsidRPr="00D9492F">
        <w:rPr>
          <w:rFonts w:ascii="Times New Roman" w:hAnsi="Times New Roman"/>
        </w:rPr>
        <w:t> </w:t>
      </w:r>
      <w:r w:rsidRPr="00D9492F">
        <w:rPr>
          <w:rFonts w:ascii="Times New Roman" w:hAnsi="Times New Roman"/>
        </w:rPr>
        <w:t>savaites hormonams jautraus prostatos vėžio gydymo tyrimo (STAMPEDE) metu, 296</w:t>
      </w:r>
      <w:r w:rsidR="00052B9E" w:rsidRPr="00D9492F">
        <w:rPr>
          <w:rFonts w:ascii="Times New Roman" w:hAnsi="Times New Roman"/>
        </w:rPr>
        <w:t> </w:t>
      </w:r>
      <w:r w:rsidRPr="00D9492F">
        <w:rPr>
          <w:rFonts w:ascii="Times New Roman" w:hAnsi="Times New Roman"/>
        </w:rPr>
        <w:t>buvo 65</w:t>
      </w:r>
      <w:r w:rsidR="00052B9E" w:rsidRPr="00D9492F">
        <w:rPr>
          <w:rFonts w:ascii="Times New Roman" w:hAnsi="Times New Roman"/>
        </w:rPr>
        <w:t> </w:t>
      </w:r>
      <w:r w:rsidRPr="00D9492F">
        <w:rPr>
          <w:rFonts w:ascii="Times New Roman" w:hAnsi="Times New Roman"/>
        </w:rPr>
        <w:t>metų ar vyresni, o 48</w:t>
      </w:r>
      <w:r w:rsidR="00052B9E" w:rsidRPr="00D9492F">
        <w:rPr>
          <w:rFonts w:ascii="Times New Roman" w:hAnsi="Times New Roman"/>
        </w:rPr>
        <w:t> </w:t>
      </w:r>
      <w:r w:rsidRPr="00D9492F">
        <w:rPr>
          <w:rFonts w:ascii="Times New Roman" w:hAnsi="Times New Roman"/>
        </w:rPr>
        <w:t>pacientai – 75</w:t>
      </w:r>
      <w:r w:rsidR="00052B9E" w:rsidRPr="00D9492F">
        <w:rPr>
          <w:rFonts w:ascii="Times New Roman" w:hAnsi="Times New Roman"/>
        </w:rPr>
        <w:t> </w:t>
      </w:r>
      <w:r w:rsidRPr="00D9492F">
        <w:rPr>
          <w:rFonts w:ascii="Times New Roman" w:hAnsi="Times New Roman"/>
        </w:rPr>
        <w:t>metų ar vyresni. Docetokselio vartojusiųjų grupėje padidėjusio jautrumo reakcijos, neutropenija, anemija, skysčių susilaikymas, dusulys ir nagų pokyčiai dažniau atsirado ≥</w:t>
      </w:r>
      <w:r w:rsidR="00052B9E" w:rsidRPr="00D9492F">
        <w:rPr>
          <w:rFonts w:ascii="Times New Roman" w:hAnsi="Times New Roman"/>
        </w:rPr>
        <w:t> </w:t>
      </w:r>
      <w:r w:rsidRPr="00D9492F">
        <w:rPr>
          <w:rFonts w:ascii="Times New Roman" w:hAnsi="Times New Roman"/>
        </w:rPr>
        <w:t>65</w:t>
      </w:r>
      <w:r w:rsidR="00052B9E" w:rsidRPr="00D9492F">
        <w:rPr>
          <w:rFonts w:ascii="Times New Roman" w:hAnsi="Times New Roman"/>
        </w:rPr>
        <w:t> </w:t>
      </w:r>
      <w:r w:rsidRPr="00D9492F">
        <w:rPr>
          <w:rFonts w:ascii="Times New Roman" w:hAnsi="Times New Roman"/>
        </w:rPr>
        <w:t>metų pacientams, palyginti su jaunesniais kaip 65</w:t>
      </w:r>
      <w:r w:rsidR="00052B9E" w:rsidRPr="00D9492F">
        <w:rPr>
          <w:rFonts w:ascii="Times New Roman" w:hAnsi="Times New Roman"/>
        </w:rPr>
        <w:t> </w:t>
      </w:r>
      <w:r w:rsidRPr="00D9492F">
        <w:rPr>
          <w:rFonts w:ascii="Times New Roman" w:hAnsi="Times New Roman"/>
        </w:rPr>
        <w:t>metų pacientais. Nė vienas toks dažnio padidėjimas nepasiekė 10</w:t>
      </w:r>
      <w:r w:rsidR="00052B9E" w:rsidRPr="00D9492F">
        <w:rPr>
          <w:rFonts w:ascii="Times New Roman" w:hAnsi="Times New Roman"/>
        </w:rPr>
        <w:t> </w:t>
      </w:r>
      <w:r w:rsidRPr="00D9492F">
        <w:rPr>
          <w:rFonts w:ascii="Times New Roman" w:hAnsi="Times New Roman"/>
        </w:rPr>
        <w:t>% skirtumo, lyginant su kontroline grupe. 75</w:t>
      </w:r>
      <w:r w:rsidR="00052B9E" w:rsidRPr="00D9492F">
        <w:rPr>
          <w:rFonts w:ascii="Times New Roman" w:hAnsi="Times New Roman"/>
        </w:rPr>
        <w:t> </w:t>
      </w:r>
      <w:r w:rsidRPr="00D9492F">
        <w:rPr>
          <w:rFonts w:ascii="Times New Roman" w:hAnsi="Times New Roman"/>
        </w:rPr>
        <w:t>metų ar vyresniems pacientams, palyginti su jaunesniais pacientais, neutropenija, anemija, viduriavimas, dusulys ir viršutinių kvėpavimo takų infekcija pasireiškė dažniau (ne mažiau kaip 10</w:t>
      </w:r>
      <w:r w:rsidR="00052B9E" w:rsidRPr="00D9492F">
        <w:rPr>
          <w:rFonts w:ascii="Times New Roman" w:hAnsi="Times New Roman"/>
        </w:rPr>
        <w:t> </w:t>
      </w:r>
      <w:r w:rsidRPr="00D9492F">
        <w:rPr>
          <w:rFonts w:ascii="Times New Roman" w:hAnsi="Times New Roman"/>
        </w:rPr>
        <w:t xml:space="preserve">% dažniau). </w:t>
      </w:r>
    </w:p>
    <w:p w14:paraId="7E4607EE" w14:textId="77777777" w:rsidR="006C0026" w:rsidRPr="00D9492F" w:rsidRDefault="006C0026" w:rsidP="006C0026">
      <w:pPr>
        <w:spacing w:after="0" w:line="240" w:lineRule="auto"/>
        <w:rPr>
          <w:rFonts w:ascii="Times New Roman" w:hAnsi="Times New Roman"/>
        </w:rPr>
      </w:pPr>
      <w:r w:rsidRPr="00D9492F">
        <w:rPr>
          <w:rFonts w:ascii="Times New Roman" w:hAnsi="Times New Roman"/>
        </w:rPr>
        <w:t xml:space="preserve"> </w:t>
      </w:r>
    </w:p>
    <w:p w14:paraId="097C31A9" w14:textId="77AF817D" w:rsidR="006C0026" w:rsidRPr="00D9492F" w:rsidRDefault="006C0026" w:rsidP="00DC1CDC">
      <w:pPr>
        <w:spacing w:after="0" w:line="240" w:lineRule="auto"/>
        <w:rPr>
          <w:rFonts w:ascii="Times New Roman" w:hAnsi="Times New Roman"/>
          <w:i/>
          <w:iCs/>
        </w:rPr>
      </w:pPr>
      <w:r w:rsidRPr="00D9492F">
        <w:rPr>
          <w:rFonts w:ascii="Times New Roman" w:hAnsi="Times New Roman"/>
          <w:i/>
          <w:iCs/>
        </w:rPr>
        <w:t xml:space="preserve">Atsargumo priemonės Docetaxel SanoSwiss skiriant skrandžio adenokarcinomai gydyti </w:t>
      </w:r>
    </w:p>
    <w:p w14:paraId="42862CD3" w14:textId="3B5D686F" w:rsidR="00DC1CDC" w:rsidRPr="00D9492F" w:rsidRDefault="00DC1CDC" w:rsidP="00DC1CDC">
      <w:pPr>
        <w:spacing w:after="0" w:line="240" w:lineRule="auto"/>
        <w:rPr>
          <w:rFonts w:ascii="Times New Roman" w:hAnsi="Times New Roman"/>
        </w:rPr>
      </w:pPr>
      <w:r w:rsidRPr="00D9492F">
        <w:rPr>
          <w:rFonts w:ascii="Times New Roman" w:hAnsi="Times New Roman"/>
        </w:rPr>
        <w:t>Tarp 300 pacientų, kurie sirgo skrandžio vėžiu ir tyrimo metu buvo gydyti Docetaxel SanoSwiss kartu su cisplatina ir 5</w:t>
      </w:r>
      <w:r w:rsidRPr="00D9492F">
        <w:rPr>
          <w:rFonts w:ascii="Times New Roman" w:hAnsi="Times New Roman"/>
        </w:rPr>
        <w:noBreakHyphen/>
        <w:t xml:space="preserve">fluorouracilu (221 pacientas – III fazės tyrimo dalyje, 79 – II fazės tyrimo dalyje), 74 pacientai buvo 65 metų ir vyresni, o 4 pacientai - 75 metų ir vyresni. Sunkių nepageidaujamų reiškinių senyviems pacientams pasireiškė dažniau, nei jaunesniems. Įvairaus sunkumo laipsnio letargija, stomatitas bei su neutropenija susijusi infekcija 65 metų ir vyresniems pacientams pasireiškė </w:t>
      </w:r>
      <w:r w:rsidRPr="00D9492F">
        <w:rPr>
          <w:rFonts w:ascii="Times New Roman" w:hAnsi="Times New Roman"/>
        </w:rPr>
        <w:sym w:font="Symbol" w:char="F0B3"/>
      </w:r>
      <w:r w:rsidRPr="00D9492F">
        <w:rPr>
          <w:rFonts w:ascii="Times New Roman" w:hAnsi="Times New Roman"/>
        </w:rPr>
        <w:t> 10</w:t>
      </w:r>
      <w:r w:rsidR="003A02B0" w:rsidRPr="00D9492F">
        <w:rPr>
          <w:rFonts w:ascii="Times New Roman" w:hAnsi="Times New Roman"/>
        </w:rPr>
        <w:t xml:space="preserve"> </w:t>
      </w:r>
      <w:r w:rsidRPr="00D9492F">
        <w:rPr>
          <w:rFonts w:ascii="Times New Roman" w:hAnsi="Times New Roman"/>
        </w:rPr>
        <w:t xml:space="preserve">% dažniau, negu jaunesniems kaip 65 metų pacientams. </w:t>
      </w:r>
    </w:p>
    <w:p w14:paraId="307263A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Senyvus pacientus, kurie gydomi naudojant TCF schemą, būtina atidžiai stebėti.</w:t>
      </w:r>
    </w:p>
    <w:p w14:paraId="2F65148C" w14:textId="77777777" w:rsidR="00DC1CDC" w:rsidRPr="00D9492F" w:rsidRDefault="00DC1CDC" w:rsidP="00DC1CDC">
      <w:pPr>
        <w:spacing w:after="0" w:line="240" w:lineRule="auto"/>
        <w:rPr>
          <w:rFonts w:ascii="Times New Roman" w:hAnsi="Times New Roman"/>
        </w:rPr>
      </w:pPr>
    </w:p>
    <w:p w14:paraId="53D1F867" w14:textId="77777777" w:rsidR="00DC1CDC" w:rsidRPr="00D9492F" w:rsidRDefault="00DC1CDC" w:rsidP="00DC1CDC">
      <w:pPr>
        <w:spacing w:after="0" w:line="240" w:lineRule="auto"/>
        <w:rPr>
          <w:rFonts w:ascii="Times New Roman" w:hAnsi="Times New Roman"/>
          <w:i/>
        </w:rPr>
      </w:pPr>
      <w:r w:rsidRPr="00D9492F">
        <w:rPr>
          <w:rFonts w:ascii="Times New Roman" w:hAnsi="Times New Roman"/>
          <w:i/>
        </w:rPr>
        <w:t>Etanolis</w:t>
      </w:r>
    </w:p>
    <w:p w14:paraId="3933747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Šio vaistinio preparato sudėtyje yra 40,9 tūrio % bevandenio etanolio (alkoholio) t.</w:t>
      </w:r>
      <w:r w:rsidR="00142104" w:rsidRPr="00D9492F">
        <w:rPr>
          <w:rFonts w:ascii="Times New Roman" w:hAnsi="Times New Roman"/>
        </w:rPr>
        <w:t xml:space="preserve"> </w:t>
      </w:r>
      <w:r w:rsidRPr="00D9492F">
        <w:rPr>
          <w:rFonts w:ascii="Times New Roman" w:hAnsi="Times New Roman"/>
        </w:rPr>
        <w:t>y. iki 326 mg/ml koncentracija, o tai atitinka 8,25 ml alaus arba 3,3 ml vyno.</w:t>
      </w:r>
    </w:p>
    <w:p w14:paraId="4E5CC0F7" w14:textId="77777777" w:rsidR="006C0026" w:rsidRPr="00D9492F" w:rsidRDefault="006C0026" w:rsidP="006C0026">
      <w:pPr>
        <w:spacing w:after="0" w:line="240" w:lineRule="auto"/>
        <w:rPr>
          <w:rFonts w:ascii="Times New Roman" w:hAnsi="Times New Roman"/>
        </w:rPr>
      </w:pPr>
    </w:p>
    <w:p w14:paraId="53BF8F9A" w14:textId="198F4317" w:rsidR="006C0026" w:rsidRPr="00D9492F" w:rsidRDefault="006C0026" w:rsidP="006C0026">
      <w:pPr>
        <w:spacing w:after="0" w:line="240" w:lineRule="auto"/>
        <w:rPr>
          <w:rFonts w:ascii="Times New Roman" w:hAnsi="Times New Roman"/>
        </w:rPr>
      </w:pPr>
      <w:r w:rsidRPr="00D9492F">
        <w:rPr>
          <w:rFonts w:ascii="Times New Roman" w:hAnsi="Times New Roman"/>
        </w:rPr>
        <w:t>Šio vaistinio preparato 100</w:t>
      </w:r>
      <w:r w:rsidR="00052B9E" w:rsidRPr="00D9492F">
        <w:rPr>
          <w:rFonts w:ascii="Times New Roman" w:hAnsi="Times New Roman"/>
        </w:rPr>
        <w:t> </w:t>
      </w:r>
      <w:r w:rsidRPr="00D9492F">
        <w:rPr>
          <w:rFonts w:ascii="Times New Roman" w:hAnsi="Times New Roman"/>
        </w:rPr>
        <w:t>mg/m</w:t>
      </w:r>
      <w:r w:rsidRPr="00D9492F">
        <w:rPr>
          <w:rFonts w:ascii="Times New Roman" w:hAnsi="Times New Roman"/>
          <w:vertAlign w:val="superscript"/>
        </w:rPr>
        <w:t>2</w:t>
      </w:r>
      <w:r w:rsidRPr="00D9492F">
        <w:rPr>
          <w:rFonts w:ascii="Times New Roman" w:hAnsi="Times New Roman"/>
        </w:rPr>
        <w:t xml:space="preserve"> dozė vartojama suaugusiojo, sveriančio 70</w:t>
      </w:r>
      <w:r w:rsidR="00052B9E" w:rsidRPr="00D9492F">
        <w:rPr>
          <w:rFonts w:ascii="Times New Roman" w:hAnsi="Times New Roman"/>
        </w:rPr>
        <w:t> </w:t>
      </w:r>
      <w:r w:rsidRPr="00D9492F">
        <w:rPr>
          <w:rFonts w:ascii="Times New Roman" w:hAnsi="Times New Roman"/>
        </w:rPr>
        <w:t>kg, sukeltų 20</w:t>
      </w:r>
      <w:r w:rsidR="00052B9E" w:rsidRPr="00D9492F">
        <w:rPr>
          <w:rFonts w:ascii="Times New Roman" w:hAnsi="Times New Roman"/>
        </w:rPr>
        <w:t> </w:t>
      </w:r>
      <w:r w:rsidRPr="00D9492F">
        <w:rPr>
          <w:rFonts w:ascii="Times New Roman" w:hAnsi="Times New Roman"/>
        </w:rPr>
        <w:t>mg/kg etanolio suvartojimą, kuris gali padidinti alkoholio koncentraciją kraujyje (AKK) apytikriai iki 3,3</w:t>
      </w:r>
      <w:r w:rsidR="00052B9E" w:rsidRPr="00D9492F">
        <w:rPr>
          <w:rFonts w:ascii="Times New Roman" w:hAnsi="Times New Roman"/>
        </w:rPr>
        <w:t> </w:t>
      </w:r>
      <w:r w:rsidRPr="00D9492F">
        <w:rPr>
          <w:rFonts w:ascii="Times New Roman" w:hAnsi="Times New Roman"/>
        </w:rPr>
        <w:t>mg/100</w:t>
      </w:r>
      <w:r w:rsidR="00052B9E" w:rsidRPr="00D9492F">
        <w:rPr>
          <w:rFonts w:ascii="Times New Roman" w:hAnsi="Times New Roman"/>
        </w:rPr>
        <w:t> </w:t>
      </w:r>
      <w:r w:rsidRPr="00D9492F">
        <w:rPr>
          <w:rFonts w:ascii="Times New Roman" w:hAnsi="Times New Roman"/>
        </w:rPr>
        <w:t>ml. Palyginimui, suaugusiojo, išgėrusio taurę vyno arba 500</w:t>
      </w:r>
      <w:r w:rsidR="00052B9E" w:rsidRPr="00D9492F">
        <w:rPr>
          <w:rFonts w:ascii="Times New Roman" w:hAnsi="Times New Roman"/>
        </w:rPr>
        <w:t> </w:t>
      </w:r>
      <w:r w:rsidRPr="00D9492F">
        <w:rPr>
          <w:rFonts w:ascii="Times New Roman" w:hAnsi="Times New Roman"/>
        </w:rPr>
        <w:t xml:space="preserve">ml alaus, AKK reikšmė būna </w:t>
      </w:r>
      <w:r w:rsidRPr="00D9492F">
        <w:rPr>
          <w:rFonts w:ascii="Times New Roman" w:hAnsi="Times New Roman"/>
        </w:rPr>
        <w:lastRenderedPageBreak/>
        <w:t>apytikriai 50</w:t>
      </w:r>
      <w:r w:rsidR="00052B9E" w:rsidRPr="00D9492F">
        <w:rPr>
          <w:rFonts w:ascii="Times New Roman" w:hAnsi="Times New Roman"/>
        </w:rPr>
        <w:t> </w:t>
      </w:r>
      <w:r w:rsidRPr="00D9492F">
        <w:rPr>
          <w:rFonts w:ascii="Times New Roman" w:hAnsi="Times New Roman"/>
        </w:rPr>
        <w:t>mg/100</w:t>
      </w:r>
      <w:r w:rsidR="00052B9E" w:rsidRPr="00D9492F">
        <w:rPr>
          <w:rFonts w:ascii="Times New Roman" w:hAnsi="Times New Roman"/>
        </w:rPr>
        <w:t> </w:t>
      </w:r>
      <w:r w:rsidRPr="00D9492F">
        <w:rPr>
          <w:rFonts w:ascii="Times New Roman" w:hAnsi="Times New Roman"/>
        </w:rPr>
        <w:t>ml. Vartojimas su vaistiniais preparatais, kurių sudėtyje yra propilenglikolio arba etanolio, gali sukelti etanolio kaupimąsi ir nepageidaujamas reakcijas.</w:t>
      </w:r>
    </w:p>
    <w:p w14:paraId="0606D18B" w14:textId="77777777" w:rsidR="00DC1CDC" w:rsidRPr="00D9492F" w:rsidRDefault="00DC1CDC" w:rsidP="00DC1CDC">
      <w:pPr>
        <w:spacing w:after="0" w:line="240" w:lineRule="auto"/>
        <w:rPr>
          <w:rFonts w:ascii="Times New Roman" w:hAnsi="Times New Roman"/>
        </w:rPr>
      </w:pPr>
    </w:p>
    <w:p w14:paraId="4EA187B4" w14:textId="77777777" w:rsidR="00DC1CDC" w:rsidRPr="00D9492F" w:rsidRDefault="00142104" w:rsidP="00DC1CDC">
      <w:pPr>
        <w:spacing w:after="0" w:line="240" w:lineRule="auto"/>
        <w:rPr>
          <w:rFonts w:ascii="Times New Roman" w:hAnsi="Times New Roman"/>
        </w:rPr>
      </w:pPr>
      <w:r w:rsidRPr="00D9492F">
        <w:rPr>
          <w:rFonts w:ascii="Times New Roman" w:hAnsi="Times New Roman"/>
        </w:rPr>
        <w:t>Vaistinis preparatas k</w:t>
      </w:r>
      <w:r w:rsidR="00DC1CDC" w:rsidRPr="00D9492F">
        <w:rPr>
          <w:rFonts w:ascii="Times New Roman" w:hAnsi="Times New Roman"/>
        </w:rPr>
        <w:t>enksmingas sergantiems alkoholizmu.</w:t>
      </w:r>
    </w:p>
    <w:p w14:paraId="25DFE5CD" w14:textId="77777777" w:rsidR="00DC1CDC" w:rsidRPr="00D9492F" w:rsidRDefault="00DC1CDC" w:rsidP="00DC1CDC">
      <w:pPr>
        <w:spacing w:after="0" w:line="240" w:lineRule="auto"/>
        <w:rPr>
          <w:rFonts w:ascii="Times New Roman" w:hAnsi="Times New Roman"/>
        </w:rPr>
      </w:pPr>
    </w:p>
    <w:p w14:paraId="197FA20C" w14:textId="5763927B" w:rsidR="00DC1CDC" w:rsidRPr="00D9492F" w:rsidRDefault="00DC1CDC" w:rsidP="00DC1CDC">
      <w:pPr>
        <w:spacing w:after="0" w:line="240" w:lineRule="auto"/>
        <w:rPr>
          <w:rFonts w:ascii="Times New Roman" w:hAnsi="Times New Roman"/>
        </w:rPr>
      </w:pPr>
      <w:r w:rsidRPr="00D9492F">
        <w:rPr>
          <w:rFonts w:ascii="Times New Roman" w:hAnsi="Times New Roman"/>
        </w:rPr>
        <w:t>Būtina atsižvelgti nėščiosioms, žindyvėms, vaikams ir didelės rizikos grupės (pvz., sergantiems kepenų ligomis ar epilepsija) pacientams.</w:t>
      </w:r>
    </w:p>
    <w:p w14:paraId="21F74EDA" w14:textId="4CF4822C" w:rsidR="006C0026" w:rsidRPr="00D9492F" w:rsidRDefault="006C0026" w:rsidP="00DC1CDC">
      <w:pPr>
        <w:spacing w:after="0" w:line="240" w:lineRule="auto"/>
        <w:rPr>
          <w:rFonts w:ascii="Times New Roman" w:hAnsi="Times New Roman"/>
        </w:rPr>
      </w:pPr>
      <w:r w:rsidRPr="00D9492F">
        <w:rPr>
          <w:rFonts w:ascii="Times New Roman" w:hAnsi="Times New Roman"/>
        </w:rPr>
        <w:t xml:space="preserve">Reikėtų atkreipti dėmesį į galimą poveikį centrinei nervų sistemai. </w:t>
      </w:r>
    </w:p>
    <w:p w14:paraId="50785F28" w14:textId="77777777" w:rsidR="00DC1CDC" w:rsidRPr="00D9492F" w:rsidRDefault="00DC1CDC" w:rsidP="00DC1CDC">
      <w:pPr>
        <w:spacing w:after="0" w:line="240" w:lineRule="auto"/>
        <w:rPr>
          <w:rFonts w:ascii="Times New Roman" w:hAnsi="Times New Roman"/>
        </w:rPr>
      </w:pPr>
    </w:p>
    <w:p w14:paraId="34E74F3C"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4.5</w:t>
      </w:r>
      <w:r w:rsidRPr="00D9492F">
        <w:rPr>
          <w:rFonts w:ascii="Times New Roman" w:hAnsi="Times New Roman"/>
          <w:b/>
        </w:rPr>
        <w:tab/>
        <w:t>Sąveika su kitais vaistiniais preparatais ir kitokia sąveika</w:t>
      </w:r>
    </w:p>
    <w:p w14:paraId="28D77223" w14:textId="4EA725B0" w:rsidR="00DC1CDC" w:rsidRPr="00D9492F" w:rsidRDefault="00DC1CDC" w:rsidP="00DC1CDC">
      <w:pPr>
        <w:spacing w:after="0" w:line="240" w:lineRule="auto"/>
        <w:rPr>
          <w:rFonts w:ascii="Times New Roman" w:hAnsi="Times New Roman"/>
        </w:rPr>
      </w:pPr>
    </w:p>
    <w:p w14:paraId="385CEE57" w14:textId="3C1FDE58" w:rsidR="0058049F" w:rsidRPr="00D9492F" w:rsidRDefault="00664F2F" w:rsidP="00DC1CDC">
      <w:pPr>
        <w:spacing w:after="0" w:line="240" w:lineRule="auto"/>
        <w:rPr>
          <w:rFonts w:ascii="Times New Roman" w:hAnsi="Times New Roman"/>
        </w:rPr>
      </w:pPr>
      <w:r w:rsidRPr="00D9492F">
        <w:rPr>
          <w:rFonts w:ascii="Times New Roman" w:hAnsi="Times New Roman"/>
          <w:lang w:val="fi-FI"/>
        </w:rPr>
        <w:t xml:space="preserve">Alkoholio kiekis, esantis šio vaistinio preparato sudėtyje, gali keisti kitų vaistinių preparatų poveikį. </w:t>
      </w:r>
    </w:p>
    <w:p w14:paraId="6C426B2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Tyrimai </w:t>
      </w:r>
      <w:r w:rsidRPr="00D9492F">
        <w:rPr>
          <w:rFonts w:ascii="Times New Roman" w:hAnsi="Times New Roman"/>
          <w:i/>
        </w:rPr>
        <w:t xml:space="preserve">in vitro </w:t>
      </w:r>
      <w:r w:rsidRPr="00D9492F">
        <w:rPr>
          <w:rFonts w:ascii="Times New Roman" w:hAnsi="Times New Roman"/>
        </w:rPr>
        <w:t>parodė, kad docetakselio metabolizmui įtakos gali turėti kartu vartojamos medžiagos, kurios stimuliuoja ar slopina citochromą P450</w:t>
      </w:r>
      <w:r w:rsidRPr="00D9492F">
        <w:rPr>
          <w:rFonts w:ascii="Times New Roman" w:hAnsi="Times New Roman"/>
        </w:rPr>
        <w:noBreakHyphen/>
        <w:t xml:space="preserve">3A, arba yra jo metabolizuojamos (pastarosios gali slopinti šį fermentą konkurenciniu būdu), pvz., ciklosporinas, terfenadinas, ketokonazolas, eritromicinas, troleandomicinas. Galima sąveika yra reikšminga, todėl kartu su minėtais vaistiniais preparatais docetakselis </w:t>
      </w:r>
      <w:r w:rsidR="00AC5ACE" w:rsidRPr="00D9492F">
        <w:rPr>
          <w:rFonts w:ascii="Times New Roman" w:hAnsi="Times New Roman"/>
        </w:rPr>
        <w:t xml:space="preserve">turi būti </w:t>
      </w:r>
      <w:r w:rsidRPr="00D9492F">
        <w:rPr>
          <w:rFonts w:ascii="Times New Roman" w:hAnsi="Times New Roman"/>
        </w:rPr>
        <w:t>vartojamas atsargiai.</w:t>
      </w:r>
    </w:p>
    <w:p w14:paraId="4B167B9B" w14:textId="77777777" w:rsidR="00DC1CDC" w:rsidRPr="00D9492F" w:rsidRDefault="00DC1CDC" w:rsidP="00DC1CDC">
      <w:pPr>
        <w:spacing w:after="0" w:line="240" w:lineRule="auto"/>
        <w:rPr>
          <w:rFonts w:ascii="Times New Roman" w:hAnsi="Times New Roman"/>
        </w:rPr>
      </w:pPr>
    </w:p>
    <w:p w14:paraId="3890D6A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Jei kartu vartojama CYP3A4 inhibitorių, dėl sumažėjusio metabolizmo gali padidėti docetakselio nepageidaujamų reakcijų dažnis. Jei būtina kartu vartoti stipraus poveikio CYP3A4 inhibitorių (pvz., ketokonazolo, itrakonazolo, klaritromicino, indinaviro, nefazodono, nelfinaviro, ritonaviro, sakvinaviro, telitromicino ir vorikonazolo), turi būti užtikrintas atidus klinikinės būklės stebėjimas, be to, kombinuotojo gydymo kartu su stipraus poveikio CYP3A4 inhibitoria</w:t>
      </w:r>
      <w:r w:rsidR="00B50306" w:rsidRPr="00D9492F">
        <w:rPr>
          <w:rFonts w:ascii="Times New Roman" w:hAnsi="Times New Roman"/>
        </w:rPr>
        <w:t>i</w:t>
      </w:r>
      <w:r w:rsidRPr="00D9492F">
        <w:rPr>
          <w:rFonts w:ascii="Times New Roman" w:hAnsi="Times New Roman"/>
        </w:rPr>
        <w:t>s metu gali reikėti koreguoti docetakselio dozę (žr. 4.4 skyrių). Farmakokinetikos tyrimo, kuriame dalyvavo 7 pacientai, metu reikšmingai (49 %) sumažėjo kartu su stipraus poveikio CYP3A4 inhibitoriumi ketokonazolu vartojamo docetakselio klirensas.</w:t>
      </w:r>
    </w:p>
    <w:p w14:paraId="2786B8DB" w14:textId="77777777" w:rsidR="00DC1CDC" w:rsidRPr="00D9492F" w:rsidRDefault="00DC1CDC" w:rsidP="00DC1CDC">
      <w:pPr>
        <w:keepNext/>
        <w:keepLines/>
        <w:tabs>
          <w:tab w:val="left" w:pos="567"/>
        </w:tabs>
        <w:suppressAutoHyphen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Tirta docetakselio farmakokinetika metastazavusiu prostatos vėžiu sergančių pacientų, kartu vartojančių prednizoną, organizme. CYP3A4 metabolizuoja docetakselį, o prednizonas indukuoja CYP3A4. Statistiškai reikšmingos prednizono įtakos docetakselio farmakokinetikai nenustatyta.</w:t>
      </w:r>
    </w:p>
    <w:p w14:paraId="766E5F47" w14:textId="77777777" w:rsidR="00DC1CDC" w:rsidRPr="00D9492F" w:rsidRDefault="00DC1CDC" w:rsidP="00DC1CDC">
      <w:pPr>
        <w:autoSpaceDE w:val="0"/>
        <w:autoSpaceDN w:val="0"/>
        <w:adjustRightInd w:val="0"/>
        <w:spacing w:after="0" w:line="240" w:lineRule="auto"/>
        <w:rPr>
          <w:rFonts w:ascii="Times New Roman" w:hAnsi="Times New Roman"/>
        </w:rPr>
      </w:pPr>
    </w:p>
    <w:p w14:paraId="034A3011" w14:textId="77777777" w:rsidR="00DC1CDC" w:rsidRPr="00D9492F" w:rsidRDefault="00DC1CDC" w:rsidP="00DC1CDC">
      <w:pPr>
        <w:autoSpaceDE w:val="0"/>
        <w:autoSpaceDN w:val="0"/>
        <w:adjustRightInd w:val="0"/>
        <w:spacing w:after="0" w:line="240" w:lineRule="auto"/>
        <w:rPr>
          <w:rFonts w:ascii="Times New Roman" w:hAnsi="Times New Roman"/>
        </w:rPr>
      </w:pPr>
      <w:r w:rsidRPr="00D9492F">
        <w:rPr>
          <w:rFonts w:ascii="Times New Roman" w:hAnsi="Times New Roman"/>
        </w:rPr>
        <w:t xml:space="preserve">Didelė docetakselio dalis (daugiau kaip 95 %) būna prisijungusi prie plazmos baltymų. Galima docetakselio sąveika su kartu vartojamais vaistiniais preparatais </w:t>
      </w:r>
      <w:r w:rsidRPr="00D9492F">
        <w:rPr>
          <w:rFonts w:ascii="Times New Roman" w:hAnsi="Times New Roman"/>
          <w:i/>
          <w:iCs/>
        </w:rPr>
        <w:t xml:space="preserve">in vivo </w:t>
      </w:r>
      <w:r w:rsidRPr="00D9492F">
        <w:rPr>
          <w:rFonts w:ascii="Times New Roman" w:hAnsi="Times New Roman"/>
        </w:rPr>
        <w:t xml:space="preserve">formaliai netirta, tačiau medžiagos, kurios stipriai jungiasi prie plazmos baltymų (pvz., eritromicinas, difenhidraminas, propranololis, propafenonas, fenitoinas, salicilatai, sulfametoksazolas ir natrio valproatas) įtakos docetakselio jungimuisi su baltymais </w:t>
      </w:r>
      <w:r w:rsidRPr="00D9492F">
        <w:rPr>
          <w:rFonts w:ascii="Times New Roman" w:hAnsi="Times New Roman"/>
          <w:i/>
          <w:iCs/>
        </w:rPr>
        <w:t xml:space="preserve">in vitro </w:t>
      </w:r>
      <w:r w:rsidRPr="00D9492F">
        <w:rPr>
          <w:rFonts w:ascii="Times New Roman" w:hAnsi="Times New Roman"/>
        </w:rPr>
        <w:t>neturi. Docetakselio jungimosi su baltymais neveikia ir deksametazonas. Docetakselis neturi įtakos digitoksino jungimuisi su baltymais.</w:t>
      </w:r>
    </w:p>
    <w:p w14:paraId="5022A6A9" w14:textId="77777777" w:rsidR="00DC1CDC" w:rsidRPr="00D9492F" w:rsidRDefault="00DC1CDC" w:rsidP="00DC1CDC">
      <w:pPr>
        <w:autoSpaceDE w:val="0"/>
        <w:autoSpaceDN w:val="0"/>
        <w:adjustRightInd w:val="0"/>
        <w:spacing w:after="0" w:line="240" w:lineRule="auto"/>
        <w:rPr>
          <w:rFonts w:ascii="Times New Roman" w:hAnsi="Times New Roman"/>
        </w:rPr>
      </w:pPr>
    </w:p>
    <w:p w14:paraId="5C607AD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Kartu vartojami docetakselis, doksorubicinas ir ciklofosfamidas vienas kito farmakokinetikos nekeičia. Ribotas kiekis duomenų, gautų vieno nekontroliuojamo tyrimo metu, rodo sąveiką tarp docetakselio ir karboplatinos: kartu su docetakseliu vartojamos karboplatinos klirensas buvo maždaug 50 % didesnis už anksčiau nustatytą monoterapijos karboplatina metu.</w:t>
      </w:r>
    </w:p>
    <w:p w14:paraId="14BDEF45" w14:textId="77777777" w:rsidR="00DC1CDC" w:rsidRPr="00D9492F" w:rsidRDefault="00DC1CDC" w:rsidP="00DC1CDC">
      <w:pPr>
        <w:spacing w:after="0" w:line="240" w:lineRule="auto"/>
        <w:rPr>
          <w:rFonts w:ascii="Times New Roman" w:hAnsi="Times New Roman"/>
        </w:rPr>
      </w:pPr>
    </w:p>
    <w:p w14:paraId="5590E7F5" w14:textId="77777777" w:rsidR="00DC1CDC" w:rsidRPr="00D9492F" w:rsidRDefault="00DC1CDC" w:rsidP="00DC1CDC">
      <w:pPr>
        <w:keepNext/>
        <w:keepLines/>
        <w:tabs>
          <w:tab w:val="left" w:pos="567"/>
        </w:tabs>
        <w:spacing w:after="0" w:line="240" w:lineRule="auto"/>
        <w:rPr>
          <w:rFonts w:ascii="Times New Roman" w:eastAsia="Times New Roman" w:hAnsi="Times New Roman"/>
          <w:b/>
          <w:bCs/>
        </w:rPr>
      </w:pPr>
      <w:r w:rsidRPr="00D9492F">
        <w:rPr>
          <w:rFonts w:ascii="Times New Roman" w:eastAsia="Times New Roman" w:hAnsi="Times New Roman"/>
          <w:b/>
          <w:bCs/>
        </w:rPr>
        <w:t>4.6</w:t>
      </w:r>
      <w:r w:rsidRPr="00D9492F">
        <w:rPr>
          <w:rFonts w:ascii="Times New Roman" w:eastAsia="Times New Roman" w:hAnsi="Times New Roman"/>
          <w:b/>
          <w:bCs/>
        </w:rPr>
        <w:tab/>
        <w:t>Vaisingumas, nėštumo ir žindymo laikotarpis</w:t>
      </w:r>
    </w:p>
    <w:p w14:paraId="331F7D31" w14:textId="77777777" w:rsidR="00DC1CDC" w:rsidRPr="00D9492F" w:rsidRDefault="00DC1CDC" w:rsidP="00DC1CDC">
      <w:pPr>
        <w:spacing w:after="0" w:line="240" w:lineRule="auto"/>
        <w:rPr>
          <w:rFonts w:ascii="Times New Roman" w:hAnsi="Times New Roman"/>
        </w:rPr>
      </w:pPr>
    </w:p>
    <w:p w14:paraId="5A129CD0"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Nėštumas</w:t>
      </w:r>
    </w:p>
    <w:p w14:paraId="1716B381"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Informacijos apie docetakselio vartojimą nėštumo metu nėra. Nustatyta, kad docetakselis yra embriotoksiškas ir fetotoksiškas triušiams ir žiurkėms, mažina žiurkių vaisingumą. Nėščios moters vartojamas docetakselis (kaip ir kiti citotoksiniai vaistiniai preparatai) gali pakenkti vaisiui, todėl nėštumo metu jo vartoti negalima, išskyrus neabejotinai būtinus atvejus. </w:t>
      </w:r>
    </w:p>
    <w:p w14:paraId="5CF10A78" w14:textId="77777777" w:rsidR="00DC1CDC" w:rsidRPr="00D9492F" w:rsidRDefault="00DC1CDC" w:rsidP="00DC1CDC">
      <w:pPr>
        <w:spacing w:after="0" w:line="240" w:lineRule="auto"/>
        <w:rPr>
          <w:rFonts w:ascii="Times New Roman" w:hAnsi="Times New Roman"/>
        </w:rPr>
      </w:pPr>
    </w:p>
    <w:p w14:paraId="262B76AF" w14:textId="77777777" w:rsidR="00E22AF0" w:rsidRPr="00D9492F" w:rsidRDefault="00E22AF0" w:rsidP="00E22AF0">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Žindymas</w:t>
      </w:r>
    </w:p>
    <w:p w14:paraId="6C74F049" w14:textId="77777777" w:rsidR="00E22AF0" w:rsidRPr="00D9492F" w:rsidRDefault="00E22AF0" w:rsidP="00DC1CDC">
      <w:pPr>
        <w:spacing w:after="0" w:line="240" w:lineRule="auto"/>
        <w:rPr>
          <w:rFonts w:ascii="Times New Roman" w:hAnsi="Times New Roman"/>
        </w:rPr>
      </w:pPr>
      <w:r w:rsidRPr="00D9492F">
        <w:rPr>
          <w:rFonts w:ascii="Times New Roman" w:hAnsi="Times New Roman"/>
        </w:rPr>
        <w:t>Docetakselis yra lipofiliška medžiaga, tačiau nežinoma, ar jo išsiskiria į motinos pieną. Maitinamam kūdikiui gali pasireikšti nepageidaujamų reakcijų, todėl docetakselį vartojančioms moterims žindyti negalima.</w:t>
      </w:r>
    </w:p>
    <w:p w14:paraId="5D33231E" w14:textId="77777777" w:rsidR="00E22AF0" w:rsidRPr="00D9492F" w:rsidRDefault="00E22AF0" w:rsidP="00DC1CDC">
      <w:pPr>
        <w:spacing w:after="0" w:line="240" w:lineRule="auto"/>
        <w:rPr>
          <w:rFonts w:ascii="Times New Roman" w:hAnsi="Times New Roman"/>
        </w:rPr>
      </w:pPr>
    </w:p>
    <w:p w14:paraId="0DD726D2"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lastRenderedPageBreak/>
        <w:t>Vaisingos moterys</w:t>
      </w:r>
      <w:r w:rsidR="008019BE" w:rsidRPr="00D9492F">
        <w:rPr>
          <w:rFonts w:ascii="Times New Roman" w:eastAsia="Times New Roman" w:hAnsi="Times New Roman"/>
          <w:u w:val="single"/>
        </w:rPr>
        <w:t xml:space="preserve"> </w:t>
      </w:r>
    </w:p>
    <w:p w14:paraId="11F8EF81"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Vaisingo amžiaus moterims, vartojančioms šį vaistinį preparatą, reikia patarti saugotis pastojimo. Jei docetakselį vartojanti moteris pastoja, apie tai nedelsdama turi informuoti gydytoją.</w:t>
      </w:r>
    </w:p>
    <w:p w14:paraId="1608D798" w14:textId="77777777" w:rsidR="00DC1CDC" w:rsidRPr="00D9492F" w:rsidRDefault="00DC1CDC" w:rsidP="00DC1CDC">
      <w:pPr>
        <w:spacing w:after="0" w:line="240" w:lineRule="auto"/>
        <w:rPr>
          <w:rFonts w:ascii="Times New Roman" w:hAnsi="Times New Roman"/>
        </w:rPr>
      </w:pPr>
    </w:p>
    <w:p w14:paraId="6C43B0BE"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Vaisingumas</w:t>
      </w:r>
      <w:r w:rsidR="00CC25E6" w:rsidRPr="00D9492F">
        <w:rPr>
          <w:rFonts w:ascii="Times New Roman" w:eastAsia="Times New Roman" w:hAnsi="Times New Roman"/>
          <w:u w:val="single"/>
        </w:rPr>
        <w:t>, vyrų ir moterų kontracepcija</w:t>
      </w:r>
    </w:p>
    <w:p w14:paraId="7BE050A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Gydymo metu turi būti naudojamas veiksmingas kontracepcijos metodas.</w:t>
      </w:r>
    </w:p>
    <w:p w14:paraId="6782D23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Ne klinikinių tyrimų metu nustatyta, kad docetakselis turi genotoksinių savybių ir gali trikdyti vyrų vaisingumą (žr. 5.3 skyrių). Todėl vyrams, gydymo docetakseliu metu ir bent 6 mėnesius po gydymo, patariama neapvaisinti moters bei kreiptis dėl spermos užšaldymo galimybės iki gydymo pradžios.</w:t>
      </w:r>
    </w:p>
    <w:p w14:paraId="20C83139" w14:textId="77777777" w:rsidR="00DC1CDC" w:rsidRPr="00D9492F" w:rsidRDefault="00DC1CDC" w:rsidP="00DC1CDC">
      <w:pPr>
        <w:spacing w:after="0" w:line="240" w:lineRule="auto"/>
        <w:rPr>
          <w:rFonts w:ascii="Times New Roman" w:hAnsi="Times New Roman"/>
        </w:rPr>
      </w:pPr>
    </w:p>
    <w:p w14:paraId="3B1520FD"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4.7</w:t>
      </w:r>
      <w:r w:rsidRPr="00D9492F">
        <w:rPr>
          <w:rFonts w:ascii="Times New Roman" w:hAnsi="Times New Roman"/>
          <w:b/>
        </w:rPr>
        <w:tab/>
        <w:t>Poveikis gebėjimui vairuoti ir valdyti mechanizmus</w:t>
      </w:r>
    </w:p>
    <w:p w14:paraId="349F561D" w14:textId="77777777" w:rsidR="00DC1CDC" w:rsidRPr="00D9492F" w:rsidRDefault="00DC1CDC" w:rsidP="00DC1CDC">
      <w:pPr>
        <w:spacing w:after="0" w:line="240" w:lineRule="auto"/>
        <w:rPr>
          <w:rFonts w:ascii="Times New Roman" w:hAnsi="Times New Roman"/>
        </w:rPr>
      </w:pPr>
    </w:p>
    <w:p w14:paraId="5FB765F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Poveikio gebėjimui vairuoti ir valdyti mechanizmus tyrimų neatlikta. </w:t>
      </w:r>
    </w:p>
    <w:p w14:paraId="0F523C5A" w14:textId="2B33944B" w:rsidR="006C0026" w:rsidRPr="00D9492F" w:rsidRDefault="00DC1CDC" w:rsidP="006C0026">
      <w:pPr>
        <w:spacing w:after="0" w:line="240" w:lineRule="auto"/>
        <w:rPr>
          <w:rFonts w:ascii="Times New Roman" w:hAnsi="Times New Roman"/>
        </w:rPr>
      </w:pPr>
      <w:r w:rsidRPr="00D9492F">
        <w:rPr>
          <w:rFonts w:ascii="Times New Roman" w:hAnsi="Times New Roman"/>
        </w:rPr>
        <w:t>Alkoholio kiekis, esantis šio vaistinio preparato sudėtyje, gali trikdyti gebėjimą vairuoti ar valdyti mechanizmus (žr. 4.4. </w:t>
      </w:r>
      <w:r w:rsidR="006C0026" w:rsidRPr="00D9492F">
        <w:rPr>
          <w:rFonts w:ascii="Times New Roman" w:hAnsi="Times New Roman"/>
        </w:rPr>
        <w:t>ir 4.8</w:t>
      </w:r>
      <w:r w:rsidR="00052B9E" w:rsidRPr="00D9492F">
        <w:rPr>
          <w:rFonts w:ascii="Times New Roman" w:hAnsi="Times New Roman"/>
        </w:rPr>
        <w:t> </w:t>
      </w:r>
      <w:r w:rsidR="006C0026" w:rsidRPr="00D9492F">
        <w:rPr>
          <w:rFonts w:ascii="Times New Roman" w:hAnsi="Times New Roman"/>
        </w:rPr>
        <w:t>skyrius). Dėl to pacientai turi būti įspėti apie alkoholio kiekio ir nepageidaujamo vaistinio preparato poveikio įtaką gebėjimui vairuoti ir valdyti mechanizmus bei jiems reikia patarti nevairuoti ir nevaldyti mechanizmų, jei gydymo metu pasireiškia toks nepageidaujamas poveikis.</w:t>
      </w:r>
    </w:p>
    <w:p w14:paraId="19CF5687" w14:textId="74CCBD43" w:rsidR="00DC1CDC" w:rsidRPr="00D9492F" w:rsidRDefault="00DC1CDC" w:rsidP="00DC1CDC">
      <w:pPr>
        <w:spacing w:after="0" w:line="240" w:lineRule="auto"/>
        <w:rPr>
          <w:rFonts w:ascii="Times New Roman" w:hAnsi="Times New Roman"/>
        </w:rPr>
      </w:pPr>
    </w:p>
    <w:p w14:paraId="42372972" w14:textId="77777777" w:rsidR="00DC1CDC" w:rsidRPr="00D9492F" w:rsidRDefault="00DC1CDC" w:rsidP="00DC1CDC">
      <w:pPr>
        <w:spacing w:after="0" w:line="240" w:lineRule="auto"/>
        <w:rPr>
          <w:rFonts w:ascii="Times New Roman" w:hAnsi="Times New Roman"/>
        </w:rPr>
      </w:pPr>
    </w:p>
    <w:p w14:paraId="593DE14A" w14:textId="77777777" w:rsidR="00DC1CDC" w:rsidRPr="00D9492F" w:rsidRDefault="00DC1CDC" w:rsidP="00DC1CDC">
      <w:pPr>
        <w:keepNext/>
        <w:keepLines/>
        <w:spacing w:after="0" w:line="240" w:lineRule="auto"/>
        <w:ind w:left="567" w:hanging="567"/>
        <w:rPr>
          <w:rFonts w:ascii="Times New Roman" w:hAnsi="Times New Roman"/>
          <w:b/>
        </w:rPr>
      </w:pPr>
      <w:bookmarkStart w:id="5" w:name="_Ref16308218"/>
      <w:r w:rsidRPr="00D9492F">
        <w:rPr>
          <w:rFonts w:ascii="Times New Roman" w:hAnsi="Times New Roman"/>
          <w:b/>
        </w:rPr>
        <w:t>4.8</w:t>
      </w:r>
      <w:r w:rsidRPr="00D9492F">
        <w:rPr>
          <w:rFonts w:ascii="Times New Roman" w:hAnsi="Times New Roman"/>
          <w:b/>
        </w:rPr>
        <w:tab/>
        <w:t>Nepageidaujamas poveik</w:t>
      </w:r>
      <w:bookmarkEnd w:id="5"/>
      <w:r w:rsidRPr="00D9492F">
        <w:rPr>
          <w:rFonts w:ascii="Times New Roman" w:hAnsi="Times New Roman"/>
          <w:b/>
        </w:rPr>
        <w:t>is</w:t>
      </w:r>
    </w:p>
    <w:p w14:paraId="35F8BCC9" w14:textId="77777777" w:rsidR="00DC1CDC" w:rsidRPr="00D9492F" w:rsidRDefault="00DC1CDC" w:rsidP="00DC1CDC">
      <w:pPr>
        <w:spacing w:after="0" w:line="240" w:lineRule="auto"/>
        <w:rPr>
          <w:rFonts w:ascii="Times New Roman" w:hAnsi="Times New Roman"/>
        </w:rPr>
      </w:pPr>
    </w:p>
    <w:p w14:paraId="226F29E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Duomenys apie nepageidaujamas reakcijas, laikomas galbūt arba tikriausiai susijusiomis su docetakselio vartojimu, gauti stebint:</w:t>
      </w:r>
    </w:p>
    <w:p w14:paraId="1DA6AC27" w14:textId="77777777" w:rsidR="00DC1CDC" w:rsidRPr="00D9492F" w:rsidRDefault="00DC1CDC" w:rsidP="00DC1CDC">
      <w:pPr>
        <w:numPr>
          <w:ilvl w:val="0"/>
          <w:numId w:val="22"/>
        </w:numPr>
        <w:spacing w:after="0" w:line="240" w:lineRule="auto"/>
        <w:ind w:left="567" w:hanging="567"/>
        <w:rPr>
          <w:rFonts w:ascii="Times New Roman" w:hAnsi="Times New Roman"/>
        </w:rPr>
      </w:pPr>
      <w:r w:rsidRPr="00D9492F">
        <w:rPr>
          <w:rFonts w:ascii="Times New Roman" w:hAnsi="Times New Roman"/>
        </w:rPr>
        <w:t>atitinkamai 1312 ir 121 pacientą, vartojusį 100 mg/m² ir 75 mg/m² docetakselio monoterapijai</w:t>
      </w:r>
      <w:r w:rsidR="00A85EBB" w:rsidRPr="00D9492F">
        <w:rPr>
          <w:rFonts w:ascii="Times New Roman" w:hAnsi="Times New Roman"/>
        </w:rPr>
        <w:t>;</w:t>
      </w:r>
    </w:p>
    <w:p w14:paraId="1E2720F9" w14:textId="77777777" w:rsidR="00DC1CDC" w:rsidRPr="00D9492F" w:rsidRDefault="00DC1CDC" w:rsidP="00DC1CDC">
      <w:pPr>
        <w:numPr>
          <w:ilvl w:val="0"/>
          <w:numId w:val="22"/>
        </w:numPr>
        <w:spacing w:after="0" w:line="240" w:lineRule="auto"/>
        <w:ind w:left="567" w:hanging="567"/>
        <w:rPr>
          <w:rFonts w:ascii="Times New Roman" w:hAnsi="Times New Roman"/>
        </w:rPr>
      </w:pPr>
      <w:r w:rsidRPr="00D9492F">
        <w:rPr>
          <w:rFonts w:ascii="Times New Roman" w:hAnsi="Times New Roman"/>
        </w:rPr>
        <w:t>258 pacientus, vartojusius docetakselio kartu su doksorubicinu</w:t>
      </w:r>
      <w:r w:rsidR="00A85EBB" w:rsidRPr="00D9492F">
        <w:rPr>
          <w:rFonts w:ascii="Times New Roman" w:hAnsi="Times New Roman"/>
        </w:rPr>
        <w:t>;</w:t>
      </w:r>
    </w:p>
    <w:p w14:paraId="5E28AAE6" w14:textId="77777777" w:rsidR="00DC1CDC" w:rsidRPr="00D9492F" w:rsidRDefault="00DC1CDC" w:rsidP="00DC1CDC">
      <w:pPr>
        <w:numPr>
          <w:ilvl w:val="0"/>
          <w:numId w:val="22"/>
        </w:numPr>
        <w:spacing w:after="0" w:line="240" w:lineRule="auto"/>
        <w:ind w:left="567" w:hanging="567"/>
        <w:rPr>
          <w:rFonts w:ascii="Times New Roman" w:hAnsi="Times New Roman"/>
        </w:rPr>
      </w:pPr>
      <w:r w:rsidRPr="00D9492F">
        <w:rPr>
          <w:rFonts w:ascii="Times New Roman" w:hAnsi="Times New Roman"/>
        </w:rPr>
        <w:t>406 pacientus, vartojusius docetakselio kartu su cisplatina</w:t>
      </w:r>
      <w:r w:rsidR="00A85EBB" w:rsidRPr="00D9492F">
        <w:rPr>
          <w:rFonts w:ascii="Times New Roman" w:hAnsi="Times New Roman"/>
        </w:rPr>
        <w:t>;</w:t>
      </w:r>
    </w:p>
    <w:p w14:paraId="59312D78" w14:textId="77777777" w:rsidR="00DC1CDC" w:rsidRPr="00D9492F" w:rsidRDefault="00DC1CDC" w:rsidP="00DC1CDC">
      <w:pPr>
        <w:numPr>
          <w:ilvl w:val="0"/>
          <w:numId w:val="22"/>
        </w:numPr>
        <w:spacing w:after="0" w:line="240" w:lineRule="auto"/>
        <w:ind w:left="567" w:hanging="567"/>
        <w:rPr>
          <w:rFonts w:ascii="Times New Roman" w:hAnsi="Times New Roman"/>
        </w:rPr>
      </w:pPr>
      <w:r w:rsidRPr="00D9492F">
        <w:rPr>
          <w:rFonts w:ascii="Times New Roman" w:hAnsi="Times New Roman"/>
        </w:rPr>
        <w:t>92 pacientus, vartojusius docetakselio kartu trastuzumabu</w:t>
      </w:r>
      <w:r w:rsidR="00A85EBB" w:rsidRPr="00D9492F">
        <w:rPr>
          <w:rFonts w:ascii="Times New Roman" w:hAnsi="Times New Roman"/>
        </w:rPr>
        <w:t>;</w:t>
      </w:r>
    </w:p>
    <w:p w14:paraId="4EAA2E5B" w14:textId="77777777" w:rsidR="00DC1CDC" w:rsidRPr="00D9492F" w:rsidRDefault="00DC1CDC" w:rsidP="00DC1CDC">
      <w:pPr>
        <w:numPr>
          <w:ilvl w:val="0"/>
          <w:numId w:val="22"/>
        </w:numPr>
        <w:spacing w:after="0" w:line="240" w:lineRule="auto"/>
        <w:ind w:left="567" w:hanging="567"/>
        <w:rPr>
          <w:rFonts w:ascii="Times New Roman" w:hAnsi="Times New Roman"/>
        </w:rPr>
      </w:pPr>
      <w:r w:rsidRPr="00D9492F">
        <w:rPr>
          <w:rFonts w:ascii="Times New Roman" w:hAnsi="Times New Roman"/>
        </w:rPr>
        <w:t>255 pacientus, vartojusius docetakselio kartu su kapecitabinu</w:t>
      </w:r>
      <w:r w:rsidR="00A85EBB" w:rsidRPr="00D9492F">
        <w:rPr>
          <w:rFonts w:ascii="Times New Roman" w:hAnsi="Times New Roman"/>
        </w:rPr>
        <w:t>;</w:t>
      </w:r>
    </w:p>
    <w:p w14:paraId="71C14A1F" w14:textId="77777777" w:rsidR="00DC1CDC" w:rsidRPr="00D9492F" w:rsidRDefault="00DC1CDC" w:rsidP="00DC1CDC">
      <w:pPr>
        <w:numPr>
          <w:ilvl w:val="0"/>
          <w:numId w:val="22"/>
        </w:numPr>
        <w:spacing w:after="0" w:line="240" w:lineRule="auto"/>
        <w:ind w:left="567" w:hanging="567"/>
        <w:rPr>
          <w:rFonts w:ascii="Times New Roman" w:hAnsi="Times New Roman"/>
        </w:rPr>
      </w:pPr>
      <w:r w:rsidRPr="00D9492F">
        <w:rPr>
          <w:rFonts w:ascii="Times New Roman" w:hAnsi="Times New Roman"/>
        </w:rPr>
        <w:t>332 pacientus, vartojusius docetakselio kartu su prednizonu ar prednizolonu (kliniškai svarbūs su vaistiniais preparatais susiję nepageidaujami reiškiniai pateikiami toliau)</w:t>
      </w:r>
      <w:r w:rsidR="00A85EBB" w:rsidRPr="00D9492F">
        <w:rPr>
          <w:rFonts w:ascii="Times New Roman" w:hAnsi="Times New Roman"/>
        </w:rPr>
        <w:t>;</w:t>
      </w:r>
    </w:p>
    <w:p w14:paraId="1F458B23" w14:textId="77777777" w:rsidR="00DC1CDC" w:rsidRPr="00D9492F" w:rsidRDefault="00DC1CDC" w:rsidP="00DC1CDC">
      <w:pPr>
        <w:numPr>
          <w:ilvl w:val="0"/>
          <w:numId w:val="22"/>
        </w:numPr>
        <w:spacing w:after="0" w:line="240" w:lineRule="auto"/>
        <w:ind w:left="567" w:hanging="567"/>
        <w:rPr>
          <w:rFonts w:ascii="Times New Roman" w:hAnsi="Times New Roman"/>
        </w:rPr>
      </w:pPr>
      <w:r w:rsidRPr="00D9492F">
        <w:rPr>
          <w:rFonts w:ascii="Times New Roman" w:hAnsi="Times New Roman"/>
        </w:rPr>
        <w:t>1276 pacientus (744 pacientai TAX 316 ir 532 pacientai GEICAM 9805), vartojusius docetakselio kartu su doksorubicinu ir ciklofosfamidu (kliniškai svarbūs su vaistiniais preparatais susiję nepageidaujami reiškiniai pateikiami toliau)</w:t>
      </w:r>
      <w:r w:rsidR="00A85EBB" w:rsidRPr="00D9492F">
        <w:rPr>
          <w:rFonts w:ascii="Times New Roman" w:hAnsi="Times New Roman"/>
        </w:rPr>
        <w:t>;</w:t>
      </w:r>
    </w:p>
    <w:p w14:paraId="49F78B91" w14:textId="77777777" w:rsidR="00DC1CDC" w:rsidRPr="00D9492F" w:rsidRDefault="00DC1CDC" w:rsidP="00DC1CDC">
      <w:pPr>
        <w:numPr>
          <w:ilvl w:val="0"/>
          <w:numId w:val="22"/>
        </w:numPr>
        <w:spacing w:after="0" w:line="240" w:lineRule="auto"/>
        <w:ind w:left="567" w:hanging="567"/>
        <w:rPr>
          <w:rFonts w:ascii="Times New Roman" w:hAnsi="Times New Roman"/>
        </w:rPr>
      </w:pPr>
      <w:r w:rsidRPr="00D9492F">
        <w:rPr>
          <w:rFonts w:ascii="Times New Roman" w:hAnsi="Times New Roman"/>
        </w:rPr>
        <w:t>300 skrandžio adenokarcinoma sirgusių pacientų, vartojusių docetakselio kartu su cisplatina ir 5</w:t>
      </w:r>
      <w:r w:rsidRPr="00D9492F">
        <w:rPr>
          <w:rFonts w:ascii="Times New Roman" w:hAnsi="Times New Roman"/>
        </w:rPr>
        <w:noBreakHyphen/>
        <w:t>fluorouracilu (221 pacientas – III fazės tyrimo dalyje, 79 – II fazės tyrimo dalyje) (kliniškai svarbūs su gydymu susiję nepageidaujami reiškiniai pateikiami toliau)</w:t>
      </w:r>
      <w:r w:rsidR="00A85EBB" w:rsidRPr="00D9492F">
        <w:rPr>
          <w:rFonts w:ascii="Times New Roman" w:hAnsi="Times New Roman"/>
        </w:rPr>
        <w:t>;</w:t>
      </w:r>
    </w:p>
    <w:p w14:paraId="763DE791" w14:textId="77777777" w:rsidR="005B1DF2" w:rsidRPr="00D9492F" w:rsidRDefault="00DC1CDC" w:rsidP="005B1DF2">
      <w:pPr>
        <w:numPr>
          <w:ilvl w:val="0"/>
          <w:numId w:val="22"/>
        </w:numPr>
        <w:spacing w:after="0" w:line="240" w:lineRule="auto"/>
        <w:ind w:left="567" w:hanging="567"/>
        <w:rPr>
          <w:rFonts w:ascii="Times New Roman" w:hAnsi="Times New Roman"/>
        </w:rPr>
      </w:pPr>
      <w:r w:rsidRPr="00D9492F">
        <w:rPr>
          <w:rFonts w:ascii="Times New Roman" w:hAnsi="Times New Roman"/>
        </w:rPr>
        <w:t>174 ir 251 galvos ir kaklo vėžiu sirgęs pacient</w:t>
      </w:r>
      <w:r w:rsidR="00A85EBB" w:rsidRPr="00D9492F">
        <w:rPr>
          <w:rFonts w:ascii="Times New Roman" w:hAnsi="Times New Roman"/>
        </w:rPr>
        <w:t>ą</w:t>
      </w:r>
      <w:r w:rsidRPr="00D9492F">
        <w:rPr>
          <w:rFonts w:ascii="Times New Roman" w:hAnsi="Times New Roman"/>
        </w:rPr>
        <w:t>, vartoj</w:t>
      </w:r>
      <w:r w:rsidR="00A85EBB" w:rsidRPr="00D9492F">
        <w:rPr>
          <w:rFonts w:ascii="Times New Roman" w:hAnsi="Times New Roman"/>
        </w:rPr>
        <w:t>usius</w:t>
      </w:r>
      <w:r w:rsidRPr="00D9492F">
        <w:rPr>
          <w:rFonts w:ascii="Times New Roman" w:hAnsi="Times New Roman"/>
        </w:rPr>
        <w:t xml:space="preserve"> docetakselio kartu su cisplatina ir 5</w:t>
      </w:r>
      <w:r w:rsidRPr="00D9492F">
        <w:rPr>
          <w:rFonts w:ascii="Times New Roman" w:hAnsi="Times New Roman"/>
        </w:rPr>
        <w:noBreakHyphen/>
        <w:t>fluorouracilu (kliniškai svarbūs su gydymu susiję nepageidaujami reiškiniai pateikiami toliau)</w:t>
      </w:r>
      <w:r w:rsidR="005B1DF2" w:rsidRPr="00D9492F">
        <w:rPr>
          <w:rFonts w:ascii="Times New Roman" w:hAnsi="Times New Roman"/>
        </w:rPr>
        <w:t>;</w:t>
      </w:r>
    </w:p>
    <w:p w14:paraId="38B208F3" w14:textId="3A5D2EAA" w:rsidR="00DC1CDC" w:rsidRPr="00D9492F" w:rsidRDefault="005B1DF2" w:rsidP="005B1DF2">
      <w:pPr>
        <w:numPr>
          <w:ilvl w:val="0"/>
          <w:numId w:val="22"/>
        </w:numPr>
        <w:spacing w:after="0" w:line="240" w:lineRule="auto"/>
        <w:ind w:left="567" w:hanging="567"/>
        <w:rPr>
          <w:rFonts w:ascii="Times New Roman" w:hAnsi="Times New Roman"/>
        </w:rPr>
      </w:pPr>
      <w:r w:rsidRPr="00D9492F">
        <w:rPr>
          <w:rFonts w:ascii="Times New Roman" w:hAnsi="Times New Roman"/>
        </w:rPr>
        <w:t xml:space="preserve">545 pacientus (STAMPEDE tyrime), vartojusius docetakselio kartu su prednizonu arba prednizolonu ir ADT. </w:t>
      </w:r>
    </w:p>
    <w:p w14:paraId="210E32DD" w14:textId="77777777" w:rsidR="00DC1CDC" w:rsidRPr="00D9492F" w:rsidRDefault="00DC1CDC" w:rsidP="00DC1CDC">
      <w:pPr>
        <w:spacing w:after="0" w:line="240" w:lineRule="auto"/>
        <w:rPr>
          <w:rFonts w:ascii="Times New Roman" w:hAnsi="Times New Roman"/>
        </w:rPr>
      </w:pPr>
    </w:p>
    <w:p w14:paraId="38C200EF" w14:textId="77777777" w:rsidR="000D7843" w:rsidRPr="00D9492F" w:rsidRDefault="00DC1CDC" w:rsidP="00DC1CDC">
      <w:pPr>
        <w:spacing w:after="0" w:line="240" w:lineRule="auto"/>
        <w:rPr>
          <w:rFonts w:ascii="Times New Roman" w:hAnsi="Times New Roman"/>
          <w:i/>
        </w:rPr>
      </w:pPr>
      <w:r w:rsidRPr="00D9492F">
        <w:rPr>
          <w:rFonts w:ascii="Times New Roman" w:hAnsi="Times New Roman"/>
        </w:rPr>
        <w:t xml:space="preserve">Šios reakcijos apibūdintos remiantis </w:t>
      </w:r>
      <w:r w:rsidRPr="00D9492F">
        <w:rPr>
          <w:rFonts w:ascii="Times New Roman" w:hAnsi="Times New Roman"/>
          <w:i/>
        </w:rPr>
        <w:t>NCI</w:t>
      </w:r>
      <w:r w:rsidRPr="00D9492F">
        <w:rPr>
          <w:rFonts w:ascii="Times New Roman" w:hAnsi="Times New Roman"/>
        </w:rPr>
        <w:t xml:space="preserve"> (Nacionalinio vėžio instituto) nustatytais bendraisiais toksiškumo kriterijais (laipsnis 3 = G3; laipsnis 3</w:t>
      </w:r>
      <w:r w:rsidRPr="00D9492F">
        <w:rPr>
          <w:rFonts w:ascii="Times New Roman" w:hAnsi="Times New Roman"/>
        </w:rPr>
        <w:noBreakHyphen/>
        <w:t xml:space="preserve">4 = G3/4; laipsnis 4 = G4) COSTART ir </w:t>
      </w:r>
      <w:r w:rsidRPr="00D9492F">
        <w:rPr>
          <w:rFonts w:ascii="Times New Roman" w:hAnsi="Times New Roman"/>
          <w:i/>
        </w:rPr>
        <w:t>MedDRA</w:t>
      </w:r>
      <w:r w:rsidRPr="00D9492F">
        <w:rPr>
          <w:rFonts w:ascii="Times New Roman" w:hAnsi="Times New Roman"/>
        </w:rPr>
        <w:t xml:space="preserve"> terminais</w:t>
      </w:r>
      <w:r w:rsidRPr="00D9492F">
        <w:rPr>
          <w:rFonts w:ascii="Times New Roman" w:hAnsi="Times New Roman"/>
          <w:i/>
        </w:rPr>
        <w:t xml:space="preserve">. </w:t>
      </w:r>
    </w:p>
    <w:p w14:paraId="05AA909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7B79BA6F" w14:textId="77777777" w:rsidR="00DC1CDC" w:rsidRPr="00D9492F" w:rsidRDefault="00DC1CDC" w:rsidP="00DC1CDC">
      <w:pPr>
        <w:spacing w:after="0" w:line="240" w:lineRule="auto"/>
        <w:rPr>
          <w:rFonts w:ascii="Times New Roman" w:hAnsi="Times New Roman"/>
          <w:iCs/>
        </w:rPr>
      </w:pPr>
      <w:r w:rsidRPr="00D9492F">
        <w:rPr>
          <w:rFonts w:ascii="Times New Roman" w:hAnsi="Times New Roman"/>
          <w:noProof/>
        </w:rPr>
        <w:t>Kiekvienoje dažnio grupėje nepageidaujamas poveikis pateikiamas mažėjančio sunkumo tvarka.</w:t>
      </w:r>
    </w:p>
    <w:p w14:paraId="07F21C67" w14:textId="77777777" w:rsidR="00DC1CDC" w:rsidRPr="00D9492F" w:rsidRDefault="00DC1CDC" w:rsidP="00DC1CDC">
      <w:pPr>
        <w:spacing w:after="0" w:line="240" w:lineRule="auto"/>
        <w:rPr>
          <w:rFonts w:ascii="Times New Roman" w:hAnsi="Times New Roman"/>
        </w:rPr>
      </w:pPr>
    </w:p>
    <w:p w14:paraId="6E385A6E" w14:textId="77777777" w:rsidR="00DC1CDC" w:rsidRPr="00D9492F" w:rsidRDefault="00DC1CDC" w:rsidP="00DC1CDC">
      <w:pPr>
        <w:spacing w:after="0" w:line="240" w:lineRule="auto"/>
        <w:rPr>
          <w:rFonts w:ascii="Times New Roman" w:hAnsi="Times New Roman"/>
          <w:bCs/>
          <w:lang w:eastAsia="fr-FR"/>
        </w:rPr>
      </w:pPr>
      <w:r w:rsidRPr="00D9492F">
        <w:rPr>
          <w:rFonts w:ascii="Times New Roman" w:hAnsi="Times New Roman"/>
        </w:rPr>
        <w:t>Vartojant vien docetakselio, dažniausiai pasireiškusios nepageidaujamos reakcijos – neutropenija, kuri būdavo laikina ir nekumuliavo (laikotarpio, po kurio neutrofilų skaičius buvo mažiausias, mediana buvo 7 dienos po vaistinio preparato vartojimo, sunkios neutropenijos (neutrofilų mažiau kaip 500/mm</w:t>
      </w:r>
      <w:r w:rsidRPr="00D9492F">
        <w:rPr>
          <w:rFonts w:ascii="Times New Roman" w:hAnsi="Times New Roman"/>
          <w:vertAlign w:val="superscript"/>
        </w:rPr>
        <w:t>3</w:t>
      </w:r>
      <w:r w:rsidRPr="00D9492F">
        <w:rPr>
          <w:rFonts w:ascii="Times New Roman" w:hAnsi="Times New Roman"/>
        </w:rPr>
        <w:t xml:space="preserve">) trukmės mediana – 7 dienos), anemija, alopecija, pykinimas, vėmimas, stomatitas, </w:t>
      </w:r>
      <w:r w:rsidRPr="00D9492F">
        <w:rPr>
          <w:rFonts w:ascii="Times New Roman" w:hAnsi="Times New Roman"/>
        </w:rPr>
        <w:lastRenderedPageBreak/>
        <w:t>viduriavimas ir astenija. Nepageidaujamų</w:t>
      </w:r>
      <w:r w:rsidRPr="00D9492F">
        <w:rPr>
          <w:rFonts w:ascii="Times New Roman" w:hAnsi="Times New Roman"/>
          <w:bCs/>
          <w:lang w:eastAsia="fr-FR"/>
        </w:rPr>
        <w:t xml:space="preserve"> </w:t>
      </w:r>
      <w:r w:rsidRPr="00D9492F">
        <w:rPr>
          <w:rFonts w:ascii="Times New Roman" w:hAnsi="Times New Roman"/>
        </w:rPr>
        <w:t xml:space="preserve">docetakselio </w:t>
      </w:r>
      <w:r w:rsidRPr="00D9492F">
        <w:rPr>
          <w:rFonts w:ascii="Times New Roman" w:hAnsi="Times New Roman"/>
          <w:bCs/>
          <w:lang w:eastAsia="fr-FR"/>
        </w:rPr>
        <w:t xml:space="preserve">reiškinių sunkumas gali padidėti, jei kartu vartojama kitokių chemoterapinių </w:t>
      </w:r>
      <w:r w:rsidR="00B70B4C" w:rsidRPr="00D9492F">
        <w:rPr>
          <w:rFonts w:ascii="Times New Roman" w:hAnsi="Times New Roman"/>
          <w:bCs/>
          <w:lang w:eastAsia="fr-FR"/>
        </w:rPr>
        <w:t xml:space="preserve">vaistinių </w:t>
      </w:r>
      <w:r w:rsidRPr="00D9492F">
        <w:rPr>
          <w:rFonts w:ascii="Times New Roman" w:hAnsi="Times New Roman"/>
          <w:bCs/>
          <w:lang w:eastAsia="fr-FR"/>
        </w:rPr>
        <w:t>preparatų.</w:t>
      </w:r>
    </w:p>
    <w:p w14:paraId="02F224F3" w14:textId="77777777" w:rsidR="00DC1CDC" w:rsidRPr="00D9492F" w:rsidRDefault="00DC1CDC" w:rsidP="00DC1CDC">
      <w:pPr>
        <w:spacing w:after="0" w:line="240" w:lineRule="auto"/>
        <w:rPr>
          <w:rFonts w:ascii="Times New Roman" w:hAnsi="Times New Roman"/>
        </w:rPr>
      </w:pPr>
    </w:p>
    <w:p w14:paraId="1E8042D7"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Docetakselio ir trastuzumabo deriniui pateikiami visų laipsnių nepageidaujami reiškiniai, pasireiškę </w:t>
      </w:r>
      <w:r w:rsidRPr="00D9492F">
        <w:rPr>
          <w:rFonts w:ascii="Times New Roman" w:hAnsi="Times New Roman"/>
        </w:rPr>
        <w:sym w:font="Symbol" w:char="F0B3"/>
      </w:r>
      <w:r w:rsidRPr="00D9492F">
        <w:rPr>
          <w:rFonts w:ascii="Times New Roman" w:hAnsi="Times New Roman"/>
        </w:rPr>
        <w:t> 10 % pacienčių. Docetakselio ir trastuzumabo derinio grupėje dažniau negu docetakselio monoterapijos grupėje pasireiškė sunkių (atitinkamai 40 % ir 31 %) ir 4 laipsnio (atitinkamai 34 % ir 23 %) nepageidaujamų reiškinių.</w:t>
      </w:r>
    </w:p>
    <w:p w14:paraId="3990ED4D" w14:textId="77777777" w:rsidR="00DC1CDC" w:rsidRPr="00D9492F" w:rsidRDefault="00DC1CDC" w:rsidP="00DC1CDC">
      <w:pPr>
        <w:spacing w:after="0" w:line="240" w:lineRule="auto"/>
        <w:rPr>
          <w:rFonts w:ascii="Times New Roman" w:hAnsi="Times New Roman"/>
        </w:rPr>
      </w:pPr>
    </w:p>
    <w:p w14:paraId="07EC807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Docetakselio ir kapecitabino deriniui pateikiami dažniausi (</w:t>
      </w:r>
      <w:r w:rsidRPr="00D9492F">
        <w:rPr>
          <w:rFonts w:ascii="Times New Roman" w:hAnsi="Times New Roman"/>
        </w:rPr>
        <w:sym w:font="Symbol" w:char="F0B3"/>
      </w:r>
      <w:r w:rsidRPr="00D9492F">
        <w:rPr>
          <w:rFonts w:ascii="Times New Roman" w:hAnsi="Times New Roman"/>
        </w:rPr>
        <w:t> 5 %) su gydymu susiję nepageidaujami poveikiai, pastebėti III fazės tyrimų metu krūties vėžiu sergančioms pacientėms, kurioms buvo neveiksminga chemoterapija antraciklinu (žr. kapecitabino preparato charakteristikų santrauką).</w:t>
      </w:r>
    </w:p>
    <w:p w14:paraId="3876D3D5" w14:textId="77777777" w:rsidR="005B1DF2" w:rsidRPr="00D9492F" w:rsidRDefault="005B1DF2" w:rsidP="005B1DF2">
      <w:pPr>
        <w:spacing w:after="0" w:line="240" w:lineRule="auto"/>
        <w:rPr>
          <w:rFonts w:ascii="Times New Roman" w:hAnsi="Times New Roman"/>
        </w:rPr>
      </w:pPr>
    </w:p>
    <w:p w14:paraId="1234A028" w14:textId="785A1CA1" w:rsidR="005B1DF2" w:rsidRPr="00D9492F" w:rsidRDefault="005B1DF2" w:rsidP="005B1DF2">
      <w:pPr>
        <w:spacing w:after="0" w:line="240" w:lineRule="auto"/>
        <w:rPr>
          <w:rFonts w:ascii="Times New Roman" w:hAnsi="Times New Roman"/>
        </w:rPr>
      </w:pPr>
      <w:r w:rsidRPr="00D9492F">
        <w:rPr>
          <w:rFonts w:ascii="Times New Roman" w:hAnsi="Times New Roman"/>
        </w:rPr>
        <w:t>Nepageidaujami reiškiniai, nustatyti 6</w:t>
      </w:r>
      <w:r w:rsidR="00052B9E" w:rsidRPr="00D9492F">
        <w:rPr>
          <w:rFonts w:ascii="Times New Roman" w:hAnsi="Times New Roman"/>
        </w:rPr>
        <w:t> </w:t>
      </w:r>
      <w:r w:rsidRPr="00D9492F">
        <w:rPr>
          <w:rFonts w:ascii="Times New Roman" w:hAnsi="Times New Roman"/>
        </w:rPr>
        <w:t xml:space="preserve">gydymo ciklų docetakseliu </w:t>
      </w:r>
      <w:r w:rsidR="009E470C" w:rsidRPr="00D9492F">
        <w:rPr>
          <w:rFonts w:ascii="Times New Roman" w:hAnsi="Times New Roman"/>
        </w:rPr>
        <w:t>derin</w:t>
      </w:r>
      <w:r w:rsidR="00DD5437" w:rsidRPr="00D9492F">
        <w:rPr>
          <w:rFonts w:ascii="Times New Roman" w:hAnsi="Times New Roman"/>
        </w:rPr>
        <w:t>ant</w:t>
      </w:r>
      <w:r w:rsidRPr="00D9492F">
        <w:rPr>
          <w:rFonts w:ascii="Times New Roman" w:hAnsi="Times New Roman"/>
        </w:rPr>
        <w:t xml:space="preserve"> su ADT ir prednizonu ar prednizolonu (STAMPEDE tyrimas) metu ir pasireiškę ne mažiau kaip 2</w:t>
      </w:r>
      <w:r w:rsidR="00052B9E" w:rsidRPr="00D9492F">
        <w:rPr>
          <w:rFonts w:ascii="Times New Roman" w:hAnsi="Times New Roman"/>
        </w:rPr>
        <w:t> </w:t>
      </w:r>
      <w:r w:rsidRPr="00D9492F">
        <w:rPr>
          <w:rFonts w:ascii="Times New Roman" w:hAnsi="Times New Roman"/>
        </w:rPr>
        <w:t xml:space="preserve">% dažniau gydymo docetakseliu grupėje, palyginti su kontroline grupe, pateikti naudojant </w:t>
      </w:r>
      <w:r w:rsidR="009E470C" w:rsidRPr="00D9492F">
        <w:rPr>
          <w:rFonts w:ascii="Times New Roman" w:hAnsi="Times New Roman"/>
        </w:rPr>
        <w:t xml:space="preserve">Nacionalinio vėžio instituto bendruosius nepageidaujamų reiškinių terminologijos kriterijus (angl. </w:t>
      </w:r>
      <w:r w:rsidR="009E470C" w:rsidRPr="00D9492F">
        <w:rPr>
          <w:rFonts w:ascii="Times New Roman" w:hAnsi="Times New Roman"/>
          <w:i/>
          <w:iCs/>
        </w:rPr>
        <w:t>National Cancer Institute Common Terminology Criteria for Adverse Events</w:t>
      </w:r>
      <w:r w:rsidR="009E470C" w:rsidRPr="00D9492F">
        <w:rPr>
          <w:rFonts w:ascii="Times New Roman" w:hAnsi="Times New Roman"/>
        </w:rPr>
        <w:t xml:space="preserve">, NCI-CTCAE). </w:t>
      </w:r>
    </w:p>
    <w:p w14:paraId="1709E2E6" w14:textId="77777777" w:rsidR="00DC1CDC" w:rsidRPr="00D9492F" w:rsidRDefault="00DC1CDC" w:rsidP="00DC1CDC">
      <w:pPr>
        <w:spacing w:after="0" w:line="240" w:lineRule="auto"/>
        <w:rPr>
          <w:rFonts w:ascii="Times New Roman" w:hAnsi="Times New Roman"/>
        </w:rPr>
      </w:pPr>
    </w:p>
    <w:p w14:paraId="715260D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Vartojant docetakselio dažnai pasireiškė toliau išvardytas nepageidaujamas poveikis.</w:t>
      </w:r>
    </w:p>
    <w:p w14:paraId="0059859A" w14:textId="77777777" w:rsidR="00DC1CDC" w:rsidRPr="00D9492F" w:rsidRDefault="00DC1CDC" w:rsidP="00DC1CDC">
      <w:pPr>
        <w:spacing w:after="0" w:line="240" w:lineRule="auto"/>
        <w:rPr>
          <w:rFonts w:ascii="Times New Roman" w:hAnsi="Times New Roman"/>
        </w:rPr>
      </w:pPr>
    </w:p>
    <w:p w14:paraId="05671DAC" w14:textId="77777777" w:rsidR="00DC1CDC" w:rsidRPr="00D9492F" w:rsidRDefault="00DC1CDC" w:rsidP="00DC1CDC">
      <w:pPr>
        <w:keepNext/>
        <w:keepLines/>
        <w:tabs>
          <w:tab w:val="left" w:pos="7655"/>
        </w:tabs>
        <w:suppressAutoHyphens/>
        <w:spacing w:after="0" w:line="240" w:lineRule="auto"/>
        <w:rPr>
          <w:rFonts w:ascii="Times New Roman" w:hAnsi="Times New Roman"/>
          <w:iCs/>
          <w:u w:val="single"/>
        </w:rPr>
      </w:pPr>
      <w:r w:rsidRPr="00D9492F">
        <w:rPr>
          <w:rFonts w:ascii="Times New Roman" w:hAnsi="Times New Roman"/>
          <w:iCs/>
          <w:u w:val="single"/>
        </w:rPr>
        <w:t>Imuninės sistemos sutrikimai</w:t>
      </w:r>
    </w:p>
    <w:p w14:paraId="5FE9EFD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Paprastai padidėjusio jautrumo reakcijų pasireikšdavo per kelias minutes nuo docetakselio infuzijos pradžios, dažniausiai jos būdavo lengvos arba vidutinio sunkumo. Dažniausiai pastebėti simptomai buvo paraudimas dėl kraujo priplūdimo, išbėrimas</w:t>
      </w:r>
      <w:r w:rsidR="003D6C53" w:rsidRPr="00D9492F">
        <w:rPr>
          <w:rFonts w:ascii="Times New Roman" w:hAnsi="Times New Roman"/>
        </w:rPr>
        <w:t>,</w:t>
      </w:r>
      <w:r w:rsidRPr="00D9492F">
        <w:rPr>
          <w:rFonts w:ascii="Times New Roman" w:hAnsi="Times New Roman"/>
        </w:rPr>
        <w:t xml:space="preserve"> lydimas niežulio arba be jo, krūtinės gniaužimas, nugaros skausmas, dusulys ir karščiavimas ar šaltkrėtis. Sunkių reakcijų metu pasireikšdavo hipotenzija ir (arba) bronchų spazmas bei išplitęs išbėrimas arba raudonė (žr. 4.4 skyrių).</w:t>
      </w:r>
    </w:p>
    <w:p w14:paraId="2CA37864" w14:textId="77777777" w:rsidR="00DC1CDC" w:rsidRPr="00D9492F" w:rsidRDefault="00DC1CDC" w:rsidP="00DC1CDC">
      <w:pPr>
        <w:spacing w:after="0" w:line="240" w:lineRule="auto"/>
        <w:rPr>
          <w:rFonts w:ascii="Times New Roman" w:hAnsi="Times New Roman"/>
        </w:rPr>
      </w:pPr>
    </w:p>
    <w:p w14:paraId="164E6122" w14:textId="77777777" w:rsidR="00DC1CDC" w:rsidRPr="00D9492F" w:rsidRDefault="00DC1CDC" w:rsidP="00DC1CDC">
      <w:pPr>
        <w:keepNext/>
        <w:keepLines/>
        <w:tabs>
          <w:tab w:val="left" w:pos="567"/>
        </w:tabs>
        <w:suppressAutoHyphens/>
        <w:spacing w:after="0" w:line="240" w:lineRule="auto"/>
        <w:rPr>
          <w:rFonts w:ascii="Times New Roman" w:hAnsi="Times New Roman"/>
          <w:bCs/>
          <w:u w:val="single"/>
        </w:rPr>
      </w:pPr>
      <w:r w:rsidRPr="00D9492F">
        <w:rPr>
          <w:rFonts w:ascii="Times New Roman" w:hAnsi="Times New Roman"/>
          <w:bCs/>
          <w:u w:val="single"/>
        </w:rPr>
        <w:t>Nervų sistemos sutrikimai</w:t>
      </w:r>
    </w:p>
    <w:p w14:paraId="57F10FCB"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Pasireiškus sunkiam periferiniam neurotoksiniam poveikiui, reikia mažinti dozę (žr. 4.2 ir 4.4 skyrius). Lengviems ir vidutinio sunkumo neurosensoriniams sutrikimams būdinga parestezija, disestezija ir skausmas (įskaitant deginimo pojūtį). Neuromotorikos sutrikimai dažniausiai pasireiškė silpnumu.</w:t>
      </w:r>
    </w:p>
    <w:p w14:paraId="55F7D2A9" w14:textId="77777777" w:rsidR="00DC1CDC" w:rsidRPr="00D9492F" w:rsidRDefault="00DC1CDC" w:rsidP="00DC1CDC">
      <w:pPr>
        <w:spacing w:after="0" w:line="240" w:lineRule="auto"/>
        <w:rPr>
          <w:rFonts w:ascii="Times New Roman" w:hAnsi="Times New Roman"/>
        </w:rPr>
      </w:pPr>
    </w:p>
    <w:p w14:paraId="1F597729"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iCs/>
          <w:u w:val="single"/>
        </w:rPr>
      </w:pPr>
      <w:r w:rsidRPr="00D9492F">
        <w:rPr>
          <w:rFonts w:ascii="Times New Roman" w:eastAsia="Times New Roman" w:hAnsi="Times New Roman"/>
          <w:iCs/>
          <w:u w:val="single"/>
        </w:rPr>
        <w:t>Odos ir poodinio audinio sutrikimai</w:t>
      </w:r>
    </w:p>
    <w:p w14:paraId="463D2A99"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Buvo laikinų odos reakcijų, iš kurių dauguma laikytos lengvomis arba vidutinio sunkumo. Šioms reakcijoms buvo būdingas išbėrimas (lokalizuotas, dažniausiai pėdų ir plaštakų, įskaitant išreikštą rankų ir pėdų sindromą, rečiau – rankų, veido ir krūtinės), dažnai kartu būdavo niežulys. Paprastai išberdavo per savaitę po docetakselio infuzijos. Rečiau gauta pranešimų apie sunkių simptomų </w:t>
      </w:r>
      <w:r w:rsidR="008F7CE8" w:rsidRPr="00D9492F">
        <w:rPr>
          <w:rFonts w:ascii="Times New Roman" w:hAnsi="Times New Roman"/>
        </w:rPr>
        <w:t xml:space="preserve">atsiradimą </w:t>
      </w:r>
      <w:r w:rsidRPr="00D9492F">
        <w:rPr>
          <w:rFonts w:ascii="Times New Roman" w:hAnsi="Times New Roman"/>
        </w:rPr>
        <w:t xml:space="preserve">(išbėrimas, paskui deskvamacija), dėl kurių retais atvejais tekdavo laikinai ar visam laikui nutraukti docetakselio vartojimą (žr. 4.2 ir 4.4 skyrius). Sunkiems nagų pažeidimams būdinga hipopigmentacija arba hiperpigmentacija, kartais – skausmas ir onicholizė. </w:t>
      </w:r>
    </w:p>
    <w:p w14:paraId="33980D18" w14:textId="77777777" w:rsidR="00DC1CDC" w:rsidRPr="00D9492F" w:rsidRDefault="00DC1CDC" w:rsidP="00DC1CDC">
      <w:pPr>
        <w:spacing w:after="0" w:line="240" w:lineRule="auto"/>
        <w:rPr>
          <w:rFonts w:ascii="Times New Roman" w:hAnsi="Times New Roman"/>
        </w:rPr>
      </w:pPr>
    </w:p>
    <w:p w14:paraId="6B3B1F91" w14:textId="77777777" w:rsidR="00DC1CDC" w:rsidRPr="00D9492F" w:rsidRDefault="00DC1CDC" w:rsidP="00DC1CDC">
      <w:pPr>
        <w:keepNext/>
        <w:keepLines/>
        <w:tabs>
          <w:tab w:val="left" w:pos="7655"/>
        </w:tabs>
        <w:spacing w:after="0" w:line="240" w:lineRule="auto"/>
        <w:rPr>
          <w:rFonts w:ascii="Times New Roman" w:hAnsi="Times New Roman"/>
          <w:bCs/>
          <w:u w:val="single"/>
        </w:rPr>
      </w:pPr>
      <w:r w:rsidRPr="00D9492F">
        <w:rPr>
          <w:rFonts w:ascii="Times New Roman" w:hAnsi="Times New Roman"/>
          <w:bCs/>
          <w:u w:val="single"/>
        </w:rPr>
        <w:t>Bendri</w:t>
      </w:r>
      <w:r w:rsidR="004849A2" w:rsidRPr="00D9492F">
        <w:rPr>
          <w:rFonts w:ascii="Times New Roman" w:hAnsi="Times New Roman"/>
          <w:bCs/>
          <w:u w:val="single"/>
        </w:rPr>
        <w:t>eji</w:t>
      </w:r>
      <w:r w:rsidRPr="00D9492F">
        <w:rPr>
          <w:rFonts w:ascii="Times New Roman" w:hAnsi="Times New Roman"/>
          <w:bCs/>
          <w:u w:val="single"/>
        </w:rPr>
        <w:t xml:space="preserve"> sutrikimai ir vartojimo vietos pažeidimai</w:t>
      </w:r>
    </w:p>
    <w:p w14:paraId="5636F35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Reakcijos infuzijos vietoje paprastai būdavo lengvos ir pasireikšdavo odos hiperpigmentacija, uždegimu, paraudimu ar sausumu, flebitu ar ekstravazacija, venos išsiplėtimu.</w:t>
      </w:r>
    </w:p>
    <w:p w14:paraId="152124C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Buvo skysčių susilaikymo, įskaitant periferinę edemą, rečiau - pleuros efuziją, perikardo efuziją, ascitą ir svorio didėjimo atvejų. Periferinė edema paprastai prasideda nuo kojų ir gali išplisti (svoris gali padidėti 3 kg ar daugiau). Skysčių susilaikymo dažnis ir sunkumas kumuliuoja (žr. 4.4 skyrių).</w:t>
      </w:r>
    </w:p>
    <w:p w14:paraId="338D6CB1" w14:textId="77777777" w:rsidR="00DC1CDC" w:rsidRPr="00D9492F" w:rsidRDefault="00DC1CDC" w:rsidP="00DC1CDC">
      <w:pPr>
        <w:spacing w:after="0" w:line="240" w:lineRule="auto"/>
        <w:rPr>
          <w:rFonts w:ascii="Times New Roman" w:hAnsi="Times New Roman"/>
        </w:rPr>
      </w:pPr>
    </w:p>
    <w:p w14:paraId="48011BC4" w14:textId="3B8698A2" w:rsidR="00DC1CDC" w:rsidRPr="00D9492F" w:rsidRDefault="005B1DF2" w:rsidP="00DC1CDC">
      <w:pPr>
        <w:spacing w:after="0" w:line="240" w:lineRule="auto"/>
        <w:rPr>
          <w:rFonts w:ascii="Times New Roman" w:hAnsi="Times New Roman"/>
        </w:rPr>
      </w:pPr>
      <w:r w:rsidRPr="00D9492F">
        <w:rPr>
          <w:rFonts w:ascii="Times New Roman" w:eastAsia="Times New Roman" w:hAnsi="Times New Roman"/>
          <w:bCs/>
          <w:u w:val="single"/>
        </w:rPr>
        <w:t xml:space="preserve">Nepageidaujamų reakcijų, atsiradusių vartojant </w:t>
      </w:r>
      <w:r w:rsidRPr="00D9492F">
        <w:rPr>
          <w:rFonts w:ascii="Times New Roman" w:hAnsi="Times New Roman"/>
          <w:u w:val="single"/>
        </w:rPr>
        <w:t xml:space="preserve">Docetaxel SanoSwiss </w:t>
      </w:r>
      <w:r w:rsidRPr="00D9492F">
        <w:rPr>
          <w:rFonts w:ascii="Times New Roman" w:eastAsia="Times New Roman" w:hAnsi="Times New Roman"/>
          <w:bCs/>
          <w:u w:val="single"/>
        </w:rPr>
        <w:t>100</w:t>
      </w:r>
      <w:r w:rsidR="00052B9E" w:rsidRPr="00D9492F">
        <w:rPr>
          <w:rFonts w:ascii="Times New Roman" w:eastAsia="Times New Roman" w:hAnsi="Times New Roman"/>
          <w:bCs/>
          <w:u w:val="single"/>
        </w:rPr>
        <w:t> </w:t>
      </w:r>
      <w:r w:rsidRPr="00D9492F">
        <w:rPr>
          <w:rFonts w:ascii="Times New Roman" w:eastAsia="Times New Roman" w:hAnsi="Times New Roman"/>
          <w:bCs/>
          <w:u w:val="single"/>
        </w:rPr>
        <w:t xml:space="preserve">mg/m² dozę krūties vėžio monoterapijai, </w:t>
      </w:r>
      <w:r w:rsidR="009E470C" w:rsidRPr="00D9492F">
        <w:rPr>
          <w:rFonts w:ascii="Times New Roman" w:eastAsia="Times New Roman" w:hAnsi="Times New Roman"/>
          <w:bCs/>
          <w:u w:val="single"/>
        </w:rPr>
        <w:t>santrauka lentelėje</w:t>
      </w:r>
      <w:r w:rsidRPr="00D9492F">
        <w:rPr>
          <w:rFonts w:ascii="Times New Roman" w:eastAsia="Times New Roman" w:hAnsi="Times New Roman"/>
          <w:bCs/>
          <w:u w:val="singl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7"/>
        <w:gridCol w:w="2428"/>
        <w:gridCol w:w="2348"/>
        <w:gridCol w:w="1977"/>
      </w:tblGrid>
      <w:tr w:rsidR="00DC1CDC" w:rsidRPr="00D9492F" w14:paraId="2D6076FB" w14:textId="77777777" w:rsidTr="0003751A">
        <w:trPr>
          <w:cantSplit/>
          <w:tblHeader/>
          <w:jc w:val="center"/>
        </w:trPr>
        <w:tc>
          <w:tcPr>
            <w:tcW w:w="1273" w:type="pct"/>
            <w:shd w:val="clear" w:color="auto" w:fill="auto"/>
          </w:tcPr>
          <w:p w14:paraId="6D930F3C"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lastRenderedPageBreak/>
              <w:t>MedDRA organų sistemų klasės</w:t>
            </w:r>
          </w:p>
          <w:p w14:paraId="3DBC5341" w14:textId="77777777" w:rsidR="00DC1CDC" w:rsidRPr="00D9492F" w:rsidRDefault="00DC1CDC" w:rsidP="00DC1CDC">
            <w:pPr>
              <w:keepNext/>
              <w:keepLines/>
              <w:spacing w:after="0" w:line="240" w:lineRule="auto"/>
              <w:rPr>
                <w:rFonts w:ascii="Times New Roman" w:hAnsi="Times New Roman"/>
                <w:u w:val="single"/>
              </w:rPr>
            </w:pPr>
          </w:p>
        </w:tc>
        <w:tc>
          <w:tcPr>
            <w:tcW w:w="1340" w:type="pct"/>
            <w:shd w:val="clear" w:color="auto" w:fill="auto"/>
          </w:tcPr>
          <w:p w14:paraId="7CD2B229"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 xml:space="preserve">Labai dažnos nepageidaujamos reakcijos </w:t>
            </w:r>
          </w:p>
          <w:p w14:paraId="3A09CF06"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u w:val="single"/>
              </w:rPr>
            </w:pPr>
          </w:p>
        </w:tc>
        <w:tc>
          <w:tcPr>
            <w:tcW w:w="1296" w:type="pct"/>
            <w:shd w:val="clear" w:color="auto" w:fill="auto"/>
          </w:tcPr>
          <w:p w14:paraId="2557E409"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Dažnos nepageidaujamos reakcijos</w:t>
            </w:r>
          </w:p>
          <w:p w14:paraId="37D3F25B" w14:textId="77777777" w:rsidR="00DC1CDC" w:rsidRPr="00D9492F" w:rsidRDefault="00DC1CDC" w:rsidP="00DC1CDC">
            <w:pPr>
              <w:keepNext/>
              <w:keepLines/>
              <w:spacing w:after="0" w:line="240" w:lineRule="auto"/>
              <w:rPr>
                <w:rFonts w:ascii="Times New Roman" w:hAnsi="Times New Roman"/>
                <w:u w:val="single"/>
              </w:rPr>
            </w:pPr>
          </w:p>
        </w:tc>
        <w:tc>
          <w:tcPr>
            <w:tcW w:w="1091" w:type="pct"/>
            <w:shd w:val="clear" w:color="auto" w:fill="auto"/>
          </w:tcPr>
          <w:p w14:paraId="590552AA"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Nedažnos nepageidaujamos reakcijos</w:t>
            </w:r>
          </w:p>
          <w:p w14:paraId="3C413A25" w14:textId="77777777" w:rsidR="00DC1CDC" w:rsidRPr="00D9492F" w:rsidRDefault="00DC1CDC" w:rsidP="00DC1CDC">
            <w:pPr>
              <w:keepNext/>
              <w:keepLines/>
              <w:spacing w:after="0" w:line="240" w:lineRule="auto"/>
              <w:rPr>
                <w:rFonts w:ascii="Times New Roman" w:hAnsi="Times New Roman"/>
                <w:u w:val="single"/>
              </w:rPr>
            </w:pPr>
          </w:p>
        </w:tc>
      </w:tr>
      <w:tr w:rsidR="00DC1CDC" w:rsidRPr="00D9492F" w14:paraId="709A3708" w14:textId="77777777" w:rsidTr="0003751A">
        <w:trPr>
          <w:cantSplit/>
          <w:jc w:val="center"/>
        </w:trPr>
        <w:tc>
          <w:tcPr>
            <w:tcW w:w="1273" w:type="pct"/>
          </w:tcPr>
          <w:p w14:paraId="68C1575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Infekcijos ir infestacijos</w:t>
            </w:r>
          </w:p>
        </w:tc>
        <w:tc>
          <w:tcPr>
            <w:tcW w:w="1340" w:type="pct"/>
          </w:tcPr>
          <w:p w14:paraId="5C40B4D7"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rPr>
              <w:t>Infekcijos (3</w:t>
            </w:r>
            <w:r w:rsidRPr="00D9492F">
              <w:rPr>
                <w:rFonts w:ascii="Times New Roman" w:eastAsia="Times New Roman" w:hAnsi="Times New Roman"/>
              </w:rPr>
              <w:noBreakHyphen/>
              <w:t>4 laipsnio - 5,7 %, įskaitant sepsį ir pneumoniją; 1,7 % lėmė mirtį)</w:t>
            </w:r>
            <w:r w:rsidR="005B3133" w:rsidRPr="00D9492F">
              <w:rPr>
                <w:rFonts w:ascii="Times New Roman" w:eastAsia="Times New Roman" w:hAnsi="Times New Roman"/>
              </w:rPr>
              <w:t>.</w:t>
            </w:r>
            <w:r w:rsidRPr="00D9492F">
              <w:rPr>
                <w:rFonts w:ascii="Times New Roman" w:eastAsia="Times New Roman" w:hAnsi="Times New Roman"/>
              </w:rPr>
              <w:t xml:space="preserve"> </w:t>
            </w:r>
          </w:p>
        </w:tc>
        <w:tc>
          <w:tcPr>
            <w:tcW w:w="1296" w:type="pct"/>
          </w:tcPr>
          <w:p w14:paraId="39668F3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Infekcija, esant 4 laipsnio neutropenijai (3</w:t>
            </w:r>
            <w:r w:rsidRPr="00D9492F">
              <w:rPr>
                <w:rFonts w:ascii="Times New Roman" w:hAnsi="Times New Roman"/>
              </w:rPr>
              <w:noBreakHyphen/>
              <w:t>4 laipsnio – 4,6 %)</w:t>
            </w:r>
            <w:r w:rsidR="005B3133" w:rsidRPr="00D9492F">
              <w:rPr>
                <w:rFonts w:ascii="Times New Roman" w:hAnsi="Times New Roman"/>
              </w:rPr>
              <w:t>.</w:t>
            </w:r>
          </w:p>
        </w:tc>
        <w:tc>
          <w:tcPr>
            <w:tcW w:w="1091" w:type="pct"/>
          </w:tcPr>
          <w:p w14:paraId="2E904B01" w14:textId="77777777" w:rsidR="00DC1CDC" w:rsidRPr="00D9492F" w:rsidRDefault="00DC1CDC" w:rsidP="00DC1CDC">
            <w:pPr>
              <w:keepNext/>
              <w:keepLines/>
              <w:spacing w:after="0" w:line="240" w:lineRule="auto"/>
              <w:rPr>
                <w:rFonts w:ascii="Times New Roman" w:hAnsi="Times New Roman"/>
              </w:rPr>
            </w:pPr>
          </w:p>
        </w:tc>
      </w:tr>
      <w:tr w:rsidR="00DC1CDC" w:rsidRPr="00D9492F" w14:paraId="44FB4C52" w14:textId="77777777" w:rsidTr="0003751A">
        <w:trPr>
          <w:cantSplit/>
          <w:jc w:val="center"/>
        </w:trPr>
        <w:tc>
          <w:tcPr>
            <w:tcW w:w="1273" w:type="pct"/>
          </w:tcPr>
          <w:p w14:paraId="673E2DA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Kraujo ir limfinės sistemos sutrikimai</w:t>
            </w:r>
          </w:p>
        </w:tc>
        <w:tc>
          <w:tcPr>
            <w:tcW w:w="1340" w:type="pct"/>
          </w:tcPr>
          <w:p w14:paraId="576A7AB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Neutropenija (4 laipsnio – 76,4 %)</w:t>
            </w:r>
            <w:r w:rsidR="005B3133" w:rsidRPr="00D9492F">
              <w:rPr>
                <w:rFonts w:ascii="Times New Roman" w:hAnsi="Times New Roman"/>
              </w:rPr>
              <w:t>.</w:t>
            </w:r>
          </w:p>
          <w:p w14:paraId="2AF1D16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Anemija (3</w:t>
            </w:r>
            <w:r w:rsidRPr="00D9492F">
              <w:rPr>
                <w:rFonts w:ascii="Times New Roman" w:hAnsi="Times New Roman"/>
              </w:rPr>
              <w:noBreakHyphen/>
              <w:t>4 laipsnio – 8,9 %)</w:t>
            </w:r>
            <w:r w:rsidR="005B3133" w:rsidRPr="00D9492F">
              <w:rPr>
                <w:rFonts w:ascii="Times New Roman" w:hAnsi="Times New Roman"/>
              </w:rPr>
              <w:t>.</w:t>
            </w:r>
          </w:p>
          <w:p w14:paraId="19FA8AD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Febrilinė neutropenija</w:t>
            </w:r>
            <w:r w:rsidR="005B3133" w:rsidRPr="00D9492F">
              <w:rPr>
                <w:rFonts w:ascii="Times New Roman" w:hAnsi="Times New Roman"/>
              </w:rPr>
              <w:t>.</w:t>
            </w:r>
          </w:p>
        </w:tc>
        <w:tc>
          <w:tcPr>
            <w:tcW w:w="1296" w:type="pct"/>
          </w:tcPr>
          <w:p w14:paraId="3BAC7B8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Trombocitopenija (4 laipsnio – 0,2 %)</w:t>
            </w:r>
            <w:r w:rsidR="005B3133" w:rsidRPr="00D9492F">
              <w:rPr>
                <w:rFonts w:ascii="Times New Roman" w:hAnsi="Times New Roman"/>
              </w:rPr>
              <w:t>.</w:t>
            </w:r>
          </w:p>
          <w:p w14:paraId="630C7ADB" w14:textId="77777777" w:rsidR="00DC1CDC" w:rsidRPr="00D9492F" w:rsidRDefault="00DC1CDC" w:rsidP="00DC1CDC">
            <w:pPr>
              <w:keepNext/>
              <w:keepLines/>
              <w:spacing w:after="0" w:line="240" w:lineRule="auto"/>
              <w:rPr>
                <w:rFonts w:ascii="Times New Roman" w:hAnsi="Times New Roman"/>
              </w:rPr>
            </w:pPr>
          </w:p>
        </w:tc>
        <w:tc>
          <w:tcPr>
            <w:tcW w:w="1091" w:type="pct"/>
          </w:tcPr>
          <w:p w14:paraId="70D20AF5" w14:textId="77777777" w:rsidR="00DC1CDC" w:rsidRPr="00D9492F" w:rsidRDefault="00DC1CDC" w:rsidP="00DC1CDC">
            <w:pPr>
              <w:keepNext/>
              <w:keepLines/>
              <w:spacing w:after="0" w:line="240" w:lineRule="auto"/>
              <w:rPr>
                <w:rFonts w:ascii="Times New Roman" w:hAnsi="Times New Roman"/>
              </w:rPr>
            </w:pPr>
          </w:p>
        </w:tc>
      </w:tr>
      <w:tr w:rsidR="00DC1CDC" w:rsidRPr="00D9492F" w14:paraId="250F2E51" w14:textId="77777777" w:rsidTr="0003751A">
        <w:trPr>
          <w:cantSplit/>
          <w:jc w:val="center"/>
        </w:trPr>
        <w:tc>
          <w:tcPr>
            <w:tcW w:w="1273" w:type="pct"/>
          </w:tcPr>
          <w:p w14:paraId="77ABAE3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Imuninės sistemos sutrikimai</w:t>
            </w:r>
          </w:p>
        </w:tc>
        <w:tc>
          <w:tcPr>
            <w:tcW w:w="1340" w:type="pct"/>
          </w:tcPr>
          <w:p w14:paraId="1048732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Padidėjęs jautrumas (3</w:t>
            </w:r>
            <w:r w:rsidRPr="00D9492F">
              <w:rPr>
                <w:rFonts w:ascii="Times New Roman" w:hAnsi="Times New Roman"/>
              </w:rPr>
              <w:noBreakHyphen/>
              <w:t>4 laipsnio – 5,3 %)</w:t>
            </w:r>
            <w:r w:rsidR="005B3133" w:rsidRPr="00D9492F">
              <w:rPr>
                <w:rFonts w:ascii="Times New Roman" w:hAnsi="Times New Roman"/>
              </w:rPr>
              <w:t>.</w:t>
            </w:r>
          </w:p>
        </w:tc>
        <w:tc>
          <w:tcPr>
            <w:tcW w:w="1296" w:type="pct"/>
          </w:tcPr>
          <w:p w14:paraId="4676E8CD" w14:textId="77777777" w:rsidR="00DC1CDC" w:rsidRPr="00D9492F" w:rsidRDefault="00DC1CDC" w:rsidP="00DC1CDC">
            <w:pPr>
              <w:keepNext/>
              <w:keepLines/>
              <w:spacing w:after="0" w:line="240" w:lineRule="auto"/>
              <w:rPr>
                <w:rFonts w:ascii="Times New Roman" w:hAnsi="Times New Roman"/>
              </w:rPr>
            </w:pPr>
          </w:p>
        </w:tc>
        <w:tc>
          <w:tcPr>
            <w:tcW w:w="1091" w:type="pct"/>
          </w:tcPr>
          <w:p w14:paraId="5ACDD271" w14:textId="77777777" w:rsidR="00DC1CDC" w:rsidRPr="00D9492F" w:rsidRDefault="00DC1CDC" w:rsidP="00DC1CDC">
            <w:pPr>
              <w:keepNext/>
              <w:keepLines/>
              <w:spacing w:after="0" w:line="240" w:lineRule="auto"/>
              <w:rPr>
                <w:rFonts w:ascii="Times New Roman" w:hAnsi="Times New Roman"/>
              </w:rPr>
            </w:pPr>
          </w:p>
        </w:tc>
      </w:tr>
      <w:tr w:rsidR="00DC1CDC" w:rsidRPr="00D9492F" w14:paraId="7B5B89D6" w14:textId="77777777" w:rsidTr="0003751A">
        <w:trPr>
          <w:cantSplit/>
          <w:jc w:val="center"/>
        </w:trPr>
        <w:tc>
          <w:tcPr>
            <w:tcW w:w="1273" w:type="pct"/>
          </w:tcPr>
          <w:p w14:paraId="5270972A"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Metabolizmo ir mitybos sutrikimai</w:t>
            </w:r>
          </w:p>
        </w:tc>
        <w:tc>
          <w:tcPr>
            <w:tcW w:w="1340" w:type="pct"/>
          </w:tcPr>
          <w:p w14:paraId="446419DF"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Anoreksija</w:t>
            </w:r>
            <w:r w:rsidR="005B3133" w:rsidRPr="00D9492F">
              <w:rPr>
                <w:rFonts w:ascii="Times New Roman" w:eastAsia="Times New Roman" w:hAnsi="Times New Roman"/>
              </w:rPr>
              <w:t>.</w:t>
            </w:r>
          </w:p>
        </w:tc>
        <w:tc>
          <w:tcPr>
            <w:tcW w:w="1296" w:type="pct"/>
          </w:tcPr>
          <w:p w14:paraId="4F416444" w14:textId="77777777" w:rsidR="00DC1CDC" w:rsidRPr="00D9492F" w:rsidRDefault="00DC1CDC" w:rsidP="00DC1CDC">
            <w:pPr>
              <w:keepNext/>
              <w:keepLines/>
              <w:spacing w:after="0" w:line="240" w:lineRule="auto"/>
              <w:rPr>
                <w:rFonts w:ascii="Times New Roman" w:hAnsi="Times New Roman"/>
              </w:rPr>
            </w:pPr>
          </w:p>
        </w:tc>
        <w:tc>
          <w:tcPr>
            <w:tcW w:w="1091" w:type="pct"/>
          </w:tcPr>
          <w:p w14:paraId="1AB05FE5" w14:textId="77777777" w:rsidR="00DC1CDC" w:rsidRPr="00D9492F" w:rsidRDefault="00DC1CDC" w:rsidP="00DC1CDC">
            <w:pPr>
              <w:keepNext/>
              <w:keepLines/>
              <w:spacing w:after="0" w:line="240" w:lineRule="auto"/>
              <w:rPr>
                <w:rFonts w:ascii="Times New Roman" w:hAnsi="Times New Roman"/>
              </w:rPr>
            </w:pPr>
          </w:p>
        </w:tc>
      </w:tr>
      <w:tr w:rsidR="00DC1CDC" w:rsidRPr="00D9492F" w14:paraId="2D811B5C" w14:textId="77777777" w:rsidTr="0003751A">
        <w:trPr>
          <w:cantSplit/>
          <w:jc w:val="center"/>
        </w:trPr>
        <w:tc>
          <w:tcPr>
            <w:tcW w:w="1273" w:type="pct"/>
          </w:tcPr>
          <w:p w14:paraId="01C3D90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Nervų sistemos sutrikimai</w:t>
            </w:r>
          </w:p>
        </w:tc>
        <w:tc>
          <w:tcPr>
            <w:tcW w:w="1340" w:type="pct"/>
          </w:tcPr>
          <w:p w14:paraId="516A500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sensorinė neuropatija (3</w:t>
            </w:r>
            <w:r w:rsidRPr="00D9492F">
              <w:rPr>
                <w:rFonts w:ascii="Times New Roman" w:hAnsi="Times New Roman"/>
              </w:rPr>
              <w:noBreakHyphen/>
              <w:t>4 laipsnio – 4,1 %)</w:t>
            </w:r>
            <w:r w:rsidR="005B3133" w:rsidRPr="00D9492F">
              <w:rPr>
                <w:rFonts w:ascii="Times New Roman" w:hAnsi="Times New Roman"/>
              </w:rPr>
              <w:t>.</w:t>
            </w:r>
          </w:p>
          <w:p w14:paraId="768D6FB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motorinė neuropatija (3</w:t>
            </w:r>
            <w:r w:rsidRPr="00D9492F">
              <w:rPr>
                <w:rFonts w:ascii="Times New Roman" w:hAnsi="Times New Roman"/>
              </w:rPr>
              <w:noBreakHyphen/>
              <w:t>4 laipsnio – 4 %)</w:t>
            </w:r>
            <w:r w:rsidR="005B3133" w:rsidRPr="00D9492F">
              <w:rPr>
                <w:rFonts w:ascii="Times New Roman" w:hAnsi="Times New Roman"/>
              </w:rPr>
              <w:t>.</w:t>
            </w:r>
          </w:p>
          <w:p w14:paraId="2B02C4E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Disgeuzija</w:t>
            </w:r>
            <w:r w:rsidR="00950A06" w:rsidRPr="00D9492F">
              <w:rPr>
                <w:rFonts w:ascii="Times New Roman" w:hAnsi="Times New Roman"/>
              </w:rPr>
              <w:t xml:space="preserve"> </w:t>
            </w:r>
            <w:r w:rsidRPr="00D9492F">
              <w:rPr>
                <w:rFonts w:ascii="Times New Roman" w:hAnsi="Times New Roman"/>
                <w:vanish/>
              </w:rPr>
              <w:t xml:space="preserve"> </w:t>
            </w:r>
            <w:r w:rsidRPr="00D9492F">
              <w:rPr>
                <w:rFonts w:ascii="Times New Roman" w:hAnsi="Times New Roman"/>
              </w:rPr>
              <w:t>(sunki – 0,07 %)</w:t>
            </w:r>
            <w:r w:rsidR="005B3133" w:rsidRPr="00D9492F">
              <w:rPr>
                <w:rFonts w:ascii="Times New Roman" w:hAnsi="Times New Roman"/>
              </w:rPr>
              <w:t>.</w:t>
            </w:r>
          </w:p>
        </w:tc>
        <w:tc>
          <w:tcPr>
            <w:tcW w:w="1296" w:type="pct"/>
          </w:tcPr>
          <w:p w14:paraId="24487F1A" w14:textId="77777777" w:rsidR="00DC1CDC" w:rsidRPr="00D9492F" w:rsidRDefault="00DC1CDC" w:rsidP="00DC1CDC">
            <w:pPr>
              <w:keepNext/>
              <w:keepLines/>
              <w:spacing w:after="0" w:line="240" w:lineRule="auto"/>
              <w:rPr>
                <w:rFonts w:ascii="Times New Roman" w:hAnsi="Times New Roman"/>
              </w:rPr>
            </w:pPr>
          </w:p>
        </w:tc>
        <w:tc>
          <w:tcPr>
            <w:tcW w:w="1091" w:type="pct"/>
          </w:tcPr>
          <w:p w14:paraId="0C40D03B" w14:textId="77777777" w:rsidR="00DC1CDC" w:rsidRPr="00D9492F" w:rsidRDefault="00DC1CDC" w:rsidP="00DC1CDC">
            <w:pPr>
              <w:keepNext/>
              <w:keepLines/>
              <w:spacing w:after="0" w:line="240" w:lineRule="auto"/>
              <w:rPr>
                <w:rFonts w:ascii="Times New Roman" w:hAnsi="Times New Roman"/>
              </w:rPr>
            </w:pPr>
          </w:p>
        </w:tc>
      </w:tr>
      <w:tr w:rsidR="00DC1CDC" w:rsidRPr="00D9492F" w14:paraId="73688C26" w14:textId="77777777" w:rsidTr="0003751A">
        <w:trPr>
          <w:cantSplit/>
          <w:jc w:val="center"/>
        </w:trPr>
        <w:tc>
          <w:tcPr>
            <w:tcW w:w="1273" w:type="pct"/>
          </w:tcPr>
          <w:p w14:paraId="4D036D8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Širdies sutrikimai</w:t>
            </w:r>
          </w:p>
        </w:tc>
        <w:tc>
          <w:tcPr>
            <w:tcW w:w="1340" w:type="pct"/>
          </w:tcPr>
          <w:p w14:paraId="178E2E29" w14:textId="77777777" w:rsidR="00DC1CDC" w:rsidRPr="00D9492F" w:rsidRDefault="00DC1CDC" w:rsidP="00DC1CDC">
            <w:pPr>
              <w:keepNext/>
              <w:keepLines/>
              <w:spacing w:after="0" w:line="240" w:lineRule="auto"/>
              <w:rPr>
                <w:rFonts w:ascii="Times New Roman" w:hAnsi="Times New Roman"/>
              </w:rPr>
            </w:pPr>
          </w:p>
        </w:tc>
        <w:tc>
          <w:tcPr>
            <w:tcW w:w="1296" w:type="pct"/>
          </w:tcPr>
          <w:p w14:paraId="448DAB5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Aritmija (3</w:t>
            </w:r>
            <w:r w:rsidRPr="00D9492F">
              <w:rPr>
                <w:rFonts w:ascii="Times New Roman" w:hAnsi="Times New Roman"/>
              </w:rPr>
              <w:noBreakHyphen/>
              <w:t>4 laipsnio – 0,7 %)</w:t>
            </w:r>
            <w:r w:rsidR="005B3133" w:rsidRPr="00D9492F">
              <w:rPr>
                <w:rFonts w:ascii="Times New Roman" w:hAnsi="Times New Roman"/>
              </w:rPr>
              <w:t>.</w:t>
            </w:r>
          </w:p>
        </w:tc>
        <w:tc>
          <w:tcPr>
            <w:tcW w:w="1091" w:type="pct"/>
          </w:tcPr>
          <w:p w14:paraId="09F4122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Širdies funkcijos nepakankamumas</w:t>
            </w:r>
            <w:r w:rsidR="005B3133" w:rsidRPr="00D9492F">
              <w:rPr>
                <w:rFonts w:ascii="Times New Roman" w:hAnsi="Times New Roman"/>
              </w:rPr>
              <w:t>.</w:t>
            </w:r>
          </w:p>
        </w:tc>
      </w:tr>
      <w:tr w:rsidR="00DC1CDC" w:rsidRPr="00D9492F" w14:paraId="445F405C" w14:textId="77777777" w:rsidTr="0003751A">
        <w:trPr>
          <w:cantSplit/>
          <w:jc w:val="center"/>
        </w:trPr>
        <w:tc>
          <w:tcPr>
            <w:tcW w:w="1273" w:type="pct"/>
          </w:tcPr>
          <w:p w14:paraId="0CD579E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Kraujagyslių sutrikimai</w:t>
            </w:r>
          </w:p>
        </w:tc>
        <w:tc>
          <w:tcPr>
            <w:tcW w:w="1340" w:type="pct"/>
          </w:tcPr>
          <w:p w14:paraId="74B35721" w14:textId="77777777" w:rsidR="00DC1CDC" w:rsidRPr="00D9492F" w:rsidRDefault="00DC1CDC" w:rsidP="00DC1CDC">
            <w:pPr>
              <w:keepNext/>
              <w:keepLines/>
              <w:spacing w:after="0" w:line="240" w:lineRule="auto"/>
              <w:rPr>
                <w:rFonts w:ascii="Times New Roman" w:hAnsi="Times New Roman"/>
              </w:rPr>
            </w:pPr>
          </w:p>
        </w:tc>
        <w:tc>
          <w:tcPr>
            <w:tcW w:w="1296" w:type="pct"/>
          </w:tcPr>
          <w:p w14:paraId="1F228B9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Hipotenzija</w:t>
            </w:r>
            <w:r w:rsidR="005B3133" w:rsidRPr="00D9492F">
              <w:rPr>
                <w:rFonts w:ascii="Times New Roman" w:hAnsi="Times New Roman"/>
              </w:rPr>
              <w:t>.</w:t>
            </w:r>
          </w:p>
          <w:p w14:paraId="0B53055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Hipertenzija</w:t>
            </w:r>
            <w:r w:rsidR="005B3133" w:rsidRPr="00D9492F">
              <w:rPr>
                <w:rFonts w:ascii="Times New Roman" w:hAnsi="Times New Roman"/>
              </w:rPr>
              <w:t>.</w:t>
            </w:r>
          </w:p>
          <w:p w14:paraId="0B00A56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Kraujavimas</w:t>
            </w:r>
            <w:r w:rsidR="005B3133" w:rsidRPr="00D9492F">
              <w:rPr>
                <w:rFonts w:ascii="Times New Roman" w:hAnsi="Times New Roman"/>
              </w:rPr>
              <w:t>.</w:t>
            </w:r>
          </w:p>
        </w:tc>
        <w:tc>
          <w:tcPr>
            <w:tcW w:w="1091" w:type="pct"/>
          </w:tcPr>
          <w:p w14:paraId="32D58515" w14:textId="77777777" w:rsidR="00DC1CDC" w:rsidRPr="00D9492F" w:rsidRDefault="00DC1CDC" w:rsidP="00DC1CDC">
            <w:pPr>
              <w:keepNext/>
              <w:keepLines/>
              <w:spacing w:after="0" w:line="240" w:lineRule="auto"/>
              <w:rPr>
                <w:rFonts w:ascii="Times New Roman" w:hAnsi="Times New Roman"/>
              </w:rPr>
            </w:pPr>
          </w:p>
        </w:tc>
      </w:tr>
      <w:tr w:rsidR="00DC1CDC" w:rsidRPr="00D9492F" w14:paraId="045F6338" w14:textId="77777777" w:rsidTr="0003751A">
        <w:trPr>
          <w:cantSplit/>
          <w:jc w:val="center"/>
        </w:trPr>
        <w:tc>
          <w:tcPr>
            <w:tcW w:w="1273" w:type="pct"/>
          </w:tcPr>
          <w:p w14:paraId="1534D913" w14:textId="77777777" w:rsidR="00DC1CDC" w:rsidRPr="00D9492F" w:rsidRDefault="00DC1CDC" w:rsidP="005E18A1">
            <w:pPr>
              <w:keepNext/>
              <w:keepLines/>
              <w:spacing w:after="0" w:line="240" w:lineRule="auto"/>
              <w:rPr>
                <w:rFonts w:ascii="Times New Roman" w:hAnsi="Times New Roman"/>
              </w:rPr>
            </w:pPr>
            <w:r w:rsidRPr="00D9492F">
              <w:rPr>
                <w:rFonts w:ascii="Times New Roman" w:hAnsi="Times New Roman"/>
              </w:rPr>
              <w:t xml:space="preserve">Kvėpavimo sistemos, krūtinės ląstos ir </w:t>
            </w:r>
            <w:r w:rsidR="005E18A1" w:rsidRPr="00D9492F">
              <w:rPr>
                <w:rFonts w:ascii="Times New Roman" w:hAnsi="Times New Roman"/>
              </w:rPr>
              <w:t xml:space="preserve">tarpuplaučio </w:t>
            </w:r>
            <w:r w:rsidRPr="00D9492F">
              <w:rPr>
                <w:rFonts w:ascii="Times New Roman" w:hAnsi="Times New Roman"/>
              </w:rPr>
              <w:t>sutrikimai</w:t>
            </w:r>
          </w:p>
        </w:tc>
        <w:tc>
          <w:tcPr>
            <w:tcW w:w="1340" w:type="pct"/>
          </w:tcPr>
          <w:p w14:paraId="2778649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Dusulys (sunkus – 2,7 %)</w:t>
            </w:r>
            <w:r w:rsidR="005B3133" w:rsidRPr="00D9492F">
              <w:rPr>
                <w:rFonts w:ascii="Times New Roman" w:hAnsi="Times New Roman"/>
              </w:rPr>
              <w:t>.</w:t>
            </w:r>
          </w:p>
        </w:tc>
        <w:tc>
          <w:tcPr>
            <w:tcW w:w="1296" w:type="pct"/>
          </w:tcPr>
          <w:p w14:paraId="50B83259" w14:textId="77777777" w:rsidR="00DC1CDC" w:rsidRPr="00D9492F" w:rsidRDefault="00DC1CDC" w:rsidP="00DC1CDC">
            <w:pPr>
              <w:keepNext/>
              <w:keepLines/>
              <w:spacing w:after="0" w:line="240" w:lineRule="auto"/>
              <w:rPr>
                <w:rFonts w:ascii="Times New Roman" w:hAnsi="Times New Roman"/>
              </w:rPr>
            </w:pPr>
          </w:p>
        </w:tc>
        <w:tc>
          <w:tcPr>
            <w:tcW w:w="1091" w:type="pct"/>
          </w:tcPr>
          <w:p w14:paraId="45706855" w14:textId="77777777" w:rsidR="00DC1CDC" w:rsidRPr="00D9492F" w:rsidRDefault="00DC1CDC" w:rsidP="00DC1CDC">
            <w:pPr>
              <w:keepNext/>
              <w:keepLines/>
              <w:spacing w:after="0" w:line="240" w:lineRule="auto"/>
              <w:rPr>
                <w:rFonts w:ascii="Times New Roman" w:hAnsi="Times New Roman"/>
              </w:rPr>
            </w:pPr>
          </w:p>
        </w:tc>
      </w:tr>
      <w:tr w:rsidR="00DC1CDC" w:rsidRPr="00D9492F" w14:paraId="23F2A8AD" w14:textId="77777777" w:rsidTr="0003751A">
        <w:trPr>
          <w:cantSplit/>
          <w:jc w:val="center"/>
        </w:trPr>
        <w:tc>
          <w:tcPr>
            <w:tcW w:w="1273" w:type="pct"/>
          </w:tcPr>
          <w:p w14:paraId="5A6E02C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Virškinimo trakto sutrikimai</w:t>
            </w:r>
          </w:p>
        </w:tc>
        <w:tc>
          <w:tcPr>
            <w:tcW w:w="1340" w:type="pct"/>
          </w:tcPr>
          <w:p w14:paraId="496C94C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Stomatitas (3</w:t>
            </w:r>
            <w:r w:rsidRPr="00D9492F">
              <w:rPr>
                <w:rFonts w:ascii="Times New Roman" w:hAnsi="Times New Roman"/>
              </w:rPr>
              <w:noBreakHyphen/>
              <w:t>4 laipsnio – 5,3 %)</w:t>
            </w:r>
            <w:r w:rsidR="005B3133" w:rsidRPr="00D9492F">
              <w:rPr>
                <w:rFonts w:ascii="Times New Roman" w:hAnsi="Times New Roman"/>
              </w:rPr>
              <w:t>.</w:t>
            </w:r>
          </w:p>
          <w:p w14:paraId="6594A15C"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Viduriavimas (3</w:t>
            </w:r>
            <w:r w:rsidRPr="00D9492F">
              <w:rPr>
                <w:rFonts w:ascii="Times New Roman" w:eastAsia="Times New Roman" w:hAnsi="Times New Roman"/>
              </w:rPr>
              <w:noBreakHyphen/>
              <w:t>4 laipsnio – 4 %)</w:t>
            </w:r>
            <w:r w:rsidR="005B3133" w:rsidRPr="00D9492F">
              <w:rPr>
                <w:rFonts w:ascii="Times New Roman" w:eastAsia="Times New Roman" w:hAnsi="Times New Roman"/>
              </w:rPr>
              <w:t>.</w:t>
            </w:r>
          </w:p>
          <w:p w14:paraId="11FF250F"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Pykinimas (3</w:t>
            </w:r>
            <w:r w:rsidRPr="00D9492F">
              <w:rPr>
                <w:rFonts w:ascii="Times New Roman" w:eastAsia="Times New Roman" w:hAnsi="Times New Roman"/>
              </w:rPr>
              <w:noBreakHyphen/>
              <w:t>4 laipsnio – 4 %)</w:t>
            </w:r>
            <w:r w:rsidR="005B3133" w:rsidRPr="00D9492F">
              <w:rPr>
                <w:rFonts w:ascii="Times New Roman" w:eastAsia="Times New Roman" w:hAnsi="Times New Roman"/>
              </w:rPr>
              <w:t>.</w:t>
            </w:r>
          </w:p>
          <w:p w14:paraId="043D73B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Vėmimas (3</w:t>
            </w:r>
            <w:r w:rsidRPr="00D9492F">
              <w:rPr>
                <w:rFonts w:ascii="Times New Roman" w:hAnsi="Times New Roman"/>
              </w:rPr>
              <w:noBreakHyphen/>
              <w:t>4 laipsnio – 3 %)</w:t>
            </w:r>
            <w:r w:rsidR="005B3133" w:rsidRPr="00D9492F">
              <w:rPr>
                <w:rFonts w:ascii="Times New Roman" w:hAnsi="Times New Roman"/>
              </w:rPr>
              <w:t>.</w:t>
            </w:r>
          </w:p>
        </w:tc>
        <w:tc>
          <w:tcPr>
            <w:tcW w:w="1296" w:type="pct"/>
          </w:tcPr>
          <w:p w14:paraId="448DD17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Vidurių užkietėjimas (sunkus – 0,2 %)</w:t>
            </w:r>
            <w:r w:rsidR="005B3133" w:rsidRPr="00D9492F">
              <w:rPr>
                <w:rFonts w:ascii="Times New Roman" w:hAnsi="Times New Roman"/>
              </w:rPr>
              <w:t>.</w:t>
            </w:r>
          </w:p>
          <w:p w14:paraId="0FAA41E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Pilvo skausmas (sunkus – 1 %)</w:t>
            </w:r>
            <w:r w:rsidR="005B3133" w:rsidRPr="00D9492F">
              <w:rPr>
                <w:rFonts w:ascii="Times New Roman" w:hAnsi="Times New Roman"/>
              </w:rPr>
              <w:t>.</w:t>
            </w:r>
          </w:p>
          <w:p w14:paraId="11AE720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Kraujavimas iš virškinimo takto (sunkus – 0,3 %)</w:t>
            </w:r>
            <w:r w:rsidR="005B3133" w:rsidRPr="00D9492F">
              <w:rPr>
                <w:rFonts w:ascii="Times New Roman" w:hAnsi="Times New Roman"/>
              </w:rPr>
              <w:t>.</w:t>
            </w:r>
          </w:p>
        </w:tc>
        <w:tc>
          <w:tcPr>
            <w:tcW w:w="1091" w:type="pct"/>
          </w:tcPr>
          <w:p w14:paraId="6C58C10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Ezofagitas (sunkus – 0,4 %)</w:t>
            </w:r>
            <w:r w:rsidR="005B3133" w:rsidRPr="00D9492F">
              <w:rPr>
                <w:rFonts w:ascii="Times New Roman" w:hAnsi="Times New Roman"/>
              </w:rPr>
              <w:t>.</w:t>
            </w:r>
          </w:p>
        </w:tc>
      </w:tr>
      <w:tr w:rsidR="00DC1CDC" w:rsidRPr="00D9492F" w14:paraId="2E4ADF3F" w14:textId="77777777" w:rsidTr="0003751A">
        <w:trPr>
          <w:cantSplit/>
          <w:jc w:val="center"/>
        </w:trPr>
        <w:tc>
          <w:tcPr>
            <w:tcW w:w="1273" w:type="pct"/>
          </w:tcPr>
          <w:p w14:paraId="2F3DBB0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Odos ir poodinio audinio sutrikimai</w:t>
            </w:r>
          </w:p>
        </w:tc>
        <w:tc>
          <w:tcPr>
            <w:tcW w:w="1340" w:type="pct"/>
          </w:tcPr>
          <w:p w14:paraId="6E3DE97D"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Alopecija</w:t>
            </w:r>
            <w:r w:rsidR="005B3133" w:rsidRPr="00D9492F">
              <w:rPr>
                <w:rFonts w:ascii="Times New Roman" w:eastAsia="Times New Roman" w:hAnsi="Times New Roman"/>
                <w:bCs/>
                <w:iCs/>
              </w:rPr>
              <w:t>.</w:t>
            </w:r>
          </w:p>
          <w:p w14:paraId="583365B5"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Odos reakcija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5,9 %)</w:t>
            </w:r>
            <w:r w:rsidR="005B3133" w:rsidRPr="00D9492F">
              <w:rPr>
                <w:rFonts w:ascii="Times New Roman" w:eastAsia="Times New Roman" w:hAnsi="Times New Roman"/>
                <w:bCs/>
                <w:iCs/>
              </w:rPr>
              <w:t>.</w:t>
            </w:r>
          </w:p>
          <w:p w14:paraId="46D1AFF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bCs/>
                <w:iCs/>
              </w:rPr>
              <w:t>Nagų pažeidimai (sunkūs – 2,6 %)</w:t>
            </w:r>
            <w:r w:rsidR="005B3133" w:rsidRPr="00D9492F">
              <w:rPr>
                <w:rFonts w:ascii="Times New Roman" w:hAnsi="Times New Roman"/>
                <w:bCs/>
                <w:iCs/>
              </w:rPr>
              <w:t>.</w:t>
            </w:r>
          </w:p>
        </w:tc>
        <w:tc>
          <w:tcPr>
            <w:tcW w:w="1296" w:type="pct"/>
          </w:tcPr>
          <w:p w14:paraId="75595194" w14:textId="77777777" w:rsidR="00DC1CDC" w:rsidRPr="00D9492F" w:rsidRDefault="00DC1CDC" w:rsidP="00DC1CDC">
            <w:pPr>
              <w:keepNext/>
              <w:keepLines/>
              <w:spacing w:after="0" w:line="240" w:lineRule="auto"/>
              <w:rPr>
                <w:rFonts w:ascii="Times New Roman" w:hAnsi="Times New Roman"/>
              </w:rPr>
            </w:pPr>
          </w:p>
        </w:tc>
        <w:tc>
          <w:tcPr>
            <w:tcW w:w="1091" w:type="pct"/>
          </w:tcPr>
          <w:p w14:paraId="7E9B7E58" w14:textId="77777777" w:rsidR="00DC1CDC" w:rsidRPr="00D9492F" w:rsidRDefault="00DC1CDC" w:rsidP="00DC1CDC">
            <w:pPr>
              <w:keepNext/>
              <w:keepLines/>
              <w:spacing w:after="0" w:line="240" w:lineRule="auto"/>
              <w:rPr>
                <w:rFonts w:ascii="Times New Roman" w:hAnsi="Times New Roman"/>
              </w:rPr>
            </w:pPr>
          </w:p>
        </w:tc>
      </w:tr>
      <w:tr w:rsidR="00DC1CDC" w:rsidRPr="00D9492F" w14:paraId="3FD709BD" w14:textId="77777777" w:rsidTr="0003751A">
        <w:trPr>
          <w:cantSplit/>
          <w:jc w:val="center"/>
        </w:trPr>
        <w:tc>
          <w:tcPr>
            <w:tcW w:w="1273" w:type="pct"/>
          </w:tcPr>
          <w:p w14:paraId="09632F4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bCs/>
                <w:noProof/>
              </w:rPr>
              <w:t>Skeleto, raumenų ir jungiamojo audinio sutrikimai</w:t>
            </w:r>
            <w:r w:rsidRPr="00D9492F">
              <w:rPr>
                <w:rFonts w:ascii="Times New Roman" w:hAnsi="Times New Roman"/>
              </w:rPr>
              <w:t xml:space="preserve"> </w:t>
            </w:r>
          </w:p>
        </w:tc>
        <w:tc>
          <w:tcPr>
            <w:tcW w:w="1340" w:type="pct"/>
          </w:tcPr>
          <w:p w14:paraId="3D1A9EC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Mialgija (</w:t>
            </w:r>
            <w:r w:rsidRPr="00D9492F">
              <w:rPr>
                <w:rFonts w:ascii="Times New Roman" w:hAnsi="Times New Roman"/>
                <w:bCs/>
                <w:iCs/>
              </w:rPr>
              <w:t xml:space="preserve">sunki – </w:t>
            </w:r>
            <w:r w:rsidRPr="00D9492F">
              <w:rPr>
                <w:rFonts w:ascii="Times New Roman" w:hAnsi="Times New Roman"/>
              </w:rPr>
              <w:t>1,4 %)</w:t>
            </w:r>
            <w:r w:rsidR="005B3133" w:rsidRPr="00D9492F">
              <w:rPr>
                <w:rFonts w:ascii="Times New Roman" w:hAnsi="Times New Roman"/>
              </w:rPr>
              <w:t>.</w:t>
            </w:r>
          </w:p>
        </w:tc>
        <w:tc>
          <w:tcPr>
            <w:tcW w:w="1296" w:type="pct"/>
          </w:tcPr>
          <w:p w14:paraId="4148F64E"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Artralgija</w:t>
            </w:r>
            <w:r w:rsidR="005B3133" w:rsidRPr="00D9492F">
              <w:rPr>
                <w:rFonts w:ascii="Times New Roman" w:eastAsia="Times New Roman" w:hAnsi="Times New Roman"/>
              </w:rPr>
              <w:t>.</w:t>
            </w:r>
          </w:p>
        </w:tc>
        <w:tc>
          <w:tcPr>
            <w:tcW w:w="1091" w:type="pct"/>
          </w:tcPr>
          <w:p w14:paraId="271DDDE9"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p>
        </w:tc>
      </w:tr>
      <w:tr w:rsidR="00DC1CDC" w:rsidRPr="00D9492F" w14:paraId="56879A73" w14:textId="77777777" w:rsidTr="0003751A">
        <w:trPr>
          <w:cantSplit/>
          <w:jc w:val="center"/>
        </w:trPr>
        <w:tc>
          <w:tcPr>
            <w:tcW w:w="1273" w:type="pct"/>
          </w:tcPr>
          <w:p w14:paraId="379D663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Bendri</w:t>
            </w:r>
            <w:r w:rsidR="004849A2" w:rsidRPr="00D9492F">
              <w:rPr>
                <w:rFonts w:ascii="Times New Roman" w:hAnsi="Times New Roman"/>
              </w:rPr>
              <w:t>eji</w:t>
            </w:r>
            <w:r w:rsidRPr="00D9492F">
              <w:rPr>
                <w:rFonts w:ascii="Times New Roman" w:hAnsi="Times New Roman"/>
              </w:rPr>
              <w:t xml:space="preserve"> sutrikimai ir vartojimo vietos pažeidimai</w:t>
            </w:r>
          </w:p>
        </w:tc>
        <w:tc>
          <w:tcPr>
            <w:tcW w:w="1340" w:type="pct"/>
          </w:tcPr>
          <w:p w14:paraId="2C6600B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Skysčių susilaikymas (sunkus – 6,5 %)</w:t>
            </w:r>
            <w:r w:rsidR="005B3133" w:rsidRPr="00D9492F">
              <w:rPr>
                <w:rFonts w:ascii="Times New Roman" w:hAnsi="Times New Roman"/>
              </w:rPr>
              <w:t>.</w:t>
            </w:r>
          </w:p>
          <w:p w14:paraId="6035B4E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Astenija (sunki – 11,2 %)</w:t>
            </w:r>
            <w:r w:rsidR="005B3133" w:rsidRPr="00D9492F">
              <w:rPr>
                <w:rFonts w:ascii="Times New Roman" w:hAnsi="Times New Roman"/>
              </w:rPr>
              <w:t>.</w:t>
            </w:r>
          </w:p>
          <w:p w14:paraId="0769247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Skausmas</w:t>
            </w:r>
            <w:r w:rsidR="005B3133" w:rsidRPr="00D9492F">
              <w:rPr>
                <w:rFonts w:ascii="Times New Roman" w:hAnsi="Times New Roman"/>
              </w:rPr>
              <w:t>.</w:t>
            </w:r>
          </w:p>
          <w:p w14:paraId="67A96F7A" w14:textId="77777777" w:rsidR="00DC1CDC" w:rsidRPr="00D9492F" w:rsidRDefault="00DC1CDC" w:rsidP="00DC1CDC">
            <w:pPr>
              <w:keepNext/>
              <w:keepLines/>
              <w:spacing w:after="0" w:line="240" w:lineRule="auto"/>
              <w:rPr>
                <w:rFonts w:ascii="Times New Roman" w:hAnsi="Times New Roman"/>
              </w:rPr>
            </w:pPr>
          </w:p>
        </w:tc>
        <w:tc>
          <w:tcPr>
            <w:tcW w:w="1296" w:type="pct"/>
          </w:tcPr>
          <w:p w14:paraId="6A2691A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Infuzijos vietos reakcija</w:t>
            </w:r>
            <w:r w:rsidR="005B3133" w:rsidRPr="00D9492F">
              <w:rPr>
                <w:rFonts w:ascii="Times New Roman" w:hAnsi="Times New Roman"/>
              </w:rPr>
              <w:t>.</w:t>
            </w:r>
          </w:p>
          <w:p w14:paraId="64ADC66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Krūtinės skausmas, nesant širdies pažeidimo (sunkus – 0,4 %)</w:t>
            </w:r>
            <w:r w:rsidR="005B3133" w:rsidRPr="00D9492F">
              <w:rPr>
                <w:rFonts w:ascii="Times New Roman" w:hAnsi="Times New Roman"/>
              </w:rPr>
              <w:t>.</w:t>
            </w:r>
          </w:p>
        </w:tc>
        <w:tc>
          <w:tcPr>
            <w:tcW w:w="1091" w:type="pct"/>
          </w:tcPr>
          <w:p w14:paraId="79A1FD84" w14:textId="77777777" w:rsidR="00DC1CDC" w:rsidRPr="00D9492F" w:rsidRDefault="00DC1CDC" w:rsidP="00DC1CDC">
            <w:pPr>
              <w:keepNext/>
              <w:keepLines/>
              <w:spacing w:after="0" w:line="240" w:lineRule="auto"/>
              <w:rPr>
                <w:rFonts w:ascii="Times New Roman" w:hAnsi="Times New Roman"/>
              </w:rPr>
            </w:pPr>
          </w:p>
        </w:tc>
      </w:tr>
      <w:tr w:rsidR="00DC1CDC" w:rsidRPr="00D9492F" w14:paraId="5E183B99" w14:textId="77777777" w:rsidTr="0003751A">
        <w:trPr>
          <w:cantSplit/>
          <w:jc w:val="center"/>
        </w:trPr>
        <w:tc>
          <w:tcPr>
            <w:tcW w:w="1273" w:type="pct"/>
          </w:tcPr>
          <w:p w14:paraId="2B3D246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lastRenderedPageBreak/>
              <w:t>Tyrimai</w:t>
            </w:r>
          </w:p>
        </w:tc>
        <w:tc>
          <w:tcPr>
            <w:tcW w:w="1340" w:type="pct"/>
          </w:tcPr>
          <w:p w14:paraId="63A9D868"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p>
        </w:tc>
        <w:tc>
          <w:tcPr>
            <w:tcW w:w="1296" w:type="pct"/>
          </w:tcPr>
          <w:p w14:paraId="05E003F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bilirubino koncentracijos kraujyje padidėjimas (&lt; 5 %)</w:t>
            </w:r>
            <w:r w:rsidR="005B3133" w:rsidRPr="00D9492F">
              <w:rPr>
                <w:rFonts w:ascii="Times New Roman" w:hAnsi="Times New Roman"/>
              </w:rPr>
              <w:t>.</w:t>
            </w:r>
          </w:p>
          <w:p w14:paraId="7E041F8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šarminės fosfatazės koncentracijos kraujyje padidėjimas (&lt; 4 %)</w:t>
            </w:r>
            <w:r w:rsidR="005B3133" w:rsidRPr="00D9492F">
              <w:rPr>
                <w:rFonts w:ascii="Times New Roman" w:hAnsi="Times New Roman"/>
              </w:rPr>
              <w:t>.</w:t>
            </w:r>
          </w:p>
          <w:p w14:paraId="7F3B266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AST koncentracijos padidėjimas (&lt; 3 %)</w:t>
            </w:r>
            <w:r w:rsidR="005B3133" w:rsidRPr="00D9492F">
              <w:rPr>
                <w:rFonts w:ascii="Times New Roman" w:hAnsi="Times New Roman"/>
              </w:rPr>
              <w:t>.</w:t>
            </w:r>
          </w:p>
          <w:p w14:paraId="1B3C666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ALT koncentracijos padidėjimas (&lt; 2 %)</w:t>
            </w:r>
            <w:r w:rsidR="005B3133" w:rsidRPr="00D9492F">
              <w:rPr>
                <w:rFonts w:ascii="Times New Roman" w:hAnsi="Times New Roman"/>
              </w:rPr>
              <w:t>.</w:t>
            </w:r>
          </w:p>
        </w:tc>
        <w:tc>
          <w:tcPr>
            <w:tcW w:w="1091" w:type="pct"/>
          </w:tcPr>
          <w:p w14:paraId="773241EE" w14:textId="77777777" w:rsidR="00DC1CDC" w:rsidRPr="00D9492F" w:rsidRDefault="00DC1CDC" w:rsidP="00DC1CDC">
            <w:pPr>
              <w:keepNext/>
              <w:keepLines/>
              <w:spacing w:after="0" w:line="240" w:lineRule="auto"/>
              <w:rPr>
                <w:rFonts w:ascii="Times New Roman" w:hAnsi="Times New Roman"/>
              </w:rPr>
            </w:pPr>
          </w:p>
        </w:tc>
      </w:tr>
    </w:tbl>
    <w:p w14:paraId="3A38AE93" w14:textId="77777777" w:rsidR="005B1DF2" w:rsidRPr="00D9492F" w:rsidRDefault="005B1DF2" w:rsidP="005B1DF2">
      <w:pPr>
        <w:keepNext/>
        <w:keepLines/>
        <w:spacing w:after="0" w:line="240" w:lineRule="auto"/>
        <w:rPr>
          <w:rFonts w:ascii="Times New Roman" w:eastAsia="Times New Roman" w:hAnsi="Times New Roman"/>
          <w:u w:val="single"/>
        </w:rPr>
      </w:pPr>
    </w:p>
    <w:p w14:paraId="1D035727" w14:textId="0CFE314A" w:rsidR="005B1DF2" w:rsidRPr="00D9492F" w:rsidRDefault="009E470C" w:rsidP="005B1DF2">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Atrinktų</w:t>
      </w:r>
      <w:r w:rsidR="005B1DF2" w:rsidRPr="00D9492F">
        <w:rPr>
          <w:rFonts w:ascii="Times New Roman" w:eastAsia="Times New Roman" w:hAnsi="Times New Roman"/>
          <w:u w:val="single"/>
        </w:rPr>
        <w:t xml:space="preserve"> nepageidaujamų reakcijų, atsiradusių vartojant </w:t>
      </w:r>
      <w:bookmarkStart w:id="6" w:name="_Hlk48816920"/>
      <w:r w:rsidR="005B1DF2" w:rsidRPr="00D9492F">
        <w:rPr>
          <w:rFonts w:ascii="Times New Roman" w:hAnsi="Times New Roman"/>
          <w:u w:val="single"/>
        </w:rPr>
        <w:t xml:space="preserve">Docetaxel SanoSwiss </w:t>
      </w:r>
      <w:bookmarkEnd w:id="6"/>
      <w:r w:rsidR="005B1DF2" w:rsidRPr="00D9492F">
        <w:rPr>
          <w:rFonts w:ascii="Times New Roman" w:eastAsia="Times New Roman" w:hAnsi="Times New Roman"/>
          <w:u w:val="single"/>
        </w:rPr>
        <w:t>100</w:t>
      </w:r>
      <w:r w:rsidR="00052B9E" w:rsidRPr="00D9492F">
        <w:rPr>
          <w:rFonts w:ascii="Times New Roman" w:eastAsia="Times New Roman" w:hAnsi="Times New Roman"/>
          <w:u w:val="single"/>
        </w:rPr>
        <w:t> </w:t>
      </w:r>
      <w:r w:rsidR="005B1DF2" w:rsidRPr="00D9492F">
        <w:rPr>
          <w:rFonts w:ascii="Times New Roman" w:eastAsia="Times New Roman" w:hAnsi="Times New Roman"/>
          <w:u w:val="single"/>
        </w:rPr>
        <w:t xml:space="preserve">mg/m² dozę krūties vėžio monoterapijai, </w:t>
      </w:r>
      <w:r w:rsidRPr="00D9492F">
        <w:rPr>
          <w:rFonts w:ascii="Times New Roman" w:eastAsia="Times New Roman" w:hAnsi="Times New Roman"/>
          <w:u w:val="single"/>
        </w:rPr>
        <w:t>apibūdinimas</w:t>
      </w:r>
      <w:r w:rsidR="005B1DF2" w:rsidRPr="00D9492F">
        <w:rPr>
          <w:rFonts w:ascii="Times New Roman" w:eastAsia="Times New Roman" w:hAnsi="Times New Roman"/>
          <w:u w:val="single"/>
        </w:rPr>
        <w:t xml:space="preserve"> </w:t>
      </w:r>
    </w:p>
    <w:p w14:paraId="62B34B66" w14:textId="77777777" w:rsidR="00DC1CDC" w:rsidRPr="00D9492F" w:rsidRDefault="00DC1CDC" w:rsidP="00DC1CDC">
      <w:pPr>
        <w:spacing w:after="0" w:line="240" w:lineRule="auto"/>
        <w:rPr>
          <w:rFonts w:ascii="Times New Roman" w:hAnsi="Times New Roman"/>
        </w:rPr>
      </w:pPr>
    </w:p>
    <w:p w14:paraId="13607AB3"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i/>
          <w:iCs/>
        </w:rPr>
        <w:t>Kraujo ir limfinės sistemos sutrikimai</w:t>
      </w:r>
    </w:p>
    <w:p w14:paraId="774FD50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Reti: kraujavimo epizodai esant 3</w:t>
      </w:r>
      <w:r w:rsidRPr="00D9492F">
        <w:rPr>
          <w:rFonts w:ascii="Times New Roman" w:hAnsi="Times New Roman"/>
        </w:rPr>
        <w:noBreakHyphen/>
        <w:t>4 laipsnio trombocitopenijai.</w:t>
      </w:r>
    </w:p>
    <w:p w14:paraId="4CAD647C" w14:textId="77777777" w:rsidR="00DC1CDC" w:rsidRPr="00D9492F" w:rsidRDefault="00DC1CDC" w:rsidP="00DC1CDC">
      <w:pPr>
        <w:spacing w:after="0" w:line="240" w:lineRule="auto"/>
        <w:rPr>
          <w:rFonts w:ascii="Times New Roman" w:hAnsi="Times New Roman"/>
        </w:rPr>
      </w:pPr>
    </w:p>
    <w:p w14:paraId="32F4C031" w14:textId="77777777" w:rsidR="00DC1CDC" w:rsidRPr="00D9492F" w:rsidRDefault="00DC1CDC" w:rsidP="00DC1CDC">
      <w:pPr>
        <w:keepNext/>
        <w:keepLines/>
        <w:tabs>
          <w:tab w:val="left" w:pos="7655"/>
        </w:tabs>
        <w:suppressAutoHyphens/>
        <w:spacing w:after="0" w:line="240" w:lineRule="auto"/>
        <w:rPr>
          <w:rFonts w:ascii="Times New Roman" w:hAnsi="Times New Roman"/>
          <w:i/>
          <w:iCs/>
        </w:rPr>
      </w:pPr>
      <w:r w:rsidRPr="00D9492F">
        <w:rPr>
          <w:rFonts w:ascii="Times New Roman" w:hAnsi="Times New Roman"/>
          <w:i/>
          <w:iCs/>
        </w:rPr>
        <w:t>Nervų sistemos sutrikimai</w:t>
      </w:r>
    </w:p>
    <w:p w14:paraId="727DD4C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Yra duomenų apie 100 mg/m</w:t>
      </w:r>
      <w:r w:rsidRPr="00D9492F">
        <w:rPr>
          <w:rFonts w:ascii="Times New Roman" w:hAnsi="Times New Roman"/>
          <w:vertAlign w:val="superscript"/>
        </w:rPr>
        <w:t>2 </w:t>
      </w:r>
      <w:r w:rsidRPr="00D9492F">
        <w:rPr>
          <w:rFonts w:ascii="Times New Roman" w:hAnsi="Times New Roman"/>
        </w:rPr>
        <w:t>dozėmis monoterapijai vartojamo docetakselio neurotoksinio poveikio grįžtamumą 35,3 % pacientų (jiems šis poveikis savaime praėjo per 3 mėnesius).</w:t>
      </w:r>
    </w:p>
    <w:p w14:paraId="6059440A" w14:textId="77777777" w:rsidR="00DC1CDC" w:rsidRPr="00D9492F" w:rsidRDefault="00DC1CDC" w:rsidP="00DC1CDC">
      <w:pPr>
        <w:spacing w:after="0" w:line="240" w:lineRule="auto"/>
        <w:rPr>
          <w:rFonts w:ascii="Times New Roman" w:hAnsi="Times New Roman"/>
        </w:rPr>
      </w:pPr>
    </w:p>
    <w:p w14:paraId="5B941ACF" w14:textId="77777777" w:rsidR="00DC1CDC" w:rsidRPr="00D9492F" w:rsidRDefault="00DC1CDC" w:rsidP="00DC1CDC">
      <w:pPr>
        <w:keepNext/>
        <w:keepLines/>
        <w:tabs>
          <w:tab w:val="left" w:pos="7655"/>
        </w:tabs>
        <w:suppressAutoHyphens/>
        <w:spacing w:after="0" w:line="240" w:lineRule="auto"/>
        <w:rPr>
          <w:rFonts w:ascii="Times New Roman" w:hAnsi="Times New Roman"/>
          <w:i/>
          <w:iCs/>
        </w:rPr>
      </w:pPr>
      <w:r w:rsidRPr="00D9492F">
        <w:rPr>
          <w:rFonts w:ascii="Times New Roman" w:hAnsi="Times New Roman"/>
          <w:i/>
          <w:iCs/>
        </w:rPr>
        <w:t>Odos ir poodinio audinio sutrikimai</w:t>
      </w:r>
    </w:p>
    <w:p w14:paraId="5BD5559C" w14:textId="77777777" w:rsidR="00DC1CDC" w:rsidRPr="00D9492F" w:rsidRDefault="00DC1CDC" w:rsidP="00DC1CDC">
      <w:pPr>
        <w:spacing w:after="0" w:line="240" w:lineRule="auto"/>
        <w:rPr>
          <w:rFonts w:ascii="Times New Roman" w:hAnsi="Times New Roman"/>
          <w:bCs/>
          <w:iCs/>
        </w:rPr>
      </w:pPr>
      <w:r w:rsidRPr="00D9492F">
        <w:rPr>
          <w:rFonts w:ascii="Times New Roman" w:hAnsi="Times New Roman"/>
          <w:bCs/>
          <w:iCs/>
        </w:rPr>
        <w:t xml:space="preserve">Labai reti: </w:t>
      </w:r>
      <w:r w:rsidRPr="00D9492F">
        <w:rPr>
          <w:rFonts w:ascii="Times New Roman" w:hAnsi="Times New Roman"/>
        </w:rPr>
        <w:t>vienu atveju pasireiškusi alopecija nepraėjo iki tyrimo pabaigos. 73 % odos reakcijų praėjo per 21 dieną</w:t>
      </w:r>
      <w:r w:rsidRPr="00D9492F">
        <w:rPr>
          <w:rFonts w:ascii="Times New Roman" w:hAnsi="Times New Roman"/>
          <w:bCs/>
          <w:iCs/>
        </w:rPr>
        <w:t>.</w:t>
      </w:r>
    </w:p>
    <w:p w14:paraId="2242166B" w14:textId="77777777" w:rsidR="00DC1CDC" w:rsidRPr="00D9492F" w:rsidRDefault="00DC1CDC" w:rsidP="00DC1CDC">
      <w:pPr>
        <w:spacing w:after="0" w:line="240" w:lineRule="auto"/>
        <w:rPr>
          <w:rFonts w:ascii="Times New Roman" w:hAnsi="Times New Roman"/>
        </w:rPr>
      </w:pPr>
    </w:p>
    <w:p w14:paraId="5C62CB0E" w14:textId="77777777" w:rsidR="00DC1CDC" w:rsidRPr="00D9492F" w:rsidRDefault="00DC1CDC" w:rsidP="00DC1CDC">
      <w:pPr>
        <w:keepNext/>
        <w:keepLines/>
        <w:tabs>
          <w:tab w:val="left" w:pos="567"/>
        </w:tabs>
        <w:suppressAutoHyphens/>
        <w:spacing w:after="0" w:line="240" w:lineRule="auto"/>
        <w:rPr>
          <w:rFonts w:ascii="Times New Roman" w:hAnsi="Times New Roman"/>
          <w:bCs/>
          <w:i/>
        </w:rPr>
      </w:pPr>
      <w:r w:rsidRPr="00D9492F">
        <w:rPr>
          <w:rFonts w:ascii="Times New Roman" w:hAnsi="Times New Roman"/>
          <w:i/>
        </w:rPr>
        <w:t>Bendri</w:t>
      </w:r>
      <w:r w:rsidR="004849A2" w:rsidRPr="00D9492F">
        <w:rPr>
          <w:rFonts w:ascii="Times New Roman" w:hAnsi="Times New Roman"/>
          <w:i/>
        </w:rPr>
        <w:t>eji</w:t>
      </w:r>
      <w:r w:rsidRPr="00D9492F">
        <w:rPr>
          <w:rFonts w:ascii="Times New Roman" w:hAnsi="Times New Roman"/>
          <w:i/>
        </w:rPr>
        <w:t xml:space="preserve"> sutrikimai ir vartojimo vietos pažeidimai</w:t>
      </w:r>
    </w:p>
    <w:p w14:paraId="5514BD2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Kumuliacinės dozės, kurią pasiekus tekdavo nutraukti gydymą, mediana buvo didesnė kaip 1000 mg/m</w:t>
      </w:r>
      <w:r w:rsidRPr="00D9492F">
        <w:rPr>
          <w:rFonts w:ascii="Times New Roman" w:hAnsi="Times New Roman"/>
          <w:vertAlign w:val="superscript"/>
        </w:rPr>
        <w:t>2</w:t>
      </w:r>
      <w:r w:rsidRPr="00D9492F">
        <w:rPr>
          <w:rFonts w:ascii="Times New Roman" w:hAnsi="Times New Roman"/>
        </w:rPr>
        <w:t>, skysčių susilaikymo trukmės mediana – 16,4 savaitės (nuo 0 iki 42 savaičių). Atlikus premedikaciją, vidutinio sunkumo ir sunkus skysčių susilaikymas pasireikšdavo vėliau (kumuliacinės dozės mediana – 818,9 mg/m</w:t>
      </w:r>
      <w:r w:rsidRPr="00D9492F">
        <w:rPr>
          <w:rFonts w:ascii="Times New Roman" w:hAnsi="Times New Roman"/>
          <w:vertAlign w:val="superscript"/>
        </w:rPr>
        <w:t>2</w:t>
      </w:r>
      <w:r w:rsidRPr="00D9492F">
        <w:rPr>
          <w:rFonts w:ascii="Times New Roman" w:hAnsi="Times New Roman"/>
        </w:rPr>
        <w:t>) negu jos neatlikus (kumuliacinės dozės mediana – 489,7 mg/m</w:t>
      </w:r>
      <w:r w:rsidRPr="00D9492F">
        <w:rPr>
          <w:rFonts w:ascii="Times New Roman" w:hAnsi="Times New Roman"/>
          <w:vertAlign w:val="superscript"/>
        </w:rPr>
        <w:t>2</w:t>
      </w:r>
      <w:r w:rsidRPr="00D9492F">
        <w:rPr>
          <w:rFonts w:ascii="Times New Roman" w:hAnsi="Times New Roman"/>
        </w:rPr>
        <w:t>). Vis dėlto kai kuriems pacientams ši komplikacija pasireiškė pirmųjų gydymo kursų metu.</w:t>
      </w:r>
    </w:p>
    <w:p w14:paraId="17A9CF60" w14:textId="77777777" w:rsidR="00DC1CDC" w:rsidRPr="00D9492F" w:rsidRDefault="00DC1CDC" w:rsidP="00DC1CDC">
      <w:pPr>
        <w:spacing w:after="0" w:line="240" w:lineRule="auto"/>
        <w:rPr>
          <w:rFonts w:ascii="Times New Roman" w:hAnsi="Times New Roman"/>
        </w:rPr>
      </w:pPr>
    </w:p>
    <w:p w14:paraId="5BA3DBA5" w14:textId="10817FDA" w:rsidR="00DC1CDC" w:rsidRPr="00D9492F" w:rsidRDefault="005B1DF2" w:rsidP="00DC1CDC">
      <w:pPr>
        <w:spacing w:after="0" w:line="240" w:lineRule="auto"/>
        <w:rPr>
          <w:rFonts w:ascii="Times New Roman" w:hAnsi="Times New Roman"/>
        </w:rPr>
      </w:pPr>
      <w:r w:rsidRPr="00D9492F">
        <w:rPr>
          <w:rFonts w:ascii="Times New Roman" w:hAnsi="Times New Roman"/>
          <w:u w:val="single"/>
        </w:rPr>
        <w:t>Nepageidaujamų reakcijų, atsiradusių vartojant Docetaxel SanoSwiss 75</w:t>
      </w:r>
      <w:r w:rsidR="00052B9E" w:rsidRPr="00D9492F">
        <w:rPr>
          <w:rFonts w:ascii="Times New Roman" w:hAnsi="Times New Roman"/>
          <w:u w:val="single"/>
        </w:rPr>
        <w:t> </w:t>
      </w:r>
      <w:r w:rsidRPr="00D9492F">
        <w:rPr>
          <w:rFonts w:ascii="Times New Roman" w:hAnsi="Times New Roman"/>
          <w:u w:val="single"/>
        </w:rPr>
        <w:t xml:space="preserve">mg/m² dozę nesmulkiųjų ląstelių plaučių vėžio monoterapijai, </w:t>
      </w:r>
      <w:r w:rsidR="008C7CA5" w:rsidRPr="00D9492F">
        <w:rPr>
          <w:rFonts w:ascii="Times New Roman" w:hAnsi="Times New Roman"/>
          <w:u w:val="single"/>
        </w:rPr>
        <w:t>santrauka lentelėje</w:t>
      </w:r>
      <w:r w:rsidRPr="00D9492F">
        <w:rPr>
          <w:rFonts w:ascii="Times New Roman" w:hAnsi="Times New Roman"/>
          <w:u w:val="single"/>
        </w:rPr>
        <w:t xml:space="preserve"> </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15"/>
        <w:gridCol w:w="3006"/>
        <w:gridCol w:w="2952"/>
      </w:tblGrid>
      <w:tr w:rsidR="00DC1CDC" w:rsidRPr="00D9492F" w14:paraId="6ED262F6" w14:textId="77777777" w:rsidTr="0003751A">
        <w:trPr>
          <w:tblHeader/>
          <w:jc w:val="center"/>
        </w:trPr>
        <w:tc>
          <w:tcPr>
            <w:tcW w:w="3215" w:type="dxa"/>
            <w:shd w:val="clear" w:color="auto" w:fill="auto"/>
          </w:tcPr>
          <w:p w14:paraId="382E1D89"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lastRenderedPageBreak/>
              <w:t>MedDRA organų sistemų klasės</w:t>
            </w:r>
          </w:p>
          <w:p w14:paraId="5C2FED61" w14:textId="77777777" w:rsidR="00DC1CDC" w:rsidRPr="00D9492F" w:rsidRDefault="00DC1CDC" w:rsidP="00DC1CDC">
            <w:pPr>
              <w:keepNext/>
              <w:keepLines/>
              <w:spacing w:after="0" w:line="240" w:lineRule="auto"/>
              <w:rPr>
                <w:rFonts w:ascii="Times New Roman" w:eastAsia="Times New Roman" w:hAnsi="Times New Roman"/>
                <w:u w:val="single"/>
              </w:rPr>
            </w:pPr>
          </w:p>
        </w:tc>
        <w:tc>
          <w:tcPr>
            <w:tcW w:w="3006" w:type="dxa"/>
            <w:shd w:val="clear" w:color="auto" w:fill="auto"/>
          </w:tcPr>
          <w:p w14:paraId="35B28F8F"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 xml:space="preserve">Labai dažnos nepageidaujamos reakcijos </w:t>
            </w:r>
          </w:p>
          <w:p w14:paraId="1E3A3B51"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u w:val="single"/>
              </w:rPr>
            </w:pPr>
          </w:p>
        </w:tc>
        <w:tc>
          <w:tcPr>
            <w:tcW w:w="2952" w:type="dxa"/>
            <w:shd w:val="clear" w:color="auto" w:fill="auto"/>
          </w:tcPr>
          <w:p w14:paraId="3B024826"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Dažnos nepageidaujamos reakcijos</w:t>
            </w:r>
          </w:p>
          <w:p w14:paraId="6196BCB5" w14:textId="77777777" w:rsidR="00DC1CDC" w:rsidRPr="00D9492F" w:rsidRDefault="00DC1CDC" w:rsidP="00DC1CDC">
            <w:pPr>
              <w:keepNext/>
              <w:keepLines/>
              <w:spacing w:after="0" w:line="240" w:lineRule="auto"/>
              <w:rPr>
                <w:rFonts w:ascii="Times New Roman" w:hAnsi="Times New Roman"/>
                <w:u w:val="single"/>
              </w:rPr>
            </w:pPr>
          </w:p>
        </w:tc>
      </w:tr>
      <w:tr w:rsidR="00DC1CDC" w:rsidRPr="00D9492F" w14:paraId="75D5E437" w14:textId="77777777" w:rsidTr="0003751A">
        <w:trPr>
          <w:jc w:val="center"/>
        </w:trPr>
        <w:tc>
          <w:tcPr>
            <w:tcW w:w="3215" w:type="dxa"/>
          </w:tcPr>
          <w:p w14:paraId="182B773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Infekcijos ir infestacijos</w:t>
            </w:r>
          </w:p>
        </w:tc>
        <w:tc>
          <w:tcPr>
            <w:tcW w:w="3006" w:type="dxa"/>
          </w:tcPr>
          <w:p w14:paraId="56888E8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Infekcija (3</w:t>
            </w:r>
            <w:r w:rsidRPr="00D9492F">
              <w:rPr>
                <w:rFonts w:ascii="Times New Roman" w:hAnsi="Times New Roman"/>
              </w:rPr>
              <w:noBreakHyphen/>
              <w:t>4 laipsnio – 5 %)</w:t>
            </w:r>
            <w:r w:rsidR="0062274B" w:rsidRPr="00D9492F">
              <w:rPr>
                <w:rFonts w:ascii="Times New Roman" w:hAnsi="Times New Roman"/>
              </w:rPr>
              <w:t>.</w:t>
            </w:r>
          </w:p>
        </w:tc>
        <w:tc>
          <w:tcPr>
            <w:tcW w:w="2952" w:type="dxa"/>
          </w:tcPr>
          <w:p w14:paraId="4FCFE6CB" w14:textId="77777777" w:rsidR="00DC1CDC" w:rsidRPr="00D9492F" w:rsidRDefault="00DC1CDC" w:rsidP="00DC1CDC">
            <w:pPr>
              <w:keepNext/>
              <w:keepLines/>
              <w:spacing w:after="0" w:line="240" w:lineRule="auto"/>
              <w:rPr>
                <w:rFonts w:ascii="Times New Roman" w:hAnsi="Times New Roman"/>
              </w:rPr>
            </w:pPr>
          </w:p>
        </w:tc>
      </w:tr>
      <w:tr w:rsidR="00DC1CDC" w:rsidRPr="00D9492F" w14:paraId="1A8E140F" w14:textId="77777777" w:rsidTr="0003751A">
        <w:trPr>
          <w:jc w:val="center"/>
        </w:trPr>
        <w:tc>
          <w:tcPr>
            <w:tcW w:w="3215" w:type="dxa"/>
          </w:tcPr>
          <w:p w14:paraId="29A11675"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Kraujo ir limfinės sistemos sutrikimai</w:t>
            </w:r>
          </w:p>
        </w:tc>
        <w:tc>
          <w:tcPr>
            <w:tcW w:w="3006" w:type="dxa"/>
          </w:tcPr>
          <w:p w14:paraId="23E73F6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Neutropenija (3</w:t>
            </w:r>
            <w:r w:rsidRPr="00D9492F">
              <w:rPr>
                <w:rFonts w:ascii="Times New Roman" w:hAnsi="Times New Roman"/>
              </w:rPr>
              <w:noBreakHyphen/>
              <w:t>4 laipsnio – 54,2 %)</w:t>
            </w:r>
            <w:r w:rsidR="0062274B" w:rsidRPr="00D9492F">
              <w:rPr>
                <w:rFonts w:ascii="Times New Roman" w:hAnsi="Times New Roman"/>
              </w:rPr>
              <w:t>.</w:t>
            </w:r>
          </w:p>
          <w:p w14:paraId="79771A8A"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Anemija (3</w:t>
            </w:r>
            <w:r w:rsidRPr="00D9492F">
              <w:rPr>
                <w:rFonts w:ascii="Times New Roman" w:eastAsia="Times New Roman" w:hAnsi="Times New Roman"/>
              </w:rPr>
              <w:noBreakHyphen/>
              <w:t>4 laipsnio – 10,8 %)</w:t>
            </w:r>
            <w:r w:rsidR="0062274B" w:rsidRPr="00D9492F">
              <w:rPr>
                <w:rFonts w:ascii="Times New Roman" w:eastAsia="Times New Roman" w:hAnsi="Times New Roman"/>
              </w:rPr>
              <w:t>.</w:t>
            </w:r>
          </w:p>
          <w:p w14:paraId="69422A13"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Trombocitopenija (4 laipsnio – 1,7 %)</w:t>
            </w:r>
            <w:r w:rsidR="0062274B" w:rsidRPr="00D9492F">
              <w:rPr>
                <w:rFonts w:ascii="Times New Roman" w:eastAsia="Times New Roman" w:hAnsi="Times New Roman"/>
              </w:rPr>
              <w:t>.</w:t>
            </w:r>
          </w:p>
        </w:tc>
        <w:tc>
          <w:tcPr>
            <w:tcW w:w="2952" w:type="dxa"/>
          </w:tcPr>
          <w:p w14:paraId="2A55042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Febrilinė neutropenija</w:t>
            </w:r>
            <w:r w:rsidR="0062274B" w:rsidRPr="00D9492F">
              <w:rPr>
                <w:rFonts w:ascii="Times New Roman" w:hAnsi="Times New Roman"/>
              </w:rPr>
              <w:t>.</w:t>
            </w:r>
          </w:p>
        </w:tc>
      </w:tr>
      <w:tr w:rsidR="00DC1CDC" w:rsidRPr="00D9492F" w14:paraId="4B2BE7A1" w14:textId="77777777" w:rsidTr="0003751A">
        <w:trPr>
          <w:jc w:val="center"/>
        </w:trPr>
        <w:tc>
          <w:tcPr>
            <w:tcW w:w="3215" w:type="dxa"/>
          </w:tcPr>
          <w:p w14:paraId="57A4318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Imuninės sistemos sutrikimai</w:t>
            </w:r>
          </w:p>
        </w:tc>
        <w:tc>
          <w:tcPr>
            <w:tcW w:w="3006" w:type="dxa"/>
          </w:tcPr>
          <w:p w14:paraId="510CFD15" w14:textId="77777777" w:rsidR="00DC1CDC" w:rsidRPr="00D9492F" w:rsidRDefault="00DC1CDC" w:rsidP="00DC1CDC">
            <w:pPr>
              <w:keepNext/>
              <w:keepLines/>
              <w:spacing w:after="0" w:line="240" w:lineRule="auto"/>
              <w:rPr>
                <w:rFonts w:ascii="Times New Roman" w:hAnsi="Times New Roman"/>
              </w:rPr>
            </w:pPr>
          </w:p>
        </w:tc>
        <w:tc>
          <w:tcPr>
            <w:tcW w:w="2952" w:type="dxa"/>
          </w:tcPr>
          <w:p w14:paraId="7A55DDD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Padidėjęs jautrumas (nesunkus)</w:t>
            </w:r>
            <w:r w:rsidR="0062274B" w:rsidRPr="00D9492F">
              <w:rPr>
                <w:rFonts w:ascii="Times New Roman" w:hAnsi="Times New Roman"/>
              </w:rPr>
              <w:t>.</w:t>
            </w:r>
          </w:p>
        </w:tc>
      </w:tr>
      <w:tr w:rsidR="00DC1CDC" w:rsidRPr="00D9492F" w14:paraId="0678EF21" w14:textId="77777777" w:rsidTr="0003751A">
        <w:trPr>
          <w:jc w:val="center"/>
        </w:trPr>
        <w:tc>
          <w:tcPr>
            <w:tcW w:w="3215" w:type="dxa"/>
          </w:tcPr>
          <w:p w14:paraId="6E61EE9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Metabolizmo ir mitybos sutrikimai</w:t>
            </w:r>
          </w:p>
        </w:tc>
        <w:tc>
          <w:tcPr>
            <w:tcW w:w="3006" w:type="dxa"/>
          </w:tcPr>
          <w:p w14:paraId="3E0C092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Anoreksija</w:t>
            </w:r>
            <w:r w:rsidR="0062274B" w:rsidRPr="00D9492F">
              <w:rPr>
                <w:rFonts w:ascii="Times New Roman" w:hAnsi="Times New Roman"/>
              </w:rPr>
              <w:t>.</w:t>
            </w:r>
          </w:p>
        </w:tc>
        <w:tc>
          <w:tcPr>
            <w:tcW w:w="2952" w:type="dxa"/>
          </w:tcPr>
          <w:p w14:paraId="6EC7EA6B" w14:textId="77777777" w:rsidR="00DC1CDC" w:rsidRPr="00D9492F" w:rsidRDefault="00DC1CDC" w:rsidP="00DC1CDC">
            <w:pPr>
              <w:keepNext/>
              <w:keepLines/>
              <w:spacing w:after="0" w:line="240" w:lineRule="auto"/>
              <w:rPr>
                <w:rFonts w:ascii="Times New Roman" w:hAnsi="Times New Roman"/>
              </w:rPr>
            </w:pPr>
          </w:p>
        </w:tc>
      </w:tr>
      <w:tr w:rsidR="00DC1CDC" w:rsidRPr="00D9492F" w14:paraId="2EB9D1FB" w14:textId="77777777" w:rsidTr="0003751A">
        <w:trPr>
          <w:jc w:val="center"/>
        </w:trPr>
        <w:tc>
          <w:tcPr>
            <w:tcW w:w="3215" w:type="dxa"/>
          </w:tcPr>
          <w:p w14:paraId="687A79F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Nervų sistemos sutrikimai</w:t>
            </w:r>
          </w:p>
        </w:tc>
        <w:tc>
          <w:tcPr>
            <w:tcW w:w="3006" w:type="dxa"/>
          </w:tcPr>
          <w:p w14:paraId="3DA5BC5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sensorinė neuropatija (3</w:t>
            </w:r>
            <w:r w:rsidRPr="00D9492F">
              <w:rPr>
                <w:rFonts w:ascii="Times New Roman" w:hAnsi="Times New Roman"/>
              </w:rPr>
              <w:noBreakHyphen/>
              <w:t>4 laipsnio – 0,8 %)</w:t>
            </w:r>
            <w:r w:rsidR="0062274B" w:rsidRPr="00D9492F">
              <w:rPr>
                <w:rFonts w:ascii="Times New Roman" w:hAnsi="Times New Roman"/>
              </w:rPr>
              <w:t>.</w:t>
            </w:r>
          </w:p>
        </w:tc>
        <w:tc>
          <w:tcPr>
            <w:tcW w:w="2952" w:type="dxa"/>
          </w:tcPr>
          <w:p w14:paraId="1A36432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motorinė neuropatija (3</w:t>
            </w:r>
            <w:r w:rsidRPr="00D9492F">
              <w:rPr>
                <w:rFonts w:ascii="Times New Roman" w:hAnsi="Times New Roman"/>
              </w:rPr>
              <w:noBreakHyphen/>
              <w:t>4 laipsnio – 2,5 %)</w:t>
            </w:r>
            <w:r w:rsidR="0062274B" w:rsidRPr="00D9492F">
              <w:rPr>
                <w:rFonts w:ascii="Times New Roman" w:hAnsi="Times New Roman"/>
              </w:rPr>
              <w:t>.</w:t>
            </w:r>
          </w:p>
        </w:tc>
      </w:tr>
      <w:tr w:rsidR="00DC1CDC" w:rsidRPr="00D9492F" w14:paraId="5EE24AA1" w14:textId="77777777" w:rsidTr="0003751A">
        <w:trPr>
          <w:jc w:val="center"/>
        </w:trPr>
        <w:tc>
          <w:tcPr>
            <w:tcW w:w="3215" w:type="dxa"/>
          </w:tcPr>
          <w:p w14:paraId="29B95C3B"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Širdies sutrikimai</w:t>
            </w:r>
          </w:p>
        </w:tc>
        <w:tc>
          <w:tcPr>
            <w:tcW w:w="3006" w:type="dxa"/>
          </w:tcPr>
          <w:p w14:paraId="4714194D" w14:textId="77777777" w:rsidR="00DC1CDC" w:rsidRPr="00D9492F" w:rsidRDefault="00DC1CDC" w:rsidP="00DC1CDC">
            <w:pPr>
              <w:keepNext/>
              <w:keepLines/>
              <w:spacing w:after="0" w:line="240" w:lineRule="auto"/>
              <w:rPr>
                <w:rFonts w:ascii="Times New Roman" w:hAnsi="Times New Roman"/>
              </w:rPr>
            </w:pPr>
          </w:p>
        </w:tc>
        <w:tc>
          <w:tcPr>
            <w:tcW w:w="2952" w:type="dxa"/>
          </w:tcPr>
          <w:p w14:paraId="691B7EF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Aritmija (nesunki)</w:t>
            </w:r>
            <w:r w:rsidR="0062274B" w:rsidRPr="00D9492F">
              <w:rPr>
                <w:rFonts w:ascii="Times New Roman" w:hAnsi="Times New Roman"/>
              </w:rPr>
              <w:t>.</w:t>
            </w:r>
            <w:r w:rsidRPr="00D9492F">
              <w:rPr>
                <w:rFonts w:ascii="Times New Roman" w:hAnsi="Times New Roman"/>
              </w:rPr>
              <w:t xml:space="preserve"> </w:t>
            </w:r>
          </w:p>
        </w:tc>
      </w:tr>
      <w:tr w:rsidR="00DC1CDC" w:rsidRPr="00D9492F" w14:paraId="76A4FBE4" w14:textId="77777777" w:rsidTr="0003751A">
        <w:trPr>
          <w:jc w:val="center"/>
        </w:trPr>
        <w:tc>
          <w:tcPr>
            <w:tcW w:w="3215" w:type="dxa"/>
          </w:tcPr>
          <w:p w14:paraId="2A55E33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Kraujagyslių sutrikimai</w:t>
            </w:r>
          </w:p>
        </w:tc>
        <w:tc>
          <w:tcPr>
            <w:tcW w:w="3006" w:type="dxa"/>
          </w:tcPr>
          <w:p w14:paraId="3BFAC84A" w14:textId="77777777" w:rsidR="00DC1CDC" w:rsidRPr="00D9492F" w:rsidRDefault="00DC1CDC" w:rsidP="00DC1CDC">
            <w:pPr>
              <w:keepNext/>
              <w:keepLines/>
              <w:spacing w:after="0" w:line="240" w:lineRule="auto"/>
              <w:rPr>
                <w:rFonts w:ascii="Times New Roman" w:hAnsi="Times New Roman"/>
              </w:rPr>
            </w:pPr>
          </w:p>
        </w:tc>
        <w:tc>
          <w:tcPr>
            <w:tcW w:w="2952" w:type="dxa"/>
          </w:tcPr>
          <w:p w14:paraId="1EE29CC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Hipotenzija</w:t>
            </w:r>
            <w:r w:rsidR="0062274B" w:rsidRPr="00D9492F">
              <w:rPr>
                <w:rFonts w:ascii="Times New Roman" w:hAnsi="Times New Roman"/>
              </w:rPr>
              <w:t>.</w:t>
            </w:r>
          </w:p>
        </w:tc>
      </w:tr>
      <w:tr w:rsidR="00DC1CDC" w:rsidRPr="00D9492F" w14:paraId="76B8A4C2" w14:textId="77777777" w:rsidTr="00AA0DA9">
        <w:trPr>
          <w:trHeight w:val="2112"/>
          <w:jc w:val="center"/>
        </w:trPr>
        <w:tc>
          <w:tcPr>
            <w:tcW w:w="3215" w:type="dxa"/>
          </w:tcPr>
          <w:p w14:paraId="3260613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Virškinimo trakto sutrikimai</w:t>
            </w:r>
          </w:p>
        </w:tc>
        <w:tc>
          <w:tcPr>
            <w:tcW w:w="3006" w:type="dxa"/>
          </w:tcPr>
          <w:p w14:paraId="367EAA3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Pykinimas (3</w:t>
            </w:r>
            <w:r w:rsidRPr="00D9492F">
              <w:rPr>
                <w:rFonts w:ascii="Times New Roman" w:hAnsi="Times New Roman"/>
              </w:rPr>
              <w:noBreakHyphen/>
              <w:t>4 laipsnio – 3,3 %)</w:t>
            </w:r>
            <w:r w:rsidR="0062274B" w:rsidRPr="00D9492F">
              <w:rPr>
                <w:rFonts w:ascii="Times New Roman" w:hAnsi="Times New Roman"/>
              </w:rPr>
              <w:t>.</w:t>
            </w:r>
          </w:p>
          <w:p w14:paraId="3455BA8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Stomatitas (3</w:t>
            </w:r>
            <w:r w:rsidRPr="00D9492F">
              <w:rPr>
                <w:rFonts w:ascii="Times New Roman" w:hAnsi="Times New Roman"/>
              </w:rPr>
              <w:noBreakHyphen/>
              <w:t>4 laipsnio – 1,7 %)</w:t>
            </w:r>
            <w:r w:rsidR="0062274B" w:rsidRPr="00D9492F">
              <w:rPr>
                <w:rFonts w:ascii="Times New Roman" w:hAnsi="Times New Roman"/>
              </w:rPr>
              <w:t>.</w:t>
            </w:r>
          </w:p>
          <w:p w14:paraId="57E1BB1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Vėmimas (3</w:t>
            </w:r>
            <w:r w:rsidRPr="00D9492F">
              <w:rPr>
                <w:rFonts w:ascii="Times New Roman" w:hAnsi="Times New Roman"/>
              </w:rPr>
              <w:noBreakHyphen/>
              <w:t>4 laipsnio – 0,8 %)</w:t>
            </w:r>
            <w:r w:rsidR="0062274B" w:rsidRPr="00D9492F">
              <w:rPr>
                <w:rFonts w:ascii="Times New Roman" w:hAnsi="Times New Roman"/>
              </w:rPr>
              <w:t>.</w:t>
            </w:r>
          </w:p>
          <w:p w14:paraId="09D41AD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Viduriavimas (3</w:t>
            </w:r>
            <w:r w:rsidRPr="00D9492F">
              <w:rPr>
                <w:rFonts w:ascii="Times New Roman" w:hAnsi="Times New Roman"/>
              </w:rPr>
              <w:noBreakHyphen/>
              <w:t>4 laipsnio – 1,7 %)</w:t>
            </w:r>
            <w:r w:rsidR="0062274B" w:rsidRPr="00D9492F">
              <w:rPr>
                <w:rFonts w:ascii="Times New Roman" w:hAnsi="Times New Roman"/>
              </w:rPr>
              <w:t>.</w:t>
            </w:r>
          </w:p>
        </w:tc>
        <w:tc>
          <w:tcPr>
            <w:tcW w:w="2952" w:type="dxa"/>
          </w:tcPr>
          <w:p w14:paraId="29171CC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Vidurių užkietėjimas</w:t>
            </w:r>
            <w:r w:rsidR="0062274B" w:rsidRPr="00D9492F">
              <w:rPr>
                <w:rFonts w:ascii="Times New Roman" w:hAnsi="Times New Roman"/>
              </w:rPr>
              <w:t>.</w:t>
            </w:r>
          </w:p>
        </w:tc>
      </w:tr>
      <w:tr w:rsidR="00DC1CDC" w:rsidRPr="00D9492F" w14:paraId="2F9C162D" w14:textId="77777777" w:rsidTr="0003751A">
        <w:trPr>
          <w:jc w:val="center"/>
        </w:trPr>
        <w:tc>
          <w:tcPr>
            <w:tcW w:w="3215" w:type="dxa"/>
          </w:tcPr>
          <w:p w14:paraId="2495A0D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Odos ir poodinio audinio sutrikimai</w:t>
            </w:r>
          </w:p>
        </w:tc>
        <w:tc>
          <w:tcPr>
            <w:tcW w:w="3006" w:type="dxa"/>
          </w:tcPr>
          <w:p w14:paraId="1B47FD0C"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Alopecija</w:t>
            </w:r>
            <w:r w:rsidR="0062274B" w:rsidRPr="00D9492F">
              <w:rPr>
                <w:rFonts w:ascii="Times New Roman" w:eastAsia="Times New Roman" w:hAnsi="Times New Roman"/>
                <w:bCs/>
                <w:iCs/>
              </w:rPr>
              <w:t>.</w:t>
            </w:r>
          </w:p>
          <w:p w14:paraId="33C37DE4"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Odos reakcija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0,8 %)</w:t>
            </w:r>
            <w:r w:rsidR="0062274B" w:rsidRPr="00D9492F">
              <w:rPr>
                <w:rFonts w:ascii="Times New Roman" w:eastAsia="Times New Roman" w:hAnsi="Times New Roman"/>
                <w:bCs/>
                <w:iCs/>
              </w:rPr>
              <w:t>.</w:t>
            </w:r>
          </w:p>
        </w:tc>
        <w:tc>
          <w:tcPr>
            <w:tcW w:w="2952" w:type="dxa"/>
          </w:tcPr>
          <w:p w14:paraId="6DC1671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Nagų </w:t>
            </w:r>
            <w:r w:rsidRPr="00D9492F">
              <w:rPr>
                <w:rFonts w:ascii="Times New Roman" w:hAnsi="Times New Roman"/>
                <w:bCs/>
                <w:iCs/>
              </w:rPr>
              <w:t xml:space="preserve">pažeidimai </w:t>
            </w:r>
            <w:r w:rsidRPr="00D9492F">
              <w:rPr>
                <w:rFonts w:ascii="Times New Roman" w:hAnsi="Times New Roman"/>
              </w:rPr>
              <w:t>(sunkūs – 0,8 %)</w:t>
            </w:r>
            <w:r w:rsidR="0062274B" w:rsidRPr="00D9492F">
              <w:rPr>
                <w:rFonts w:ascii="Times New Roman" w:hAnsi="Times New Roman"/>
              </w:rPr>
              <w:t>.</w:t>
            </w:r>
          </w:p>
        </w:tc>
      </w:tr>
      <w:tr w:rsidR="00DC1CDC" w:rsidRPr="00D9492F" w14:paraId="1EA3B0F4" w14:textId="77777777" w:rsidTr="0003751A">
        <w:trPr>
          <w:jc w:val="center"/>
        </w:trPr>
        <w:tc>
          <w:tcPr>
            <w:tcW w:w="3215" w:type="dxa"/>
          </w:tcPr>
          <w:p w14:paraId="120B80E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bCs/>
                <w:noProof/>
              </w:rPr>
              <w:t>Skeleto, raumenų ir jungiamojo audinio sutrikimai</w:t>
            </w:r>
          </w:p>
        </w:tc>
        <w:tc>
          <w:tcPr>
            <w:tcW w:w="3006" w:type="dxa"/>
          </w:tcPr>
          <w:p w14:paraId="5E5D25D6" w14:textId="77777777" w:rsidR="00DC1CDC" w:rsidRPr="00D9492F" w:rsidRDefault="00DC1CDC" w:rsidP="00DC1CDC">
            <w:pPr>
              <w:keepNext/>
              <w:keepLines/>
              <w:spacing w:after="0" w:line="240" w:lineRule="auto"/>
              <w:rPr>
                <w:rFonts w:ascii="Times New Roman" w:hAnsi="Times New Roman"/>
              </w:rPr>
            </w:pPr>
          </w:p>
        </w:tc>
        <w:tc>
          <w:tcPr>
            <w:tcW w:w="2952" w:type="dxa"/>
          </w:tcPr>
          <w:p w14:paraId="36816F9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Mialgija</w:t>
            </w:r>
            <w:r w:rsidR="0062274B" w:rsidRPr="00D9492F">
              <w:rPr>
                <w:rFonts w:ascii="Times New Roman" w:hAnsi="Times New Roman"/>
              </w:rPr>
              <w:t>.</w:t>
            </w:r>
          </w:p>
        </w:tc>
      </w:tr>
      <w:tr w:rsidR="00DC1CDC" w:rsidRPr="00D9492F" w14:paraId="5F2C532C" w14:textId="77777777" w:rsidTr="0003751A">
        <w:trPr>
          <w:jc w:val="center"/>
        </w:trPr>
        <w:tc>
          <w:tcPr>
            <w:tcW w:w="3215" w:type="dxa"/>
          </w:tcPr>
          <w:p w14:paraId="08C84F1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Bendri</w:t>
            </w:r>
            <w:r w:rsidR="004849A2" w:rsidRPr="00D9492F">
              <w:rPr>
                <w:rFonts w:ascii="Times New Roman" w:hAnsi="Times New Roman"/>
              </w:rPr>
              <w:t>eji</w:t>
            </w:r>
            <w:r w:rsidRPr="00D9492F">
              <w:rPr>
                <w:rFonts w:ascii="Times New Roman" w:hAnsi="Times New Roman"/>
              </w:rPr>
              <w:t xml:space="preserve"> sutrikimai ir vartojimo vietos pažeidimai</w:t>
            </w:r>
          </w:p>
        </w:tc>
        <w:tc>
          <w:tcPr>
            <w:tcW w:w="3006" w:type="dxa"/>
          </w:tcPr>
          <w:p w14:paraId="078F060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Astenija (sunki – 12,4 %)</w:t>
            </w:r>
            <w:r w:rsidR="00712D44" w:rsidRPr="00D9492F">
              <w:rPr>
                <w:rFonts w:ascii="Times New Roman" w:hAnsi="Times New Roman"/>
              </w:rPr>
              <w:t>.</w:t>
            </w:r>
          </w:p>
          <w:p w14:paraId="14E6871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Skysčių susilaikymas (sunkus – 0,8 %)</w:t>
            </w:r>
            <w:r w:rsidR="00712D44" w:rsidRPr="00D9492F">
              <w:rPr>
                <w:rFonts w:ascii="Times New Roman" w:hAnsi="Times New Roman"/>
              </w:rPr>
              <w:t>.</w:t>
            </w:r>
          </w:p>
          <w:p w14:paraId="6AD8792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Skausmas</w:t>
            </w:r>
            <w:r w:rsidR="00712D44" w:rsidRPr="00D9492F">
              <w:rPr>
                <w:rFonts w:ascii="Times New Roman" w:hAnsi="Times New Roman"/>
              </w:rPr>
              <w:t>.</w:t>
            </w:r>
          </w:p>
        </w:tc>
        <w:tc>
          <w:tcPr>
            <w:tcW w:w="2952" w:type="dxa"/>
          </w:tcPr>
          <w:p w14:paraId="0DADCA08" w14:textId="77777777" w:rsidR="00DC1CDC" w:rsidRPr="00D9492F" w:rsidRDefault="00DC1CDC" w:rsidP="00DC1CDC">
            <w:pPr>
              <w:keepNext/>
              <w:keepLines/>
              <w:spacing w:after="0" w:line="240" w:lineRule="auto"/>
              <w:rPr>
                <w:rFonts w:ascii="Times New Roman" w:hAnsi="Times New Roman"/>
              </w:rPr>
            </w:pPr>
          </w:p>
        </w:tc>
      </w:tr>
      <w:tr w:rsidR="00DC1CDC" w:rsidRPr="00D9492F" w14:paraId="4C53F9D7" w14:textId="77777777" w:rsidTr="0003751A">
        <w:trPr>
          <w:jc w:val="center"/>
        </w:trPr>
        <w:tc>
          <w:tcPr>
            <w:tcW w:w="3215" w:type="dxa"/>
          </w:tcPr>
          <w:p w14:paraId="427F96A7"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Tyrimai</w:t>
            </w:r>
          </w:p>
        </w:tc>
        <w:tc>
          <w:tcPr>
            <w:tcW w:w="3006" w:type="dxa"/>
          </w:tcPr>
          <w:p w14:paraId="33C34C13" w14:textId="77777777" w:rsidR="00DC1CDC" w:rsidRPr="00D9492F" w:rsidRDefault="00DC1CDC" w:rsidP="00DC1CDC">
            <w:pPr>
              <w:keepNext/>
              <w:keepLines/>
              <w:spacing w:after="0" w:line="240" w:lineRule="auto"/>
              <w:rPr>
                <w:rFonts w:ascii="Times New Roman" w:hAnsi="Times New Roman"/>
              </w:rPr>
            </w:pPr>
          </w:p>
        </w:tc>
        <w:tc>
          <w:tcPr>
            <w:tcW w:w="2952" w:type="dxa"/>
          </w:tcPr>
          <w:p w14:paraId="664A52B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bilirubino koncentracijos kraujyje padidėjimas (&lt; 2 %)</w:t>
            </w:r>
            <w:r w:rsidR="00712D44" w:rsidRPr="00D9492F">
              <w:rPr>
                <w:rFonts w:ascii="Times New Roman" w:hAnsi="Times New Roman"/>
              </w:rPr>
              <w:t>.</w:t>
            </w:r>
          </w:p>
        </w:tc>
      </w:tr>
    </w:tbl>
    <w:p w14:paraId="4CA49242" w14:textId="77777777" w:rsidR="00DC1CDC" w:rsidRPr="00D9492F" w:rsidRDefault="00DC1CDC" w:rsidP="00DC1CDC">
      <w:pPr>
        <w:keepNext/>
        <w:suppressAutoHyphens/>
        <w:spacing w:after="0" w:line="240" w:lineRule="auto"/>
        <w:rPr>
          <w:rFonts w:ascii="Times New Roman" w:eastAsia="Times New Roman" w:hAnsi="Times New Roman"/>
          <w:bCs/>
          <w:u w:val="single"/>
        </w:rPr>
      </w:pPr>
    </w:p>
    <w:p w14:paraId="608BD00E" w14:textId="630034EF" w:rsidR="00DC1CDC" w:rsidRPr="00D9492F" w:rsidRDefault="005B1DF2" w:rsidP="00DC1CDC">
      <w:pPr>
        <w:keepNext/>
        <w:suppressAutoHyphens/>
        <w:spacing w:after="0" w:line="240" w:lineRule="auto"/>
        <w:rPr>
          <w:rFonts w:ascii="Times New Roman" w:eastAsia="Times New Roman" w:hAnsi="Times New Roman"/>
          <w:bCs/>
          <w:u w:val="single"/>
        </w:rPr>
      </w:pPr>
      <w:r w:rsidRPr="00D9492F">
        <w:rPr>
          <w:rFonts w:ascii="Times New Roman" w:eastAsia="Times New Roman" w:hAnsi="Times New Roman"/>
          <w:bCs/>
          <w:u w:val="single"/>
        </w:rPr>
        <w:t>Nepageidaujamų reakcijų, atsiradusių vartojant Docetaxel SanoSwiss 75</w:t>
      </w:r>
      <w:r w:rsidR="00052B9E" w:rsidRPr="00D9492F">
        <w:rPr>
          <w:rFonts w:ascii="Times New Roman" w:eastAsia="Times New Roman" w:hAnsi="Times New Roman"/>
          <w:bCs/>
          <w:u w:val="single"/>
        </w:rPr>
        <w:t> </w:t>
      </w:r>
      <w:r w:rsidRPr="00D9492F">
        <w:rPr>
          <w:rFonts w:ascii="Times New Roman" w:eastAsia="Times New Roman" w:hAnsi="Times New Roman"/>
          <w:bCs/>
          <w:u w:val="single"/>
        </w:rPr>
        <w:t xml:space="preserve">mg/m² su doksorubicinu dozę krūties vėžio monoterapijai, </w:t>
      </w:r>
      <w:r w:rsidR="008C7CA5" w:rsidRPr="00D9492F">
        <w:rPr>
          <w:rFonts w:ascii="Times New Roman" w:eastAsia="Times New Roman" w:hAnsi="Times New Roman"/>
          <w:bCs/>
          <w:u w:val="single"/>
        </w:rPr>
        <w:t>santrauka lentelėje</w:t>
      </w:r>
      <w:r w:rsidRPr="00D9492F">
        <w:rPr>
          <w:rFonts w:ascii="Times New Roman" w:eastAsia="Times New Roman" w:hAnsi="Times New Roman"/>
          <w:bCs/>
          <w:u w:val="single"/>
        </w:rPr>
        <w:t xml:space="preserve"> </w:t>
      </w:r>
    </w:p>
    <w:p w14:paraId="6EB9A05F" w14:textId="77777777" w:rsidR="00DC1CDC" w:rsidRPr="00D9492F" w:rsidRDefault="00DC1CDC" w:rsidP="00DC1CDC">
      <w:pPr>
        <w:keepNext/>
        <w:keepLines/>
        <w:tabs>
          <w:tab w:val="left" w:pos="7655"/>
        </w:tabs>
        <w:suppressAutoHyphens/>
        <w:spacing w:after="0" w:line="240" w:lineRule="auto"/>
        <w:rPr>
          <w:rFonts w:ascii="Times New Roman" w:eastAsia="Times New Roman" w:hAnsi="Times New Roman"/>
        </w:rPr>
      </w:pP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14"/>
        <w:gridCol w:w="2316"/>
        <w:gridCol w:w="2313"/>
        <w:gridCol w:w="2315"/>
      </w:tblGrid>
      <w:tr w:rsidR="00DC1CDC" w:rsidRPr="00D9492F" w14:paraId="4121F80C" w14:textId="77777777" w:rsidTr="00AA0DA9">
        <w:trPr>
          <w:tblHeader/>
          <w:jc w:val="center"/>
        </w:trPr>
        <w:tc>
          <w:tcPr>
            <w:tcW w:w="2314" w:type="dxa"/>
            <w:shd w:val="clear" w:color="auto" w:fill="auto"/>
          </w:tcPr>
          <w:p w14:paraId="624A3CF1"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lastRenderedPageBreak/>
              <w:t>MedDRA organų sistemų klasės</w:t>
            </w:r>
          </w:p>
          <w:p w14:paraId="5510E10F" w14:textId="77777777" w:rsidR="00DC1CDC" w:rsidRPr="00D9492F" w:rsidRDefault="00DC1CDC" w:rsidP="00DC1CDC">
            <w:pPr>
              <w:keepNext/>
              <w:keepLines/>
              <w:spacing w:after="0" w:line="240" w:lineRule="auto"/>
              <w:rPr>
                <w:rFonts w:ascii="Times New Roman" w:hAnsi="Times New Roman"/>
                <w:u w:val="single"/>
              </w:rPr>
            </w:pPr>
          </w:p>
        </w:tc>
        <w:tc>
          <w:tcPr>
            <w:tcW w:w="2316" w:type="dxa"/>
            <w:shd w:val="clear" w:color="auto" w:fill="auto"/>
          </w:tcPr>
          <w:p w14:paraId="0396F1CA"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 xml:space="preserve">Labai dažnos nepageidaujamos reakcijos </w:t>
            </w:r>
          </w:p>
          <w:p w14:paraId="50C69717"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u w:val="single"/>
              </w:rPr>
            </w:pPr>
          </w:p>
        </w:tc>
        <w:tc>
          <w:tcPr>
            <w:tcW w:w="2313" w:type="dxa"/>
            <w:shd w:val="clear" w:color="auto" w:fill="auto"/>
          </w:tcPr>
          <w:p w14:paraId="6D9F3CD9"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Dažnos nepageidaujamos reakcijos</w:t>
            </w:r>
          </w:p>
          <w:p w14:paraId="10EE3577" w14:textId="77777777" w:rsidR="00DC1CDC" w:rsidRPr="00D9492F" w:rsidRDefault="00DC1CDC" w:rsidP="00DC1CDC">
            <w:pPr>
              <w:keepNext/>
              <w:keepLines/>
              <w:spacing w:after="0" w:line="240" w:lineRule="auto"/>
              <w:rPr>
                <w:rFonts w:ascii="Times New Roman" w:hAnsi="Times New Roman"/>
                <w:u w:val="single"/>
              </w:rPr>
            </w:pPr>
          </w:p>
        </w:tc>
        <w:tc>
          <w:tcPr>
            <w:tcW w:w="2315" w:type="dxa"/>
            <w:shd w:val="clear" w:color="auto" w:fill="auto"/>
          </w:tcPr>
          <w:p w14:paraId="1D85C79C"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Nedažnos nepageidaujamos reakcijos</w:t>
            </w:r>
          </w:p>
          <w:p w14:paraId="30477A0C" w14:textId="77777777" w:rsidR="00DC1CDC" w:rsidRPr="00D9492F" w:rsidRDefault="00DC1CDC" w:rsidP="00DC1CDC">
            <w:pPr>
              <w:keepNext/>
              <w:keepLines/>
              <w:spacing w:after="0" w:line="240" w:lineRule="auto"/>
              <w:rPr>
                <w:rFonts w:ascii="Times New Roman" w:hAnsi="Times New Roman"/>
                <w:u w:val="single"/>
              </w:rPr>
            </w:pPr>
          </w:p>
        </w:tc>
      </w:tr>
      <w:tr w:rsidR="00DC1CDC" w:rsidRPr="00D9492F" w14:paraId="30F1AA68" w14:textId="77777777" w:rsidTr="00AA0DA9">
        <w:trPr>
          <w:jc w:val="center"/>
        </w:trPr>
        <w:tc>
          <w:tcPr>
            <w:tcW w:w="2314" w:type="dxa"/>
          </w:tcPr>
          <w:p w14:paraId="4F35CE7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Infekcijos ir infestacijos</w:t>
            </w:r>
          </w:p>
        </w:tc>
        <w:tc>
          <w:tcPr>
            <w:tcW w:w="2316" w:type="dxa"/>
          </w:tcPr>
          <w:p w14:paraId="5E3E402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Infekcija (3</w:t>
            </w:r>
            <w:r w:rsidRPr="00D9492F">
              <w:rPr>
                <w:rFonts w:ascii="Times New Roman" w:hAnsi="Times New Roman"/>
              </w:rPr>
              <w:noBreakHyphen/>
              <w:t>4 laipsnio – 7,8 %)</w:t>
            </w:r>
            <w:r w:rsidR="00712D44" w:rsidRPr="00D9492F">
              <w:rPr>
                <w:rFonts w:ascii="Times New Roman" w:hAnsi="Times New Roman"/>
              </w:rPr>
              <w:t>.</w:t>
            </w:r>
          </w:p>
        </w:tc>
        <w:tc>
          <w:tcPr>
            <w:tcW w:w="2313" w:type="dxa"/>
          </w:tcPr>
          <w:p w14:paraId="152F4C32" w14:textId="77777777" w:rsidR="00DC1CDC" w:rsidRPr="00D9492F" w:rsidRDefault="00DC1CDC" w:rsidP="00DC1CDC">
            <w:pPr>
              <w:keepNext/>
              <w:keepLines/>
              <w:spacing w:after="0" w:line="240" w:lineRule="auto"/>
              <w:rPr>
                <w:rFonts w:ascii="Times New Roman" w:hAnsi="Times New Roman"/>
              </w:rPr>
            </w:pPr>
          </w:p>
        </w:tc>
        <w:tc>
          <w:tcPr>
            <w:tcW w:w="2315" w:type="dxa"/>
          </w:tcPr>
          <w:p w14:paraId="528AC699" w14:textId="77777777" w:rsidR="00DC1CDC" w:rsidRPr="00D9492F" w:rsidRDefault="00DC1CDC" w:rsidP="00DC1CDC">
            <w:pPr>
              <w:keepNext/>
              <w:keepLines/>
              <w:spacing w:after="0" w:line="240" w:lineRule="auto"/>
              <w:rPr>
                <w:rFonts w:ascii="Times New Roman" w:hAnsi="Times New Roman"/>
              </w:rPr>
            </w:pPr>
          </w:p>
        </w:tc>
      </w:tr>
      <w:tr w:rsidR="00DC1CDC" w:rsidRPr="00D9492F" w14:paraId="50550924" w14:textId="77777777" w:rsidTr="00AA0DA9">
        <w:trPr>
          <w:jc w:val="center"/>
        </w:trPr>
        <w:tc>
          <w:tcPr>
            <w:tcW w:w="2314" w:type="dxa"/>
          </w:tcPr>
          <w:p w14:paraId="422334EB"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Kraujo ir limfinės sistemos sutrikimai</w:t>
            </w:r>
          </w:p>
        </w:tc>
        <w:tc>
          <w:tcPr>
            <w:tcW w:w="2316" w:type="dxa"/>
          </w:tcPr>
          <w:p w14:paraId="5BB1ECB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Neutropenija (3</w:t>
            </w:r>
            <w:r w:rsidRPr="00D9492F">
              <w:rPr>
                <w:rFonts w:ascii="Times New Roman" w:hAnsi="Times New Roman"/>
              </w:rPr>
              <w:noBreakHyphen/>
              <w:t>4 laipsnio – 91,7 %)</w:t>
            </w:r>
            <w:r w:rsidR="00712D44" w:rsidRPr="00D9492F">
              <w:rPr>
                <w:rFonts w:ascii="Times New Roman" w:hAnsi="Times New Roman"/>
              </w:rPr>
              <w:t>.</w:t>
            </w:r>
          </w:p>
          <w:p w14:paraId="53D418E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Anemija (3</w:t>
            </w:r>
            <w:r w:rsidRPr="00D9492F">
              <w:rPr>
                <w:rFonts w:ascii="Times New Roman" w:hAnsi="Times New Roman"/>
              </w:rPr>
              <w:noBreakHyphen/>
              <w:t>4 laipsnio – 9,4 %)</w:t>
            </w:r>
            <w:r w:rsidR="00712D44" w:rsidRPr="00D9492F">
              <w:rPr>
                <w:rFonts w:ascii="Times New Roman" w:hAnsi="Times New Roman"/>
              </w:rPr>
              <w:t>.</w:t>
            </w:r>
          </w:p>
          <w:p w14:paraId="0ACC34A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Febrilinė neutropenija</w:t>
            </w:r>
            <w:r w:rsidR="00712D44" w:rsidRPr="00D9492F">
              <w:rPr>
                <w:rFonts w:ascii="Times New Roman" w:hAnsi="Times New Roman"/>
              </w:rPr>
              <w:t>.</w:t>
            </w:r>
          </w:p>
          <w:p w14:paraId="570BCEB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Trombocitopenija (4 laipsnio – 0,8 %)</w:t>
            </w:r>
            <w:r w:rsidR="00712D44" w:rsidRPr="00D9492F">
              <w:rPr>
                <w:rFonts w:ascii="Times New Roman" w:hAnsi="Times New Roman"/>
              </w:rPr>
              <w:t>.</w:t>
            </w:r>
          </w:p>
        </w:tc>
        <w:tc>
          <w:tcPr>
            <w:tcW w:w="2313" w:type="dxa"/>
          </w:tcPr>
          <w:p w14:paraId="7B072915" w14:textId="77777777" w:rsidR="00DC1CDC" w:rsidRPr="00D9492F" w:rsidRDefault="00DC1CDC" w:rsidP="00DC1CDC">
            <w:pPr>
              <w:keepNext/>
              <w:keepLines/>
              <w:spacing w:after="0" w:line="240" w:lineRule="auto"/>
              <w:rPr>
                <w:rFonts w:ascii="Times New Roman" w:hAnsi="Times New Roman"/>
              </w:rPr>
            </w:pPr>
          </w:p>
        </w:tc>
        <w:tc>
          <w:tcPr>
            <w:tcW w:w="2315" w:type="dxa"/>
          </w:tcPr>
          <w:p w14:paraId="5CC01791" w14:textId="77777777" w:rsidR="00DC1CDC" w:rsidRPr="00D9492F" w:rsidRDefault="00DC1CDC" w:rsidP="00DC1CDC">
            <w:pPr>
              <w:keepNext/>
              <w:keepLines/>
              <w:spacing w:after="0" w:line="240" w:lineRule="auto"/>
              <w:rPr>
                <w:rFonts w:ascii="Times New Roman" w:hAnsi="Times New Roman"/>
              </w:rPr>
            </w:pPr>
          </w:p>
        </w:tc>
      </w:tr>
      <w:tr w:rsidR="00DC1CDC" w:rsidRPr="00D9492F" w14:paraId="24380436" w14:textId="77777777" w:rsidTr="00AA0DA9">
        <w:trPr>
          <w:jc w:val="center"/>
        </w:trPr>
        <w:tc>
          <w:tcPr>
            <w:tcW w:w="2314" w:type="dxa"/>
          </w:tcPr>
          <w:p w14:paraId="694C806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Imuninės sistemos sutrikimai</w:t>
            </w:r>
          </w:p>
        </w:tc>
        <w:tc>
          <w:tcPr>
            <w:tcW w:w="2316" w:type="dxa"/>
          </w:tcPr>
          <w:p w14:paraId="36E6861F" w14:textId="77777777" w:rsidR="00DC1CDC" w:rsidRPr="00D9492F" w:rsidRDefault="00DC1CDC" w:rsidP="00DC1CDC">
            <w:pPr>
              <w:keepNext/>
              <w:keepLines/>
              <w:spacing w:after="0" w:line="240" w:lineRule="auto"/>
              <w:rPr>
                <w:rFonts w:ascii="Times New Roman" w:hAnsi="Times New Roman"/>
              </w:rPr>
            </w:pPr>
          </w:p>
        </w:tc>
        <w:tc>
          <w:tcPr>
            <w:tcW w:w="2313" w:type="dxa"/>
          </w:tcPr>
          <w:p w14:paraId="44B42E8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Padidėjęs jautrumas (3</w:t>
            </w:r>
            <w:r w:rsidRPr="00D9492F">
              <w:rPr>
                <w:rFonts w:ascii="Times New Roman" w:hAnsi="Times New Roman"/>
              </w:rPr>
              <w:noBreakHyphen/>
              <w:t>4 laipsnio – 1,2 %)</w:t>
            </w:r>
            <w:r w:rsidR="00712D44" w:rsidRPr="00D9492F">
              <w:rPr>
                <w:rFonts w:ascii="Times New Roman" w:hAnsi="Times New Roman"/>
              </w:rPr>
              <w:t>.</w:t>
            </w:r>
          </w:p>
        </w:tc>
        <w:tc>
          <w:tcPr>
            <w:tcW w:w="2315" w:type="dxa"/>
          </w:tcPr>
          <w:p w14:paraId="4F69ADA9" w14:textId="77777777" w:rsidR="00DC1CDC" w:rsidRPr="00D9492F" w:rsidRDefault="00DC1CDC" w:rsidP="00DC1CDC">
            <w:pPr>
              <w:keepNext/>
              <w:keepLines/>
              <w:spacing w:after="0" w:line="240" w:lineRule="auto"/>
              <w:rPr>
                <w:rFonts w:ascii="Times New Roman" w:hAnsi="Times New Roman"/>
              </w:rPr>
            </w:pPr>
          </w:p>
        </w:tc>
      </w:tr>
      <w:tr w:rsidR="00DC1CDC" w:rsidRPr="00D9492F" w14:paraId="5FCCBC13" w14:textId="77777777" w:rsidTr="00AA0DA9">
        <w:trPr>
          <w:jc w:val="center"/>
        </w:trPr>
        <w:tc>
          <w:tcPr>
            <w:tcW w:w="2314" w:type="dxa"/>
          </w:tcPr>
          <w:p w14:paraId="140660F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Metabolizmo ir mitybos sutrikimai</w:t>
            </w:r>
          </w:p>
        </w:tc>
        <w:tc>
          <w:tcPr>
            <w:tcW w:w="2316" w:type="dxa"/>
          </w:tcPr>
          <w:p w14:paraId="53C292EF" w14:textId="77777777" w:rsidR="00DC1CDC" w:rsidRPr="00D9492F" w:rsidRDefault="00DC1CDC" w:rsidP="00DC1CDC">
            <w:pPr>
              <w:keepNext/>
              <w:keepLines/>
              <w:spacing w:after="0" w:line="240" w:lineRule="auto"/>
              <w:rPr>
                <w:rFonts w:ascii="Times New Roman" w:hAnsi="Times New Roman"/>
              </w:rPr>
            </w:pPr>
          </w:p>
        </w:tc>
        <w:tc>
          <w:tcPr>
            <w:tcW w:w="2313" w:type="dxa"/>
          </w:tcPr>
          <w:p w14:paraId="6A8BC54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Anoreksija</w:t>
            </w:r>
            <w:r w:rsidR="00712D44" w:rsidRPr="00D9492F">
              <w:rPr>
                <w:rFonts w:ascii="Times New Roman" w:hAnsi="Times New Roman"/>
              </w:rPr>
              <w:t>.</w:t>
            </w:r>
          </w:p>
        </w:tc>
        <w:tc>
          <w:tcPr>
            <w:tcW w:w="2315" w:type="dxa"/>
          </w:tcPr>
          <w:p w14:paraId="0F1CD2B9" w14:textId="77777777" w:rsidR="00DC1CDC" w:rsidRPr="00D9492F" w:rsidRDefault="00DC1CDC" w:rsidP="00DC1CDC">
            <w:pPr>
              <w:keepNext/>
              <w:keepLines/>
              <w:spacing w:after="0" w:line="240" w:lineRule="auto"/>
              <w:rPr>
                <w:rFonts w:ascii="Times New Roman" w:hAnsi="Times New Roman"/>
              </w:rPr>
            </w:pPr>
          </w:p>
        </w:tc>
      </w:tr>
      <w:tr w:rsidR="00DC1CDC" w:rsidRPr="00D9492F" w14:paraId="5ABE6A47" w14:textId="77777777" w:rsidTr="00AA0DA9">
        <w:trPr>
          <w:jc w:val="center"/>
        </w:trPr>
        <w:tc>
          <w:tcPr>
            <w:tcW w:w="2314" w:type="dxa"/>
          </w:tcPr>
          <w:p w14:paraId="4C581FE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Nervų sistemos sutrikimai</w:t>
            </w:r>
          </w:p>
        </w:tc>
        <w:tc>
          <w:tcPr>
            <w:tcW w:w="2316" w:type="dxa"/>
          </w:tcPr>
          <w:p w14:paraId="6BCDF76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sensorinė neuropatija (3 laipsnio – 0,4 %)</w:t>
            </w:r>
            <w:r w:rsidR="00712D44" w:rsidRPr="00D9492F">
              <w:rPr>
                <w:rFonts w:ascii="Times New Roman" w:hAnsi="Times New Roman"/>
              </w:rPr>
              <w:t>.</w:t>
            </w:r>
          </w:p>
        </w:tc>
        <w:tc>
          <w:tcPr>
            <w:tcW w:w="2313" w:type="dxa"/>
          </w:tcPr>
          <w:p w14:paraId="5799139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motorinė neuropatija (3</w:t>
            </w:r>
            <w:r w:rsidRPr="00D9492F">
              <w:rPr>
                <w:rFonts w:ascii="Times New Roman" w:hAnsi="Times New Roman"/>
              </w:rPr>
              <w:noBreakHyphen/>
              <w:t>4 laipsnio – 0,4 %)</w:t>
            </w:r>
            <w:r w:rsidR="00712D44" w:rsidRPr="00D9492F">
              <w:rPr>
                <w:rFonts w:ascii="Times New Roman" w:hAnsi="Times New Roman"/>
              </w:rPr>
              <w:t>.</w:t>
            </w:r>
          </w:p>
        </w:tc>
        <w:tc>
          <w:tcPr>
            <w:tcW w:w="2315" w:type="dxa"/>
          </w:tcPr>
          <w:p w14:paraId="26926F23" w14:textId="77777777" w:rsidR="00DC1CDC" w:rsidRPr="00D9492F" w:rsidRDefault="00DC1CDC" w:rsidP="00DC1CDC">
            <w:pPr>
              <w:keepNext/>
              <w:keepLines/>
              <w:spacing w:after="0" w:line="240" w:lineRule="auto"/>
              <w:rPr>
                <w:rFonts w:ascii="Times New Roman" w:hAnsi="Times New Roman"/>
              </w:rPr>
            </w:pPr>
          </w:p>
        </w:tc>
      </w:tr>
      <w:tr w:rsidR="00DC1CDC" w:rsidRPr="00D9492F" w14:paraId="1C39E64E" w14:textId="77777777" w:rsidTr="00AA0DA9">
        <w:trPr>
          <w:jc w:val="center"/>
        </w:trPr>
        <w:tc>
          <w:tcPr>
            <w:tcW w:w="2314" w:type="dxa"/>
          </w:tcPr>
          <w:p w14:paraId="56001A75"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Širdies sutrikimai</w:t>
            </w:r>
          </w:p>
        </w:tc>
        <w:tc>
          <w:tcPr>
            <w:tcW w:w="2316" w:type="dxa"/>
          </w:tcPr>
          <w:p w14:paraId="5D03CD39" w14:textId="77777777" w:rsidR="00DC1CDC" w:rsidRPr="00D9492F" w:rsidRDefault="00DC1CDC" w:rsidP="00DC1CDC">
            <w:pPr>
              <w:keepNext/>
              <w:keepLines/>
              <w:spacing w:after="0" w:line="240" w:lineRule="auto"/>
              <w:rPr>
                <w:rFonts w:ascii="Times New Roman" w:hAnsi="Times New Roman"/>
              </w:rPr>
            </w:pPr>
          </w:p>
        </w:tc>
        <w:tc>
          <w:tcPr>
            <w:tcW w:w="2313" w:type="dxa"/>
          </w:tcPr>
          <w:p w14:paraId="75E4F1E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Širdies nepakankamumas</w:t>
            </w:r>
            <w:r w:rsidR="00712D44" w:rsidRPr="00D9492F">
              <w:rPr>
                <w:rFonts w:ascii="Times New Roman" w:hAnsi="Times New Roman"/>
              </w:rPr>
              <w:t>.</w:t>
            </w:r>
          </w:p>
          <w:p w14:paraId="6B21F25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Aritmija (nesunki)</w:t>
            </w:r>
            <w:r w:rsidR="00712D44" w:rsidRPr="00D9492F">
              <w:rPr>
                <w:rFonts w:ascii="Times New Roman" w:hAnsi="Times New Roman"/>
              </w:rPr>
              <w:t>.</w:t>
            </w:r>
          </w:p>
        </w:tc>
        <w:tc>
          <w:tcPr>
            <w:tcW w:w="2315" w:type="dxa"/>
          </w:tcPr>
          <w:p w14:paraId="105B5E36" w14:textId="77777777" w:rsidR="00DC1CDC" w:rsidRPr="00D9492F" w:rsidRDefault="00DC1CDC" w:rsidP="00DC1CDC">
            <w:pPr>
              <w:keepNext/>
              <w:keepLines/>
              <w:spacing w:after="0" w:line="240" w:lineRule="auto"/>
              <w:rPr>
                <w:rFonts w:ascii="Times New Roman" w:eastAsia="Times New Roman" w:hAnsi="Times New Roman"/>
              </w:rPr>
            </w:pPr>
          </w:p>
        </w:tc>
      </w:tr>
      <w:tr w:rsidR="00DC1CDC" w:rsidRPr="00D9492F" w14:paraId="371E8F96" w14:textId="77777777" w:rsidTr="00AA0DA9">
        <w:trPr>
          <w:jc w:val="center"/>
        </w:trPr>
        <w:tc>
          <w:tcPr>
            <w:tcW w:w="2314" w:type="dxa"/>
          </w:tcPr>
          <w:p w14:paraId="74450A0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Kraujagyslių sutrikimai</w:t>
            </w:r>
          </w:p>
        </w:tc>
        <w:tc>
          <w:tcPr>
            <w:tcW w:w="2316" w:type="dxa"/>
          </w:tcPr>
          <w:p w14:paraId="179E0077" w14:textId="77777777" w:rsidR="00DC1CDC" w:rsidRPr="00D9492F" w:rsidRDefault="00DC1CDC" w:rsidP="00DC1CDC">
            <w:pPr>
              <w:keepNext/>
              <w:keepLines/>
              <w:spacing w:after="0" w:line="240" w:lineRule="auto"/>
              <w:rPr>
                <w:rFonts w:ascii="Times New Roman" w:hAnsi="Times New Roman"/>
              </w:rPr>
            </w:pPr>
          </w:p>
        </w:tc>
        <w:tc>
          <w:tcPr>
            <w:tcW w:w="2313" w:type="dxa"/>
          </w:tcPr>
          <w:p w14:paraId="238493F3" w14:textId="77777777" w:rsidR="00DC1CDC" w:rsidRPr="00D9492F" w:rsidRDefault="00DC1CDC" w:rsidP="00DC1CDC">
            <w:pPr>
              <w:keepNext/>
              <w:keepLines/>
              <w:spacing w:after="0" w:line="240" w:lineRule="auto"/>
              <w:rPr>
                <w:rFonts w:ascii="Times New Roman" w:hAnsi="Times New Roman"/>
              </w:rPr>
            </w:pPr>
          </w:p>
        </w:tc>
        <w:tc>
          <w:tcPr>
            <w:tcW w:w="2315" w:type="dxa"/>
          </w:tcPr>
          <w:p w14:paraId="302C860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Hipotenzija</w:t>
            </w:r>
            <w:r w:rsidR="00712D44" w:rsidRPr="00D9492F">
              <w:rPr>
                <w:rFonts w:ascii="Times New Roman" w:hAnsi="Times New Roman"/>
              </w:rPr>
              <w:t>.</w:t>
            </w:r>
          </w:p>
        </w:tc>
      </w:tr>
      <w:tr w:rsidR="00DC1CDC" w:rsidRPr="00D9492F" w14:paraId="333043FE" w14:textId="77777777" w:rsidTr="00AA0DA9">
        <w:trPr>
          <w:jc w:val="center"/>
        </w:trPr>
        <w:tc>
          <w:tcPr>
            <w:tcW w:w="2314" w:type="dxa"/>
          </w:tcPr>
          <w:p w14:paraId="2A774D8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Virškinimo trakto sutrikimai</w:t>
            </w:r>
          </w:p>
        </w:tc>
        <w:tc>
          <w:tcPr>
            <w:tcW w:w="2316" w:type="dxa"/>
          </w:tcPr>
          <w:p w14:paraId="3DE6EED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Pykinimas (3</w:t>
            </w:r>
            <w:r w:rsidRPr="00D9492F">
              <w:rPr>
                <w:rFonts w:ascii="Times New Roman" w:hAnsi="Times New Roman"/>
              </w:rPr>
              <w:noBreakHyphen/>
              <w:t>4 laipsnio – 5 %)</w:t>
            </w:r>
            <w:r w:rsidR="00712D44" w:rsidRPr="00D9492F">
              <w:rPr>
                <w:rFonts w:ascii="Times New Roman" w:hAnsi="Times New Roman"/>
              </w:rPr>
              <w:t>.</w:t>
            </w:r>
          </w:p>
          <w:p w14:paraId="5F64A48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Stomatitas (3</w:t>
            </w:r>
            <w:r w:rsidRPr="00D9492F">
              <w:rPr>
                <w:rFonts w:ascii="Times New Roman" w:hAnsi="Times New Roman"/>
              </w:rPr>
              <w:noBreakHyphen/>
              <w:t>4 laipsnio – 7,8 %)</w:t>
            </w:r>
            <w:r w:rsidR="00712D44" w:rsidRPr="00D9492F">
              <w:rPr>
                <w:rFonts w:ascii="Times New Roman" w:hAnsi="Times New Roman"/>
              </w:rPr>
              <w:t>.</w:t>
            </w:r>
          </w:p>
          <w:p w14:paraId="3309091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Viduriavimas (3</w:t>
            </w:r>
            <w:r w:rsidRPr="00D9492F">
              <w:rPr>
                <w:rFonts w:ascii="Times New Roman" w:hAnsi="Times New Roman"/>
              </w:rPr>
              <w:noBreakHyphen/>
              <w:t>4 laipsnio – 6,2 %)</w:t>
            </w:r>
            <w:r w:rsidR="00712D44" w:rsidRPr="00D9492F">
              <w:rPr>
                <w:rFonts w:ascii="Times New Roman" w:hAnsi="Times New Roman"/>
              </w:rPr>
              <w:t>.</w:t>
            </w:r>
          </w:p>
          <w:p w14:paraId="7CAE91B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Vėmimas (3</w:t>
            </w:r>
            <w:r w:rsidRPr="00D9492F">
              <w:rPr>
                <w:rFonts w:ascii="Times New Roman" w:hAnsi="Times New Roman"/>
              </w:rPr>
              <w:noBreakHyphen/>
              <w:t>4 laipsnio – 5 %)</w:t>
            </w:r>
            <w:r w:rsidR="00712D44" w:rsidRPr="00D9492F">
              <w:rPr>
                <w:rFonts w:ascii="Times New Roman" w:hAnsi="Times New Roman"/>
              </w:rPr>
              <w:t>.</w:t>
            </w:r>
          </w:p>
          <w:p w14:paraId="50191BE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Vidurių užkietėjimas</w:t>
            </w:r>
            <w:r w:rsidR="00712D44" w:rsidRPr="00D9492F">
              <w:rPr>
                <w:rFonts w:ascii="Times New Roman" w:hAnsi="Times New Roman"/>
              </w:rPr>
              <w:t>.</w:t>
            </w:r>
          </w:p>
        </w:tc>
        <w:tc>
          <w:tcPr>
            <w:tcW w:w="2313" w:type="dxa"/>
          </w:tcPr>
          <w:p w14:paraId="6E515C70" w14:textId="77777777" w:rsidR="00DC1CDC" w:rsidRPr="00D9492F" w:rsidRDefault="00DC1CDC" w:rsidP="00DC1CDC">
            <w:pPr>
              <w:keepNext/>
              <w:keepLines/>
              <w:spacing w:after="0" w:line="240" w:lineRule="auto"/>
              <w:rPr>
                <w:rFonts w:ascii="Times New Roman" w:hAnsi="Times New Roman"/>
              </w:rPr>
            </w:pPr>
          </w:p>
        </w:tc>
        <w:tc>
          <w:tcPr>
            <w:tcW w:w="2315" w:type="dxa"/>
          </w:tcPr>
          <w:p w14:paraId="425432DE" w14:textId="77777777" w:rsidR="00DC1CDC" w:rsidRPr="00D9492F" w:rsidRDefault="00DC1CDC" w:rsidP="00DC1CDC">
            <w:pPr>
              <w:keepNext/>
              <w:keepLines/>
              <w:spacing w:after="0" w:line="240" w:lineRule="auto"/>
              <w:rPr>
                <w:rFonts w:ascii="Times New Roman" w:hAnsi="Times New Roman"/>
              </w:rPr>
            </w:pPr>
          </w:p>
        </w:tc>
      </w:tr>
      <w:tr w:rsidR="00DC1CDC" w:rsidRPr="00D9492F" w14:paraId="1F182B47" w14:textId="77777777" w:rsidTr="00AA0DA9">
        <w:trPr>
          <w:jc w:val="center"/>
        </w:trPr>
        <w:tc>
          <w:tcPr>
            <w:tcW w:w="2314" w:type="dxa"/>
          </w:tcPr>
          <w:p w14:paraId="5DAD3CD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Odos ir poodinio audinio sutrikimai</w:t>
            </w:r>
          </w:p>
        </w:tc>
        <w:tc>
          <w:tcPr>
            <w:tcW w:w="2316" w:type="dxa"/>
          </w:tcPr>
          <w:p w14:paraId="5A03EE94"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Alopecija</w:t>
            </w:r>
            <w:r w:rsidR="00712D44" w:rsidRPr="00D9492F">
              <w:rPr>
                <w:rFonts w:ascii="Times New Roman" w:eastAsia="Times New Roman" w:hAnsi="Times New Roman"/>
                <w:bCs/>
                <w:iCs/>
              </w:rPr>
              <w:t>.</w:t>
            </w:r>
          </w:p>
          <w:p w14:paraId="63E481E0"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Nagų pažeidimai (sunkūs – 0,4 %)</w:t>
            </w:r>
            <w:r w:rsidR="00712D44" w:rsidRPr="00D9492F">
              <w:rPr>
                <w:rFonts w:ascii="Times New Roman" w:eastAsia="Times New Roman" w:hAnsi="Times New Roman"/>
                <w:bCs/>
                <w:iCs/>
              </w:rPr>
              <w:t>.</w:t>
            </w:r>
          </w:p>
          <w:p w14:paraId="50574D9C"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Odos reakcijos (nesunkios)</w:t>
            </w:r>
            <w:r w:rsidR="00712D44" w:rsidRPr="00D9492F">
              <w:rPr>
                <w:rFonts w:ascii="Times New Roman" w:eastAsia="Times New Roman" w:hAnsi="Times New Roman"/>
                <w:bCs/>
                <w:iCs/>
              </w:rPr>
              <w:t>.</w:t>
            </w:r>
          </w:p>
        </w:tc>
        <w:tc>
          <w:tcPr>
            <w:tcW w:w="2313" w:type="dxa"/>
          </w:tcPr>
          <w:p w14:paraId="40492E57" w14:textId="77777777" w:rsidR="00DC1CDC" w:rsidRPr="00D9492F" w:rsidRDefault="00DC1CDC" w:rsidP="00DC1CDC">
            <w:pPr>
              <w:keepNext/>
              <w:keepLines/>
              <w:spacing w:after="0" w:line="240" w:lineRule="auto"/>
              <w:rPr>
                <w:rFonts w:ascii="Times New Roman" w:hAnsi="Times New Roman"/>
              </w:rPr>
            </w:pPr>
          </w:p>
        </w:tc>
        <w:tc>
          <w:tcPr>
            <w:tcW w:w="2315" w:type="dxa"/>
          </w:tcPr>
          <w:p w14:paraId="5283A32F" w14:textId="77777777" w:rsidR="00DC1CDC" w:rsidRPr="00D9492F" w:rsidRDefault="00DC1CDC" w:rsidP="00DC1CDC">
            <w:pPr>
              <w:keepNext/>
              <w:keepLines/>
              <w:spacing w:after="0" w:line="240" w:lineRule="auto"/>
              <w:rPr>
                <w:rFonts w:ascii="Times New Roman" w:hAnsi="Times New Roman"/>
              </w:rPr>
            </w:pPr>
          </w:p>
        </w:tc>
      </w:tr>
      <w:tr w:rsidR="00DC1CDC" w:rsidRPr="00D9492F" w14:paraId="14AA0C3E" w14:textId="77777777" w:rsidTr="00AA0DA9">
        <w:trPr>
          <w:jc w:val="center"/>
        </w:trPr>
        <w:tc>
          <w:tcPr>
            <w:tcW w:w="2314" w:type="dxa"/>
          </w:tcPr>
          <w:p w14:paraId="7D40F72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bCs/>
                <w:noProof/>
              </w:rPr>
              <w:t>Skeleto, raumenų ir jungiamojo audinio sutrikimai</w:t>
            </w:r>
          </w:p>
        </w:tc>
        <w:tc>
          <w:tcPr>
            <w:tcW w:w="2316" w:type="dxa"/>
          </w:tcPr>
          <w:p w14:paraId="40570530" w14:textId="77777777" w:rsidR="00DC1CDC" w:rsidRPr="00D9492F" w:rsidRDefault="00DC1CDC" w:rsidP="00DC1CDC">
            <w:pPr>
              <w:keepNext/>
              <w:keepLines/>
              <w:spacing w:after="0" w:line="240" w:lineRule="auto"/>
              <w:rPr>
                <w:rFonts w:ascii="Times New Roman" w:hAnsi="Times New Roman"/>
              </w:rPr>
            </w:pPr>
          </w:p>
        </w:tc>
        <w:tc>
          <w:tcPr>
            <w:tcW w:w="2313" w:type="dxa"/>
          </w:tcPr>
          <w:p w14:paraId="656ED0E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Mialgija</w:t>
            </w:r>
            <w:r w:rsidR="00712D44" w:rsidRPr="00D9492F">
              <w:rPr>
                <w:rFonts w:ascii="Times New Roman" w:hAnsi="Times New Roman"/>
              </w:rPr>
              <w:t>.</w:t>
            </w:r>
          </w:p>
        </w:tc>
        <w:tc>
          <w:tcPr>
            <w:tcW w:w="2315" w:type="dxa"/>
          </w:tcPr>
          <w:p w14:paraId="6750751F" w14:textId="77777777" w:rsidR="00DC1CDC" w:rsidRPr="00D9492F" w:rsidRDefault="00DC1CDC" w:rsidP="00DC1CDC">
            <w:pPr>
              <w:keepNext/>
              <w:keepLines/>
              <w:spacing w:after="0" w:line="240" w:lineRule="auto"/>
              <w:rPr>
                <w:rFonts w:ascii="Times New Roman" w:hAnsi="Times New Roman"/>
              </w:rPr>
            </w:pPr>
          </w:p>
        </w:tc>
      </w:tr>
      <w:tr w:rsidR="00DC1CDC" w:rsidRPr="00D9492F" w14:paraId="55B57775" w14:textId="77777777" w:rsidTr="00AA0DA9">
        <w:trPr>
          <w:jc w:val="center"/>
        </w:trPr>
        <w:tc>
          <w:tcPr>
            <w:tcW w:w="2314" w:type="dxa"/>
          </w:tcPr>
          <w:p w14:paraId="5AA4622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Bendri</w:t>
            </w:r>
            <w:r w:rsidR="001366CF" w:rsidRPr="00D9492F">
              <w:rPr>
                <w:rFonts w:ascii="Times New Roman" w:hAnsi="Times New Roman"/>
              </w:rPr>
              <w:t>eji</w:t>
            </w:r>
            <w:r w:rsidRPr="00D9492F">
              <w:rPr>
                <w:rFonts w:ascii="Times New Roman" w:hAnsi="Times New Roman"/>
              </w:rPr>
              <w:t xml:space="preserve"> sutrikimai ir vartojimo vietos pažeidimai</w:t>
            </w:r>
          </w:p>
        </w:tc>
        <w:tc>
          <w:tcPr>
            <w:tcW w:w="2316" w:type="dxa"/>
          </w:tcPr>
          <w:p w14:paraId="0DB574A2" w14:textId="5A9D0BC3" w:rsidR="00ED0CB5" w:rsidRPr="00D9492F" w:rsidRDefault="00DC1CDC" w:rsidP="00DC1CDC">
            <w:pPr>
              <w:keepNext/>
              <w:keepLines/>
              <w:spacing w:after="0" w:line="240" w:lineRule="auto"/>
              <w:rPr>
                <w:rFonts w:ascii="Times New Roman" w:hAnsi="Times New Roman"/>
              </w:rPr>
            </w:pPr>
            <w:r w:rsidRPr="00D9492F">
              <w:rPr>
                <w:rFonts w:ascii="Times New Roman" w:hAnsi="Times New Roman"/>
              </w:rPr>
              <w:t>Astenija (sunki – 8,1 %)</w:t>
            </w:r>
            <w:r w:rsidR="00712D44" w:rsidRPr="00D9492F">
              <w:rPr>
                <w:rFonts w:ascii="Times New Roman" w:hAnsi="Times New Roman"/>
              </w:rPr>
              <w:t>.</w:t>
            </w:r>
            <w:r w:rsidRPr="00D9492F">
              <w:rPr>
                <w:rFonts w:ascii="Times New Roman" w:hAnsi="Times New Roman"/>
              </w:rPr>
              <w:t xml:space="preserve"> </w:t>
            </w:r>
          </w:p>
          <w:p w14:paraId="6F56D593" w14:textId="0AD7A3D9"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Skysčių susilaikymas (sunkus – 1,2 %)</w:t>
            </w:r>
            <w:r w:rsidR="00712D44" w:rsidRPr="00D9492F">
              <w:rPr>
                <w:rFonts w:ascii="Times New Roman" w:hAnsi="Times New Roman"/>
              </w:rPr>
              <w:t>.</w:t>
            </w:r>
          </w:p>
          <w:p w14:paraId="714C4CF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Skausmas</w:t>
            </w:r>
            <w:r w:rsidR="00712D44" w:rsidRPr="00D9492F">
              <w:rPr>
                <w:rFonts w:ascii="Times New Roman" w:hAnsi="Times New Roman"/>
              </w:rPr>
              <w:t>.</w:t>
            </w:r>
          </w:p>
        </w:tc>
        <w:tc>
          <w:tcPr>
            <w:tcW w:w="2313" w:type="dxa"/>
          </w:tcPr>
          <w:p w14:paraId="173123D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Infuzijos vietos reakcija</w:t>
            </w:r>
            <w:r w:rsidR="00712D44" w:rsidRPr="00D9492F">
              <w:rPr>
                <w:rFonts w:ascii="Times New Roman" w:hAnsi="Times New Roman"/>
              </w:rPr>
              <w:t>.</w:t>
            </w:r>
          </w:p>
        </w:tc>
        <w:tc>
          <w:tcPr>
            <w:tcW w:w="2315" w:type="dxa"/>
          </w:tcPr>
          <w:p w14:paraId="53393BBC" w14:textId="77777777" w:rsidR="00DC1CDC" w:rsidRPr="00D9492F" w:rsidRDefault="00DC1CDC" w:rsidP="00DC1CDC">
            <w:pPr>
              <w:keepNext/>
              <w:keepLines/>
              <w:spacing w:after="0" w:line="240" w:lineRule="auto"/>
              <w:rPr>
                <w:rFonts w:ascii="Times New Roman" w:hAnsi="Times New Roman"/>
              </w:rPr>
            </w:pPr>
          </w:p>
        </w:tc>
      </w:tr>
      <w:tr w:rsidR="00DC1CDC" w:rsidRPr="00D9492F" w14:paraId="245E86E5" w14:textId="77777777" w:rsidTr="00AA0DA9">
        <w:trPr>
          <w:jc w:val="center"/>
        </w:trPr>
        <w:tc>
          <w:tcPr>
            <w:tcW w:w="2314" w:type="dxa"/>
          </w:tcPr>
          <w:p w14:paraId="2DB4AD61"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Tyrimai</w:t>
            </w:r>
          </w:p>
        </w:tc>
        <w:tc>
          <w:tcPr>
            <w:tcW w:w="2316" w:type="dxa"/>
          </w:tcPr>
          <w:p w14:paraId="076C2EF8" w14:textId="77777777" w:rsidR="00DC1CDC" w:rsidRPr="00D9492F" w:rsidRDefault="00DC1CDC" w:rsidP="00DC1CDC">
            <w:pPr>
              <w:keepNext/>
              <w:keepLines/>
              <w:spacing w:after="0" w:line="240" w:lineRule="auto"/>
              <w:rPr>
                <w:rFonts w:ascii="Times New Roman" w:hAnsi="Times New Roman"/>
              </w:rPr>
            </w:pPr>
          </w:p>
        </w:tc>
        <w:tc>
          <w:tcPr>
            <w:tcW w:w="2313" w:type="dxa"/>
          </w:tcPr>
          <w:p w14:paraId="5C52939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bilirubino koncentracijos kraujyje padidėjimas (&lt; 2,5 %)</w:t>
            </w:r>
            <w:r w:rsidR="00712D44" w:rsidRPr="00D9492F">
              <w:rPr>
                <w:rFonts w:ascii="Times New Roman" w:hAnsi="Times New Roman"/>
              </w:rPr>
              <w:t>.</w:t>
            </w:r>
          </w:p>
          <w:p w14:paraId="66F419B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šarminės fosfatazės koncentracijos kraujyje padidėjimas (&lt; 2,5 %)</w:t>
            </w:r>
            <w:r w:rsidR="00712D44" w:rsidRPr="00D9492F">
              <w:rPr>
                <w:rFonts w:ascii="Times New Roman" w:hAnsi="Times New Roman"/>
              </w:rPr>
              <w:t>.</w:t>
            </w:r>
          </w:p>
        </w:tc>
        <w:tc>
          <w:tcPr>
            <w:tcW w:w="2315" w:type="dxa"/>
          </w:tcPr>
          <w:p w14:paraId="3D8B348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AST koncentracijos padidėjimas (&lt; 1 %)</w:t>
            </w:r>
            <w:r w:rsidR="00712D44" w:rsidRPr="00D9492F">
              <w:rPr>
                <w:rFonts w:ascii="Times New Roman" w:hAnsi="Times New Roman"/>
              </w:rPr>
              <w:t>.</w:t>
            </w:r>
          </w:p>
          <w:p w14:paraId="206A2D7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ALT koncentracijos padidėjimas (&lt; 1 %)</w:t>
            </w:r>
            <w:r w:rsidR="00712D44" w:rsidRPr="00D9492F">
              <w:rPr>
                <w:rFonts w:ascii="Times New Roman" w:hAnsi="Times New Roman"/>
              </w:rPr>
              <w:t>.</w:t>
            </w:r>
          </w:p>
        </w:tc>
      </w:tr>
    </w:tbl>
    <w:p w14:paraId="5969CB2B" w14:textId="77777777" w:rsidR="00DC1CDC" w:rsidRPr="00D9492F" w:rsidRDefault="00DC1CDC" w:rsidP="00DC1CDC">
      <w:pPr>
        <w:keepNext/>
        <w:keepLines/>
        <w:tabs>
          <w:tab w:val="left" w:pos="7655"/>
        </w:tabs>
        <w:suppressAutoHyphens/>
        <w:spacing w:after="0" w:line="240" w:lineRule="auto"/>
        <w:rPr>
          <w:rFonts w:ascii="Times New Roman" w:hAnsi="Times New Roman"/>
        </w:rPr>
      </w:pPr>
    </w:p>
    <w:p w14:paraId="143D02C9" w14:textId="6685346C" w:rsidR="005B1DF2" w:rsidRPr="00D9492F" w:rsidRDefault="005B1DF2" w:rsidP="00DC1CDC">
      <w:pPr>
        <w:keepNext/>
        <w:widowControl w:val="0"/>
        <w:suppressAutoHyphens/>
        <w:overflowPunct w:val="0"/>
        <w:autoSpaceDE w:val="0"/>
        <w:autoSpaceDN w:val="0"/>
        <w:adjustRightInd w:val="0"/>
        <w:spacing w:after="0" w:line="240" w:lineRule="auto"/>
        <w:textAlignment w:val="baseline"/>
        <w:rPr>
          <w:rFonts w:ascii="Times New Roman" w:eastAsia="Times New Roman" w:hAnsi="Times New Roman"/>
          <w:bCs/>
          <w:u w:val="single"/>
        </w:rPr>
      </w:pPr>
      <w:r w:rsidRPr="00D9492F">
        <w:rPr>
          <w:rFonts w:ascii="Times New Roman" w:eastAsia="Times New Roman" w:hAnsi="Times New Roman"/>
          <w:bCs/>
          <w:u w:val="single"/>
        </w:rPr>
        <w:t>Nepageidaujamų reakcijų, atsiradusių vartojant Docetaxel SanoSwiss 75</w:t>
      </w:r>
      <w:r w:rsidR="00052B9E" w:rsidRPr="00D9492F">
        <w:rPr>
          <w:rFonts w:ascii="Times New Roman" w:eastAsia="Times New Roman" w:hAnsi="Times New Roman"/>
          <w:bCs/>
          <w:u w:val="single"/>
        </w:rPr>
        <w:t> </w:t>
      </w:r>
      <w:r w:rsidRPr="00D9492F">
        <w:rPr>
          <w:rFonts w:ascii="Times New Roman" w:eastAsia="Times New Roman" w:hAnsi="Times New Roman"/>
          <w:bCs/>
          <w:u w:val="single"/>
        </w:rPr>
        <w:t xml:space="preserve">mg/m² su cisplatina dozę </w:t>
      </w:r>
      <w:r w:rsidRPr="00D9492F">
        <w:rPr>
          <w:rFonts w:ascii="Times New Roman" w:eastAsia="Times New Roman" w:hAnsi="Times New Roman"/>
          <w:bCs/>
          <w:u w:val="single"/>
        </w:rPr>
        <w:lastRenderedPageBreak/>
        <w:t xml:space="preserve">nesmulkiųjų ląstelių plaučių vėžio monoterapijai, </w:t>
      </w:r>
      <w:r w:rsidR="008C7CA5" w:rsidRPr="00D9492F">
        <w:rPr>
          <w:rFonts w:ascii="Times New Roman" w:eastAsia="Times New Roman" w:hAnsi="Times New Roman"/>
          <w:bCs/>
          <w:u w:val="single"/>
        </w:rPr>
        <w:t>santrauka lentelėje</w:t>
      </w:r>
      <w:r w:rsidRPr="00D9492F">
        <w:rPr>
          <w:rFonts w:ascii="Times New Roman" w:eastAsia="Times New Roman" w:hAnsi="Times New Roman"/>
          <w:bCs/>
          <w:u w:val="single"/>
        </w:rPr>
        <w:t xml:space="preserve"> </w:t>
      </w:r>
    </w:p>
    <w:p w14:paraId="42EFA227" w14:textId="77777777" w:rsidR="005B1DF2" w:rsidRPr="00D9492F" w:rsidRDefault="005B1DF2" w:rsidP="00DC1CDC">
      <w:pPr>
        <w:keepNext/>
        <w:widowControl w:val="0"/>
        <w:suppressAutoHyphens/>
        <w:overflowPunct w:val="0"/>
        <w:autoSpaceDE w:val="0"/>
        <w:autoSpaceDN w:val="0"/>
        <w:adjustRightInd w:val="0"/>
        <w:spacing w:after="0" w:line="240" w:lineRule="auto"/>
        <w:textAlignment w:val="baseline"/>
        <w:rPr>
          <w:rFonts w:ascii="Times New Roman" w:eastAsia="Times New Roman" w:hAnsi="Times New Roman"/>
          <w:bCs/>
          <w:u w:val="single"/>
        </w:rPr>
      </w:pPr>
    </w:p>
    <w:p w14:paraId="13405663" w14:textId="77777777" w:rsidR="00DC1CDC" w:rsidRPr="00D9492F" w:rsidRDefault="00DC1CDC" w:rsidP="00DC1CDC">
      <w:pPr>
        <w:keepNext/>
        <w:suppressAutoHyphens/>
        <w:spacing w:after="0" w:line="240" w:lineRule="auto"/>
        <w:rPr>
          <w:rFonts w:ascii="Times New Roman" w:eastAsia="Times New Roman" w:hAnsi="Times New Roman"/>
          <w:bCs/>
          <w:u w:val="single"/>
        </w:rPr>
      </w:pPr>
    </w:p>
    <w:p w14:paraId="263EC33F" w14:textId="77777777" w:rsidR="00DC1CDC" w:rsidRPr="00D9492F" w:rsidRDefault="00DC1CDC" w:rsidP="00DC1CDC">
      <w:pPr>
        <w:keepNext/>
        <w:keepLines/>
        <w:tabs>
          <w:tab w:val="left" w:pos="7655"/>
        </w:tabs>
        <w:suppressAutoHyphens/>
        <w:spacing w:after="0" w:line="240" w:lineRule="auto"/>
        <w:rPr>
          <w:rFonts w:ascii="Times New Roman" w:hAnsi="Times New Roman"/>
          <w:b/>
          <w:i/>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269"/>
        <w:gridCol w:w="2337"/>
      </w:tblGrid>
      <w:tr w:rsidR="00DC1CDC" w:rsidRPr="00D9492F" w14:paraId="18B7143B" w14:textId="77777777" w:rsidTr="00AA0DA9">
        <w:trPr>
          <w:tblHeader/>
          <w:jc w:val="center"/>
        </w:trPr>
        <w:tc>
          <w:tcPr>
            <w:tcW w:w="2303" w:type="dxa"/>
            <w:shd w:val="clear" w:color="auto" w:fill="auto"/>
          </w:tcPr>
          <w:p w14:paraId="50D512F7"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lastRenderedPageBreak/>
              <w:t>MedDRA organų sistemų klasės</w:t>
            </w:r>
          </w:p>
          <w:p w14:paraId="194567B9" w14:textId="77777777" w:rsidR="00DC1CDC" w:rsidRPr="00D9492F" w:rsidRDefault="00DC1CDC" w:rsidP="00DC1CDC">
            <w:pPr>
              <w:keepNext/>
              <w:keepLines/>
              <w:spacing w:after="0" w:line="240" w:lineRule="auto"/>
              <w:rPr>
                <w:rFonts w:ascii="Times New Roman" w:hAnsi="Times New Roman"/>
                <w:u w:val="single"/>
              </w:rPr>
            </w:pPr>
          </w:p>
        </w:tc>
        <w:tc>
          <w:tcPr>
            <w:tcW w:w="2303" w:type="dxa"/>
            <w:shd w:val="clear" w:color="auto" w:fill="auto"/>
          </w:tcPr>
          <w:p w14:paraId="16A8DD75"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 xml:space="preserve">Labai dažnos nepageidaujamos reakcijos </w:t>
            </w:r>
          </w:p>
          <w:p w14:paraId="67447C49"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u w:val="single"/>
              </w:rPr>
            </w:pPr>
          </w:p>
        </w:tc>
        <w:tc>
          <w:tcPr>
            <w:tcW w:w="2269" w:type="dxa"/>
            <w:shd w:val="clear" w:color="auto" w:fill="auto"/>
          </w:tcPr>
          <w:p w14:paraId="4960F1DB"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Dažnos nepageidaujamos reakcijos</w:t>
            </w:r>
          </w:p>
          <w:p w14:paraId="272B49A2" w14:textId="77777777" w:rsidR="00DC1CDC" w:rsidRPr="00D9492F" w:rsidRDefault="00DC1CDC" w:rsidP="00DC1CDC">
            <w:pPr>
              <w:keepNext/>
              <w:keepLines/>
              <w:spacing w:after="0" w:line="240" w:lineRule="auto"/>
              <w:rPr>
                <w:rFonts w:ascii="Times New Roman" w:hAnsi="Times New Roman"/>
                <w:u w:val="single"/>
              </w:rPr>
            </w:pPr>
          </w:p>
        </w:tc>
        <w:tc>
          <w:tcPr>
            <w:tcW w:w="2337" w:type="dxa"/>
            <w:shd w:val="clear" w:color="auto" w:fill="auto"/>
          </w:tcPr>
          <w:p w14:paraId="42B494FB"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Nedažnos nepageidaujamos reakcijos</w:t>
            </w:r>
          </w:p>
          <w:p w14:paraId="24C445D0" w14:textId="77777777" w:rsidR="00DC1CDC" w:rsidRPr="00D9492F" w:rsidRDefault="00DC1CDC" w:rsidP="00DC1CDC">
            <w:pPr>
              <w:keepNext/>
              <w:keepLines/>
              <w:spacing w:after="0" w:line="240" w:lineRule="auto"/>
              <w:rPr>
                <w:rFonts w:ascii="Times New Roman" w:hAnsi="Times New Roman"/>
                <w:u w:val="single"/>
              </w:rPr>
            </w:pPr>
          </w:p>
        </w:tc>
      </w:tr>
      <w:tr w:rsidR="00DC1CDC" w:rsidRPr="00D9492F" w14:paraId="60BBC212" w14:textId="77777777" w:rsidTr="00AA0DA9">
        <w:trPr>
          <w:jc w:val="center"/>
        </w:trPr>
        <w:tc>
          <w:tcPr>
            <w:tcW w:w="2303" w:type="dxa"/>
          </w:tcPr>
          <w:p w14:paraId="428FE2D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Infekcijos ir infestacijos </w:t>
            </w:r>
          </w:p>
        </w:tc>
        <w:tc>
          <w:tcPr>
            <w:tcW w:w="2303" w:type="dxa"/>
          </w:tcPr>
          <w:p w14:paraId="24FE2FE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Infekcija (3</w:t>
            </w:r>
            <w:r w:rsidRPr="00D9492F">
              <w:rPr>
                <w:rFonts w:ascii="Times New Roman" w:hAnsi="Times New Roman"/>
              </w:rPr>
              <w:noBreakHyphen/>
              <w:t>4 laipsnio – 5,7 %)</w:t>
            </w:r>
            <w:r w:rsidR="004E112E" w:rsidRPr="00D9492F">
              <w:rPr>
                <w:rFonts w:ascii="Times New Roman" w:hAnsi="Times New Roman"/>
              </w:rPr>
              <w:t>.</w:t>
            </w:r>
          </w:p>
        </w:tc>
        <w:tc>
          <w:tcPr>
            <w:tcW w:w="2269" w:type="dxa"/>
          </w:tcPr>
          <w:p w14:paraId="46810DBB" w14:textId="77777777" w:rsidR="00DC1CDC" w:rsidRPr="00D9492F" w:rsidRDefault="00DC1CDC" w:rsidP="00DC1CDC">
            <w:pPr>
              <w:keepNext/>
              <w:keepLines/>
              <w:spacing w:after="0" w:line="240" w:lineRule="auto"/>
              <w:rPr>
                <w:rFonts w:ascii="Times New Roman" w:hAnsi="Times New Roman"/>
              </w:rPr>
            </w:pPr>
          </w:p>
        </w:tc>
        <w:tc>
          <w:tcPr>
            <w:tcW w:w="2337" w:type="dxa"/>
          </w:tcPr>
          <w:p w14:paraId="5FF8A416" w14:textId="77777777" w:rsidR="00DC1CDC" w:rsidRPr="00D9492F" w:rsidRDefault="00DC1CDC" w:rsidP="00DC1CDC">
            <w:pPr>
              <w:keepNext/>
              <w:keepLines/>
              <w:spacing w:after="0" w:line="240" w:lineRule="auto"/>
              <w:rPr>
                <w:rFonts w:ascii="Times New Roman" w:hAnsi="Times New Roman"/>
              </w:rPr>
            </w:pPr>
          </w:p>
        </w:tc>
      </w:tr>
      <w:tr w:rsidR="00DC1CDC" w:rsidRPr="00D9492F" w14:paraId="6E31DE4F" w14:textId="77777777" w:rsidTr="00AA0DA9">
        <w:trPr>
          <w:jc w:val="center"/>
        </w:trPr>
        <w:tc>
          <w:tcPr>
            <w:tcW w:w="2303" w:type="dxa"/>
          </w:tcPr>
          <w:p w14:paraId="1E1123D4"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Kraujo ir limfinės sistemos sutrikimai</w:t>
            </w:r>
          </w:p>
        </w:tc>
        <w:tc>
          <w:tcPr>
            <w:tcW w:w="2303" w:type="dxa"/>
          </w:tcPr>
          <w:p w14:paraId="1298361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Neutropenija (3</w:t>
            </w:r>
            <w:r w:rsidRPr="00D9492F">
              <w:rPr>
                <w:rFonts w:ascii="Times New Roman" w:hAnsi="Times New Roman"/>
              </w:rPr>
              <w:noBreakHyphen/>
              <w:t>4 laipsnio – 51,5 %)</w:t>
            </w:r>
            <w:r w:rsidR="004E112E" w:rsidRPr="00D9492F">
              <w:rPr>
                <w:rFonts w:ascii="Times New Roman" w:hAnsi="Times New Roman"/>
              </w:rPr>
              <w:t>.</w:t>
            </w:r>
          </w:p>
          <w:p w14:paraId="745FBB1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Anemija (3</w:t>
            </w:r>
            <w:r w:rsidRPr="00D9492F">
              <w:rPr>
                <w:rFonts w:ascii="Times New Roman" w:hAnsi="Times New Roman"/>
              </w:rPr>
              <w:noBreakHyphen/>
              <w:t>4 laipsnio – 6,9 %)</w:t>
            </w:r>
            <w:r w:rsidR="004E112E" w:rsidRPr="00D9492F">
              <w:rPr>
                <w:rFonts w:ascii="Times New Roman" w:hAnsi="Times New Roman"/>
              </w:rPr>
              <w:t>.</w:t>
            </w:r>
          </w:p>
          <w:p w14:paraId="1798432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Trombocitopenija (4 laipsnio –</w:t>
            </w:r>
            <w:r w:rsidR="004E112E" w:rsidRPr="00D9492F">
              <w:rPr>
                <w:rFonts w:ascii="Times New Roman" w:hAnsi="Times New Roman"/>
              </w:rPr>
              <w:t xml:space="preserve"> </w:t>
            </w:r>
            <w:r w:rsidRPr="00D9492F">
              <w:rPr>
                <w:rFonts w:ascii="Times New Roman" w:hAnsi="Times New Roman"/>
              </w:rPr>
              <w:t>0,5 %)</w:t>
            </w:r>
            <w:r w:rsidR="004E112E" w:rsidRPr="00D9492F">
              <w:rPr>
                <w:rFonts w:ascii="Times New Roman" w:hAnsi="Times New Roman"/>
              </w:rPr>
              <w:t>.</w:t>
            </w:r>
          </w:p>
        </w:tc>
        <w:tc>
          <w:tcPr>
            <w:tcW w:w="2269" w:type="dxa"/>
          </w:tcPr>
          <w:p w14:paraId="47562AF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Febrilinė neutropenija</w:t>
            </w:r>
            <w:r w:rsidR="004E112E" w:rsidRPr="00D9492F">
              <w:rPr>
                <w:rFonts w:ascii="Times New Roman" w:hAnsi="Times New Roman"/>
              </w:rPr>
              <w:t>.</w:t>
            </w:r>
          </w:p>
        </w:tc>
        <w:tc>
          <w:tcPr>
            <w:tcW w:w="2337" w:type="dxa"/>
          </w:tcPr>
          <w:p w14:paraId="4FBBAEE8" w14:textId="77777777" w:rsidR="00DC1CDC" w:rsidRPr="00D9492F" w:rsidRDefault="00DC1CDC" w:rsidP="00DC1CDC">
            <w:pPr>
              <w:keepNext/>
              <w:keepLines/>
              <w:spacing w:after="0" w:line="240" w:lineRule="auto"/>
              <w:rPr>
                <w:rFonts w:ascii="Times New Roman" w:hAnsi="Times New Roman"/>
              </w:rPr>
            </w:pPr>
          </w:p>
        </w:tc>
      </w:tr>
      <w:tr w:rsidR="00DC1CDC" w:rsidRPr="00D9492F" w14:paraId="02424577" w14:textId="77777777" w:rsidTr="00AA0DA9">
        <w:trPr>
          <w:jc w:val="center"/>
        </w:trPr>
        <w:tc>
          <w:tcPr>
            <w:tcW w:w="2303" w:type="dxa"/>
          </w:tcPr>
          <w:p w14:paraId="0A2A695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Imuninės sistemos sutrikimai</w:t>
            </w:r>
          </w:p>
        </w:tc>
        <w:tc>
          <w:tcPr>
            <w:tcW w:w="2303" w:type="dxa"/>
          </w:tcPr>
          <w:p w14:paraId="18183D7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Padidėjęs jautrumas (3</w:t>
            </w:r>
            <w:r w:rsidRPr="00D9492F">
              <w:rPr>
                <w:rFonts w:ascii="Times New Roman" w:hAnsi="Times New Roman"/>
              </w:rPr>
              <w:noBreakHyphen/>
              <w:t>4 laipsnio – 2,5 %)</w:t>
            </w:r>
            <w:r w:rsidR="004E112E" w:rsidRPr="00D9492F">
              <w:rPr>
                <w:rFonts w:ascii="Times New Roman" w:hAnsi="Times New Roman"/>
              </w:rPr>
              <w:t>.</w:t>
            </w:r>
          </w:p>
        </w:tc>
        <w:tc>
          <w:tcPr>
            <w:tcW w:w="2269" w:type="dxa"/>
          </w:tcPr>
          <w:p w14:paraId="74FBF385" w14:textId="77777777" w:rsidR="00DC1CDC" w:rsidRPr="00D9492F" w:rsidRDefault="00DC1CDC" w:rsidP="00DC1CDC">
            <w:pPr>
              <w:keepNext/>
              <w:keepLines/>
              <w:spacing w:after="0" w:line="240" w:lineRule="auto"/>
              <w:rPr>
                <w:rFonts w:ascii="Times New Roman" w:hAnsi="Times New Roman"/>
              </w:rPr>
            </w:pPr>
          </w:p>
        </w:tc>
        <w:tc>
          <w:tcPr>
            <w:tcW w:w="2337" w:type="dxa"/>
          </w:tcPr>
          <w:p w14:paraId="00BA32FA" w14:textId="77777777" w:rsidR="00DC1CDC" w:rsidRPr="00D9492F" w:rsidRDefault="00DC1CDC" w:rsidP="00DC1CDC">
            <w:pPr>
              <w:keepNext/>
              <w:keepLines/>
              <w:spacing w:after="0" w:line="240" w:lineRule="auto"/>
              <w:rPr>
                <w:rFonts w:ascii="Times New Roman" w:hAnsi="Times New Roman"/>
              </w:rPr>
            </w:pPr>
          </w:p>
        </w:tc>
      </w:tr>
      <w:tr w:rsidR="00DC1CDC" w:rsidRPr="00D9492F" w14:paraId="76305F86" w14:textId="77777777" w:rsidTr="00AA0DA9">
        <w:trPr>
          <w:jc w:val="center"/>
        </w:trPr>
        <w:tc>
          <w:tcPr>
            <w:tcW w:w="2303" w:type="dxa"/>
          </w:tcPr>
          <w:p w14:paraId="436F92E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Metabolizmo ir mitybos sutrikimai</w:t>
            </w:r>
          </w:p>
        </w:tc>
        <w:tc>
          <w:tcPr>
            <w:tcW w:w="2303" w:type="dxa"/>
          </w:tcPr>
          <w:p w14:paraId="2A62FDB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Anoreksija</w:t>
            </w:r>
            <w:r w:rsidR="004E112E" w:rsidRPr="00D9492F">
              <w:rPr>
                <w:rFonts w:ascii="Times New Roman" w:hAnsi="Times New Roman"/>
              </w:rPr>
              <w:t>.</w:t>
            </w:r>
          </w:p>
        </w:tc>
        <w:tc>
          <w:tcPr>
            <w:tcW w:w="2269" w:type="dxa"/>
          </w:tcPr>
          <w:p w14:paraId="32AB5E1F" w14:textId="77777777" w:rsidR="00DC1CDC" w:rsidRPr="00D9492F" w:rsidRDefault="00DC1CDC" w:rsidP="00DC1CDC">
            <w:pPr>
              <w:keepNext/>
              <w:keepLines/>
              <w:spacing w:after="0" w:line="240" w:lineRule="auto"/>
              <w:rPr>
                <w:rFonts w:ascii="Times New Roman" w:hAnsi="Times New Roman"/>
              </w:rPr>
            </w:pPr>
          </w:p>
        </w:tc>
        <w:tc>
          <w:tcPr>
            <w:tcW w:w="2337" w:type="dxa"/>
          </w:tcPr>
          <w:p w14:paraId="73469789" w14:textId="77777777" w:rsidR="00DC1CDC" w:rsidRPr="00D9492F" w:rsidRDefault="00DC1CDC" w:rsidP="00DC1CDC">
            <w:pPr>
              <w:keepNext/>
              <w:keepLines/>
              <w:spacing w:after="0" w:line="240" w:lineRule="auto"/>
              <w:rPr>
                <w:rFonts w:ascii="Times New Roman" w:hAnsi="Times New Roman"/>
              </w:rPr>
            </w:pPr>
          </w:p>
        </w:tc>
      </w:tr>
      <w:tr w:rsidR="00DC1CDC" w:rsidRPr="00D9492F" w14:paraId="0FA095BC" w14:textId="77777777" w:rsidTr="00AA0DA9">
        <w:trPr>
          <w:jc w:val="center"/>
        </w:trPr>
        <w:tc>
          <w:tcPr>
            <w:tcW w:w="2303" w:type="dxa"/>
          </w:tcPr>
          <w:p w14:paraId="38CD822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Nervų sistemos sutrikimai</w:t>
            </w:r>
          </w:p>
        </w:tc>
        <w:tc>
          <w:tcPr>
            <w:tcW w:w="2303" w:type="dxa"/>
          </w:tcPr>
          <w:p w14:paraId="3F06F05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sensorinė neuropatija (3 laipsnio – 3,7 %)</w:t>
            </w:r>
            <w:r w:rsidR="008E78CA" w:rsidRPr="00D9492F">
              <w:rPr>
                <w:rFonts w:ascii="Times New Roman" w:hAnsi="Times New Roman"/>
              </w:rPr>
              <w:t>.</w:t>
            </w:r>
          </w:p>
          <w:p w14:paraId="083F92E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motorinė neuropatija (3</w:t>
            </w:r>
            <w:r w:rsidRPr="00D9492F">
              <w:rPr>
                <w:rFonts w:ascii="Times New Roman" w:hAnsi="Times New Roman"/>
              </w:rPr>
              <w:noBreakHyphen/>
              <w:t>4 laipsnio – 2 %)</w:t>
            </w:r>
            <w:r w:rsidR="008E78CA" w:rsidRPr="00D9492F">
              <w:rPr>
                <w:rFonts w:ascii="Times New Roman" w:hAnsi="Times New Roman"/>
              </w:rPr>
              <w:t>.</w:t>
            </w:r>
          </w:p>
        </w:tc>
        <w:tc>
          <w:tcPr>
            <w:tcW w:w="2269" w:type="dxa"/>
          </w:tcPr>
          <w:p w14:paraId="09F3521B" w14:textId="77777777" w:rsidR="00DC1CDC" w:rsidRPr="00D9492F" w:rsidRDefault="00DC1CDC" w:rsidP="00DC1CDC">
            <w:pPr>
              <w:keepNext/>
              <w:keepLines/>
              <w:spacing w:after="0" w:line="240" w:lineRule="auto"/>
              <w:rPr>
                <w:rFonts w:ascii="Times New Roman" w:hAnsi="Times New Roman"/>
              </w:rPr>
            </w:pPr>
          </w:p>
        </w:tc>
        <w:tc>
          <w:tcPr>
            <w:tcW w:w="2337" w:type="dxa"/>
          </w:tcPr>
          <w:p w14:paraId="56A19366" w14:textId="77777777" w:rsidR="00DC1CDC" w:rsidRPr="00D9492F" w:rsidRDefault="00DC1CDC" w:rsidP="00DC1CDC">
            <w:pPr>
              <w:keepNext/>
              <w:keepLines/>
              <w:spacing w:after="0" w:line="240" w:lineRule="auto"/>
              <w:rPr>
                <w:rFonts w:ascii="Times New Roman" w:hAnsi="Times New Roman"/>
              </w:rPr>
            </w:pPr>
          </w:p>
        </w:tc>
      </w:tr>
      <w:tr w:rsidR="00DC1CDC" w:rsidRPr="00D9492F" w14:paraId="4803154D" w14:textId="77777777" w:rsidTr="00AA0DA9">
        <w:trPr>
          <w:jc w:val="center"/>
        </w:trPr>
        <w:tc>
          <w:tcPr>
            <w:tcW w:w="2303" w:type="dxa"/>
          </w:tcPr>
          <w:p w14:paraId="1E9D136F"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Širdies sutrikimai</w:t>
            </w:r>
          </w:p>
        </w:tc>
        <w:tc>
          <w:tcPr>
            <w:tcW w:w="2303" w:type="dxa"/>
          </w:tcPr>
          <w:p w14:paraId="0AFF3D67" w14:textId="77777777" w:rsidR="00DC1CDC" w:rsidRPr="00D9492F" w:rsidRDefault="00DC1CDC" w:rsidP="00DC1CDC">
            <w:pPr>
              <w:keepNext/>
              <w:keepLines/>
              <w:spacing w:after="0" w:line="240" w:lineRule="auto"/>
              <w:rPr>
                <w:rFonts w:ascii="Times New Roman" w:hAnsi="Times New Roman"/>
              </w:rPr>
            </w:pPr>
          </w:p>
        </w:tc>
        <w:tc>
          <w:tcPr>
            <w:tcW w:w="2269" w:type="dxa"/>
          </w:tcPr>
          <w:p w14:paraId="7CE3551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Aritmija (3</w:t>
            </w:r>
            <w:r w:rsidRPr="00D9492F">
              <w:rPr>
                <w:rFonts w:ascii="Times New Roman" w:hAnsi="Times New Roman"/>
              </w:rPr>
              <w:noBreakHyphen/>
              <w:t>4 laipsnio – 0,7 %)</w:t>
            </w:r>
            <w:r w:rsidR="007F44B9" w:rsidRPr="00D9492F">
              <w:rPr>
                <w:rFonts w:ascii="Times New Roman" w:hAnsi="Times New Roman"/>
              </w:rPr>
              <w:t>.</w:t>
            </w:r>
          </w:p>
        </w:tc>
        <w:tc>
          <w:tcPr>
            <w:tcW w:w="2337" w:type="dxa"/>
          </w:tcPr>
          <w:p w14:paraId="3844F1F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Širdies nepakankamumas</w:t>
            </w:r>
            <w:r w:rsidR="007F44B9" w:rsidRPr="00D9492F">
              <w:rPr>
                <w:rFonts w:ascii="Times New Roman" w:hAnsi="Times New Roman"/>
              </w:rPr>
              <w:t>.</w:t>
            </w:r>
          </w:p>
        </w:tc>
      </w:tr>
      <w:tr w:rsidR="00DC1CDC" w:rsidRPr="00D9492F" w14:paraId="356F6AB7" w14:textId="77777777" w:rsidTr="00AA0DA9">
        <w:trPr>
          <w:jc w:val="center"/>
        </w:trPr>
        <w:tc>
          <w:tcPr>
            <w:tcW w:w="2303" w:type="dxa"/>
          </w:tcPr>
          <w:p w14:paraId="395507E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Kraujagyslių sutrikimai</w:t>
            </w:r>
          </w:p>
        </w:tc>
        <w:tc>
          <w:tcPr>
            <w:tcW w:w="2303" w:type="dxa"/>
          </w:tcPr>
          <w:p w14:paraId="0E1C4BEF" w14:textId="77777777" w:rsidR="00DC1CDC" w:rsidRPr="00D9492F" w:rsidRDefault="00DC1CDC" w:rsidP="00DC1CDC">
            <w:pPr>
              <w:keepNext/>
              <w:keepLines/>
              <w:spacing w:after="0" w:line="240" w:lineRule="auto"/>
              <w:rPr>
                <w:rFonts w:ascii="Times New Roman" w:hAnsi="Times New Roman"/>
              </w:rPr>
            </w:pPr>
          </w:p>
        </w:tc>
        <w:tc>
          <w:tcPr>
            <w:tcW w:w="2269" w:type="dxa"/>
          </w:tcPr>
          <w:p w14:paraId="6E99D9B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Hipotenzija (3</w:t>
            </w:r>
            <w:r w:rsidRPr="00D9492F">
              <w:rPr>
                <w:rFonts w:ascii="Times New Roman" w:hAnsi="Times New Roman"/>
              </w:rPr>
              <w:noBreakHyphen/>
              <w:t>4 laipsnio – 0,7 %)</w:t>
            </w:r>
            <w:r w:rsidR="007F44B9" w:rsidRPr="00D9492F">
              <w:rPr>
                <w:rFonts w:ascii="Times New Roman" w:hAnsi="Times New Roman"/>
              </w:rPr>
              <w:t>.</w:t>
            </w:r>
          </w:p>
        </w:tc>
        <w:tc>
          <w:tcPr>
            <w:tcW w:w="2337" w:type="dxa"/>
          </w:tcPr>
          <w:p w14:paraId="1F41ABFA" w14:textId="77777777" w:rsidR="00DC1CDC" w:rsidRPr="00D9492F" w:rsidRDefault="00DC1CDC" w:rsidP="00DC1CDC">
            <w:pPr>
              <w:keepNext/>
              <w:keepLines/>
              <w:spacing w:after="0" w:line="240" w:lineRule="auto"/>
              <w:rPr>
                <w:rFonts w:ascii="Times New Roman" w:hAnsi="Times New Roman"/>
              </w:rPr>
            </w:pPr>
          </w:p>
        </w:tc>
      </w:tr>
      <w:tr w:rsidR="00DC1CDC" w:rsidRPr="00D9492F" w14:paraId="1396CF5A" w14:textId="77777777" w:rsidTr="00AA0DA9">
        <w:trPr>
          <w:jc w:val="center"/>
        </w:trPr>
        <w:tc>
          <w:tcPr>
            <w:tcW w:w="2303" w:type="dxa"/>
          </w:tcPr>
          <w:p w14:paraId="0E5DC09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Virškinimo trakto sutrikimai</w:t>
            </w:r>
          </w:p>
        </w:tc>
        <w:tc>
          <w:tcPr>
            <w:tcW w:w="2303" w:type="dxa"/>
          </w:tcPr>
          <w:p w14:paraId="3DB2B0C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Pykinimas (3</w:t>
            </w:r>
            <w:r w:rsidRPr="00D9492F">
              <w:rPr>
                <w:rFonts w:ascii="Times New Roman" w:hAnsi="Times New Roman"/>
              </w:rPr>
              <w:noBreakHyphen/>
              <w:t>4 laipsnio – 9,6 %)</w:t>
            </w:r>
            <w:r w:rsidR="007F44B9" w:rsidRPr="00D9492F">
              <w:rPr>
                <w:rFonts w:ascii="Times New Roman" w:hAnsi="Times New Roman"/>
              </w:rPr>
              <w:t>.</w:t>
            </w:r>
          </w:p>
          <w:p w14:paraId="0B34C48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Vėmimas (3</w:t>
            </w:r>
            <w:r w:rsidRPr="00D9492F">
              <w:rPr>
                <w:rFonts w:ascii="Times New Roman" w:hAnsi="Times New Roman"/>
              </w:rPr>
              <w:noBreakHyphen/>
              <w:t>4 laipsnio – 7,6 %)</w:t>
            </w:r>
            <w:r w:rsidR="007F44B9" w:rsidRPr="00D9492F">
              <w:rPr>
                <w:rFonts w:ascii="Times New Roman" w:hAnsi="Times New Roman"/>
              </w:rPr>
              <w:t>.</w:t>
            </w:r>
          </w:p>
          <w:p w14:paraId="0263F05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Viduriavimas (3</w:t>
            </w:r>
            <w:r w:rsidRPr="00D9492F">
              <w:rPr>
                <w:rFonts w:ascii="Times New Roman" w:hAnsi="Times New Roman"/>
              </w:rPr>
              <w:noBreakHyphen/>
              <w:t>4 laipsnio – 6,4 %)</w:t>
            </w:r>
            <w:r w:rsidR="007F44B9" w:rsidRPr="00D9492F">
              <w:rPr>
                <w:rFonts w:ascii="Times New Roman" w:hAnsi="Times New Roman"/>
              </w:rPr>
              <w:t>.</w:t>
            </w:r>
          </w:p>
          <w:p w14:paraId="4F0730A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Stomatitas (3</w:t>
            </w:r>
            <w:r w:rsidRPr="00D9492F">
              <w:rPr>
                <w:rFonts w:ascii="Times New Roman" w:hAnsi="Times New Roman"/>
              </w:rPr>
              <w:noBreakHyphen/>
              <w:t>4 laipsnio – 2 %)</w:t>
            </w:r>
            <w:r w:rsidR="007F44B9" w:rsidRPr="00D9492F">
              <w:rPr>
                <w:rFonts w:ascii="Times New Roman" w:hAnsi="Times New Roman"/>
              </w:rPr>
              <w:t>.</w:t>
            </w:r>
          </w:p>
        </w:tc>
        <w:tc>
          <w:tcPr>
            <w:tcW w:w="2269" w:type="dxa"/>
          </w:tcPr>
          <w:p w14:paraId="61E1B58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Vidurių užkietėjimas</w:t>
            </w:r>
            <w:r w:rsidR="007F44B9" w:rsidRPr="00D9492F">
              <w:rPr>
                <w:rFonts w:ascii="Times New Roman" w:hAnsi="Times New Roman"/>
              </w:rPr>
              <w:t>.</w:t>
            </w:r>
          </w:p>
        </w:tc>
        <w:tc>
          <w:tcPr>
            <w:tcW w:w="2337" w:type="dxa"/>
          </w:tcPr>
          <w:p w14:paraId="2AFEFF59" w14:textId="77777777" w:rsidR="00DC1CDC" w:rsidRPr="00D9492F" w:rsidRDefault="00DC1CDC" w:rsidP="00DC1CDC">
            <w:pPr>
              <w:keepNext/>
              <w:keepLines/>
              <w:spacing w:after="0" w:line="240" w:lineRule="auto"/>
              <w:rPr>
                <w:rFonts w:ascii="Times New Roman" w:hAnsi="Times New Roman"/>
              </w:rPr>
            </w:pPr>
          </w:p>
        </w:tc>
      </w:tr>
      <w:tr w:rsidR="00DC1CDC" w:rsidRPr="00D9492F" w14:paraId="65E764BE" w14:textId="77777777" w:rsidTr="00AA0DA9">
        <w:trPr>
          <w:jc w:val="center"/>
        </w:trPr>
        <w:tc>
          <w:tcPr>
            <w:tcW w:w="2303" w:type="dxa"/>
          </w:tcPr>
          <w:p w14:paraId="1B9D7741"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rPr>
            </w:pPr>
            <w:r w:rsidRPr="00D9492F">
              <w:rPr>
                <w:rFonts w:ascii="Times New Roman" w:eastAsia="Times New Roman" w:hAnsi="Times New Roman"/>
              </w:rPr>
              <w:t>Odos ir poodinio audinio sutrikimai</w:t>
            </w:r>
          </w:p>
        </w:tc>
        <w:tc>
          <w:tcPr>
            <w:tcW w:w="2303" w:type="dxa"/>
          </w:tcPr>
          <w:p w14:paraId="02F4BE00"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Alopecija</w:t>
            </w:r>
            <w:r w:rsidR="007F44B9" w:rsidRPr="00D9492F">
              <w:rPr>
                <w:rFonts w:ascii="Times New Roman" w:eastAsia="Times New Roman" w:hAnsi="Times New Roman"/>
                <w:bCs/>
                <w:iCs/>
              </w:rPr>
              <w:t>.</w:t>
            </w:r>
          </w:p>
          <w:p w14:paraId="0229C11F"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Nagų pažeidimai (sunkūs – 0,7 %)</w:t>
            </w:r>
            <w:r w:rsidR="007F44B9" w:rsidRPr="00D9492F">
              <w:rPr>
                <w:rFonts w:ascii="Times New Roman" w:eastAsia="Times New Roman" w:hAnsi="Times New Roman"/>
                <w:bCs/>
                <w:iCs/>
              </w:rPr>
              <w:t>.</w:t>
            </w:r>
          </w:p>
          <w:p w14:paraId="16E281CE"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Odos reakcija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0,2 %)</w:t>
            </w:r>
            <w:r w:rsidR="007F44B9" w:rsidRPr="00D9492F">
              <w:rPr>
                <w:rFonts w:ascii="Times New Roman" w:eastAsia="Times New Roman" w:hAnsi="Times New Roman"/>
                <w:bCs/>
                <w:iCs/>
              </w:rPr>
              <w:t>.</w:t>
            </w:r>
          </w:p>
        </w:tc>
        <w:tc>
          <w:tcPr>
            <w:tcW w:w="2269" w:type="dxa"/>
          </w:tcPr>
          <w:p w14:paraId="0A9A8783" w14:textId="77777777" w:rsidR="00DC1CDC" w:rsidRPr="00D9492F" w:rsidRDefault="00DC1CDC" w:rsidP="00DC1CDC">
            <w:pPr>
              <w:keepNext/>
              <w:keepLines/>
              <w:spacing w:after="0" w:line="240" w:lineRule="auto"/>
              <w:rPr>
                <w:rFonts w:ascii="Times New Roman" w:hAnsi="Times New Roman"/>
              </w:rPr>
            </w:pPr>
          </w:p>
        </w:tc>
        <w:tc>
          <w:tcPr>
            <w:tcW w:w="2337" w:type="dxa"/>
          </w:tcPr>
          <w:p w14:paraId="654D69F9" w14:textId="77777777" w:rsidR="00DC1CDC" w:rsidRPr="00D9492F" w:rsidRDefault="00DC1CDC" w:rsidP="00DC1CDC">
            <w:pPr>
              <w:keepNext/>
              <w:keepLines/>
              <w:spacing w:after="0" w:line="240" w:lineRule="auto"/>
              <w:rPr>
                <w:rFonts w:ascii="Times New Roman" w:hAnsi="Times New Roman"/>
              </w:rPr>
            </w:pPr>
          </w:p>
        </w:tc>
      </w:tr>
      <w:tr w:rsidR="00DC1CDC" w:rsidRPr="00D9492F" w14:paraId="13A11C46" w14:textId="77777777" w:rsidTr="00AA0DA9">
        <w:trPr>
          <w:jc w:val="center"/>
        </w:trPr>
        <w:tc>
          <w:tcPr>
            <w:tcW w:w="2303" w:type="dxa"/>
          </w:tcPr>
          <w:p w14:paraId="7910BB3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Skeleto, raumenų ir jungiamojo audinio sutrikimai</w:t>
            </w:r>
          </w:p>
        </w:tc>
        <w:tc>
          <w:tcPr>
            <w:tcW w:w="2303" w:type="dxa"/>
          </w:tcPr>
          <w:p w14:paraId="11EC1AC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Mialgija (sunki - 0,5 %)</w:t>
            </w:r>
            <w:r w:rsidR="007F44B9" w:rsidRPr="00D9492F">
              <w:rPr>
                <w:rFonts w:ascii="Times New Roman" w:hAnsi="Times New Roman"/>
              </w:rPr>
              <w:t>.</w:t>
            </w:r>
          </w:p>
        </w:tc>
        <w:tc>
          <w:tcPr>
            <w:tcW w:w="2269" w:type="dxa"/>
          </w:tcPr>
          <w:p w14:paraId="29CC3BCE" w14:textId="77777777" w:rsidR="00DC1CDC" w:rsidRPr="00D9492F" w:rsidRDefault="00DC1CDC" w:rsidP="00DC1CDC">
            <w:pPr>
              <w:keepNext/>
              <w:keepLines/>
              <w:spacing w:after="0" w:line="240" w:lineRule="auto"/>
              <w:rPr>
                <w:rFonts w:ascii="Times New Roman" w:hAnsi="Times New Roman"/>
              </w:rPr>
            </w:pPr>
          </w:p>
        </w:tc>
        <w:tc>
          <w:tcPr>
            <w:tcW w:w="2337" w:type="dxa"/>
          </w:tcPr>
          <w:p w14:paraId="1B1F1CD0" w14:textId="77777777" w:rsidR="00DC1CDC" w:rsidRPr="00D9492F" w:rsidRDefault="00DC1CDC" w:rsidP="00DC1CDC">
            <w:pPr>
              <w:keepNext/>
              <w:keepLines/>
              <w:spacing w:after="0" w:line="240" w:lineRule="auto"/>
              <w:rPr>
                <w:rFonts w:ascii="Times New Roman" w:hAnsi="Times New Roman"/>
              </w:rPr>
            </w:pPr>
          </w:p>
        </w:tc>
      </w:tr>
      <w:tr w:rsidR="00DC1CDC" w:rsidRPr="00D9492F" w14:paraId="385BDFC0" w14:textId="77777777" w:rsidTr="00AA0DA9">
        <w:trPr>
          <w:jc w:val="center"/>
        </w:trPr>
        <w:tc>
          <w:tcPr>
            <w:tcW w:w="2303" w:type="dxa"/>
          </w:tcPr>
          <w:p w14:paraId="26C6729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Bendri</w:t>
            </w:r>
            <w:r w:rsidR="007F44B9" w:rsidRPr="00D9492F">
              <w:rPr>
                <w:rFonts w:ascii="Times New Roman" w:hAnsi="Times New Roman"/>
              </w:rPr>
              <w:t>eji</w:t>
            </w:r>
            <w:r w:rsidRPr="00D9492F">
              <w:rPr>
                <w:rFonts w:ascii="Times New Roman" w:hAnsi="Times New Roman"/>
              </w:rPr>
              <w:t xml:space="preserve"> sutrikimai ir vartojimo vietos pažeidimai</w:t>
            </w:r>
          </w:p>
        </w:tc>
        <w:tc>
          <w:tcPr>
            <w:tcW w:w="2303" w:type="dxa"/>
          </w:tcPr>
          <w:p w14:paraId="35F55E8A" w14:textId="55D92024" w:rsidR="00ED0CB5" w:rsidRPr="00D9492F" w:rsidRDefault="00DC1CDC" w:rsidP="00DC1CDC">
            <w:pPr>
              <w:keepNext/>
              <w:keepLines/>
              <w:spacing w:after="0" w:line="240" w:lineRule="auto"/>
              <w:rPr>
                <w:rFonts w:ascii="Times New Roman" w:hAnsi="Times New Roman"/>
              </w:rPr>
            </w:pPr>
            <w:r w:rsidRPr="00D9492F">
              <w:rPr>
                <w:rFonts w:ascii="Times New Roman" w:hAnsi="Times New Roman"/>
              </w:rPr>
              <w:t>Astenija (sunki – 9,9 %)</w:t>
            </w:r>
            <w:r w:rsidR="007F44B9" w:rsidRPr="00D9492F">
              <w:rPr>
                <w:rFonts w:ascii="Times New Roman" w:hAnsi="Times New Roman"/>
              </w:rPr>
              <w:t>.</w:t>
            </w:r>
          </w:p>
          <w:p w14:paraId="2625BC94" w14:textId="38EEA324"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Skysčių susilaikymas (sunkus – 0,7 %)</w:t>
            </w:r>
            <w:r w:rsidR="007F44B9" w:rsidRPr="00D9492F">
              <w:rPr>
                <w:rFonts w:ascii="Times New Roman" w:hAnsi="Times New Roman"/>
              </w:rPr>
              <w:t>.</w:t>
            </w:r>
            <w:r w:rsidRPr="00D9492F">
              <w:rPr>
                <w:rFonts w:ascii="Times New Roman" w:hAnsi="Times New Roman"/>
              </w:rPr>
              <w:br/>
              <w:t>Karščiavimas (3</w:t>
            </w:r>
            <w:r w:rsidRPr="00D9492F">
              <w:rPr>
                <w:rFonts w:ascii="Times New Roman" w:hAnsi="Times New Roman"/>
              </w:rPr>
              <w:noBreakHyphen/>
              <w:t>4 laipsnio – 1,2 %)</w:t>
            </w:r>
            <w:r w:rsidR="007F44B9" w:rsidRPr="00D9492F">
              <w:rPr>
                <w:rFonts w:ascii="Times New Roman" w:hAnsi="Times New Roman"/>
              </w:rPr>
              <w:t>.</w:t>
            </w:r>
          </w:p>
        </w:tc>
        <w:tc>
          <w:tcPr>
            <w:tcW w:w="2269" w:type="dxa"/>
          </w:tcPr>
          <w:p w14:paraId="10C0516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Infuzijos vietos reakcija</w:t>
            </w:r>
            <w:r w:rsidR="007F44B9" w:rsidRPr="00D9492F">
              <w:rPr>
                <w:rFonts w:ascii="Times New Roman" w:hAnsi="Times New Roman"/>
              </w:rPr>
              <w:t>.</w:t>
            </w:r>
          </w:p>
          <w:p w14:paraId="3D00D6B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Skausmas</w:t>
            </w:r>
            <w:r w:rsidR="007F44B9" w:rsidRPr="00D9492F">
              <w:rPr>
                <w:rFonts w:ascii="Times New Roman" w:hAnsi="Times New Roman"/>
              </w:rPr>
              <w:t>.</w:t>
            </w:r>
          </w:p>
        </w:tc>
        <w:tc>
          <w:tcPr>
            <w:tcW w:w="2337" w:type="dxa"/>
          </w:tcPr>
          <w:p w14:paraId="643AA1BE" w14:textId="77777777" w:rsidR="00DC1CDC" w:rsidRPr="00D9492F" w:rsidRDefault="00DC1CDC" w:rsidP="00DC1CDC">
            <w:pPr>
              <w:keepNext/>
              <w:keepLines/>
              <w:spacing w:after="0" w:line="240" w:lineRule="auto"/>
              <w:rPr>
                <w:rFonts w:ascii="Times New Roman" w:hAnsi="Times New Roman"/>
              </w:rPr>
            </w:pPr>
          </w:p>
        </w:tc>
      </w:tr>
      <w:tr w:rsidR="00DC1CDC" w:rsidRPr="00D9492F" w14:paraId="0AEE438E" w14:textId="77777777" w:rsidTr="00AA0DA9">
        <w:trPr>
          <w:jc w:val="center"/>
        </w:trPr>
        <w:tc>
          <w:tcPr>
            <w:tcW w:w="2303" w:type="dxa"/>
          </w:tcPr>
          <w:p w14:paraId="37A3878A"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Tyrimai</w:t>
            </w:r>
          </w:p>
        </w:tc>
        <w:tc>
          <w:tcPr>
            <w:tcW w:w="2303" w:type="dxa"/>
          </w:tcPr>
          <w:p w14:paraId="17939B37" w14:textId="77777777" w:rsidR="00DC1CDC" w:rsidRPr="00D9492F" w:rsidRDefault="00DC1CDC" w:rsidP="00DC1CDC">
            <w:pPr>
              <w:keepNext/>
              <w:keepLines/>
              <w:spacing w:after="0" w:line="240" w:lineRule="auto"/>
              <w:rPr>
                <w:rFonts w:ascii="Times New Roman" w:hAnsi="Times New Roman"/>
              </w:rPr>
            </w:pPr>
          </w:p>
        </w:tc>
        <w:tc>
          <w:tcPr>
            <w:tcW w:w="2269" w:type="dxa"/>
          </w:tcPr>
          <w:p w14:paraId="14B65DE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bilirubino koncentracijos kraujyje padidėjimas (2,1 %)</w:t>
            </w:r>
            <w:r w:rsidR="007F44B9" w:rsidRPr="00D9492F">
              <w:rPr>
                <w:rFonts w:ascii="Times New Roman" w:hAnsi="Times New Roman"/>
              </w:rPr>
              <w:t>.</w:t>
            </w:r>
          </w:p>
          <w:p w14:paraId="333D475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ALT koncentracijos padidėjimas (1,3 %)</w:t>
            </w:r>
            <w:r w:rsidR="007F44B9" w:rsidRPr="00D9492F">
              <w:rPr>
                <w:rFonts w:ascii="Times New Roman" w:hAnsi="Times New Roman"/>
              </w:rPr>
              <w:t>.</w:t>
            </w:r>
          </w:p>
          <w:p w14:paraId="50E718C4" w14:textId="77777777" w:rsidR="00DC1CDC" w:rsidRPr="00D9492F" w:rsidRDefault="00DC1CDC" w:rsidP="00DC1CDC">
            <w:pPr>
              <w:keepNext/>
              <w:keepLines/>
              <w:spacing w:after="0" w:line="240" w:lineRule="auto"/>
              <w:rPr>
                <w:rFonts w:ascii="Times New Roman" w:hAnsi="Times New Roman"/>
              </w:rPr>
            </w:pPr>
          </w:p>
        </w:tc>
        <w:tc>
          <w:tcPr>
            <w:tcW w:w="2337" w:type="dxa"/>
          </w:tcPr>
          <w:p w14:paraId="4CAE059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AST koncentracijos padidėjimas (0,5 %)</w:t>
            </w:r>
            <w:r w:rsidR="007F44B9" w:rsidRPr="00D9492F">
              <w:rPr>
                <w:rFonts w:ascii="Times New Roman" w:hAnsi="Times New Roman"/>
              </w:rPr>
              <w:t>.</w:t>
            </w:r>
            <w:r w:rsidRPr="00D9492F">
              <w:rPr>
                <w:rFonts w:ascii="Times New Roman" w:hAnsi="Times New Roman"/>
              </w:rPr>
              <w:t xml:space="preserve"> </w:t>
            </w:r>
          </w:p>
          <w:p w14:paraId="4B18A13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šarminės fosfatazės koncentracijos kraujyje padidėjimas (0,3 %)</w:t>
            </w:r>
            <w:r w:rsidR="007F44B9" w:rsidRPr="00D9492F">
              <w:rPr>
                <w:rFonts w:ascii="Times New Roman" w:hAnsi="Times New Roman"/>
              </w:rPr>
              <w:t>.</w:t>
            </w:r>
          </w:p>
        </w:tc>
      </w:tr>
    </w:tbl>
    <w:p w14:paraId="71A2605F" w14:textId="77777777" w:rsidR="00DC1CDC" w:rsidRPr="00D9492F" w:rsidRDefault="00DC1CDC" w:rsidP="00DC1CDC">
      <w:pPr>
        <w:keepNext/>
        <w:keepLines/>
        <w:tabs>
          <w:tab w:val="left" w:pos="7655"/>
        </w:tabs>
        <w:suppressAutoHyphens/>
        <w:spacing w:after="0" w:line="240" w:lineRule="auto"/>
        <w:rPr>
          <w:rFonts w:ascii="Times New Roman" w:eastAsia="Times New Roman" w:hAnsi="Times New Roman"/>
        </w:rPr>
      </w:pPr>
    </w:p>
    <w:p w14:paraId="3555CCA1" w14:textId="7FD54C98" w:rsidR="00DC1CDC" w:rsidRPr="00D9492F" w:rsidRDefault="005B1DF2" w:rsidP="00DC1CDC">
      <w:pPr>
        <w:keepNext/>
        <w:keepLines/>
        <w:tabs>
          <w:tab w:val="left" w:pos="7655"/>
        </w:tabs>
        <w:suppressAutoHyphens/>
        <w:spacing w:after="0" w:line="240" w:lineRule="auto"/>
        <w:rPr>
          <w:rFonts w:ascii="Times New Roman" w:hAnsi="Times New Roman"/>
        </w:rPr>
      </w:pPr>
      <w:r w:rsidRPr="00D9492F">
        <w:rPr>
          <w:rFonts w:ascii="Times New Roman" w:eastAsia="Times New Roman" w:hAnsi="Times New Roman"/>
          <w:bCs/>
          <w:u w:val="single"/>
        </w:rPr>
        <w:lastRenderedPageBreak/>
        <w:t>Nepageidaujamų reakcijų, atsiradusių vartojant Docetaxel SanoSwiss 100</w:t>
      </w:r>
      <w:r w:rsidR="00C5080D" w:rsidRPr="00D9492F">
        <w:rPr>
          <w:rFonts w:ascii="Times New Roman" w:eastAsia="Times New Roman" w:hAnsi="Times New Roman"/>
          <w:bCs/>
          <w:u w:val="single"/>
        </w:rPr>
        <w:t> </w:t>
      </w:r>
      <w:r w:rsidRPr="00D9492F">
        <w:rPr>
          <w:rFonts w:ascii="Times New Roman" w:eastAsia="Times New Roman" w:hAnsi="Times New Roman"/>
          <w:bCs/>
          <w:u w:val="single"/>
        </w:rPr>
        <w:t xml:space="preserve">mg/m² su trastuzumabu dozę krūties vėžio monoterapijai, </w:t>
      </w:r>
      <w:r w:rsidR="008C7CA5" w:rsidRPr="00D9492F">
        <w:rPr>
          <w:rFonts w:ascii="Times New Roman" w:eastAsia="Times New Roman" w:hAnsi="Times New Roman"/>
          <w:bCs/>
          <w:u w:val="single"/>
        </w:rPr>
        <w:t>santrauka lentelėje</w:t>
      </w:r>
      <w:r w:rsidRPr="00D9492F">
        <w:rPr>
          <w:rFonts w:ascii="Times New Roman" w:eastAsia="Times New Roman" w:hAnsi="Times New Roman"/>
          <w:bCs/>
          <w:u w:val="single"/>
        </w:rPr>
        <w:t xml:space="preserve"> </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3258"/>
      </w:tblGrid>
      <w:tr w:rsidR="00DC1CDC" w:rsidRPr="00D9492F" w14:paraId="34EBE25F" w14:textId="77777777" w:rsidTr="0003751A">
        <w:trPr>
          <w:tblHeader/>
          <w:jc w:val="center"/>
        </w:trPr>
        <w:tc>
          <w:tcPr>
            <w:tcW w:w="2694" w:type="dxa"/>
            <w:shd w:val="clear" w:color="auto" w:fill="auto"/>
          </w:tcPr>
          <w:p w14:paraId="37980C96"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MedDRA organų sistemų klasės</w:t>
            </w:r>
          </w:p>
          <w:p w14:paraId="5F27B700" w14:textId="77777777" w:rsidR="00DC1CDC" w:rsidRPr="00D9492F" w:rsidRDefault="00DC1CDC" w:rsidP="00DC1CDC">
            <w:pPr>
              <w:keepNext/>
              <w:keepLines/>
              <w:spacing w:after="0" w:line="240" w:lineRule="auto"/>
              <w:rPr>
                <w:rFonts w:ascii="Times New Roman" w:hAnsi="Times New Roman"/>
                <w:u w:val="single"/>
              </w:rPr>
            </w:pPr>
          </w:p>
        </w:tc>
        <w:tc>
          <w:tcPr>
            <w:tcW w:w="3260" w:type="dxa"/>
            <w:shd w:val="clear" w:color="auto" w:fill="auto"/>
          </w:tcPr>
          <w:p w14:paraId="11A4530B" w14:textId="05B2D8ED"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Labai dažnos nepageidaujamos reakcijos</w:t>
            </w:r>
          </w:p>
          <w:p w14:paraId="681290E1"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u w:val="single"/>
              </w:rPr>
            </w:pPr>
          </w:p>
        </w:tc>
        <w:tc>
          <w:tcPr>
            <w:tcW w:w="3258" w:type="dxa"/>
            <w:shd w:val="clear" w:color="auto" w:fill="auto"/>
          </w:tcPr>
          <w:p w14:paraId="2B4CF74F"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Dažnos nepageidaujamos reakcijos</w:t>
            </w:r>
          </w:p>
          <w:p w14:paraId="42B856EF" w14:textId="77777777" w:rsidR="00DC1CDC" w:rsidRPr="00D9492F" w:rsidRDefault="00DC1CDC" w:rsidP="00DC1CDC">
            <w:pPr>
              <w:keepNext/>
              <w:keepLines/>
              <w:spacing w:after="0" w:line="240" w:lineRule="auto"/>
              <w:rPr>
                <w:rFonts w:ascii="Times New Roman" w:hAnsi="Times New Roman"/>
                <w:u w:val="single"/>
              </w:rPr>
            </w:pPr>
          </w:p>
        </w:tc>
      </w:tr>
      <w:tr w:rsidR="00DC1CDC" w:rsidRPr="00D9492F" w14:paraId="269D3E40" w14:textId="77777777" w:rsidTr="0003751A">
        <w:trPr>
          <w:jc w:val="center"/>
        </w:trPr>
        <w:tc>
          <w:tcPr>
            <w:tcW w:w="2694" w:type="dxa"/>
          </w:tcPr>
          <w:p w14:paraId="58581E4B"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Kraujo ir limfinės sistemos sutrikimai</w:t>
            </w:r>
          </w:p>
        </w:tc>
        <w:tc>
          <w:tcPr>
            <w:tcW w:w="3260" w:type="dxa"/>
          </w:tcPr>
          <w:p w14:paraId="478EFD89"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rPr>
            </w:pPr>
            <w:r w:rsidRPr="00D9492F">
              <w:rPr>
                <w:rFonts w:ascii="Times New Roman" w:eastAsia="Times New Roman" w:hAnsi="Times New Roman"/>
              </w:rPr>
              <w:t>Neutropenija (3</w:t>
            </w:r>
            <w:r w:rsidRPr="00D9492F">
              <w:rPr>
                <w:rFonts w:ascii="Times New Roman" w:eastAsia="Times New Roman" w:hAnsi="Times New Roman"/>
              </w:rPr>
              <w:noBreakHyphen/>
              <w:t>4 laipsnio – 32 %)</w:t>
            </w:r>
            <w:r w:rsidR="00C04382" w:rsidRPr="00D9492F">
              <w:rPr>
                <w:rFonts w:ascii="Times New Roman" w:eastAsia="Times New Roman" w:hAnsi="Times New Roman"/>
              </w:rPr>
              <w:t>.</w:t>
            </w:r>
          </w:p>
          <w:p w14:paraId="53A145E3"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rPr>
            </w:pPr>
            <w:r w:rsidRPr="00D9492F">
              <w:rPr>
                <w:rFonts w:ascii="Times New Roman" w:eastAsia="Times New Roman" w:hAnsi="Times New Roman"/>
              </w:rPr>
              <w:t>Febrilinė neutropenija (įskaitant neutropeniją karščiuojant ir vartojant antibiotikų) arba neutropeninis sepsis</w:t>
            </w:r>
            <w:r w:rsidR="00C04382" w:rsidRPr="00D9492F">
              <w:rPr>
                <w:rFonts w:ascii="Times New Roman" w:eastAsia="Times New Roman" w:hAnsi="Times New Roman"/>
              </w:rPr>
              <w:t>.</w:t>
            </w:r>
          </w:p>
        </w:tc>
        <w:tc>
          <w:tcPr>
            <w:tcW w:w="3258" w:type="dxa"/>
          </w:tcPr>
          <w:p w14:paraId="6D02FC7D"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rPr>
            </w:pPr>
          </w:p>
        </w:tc>
      </w:tr>
      <w:tr w:rsidR="00DC1CDC" w:rsidRPr="00D9492F" w14:paraId="32C127F9" w14:textId="77777777" w:rsidTr="0003751A">
        <w:trPr>
          <w:jc w:val="center"/>
        </w:trPr>
        <w:tc>
          <w:tcPr>
            <w:tcW w:w="2694" w:type="dxa"/>
          </w:tcPr>
          <w:p w14:paraId="7969D40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Metabolizmo ir mitybos sutrikimai</w:t>
            </w:r>
          </w:p>
        </w:tc>
        <w:tc>
          <w:tcPr>
            <w:tcW w:w="3260" w:type="dxa"/>
          </w:tcPr>
          <w:p w14:paraId="6BF7BB8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Anoreksija</w:t>
            </w:r>
            <w:r w:rsidR="00C04382" w:rsidRPr="00D9492F">
              <w:rPr>
                <w:rFonts w:ascii="Times New Roman" w:hAnsi="Times New Roman"/>
              </w:rPr>
              <w:t>.</w:t>
            </w:r>
          </w:p>
        </w:tc>
        <w:tc>
          <w:tcPr>
            <w:tcW w:w="3258" w:type="dxa"/>
          </w:tcPr>
          <w:p w14:paraId="19E2F441" w14:textId="77777777" w:rsidR="00DC1CDC" w:rsidRPr="00D9492F" w:rsidRDefault="00DC1CDC" w:rsidP="00DC1CDC">
            <w:pPr>
              <w:keepNext/>
              <w:keepLines/>
              <w:spacing w:after="0" w:line="240" w:lineRule="auto"/>
              <w:rPr>
                <w:rFonts w:ascii="Times New Roman" w:hAnsi="Times New Roman"/>
              </w:rPr>
            </w:pPr>
          </w:p>
        </w:tc>
      </w:tr>
      <w:tr w:rsidR="00DC1CDC" w:rsidRPr="00D9492F" w14:paraId="1C26C877" w14:textId="77777777" w:rsidTr="0003751A">
        <w:trPr>
          <w:jc w:val="center"/>
        </w:trPr>
        <w:tc>
          <w:tcPr>
            <w:tcW w:w="2694" w:type="dxa"/>
          </w:tcPr>
          <w:p w14:paraId="37274470"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Psichikos sutrikimai</w:t>
            </w:r>
          </w:p>
        </w:tc>
        <w:tc>
          <w:tcPr>
            <w:tcW w:w="3260" w:type="dxa"/>
          </w:tcPr>
          <w:p w14:paraId="7879536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Nemiga</w:t>
            </w:r>
            <w:r w:rsidR="00C04382" w:rsidRPr="00D9492F">
              <w:rPr>
                <w:rFonts w:ascii="Times New Roman" w:hAnsi="Times New Roman"/>
              </w:rPr>
              <w:t>.</w:t>
            </w:r>
          </w:p>
        </w:tc>
        <w:tc>
          <w:tcPr>
            <w:tcW w:w="3258" w:type="dxa"/>
          </w:tcPr>
          <w:p w14:paraId="61809025" w14:textId="77777777" w:rsidR="00DC1CDC" w:rsidRPr="00D9492F" w:rsidRDefault="00DC1CDC" w:rsidP="00DC1CDC">
            <w:pPr>
              <w:keepNext/>
              <w:keepLines/>
              <w:spacing w:after="0" w:line="240" w:lineRule="auto"/>
              <w:rPr>
                <w:rFonts w:ascii="Times New Roman" w:hAnsi="Times New Roman"/>
              </w:rPr>
            </w:pPr>
          </w:p>
        </w:tc>
      </w:tr>
      <w:tr w:rsidR="00DC1CDC" w:rsidRPr="00D9492F" w14:paraId="56BB30A0" w14:textId="77777777" w:rsidTr="0003751A">
        <w:trPr>
          <w:jc w:val="center"/>
        </w:trPr>
        <w:tc>
          <w:tcPr>
            <w:tcW w:w="2694" w:type="dxa"/>
          </w:tcPr>
          <w:p w14:paraId="16E53BB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Nervų sistemos sutrikimai</w:t>
            </w:r>
          </w:p>
        </w:tc>
        <w:tc>
          <w:tcPr>
            <w:tcW w:w="3260" w:type="dxa"/>
          </w:tcPr>
          <w:p w14:paraId="7330EE69" w14:textId="77777777" w:rsidR="00C04382" w:rsidRPr="00D9492F" w:rsidRDefault="00DC1CDC" w:rsidP="00DC1CDC">
            <w:pPr>
              <w:keepNext/>
              <w:keepLines/>
              <w:spacing w:after="0" w:line="240" w:lineRule="auto"/>
              <w:rPr>
                <w:rFonts w:ascii="Times New Roman" w:hAnsi="Times New Roman"/>
              </w:rPr>
            </w:pPr>
            <w:r w:rsidRPr="00D9492F">
              <w:rPr>
                <w:rFonts w:ascii="Times New Roman" w:hAnsi="Times New Roman"/>
              </w:rPr>
              <w:t>Parestezija</w:t>
            </w:r>
            <w:r w:rsidR="00C04382" w:rsidRPr="00D9492F">
              <w:rPr>
                <w:rFonts w:ascii="Times New Roman" w:hAnsi="Times New Roman"/>
              </w:rPr>
              <w:t>.</w:t>
            </w:r>
            <w:r w:rsidRPr="00D9492F">
              <w:rPr>
                <w:rFonts w:ascii="Times New Roman" w:hAnsi="Times New Roman"/>
              </w:rPr>
              <w:t xml:space="preserve"> </w:t>
            </w:r>
          </w:p>
          <w:p w14:paraId="373739EA" w14:textId="77777777" w:rsidR="00C04382" w:rsidRPr="00D9492F" w:rsidRDefault="00C04382" w:rsidP="00DC1CDC">
            <w:pPr>
              <w:keepNext/>
              <w:keepLines/>
              <w:spacing w:after="0" w:line="240" w:lineRule="auto"/>
              <w:rPr>
                <w:rFonts w:ascii="Times New Roman" w:hAnsi="Times New Roman"/>
              </w:rPr>
            </w:pPr>
            <w:r w:rsidRPr="00D9492F">
              <w:rPr>
                <w:rFonts w:ascii="Times New Roman" w:hAnsi="Times New Roman"/>
              </w:rPr>
              <w:t>G</w:t>
            </w:r>
            <w:r w:rsidR="00DC1CDC" w:rsidRPr="00D9492F">
              <w:rPr>
                <w:rFonts w:ascii="Times New Roman" w:hAnsi="Times New Roman"/>
              </w:rPr>
              <w:t>alvos skausmas</w:t>
            </w:r>
            <w:r w:rsidRPr="00D9492F">
              <w:rPr>
                <w:rFonts w:ascii="Times New Roman" w:hAnsi="Times New Roman"/>
              </w:rPr>
              <w:t>.</w:t>
            </w:r>
            <w:r w:rsidR="00DC1CDC" w:rsidRPr="00D9492F">
              <w:rPr>
                <w:rFonts w:ascii="Times New Roman" w:hAnsi="Times New Roman"/>
              </w:rPr>
              <w:t xml:space="preserve"> </w:t>
            </w:r>
          </w:p>
          <w:p w14:paraId="5CB5A4F1" w14:textId="3938B964" w:rsidR="00C04382" w:rsidRPr="00D9492F" w:rsidRDefault="00C04382" w:rsidP="00DC1CDC">
            <w:pPr>
              <w:keepNext/>
              <w:keepLines/>
              <w:spacing w:after="0" w:line="240" w:lineRule="auto"/>
              <w:rPr>
                <w:rFonts w:ascii="Times New Roman" w:hAnsi="Times New Roman"/>
              </w:rPr>
            </w:pPr>
            <w:r w:rsidRPr="00D9492F">
              <w:rPr>
                <w:rFonts w:ascii="Times New Roman" w:hAnsi="Times New Roman"/>
              </w:rPr>
              <w:t>D</w:t>
            </w:r>
            <w:r w:rsidR="00DC1CDC" w:rsidRPr="00D9492F">
              <w:rPr>
                <w:rFonts w:ascii="Times New Roman" w:hAnsi="Times New Roman"/>
              </w:rPr>
              <w:t>isgeuzija</w:t>
            </w:r>
            <w:r w:rsidRPr="00D9492F">
              <w:rPr>
                <w:rFonts w:ascii="Times New Roman" w:hAnsi="Times New Roman"/>
              </w:rPr>
              <w:t>.</w:t>
            </w:r>
          </w:p>
          <w:p w14:paraId="3F8590B6" w14:textId="77777777" w:rsidR="00DC1CDC" w:rsidRPr="00D9492F" w:rsidRDefault="00C04382" w:rsidP="00DC1CDC">
            <w:pPr>
              <w:keepNext/>
              <w:keepLines/>
              <w:spacing w:after="0" w:line="240" w:lineRule="auto"/>
              <w:rPr>
                <w:rFonts w:ascii="Times New Roman" w:hAnsi="Times New Roman"/>
              </w:rPr>
            </w:pPr>
            <w:r w:rsidRPr="00D9492F">
              <w:rPr>
                <w:rFonts w:ascii="Times New Roman" w:hAnsi="Times New Roman"/>
              </w:rPr>
              <w:t>H</w:t>
            </w:r>
            <w:r w:rsidR="00DC1CDC" w:rsidRPr="00D9492F">
              <w:rPr>
                <w:rFonts w:ascii="Times New Roman" w:hAnsi="Times New Roman"/>
              </w:rPr>
              <w:t>ipoestezija</w:t>
            </w:r>
            <w:r w:rsidRPr="00D9492F">
              <w:rPr>
                <w:rFonts w:ascii="Times New Roman" w:hAnsi="Times New Roman"/>
              </w:rPr>
              <w:t>.</w:t>
            </w:r>
          </w:p>
        </w:tc>
        <w:tc>
          <w:tcPr>
            <w:tcW w:w="3258" w:type="dxa"/>
          </w:tcPr>
          <w:p w14:paraId="020D63D2" w14:textId="77777777" w:rsidR="00DC1CDC" w:rsidRPr="00D9492F" w:rsidRDefault="00DC1CDC" w:rsidP="00DC1CDC">
            <w:pPr>
              <w:keepNext/>
              <w:keepLines/>
              <w:spacing w:after="0" w:line="240" w:lineRule="auto"/>
              <w:rPr>
                <w:rFonts w:ascii="Times New Roman" w:hAnsi="Times New Roman"/>
              </w:rPr>
            </w:pPr>
          </w:p>
        </w:tc>
      </w:tr>
      <w:tr w:rsidR="00DC1CDC" w:rsidRPr="00D9492F" w14:paraId="5D452C69" w14:textId="77777777" w:rsidTr="0003751A">
        <w:trPr>
          <w:jc w:val="center"/>
        </w:trPr>
        <w:tc>
          <w:tcPr>
            <w:tcW w:w="2694" w:type="dxa"/>
          </w:tcPr>
          <w:p w14:paraId="664552F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Aki</w:t>
            </w:r>
            <w:r w:rsidR="0026147A" w:rsidRPr="00D9492F">
              <w:rPr>
                <w:rFonts w:ascii="Times New Roman" w:hAnsi="Times New Roman"/>
              </w:rPr>
              <w:t>ų</w:t>
            </w:r>
            <w:r w:rsidRPr="00D9492F">
              <w:rPr>
                <w:rFonts w:ascii="Times New Roman" w:hAnsi="Times New Roman"/>
              </w:rPr>
              <w:t xml:space="preserve"> sutrikimai</w:t>
            </w:r>
          </w:p>
        </w:tc>
        <w:tc>
          <w:tcPr>
            <w:tcW w:w="3260" w:type="dxa"/>
          </w:tcPr>
          <w:p w14:paraId="0C8C298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Ašarojimo sustiprėjimas</w:t>
            </w:r>
            <w:r w:rsidR="00C04382" w:rsidRPr="00D9492F">
              <w:rPr>
                <w:rFonts w:ascii="Times New Roman" w:hAnsi="Times New Roman"/>
              </w:rPr>
              <w:t>.</w:t>
            </w:r>
            <w:r w:rsidRPr="00D9492F">
              <w:rPr>
                <w:rFonts w:ascii="Times New Roman" w:hAnsi="Times New Roman"/>
              </w:rPr>
              <w:t xml:space="preserve"> Konjunktyvitas</w:t>
            </w:r>
            <w:r w:rsidR="00C04382" w:rsidRPr="00D9492F">
              <w:rPr>
                <w:rFonts w:ascii="Times New Roman" w:hAnsi="Times New Roman"/>
              </w:rPr>
              <w:t>.</w:t>
            </w:r>
          </w:p>
        </w:tc>
        <w:tc>
          <w:tcPr>
            <w:tcW w:w="3258" w:type="dxa"/>
          </w:tcPr>
          <w:p w14:paraId="7822773C" w14:textId="77777777" w:rsidR="00DC1CDC" w:rsidRPr="00D9492F" w:rsidRDefault="00DC1CDC" w:rsidP="00DC1CDC">
            <w:pPr>
              <w:keepNext/>
              <w:keepLines/>
              <w:spacing w:after="0" w:line="240" w:lineRule="auto"/>
              <w:rPr>
                <w:rFonts w:ascii="Times New Roman" w:hAnsi="Times New Roman"/>
              </w:rPr>
            </w:pPr>
          </w:p>
        </w:tc>
      </w:tr>
      <w:tr w:rsidR="00DC1CDC" w:rsidRPr="00D9492F" w14:paraId="6985D1E8" w14:textId="77777777" w:rsidTr="0003751A">
        <w:trPr>
          <w:jc w:val="center"/>
        </w:trPr>
        <w:tc>
          <w:tcPr>
            <w:tcW w:w="2694" w:type="dxa"/>
          </w:tcPr>
          <w:p w14:paraId="41C59C79"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Širdies sutrikimai</w:t>
            </w:r>
          </w:p>
        </w:tc>
        <w:tc>
          <w:tcPr>
            <w:tcW w:w="3260" w:type="dxa"/>
          </w:tcPr>
          <w:p w14:paraId="5510B01D"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rPr>
            </w:pPr>
          </w:p>
        </w:tc>
        <w:tc>
          <w:tcPr>
            <w:tcW w:w="3258" w:type="dxa"/>
          </w:tcPr>
          <w:p w14:paraId="7C41206C"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rPr>
            </w:pPr>
            <w:r w:rsidRPr="00D9492F">
              <w:rPr>
                <w:rFonts w:ascii="Times New Roman" w:eastAsia="Times New Roman" w:hAnsi="Times New Roman"/>
              </w:rPr>
              <w:t>Širdies nepakankamumas</w:t>
            </w:r>
            <w:r w:rsidR="00C04382" w:rsidRPr="00D9492F">
              <w:rPr>
                <w:rFonts w:ascii="Times New Roman" w:eastAsia="Times New Roman" w:hAnsi="Times New Roman"/>
              </w:rPr>
              <w:t>.</w:t>
            </w:r>
          </w:p>
        </w:tc>
      </w:tr>
      <w:tr w:rsidR="00DC1CDC" w:rsidRPr="00D9492F" w14:paraId="1DC47C51" w14:textId="77777777" w:rsidTr="0003751A">
        <w:trPr>
          <w:jc w:val="center"/>
        </w:trPr>
        <w:tc>
          <w:tcPr>
            <w:tcW w:w="2694" w:type="dxa"/>
          </w:tcPr>
          <w:p w14:paraId="4DD2A91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Kraujagyslių sutrikimai</w:t>
            </w:r>
          </w:p>
        </w:tc>
        <w:tc>
          <w:tcPr>
            <w:tcW w:w="3260" w:type="dxa"/>
          </w:tcPr>
          <w:p w14:paraId="25ADC23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Limfedema</w:t>
            </w:r>
            <w:r w:rsidR="00C04382" w:rsidRPr="00D9492F">
              <w:rPr>
                <w:rFonts w:ascii="Times New Roman" w:hAnsi="Times New Roman"/>
              </w:rPr>
              <w:t>.</w:t>
            </w:r>
          </w:p>
        </w:tc>
        <w:tc>
          <w:tcPr>
            <w:tcW w:w="3258" w:type="dxa"/>
          </w:tcPr>
          <w:p w14:paraId="16001F7B" w14:textId="77777777" w:rsidR="00DC1CDC" w:rsidRPr="00D9492F" w:rsidRDefault="00DC1CDC" w:rsidP="00DC1CDC">
            <w:pPr>
              <w:keepNext/>
              <w:keepLines/>
              <w:spacing w:after="0" w:line="240" w:lineRule="auto"/>
              <w:rPr>
                <w:rFonts w:ascii="Times New Roman" w:hAnsi="Times New Roman"/>
              </w:rPr>
            </w:pPr>
          </w:p>
        </w:tc>
      </w:tr>
      <w:tr w:rsidR="00DC1CDC" w:rsidRPr="00D9492F" w14:paraId="664B5AD0" w14:textId="77777777" w:rsidTr="0003751A">
        <w:trPr>
          <w:jc w:val="center"/>
        </w:trPr>
        <w:tc>
          <w:tcPr>
            <w:tcW w:w="2694" w:type="dxa"/>
          </w:tcPr>
          <w:p w14:paraId="15E1DF9C" w14:textId="77777777" w:rsidR="00DC1CDC" w:rsidRPr="00D9492F" w:rsidRDefault="00DC1CDC" w:rsidP="00C7682A">
            <w:pPr>
              <w:keepNext/>
              <w:keepLines/>
              <w:spacing w:after="0" w:line="240" w:lineRule="auto"/>
              <w:rPr>
                <w:rFonts w:ascii="Times New Roman" w:hAnsi="Times New Roman"/>
              </w:rPr>
            </w:pPr>
            <w:r w:rsidRPr="00D9492F">
              <w:rPr>
                <w:rFonts w:ascii="Times New Roman" w:hAnsi="Times New Roman"/>
              </w:rPr>
              <w:t xml:space="preserve">Kvėpavimo sistemos, krūtinės ląstos ir </w:t>
            </w:r>
            <w:r w:rsidR="00C7682A" w:rsidRPr="00D9492F">
              <w:rPr>
                <w:rFonts w:ascii="Times New Roman" w:hAnsi="Times New Roman"/>
              </w:rPr>
              <w:t xml:space="preserve">tarpuplaučio </w:t>
            </w:r>
            <w:r w:rsidRPr="00D9492F">
              <w:rPr>
                <w:rFonts w:ascii="Times New Roman" w:hAnsi="Times New Roman"/>
              </w:rPr>
              <w:t>sutrikimai</w:t>
            </w:r>
          </w:p>
        </w:tc>
        <w:tc>
          <w:tcPr>
            <w:tcW w:w="3260" w:type="dxa"/>
          </w:tcPr>
          <w:p w14:paraId="0FE04E6D" w14:textId="68AB1DF7" w:rsidR="00ED0CB5" w:rsidRPr="00D9492F" w:rsidRDefault="00DC1CDC" w:rsidP="00DC1CDC">
            <w:pPr>
              <w:keepNext/>
              <w:keepLines/>
              <w:spacing w:after="0" w:line="240" w:lineRule="auto"/>
              <w:rPr>
                <w:rFonts w:ascii="Times New Roman" w:hAnsi="Times New Roman"/>
              </w:rPr>
            </w:pPr>
            <w:r w:rsidRPr="00D9492F">
              <w:rPr>
                <w:rFonts w:ascii="Times New Roman" w:hAnsi="Times New Roman"/>
              </w:rPr>
              <w:t>Epistaks</w:t>
            </w:r>
            <w:r w:rsidR="00C04382" w:rsidRPr="00D9492F">
              <w:rPr>
                <w:rFonts w:ascii="Times New Roman" w:hAnsi="Times New Roman"/>
              </w:rPr>
              <w:t>is.</w:t>
            </w:r>
          </w:p>
          <w:p w14:paraId="21F30C0F" w14:textId="07A98C0A" w:rsidR="00C7682A" w:rsidRPr="00D9492F" w:rsidRDefault="00C04382" w:rsidP="00DC1CDC">
            <w:pPr>
              <w:keepNext/>
              <w:keepLines/>
              <w:spacing w:after="0" w:line="240" w:lineRule="auto"/>
              <w:rPr>
                <w:rFonts w:ascii="Times New Roman" w:hAnsi="Times New Roman"/>
              </w:rPr>
            </w:pPr>
            <w:r w:rsidRPr="00D9492F">
              <w:rPr>
                <w:rFonts w:ascii="Times New Roman" w:hAnsi="Times New Roman"/>
              </w:rPr>
              <w:t>R</w:t>
            </w:r>
            <w:r w:rsidR="00DC1CDC" w:rsidRPr="00D9492F">
              <w:rPr>
                <w:rFonts w:ascii="Times New Roman" w:hAnsi="Times New Roman"/>
              </w:rPr>
              <w:t>yklės ir gerklų skausmas</w:t>
            </w:r>
            <w:r w:rsidRPr="00D9492F">
              <w:rPr>
                <w:rFonts w:ascii="Times New Roman" w:hAnsi="Times New Roman"/>
              </w:rPr>
              <w:t>.</w:t>
            </w:r>
            <w:r w:rsidR="00DC1CDC" w:rsidRPr="00D9492F">
              <w:rPr>
                <w:rFonts w:ascii="Times New Roman" w:hAnsi="Times New Roman"/>
              </w:rPr>
              <w:t xml:space="preserve"> </w:t>
            </w:r>
            <w:r w:rsidR="00C7682A" w:rsidRPr="00D9492F">
              <w:rPr>
                <w:rFonts w:ascii="Times New Roman" w:hAnsi="Times New Roman"/>
              </w:rPr>
              <w:t>N</w:t>
            </w:r>
            <w:r w:rsidR="00DC1CDC" w:rsidRPr="00D9492F">
              <w:rPr>
                <w:rFonts w:ascii="Times New Roman" w:hAnsi="Times New Roman"/>
              </w:rPr>
              <w:t>azofaringitas</w:t>
            </w:r>
            <w:r w:rsidR="00C7682A" w:rsidRPr="00D9492F">
              <w:rPr>
                <w:rFonts w:ascii="Times New Roman" w:hAnsi="Times New Roman"/>
              </w:rPr>
              <w:t>.</w:t>
            </w:r>
          </w:p>
          <w:p w14:paraId="04225932" w14:textId="0E6E000D" w:rsidR="00C7682A" w:rsidRPr="00D9492F" w:rsidRDefault="00C7682A" w:rsidP="00DC1CDC">
            <w:pPr>
              <w:keepNext/>
              <w:keepLines/>
              <w:spacing w:after="0" w:line="240" w:lineRule="auto"/>
              <w:rPr>
                <w:rFonts w:ascii="Times New Roman" w:hAnsi="Times New Roman"/>
              </w:rPr>
            </w:pPr>
            <w:r w:rsidRPr="00D9492F">
              <w:rPr>
                <w:rFonts w:ascii="Times New Roman" w:hAnsi="Times New Roman"/>
              </w:rPr>
              <w:t>D</w:t>
            </w:r>
            <w:r w:rsidR="00DC1CDC" w:rsidRPr="00D9492F">
              <w:rPr>
                <w:rFonts w:ascii="Times New Roman" w:hAnsi="Times New Roman"/>
              </w:rPr>
              <w:t>usulys</w:t>
            </w:r>
            <w:r w:rsidRPr="00D9492F">
              <w:rPr>
                <w:rFonts w:ascii="Times New Roman" w:hAnsi="Times New Roman"/>
              </w:rPr>
              <w:t>.</w:t>
            </w:r>
          </w:p>
          <w:p w14:paraId="34C47A0E" w14:textId="2D04B0D7" w:rsidR="00C7682A" w:rsidRPr="00D9492F" w:rsidRDefault="00C7682A" w:rsidP="00DC1CDC">
            <w:pPr>
              <w:keepNext/>
              <w:keepLines/>
              <w:spacing w:after="0" w:line="240" w:lineRule="auto"/>
              <w:rPr>
                <w:rFonts w:ascii="Times New Roman" w:hAnsi="Times New Roman"/>
              </w:rPr>
            </w:pPr>
            <w:r w:rsidRPr="00D9492F">
              <w:rPr>
                <w:rFonts w:ascii="Times New Roman" w:hAnsi="Times New Roman"/>
              </w:rPr>
              <w:t>K</w:t>
            </w:r>
            <w:r w:rsidR="00DC1CDC" w:rsidRPr="00D9492F">
              <w:rPr>
                <w:rFonts w:ascii="Times New Roman" w:hAnsi="Times New Roman"/>
              </w:rPr>
              <w:t>osulys</w:t>
            </w:r>
            <w:r w:rsidRPr="00D9492F">
              <w:rPr>
                <w:rFonts w:ascii="Times New Roman" w:hAnsi="Times New Roman"/>
              </w:rPr>
              <w:t>.</w:t>
            </w:r>
          </w:p>
          <w:p w14:paraId="708B28F9" w14:textId="77777777" w:rsidR="00DC1CDC" w:rsidRPr="00D9492F" w:rsidRDefault="00C7682A" w:rsidP="00DC1CDC">
            <w:pPr>
              <w:keepNext/>
              <w:keepLines/>
              <w:spacing w:after="0" w:line="240" w:lineRule="auto"/>
              <w:rPr>
                <w:rFonts w:ascii="Times New Roman" w:hAnsi="Times New Roman"/>
              </w:rPr>
            </w:pPr>
            <w:r w:rsidRPr="00D9492F">
              <w:rPr>
                <w:rFonts w:ascii="Times New Roman" w:hAnsi="Times New Roman"/>
              </w:rPr>
              <w:t>R</w:t>
            </w:r>
            <w:r w:rsidR="00DC1CDC" w:rsidRPr="00D9492F">
              <w:rPr>
                <w:rFonts w:ascii="Times New Roman" w:hAnsi="Times New Roman"/>
              </w:rPr>
              <w:t>inorėja</w:t>
            </w:r>
            <w:r w:rsidRPr="00D9492F">
              <w:rPr>
                <w:rFonts w:ascii="Times New Roman" w:hAnsi="Times New Roman"/>
              </w:rPr>
              <w:t>.</w:t>
            </w:r>
          </w:p>
        </w:tc>
        <w:tc>
          <w:tcPr>
            <w:tcW w:w="3258" w:type="dxa"/>
          </w:tcPr>
          <w:p w14:paraId="25AFDA03" w14:textId="77777777" w:rsidR="00DC1CDC" w:rsidRPr="00D9492F" w:rsidRDefault="00DC1CDC" w:rsidP="00DC1CDC">
            <w:pPr>
              <w:keepNext/>
              <w:keepLines/>
              <w:spacing w:after="0" w:line="240" w:lineRule="auto"/>
              <w:rPr>
                <w:rFonts w:ascii="Times New Roman" w:hAnsi="Times New Roman"/>
              </w:rPr>
            </w:pPr>
          </w:p>
        </w:tc>
      </w:tr>
      <w:tr w:rsidR="00DC1CDC" w:rsidRPr="00D9492F" w14:paraId="76C85C6A" w14:textId="77777777" w:rsidTr="0003751A">
        <w:trPr>
          <w:jc w:val="center"/>
        </w:trPr>
        <w:tc>
          <w:tcPr>
            <w:tcW w:w="2694" w:type="dxa"/>
          </w:tcPr>
          <w:p w14:paraId="73E7C07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Virškinimo trakto sutrikimai</w:t>
            </w:r>
          </w:p>
        </w:tc>
        <w:tc>
          <w:tcPr>
            <w:tcW w:w="3260" w:type="dxa"/>
          </w:tcPr>
          <w:p w14:paraId="1CCF8C72" w14:textId="2800F1D6" w:rsidR="00BF5632" w:rsidRPr="00D9492F" w:rsidRDefault="00DC1CDC" w:rsidP="00DC1CDC">
            <w:pPr>
              <w:keepNext/>
              <w:keepLines/>
              <w:spacing w:after="0" w:line="240" w:lineRule="auto"/>
              <w:rPr>
                <w:rFonts w:ascii="Times New Roman" w:hAnsi="Times New Roman"/>
              </w:rPr>
            </w:pPr>
            <w:r w:rsidRPr="00D9492F">
              <w:rPr>
                <w:rFonts w:ascii="Times New Roman" w:hAnsi="Times New Roman"/>
              </w:rPr>
              <w:t>Pykinimas</w:t>
            </w:r>
            <w:r w:rsidR="00BF5632" w:rsidRPr="00D9492F">
              <w:rPr>
                <w:rFonts w:ascii="Times New Roman" w:hAnsi="Times New Roman"/>
              </w:rPr>
              <w:t>.</w:t>
            </w:r>
          </w:p>
          <w:p w14:paraId="284B28C1" w14:textId="0D79CF64" w:rsidR="00ED0CB5" w:rsidRPr="00D9492F" w:rsidRDefault="00BF5632" w:rsidP="00DC1CDC">
            <w:pPr>
              <w:keepNext/>
              <w:keepLines/>
              <w:spacing w:after="0" w:line="240" w:lineRule="auto"/>
              <w:rPr>
                <w:rFonts w:ascii="Times New Roman" w:hAnsi="Times New Roman"/>
              </w:rPr>
            </w:pPr>
            <w:r w:rsidRPr="00D9492F">
              <w:rPr>
                <w:rFonts w:ascii="Times New Roman" w:hAnsi="Times New Roman"/>
              </w:rPr>
              <w:t>V</w:t>
            </w:r>
            <w:r w:rsidR="00DC1CDC" w:rsidRPr="00D9492F">
              <w:rPr>
                <w:rFonts w:ascii="Times New Roman" w:hAnsi="Times New Roman"/>
              </w:rPr>
              <w:t>iduriavimas</w:t>
            </w:r>
            <w:r w:rsidRPr="00D9492F">
              <w:rPr>
                <w:rFonts w:ascii="Times New Roman" w:hAnsi="Times New Roman"/>
              </w:rPr>
              <w:t>.</w:t>
            </w:r>
          </w:p>
          <w:p w14:paraId="2DF61105" w14:textId="1515F9BC" w:rsidR="00BF5632" w:rsidRPr="00D9492F" w:rsidRDefault="00BF5632" w:rsidP="00DC1CDC">
            <w:pPr>
              <w:keepNext/>
              <w:keepLines/>
              <w:spacing w:after="0" w:line="240" w:lineRule="auto"/>
              <w:rPr>
                <w:rFonts w:ascii="Times New Roman" w:hAnsi="Times New Roman"/>
              </w:rPr>
            </w:pPr>
            <w:r w:rsidRPr="00D9492F">
              <w:rPr>
                <w:rFonts w:ascii="Times New Roman" w:hAnsi="Times New Roman"/>
              </w:rPr>
              <w:t>V</w:t>
            </w:r>
            <w:r w:rsidR="00DC1CDC" w:rsidRPr="00D9492F">
              <w:rPr>
                <w:rFonts w:ascii="Times New Roman" w:hAnsi="Times New Roman"/>
              </w:rPr>
              <w:t>ėmimas</w:t>
            </w:r>
            <w:r w:rsidRPr="00D9492F">
              <w:rPr>
                <w:rFonts w:ascii="Times New Roman" w:hAnsi="Times New Roman"/>
              </w:rPr>
              <w:t>.</w:t>
            </w:r>
          </w:p>
          <w:p w14:paraId="53F7B053" w14:textId="071A62F0" w:rsidR="00BF5632" w:rsidRPr="00D9492F" w:rsidRDefault="00BF5632" w:rsidP="00DC1CDC">
            <w:pPr>
              <w:keepNext/>
              <w:keepLines/>
              <w:spacing w:after="0" w:line="240" w:lineRule="auto"/>
              <w:rPr>
                <w:rFonts w:ascii="Times New Roman" w:hAnsi="Times New Roman"/>
              </w:rPr>
            </w:pPr>
            <w:r w:rsidRPr="00D9492F">
              <w:rPr>
                <w:rFonts w:ascii="Times New Roman" w:hAnsi="Times New Roman"/>
              </w:rPr>
              <w:t>V</w:t>
            </w:r>
            <w:r w:rsidR="00DC1CDC" w:rsidRPr="00D9492F">
              <w:rPr>
                <w:rFonts w:ascii="Times New Roman" w:hAnsi="Times New Roman"/>
              </w:rPr>
              <w:t>idurių užkietėjimas</w:t>
            </w:r>
            <w:r w:rsidRPr="00D9492F">
              <w:rPr>
                <w:rFonts w:ascii="Times New Roman" w:hAnsi="Times New Roman"/>
              </w:rPr>
              <w:t>.</w:t>
            </w:r>
          </w:p>
          <w:p w14:paraId="6034533E" w14:textId="1A524929" w:rsidR="00BF5632" w:rsidRPr="00D9492F" w:rsidRDefault="00BF5632" w:rsidP="00DC1CDC">
            <w:pPr>
              <w:keepNext/>
              <w:keepLines/>
              <w:spacing w:after="0" w:line="240" w:lineRule="auto"/>
              <w:rPr>
                <w:rFonts w:ascii="Times New Roman" w:hAnsi="Times New Roman"/>
              </w:rPr>
            </w:pPr>
            <w:r w:rsidRPr="00D9492F">
              <w:rPr>
                <w:rFonts w:ascii="Times New Roman" w:hAnsi="Times New Roman"/>
              </w:rPr>
              <w:t>S</w:t>
            </w:r>
            <w:r w:rsidR="00DC1CDC" w:rsidRPr="00D9492F">
              <w:rPr>
                <w:rFonts w:ascii="Times New Roman" w:hAnsi="Times New Roman"/>
              </w:rPr>
              <w:t>tomatitas</w:t>
            </w:r>
            <w:r w:rsidRPr="00D9492F">
              <w:rPr>
                <w:rFonts w:ascii="Times New Roman" w:hAnsi="Times New Roman"/>
              </w:rPr>
              <w:t>.</w:t>
            </w:r>
          </w:p>
          <w:p w14:paraId="23DB9EAD" w14:textId="2274C9CB" w:rsidR="00ED0CB5" w:rsidRPr="00D9492F" w:rsidRDefault="00BF5632" w:rsidP="00ED0CB5">
            <w:pPr>
              <w:keepNext/>
              <w:keepLines/>
              <w:spacing w:after="0" w:line="240" w:lineRule="auto"/>
              <w:rPr>
                <w:rFonts w:ascii="Times New Roman" w:hAnsi="Times New Roman"/>
              </w:rPr>
            </w:pPr>
            <w:r w:rsidRPr="00D9492F">
              <w:rPr>
                <w:rFonts w:ascii="Times New Roman" w:hAnsi="Times New Roman"/>
              </w:rPr>
              <w:t>D</w:t>
            </w:r>
            <w:r w:rsidR="00DC1CDC" w:rsidRPr="00D9492F">
              <w:rPr>
                <w:rFonts w:ascii="Times New Roman" w:hAnsi="Times New Roman"/>
              </w:rPr>
              <w:t>ispepsija</w:t>
            </w:r>
            <w:r w:rsidRPr="00D9492F">
              <w:rPr>
                <w:rFonts w:ascii="Times New Roman" w:hAnsi="Times New Roman"/>
              </w:rPr>
              <w:t>.</w:t>
            </w:r>
          </w:p>
          <w:p w14:paraId="52DA0075" w14:textId="77777777" w:rsidR="00DC1CDC" w:rsidRPr="00D9492F" w:rsidRDefault="00BF5632" w:rsidP="00ED0CB5">
            <w:pPr>
              <w:keepNext/>
              <w:keepLines/>
              <w:spacing w:after="0" w:line="240" w:lineRule="auto"/>
              <w:rPr>
                <w:rFonts w:ascii="Times New Roman" w:hAnsi="Times New Roman"/>
              </w:rPr>
            </w:pPr>
            <w:r w:rsidRPr="00D9492F">
              <w:rPr>
                <w:rFonts w:ascii="Times New Roman" w:hAnsi="Times New Roman"/>
              </w:rPr>
              <w:t>P</w:t>
            </w:r>
            <w:r w:rsidR="00DC1CDC" w:rsidRPr="00D9492F">
              <w:rPr>
                <w:rFonts w:ascii="Times New Roman" w:hAnsi="Times New Roman"/>
              </w:rPr>
              <w:t>ilvo skausmas</w:t>
            </w:r>
            <w:r w:rsidRPr="00D9492F">
              <w:rPr>
                <w:rFonts w:ascii="Times New Roman" w:hAnsi="Times New Roman"/>
              </w:rPr>
              <w:t>.</w:t>
            </w:r>
          </w:p>
        </w:tc>
        <w:tc>
          <w:tcPr>
            <w:tcW w:w="3258" w:type="dxa"/>
          </w:tcPr>
          <w:p w14:paraId="105061E6" w14:textId="77777777" w:rsidR="00DC1CDC" w:rsidRPr="00D9492F" w:rsidRDefault="00DC1CDC" w:rsidP="00DC1CDC">
            <w:pPr>
              <w:keepNext/>
              <w:keepLines/>
              <w:spacing w:after="0" w:line="240" w:lineRule="auto"/>
              <w:rPr>
                <w:rFonts w:ascii="Times New Roman" w:hAnsi="Times New Roman"/>
              </w:rPr>
            </w:pPr>
          </w:p>
        </w:tc>
      </w:tr>
      <w:tr w:rsidR="00DC1CDC" w:rsidRPr="00D9492F" w14:paraId="19077521" w14:textId="77777777" w:rsidTr="0003751A">
        <w:trPr>
          <w:jc w:val="center"/>
        </w:trPr>
        <w:tc>
          <w:tcPr>
            <w:tcW w:w="2694" w:type="dxa"/>
          </w:tcPr>
          <w:p w14:paraId="7F8E409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Odos ir poodinio audinio sutrikimai</w:t>
            </w:r>
          </w:p>
        </w:tc>
        <w:tc>
          <w:tcPr>
            <w:tcW w:w="3260" w:type="dxa"/>
          </w:tcPr>
          <w:p w14:paraId="0F52062E" w14:textId="756E2F15" w:rsidR="004820A6"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Alopecija</w:t>
            </w:r>
            <w:r w:rsidR="004820A6" w:rsidRPr="00D9492F">
              <w:rPr>
                <w:rFonts w:ascii="Times New Roman" w:eastAsia="Times New Roman" w:hAnsi="Times New Roman"/>
                <w:bCs/>
                <w:iCs/>
              </w:rPr>
              <w:t>.</w:t>
            </w:r>
          </w:p>
          <w:p w14:paraId="58C3D446" w14:textId="77777777" w:rsidR="004820A6" w:rsidRPr="00D9492F" w:rsidRDefault="004820A6"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E</w:t>
            </w:r>
            <w:r w:rsidR="00DC1CDC" w:rsidRPr="00D9492F">
              <w:rPr>
                <w:rFonts w:ascii="Times New Roman" w:eastAsia="Times New Roman" w:hAnsi="Times New Roman"/>
                <w:bCs/>
                <w:iCs/>
              </w:rPr>
              <w:t>ritema</w:t>
            </w:r>
            <w:r w:rsidRPr="00D9492F">
              <w:rPr>
                <w:rFonts w:ascii="Times New Roman" w:eastAsia="Times New Roman" w:hAnsi="Times New Roman"/>
                <w:bCs/>
                <w:iCs/>
              </w:rPr>
              <w:t>.</w:t>
            </w:r>
            <w:r w:rsidR="00DC1CDC" w:rsidRPr="00D9492F">
              <w:rPr>
                <w:rFonts w:ascii="Times New Roman" w:eastAsia="Times New Roman" w:hAnsi="Times New Roman"/>
                <w:bCs/>
                <w:iCs/>
              </w:rPr>
              <w:t xml:space="preserve"> </w:t>
            </w:r>
          </w:p>
          <w:p w14:paraId="6BB358CB" w14:textId="77777777" w:rsidR="004820A6" w:rsidRPr="00D9492F" w:rsidRDefault="004820A6"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I</w:t>
            </w:r>
            <w:r w:rsidR="00DC1CDC" w:rsidRPr="00D9492F">
              <w:rPr>
                <w:rFonts w:ascii="Times New Roman" w:eastAsia="Times New Roman" w:hAnsi="Times New Roman"/>
                <w:bCs/>
                <w:iCs/>
              </w:rPr>
              <w:t>šbėrimas</w:t>
            </w:r>
            <w:r w:rsidRPr="00D9492F">
              <w:rPr>
                <w:rFonts w:ascii="Times New Roman" w:eastAsia="Times New Roman" w:hAnsi="Times New Roman"/>
                <w:bCs/>
                <w:iCs/>
              </w:rPr>
              <w:t>.</w:t>
            </w:r>
            <w:r w:rsidR="00DC1CDC" w:rsidRPr="00D9492F">
              <w:rPr>
                <w:rFonts w:ascii="Times New Roman" w:eastAsia="Times New Roman" w:hAnsi="Times New Roman"/>
                <w:bCs/>
                <w:iCs/>
              </w:rPr>
              <w:t xml:space="preserve"> </w:t>
            </w:r>
          </w:p>
          <w:p w14:paraId="5A625C01" w14:textId="77777777" w:rsidR="00DC1CDC" w:rsidRPr="00D9492F" w:rsidRDefault="004820A6"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N</w:t>
            </w:r>
            <w:r w:rsidR="00DC1CDC" w:rsidRPr="00D9492F">
              <w:rPr>
                <w:rFonts w:ascii="Times New Roman" w:eastAsia="Times New Roman" w:hAnsi="Times New Roman"/>
                <w:bCs/>
                <w:iCs/>
              </w:rPr>
              <w:t>agų pažeidimai</w:t>
            </w:r>
            <w:r w:rsidRPr="00D9492F">
              <w:rPr>
                <w:rFonts w:ascii="Times New Roman" w:eastAsia="Times New Roman" w:hAnsi="Times New Roman"/>
                <w:bCs/>
                <w:iCs/>
              </w:rPr>
              <w:t>.</w:t>
            </w:r>
          </w:p>
        </w:tc>
        <w:tc>
          <w:tcPr>
            <w:tcW w:w="3258" w:type="dxa"/>
          </w:tcPr>
          <w:p w14:paraId="0A7080BC"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p>
        </w:tc>
      </w:tr>
      <w:tr w:rsidR="00DC1CDC" w:rsidRPr="00D9492F" w14:paraId="49C4A412" w14:textId="77777777" w:rsidTr="0003751A">
        <w:trPr>
          <w:jc w:val="center"/>
        </w:trPr>
        <w:tc>
          <w:tcPr>
            <w:tcW w:w="2694" w:type="dxa"/>
          </w:tcPr>
          <w:p w14:paraId="4E253BB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Skeleto, raumenų ir jungiamojo audinio sutrikimai</w:t>
            </w:r>
          </w:p>
        </w:tc>
        <w:tc>
          <w:tcPr>
            <w:tcW w:w="3260" w:type="dxa"/>
          </w:tcPr>
          <w:p w14:paraId="0571D02D" w14:textId="1F113DA1" w:rsidR="004820A6" w:rsidRPr="00D9492F" w:rsidRDefault="00DC1CDC" w:rsidP="00DC1CDC">
            <w:pPr>
              <w:keepNext/>
              <w:keepLines/>
              <w:spacing w:after="0" w:line="240" w:lineRule="auto"/>
              <w:rPr>
                <w:rFonts w:ascii="Times New Roman" w:hAnsi="Times New Roman"/>
              </w:rPr>
            </w:pPr>
            <w:r w:rsidRPr="00D9492F">
              <w:rPr>
                <w:rFonts w:ascii="Times New Roman" w:hAnsi="Times New Roman"/>
              </w:rPr>
              <w:t>Mialgija</w:t>
            </w:r>
            <w:r w:rsidR="004820A6" w:rsidRPr="00D9492F">
              <w:rPr>
                <w:rFonts w:ascii="Times New Roman" w:hAnsi="Times New Roman"/>
              </w:rPr>
              <w:t>.</w:t>
            </w:r>
          </w:p>
          <w:p w14:paraId="7A4C1441" w14:textId="73760CD9" w:rsidR="004820A6" w:rsidRPr="00D9492F" w:rsidRDefault="004820A6" w:rsidP="00DC1CDC">
            <w:pPr>
              <w:keepNext/>
              <w:keepLines/>
              <w:spacing w:after="0" w:line="240" w:lineRule="auto"/>
              <w:rPr>
                <w:rFonts w:ascii="Times New Roman" w:hAnsi="Times New Roman"/>
              </w:rPr>
            </w:pPr>
            <w:r w:rsidRPr="00D9492F">
              <w:rPr>
                <w:rFonts w:ascii="Times New Roman" w:hAnsi="Times New Roman"/>
              </w:rPr>
              <w:t>A</w:t>
            </w:r>
            <w:r w:rsidR="00DC1CDC" w:rsidRPr="00D9492F">
              <w:rPr>
                <w:rFonts w:ascii="Times New Roman" w:hAnsi="Times New Roman"/>
              </w:rPr>
              <w:t>rtralgija</w:t>
            </w:r>
            <w:r w:rsidRPr="00D9492F">
              <w:rPr>
                <w:rFonts w:ascii="Times New Roman" w:hAnsi="Times New Roman"/>
              </w:rPr>
              <w:t>.</w:t>
            </w:r>
          </w:p>
          <w:p w14:paraId="53B1ED82" w14:textId="12D7C5FD" w:rsidR="004820A6" w:rsidRPr="00D9492F" w:rsidRDefault="004820A6" w:rsidP="00DC1CDC">
            <w:pPr>
              <w:keepNext/>
              <w:keepLines/>
              <w:spacing w:after="0" w:line="240" w:lineRule="auto"/>
              <w:rPr>
                <w:rFonts w:ascii="Times New Roman" w:hAnsi="Times New Roman"/>
              </w:rPr>
            </w:pPr>
            <w:r w:rsidRPr="00D9492F">
              <w:rPr>
                <w:rFonts w:ascii="Times New Roman" w:hAnsi="Times New Roman"/>
              </w:rPr>
              <w:t>G</w:t>
            </w:r>
            <w:r w:rsidR="00DC1CDC" w:rsidRPr="00D9492F">
              <w:rPr>
                <w:rFonts w:ascii="Times New Roman" w:hAnsi="Times New Roman"/>
              </w:rPr>
              <w:t>alūnių skausmas</w:t>
            </w:r>
            <w:r w:rsidRPr="00D9492F">
              <w:rPr>
                <w:rFonts w:ascii="Times New Roman" w:hAnsi="Times New Roman"/>
              </w:rPr>
              <w:t>.</w:t>
            </w:r>
          </w:p>
          <w:p w14:paraId="6BF183A4" w14:textId="77777777" w:rsidR="004820A6" w:rsidRPr="00D9492F" w:rsidRDefault="004820A6" w:rsidP="00DC1CDC">
            <w:pPr>
              <w:keepNext/>
              <w:keepLines/>
              <w:spacing w:after="0" w:line="240" w:lineRule="auto"/>
              <w:rPr>
                <w:rFonts w:ascii="Times New Roman" w:hAnsi="Times New Roman"/>
              </w:rPr>
            </w:pPr>
            <w:r w:rsidRPr="00D9492F">
              <w:rPr>
                <w:rFonts w:ascii="Times New Roman" w:hAnsi="Times New Roman"/>
              </w:rPr>
              <w:t>K</w:t>
            </w:r>
            <w:r w:rsidR="00DC1CDC" w:rsidRPr="00D9492F">
              <w:rPr>
                <w:rFonts w:ascii="Times New Roman" w:hAnsi="Times New Roman"/>
              </w:rPr>
              <w:t>aulų skausmas</w:t>
            </w:r>
            <w:r w:rsidRPr="00D9492F">
              <w:rPr>
                <w:rFonts w:ascii="Times New Roman" w:hAnsi="Times New Roman"/>
              </w:rPr>
              <w:t>.</w:t>
            </w:r>
            <w:r w:rsidR="00DC1CDC" w:rsidRPr="00D9492F">
              <w:rPr>
                <w:rFonts w:ascii="Times New Roman" w:hAnsi="Times New Roman"/>
              </w:rPr>
              <w:t xml:space="preserve"> </w:t>
            </w:r>
          </w:p>
          <w:p w14:paraId="2B542E9A" w14:textId="77777777" w:rsidR="00DC1CDC" w:rsidRPr="00D9492F" w:rsidRDefault="004820A6" w:rsidP="00DC1CDC">
            <w:pPr>
              <w:keepNext/>
              <w:keepLines/>
              <w:spacing w:after="0" w:line="240" w:lineRule="auto"/>
              <w:rPr>
                <w:rFonts w:ascii="Times New Roman" w:hAnsi="Times New Roman"/>
              </w:rPr>
            </w:pPr>
            <w:r w:rsidRPr="00D9492F">
              <w:rPr>
                <w:rFonts w:ascii="Times New Roman" w:hAnsi="Times New Roman"/>
              </w:rPr>
              <w:t>N</w:t>
            </w:r>
            <w:r w:rsidR="00DC1CDC" w:rsidRPr="00D9492F">
              <w:rPr>
                <w:rFonts w:ascii="Times New Roman" w:hAnsi="Times New Roman"/>
              </w:rPr>
              <w:t>ugaros skausmas</w:t>
            </w:r>
            <w:r w:rsidRPr="00D9492F">
              <w:rPr>
                <w:rFonts w:ascii="Times New Roman" w:hAnsi="Times New Roman"/>
              </w:rPr>
              <w:t>.</w:t>
            </w:r>
          </w:p>
        </w:tc>
        <w:tc>
          <w:tcPr>
            <w:tcW w:w="3258" w:type="dxa"/>
          </w:tcPr>
          <w:p w14:paraId="578CA5E2" w14:textId="77777777" w:rsidR="00DC1CDC" w:rsidRPr="00D9492F" w:rsidRDefault="00DC1CDC" w:rsidP="00DC1CDC">
            <w:pPr>
              <w:keepNext/>
              <w:keepLines/>
              <w:spacing w:after="0" w:line="240" w:lineRule="auto"/>
              <w:rPr>
                <w:rFonts w:ascii="Times New Roman" w:hAnsi="Times New Roman"/>
              </w:rPr>
            </w:pPr>
          </w:p>
        </w:tc>
      </w:tr>
      <w:tr w:rsidR="00DC1CDC" w:rsidRPr="00D9492F" w14:paraId="735896A7" w14:textId="77777777" w:rsidTr="0003751A">
        <w:trPr>
          <w:jc w:val="center"/>
        </w:trPr>
        <w:tc>
          <w:tcPr>
            <w:tcW w:w="2694" w:type="dxa"/>
          </w:tcPr>
          <w:p w14:paraId="17D71FA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Bendri</w:t>
            </w:r>
            <w:r w:rsidR="004820A6" w:rsidRPr="00D9492F">
              <w:rPr>
                <w:rFonts w:ascii="Times New Roman" w:hAnsi="Times New Roman"/>
              </w:rPr>
              <w:t>eji</w:t>
            </w:r>
            <w:r w:rsidRPr="00D9492F">
              <w:rPr>
                <w:rFonts w:ascii="Times New Roman" w:hAnsi="Times New Roman"/>
              </w:rPr>
              <w:t xml:space="preserve"> sutrikimai ir vartojimo vietos pažeidimai</w:t>
            </w:r>
          </w:p>
        </w:tc>
        <w:tc>
          <w:tcPr>
            <w:tcW w:w="3260" w:type="dxa"/>
          </w:tcPr>
          <w:p w14:paraId="32E53C34" w14:textId="7AD336C6" w:rsidR="00A94ECD" w:rsidRPr="00D9492F" w:rsidRDefault="00DC1CDC" w:rsidP="00DC1CDC">
            <w:pPr>
              <w:keepNext/>
              <w:keepLines/>
              <w:spacing w:after="0" w:line="240" w:lineRule="auto"/>
              <w:rPr>
                <w:rFonts w:ascii="Times New Roman" w:hAnsi="Times New Roman"/>
              </w:rPr>
            </w:pPr>
            <w:r w:rsidRPr="00D9492F">
              <w:rPr>
                <w:rFonts w:ascii="Times New Roman" w:hAnsi="Times New Roman"/>
              </w:rPr>
              <w:t>Astenija</w:t>
            </w:r>
            <w:r w:rsidR="00A94ECD" w:rsidRPr="00D9492F">
              <w:rPr>
                <w:rFonts w:ascii="Times New Roman" w:hAnsi="Times New Roman"/>
              </w:rPr>
              <w:t>.</w:t>
            </w:r>
          </w:p>
          <w:p w14:paraId="1F437321" w14:textId="13E94F28" w:rsidR="00A94ECD" w:rsidRPr="00D9492F" w:rsidRDefault="00A94ECD" w:rsidP="00DC1CDC">
            <w:pPr>
              <w:keepNext/>
              <w:keepLines/>
              <w:spacing w:after="0" w:line="240" w:lineRule="auto"/>
              <w:rPr>
                <w:rFonts w:ascii="Times New Roman" w:hAnsi="Times New Roman"/>
              </w:rPr>
            </w:pPr>
            <w:r w:rsidRPr="00D9492F">
              <w:rPr>
                <w:rFonts w:ascii="Times New Roman" w:hAnsi="Times New Roman"/>
              </w:rPr>
              <w:t>P</w:t>
            </w:r>
            <w:r w:rsidR="00DC1CDC" w:rsidRPr="00D9492F">
              <w:rPr>
                <w:rFonts w:ascii="Times New Roman" w:hAnsi="Times New Roman"/>
              </w:rPr>
              <w:t>eriferinė edema</w:t>
            </w:r>
            <w:r w:rsidRPr="00D9492F">
              <w:rPr>
                <w:rFonts w:ascii="Times New Roman" w:hAnsi="Times New Roman"/>
              </w:rPr>
              <w:t>.</w:t>
            </w:r>
          </w:p>
          <w:p w14:paraId="79A48377" w14:textId="788E6381" w:rsidR="00A94ECD" w:rsidRPr="00D9492F" w:rsidRDefault="00A94ECD" w:rsidP="00DC1CDC">
            <w:pPr>
              <w:keepNext/>
              <w:keepLines/>
              <w:spacing w:after="0" w:line="240" w:lineRule="auto"/>
              <w:rPr>
                <w:rFonts w:ascii="Times New Roman" w:hAnsi="Times New Roman"/>
              </w:rPr>
            </w:pPr>
            <w:r w:rsidRPr="00D9492F">
              <w:rPr>
                <w:rFonts w:ascii="Times New Roman" w:hAnsi="Times New Roman"/>
              </w:rPr>
              <w:t>P</w:t>
            </w:r>
            <w:r w:rsidR="00DC1CDC" w:rsidRPr="00D9492F">
              <w:rPr>
                <w:rFonts w:ascii="Times New Roman" w:hAnsi="Times New Roman"/>
              </w:rPr>
              <w:t>ireksija</w:t>
            </w:r>
            <w:r w:rsidRPr="00D9492F">
              <w:rPr>
                <w:rFonts w:ascii="Times New Roman" w:hAnsi="Times New Roman"/>
              </w:rPr>
              <w:t>.</w:t>
            </w:r>
          </w:p>
          <w:p w14:paraId="37545B33" w14:textId="77777777" w:rsidR="00A94ECD" w:rsidRPr="00D9492F" w:rsidRDefault="00A94ECD" w:rsidP="00DC1CDC">
            <w:pPr>
              <w:keepNext/>
              <w:keepLines/>
              <w:spacing w:after="0" w:line="240" w:lineRule="auto"/>
              <w:rPr>
                <w:rFonts w:ascii="Times New Roman" w:hAnsi="Times New Roman"/>
              </w:rPr>
            </w:pPr>
            <w:r w:rsidRPr="00D9492F">
              <w:rPr>
                <w:rFonts w:ascii="Times New Roman" w:hAnsi="Times New Roman"/>
              </w:rPr>
              <w:t>N</w:t>
            </w:r>
            <w:r w:rsidR="00DC1CDC" w:rsidRPr="00D9492F">
              <w:rPr>
                <w:rFonts w:ascii="Times New Roman" w:hAnsi="Times New Roman"/>
              </w:rPr>
              <w:t>uovargis</w:t>
            </w:r>
            <w:r w:rsidRPr="00D9492F">
              <w:rPr>
                <w:rFonts w:ascii="Times New Roman" w:hAnsi="Times New Roman"/>
              </w:rPr>
              <w:t>.</w:t>
            </w:r>
            <w:r w:rsidR="00DC1CDC" w:rsidRPr="00D9492F">
              <w:rPr>
                <w:rFonts w:ascii="Times New Roman" w:hAnsi="Times New Roman"/>
              </w:rPr>
              <w:t xml:space="preserve"> </w:t>
            </w:r>
          </w:p>
          <w:p w14:paraId="3A3B8DD1" w14:textId="098C51FD" w:rsidR="00A94ECD" w:rsidRPr="00D9492F" w:rsidRDefault="00A94ECD" w:rsidP="00DC1CDC">
            <w:pPr>
              <w:keepNext/>
              <w:keepLines/>
              <w:spacing w:after="0" w:line="240" w:lineRule="auto"/>
              <w:rPr>
                <w:rFonts w:ascii="Times New Roman" w:hAnsi="Times New Roman"/>
              </w:rPr>
            </w:pPr>
            <w:r w:rsidRPr="00D9492F">
              <w:rPr>
                <w:rFonts w:ascii="Times New Roman" w:hAnsi="Times New Roman"/>
              </w:rPr>
              <w:t>G</w:t>
            </w:r>
            <w:r w:rsidR="00DC1CDC" w:rsidRPr="00D9492F">
              <w:rPr>
                <w:rFonts w:ascii="Times New Roman" w:hAnsi="Times New Roman"/>
              </w:rPr>
              <w:t>leivinės uždegimas</w:t>
            </w:r>
            <w:r w:rsidRPr="00D9492F">
              <w:rPr>
                <w:rFonts w:ascii="Times New Roman" w:hAnsi="Times New Roman"/>
              </w:rPr>
              <w:t>.</w:t>
            </w:r>
          </w:p>
          <w:p w14:paraId="19BC600C" w14:textId="67320FC7" w:rsidR="00A94ECD" w:rsidRPr="00D9492F" w:rsidRDefault="00A94ECD" w:rsidP="00DC1CDC">
            <w:pPr>
              <w:keepNext/>
              <w:keepLines/>
              <w:spacing w:after="0" w:line="240" w:lineRule="auto"/>
              <w:rPr>
                <w:rFonts w:ascii="Times New Roman" w:hAnsi="Times New Roman"/>
              </w:rPr>
            </w:pPr>
            <w:r w:rsidRPr="00D9492F">
              <w:rPr>
                <w:rFonts w:ascii="Times New Roman" w:hAnsi="Times New Roman"/>
              </w:rPr>
              <w:t>Į</w:t>
            </w:r>
            <w:r w:rsidR="00DC1CDC" w:rsidRPr="00D9492F">
              <w:rPr>
                <w:rFonts w:ascii="Times New Roman" w:hAnsi="Times New Roman"/>
              </w:rPr>
              <w:t xml:space="preserve"> gripą panašus sindromas</w:t>
            </w:r>
            <w:r w:rsidRPr="00D9492F">
              <w:rPr>
                <w:rFonts w:ascii="Times New Roman" w:hAnsi="Times New Roman"/>
              </w:rPr>
              <w:t>.</w:t>
            </w:r>
            <w:r w:rsidR="00DC1CDC" w:rsidRPr="00D9492F">
              <w:rPr>
                <w:rFonts w:ascii="Times New Roman" w:hAnsi="Times New Roman"/>
              </w:rPr>
              <w:t xml:space="preserve"> </w:t>
            </w:r>
            <w:r w:rsidRPr="00D9492F">
              <w:rPr>
                <w:rFonts w:ascii="Times New Roman" w:hAnsi="Times New Roman"/>
              </w:rPr>
              <w:t>K</w:t>
            </w:r>
            <w:r w:rsidR="00DC1CDC" w:rsidRPr="00D9492F">
              <w:rPr>
                <w:rFonts w:ascii="Times New Roman" w:hAnsi="Times New Roman"/>
              </w:rPr>
              <w:t>rūtinės skausmas</w:t>
            </w:r>
            <w:r w:rsidRPr="00D9492F">
              <w:rPr>
                <w:rFonts w:ascii="Times New Roman" w:hAnsi="Times New Roman"/>
              </w:rPr>
              <w:t>.</w:t>
            </w:r>
          </w:p>
          <w:p w14:paraId="6ABD6D05" w14:textId="77777777" w:rsidR="00DC1CDC" w:rsidRPr="00D9492F" w:rsidRDefault="00A94ECD" w:rsidP="00DC1CDC">
            <w:pPr>
              <w:keepNext/>
              <w:keepLines/>
              <w:spacing w:after="0" w:line="240" w:lineRule="auto"/>
              <w:rPr>
                <w:rFonts w:ascii="Times New Roman" w:hAnsi="Times New Roman"/>
              </w:rPr>
            </w:pPr>
            <w:r w:rsidRPr="00D9492F">
              <w:rPr>
                <w:rFonts w:ascii="Times New Roman" w:hAnsi="Times New Roman"/>
              </w:rPr>
              <w:t>Š</w:t>
            </w:r>
            <w:r w:rsidR="00DC1CDC" w:rsidRPr="00D9492F">
              <w:rPr>
                <w:rFonts w:ascii="Times New Roman" w:hAnsi="Times New Roman"/>
              </w:rPr>
              <w:t>altkrėtis</w:t>
            </w:r>
            <w:r w:rsidRPr="00D9492F">
              <w:rPr>
                <w:rFonts w:ascii="Times New Roman" w:hAnsi="Times New Roman"/>
              </w:rPr>
              <w:t>.</w:t>
            </w:r>
          </w:p>
        </w:tc>
        <w:tc>
          <w:tcPr>
            <w:tcW w:w="3258" w:type="dxa"/>
          </w:tcPr>
          <w:p w14:paraId="000C4FA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Letargija</w:t>
            </w:r>
            <w:r w:rsidR="00A94ECD" w:rsidRPr="00D9492F">
              <w:rPr>
                <w:rFonts w:ascii="Times New Roman" w:hAnsi="Times New Roman"/>
              </w:rPr>
              <w:t>.</w:t>
            </w:r>
          </w:p>
        </w:tc>
      </w:tr>
      <w:tr w:rsidR="00DC1CDC" w:rsidRPr="00D9492F" w14:paraId="293D7B5D" w14:textId="77777777" w:rsidTr="0003751A">
        <w:trPr>
          <w:jc w:val="center"/>
        </w:trPr>
        <w:tc>
          <w:tcPr>
            <w:tcW w:w="2694" w:type="dxa"/>
          </w:tcPr>
          <w:p w14:paraId="28986E78"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 xml:space="preserve">Tyrimai </w:t>
            </w:r>
          </w:p>
        </w:tc>
        <w:tc>
          <w:tcPr>
            <w:tcW w:w="3260" w:type="dxa"/>
          </w:tcPr>
          <w:p w14:paraId="7AD2C523"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rPr>
            </w:pPr>
            <w:r w:rsidRPr="00D9492F">
              <w:rPr>
                <w:rFonts w:ascii="Times New Roman" w:eastAsia="Times New Roman" w:hAnsi="Times New Roman"/>
              </w:rPr>
              <w:t>Svorio padidėjimas</w:t>
            </w:r>
            <w:r w:rsidR="00A94ECD" w:rsidRPr="00D9492F">
              <w:rPr>
                <w:rFonts w:ascii="Times New Roman" w:eastAsia="Times New Roman" w:hAnsi="Times New Roman"/>
              </w:rPr>
              <w:t>.</w:t>
            </w:r>
          </w:p>
        </w:tc>
        <w:tc>
          <w:tcPr>
            <w:tcW w:w="3258" w:type="dxa"/>
          </w:tcPr>
          <w:p w14:paraId="02E1BDDD"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rPr>
            </w:pPr>
          </w:p>
        </w:tc>
      </w:tr>
    </w:tbl>
    <w:p w14:paraId="36B25B7B" w14:textId="77777777" w:rsidR="00DC1CDC" w:rsidRPr="00D9492F" w:rsidRDefault="00DC1CDC" w:rsidP="00DC1CDC">
      <w:pPr>
        <w:spacing w:after="0" w:line="240" w:lineRule="auto"/>
        <w:rPr>
          <w:rFonts w:ascii="Times New Roman" w:hAnsi="Times New Roman"/>
        </w:rPr>
      </w:pPr>
    </w:p>
    <w:p w14:paraId="2A1F28A4" w14:textId="743FE320" w:rsidR="005B1DF2" w:rsidRPr="00D9492F" w:rsidRDefault="008C7CA5" w:rsidP="005B1DF2">
      <w:pPr>
        <w:keepNext/>
        <w:keepLines/>
        <w:tabs>
          <w:tab w:val="left" w:pos="7655"/>
        </w:tabs>
        <w:suppressAutoHyphens/>
        <w:spacing w:after="0" w:line="240" w:lineRule="auto"/>
        <w:rPr>
          <w:rFonts w:ascii="Times New Roman" w:hAnsi="Times New Roman"/>
          <w:u w:val="single"/>
        </w:rPr>
      </w:pPr>
      <w:r w:rsidRPr="00D9492F">
        <w:rPr>
          <w:rFonts w:ascii="Times New Roman" w:hAnsi="Times New Roman"/>
          <w:u w:val="single"/>
        </w:rPr>
        <w:lastRenderedPageBreak/>
        <w:t>Atrinktų</w:t>
      </w:r>
      <w:r w:rsidR="005B1DF2" w:rsidRPr="00D9492F">
        <w:rPr>
          <w:rFonts w:ascii="Times New Roman" w:hAnsi="Times New Roman"/>
          <w:u w:val="single"/>
        </w:rPr>
        <w:t xml:space="preserve"> nepageidaujamų reakcijų, atsiradusių vartojant </w:t>
      </w:r>
      <w:r w:rsidR="005B1DF2" w:rsidRPr="00D9492F">
        <w:rPr>
          <w:rFonts w:ascii="Times New Roman" w:hAnsi="Times New Roman"/>
          <w:bCs/>
          <w:u w:val="single"/>
        </w:rPr>
        <w:t xml:space="preserve">Docetaxel SanoSwiss </w:t>
      </w:r>
      <w:r w:rsidR="005B1DF2" w:rsidRPr="00D9492F">
        <w:rPr>
          <w:rFonts w:ascii="Times New Roman" w:hAnsi="Times New Roman"/>
          <w:u w:val="single"/>
        </w:rPr>
        <w:t>100</w:t>
      </w:r>
      <w:r w:rsidR="00C5080D" w:rsidRPr="00D9492F">
        <w:rPr>
          <w:rFonts w:ascii="Times New Roman" w:hAnsi="Times New Roman"/>
          <w:u w:val="single"/>
        </w:rPr>
        <w:t> </w:t>
      </w:r>
      <w:r w:rsidR="005B1DF2" w:rsidRPr="00D9492F">
        <w:rPr>
          <w:rFonts w:ascii="Times New Roman" w:hAnsi="Times New Roman"/>
          <w:u w:val="single"/>
        </w:rPr>
        <w:t xml:space="preserve">mg/m² su trastuzumabu dozę krūties vėžio monoterapijai, </w:t>
      </w:r>
      <w:r w:rsidRPr="00D9492F">
        <w:rPr>
          <w:rFonts w:ascii="Times New Roman" w:hAnsi="Times New Roman"/>
          <w:u w:val="single"/>
        </w:rPr>
        <w:t>apibūdinimas</w:t>
      </w:r>
      <w:r w:rsidR="005B1DF2" w:rsidRPr="00D9492F">
        <w:rPr>
          <w:rFonts w:ascii="Times New Roman" w:hAnsi="Times New Roman"/>
          <w:u w:val="single"/>
        </w:rPr>
        <w:t xml:space="preserve"> </w:t>
      </w:r>
    </w:p>
    <w:p w14:paraId="08637BD6" w14:textId="77777777" w:rsidR="005B1DF2" w:rsidRPr="00D9492F" w:rsidRDefault="005B1DF2" w:rsidP="00DC1CDC">
      <w:pPr>
        <w:keepNext/>
        <w:keepLines/>
        <w:tabs>
          <w:tab w:val="left" w:pos="7655"/>
        </w:tabs>
        <w:suppressAutoHyphens/>
        <w:spacing w:after="0" w:line="240" w:lineRule="auto"/>
        <w:rPr>
          <w:rFonts w:ascii="Times New Roman" w:hAnsi="Times New Roman"/>
          <w:i/>
          <w:iCs/>
        </w:rPr>
      </w:pPr>
    </w:p>
    <w:p w14:paraId="736C4D1B" w14:textId="141BC50F" w:rsidR="00DC1CDC" w:rsidRPr="00D9492F" w:rsidRDefault="00DC1CDC" w:rsidP="00DC1CDC">
      <w:pPr>
        <w:keepNext/>
        <w:keepLines/>
        <w:tabs>
          <w:tab w:val="left" w:pos="7655"/>
        </w:tabs>
        <w:suppressAutoHyphens/>
        <w:spacing w:after="0" w:line="240" w:lineRule="auto"/>
        <w:rPr>
          <w:rFonts w:ascii="Times New Roman" w:hAnsi="Times New Roman"/>
          <w:i/>
          <w:iCs/>
        </w:rPr>
      </w:pPr>
      <w:r w:rsidRPr="00D9492F">
        <w:rPr>
          <w:rFonts w:ascii="Times New Roman" w:hAnsi="Times New Roman"/>
          <w:i/>
          <w:iCs/>
        </w:rPr>
        <w:t>Kraujo ir limfinės sistemos sutrikimai</w:t>
      </w:r>
    </w:p>
    <w:p w14:paraId="1CD6F35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Labai dažni: vartojant trastuzumabą ir docetakselį, nustatytas stipresnis hematotoksinis poveikis negu docetakselį vartojant atskirai (3</w:t>
      </w:r>
      <w:r w:rsidRPr="00D9492F">
        <w:rPr>
          <w:rFonts w:ascii="Times New Roman" w:hAnsi="Times New Roman"/>
        </w:rPr>
        <w:noBreakHyphen/>
        <w:t>4 laipsnio neutropenijos dažnis, remiantis NCI bendraisiais toksinio poveikio kriterijais, buvo atitinkamai 32 % ir 22 %). Būtina atkreipti dėmesį, jog toks poveikis tikriausiai yra nepakankamai įvertintas, kadangi vartojant vien tik docetakselio (dozė - 100 mg/m</w:t>
      </w:r>
      <w:r w:rsidRPr="00D9492F">
        <w:rPr>
          <w:rFonts w:ascii="Times New Roman" w:hAnsi="Times New Roman"/>
          <w:vertAlign w:val="superscript"/>
        </w:rPr>
        <w:t>2</w:t>
      </w:r>
      <w:r w:rsidRPr="00D9492F">
        <w:rPr>
          <w:rFonts w:ascii="Times New Roman" w:hAnsi="Times New Roman"/>
        </w:rPr>
        <w:t>), neutropenija pasireiškia 97 % pacientų, iš jų 76 % - 4 laipsnio (vertinant mažiausią kraujo ląstelių skaičių). Vartojant herceptino ir docetakselio derinį, taip pat dažniau pasireiškė febrilinė neutropenija ar su neutropenija susijęs sepsis</w:t>
      </w:r>
      <w:r w:rsidR="009622D0" w:rsidRPr="00D9492F">
        <w:rPr>
          <w:rFonts w:ascii="Times New Roman" w:hAnsi="Times New Roman"/>
        </w:rPr>
        <w:t>,</w:t>
      </w:r>
      <w:r w:rsidRPr="00D9492F">
        <w:rPr>
          <w:rFonts w:ascii="Times New Roman" w:hAnsi="Times New Roman"/>
        </w:rPr>
        <w:t xml:space="preserve"> negu docetakselį vartojant atskirai (atitinkamai 23 % ir 17 % pacientų).</w:t>
      </w:r>
    </w:p>
    <w:p w14:paraId="7D41B45B" w14:textId="77777777" w:rsidR="00DC1CDC" w:rsidRPr="00D9492F" w:rsidRDefault="00DC1CDC" w:rsidP="00DC1CDC">
      <w:pPr>
        <w:spacing w:after="0" w:line="240" w:lineRule="auto"/>
        <w:rPr>
          <w:rFonts w:ascii="Times New Roman" w:hAnsi="Times New Roman"/>
        </w:rPr>
      </w:pPr>
    </w:p>
    <w:p w14:paraId="5CB0F4E7" w14:textId="77777777" w:rsidR="00DC1CDC" w:rsidRPr="00D9492F" w:rsidRDefault="00DC1CDC" w:rsidP="00DC1CDC">
      <w:pPr>
        <w:keepNext/>
        <w:keepLines/>
        <w:tabs>
          <w:tab w:val="left" w:pos="7655"/>
        </w:tabs>
        <w:suppressAutoHyphens/>
        <w:spacing w:after="0" w:line="240" w:lineRule="auto"/>
        <w:rPr>
          <w:rFonts w:ascii="Times New Roman" w:hAnsi="Times New Roman"/>
          <w:i/>
          <w:iCs/>
        </w:rPr>
      </w:pPr>
      <w:r w:rsidRPr="00D9492F">
        <w:rPr>
          <w:rFonts w:ascii="Times New Roman" w:hAnsi="Times New Roman"/>
          <w:i/>
          <w:iCs/>
        </w:rPr>
        <w:t>Širdies sutrikimai</w:t>
      </w:r>
    </w:p>
    <w:p w14:paraId="0BB026D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Simptominis širdies nepakankamumas pasireiškė 2,2 % pacientų, kartu vartojusių docetakselį ir trastuzumabą</w:t>
      </w:r>
      <w:r w:rsidR="009622D0" w:rsidRPr="00D9492F">
        <w:rPr>
          <w:rFonts w:ascii="Times New Roman" w:hAnsi="Times New Roman"/>
        </w:rPr>
        <w:t>,</w:t>
      </w:r>
      <w:r w:rsidRPr="00D9492F">
        <w:rPr>
          <w:rFonts w:ascii="Times New Roman" w:hAnsi="Times New Roman"/>
        </w:rPr>
        <w:t xml:space="preserve"> bei 0 % pacientų, vartojusių vien docetakselio. Iš pacientų, kartu vartojusių docetakselį ir trastuzumabą, </w:t>
      </w:r>
      <w:r w:rsidRPr="00D9492F">
        <w:rPr>
          <w:rFonts w:ascii="Times New Roman" w:eastAsia="MS Mincho" w:hAnsi="Times New Roman"/>
        </w:rPr>
        <w:t xml:space="preserve">64 % anksčiau vartojo antracikliną adjuvantiniam gydymui, iš vartojusių vien </w:t>
      </w:r>
      <w:r w:rsidRPr="00D9492F">
        <w:rPr>
          <w:rFonts w:ascii="Times New Roman" w:hAnsi="Times New Roman"/>
        </w:rPr>
        <w:t xml:space="preserve">docetakselio </w:t>
      </w:r>
      <w:r w:rsidRPr="00D9492F">
        <w:rPr>
          <w:rFonts w:ascii="Times New Roman" w:eastAsia="MS Mincho" w:hAnsi="Times New Roman"/>
        </w:rPr>
        <w:t>– 55 %.</w:t>
      </w:r>
    </w:p>
    <w:p w14:paraId="7FCF2001" w14:textId="77777777" w:rsidR="00DC1CDC" w:rsidRPr="00D9492F" w:rsidRDefault="00DC1CDC" w:rsidP="00DC1CDC">
      <w:pPr>
        <w:spacing w:after="0" w:line="240" w:lineRule="auto"/>
        <w:rPr>
          <w:rFonts w:ascii="Times New Roman" w:hAnsi="Times New Roman"/>
        </w:rPr>
      </w:pPr>
    </w:p>
    <w:p w14:paraId="0751B47A" w14:textId="2834952A" w:rsidR="00DC1CDC" w:rsidRPr="00D9492F" w:rsidRDefault="005B1DF2" w:rsidP="00DC1CDC">
      <w:pPr>
        <w:keepNext/>
        <w:keepLines/>
        <w:tabs>
          <w:tab w:val="left" w:pos="7655"/>
        </w:tabs>
        <w:suppressAutoHyphens/>
        <w:spacing w:after="0" w:line="240" w:lineRule="auto"/>
        <w:rPr>
          <w:rFonts w:ascii="Times New Roman" w:hAnsi="Times New Roman"/>
        </w:rPr>
      </w:pPr>
      <w:r w:rsidRPr="00D9492F">
        <w:rPr>
          <w:rFonts w:ascii="Times New Roman" w:hAnsi="Times New Roman"/>
          <w:bCs/>
          <w:u w:val="single"/>
        </w:rPr>
        <w:lastRenderedPageBreak/>
        <w:t>Nepageidaujamų reakcijų, atsiradusių vartojant Docetaxel SanoSwiss 75</w:t>
      </w:r>
      <w:r w:rsidR="00C5080D" w:rsidRPr="00D9492F">
        <w:rPr>
          <w:rFonts w:ascii="Times New Roman" w:hAnsi="Times New Roman"/>
          <w:bCs/>
          <w:u w:val="single"/>
        </w:rPr>
        <w:t> </w:t>
      </w:r>
      <w:r w:rsidRPr="00D9492F">
        <w:rPr>
          <w:rFonts w:ascii="Times New Roman" w:hAnsi="Times New Roman"/>
          <w:bCs/>
          <w:u w:val="single"/>
        </w:rPr>
        <w:t xml:space="preserve">mg/m² su kapecitabinu dozę krūties vėžio monoterapijai, </w:t>
      </w:r>
      <w:r w:rsidR="008C7CA5" w:rsidRPr="00D9492F">
        <w:rPr>
          <w:rFonts w:ascii="Times New Roman" w:hAnsi="Times New Roman"/>
          <w:bCs/>
          <w:u w:val="single"/>
        </w:rPr>
        <w:t>santrauka lentelėje</w:t>
      </w:r>
      <w:r w:rsidRPr="00D9492F">
        <w:rPr>
          <w:rFonts w:ascii="Times New Roman" w:hAnsi="Times New Roman"/>
          <w:bCs/>
          <w:u w:val="single"/>
        </w:rPr>
        <w:t xml:space="preserve"> </w:t>
      </w: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07"/>
        <w:gridCol w:w="2878"/>
        <w:gridCol w:w="3033"/>
      </w:tblGrid>
      <w:tr w:rsidR="00DC1CDC" w:rsidRPr="00D9492F" w14:paraId="76BF95A4" w14:textId="77777777" w:rsidTr="0003751A">
        <w:trPr>
          <w:tblHeader/>
          <w:jc w:val="center"/>
        </w:trPr>
        <w:tc>
          <w:tcPr>
            <w:tcW w:w="3307" w:type="dxa"/>
            <w:shd w:val="clear" w:color="auto" w:fill="auto"/>
          </w:tcPr>
          <w:p w14:paraId="64856890"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MedDRA organų sistemų klasės</w:t>
            </w:r>
          </w:p>
          <w:p w14:paraId="6D0937A6" w14:textId="77777777" w:rsidR="00DC1CDC" w:rsidRPr="00D9492F" w:rsidRDefault="00DC1CDC" w:rsidP="00DC1CDC">
            <w:pPr>
              <w:keepNext/>
              <w:keepLines/>
              <w:spacing w:after="0" w:line="240" w:lineRule="auto"/>
              <w:rPr>
                <w:rFonts w:ascii="Times New Roman" w:hAnsi="Times New Roman"/>
                <w:u w:val="single"/>
              </w:rPr>
            </w:pPr>
          </w:p>
        </w:tc>
        <w:tc>
          <w:tcPr>
            <w:tcW w:w="2878" w:type="dxa"/>
            <w:shd w:val="clear" w:color="auto" w:fill="auto"/>
          </w:tcPr>
          <w:p w14:paraId="15A8C542" w14:textId="06944054"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Labai dažnos nepageidaujamos reakcijos</w:t>
            </w:r>
          </w:p>
          <w:p w14:paraId="06A42276"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u w:val="single"/>
              </w:rPr>
            </w:pPr>
          </w:p>
        </w:tc>
        <w:tc>
          <w:tcPr>
            <w:tcW w:w="3033" w:type="dxa"/>
            <w:shd w:val="clear" w:color="auto" w:fill="auto"/>
          </w:tcPr>
          <w:p w14:paraId="61CAC628"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Dažnos nepageidaujamos reakcijos</w:t>
            </w:r>
          </w:p>
          <w:p w14:paraId="3B20DCB3" w14:textId="77777777" w:rsidR="00DC1CDC" w:rsidRPr="00D9492F" w:rsidRDefault="00DC1CDC" w:rsidP="00DC1CDC">
            <w:pPr>
              <w:keepNext/>
              <w:keepLines/>
              <w:spacing w:after="0" w:line="240" w:lineRule="auto"/>
              <w:rPr>
                <w:rFonts w:ascii="Times New Roman" w:hAnsi="Times New Roman"/>
                <w:u w:val="single"/>
              </w:rPr>
            </w:pPr>
          </w:p>
        </w:tc>
      </w:tr>
      <w:tr w:rsidR="00DC1CDC" w:rsidRPr="00D9492F" w14:paraId="5543AAF6" w14:textId="77777777" w:rsidTr="0003751A">
        <w:trPr>
          <w:jc w:val="center"/>
        </w:trPr>
        <w:tc>
          <w:tcPr>
            <w:tcW w:w="3307" w:type="dxa"/>
          </w:tcPr>
          <w:p w14:paraId="2EDCB3E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Infekcijos ir infestacijos</w:t>
            </w:r>
          </w:p>
        </w:tc>
        <w:tc>
          <w:tcPr>
            <w:tcW w:w="2878" w:type="dxa"/>
          </w:tcPr>
          <w:p w14:paraId="63EDAFF4" w14:textId="77777777" w:rsidR="00DC1CDC" w:rsidRPr="00D9492F" w:rsidRDefault="00DC1CDC" w:rsidP="00DC1CDC">
            <w:pPr>
              <w:keepNext/>
              <w:keepLines/>
              <w:spacing w:after="0" w:line="240" w:lineRule="auto"/>
              <w:rPr>
                <w:rFonts w:ascii="Times New Roman" w:hAnsi="Times New Roman"/>
              </w:rPr>
            </w:pPr>
          </w:p>
        </w:tc>
        <w:tc>
          <w:tcPr>
            <w:tcW w:w="3033" w:type="dxa"/>
          </w:tcPr>
          <w:p w14:paraId="30840F1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Burnos kandidamikozė (3</w:t>
            </w:r>
            <w:r w:rsidRPr="00D9492F">
              <w:rPr>
                <w:rFonts w:ascii="Times New Roman" w:hAnsi="Times New Roman"/>
              </w:rPr>
              <w:noBreakHyphen/>
              <w:t>4 laipsnio – &lt; 1 %)</w:t>
            </w:r>
            <w:r w:rsidR="00EC7907" w:rsidRPr="00D9492F">
              <w:rPr>
                <w:rFonts w:ascii="Times New Roman" w:hAnsi="Times New Roman"/>
              </w:rPr>
              <w:t>.</w:t>
            </w:r>
          </w:p>
        </w:tc>
      </w:tr>
      <w:tr w:rsidR="00DC1CDC" w:rsidRPr="00D9492F" w14:paraId="579E1D8E" w14:textId="77777777" w:rsidTr="0003751A">
        <w:trPr>
          <w:jc w:val="center"/>
        </w:trPr>
        <w:tc>
          <w:tcPr>
            <w:tcW w:w="3307" w:type="dxa"/>
          </w:tcPr>
          <w:p w14:paraId="200295C2"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Kraujo ir limfinės sistemos sutrikimai</w:t>
            </w:r>
          </w:p>
        </w:tc>
        <w:tc>
          <w:tcPr>
            <w:tcW w:w="2878" w:type="dxa"/>
          </w:tcPr>
          <w:p w14:paraId="1E37E6A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Neutropenija (3</w:t>
            </w:r>
            <w:r w:rsidRPr="00D9492F">
              <w:rPr>
                <w:rFonts w:ascii="Times New Roman" w:hAnsi="Times New Roman"/>
              </w:rPr>
              <w:noBreakHyphen/>
              <w:t>4 laipsnio – 63 %)</w:t>
            </w:r>
            <w:r w:rsidR="00EC7907" w:rsidRPr="00D9492F">
              <w:rPr>
                <w:rFonts w:ascii="Times New Roman" w:hAnsi="Times New Roman"/>
              </w:rPr>
              <w:t>.</w:t>
            </w:r>
          </w:p>
          <w:p w14:paraId="619870D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Anemija (3</w:t>
            </w:r>
            <w:r w:rsidRPr="00D9492F">
              <w:rPr>
                <w:rFonts w:ascii="Times New Roman" w:hAnsi="Times New Roman"/>
              </w:rPr>
              <w:noBreakHyphen/>
              <w:t>4 laipsnio – 10 %)</w:t>
            </w:r>
            <w:r w:rsidR="00EC7907" w:rsidRPr="00D9492F">
              <w:rPr>
                <w:rFonts w:ascii="Times New Roman" w:hAnsi="Times New Roman"/>
              </w:rPr>
              <w:t>.</w:t>
            </w:r>
          </w:p>
        </w:tc>
        <w:tc>
          <w:tcPr>
            <w:tcW w:w="3033" w:type="dxa"/>
          </w:tcPr>
          <w:p w14:paraId="302D5EE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Trombocitopenija (3</w:t>
            </w:r>
            <w:r w:rsidRPr="00D9492F">
              <w:rPr>
                <w:rFonts w:ascii="Times New Roman" w:hAnsi="Times New Roman"/>
              </w:rPr>
              <w:noBreakHyphen/>
              <w:t>4 laipsnio – 3 %)</w:t>
            </w:r>
            <w:r w:rsidR="00EC7907" w:rsidRPr="00D9492F">
              <w:rPr>
                <w:rFonts w:ascii="Times New Roman" w:hAnsi="Times New Roman"/>
              </w:rPr>
              <w:t>.</w:t>
            </w:r>
          </w:p>
        </w:tc>
      </w:tr>
      <w:tr w:rsidR="00DC1CDC" w:rsidRPr="00D9492F" w14:paraId="0F714CB0" w14:textId="77777777" w:rsidTr="0003751A">
        <w:trPr>
          <w:jc w:val="center"/>
        </w:trPr>
        <w:tc>
          <w:tcPr>
            <w:tcW w:w="3307" w:type="dxa"/>
          </w:tcPr>
          <w:p w14:paraId="67E0AA6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Metabolizmo ir mitybos sutrikimai</w:t>
            </w:r>
          </w:p>
        </w:tc>
        <w:tc>
          <w:tcPr>
            <w:tcW w:w="2878" w:type="dxa"/>
          </w:tcPr>
          <w:p w14:paraId="30F6E94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Anoreksija (3</w:t>
            </w:r>
            <w:r w:rsidRPr="00D9492F">
              <w:rPr>
                <w:rFonts w:ascii="Times New Roman" w:hAnsi="Times New Roman"/>
              </w:rPr>
              <w:noBreakHyphen/>
              <w:t>4 laipsnio – 1 %)</w:t>
            </w:r>
            <w:r w:rsidR="00EC7907" w:rsidRPr="00D9492F">
              <w:rPr>
                <w:rFonts w:ascii="Times New Roman" w:hAnsi="Times New Roman"/>
              </w:rPr>
              <w:t>.</w:t>
            </w:r>
          </w:p>
          <w:p w14:paraId="0B5FD57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Apetito sumažėjimas </w:t>
            </w:r>
            <w:r w:rsidR="00EC7907" w:rsidRPr="00D9492F">
              <w:rPr>
                <w:rFonts w:ascii="Times New Roman" w:hAnsi="Times New Roman"/>
              </w:rPr>
              <w:t>.</w:t>
            </w:r>
          </w:p>
        </w:tc>
        <w:tc>
          <w:tcPr>
            <w:tcW w:w="3033" w:type="dxa"/>
          </w:tcPr>
          <w:p w14:paraId="768CB7B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Dehidracija (3</w:t>
            </w:r>
            <w:r w:rsidRPr="00D9492F">
              <w:rPr>
                <w:rFonts w:ascii="Times New Roman" w:hAnsi="Times New Roman"/>
              </w:rPr>
              <w:noBreakHyphen/>
              <w:t>4 laipsnio – 2 %)</w:t>
            </w:r>
            <w:r w:rsidR="00EC7907" w:rsidRPr="00D9492F">
              <w:rPr>
                <w:rFonts w:ascii="Times New Roman" w:hAnsi="Times New Roman"/>
              </w:rPr>
              <w:t>.</w:t>
            </w:r>
            <w:r w:rsidRPr="00D9492F">
              <w:rPr>
                <w:rFonts w:ascii="Times New Roman" w:hAnsi="Times New Roman"/>
              </w:rPr>
              <w:t xml:space="preserve"> </w:t>
            </w:r>
            <w:r w:rsidRPr="00D9492F">
              <w:rPr>
                <w:rFonts w:ascii="Times New Roman" w:hAnsi="Times New Roman"/>
              </w:rPr>
              <w:br/>
            </w:r>
          </w:p>
        </w:tc>
      </w:tr>
      <w:tr w:rsidR="00DC1CDC" w:rsidRPr="00D9492F" w14:paraId="0DD17C43" w14:textId="77777777" w:rsidTr="0003751A">
        <w:trPr>
          <w:jc w:val="center"/>
        </w:trPr>
        <w:tc>
          <w:tcPr>
            <w:tcW w:w="3307" w:type="dxa"/>
          </w:tcPr>
          <w:p w14:paraId="0897C7F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Nervų sistemos sutrikimai</w:t>
            </w:r>
          </w:p>
        </w:tc>
        <w:tc>
          <w:tcPr>
            <w:tcW w:w="2878" w:type="dxa"/>
          </w:tcPr>
          <w:p w14:paraId="41E01CC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Disgeuzija (3</w:t>
            </w:r>
            <w:r w:rsidRPr="00D9492F">
              <w:rPr>
                <w:rFonts w:ascii="Times New Roman" w:hAnsi="Times New Roman"/>
              </w:rPr>
              <w:noBreakHyphen/>
              <w:t>4 laipsnio – &lt; 1 %)</w:t>
            </w:r>
            <w:r w:rsidR="00EC7907" w:rsidRPr="00D9492F">
              <w:rPr>
                <w:rFonts w:ascii="Times New Roman" w:hAnsi="Times New Roman"/>
              </w:rPr>
              <w:t>.</w:t>
            </w:r>
          </w:p>
          <w:p w14:paraId="4DBC353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Parestezija (3</w:t>
            </w:r>
            <w:r w:rsidRPr="00D9492F">
              <w:rPr>
                <w:rFonts w:ascii="Times New Roman" w:hAnsi="Times New Roman"/>
              </w:rPr>
              <w:noBreakHyphen/>
              <w:t>4 laipsnio – &lt; 1 %)</w:t>
            </w:r>
            <w:r w:rsidR="00EC7907" w:rsidRPr="00D9492F">
              <w:rPr>
                <w:rFonts w:ascii="Times New Roman" w:hAnsi="Times New Roman"/>
              </w:rPr>
              <w:t>.</w:t>
            </w:r>
          </w:p>
        </w:tc>
        <w:tc>
          <w:tcPr>
            <w:tcW w:w="3033" w:type="dxa"/>
          </w:tcPr>
          <w:p w14:paraId="48533B2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Galvos svaigimas</w:t>
            </w:r>
            <w:r w:rsidR="00EC7907" w:rsidRPr="00D9492F">
              <w:rPr>
                <w:rFonts w:ascii="Times New Roman" w:hAnsi="Times New Roman"/>
              </w:rPr>
              <w:t>.</w:t>
            </w:r>
          </w:p>
          <w:p w14:paraId="3C121B4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Galvos skausmas (3</w:t>
            </w:r>
            <w:r w:rsidRPr="00D9492F">
              <w:rPr>
                <w:rFonts w:ascii="Times New Roman" w:hAnsi="Times New Roman"/>
              </w:rPr>
              <w:noBreakHyphen/>
              <w:t>4 laipsnio – &lt; 1 %)</w:t>
            </w:r>
            <w:r w:rsidR="00EC7907" w:rsidRPr="00D9492F">
              <w:rPr>
                <w:rFonts w:ascii="Times New Roman" w:hAnsi="Times New Roman"/>
              </w:rPr>
              <w:t>.</w:t>
            </w:r>
          </w:p>
          <w:p w14:paraId="1DACEB7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neuropatija</w:t>
            </w:r>
            <w:r w:rsidR="00EC7907" w:rsidRPr="00D9492F">
              <w:rPr>
                <w:rFonts w:ascii="Times New Roman" w:hAnsi="Times New Roman"/>
              </w:rPr>
              <w:t>.</w:t>
            </w:r>
          </w:p>
        </w:tc>
      </w:tr>
      <w:tr w:rsidR="00DC1CDC" w:rsidRPr="00D9492F" w14:paraId="340B9BBC" w14:textId="77777777" w:rsidTr="0003751A">
        <w:trPr>
          <w:jc w:val="center"/>
        </w:trPr>
        <w:tc>
          <w:tcPr>
            <w:tcW w:w="3307" w:type="dxa"/>
          </w:tcPr>
          <w:p w14:paraId="3898D5E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Aki</w:t>
            </w:r>
            <w:r w:rsidR="0026147A" w:rsidRPr="00D9492F">
              <w:rPr>
                <w:rFonts w:ascii="Times New Roman" w:hAnsi="Times New Roman"/>
              </w:rPr>
              <w:t>ų</w:t>
            </w:r>
            <w:r w:rsidRPr="00D9492F">
              <w:rPr>
                <w:rFonts w:ascii="Times New Roman" w:hAnsi="Times New Roman"/>
              </w:rPr>
              <w:t xml:space="preserve"> sutrikimai</w:t>
            </w:r>
          </w:p>
        </w:tc>
        <w:tc>
          <w:tcPr>
            <w:tcW w:w="2878" w:type="dxa"/>
          </w:tcPr>
          <w:p w14:paraId="5A51F3C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Ašarojimo sustiprėjimas</w:t>
            </w:r>
            <w:r w:rsidR="00EC7907" w:rsidRPr="00D9492F">
              <w:rPr>
                <w:rFonts w:ascii="Times New Roman" w:hAnsi="Times New Roman"/>
              </w:rPr>
              <w:t>.</w:t>
            </w:r>
          </w:p>
          <w:p w14:paraId="1501E75F" w14:textId="77777777" w:rsidR="00DC1CDC" w:rsidRPr="00D9492F" w:rsidRDefault="00DC1CDC" w:rsidP="00DC1CDC">
            <w:pPr>
              <w:keepNext/>
              <w:keepLines/>
              <w:spacing w:after="0" w:line="240" w:lineRule="auto"/>
              <w:rPr>
                <w:rFonts w:ascii="Times New Roman" w:hAnsi="Times New Roman"/>
              </w:rPr>
            </w:pPr>
          </w:p>
        </w:tc>
        <w:tc>
          <w:tcPr>
            <w:tcW w:w="3033" w:type="dxa"/>
          </w:tcPr>
          <w:p w14:paraId="0515E555" w14:textId="77777777" w:rsidR="00DC1CDC" w:rsidRPr="00D9492F" w:rsidRDefault="00DC1CDC" w:rsidP="00DC1CDC">
            <w:pPr>
              <w:keepNext/>
              <w:keepLines/>
              <w:spacing w:after="0" w:line="240" w:lineRule="auto"/>
              <w:rPr>
                <w:rFonts w:ascii="Times New Roman" w:hAnsi="Times New Roman"/>
              </w:rPr>
            </w:pPr>
          </w:p>
        </w:tc>
      </w:tr>
      <w:tr w:rsidR="00DC1CDC" w:rsidRPr="00D9492F" w14:paraId="7D426E8B" w14:textId="77777777" w:rsidTr="0003751A">
        <w:trPr>
          <w:jc w:val="center"/>
        </w:trPr>
        <w:tc>
          <w:tcPr>
            <w:tcW w:w="3307" w:type="dxa"/>
          </w:tcPr>
          <w:p w14:paraId="3C625B6E" w14:textId="77777777" w:rsidR="00DC1CDC" w:rsidRPr="00D9492F" w:rsidRDefault="00DC1CDC" w:rsidP="00EC7907">
            <w:pPr>
              <w:keepNext/>
              <w:keepLines/>
              <w:spacing w:after="0" w:line="240" w:lineRule="auto"/>
              <w:rPr>
                <w:rFonts w:ascii="Times New Roman" w:hAnsi="Times New Roman"/>
              </w:rPr>
            </w:pPr>
            <w:r w:rsidRPr="00D9492F">
              <w:rPr>
                <w:rFonts w:ascii="Times New Roman" w:hAnsi="Times New Roman"/>
              </w:rPr>
              <w:t xml:space="preserve">Kvėpavimo sistemos, krūtinės ląstos ir </w:t>
            </w:r>
            <w:r w:rsidR="00EC7907" w:rsidRPr="00D9492F">
              <w:rPr>
                <w:rFonts w:ascii="Times New Roman" w:hAnsi="Times New Roman"/>
              </w:rPr>
              <w:t xml:space="preserve">tarpuplaučio </w:t>
            </w:r>
            <w:r w:rsidRPr="00D9492F">
              <w:rPr>
                <w:rFonts w:ascii="Times New Roman" w:hAnsi="Times New Roman"/>
              </w:rPr>
              <w:t>sutrikimai</w:t>
            </w:r>
          </w:p>
        </w:tc>
        <w:tc>
          <w:tcPr>
            <w:tcW w:w="2878" w:type="dxa"/>
          </w:tcPr>
          <w:p w14:paraId="245A668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Ryklės ir gerklų skausmas (3</w:t>
            </w:r>
            <w:r w:rsidRPr="00D9492F">
              <w:rPr>
                <w:rFonts w:ascii="Times New Roman" w:hAnsi="Times New Roman"/>
              </w:rPr>
              <w:noBreakHyphen/>
              <w:t>4 laipsnio – 2 %)</w:t>
            </w:r>
            <w:r w:rsidR="00EC7907" w:rsidRPr="00D9492F">
              <w:rPr>
                <w:rFonts w:ascii="Times New Roman" w:hAnsi="Times New Roman"/>
              </w:rPr>
              <w:t>.</w:t>
            </w:r>
          </w:p>
        </w:tc>
        <w:tc>
          <w:tcPr>
            <w:tcW w:w="3033" w:type="dxa"/>
          </w:tcPr>
          <w:p w14:paraId="3B1BFB2C"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Dusulys (3</w:t>
            </w:r>
            <w:r w:rsidRPr="00D9492F">
              <w:rPr>
                <w:rFonts w:ascii="Times New Roman" w:eastAsia="Times New Roman" w:hAnsi="Times New Roman"/>
              </w:rPr>
              <w:noBreakHyphen/>
              <w:t>4 laipsnio – 1 %)</w:t>
            </w:r>
            <w:r w:rsidR="00EC7907" w:rsidRPr="00D9492F">
              <w:rPr>
                <w:rFonts w:ascii="Times New Roman" w:eastAsia="Times New Roman" w:hAnsi="Times New Roman"/>
              </w:rPr>
              <w:t>.</w:t>
            </w:r>
          </w:p>
          <w:p w14:paraId="3B7F8E51"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Kosulys (3</w:t>
            </w:r>
            <w:r w:rsidRPr="00D9492F">
              <w:rPr>
                <w:rFonts w:ascii="Times New Roman" w:eastAsia="Times New Roman" w:hAnsi="Times New Roman"/>
              </w:rPr>
              <w:noBreakHyphen/>
              <w:t>4 laipsnio – &lt; 1 %)</w:t>
            </w:r>
            <w:r w:rsidR="00EC7907" w:rsidRPr="00D9492F">
              <w:rPr>
                <w:rFonts w:ascii="Times New Roman" w:eastAsia="Times New Roman" w:hAnsi="Times New Roman"/>
              </w:rPr>
              <w:t>.</w:t>
            </w:r>
          </w:p>
          <w:p w14:paraId="27839045"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Epistaks</w:t>
            </w:r>
            <w:r w:rsidR="00EC7907" w:rsidRPr="00D9492F">
              <w:rPr>
                <w:rFonts w:ascii="Times New Roman" w:eastAsia="Times New Roman" w:hAnsi="Times New Roman"/>
              </w:rPr>
              <w:t>is</w:t>
            </w:r>
            <w:r w:rsidRPr="00D9492F">
              <w:rPr>
                <w:rFonts w:ascii="Times New Roman" w:eastAsia="Times New Roman" w:hAnsi="Times New Roman"/>
              </w:rPr>
              <w:t xml:space="preserve"> (3</w:t>
            </w:r>
            <w:r w:rsidRPr="00D9492F">
              <w:rPr>
                <w:rFonts w:ascii="Times New Roman" w:eastAsia="Times New Roman" w:hAnsi="Times New Roman"/>
              </w:rPr>
              <w:noBreakHyphen/>
              <w:t>4 laipsnio – &lt; 1 %)</w:t>
            </w:r>
            <w:r w:rsidR="00EC7907" w:rsidRPr="00D9492F">
              <w:rPr>
                <w:rFonts w:ascii="Times New Roman" w:eastAsia="Times New Roman" w:hAnsi="Times New Roman"/>
              </w:rPr>
              <w:t>.</w:t>
            </w:r>
          </w:p>
        </w:tc>
      </w:tr>
      <w:tr w:rsidR="00DC1CDC" w:rsidRPr="00D9492F" w14:paraId="20BF19D5" w14:textId="77777777" w:rsidTr="0003751A">
        <w:trPr>
          <w:jc w:val="center"/>
        </w:trPr>
        <w:tc>
          <w:tcPr>
            <w:tcW w:w="3307" w:type="dxa"/>
          </w:tcPr>
          <w:p w14:paraId="7897D5A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Virškinimo trakto sutrikimai</w:t>
            </w:r>
          </w:p>
        </w:tc>
        <w:tc>
          <w:tcPr>
            <w:tcW w:w="2878" w:type="dxa"/>
          </w:tcPr>
          <w:p w14:paraId="73EBB3E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Stomatitas (3</w:t>
            </w:r>
            <w:r w:rsidRPr="00D9492F">
              <w:rPr>
                <w:rFonts w:ascii="Times New Roman" w:hAnsi="Times New Roman"/>
              </w:rPr>
              <w:noBreakHyphen/>
              <w:t>4 laipsnio – 18 %)</w:t>
            </w:r>
            <w:r w:rsidR="00EC7907" w:rsidRPr="00D9492F">
              <w:rPr>
                <w:rFonts w:ascii="Times New Roman" w:hAnsi="Times New Roman"/>
              </w:rPr>
              <w:t>.</w:t>
            </w:r>
          </w:p>
          <w:p w14:paraId="34611E6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Viduriavimas (3</w:t>
            </w:r>
            <w:r w:rsidRPr="00D9492F">
              <w:rPr>
                <w:rFonts w:ascii="Times New Roman" w:hAnsi="Times New Roman"/>
              </w:rPr>
              <w:noBreakHyphen/>
              <w:t>4 laipsnio – 14 %)</w:t>
            </w:r>
            <w:r w:rsidR="00EC7907" w:rsidRPr="00D9492F">
              <w:rPr>
                <w:rFonts w:ascii="Times New Roman" w:hAnsi="Times New Roman"/>
              </w:rPr>
              <w:t>.</w:t>
            </w:r>
          </w:p>
          <w:p w14:paraId="0CD8108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Pykinimas (3</w:t>
            </w:r>
            <w:r w:rsidRPr="00D9492F">
              <w:rPr>
                <w:rFonts w:ascii="Times New Roman" w:hAnsi="Times New Roman"/>
              </w:rPr>
              <w:noBreakHyphen/>
              <w:t>4 laipsnio – 6 %)</w:t>
            </w:r>
            <w:r w:rsidR="00EC7907" w:rsidRPr="00D9492F">
              <w:rPr>
                <w:rFonts w:ascii="Times New Roman" w:hAnsi="Times New Roman"/>
              </w:rPr>
              <w:t>.</w:t>
            </w:r>
          </w:p>
          <w:p w14:paraId="57FF3DA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Vėmimas (3</w:t>
            </w:r>
            <w:r w:rsidRPr="00D9492F">
              <w:rPr>
                <w:rFonts w:ascii="Times New Roman" w:hAnsi="Times New Roman"/>
              </w:rPr>
              <w:noBreakHyphen/>
              <w:t>4 laipsnio – 4 %)</w:t>
            </w:r>
            <w:r w:rsidR="00EC7907" w:rsidRPr="00D9492F">
              <w:rPr>
                <w:rFonts w:ascii="Times New Roman" w:hAnsi="Times New Roman"/>
              </w:rPr>
              <w:t>.</w:t>
            </w:r>
          </w:p>
          <w:p w14:paraId="75EDCA8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Vidurių užkietėjimas (3</w:t>
            </w:r>
            <w:r w:rsidRPr="00D9492F">
              <w:rPr>
                <w:rFonts w:ascii="Times New Roman" w:hAnsi="Times New Roman"/>
              </w:rPr>
              <w:noBreakHyphen/>
              <w:t>4 laipsnio – 1 %)</w:t>
            </w:r>
            <w:r w:rsidR="00EC7907" w:rsidRPr="00D9492F">
              <w:rPr>
                <w:rFonts w:ascii="Times New Roman" w:hAnsi="Times New Roman"/>
              </w:rPr>
              <w:t>.</w:t>
            </w:r>
          </w:p>
          <w:p w14:paraId="3E7F44C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Pilvo skausmas (3</w:t>
            </w:r>
            <w:r w:rsidRPr="00D9492F">
              <w:rPr>
                <w:rFonts w:ascii="Times New Roman" w:hAnsi="Times New Roman"/>
              </w:rPr>
              <w:noBreakHyphen/>
              <w:t>4 laipsnio – 2 %)</w:t>
            </w:r>
            <w:r w:rsidR="00EC7907" w:rsidRPr="00D9492F">
              <w:rPr>
                <w:rFonts w:ascii="Times New Roman" w:hAnsi="Times New Roman"/>
              </w:rPr>
              <w:t>.</w:t>
            </w:r>
          </w:p>
          <w:p w14:paraId="337D847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Dispepsija</w:t>
            </w:r>
            <w:r w:rsidR="00EC7907" w:rsidRPr="00D9492F">
              <w:rPr>
                <w:rFonts w:ascii="Times New Roman" w:hAnsi="Times New Roman"/>
              </w:rPr>
              <w:t>.</w:t>
            </w:r>
          </w:p>
        </w:tc>
        <w:tc>
          <w:tcPr>
            <w:tcW w:w="3033" w:type="dxa"/>
          </w:tcPr>
          <w:p w14:paraId="714EC53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Viršutinio pilvo aukšto skausmas</w:t>
            </w:r>
            <w:r w:rsidR="00EC7907" w:rsidRPr="00D9492F">
              <w:rPr>
                <w:rFonts w:ascii="Times New Roman" w:hAnsi="Times New Roman"/>
              </w:rPr>
              <w:t>.</w:t>
            </w:r>
          </w:p>
          <w:p w14:paraId="75F05A2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Burnos džiūvimas</w:t>
            </w:r>
            <w:r w:rsidR="00EC7907" w:rsidRPr="00D9492F">
              <w:rPr>
                <w:rFonts w:ascii="Times New Roman" w:hAnsi="Times New Roman"/>
              </w:rPr>
              <w:t>.</w:t>
            </w:r>
          </w:p>
        </w:tc>
      </w:tr>
      <w:tr w:rsidR="00DC1CDC" w:rsidRPr="00D9492F" w14:paraId="7E31D0FE" w14:textId="77777777" w:rsidTr="0003751A">
        <w:trPr>
          <w:jc w:val="center"/>
        </w:trPr>
        <w:tc>
          <w:tcPr>
            <w:tcW w:w="3307" w:type="dxa"/>
          </w:tcPr>
          <w:p w14:paraId="5E4EB28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Odos ir poodinio audinio sutrikimai</w:t>
            </w:r>
          </w:p>
        </w:tc>
        <w:tc>
          <w:tcPr>
            <w:tcW w:w="2878" w:type="dxa"/>
          </w:tcPr>
          <w:p w14:paraId="0C22EC90"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Rankų ir pėdų sindromas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24 %)</w:t>
            </w:r>
            <w:r w:rsidR="00EC7907" w:rsidRPr="00D9492F">
              <w:rPr>
                <w:rFonts w:ascii="Times New Roman" w:eastAsia="Times New Roman" w:hAnsi="Times New Roman"/>
                <w:bCs/>
                <w:iCs/>
              </w:rPr>
              <w:t>.</w:t>
            </w:r>
          </w:p>
          <w:p w14:paraId="32DA00CB"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Alopecija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6 %)</w:t>
            </w:r>
            <w:r w:rsidR="00EC7907" w:rsidRPr="00D9492F">
              <w:rPr>
                <w:rFonts w:ascii="Times New Roman" w:eastAsia="Times New Roman" w:hAnsi="Times New Roman"/>
                <w:bCs/>
                <w:iCs/>
              </w:rPr>
              <w:t>.</w:t>
            </w:r>
          </w:p>
          <w:p w14:paraId="705D333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bCs/>
                <w:iCs/>
              </w:rPr>
              <w:t>Nagų pažeidimai (</w:t>
            </w:r>
            <w:r w:rsidRPr="00D9492F">
              <w:rPr>
                <w:rFonts w:ascii="Times New Roman" w:hAnsi="Times New Roman"/>
              </w:rPr>
              <w:t>3</w:t>
            </w:r>
            <w:r w:rsidRPr="00D9492F">
              <w:rPr>
                <w:rFonts w:ascii="Times New Roman" w:hAnsi="Times New Roman"/>
              </w:rPr>
              <w:noBreakHyphen/>
              <w:t xml:space="preserve">4 laipsnio – </w:t>
            </w:r>
            <w:r w:rsidRPr="00D9492F">
              <w:rPr>
                <w:rFonts w:ascii="Times New Roman" w:hAnsi="Times New Roman"/>
                <w:bCs/>
                <w:iCs/>
              </w:rPr>
              <w:t>2 %)</w:t>
            </w:r>
            <w:r w:rsidR="00EC7907" w:rsidRPr="00D9492F">
              <w:rPr>
                <w:rFonts w:ascii="Times New Roman" w:hAnsi="Times New Roman"/>
                <w:bCs/>
                <w:iCs/>
              </w:rPr>
              <w:t>.</w:t>
            </w:r>
          </w:p>
        </w:tc>
        <w:tc>
          <w:tcPr>
            <w:tcW w:w="3033" w:type="dxa"/>
          </w:tcPr>
          <w:p w14:paraId="42831CD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Dermatitas</w:t>
            </w:r>
            <w:r w:rsidR="00EC7907" w:rsidRPr="00D9492F">
              <w:rPr>
                <w:rFonts w:ascii="Times New Roman" w:hAnsi="Times New Roman"/>
              </w:rPr>
              <w:t>.</w:t>
            </w:r>
          </w:p>
          <w:p w14:paraId="3AF6968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Eriteminis išbėrimas (3</w:t>
            </w:r>
            <w:r w:rsidRPr="00D9492F">
              <w:rPr>
                <w:rFonts w:ascii="Times New Roman" w:hAnsi="Times New Roman"/>
              </w:rPr>
              <w:noBreakHyphen/>
              <w:t>4 laipsnio – &lt; 1 %)</w:t>
            </w:r>
            <w:r w:rsidR="00EC7907" w:rsidRPr="00D9492F">
              <w:rPr>
                <w:rFonts w:ascii="Times New Roman" w:hAnsi="Times New Roman"/>
              </w:rPr>
              <w:t>.</w:t>
            </w:r>
          </w:p>
          <w:p w14:paraId="20F8E5B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Nagų spalvos pokytis</w:t>
            </w:r>
            <w:r w:rsidR="00EC7907" w:rsidRPr="00D9492F">
              <w:rPr>
                <w:rFonts w:ascii="Times New Roman" w:hAnsi="Times New Roman"/>
              </w:rPr>
              <w:t>.</w:t>
            </w:r>
          </w:p>
          <w:p w14:paraId="0791C4A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Onicholizė (3</w:t>
            </w:r>
            <w:r w:rsidRPr="00D9492F">
              <w:rPr>
                <w:rFonts w:ascii="Times New Roman" w:hAnsi="Times New Roman"/>
              </w:rPr>
              <w:noBreakHyphen/>
              <w:t>4 laipsnio – 1 %)</w:t>
            </w:r>
            <w:r w:rsidR="00EC7907" w:rsidRPr="00D9492F">
              <w:rPr>
                <w:rFonts w:ascii="Times New Roman" w:hAnsi="Times New Roman"/>
              </w:rPr>
              <w:t>.</w:t>
            </w:r>
          </w:p>
        </w:tc>
      </w:tr>
      <w:tr w:rsidR="00DC1CDC" w:rsidRPr="00D9492F" w14:paraId="45833525" w14:textId="77777777" w:rsidTr="0003751A">
        <w:trPr>
          <w:jc w:val="center"/>
        </w:trPr>
        <w:tc>
          <w:tcPr>
            <w:tcW w:w="3307" w:type="dxa"/>
          </w:tcPr>
          <w:p w14:paraId="582BA56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Skeleto, raumenų ir jungiamojo audinio sutrikimai</w:t>
            </w:r>
          </w:p>
        </w:tc>
        <w:tc>
          <w:tcPr>
            <w:tcW w:w="2878" w:type="dxa"/>
          </w:tcPr>
          <w:p w14:paraId="1D75F18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Mialgija (3</w:t>
            </w:r>
            <w:r w:rsidRPr="00D9492F">
              <w:rPr>
                <w:rFonts w:ascii="Times New Roman" w:hAnsi="Times New Roman"/>
              </w:rPr>
              <w:noBreakHyphen/>
              <w:t>4 laipsnio – 2 %)</w:t>
            </w:r>
            <w:r w:rsidR="000C6284" w:rsidRPr="00D9492F">
              <w:rPr>
                <w:rFonts w:ascii="Times New Roman" w:hAnsi="Times New Roman"/>
              </w:rPr>
              <w:t>.</w:t>
            </w:r>
          </w:p>
          <w:p w14:paraId="50BFCB5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Artralgija (3</w:t>
            </w:r>
            <w:r w:rsidRPr="00D9492F">
              <w:rPr>
                <w:rFonts w:ascii="Times New Roman" w:hAnsi="Times New Roman"/>
              </w:rPr>
              <w:noBreakHyphen/>
              <w:t>4 laipsnio – 1 %)</w:t>
            </w:r>
            <w:r w:rsidR="000C6284" w:rsidRPr="00D9492F">
              <w:rPr>
                <w:rFonts w:ascii="Times New Roman" w:hAnsi="Times New Roman"/>
              </w:rPr>
              <w:t>.</w:t>
            </w:r>
          </w:p>
        </w:tc>
        <w:tc>
          <w:tcPr>
            <w:tcW w:w="3033" w:type="dxa"/>
          </w:tcPr>
          <w:p w14:paraId="68E7C54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Galūnių skausmas (3</w:t>
            </w:r>
            <w:r w:rsidRPr="00D9492F">
              <w:rPr>
                <w:rFonts w:ascii="Times New Roman" w:hAnsi="Times New Roman"/>
              </w:rPr>
              <w:noBreakHyphen/>
              <w:t>4 laipsnio – &lt; 1 %)</w:t>
            </w:r>
            <w:r w:rsidR="000C6284" w:rsidRPr="00D9492F">
              <w:rPr>
                <w:rFonts w:ascii="Times New Roman" w:hAnsi="Times New Roman"/>
              </w:rPr>
              <w:t>.</w:t>
            </w:r>
          </w:p>
          <w:p w14:paraId="1E873ED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Nugaros skausmas (3</w:t>
            </w:r>
            <w:r w:rsidRPr="00D9492F">
              <w:rPr>
                <w:rFonts w:ascii="Times New Roman" w:hAnsi="Times New Roman"/>
              </w:rPr>
              <w:noBreakHyphen/>
              <w:t>4 laipsnio – 1 %)</w:t>
            </w:r>
            <w:r w:rsidR="000C6284" w:rsidRPr="00D9492F">
              <w:rPr>
                <w:rFonts w:ascii="Times New Roman" w:hAnsi="Times New Roman"/>
              </w:rPr>
              <w:t>.</w:t>
            </w:r>
          </w:p>
        </w:tc>
      </w:tr>
      <w:tr w:rsidR="00DC1CDC" w:rsidRPr="00D9492F" w14:paraId="1FD5C777" w14:textId="77777777" w:rsidTr="0003751A">
        <w:trPr>
          <w:jc w:val="center"/>
        </w:trPr>
        <w:tc>
          <w:tcPr>
            <w:tcW w:w="3307" w:type="dxa"/>
          </w:tcPr>
          <w:p w14:paraId="559AA14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Bendri</w:t>
            </w:r>
            <w:r w:rsidR="00EC7907" w:rsidRPr="00D9492F">
              <w:rPr>
                <w:rFonts w:ascii="Times New Roman" w:hAnsi="Times New Roman"/>
              </w:rPr>
              <w:t>eji</w:t>
            </w:r>
            <w:r w:rsidRPr="00D9492F">
              <w:rPr>
                <w:rFonts w:ascii="Times New Roman" w:hAnsi="Times New Roman"/>
              </w:rPr>
              <w:t xml:space="preserve"> sutrikimai ir vartojimo vietos pažeidimai</w:t>
            </w:r>
          </w:p>
        </w:tc>
        <w:tc>
          <w:tcPr>
            <w:tcW w:w="2878" w:type="dxa"/>
          </w:tcPr>
          <w:p w14:paraId="2829527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Astenija (3</w:t>
            </w:r>
            <w:r w:rsidRPr="00D9492F">
              <w:rPr>
                <w:rFonts w:ascii="Times New Roman" w:hAnsi="Times New Roman"/>
              </w:rPr>
              <w:noBreakHyphen/>
              <w:t>4 laipsnio – 3 %)</w:t>
            </w:r>
            <w:r w:rsidR="000C6284" w:rsidRPr="00D9492F">
              <w:rPr>
                <w:rFonts w:ascii="Times New Roman" w:hAnsi="Times New Roman"/>
              </w:rPr>
              <w:t>.</w:t>
            </w:r>
          </w:p>
          <w:p w14:paraId="544E8CB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Pireksija (3</w:t>
            </w:r>
            <w:r w:rsidRPr="00D9492F">
              <w:rPr>
                <w:rFonts w:ascii="Times New Roman" w:hAnsi="Times New Roman"/>
              </w:rPr>
              <w:noBreakHyphen/>
              <w:t>4 laipsnio – 1 %)</w:t>
            </w:r>
            <w:r w:rsidR="000C6284" w:rsidRPr="00D9492F">
              <w:rPr>
                <w:rFonts w:ascii="Times New Roman" w:hAnsi="Times New Roman"/>
              </w:rPr>
              <w:t>.</w:t>
            </w:r>
          </w:p>
          <w:p w14:paraId="6479BD6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Nuovargis arba silpnumas (3</w:t>
            </w:r>
            <w:r w:rsidRPr="00D9492F">
              <w:rPr>
                <w:rFonts w:ascii="Times New Roman" w:hAnsi="Times New Roman"/>
              </w:rPr>
              <w:noBreakHyphen/>
              <w:t>4 laipsnio – 5 %)</w:t>
            </w:r>
            <w:r w:rsidR="000C6284" w:rsidRPr="00D9492F">
              <w:rPr>
                <w:rFonts w:ascii="Times New Roman" w:hAnsi="Times New Roman"/>
              </w:rPr>
              <w:t>.</w:t>
            </w:r>
          </w:p>
          <w:p w14:paraId="2D64A9C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edema (3</w:t>
            </w:r>
            <w:r w:rsidRPr="00D9492F">
              <w:rPr>
                <w:rFonts w:ascii="Times New Roman" w:hAnsi="Times New Roman"/>
              </w:rPr>
              <w:noBreakHyphen/>
              <w:t>4 laipsnio – 1 %)</w:t>
            </w:r>
            <w:r w:rsidR="000C6284" w:rsidRPr="00D9492F">
              <w:rPr>
                <w:rFonts w:ascii="Times New Roman" w:hAnsi="Times New Roman"/>
              </w:rPr>
              <w:t>.</w:t>
            </w:r>
          </w:p>
        </w:tc>
        <w:tc>
          <w:tcPr>
            <w:tcW w:w="3033" w:type="dxa"/>
          </w:tcPr>
          <w:p w14:paraId="09D142E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Letargija</w:t>
            </w:r>
            <w:r w:rsidR="000C6284" w:rsidRPr="00D9492F">
              <w:rPr>
                <w:rFonts w:ascii="Times New Roman" w:hAnsi="Times New Roman"/>
              </w:rPr>
              <w:t>.</w:t>
            </w:r>
          </w:p>
          <w:p w14:paraId="3C017AE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Skausmas</w:t>
            </w:r>
            <w:r w:rsidR="000C6284" w:rsidRPr="00D9492F">
              <w:rPr>
                <w:rFonts w:ascii="Times New Roman" w:hAnsi="Times New Roman"/>
              </w:rPr>
              <w:t>.</w:t>
            </w:r>
            <w:r w:rsidRPr="00D9492F">
              <w:rPr>
                <w:rFonts w:ascii="Times New Roman" w:hAnsi="Times New Roman"/>
              </w:rPr>
              <w:t xml:space="preserve"> </w:t>
            </w:r>
          </w:p>
        </w:tc>
      </w:tr>
      <w:tr w:rsidR="00DC1CDC" w:rsidRPr="00D9492F" w14:paraId="15F226D1" w14:textId="77777777" w:rsidTr="0003751A">
        <w:trPr>
          <w:jc w:val="center"/>
        </w:trPr>
        <w:tc>
          <w:tcPr>
            <w:tcW w:w="3307" w:type="dxa"/>
          </w:tcPr>
          <w:p w14:paraId="6751F340"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Tyrimai</w:t>
            </w:r>
          </w:p>
        </w:tc>
        <w:tc>
          <w:tcPr>
            <w:tcW w:w="2878" w:type="dxa"/>
          </w:tcPr>
          <w:p w14:paraId="4DEDC1FB" w14:textId="77777777" w:rsidR="00DC1CDC" w:rsidRPr="00D9492F" w:rsidRDefault="00DC1CDC" w:rsidP="00DC1CDC">
            <w:pPr>
              <w:keepNext/>
              <w:keepLines/>
              <w:spacing w:after="0" w:line="240" w:lineRule="auto"/>
              <w:rPr>
                <w:rFonts w:ascii="Times New Roman" w:hAnsi="Times New Roman"/>
              </w:rPr>
            </w:pPr>
          </w:p>
        </w:tc>
        <w:tc>
          <w:tcPr>
            <w:tcW w:w="3033" w:type="dxa"/>
          </w:tcPr>
          <w:p w14:paraId="35378AF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Svorio sumažėjimas</w:t>
            </w:r>
            <w:r w:rsidR="000C6284" w:rsidRPr="00D9492F">
              <w:rPr>
                <w:rFonts w:ascii="Times New Roman" w:hAnsi="Times New Roman"/>
              </w:rPr>
              <w:t>.</w:t>
            </w:r>
          </w:p>
          <w:p w14:paraId="2EDAAB8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bilirubino koncentracijos kraujyje padidėjimas (9 %)</w:t>
            </w:r>
            <w:r w:rsidR="000C6284" w:rsidRPr="00D9492F">
              <w:rPr>
                <w:rFonts w:ascii="Times New Roman" w:hAnsi="Times New Roman"/>
              </w:rPr>
              <w:t>.</w:t>
            </w:r>
          </w:p>
        </w:tc>
      </w:tr>
    </w:tbl>
    <w:p w14:paraId="05C7E730" w14:textId="77777777" w:rsidR="00DC1CDC" w:rsidRPr="00D9492F" w:rsidRDefault="00DC1CDC" w:rsidP="00DC1CDC">
      <w:pPr>
        <w:keepNext/>
        <w:keepLines/>
        <w:tabs>
          <w:tab w:val="left" w:pos="7655"/>
        </w:tabs>
        <w:suppressAutoHyphens/>
        <w:spacing w:after="0" w:line="240" w:lineRule="auto"/>
        <w:rPr>
          <w:rFonts w:ascii="Times New Roman" w:hAnsi="Times New Roman"/>
        </w:rPr>
      </w:pPr>
    </w:p>
    <w:p w14:paraId="5C42C6E1" w14:textId="025E094D" w:rsidR="00DC1CDC" w:rsidRPr="00D9492F" w:rsidRDefault="00C16B7D" w:rsidP="00DC1CDC">
      <w:pPr>
        <w:keepNext/>
        <w:keepLines/>
        <w:tabs>
          <w:tab w:val="left" w:pos="7655"/>
        </w:tabs>
        <w:suppressAutoHyphens/>
        <w:spacing w:after="0" w:line="240" w:lineRule="auto"/>
        <w:rPr>
          <w:rFonts w:ascii="Times New Roman" w:hAnsi="Times New Roman"/>
        </w:rPr>
      </w:pPr>
      <w:r w:rsidRPr="00D9492F">
        <w:rPr>
          <w:rFonts w:ascii="Times New Roman" w:eastAsia="Times New Roman" w:hAnsi="Times New Roman"/>
          <w:bCs/>
          <w:u w:val="single"/>
        </w:rPr>
        <w:lastRenderedPageBreak/>
        <w:t xml:space="preserve">Nepageidaujamų reakcijų, atsiradusių vartojant </w:t>
      </w:r>
      <w:r w:rsidRPr="00D9492F">
        <w:rPr>
          <w:rFonts w:ascii="Times New Roman" w:hAnsi="Times New Roman"/>
          <w:bCs/>
          <w:u w:val="single"/>
        </w:rPr>
        <w:t xml:space="preserve">Docetaxel SanoSwiss </w:t>
      </w:r>
      <w:r w:rsidRPr="00D9492F">
        <w:rPr>
          <w:rFonts w:ascii="Times New Roman" w:eastAsia="Times New Roman" w:hAnsi="Times New Roman"/>
          <w:bCs/>
          <w:u w:val="single"/>
        </w:rPr>
        <w:t>75</w:t>
      </w:r>
      <w:r w:rsidR="00C5080D" w:rsidRPr="00D9492F">
        <w:rPr>
          <w:rFonts w:ascii="Times New Roman" w:eastAsia="Times New Roman" w:hAnsi="Times New Roman"/>
          <w:bCs/>
          <w:u w:val="single"/>
        </w:rPr>
        <w:t> </w:t>
      </w:r>
      <w:r w:rsidRPr="00D9492F">
        <w:rPr>
          <w:rFonts w:ascii="Times New Roman" w:eastAsia="Times New Roman" w:hAnsi="Times New Roman"/>
          <w:bCs/>
          <w:u w:val="single"/>
        </w:rPr>
        <w:t xml:space="preserve">mg/m² dozę </w:t>
      </w:r>
      <w:r w:rsidR="008C7CA5" w:rsidRPr="00D9492F">
        <w:rPr>
          <w:rFonts w:ascii="Times New Roman" w:eastAsia="Times New Roman" w:hAnsi="Times New Roman"/>
          <w:bCs/>
          <w:u w:val="single"/>
        </w:rPr>
        <w:t>derinant</w:t>
      </w:r>
      <w:r w:rsidRPr="00D9492F">
        <w:rPr>
          <w:rFonts w:ascii="Times New Roman" w:eastAsia="Times New Roman" w:hAnsi="Times New Roman"/>
          <w:bCs/>
          <w:u w:val="single"/>
        </w:rPr>
        <w:t xml:space="preserve"> su prednizonu arba prednizolonu metastazavusio kastracijai atsparaus prostatos vėžio gydymui, </w:t>
      </w:r>
      <w:r w:rsidR="008C7CA5" w:rsidRPr="00D9492F">
        <w:rPr>
          <w:rFonts w:ascii="Times New Roman" w:eastAsia="Times New Roman" w:hAnsi="Times New Roman"/>
          <w:bCs/>
          <w:u w:val="single"/>
        </w:rPr>
        <w:t>santrauka lentelėje</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3"/>
        <w:gridCol w:w="2880"/>
        <w:gridCol w:w="3303"/>
      </w:tblGrid>
      <w:tr w:rsidR="00DC1CDC" w:rsidRPr="00D9492F" w14:paraId="20D6DD3E" w14:textId="77777777" w:rsidTr="0003751A">
        <w:trPr>
          <w:tblHeader/>
          <w:jc w:val="center"/>
        </w:trPr>
        <w:tc>
          <w:tcPr>
            <w:tcW w:w="2973" w:type="dxa"/>
            <w:shd w:val="clear" w:color="auto" w:fill="auto"/>
          </w:tcPr>
          <w:p w14:paraId="08D48A25"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MedDRA organų sistemų klasės</w:t>
            </w:r>
          </w:p>
          <w:p w14:paraId="5CC47033" w14:textId="77777777" w:rsidR="00DC1CDC" w:rsidRPr="00D9492F" w:rsidRDefault="00DC1CDC" w:rsidP="00DC1CDC">
            <w:pPr>
              <w:keepNext/>
              <w:keepLines/>
              <w:spacing w:after="0" w:line="240" w:lineRule="auto"/>
              <w:rPr>
                <w:rFonts w:ascii="Times New Roman" w:hAnsi="Times New Roman"/>
                <w:u w:val="single"/>
              </w:rPr>
            </w:pPr>
          </w:p>
        </w:tc>
        <w:tc>
          <w:tcPr>
            <w:tcW w:w="2880" w:type="dxa"/>
            <w:shd w:val="clear" w:color="auto" w:fill="auto"/>
          </w:tcPr>
          <w:p w14:paraId="77114EA8"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Labai dažnos nepageidaujamos reakcijos</w:t>
            </w:r>
          </w:p>
          <w:p w14:paraId="6E038614"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u w:val="single"/>
              </w:rPr>
            </w:pPr>
          </w:p>
        </w:tc>
        <w:tc>
          <w:tcPr>
            <w:tcW w:w="3303" w:type="dxa"/>
            <w:shd w:val="clear" w:color="auto" w:fill="auto"/>
          </w:tcPr>
          <w:p w14:paraId="183BA1A2"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Dažnos nepageidaujamos reakcijos</w:t>
            </w:r>
          </w:p>
          <w:p w14:paraId="42B47AC6" w14:textId="77777777" w:rsidR="00DC1CDC" w:rsidRPr="00D9492F" w:rsidRDefault="00DC1CDC" w:rsidP="00DC1CDC">
            <w:pPr>
              <w:keepNext/>
              <w:keepLines/>
              <w:spacing w:after="0" w:line="240" w:lineRule="auto"/>
              <w:rPr>
                <w:rFonts w:ascii="Times New Roman" w:hAnsi="Times New Roman"/>
                <w:u w:val="single"/>
              </w:rPr>
            </w:pPr>
          </w:p>
        </w:tc>
      </w:tr>
      <w:tr w:rsidR="00DC1CDC" w:rsidRPr="00D9492F" w14:paraId="178DE337" w14:textId="77777777" w:rsidTr="0003751A">
        <w:trPr>
          <w:jc w:val="center"/>
        </w:trPr>
        <w:tc>
          <w:tcPr>
            <w:tcW w:w="2973" w:type="dxa"/>
          </w:tcPr>
          <w:p w14:paraId="6DF248C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Infekcijos ir infestacijos</w:t>
            </w:r>
          </w:p>
        </w:tc>
        <w:tc>
          <w:tcPr>
            <w:tcW w:w="2880" w:type="dxa"/>
          </w:tcPr>
          <w:p w14:paraId="02DF999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Infekcija (3</w:t>
            </w:r>
            <w:r w:rsidRPr="00D9492F">
              <w:rPr>
                <w:rFonts w:ascii="Times New Roman" w:hAnsi="Times New Roman"/>
              </w:rPr>
              <w:noBreakHyphen/>
              <w:t>4 laipsnio – 3,3 %)</w:t>
            </w:r>
            <w:r w:rsidR="0026147A" w:rsidRPr="00D9492F">
              <w:rPr>
                <w:rFonts w:ascii="Times New Roman" w:hAnsi="Times New Roman"/>
              </w:rPr>
              <w:t>.</w:t>
            </w:r>
          </w:p>
        </w:tc>
        <w:tc>
          <w:tcPr>
            <w:tcW w:w="3303" w:type="dxa"/>
          </w:tcPr>
          <w:p w14:paraId="57133966" w14:textId="77777777" w:rsidR="00DC1CDC" w:rsidRPr="00D9492F" w:rsidRDefault="00DC1CDC" w:rsidP="00DC1CDC">
            <w:pPr>
              <w:keepNext/>
              <w:keepLines/>
              <w:spacing w:after="0" w:line="240" w:lineRule="auto"/>
              <w:rPr>
                <w:rFonts w:ascii="Times New Roman" w:hAnsi="Times New Roman"/>
              </w:rPr>
            </w:pPr>
          </w:p>
        </w:tc>
      </w:tr>
      <w:tr w:rsidR="00DC1CDC" w:rsidRPr="00D9492F" w14:paraId="49F2A114" w14:textId="77777777" w:rsidTr="0003751A">
        <w:trPr>
          <w:jc w:val="center"/>
        </w:trPr>
        <w:tc>
          <w:tcPr>
            <w:tcW w:w="2973" w:type="dxa"/>
          </w:tcPr>
          <w:p w14:paraId="3952615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Kraujo ir limfinės sistemos sutrikimai</w:t>
            </w:r>
          </w:p>
        </w:tc>
        <w:tc>
          <w:tcPr>
            <w:tcW w:w="2880" w:type="dxa"/>
          </w:tcPr>
          <w:p w14:paraId="286D0E7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Neutropenija (3</w:t>
            </w:r>
            <w:r w:rsidRPr="00D9492F">
              <w:rPr>
                <w:rFonts w:ascii="Times New Roman" w:hAnsi="Times New Roman"/>
              </w:rPr>
              <w:noBreakHyphen/>
              <w:t>4 laipsnio – 32%)</w:t>
            </w:r>
            <w:r w:rsidR="0026147A" w:rsidRPr="00D9492F">
              <w:rPr>
                <w:rFonts w:ascii="Times New Roman" w:hAnsi="Times New Roman"/>
              </w:rPr>
              <w:t>.</w:t>
            </w:r>
          </w:p>
          <w:p w14:paraId="7AD0A61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Anemija (3</w:t>
            </w:r>
            <w:r w:rsidRPr="00D9492F">
              <w:rPr>
                <w:rFonts w:ascii="Times New Roman" w:hAnsi="Times New Roman"/>
              </w:rPr>
              <w:noBreakHyphen/>
              <w:t>4 laipsnio – 4,9 %)</w:t>
            </w:r>
            <w:r w:rsidR="0026147A" w:rsidRPr="00D9492F">
              <w:rPr>
                <w:rFonts w:ascii="Times New Roman" w:hAnsi="Times New Roman"/>
              </w:rPr>
              <w:t>.</w:t>
            </w:r>
          </w:p>
        </w:tc>
        <w:tc>
          <w:tcPr>
            <w:tcW w:w="3303" w:type="dxa"/>
          </w:tcPr>
          <w:p w14:paraId="3181EAA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Trombocitopenija (3</w:t>
            </w:r>
            <w:r w:rsidRPr="00D9492F">
              <w:rPr>
                <w:rFonts w:ascii="Times New Roman" w:hAnsi="Times New Roman"/>
              </w:rPr>
              <w:noBreakHyphen/>
              <w:t>4 laipsnio – 0,6 %)</w:t>
            </w:r>
            <w:r w:rsidR="0026147A" w:rsidRPr="00D9492F">
              <w:rPr>
                <w:rFonts w:ascii="Times New Roman" w:hAnsi="Times New Roman"/>
              </w:rPr>
              <w:t>.</w:t>
            </w:r>
          </w:p>
          <w:p w14:paraId="6012BD3C"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Febrilinė neutropenija</w:t>
            </w:r>
            <w:r w:rsidR="0026147A" w:rsidRPr="00D9492F">
              <w:rPr>
                <w:rFonts w:ascii="Times New Roman" w:eastAsia="Times New Roman" w:hAnsi="Times New Roman"/>
              </w:rPr>
              <w:t>.</w:t>
            </w:r>
          </w:p>
        </w:tc>
      </w:tr>
      <w:tr w:rsidR="00DC1CDC" w:rsidRPr="00D9492F" w14:paraId="7502EF49" w14:textId="77777777" w:rsidTr="0003751A">
        <w:trPr>
          <w:jc w:val="center"/>
        </w:trPr>
        <w:tc>
          <w:tcPr>
            <w:tcW w:w="2973" w:type="dxa"/>
          </w:tcPr>
          <w:p w14:paraId="7C1A66E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Imuninės sistemos sutrikimai</w:t>
            </w:r>
          </w:p>
        </w:tc>
        <w:tc>
          <w:tcPr>
            <w:tcW w:w="2880" w:type="dxa"/>
          </w:tcPr>
          <w:p w14:paraId="1BE9FE84" w14:textId="77777777" w:rsidR="00DC1CDC" w:rsidRPr="00D9492F" w:rsidRDefault="00DC1CDC" w:rsidP="00DC1CDC">
            <w:pPr>
              <w:keepNext/>
              <w:keepLines/>
              <w:spacing w:after="0" w:line="240" w:lineRule="auto"/>
              <w:rPr>
                <w:rFonts w:ascii="Times New Roman" w:hAnsi="Times New Roman"/>
              </w:rPr>
            </w:pPr>
          </w:p>
        </w:tc>
        <w:tc>
          <w:tcPr>
            <w:tcW w:w="3303" w:type="dxa"/>
          </w:tcPr>
          <w:p w14:paraId="7AD5BEB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Padidėjęs jautrumas (3</w:t>
            </w:r>
            <w:r w:rsidRPr="00D9492F">
              <w:rPr>
                <w:rFonts w:ascii="Times New Roman" w:hAnsi="Times New Roman"/>
              </w:rPr>
              <w:noBreakHyphen/>
              <w:t>4 laipsnio – 0,6 %)</w:t>
            </w:r>
            <w:r w:rsidR="0026147A" w:rsidRPr="00D9492F">
              <w:rPr>
                <w:rFonts w:ascii="Times New Roman" w:hAnsi="Times New Roman"/>
              </w:rPr>
              <w:t>.</w:t>
            </w:r>
          </w:p>
        </w:tc>
      </w:tr>
      <w:tr w:rsidR="00DC1CDC" w:rsidRPr="00D9492F" w14:paraId="3C8E7181" w14:textId="77777777" w:rsidTr="0003751A">
        <w:trPr>
          <w:jc w:val="center"/>
        </w:trPr>
        <w:tc>
          <w:tcPr>
            <w:tcW w:w="2973" w:type="dxa"/>
          </w:tcPr>
          <w:p w14:paraId="0CA2BE5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Metabolizmo ir mitybos sutrikimai</w:t>
            </w:r>
          </w:p>
        </w:tc>
        <w:tc>
          <w:tcPr>
            <w:tcW w:w="2880" w:type="dxa"/>
          </w:tcPr>
          <w:p w14:paraId="5A6C6B4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Anoreksija (3</w:t>
            </w:r>
            <w:r w:rsidRPr="00D9492F">
              <w:rPr>
                <w:rFonts w:ascii="Times New Roman" w:hAnsi="Times New Roman"/>
              </w:rPr>
              <w:noBreakHyphen/>
              <w:t>4 laipsnio – 0,6 %)</w:t>
            </w:r>
            <w:r w:rsidR="0026147A" w:rsidRPr="00D9492F">
              <w:rPr>
                <w:rFonts w:ascii="Times New Roman" w:hAnsi="Times New Roman"/>
              </w:rPr>
              <w:t>.</w:t>
            </w:r>
          </w:p>
        </w:tc>
        <w:tc>
          <w:tcPr>
            <w:tcW w:w="3303" w:type="dxa"/>
          </w:tcPr>
          <w:p w14:paraId="0C5BE5E0" w14:textId="77777777" w:rsidR="00DC1CDC" w:rsidRPr="00D9492F" w:rsidRDefault="00DC1CDC" w:rsidP="00DC1CDC">
            <w:pPr>
              <w:keepNext/>
              <w:keepLines/>
              <w:spacing w:after="0" w:line="240" w:lineRule="auto"/>
              <w:rPr>
                <w:rFonts w:ascii="Times New Roman" w:hAnsi="Times New Roman"/>
              </w:rPr>
            </w:pPr>
          </w:p>
        </w:tc>
      </w:tr>
      <w:tr w:rsidR="00DC1CDC" w:rsidRPr="00D9492F" w14:paraId="18CBFF54" w14:textId="77777777" w:rsidTr="0003751A">
        <w:trPr>
          <w:jc w:val="center"/>
        </w:trPr>
        <w:tc>
          <w:tcPr>
            <w:tcW w:w="2973" w:type="dxa"/>
          </w:tcPr>
          <w:p w14:paraId="3FA5455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Nervų sistemos sutrikimai</w:t>
            </w:r>
          </w:p>
        </w:tc>
        <w:tc>
          <w:tcPr>
            <w:tcW w:w="2880" w:type="dxa"/>
          </w:tcPr>
          <w:p w14:paraId="4263096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sensorinė neuropatija (3</w:t>
            </w:r>
            <w:r w:rsidRPr="00D9492F">
              <w:rPr>
                <w:rFonts w:ascii="Times New Roman" w:hAnsi="Times New Roman"/>
              </w:rPr>
              <w:noBreakHyphen/>
              <w:t>4 laipsnio – 1,2 %)</w:t>
            </w:r>
            <w:r w:rsidR="0026147A" w:rsidRPr="00D9492F">
              <w:rPr>
                <w:rFonts w:ascii="Times New Roman" w:hAnsi="Times New Roman"/>
              </w:rPr>
              <w:t>.</w:t>
            </w:r>
          </w:p>
          <w:p w14:paraId="6C6BAD1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Disgeuzija (3</w:t>
            </w:r>
            <w:r w:rsidRPr="00D9492F">
              <w:rPr>
                <w:rFonts w:ascii="Times New Roman" w:hAnsi="Times New Roman"/>
              </w:rPr>
              <w:noBreakHyphen/>
              <w:t>4 laipsnio – 0 %)</w:t>
            </w:r>
            <w:r w:rsidR="0026147A" w:rsidRPr="00D9492F">
              <w:rPr>
                <w:rFonts w:ascii="Times New Roman" w:hAnsi="Times New Roman"/>
              </w:rPr>
              <w:t>.</w:t>
            </w:r>
          </w:p>
        </w:tc>
        <w:tc>
          <w:tcPr>
            <w:tcW w:w="3303" w:type="dxa"/>
          </w:tcPr>
          <w:p w14:paraId="79DC7045"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Periferinė motorinė neuropatija (3</w:t>
            </w:r>
            <w:r w:rsidRPr="00D9492F">
              <w:rPr>
                <w:rFonts w:ascii="Times New Roman" w:eastAsia="Times New Roman" w:hAnsi="Times New Roman"/>
              </w:rPr>
              <w:noBreakHyphen/>
              <w:t>4 laipsnio – 0 %)</w:t>
            </w:r>
            <w:r w:rsidR="0026147A" w:rsidRPr="00D9492F">
              <w:rPr>
                <w:rFonts w:ascii="Times New Roman" w:eastAsia="Times New Roman" w:hAnsi="Times New Roman"/>
              </w:rPr>
              <w:t>.</w:t>
            </w:r>
          </w:p>
        </w:tc>
      </w:tr>
      <w:tr w:rsidR="00DC1CDC" w:rsidRPr="00D9492F" w14:paraId="3DA6241F" w14:textId="77777777" w:rsidTr="0003751A">
        <w:trPr>
          <w:jc w:val="center"/>
        </w:trPr>
        <w:tc>
          <w:tcPr>
            <w:tcW w:w="2973" w:type="dxa"/>
          </w:tcPr>
          <w:p w14:paraId="650F018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Aki</w:t>
            </w:r>
            <w:r w:rsidR="0026147A" w:rsidRPr="00D9492F">
              <w:rPr>
                <w:rFonts w:ascii="Times New Roman" w:hAnsi="Times New Roman"/>
              </w:rPr>
              <w:t>ų</w:t>
            </w:r>
            <w:r w:rsidRPr="00D9492F">
              <w:rPr>
                <w:rFonts w:ascii="Times New Roman" w:hAnsi="Times New Roman"/>
              </w:rPr>
              <w:t xml:space="preserve"> sutrikimai</w:t>
            </w:r>
          </w:p>
        </w:tc>
        <w:tc>
          <w:tcPr>
            <w:tcW w:w="2880" w:type="dxa"/>
          </w:tcPr>
          <w:p w14:paraId="0BBA3A83" w14:textId="77777777" w:rsidR="00DC1CDC" w:rsidRPr="00D9492F" w:rsidRDefault="00DC1CDC" w:rsidP="00DC1CDC">
            <w:pPr>
              <w:keepNext/>
              <w:keepLines/>
              <w:spacing w:after="0" w:line="240" w:lineRule="auto"/>
              <w:rPr>
                <w:rFonts w:ascii="Times New Roman" w:hAnsi="Times New Roman"/>
              </w:rPr>
            </w:pPr>
          </w:p>
        </w:tc>
        <w:tc>
          <w:tcPr>
            <w:tcW w:w="3303" w:type="dxa"/>
          </w:tcPr>
          <w:p w14:paraId="02637C59"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Ašarojimo sustiprėjimas (3</w:t>
            </w:r>
            <w:r w:rsidRPr="00D9492F">
              <w:rPr>
                <w:rFonts w:ascii="Times New Roman" w:eastAsia="Times New Roman" w:hAnsi="Times New Roman"/>
              </w:rPr>
              <w:noBreakHyphen/>
              <w:t>4 laipsnio – 0,6 %)</w:t>
            </w:r>
            <w:r w:rsidR="0026147A" w:rsidRPr="00D9492F">
              <w:rPr>
                <w:rFonts w:ascii="Times New Roman" w:eastAsia="Times New Roman" w:hAnsi="Times New Roman"/>
              </w:rPr>
              <w:t>.</w:t>
            </w:r>
          </w:p>
        </w:tc>
      </w:tr>
      <w:tr w:rsidR="00DC1CDC" w:rsidRPr="00D9492F" w14:paraId="018411C2" w14:textId="77777777" w:rsidTr="0003751A">
        <w:trPr>
          <w:jc w:val="center"/>
        </w:trPr>
        <w:tc>
          <w:tcPr>
            <w:tcW w:w="2973" w:type="dxa"/>
          </w:tcPr>
          <w:p w14:paraId="29C47F2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Širdies sutrikimai</w:t>
            </w:r>
          </w:p>
        </w:tc>
        <w:tc>
          <w:tcPr>
            <w:tcW w:w="2880" w:type="dxa"/>
          </w:tcPr>
          <w:p w14:paraId="724F9785" w14:textId="77777777" w:rsidR="00DC1CDC" w:rsidRPr="00D9492F" w:rsidRDefault="00DC1CDC" w:rsidP="00DC1CDC">
            <w:pPr>
              <w:keepNext/>
              <w:keepLines/>
              <w:spacing w:after="0" w:line="240" w:lineRule="auto"/>
              <w:rPr>
                <w:rFonts w:ascii="Times New Roman" w:eastAsia="Times New Roman" w:hAnsi="Times New Roman"/>
              </w:rPr>
            </w:pPr>
          </w:p>
        </w:tc>
        <w:tc>
          <w:tcPr>
            <w:tcW w:w="3303" w:type="dxa"/>
          </w:tcPr>
          <w:p w14:paraId="7274AFA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Kairiojo širdies skilvelio funkcijos susilpnėjimas (3</w:t>
            </w:r>
            <w:r w:rsidRPr="00D9492F">
              <w:rPr>
                <w:rFonts w:ascii="Times New Roman" w:hAnsi="Times New Roman"/>
              </w:rPr>
              <w:noBreakHyphen/>
              <w:t>4 laipsnio – 0,3 %)</w:t>
            </w:r>
            <w:r w:rsidR="00031915" w:rsidRPr="00D9492F">
              <w:rPr>
                <w:rFonts w:ascii="Times New Roman" w:hAnsi="Times New Roman"/>
              </w:rPr>
              <w:t>.</w:t>
            </w:r>
          </w:p>
        </w:tc>
      </w:tr>
      <w:tr w:rsidR="00DC1CDC" w:rsidRPr="00D9492F" w14:paraId="664347F4" w14:textId="77777777" w:rsidTr="0003751A">
        <w:trPr>
          <w:jc w:val="center"/>
        </w:trPr>
        <w:tc>
          <w:tcPr>
            <w:tcW w:w="2973" w:type="dxa"/>
          </w:tcPr>
          <w:p w14:paraId="42AA02D6" w14:textId="77777777" w:rsidR="00DC1CDC" w:rsidRPr="00D9492F" w:rsidRDefault="00DC1CDC" w:rsidP="00031915">
            <w:pPr>
              <w:keepNext/>
              <w:keepLines/>
              <w:spacing w:after="0" w:line="240" w:lineRule="auto"/>
              <w:rPr>
                <w:rFonts w:ascii="Times New Roman" w:hAnsi="Times New Roman"/>
              </w:rPr>
            </w:pPr>
            <w:r w:rsidRPr="00D9492F">
              <w:rPr>
                <w:rFonts w:ascii="Times New Roman" w:hAnsi="Times New Roman"/>
              </w:rPr>
              <w:t xml:space="preserve">Kvėpavimo sistemos, krūtinės ląstos ir </w:t>
            </w:r>
            <w:r w:rsidR="00031915" w:rsidRPr="00D9492F">
              <w:rPr>
                <w:rFonts w:ascii="Times New Roman" w:hAnsi="Times New Roman"/>
              </w:rPr>
              <w:t xml:space="preserve">tarpuplaučio </w:t>
            </w:r>
            <w:r w:rsidRPr="00D9492F">
              <w:rPr>
                <w:rFonts w:ascii="Times New Roman" w:hAnsi="Times New Roman"/>
              </w:rPr>
              <w:t>sutrikimai</w:t>
            </w:r>
          </w:p>
        </w:tc>
        <w:tc>
          <w:tcPr>
            <w:tcW w:w="2880" w:type="dxa"/>
          </w:tcPr>
          <w:p w14:paraId="0F3BB0E6" w14:textId="77777777" w:rsidR="00DC1CDC" w:rsidRPr="00D9492F" w:rsidRDefault="00DC1CDC" w:rsidP="00DC1CDC">
            <w:pPr>
              <w:keepNext/>
              <w:keepLines/>
              <w:spacing w:after="0" w:line="240" w:lineRule="auto"/>
              <w:rPr>
                <w:rFonts w:ascii="Times New Roman" w:hAnsi="Times New Roman"/>
              </w:rPr>
            </w:pPr>
          </w:p>
        </w:tc>
        <w:tc>
          <w:tcPr>
            <w:tcW w:w="3303" w:type="dxa"/>
          </w:tcPr>
          <w:p w14:paraId="7FFE2EBC"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Epistaks</w:t>
            </w:r>
            <w:r w:rsidR="00031915" w:rsidRPr="00D9492F">
              <w:rPr>
                <w:rFonts w:ascii="Times New Roman" w:eastAsia="Times New Roman" w:hAnsi="Times New Roman"/>
              </w:rPr>
              <w:t>is</w:t>
            </w:r>
            <w:r w:rsidRPr="00D9492F">
              <w:rPr>
                <w:rFonts w:ascii="Times New Roman" w:eastAsia="Times New Roman" w:hAnsi="Times New Roman"/>
              </w:rPr>
              <w:t xml:space="preserve"> (3</w:t>
            </w:r>
            <w:r w:rsidRPr="00D9492F">
              <w:rPr>
                <w:rFonts w:ascii="Times New Roman" w:eastAsia="Times New Roman" w:hAnsi="Times New Roman"/>
              </w:rPr>
              <w:noBreakHyphen/>
              <w:t>4 laipsnio – 0</w:t>
            </w:r>
            <w:r w:rsidRPr="00D9492F">
              <w:t> </w:t>
            </w:r>
            <w:r w:rsidRPr="00D9492F">
              <w:rPr>
                <w:rFonts w:ascii="Times New Roman" w:eastAsia="Times New Roman" w:hAnsi="Times New Roman"/>
              </w:rPr>
              <w:t>%)</w:t>
            </w:r>
            <w:r w:rsidR="00031915" w:rsidRPr="00D9492F">
              <w:rPr>
                <w:rFonts w:ascii="Times New Roman" w:eastAsia="Times New Roman" w:hAnsi="Times New Roman"/>
              </w:rPr>
              <w:t>.</w:t>
            </w:r>
          </w:p>
          <w:p w14:paraId="5553D190"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Dusulys (3</w:t>
            </w:r>
            <w:r w:rsidRPr="00D9492F">
              <w:rPr>
                <w:rFonts w:ascii="Times New Roman" w:eastAsia="Times New Roman" w:hAnsi="Times New Roman"/>
              </w:rPr>
              <w:noBreakHyphen/>
              <w:t>4 laipsnio – 0,6 %)</w:t>
            </w:r>
            <w:r w:rsidR="00031915" w:rsidRPr="00D9492F">
              <w:rPr>
                <w:rFonts w:ascii="Times New Roman" w:eastAsia="Times New Roman" w:hAnsi="Times New Roman"/>
              </w:rPr>
              <w:t>.</w:t>
            </w:r>
          </w:p>
          <w:p w14:paraId="0B9B777A"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Kosulys (3</w:t>
            </w:r>
            <w:r w:rsidRPr="00D9492F">
              <w:rPr>
                <w:rFonts w:ascii="Times New Roman" w:eastAsia="Times New Roman" w:hAnsi="Times New Roman"/>
              </w:rPr>
              <w:noBreakHyphen/>
              <w:t>4 laipsnio – 0 %)</w:t>
            </w:r>
            <w:r w:rsidR="00031915" w:rsidRPr="00D9492F">
              <w:rPr>
                <w:rFonts w:ascii="Times New Roman" w:eastAsia="Times New Roman" w:hAnsi="Times New Roman"/>
              </w:rPr>
              <w:t>.</w:t>
            </w:r>
          </w:p>
        </w:tc>
      </w:tr>
      <w:tr w:rsidR="00DC1CDC" w:rsidRPr="00D9492F" w14:paraId="32652F67" w14:textId="77777777" w:rsidTr="0003751A">
        <w:trPr>
          <w:jc w:val="center"/>
        </w:trPr>
        <w:tc>
          <w:tcPr>
            <w:tcW w:w="2973" w:type="dxa"/>
          </w:tcPr>
          <w:p w14:paraId="3E2C442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Virškinimo trakto sutrikimai</w:t>
            </w:r>
          </w:p>
        </w:tc>
        <w:tc>
          <w:tcPr>
            <w:tcW w:w="2880" w:type="dxa"/>
          </w:tcPr>
          <w:p w14:paraId="433FE80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Pykinimas (3</w:t>
            </w:r>
            <w:r w:rsidRPr="00D9492F">
              <w:rPr>
                <w:rFonts w:ascii="Times New Roman" w:hAnsi="Times New Roman"/>
              </w:rPr>
              <w:noBreakHyphen/>
              <w:t>4 laipsnio – 2,4 %)</w:t>
            </w:r>
            <w:r w:rsidR="00031915" w:rsidRPr="00D9492F">
              <w:rPr>
                <w:rFonts w:ascii="Times New Roman" w:hAnsi="Times New Roman"/>
              </w:rPr>
              <w:t>.</w:t>
            </w:r>
          </w:p>
          <w:p w14:paraId="05B46C0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Viduriavimas (3</w:t>
            </w:r>
            <w:r w:rsidRPr="00D9492F">
              <w:rPr>
                <w:rFonts w:ascii="Times New Roman" w:hAnsi="Times New Roman"/>
              </w:rPr>
              <w:noBreakHyphen/>
              <w:t>4 laipsnio – 1,2 %)</w:t>
            </w:r>
            <w:r w:rsidR="00031915" w:rsidRPr="00D9492F">
              <w:rPr>
                <w:rFonts w:ascii="Times New Roman" w:hAnsi="Times New Roman"/>
              </w:rPr>
              <w:t>.</w:t>
            </w:r>
          </w:p>
          <w:p w14:paraId="75A0C6B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Stomatitas arba faringitas (3</w:t>
            </w:r>
            <w:r w:rsidRPr="00D9492F">
              <w:rPr>
                <w:rFonts w:ascii="Times New Roman" w:hAnsi="Times New Roman"/>
              </w:rPr>
              <w:noBreakHyphen/>
              <w:t>4 laipsnio – 0,9 %)</w:t>
            </w:r>
            <w:r w:rsidR="00031915" w:rsidRPr="00D9492F">
              <w:rPr>
                <w:rFonts w:ascii="Times New Roman" w:hAnsi="Times New Roman"/>
              </w:rPr>
              <w:t>.</w:t>
            </w:r>
          </w:p>
          <w:p w14:paraId="33F5597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Vėmimas (3</w:t>
            </w:r>
            <w:r w:rsidRPr="00D9492F">
              <w:rPr>
                <w:rFonts w:ascii="Times New Roman" w:hAnsi="Times New Roman"/>
              </w:rPr>
              <w:noBreakHyphen/>
              <w:t>4 laipsnio – 1,2 %)</w:t>
            </w:r>
            <w:r w:rsidR="00031915" w:rsidRPr="00D9492F">
              <w:rPr>
                <w:rFonts w:ascii="Times New Roman" w:hAnsi="Times New Roman"/>
              </w:rPr>
              <w:t>.</w:t>
            </w:r>
          </w:p>
        </w:tc>
        <w:tc>
          <w:tcPr>
            <w:tcW w:w="3303" w:type="dxa"/>
          </w:tcPr>
          <w:p w14:paraId="6675059C" w14:textId="77777777" w:rsidR="00DC1CDC" w:rsidRPr="00D9492F" w:rsidRDefault="00DC1CDC" w:rsidP="00DC1CDC">
            <w:pPr>
              <w:keepNext/>
              <w:keepLines/>
              <w:spacing w:after="0" w:line="240" w:lineRule="auto"/>
              <w:rPr>
                <w:rFonts w:ascii="Times New Roman" w:hAnsi="Times New Roman"/>
              </w:rPr>
            </w:pPr>
          </w:p>
        </w:tc>
      </w:tr>
      <w:tr w:rsidR="00DC1CDC" w:rsidRPr="00D9492F" w14:paraId="46BFE156" w14:textId="77777777" w:rsidTr="0003751A">
        <w:trPr>
          <w:jc w:val="center"/>
        </w:trPr>
        <w:tc>
          <w:tcPr>
            <w:tcW w:w="2973" w:type="dxa"/>
          </w:tcPr>
          <w:p w14:paraId="6ED8545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Odos ir poodinio audinio sutrikimai</w:t>
            </w:r>
          </w:p>
        </w:tc>
        <w:tc>
          <w:tcPr>
            <w:tcW w:w="2880" w:type="dxa"/>
          </w:tcPr>
          <w:p w14:paraId="7C276F5B"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Alopecija</w:t>
            </w:r>
            <w:r w:rsidR="00031915" w:rsidRPr="00D9492F">
              <w:rPr>
                <w:rFonts w:ascii="Times New Roman" w:eastAsia="Times New Roman" w:hAnsi="Times New Roman"/>
                <w:bCs/>
                <w:iCs/>
              </w:rPr>
              <w:t>.</w:t>
            </w:r>
          </w:p>
          <w:p w14:paraId="0FE7DE4A"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Nagų pažeidimai (nesunkūs)</w:t>
            </w:r>
            <w:r w:rsidR="00031915" w:rsidRPr="00D9492F">
              <w:rPr>
                <w:rFonts w:ascii="Times New Roman" w:eastAsia="Times New Roman" w:hAnsi="Times New Roman"/>
                <w:bCs/>
                <w:iCs/>
              </w:rPr>
              <w:t>.</w:t>
            </w:r>
          </w:p>
        </w:tc>
        <w:tc>
          <w:tcPr>
            <w:tcW w:w="3303" w:type="dxa"/>
          </w:tcPr>
          <w:p w14:paraId="4D47637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Eksfoliacinis išbėrimas (3</w:t>
            </w:r>
            <w:r w:rsidRPr="00D9492F">
              <w:rPr>
                <w:rFonts w:ascii="Times New Roman" w:hAnsi="Times New Roman"/>
              </w:rPr>
              <w:noBreakHyphen/>
              <w:t>4 laipsnio – 0,3 %)</w:t>
            </w:r>
            <w:r w:rsidR="00031915" w:rsidRPr="00D9492F">
              <w:rPr>
                <w:rFonts w:ascii="Times New Roman" w:hAnsi="Times New Roman"/>
              </w:rPr>
              <w:t>.</w:t>
            </w:r>
          </w:p>
        </w:tc>
      </w:tr>
      <w:tr w:rsidR="00DC1CDC" w:rsidRPr="00D9492F" w14:paraId="40F2A6AA" w14:textId="77777777" w:rsidTr="0003751A">
        <w:trPr>
          <w:jc w:val="center"/>
        </w:trPr>
        <w:tc>
          <w:tcPr>
            <w:tcW w:w="2973" w:type="dxa"/>
          </w:tcPr>
          <w:p w14:paraId="4A348BE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Skeleto, raumenų ir jungiamojo audinio sutrikimai</w:t>
            </w:r>
          </w:p>
        </w:tc>
        <w:tc>
          <w:tcPr>
            <w:tcW w:w="2880" w:type="dxa"/>
          </w:tcPr>
          <w:p w14:paraId="5CE86A85" w14:textId="77777777" w:rsidR="00DC1CDC" w:rsidRPr="00D9492F" w:rsidRDefault="00DC1CDC" w:rsidP="00DC1CDC">
            <w:pPr>
              <w:keepNext/>
              <w:keepLines/>
              <w:spacing w:after="0" w:line="240" w:lineRule="auto"/>
              <w:rPr>
                <w:rFonts w:ascii="Times New Roman" w:hAnsi="Times New Roman"/>
              </w:rPr>
            </w:pPr>
          </w:p>
        </w:tc>
        <w:tc>
          <w:tcPr>
            <w:tcW w:w="3303" w:type="dxa"/>
          </w:tcPr>
          <w:p w14:paraId="5B4B5A5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Artralgija (3</w:t>
            </w:r>
            <w:r w:rsidRPr="00D9492F">
              <w:rPr>
                <w:rFonts w:ascii="Times New Roman" w:hAnsi="Times New Roman"/>
              </w:rPr>
              <w:noBreakHyphen/>
              <w:t>4 laipsnio – 0,3 %)</w:t>
            </w:r>
            <w:r w:rsidR="00031915" w:rsidRPr="00D9492F">
              <w:rPr>
                <w:rFonts w:ascii="Times New Roman" w:hAnsi="Times New Roman"/>
              </w:rPr>
              <w:t>.</w:t>
            </w:r>
          </w:p>
          <w:p w14:paraId="74D5964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Mialgija (3</w:t>
            </w:r>
            <w:r w:rsidRPr="00D9492F">
              <w:rPr>
                <w:rFonts w:ascii="Times New Roman" w:hAnsi="Times New Roman"/>
              </w:rPr>
              <w:noBreakHyphen/>
              <w:t>4 laipsnio – 0,3 %)</w:t>
            </w:r>
            <w:r w:rsidR="00031915" w:rsidRPr="00D9492F">
              <w:rPr>
                <w:rFonts w:ascii="Times New Roman" w:hAnsi="Times New Roman"/>
              </w:rPr>
              <w:t>.</w:t>
            </w:r>
          </w:p>
        </w:tc>
      </w:tr>
      <w:tr w:rsidR="00DC1CDC" w:rsidRPr="00D9492F" w14:paraId="6ADA5972" w14:textId="77777777" w:rsidTr="0003751A">
        <w:trPr>
          <w:jc w:val="center"/>
        </w:trPr>
        <w:tc>
          <w:tcPr>
            <w:tcW w:w="2973" w:type="dxa"/>
          </w:tcPr>
          <w:p w14:paraId="37F09A4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Bendri</w:t>
            </w:r>
            <w:r w:rsidR="00031915" w:rsidRPr="00D9492F">
              <w:rPr>
                <w:rFonts w:ascii="Times New Roman" w:hAnsi="Times New Roman"/>
              </w:rPr>
              <w:t>eji</w:t>
            </w:r>
            <w:r w:rsidRPr="00D9492F">
              <w:rPr>
                <w:rFonts w:ascii="Times New Roman" w:hAnsi="Times New Roman"/>
              </w:rPr>
              <w:t xml:space="preserve"> sutrikimai ir vartojimo vietos pažeidimai</w:t>
            </w:r>
          </w:p>
        </w:tc>
        <w:tc>
          <w:tcPr>
            <w:tcW w:w="2880" w:type="dxa"/>
          </w:tcPr>
          <w:p w14:paraId="245A88E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Nuovargis (3</w:t>
            </w:r>
            <w:r w:rsidRPr="00D9492F">
              <w:rPr>
                <w:rFonts w:ascii="Times New Roman" w:hAnsi="Times New Roman"/>
              </w:rPr>
              <w:noBreakHyphen/>
              <w:t>4 laipsnio – 3,9 %)</w:t>
            </w:r>
            <w:r w:rsidR="00031915" w:rsidRPr="00D9492F">
              <w:rPr>
                <w:rFonts w:ascii="Times New Roman" w:hAnsi="Times New Roman"/>
              </w:rPr>
              <w:t>.</w:t>
            </w:r>
          </w:p>
          <w:p w14:paraId="4043D9B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Skysčių susilaikymas (sunkus – 0,6 %)</w:t>
            </w:r>
            <w:r w:rsidR="00031915" w:rsidRPr="00D9492F">
              <w:rPr>
                <w:rFonts w:ascii="Times New Roman" w:hAnsi="Times New Roman"/>
              </w:rPr>
              <w:t>.</w:t>
            </w:r>
          </w:p>
        </w:tc>
        <w:tc>
          <w:tcPr>
            <w:tcW w:w="3303" w:type="dxa"/>
          </w:tcPr>
          <w:p w14:paraId="060437B9" w14:textId="77777777" w:rsidR="00DC1CDC" w:rsidRPr="00D9492F" w:rsidRDefault="00DC1CDC" w:rsidP="00DC1CDC">
            <w:pPr>
              <w:keepNext/>
              <w:keepLines/>
              <w:spacing w:after="0" w:line="240" w:lineRule="auto"/>
              <w:rPr>
                <w:rFonts w:ascii="Times New Roman" w:hAnsi="Times New Roman"/>
              </w:rPr>
            </w:pPr>
          </w:p>
        </w:tc>
      </w:tr>
    </w:tbl>
    <w:p w14:paraId="55A64ED1" w14:textId="77777777" w:rsidR="00DC1CDC" w:rsidRPr="00D9492F" w:rsidRDefault="00DC1CDC" w:rsidP="00DC1CDC">
      <w:pPr>
        <w:keepNext/>
        <w:keepLines/>
        <w:tabs>
          <w:tab w:val="left" w:pos="7655"/>
        </w:tabs>
        <w:suppressAutoHyphens/>
        <w:spacing w:after="0" w:line="240" w:lineRule="auto"/>
        <w:jc w:val="both"/>
        <w:rPr>
          <w:rFonts w:ascii="Times New Roman" w:hAnsi="Times New Roman"/>
        </w:rPr>
      </w:pPr>
    </w:p>
    <w:p w14:paraId="3D475B2C" w14:textId="253C70FE" w:rsidR="00C16B7D" w:rsidRPr="00D9492F" w:rsidRDefault="00C16B7D" w:rsidP="00C16B7D">
      <w:pPr>
        <w:keepNext/>
        <w:suppressAutoHyphens/>
        <w:spacing w:after="0" w:line="240" w:lineRule="auto"/>
        <w:rPr>
          <w:rFonts w:ascii="Times New Roman" w:eastAsia="Times New Roman" w:hAnsi="Times New Roman"/>
          <w:bCs/>
          <w:u w:val="single"/>
        </w:rPr>
      </w:pPr>
      <w:r w:rsidRPr="00D9492F">
        <w:rPr>
          <w:rFonts w:ascii="Times New Roman" w:eastAsia="Times New Roman" w:hAnsi="Times New Roman"/>
          <w:bCs/>
          <w:u w:val="single"/>
        </w:rPr>
        <w:t xml:space="preserve">Nepageidaujamų reakcijų, atsiradusių vartojant </w:t>
      </w:r>
      <w:r w:rsidR="000F558E" w:rsidRPr="00D9492F">
        <w:rPr>
          <w:rFonts w:ascii="Times New Roman" w:eastAsia="Times New Roman" w:hAnsi="Times New Roman"/>
          <w:bCs/>
          <w:u w:val="single"/>
        </w:rPr>
        <w:t>docetakselio</w:t>
      </w:r>
      <w:r w:rsidRPr="00D9492F">
        <w:rPr>
          <w:rFonts w:ascii="Times New Roman" w:eastAsia="Times New Roman" w:hAnsi="Times New Roman"/>
          <w:bCs/>
          <w:u w:val="single"/>
        </w:rPr>
        <w:t xml:space="preserve"> 75</w:t>
      </w:r>
      <w:r w:rsidR="00C5080D" w:rsidRPr="00D9492F">
        <w:rPr>
          <w:rFonts w:ascii="Times New Roman" w:eastAsia="Times New Roman" w:hAnsi="Times New Roman"/>
          <w:bCs/>
          <w:u w:val="single"/>
        </w:rPr>
        <w:t> </w:t>
      </w:r>
      <w:r w:rsidRPr="00D9492F">
        <w:rPr>
          <w:rFonts w:ascii="Times New Roman" w:eastAsia="Times New Roman" w:hAnsi="Times New Roman"/>
          <w:bCs/>
          <w:u w:val="single"/>
        </w:rPr>
        <w:t xml:space="preserve">mg/m² dozę </w:t>
      </w:r>
      <w:r w:rsidR="008C7CA5" w:rsidRPr="00D9492F">
        <w:rPr>
          <w:rFonts w:ascii="Times New Roman" w:eastAsia="Times New Roman" w:hAnsi="Times New Roman"/>
          <w:bCs/>
          <w:u w:val="single"/>
        </w:rPr>
        <w:t>derinant</w:t>
      </w:r>
      <w:r w:rsidRPr="00D9492F">
        <w:rPr>
          <w:rFonts w:ascii="Times New Roman" w:eastAsia="Times New Roman" w:hAnsi="Times New Roman"/>
          <w:bCs/>
          <w:u w:val="single"/>
        </w:rPr>
        <w:t xml:space="preserve"> su prednizonu arba prednizolonu ir ADT didelės rizikos lokaliai </w:t>
      </w:r>
      <w:r w:rsidR="008C7CA5" w:rsidRPr="00D9492F">
        <w:rPr>
          <w:rFonts w:ascii="Times New Roman" w:eastAsia="Times New Roman" w:hAnsi="Times New Roman"/>
          <w:bCs/>
          <w:u w:val="single"/>
        </w:rPr>
        <w:t>išplitusio</w:t>
      </w:r>
      <w:r w:rsidRPr="00D9492F">
        <w:rPr>
          <w:rFonts w:ascii="Times New Roman" w:eastAsia="Times New Roman" w:hAnsi="Times New Roman"/>
          <w:bCs/>
          <w:u w:val="single"/>
        </w:rPr>
        <w:t xml:space="preserve"> ar metastazavusio hormonams jautraus prostatos vėžio gydymui (STAMPEDE tyrimas), </w:t>
      </w:r>
      <w:r w:rsidR="000478DC" w:rsidRPr="00D9492F">
        <w:rPr>
          <w:rFonts w:ascii="Times New Roman" w:eastAsia="Times New Roman" w:hAnsi="Times New Roman"/>
          <w:bCs/>
          <w:u w:val="single"/>
        </w:rPr>
        <w:t>santrauka lentelėje</w:t>
      </w:r>
    </w:p>
    <w:p w14:paraId="7581828B" w14:textId="77777777" w:rsidR="00C16B7D" w:rsidRPr="00D9492F" w:rsidRDefault="00C16B7D" w:rsidP="00C16B7D">
      <w:pPr>
        <w:keepNext/>
        <w:suppressAutoHyphens/>
        <w:spacing w:after="0" w:line="240" w:lineRule="auto"/>
        <w:rPr>
          <w:rFonts w:ascii="Times New Roman" w:eastAsia="Times New Roman" w:hAnsi="Times New Roman"/>
          <w:bCs/>
          <w:u w:val="single"/>
        </w:rPr>
      </w:pP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1"/>
        <w:gridCol w:w="2878"/>
        <w:gridCol w:w="3301"/>
      </w:tblGrid>
      <w:tr w:rsidR="00C16B7D" w:rsidRPr="00D9492F" w14:paraId="2FA56798" w14:textId="77777777" w:rsidTr="00C16B7D">
        <w:trPr>
          <w:tblHeader/>
          <w:jc w:val="center"/>
        </w:trPr>
        <w:tc>
          <w:tcPr>
            <w:tcW w:w="2973" w:type="dxa"/>
            <w:tcBorders>
              <w:top w:val="single" w:sz="4" w:space="0" w:color="auto"/>
              <w:left w:val="single" w:sz="4" w:space="0" w:color="auto"/>
              <w:bottom w:val="single" w:sz="4" w:space="0" w:color="auto"/>
              <w:right w:val="single" w:sz="4" w:space="0" w:color="auto"/>
            </w:tcBorders>
          </w:tcPr>
          <w:p w14:paraId="047A0D5B" w14:textId="77777777" w:rsidR="00C16B7D" w:rsidRPr="00D9492F" w:rsidRDefault="00C16B7D">
            <w:pPr>
              <w:keepNext/>
              <w:keepLines/>
              <w:spacing w:after="0" w:line="240" w:lineRule="auto"/>
              <w:rPr>
                <w:rFonts w:ascii="Times New Roman" w:hAnsi="Times New Roman"/>
                <w:u w:val="single"/>
                <w:lang w:val="en-GB"/>
              </w:rPr>
            </w:pPr>
            <w:r w:rsidRPr="00D9492F">
              <w:rPr>
                <w:rFonts w:ascii="Times New Roman" w:hAnsi="Times New Roman"/>
                <w:u w:val="single"/>
                <w:lang w:val="en-GB"/>
              </w:rPr>
              <w:lastRenderedPageBreak/>
              <w:t>MedDRA organų sistemų klasės</w:t>
            </w:r>
          </w:p>
          <w:p w14:paraId="595EFD1A" w14:textId="77777777" w:rsidR="00C16B7D" w:rsidRPr="00D9492F" w:rsidRDefault="00C16B7D">
            <w:pPr>
              <w:keepNext/>
              <w:keepLines/>
              <w:spacing w:after="0" w:line="240" w:lineRule="auto"/>
              <w:rPr>
                <w:rFonts w:ascii="Times New Roman" w:hAnsi="Times New Roman"/>
                <w:u w:val="single"/>
                <w:lang w:val="en-GB"/>
              </w:rPr>
            </w:pPr>
          </w:p>
        </w:tc>
        <w:tc>
          <w:tcPr>
            <w:tcW w:w="2880" w:type="dxa"/>
            <w:tcBorders>
              <w:top w:val="single" w:sz="4" w:space="0" w:color="auto"/>
              <w:left w:val="single" w:sz="4" w:space="0" w:color="auto"/>
              <w:bottom w:val="single" w:sz="4" w:space="0" w:color="auto"/>
              <w:right w:val="single" w:sz="4" w:space="0" w:color="auto"/>
            </w:tcBorders>
          </w:tcPr>
          <w:p w14:paraId="2C20AC42" w14:textId="77777777" w:rsidR="00C16B7D" w:rsidRPr="00D9492F" w:rsidRDefault="00C16B7D">
            <w:pPr>
              <w:keepNext/>
              <w:keepLines/>
              <w:spacing w:after="0" w:line="240" w:lineRule="auto"/>
              <w:rPr>
                <w:rFonts w:ascii="Times New Roman" w:hAnsi="Times New Roman"/>
                <w:u w:val="single"/>
                <w:lang w:val="en-GB"/>
              </w:rPr>
            </w:pPr>
            <w:r w:rsidRPr="00D9492F">
              <w:rPr>
                <w:rFonts w:ascii="Times New Roman" w:hAnsi="Times New Roman"/>
                <w:u w:val="single"/>
                <w:lang w:val="en-GB"/>
              </w:rPr>
              <w:t>Labai dažnos nepageidaujamos reakcijos</w:t>
            </w:r>
          </w:p>
          <w:p w14:paraId="7C7D2355" w14:textId="77777777" w:rsidR="00C16B7D" w:rsidRPr="00D9492F" w:rsidRDefault="00C16B7D">
            <w:pPr>
              <w:keepNext/>
              <w:keepLines/>
              <w:overflowPunct w:val="0"/>
              <w:autoSpaceDE w:val="0"/>
              <w:autoSpaceDN w:val="0"/>
              <w:adjustRightInd w:val="0"/>
              <w:spacing w:after="0" w:line="240" w:lineRule="auto"/>
              <w:textAlignment w:val="baseline"/>
              <w:rPr>
                <w:rFonts w:ascii="Times New Roman" w:eastAsia="Times New Roman" w:hAnsi="Times New Roman"/>
                <w:u w:val="single"/>
                <w:lang w:val="en-GB"/>
              </w:rPr>
            </w:pPr>
          </w:p>
        </w:tc>
        <w:tc>
          <w:tcPr>
            <w:tcW w:w="3303" w:type="dxa"/>
            <w:tcBorders>
              <w:top w:val="single" w:sz="4" w:space="0" w:color="auto"/>
              <w:left w:val="single" w:sz="4" w:space="0" w:color="auto"/>
              <w:bottom w:val="single" w:sz="4" w:space="0" w:color="auto"/>
              <w:right w:val="single" w:sz="4" w:space="0" w:color="auto"/>
            </w:tcBorders>
          </w:tcPr>
          <w:p w14:paraId="67C17F65" w14:textId="77777777" w:rsidR="00C16B7D" w:rsidRPr="00D9492F" w:rsidRDefault="00C16B7D">
            <w:pPr>
              <w:keepNext/>
              <w:keepLines/>
              <w:spacing w:after="0" w:line="240" w:lineRule="auto"/>
              <w:rPr>
                <w:rFonts w:ascii="Times New Roman" w:hAnsi="Times New Roman"/>
                <w:u w:val="single"/>
                <w:lang w:val="en-GB"/>
              </w:rPr>
            </w:pPr>
            <w:r w:rsidRPr="00D9492F">
              <w:rPr>
                <w:rFonts w:ascii="Times New Roman" w:hAnsi="Times New Roman"/>
                <w:u w:val="single"/>
                <w:lang w:val="en-GB"/>
              </w:rPr>
              <w:t>Dažnos nepageidaujamos reakcijos</w:t>
            </w:r>
          </w:p>
          <w:p w14:paraId="054127ED" w14:textId="77777777" w:rsidR="00C16B7D" w:rsidRPr="00D9492F" w:rsidRDefault="00C16B7D">
            <w:pPr>
              <w:keepNext/>
              <w:keepLines/>
              <w:spacing w:after="0" w:line="240" w:lineRule="auto"/>
              <w:rPr>
                <w:rFonts w:ascii="Times New Roman" w:hAnsi="Times New Roman"/>
                <w:u w:val="single"/>
                <w:lang w:val="en-GB"/>
              </w:rPr>
            </w:pPr>
          </w:p>
        </w:tc>
      </w:tr>
      <w:tr w:rsidR="00C16B7D" w:rsidRPr="00D9492F" w14:paraId="43E422B1"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77840A68" w14:textId="77777777" w:rsidR="00C16B7D" w:rsidRPr="00D9492F" w:rsidRDefault="00C16B7D">
            <w:pPr>
              <w:keepNext/>
              <w:keepLines/>
              <w:spacing w:after="0" w:line="240" w:lineRule="auto"/>
              <w:rPr>
                <w:rFonts w:ascii="Times New Roman" w:hAnsi="Times New Roman"/>
              </w:rPr>
            </w:pPr>
            <w:r w:rsidRPr="00D9492F">
              <w:rPr>
                <w:rFonts w:ascii="Times New Roman" w:hAnsi="Times New Roman"/>
              </w:rPr>
              <w:t>Kraujo ir limfinės sistemos sutrikimai</w:t>
            </w:r>
          </w:p>
        </w:tc>
        <w:tc>
          <w:tcPr>
            <w:tcW w:w="2880" w:type="dxa"/>
            <w:tcBorders>
              <w:top w:val="single" w:sz="4" w:space="0" w:color="auto"/>
              <w:left w:val="single" w:sz="4" w:space="0" w:color="auto"/>
              <w:bottom w:val="single" w:sz="4" w:space="0" w:color="auto"/>
              <w:right w:val="single" w:sz="4" w:space="0" w:color="auto"/>
            </w:tcBorders>
            <w:hideMark/>
          </w:tcPr>
          <w:p w14:paraId="1F902FF8" w14:textId="77777777" w:rsidR="00C16B7D" w:rsidRPr="00D9492F" w:rsidRDefault="00C16B7D">
            <w:pPr>
              <w:keepNext/>
              <w:keepLines/>
              <w:spacing w:after="0" w:line="240" w:lineRule="auto"/>
              <w:rPr>
                <w:rFonts w:ascii="Times New Roman" w:hAnsi="Times New Roman"/>
              </w:rPr>
            </w:pPr>
            <w:r w:rsidRPr="00D9492F">
              <w:rPr>
                <w:rFonts w:ascii="Times New Roman" w:hAnsi="Times New Roman"/>
              </w:rPr>
              <w:t>Neutropenija (3</w:t>
            </w:r>
            <w:r w:rsidRPr="00D9492F">
              <w:rPr>
                <w:rFonts w:ascii="Times New Roman" w:hAnsi="Times New Roman"/>
              </w:rPr>
              <w:noBreakHyphen/>
              <w:t>4 laipsnio – 12%).</w:t>
            </w:r>
          </w:p>
          <w:p w14:paraId="798CFE0E" w14:textId="77777777" w:rsidR="00C16B7D" w:rsidRPr="00D9492F" w:rsidRDefault="00C16B7D">
            <w:pPr>
              <w:keepNext/>
              <w:keepLines/>
              <w:spacing w:after="0" w:line="240" w:lineRule="auto"/>
              <w:rPr>
                <w:rFonts w:ascii="Times New Roman" w:hAnsi="Times New Roman"/>
              </w:rPr>
            </w:pPr>
            <w:r w:rsidRPr="00D9492F">
              <w:rPr>
                <w:rFonts w:ascii="Times New Roman" w:hAnsi="Times New Roman"/>
              </w:rPr>
              <w:t xml:space="preserve">Anemija. </w:t>
            </w:r>
          </w:p>
          <w:p w14:paraId="30FB4B6F" w14:textId="77777777" w:rsidR="00C16B7D" w:rsidRPr="00D9492F" w:rsidRDefault="00C16B7D">
            <w:pPr>
              <w:keepNext/>
              <w:keepLines/>
              <w:spacing w:after="0" w:line="240" w:lineRule="auto"/>
              <w:rPr>
                <w:rFonts w:ascii="Times New Roman" w:hAnsi="Times New Roman"/>
              </w:rPr>
            </w:pPr>
            <w:r w:rsidRPr="00D9492F">
              <w:rPr>
                <w:rFonts w:ascii="Times New Roman" w:hAnsi="Times New Roman"/>
              </w:rPr>
              <w:t>Febrilinė neutropenija (3</w:t>
            </w:r>
            <w:r w:rsidRPr="00D9492F">
              <w:rPr>
                <w:rFonts w:ascii="Times New Roman" w:hAnsi="Times New Roman"/>
              </w:rPr>
              <w:noBreakHyphen/>
              <w:t>4 laipsnio – 15 %).</w:t>
            </w:r>
          </w:p>
        </w:tc>
        <w:tc>
          <w:tcPr>
            <w:tcW w:w="3303" w:type="dxa"/>
            <w:tcBorders>
              <w:top w:val="single" w:sz="4" w:space="0" w:color="auto"/>
              <w:left w:val="single" w:sz="4" w:space="0" w:color="auto"/>
              <w:bottom w:val="single" w:sz="4" w:space="0" w:color="auto"/>
              <w:right w:val="single" w:sz="4" w:space="0" w:color="auto"/>
            </w:tcBorders>
          </w:tcPr>
          <w:p w14:paraId="3389ADFA" w14:textId="77777777" w:rsidR="00C16B7D" w:rsidRPr="00D9492F" w:rsidRDefault="00C16B7D">
            <w:pPr>
              <w:keepNext/>
              <w:keepLines/>
              <w:overflowPunct w:val="0"/>
              <w:autoSpaceDE w:val="0"/>
              <w:autoSpaceDN w:val="0"/>
              <w:adjustRightInd w:val="0"/>
              <w:spacing w:after="0" w:line="240" w:lineRule="auto"/>
              <w:textAlignment w:val="baseline"/>
              <w:rPr>
                <w:rFonts w:ascii="Times New Roman" w:eastAsia="Times New Roman" w:hAnsi="Times New Roman"/>
              </w:rPr>
            </w:pPr>
          </w:p>
        </w:tc>
      </w:tr>
      <w:tr w:rsidR="00C16B7D" w:rsidRPr="00D9492F" w14:paraId="538F135A"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2213B619"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Imuninės sistemos sutrikimai</w:t>
            </w:r>
          </w:p>
        </w:tc>
        <w:tc>
          <w:tcPr>
            <w:tcW w:w="2880" w:type="dxa"/>
            <w:tcBorders>
              <w:top w:val="single" w:sz="4" w:space="0" w:color="auto"/>
              <w:left w:val="single" w:sz="4" w:space="0" w:color="auto"/>
              <w:bottom w:val="single" w:sz="4" w:space="0" w:color="auto"/>
              <w:right w:val="single" w:sz="4" w:space="0" w:color="auto"/>
            </w:tcBorders>
          </w:tcPr>
          <w:p w14:paraId="693D8FBB" w14:textId="77777777" w:rsidR="00C16B7D" w:rsidRPr="00D9492F" w:rsidRDefault="00C16B7D">
            <w:pPr>
              <w:keepNext/>
              <w:keepLines/>
              <w:spacing w:after="0" w:line="240" w:lineRule="auto"/>
              <w:rPr>
                <w:rFonts w:ascii="Times New Roman" w:hAnsi="Times New Roman"/>
                <w:lang w:val="en-GB"/>
              </w:rPr>
            </w:pPr>
          </w:p>
        </w:tc>
        <w:tc>
          <w:tcPr>
            <w:tcW w:w="3303" w:type="dxa"/>
            <w:tcBorders>
              <w:top w:val="single" w:sz="4" w:space="0" w:color="auto"/>
              <w:left w:val="single" w:sz="4" w:space="0" w:color="auto"/>
              <w:bottom w:val="single" w:sz="4" w:space="0" w:color="auto"/>
              <w:right w:val="single" w:sz="4" w:space="0" w:color="auto"/>
            </w:tcBorders>
            <w:hideMark/>
          </w:tcPr>
          <w:p w14:paraId="79BFF10A"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Padidėjęs jautrumas (3</w:t>
            </w:r>
            <w:r w:rsidRPr="00D9492F">
              <w:rPr>
                <w:rFonts w:ascii="Times New Roman" w:hAnsi="Times New Roman"/>
                <w:lang w:val="en-GB"/>
              </w:rPr>
              <w:noBreakHyphen/>
              <w:t>4 laipsnio – 1 %).</w:t>
            </w:r>
          </w:p>
        </w:tc>
      </w:tr>
      <w:tr w:rsidR="00C16B7D" w:rsidRPr="00D9492F" w14:paraId="4349B4EB"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32E65450"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Endokrininiai sutrikimai</w:t>
            </w:r>
          </w:p>
        </w:tc>
        <w:tc>
          <w:tcPr>
            <w:tcW w:w="2880" w:type="dxa"/>
            <w:tcBorders>
              <w:top w:val="single" w:sz="4" w:space="0" w:color="auto"/>
              <w:left w:val="single" w:sz="4" w:space="0" w:color="auto"/>
              <w:bottom w:val="single" w:sz="4" w:space="0" w:color="auto"/>
              <w:right w:val="single" w:sz="4" w:space="0" w:color="auto"/>
            </w:tcBorders>
          </w:tcPr>
          <w:p w14:paraId="493D5B20" w14:textId="77777777" w:rsidR="00C16B7D" w:rsidRPr="00D9492F" w:rsidRDefault="00C16B7D">
            <w:pPr>
              <w:keepNext/>
              <w:keepLines/>
              <w:spacing w:after="0" w:line="240" w:lineRule="auto"/>
              <w:rPr>
                <w:rFonts w:ascii="Times New Roman" w:hAnsi="Times New Roman"/>
                <w:lang w:val="en-GB"/>
              </w:rPr>
            </w:pPr>
          </w:p>
        </w:tc>
        <w:tc>
          <w:tcPr>
            <w:tcW w:w="3303" w:type="dxa"/>
            <w:tcBorders>
              <w:top w:val="single" w:sz="4" w:space="0" w:color="auto"/>
              <w:left w:val="single" w:sz="4" w:space="0" w:color="auto"/>
              <w:bottom w:val="single" w:sz="4" w:space="0" w:color="auto"/>
              <w:right w:val="single" w:sz="4" w:space="0" w:color="auto"/>
            </w:tcBorders>
            <w:hideMark/>
          </w:tcPr>
          <w:p w14:paraId="51DDC133"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Cukrinis diabetas (3-4 laipsnio – 1%).</w:t>
            </w:r>
          </w:p>
        </w:tc>
      </w:tr>
      <w:tr w:rsidR="00C16B7D" w:rsidRPr="00D9492F" w14:paraId="6BF39902"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7DAE6AB7"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Metabolizmo ir mitybos sutrikimai</w:t>
            </w:r>
          </w:p>
        </w:tc>
        <w:tc>
          <w:tcPr>
            <w:tcW w:w="2880" w:type="dxa"/>
            <w:tcBorders>
              <w:top w:val="single" w:sz="4" w:space="0" w:color="auto"/>
              <w:left w:val="single" w:sz="4" w:space="0" w:color="auto"/>
              <w:bottom w:val="single" w:sz="4" w:space="0" w:color="auto"/>
              <w:right w:val="single" w:sz="4" w:space="0" w:color="auto"/>
            </w:tcBorders>
          </w:tcPr>
          <w:p w14:paraId="2740FC66" w14:textId="77777777" w:rsidR="00C16B7D" w:rsidRPr="00D9492F" w:rsidRDefault="00C16B7D">
            <w:pPr>
              <w:keepNext/>
              <w:keepLines/>
              <w:spacing w:after="0" w:line="240" w:lineRule="auto"/>
              <w:rPr>
                <w:rFonts w:ascii="Times New Roman" w:hAnsi="Times New Roman"/>
                <w:lang w:val="en-GB"/>
              </w:rPr>
            </w:pPr>
          </w:p>
        </w:tc>
        <w:tc>
          <w:tcPr>
            <w:tcW w:w="3303" w:type="dxa"/>
            <w:tcBorders>
              <w:top w:val="single" w:sz="4" w:space="0" w:color="auto"/>
              <w:left w:val="single" w:sz="4" w:space="0" w:color="auto"/>
              <w:bottom w:val="single" w:sz="4" w:space="0" w:color="auto"/>
              <w:right w:val="single" w:sz="4" w:space="0" w:color="auto"/>
            </w:tcBorders>
            <w:hideMark/>
          </w:tcPr>
          <w:p w14:paraId="031F89BC"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Anoreksija.</w:t>
            </w:r>
          </w:p>
        </w:tc>
      </w:tr>
      <w:tr w:rsidR="00C16B7D" w:rsidRPr="00D9492F" w14:paraId="7B947823"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7B41C5E8"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Psichikos sutrikimai</w:t>
            </w:r>
          </w:p>
        </w:tc>
        <w:tc>
          <w:tcPr>
            <w:tcW w:w="2880" w:type="dxa"/>
            <w:tcBorders>
              <w:top w:val="single" w:sz="4" w:space="0" w:color="auto"/>
              <w:left w:val="single" w:sz="4" w:space="0" w:color="auto"/>
              <w:bottom w:val="single" w:sz="4" w:space="0" w:color="auto"/>
              <w:right w:val="single" w:sz="4" w:space="0" w:color="auto"/>
            </w:tcBorders>
          </w:tcPr>
          <w:p w14:paraId="25524081"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Nemiga (3 laipsnio – 1 %).</w:t>
            </w:r>
          </w:p>
          <w:p w14:paraId="5F816C01" w14:textId="77777777" w:rsidR="00C16B7D" w:rsidRPr="00D9492F" w:rsidRDefault="00C16B7D">
            <w:pPr>
              <w:keepNext/>
              <w:keepLines/>
              <w:spacing w:after="0" w:line="240" w:lineRule="auto"/>
              <w:rPr>
                <w:rFonts w:ascii="Times New Roman" w:hAnsi="Times New Roman"/>
                <w:lang w:val="en-GB"/>
              </w:rPr>
            </w:pPr>
          </w:p>
        </w:tc>
        <w:tc>
          <w:tcPr>
            <w:tcW w:w="3303" w:type="dxa"/>
            <w:tcBorders>
              <w:top w:val="single" w:sz="4" w:space="0" w:color="auto"/>
              <w:left w:val="single" w:sz="4" w:space="0" w:color="auto"/>
              <w:bottom w:val="single" w:sz="4" w:space="0" w:color="auto"/>
              <w:right w:val="single" w:sz="4" w:space="0" w:color="auto"/>
            </w:tcBorders>
          </w:tcPr>
          <w:p w14:paraId="031945B9" w14:textId="77777777" w:rsidR="00C16B7D" w:rsidRPr="00D9492F" w:rsidRDefault="00C16B7D">
            <w:pPr>
              <w:keepNext/>
              <w:keepLines/>
              <w:spacing w:after="0" w:line="240" w:lineRule="auto"/>
              <w:rPr>
                <w:rFonts w:ascii="Times New Roman" w:hAnsi="Times New Roman"/>
                <w:lang w:val="en-GB"/>
              </w:rPr>
            </w:pPr>
          </w:p>
        </w:tc>
      </w:tr>
      <w:tr w:rsidR="00C16B7D" w:rsidRPr="00D9492F" w14:paraId="3853FB65"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09D1BDD2"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Nervų sistemos sutrikimai</w:t>
            </w:r>
          </w:p>
        </w:tc>
        <w:tc>
          <w:tcPr>
            <w:tcW w:w="2880" w:type="dxa"/>
            <w:tcBorders>
              <w:top w:val="single" w:sz="4" w:space="0" w:color="auto"/>
              <w:left w:val="single" w:sz="4" w:space="0" w:color="auto"/>
              <w:bottom w:val="single" w:sz="4" w:space="0" w:color="auto"/>
              <w:right w:val="single" w:sz="4" w:space="0" w:color="auto"/>
            </w:tcBorders>
            <w:hideMark/>
          </w:tcPr>
          <w:p w14:paraId="4E6BE972"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Periferinė sensorinė neuropatija (≥ 3 laipsnio – 2 %)</w:t>
            </w:r>
            <w:r w:rsidRPr="00D9492F">
              <w:rPr>
                <w:rFonts w:ascii="Times New Roman" w:hAnsi="Times New Roman"/>
                <w:vertAlign w:val="superscript"/>
                <w:lang w:val="en-GB"/>
              </w:rPr>
              <w:t>a</w:t>
            </w:r>
            <w:r w:rsidRPr="00D9492F">
              <w:rPr>
                <w:rFonts w:ascii="Times New Roman" w:hAnsi="Times New Roman"/>
                <w:lang w:val="en-GB"/>
              </w:rPr>
              <w:t>.</w:t>
            </w:r>
          </w:p>
          <w:p w14:paraId="1CE7912F"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Galvos skausmas.</w:t>
            </w:r>
          </w:p>
        </w:tc>
        <w:tc>
          <w:tcPr>
            <w:tcW w:w="3303" w:type="dxa"/>
            <w:tcBorders>
              <w:top w:val="single" w:sz="4" w:space="0" w:color="auto"/>
              <w:left w:val="single" w:sz="4" w:space="0" w:color="auto"/>
              <w:bottom w:val="single" w:sz="4" w:space="0" w:color="auto"/>
              <w:right w:val="single" w:sz="4" w:space="0" w:color="auto"/>
            </w:tcBorders>
            <w:hideMark/>
          </w:tcPr>
          <w:p w14:paraId="7AB97896" w14:textId="77777777" w:rsidR="00C16B7D" w:rsidRPr="00D9492F" w:rsidRDefault="00C16B7D">
            <w:pPr>
              <w:keepNext/>
              <w:keepLines/>
              <w:overflowPunct w:val="0"/>
              <w:autoSpaceDE w:val="0"/>
              <w:autoSpaceDN w:val="0"/>
              <w:adjustRightInd w:val="0"/>
              <w:spacing w:after="0" w:line="240" w:lineRule="auto"/>
              <w:textAlignment w:val="baseline"/>
              <w:rPr>
                <w:rFonts w:ascii="Times New Roman" w:eastAsia="Times New Roman" w:hAnsi="Times New Roman"/>
                <w:lang w:val="en-GB"/>
              </w:rPr>
            </w:pPr>
            <w:r w:rsidRPr="00D9492F">
              <w:rPr>
                <w:rFonts w:ascii="Times New Roman" w:eastAsia="Times New Roman" w:hAnsi="Times New Roman"/>
                <w:lang w:val="en-GB"/>
              </w:rPr>
              <w:t>Svaigulys.</w:t>
            </w:r>
          </w:p>
        </w:tc>
      </w:tr>
      <w:tr w:rsidR="00C16B7D" w:rsidRPr="00D9492F" w14:paraId="33ACB3E4"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08E0108F"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Akių sutrikimai</w:t>
            </w:r>
          </w:p>
        </w:tc>
        <w:tc>
          <w:tcPr>
            <w:tcW w:w="2880" w:type="dxa"/>
            <w:tcBorders>
              <w:top w:val="single" w:sz="4" w:space="0" w:color="auto"/>
              <w:left w:val="single" w:sz="4" w:space="0" w:color="auto"/>
              <w:bottom w:val="single" w:sz="4" w:space="0" w:color="auto"/>
              <w:right w:val="single" w:sz="4" w:space="0" w:color="auto"/>
            </w:tcBorders>
          </w:tcPr>
          <w:p w14:paraId="16E800A3" w14:textId="77777777" w:rsidR="00C16B7D" w:rsidRPr="00D9492F" w:rsidRDefault="00C16B7D">
            <w:pPr>
              <w:keepNext/>
              <w:keepLines/>
              <w:spacing w:after="0" w:line="240" w:lineRule="auto"/>
              <w:rPr>
                <w:rFonts w:ascii="Times New Roman" w:hAnsi="Times New Roman"/>
                <w:lang w:val="en-GB"/>
              </w:rPr>
            </w:pPr>
          </w:p>
        </w:tc>
        <w:tc>
          <w:tcPr>
            <w:tcW w:w="3303" w:type="dxa"/>
            <w:tcBorders>
              <w:top w:val="single" w:sz="4" w:space="0" w:color="auto"/>
              <w:left w:val="single" w:sz="4" w:space="0" w:color="auto"/>
              <w:bottom w:val="single" w:sz="4" w:space="0" w:color="auto"/>
              <w:right w:val="single" w:sz="4" w:space="0" w:color="auto"/>
            </w:tcBorders>
          </w:tcPr>
          <w:p w14:paraId="5D6D3A04" w14:textId="1AC781FD" w:rsidR="00C16B7D" w:rsidRPr="00D9492F" w:rsidRDefault="00C5080D">
            <w:pPr>
              <w:keepNext/>
              <w:keepLines/>
              <w:overflowPunct w:val="0"/>
              <w:autoSpaceDE w:val="0"/>
              <w:autoSpaceDN w:val="0"/>
              <w:adjustRightInd w:val="0"/>
              <w:spacing w:after="0" w:line="240" w:lineRule="auto"/>
              <w:textAlignment w:val="baseline"/>
              <w:rPr>
                <w:rFonts w:ascii="Times New Roman" w:eastAsia="Times New Roman" w:hAnsi="Times New Roman"/>
                <w:lang w:val="en-GB"/>
              </w:rPr>
            </w:pPr>
            <w:r w:rsidRPr="00D9492F">
              <w:rPr>
                <w:rFonts w:ascii="Times New Roman" w:eastAsia="Times New Roman" w:hAnsi="Times New Roman"/>
                <w:lang w:val="en-GB"/>
              </w:rPr>
              <w:t>Neryškus matymas.</w:t>
            </w:r>
          </w:p>
          <w:p w14:paraId="42578C43" w14:textId="77777777" w:rsidR="00C16B7D" w:rsidRPr="00D9492F" w:rsidRDefault="00C16B7D">
            <w:pPr>
              <w:keepNext/>
              <w:keepLines/>
              <w:overflowPunct w:val="0"/>
              <w:autoSpaceDE w:val="0"/>
              <w:autoSpaceDN w:val="0"/>
              <w:adjustRightInd w:val="0"/>
              <w:spacing w:after="0" w:line="240" w:lineRule="auto"/>
              <w:textAlignment w:val="baseline"/>
              <w:rPr>
                <w:rFonts w:ascii="Times New Roman" w:eastAsia="Times New Roman" w:hAnsi="Times New Roman"/>
                <w:lang w:val="en-GB"/>
              </w:rPr>
            </w:pPr>
          </w:p>
        </w:tc>
      </w:tr>
      <w:tr w:rsidR="00C16B7D" w:rsidRPr="00D9492F" w14:paraId="7D2CCAEE"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037E0B99"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Širdies sutrikimai</w:t>
            </w:r>
          </w:p>
        </w:tc>
        <w:tc>
          <w:tcPr>
            <w:tcW w:w="2880" w:type="dxa"/>
            <w:tcBorders>
              <w:top w:val="single" w:sz="4" w:space="0" w:color="auto"/>
              <w:left w:val="single" w:sz="4" w:space="0" w:color="auto"/>
              <w:bottom w:val="single" w:sz="4" w:space="0" w:color="auto"/>
              <w:right w:val="single" w:sz="4" w:space="0" w:color="auto"/>
            </w:tcBorders>
          </w:tcPr>
          <w:p w14:paraId="158F90ED" w14:textId="77777777" w:rsidR="00C16B7D" w:rsidRPr="00D9492F" w:rsidRDefault="00C16B7D">
            <w:pPr>
              <w:keepNext/>
              <w:keepLines/>
              <w:spacing w:after="0" w:line="240" w:lineRule="auto"/>
              <w:rPr>
                <w:rFonts w:ascii="Times New Roman" w:eastAsia="Times New Roman" w:hAnsi="Times New Roman"/>
                <w:lang w:val="en-GB"/>
              </w:rPr>
            </w:pPr>
          </w:p>
        </w:tc>
        <w:tc>
          <w:tcPr>
            <w:tcW w:w="3303" w:type="dxa"/>
            <w:tcBorders>
              <w:top w:val="single" w:sz="4" w:space="0" w:color="auto"/>
              <w:left w:val="single" w:sz="4" w:space="0" w:color="auto"/>
              <w:bottom w:val="single" w:sz="4" w:space="0" w:color="auto"/>
              <w:right w:val="single" w:sz="4" w:space="0" w:color="auto"/>
            </w:tcBorders>
          </w:tcPr>
          <w:p w14:paraId="3FB78B3F"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Hipotenzija (3 laipsnio – 0 %).</w:t>
            </w:r>
          </w:p>
          <w:p w14:paraId="7F65BDBC" w14:textId="77777777" w:rsidR="00C16B7D" w:rsidRPr="00D9492F" w:rsidRDefault="00C16B7D">
            <w:pPr>
              <w:keepNext/>
              <w:keepLines/>
              <w:spacing w:after="0" w:line="240" w:lineRule="auto"/>
              <w:rPr>
                <w:rFonts w:ascii="Times New Roman" w:hAnsi="Times New Roman"/>
                <w:lang w:val="en-GB"/>
              </w:rPr>
            </w:pPr>
          </w:p>
        </w:tc>
      </w:tr>
      <w:tr w:rsidR="00C16B7D" w:rsidRPr="00D9492F" w14:paraId="1A1D8778"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3A72138F" w14:textId="77777777" w:rsidR="00C16B7D" w:rsidRPr="00D9492F" w:rsidRDefault="00C16B7D">
            <w:pPr>
              <w:keepNext/>
              <w:keepLines/>
              <w:spacing w:after="0" w:line="240" w:lineRule="auto"/>
              <w:rPr>
                <w:rFonts w:ascii="Times New Roman" w:hAnsi="Times New Roman"/>
              </w:rPr>
            </w:pPr>
            <w:r w:rsidRPr="00D9492F">
              <w:rPr>
                <w:rFonts w:ascii="Times New Roman" w:hAnsi="Times New Roman"/>
              </w:rPr>
              <w:t>Kvėpavimo sistemos, krūtinės ląstos ir tarpuplaučio sutrikimai</w:t>
            </w:r>
          </w:p>
        </w:tc>
        <w:tc>
          <w:tcPr>
            <w:tcW w:w="2880" w:type="dxa"/>
            <w:tcBorders>
              <w:top w:val="single" w:sz="4" w:space="0" w:color="auto"/>
              <w:left w:val="single" w:sz="4" w:space="0" w:color="auto"/>
              <w:bottom w:val="single" w:sz="4" w:space="0" w:color="auto"/>
              <w:right w:val="single" w:sz="4" w:space="0" w:color="auto"/>
            </w:tcBorders>
            <w:hideMark/>
          </w:tcPr>
          <w:p w14:paraId="45651B9B" w14:textId="77777777" w:rsidR="00C16B7D" w:rsidRPr="00D9492F" w:rsidRDefault="00C16B7D">
            <w:pPr>
              <w:keepNext/>
              <w:keepLines/>
              <w:spacing w:after="0" w:line="240" w:lineRule="auto"/>
              <w:rPr>
                <w:rFonts w:ascii="Times New Roman" w:hAnsi="Times New Roman"/>
              </w:rPr>
            </w:pPr>
            <w:r w:rsidRPr="00D9492F">
              <w:rPr>
                <w:rFonts w:ascii="Times New Roman" w:hAnsi="Times New Roman"/>
              </w:rPr>
              <w:t xml:space="preserve">Dusulys (3 laipsnio – 1 %). Kosulys (3 laipsnio – 0 %). Viršutinių kvėpavimo takų infekcija (3 laipsnio – 1 %).  </w:t>
            </w:r>
          </w:p>
        </w:tc>
        <w:tc>
          <w:tcPr>
            <w:tcW w:w="3303" w:type="dxa"/>
            <w:tcBorders>
              <w:top w:val="single" w:sz="4" w:space="0" w:color="auto"/>
              <w:left w:val="single" w:sz="4" w:space="0" w:color="auto"/>
              <w:bottom w:val="single" w:sz="4" w:space="0" w:color="auto"/>
              <w:right w:val="single" w:sz="4" w:space="0" w:color="auto"/>
            </w:tcBorders>
            <w:hideMark/>
          </w:tcPr>
          <w:p w14:paraId="52E0EE29" w14:textId="77777777" w:rsidR="00C16B7D" w:rsidRPr="00D9492F" w:rsidRDefault="00C16B7D">
            <w:pPr>
              <w:keepNext/>
              <w:keepLines/>
              <w:overflowPunct w:val="0"/>
              <w:autoSpaceDE w:val="0"/>
              <w:autoSpaceDN w:val="0"/>
              <w:adjustRightInd w:val="0"/>
              <w:spacing w:after="0" w:line="240" w:lineRule="auto"/>
              <w:textAlignment w:val="baseline"/>
              <w:rPr>
                <w:rFonts w:ascii="Times New Roman" w:eastAsia="Times New Roman" w:hAnsi="Times New Roman"/>
                <w:lang w:val="en-GB"/>
              </w:rPr>
            </w:pPr>
            <w:r w:rsidRPr="00D9492F">
              <w:rPr>
                <w:rFonts w:ascii="Times New Roman" w:eastAsia="Times New Roman" w:hAnsi="Times New Roman"/>
                <w:lang w:val="en-GB"/>
              </w:rPr>
              <w:t>Faringitas (3 laipsnio – 0 %).</w:t>
            </w:r>
          </w:p>
        </w:tc>
      </w:tr>
      <w:tr w:rsidR="00C16B7D" w:rsidRPr="00D9492F" w14:paraId="4F5B3867"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79E2C1A2"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Virškinimo trakto sutrikimai</w:t>
            </w:r>
          </w:p>
        </w:tc>
        <w:tc>
          <w:tcPr>
            <w:tcW w:w="2880" w:type="dxa"/>
            <w:tcBorders>
              <w:top w:val="single" w:sz="4" w:space="0" w:color="auto"/>
              <w:left w:val="single" w:sz="4" w:space="0" w:color="auto"/>
              <w:bottom w:val="single" w:sz="4" w:space="0" w:color="auto"/>
              <w:right w:val="single" w:sz="4" w:space="0" w:color="auto"/>
            </w:tcBorders>
            <w:hideMark/>
          </w:tcPr>
          <w:p w14:paraId="0B2B6927"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 xml:space="preserve">Viduriavimas (3 laipsnio – 3 %). </w:t>
            </w:r>
          </w:p>
          <w:p w14:paraId="1B6DB60B"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 xml:space="preserve">Stomatitas (3 laipsnio – 0 %). </w:t>
            </w:r>
          </w:p>
          <w:p w14:paraId="5AED724D"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 xml:space="preserve">Vidurių užkietėjimas (3 laipsnio – 0 %). </w:t>
            </w:r>
          </w:p>
          <w:p w14:paraId="6246D78D" w14:textId="77777777" w:rsidR="00C16B7D" w:rsidRPr="00D9492F" w:rsidRDefault="00C16B7D">
            <w:pPr>
              <w:keepNext/>
              <w:keepLines/>
              <w:spacing w:after="0" w:line="240" w:lineRule="auto"/>
              <w:rPr>
                <w:rFonts w:ascii="Times New Roman" w:hAnsi="Times New Roman"/>
                <w:lang w:val="fi-FI"/>
              </w:rPr>
            </w:pPr>
            <w:r w:rsidRPr="00D9492F">
              <w:rPr>
                <w:rFonts w:ascii="Times New Roman" w:hAnsi="Times New Roman"/>
                <w:lang w:val="fi-FI"/>
              </w:rPr>
              <w:t xml:space="preserve">Pykinimas (3 laipsnio – 1 %). Dispepsija. </w:t>
            </w:r>
          </w:p>
          <w:p w14:paraId="52C8256C" w14:textId="77777777" w:rsidR="00C16B7D" w:rsidRPr="00D9492F" w:rsidRDefault="00C16B7D">
            <w:pPr>
              <w:keepNext/>
              <w:keepLines/>
              <w:spacing w:after="0" w:line="240" w:lineRule="auto"/>
              <w:rPr>
                <w:rFonts w:ascii="Times New Roman" w:hAnsi="Times New Roman"/>
                <w:lang w:val="fi-FI"/>
              </w:rPr>
            </w:pPr>
            <w:r w:rsidRPr="00D9492F">
              <w:rPr>
                <w:rFonts w:ascii="Times New Roman" w:hAnsi="Times New Roman"/>
                <w:lang w:val="fi-FI"/>
              </w:rPr>
              <w:t xml:space="preserve">Pilvo skausmas (3 laipsnio – </w:t>
            </w:r>
          </w:p>
          <w:p w14:paraId="63507AF9"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 xml:space="preserve">0 %). </w:t>
            </w:r>
          </w:p>
          <w:p w14:paraId="218A7B06"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Dujų kaupimasis žarnyne.</w:t>
            </w:r>
          </w:p>
        </w:tc>
        <w:tc>
          <w:tcPr>
            <w:tcW w:w="3303" w:type="dxa"/>
            <w:tcBorders>
              <w:top w:val="single" w:sz="4" w:space="0" w:color="auto"/>
              <w:left w:val="single" w:sz="4" w:space="0" w:color="auto"/>
              <w:bottom w:val="single" w:sz="4" w:space="0" w:color="auto"/>
              <w:right w:val="single" w:sz="4" w:space="0" w:color="auto"/>
            </w:tcBorders>
            <w:hideMark/>
          </w:tcPr>
          <w:p w14:paraId="589E637B"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Vėmimas (3 laipsnio – 1 %).</w:t>
            </w:r>
          </w:p>
        </w:tc>
      </w:tr>
      <w:tr w:rsidR="00C16B7D" w:rsidRPr="00D9492F" w14:paraId="092A2BBC"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798FB5A2"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Odos ir poodinio audinio sutrikimai</w:t>
            </w:r>
          </w:p>
        </w:tc>
        <w:tc>
          <w:tcPr>
            <w:tcW w:w="2880" w:type="dxa"/>
            <w:tcBorders>
              <w:top w:val="single" w:sz="4" w:space="0" w:color="auto"/>
              <w:left w:val="single" w:sz="4" w:space="0" w:color="auto"/>
              <w:bottom w:val="single" w:sz="4" w:space="0" w:color="auto"/>
              <w:right w:val="single" w:sz="4" w:space="0" w:color="auto"/>
            </w:tcBorders>
            <w:hideMark/>
          </w:tcPr>
          <w:p w14:paraId="19380F79" w14:textId="77777777" w:rsidR="00C16B7D" w:rsidRPr="00D9492F" w:rsidRDefault="00C16B7D">
            <w:pPr>
              <w:keepNext/>
              <w:keepLines/>
              <w:widowControl w:val="0"/>
              <w:tabs>
                <w:tab w:val="center" w:pos="4320"/>
                <w:tab w:val="right" w:pos="8640"/>
              </w:tabs>
              <w:spacing w:after="0" w:line="240" w:lineRule="auto"/>
              <w:rPr>
                <w:rFonts w:ascii="Times New Roman" w:eastAsia="Times New Roman" w:hAnsi="Times New Roman"/>
                <w:bCs/>
                <w:iCs/>
                <w:lang w:val="en-GB"/>
              </w:rPr>
            </w:pPr>
            <w:r w:rsidRPr="00D9492F">
              <w:rPr>
                <w:rFonts w:ascii="Times New Roman" w:eastAsia="Times New Roman" w:hAnsi="Times New Roman"/>
                <w:bCs/>
                <w:iCs/>
                <w:lang w:val="en-GB"/>
              </w:rPr>
              <w:t>Alopecija (3 laipsnio – 3 %)</w:t>
            </w:r>
            <w:r w:rsidRPr="00D9492F">
              <w:rPr>
                <w:rFonts w:ascii="Times New Roman" w:eastAsia="Times New Roman" w:hAnsi="Times New Roman"/>
                <w:bCs/>
                <w:iCs/>
                <w:vertAlign w:val="superscript"/>
                <w:lang w:val="en-GB"/>
              </w:rPr>
              <w:t>a</w:t>
            </w:r>
            <w:r w:rsidRPr="00D9492F">
              <w:rPr>
                <w:rFonts w:ascii="Times New Roman" w:eastAsia="Times New Roman" w:hAnsi="Times New Roman"/>
                <w:bCs/>
                <w:iCs/>
                <w:lang w:val="en-GB"/>
              </w:rPr>
              <w:t xml:space="preserve">.  </w:t>
            </w:r>
          </w:p>
          <w:p w14:paraId="16B6661B" w14:textId="77777777" w:rsidR="00C16B7D" w:rsidRPr="00D9492F" w:rsidRDefault="00C16B7D">
            <w:pPr>
              <w:keepNext/>
              <w:keepLines/>
              <w:widowControl w:val="0"/>
              <w:tabs>
                <w:tab w:val="center" w:pos="4320"/>
                <w:tab w:val="right" w:pos="8640"/>
              </w:tabs>
              <w:spacing w:after="0" w:line="240" w:lineRule="auto"/>
              <w:rPr>
                <w:rFonts w:ascii="Times New Roman" w:eastAsia="Times New Roman" w:hAnsi="Times New Roman"/>
                <w:bCs/>
                <w:iCs/>
                <w:lang w:val="en-GB"/>
              </w:rPr>
            </w:pPr>
            <w:r w:rsidRPr="00D9492F">
              <w:rPr>
                <w:rFonts w:ascii="Times New Roman" w:eastAsia="Times New Roman" w:hAnsi="Times New Roman"/>
                <w:bCs/>
                <w:iCs/>
                <w:lang w:val="en-GB"/>
              </w:rPr>
              <w:t>Nagų pažeidimai (3 laipsnio – 1 %).</w:t>
            </w:r>
          </w:p>
        </w:tc>
        <w:tc>
          <w:tcPr>
            <w:tcW w:w="3303" w:type="dxa"/>
            <w:tcBorders>
              <w:top w:val="single" w:sz="4" w:space="0" w:color="auto"/>
              <w:left w:val="single" w:sz="4" w:space="0" w:color="auto"/>
              <w:bottom w:val="single" w:sz="4" w:space="0" w:color="auto"/>
              <w:right w:val="single" w:sz="4" w:space="0" w:color="auto"/>
            </w:tcBorders>
            <w:hideMark/>
          </w:tcPr>
          <w:p w14:paraId="6E77E8C8"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Išbėrimas.</w:t>
            </w:r>
          </w:p>
        </w:tc>
      </w:tr>
      <w:tr w:rsidR="00C16B7D" w:rsidRPr="00D9492F" w14:paraId="7B8AD886"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31DC6E24" w14:textId="77777777" w:rsidR="00C16B7D" w:rsidRPr="00D9492F" w:rsidRDefault="00C16B7D">
            <w:pPr>
              <w:keepNext/>
              <w:keepLines/>
              <w:spacing w:after="0" w:line="240" w:lineRule="auto"/>
              <w:rPr>
                <w:rFonts w:ascii="Times New Roman" w:hAnsi="Times New Roman"/>
              </w:rPr>
            </w:pPr>
            <w:r w:rsidRPr="00D9492F">
              <w:rPr>
                <w:rFonts w:ascii="Times New Roman" w:hAnsi="Times New Roman"/>
              </w:rPr>
              <w:t>Skeleto, raumenų ir jungiamojo audinio sutrikimai</w:t>
            </w:r>
          </w:p>
        </w:tc>
        <w:tc>
          <w:tcPr>
            <w:tcW w:w="2880" w:type="dxa"/>
            <w:tcBorders>
              <w:top w:val="single" w:sz="4" w:space="0" w:color="auto"/>
              <w:left w:val="single" w:sz="4" w:space="0" w:color="auto"/>
              <w:bottom w:val="single" w:sz="4" w:space="0" w:color="auto"/>
              <w:right w:val="single" w:sz="4" w:space="0" w:color="auto"/>
            </w:tcBorders>
            <w:hideMark/>
          </w:tcPr>
          <w:p w14:paraId="707A204F"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Mialgija.</w:t>
            </w:r>
          </w:p>
        </w:tc>
        <w:tc>
          <w:tcPr>
            <w:tcW w:w="3303" w:type="dxa"/>
            <w:tcBorders>
              <w:top w:val="single" w:sz="4" w:space="0" w:color="auto"/>
              <w:left w:val="single" w:sz="4" w:space="0" w:color="auto"/>
              <w:bottom w:val="single" w:sz="4" w:space="0" w:color="auto"/>
              <w:right w:val="single" w:sz="4" w:space="0" w:color="auto"/>
            </w:tcBorders>
          </w:tcPr>
          <w:p w14:paraId="1836709C" w14:textId="77777777" w:rsidR="00C16B7D" w:rsidRPr="00D9492F" w:rsidRDefault="00C16B7D">
            <w:pPr>
              <w:keepNext/>
              <w:keepLines/>
              <w:spacing w:after="0" w:line="240" w:lineRule="auto"/>
              <w:rPr>
                <w:rFonts w:ascii="Times New Roman" w:hAnsi="Times New Roman"/>
                <w:lang w:val="en-GB"/>
              </w:rPr>
            </w:pPr>
          </w:p>
        </w:tc>
      </w:tr>
      <w:tr w:rsidR="00C16B7D" w:rsidRPr="00D9492F" w14:paraId="39F6692D" w14:textId="77777777" w:rsidTr="00C16B7D">
        <w:trPr>
          <w:jc w:val="center"/>
        </w:trPr>
        <w:tc>
          <w:tcPr>
            <w:tcW w:w="2973" w:type="dxa"/>
            <w:tcBorders>
              <w:top w:val="single" w:sz="4" w:space="0" w:color="auto"/>
              <w:left w:val="single" w:sz="4" w:space="0" w:color="auto"/>
              <w:bottom w:val="single" w:sz="4" w:space="0" w:color="auto"/>
              <w:right w:val="single" w:sz="4" w:space="0" w:color="auto"/>
            </w:tcBorders>
            <w:hideMark/>
          </w:tcPr>
          <w:p w14:paraId="18A1944D" w14:textId="77777777" w:rsidR="00C16B7D" w:rsidRPr="00D9492F" w:rsidRDefault="00C16B7D">
            <w:pPr>
              <w:keepNext/>
              <w:keepLines/>
              <w:spacing w:after="0" w:line="240" w:lineRule="auto"/>
              <w:rPr>
                <w:rFonts w:ascii="Times New Roman" w:hAnsi="Times New Roman"/>
                <w:lang w:val="fi-FI"/>
              </w:rPr>
            </w:pPr>
            <w:r w:rsidRPr="00D9492F">
              <w:rPr>
                <w:rFonts w:ascii="Times New Roman" w:hAnsi="Times New Roman"/>
                <w:lang w:val="fi-FI"/>
              </w:rPr>
              <w:t>Bendrieji sutrikimai ir vartojimo vietos pažeidimai</w:t>
            </w:r>
          </w:p>
        </w:tc>
        <w:tc>
          <w:tcPr>
            <w:tcW w:w="2880" w:type="dxa"/>
            <w:tcBorders>
              <w:top w:val="single" w:sz="4" w:space="0" w:color="auto"/>
              <w:left w:val="single" w:sz="4" w:space="0" w:color="auto"/>
              <w:bottom w:val="single" w:sz="4" w:space="0" w:color="auto"/>
              <w:right w:val="single" w:sz="4" w:space="0" w:color="auto"/>
            </w:tcBorders>
            <w:hideMark/>
          </w:tcPr>
          <w:p w14:paraId="09C31F20" w14:textId="77777777" w:rsidR="00C16B7D" w:rsidRPr="00D9492F" w:rsidRDefault="00C16B7D">
            <w:pPr>
              <w:keepNext/>
              <w:keepLines/>
              <w:spacing w:after="0" w:line="240" w:lineRule="auto"/>
              <w:rPr>
                <w:rFonts w:ascii="Times New Roman" w:hAnsi="Times New Roman"/>
                <w:lang w:val="fi-FI"/>
              </w:rPr>
            </w:pPr>
            <w:r w:rsidRPr="00D9492F">
              <w:rPr>
                <w:rFonts w:ascii="Times New Roman" w:hAnsi="Times New Roman"/>
                <w:lang w:val="fi-FI"/>
              </w:rPr>
              <w:t xml:space="preserve">Letargija (3-4 laipsnio – 2 %). </w:t>
            </w:r>
          </w:p>
          <w:p w14:paraId="1D8DB73D" w14:textId="77777777" w:rsidR="00C16B7D" w:rsidRPr="00D9492F" w:rsidRDefault="00C16B7D">
            <w:pPr>
              <w:keepNext/>
              <w:keepLines/>
              <w:spacing w:after="0" w:line="240" w:lineRule="auto"/>
              <w:rPr>
                <w:rFonts w:ascii="Times New Roman" w:hAnsi="Times New Roman"/>
                <w:lang w:val="fi-FI"/>
              </w:rPr>
            </w:pPr>
            <w:r w:rsidRPr="00D9492F">
              <w:rPr>
                <w:rFonts w:ascii="Times New Roman" w:hAnsi="Times New Roman"/>
                <w:lang w:val="fi-FI"/>
              </w:rPr>
              <w:t xml:space="preserve">Į gripą panašūs simptomai </w:t>
            </w:r>
          </w:p>
          <w:p w14:paraId="60BB63DE" w14:textId="77777777" w:rsidR="00C16B7D" w:rsidRPr="00D9492F" w:rsidRDefault="00C16B7D">
            <w:pPr>
              <w:keepNext/>
              <w:keepLines/>
              <w:spacing w:after="0" w:line="240" w:lineRule="auto"/>
              <w:rPr>
                <w:rFonts w:ascii="Times New Roman" w:hAnsi="Times New Roman"/>
                <w:lang w:val="fi-FI"/>
              </w:rPr>
            </w:pPr>
            <w:r w:rsidRPr="00D9492F">
              <w:rPr>
                <w:rFonts w:ascii="Times New Roman" w:hAnsi="Times New Roman"/>
                <w:lang w:val="fi-FI"/>
              </w:rPr>
              <w:t xml:space="preserve">(3 laipsnio – 0 %). </w:t>
            </w:r>
          </w:p>
          <w:p w14:paraId="0FF32B25" w14:textId="77777777" w:rsidR="00C16B7D" w:rsidRPr="00D9492F" w:rsidRDefault="00C16B7D">
            <w:pPr>
              <w:keepNext/>
              <w:keepLines/>
              <w:spacing w:after="0" w:line="240" w:lineRule="auto"/>
              <w:rPr>
                <w:rFonts w:ascii="Times New Roman" w:hAnsi="Times New Roman"/>
                <w:lang w:val="fi-FI"/>
              </w:rPr>
            </w:pPr>
            <w:r w:rsidRPr="00D9492F">
              <w:rPr>
                <w:rFonts w:ascii="Times New Roman" w:hAnsi="Times New Roman"/>
                <w:lang w:val="fi-FI"/>
              </w:rPr>
              <w:t>Astenija (3 laipsnio – 0 %). Skysčių susilaikymas.</w:t>
            </w:r>
          </w:p>
        </w:tc>
        <w:tc>
          <w:tcPr>
            <w:tcW w:w="3303" w:type="dxa"/>
            <w:tcBorders>
              <w:top w:val="single" w:sz="4" w:space="0" w:color="auto"/>
              <w:left w:val="single" w:sz="4" w:space="0" w:color="auto"/>
              <w:bottom w:val="single" w:sz="4" w:space="0" w:color="auto"/>
              <w:right w:val="single" w:sz="4" w:space="0" w:color="auto"/>
            </w:tcBorders>
            <w:hideMark/>
          </w:tcPr>
          <w:p w14:paraId="7ECAE8B4" w14:textId="77777777" w:rsidR="00C16B7D" w:rsidRPr="00D9492F" w:rsidRDefault="00C16B7D">
            <w:pPr>
              <w:keepNext/>
              <w:keepLines/>
              <w:spacing w:after="0" w:line="240" w:lineRule="auto"/>
              <w:rPr>
                <w:rFonts w:ascii="Times New Roman" w:hAnsi="Times New Roman"/>
                <w:lang w:val="fi-FI"/>
              </w:rPr>
            </w:pPr>
            <w:r w:rsidRPr="00D9492F">
              <w:rPr>
                <w:rFonts w:ascii="Times New Roman" w:hAnsi="Times New Roman"/>
                <w:lang w:val="fi-FI"/>
              </w:rPr>
              <w:t xml:space="preserve">Karščiavimas (3 laipsnio – 1 %). </w:t>
            </w:r>
          </w:p>
          <w:p w14:paraId="494E3F6B" w14:textId="77777777" w:rsidR="00C16B7D" w:rsidRPr="00D9492F" w:rsidRDefault="00C16B7D">
            <w:pPr>
              <w:keepNext/>
              <w:keepLines/>
              <w:spacing w:after="0" w:line="240" w:lineRule="auto"/>
              <w:rPr>
                <w:rFonts w:ascii="Times New Roman" w:hAnsi="Times New Roman"/>
                <w:lang w:val="fi-FI"/>
              </w:rPr>
            </w:pPr>
            <w:r w:rsidRPr="00D9492F">
              <w:rPr>
                <w:rFonts w:ascii="Times New Roman" w:hAnsi="Times New Roman"/>
                <w:lang w:val="fi-FI"/>
              </w:rPr>
              <w:t xml:space="preserve">Burnos kandidamikozė. </w:t>
            </w:r>
          </w:p>
          <w:p w14:paraId="59E3D9CA" w14:textId="77777777" w:rsidR="00C16B7D" w:rsidRPr="00D9492F" w:rsidRDefault="00C16B7D">
            <w:pPr>
              <w:keepNext/>
              <w:keepLines/>
              <w:spacing w:after="0" w:line="240" w:lineRule="auto"/>
              <w:rPr>
                <w:rFonts w:ascii="Times New Roman" w:hAnsi="Times New Roman"/>
                <w:lang w:val="fi-FI"/>
              </w:rPr>
            </w:pPr>
            <w:r w:rsidRPr="00D9492F">
              <w:rPr>
                <w:rFonts w:ascii="Times New Roman" w:hAnsi="Times New Roman"/>
                <w:lang w:val="fi-FI"/>
              </w:rPr>
              <w:t xml:space="preserve">Hipokalcemija (3 laipsnio – 0 %). </w:t>
            </w:r>
          </w:p>
          <w:p w14:paraId="15270622"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 xml:space="preserve">Hipofosfatemija (3-4 laipsnio – </w:t>
            </w:r>
          </w:p>
          <w:p w14:paraId="15230179"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 xml:space="preserve">1 %). </w:t>
            </w:r>
          </w:p>
          <w:p w14:paraId="7AFC3E7E" w14:textId="77777777" w:rsidR="00C16B7D" w:rsidRPr="00D9492F" w:rsidRDefault="00C16B7D">
            <w:pPr>
              <w:keepNext/>
              <w:keepLines/>
              <w:spacing w:after="0" w:line="240" w:lineRule="auto"/>
              <w:rPr>
                <w:rFonts w:ascii="Times New Roman" w:hAnsi="Times New Roman"/>
                <w:lang w:val="en-GB"/>
              </w:rPr>
            </w:pPr>
            <w:r w:rsidRPr="00D9492F">
              <w:rPr>
                <w:rFonts w:ascii="Times New Roman" w:hAnsi="Times New Roman"/>
                <w:lang w:val="en-GB"/>
              </w:rPr>
              <w:t>Hipokalemija (3 laipsnio – 0 %).</w:t>
            </w:r>
          </w:p>
        </w:tc>
      </w:tr>
    </w:tbl>
    <w:p w14:paraId="3D2DB180" w14:textId="77777777" w:rsidR="00C16B7D" w:rsidRPr="00D9492F" w:rsidRDefault="00C16B7D" w:rsidP="00C16B7D">
      <w:pPr>
        <w:spacing w:after="0"/>
        <w:ind w:left="-3" w:hanging="10"/>
        <w:rPr>
          <w:rFonts w:ascii="Times New Roman" w:hAnsi="Times New Roman"/>
          <w:lang w:val="fi-FI"/>
        </w:rPr>
      </w:pPr>
      <w:r w:rsidRPr="00D9492F">
        <w:rPr>
          <w:rFonts w:ascii="Times New Roman" w:eastAsia="Arial" w:hAnsi="Times New Roman"/>
          <w:sz w:val="18"/>
          <w:vertAlign w:val="superscript"/>
          <w:lang w:val="fi-FI"/>
        </w:rPr>
        <w:t>a</w:t>
      </w:r>
      <w:r w:rsidRPr="00D9492F">
        <w:rPr>
          <w:rFonts w:ascii="Times New Roman" w:eastAsia="Arial" w:hAnsi="Times New Roman"/>
          <w:sz w:val="18"/>
          <w:lang w:val="fi-FI"/>
        </w:rPr>
        <w:t xml:space="preserve"> </w:t>
      </w:r>
      <w:r w:rsidRPr="00D9492F">
        <w:rPr>
          <w:rFonts w:ascii="Times New Roman" w:hAnsi="Times New Roman"/>
          <w:sz w:val="18"/>
          <w:lang w:val="fi-FI"/>
        </w:rPr>
        <w:t>GETUG AFU15 tyrimo duomenys</w:t>
      </w:r>
      <w:r w:rsidRPr="00D9492F">
        <w:rPr>
          <w:rFonts w:ascii="Times New Roman" w:hAnsi="Times New Roman"/>
          <w:lang w:val="fi-FI"/>
        </w:rPr>
        <w:t xml:space="preserve"> </w:t>
      </w:r>
    </w:p>
    <w:p w14:paraId="682A910C" w14:textId="77777777" w:rsidR="00DC1CDC" w:rsidRPr="00D9492F" w:rsidRDefault="00DC1CDC" w:rsidP="00DC1CDC">
      <w:pPr>
        <w:keepNext/>
        <w:suppressAutoHyphens/>
        <w:spacing w:after="0" w:line="240" w:lineRule="auto"/>
        <w:rPr>
          <w:rFonts w:ascii="Times New Roman" w:eastAsia="Times New Roman" w:hAnsi="Times New Roman"/>
          <w:bCs/>
          <w:u w:val="single"/>
        </w:rPr>
      </w:pPr>
      <w:r w:rsidRPr="00D9492F">
        <w:rPr>
          <w:rFonts w:ascii="Times New Roman" w:eastAsia="Times New Roman" w:hAnsi="Times New Roman"/>
          <w:bCs/>
          <w:u w:val="single"/>
        </w:rPr>
        <w:lastRenderedPageBreak/>
        <w:t>Nepageidaujamos reakcijos, atsiradusios vartojant Docetaxel SanoSwiss 75 mg/m² dozę adjuvantiniam gydymui kartu su doksorubicinu ir ciklofosfamidu, pacientėms, sergančioms į limfmazgius metastazavusiu (TAX 316) ir į limfmazgius nemetastazavusiu (GEICAM 9805) krūties vėžiu</w:t>
      </w:r>
    </w:p>
    <w:p w14:paraId="440B737E" w14:textId="77777777" w:rsidR="00DC1CDC" w:rsidRPr="00D9492F" w:rsidRDefault="00DC1CDC" w:rsidP="00DC1CDC">
      <w:pPr>
        <w:keepNext/>
        <w:keepLines/>
        <w:tabs>
          <w:tab w:val="left" w:pos="567"/>
        </w:tabs>
        <w:suppressAutoHyphens/>
        <w:spacing w:after="0" w:line="240" w:lineRule="auto"/>
        <w:rPr>
          <w:rFonts w:ascii="Times New Roman" w:hAnsi="Times New Roman"/>
        </w:rPr>
      </w:pP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2"/>
        <w:gridCol w:w="2165"/>
        <w:gridCol w:w="2159"/>
        <w:gridCol w:w="2509"/>
      </w:tblGrid>
      <w:tr w:rsidR="008B03A9" w:rsidRPr="00D9492F" w14:paraId="548A7D7B" w14:textId="77777777" w:rsidTr="00AA0DA9">
        <w:trPr>
          <w:cantSplit/>
          <w:tblHeader/>
          <w:jc w:val="center"/>
        </w:trPr>
        <w:tc>
          <w:tcPr>
            <w:tcW w:w="1288" w:type="pct"/>
            <w:shd w:val="clear" w:color="auto" w:fill="auto"/>
          </w:tcPr>
          <w:p w14:paraId="065A8577"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lastRenderedPageBreak/>
              <w:t>MedDRA organų sistemų klasės</w:t>
            </w:r>
          </w:p>
          <w:p w14:paraId="59BECDCB" w14:textId="77777777" w:rsidR="00DC1CDC" w:rsidRPr="00D9492F" w:rsidRDefault="00DC1CDC" w:rsidP="00DC1CDC">
            <w:pPr>
              <w:keepNext/>
              <w:keepLines/>
              <w:spacing w:after="0" w:line="240" w:lineRule="auto"/>
              <w:rPr>
                <w:rFonts w:ascii="Times New Roman" w:hAnsi="Times New Roman"/>
                <w:u w:val="single"/>
              </w:rPr>
            </w:pPr>
          </w:p>
        </w:tc>
        <w:tc>
          <w:tcPr>
            <w:tcW w:w="1176" w:type="pct"/>
            <w:shd w:val="clear" w:color="auto" w:fill="auto"/>
          </w:tcPr>
          <w:p w14:paraId="07E9BAFE" w14:textId="007493BC"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Labai dažnos nepageidaujamos reakcijos</w:t>
            </w:r>
          </w:p>
          <w:p w14:paraId="2CB75860"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u w:val="single"/>
              </w:rPr>
            </w:pPr>
          </w:p>
        </w:tc>
        <w:tc>
          <w:tcPr>
            <w:tcW w:w="1173" w:type="pct"/>
            <w:shd w:val="clear" w:color="auto" w:fill="auto"/>
          </w:tcPr>
          <w:p w14:paraId="10C613E6"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Dažnos nepageidaujamos reakcijos</w:t>
            </w:r>
          </w:p>
          <w:p w14:paraId="19F61ACD" w14:textId="77777777" w:rsidR="00DC1CDC" w:rsidRPr="00D9492F" w:rsidRDefault="00DC1CDC" w:rsidP="00DC1CDC">
            <w:pPr>
              <w:keepNext/>
              <w:keepLines/>
              <w:spacing w:after="0" w:line="240" w:lineRule="auto"/>
              <w:rPr>
                <w:rFonts w:ascii="Times New Roman" w:hAnsi="Times New Roman"/>
                <w:u w:val="single"/>
              </w:rPr>
            </w:pPr>
          </w:p>
        </w:tc>
        <w:tc>
          <w:tcPr>
            <w:tcW w:w="1363" w:type="pct"/>
            <w:shd w:val="clear" w:color="auto" w:fill="auto"/>
          </w:tcPr>
          <w:p w14:paraId="116EDF73"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Nedažnos nepageidaujamos reakcijos</w:t>
            </w:r>
          </w:p>
          <w:p w14:paraId="657F025C" w14:textId="77777777" w:rsidR="00DC1CDC" w:rsidRPr="00D9492F" w:rsidRDefault="00DC1CDC" w:rsidP="00DC1CDC">
            <w:pPr>
              <w:keepNext/>
              <w:keepLines/>
              <w:spacing w:after="0" w:line="240" w:lineRule="auto"/>
              <w:rPr>
                <w:rFonts w:ascii="Times New Roman" w:hAnsi="Times New Roman"/>
                <w:u w:val="single"/>
              </w:rPr>
            </w:pPr>
          </w:p>
        </w:tc>
      </w:tr>
      <w:tr w:rsidR="008B03A9" w:rsidRPr="00D9492F" w14:paraId="737E963D" w14:textId="77777777" w:rsidTr="00AA0DA9">
        <w:trPr>
          <w:cantSplit/>
          <w:jc w:val="center"/>
        </w:trPr>
        <w:tc>
          <w:tcPr>
            <w:tcW w:w="1288" w:type="pct"/>
          </w:tcPr>
          <w:p w14:paraId="5FFCAD6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Infekcijos ir infestacijos</w:t>
            </w:r>
          </w:p>
        </w:tc>
        <w:tc>
          <w:tcPr>
            <w:tcW w:w="1176" w:type="pct"/>
          </w:tcPr>
          <w:p w14:paraId="7B951A7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Infekcija (3</w:t>
            </w:r>
            <w:r w:rsidRPr="00D9492F">
              <w:rPr>
                <w:rFonts w:ascii="Times New Roman" w:hAnsi="Times New Roman"/>
              </w:rPr>
              <w:noBreakHyphen/>
              <w:t>4 laipsnio – 2,4 %)</w:t>
            </w:r>
            <w:r w:rsidR="008B03A9" w:rsidRPr="00D9492F">
              <w:rPr>
                <w:rFonts w:ascii="Times New Roman" w:hAnsi="Times New Roman"/>
              </w:rPr>
              <w:t>.</w:t>
            </w:r>
          </w:p>
          <w:p w14:paraId="22251D1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Neutropeninė infekcija (3</w:t>
            </w:r>
            <w:r w:rsidRPr="00D9492F">
              <w:rPr>
                <w:rFonts w:ascii="Times New Roman" w:hAnsi="Times New Roman"/>
              </w:rPr>
              <w:noBreakHyphen/>
              <w:t>4 laipsnio – 2,6 %)</w:t>
            </w:r>
            <w:r w:rsidR="008B03A9" w:rsidRPr="00D9492F">
              <w:rPr>
                <w:rFonts w:ascii="Times New Roman" w:hAnsi="Times New Roman"/>
              </w:rPr>
              <w:t>.</w:t>
            </w:r>
          </w:p>
          <w:p w14:paraId="04DA2838" w14:textId="77777777" w:rsidR="00DC1CDC" w:rsidRPr="00D9492F" w:rsidRDefault="00DC1CDC" w:rsidP="00DC1CDC">
            <w:pPr>
              <w:keepNext/>
              <w:keepLines/>
              <w:spacing w:after="0" w:line="240" w:lineRule="auto"/>
              <w:rPr>
                <w:rFonts w:ascii="Times New Roman" w:hAnsi="Times New Roman"/>
              </w:rPr>
            </w:pPr>
          </w:p>
        </w:tc>
        <w:tc>
          <w:tcPr>
            <w:tcW w:w="1173" w:type="pct"/>
          </w:tcPr>
          <w:p w14:paraId="4045A18B" w14:textId="77777777" w:rsidR="00DC1CDC" w:rsidRPr="00D9492F" w:rsidRDefault="00DC1CDC" w:rsidP="00DC1CDC">
            <w:pPr>
              <w:keepNext/>
              <w:keepLines/>
              <w:spacing w:after="0" w:line="240" w:lineRule="auto"/>
              <w:rPr>
                <w:rFonts w:ascii="Times New Roman" w:hAnsi="Times New Roman"/>
              </w:rPr>
            </w:pPr>
          </w:p>
        </w:tc>
        <w:tc>
          <w:tcPr>
            <w:tcW w:w="1363" w:type="pct"/>
          </w:tcPr>
          <w:p w14:paraId="4A5329FC" w14:textId="77777777" w:rsidR="00DC1CDC" w:rsidRPr="00D9492F" w:rsidRDefault="00DC1CDC" w:rsidP="00DC1CDC">
            <w:pPr>
              <w:keepNext/>
              <w:keepLines/>
              <w:spacing w:after="0" w:line="240" w:lineRule="auto"/>
              <w:rPr>
                <w:rFonts w:ascii="Times New Roman" w:hAnsi="Times New Roman"/>
              </w:rPr>
            </w:pPr>
          </w:p>
        </w:tc>
      </w:tr>
      <w:tr w:rsidR="008B03A9" w:rsidRPr="00D9492F" w14:paraId="1006F54B" w14:textId="77777777" w:rsidTr="00AA0DA9">
        <w:trPr>
          <w:cantSplit/>
          <w:jc w:val="center"/>
        </w:trPr>
        <w:tc>
          <w:tcPr>
            <w:tcW w:w="1288" w:type="pct"/>
          </w:tcPr>
          <w:p w14:paraId="5A569F5D"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Kraujo ir limfinės sistemos sutrikimai</w:t>
            </w:r>
          </w:p>
        </w:tc>
        <w:tc>
          <w:tcPr>
            <w:tcW w:w="1176" w:type="pct"/>
          </w:tcPr>
          <w:p w14:paraId="482CA0B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Anemija (3</w:t>
            </w:r>
            <w:r w:rsidRPr="00D9492F">
              <w:rPr>
                <w:rFonts w:ascii="Times New Roman" w:hAnsi="Times New Roman"/>
              </w:rPr>
              <w:noBreakHyphen/>
              <w:t>4 laipsnio – 3 %)</w:t>
            </w:r>
            <w:r w:rsidR="008B03A9" w:rsidRPr="00D9492F">
              <w:rPr>
                <w:rFonts w:ascii="Times New Roman" w:hAnsi="Times New Roman"/>
              </w:rPr>
              <w:t>.</w:t>
            </w:r>
          </w:p>
          <w:p w14:paraId="731E052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Neutropenija (3</w:t>
            </w:r>
            <w:r w:rsidRPr="00D9492F">
              <w:rPr>
                <w:rFonts w:ascii="Times New Roman" w:hAnsi="Times New Roman"/>
              </w:rPr>
              <w:noBreakHyphen/>
              <w:t>4 laipsnio – 59,2 %)</w:t>
            </w:r>
            <w:r w:rsidR="008B03A9" w:rsidRPr="00D9492F">
              <w:rPr>
                <w:rFonts w:ascii="Times New Roman" w:hAnsi="Times New Roman"/>
              </w:rPr>
              <w:t>.</w:t>
            </w:r>
          </w:p>
          <w:p w14:paraId="61B7F13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Trombocitopenija (3</w:t>
            </w:r>
            <w:r w:rsidRPr="00D9492F">
              <w:rPr>
                <w:rFonts w:ascii="Times New Roman" w:hAnsi="Times New Roman"/>
              </w:rPr>
              <w:noBreakHyphen/>
              <w:t>4 laipsnio – 1,6 %)</w:t>
            </w:r>
            <w:r w:rsidR="008B03A9" w:rsidRPr="00D9492F">
              <w:rPr>
                <w:rFonts w:ascii="Times New Roman" w:hAnsi="Times New Roman"/>
              </w:rPr>
              <w:t>.</w:t>
            </w:r>
          </w:p>
          <w:p w14:paraId="68ACF12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Febrilinė neutropenija</w:t>
            </w:r>
          </w:p>
          <w:p w14:paraId="4DABD41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(3</w:t>
            </w:r>
            <w:r w:rsidRPr="00D9492F">
              <w:rPr>
                <w:rFonts w:ascii="Times New Roman" w:hAnsi="Times New Roman"/>
              </w:rPr>
              <w:noBreakHyphen/>
              <w:t>4 laipsnio: nenustatyta)</w:t>
            </w:r>
            <w:r w:rsidR="008B03A9" w:rsidRPr="00D9492F">
              <w:rPr>
                <w:rFonts w:ascii="Times New Roman" w:hAnsi="Times New Roman"/>
              </w:rPr>
              <w:t>.</w:t>
            </w:r>
          </w:p>
        </w:tc>
        <w:tc>
          <w:tcPr>
            <w:tcW w:w="1173" w:type="pct"/>
          </w:tcPr>
          <w:p w14:paraId="53F419F2" w14:textId="77777777" w:rsidR="00DC1CDC" w:rsidRPr="00D9492F" w:rsidRDefault="00DC1CDC" w:rsidP="00DC1CDC">
            <w:pPr>
              <w:keepNext/>
              <w:keepLines/>
              <w:spacing w:after="0" w:line="240" w:lineRule="auto"/>
              <w:rPr>
                <w:rFonts w:ascii="Times New Roman" w:hAnsi="Times New Roman"/>
              </w:rPr>
            </w:pPr>
          </w:p>
        </w:tc>
        <w:tc>
          <w:tcPr>
            <w:tcW w:w="1363" w:type="pct"/>
          </w:tcPr>
          <w:p w14:paraId="56943D77" w14:textId="77777777" w:rsidR="00DC1CDC" w:rsidRPr="00D9492F" w:rsidRDefault="00DC1CDC" w:rsidP="00DC1CDC">
            <w:pPr>
              <w:keepNext/>
              <w:keepLines/>
              <w:spacing w:after="0" w:line="240" w:lineRule="auto"/>
              <w:rPr>
                <w:rFonts w:ascii="Times New Roman" w:hAnsi="Times New Roman"/>
              </w:rPr>
            </w:pPr>
          </w:p>
        </w:tc>
      </w:tr>
      <w:tr w:rsidR="008B03A9" w:rsidRPr="00D9492F" w14:paraId="62AB8D38" w14:textId="77777777" w:rsidTr="00AA0DA9">
        <w:trPr>
          <w:cantSplit/>
          <w:jc w:val="center"/>
        </w:trPr>
        <w:tc>
          <w:tcPr>
            <w:tcW w:w="1288" w:type="pct"/>
          </w:tcPr>
          <w:p w14:paraId="75FD09C5"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Imuninės sistemos sutrikimai</w:t>
            </w:r>
          </w:p>
        </w:tc>
        <w:tc>
          <w:tcPr>
            <w:tcW w:w="1176" w:type="pct"/>
          </w:tcPr>
          <w:p w14:paraId="076CCE5E" w14:textId="77777777" w:rsidR="00DC1CDC" w:rsidRPr="00D9492F" w:rsidRDefault="00DC1CDC" w:rsidP="00DC1CDC">
            <w:pPr>
              <w:keepNext/>
              <w:keepLines/>
              <w:spacing w:after="0" w:line="240" w:lineRule="auto"/>
              <w:rPr>
                <w:rFonts w:ascii="Times New Roman" w:hAnsi="Times New Roman"/>
              </w:rPr>
            </w:pPr>
          </w:p>
        </w:tc>
        <w:tc>
          <w:tcPr>
            <w:tcW w:w="1173" w:type="pct"/>
          </w:tcPr>
          <w:p w14:paraId="7435B31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Padidėjęs jautrumas (3</w:t>
            </w:r>
            <w:r w:rsidRPr="00D9492F">
              <w:rPr>
                <w:rFonts w:ascii="Times New Roman" w:hAnsi="Times New Roman"/>
              </w:rPr>
              <w:noBreakHyphen/>
              <w:t>4 laipsnio – 0,6 %)</w:t>
            </w:r>
            <w:r w:rsidR="008B03A9" w:rsidRPr="00D9492F">
              <w:rPr>
                <w:rFonts w:ascii="Times New Roman" w:hAnsi="Times New Roman"/>
              </w:rPr>
              <w:t>.</w:t>
            </w:r>
          </w:p>
        </w:tc>
        <w:tc>
          <w:tcPr>
            <w:tcW w:w="1363" w:type="pct"/>
          </w:tcPr>
          <w:p w14:paraId="4B24ED2C" w14:textId="77777777" w:rsidR="00DC1CDC" w:rsidRPr="00D9492F" w:rsidRDefault="00DC1CDC" w:rsidP="00DC1CDC">
            <w:pPr>
              <w:keepNext/>
              <w:keepLines/>
              <w:spacing w:after="0" w:line="240" w:lineRule="auto"/>
              <w:rPr>
                <w:rFonts w:ascii="Times New Roman" w:hAnsi="Times New Roman"/>
              </w:rPr>
            </w:pPr>
          </w:p>
        </w:tc>
      </w:tr>
      <w:tr w:rsidR="008B03A9" w:rsidRPr="00D9492F" w14:paraId="2B50CB5A" w14:textId="77777777" w:rsidTr="00AA0DA9">
        <w:trPr>
          <w:cantSplit/>
          <w:jc w:val="center"/>
        </w:trPr>
        <w:tc>
          <w:tcPr>
            <w:tcW w:w="1288" w:type="pct"/>
          </w:tcPr>
          <w:p w14:paraId="6A558E2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Metabolizmo ir mitybos sutrikimai</w:t>
            </w:r>
          </w:p>
        </w:tc>
        <w:tc>
          <w:tcPr>
            <w:tcW w:w="1176" w:type="pct"/>
          </w:tcPr>
          <w:p w14:paraId="6F3C900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Anoreksija (3</w:t>
            </w:r>
            <w:r w:rsidRPr="00D9492F">
              <w:rPr>
                <w:rFonts w:ascii="Times New Roman" w:hAnsi="Times New Roman"/>
              </w:rPr>
              <w:noBreakHyphen/>
              <w:t>4 laipsnio – 1,5 %)</w:t>
            </w:r>
            <w:r w:rsidR="008B03A9" w:rsidRPr="00D9492F">
              <w:rPr>
                <w:rFonts w:ascii="Times New Roman" w:hAnsi="Times New Roman"/>
              </w:rPr>
              <w:t>.</w:t>
            </w:r>
          </w:p>
        </w:tc>
        <w:tc>
          <w:tcPr>
            <w:tcW w:w="1173" w:type="pct"/>
          </w:tcPr>
          <w:p w14:paraId="016ED037" w14:textId="77777777" w:rsidR="00DC1CDC" w:rsidRPr="00D9492F" w:rsidRDefault="00DC1CDC" w:rsidP="00DC1CDC">
            <w:pPr>
              <w:keepNext/>
              <w:keepLines/>
              <w:spacing w:after="0" w:line="240" w:lineRule="auto"/>
              <w:rPr>
                <w:rFonts w:ascii="Times New Roman" w:hAnsi="Times New Roman"/>
              </w:rPr>
            </w:pPr>
          </w:p>
        </w:tc>
        <w:tc>
          <w:tcPr>
            <w:tcW w:w="1363" w:type="pct"/>
          </w:tcPr>
          <w:p w14:paraId="133675C5" w14:textId="77777777" w:rsidR="00DC1CDC" w:rsidRPr="00D9492F" w:rsidRDefault="00DC1CDC" w:rsidP="00DC1CDC">
            <w:pPr>
              <w:keepNext/>
              <w:keepLines/>
              <w:spacing w:after="0" w:line="240" w:lineRule="auto"/>
              <w:rPr>
                <w:rFonts w:ascii="Times New Roman" w:hAnsi="Times New Roman"/>
              </w:rPr>
            </w:pPr>
          </w:p>
        </w:tc>
      </w:tr>
      <w:tr w:rsidR="008B03A9" w:rsidRPr="00D9492F" w14:paraId="5C3A4E04" w14:textId="77777777" w:rsidTr="00AA0DA9">
        <w:trPr>
          <w:cantSplit/>
          <w:jc w:val="center"/>
        </w:trPr>
        <w:tc>
          <w:tcPr>
            <w:tcW w:w="1288" w:type="pct"/>
          </w:tcPr>
          <w:p w14:paraId="5596174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Nervų sistemos sutrikimai</w:t>
            </w:r>
          </w:p>
        </w:tc>
        <w:tc>
          <w:tcPr>
            <w:tcW w:w="1176" w:type="pct"/>
          </w:tcPr>
          <w:p w14:paraId="7A08876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Disgeuzija (3</w:t>
            </w:r>
            <w:r w:rsidRPr="00D9492F">
              <w:rPr>
                <w:rFonts w:ascii="Times New Roman" w:hAnsi="Times New Roman"/>
              </w:rPr>
              <w:noBreakHyphen/>
              <w:t>4 laipsnio – 0,6 %)</w:t>
            </w:r>
            <w:r w:rsidR="008B03A9" w:rsidRPr="00D9492F">
              <w:rPr>
                <w:rFonts w:ascii="Times New Roman" w:hAnsi="Times New Roman"/>
              </w:rPr>
              <w:t>.</w:t>
            </w:r>
          </w:p>
          <w:p w14:paraId="343F52D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sensorinė neuropatija (3</w:t>
            </w:r>
            <w:r w:rsidRPr="00D9492F">
              <w:rPr>
                <w:rFonts w:ascii="Times New Roman" w:hAnsi="Times New Roman"/>
              </w:rPr>
              <w:noBreakHyphen/>
              <w:t>4 laipsnio &lt; 0,1 %)</w:t>
            </w:r>
            <w:r w:rsidR="008B03A9" w:rsidRPr="00D9492F">
              <w:rPr>
                <w:rFonts w:ascii="Times New Roman" w:hAnsi="Times New Roman"/>
              </w:rPr>
              <w:t>.</w:t>
            </w:r>
          </w:p>
        </w:tc>
        <w:tc>
          <w:tcPr>
            <w:tcW w:w="1173" w:type="pct"/>
          </w:tcPr>
          <w:p w14:paraId="7C599C1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motorinė neuropatija</w:t>
            </w:r>
          </w:p>
          <w:p w14:paraId="14C692C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 (3</w:t>
            </w:r>
            <w:r w:rsidRPr="00D9492F">
              <w:rPr>
                <w:rFonts w:ascii="Times New Roman" w:hAnsi="Times New Roman"/>
              </w:rPr>
              <w:noBreakHyphen/>
              <w:t>4 laipsnio – 0 %)</w:t>
            </w:r>
            <w:r w:rsidR="008B03A9" w:rsidRPr="00D9492F">
              <w:rPr>
                <w:rFonts w:ascii="Times New Roman" w:hAnsi="Times New Roman"/>
              </w:rPr>
              <w:t>.</w:t>
            </w:r>
          </w:p>
          <w:p w14:paraId="20F97D30" w14:textId="77777777" w:rsidR="00DC1CDC" w:rsidRPr="00D9492F" w:rsidRDefault="00DC1CDC" w:rsidP="00DC1CDC">
            <w:pPr>
              <w:keepNext/>
              <w:keepLines/>
              <w:spacing w:after="0" w:line="240" w:lineRule="auto"/>
              <w:rPr>
                <w:rFonts w:ascii="Times New Roman" w:hAnsi="Times New Roman"/>
              </w:rPr>
            </w:pPr>
          </w:p>
        </w:tc>
        <w:tc>
          <w:tcPr>
            <w:tcW w:w="1363" w:type="pct"/>
          </w:tcPr>
          <w:p w14:paraId="1E446A5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Sinkopė (3</w:t>
            </w:r>
            <w:r w:rsidRPr="00D9492F">
              <w:rPr>
                <w:rFonts w:ascii="Times New Roman" w:hAnsi="Times New Roman"/>
              </w:rPr>
              <w:noBreakHyphen/>
              <w:t>4 laipsnio – 0 %)</w:t>
            </w:r>
            <w:r w:rsidR="008B03A9" w:rsidRPr="00D9492F">
              <w:rPr>
                <w:rFonts w:ascii="Times New Roman" w:hAnsi="Times New Roman"/>
              </w:rPr>
              <w:t>.</w:t>
            </w:r>
          </w:p>
          <w:p w14:paraId="41AF4AA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Neurotoksiškumas (3</w:t>
            </w:r>
            <w:r w:rsidRPr="00D9492F">
              <w:rPr>
                <w:rFonts w:ascii="Times New Roman" w:hAnsi="Times New Roman"/>
              </w:rPr>
              <w:noBreakHyphen/>
              <w:t>4 laipsnio – 0 %)</w:t>
            </w:r>
            <w:r w:rsidR="008B03A9" w:rsidRPr="00D9492F">
              <w:rPr>
                <w:rFonts w:ascii="Times New Roman" w:hAnsi="Times New Roman"/>
              </w:rPr>
              <w:t>.</w:t>
            </w:r>
          </w:p>
          <w:p w14:paraId="7CD0402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Somnolencija (3</w:t>
            </w:r>
            <w:r w:rsidRPr="00D9492F">
              <w:rPr>
                <w:rFonts w:ascii="Times New Roman" w:hAnsi="Times New Roman"/>
              </w:rPr>
              <w:noBreakHyphen/>
              <w:t>4 laipsnio – 0 %)</w:t>
            </w:r>
            <w:r w:rsidR="008B03A9" w:rsidRPr="00D9492F">
              <w:rPr>
                <w:rFonts w:ascii="Times New Roman" w:hAnsi="Times New Roman"/>
              </w:rPr>
              <w:t>.</w:t>
            </w:r>
          </w:p>
        </w:tc>
      </w:tr>
      <w:tr w:rsidR="008B03A9" w:rsidRPr="00D9492F" w14:paraId="45174B18" w14:textId="77777777" w:rsidTr="00AA0DA9">
        <w:trPr>
          <w:cantSplit/>
          <w:jc w:val="center"/>
        </w:trPr>
        <w:tc>
          <w:tcPr>
            <w:tcW w:w="1288" w:type="pct"/>
          </w:tcPr>
          <w:p w14:paraId="43CFE9A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Akių sutrikimai</w:t>
            </w:r>
          </w:p>
        </w:tc>
        <w:tc>
          <w:tcPr>
            <w:tcW w:w="1176" w:type="pct"/>
          </w:tcPr>
          <w:p w14:paraId="1A43DC0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Konjunktyvitas (3</w:t>
            </w:r>
            <w:r w:rsidRPr="00D9492F">
              <w:rPr>
                <w:rFonts w:ascii="Times New Roman" w:hAnsi="Times New Roman"/>
              </w:rPr>
              <w:noBreakHyphen/>
              <w:t>4 laipsnio &lt; 0,1 %)</w:t>
            </w:r>
            <w:r w:rsidR="008B03A9" w:rsidRPr="00D9492F">
              <w:rPr>
                <w:rFonts w:ascii="Times New Roman" w:hAnsi="Times New Roman"/>
              </w:rPr>
              <w:t>.</w:t>
            </w:r>
          </w:p>
        </w:tc>
        <w:tc>
          <w:tcPr>
            <w:tcW w:w="1173" w:type="pct"/>
          </w:tcPr>
          <w:p w14:paraId="385DA88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Sustiprėjęs ašarojimas (3</w:t>
            </w:r>
            <w:r w:rsidRPr="00D9492F">
              <w:rPr>
                <w:rFonts w:ascii="Times New Roman" w:hAnsi="Times New Roman"/>
              </w:rPr>
              <w:noBreakHyphen/>
              <w:t>4 laipsnio &lt; 0,1 %)</w:t>
            </w:r>
            <w:r w:rsidR="008B03A9" w:rsidRPr="00D9492F">
              <w:rPr>
                <w:rFonts w:ascii="Times New Roman" w:hAnsi="Times New Roman"/>
              </w:rPr>
              <w:t>.</w:t>
            </w:r>
          </w:p>
          <w:p w14:paraId="7C1719A8" w14:textId="77777777" w:rsidR="00DC1CDC" w:rsidRPr="00D9492F" w:rsidRDefault="00DC1CDC" w:rsidP="00DC1CDC">
            <w:pPr>
              <w:keepNext/>
              <w:keepLines/>
              <w:spacing w:after="0" w:line="240" w:lineRule="auto"/>
              <w:rPr>
                <w:rFonts w:ascii="Times New Roman" w:hAnsi="Times New Roman"/>
              </w:rPr>
            </w:pPr>
          </w:p>
        </w:tc>
        <w:tc>
          <w:tcPr>
            <w:tcW w:w="1363" w:type="pct"/>
          </w:tcPr>
          <w:p w14:paraId="1D404156" w14:textId="77777777" w:rsidR="00DC1CDC" w:rsidRPr="00D9492F" w:rsidRDefault="00DC1CDC" w:rsidP="00DC1CDC">
            <w:pPr>
              <w:keepNext/>
              <w:keepLines/>
              <w:spacing w:after="0" w:line="240" w:lineRule="auto"/>
              <w:rPr>
                <w:rFonts w:ascii="Times New Roman" w:hAnsi="Times New Roman"/>
              </w:rPr>
            </w:pPr>
          </w:p>
        </w:tc>
      </w:tr>
      <w:tr w:rsidR="008B03A9" w:rsidRPr="00D9492F" w14:paraId="44FEC568" w14:textId="77777777" w:rsidTr="00AA0DA9">
        <w:trPr>
          <w:cantSplit/>
          <w:jc w:val="center"/>
        </w:trPr>
        <w:tc>
          <w:tcPr>
            <w:tcW w:w="1288" w:type="pct"/>
          </w:tcPr>
          <w:p w14:paraId="29A8C32B"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Širdies sutrikimai</w:t>
            </w:r>
          </w:p>
        </w:tc>
        <w:tc>
          <w:tcPr>
            <w:tcW w:w="1176" w:type="pct"/>
          </w:tcPr>
          <w:p w14:paraId="4A540E3B" w14:textId="77777777" w:rsidR="00DC1CDC" w:rsidRPr="00D9492F" w:rsidRDefault="00DC1CDC" w:rsidP="00DC1CDC">
            <w:pPr>
              <w:keepNext/>
              <w:keepLines/>
              <w:spacing w:after="0" w:line="240" w:lineRule="auto"/>
              <w:rPr>
                <w:rFonts w:ascii="Times New Roman" w:hAnsi="Times New Roman"/>
              </w:rPr>
            </w:pPr>
          </w:p>
        </w:tc>
        <w:tc>
          <w:tcPr>
            <w:tcW w:w="1173" w:type="pct"/>
          </w:tcPr>
          <w:p w14:paraId="15B2BD7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Aritmija (3</w:t>
            </w:r>
            <w:r w:rsidRPr="00D9492F">
              <w:rPr>
                <w:rFonts w:ascii="Times New Roman" w:hAnsi="Times New Roman"/>
              </w:rPr>
              <w:noBreakHyphen/>
              <w:t>4 laipsnio – 0,2 %)</w:t>
            </w:r>
            <w:r w:rsidR="008B03A9" w:rsidRPr="00D9492F">
              <w:rPr>
                <w:rFonts w:ascii="Times New Roman" w:hAnsi="Times New Roman"/>
              </w:rPr>
              <w:t>.</w:t>
            </w:r>
          </w:p>
          <w:p w14:paraId="051B0B0C" w14:textId="77777777" w:rsidR="00DC1CDC" w:rsidRPr="00D9492F" w:rsidRDefault="00DC1CDC" w:rsidP="00DC1CDC">
            <w:pPr>
              <w:keepNext/>
              <w:keepLines/>
              <w:spacing w:after="0" w:line="240" w:lineRule="auto"/>
              <w:rPr>
                <w:rFonts w:ascii="Times New Roman" w:hAnsi="Times New Roman"/>
              </w:rPr>
            </w:pPr>
          </w:p>
        </w:tc>
        <w:tc>
          <w:tcPr>
            <w:tcW w:w="1363" w:type="pct"/>
          </w:tcPr>
          <w:p w14:paraId="79838128" w14:textId="77777777" w:rsidR="00DC1CDC" w:rsidRPr="00D9492F" w:rsidRDefault="00DC1CDC" w:rsidP="00DC1CDC">
            <w:pPr>
              <w:keepNext/>
              <w:keepLines/>
              <w:spacing w:after="0" w:line="240" w:lineRule="auto"/>
              <w:rPr>
                <w:rFonts w:ascii="Times New Roman" w:hAnsi="Times New Roman"/>
              </w:rPr>
            </w:pPr>
          </w:p>
        </w:tc>
      </w:tr>
      <w:tr w:rsidR="008B03A9" w:rsidRPr="00D9492F" w14:paraId="3C0A674D" w14:textId="77777777" w:rsidTr="00AA0DA9">
        <w:trPr>
          <w:cantSplit/>
          <w:jc w:val="center"/>
        </w:trPr>
        <w:tc>
          <w:tcPr>
            <w:tcW w:w="1288" w:type="pct"/>
          </w:tcPr>
          <w:p w14:paraId="7CE7F39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Kraujagyslių sutrikimai</w:t>
            </w:r>
          </w:p>
        </w:tc>
        <w:tc>
          <w:tcPr>
            <w:tcW w:w="1176" w:type="pct"/>
          </w:tcPr>
          <w:p w14:paraId="69787BE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Karščio pylimas (3</w:t>
            </w:r>
            <w:r w:rsidRPr="00D9492F">
              <w:rPr>
                <w:rFonts w:ascii="Times New Roman" w:hAnsi="Times New Roman"/>
              </w:rPr>
              <w:noBreakHyphen/>
              <w:t>4 laipsnio – 0,5 %)</w:t>
            </w:r>
            <w:r w:rsidR="008B03A9" w:rsidRPr="00D9492F">
              <w:rPr>
                <w:rFonts w:ascii="Times New Roman" w:hAnsi="Times New Roman"/>
              </w:rPr>
              <w:t>.</w:t>
            </w:r>
          </w:p>
        </w:tc>
        <w:tc>
          <w:tcPr>
            <w:tcW w:w="1173" w:type="pct"/>
          </w:tcPr>
          <w:p w14:paraId="4E3773B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Hipotenzija (3</w:t>
            </w:r>
            <w:r w:rsidRPr="00D9492F">
              <w:rPr>
                <w:rFonts w:ascii="Times New Roman" w:hAnsi="Times New Roman"/>
              </w:rPr>
              <w:noBreakHyphen/>
              <w:t>4 laipsnio – 0 %)</w:t>
            </w:r>
            <w:r w:rsidR="008B03A9" w:rsidRPr="00D9492F">
              <w:rPr>
                <w:rFonts w:ascii="Times New Roman" w:hAnsi="Times New Roman"/>
              </w:rPr>
              <w:t>.</w:t>
            </w:r>
            <w:r w:rsidRPr="00D9492F">
              <w:rPr>
                <w:rFonts w:ascii="Times New Roman" w:hAnsi="Times New Roman"/>
              </w:rPr>
              <w:t xml:space="preserve"> Flebitas (3</w:t>
            </w:r>
            <w:r w:rsidRPr="00D9492F">
              <w:rPr>
                <w:rFonts w:ascii="Times New Roman" w:hAnsi="Times New Roman"/>
              </w:rPr>
              <w:noBreakHyphen/>
              <w:t>4 laipsnio – 0 %)</w:t>
            </w:r>
            <w:r w:rsidR="008B03A9" w:rsidRPr="00D9492F">
              <w:rPr>
                <w:rFonts w:ascii="Times New Roman" w:hAnsi="Times New Roman"/>
              </w:rPr>
              <w:t>.</w:t>
            </w:r>
          </w:p>
        </w:tc>
        <w:tc>
          <w:tcPr>
            <w:tcW w:w="1363" w:type="pct"/>
          </w:tcPr>
          <w:p w14:paraId="405FF36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Limfedema (3</w:t>
            </w:r>
            <w:r w:rsidRPr="00D9492F">
              <w:rPr>
                <w:rFonts w:ascii="Times New Roman" w:hAnsi="Times New Roman"/>
              </w:rPr>
              <w:noBreakHyphen/>
              <w:t>4 laipsnio – 0 %)</w:t>
            </w:r>
            <w:r w:rsidR="008B03A9" w:rsidRPr="00D9492F">
              <w:rPr>
                <w:rFonts w:ascii="Times New Roman" w:hAnsi="Times New Roman"/>
              </w:rPr>
              <w:t>.</w:t>
            </w:r>
          </w:p>
        </w:tc>
      </w:tr>
      <w:tr w:rsidR="008B03A9" w:rsidRPr="00D9492F" w14:paraId="5FBB79A1" w14:textId="77777777" w:rsidTr="00AA0DA9">
        <w:trPr>
          <w:cantSplit/>
          <w:jc w:val="center"/>
        </w:trPr>
        <w:tc>
          <w:tcPr>
            <w:tcW w:w="1288" w:type="pct"/>
          </w:tcPr>
          <w:p w14:paraId="7629D27B" w14:textId="77777777" w:rsidR="00DC1CDC" w:rsidRPr="00D9492F" w:rsidRDefault="00DC1CDC" w:rsidP="008B03A9">
            <w:pPr>
              <w:keepNext/>
              <w:keepLines/>
              <w:spacing w:after="0" w:line="240" w:lineRule="auto"/>
              <w:rPr>
                <w:rFonts w:ascii="Times New Roman" w:hAnsi="Times New Roman"/>
              </w:rPr>
            </w:pPr>
            <w:r w:rsidRPr="00D9492F">
              <w:rPr>
                <w:rFonts w:ascii="Times New Roman" w:hAnsi="Times New Roman"/>
              </w:rPr>
              <w:t xml:space="preserve">Kvėpavimo sistemos, krūtinės ląstos ir </w:t>
            </w:r>
            <w:r w:rsidR="008B03A9" w:rsidRPr="00D9492F">
              <w:rPr>
                <w:rFonts w:ascii="Times New Roman" w:hAnsi="Times New Roman"/>
              </w:rPr>
              <w:t xml:space="preserve">tarpuplaučio </w:t>
            </w:r>
            <w:r w:rsidRPr="00D9492F">
              <w:rPr>
                <w:rFonts w:ascii="Times New Roman" w:hAnsi="Times New Roman"/>
              </w:rPr>
              <w:t>sutrikimai</w:t>
            </w:r>
          </w:p>
        </w:tc>
        <w:tc>
          <w:tcPr>
            <w:tcW w:w="1176" w:type="pct"/>
          </w:tcPr>
          <w:p w14:paraId="3D7CACE6" w14:textId="77777777" w:rsidR="00DC1CDC" w:rsidRPr="00D9492F" w:rsidRDefault="00DC1CDC" w:rsidP="00DC1CDC">
            <w:pPr>
              <w:keepNext/>
              <w:keepLines/>
              <w:spacing w:after="0" w:line="240" w:lineRule="auto"/>
              <w:rPr>
                <w:rFonts w:ascii="Times New Roman" w:hAnsi="Times New Roman"/>
              </w:rPr>
            </w:pPr>
          </w:p>
        </w:tc>
        <w:tc>
          <w:tcPr>
            <w:tcW w:w="1173" w:type="pct"/>
          </w:tcPr>
          <w:p w14:paraId="7301C2E7"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Kosulys (3</w:t>
            </w:r>
            <w:r w:rsidRPr="00D9492F">
              <w:rPr>
                <w:rFonts w:ascii="Times New Roman" w:eastAsia="Times New Roman" w:hAnsi="Times New Roman"/>
              </w:rPr>
              <w:noBreakHyphen/>
              <w:t>4 laipsnio – 0 %)</w:t>
            </w:r>
            <w:r w:rsidR="008B03A9" w:rsidRPr="00D9492F">
              <w:rPr>
                <w:rFonts w:ascii="Times New Roman" w:eastAsia="Times New Roman" w:hAnsi="Times New Roman"/>
              </w:rPr>
              <w:t>.</w:t>
            </w:r>
          </w:p>
        </w:tc>
        <w:tc>
          <w:tcPr>
            <w:tcW w:w="1363" w:type="pct"/>
          </w:tcPr>
          <w:p w14:paraId="259EFF79" w14:textId="77777777" w:rsidR="00DC1CDC" w:rsidRPr="00D9492F" w:rsidRDefault="00DC1CDC" w:rsidP="00DC1CDC">
            <w:pPr>
              <w:keepNext/>
              <w:keepLines/>
              <w:spacing w:after="0" w:line="240" w:lineRule="auto"/>
              <w:rPr>
                <w:rFonts w:ascii="Times New Roman" w:hAnsi="Times New Roman"/>
              </w:rPr>
            </w:pPr>
          </w:p>
        </w:tc>
      </w:tr>
      <w:tr w:rsidR="008B03A9" w:rsidRPr="00D9492F" w14:paraId="30EBD27C" w14:textId="77777777" w:rsidTr="00AA0DA9">
        <w:trPr>
          <w:cantSplit/>
          <w:jc w:val="center"/>
        </w:trPr>
        <w:tc>
          <w:tcPr>
            <w:tcW w:w="1288" w:type="pct"/>
          </w:tcPr>
          <w:p w14:paraId="363609E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Virškinimo trakto sutrikimai</w:t>
            </w:r>
          </w:p>
        </w:tc>
        <w:tc>
          <w:tcPr>
            <w:tcW w:w="1176" w:type="pct"/>
          </w:tcPr>
          <w:p w14:paraId="5227AD4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Pykinimas (3</w:t>
            </w:r>
            <w:r w:rsidRPr="00D9492F">
              <w:rPr>
                <w:rFonts w:ascii="Times New Roman" w:hAnsi="Times New Roman"/>
              </w:rPr>
              <w:noBreakHyphen/>
              <w:t>4 laipsnio – 5,0 %)</w:t>
            </w:r>
            <w:r w:rsidR="008B03A9" w:rsidRPr="00D9492F">
              <w:rPr>
                <w:rFonts w:ascii="Times New Roman" w:hAnsi="Times New Roman"/>
              </w:rPr>
              <w:t>.</w:t>
            </w:r>
          </w:p>
          <w:p w14:paraId="572F510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Stomatitas (3</w:t>
            </w:r>
            <w:r w:rsidRPr="00D9492F">
              <w:rPr>
                <w:rFonts w:ascii="Times New Roman" w:hAnsi="Times New Roman"/>
              </w:rPr>
              <w:noBreakHyphen/>
              <w:t>4 laipsnio – 6,0 %)</w:t>
            </w:r>
            <w:r w:rsidR="008B03A9" w:rsidRPr="00D9492F">
              <w:rPr>
                <w:rFonts w:ascii="Times New Roman" w:hAnsi="Times New Roman"/>
              </w:rPr>
              <w:t>.</w:t>
            </w:r>
          </w:p>
          <w:p w14:paraId="4D43C03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Vėmimas (3</w:t>
            </w:r>
            <w:r w:rsidRPr="00D9492F">
              <w:rPr>
                <w:rFonts w:ascii="Times New Roman" w:hAnsi="Times New Roman"/>
              </w:rPr>
              <w:noBreakHyphen/>
              <w:t>4 laipsnio – 4,2 %)</w:t>
            </w:r>
            <w:r w:rsidR="008B03A9" w:rsidRPr="00D9492F">
              <w:rPr>
                <w:rFonts w:ascii="Times New Roman" w:hAnsi="Times New Roman"/>
              </w:rPr>
              <w:t>.</w:t>
            </w:r>
          </w:p>
          <w:p w14:paraId="3B32264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Viduriavimas (3</w:t>
            </w:r>
            <w:r w:rsidRPr="00D9492F">
              <w:rPr>
                <w:rFonts w:ascii="Times New Roman" w:hAnsi="Times New Roman"/>
              </w:rPr>
              <w:noBreakHyphen/>
              <w:t>4 laipsnio – 3,4 %)</w:t>
            </w:r>
            <w:r w:rsidR="008B03A9" w:rsidRPr="00D9492F">
              <w:rPr>
                <w:rFonts w:ascii="Times New Roman" w:hAnsi="Times New Roman"/>
              </w:rPr>
              <w:t>.</w:t>
            </w:r>
          </w:p>
          <w:p w14:paraId="0DF2FD8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Vidurių užkietėjimas (3</w:t>
            </w:r>
            <w:r w:rsidRPr="00D9492F">
              <w:rPr>
                <w:rFonts w:ascii="Times New Roman" w:hAnsi="Times New Roman"/>
              </w:rPr>
              <w:noBreakHyphen/>
              <w:t>4 laipsnio – 0,5 %)</w:t>
            </w:r>
            <w:r w:rsidR="008B03A9" w:rsidRPr="00D9492F">
              <w:rPr>
                <w:rFonts w:ascii="Times New Roman" w:hAnsi="Times New Roman"/>
              </w:rPr>
              <w:t>.</w:t>
            </w:r>
          </w:p>
        </w:tc>
        <w:tc>
          <w:tcPr>
            <w:tcW w:w="1173" w:type="pct"/>
          </w:tcPr>
          <w:p w14:paraId="3DF61E4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Pilvo skausmas (3</w:t>
            </w:r>
            <w:r w:rsidRPr="00D9492F">
              <w:rPr>
                <w:rFonts w:ascii="Times New Roman" w:hAnsi="Times New Roman"/>
              </w:rPr>
              <w:noBreakHyphen/>
              <w:t>4 laipsnio – 0,4 %)</w:t>
            </w:r>
            <w:r w:rsidR="008B03A9" w:rsidRPr="00D9492F">
              <w:rPr>
                <w:rFonts w:ascii="Times New Roman" w:hAnsi="Times New Roman"/>
              </w:rPr>
              <w:t>.</w:t>
            </w:r>
          </w:p>
        </w:tc>
        <w:tc>
          <w:tcPr>
            <w:tcW w:w="1363" w:type="pct"/>
          </w:tcPr>
          <w:p w14:paraId="25F48700" w14:textId="77777777" w:rsidR="00DC1CDC" w:rsidRPr="00D9492F" w:rsidRDefault="00DC1CDC" w:rsidP="00DC1CDC">
            <w:pPr>
              <w:keepNext/>
              <w:keepLines/>
              <w:spacing w:after="0" w:line="240" w:lineRule="auto"/>
              <w:rPr>
                <w:rFonts w:ascii="Times New Roman" w:hAnsi="Times New Roman"/>
              </w:rPr>
            </w:pPr>
          </w:p>
        </w:tc>
      </w:tr>
      <w:tr w:rsidR="008B03A9" w:rsidRPr="00D9492F" w14:paraId="2D67CDE2" w14:textId="77777777" w:rsidTr="00AA0DA9">
        <w:trPr>
          <w:cantSplit/>
          <w:jc w:val="center"/>
        </w:trPr>
        <w:tc>
          <w:tcPr>
            <w:tcW w:w="1288" w:type="pct"/>
          </w:tcPr>
          <w:p w14:paraId="61F69D7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lastRenderedPageBreak/>
              <w:t>Odos ir poodinio audinio sutrikimai</w:t>
            </w:r>
          </w:p>
        </w:tc>
        <w:tc>
          <w:tcPr>
            <w:tcW w:w="1176" w:type="pct"/>
          </w:tcPr>
          <w:p w14:paraId="4D039D78"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Alopecija (</w:t>
            </w:r>
            <w:r w:rsidRPr="00D9492F">
              <w:rPr>
                <w:rFonts w:ascii="Times New Roman" w:eastAsia="Times New Roman" w:hAnsi="Times New Roman"/>
              </w:rPr>
              <w:t>3</w:t>
            </w:r>
            <w:r w:rsidRPr="00D9492F">
              <w:rPr>
                <w:rFonts w:ascii="Times New Roman" w:eastAsia="Times New Roman" w:hAnsi="Times New Roman"/>
              </w:rPr>
              <w:noBreakHyphen/>
              <w:t xml:space="preserve">4 laipsnio </w:t>
            </w:r>
            <w:r w:rsidRPr="00D9492F">
              <w:rPr>
                <w:rFonts w:ascii="Times New Roman" w:eastAsia="Times New Roman" w:hAnsi="Times New Roman"/>
                <w:bCs/>
                <w:iCs/>
              </w:rPr>
              <w:t>&lt;0,1 %)</w:t>
            </w:r>
            <w:r w:rsidR="008B03A9" w:rsidRPr="00D9492F">
              <w:rPr>
                <w:rFonts w:ascii="Times New Roman" w:eastAsia="Times New Roman" w:hAnsi="Times New Roman"/>
                <w:bCs/>
                <w:iCs/>
              </w:rPr>
              <w:t>.</w:t>
            </w:r>
          </w:p>
          <w:p w14:paraId="1EBCEA20"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Odos pažeidimas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0,6 %)</w:t>
            </w:r>
            <w:r w:rsidR="008B03A9" w:rsidRPr="00D9492F">
              <w:rPr>
                <w:rFonts w:ascii="Times New Roman" w:eastAsia="Times New Roman" w:hAnsi="Times New Roman"/>
                <w:bCs/>
                <w:iCs/>
              </w:rPr>
              <w:t>.</w:t>
            </w:r>
          </w:p>
          <w:p w14:paraId="506E85D2"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Nagų pažeidimas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0,4 %)</w:t>
            </w:r>
            <w:r w:rsidR="008B03A9" w:rsidRPr="00D9492F">
              <w:rPr>
                <w:rFonts w:ascii="Times New Roman" w:eastAsia="Times New Roman" w:hAnsi="Times New Roman"/>
                <w:bCs/>
                <w:iCs/>
              </w:rPr>
              <w:t>.</w:t>
            </w:r>
          </w:p>
        </w:tc>
        <w:tc>
          <w:tcPr>
            <w:tcW w:w="1173" w:type="pct"/>
          </w:tcPr>
          <w:p w14:paraId="3B10ABF8" w14:textId="77777777" w:rsidR="00DC1CDC" w:rsidRPr="00D9492F" w:rsidRDefault="00DC1CDC" w:rsidP="00DC1CDC">
            <w:pPr>
              <w:keepNext/>
              <w:keepLines/>
              <w:spacing w:after="0" w:line="240" w:lineRule="auto"/>
              <w:rPr>
                <w:rFonts w:ascii="Times New Roman" w:eastAsia="Times New Roman" w:hAnsi="Times New Roman"/>
              </w:rPr>
            </w:pPr>
          </w:p>
        </w:tc>
        <w:tc>
          <w:tcPr>
            <w:tcW w:w="1363" w:type="pct"/>
          </w:tcPr>
          <w:p w14:paraId="09A22B67" w14:textId="77777777" w:rsidR="00DC1CDC" w:rsidRPr="00D9492F" w:rsidRDefault="00DC1CDC" w:rsidP="00DC1CDC">
            <w:pPr>
              <w:keepNext/>
              <w:keepLines/>
              <w:spacing w:after="0" w:line="240" w:lineRule="auto"/>
              <w:rPr>
                <w:rFonts w:ascii="Times New Roman" w:hAnsi="Times New Roman"/>
              </w:rPr>
            </w:pPr>
          </w:p>
        </w:tc>
      </w:tr>
      <w:tr w:rsidR="008B03A9" w:rsidRPr="00D9492F" w14:paraId="4BE11CC1" w14:textId="77777777" w:rsidTr="00AA0DA9">
        <w:trPr>
          <w:cantSplit/>
          <w:jc w:val="center"/>
        </w:trPr>
        <w:tc>
          <w:tcPr>
            <w:tcW w:w="1288" w:type="pct"/>
          </w:tcPr>
          <w:p w14:paraId="02522B2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Skeleto, raumenų ir jungiamojo audinio sutrikimai</w:t>
            </w:r>
          </w:p>
        </w:tc>
        <w:tc>
          <w:tcPr>
            <w:tcW w:w="1176" w:type="pct"/>
          </w:tcPr>
          <w:p w14:paraId="254F092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Mialgija (3</w:t>
            </w:r>
            <w:r w:rsidRPr="00D9492F">
              <w:rPr>
                <w:rFonts w:ascii="Times New Roman" w:hAnsi="Times New Roman"/>
              </w:rPr>
              <w:noBreakHyphen/>
              <w:t>4 laipsnio – 0,7 %)</w:t>
            </w:r>
            <w:r w:rsidR="008B03A9" w:rsidRPr="00D9492F">
              <w:rPr>
                <w:rFonts w:ascii="Times New Roman" w:hAnsi="Times New Roman"/>
              </w:rPr>
              <w:t>.</w:t>
            </w:r>
          </w:p>
          <w:p w14:paraId="64200D8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Artralgija (3</w:t>
            </w:r>
            <w:r w:rsidRPr="00D9492F">
              <w:rPr>
                <w:rFonts w:ascii="Times New Roman" w:hAnsi="Times New Roman"/>
              </w:rPr>
              <w:noBreakHyphen/>
              <w:t>4 laipsnio – 0,2 %)</w:t>
            </w:r>
            <w:r w:rsidR="008B03A9" w:rsidRPr="00D9492F">
              <w:rPr>
                <w:rFonts w:ascii="Times New Roman" w:hAnsi="Times New Roman"/>
              </w:rPr>
              <w:t>.</w:t>
            </w:r>
          </w:p>
        </w:tc>
        <w:tc>
          <w:tcPr>
            <w:tcW w:w="1173" w:type="pct"/>
          </w:tcPr>
          <w:p w14:paraId="3CB36FB3" w14:textId="77777777" w:rsidR="00DC1CDC" w:rsidRPr="00D9492F" w:rsidRDefault="00DC1CDC" w:rsidP="00DC1CDC">
            <w:pPr>
              <w:keepNext/>
              <w:keepLines/>
              <w:spacing w:after="0" w:line="240" w:lineRule="auto"/>
              <w:rPr>
                <w:rFonts w:ascii="Times New Roman" w:hAnsi="Times New Roman"/>
              </w:rPr>
            </w:pPr>
          </w:p>
        </w:tc>
        <w:tc>
          <w:tcPr>
            <w:tcW w:w="1363" w:type="pct"/>
          </w:tcPr>
          <w:p w14:paraId="4AD0EB56" w14:textId="77777777" w:rsidR="00DC1CDC" w:rsidRPr="00D9492F" w:rsidRDefault="00DC1CDC" w:rsidP="00DC1CDC">
            <w:pPr>
              <w:keepNext/>
              <w:keepLines/>
              <w:spacing w:after="0" w:line="240" w:lineRule="auto"/>
              <w:rPr>
                <w:rFonts w:ascii="Times New Roman" w:hAnsi="Times New Roman"/>
              </w:rPr>
            </w:pPr>
          </w:p>
        </w:tc>
      </w:tr>
      <w:tr w:rsidR="008B03A9" w:rsidRPr="00D9492F" w14:paraId="6440BA9A" w14:textId="77777777" w:rsidTr="00AA0DA9">
        <w:trPr>
          <w:cantSplit/>
          <w:jc w:val="center"/>
        </w:trPr>
        <w:tc>
          <w:tcPr>
            <w:tcW w:w="1288" w:type="pct"/>
          </w:tcPr>
          <w:p w14:paraId="1619022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Lytinės sistemos ir krūties sutrikimai</w:t>
            </w:r>
          </w:p>
        </w:tc>
        <w:tc>
          <w:tcPr>
            <w:tcW w:w="1176" w:type="pct"/>
          </w:tcPr>
          <w:p w14:paraId="5873D36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Amenorėja (3</w:t>
            </w:r>
            <w:r w:rsidRPr="00D9492F">
              <w:rPr>
                <w:rFonts w:ascii="Times New Roman" w:hAnsi="Times New Roman"/>
              </w:rPr>
              <w:noBreakHyphen/>
              <w:t>4 laipsnio – nenustatyta)</w:t>
            </w:r>
            <w:r w:rsidR="008B03A9" w:rsidRPr="00D9492F">
              <w:rPr>
                <w:rFonts w:ascii="Times New Roman" w:hAnsi="Times New Roman"/>
              </w:rPr>
              <w:t>.</w:t>
            </w:r>
          </w:p>
        </w:tc>
        <w:tc>
          <w:tcPr>
            <w:tcW w:w="1173" w:type="pct"/>
          </w:tcPr>
          <w:p w14:paraId="6E8101D5" w14:textId="77777777" w:rsidR="00DC1CDC" w:rsidRPr="00D9492F" w:rsidRDefault="00DC1CDC" w:rsidP="00DC1CDC">
            <w:pPr>
              <w:keepNext/>
              <w:keepLines/>
              <w:spacing w:after="0" w:line="240" w:lineRule="auto"/>
              <w:rPr>
                <w:rFonts w:ascii="Times New Roman" w:hAnsi="Times New Roman"/>
              </w:rPr>
            </w:pPr>
          </w:p>
        </w:tc>
        <w:tc>
          <w:tcPr>
            <w:tcW w:w="1363" w:type="pct"/>
          </w:tcPr>
          <w:p w14:paraId="66304129" w14:textId="77777777" w:rsidR="00DC1CDC" w:rsidRPr="00D9492F" w:rsidRDefault="00DC1CDC" w:rsidP="00DC1CDC">
            <w:pPr>
              <w:keepNext/>
              <w:keepLines/>
              <w:spacing w:after="0" w:line="240" w:lineRule="auto"/>
              <w:rPr>
                <w:rFonts w:ascii="Times New Roman" w:hAnsi="Times New Roman"/>
              </w:rPr>
            </w:pPr>
          </w:p>
        </w:tc>
      </w:tr>
      <w:tr w:rsidR="008B03A9" w:rsidRPr="00D9492F" w14:paraId="4A864425" w14:textId="77777777" w:rsidTr="00AA0DA9">
        <w:trPr>
          <w:cantSplit/>
          <w:jc w:val="center"/>
        </w:trPr>
        <w:tc>
          <w:tcPr>
            <w:tcW w:w="1288" w:type="pct"/>
          </w:tcPr>
          <w:p w14:paraId="224397B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Bendrieji sutrikimai ir vartojimo vietos pažeidimai</w:t>
            </w:r>
          </w:p>
        </w:tc>
        <w:tc>
          <w:tcPr>
            <w:tcW w:w="1176" w:type="pct"/>
          </w:tcPr>
          <w:p w14:paraId="161F0A7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Astenija (3</w:t>
            </w:r>
            <w:r w:rsidRPr="00D9492F">
              <w:rPr>
                <w:rFonts w:ascii="Times New Roman" w:hAnsi="Times New Roman"/>
              </w:rPr>
              <w:noBreakHyphen/>
              <w:t>4 laipsnio – 10 %)</w:t>
            </w:r>
            <w:r w:rsidR="008B03A9" w:rsidRPr="00D9492F">
              <w:rPr>
                <w:rFonts w:ascii="Times New Roman" w:hAnsi="Times New Roman"/>
              </w:rPr>
              <w:t>.</w:t>
            </w:r>
          </w:p>
          <w:p w14:paraId="3FE039D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Karščiavimas (3</w:t>
            </w:r>
            <w:r w:rsidRPr="00D9492F">
              <w:rPr>
                <w:rFonts w:ascii="Times New Roman" w:hAnsi="Times New Roman"/>
              </w:rPr>
              <w:noBreakHyphen/>
              <w:t>4 laipsnio –nenustatyta)</w:t>
            </w:r>
            <w:r w:rsidR="008B03A9" w:rsidRPr="00D9492F">
              <w:rPr>
                <w:rFonts w:ascii="Times New Roman" w:hAnsi="Times New Roman"/>
              </w:rPr>
              <w:t>.</w:t>
            </w:r>
          </w:p>
          <w:p w14:paraId="1816B33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edema (3</w:t>
            </w:r>
            <w:r w:rsidRPr="00D9492F">
              <w:rPr>
                <w:rFonts w:ascii="Times New Roman" w:hAnsi="Times New Roman"/>
              </w:rPr>
              <w:noBreakHyphen/>
              <w:t>4 laipsnio – 0,2 %)</w:t>
            </w:r>
            <w:r w:rsidR="008B03A9" w:rsidRPr="00D9492F">
              <w:rPr>
                <w:rFonts w:ascii="Times New Roman" w:hAnsi="Times New Roman"/>
              </w:rPr>
              <w:t>.</w:t>
            </w:r>
          </w:p>
        </w:tc>
        <w:tc>
          <w:tcPr>
            <w:tcW w:w="1173" w:type="pct"/>
          </w:tcPr>
          <w:p w14:paraId="39E5DF81" w14:textId="77777777" w:rsidR="00DC1CDC" w:rsidRPr="00D9492F" w:rsidRDefault="00DC1CDC" w:rsidP="00DC1CDC">
            <w:pPr>
              <w:keepNext/>
              <w:keepLines/>
              <w:spacing w:after="0" w:line="240" w:lineRule="auto"/>
              <w:rPr>
                <w:rFonts w:ascii="Times New Roman" w:hAnsi="Times New Roman"/>
              </w:rPr>
            </w:pPr>
          </w:p>
        </w:tc>
        <w:tc>
          <w:tcPr>
            <w:tcW w:w="1363" w:type="pct"/>
          </w:tcPr>
          <w:p w14:paraId="42BC3D3E" w14:textId="77777777" w:rsidR="00DC1CDC" w:rsidRPr="00D9492F" w:rsidRDefault="00DC1CDC" w:rsidP="00DC1CDC">
            <w:pPr>
              <w:keepNext/>
              <w:keepLines/>
              <w:spacing w:after="0" w:line="240" w:lineRule="auto"/>
              <w:rPr>
                <w:rFonts w:ascii="Times New Roman" w:hAnsi="Times New Roman"/>
              </w:rPr>
            </w:pPr>
          </w:p>
        </w:tc>
      </w:tr>
      <w:tr w:rsidR="008B03A9" w:rsidRPr="00D9492F" w14:paraId="6595BA9C" w14:textId="77777777" w:rsidTr="00AA0DA9">
        <w:trPr>
          <w:cantSplit/>
          <w:jc w:val="center"/>
        </w:trPr>
        <w:tc>
          <w:tcPr>
            <w:tcW w:w="1288" w:type="pct"/>
          </w:tcPr>
          <w:p w14:paraId="1BF12A5E"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Tyrimai</w:t>
            </w:r>
          </w:p>
        </w:tc>
        <w:tc>
          <w:tcPr>
            <w:tcW w:w="1176" w:type="pct"/>
          </w:tcPr>
          <w:p w14:paraId="0DF31358" w14:textId="77777777" w:rsidR="00DC1CDC" w:rsidRPr="00D9492F" w:rsidRDefault="00DC1CDC" w:rsidP="00DC1CDC">
            <w:pPr>
              <w:keepNext/>
              <w:keepLines/>
              <w:spacing w:after="0" w:line="240" w:lineRule="auto"/>
              <w:rPr>
                <w:rFonts w:ascii="Times New Roman" w:hAnsi="Times New Roman"/>
              </w:rPr>
            </w:pPr>
          </w:p>
        </w:tc>
        <w:tc>
          <w:tcPr>
            <w:tcW w:w="1173" w:type="pct"/>
          </w:tcPr>
          <w:p w14:paraId="4139DD7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Svorio padidėjimas (3</w:t>
            </w:r>
            <w:r w:rsidRPr="00D9492F">
              <w:rPr>
                <w:rFonts w:ascii="Times New Roman" w:hAnsi="Times New Roman"/>
              </w:rPr>
              <w:noBreakHyphen/>
              <w:t>4 laipsnio – 0 % )</w:t>
            </w:r>
            <w:r w:rsidR="008B03A9" w:rsidRPr="00D9492F">
              <w:rPr>
                <w:rFonts w:ascii="Times New Roman" w:hAnsi="Times New Roman"/>
              </w:rPr>
              <w:t>.</w:t>
            </w:r>
            <w:r w:rsidRPr="00D9492F">
              <w:rPr>
                <w:rFonts w:ascii="Times New Roman" w:hAnsi="Times New Roman"/>
              </w:rPr>
              <w:t xml:space="preserve"> arba sumažėjimas (3</w:t>
            </w:r>
            <w:r w:rsidRPr="00D9492F">
              <w:rPr>
                <w:rFonts w:ascii="Times New Roman" w:hAnsi="Times New Roman"/>
              </w:rPr>
              <w:noBreakHyphen/>
              <w:t>4 laipsnio – 0,2 %)</w:t>
            </w:r>
            <w:r w:rsidR="008B03A9" w:rsidRPr="00D9492F">
              <w:rPr>
                <w:rFonts w:ascii="Times New Roman" w:hAnsi="Times New Roman"/>
              </w:rPr>
              <w:t>.</w:t>
            </w:r>
          </w:p>
        </w:tc>
        <w:tc>
          <w:tcPr>
            <w:tcW w:w="1363" w:type="pct"/>
          </w:tcPr>
          <w:p w14:paraId="63F2683C" w14:textId="77777777" w:rsidR="00DC1CDC" w:rsidRPr="00D9492F" w:rsidRDefault="00DC1CDC" w:rsidP="00DC1CDC">
            <w:pPr>
              <w:keepNext/>
              <w:keepLines/>
              <w:spacing w:after="0" w:line="240" w:lineRule="auto"/>
              <w:rPr>
                <w:rFonts w:ascii="Times New Roman" w:hAnsi="Times New Roman"/>
              </w:rPr>
            </w:pPr>
          </w:p>
        </w:tc>
      </w:tr>
    </w:tbl>
    <w:p w14:paraId="2F6F4FCF" w14:textId="77777777" w:rsidR="00FB2851" w:rsidRPr="00D9492F" w:rsidRDefault="00FB2851" w:rsidP="00DC1CDC">
      <w:pPr>
        <w:spacing w:after="0" w:line="240" w:lineRule="auto"/>
        <w:rPr>
          <w:rFonts w:ascii="Times New Roman" w:hAnsi="Times New Roman"/>
          <w:u w:val="single"/>
        </w:rPr>
      </w:pPr>
    </w:p>
    <w:p w14:paraId="5FF748AC" w14:textId="37AF2FDF" w:rsidR="00C16B7D" w:rsidRPr="00D9492F" w:rsidRDefault="000478DC" w:rsidP="00DC1CDC">
      <w:pPr>
        <w:keepNext/>
        <w:keepLines/>
        <w:tabs>
          <w:tab w:val="left" w:pos="7655"/>
        </w:tabs>
        <w:suppressAutoHyphens/>
        <w:spacing w:after="0" w:line="240" w:lineRule="auto"/>
        <w:rPr>
          <w:rFonts w:ascii="Times New Roman" w:hAnsi="Times New Roman"/>
          <w:i/>
          <w:iCs/>
          <w:u w:val="single"/>
        </w:rPr>
      </w:pPr>
      <w:r w:rsidRPr="00D9492F">
        <w:rPr>
          <w:rFonts w:ascii="Times New Roman" w:hAnsi="Times New Roman"/>
          <w:u w:val="single"/>
        </w:rPr>
        <w:t>Atrinktų</w:t>
      </w:r>
      <w:r w:rsidR="00FB2851" w:rsidRPr="00D9492F">
        <w:rPr>
          <w:rFonts w:ascii="Times New Roman" w:hAnsi="Times New Roman"/>
          <w:u w:val="single"/>
        </w:rPr>
        <w:t xml:space="preserve"> nepageidaujamų reakcijų, atsiradusių vartojant </w:t>
      </w:r>
      <w:r w:rsidR="00FB2851" w:rsidRPr="00D9492F">
        <w:rPr>
          <w:rFonts w:ascii="Times New Roman" w:eastAsia="Times New Roman" w:hAnsi="Times New Roman"/>
          <w:bCs/>
          <w:u w:val="single"/>
        </w:rPr>
        <w:t xml:space="preserve">Docetaxel SanoSwiss </w:t>
      </w:r>
      <w:r w:rsidR="00FB2851" w:rsidRPr="00D9492F">
        <w:rPr>
          <w:rFonts w:ascii="Times New Roman" w:hAnsi="Times New Roman"/>
          <w:u w:val="single"/>
        </w:rPr>
        <w:t>75</w:t>
      </w:r>
      <w:r w:rsidR="00C5080D" w:rsidRPr="00D9492F">
        <w:rPr>
          <w:rFonts w:ascii="Times New Roman" w:hAnsi="Times New Roman"/>
          <w:u w:val="single"/>
        </w:rPr>
        <w:t> </w:t>
      </w:r>
      <w:r w:rsidR="00FB2851" w:rsidRPr="00D9492F">
        <w:rPr>
          <w:rFonts w:ascii="Times New Roman" w:hAnsi="Times New Roman"/>
          <w:u w:val="single"/>
        </w:rPr>
        <w:t xml:space="preserve">mg/m² dozę adjuvantiniam gydymui </w:t>
      </w:r>
      <w:r w:rsidRPr="00D9492F">
        <w:rPr>
          <w:rFonts w:ascii="Times New Roman" w:hAnsi="Times New Roman"/>
          <w:u w:val="single"/>
        </w:rPr>
        <w:t>derinant</w:t>
      </w:r>
      <w:r w:rsidR="00FB2851" w:rsidRPr="00D9492F">
        <w:rPr>
          <w:rFonts w:ascii="Times New Roman" w:hAnsi="Times New Roman"/>
          <w:u w:val="single"/>
        </w:rPr>
        <w:t xml:space="preserve"> su doksorubicinu ir ciklofosfamidu, pacientėms, sergančioms į limfmazgius metastazavusiu (TAX 316) ir į limfmazgius nemetastazavusiu (GEICAM 9805) krūties vėžiu, </w:t>
      </w:r>
      <w:r w:rsidRPr="00D9492F">
        <w:rPr>
          <w:rFonts w:ascii="Times New Roman" w:hAnsi="Times New Roman"/>
          <w:u w:val="single"/>
        </w:rPr>
        <w:t>apibūdinimas</w:t>
      </w:r>
    </w:p>
    <w:p w14:paraId="6BCC237E" w14:textId="2818F18C" w:rsidR="00DC1CDC" w:rsidRPr="00D9492F" w:rsidRDefault="00DC1CDC" w:rsidP="00DC1CDC">
      <w:pPr>
        <w:keepNext/>
        <w:keepLines/>
        <w:tabs>
          <w:tab w:val="left" w:pos="7655"/>
        </w:tabs>
        <w:suppressAutoHyphens/>
        <w:spacing w:after="0" w:line="240" w:lineRule="auto"/>
        <w:rPr>
          <w:rFonts w:ascii="Times New Roman" w:hAnsi="Times New Roman"/>
          <w:i/>
          <w:iCs/>
          <w:u w:val="single"/>
        </w:rPr>
      </w:pPr>
      <w:r w:rsidRPr="00D9492F">
        <w:rPr>
          <w:rFonts w:ascii="Times New Roman" w:hAnsi="Times New Roman"/>
          <w:i/>
          <w:iCs/>
          <w:u w:val="single"/>
        </w:rPr>
        <w:t>Nervų sistemos sutrikimai</w:t>
      </w:r>
    </w:p>
    <w:p w14:paraId="5B494F23" w14:textId="01BEA76E" w:rsidR="00C16B7D" w:rsidRPr="00D9492F" w:rsidRDefault="00C16B7D" w:rsidP="00C16B7D">
      <w:pPr>
        <w:spacing w:after="0" w:line="240" w:lineRule="auto"/>
        <w:rPr>
          <w:rFonts w:ascii="Times New Roman" w:hAnsi="Times New Roman"/>
        </w:rPr>
      </w:pPr>
      <w:r w:rsidRPr="00D9492F">
        <w:rPr>
          <w:rFonts w:ascii="Times New Roman" w:hAnsi="Times New Roman"/>
        </w:rPr>
        <w:t>Tyrimo TAX316 metu periferinė sensorinė neuropatija prasidėjo gydymo laikotarpiu ir išliko pradėjus stebėjimo laikotarpį 84</w:t>
      </w:r>
      <w:r w:rsidR="00C5080D" w:rsidRPr="00D9492F">
        <w:rPr>
          <w:rFonts w:ascii="Times New Roman" w:hAnsi="Times New Roman"/>
        </w:rPr>
        <w:t> </w:t>
      </w:r>
      <w:r w:rsidRPr="00D9492F">
        <w:rPr>
          <w:rFonts w:ascii="Times New Roman" w:hAnsi="Times New Roman"/>
        </w:rPr>
        <w:t>pacientėms (11,3</w:t>
      </w:r>
      <w:r w:rsidR="00C5080D" w:rsidRPr="00D9492F">
        <w:rPr>
          <w:rFonts w:ascii="Times New Roman" w:hAnsi="Times New Roman"/>
        </w:rPr>
        <w:t> </w:t>
      </w:r>
      <w:r w:rsidRPr="00D9492F">
        <w:rPr>
          <w:rFonts w:ascii="Times New Roman" w:hAnsi="Times New Roman"/>
        </w:rPr>
        <w:t>%) TAC grupėje ir 15</w:t>
      </w:r>
      <w:r w:rsidR="00C5080D" w:rsidRPr="00D9492F">
        <w:rPr>
          <w:rFonts w:ascii="Times New Roman" w:hAnsi="Times New Roman"/>
        </w:rPr>
        <w:t> </w:t>
      </w:r>
      <w:r w:rsidRPr="00D9492F">
        <w:rPr>
          <w:rFonts w:ascii="Times New Roman" w:hAnsi="Times New Roman"/>
        </w:rPr>
        <w:t>pacienčių (2</w:t>
      </w:r>
      <w:r w:rsidR="00C5080D" w:rsidRPr="00D9492F">
        <w:rPr>
          <w:rFonts w:ascii="Times New Roman" w:hAnsi="Times New Roman"/>
        </w:rPr>
        <w:t> </w:t>
      </w:r>
      <w:r w:rsidRPr="00D9492F">
        <w:rPr>
          <w:rFonts w:ascii="Times New Roman" w:hAnsi="Times New Roman"/>
        </w:rPr>
        <w:t>%) FAC grupėje. Stebėjimo laikotarpio pabaigoje (stebėjimo laiko mediana buvo 8</w:t>
      </w:r>
      <w:r w:rsidR="00C5080D" w:rsidRPr="00D9492F">
        <w:rPr>
          <w:rFonts w:ascii="Times New Roman" w:hAnsi="Times New Roman"/>
        </w:rPr>
        <w:t> </w:t>
      </w:r>
      <w:r w:rsidRPr="00D9492F">
        <w:rPr>
          <w:rFonts w:ascii="Times New Roman" w:hAnsi="Times New Roman"/>
        </w:rPr>
        <w:t>metai) periferinė sensorinė neuropatija išliko 10</w:t>
      </w:r>
      <w:r w:rsidR="00C5080D" w:rsidRPr="00D9492F">
        <w:rPr>
          <w:rFonts w:ascii="Times New Roman" w:hAnsi="Times New Roman"/>
        </w:rPr>
        <w:t> </w:t>
      </w:r>
      <w:r w:rsidRPr="00D9492F">
        <w:rPr>
          <w:rFonts w:ascii="Times New Roman" w:hAnsi="Times New Roman"/>
        </w:rPr>
        <w:t>pacienčių (1,3</w:t>
      </w:r>
      <w:r w:rsidR="00C5080D" w:rsidRPr="00D9492F">
        <w:rPr>
          <w:rFonts w:ascii="Times New Roman" w:hAnsi="Times New Roman"/>
        </w:rPr>
        <w:t> </w:t>
      </w:r>
      <w:r w:rsidRPr="00D9492F">
        <w:rPr>
          <w:rFonts w:ascii="Times New Roman" w:hAnsi="Times New Roman"/>
        </w:rPr>
        <w:t>%) TAC grupėje ir 2</w:t>
      </w:r>
      <w:r w:rsidR="00C5080D" w:rsidRPr="00D9492F">
        <w:rPr>
          <w:rFonts w:ascii="Times New Roman" w:hAnsi="Times New Roman"/>
        </w:rPr>
        <w:t> </w:t>
      </w:r>
      <w:r w:rsidRPr="00D9492F">
        <w:rPr>
          <w:rFonts w:ascii="Times New Roman" w:hAnsi="Times New Roman"/>
        </w:rPr>
        <w:t>pacientėms (0,3</w:t>
      </w:r>
      <w:r w:rsidR="00C5080D" w:rsidRPr="00D9492F">
        <w:rPr>
          <w:rFonts w:ascii="Times New Roman" w:hAnsi="Times New Roman"/>
        </w:rPr>
        <w:t> </w:t>
      </w:r>
      <w:r w:rsidRPr="00D9492F">
        <w:rPr>
          <w:rFonts w:ascii="Times New Roman" w:hAnsi="Times New Roman"/>
        </w:rPr>
        <w:t xml:space="preserve">%) FAC grupėje. </w:t>
      </w:r>
    </w:p>
    <w:p w14:paraId="266DD1C6" w14:textId="57D18D0E" w:rsidR="00C16B7D" w:rsidRPr="00D9492F" w:rsidRDefault="00C16B7D" w:rsidP="00C16B7D">
      <w:pPr>
        <w:spacing w:after="0" w:line="240" w:lineRule="auto"/>
        <w:rPr>
          <w:rFonts w:ascii="Times New Roman" w:hAnsi="Times New Roman"/>
        </w:rPr>
      </w:pPr>
      <w:r w:rsidRPr="00D9492F">
        <w:rPr>
          <w:rFonts w:ascii="Times New Roman" w:hAnsi="Times New Roman"/>
        </w:rPr>
        <w:t>Tyrimo GEICAM 9805</w:t>
      </w:r>
      <w:r w:rsidR="00C5080D" w:rsidRPr="00D9492F">
        <w:rPr>
          <w:rFonts w:ascii="Times New Roman" w:hAnsi="Times New Roman"/>
        </w:rPr>
        <w:t> </w:t>
      </w:r>
      <w:r w:rsidRPr="00D9492F">
        <w:rPr>
          <w:rFonts w:ascii="Times New Roman" w:hAnsi="Times New Roman"/>
        </w:rPr>
        <w:t>metu periferinė sensorinė neuropatija prasidėjo gydymo laikotarpiu ir išliko pradėjus stebėjimo laikotarpį 10</w:t>
      </w:r>
      <w:r w:rsidR="00C5080D" w:rsidRPr="00D9492F">
        <w:rPr>
          <w:rFonts w:ascii="Times New Roman" w:hAnsi="Times New Roman"/>
        </w:rPr>
        <w:t> </w:t>
      </w:r>
      <w:r w:rsidRPr="00D9492F">
        <w:rPr>
          <w:rFonts w:ascii="Times New Roman" w:hAnsi="Times New Roman"/>
        </w:rPr>
        <w:t>pacienčių (1,9</w:t>
      </w:r>
      <w:r w:rsidR="00C5080D" w:rsidRPr="00D9492F">
        <w:rPr>
          <w:rFonts w:ascii="Times New Roman" w:hAnsi="Times New Roman"/>
        </w:rPr>
        <w:t> </w:t>
      </w:r>
      <w:r w:rsidRPr="00D9492F">
        <w:rPr>
          <w:rFonts w:ascii="Times New Roman" w:hAnsi="Times New Roman"/>
        </w:rPr>
        <w:t>%) TAC grupėje ir 4</w:t>
      </w:r>
      <w:r w:rsidR="00C5080D" w:rsidRPr="00D9492F">
        <w:rPr>
          <w:rFonts w:ascii="Times New Roman" w:hAnsi="Times New Roman"/>
        </w:rPr>
        <w:t> </w:t>
      </w:r>
      <w:r w:rsidRPr="00D9492F">
        <w:rPr>
          <w:rFonts w:ascii="Times New Roman" w:hAnsi="Times New Roman"/>
        </w:rPr>
        <w:t>pacientėms (0,8</w:t>
      </w:r>
      <w:r w:rsidR="00C5080D" w:rsidRPr="00D9492F">
        <w:rPr>
          <w:rFonts w:ascii="Times New Roman" w:hAnsi="Times New Roman"/>
        </w:rPr>
        <w:t> </w:t>
      </w:r>
      <w:r w:rsidRPr="00D9492F">
        <w:rPr>
          <w:rFonts w:ascii="Times New Roman" w:hAnsi="Times New Roman"/>
        </w:rPr>
        <w:t>%) FAC grupėje. Stebėjimo laikotarpio pabaigoje (stebėjimo laiko mediana buvo 10</w:t>
      </w:r>
      <w:r w:rsidR="00C5080D" w:rsidRPr="00D9492F">
        <w:rPr>
          <w:rFonts w:ascii="Times New Roman" w:hAnsi="Times New Roman"/>
        </w:rPr>
        <w:t> </w:t>
      </w:r>
      <w:r w:rsidRPr="00D9492F">
        <w:rPr>
          <w:rFonts w:ascii="Times New Roman" w:hAnsi="Times New Roman"/>
        </w:rPr>
        <w:t>metų ir 5</w:t>
      </w:r>
      <w:r w:rsidR="00C5080D" w:rsidRPr="00D9492F">
        <w:rPr>
          <w:rFonts w:ascii="Times New Roman" w:hAnsi="Times New Roman"/>
        </w:rPr>
        <w:t> </w:t>
      </w:r>
      <w:r w:rsidRPr="00D9492F">
        <w:rPr>
          <w:rFonts w:ascii="Times New Roman" w:hAnsi="Times New Roman"/>
        </w:rPr>
        <w:t>mėnesiai) periferinė sensorinė neuropatija išliko 3</w:t>
      </w:r>
      <w:r w:rsidR="00C5080D" w:rsidRPr="00D9492F">
        <w:rPr>
          <w:rFonts w:ascii="Times New Roman" w:hAnsi="Times New Roman"/>
        </w:rPr>
        <w:t> </w:t>
      </w:r>
      <w:r w:rsidRPr="00D9492F">
        <w:rPr>
          <w:rFonts w:ascii="Times New Roman" w:hAnsi="Times New Roman"/>
        </w:rPr>
        <w:t>pacientėms (0,6</w:t>
      </w:r>
      <w:r w:rsidR="00C5080D" w:rsidRPr="00D9492F">
        <w:rPr>
          <w:rFonts w:ascii="Times New Roman" w:hAnsi="Times New Roman"/>
        </w:rPr>
        <w:t> </w:t>
      </w:r>
      <w:r w:rsidRPr="00D9492F">
        <w:rPr>
          <w:rFonts w:ascii="Times New Roman" w:hAnsi="Times New Roman"/>
        </w:rPr>
        <w:t>%) TAC grupėje ir 1</w:t>
      </w:r>
      <w:r w:rsidR="00C5080D" w:rsidRPr="00D9492F">
        <w:rPr>
          <w:rFonts w:ascii="Times New Roman" w:hAnsi="Times New Roman"/>
        </w:rPr>
        <w:t> </w:t>
      </w:r>
      <w:r w:rsidRPr="00D9492F">
        <w:rPr>
          <w:rFonts w:ascii="Times New Roman" w:hAnsi="Times New Roman"/>
        </w:rPr>
        <w:t>pacientei (0,2</w:t>
      </w:r>
      <w:r w:rsidR="00C5080D" w:rsidRPr="00D9492F">
        <w:rPr>
          <w:rFonts w:ascii="Times New Roman" w:hAnsi="Times New Roman"/>
        </w:rPr>
        <w:t> </w:t>
      </w:r>
      <w:r w:rsidRPr="00D9492F">
        <w:rPr>
          <w:rFonts w:ascii="Times New Roman" w:hAnsi="Times New Roman"/>
        </w:rPr>
        <w:t xml:space="preserve">%) FAC grupėje. </w:t>
      </w:r>
    </w:p>
    <w:p w14:paraId="22C5149D" w14:textId="77777777" w:rsidR="00DC1CDC" w:rsidRPr="00D9492F" w:rsidRDefault="00DC1CDC" w:rsidP="00DC1CDC">
      <w:pPr>
        <w:spacing w:after="0" w:line="240" w:lineRule="auto"/>
        <w:rPr>
          <w:rFonts w:ascii="Times New Roman" w:hAnsi="Times New Roman"/>
        </w:rPr>
      </w:pPr>
    </w:p>
    <w:p w14:paraId="7DB48939" w14:textId="77777777" w:rsidR="00DC1CDC" w:rsidRPr="00D9492F" w:rsidRDefault="00DC1CDC" w:rsidP="00DC1CDC">
      <w:pPr>
        <w:keepNext/>
        <w:keepLines/>
        <w:tabs>
          <w:tab w:val="left" w:pos="567"/>
        </w:tabs>
        <w:suppressAutoHyphens/>
        <w:spacing w:after="0" w:line="240" w:lineRule="auto"/>
        <w:rPr>
          <w:rFonts w:ascii="Times New Roman" w:hAnsi="Times New Roman"/>
          <w:i/>
          <w:iCs/>
          <w:u w:val="single"/>
        </w:rPr>
      </w:pPr>
      <w:r w:rsidRPr="00D9492F">
        <w:rPr>
          <w:rFonts w:ascii="Times New Roman" w:hAnsi="Times New Roman"/>
          <w:i/>
          <w:iCs/>
          <w:u w:val="single"/>
        </w:rPr>
        <w:t>Širdies sutrikimai</w:t>
      </w:r>
    </w:p>
    <w:p w14:paraId="0F9B8581" w14:textId="76982933" w:rsidR="00C16B7D" w:rsidRPr="00D9492F" w:rsidRDefault="00C16B7D" w:rsidP="00C16B7D">
      <w:pPr>
        <w:spacing w:after="0" w:line="240" w:lineRule="auto"/>
        <w:rPr>
          <w:rFonts w:ascii="Times New Roman" w:hAnsi="Times New Roman"/>
        </w:rPr>
      </w:pPr>
      <w:r w:rsidRPr="00D9492F">
        <w:rPr>
          <w:rFonts w:ascii="Times New Roman" w:hAnsi="Times New Roman"/>
        </w:rPr>
        <w:t>Tyrimo TAX316 metu TAC grupėje 26</w:t>
      </w:r>
      <w:r w:rsidR="00C5080D" w:rsidRPr="00D9492F">
        <w:rPr>
          <w:rFonts w:ascii="Times New Roman" w:hAnsi="Times New Roman"/>
        </w:rPr>
        <w:t> </w:t>
      </w:r>
      <w:r w:rsidRPr="00D9492F">
        <w:rPr>
          <w:rFonts w:ascii="Times New Roman" w:hAnsi="Times New Roman"/>
        </w:rPr>
        <w:t>pacientams (3,5</w:t>
      </w:r>
      <w:r w:rsidR="00C5080D" w:rsidRPr="00D9492F">
        <w:rPr>
          <w:rFonts w:ascii="Times New Roman" w:hAnsi="Times New Roman"/>
        </w:rPr>
        <w:t> </w:t>
      </w:r>
      <w:r w:rsidRPr="00D9492F">
        <w:rPr>
          <w:rFonts w:ascii="Times New Roman" w:hAnsi="Times New Roman"/>
        </w:rPr>
        <w:t>%) ir FAC grupėje 17 pacientų (2,3</w:t>
      </w:r>
      <w:r w:rsidR="00C5080D" w:rsidRPr="00D9492F">
        <w:rPr>
          <w:rFonts w:ascii="Times New Roman" w:hAnsi="Times New Roman"/>
        </w:rPr>
        <w:t> </w:t>
      </w:r>
      <w:r w:rsidRPr="00D9492F">
        <w:rPr>
          <w:rFonts w:ascii="Times New Roman" w:hAnsi="Times New Roman"/>
        </w:rPr>
        <w:t>%) pasireiškė stazinis širdies nepakankamumas. Kiekvienoje grupėje visiems pacientams, išskyrus vieną, praėjus daugiau nei 30 dienų po gydymo pabaigos buvo nustatytas SŠN. 2</w:t>
      </w:r>
      <w:r w:rsidR="00C5080D" w:rsidRPr="00D9492F">
        <w:rPr>
          <w:rFonts w:ascii="Times New Roman" w:hAnsi="Times New Roman"/>
        </w:rPr>
        <w:t> </w:t>
      </w:r>
      <w:r w:rsidRPr="00D9492F">
        <w:rPr>
          <w:rFonts w:ascii="Times New Roman" w:hAnsi="Times New Roman"/>
        </w:rPr>
        <w:t>pacientai TAC grupėje ir 4</w:t>
      </w:r>
      <w:r w:rsidR="00C5080D" w:rsidRPr="00D9492F">
        <w:rPr>
          <w:rFonts w:ascii="Times New Roman" w:hAnsi="Times New Roman"/>
        </w:rPr>
        <w:t> </w:t>
      </w:r>
      <w:r w:rsidRPr="00D9492F">
        <w:rPr>
          <w:rFonts w:ascii="Times New Roman" w:hAnsi="Times New Roman"/>
        </w:rPr>
        <w:t xml:space="preserve">pacientai FAC grupėje mirė nuo širdies nepakankamumo. </w:t>
      </w:r>
    </w:p>
    <w:p w14:paraId="5C5D6806" w14:textId="2C7F90BD" w:rsidR="00C16B7D" w:rsidRPr="00D9492F" w:rsidRDefault="00C16B7D" w:rsidP="00C16B7D">
      <w:pPr>
        <w:spacing w:after="0" w:line="240" w:lineRule="auto"/>
        <w:rPr>
          <w:rFonts w:ascii="Times New Roman" w:hAnsi="Times New Roman"/>
          <w:i/>
          <w:iCs/>
        </w:rPr>
      </w:pPr>
      <w:r w:rsidRPr="00D9492F">
        <w:rPr>
          <w:rFonts w:ascii="Times New Roman" w:hAnsi="Times New Roman"/>
        </w:rPr>
        <w:t>Tyrimo GEICAM 9805</w:t>
      </w:r>
      <w:r w:rsidR="00C5080D" w:rsidRPr="00D9492F">
        <w:rPr>
          <w:rFonts w:ascii="Times New Roman" w:hAnsi="Times New Roman"/>
        </w:rPr>
        <w:t> </w:t>
      </w:r>
      <w:r w:rsidRPr="00D9492F">
        <w:rPr>
          <w:rFonts w:ascii="Times New Roman" w:hAnsi="Times New Roman"/>
        </w:rPr>
        <w:t>metu TAC grupėje 3</w:t>
      </w:r>
      <w:r w:rsidR="00C5080D" w:rsidRPr="00D9492F">
        <w:rPr>
          <w:rFonts w:ascii="Times New Roman" w:hAnsi="Times New Roman"/>
        </w:rPr>
        <w:t> </w:t>
      </w:r>
      <w:r w:rsidRPr="00D9492F">
        <w:rPr>
          <w:rFonts w:ascii="Times New Roman" w:hAnsi="Times New Roman"/>
        </w:rPr>
        <w:t>pacientėms (0,6</w:t>
      </w:r>
      <w:r w:rsidR="00C5080D" w:rsidRPr="00D9492F">
        <w:rPr>
          <w:rFonts w:ascii="Times New Roman" w:hAnsi="Times New Roman"/>
        </w:rPr>
        <w:t> </w:t>
      </w:r>
      <w:r w:rsidRPr="00D9492F">
        <w:rPr>
          <w:rFonts w:ascii="Times New Roman" w:hAnsi="Times New Roman"/>
        </w:rPr>
        <w:t>%) ir FAC grupėje 3</w:t>
      </w:r>
      <w:r w:rsidR="00C5080D" w:rsidRPr="00D9492F">
        <w:rPr>
          <w:rFonts w:ascii="Times New Roman" w:hAnsi="Times New Roman"/>
        </w:rPr>
        <w:t> </w:t>
      </w:r>
      <w:r w:rsidRPr="00D9492F">
        <w:rPr>
          <w:rFonts w:ascii="Times New Roman" w:hAnsi="Times New Roman"/>
        </w:rPr>
        <w:t>pacientėms (0,6</w:t>
      </w:r>
      <w:r w:rsidR="00C5080D" w:rsidRPr="00D9492F">
        <w:rPr>
          <w:rFonts w:ascii="Times New Roman" w:hAnsi="Times New Roman"/>
        </w:rPr>
        <w:t> </w:t>
      </w:r>
      <w:r w:rsidRPr="00D9492F">
        <w:rPr>
          <w:rFonts w:ascii="Times New Roman" w:hAnsi="Times New Roman"/>
        </w:rPr>
        <w:t>%) stebėjimo laikotarpiu pasireiškė stazinis širdies nepakankamumas. Stebėjimo laikotarpio pabaigoje (tikroji stebėjimo laiko mediana buvo 10</w:t>
      </w:r>
      <w:r w:rsidR="00C5080D" w:rsidRPr="00D9492F">
        <w:rPr>
          <w:rFonts w:ascii="Times New Roman" w:hAnsi="Times New Roman"/>
        </w:rPr>
        <w:t> </w:t>
      </w:r>
      <w:r w:rsidRPr="00D9492F">
        <w:rPr>
          <w:rFonts w:ascii="Times New Roman" w:hAnsi="Times New Roman"/>
        </w:rPr>
        <w:t>metų ir 5</w:t>
      </w:r>
      <w:r w:rsidR="00C5080D" w:rsidRPr="00D9492F">
        <w:rPr>
          <w:rFonts w:ascii="Times New Roman" w:hAnsi="Times New Roman"/>
        </w:rPr>
        <w:t> </w:t>
      </w:r>
      <w:r w:rsidRPr="00D9492F">
        <w:rPr>
          <w:rFonts w:ascii="Times New Roman" w:hAnsi="Times New Roman"/>
        </w:rPr>
        <w:t>mėnesiai) stazinio širdies nepakankamumo atvejų TAC grupėje nebuvo ir viena TAC grupės pacientė mirė nuo dilatacinės kardiomiopatijos, o FAC grupėje stazinis širdies nepakankamumas išliko 1</w:t>
      </w:r>
      <w:r w:rsidR="00C5080D" w:rsidRPr="00D9492F">
        <w:rPr>
          <w:rFonts w:ascii="Times New Roman" w:hAnsi="Times New Roman"/>
        </w:rPr>
        <w:t> </w:t>
      </w:r>
      <w:r w:rsidRPr="00D9492F">
        <w:rPr>
          <w:rFonts w:ascii="Times New Roman" w:hAnsi="Times New Roman"/>
        </w:rPr>
        <w:t>pacientei (0,2</w:t>
      </w:r>
      <w:r w:rsidR="00C5080D" w:rsidRPr="00D9492F">
        <w:rPr>
          <w:rFonts w:ascii="Times New Roman" w:hAnsi="Times New Roman"/>
        </w:rPr>
        <w:t> </w:t>
      </w:r>
      <w:r w:rsidRPr="00D9492F">
        <w:rPr>
          <w:rFonts w:ascii="Times New Roman" w:hAnsi="Times New Roman"/>
        </w:rPr>
        <w:t xml:space="preserve">%). </w:t>
      </w:r>
    </w:p>
    <w:p w14:paraId="5604BF2B" w14:textId="77777777" w:rsidR="00DC1CDC" w:rsidRPr="00D9492F" w:rsidRDefault="00DC1CDC" w:rsidP="00DC1CDC">
      <w:pPr>
        <w:spacing w:after="0" w:line="240" w:lineRule="auto"/>
        <w:rPr>
          <w:rFonts w:ascii="Times New Roman" w:hAnsi="Times New Roman"/>
          <w:i/>
          <w:iCs/>
        </w:rPr>
      </w:pPr>
    </w:p>
    <w:p w14:paraId="0F26B907" w14:textId="77777777" w:rsidR="00DC1CDC" w:rsidRPr="00D9492F" w:rsidRDefault="00DC1CDC" w:rsidP="00DC1CDC">
      <w:pPr>
        <w:keepNext/>
        <w:keepLines/>
        <w:tabs>
          <w:tab w:val="left" w:pos="7655"/>
        </w:tabs>
        <w:suppressAutoHyphens/>
        <w:spacing w:after="0" w:line="240" w:lineRule="auto"/>
        <w:rPr>
          <w:rFonts w:ascii="Times New Roman" w:hAnsi="Times New Roman"/>
          <w:i/>
          <w:iCs/>
          <w:u w:val="single"/>
        </w:rPr>
      </w:pPr>
      <w:r w:rsidRPr="00D9492F">
        <w:rPr>
          <w:rFonts w:ascii="Times New Roman" w:hAnsi="Times New Roman"/>
          <w:i/>
          <w:iCs/>
          <w:u w:val="single"/>
        </w:rPr>
        <w:t>Odos ir poodinio audinio sutrikimai</w:t>
      </w:r>
    </w:p>
    <w:p w14:paraId="4E01C2B1" w14:textId="22963E5C" w:rsidR="00C16B7D" w:rsidRPr="00D9492F" w:rsidRDefault="00C16B7D" w:rsidP="00C16B7D">
      <w:pPr>
        <w:spacing w:after="0" w:line="240" w:lineRule="auto"/>
        <w:rPr>
          <w:rFonts w:ascii="Times New Roman" w:hAnsi="Times New Roman"/>
        </w:rPr>
      </w:pPr>
      <w:r w:rsidRPr="00D9492F">
        <w:rPr>
          <w:rFonts w:ascii="Times New Roman" w:hAnsi="Times New Roman"/>
        </w:rPr>
        <w:t>Tyrimo TAX316 metu 687</w:t>
      </w:r>
      <w:r w:rsidR="00C5080D" w:rsidRPr="00D9492F">
        <w:rPr>
          <w:rFonts w:ascii="Times New Roman" w:hAnsi="Times New Roman"/>
        </w:rPr>
        <w:t> </w:t>
      </w:r>
      <w:r w:rsidRPr="00D9492F">
        <w:rPr>
          <w:rFonts w:ascii="Times New Roman" w:hAnsi="Times New Roman"/>
        </w:rPr>
        <w:t>pacientams iš 744 (92,3</w:t>
      </w:r>
      <w:r w:rsidR="00C5080D" w:rsidRPr="00D9492F">
        <w:rPr>
          <w:rFonts w:ascii="Times New Roman" w:hAnsi="Times New Roman"/>
        </w:rPr>
        <w:t> </w:t>
      </w:r>
      <w:r w:rsidRPr="00D9492F">
        <w:rPr>
          <w:rFonts w:ascii="Times New Roman" w:hAnsi="Times New Roman"/>
        </w:rPr>
        <w:t>%) TAC grupėje ir 645</w:t>
      </w:r>
      <w:r w:rsidR="00C5080D" w:rsidRPr="00D9492F">
        <w:rPr>
          <w:rFonts w:ascii="Times New Roman" w:hAnsi="Times New Roman"/>
        </w:rPr>
        <w:t> </w:t>
      </w:r>
      <w:r w:rsidRPr="00D9492F">
        <w:rPr>
          <w:rFonts w:ascii="Times New Roman" w:hAnsi="Times New Roman"/>
        </w:rPr>
        <w:t>pacientams iš 736 (87,6</w:t>
      </w:r>
      <w:r w:rsidR="00C5080D" w:rsidRPr="00D9492F">
        <w:rPr>
          <w:rFonts w:ascii="Times New Roman" w:hAnsi="Times New Roman"/>
        </w:rPr>
        <w:t> </w:t>
      </w:r>
      <w:r w:rsidRPr="00D9492F">
        <w:rPr>
          <w:rFonts w:ascii="Times New Roman" w:hAnsi="Times New Roman"/>
        </w:rPr>
        <w:t xml:space="preserve">%) FAC grupėje alopecija išliko stebėjimo laikotarpiu, po chemoterapijos pabaigos. </w:t>
      </w:r>
    </w:p>
    <w:p w14:paraId="3496E4A1" w14:textId="3C00B48A" w:rsidR="00C16B7D" w:rsidRPr="00D9492F" w:rsidRDefault="00C16B7D" w:rsidP="00C16B7D">
      <w:pPr>
        <w:spacing w:after="0" w:line="240" w:lineRule="auto"/>
        <w:rPr>
          <w:rFonts w:ascii="Times New Roman" w:hAnsi="Times New Roman"/>
        </w:rPr>
      </w:pPr>
      <w:r w:rsidRPr="00D9492F">
        <w:rPr>
          <w:rFonts w:ascii="Times New Roman" w:hAnsi="Times New Roman"/>
        </w:rPr>
        <w:lastRenderedPageBreak/>
        <w:t>Stebėjimo laikotarpio pabaigoje (tikroji stebėjimo laiko mediana buvo 8 metai) alopecija išliko 29</w:t>
      </w:r>
      <w:r w:rsidR="00C5080D" w:rsidRPr="00D9492F">
        <w:rPr>
          <w:rFonts w:ascii="Times New Roman" w:hAnsi="Times New Roman"/>
        </w:rPr>
        <w:t> </w:t>
      </w:r>
      <w:r w:rsidRPr="00D9492F">
        <w:rPr>
          <w:rFonts w:ascii="Times New Roman" w:hAnsi="Times New Roman"/>
        </w:rPr>
        <w:t>pacientams TAC grupėje (3,9%) ir 16</w:t>
      </w:r>
      <w:r w:rsidR="00C5080D" w:rsidRPr="00D9492F">
        <w:rPr>
          <w:rFonts w:ascii="Times New Roman" w:hAnsi="Times New Roman"/>
        </w:rPr>
        <w:t> </w:t>
      </w:r>
      <w:r w:rsidRPr="00D9492F">
        <w:rPr>
          <w:rFonts w:ascii="Times New Roman" w:hAnsi="Times New Roman"/>
        </w:rPr>
        <w:t>pacientų FAC grupėje (2,2</w:t>
      </w:r>
      <w:r w:rsidR="00C5080D" w:rsidRPr="00D9492F">
        <w:rPr>
          <w:rFonts w:ascii="Times New Roman" w:hAnsi="Times New Roman"/>
        </w:rPr>
        <w:t> </w:t>
      </w:r>
      <w:r w:rsidRPr="00D9492F">
        <w:rPr>
          <w:rFonts w:ascii="Times New Roman" w:hAnsi="Times New Roman"/>
        </w:rPr>
        <w:t xml:space="preserve">%). </w:t>
      </w:r>
    </w:p>
    <w:p w14:paraId="1BCDD6A6" w14:textId="2C836DBE" w:rsidR="00C16B7D" w:rsidRPr="00D9492F" w:rsidRDefault="00C16B7D" w:rsidP="00C16B7D">
      <w:pPr>
        <w:spacing w:after="0" w:line="240" w:lineRule="auto"/>
        <w:rPr>
          <w:rFonts w:ascii="Times New Roman" w:hAnsi="Times New Roman"/>
        </w:rPr>
      </w:pPr>
      <w:r w:rsidRPr="00D9492F">
        <w:rPr>
          <w:rFonts w:ascii="Times New Roman" w:hAnsi="Times New Roman"/>
        </w:rPr>
        <w:t>Tyrimo GEICAM 9805 metu alopecija prasidėjo gydymo laikotarpiu ir išliko pradėjus stebėjimo laikotarpį 49</w:t>
      </w:r>
      <w:r w:rsidR="00C5080D" w:rsidRPr="00D9492F">
        <w:rPr>
          <w:rFonts w:ascii="Times New Roman" w:hAnsi="Times New Roman"/>
        </w:rPr>
        <w:t> </w:t>
      </w:r>
      <w:r w:rsidRPr="00D9492F">
        <w:rPr>
          <w:rFonts w:ascii="Times New Roman" w:hAnsi="Times New Roman"/>
        </w:rPr>
        <w:t>pacientėms (9,2%) TAC grupėje ir 35</w:t>
      </w:r>
      <w:r w:rsidR="00C5080D" w:rsidRPr="00D9492F">
        <w:rPr>
          <w:rFonts w:ascii="Times New Roman" w:hAnsi="Times New Roman"/>
        </w:rPr>
        <w:t> </w:t>
      </w:r>
      <w:r w:rsidRPr="00D9492F">
        <w:rPr>
          <w:rFonts w:ascii="Times New Roman" w:hAnsi="Times New Roman"/>
        </w:rPr>
        <w:t>pacientėms (6,7</w:t>
      </w:r>
      <w:r w:rsidR="00C5080D" w:rsidRPr="00D9492F">
        <w:rPr>
          <w:rFonts w:ascii="Times New Roman" w:hAnsi="Times New Roman"/>
        </w:rPr>
        <w:t> </w:t>
      </w:r>
      <w:r w:rsidRPr="00D9492F">
        <w:rPr>
          <w:rFonts w:ascii="Times New Roman" w:hAnsi="Times New Roman"/>
        </w:rPr>
        <w:t>%) FAC grupėje. Alopecija, susijusi su tiriamojo vaistinio preparato vartojimu ir prasidėjusi ar pasunkėjusi stebėjimo laikotarpiu, pasireiškė 42</w:t>
      </w:r>
      <w:r w:rsidR="00C5080D" w:rsidRPr="00D9492F">
        <w:rPr>
          <w:rFonts w:ascii="Times New Roman" w:hAnsi="Times New Roman"/>
        </w:rPr>
        <w:t> </w:t>
      </w:r>
      <w:r w:rsidRPr="00D9492F">
        <w:rPr>
          <w:rFonts w:ascii="Times New Roman" w:hAnsi="Times New Roman"/>
        </w:rPr>
        <w:t>pacientėms (7,9%) TAC grupėje ir 30</w:t>
      </w:r>
      <w:r w:rsidR="00C5080D" w:rsidRPr="00D9492F">
        <w:rPr>
          <w:rFonts w:ascii="Times New Roman" w:hAnsi="Times New Roman"/>
        </w:rPr>
        <w:t> </w:t>
      </w:r>
      <w:r w:rsidRPr="00D9492F">
        <w:rPr>
          <w:rFonts w:ascii="Times New Roman" w:hAnsi="Times New Roman"/>
        </w:rPr>
        <w:t>pacienčių (5,8</w:t>
      </w:r>
      <w:r w:rsidR="00C5080D" w:rsidRPr="00D9492F">
        <w:rPr>
          <w:rFonts w:ascii="Times New Roman" w:hAnsi="Times New Roman"/>
        </w:rPr>
        <w:t> </w:t>
      </w:r>
      <w:r w:rsidRPr="00D9492F">
        <w:rPr>
          <w:rFonts w:ascii="Times New Roman" w:hAnsi="Times New Roman"/>
        </w:rPr>
        <w:t>%) FAC grupėje. Stebėjimo laikotarpio pabaigoje (stebėjimo laiko mediana buvo 10</w:t>
      </w:r>
      <w:r w:rsidR="00C5080D" w:rsidRPr="00D9492F">
        <w:rPr>
          <w:rFonts w:ascii="Times New Roman" w:hAnsi="Times New Roman"/>
        </w:rPr>
        <w:t> </w:t>
      </w:r>
      <w:r w:rsidRPr="00D9492F">
        <w:rPr>
          <w:rFonts w:ascii="Times New Roman" w:hAnsi="Times New Roman"/>
        </w:rPr>
        <w:t>metų ir 5</w:t>
      </w:r>
      <w:r w:rsidR="00C5080D" w:rsidRPr="00D9492F">
        <w:rPr>
          <w:rFonts w:ascii="Times New Roman" w:hAnsi="Times New Roman"/>
        </w:rPr>
        <w:t> </w:t>
      </w:r>
      <w:r w:rsidRPr="00D9492F">
        <w:rPr>
          <w:rFonts w:ascii="Times New Roman" w:hAnsi="Times New Roman"/>
        </w:rPr>
        <w:t>mėnesiai) alopecija išliko 3</w:t>
      </w:r>
      <w:r w:rsidR="00C5080D" w:rsidRPr="00D9492F">
        <w:rPr>
          <w:rFonts w:ascii="Times New Roman" w:hAnsi="Times New Roman"/>
        </w:rPr>
        <w:t> </w:t>
      </w:r>
      <w:r w:rsidRPr="00D9492F">
        <w:rPr>
          <w:rFonts w:ascii="Times New Roman" w:hAnsi="Times New Roman"/>
        </w:rPr>
        <w:t>pacientėms (0,6</w:t>
      </w:r>
      <w:r w:rsidR="00C5080D" w:rsidRPr="00D9492F">
        <w:rPr>
          <w:rFonts w:ascii="Times New Roman" w:hAnsi="Times New Roman"/>
        </w:rPr>
        <w:t> </w:t>
      </w:r>
      <w:r w:rsidRPr="00D9492F">
        <w:rPr>
          <w:rFonts w:ascii="Times New Roman" w:hAnsi="Times New Roman"/>
        </w:rPr>
        <w:t>%) TAC grupėje ir 1</w:t>
      </w:r>
      <w:r w:rsidR="00C5080D" w:rsidRPr="00D9492F">
        <w:rPr>
          <w:rFonts w:ascii="Times New Roman" w:hAnsi="Times New Roman"/>
        </w:rPr>
        <w:t> </w:t>
      </w:r>
      <w:r w:rsidRPr="00D9492F">
        <w:rPr>
          <w:rFonts w:ascii="Times New Roman" w:hAnsi="Times New Roman"/>
        </w:rPr>
        <w:t>pacientei (0,2</w:t>
      </w:r>
      <w:r w:rsidR="00C5080D" w:rsidRPr="00D9492F">
        <w:rPr>
          <w:rFonts w:ascii="Times New Roman" w:hAnsi="Times New Roman"/>
        </w:rPr>
        <w:t> </w:t>
      </w:r>
      <w:r w:rsidRPr="00D9492F">
        <w:rPr>
          <w:rFonts w:ascii="Times New Roman" w:hAnsi="Times New Roman"/>
        </w:rPr>
        <w:t xml:space="preserve">%) FAC grupėje. </w:t>
      </w:r>
    </w:p>
    <w:p w14:paraId="7ED2F81A" w14:textId="77777777" w:rsidR="00DC1CDC" w:rsidRPr="00D9492F" w:rsidRDefault="00DC1CDC" w:rsidP="00DC1CDC">
      <w:pPr>
        <w:spacing w:after="0" w:line="240" w:lineRule="auto"/>
        <w:rPr>
          <w:rFonts w:ascii="Times New Roman" w:hAnsi="Times New Roman"/>
        </w:rPr>
      </w:pPr>
    </w:p>
    <w:p w14:paraId="7E85007E" w14:textId="77777777" w:rsidR="00DC1CDC" w:rsidRPr="00D9492F" w:rsidRDefault="00DC1CDC" w:rsidP="00DC1CDC">
      <w:pPr>
        <w:keepNext/>
        <w:keepLines/>
        <w:suppressAutoHyphens/>
        <w:spacing w:after="0" w:line="240" w:lineRule="auto"/>
        <w:rPr>
          <w:rFonts w:ascii="Times New Roman" w:hAnsi="Times New Roman"/>
          <w:i/>
          <w:iCs/>
          <w:u w:val="single"/>
        </w:rPr>
      </w:pPr>
      <w:r w:rsidRPr="00D9492F">
        <w:rPr>
          <w:rFonts w:ascii="Times New Roman" w:hAnsi="Times New Roman"/>
          <w:i/>
          <w:iCs/>
          <w:u w:val="single"/>
        </w:rPr>
        <w:t>Lytinės sistemos ir krūties sutrikimai</w:t>
      </w:r>
    </w:p>
    <w:p w14:paraId="508406D6" w14:textId="6C018C57" w:rsidR="00FB2851" w:rsidRPr="00D9492F" w:rsidRDefault="00FB2851" w:rsidP="00FB2851">
      <w:pPr>
        <w:spacing w:after="0" w:line="240" w:lineRule="auto"/>
        <w:rPr>
          <w:rFonts w:ascii="Times New Roman" w:hAnsi="Times New Roman"/>
          <w:i/>
          <w:iCs/>
        </w:rPr>
      </w:pPr>
      <w:r w:rsidRPr="00D9492F">
        <w:rPr>
          <w:rFonts w:ascii="Times New Roman" w:hAnsi="Times New Roman"/>
        </w:rPr>
        <w:t>Tyrimo TAX316 metu amenorėja prasidėjo gydymo laikotarpiu ir išliko pradėjus stebėjimo laikotarpį po chemoterapijos pabaigos 202</w:t>
      </w:r>
      <w:r w:rsidR="00C5080D" w:rsidRPr="00D9492F">
        <w:rPr>
          <w:rFonts w:ascii="Times New Roman" w:hAnsi="Times New Roman"/>
        </w:rPr>
        <w:t> </w:t>
      </w:r>
      <w:r w:rsidRPr="00D9492F">
        <w:rPr>
          <w:rFonts w:ascii="Times New Roman" w:hAnsi="Times New Roman"/>
        </w:rPr>
        <w:t>pacientėms iš 774 (27,2</w:t>
      </w:r>
      <w:r w:rsidR="00C5080D" w:rsidRPr="00D9492F">
        <w:rPr>
          <w:rFonts w:ascii="Times New Roman" w:hAnsi="Times New Roman"/>
        </w:rPr>
        <w:t> </w:t>
      </w:r>
      <w:r w:rsidRPr="00D9492F">
        <w:rPr>
          <w:rFonts w:ascii="Times New Roman" w:hAnsi="Times New Roman"/>
        </w:rPr>
        <w:t>%) TAC grupėje ir 125</w:t>
      </w:r>
      <w:r w:rsidR="00C5080D" w:rsidRPr="00D9492F">
        <w:rPr>
          <w:rFonts w:ascii="Times New Roman" w:hAnsi="Times New Roman"/>
        </w:rPr>
        <w:t> </w:t>
      </w:r>
      <w:r w:rsidRPr="00D9492F">
        <w:rPr>
          <w:rFonts w:ascii="Times New Roman" w:hAnsi="Times New Roman"/>
        </w:rPr>
        <w:t>pacientėms iš 736</w:t>
      </w:r>
      <w:r w:rsidR="00C5080D" w:rsidRPr="00D9492F">
        <w:rPr>
          <w:rFonts w:ascii="Times New Roman" w:hAnsi="Times New Roman"/>
        </w:rPr>
        <w:t> </w:t>
      </w:r>
      <w:r w:rsidRPr="00D9492F">
        <w:rPr>
          <w:rFonts w:ascii="Times New Roman" w:hAnsi="Times New Roman"/>
        </w:rPr>
        <w:t>(17,0</w:t>
      </w:r>
      <w:r w:rsidR="00C5080D" w:rsidRPr="00D9492F">
        <w:rPr>
          <w:rFonts w:ascii="Times New Roman" w:hAnsi="Times New Roman"/>
        </w:rPr>
        <w:t> </w:t>
      </w:r>
      <w:r w:rsidRPr="00D9492F">
        <w:rPr>
          <w:rFonts w:ascii="Times New Roman" w:hAnsi="Times New Roman"/>
        </w:rPr>
        <w:t>%) FAC grupėje. Stebėjimo laikotarpio pabaigoje (stebėjimo laiko mediana buvo 8</w:t>
      </w:r>
      <w:r w:rsidR="00C5080D" w:rsidRPr="00D9492F">
        <w:rPr>
          <w:rFonts w:ascii="Times New Roman" w:hAnsi="Times New Roman"/>
        </w:rPr>
        <w:t> </w:t>
      </w:r>
      <w:r w:rsidRPr="00D9492F">
        <w:rPr>
          <w:rFonts w:ascii="Times New Roman" w:hAnsi="Times New Roman"/>
        </w:rPr>
        <w:t>metai) amenorėja išliko 121</w:t>
      </w:r>
      <w:r w:rsidR="00C5080D" w:rsidRPr="00D9492F">
        <w:rPr>
          <w:rFonts w:ascii="Times New Roman" w:hAnsi="Times New Roman"/>
        </w:rPr>
        <w:t> </w:t>
      </w:r>
      <w:r w:rsidRPr="00D9492F">
        <w:rPr>
          <w:rFonts w:ascii="Times New Roman" w:hAnsi="Times New Roman"/>
        </w:rPr>
        <w:t>pacientei iš 774</w:t>
      </w:r>
      <w:r w:rsidR="00C5080D" w:rsidRPr="00D9492F">
        <w:rPr>
          <w:rFonts w:ascii="Times New Roman" w:hAnsi="Times New Roman"/>
        </w:rPr>
        <w:t> </w:t>
      </w:r>
      <w:r w:rsidRPr="00D9492F">
        <w:rPr>
          <w:rFonts w:ascii="Times New Roman" w:hAnsi="Times New Roman"/>
        </w:rPr>
        <w:t>(16,3</w:t>
      </w:r>
      <w:r w:rsidR="00C5080D" w:rsidRPr="00D9492F">
        <w:rPr>
          <w:rFonts w:ascii="Times New Roman" w:hAnsi="Times New Roman"/>
        </w:rPr>
        <w:t> </w:t>
      </w:r>
      <w:r w:rsidRPr="00D9492F">
        <w:rPr>
          <w:rFonts w:ascii="Times New Roman" w:hAnsi="Times New Roman"/>
        </w:rPr>
        <w:t>%) TAC grupėje ir 86</w:t>
      </w:r>
      <w:r w:rsidR="00C5080D" w:rsidRPr="00D9492F">
        <w:rPr>
          <w:rFonts w:ascii="Times New Roman" w:hAnsi="Times New Roman"/>
        </w:rPr>
        <w:t> </w:t>
      </w:r>
      <w:r w:rsidRPr="00D9492F">
        <w:rPr>
          <w:rFonts w:ascii="Times New Roman" w:hAnsi="Times New Roman"/>
        </w:rPr>
        <w:t>pacientėms (11,7</w:t>
      </w:r>
      <w:r w:rsidR="00C5080D" w:rsidRPr="00D9492F">
        <w:rPr>
          <w:rFonts w:ascii="Times New Roman" w:hAnsi="Times New Roman"/>
        </w:rPr>
        <w:t> </w:t>
      </w:r>
      <w:r w:rsidRPr="00D9492F">
        <w:rPr>
          <w:rFonts w:ascii="Times New Roman" w:hAnsi="Times New Roman"/>
        </w:rPr>
        <w:t>%) FAC grupėje. Tyrimo GEICAM 9805</w:t>
      </w:r>
      <w:r w:rsidR="00C5080D" w:rsidRPr="00D9492F">
        <w:rPr>
          <w:rFonts w:ascii="Times New Roman" w:hAnsi="Times New Roman"/>
        </w:rPr>
        <w:t> </w:t>
      </w:r>
      <w:r w:rsidRPr="00D9492F">
        <w:rPr>
          <w:rFonts w:ascii="Times New Roman" w:hAnsi="Times New Roman"/>
        </w:rPr>
        <w:t>metu amenorėja prasidėjo gydymo laikotarpiu ir išliko pradėjus stebėjimo laikotarpį 18</w:t>
      </w:r>
      <w:r w:rsidR="00C5080D" w:rsidRPr="00D9492F">
        <w:rPr>
          <w:rFonts w:ascii="Times New Roman" w:hAnsi="Times New Roman"/>
        </w:rPr>
        <w:t> </w:t>
      </w:r>
      <w:r w:rsidRPr="00D9492F">
        <w:rPr>
          <w:rFonts w:ascii="Times New Roman" w:hAnsi="Times New Roman"/>
        </w:rPr>
        <w:t>pacienčių (3,4</w:t>
      </w:r>
      <w:r w:rsidR="00C5080D" w:rsidRPr="00D9492F">
        <w:rPr>
          <w:rFonts w:ascii="Times New Roman" w:hAnsi="Times New Roman"/>
        </w:rPr>
        <w:t> </w:t>
      </w:r>
      <w:r w:rsidRPr="00D9492F">
        <w:rPr>
          <w:rFonts w:ascii="Times New Roman" w:hAnsi="Times New Roman"/>
        </w:rPr>
        <w:t>%) TAC grupėje ir 5</w:t>
      </w:r>
      <w:r w:rsidR="00C5080D" w:rsidRPr="00D9492F">
        <w:rPr>
          <w:rFonts w:ascii="Times New Roman" w:hAnsi="Times New Roman"/>
        </w:rPr>
        <w:t> </w:t>
      </w:r>
      <w:r w:rsidRPr="00D9492F">
        <w:rPr>
          <w:rFonts w:ascii="Times New Roman" w:hAnsi="Times New Roman"/>
        </w:rPr>
        <w:t>pacientėms (1,0</w:t>
      </w:r>
      <w:r w:rsidR="00C5080D" w:rsidRPr="00D9492F">
        <w:rPr>
          <w:rFonts w:ascii="Times New Roman" w:hAnsi="Times New Roman"/>
        </w:rPr>
        <w:t> </w:t>
      </w:r>
      <w:r w:rsidRPr="00D9492F">
        <w:rPr>
          <w:rFonts w:ascii="Times New Roman" w:hAnsi="Times New Roman"/>
        </w:rPr>
        <w:t>%) FAC grupėje. Stebėjimo laikotarpio pabaigoje (stebėjimo laiko mediana buvo 10</w:t>
      </w:r>
      <w:r w:rsidR="00C5080D" w:rsidRPr="00D9492F">
        <w:rPr>
          <w:rFonts w:ascii="Times New Roman" w:hAnsi="Times New Roman"/>
        </w:rPr>
        <w:t> </w:t>
      </w:r>
      <w:r w:rsidRPr="00D9492F">
        <w:rPr>
          <w:rFonts w:ascii="Times New Roman" w:hAnsi="Times New Roman"/>
        </w:rPr>
        <w:t>metų ir 5</w:t>
      </w:r>
      <w:r w:rsidR="00C5080D" w:rsidRPr="00D9492F">
        <w:rPr>
          <w:rFonts w:ascii="Times New Roman" w:hAnsi="Times New Roman"/>
        </w:rPr>
        <w:t> </w:t>
      </w:r>
      <w:r w:rsidRPr="00D9492F">
        <w:rPr>
          <w:rFonts w:ascii="Times New Roman" w:hAnsi="Times New Roman"/>
        </w:rPr>
        <w:t>mėnesiai) amenorėja išliko 7</w:t>
      </w:r>
      <w:r w:rsidR="00C5080D" w:rsidRPr="00D9492F">
        <w:rPr>
          <w:rFonts w:ascii="Times New Roman" w:hAnsi="Times New Roman"/>
        </w:rPr>
        <w:t> </w:t>
      </w:r>
      <w:r w:rsidRPr="00D9492F">
        <w:rPr>
          <w:rFonts w:ascii="Times New Roman" w:hAnsi="Times New Roman"/>
        </w:rPr>
        <w:t>pacientėms (1,3</w:t>
      </w:r>
      <w:r w:rsidR="00C5080D" w:rsidRPr="00D9492F">
        <w:rPr>
          <w:rFonts w:ascii="Times New Roman" w:hAnsi="Times New Roman"/>
        </w:rPr>
        <w:t> </w:t>
      </w:r>
      <w:r w:rsidRPr="00D9492F">
        <w:rPr>
          <w:rFonts w:ascii="Times New Roman" w:hAnsi="Times New Roman"/>
        </w:rPr>
        <w:t>%) TAC grupėje ir 4</w:t>
      </w:r>
      <w:r w:rsidR="00C5080D" w:rsidRPr="00D9492F">
        <w:rPr>
          <w:rFonts w:ascii="Times New Roman" w:hAnsi="Times New Roman"/>
        </w:rPr>
        <w:t> </w:t>
      </w:r>
      <w:r w:rsidRPr="00D9492F">
        <w:rPr>
          <w:rFonts w:ascii="Times New Roman" w:hAnsi="Times New Roman"/>
        </w:rPr>
        <w:t>pacientėms (0,8</w:t>
      </w:r>
      <w:r w:rsidR="00C5080D" w:rsidRPr="00D9492F">
        <w:rPr>
          <w:rFonts w:ascii="Times New Roman" w:hAnsi="Times New Roman"/>
        </w:rPr>
        <w:t> </w:t>
      </w:r>
      <w:r w:rsidRPr="00D9492F">
        <w:rPr>
          <w:rFonts w:ascii="Times New Roman" w:hAnsi="Times New Roman"/>
        </w:rPr>
        <w:t xml:space="preserve">%) FAC grupėje. </w:t>
      </w:r>
    </w:p>
    <w:p w14:paraId="36D3DA00" w14:textId="77777777" w:rsidR="00DC1CDC" w:rsidRPr="00D9492F" w:rsidRDefault="00DC1CDC" w:rsidP="00DC1CDC">
      <w:pPr>
        <w:spacing w:after="0" w:line="240" w:lineRule="auto"/>
        <w:rPr>
          <w:rFonts w:ascii="Times New Roman" w:hAnsi="Times New Roman"/>
          <w:i/>
          <w:iCs/>
        </w:rPr>
      </w:pPr>
    </w:p>
    <w:p w14:paraId="785F114E" w14:textId="77777777" w:rsidR="00DC1CDC" w:rsidRPr="00D9492F" w:rsidRDefault="00DC1CDC" w:rsidP="00DC1CDC">
      <w:pPr>
        <w:keepNext/>
        <w:keepLines/>
        <w:suppressAutoHyphens/>
        <w:spacing w:after="0" w:line="240" w:lineRule="auto"/>
        <w:rPr>
          <w:rFonts w:ascii="Times New Roman" w:hAnsi="Times New Roman"/>
          <w:i/>
          <w:iCs/>
          <w:u w:val="single"/>
        </w:rPr>
      </w:pPr>
      <w:r w:rsidRPr="00D9492F">
        <w:rPr>
          <w:rFonts w:ascii="Times New Roman" w:hAnsi="Times New Roman"/>
          <w:i/>
          <w:iCs/>
          <w:u w:val="single"/>
        </w:rPr>
        <w:t>Bendrieji sutrikimai ir vartojimo vietos pažeidimai</w:t>
      </w:r>
    </w:p>
    <w:p w14:paraId="6FEA6A77" w14:textId="439353EE" w:rsidR="00FB2851" w:rsidRPr="00D9492F" w:rsidRDefault="00FB2851" w:rsidP="00FB2851">
      <w:pPr>
        <w:spacing w:after="0" w:line="240" w:lineRule="auto"/>
        <w:rPr>
          <w:rFonts w:ascii="Times New Roman" w:hAnsi="Times New Roman"/>
        </w:rPr>
      </w:pPr>
      <w:r w:rsidRPr="00D9492F">
        <w:rPr>
          <w:rFonts w:ascii="Times New Roman" w:hAnsi="Times New Roman"/>
        </w:rPr>
        <w:t>Tyrimo TAX316 metu periferinė edema prasidėjo gydymo laikotarpiu ir išliko pradėjus stebėjimo laikotarpį po chemoterapijos pabaigos 119</w:t>
      </w:r>
      <w:r w:rsidR="00C5080D" w:rsidRPr="00D9492F">
        <w:rPr>
          <w:rFonts w:ascii="Times New Roman" w:hAnsi="Times New Roman"/>
        </w:rPr>
        <w:t> </w:t>
      </w:r>
      <w:r w:rsidRPr="00D9492F">
        <w:rPr>
          <w:rFonts w:ascii="Times New Roman" w:hAnsi="Times New Roman"/>
        </w:rPr>
        <w:t>pacienčių iš 774</w:t>
      </w:r>
      <w:r w:rsidR="00C5080D" w:rsidRPr="00D9492F">
        <w:rPr>
          <w:rFonts w:ascii="Times New Roman" w:hAnsi="Times New Roman"/>
        </w:rPr>
        <w:t> </w:t>
      </w:r>
      <w:r w:rsidRPr="00D9492F">
        <w:rPr>
          <w:rFonts w:ascii="Times New Roman" w:hAnsi="Times New Roman"/>
        </w:rPr>
        <w:t>(16,0</w:t>
      </w:r>
      <w:r w:rsidR="00C5080D" w:rsidRPr="00D9492F">
        <w:rPr>
          <w:rFonts w:ascii="Times New Roman" w:hAnsi="Times New Roman"/>
        </w:rPr>
        <w:t> </w:t>
      </w:r>
      <w:r w:rsidRPr="00D9492F">
        <w:rPr>
          <w:rFonts w:ascii="Times New Roman" w:hAnsi="Times New Roman"/>
        </w:rPr>
        <w:t>%) TAC grupėje ir 23</w:t>
      </w:r>
      <w:r w:rsidR="00C018BB" w:rsidRPr="00D9492F">
        <w:rPr>
          <w:rFonts w:ascii="Times New Roman" w:hAnsi="Times New Roman"/>
        </w:rPr>
        <w:t> </w:t>
      </w:r>
      <w:r w:rsidRPr="00D9492F">
        <w:rPr>
          <w:rFonts w:ascii="Times New Roman" w:hAnsi="Times New Roman"/>
        </w:rPr>
        <w:t>pacientėms iš 736</w:t>
      </w:r>
      <w:r w:rsidR="00C018BB" w:rsidRPr="00D9492F">
        <w:rPr>
          <w:rFonts w:ascii="Times New Roman" w:hAnsi="Times New Roman"/>
        </w:rPr>
        <w:t> </w:t>
      </w:r>
      <w:r w:rsidRPr="00D9492F">
        <w:rPr>
          <w:rFonts w:ascii="Times New Roman" w:hAnsi="Times New Roman"/>
        </w:rPr>
        <w:t>(3,1</w:t>
      </w:r>
      <w:r w:rsidR="00C018BB" w:rsidRPr="00D9492F">
        <w:rPr>
          <w:rFonts w:ascii="Times New Roman" w:hAnsi="Times New Roman"/>
        </w:rPr>
        <w:t> </w:t>
      </w:r>
      <w:r w:rsidRPr="00D9492F">
        <w:rPr>
          <w:rFonts w:ascii="Times New Roman" w:hAnsi="Times New Roman"/>
        </w:rPr>
        <w:t>%) FAC grupėje. Stebėjimo laikotarpio pabaigoje (tikroji stebėjimo laiko mediana buvo 8</w:t>
      </w:r>
      <w:r w:rsidR="00C018BB" w:rsidRPr="00D9492F">
        <w:rPr>
          <w:rFonts w:ascii="Times New Roman" w:hAnsi="Times New Roman"/>
        </w:rPr>
        <w:t> </w:t>
      </w:r>
      <w:r w:rsidRPr="00D9492F">
        <w:rPr>
          <w:rFonts w:ascii="Times New Roman" w:hAnsi="Times New Roman"/>
        </w:rPr>
        <w:t>metai) periferinė edema išliko 19</w:t>
      </w:r>
      <w:r w:rsidR="00C018BB" w:rsidRPr="00D9492F">
        <w:rPr>
          <w:rFonts w:ascii="Times New Roman" w:hAnsi="Times New Roman"/>
        </w:rPr>
        <w:t> </w:t>
      </w:r>
      <w:r w:rsidRPr="00D9492F">
        <w:rPr>
          <w:rFonts w:ascii="Times New Roman" w:hAnsi="Times New Roman"/>
        </w:rPr>
        <w:t>pacienčių (2,6</w:t>
      </w:r>
      <w:r w:rsidR="00C018BB" w:rsidRPr="00D9492F">
        <w:rPr>
          <w:rFonts w:ascii="Times New Roman" w:hAnsi="Times New Roman"/>
        </w:rPr>
        <w:t> </w:t>
      </w:r>
      <w:r w:rsidRPr="00D9492F">
        <w:rPr>
          <w:rFonts w:ascii="Times New Roman" w:hAnsi="Times New Roman"/>
        </w:rPr>
        <w:t>%) TAC grupėje ir 4</w:t>
      </w:r>
      <w:r w:rsidR="00C018BB" w:rsidRPr="00D9492F">
        <w:rPr>
          <w:rFonts w:ascii="Times New Roman" w:hAnsi="Times New Roman"/>
        </w:rPr>
        <w:t> </w:t>
      </w:r>
      <w:r w:rsidRPr="00D9492F">
        <w:rPr>
          <w:rFonts w:ascii="Times New Roman" w:hAnsi="Times New Roman"/>
        </w:rPr>
        <w:t>pacientėms (0,5</w:t>
      </w:r>
      <w:r w:rsidR="00C018BB" w:rsidRPr="00D9492F">
        <w:rPr>
          <w:rFonts w:ascii="Times New Roman" w:hAnsi="Times New Roman"/>
        </w:rPr>
        <w:t> </w:t>
      </w:r>
      <w:r w:rsidRPr="00D9492F">
        <w:rPr>
          <w:rFonts w:ascii="Times New Roman" w:hAnsi="Times New Roman"/>
        </w:rPr>
        <w:t>%) FAC grupėje. Tyrimo TAX316 metu limfedema prasidėjo gydymo laikotarpiu ir išliko pradėjus stebėjimo laikotarpį po chemoterapijos pabaigos 11</w:t>
      </w:r>
      <w:r w:rsidR="00C018BB" w:rsidRPr="00D9492F">
        <w:rPr>
          <w:rFonts w:ascii="Times New Roman" w:hAnsi="Times New Roman"/>
        </w:rPr>
        <w:t> </w:t>
      </w:r>
      <w:r w:rsidRPr="00D9492F">
        <w:rPr>
          <w:rFonts w:ascii="Times New Roman" w:hAnsi="Times New Roman"/>
        </w:rPr>
        <w:t>pacienčių iš 774</w:t>
      </w:r>
      <w:r w:rsidR="00C018BB" w:rsidRPr="00D9492F">
        <w:rPr>
          <w:rFonts w:ascii="Times New Roman" w:hAnsi="Times New Roman"/>
        </w:rPr>
        <w:t> </w:t>
      </w:r>
      <w:r w:rsidRPr="00D9492F">
        <w:rPr>
          <w:rFonts w:ascii="Times New Roman" w:hAnsi="Times New Roman"/>
        </w:rPr>
        <w:t>(1,5</w:t>
      </w:r>
      <w:r w:rsidR="00C018BB" w:rsidRPr="00D9492F">
        <w:rPr>
          <w:rFonts w:ascii="Times New Roman" w:hAnsi="Times New Roman"/>
        </w:rPr>
        <w:t> </w:t>
      </w:r>
      <w:r w:rsidRPr="00D9492F">
        <w:rPr>
          <w:rFonts w:ascii="Times New Roman" w:hAnsi="Times New Roman"/>
        </w:rPr>
        <w:t>%) TAC grupėje ir 1 pacientei iš 736</w:t>
      </w:r>
      <w:r w:rsidR="00C018BB" w:rsidRPr="00D9492F">
        <w:rPr>
          <w:rFonts w:ascii="Times New Roman" w:hAnsi="Times New Roman"/>
        </w:rPr>
        <w:t> </w:t>
      </w:r>
      <w:r w:rsidRPr="00D9492F">
        <w:rPr>
          <w:rFonts w:ascii="Times New Roman" w:hAnsi="Times New Roman"/>
        </w:rPr>
        <w:t>(0,1</w:t>
      </w:r>
      <w:r w:rsidR="00C018BB" w:rsidRPr="00D9492F">
        <w:rPr>
          <w:rFonts w:ascii="Times New Roman" w:hAnsi="Times New Roman"/>
        </w:rPr>
        <w:t> </w:t>
      </w:r>
      <w:r w:rsidRPr="00D9492F">
        <w:rPr>
          <w:rFonts w:ascii="Times New Roman" w:hAnsi="Times New Roman"/>
        </w:rPr>
        <w:t>%) FAC grupėje. Stebėjimo laikotarpio pabaigoje (tikroji stebėjimo laiko mediana buvo 8</w:t>
      </w:r>
      <w:r w:rsidR="00C018BB" w:rsidRPr="00D9492F">
        <w:rPr>
          <w:rFonts w:ascii="Times New Roman" w:hAnsi="Times New Roman"/>
        </w:rPr>
        <w:t> </w:t>
      </w:r>
      <w:r w:rsidRPr="00D9492F">
        <w:rPr>
          <w:rFonts w:ascii="Times New Roman" w:hAnsi="Times New Roman"/>
        </w:rPr>
        <w:t>metai) limfedema išliko 6</w:t>
      </w:r>
      <w:r w:rsidR="00C018BB" w:rsidRPr="00D9492F">
        <w:rPr>
          <w:rFonts w:ascii="Times New Roman" w:hAnsi="Times New Roman"/>
        </w:rPr>
        <w:t> </w:t>
      </w:r>
      <w:r w:rsidRPr="00D9492F">
        <w:rPr>
          <w:rFonts w:ascii="Times New Roman" w:hAnsi="Times New Roman"/>
        </w:rPr>
        <w:t>pacientėms (0,8</w:t>
      </w:r>
      <w:r w:rsidR="00C018BB" w:rsidRPr="00D9492F">
        <w:rPr>
          <w:rFonts w:ascii="Times New Roman" w:hAnsi="Times New Roman"/>
        </w:rPr>
        <w:t> </w:t>
      </w:r>
      <w:r w:rsidRPr="00D9492F">
        <w:rPr>
          <w:rFonts w:ascii="Times New Roman" w:hAnsi="Times New Roman"/>
        </w:rPr>
        <w:t>%) TAC grupėje ir 1</w:t>
      </w:r>
      <w:r w:rsidR="00C018BB" w:rsidRPr="00D9492F">
        <w:rPr>
          <w:rFonts w:ascii="Times New Roman" w:hAnsi="Times New Roman"/>
        </w:rPr>
        <w:t> </w:t>
      </w:r>
      <w:r w:rsidRPr="00D9492F">
        <w:rPr>
          <w:rFonts w:ascii="Times New Roman" w:hAnsi="Times New Roman"/>
        </w:rPr>
        <w:t>pacientei (0,1</w:t>
      </w:r>
      <w:r w:rsidR="00C018BB" w:rsidRPr="00D9492F">
        <w:rPr>
          <w:rFonts w:ascii="Times New Roman" w:hAnsi="Times New Roman"/>
        </w:rPr>
        <w:t> </w:t>
      </w:r>
      <w:r w:rsidRPr="00D9492F">
        <w:rPr>
          <w:rFonts w:ascii="Times New Roman" w:hAnsi="Times New Roman"/>
        </w:rPr>
        <w:t xml:space="preserve">%) FAC grupėje. </w:t>
      </w:r>
    </w:p>
    <w:p w14:paraId="0F033951" w14:textId="4EEF03D0" w:rsidR="00FB2851" w:rsidRPr="00D9492F" w:rsidRDefault="00FB2851" w:rsidP="00FB2851">
      <w:pPr>
        <w:spacing w:after="0" w:line="240" w:lineRule="auto"/>
        <w:rPr>
          <w:rFonts w:ascii="Times New Roman" w:hAnsi="Times New Roman"/>
        </w:rPr>
      </w:pPr>
      <w:r w:rsidRPr="00D9492F">
        <w:rPr>
          <w:rFonts w:ascii="Times New Roman" w:hAnsi="Times New Roman"/>
        </w:rPr>
        <w:t>Tyrimo TAX316 metu astenija prasidėjo gydymo laikotarpiu ir išliko pradėjus stebėjimo laikotarpį po chemoterapijos pabaigos 236</w:t>
      </w:r>
      <w:r w:rsidR="00C018BB" w:rsidRPr="00D9492F">
        <w:rPr>
          <w:rFonts w:ascii="Times New Roman" w:hAnsi="Times New Roman"/>
        </w:rPr>
        <w:t> </w:t>
      </w:r>
      <w:r w:rsidRPr="00D9492F">
        <w:rPr>
          <w:rFonts w:ascii="Times New Roman" w:hAnsi="Times New Roman"/>
        </w:rPr>
        <w:t>pacientėms iš 774</w:t>
      </w:r>
      <w:r w:rsidR="00C018BB" w:rsidRPr="00D9492F">
        <w:rPr>
          <w:rFonts w:ascii="Times New Roman" w:hAnsi="Times New Roman"/>
        </w:rPr>
        <w:t> </w:t>
      </w:r>
      <w:r w:rsidRPr="00D9492F">
        <w:rPr>
          <w:rFonts w:ascii="Times New Roman" w:hAnsi="Times New Roman"/>
        </w:rPr>
        <w:t>(31,7</w:t>
      </w:r>
      <w:r w:rsidR="00C018BB" w:rsidRPr="00D9492F">
        <w:rPr>
          <w:rFonts w:ascii="Times New Roman" w:hAnsi="Times New Roman"/>
        </w:rPr>
        <w:t> </w:t>
      </w:r>
      <w:r w:rsidRPr="00D9492F">
        <w:rPr>
          <w:rFonts w:ascii="Times New Roman" w:hAnsi="Times New Roman"/>
        </w:rPr>
        <w:t>%) TAC grupėje ir 180</w:t>
      </w:r>
      <w:r w:rsidR="00C018BB" w:rsidRPr="00D9492F">
        <w:rPr>
          <w:rFonts w:ascii="Times New Roman" w:hAnsi="Times New Roman"/>
        </w:rPr>
        <w:t> </w:t>
      </w:r>
      <w:r w:rsidRPr="00D9492F">
        <w:rPr>
          <w:rFonts w:ascii="Times New Roman" w:hAnsi="Times New Roman"/>
        </w:rPr>
        <w:t>pacienčių iš 736</w:t>
      </w:r>
      <w:r w:rsidR="00C018BB" w:rsidRPr="00D9492F">
        <w:rPr>
          <w:rFonts w:ascii="Times New Roman" w:hAnsi="Times New Roman"/>
        </w:rPr>
        <w:t> </w:t>
      </w:r>
      <w:r w:rsidRPr="00D9492F">
        <w:rPr>
          <w:rFonts w:ascii="Times New Roman" w:hAnsi="Times New Roman"/>
        </w:rPr>
        <w:t>(24,5</w:t>
      </w:r>
      <w:r w:rsidR="00C018BB" w:rsidRPr="00D9492F">
        <w:rPr>
          <w:rFonts w:ascii="Times New Roman" w:hAnsi="Times New Roman"/>
        </w:rPr>
        <w:t> </w:t>
      </w:r>
      <w:r w:rsidRPr="00D9492F">
        <w:rPr>
          <w:rFonts w:ascii="Times New Roman" w:hAnsi="Times New Roman"/>
        </w:rPr>
        <w:t>%) FAC grupėje. Stebėjimo laikotarpio pabaigoje (tikroji stebėjimo laiko mediana buvo 8</w:t>
      </w:r>
      <w:r w:rsidR="00C018BB" w:rsidRPr="00D9492F">
        <w:rPr>
          <w:rFonts w:ascii="Times New Roman" w:hAnsi="Times New Roman"/>
        </w:rPr>
        <w:t> </w:t>
      </w:r>
      <w:r w:rsidRPr="00D9492F">
        <w:rPr>
          <w:rFonts w:ascii="Times New Roman" w:hAnsi="Times New Roman"/>
        </w:rPr>
        <w:t>metai) astenija išliko 29</w:t>
      </w:r>
      <w:r w:rsidR="00C018BB" w:rsidRPr="00D9492F">
        <w:rPr>
          <w:rFonts w:ascii="Times New Roman" w:hAnsi="Times New Roman"/>
        </w:rPr>
        <w:t> </w:t>
      </w:r>
      <w:r w:rsidRPr="00D9492F">
        <w:rPr>
          <w:rFonts w:ascii="Times New Roman" w:hAnsi="Times New Roman"/>
        </w:rPr>
        <w:t>pacientėms (3,9</w:t>
      </w:r>
      <w:r w:rsidR="00C018BB" w:rsidRPr="00D9492F">
        <w:rPr>
          <w:rFonts w:ascii="Times New Roman" w:hAnsi="Times New Roman"/>
        </w:rPr>
        <w:t> </w:t>
      </w:r>
      <w:r w:rsidRPr="00D9492F">
        <w:rPr>
          <w:rFonts w:ascii="Times New Roman" w:hAnsi="Times New Roman"/>
        </w:rPr>
        <w:t>%) TAC grupėje ir 16</w:t>
      </w:r>
      <w:r w:rsidR="00C018BB" w:rsidRPr="00D9492F">
        <w:rPr>
          <w:rFonts w:ascii="Times New Roman" w:hAnsi="Times New Roman"/>
        </w:rPr>
        <w:t> </w:t>
      </w:r>
      <w:r w:rsidRPr="00D9492F">
        <w:rPr>
          <w:rFonts w:ascii="Times New Roman" w:hAnsi="Times New Roman"/>
        </w:rPr>
        <w:t>pacienčių (2,2</w:t>
      </w:r>
      <w:r w:rsidR="00C018BB" w:rsidRPr="00D9492F">
        <w:rPr>
          <w:rFonts w:ascii="Times New Roman" w:hAnsi="Times New Roman"/>
        </w:rPr>
        <w:t> </w:t>
      </w:r>
      <w:r w:rsidRPr="00D9492F">
        <w:rPr>
          <w:rFonts w:ascii="Times New Roman" w:hAnsi="Times New Roman"/>
        </w:rPr>
        <w:t xml:space="preserve">%) FAC grupėje. </w:t>
      </w:r>
    </w:p>
    <w:p w14:paraId="1991C54D" w14:textId="77777777" w:rsidR="00FB2851" w:rsidRPr="00D9492F" w:rsidRDefault="00FB2851" w:rsidP="00FB2851">
      <w:pPr>
        <w:spacing w:after="0" w:line="240" w:lineRule="auto"/>
        <w:rPr>
          <w:rFonts w:ascii="Times New Roman" w:hAnsi="Times New Roman"/>
        </w:rPr>
      </w:pPr>
    </w:p>
    <w:p w14:paraId="2A2731BF" w14:textId="0429D7B1" w:rsidR="00FB2851" w:rsidRPr="00D9492F" w:rsidRDefault="00FB2851" w:rsidP="00FB2851">
      <w:pPr>
        <w:spacing w:after="0" w:line="240" w:lineRule="auto"/>
        <w:rPr>
          <w:rFonts w:ascii="Times New Roman" w:hAnsi="Times New Roman"/>
        </w:rPr>
      </w:pPr>
      <w:r w:rsidRPr="00D9492F">
        <w:rPr>
          <w:rFonts w:ascii="Times New Roman" w:hAnsi="Times New Roman"/>
        </w:rPr>
        <w:t>Tyrimo GEICAM 9805 metu periferinė edema prasidėjo gydymo laikotarpiu ir išliko pradėjus stebėjimo laikotarpį 4</w:t>
      </w:r>
      <w:r w:rsidR="00C018BB" w:rsidRPr="00D9492F">
        <w:rPr>
          <w:rFonts w:ascii="Times New Roman" w:hAnsi="Times New Roman"/>
        </w:rPr>
        <w:t> </w:t>
      </w:r>
      <w:r w:rsidRPr="00D9492F">
        <w:rPr>
          <w:rFonts w:ascii="Times New Roman" w:hAnsi="Times New Roman"/>
        </w:rPr>
        <w:t>pacientėms (0,8</w:t>
      </w:r>
      <w:r w:rsidR="00C018BB" w:rsidRPr="00D9492F">
        <w:rPr>
          <w:rFonts w:ascii="Times New Roman" w:hAnsi="Times New Roman"/>
        </w:rPr>
        <w:t> </w:t>
      </w:r>
      <w:r w:rsidRPr="00D9492F">
        <w:rPr>
          <w:rFonts w:ascii="Times New Roman" w:hAnsi="Times New Roman"/>
        </w:rPr>
        <w:t>%) TAC grupėje ir 2</w:t>
      </w:r>
      <w:r w:rsidR="00C018BB" w:rsidRPr="00D9492F">
        <w:rPr>
          <w:rFonts w:ascii="Times New Roman" w:hAnsi="Times New Roman"/>
        </w:rPr>
        <w:t> </w:t>
      </w:r>
      <w:r w:rsidRPr="00D9492F">
        <w:rPr>
          <w:rFonts w:ascii="Times New Roman" w:hAnsi="Times New Roman"/>
        </w:rPr>
        <w:t>pacientėms (0,4</w:t>
      </w:r>
      <w:r w:rsidR="00C018BB" w:rsidRPr="00D9492F">
        <w:rPr>
          <w:rFonts w:ascii="Times New Roman" w:hAnsi="Times New Roman"/>
        </w:rPr>
        <w:t> </w:t>
      </w:r>
      <w:r w:rsidRPr="00D9492F">
        <w:rPr>
          <w:rFonts w:ascii="Times New Roman" w:hAnsi="Times New Roman"/>
        </w:rPr>
        <w:t>%) FAC grupėje. Stebėjimo laikotarpio pabaigoje (stebėjimo laiko mediana buvo 10</w:t>
      </w:r>
      <w:r w:rsidR="00C018BB" w:rsidRPr="00D9492F">
        <w:rPr>
          <w:rFonts w:ascii="Times New Roman" w:hAnsi="Times New Roman"/>
        </w:rPr>
        <w:t> </w:t>
      </w:r>
      <w:r w:rsidRPr="00D9492F">
        <w:rPr>
          <w:rFonts w:ascii="Times New Roman" w:hAnsi="Times New Roman"/>
        </w:rPr>
        <w:t>metų ir 5</w:t>
      </w:r>
      <w:r w:rsidR="00C018BB" w:rsidRPr="00D9492F">
        <w:rPr>
          <w:rFonts w:ascii="Times New Roman" w:hAnsi="Times New Roman"/>
        </w:rPr>
        <w:t> </w:t>
      </w:r>
      <w:r w:rsidRPr="00D9492F">
        <w:rPr>
          <w:rFonts w:ascii="Times New Roman" w:hAnsi="Times New Roman"/>
        </w:rPr>
        <w:t>mėnesiai) TAC grupėje periferinės edemos atvejų nebuvo, o FAC grupėje ji išliko 1</w:t>
      </w:r>
      <w:r w:rsidR="00C018BB" w:rsidRPr="00D9492F">
        <w:rPr>
          <w:rFonts w:ascii="Times New Roman" w:hAnsi="Times New Roman"/>
        </w:rPr>
        <w:t> </w:t>
      </w:r>
      <w:r w:rsidRPr="00D9492F">
        <w:rPr>
          <w:rFonts w:ascii="Times New Roman" w:hAnsi="Times New Roman"/>
        </w:rPr>
        <w:t>pacientei (0,2</w:t>
      </w:r>
      <w:r w:rsidR="00C018BB" w:rsidRPr="00D9492F">
        <w:rPr>
          <w:rFonts w:ascii="Times New Roman" w:hAnsi="Times New Roman"/>
        </w:rPr>
        <w:t> </w:t>
      </w:r>
      <w:r w:rsidRPr="00D9492F">
        <w:rPr>
          <w:rFonts w:ascii="Times New Roman" w:hAnsi="Times New Roman"/>
        </w:rPr>
        <w:t xml:space="preserve">%). </w:t>
      </w:r>
    </w:p>
    <w:p w14:paraId="3CAC46E7" w14:textId="544455F9" w:rsidR="00FB2851" w:rsidRPr="00D9492F" w:rsidRDefault="00FB2851" w:rsidP="00FB2851">
      <w:pPr>
        <w:spacing w:after="0" w:line="240" w:lineRule="auto"/>
        <w:rPr>
          <w:rFonts w:ascii="Times New Roman" w:hAnsi="Times New Roman"/>
        </w:rPr>
      </w:pPr>
      <w:r w:rsidRPr="00D9492F">
        <w:rPr>
          <w:rFonts w:ascii="Times New Roman" w:hAnsi="Times New Roman"/>
        </w:rPr>
        <w:t>Limfedema prasidėjo gydymo laikotarpiu ir išliko pradėjus stebėjimo laikotarpį 5</w:t>
      </w:r>
      <w:r w:rsidR="00C018BB" w:rsidRPr="00D9492F">
        <w:rPr>
          <w:rFonts w:ascii="Times New Roman" w:hAnsi="Times New Roman"/>
        </w:rPr>
        <w:t> </w:t>
      </w:r>
      <w:r w:rsidRPr="00D9492F">
        <w:rPr>
          <w:rFonts w:ascii="Times New Roman" w:hAnsi="Times New Roman"/>
        </w:rPr>
        <w:t>pacientėms (0,9</w:t>
      </w:r>
      <w:r w:rsidR="00C018BB" w:rsidRPr="00D9492F">
        <w:rPr>
          <w:rFonts w:ascii="Times New Roman" w:hAnsi="Times New Roman"/>
        </w:rPr>
        <w:t> </w:t>
      </w:r>
      <w:r w:rsidRPr="00D9492F">
        <w:rPr>
          <w:rFonts w:ascii="Times New Roman" w:hAnsi="Times New Roman"/>
        </w:rPr>
        <w:t xml:space="preserve">%) </w:t>
      </w:r>
    </w:p>
    <w:p w14:paraId="3828CF94" w14:textId="46885EBB" w:rsidR="00FB2851" w:rsidRPr="00D9492F" w:rsidRDefault="00FB2851" w:rsidP="00FB2851">
      <w:pPr>
        <w:spacing w:after="0" w:line="240" w:lineRule="auto"/>
        <w:rPr>
          <w:rFonts w:ascii="Times New Roman" w:hAnsi="Times New Roman"/>
        </w:rPr>
      </w:pPr>
      <w:r w:rsidRPr="00D9492F">
        <w:rPr>
          <w:rFonts w:ascii="Times New Roman" w:hAnsi="Times New Roman"/>
        </w:rPr>
        <w:t>TAC grupėje ir 2</w:t>
      </w:r>
      <w:r w:rsidR="00C018BB" w:rsidRPr="00D9492F">
        <w:rPr>
          <w:rFonts w:ascii="Times New Roman" w:hAnsi="Times New Roman"/>
        </w:rPr>
        <w:t> </w:t>
      </w:r>
      <w:r w:rsidRPr="00D9492F">
        <w:rPr>
          <w:rFonts w:ascii="Times New Roman" w:hAnsi="Times New Roman"/>
        </w:rPr>
        <w:t>pacientėms (0,4</w:t>
      </w:r>
      <w:r w:rsidR="00C018BB" w:rsidRPr="00D9492F">
        <w:rPr>
          <w:rFonts w:ascii="Times New Roman" w:hAnsi="Times New Roman"/>
        </w:rPr>
        <w:t> </w:t>
      </w:r>
      <w:r w:rsidRPr="00D9492F">
        <w:rPr>
          <w:rFonts w:ascii="Times New Roman" w:hAnsi="Times New Roman"/>
        </w:rPr>
        <w:t>%) FAC grupėje. Stebėjimo laikotarpio pabaigoje limfedema išliko 4</w:t>
      </w:r>
      <w:r w:rsidR="00C018BB" w:rsidRPr="00D9492F">
        <w:rPr>
          <w:rFonts w:ascii="Times New Roman" w:hAnsi="Times New Roman"/>
        </w:rPr>
        <w:t> </w:t>
      </w:r>
      <w:r w:rsidRPr="00D9492F">
        <w:rPr>
          <w:rFonts w:ascii="Times New Roman" w:hAnsi="Times New Roman"/>
        </w:rPr>
        <w:t>pacientėms (0,8</w:t>
      </w:r>
      <w:r w:rsidR="00C018BB" w:rsidRPr="00D9492F">
        <w:rPr>
          <w:rFonts w:ascii="Times New Roman" w:hAnsi="Times New Roman"/>
        </w:rPr>
        <w:t> </w:t>
      </w:r>
      <w:r w:rsidRPr="00D9492F">
        <w:rPr>
          <w:rFonts w:ascii="Times New Roman" w:hAnsi="Times New Roman"/>
        </w:rPr>
        <w:t>%) TAC grupėje ir 1</w:t>
      </w:r>
      <w:r w:rsidR="00C018BB" w:rsidRPr="00D9492F">
        <w:rPr>
          <w:rFonts w:ascii="Times New Roman" w:hAnsi="Times New Roman"/>
        </w:rPr>
        <w:t> </w:t>
      </w:r>
      <w:r w:rsidRPr="00D9492F">
        <w:rPr>
          <w:rFonts w:ascii="Times New Roman" w:hAnsi="Times New Roman"/>
        </w:rPr>
        <w:t>pacientei (0,2</w:t>
      </w:r>
      <w:r w:rsidR="00C018BB" w:rsidRPr="00D9492F">
        <w:rPr>
          <w:rFonts w:ascii="Times New Roman" w:hAnsi="Times New Roman"/>
        </w:rPr>
        <w:t> </w:t>
      </w:r>
      <w:r w:rsidRPr="00D9492F">
        <w:rPr>
          <w:rFonts w:ascii="Times New Roman" w:hAnsi="Times New Roman"/>
        </w:rPr>
        <w:t xml:space="preserve">%) FAC grupėje. </w:t>
      </w:r>
    </w:p>
    <w:p w14:paraId="09228C60" w14:textId="77777777" w:rsidR="00FB2851" w:rsidRPr="00D9492F" w:rsidRDefault="00FB2851" w:rsidP="00FB2851">
      <w:pPr>
        <w:spacing w:after="0" w:line="240" w:lineRule="auto"/>
        <w:rPr>
          <w:rFonts w:ascii="Times New Roman" w:hAnsi="Times New Roman"/>
        </w:rPr>
      </w:pPr>
    </w:p>
    <w:p w14:paraId="10B03B6F" w14:textId="4D35193E" w:rsidR="00FB2851" w:rsidRPr="00D9492F" w:rsidRDefault="00FB2851" w:rsidP="00FB2851">
      <w:pPr>
        <w:spacing w:after="0" w:line="240" w:lineRule="auto"/>
        <w:rPr>
          <w:rFonts w:ascii="Times New Roman" w:hAnsi="Times New Roman"/>
        </w:rPr>
      </w:pPr>
      <w:r w:rsidRPr="00D9492F">
        <w:rPr>
          <w:rFonts w:ascii="Times New Roman" w:hAnsi="Times New Roman"/>
        </w:rPr>
        <w:t>Astenija prasidėjo gydymo laikotarpiu ir išliko pradėjus stebėjimo laikotarpį 12</w:t>
      </w:r>
      <w:r w:rsidR="00C018BB" w:rsidRPr="00D9492F">
        <w:rPr>
          <w:rFonts w:ascii="Times New Roman" w:hAnsi="Times New Roman"/>
        </w:rPr>
        <w:t> </w:t>
      </w:r>
      <w:r w:rsidRPr="00D9492F">
        <w:rPr>
          <w:rFonts w:ascii="Times New Roman" w:hAnsi="Times New Roman"/>
        </w:rPr>
        <w:t>pacienčių (2,3</w:t>
      </w:r>
      <w:r w:rsidR="00C018BB" w:rsidRPr="00D9492F">
        <w:rPr>
          <w:rFonts w:ascii="Times New Roman" w:hAnsi="Times New Roman"/>
        </w:rPr>
        <w:t> </w:t>
      </w:r>
      <w:r w:rsidRPr="00D9492F">
        <w:rPr>
          <w:rFonts w:ascii="Times New Roman" w:hAnsi="Times New Roman"/>
        </w:rPr>
        <w:t>%) TAC grupėje ir 4</w:t>
      </w:r>
      <w:r w:rsidR="00C018BB" w:rsidRPr="00D9492F">
        <w:rPr>
          <w:rFonts w:ascii="Times New Roman" w:hAnsi="Times New Roman"/>
        </w:rPr>
        <w:t> </w:t>
      </w:r>
      <w:r w:rsidRPr="00D9492F">
        <w:rPr>
          <w:rFonts w:ascii="Times New Roman" w:hAnsi="Times New Roman"/>
        </w:rPr>
        <w:t>pacientėms (0,8</w:t>
      </w:r>
      <w:r w:rsidR="00C018BB" w:rsidRPr="00D9492F">
        <w:rPr>
          <w:rFonts w:ascii="Times New Roman" w:hAnsi="Times New Roman"/>
        </w:rPr>
        <w:t> </w:t>
      </w:r>
      <w:r w:rsidRPr="00D9492F">
        <w:rPr>
          <w:rFonts w:ascii="Times New Roman" w:hAnsi="Times New Roman"/>
        </w:rPr>
        <w:t>%) FAC grupėje. Stebėjimo laikotarpio pabaigoje astenija išliko 2</w:t>
      </w:r>
      <w:r w:rsidR="00C018BB" w:rsidRPr="00D9492F">
        <w:rPr>
          <w:rFonts w:ascii="Times New Roman" w:hAnsi="Times New Roman"/>
        </w:rPr>
        <w:t> </w:t>
      </w:r>
      <w:r w:rsidRPr="00D9492F">
        <w:rPr>
          <w:rFonts w:ascii="Times New Roman" w:hAnsi="Times New Roman"/>
        </w:rPr>
        <w:t>pacientėms (0,4</w:t>
      </w:r>
      <w:r w:rsidR="00C018BB" w:rsidRPr="00D9492F">
        <w:rPr>
          <w:rFonts w:ascii="Times New Roman" w:hAnsi="Times New Roman"/>
        </w:rPr>
        <w:t> </w:t>
      </w:r>
      <w:r w:rsidRPr="00D9492F">
        <w:rPr>
          <w:rFonts w:ascii="Times New Roman" w:hAnsi="Times New Roman"/>
        </w:rPr>
        <w:t>%) TAC grupėje ir 2</w:t>
      </w:r>
      <w:r w:rsidR="00C018BB" w:rsidRPr="00D9492F">
        <w:rPr>
          <w:rFonts w:ascii="Times New Roman" w:hAnsi="Times New Roman"/>
        </w:rPr>
        <w:t> </w:t>
      </w:r>
      <w:r w:rsidRPr="00D9492F">
        <w:rPr>
          <w:rFonts w:ascii="Times New Roman" w:hAnsi="Times New Roman"/>
        </w:rPr>
        <w:t>pacientėms (0,4</w:t>
      </w:r>
      <w:r w:rsidR="00C018BB" w:rsidRPr="00D9492F">
        <w:rPr>
          <w:rFonts w:ascii="Times New Roman" w:hAnsi="Times New Roman"/>
        </w:rPr>
        <w:t> </w:t>
      </w:r>
      <w:r w:rsidRPr="00D9492F">
        <w:rPr>
          <w:rFonts w:ascii="Times New Roman" w:hAnsi="Times New Roman"/>
        </w:rPr>
        <w:t xml:space="preserve">%) FAC grupėje. </w:t>
      </w:r>
    </w:p>
    <w:p w14:paraId="7EAFC5C6" w14:textId="77777777" w:rsidR="00DC1CDC" w:rsidRPr="00D9492F" w:rsidRDefault="00DC1CDC" w:rsidP="00DC1CDC">
      <w:pPr>
        <w:spacing w:after="0" w:line="240" w:lineRule="auto"/>
        <w:rPr>
          <w:rFonts w:ascii="Times New Roman" w:hAnsi="Times New Roman"/>
        </w:rPr>
      </w:pPr>
    </w:p>
    <w:p w14:paraId="38432D8C" w14:textId="77777777" w:rsidR="00DC1CDC" w:rsidRPr="00D9492F" w:rsidRDefault="00DC1CDC" w:rsidP="00DC1CDC">
      <w:pPr>
        <w:keepNext/>
        <w:keepLines/>
        <w:suppressAutoHyphens/>
        <w:spacing w:after="0" w:line="240" w:lineRule="auto"/>
        <w:rPr>
          <w:rFonts w:ascii="Times New Roman" w:hAnsi="Times New Roman"/>
          <w:u w:val="single"/>
        </w:rPr>
      </w:pPr>
      <w:r w:rsidRPr="00D9492F">
        <w:rPr>
          <w:rFonts w:ascii="Times New Roman" w:hAnsi="Times New Roman"/>
          <w:i/>
          <w:iCs/>
          <w:u w:val="single"/>
        </w:rPr>
        <w:t>Ūminė leukemija</w:t>
      </w:r>
      <w:r w:rsidR="008B03A9" w:rsidRPr="00D9492F">
        <w:rPr>
          <w:rFonts w:ascii="Times New Roman" w:hAnsi="Times New Roman"/>
          <w:i/>
          <w:iCs/>
          <w:u w:val="single"/>
        </w:rPr>
        <w:t xml:space="preserve">, </w:t>
      </w:r>
      <w:r w:rsidRPr="00D9492F">
        <w:rPr>
          <w:rFonts w:ascii="Times New Roman" w:hAnsi="Times New Roman"/>
          <w:i/>
          <w:iCs/>
          <w:u w:val="single"/>
        </w:rPr>
        <w:t xml:space="preserve">mielodisplazinis sindromas </w:t>
      </w:r>
    </w:p>
    <w:p w14:paraId="217869AA" w14:textId="60C2344B" w:rsidR="00FB2851" w:rsidRPr="00D9492F" w:rsidRDefault="00FB2851" w:rsidP="00FB2851">
      <w:pPr>
        <w:spacing w:after="0" w:line="240" w:lineRule="auto"/>
        <w:rPr>
          <w:rFonts w:ascii="Times New Roman" w:hAnsi="Times New Roman"/>
        </w:rPr>
      </w:pPr>
      <w:r w:rsidRPr="00D9492F">
        <w:rPr>
          <w:rFonts w:ascii="Times New Roman" w:hAnsi="Times New Roman"/>
        </w:rPr>
        <w:t>Po tyrimo TAX316 10</w:t>
      </w:r>
      <w:r w:rsidR="00C018BB" w:rsidRPr="00D9492F">
        <w:rPr>
          <w:rFonts w:ascii="Times New Roman" w:hAnsi="Times New Roman"/>
        </w:rPr>
        <w:t> </w:t>
      </w:r>
      <w:r w:rsidRPr="00D9492F">
        <w:rPr>
          <w:rFonts w:ascii="Times New Roman" w:hAnsi="Times New Roman"/>
        </w:rPr>
        <w:t>metų stebėjimo laikotarpio, ūminė leukemija pasireiškė 3</w:t>
      </w:r>
      <w:r w:rsidR="00C018BB" w:rsidRPr="00D9492F">
        <w:rPr>
          <w:rFonts w:ascii="Times New Roman" w:hAnsi="Times New Roman"/>
        </w:rPr>
        <w:t> </w:t>
      </w:r>
      <w:r w:rsidRPr="00D9492F">
        <w:rPr>
          <w:rFonts w:ascii="Times New Roman" w:hAnsi="Times New Roman"/>
        </w:rPr>
        <w:t>iš 744</w:t>
      </w:r>
      <w:r w:rsidR="00C018BB" w:rsidRPr="00D9492F">
        <w:rPr>
          <w:rFonts w:ascii="Times New Roman" w:hAnsi="Times New Roman"/>
        </w:rPr>
        <w:t> </w:t>
      </w:r>
      <w:r w:rsidRPr="00D9492F">
        <w:rPr>
          <w:rFonts w:ascii="Times New Roman" w:hAnsi="Times New Roman"/>
        </w:rPr>
        <w:t xml:space="preserve">pacienčių </w:t>
      </w:r>
    </w:p>
    <w:p w14:paraId="237A50F6" w14:textId="4155F20F" w:rsidR="00FB2851" w:rsidRPr="00D9492F" w:rsidRDefault="00FB2851" w:rsidP="00FB2851">
      <w:pPr>
        <w:spacing w:after="0" w:line="240" w:lineRule="auto"/>
        <w:rPr>
          <w:rFonts w:ascii="Times New Roman" w:hAnsi="Times New Roman"/>
        </w:rPr>
      </w:pPr>
      <w:r w:rsidRPr="00D9492F">
        <w:rPr>
          <w:rFonts w:ascii="Times New Roman" w:hAnsi="Times New Roman"/>
        </w:rPr>
        <w:t>(0,4</w:t>
      </w:r>
      <w:r w:rsidR="00C018BB" w:rsidRPr="00D9492F">
        <w:rPr>
          <w:rFonts w:ascii="Times New Roman" w:hAnsi="Times New Roman"/>
        </w:rPr>
        <w:t> </w:t>
      </w:r>
      <w:r w:rsidRPr="00D9492F">
        <w:rPr>
          <w:rFonts w:ascii="Times New Roman" w:hAnsi="Times New Roman"/>
        </w:rPr>
        <w:t>%) TAC grupėje ir 1</w:t>
      </w:r>
      <w:r w:rsidR="00C018BB" w:rsidRPr="00D9492F">
        <w:rPr>
          <w:rFonts w:ascii="Times New Roman" w:hAnsi="Times New Roman"/>
        </w:rPr>
        <w:t> </w:t>
      </w:r>
      <w:r w:rsidRPr="00D9492F">
        <w:rPr>
          <w:rFonts w:ascii="Times New Roman" w:hAnsi="Times New Roman"/>
        </w:rPr>
        <w:t>iš 736</w:t>
      </w:r>
      <w:r w:rsidR="00C018BB" w:rsidRPr="00D9492F">
        <w:rPr>
          <w:rFonts w:ascii="Times New Roman" w:hAnsi="Times New Roman"/>
        </w:rPr>
        <w:t> </w:t>
      </w:r>
      <w:r w:rsidRPr="00D9492F">
        <w:rPr>
          <w:rFonts w:ascii="Times New Roman" w:hAnsi="Times New Roman"/>
        </w:rPr>
        <w:t>pacienčių (0,1</w:t>
      </w:r>
      <w:r w:rsidR="00C018BB" w:rsidRPr="00D9492F">
        <w:rPr>
          <w:rFonts w:ascii="Times New Roman" w:hAnsi="Times New Roman"/>
        </w:rPr>
        <w:t> </w:t>
      </w:r>
      <w:r w:rsidRPr="00D9492F">
        <w:rPr>
          <w:rFonts w:ascii="Times New Roman" w:hAnsi="Times New Roman"/>
        </w:rPr>
        <w:t>%) FAC grupėje. Viena TAC grupės pacientė (0,1</w:t>
      </w:r>
      <w:r w:rsidR="00C018BB" w:rsidRPr="00D9492F">
        <w:rPr>
          <w:rFonts w:ascii="Times New Roman" w:hAnsi="Times New Roman"/>
        </w:rPr>
        <w:t> </w:t>
      </w:r>
      <w:r w:rsidRPr="00D9492F">
        <w:rPr>
          <w:rFonts w:ascii="Times New Roman" w:hAnsi="Times New Roman"/>
        </w:rPr>
        <w:t>%) ir 1</w:t>
      </w:r>
      <w:r w:rsidR="00C018BB" w:rsidRPr="00D9492F">
        <w:rPr>
          <w:rFonts w:ascii="Times New Roman" w:hAnsi="Times New Roman"/>
        </w:rPr>
        <w:t> </w:t>
      </w:r>
      <w:r w:rsidRPr="00D9492F">
        <w:rPr>
          <w:rFonts w:ascii="Times New Roman" w:hAnsi="Times New Roman"/>
        </w:rPr>
        <w:t>FAC grupės pacientė (0,1</w:t>
      </w:r>
      <w:r w:rsidR="00C018BB" w:rsidRPr="00D9492F">
        <w:rPr>
          <w:rFonts w:ascii="Times New Roman" w:hAnsi="Times New Roman"/>
        </w:rPr>
        <w:t> </w:t>
      </w:r>
      <w:r w:rsidRPr="00D9492F">
        <w:rPr>
          <w:rFonts w:ascii="Times New Roman" w:hAnsi="Times New Roman"/>
        </w:rPr>
        <w:t>%) mirė nuo ūminės mieloleukemijos stebėjimo laikotarpiu (stebėjimo laiko mediana buvo 8</w:t>
      </w:r>
      <w:r w:rsidR="00C018BB" w:rsidRPr="00D9492F">
        <w:rPr>
          <w:rFonts w:ascii="Times New Roman" w:hAnsi="Times New Roman"/>
        </w:rPr>
        <w:t> </w:t>
      </w:r>
      <w:r w:rsidRPr="00D9492F">
        <w:rPr>
          <w:rFonts w:ascii="Times New Roman" w:hAnsi="Times New Roman"/>
        </w:rPr>
        <w:t>metai). Mielodisplazinis sindromas buvo nustatytas 2</w:t>
      </w:r>
      <w:r w:rsidR="00C018BB" w:rsidRPr="00D9492F">
        <w:rPr>
          <w:rFonts w:ascii="Times New Roman" w:hAnsi="Times New Roman"/>
        </w:rPr>
        <w:t> </w:t>
      </w:r>
      <w:r w:rsidRPr="00D9492F">
        <w:rPr>
          <w:rFonts w:ascii="Times New Roman" w:hAnsi="Times New Roman"/>
        </w:rPr>
        <w:t>iš 744</w:t>
      </w:r>
      <w:r w:rsidR="00C018BB" w:rsidRPr="00D9492F">
        <w:rPr>
          <w:rFonts w:ascii="Times New Roman" w:hAnsi="Times New Roman"/>
        </w:rPr>
        <w:t> </w:t>
      </w:r>
      <w:r w:rsidRPr="00D9492F">
        <w:rPr>
          <w:rFonts w:ascii="Times New Roman" w:hAnsi="Times New Roman"/>
        </w:rPr>
        <w:t>pacienčių (0,3</w:t>
      </w:r>
      <w:r w:rsidR="00C018BB" w:rsidRPr="00D9492F">
        <w:rPr>
          <w:rFonts w:ascii="Times New Roman" w:hAnsi="Times New Roman"/>
        </w:rPr>
        <w:t> </w:t>
      </w:r>
      <w:r w:rsidRPr="00D9492F">
        <w:rPr>
          <w:rFonts w:ascii="Times New Roman" w:hAnsi="Times New Roman"/>
        </w:rPr>
        <w:t>%) TAC grupėje ir 1</w:t>
      </w:r>
      <w:r w:rsidR="00C018BB" w:rsidRPr="00D9492F">
        <w:rPr>
          <w:rFonts w:ascii="Times New Roman" w:hAnsi="Times New Roman"/>
        </w:rPr>
        <w:t> </w:t>
      </w:r>
      <w:r w:rsidRPr="00D9492F">
        <w:rPr>
          <w:rFonts w:ascii="Times New Roman" w:hAnsi="Times New Roman"/>
        </w:rPr>
        <w:t>iš 736</w:t>
      </w:r>
      <w:r w:rsidR="00C018BB" w:rsidRPr="00D9492F">
        <w:rPr>
          <w:rFonts w:ascii="Times New Roman" w:hAnsi="Times New Roman"/>
        </w:rPr>
        <w:t> </w:t>
      </w:r>
      <w:r w:rsidRPr="00D9492F">
        <w:rPr>
          <w:rFonts w:ascii="Times New Roman" w:hAnsi="Times New Roman"/>
        </w:rPr>
        <w:t>pacienčių (0,1</w:t>
      </w:r>
      <w:r w:rsidR="00C018BB" w:rsidRPr="00D9492F">
        <w:rPr>
          <w:rFonts w:ascii="Times New Roman" w:hAnsi="Times New Roman"/>
        </w:rPr>
        <w:t> </w:t>
      </w:r>
      <w:r w:rsidRPr="00D9492F">
        <w:rPr>
          <w:rFonts w:ascii="Times New Roman" w:hAnsi="Times New Roman"/>
        </w:rPr>
        <w:t xml:space="preserve">%) FAC grupėje. </w:t>
      </w:r>
    </w:p>
    <w:p w14:paraId="2680BBAB" w14:textId="34733C90" w:rsidR="00FB2851" w:rsidRPr="00D9492F" w:rsidRDefault="00FB2851" w:rsidP="00FB2851">
      <w:pPr>
        <w:spacing w:after="0" w:line="240" w:lineRule="auto"/>
        <w:rPr>
          <w:rFonts w:ascii="Times New Roman" w:hAnsi="Times New Roman"/>
        </w:rPr>
      </w:pPr>
      <w:r w:rsidRPr="00D9492F">
        <w:rPr>
          <w:rFonts w:ascii="Times New Roman" w:hAnsi="Times New Roman"/>
        </w:rPr>
        <w:t>Po tyrimo GEICAM 9805 10</w:t>
      </w:r>
      <w:r w:rsidR="00C018BB" w:rsidRPr="00D9492F">
        <w:rPr>
          <w:rFonts w:ascii="Times New Roman" w:hAnsi="Times New Roman"/>
        </w:rPr>
        <w:t> </w:t>
      </w:r>
      <w:r w:rsidRPr="00D9492F">
        <w:rPr>
          <w:rFonts w:ascii="Times New Roman" w:hAnsi="Times New Roman"/>
        </w:rPr>
        <w:t>metų stebėjimo laikotarpio ūminė leukemija TAC grupėje pasireiškė 1</w:t>
      </w:r>
      <w:r w:rsidR="00C018BB" w:rsidRPr="00D9492F">
        <w:rPr>
          <w:rFonts w:ascii="Times New Roman" w:hAnsi="Times New Roman"/>
        </w:rPr>
        <w:t> </w:t>
      </w:r>
      <w:r w:rsidRPr="00D9492F">
        <w:rPr>
          <w:rFonts w:ascii="Times New Roman" w:hAnsi="Times New Roman"/>
        </w:rPr>
        <w:t>iš 532</w:t>
      </w:r>
      <w:r w:rsidR="00C018BB" w:rsidRPr="00D9492F">
        <w:rPr>
          <w:rFonts w:ascii="Times New Roman" w:hAnsi="Times New Roman"/>
        </w:rPr>
        <w:t> </w:t>
      </w:r>
      <w:r w:rsidRPr="00D9492F">
        <w:rPr>
          <w:rFonts w:ascii="Times New Roman" w:hAnsi="Times New Roman"/>
        </w:rPr>
        <w:t>(0,2</w:t>
      </w:r>
      <w:r w:rsidR="00C018BB" w:rsidRPr="00D9492F">
        <w:rPr>
          <w:rFonts w:ascii="Times New Roman" w:hAnsi="Times New Roman"/>
        </w:rPr>
        <w:t> </w:t>
      </w:r>
      <w:r w:rsidRPr="00D9492F">
        <w:rPr>
          <w:rFonts w:ascii="Times New Roman" w:hAnsi="Times New Roman"/>
        </w:rPr>
        <w:t xml:space="preserve">%) pacienčių. Tokių atvejų FAC grupėje nebuvo. Nei vienam pacientui nebuvo diagnozuotas mielodisplazinis sindromas nei vienoje gydytų pacientų grupėje. </w:t>
      </w:r>
    </w:p>
    <w:p w14:paraId="4CC1407C" w14:textId="77777777" w:rsidR="00FB2851" w:rsidRPr="00D9492F" w:rsidRDefault="00FB2851" w:rsidP="00DC1CDC">
      <w:pPr>
        <w:spacing w:after="0" w:line="240" w:lineRule="auto"/>
        <w:rPr>
          <w:rFonts w:ascii="Times New Roman" w:hAnsi="Times New Roman"/>
        </w:rPr>
      </w:pPr>
    </w:p>
    <w:p w14:paraId="53EC7D2E" w14:textId="59F951BA" w:rsidR="00DC1CDC" w:rsidRPr="00D9492F" w:rsidRDefault="00FB2851" w:rsidP="00DC1CDC">
      <w:pPr>
        <w:spacing w:after="0" w:line="240" w:lineRule="auto"/>
        <w:rPr>
          <w:rFonts w:ascii="Times New Roman" w:hAnsi="Times New Roman"/>
          <w:i/>
          <w:iCs/>
        </w:rPr>
      </w:pPr>
      <w:r w:rsidRPr="00D9492F">
        <w:rPr>
          <w:rFonts w:ascii="Times New Roman" w:hAnsi="Times New Roman"/>
          <w:i/>
          <w:iCs/>
        </w:rPr>
        <w:t>Su neutropenija susijusios komplikacijos</w:t>
      </w:r>
    </w:p>
    <w:p w14:paraId="328B3CFB"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lastRenderedPageBreak/>
        <w:t xml:space="preserve">Toliau pateiktoje lentelėje parodyta, kad 4 laipsnio neutropenijos, febrilinės neutropenijos ar su neutropenija susijusios infekcijos dažnis buvo mažesnis pacientams, kurie gydymo pradžioje profilaktikai vartojo G-KSF, kai jo vartojimas tapo privalomas TAC gydytų pacientų grupėje – GEICAM tyrimas. </w:t>
      </w:r>
    </w:p>
    <w:tbl>
      <w:tblPr>
        <w:tblpPr w:leftFromText="180" w:rightFromText="180" w:vertAnchor="text" w:horzAnchor="margin" w:tblpY="8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6"/>
        <w:gridCol w:w="2816"/>
        <w:gridCol w:w="2817"/>
      </w:tblGrid>
      <w:tr w:rsidR="00DC1CDC" w:rsidRPr="00D9492F" w14:paraId="14FF0110" w14:textId="77777777" w:rsidTr="0003751A">
        <w:trPr>
          <w:trHeight w:val="982"/>
        </w:trPr>
        <w:tc>
          <w:tcPr>
            <w:tcW w:w="2816" w:type="dxa"/>
          </w:tcPr>
          <w:p w14:paraId="22AF38E9" w14:textId="77777777" w:rsidR="00DC1CDC" w:rsidRPr="00D9492F" w:rsidRDefault="00DC1CDC" w:rsidP="00DC1CDC">
            <w:pPr>
              <w:keepNext/>
              <w:keepLines/>
              <w:spacing w:after="120" w:line="240" w:lineRule="auto"/>
              <w:rPr>
                <w:rFonts w:ascii="Times New Roman" w:eastAsia="Times New Roman" w:hAnsi="Times New Roman"/>
              </w:rPr>
            </w:pPr>
          </w:p>
        </w:tc>
        <w:tc>
          <w:tcPr>
            <w:tcW w:w="2816" w:type="dxa"/>
            <w:tcBorders>
              <w:top w:val="single" w:sz="4" w:space="0" w:color="auto"/>
            </w:tcBorders>
          </w:tcPr>
          <w:p w14:paraId="37270050" w14:textId="77777777" w:rsidR="00DC1CDC" w:rsidRPr="00D9492F" w:rsidRDefault="00DC1CDC" w:rsidP="00DC1CDC">
            <w:pPr>
              <w:keepNext/>
              <w:keepLines/>
              <w:spacing w:after="120" w:line="240" w:lineRule="auto"/>
              <w:jc w:val="center"/>
              <w:rPr>
                <w:rFonts w:ascii="Times New Roman" w:eastAsia="Times New Roman" w:hAnsi="Times New Roman"/>
                <w:bCs/>
                <w:u w:val="single"/>
              </w:rPr>
            </w:pPr>
            <w:r w:rsidRPr="00D9492F">
              <w:rPr>
                <w:rFonts w:ascii="Times New Roman" w:eastAsia="Times New Roman" w:hAnsi="Times New Roman"/>
                <w:bCs/>
                <w:u w:val="single"/>
              </w:rPr>
              <w:t>Be pradinės profilaktikos G-KSF (n = 111) n (%)</w:t>
            </w:r>
          </w:p>
        </w:tc>
        <w:tc>
          <w:tcPr>
            <w:tcW w:w="2817" w:type="dxa"/>
          </w:tcPr>
          <w:p w14:paraId="6E43C358" w14:textId="77777777" w:rsidR="00DC1CDC" w:rsidRPr="00D9492F" w:rsidRDefault="00DC1CDC" w:rsidP="00DC1CDC">
            <w:pPr>
              <w:keepNext/>
              <w:keepLines/>
              <w:spacing w:after="0" w:line="240" w:lineRule="auto"/>
              <w:jc w:val="center"/>
              <w:rPr>
                <w:rFonts w:ascii="Times New Roman" w:eastAsia="Times New Roman" w:hAnsi="Times New Roman"/>
                <w:bCs/>
                <w:u w:val="single"/>
              </w:rPr>
            </w:pPr>
            <w:r w:rsidRPr="00D9492F">
              <w:rPr>
                <w:rFonts w:ascii="Times New Roman" w:eastAsia="Times New Roman" w:hAnsi="Times New Roman"/>
                <w:bCs/>
                <w:u w:val="single"/>
              </w:rPr>
              <w:t xml:space="preserve">Su pradine profilaktika </w:t>
            </w:r>
          </w:p>
          <w:p w14:paraId="38A9EF58" w14:textId="77777777" w:rsidR="00DC1CDC" w:rsidRPr="00D9492F" w:rsidRDefault="00DC1CDC" w:rsidP="00DC1CDC">
            <w:pPr>
              <w:keepNext/>
              <w:keepLines/>
              <w:spacing w:after="0" w:line="240" w:lineRule="auto"/>
              <w:jc w:val="center"/>
              <w:rPr>
                <w:rFonts w:ascii="Times New Roman" w:eastAsia="Times New Roman" w:hAnsi="Times New Roman"/>
                <w:bCs/>
                <w:u w:val="single"/>
              </w:rPr>
            </w:pPr>
            <w:r w:rsidRPr="00D9492F">
              <w:rPr>
                <w:rFonts w:ascii="Times New Roman" w:eastAsia="Times New Roman" w:hAnsi="Times New Roman"/>
                <w:bCs/>
                <w:u w:val="single"/>
              </w:rPr>
              <w:t xml:space="preserve">G-KSF (n = 421) </w:t>
            </w:r>
          </w:p>
          <w:p w14:paraId="6A4FDDDB" w14:textId="77777777" w:rsidR="00DC1CDC" w:rsidRPr="00D9492F" w:rsidDel="00400DE0" w:rsidRDefault="00DC1CDC" w:rsidP="00DC1CDC">
            <w:pPr>
              <w:keepNext/>
              <w:keepLines/>
              <w:spacing w:after="0" w:line="240" w:lineRule="auto"/>
              <w:jc w:val="center"/>
              <w:rPr>
                <w:rFonts w:ascii="Times New Roman" w:eastAsia="Times New Roman" w:hAnsi="Times New Roman"/>
                <w:u w:val="single"/>
              </w:rPr>
            </w:pPr>
            <w:r w:rsidRPr="00D9492F">
              <w:rPr>
                <w:rFonts w:ascii="Times New Roman" w:eastAsia="Times New Roman" w:hAnsi="Times New Roman"/>
                <w:bCs/>
                <w:u w:val="single"/>
              </w:rPr>
              <w:t>n (%)</w:t>
            </w:r>
          </w:p>
        </w:tc>
      </w:tr>
      <w:tr w:rsidR="00DC1CDC" w:rsidRPr="00D9492F" w14:paraId="57B54A9F" w14:textId="77777777" w:rsidTr="0003751A">
        <w:trPr>
          <w:trHeight w:val="510"/>
        </w:trPr>
        <w:tc>
          <w:tcPr>
            <w:tcW w:w="2816" w:type="dxa"/>
          </w:tcPr>
          <w:p w14:paraId="15D888E0" w14:textId="77777777" w:rsidR="00DC1CDC" w:rsidRPr="00D9492F" w:rsidRDefault="00DC1CDC" w:rsidP="00DC1CDC">
            <w:pPr>
              <w:keepNext/>
              <w:keepLines/>
              <w:spacing w:after="120" w:line="240" w:lineRule="auto"/>
              <w:rPr>
                <w:rFonts w:ascii="Times New Roman" w:eastAsia="Times New Roman" w:hAnsi="Times New Roman"/>
                <w:bCs/>
              </w:rPr>
            </w:pPr>
            <w:r w:rsidRPr="00D9492F">
              <w:rPr>
                <w:rFonts w:ascii="Times New Roman" w:eastAsia="Times New Roman" w:hAnsi="Times New Roman"/>
              </w:rPr>
              <w:t xml:space="preserve">Neutropenija (4 laipsnio) </w:t>
            </w:r>
          </w:p>
        </w:tc>
        <w:tc>
          <w:tcPr>
            <w:tcW w:w="2816" w:type="dxa"/>
            <w:tcBorders>
              <w:top w:val="single" w:sz="4" w:space="0" w:color="auto"/>
            </w:tcBorders>
          </w:tcPr>
          <w:p w14:paraId="2F07A67C" w14:textId="77777777" w:rsidR="00DC1CDC" w:rsidRPr="00D9492F" w:rsidRDefault="00DC1CDC" w:rsidP="00DC1CDC">
            <w:pPr>
              <w:keepNext/>
              <w:keepLines/>
              <w:spacing w:after="120" w:line="240" w:lineRule="auto"/>
              <w:jc w:val="center"/>
              <w:rPr>
                <w:rFonts w:ascii="Times New Roman" w:eastAsia="Times New Roman" w:hAnsi="Times New Roman"/>
                <w:b/>
                <w:bCs/>
              </w:rPr>
            </w:pPr>
            <w:r w:rsidRPr="00D9492F">
              <w:rPr>
                <w:rFonts w:ascii="Times New Roman" w:eastAsia="Times New Roman" w:hAnsi="Times New Roman"/>
              </w:rPr>
              <w:t>104 (93,7)</w:t>
            </w:r>
          </w:p>
        </w:tc>
        <w:tc>
          <w:tcPr>
            <w:tcW w:w="2817" w:type="dxa"/>
          </w:tcPr>
          <w:p w14:paraId="538AA3DC" w14:textId="77777777" w:rsidR="00DC1CDC" w:rsidRPr="00D9492F" w:rsidRDefault="00DC1CDC" w:rsidP="00DC1CDC">
            <w:pPr>
              <w:keepNext/>
              <w:keepLines/>
              <w:overflowPunct w:val="0"/>
              <w:autoSpaceDE w:val="0"/>
              <w:autoSpaceDN w:val="0"/>
              <w:adjustRightInd w:val="0"/>
              <w:spacing w:after="0" w:line="240" w:lineRule="auto"/>
              <w:jc w:val="center"/>
              <w:textAlignment w:val="baseline"/>
              <w:rPr>
                <w:rFonts w:ascii="Times New Roman" w:eastAsia="Times New Roman" w:hAnsi="Times New Roman"/>
              </w:rPr>
            </w:pPr>
            <w:r w:rsidRPr="00D9492F">
              <w:rPr>
                <w:rFonts w:ascii="Times New Roman" w:eastAsia="Times New Roman" w:hAnsi="Times New Roman"/>
              </w:rPr>
              <w:t>135 (32,1)</w:t>
            </w:r>
          </w:p>
          <w:p w14:paraId="08BD0D56" w14:textId="77777777" w:rsidR="00DC1CDC" w:rsidRPr="00D9492F" w:rsidRDefault="00DC1CDC" w:rsidP="00DC1CDC">
            <w:pPr>
              <w:keepNext/>
              <w:keepLines/>
              <w:spacing w:after="120" w:line="240" w:lineRule="auto"/>
              <w:jc w:val="center"/>
              <w:rPr>
                <w:rFonts w:ascii="Times New Roman" w:eastAsia="Times New Roman" w:hAnsi="Times New Roman"/>
                <w:b/>
                <w:bCs/>
              </w:rPr>
            </w:pPr>
          </w:p>
        </w:tc>
      </w:tr>
      <w:tr w:rsidR="00DC1CDC" w:rsidRPr="00D9492F" w14:paraId="62A81CB5" w14:textId="77777777" w:rsidTr="0003751A">
        <w:trPr>
          <w:trHeight w:val="510"/>
        </w:trPr>
        <w:tc>
          <w:tcPr>
            <w:tcW w:w="2816" w:type="dxa"/>
          </w:tcPr>
          <w:p w14:paraId="60FCA04F" w14:textId="77777777" w:rsidR="00DC1CDC" w:rsidRPr="00D9492F" w:rsidRDefault="00DC1CDC" w:rsidP="00DC1CDC">
            <w:pPr>
              <w:keepNext/>
              <w:keepLines/>
              <w:spacing w:after="120" w:line="240" w:lineRule="auto"/>
              <w:rPr>
                <w:rFonts w:ascii="Times New Roman" w:eastAsia="Times New Roman" w:hAnsi="Times New Roman"/>
                <w:bCs/>
              </w:rPr>
            </w:pPr>
            <w:r w:rsidRPr="00D9492F">
              <w:rPr>
                <w:rFonts w:ascii="Times New Roman" w:eastAsia="Times New Roman" w:hAnsi="Times New Roman"/>
              </w:rPr>
              <w:t>Febrilinė neutropenija</w:t>
            </w:r>
          </w:p>
        </w:tc>
        <w:tc>
          <w:tcPr>
            <w:tcW w:w="2816" w:type="dxa"/>
          </w:tcPr>
          <w:p w14:paraId="569EDBC7" w14:textId="77777777" w:rsidR="00DC1CDC" w:rsidRPr="00D9492F" w:rsidRDefault="00DC1CDC" w:rsidP="00DC1CDC">
            <w:pPr>
              <w:keepNext/>
              <w:keepLines/>
              <w:spacing w:after="120" w:line="240" w:lineRule="auto"/>
              <w:jc w:val="center"/>
              <w:rPr>
                <w:rFonts w:ascii="Times New Roman" w:eastAsia="Times New Roman" w:hAnsi="Times New Roman"/>
                <w:b/>
                <w:bCs/>
              </w:rPr>
            </w:pPr>
            <w:r w:rsidRPr="00D9492F">
              <w:rPr>
                <w:rFonts w:ascii="Times New Roman" w:eastAsia="Times New Roman" w:hAnsi="Times New Roman"/>
              </w:rPr>
              <w:t>28 (25,2)</w:t>
            </w:r>
          </w:p>
        </w:tc>
        <w:tc>
          <w:tcPr>
            <w:tcW w:w="2817" w:type="dxa"/>
          </w:tcPr>
          <w:p w14:paraId="27623C68" w14:textId="77777777" w:rsidR="00DC1CDC" w:rsidRPr="00D9492F" w:rsidRDefault="00DC1CDC" w:rsidP="00DC1CDC">
            <w:pPr>
              <w:keepNext/>
              <w:keepLines/>
              <w:overflowPunct w:val="0"/>
              <w:autoSpaceDE w:val="0"/>
              <w:autoSpaceDN w:val="0"/>
              <w:adjustRightInd w:val="0"/>
              <w:spacing w:after="0" w:line="240" w:lineRule="auto"/>
              <w:jc w:val="center"/>
              <w:textAlignment w:val="baseline"/>
              <w:rPr>
                <w:rFonts w:ascii="Times New Roman" w:eastAsia="Times New Roman" w:hAnsi="Times New Roman"/>
              </w:rPr>
            </w:pPr>
            <w:r w:rsidRPr="00D9492F">
              <w:rPr>
                <w:rFonts w:ascii="Times New Roman" w:eastAsia="Times New Roman" w:hAnsi="Times New Roman"/>
              </w:rPr>
              <w:t>23 (5,5)</w:t>
            </w:r>
          </w:p>
          <w:p w14:paraId="7EB436D2" w14:textId="77777777" w:rsidR="00DC1CDC" w:rsidRPr="00D9492F" w:rsidRDefault="00DC1CDC" w:rsidP="00DC1CDC">
            <w:pPr>
              <w:keepNext/>
              <w:keepLines/>
              <w:spacing w:after="120" w:line="240" w:lineRule="auto"/>
              <w:jc w:val="center"/>
              <w:rPr>
                <w:rFonts w:ascii="Times New Roman" w:eastAsia="Times New Roman" w:hAnsi="Times New Roman"/>
                <w:b/>
                <w:bCs/>
              </w:rPr>
            </w:pPr>
          </w:p>
        </w:tc>
      </w:tr>
      <w:tr w:rsidR="00DC1CDC" w:rsidRPr="00D9492F" w14:paraId="718AAF9F" w14:textId="77777777" w:rsidTr="0003751A">
        <w:trPr>
          <w:trHeight w:val="510"/>
        </w:trPr>
        <w:tc>
          <w:tcPr>
            <w:tcW w:w="2816" w:type="dxa"/>
          </w:tcPr>
          <w:p w14:paraId="666246DC" w14:textId="77777777" w:rsidR="00DC1CDC" w:rsidRPr="00D9492F" w:rsidRDefault="00DC1CDC" w:rsidP="00DC1CDC">
            <w:pPr>
              <w:keepNext/>
              <w:keepLines/>
              <w:spacing w:after="120" w:line="240" w:lineRule="auto"/>
              <w:rPr>
                <w:rFonts w:ascii="Times New Roman" w:eastAsia="Times New Roman" w:hAnsi="Times New Roman"/>
                <w:bCs/>
              </w:rPr>
            </w:pPr>
            <w:r w:rsidRPr="00D9492F">
              <w:rPr>
                <w:rFonts w:ascii="Times New Roman" w:eastAsia="Times New Roman" w:hAnsi="Times New Roman"/>
              </w:rPr>
              <w:t>Su neutropenija susijusi infekcija</w:t>
            </w:r>
          </w:p>
        </w:tc>
        <w:tc>
          <w:tcPr>
            <w:tcW w:w="2816" w:type="dxa"/>
          </w:tcPr>
          <w:p w14:paraId="63455078" w14:textId="77777777" w:rsidR="00DC1CDC" w:rsidRPr="00D9492F" w:rsidRDefault="00DC1CDC" w:rsidP="00DC1CDC">
            <w:pPr>
              <w:keepNext/>
              <w:keepLines/>
              <w:spacing w:after="120" w:line="240" w:lineRule="auto"/>
              <w:jc w:val="center"/>
              <w:rPr>
                <w:rFonts w:ascii="Times New Roman" w:eastAsia="Times New Roman" w:hAnsi="Times New Roman"/>
                <w:b/>
                <w:bCs/>
              </w:rPr>
            </w:pPr>
            <w:r w:rsidRPr="00D9492F">
              <w:rPr>
                <w:rFonts w:ascii="Times New Roman" w:eastAsia="Times New Roman" w:hAnsi="Times New Roman"/>
              </w:rPr>
              <w:t>14 (12,6)</w:t>
            </w:r>
          </w:p>
        </w:tc>
        <w:tc>
          <w:tcPr>
            <w:tcW w:w="2817" w:type="dxa"/>
          </w:tcPr>
          <w:p w14:paraId="752CF0AB" w14:textId="77777777" w:rsidR="00DC1CDC" w:rsidRPr="00D9492F" w:rsidRDefault="00DC1CDC" w:rsidP="00DC1CDC">
            <w:pPr>
              <w:keepNext/>
              <w:keepLines/>
              <w:overflowPunct w:val="0"/>
              <w:autoSpaceDE w:val="0"/>
              <w:autoSpaceDN w:val="0"/>
              <w:adjustRightInd w:val="0"/>
              <w:spacing w:after="0" w:line="240" w:lineRule="auto"/>
              <w:jc w:val="center"/>
              <w:textAlignment w:val="baseline"/>
              <w:rPr>
                <w:rFonts w:ascii="Times New Roman" w:eastAsia="Times New Roman" w:hAnsi="Times New Roman"/>
              </w:rPr>
            </w:pPr>
            <w:r w:rsidRPr="00D9492F">
              <w:rPr>
                <w:rFonts w:ascii="Times New Roman" w:eastAsia="Times New Roman" w:hAnsi="Times New Roman"/>
              </w:rPr>
              <w:t>21 (5,0)</w:t>
            </w:r>
          </w:p>
          <w:p w14:paraId="5819D199" w14:textId="77777777" w:rsidR="00DC1CDC" w:rsidRPr="00D9492F" w:rsidRDefault="00DC1CDC" w:rsidP="00DC1CDC">
            <w:pPr>
              <w:keepNext/>
              <w:keepLines/>
              <w:spacing w:after="120" w:line="240" w:lineRule="auto"/>
              <w:jc w:val="center"/>
              <w:rPr>
                <w:rFonts w:ascii="Times New Roman" w:eastAsia="Times New Roman" w:hAnsi="Times New Roman"/>
                <w:b/>
                <w:bCs/>
              </w:rPr>
            </w:pPr>
          </w:p>
        </w:tc>
      </w:tr>
      <w:tr w:rsidR="00DC1CDC" w:rsidRPr="00D9492F" w14:paraId="3902EAE8" w14:textId="77777777" w:rsidTr="0003751A">
        <w:trPr>
          <w:trHeight w:val="510"/>
        </w:trPr>
        <w:tc>
          <w:tcPr>
            <w:tcW w:w="2816" w:type="dxa"/>
          </w:tcPr>
          <w:p w14:paraId="70806D2E" w14:textId="77777777" w:rsidR="00DC1CDC" w:rsidRPr="00D9492F" w:rsidRDefault="00DC1CDC" w:rsidP="00DC1CDC">
            <w:pPr>
              <w:keepNext/>
              <w:keepLines/>
              <w:spacing w:after="120" w:line="240" w:lineRule="auto"/>
              <w:rPr>
                <w:rFonts w:ascii="Times New Roman" w:eastAsia="Times New Roman" w:hAnsi="Times New Roman"/>
                <w:bCs/>
              </w:rPr>
            </w:pPr>
            <w:r w:rsidRPr="00D9492F">
              <w:rPr>
                <w:rFonts w:ascii="Times New Roman" w:eastAsia="Times New Roman" w:hAnsi="Times New Roman"/>
              </w:rPr>
              <w:t xml:space="preserve">Neutropeninė infekcija (3-4 laipsnio) </w:t>
            </w:r>
          </w:p>
        </w:tc>
        <w:tc>
          <w:tcPr>
            <w:tcW w:w="2816" w:type="dxa"/>
          </w:tcPr>
          <w:p w14:paraId="09E978D2" w14:textId="77777777" w:rsidR="00DC1CDC" w:rsidRPr="00D9492F" w:rsidRDefault="00DC1CDC" w:rsidP="00DC1CDC">
            <w:pPr>
              <w:keepNext/>
              <w:keepLines/>
              <w:spacing w:after="120" w:line="240" w:lineRule="auto"/>
              <w:jc w:val="center"/>
              <w:rPr>
                <w:rFonts w:ascii="Times New Roman" w:eastAsia="Times New Roman" w:hAnsi="Times New Roman"/>
                <w:b/>
                <w:bCs/>
              </w:rPr>
            </w:pPr>
            <w:r w:rsidRPr="00D9492F">
              <w:rPr>
                <w:rFonts w:ascii="Times New Roman" w:eastAsia="Times New Roman" w:hAnsi="Times New Roman"/>
              </w:rPr>
              <w:t>2 (1,8)</w:t>
            </w:r>
          </w:p>
        </w:tc>
        <w:tc>
          <w:tcPr>
            <w:tcW w:w="2817" w:type="dxa"/>
          </w:tcPr>
          <w:p w14:paraId="5CCCD48C" w14:textId="77777777" w:rsidR="00DC1CDC" w:rsidRPr="00D9492F" w:rsidRDefault="00DC1CDC" w:rsidP="00DC1CDC">
            <w:pPr>
              <w:keepNext/>
              <w:keepLines/>
              <w:spacing w:after="120" w:line="240" w:lineRule="auto"/>
              <w:jc w:val="center"/>
              <w:rPr>
                <w:rFonts w:ascii="Times New Roman" w:eastAsia="Times New Roman" w:hAnsi="Times New Roman"/>
                <w:b/>
                <w:bCs/>
              </w:rPr>
            </w:pPr>
            <w:r w:rsidRPr="00D9492F">
              <w:rPr>
                <w:rFonts w:ascii="Times New Roman" w:eastAsia="Times New Roman" w:hAnsi="Times New Roman"/>
              </w:rPr>
              <w:t>5 (1,2)</w:t>
            </w:r>
          </w:p>
        </w:tc>
      </w:tr>
    </w:tbl>
    <w:p w14:paraId="0AA74E41" w14:textId="66C5E00A" w:rsidR="00FB2851" w:rsidRPr="00D9492F" w:rsidRDefault="000478DC" w:rsidP="00FB2851">
      <w:pPr>
        <w:spacing w:after="0" w:line="240" w:lineRule="auto"/>
        <w:rPr>
          <w:rFonts w:ascii="Times New Roman" w:hAnsi="Times New Roman"/>
          <w:u w:val="single"/>
        </w:rPr>
      </w:pPr>
      <w:r w:rsidRPr="00D9492F">
        <w:rPr>
          <w:rFonts w:ascii="Times New Roman" w:hAnsi="Times New Roman"/>
          <w:u w:val="single"/>
        </w:rPr>
        <w:t>Su n</w:t>
      </w:r>
      <w:r w:rsidR="00FB2851" w:rsidRPr="00D9492F">
        <w:rPr>
          <w:rFonts w:ascii="Times New Roman" w:hAnsi="Times New Roman"/>
          <w:u w:val="single"/>
        </w:rPr>
        <w:t>eutropeni</w:t>
      </w:r>
      <w:r w:rsidRPr="00D9492F">
        <w:rPr>
          <w:rFonts w:ascii="Times New Roman" w:hAnsi="Times New Roman"/>
          <w:u w:val="single"/>
        </w:rPr>
        <w:t>ja susijusios</w:t>
      </w:r>
      <w:r w:rsidR="00FB2851" w:rsidRPr="00D9492F">
        <w:rPr>
          <w:rFonts w:ascii="Times New Roman" w:hAnsi="Times New Roman"/>
          <w:u w:val="single"/>
        </w:rPr>
        <w:t xml:space="preserve"> komplikacijos, pasireiškusios pacientams, gydytiems pagal TAC schemą, kuriems taikyta arba netaikyta pirminė profilaktika G-KSF (GEICAM 9805 tyrimas)</w:t>
      </w:r>
    </w:p>
    <w:p w14:paraId="5363AC80" w14:textId="77777777" w:rsidR="00F63E81" w:rsidRPr="00D9492F" w:rsidRDefault="00F63E81" w:rsidP="00DC1CDC">
      <w:pPr>
        <w:spacing w:after="0" w:line="240" w:lineRule="auto"/>
        <w:rPr>
          <w:rFonts w:ascii="Times New Roman" w:hAnsi="Times New Roman"/>
          <w:u w:val="single"/>
        </w:rPr>
      </w:pPr>
    </w:p>
    <w:p w14:paraId="31DD88FC" w14:textId="77777777" w:rsidR="00F63E81" w:rsidRPr="00D9492F" w:rsidRDefault="00F63E81" w:rsidP="00DC1CDC">
      <w:pPr>
        <w:spacing w:after="0" w:line="240" w:lineRule="auto"/>
        <w:rPr>
          <w:rFonts w:ascii="Times New Roman" w:hAnsi="Times New Roman"/>
          <w:u w:val="single"/>
        </w:rPr>
      </w:pPr>
    </w:p>
    <w:p w14:paraId="1ADD0743" w14:textId="77777777" w:rsidR="00F63E81" w:rsidRPr="00D9492F" w:rsidRDefault="00F63E81" w:rsidP="00DC1CDC">
      <w:pPr>
        <w:spacing w:after="0" w:line="240" w:lineRule="auto"/>
        <w:rPr>
          <w:rFonts w:ascii="Times New Roman" w:hAnsi="Times New Roman"/>
          <w:u w:val="single"/>
        </w:rPr>
      </w:pPr>
    </w:p>
    <w:p w14:paraId="2C6C5568" w14:textId="77777777" w:rsidR="00F63E81" w:rsidRPr="00D9492F" w:rsidRDefault="00F63E81" w:rsidP="00DC1CDC">
      <w:pPr>
        <w:spacing w:after="0" w:line="240" w:lineRule="auto"/>
        <w:rPr>
          <w:rFonts w:ascii="Times New Roman" w:hAnsi="Times New Roman"/>
          <w:u w:val="single"/>
        </w:rPr>
      </w:pPr>
    </w:p>
    <w:p w14:paraId="531535DF" w14:textId="77777777" w:rsidR="00F63E81" w:rsidRPr="00D9492F" w:rsidRDefault="00F63E81" w:rsidP="00DC1CDC">
      <w:pPr>
        <w:spacing w:after="0" w:line="240" w:lineRule="auto"/>
        <w:rPr>
          <w:rFonts w:ascii="Times New Roman" w:hAnsi="Times New Roman"/>
          <w:u w:val="single"/>
        </w:rPr>
      </w:pPr>
    </w:p>
    <w:p w14:paraId="6FC0839A" w14:textId="77777777" w:rsidR="00F63E81" w:rsidRPr="00D9492F" w:rsidRDefault="00F63E81" w:rsidP="00DC1CDC">
      <w:pPr>
        <w:spacing w:after="0" w:line="240" w:lineRule="auto"/>
        <w:rPr>
          <w:rFonts w:ascii="Times New Roman" w:hAnsi="Times New Roman"/>
          <w:u w:val="single"/>
        </w:rPr>
      </w:pPr>
    </w:p>
    <w:p w14:paraId="478591BF" w14:textId="77777777" w:rsidR="00F63E81" w:rsidRPr="00D9492F" w:rsidRDefault="00F63E81" w:rsidP="00DC1CDC">
      <w:pPr>
        <w:spacing w:after="0" w:line="240" w:lineRule="auto"/>
        <w:rPr>
          <w:rFonts w:ascii="Times New Roman" w:hAnsi="Times New Roman"/>
          <w:u w:val="single"/>
        </w:rPr>
      </w:pPr>
    </w:p>
    <w:p w14:paraId="6A352E51" w14:textId="77777777" w:rsidR="00F63E81" w:rsidRPr="00D9492F" w:rsidRDefault="00F63E81" w:rsidP="00DC1CDC">
      <w:pPr>
        <w:spacing w:after="0" w:line="240" w:lineRule="auto"/>
        <w:rPr>
          <w:rFonts w:ascii="Times New Roman" w:hAnsi="Times New Roman"/>
          <w:u w:val="single"/>
        </w:rPr>
      </w:pPr>
    </w:p>
    <w:p w14:paraId="23C30E9B" w14:textId="77777777" w:rsidR="00DC1CDC" w:rsidRPr="00D9492F" w:rsidRDefault="00DC1CDC" w:rsidP="00DC1CDC">
      <w:pPr>
        <w:spacing w:after="0"/>
        <w:rPr>
          <w:rFonts w:ascii="Times New Roman" w:hAnsi="Times New Roman"/>
        </w:rPr>
      </w:pPr>
    </w:p>
    <w:p w14:paraId="0D1420A3" w14:textId="77777777" w:rsidR="00DC1CDC" w:rsidRPr="00D9492F" w:rsidRDefault="00DC1CDC" w:rsidP="00DC1CDC">
      <w:pPr>
        <w:spacing w:after="0"/>
        <w:rPr>
          <w:rFonts w:ascii="Times New Roman" w:hAnsi="Times New Roman"/>
        </w:rPr>
      </w:pPr>
    </w:p>
    <w:p w14:paraId="5834B5E6" w14:textId="77777777" w:rsidR="00DC1CDC" w:rsidRPr="00D9492F" w:rsidRDefault="00DC1CDC" w:rsidP="00DC1CDC">
      <w:pPr>
        <w:spacing w:after="0"/>
        <w:rPr>
          <w:rFonts w:ascii="Times New Roman" w:hAnsi="Times New Roman"/>
        </w:rPr>
      </w:pPr>
    </w:p>
    <w:p w14:paraId="79332A98" w14:textId="77777777" w:rsidR="00DC1CDC" w:rsidRPr="00D9492F" w:rsidRDefault="00DC1CDC" w:rsidP="00DC1CDC">
      <w:pPr>
        <w:spacing w:after="0"/>
        <w:rPr>
          <w:rFonts w:ascii="Times New Roman" w:hAnsi="Times New Roman"/>
        </w:rPr>
      </w:pPr>
    </w:p>
    <w:p w14:paraId="3AF5F497" w14:textId="77777777" w:rsidR="00DC1CDC" w:rsidRPr="00D9492F" w:rsidRDefault="00DC1CDC" w:rsidP="00DC1CDC">
      <w:pPr>
        <w:spacing w:after="0"/>
        <w:rPr>
          <w:rFonts w:ascii="Times New Roman" w:hAnsi="Times New Roman"/>
        </w:rPr>
      </w:pPr>
    </w:p>
    <w:p w14:paraId="08B529F0" w14:textId="77777777" w:rsidR="00DC1CDC" w:rsidRPr="00D9492F" w:rsidRDefault="00DC1CDC" w:rsidP="00DC1CDC">
      <w:pPr>
        <w:spacing w:after="0"/>
        <w:rPr>
          <w:rFonts w:ascii="Times New Roman" w:hAnsi="Times New Roman"/>
        </w:rPr>
      </w:pPr>
    </w:p>
    <w:p w14:paraId="291690F0" w14:textId="77777777" w:rsidR="00DC1CDC" w:rsidRPr="00D9492F" w:rsidRDefault="00DC1CDC" w:rsidP="00DC1CDC">
      <w:pPr>
        <w:spacing w:after="0"/>
        <w:rPr>
          <w:rFonts w:ascii="Times New Roman" w:hAnsi="Times New Roman"/>
        </w:rPr>
      </w:pPr>
    </w:p>
    <w:p w14:paraId="61C31C3B" w14:textId="77777777" w:rsidR="00DC1CDC" w:rsidRPr="00D9492F" w:rsidRDefault="00DC1CDC" w:rsidP="00DC1CDC">
      <w:pPr>
        <w:spacing w:after="0"/>
        <w:rPr>
          <w:rFonts w:ascii="Times New Roman" w:hAnsi="Times New Roman"/>
        </w:rPr>
      </w:pPr>
    </w:p>
    <w:p w14:paraId="151EE37F" w14:textId="77777777" w:rsidR="00DC1CDC" w:rsidRPr="00D9492F" w:rsidRDefault="00DC1CDC" w:rsidP="00DC1CDC">
      <w:pPr>
        <w:spacing w:after="0"/>
        <w:rPr>
          <w:rFonts w:ascii="Times New Roman" w:hAnsi="Times New Roman"/>
        </w:rPr>
      </w:pPr>
    </w:p>
    <w:p w14:paraId="5D0A2D5E" w14:textId="77777777" w:rsidR="00DC1CDC" w:rsidRPr="00D9492F" w:rsidRDefault="00DC1CDC" w:rsidP="00DC1CDC">
      <w:pPr>
        <w:spacing w:after="0"/>
        <w:rPr>
          <w:rFonts w:ascii="Times New Roman" w:hAnsi="Times New Roman"/>
        </w:rPr>
      </w:pPr>
    </w:p>
    <w:p w14:paraId="6A7B4BC2" w14:textId="77777777" w:rsidR="00DC1CDC" w:rsidRPr="00D9492F" w:rsidRDefault="00DC1CDC" w:rsidP="00DC1CDC">
      <w:pPr>
        <w:spacing w:after="0"/>
        <w:rPr>
          <w:rFonts w:ascii="Times New Roman" w:hAnsi="Times New Roman"/>
        </w:rPr>
      </w:pPr>
    </w:p>
    <w:p w14:paraId="17163ECD" w14:textId="77777777" w:rsidR="00DC1CDC" w:rsidRPr="00D9492F" w:rsidRDefault="00DC1CDC" w:rsidP="00DC1CDC">
      <w:pPr>
        <w:spacing w:after="0"/>
        <w:rPr>
          <w:rFonts w:ascii="Times New Roman" w:hAnsi="Times New Roman"/>
        </w:rPr>
      </w:pPr>
    </w:p>
    <w:p w14:paraId="4B73F279" w14:textId="77777777" w:rsidR="00DC1CDC" w:rsidRPr="00D9492F" w:rsidRDefault="00DC1CDC" w:rsidP="00DC1CDC">
      <w:pPr>
        <w:spacing w:after="0"/>
        <w:rPr>
          <w:rFonts w:ascii="Times New Roman" w:hAnsi="Times New Roman"/>
        </w:rPr>
      </w:pPr>
    </w:p>
    <w:p w14:paraId="3A29E80B" w14:textId="77777777" w:rsidR="00DC1CDC" w:rsidRPr="00D9492F" w:rsidRDefault="00DC1CDC" w:rsidP="00DC1CDC">
      <w:pPr>
        <w:spacing w:after="0"/>
        <w:rPr>
          <w:rFonts w:ascii="Times New Roman" w:hAnsi="Times New Roman"/>
        </w:rPr>
      </w:pPr>
    </w:p>
    <w:p w14:paraId="74B7D0E6" w14:textId="77777777" w:rsidR="00DC1CDC" w:rsidRPr="00D9492F" w:rsidRDefault="00DC1CDC" w:rsidP="00DC1CDC">
      <w:pPr>
        <w:keepNext/>
        <w:suppressAutoHyphens/>
        <w:spacing w:after="0" w:line="240" w:lineRule="auto"/>
        <w:rPr>
          <w:rFonts w:ascii="Times New Roman" w:eastAsia="Times New Roman" w:hAnsi="Times New Roman"/>
          <w:bCs/>
          <w:u w:val="single"/>
        </w:rPr>
      </w:pPr>
      <w:r w:rsidRPr="00D9492F">
        <w:rPr>
          <w:rFonts w:ascii="Times New Roman" w:eastAsia="Times New Roman" w:hAnsi="Times New Roman"/>
          <w:bCs/>
          <w:u w:val="single"/>
        </w:rPr>
        <w:lastRenderedPageBreak/>
        <w:t>Docetaxel SanoSwiss 75 mg/m² derinyje su cisplatina ir 5-fluorouracilu skrandžio adenokarcinomai gydyti</w:t>
      </w:r>
    </w:p>
    <w:p w14:paraId="4AD5FEC4" w14:textId="77777777" w:rsidR="00DC1CDC" w:rsidRPr="00D9492F" w:rsidRDefault="00DC1CDC" w:rsidP="00DC1CDC">
      <w:pPr>
        <w:keepNext/>
        <w:keepLines/>
        <w:tabs>
          <w:tab w:val="left" w:pos="567"/>
          <w:tab w:val="left" w:pos="7655"/>
        </w:tabs>
        <w:spacing w:after="0" w:line="240" w:lineRule="auto"/>
        <w:rPr>
          <w:rFonts w:ascii="Times New Roman" w:eastAsia="Times New Roman" w:hAnsi="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4"/>
        <w:gridCol w:w="3095"/>
        <w:gridCol w:w="3095"/>
      </w:tblGrid>
      <w:tr w:rsidR="00DC1CDC" w:rsidRPr="00D9492F" w14:paraId="4BEBAFFB" w14:textId="77777777" w:rsidTr="0003751A">
        <w:trPr>
          <w:tblHeader/>
        </w:trPr>
        <w:tc>
          <w:tcPr>
            <w:tcW w:w="3094" w:type="dxa"/>
            <w:shd w:val="clear" w:color="auto" w:fill="auto"/>
          </w:tcPr>
          <w:p w14:paraId="0E9B7EBF"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MedDRA organų sistemų klasės</w:t>
            </w:r>
          </w:p>
          <w:p w14:paraId="7E5A1B2F" w14:textId="77777777" w:rsidR="00DC1CDC" w:rsidRPr="00D9492F" w:rsidRDefault="00DC1CDC" w:rsidP="00DC1CDC">
            <w:pPr>
              <w:keepNext/>
              <w:keepLines/>
              <w:spacing w:after="0" w:line="240" w:lineRule="auto"/>
              <w:rPr>
                <w:rFonts w:ascii="Times New Roman" w:hAnsi="Times New Roman"/>
                <w:u w:val="single"/>
              </w:rPr>
            </w:pPr>
          </w:p>
        </w:tc>
        <w:tc>
          <w:tcPr>
            <w:tcW w:w="3095" w:type="dxa"/>
            <w:shd w:val="clear" w:color="auto" w:fill="auto"/>
          </w:tcPr>
          <w:p w14:paraId="61D1C3F2"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 xml:space="preserve">Labai dažnos nepageidaujamos reakcijos </w:t>
            </w:r>
          </w:p>
          <w:p w14:paraId="47570E14"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u w:val="single"/>
              </w:rPr>
            </w:pPr>
          </w:p>
        </w:tc>
        <w:tc>
          <w:tcPr>
            <w:tcW w:w="3095" w:type="dxa"/>
            <w:shd w:val="clear" w:color="auto" w:fill="auto"/>
          </w:tcPr>
          <w:p w14:paraId="71C3F612"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Dažnos nepageidaujamos reakcijos</w:t>
            </w:r>
          </w:p>
          <w:p w14:paraId="05C40475" w14:textId="77777777" w:rsidR="00DC1CDC" w:rsidRPr="00D9492F" w:rsidRDefault="00DC1CDC" w:rsidP="00DC1CDC">
            <w:pPr>
              <w:keepNext/>
              <w:keepLines/>
              <w:spacing w:after="0" w:line="240" w:lineRule="auto"/>
              <w:rPr>
                <w:rFonts w:ascii="Times New Roman" w:hAnsi="Times New Roman"/>
                <w:u w:val="single"/>
              </w:rPr>
            </w:pPr>
          </w:p>
        </w:tc>
      </w:tr>
      <w:tr w:rsidR="00DC1CDC" w:rsidRPr="00D9492F" w14:paraId="13643461" w14:textId="77777777" w:rsidTr="0003751A">
        <w:tc>
          <w:tcPr>
            <w:tcW w:w="3094" w:type="dxa"/>
          </w:tcPr>
          <w:p w14:paraId="2BCB01D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Infekcijos ir infestacijos</w:t>
            </w:r>
          </w:p>
        </w:tc>
        <w:tc>
          <w:tcPr>
            <w:tcW w:w="3095" w:type="dxa"/>
          </w:tcPr>
          <w:p w14:paraId="261307F3" w14:textId="77777777" w:rsidR="00DC1CDC" w:rsidRPr="00D9492F" w:rsidRDefault="00DC1CDC" w:rsidP="00DC1CDC">
            <w:pPr>
              <w:keepNext/>
              <w:keepLines/>
              <w:tabs>
                <w:tab w:val="left" w:pos="7655"/>
              </w:tabs>
              <w:suppressAutoHyphen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Neutropeninė infekcija</w:t>
            </w:r>
            <w:r w:rsidR="00D67F0E" w:rsidRPr="00D9492F">
              <w:rPr>
                <w:rFonts w:ascii="Times New Roman" w:eastAsia="Times New Roman" w:hAnsi="Times New Roman"/>
              </w:rPr>
              <w:t>.</w:t>
            </w:r>
          </w:p>
          <w:p w14:paraId="4324C381" w14:textId="77777777" w:rsidR="00DC1CDC" w:rsidRPr="00D9492F" w:rsidRDefault="00DC1CDC" w:rsidP="00DC1CDC">
            <w:pPr>
              <w:keepNext/>
              <w:keepLines/>
              <w:tabs>
                <w:tab w:val="left" w:pos="7655"/>
              </w:tabs>
              <w:suppressAutoHyphens/>
              <w:spacing w:after="0" w:line="240" w:lineRule="auto"/>
              <w:rPr>
                <w:rFonts w:ascii="Times New Roman" w:eastAsia="Times New Roman" w:hAnsi="Times New Roman"/>
                <w:bCs/>
                <w:iCs/>
              </w:rPr>
            </w:pPr>
            <w:r w:rsidRPr="00D9492F">
              <w:rPr>
                <w:rFonts w:ascii="Times New Roman" w:eastAsia="Times New Roman" w:hAnsi="Times New Roman"/>
              </w:rPr>
              <w:t>Infekcija (3</w:t>
            </w:r>
            <w:r w:rsidRPr="00D9492F">
              <w:rPr>
                <w:rFonts w:ascii="Times New Roman" w:eastAsia="Times New Roman" w:hAnsi="Times New Roman"/>
              </w:rPr>
              <w:noBreakHyphen/>
              <w:t>4 laipsnio – 11,7 %)</w:t>
            </w:r>
            <w:r w:rsidR="00D67F0E" w:rsidRPr="00D9492F">
              <w:rPr>
                <w:rFonts w:ascii="Times New Roman" w:eastAsia="Times New Roman" w:hAnsi="Times New Roman"/>
              </w:rPr>
              <w:t>.</w:t>
            </w:r>
          </w:p>
        </w:tc>
        <w:tc>
          <w:tcPr>
            <w:tcW w:w="3095" w:type="dxa"/>
          </w:tcPr>
          <w:p w14:paraId="746CF79D"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3F8C14D4" w14:textId="77777777" w:rsidTr="0003751A">
        <w:tc>
          <w:tcPr>
            <w:tcW w:w="3094" w:type="dxa"/>
          </w:tcPr>
          <w:p w14:paraId="063A27E9"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Kraujo ir limfinės sistemos sutrikimai</w:t>
            </w:r>
          </w:p>
        </w:tc>
        <w:tc>
          <w:tcPr>
            <w:tcW w:w="3095" w:type="dxa"/>
          </w:tcPr>
          <w:p w14:paraId="0019D1B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Anemija (3</w:t>
            </w:r>
            <w:r w:rsidRPr="00D9492F">
              <w:rPr>
                <w:rFonts w:ascii="Times New Roman" w:hAnsi="Times New Roman"/>
              </w:rPr>
              <w:noBreakHyphen/>
              <w:t>4 laipsnio – 20,9 %)</w:t>
            </w:r>
            <w:r w:rsidR="00D67F0E" w:rsidRPr="00D9492F">
              <w:rPr>
                <w:rFonts w:ascii="Times New Roman" w:hAnsi="Times New Roman"/>
              </w:rPr>
              <w:t>.</w:t>
            </w:r>
          </w:p>
          <w:p w14:paraId="79900D0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Neutropenija (3</w:t>
            </w:r>
            <w:r w:rsidRPr="00D9492F">
              <w:rPr>
                <w:rFonts w:ascii="Times New Roman" w:hAnsi="Times New Roman"/>
              </w:rPr>
              <w:noBreakHyphen/>
              <w:t>4 laipsnio – 83,2 %)</w:t>
            </w:r>
            <w:r w:rsidR="00D67F0E" w:rsidRPr="00D9492F">
              <w:rPr>
                <w:rFonts w:ascii="Times New Roman" w:hAnsi="Times New Roman"/>
              </w:rPr>
              <w:t>.</w:t>
            </w:r>
          </w:p>
          <w:p w14:paraId="2651EAA5" w14:textId="77777777" w:rsidR="00DC1CDC" w:rsidRPr="00D9492F" w:rsidRDefault="00DC1CDC" w:rsidP="00DC1CDC">
            <w:pPr>
              <w:keepNext/>
              <w:keepLines/>
              <w:tabs>
                <w:tab w:val="left" w:pos="7655"/>
              </w:tabs>
              <w:suppressAutoHyphen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Trombocitopenija (3</w:t>
            </w:r>
            <w:r w:rsidRPr="00D9492F">
              <w:rPr>
                <w:rFonts w:ascii="Times New Roman" w:eastAsia="Times New Roman" w:hAnsi="Times New Roman"/>
              </w:rPr>
              <w:noBreakHyphen/>
              <w:t>4 laipsnio – 8,8 %)</w:t>
            </w:r>
            <w:r w:rsidR="00D67F0E" w:rsidRPr="00D9492F">
              <w:rPr>
                <w:rFonts w:ascii="Times New Roman" w:eastAsia="Times New Roman" w:hAnsi="Times New Roman"/>
              </w:rPr>
              <w:t>.</w:t>
            </w:r>
          </w:p>
          <w:p w14:paraId="2FA37650" w14:textId="77777777" w:rsidR="00DC1CDC" w:rsidRPr="00D9492F" w:rsidRDefault="00DC1CDC" w:rsidP="00DC1CDC">
            <w:pPr>
              <w:keepNext/>
              <w:keepLines/>
              <w:tabs>
                <w:tab w:val="left" w:pos="7655"/>
              </w:tabs>
              <w:suppressAutoHyphen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 xml:space="preserve">Febrilinė neutropenija </w:t>
            </w:r>
          </w:p>
        </w:tc>
        <w:tc>
          <w:tcPr>
            <w:tcW w:w="3095" w:type="dxa"/>
          </w:tcPr>
          <w:p w14:paraId="2CFEA1A5" w14:textId="77777777" w:rsidR="00DC1CDC" w:rsidRPr="00D9492F" w:rsidRDefault="00DC1CDC" w:rsidP="00DC1CDC">
            <w:pPr>
              <w:keepNext/>
              <w:keepLines/>
              <w:spacing w:after="0" w:line="240" w:lineRule="auto"/>
              <w:rPr>
                <w:rFonts w:ascii="Times New Roman" w:hAnsi="Times New Roman"/>
              </w:rPr>
            </w:pPr>
          </w:p>
        </w:tc>
      </w:tr>
      <w:tr w:rsidR="00DC1CDC" w:rsidRPr="00D9492F" w14:paraId="7F5EC7C6" w14:textId="77777777" w:rsidTr="0003751A">
        <w:tc>
          <w:tcPr>
            <w:tcW w:w="3094" w:type="dxa"/>
          </w:tcPr>
          <w:p w14:paraId="7C07D35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Imuninės sistemos sutrikimai</w:t>
            </w:r>
          </w:p>
        </w:tc>
        <w:tc>
          <w:tcPr>
            <w:tcW w:w="3095" w:type="dxa"/>
          </w:tcPr>
          <w:p w14:paraId="5343B800" w14:textId="77777777" w:rsidR="00DC1CDC" w:rsidRPr="00D9492F" w:rsidRDefault="00DC1CDC" w:rsidP="00DC1CDC">
            <w:pPr>
              <w:keepNext/>
              <w:keepLines/>
              <w:tabs>
                <w:tab w:val="left" w:pos="7655"/>
              </w:tabs>
              <w:suppressAutoHyphens/>
              <w:spacing w:after="0" w:line="240" w:lineRule="auto"/>
              <w:rPr>
                <w:rFonts w:ascii="Times New Roman" w:eastAsia="Times New Roman" w:hAnsi="Times New Roman"/>
                <w:bCs/>
                <w:iCs/>
              </w:rPr>
            </w:pPr>
            <w:r w:rsidRPr="00D9492F">
              <w:rPr>
                <w:rFonts w:ascii="Times New Roman" w:eastAsia="Times New Roman" w:hAnsi="Times New Roman"/>
                <w:bCs/>
              </w:rPr>
              <w:t xml:space="preserve">Padidėjęs jautrumas </w:t>
            </w:r>
            <w:r w:rsidRPr="00D9492F">
              <w:rPr>
                <w:rFonts w:ascii="Times New Roman" w:eastAsia="Times New Roman" w:hAnsi="Times New Roman"/>
                <w:bCs/>
                <w:iCs/>
              </w:rPr>
              <w:t>(</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1,7 %)</w:t>
            </w:r>
            <w:r w:rsidR="00D67F0E" w:rsidRPr="00D9492F">
              <w:rPr>
                <w:rFonts w:ascii="Times New Roman" w:eastAsia="Times New Roman" w:hAnsi="Times New Roman"/>
                <w:bCs/>
                <w:iCs/>
              </w:rPr>
              <w:t>.</w:t>
            </w:r>
          </w:p>
        </w:tc>
        <w:tc>
          <w:tcPr>
            <w:tcW w:w="3095" w:type="dxa"/>
          </w:tcPr>
          <w:p w14:paraId="67F6BA87"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7B1A17F4" w14:textId="77777777" w:rsidTr="0003751A">
        <w:tc>
          <w:tcPr>
            <w:tcW w:w="3094" w:type="dxa"/>
          </w:tcPr>
          <w:p w14:paraId="7222E4F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Metabolizmo ir mitybos sutrikimai</w:t>
            </w:r>
          </w:p>
        </w:tc>
        <w:tc>
          <w:tcPr>
            <w:tcW w:w="3095" w:type="dxa"/>
          </w:tcPr>
          <w:p w14:paraId="3FB80465" w14:textId="77777777" w:rsidR="00DC1CDC" w:rsidRPr="00D9492F" w:rsidRDefault="00DC1CDC" w:rsidP="00DC1CDC">
            <w:pPr>
              <w:keepNext/>
              <w:keepLines/>
              <w:tabs>
                <w:tab w:val="left" w:pos="7655"/>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Anoreksija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11,7 %)</w:t>
            </w:r>
            <w:r w:rsidR="00D67F0E" w:rsidRPr="00D9492F">
              <w:rPr>
                <w:rFonts w:ascii="Times New Roman" w:eastAsia="Times New Roman" w:hAnsi="Times New Roman"/>
                <w:bCs/>
                <w:iCs/>
              </w:rPr>
              <w:t>.</w:t>
            </w:r>
          </w:p>
        </w:tc>
        <w:tc>
          <w:tcPr>
            <w:tcW w:w="3095" w:type="dxa"/>
          </w:tcPr>
          <w:p w14:paraId="118D76FA"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00FE6304" w14:textId="77777777" w:rsidTr="0003751A">
        <w:trPr>
          <w:trHeight w:val="815"/>
        </w:trPr>
        <w:tc>
          <w:tcPr>
            <w:tcW w:w="3094" w:type="dxa"/>
          </w:tcPr>
          <w:p w14:paraId="3315E24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Nervų sistemos sutrikimai</w:t>
            </w:r>
          </w:p>
        </w:tc>
        <w:tc>
          <w:tcPr>
            <w:tcW w:w="3095" w:type="dxa"/>
          </w:tcPr>
          <w:p w14:paraId="69959FC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Periferinė sensorinė neuropatija (3</w:t>
            </w:r>
            <w:r w:rsidRPr="00D9492F">
              <w:rPr>
                <w:rFonts w:ascii="Times New Roman" w:hAnsi="Times New Roman"/>
              </w:rPr>
              <w:noBreakHyphen/>
              <w:t>4 laipsnio – 8,7 %)</w:t>
            </w:r>
            <w:r w:rsidR="00D67F0E" w:rsidRPr="00D9492F">
              <w:rPr>
                <w:rFonts w:ascii="Times New Roman" w:hAnsi="Times New Roman"/>
              </w:rPr>
              <w:t>.</w:t>
            </w:r>
          </w:p>
        </w:tc>
        <w:tc>
          <w:tcPr>
            <w:tcW w:w="3095" w:type="dxa"/>
          </w:tcPr>
          <w:p w14:paraId="2C1F1F56" w14:textId="77777777" w:rsidR="00DC1CDC" w:rsidRPr="00D9492F" w:rsidRDefault="00DC1CDC" w:rsidP="00DC1CDC">
            <w:pPr>
              <w:keepNext/>
              <w:keepLines/>
              <w:tabs>
                <w:tab w:val="left" w:pos="7655"/>
              </w:tab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Galvos svaigimas (3</w:t>
            </w:r>
            <w:r w:rsidRPr="00D9492F">
              <w:rPr>
                <w:rFonts w:ascii="Times New Roman" w:eastAsia="Times New Roman" w:hAnsi="Times New Roman"/>
              </w:rPr>
              <w:noBreakHyphen/>
              <w:t>4 laipsnio – 2,3 %)</w:t>
            </w:r>
            <w:r w:rsidR="00D67F0E" w:rsidRPr="00D9492F">
              <w:rPr>
                <w:rFonts w:ascii="Times New Roman" w:eastAsia="Times New Roman" w:hAnsi="Times New Roman"/>
              </w:rPr>
              <w:t>.</w:t>
            </w:r>
          </w:p>
          <w:p w14:paraId="4101E6C1"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rPr>
              <w:t>Periferinė motorinė neuropatija (3</w:t>
            </w:r>
            <w:r w:rsidRPr="00D9492F">
              <w:rPr>
                <w:rFonts w:ascii="Times New Roman" w:hAnsi="Times New Roman"/>
              </w:rPr>
              <w:noBreakHyphen/>
              <w:t>4 laipsnio – 1,3 %)</w:t>
            </w:r>
            <w:r w:rsidR="00D67F0E" w:rsidRPr="00D9492F">
              <w:rPr>
                <w:rFonts w:ascii="Times New Roman" w:hAnsi="Times New Roman"/>
              </w:rPr>
              <w:t>.</w:t>
            </w:r>
          </w:p>
        </w:tc>
      </w:tr>
      <w:tr w:rsidR="00DC1CDC" w:rsidRPr="00D9492F" w14:paraId="523EEA48" w14:textId="77777777" w:rsidTr="0003751A">
        <w:tc>
          <w:tcPr>
            <w:tcW w:w="3094" w:type="dxa"/>
          </w:tcPr>
          <w:p w14:paraId="3A294F5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Aki</w:t>
            </w:r>
            <w:r w:rsidR="00D67F0E" w:rsidRPr="00D9492F">
              <w:rPr>
                <w:rFonts w:ascii="Times New Roman" w:hAnsi="Times New Roman"/>
              </w:rPr>
              <w:t>ų</w:t>
            </w:r>
            <w:r w:rsidRPr="00D9492F">
              <w:rPr>
                <w:rFonts w:ascii="Times New Roman" w:hAnsi="Times New Roman"/>
              </w:rPr>
              <w:t xml:space="preserve"> sutrikimai</w:t>
            </w:r>
          </w:p>
        </w:tc>
        <w:tc>
          <w:tcPr>
            <w:tcW w:w="3095" w:type="dxa"/>
          </w:tcPr>
          <w:p w14:paraId="5DD4BF7A"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p>
        </w:tc>
        <w:tc>
          <w:tcPr>
            <w:tcW w:w="3095" w:type="dxa"/>
          </w:tcPr>
          <w:p w14:paraId="45C28396"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Ašarojimo sustiprėjimas (</w:t>
            </w:r>
            <w:r w:rsidRPr="00D9492F">
              <w:rPr>
                <w:rFonts w:ascii="Times New Roman" w:hAnsi="Times New Roman"/>
              </w:rPr>
              <w:t>3</w:t>
            </w:r>
            <w:r w:rsidRPr="00D9492F">
              <w:rPr>
                <w:rFonts w:ascii="Times New Roman" w:hAnsi="Times New Roman"/>
              </w:rPr>
              <w:noBreakHyphen/>
              <w:t xml:space="preserve">4 laipsnio – </w:t>
            </w:r>
            <w:r w:rsidRPr="00D9492F">
              <w:rPr>
                <w:rFonts w:ascii="Times New Roman" w:hAnsi="Times New Roman"/>
                <w:bCs/>
                <w:iCs/>
              </w:rPr>
              <w:t>0 %)</w:t>
            </w:r>
            <w:r w:rsidR="00D67F0E" w:rsidRPr="00D9492F">
              <w:rPr>
                <w:rFonts w:ascii="Times New Roman" w:hAnsi="Times New Roman"/>
                <w:bCs/>
                <w:iCs/>
              </w:rPr>
              <w:t>.</w:t>
            </w:r>
          </w:p>
        </w:tc>
      </w:tr>
      <w:tr w:rsidR="00DC1CDC" w:rsidRPr="00D9492F" w14:paraId="46B5DAED" w14:textId="77777777" w:rsidTr="0003751A">
        <w:trPr>
          <w:trHeight w:val="815"/>
        </w:trPr>
        <w:tc>
          <w:tcPr>
            <w:tcW w:w="3094" w:type="dxa"/>
          </w:tcPr>
          <w:p w14:paraId="52AEAF5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bCs/>
                <w:iCs/>
              </w:rPr>
              <w:t>Aus</w:t>
            </w:r>
            <w:r w:rsidR="00D67F0E" w:rsidRPr="00D9492F">
              <w:rPr>
                <w:rFonts w:ascii="Times New Roman" w:hAnsi="Times New Roman"/>
                <w:bCs/>
                <w:iCs/>
              </w:rPr>
              <w:t>ų</w:t>
            </w:r>
            <w:r w:rsidRPr="00D9492F">
              <w:rPr>
                <w:rFonts w:ascii="Times New Roman" w:hAnsi="Times New Roman"/>
                <w:bCs/>
                <w:iCs/>
              </w:rPr>
              <w:t xml:space="preserve"> ir labirint</w:t>
            </w:r>
            <w:r w:rsidR="00D67F0E" w:rsidRPr="00D9492F">
              <w:rPr>
                <w:rFonts w:ascii="Times New Roman" w:hAnsi="Times New Roman"/>
                <w:bCs/>
                <w:iCs/>
              </w:rPr>
              <w:t>ų</w:t>
            </w:r>
            <w:r w:rsidRPr="00D9492F">
              <w:rPr>
                <w:rFonts w:ascii="Times New Roman" w:hAnsi="Times New Roman"/>
                <w:bCs/>
                <w:iCs/>
              </w:rPr>
              <w:t xml:space="preserve"> sutrikimai</w:t>
            </w:r>
          </w:p>
        </w:tc>
        <w:tc>
          <w:tcPr>
            <w:tcW w:w="3095" w:type="dxa"/>
          </w:tcPr>
          <w:p w14:paraId="128A4925"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p>
        </w:tc>
        <w:tc>
          <w:tcPr>
            <w:tcW w:w="3095" w:type="dxa"/>
          </w:tcPr>
          <w:p w14:paraId="5E24D96C"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Klausos susilpnėjimas (</w:t>
            </w:r>
            <w:r w:rsidRPr="00D9492F">
              <w:rPr>
                <w:rFonts w:ascii="Times New Roman" w:hAnsi="Times New Roman"/>
              </w:rPr>
              <w:t>3</w:t>
            </w:r>
            <w:r w:rsidRPr="00D9492F">
              <w:rPr>
                <w:rFonts w:ascii="Times New Roman" w:hAnsi="Times New Roman"/>
              </w:rPr>
              <w:noBreakHyphen/>
              <w:t xml:space="preserve">4 laipsnio – </w:t>
            </w:r>
            <w:r w:rsidRPr="00D9492F">
              <w:rPr>
                <w:rFonts w:ascii="Times New Roman" w:hAnsi="Times New Roman"/>
                <w:bCs/>
                <w:iCs/>
              </w:rPr>
              <w:t>0 %)</w:t>
            </w:r>
            <w:r w:rsidR="00D67F0E" w:rsidRPr="00D9492F">
              <w:rPr>
                <w:rFonts w:ascii="Times New Roman" w:hAnsi="Times New Roman"/>
                <w:bCs/>
                <w:iCs/>
              </w:rPr>
              <w:t>.</w:t>
            </w:r>
          </w:p>
        </w:tc>
      </w:tr>
      <w:tr w:rsidR="00DC1CDC" w:rsidRPr="00D9492F" w14:paraId="04A4EBB7" w14:textId="77777777" w:rsidTr="0003751A">
        <w:tc>
          <w:tcPr>
            <w:tcW w:w="3094" w:type="dxa"/>
          </w:tcPr>
          <w:p w14:paraId="499C9601"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Širdies sutrikimai</w:t>
            </w:r>
          </w:p>
        </w:tc>
        <w:tc>
          <w:tcPr>
            <w:tcW w:w="3095" w:type="dxa"/>
          </w:tcPr>
          <w:p w14:paraId="17339163" w14:textId="77777777" w:rsidR="00DC1CDC" w:rsidRPr="00D9492F" w:rsidRDefault="00DC1CDC" w:rsidP="00DC1CDC">
            <w:pPr>
              <w:keepNext/>
              <w:keepLines/>
              <w:spacing w:after="0" w:line="240" w:lineRule="auto"/>
              <w:rPr>
                <w:rFonts w:ascii="Times New Roman" w:hAnsi="Times New Roman"/>
              </w:rPr>
            </w:pPr>
          </w:p>
        </w:tc>
        <w:tc>
          <w:tcPr>
            <w:tcW w:w="3095" w:type="dxa"/>
          </w:tcPr>
          <w:p w14:paraId="305D417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Aritmija (3</w:t>
            </w:r>
            <w:r w:rsidRPr="00D9492F">
              <w:rPr>
                <w:rFonts w:ascii="Times New Roman" w:hAnsi="Times New Roman"/>
              </w:rPr>
              <w:noBreakHyphen/>
              <w:t>4 laipsnio – 1,0%)</w:t>
            </w:r>
            <w:r w:rsidR="00D67F0E" w:rsidRPr="00D9492F">
              <w:rPr>
                <w:rFonts w:ascii="Times New Roman" w:hAnsi="Times New Roman"/>
              </w:rPr>
              <w:t>.</w:t>
            </w:r>
          </w:p>
        </w:tc>
      </w:tr>
      <w:tr w:rsidR="00DC1CDC" w:rsidRPr="00D9492F" w14:paraId="49F78833" w14:textId="77777777" w:rsidTr="0003751A">
        <w:tc>
          <w:tcPr>
            <w:tcW w:w="3094" w:type="dxa"/>
          </w:tcPr>
          <w:p w14:paraId="45F3868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Virškinimo trakto sutrikimai</w:t>
            </w:r>
          </w:p>
        </w:tc>
        <w:tc>
          <w:tcPr>
            <w:tcW w:w="3095" w:type="dxa"/>
          </w:tcPr>
          <w:p w14:paraId="2A7CA19E"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Viduriavimas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19,7 %)</w:t>
            </w:r>
            <w:r w:rsidR="00D67F0E" w:rsidRPr="00D9492F">
              <w:rPr>
                <w:rFonts w:ascii="Times New Roman" w:eastAsia="Times New Roman" w:hAnsi="Times New Roman"/>
                <w:bCs/>
                <w:iCs/>
              </w:rPr>
              <w:t>.</w:t>
            </w:r>
          </w:p>
          <w:p w14:paraId="0A50E333"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Pykinimas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16 %)</w:t>
            </w:r>
            <w:r w:rsidR="00D67F0E" w:rsidRPr="00D9492F">
              <w:rPr>
                <w:rFonts w:ascii="Times New Roman" w:eastAsia="Times New Roman" w:hAnsi="Times New Roman"/>
                <w:bCs/>
                <w:iCs/>
              </w:rPr>
              <w:t>.</w:t>
            </w:r>
          </w:p>
          <w:p w14:paraId="5C28C2DD"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Stomatitas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23,7 %)</w:t>
            </w:r>
            <w:r w:rsidR="00D67F0E" w:rsidRPr="00D9492F">
              <w:rPr>
                <w:rFonts w:ascii="Times New Roman" w:eastAsia="Times New Roman" w:hAnsi="Times New Roman"/>
                <w:bCs/>
                <w:iCs/>
              </w:rPr>
              <w:t>.</w:t>
            </w:r>
          </w:p>
          <w:p w14:paraId="22C87FFD"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Vėmimas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14,3 %)</w:t>
            </w:r>
            <w:r w:rsidR="00D67F0E" w:rsidRPr="00D9492F">
              <w:rPr>
                <w:rFonts w:ascii="Times New Roman" w:eastAsia="Times New Roman" w:hAnsi="Times New Roman"/>
                <w:bCs/>
                <w:iCs/>
              </w:rPr>
              <w:t>.</w:t>
            </w:r>
          </w:p>
          <w:p w14:paraId="00E2CF60" w14:textId="77777777" w:rsidR="00DC1CDC" w:rsidRPr="00D9492F" w:rsidRDefault="00DC1CDC" w:rsidP="00DC1CDC">
            <w:pPr>
              <w:keepNext/>
              <w:keepLines/>
              <w:spacing w:after="0" w:line="240" w:lineRule="auto"/>
              <w:rPr>
                <w:rFonts w:ascii="Times New Roman" w:hAnsi="Times New Roman"/>
              </w:rPr>
            </w:pPr>
          </w:p>
        </w:tc>
        <w:tc>
          <w:tcPr>
            <w:tcW w:w="3095" w:type="dxa"/>
          </w:tcPr>
          <w:p w14:paraId="183A4DC6"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Vidurių užkietėjimas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1,0 %)</w:t>
            </w:r>
            <w:r w:rsidR="00D67F0E" w:rsidRPr="00D9492F">
              <w:rPr>
                <w:rFonts w:ascii="Times New Roman" w:eastAsia="Times New Roman" w:hAnsi="Times New Roman"/>
                <w:bCs/>
                <w:iCs/>
              </w:rPr>
              <w:t>.</w:t>
            </w:r>
          </w:p>
          <w:p w14:paraId="0FC66BBE"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Virškinimo trakto skausmas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1,0 %)</w:t>
            </w:r>
            <w:r w:rsidR="00D67F0E" w:rsidRPr="00D9492F">
              <w:rPr>
                <w:rFonts w:ascii="Times New Roman" w:eastAsia="Times New Roman" w:hAnsi="Times New Roman"/>
                <w:bCs/>
                <w:iCs/>
              </w:rPr>
              <w:t>.</w:t>
            </w:r>
          </w:p>
          <w:p w14:paraId="4A200997"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Ezofagitas arba disfagija</w:t>
            </w:r>
            <w:r w:rsidR="00D67F0E" w:rsidRPr="00D9492F">
              <w:rPr>
                <w:rFonts w:ascii="Times New Roman" w:eastAsia="Times New Roman" w:hAnsi="Times New Roman"/>
                <w:bCs/>
                <w:iCs/>
              </w:rPr>
              <w:t>,</w:t>
            </w:r>
            <w:r w:rsidRPr="00D9492F">
              <w:rPr>
                <w:rFonts w:ascii="Times New Roman" w:eastAsia="Times New Roman" w:hAnsi="Times New Roman"/>
                <w:bCs/>
                <w:iCs/>
              </w:rPr>
              <w:t xml:space="preserve"> arba odinofagija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0,7 %)</w:t>
            </w:r>
            <w:r w:rsidR="00D67F0E" w:rsidRPr="00D9492F">
              <w:rPr>
                <w:rFonts w:ascii="Times New Roman" w:eastAsia="Times New Roman" w:hAnsi="Times New Roman"/>
                <w:bCs/>
                <w:iCs/>
              </w:rPr>
              <w:t>.</w:t>
            </w:r>
          </w:p>
          <w:p w14:paraId="4A1CB278"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rPr>
            </w:pPr>
          </w:p>
        </w:tc>
      </w:tr>
      <w:tr w:rsidR="00DC1CDC" w:rsidRPr="00D9492F" w14:paraId="183AEAAB" w14:textId="77777777" w:rsidTr="0003751A">
        <w:tc>
          <w:tcPr>
            <w:tcW w:w="3094" w:type="dxa"/>
          </w:tcPr>
          <w:p w14:paraId="3830E7D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Odos ir poodinio audinio sutrikimai</w:t>
            </w:r>
          </w:p>
        </w:tc>
        <w:tc>
          <w:tcPr>
            <w:tcW w:w="3095" w:type="dxa"/>
          </w:tcPr>
          <w:p w14:paraId="473BF33C"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Alopecija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4,0 %)</w:t>
            </w:r>
            <w:r w:rsidR="00D67F0E" w:rsidRPr="00D9492F">
              <w:rPr>
                <w:rFonts w:ascii="Times New Roman" w:eastAsia="Times New Roman" w:hAnsi="Times New Roman"/>
                <w:bCs/>
                <w:iCs/>
              </w:rPr>
              <w:t>.</w:t>
            </w:r>
          </w:p>
          <w:p w14:paraId="61EF187D" w14:textId="77777777" w:rsidR="00DC1CDC" w:rsidRPr="00D9492F" w:rsidRDefault="00DC1CDC" w:rsidP="00DC1CDC">
            <w:pPr>
              <w:keepNext/>
              <w:keepLines/>
              <w:spacing w:after="0" w:line="240" w:lineRule="auto"/>
              <w:rPr>
                <w:rFonts w:ascii="Times New Roman" w:hAnsi="Times New Roman"/>
              </w:rPr>
            </w:pPr>
          </w:p>
        </w:tc>
        <w:tc>
          <w:tcPr>
            <w:tcW w:w="3095" w:type="dxa"/>
          </w:tcPr>
          <w:p w14:paraId="2C8B6F7E"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Išbėrimas ir niežulys (</w:t>
            </w:r>
            <w:r w:rsidRPr="00D9492F">
              <w:rPr>
                <w:rFonts w:ascii="Times New Roman" w:hAnsi="Times New Roman"/>
              </w:rPr>
              <w:t>3</w:t>
            </w:r>
            <w:r w:rsidRPr="00D9492F">
              <w:rPr>
                <w:rFonts w:ascii="Times New Roman" w:hAnsi="Times New Roman"/>
              </w:rPr>
              <w:noBreakHyphen/>
              <w:t xml:space="preserve">4 laipsnio – </w:t>
            </w:r>
            <w:r w:rsidRPr="00D9492F">
              <w:rPr>
                <w:rFonts w:ascii="Times New Roman" w:hAnsi="Times New Roman"/>
                <w:bCs/>
                <w:iCs/>
              </w:rPr>
              <w:t>0,7 %)</w:t>
            </w:r>
            <w:r w:rsidR="00D67F0E" w:rsidRPr="00D9492F">
              <w:rPr>
                <w:rFonts w:ascii="Times New Roman" w:hAnsi="Times New Roman"/>
                <w:bCs/>
                <w:iCs/>
              </w:rPr>
              <w:t>.</w:t>
            </w:r>
          </w:p>
          <w:p w14:paraId="7C4106D1"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Nagų pažeidimai (</w:t>
            </w:r>
            <w:r w:rsidRPr="00D9492F">
              <w:rPr>
                <w:rFonts w:ascii="Times New Roman" w:hAnsi="Times New Roman"/>
              </w:rPr>
              <w:t>3</w:t>
            </w:r>
            <w:r w:rsidRPr="00D9492F">
              <w:rPr>
                <w:rFonts w:ascii="Times New Roman" w:hAnsi="Times New Roman"/>
              </w:rPr>
              <w:noBreakHyphen/>
              <w:t xml:space="preserve">4 laipsnio – </w:t>
            </w:r>
            <w:r w:rsidRPr="00D9492F">
              <w:rPr>
                <w:rFonts w:ascii="Times New Roman" w:hAnsi="Times New Roman"/>
                <w:bCs/>
                <w:iCs/>
              </w:rPr>
              <w:t>0,7%)</w:t>
            </w:r>
            <w:r w:rsidR="00D67F0E" w:rsidRPr="00D9492F">
              <w:rPr>
                <w:rFonts w:ascii="Times New Roman" w:hAnsi="Times New Roman"/>
                <w:bCs/>
                <w:iCs/>
              </w:rPr>
              <w:t>.</w:t>
            </w:r>
          </w:p>
          <w:p w14:paraId="65AF7C28" w14:textId="77777777" w:rsidR="00DC1CDC" w:rsidRPr="00D9492F" w:rsidRDefault="00DC1CDC" w:rsidP="00DC1CDC">
            <w:pPr>
              <w:keepNext/>
              <w:keepLines/>
              <w:tabs>
                <w:tab w:val="left" w:pos="7655"/>
              </w:tab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bCs/>
                <w:iCs/>
              </w:rPr>
              <w:t>Odos eksfoliacija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0 %)</w:t>
            </w:r>
            <w:r w:rsidR="00D67F0E" w:rsidRPr="00D9492F">
              <w:rPr>
                <w:rFonts w:ascii="Times New Roman" w:eastAsia="Times New Roman" w:hAnsi="Times New Roman"/>
                <w:bCs/>
                <w:iCs/>
              </w:rPr>
              <w:t>.</w:t>
            </w:r>
          </w:p>
        </w:tc>
      </w:tr>
      <w:tr w:rsidR="00DC1CDC" w:rsidRPr="00D9492F" w14:paraId="1F4A9280" w14:textId="77777777" w:rsidTr="0003751A">
        <w:tc>
          <w:tcPr>
            <w:tcW w:w="3094" w:type="dxa"/>
          </w:tcPr>
          <w:p w14:paraId="2749575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Bendri</w:t>
            </w:r>
            <w:r w:rsidR="00D67F0E" w:rsidRPr="00D9492F">
              <w:rPr>
                <w:rFonts w:ascii="Times New Roman" w:hAnsi="Times New Roman"/>
              </w:rPr>
              <w:t>eji</w:t>
            </w:r>
            <w:r w:rsidRPr="00D9492F">
              <w:rPr>
                <w:rFonts w:ascii="Times New Roman" w:hAnsi="Times New Roman"/>
              </w:rPr>
              <w:t xml:space="preserve"> sutrikimai ir vartojimo vietos pažeidimai</w:t>
            </w:r>
          </w:p>
        </w:tc>
        <w:tc>
          <w:tcPr>
            <w:tcW w:w="3095" w:type="dxa"/>
          </w:tcPr>
          <w:p w14:paraId="43A7BD48" w14:textId="77777777" w:rsidR="00DC1CDC" w:rsidRPr="00D9492F" w:rsidRDefault="00DC1CDC" w:rsidP="00DC1CDC">
            <w:pPr>
              <w:keepNext/>
              <w:keepLines/>
              <w:tabs>
                <w:tab w:val="left" w:pos="7655"/>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Letargija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19,0 %)</w:t>
            </w:r>
            <w:r w:rsidR="00D67F0E" w:rsidRPr="00D9492F">
              <w:rPr>
                <w:rFonts w:ascii="Times New Roman" w:eastAsia="Times New Roman" w:hAnsi="Times New Roman"/>
                <w:bCs/>
                <w:iCs/>
              </w:rPr>
              <w:t>.</w:t>
            </w:r>
          </w:p>
          <w:p w14:paraId="15153A7E" w14:textId="77777777" w:rsidR="00DC1CDC" w:rsidRPr="00D9492F" w:rsidRDefault="00DC1CDC" w:rsidP="00DC1CDC">
            <w:pPr>
              <w:keepNext/>
              <w:keepLines/>
              <w:suppressAutoHyphens/>
              <w:spacing w:after="0" w:line="240" w:lineRule="auto"/>
              <w:rPr>
                <w:rFonts w:ascii="Times New Roman" w:hAnsi="Times New Roman"/>
              </w:rPr>
            </w:pPr>
            <w:r w:rsidRPr="00D9492F">
              <w:rPr>
                <w:rFonts w:ascii="Times New Roman" w:hAnsi="Times New Roman"/>
                <w:bCs/>
                <w:iCs/>
              </w:rPr>
              <w:t xml:space="preserve">Karščiavimas </w:t>
            </w:r>
            <w:r w:rsidRPr="00D9492F">
              <w:rPr>
                <w:rFonts w:ascii="Times New Roman" w:hAnsi="Times New Roman"/>
              </w:rPr>
              <w:t>(3</w:t>
            </w:r>
            <w:r w:rsidRPr="00D9492F">
              <w:rPr>
                <w:rFonts w:ascii="Times New Roman" w:hAnsi="Times New Roman"/>
              </w:rPr>
              <w:noBreakHyphen/>
              <w:t>4 laipsnio – 2,3 %)</w:t>
            </w:r>
            <w:r w:rsidR="00D67F0E" w:rsidRPr="00D9492F">
              <w:rPr>
                <w:rFonts w:ascii="Times New Roman" w:hAnsi="Times New Roman"/>
              </w:rPr>
              <w:t>.</w:t>
            </w:r>
          </w:p>
          <w:p w14:paraId="6A71A440"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rPr>
              <w:t>Skysčių susilaikymas</w:t>
            </w:r>
            <w:r w:rsidRPr="00D9492F">
              <w:rPr>
                <w:rFonts w:ascii="Times New Roman" w:hAnsi="Times New Roman"/>
                <w:bCs/>
                <w:iCs/>
              </w:rPr>
              <w:t xml:space="preserve"> (sunkus arba pavojingas gyvybei – 1 %)</w:t>
            </w:r>
            <w:r w:rsidR="00D67F0E" w:rsidRPr="00D9492F">
              <w:rPr>
                <w:rFonts w:ascii="Times New Roman" w:hAnsi="Times New Roman"/>
                <w:bCs/>
                <w:iCs/>
              </w:rPr>
              <w:t>.</w:t>
            </w:r>
          </w:p>
        </w:tc>
        <w:tc>
          <w:tcPr>
            <w:tcW w:w="3095" w:type="dxa"/>
          </w:tcPr>
          <w:p w14:paraId="24B71919" w14:textId="77777777" w:rsidR="00DC1CDC" w:rsidRPr="00D9492F" w:rsidRDefault="00DC1CDC" w:rsidP="00DC1CDC">
            <w:pPr>
              <w:keepNext/>
              <w:keepLines/>
              <w:suppressAutoHyphens/>
              <w:spacing w:after="0" w:line="240" w:lineRule="auto"/>
              <w:rPr>
                <w:rFonts w:ascii="Times New Roman" w:hAnsi="Times New Roman"/>
                <w:bCs/>
                <w:iCs/>
              </w:rPr>
            </w:pPr>
          </w:p>
        </w:tc>
      </w:tr>
    </w:tbl>
    <w:p w14:paraId="5205BC8F" w14:textId="77777777" w:rsidR="00FB2851" w:rsidRPr="00D9492F" w:rsidRDefault="00FB2851" w:rsidP="00FB2851">
      <w:pPr>
        <w:keepNext/>
        <w:keepLines/>
        <w:spacing w:after="0" w:line="240" w:lineRule="auto"/>
        <w:outlineLvl w:val="0"/>
        <w:rPr>
          <w:rFonts w:ascii="Times New Roman" w:eastAsia="Times New Roman" w:hAnsi="Times New Roman"/>
          <w:bCs/>
          <w:kern w:val="28"/>
          <w:u w:val="single"/>
        </w:rPr>
      </w:pPr>
    </w:p>
    <w:p w14:paraId="54476EE7" w14:textId="2CD7051B" w:rsidR="00FB2851" w:rsidRPr="00D9492F" w:rsidRDefault="000478DC" w:rsidP="00FB2851">
      <w:pPr>
        <w:keepNext/>
        <w:keepLines/>
        <w:spacing w:after="0" w:line="240" w:lineRule="auto"/>
        <w:outlineLvl w:val="0"/>
        <w:rPr>
          <w:rFonts w:ascii="Times New Roman" w:eastAsia="Times New Roman" w:hAnsi="Times New Roman"/>
          <w:bCs/>
          <w:kern w:val="28"/>
          <w:u w:val="single"/>
        </w:rPr>
      </w:pPr>
      <w:r w:rsidRPr="00D9492F">
        <w:rPr>
          <w:rFonts w:ascii="Times New Roman" w:eastAsia="Times New Roman" w:hAnsi="Times New Roman"/>
          <w:bCs/>
          <w:kern w:val="28"/>
          <w:u w:val="single"/>
        </w:rPr>
        <w:t>Atrinktų</w:t>
      </w:r>
      <w:r w:rsidR="00FB2851" w:rsidRPr="00D9492F">
        <w:rPr>
          <w:rFonts w:ascii="Times New Roman" w:eastAsia="Times New Roman" w:hAnsi="Times New Roman"/>
          <w:bCs/>
          <w:kern w:val="28"/>
          <w:u w:val="single"/>
        </w:rPr>
        <w:t xml:space="preserve"> nepageidaujamų reakcijų, atsiradusių vartojant </w:t>
      </w:r>
      <w:r w:rsidR="00FB2851" w:rsidRPr="00D9492F">
        <w:rPr>
          <w:rFonts w:ascii="Times New Roman" w:eastAsia="Times New Roman" w:hAnsi="Times New Roman"/>
          <w:bCs/>
          <w:u w:val="single"/>
        </w:rPr>
        <w:t xml:space="preserve">Docetaxel SanoSwiss </w:t>
      </w:r>
      <w:r w:rsidR="00FB2851" w:rsidRPr="00D9492F">
        <w:rPr>
          <w:rFonts w:ascii="Times New Roman" w:eastAsia="Times New Roman" w:hAnsi="Times New Roman"/>
          <w:bCs/>
          <w:kern w:val="28"/>
          <w:u w:val="single"/>
        </w:rPr>
        <w:t>75 mg/m² su cisplatina ir 5</w:t>
      </w:r>
      <w:r w:rsidR="00C018BB" w:rsidRPr="00D9492F">
        <w:rPr>
          <w:rFonts w:ascii="Times New Roman" w:eastAsia="Times New Roman" w:hAnsi="Times New Roman"/>
          <w:bCs/>
          <w:kern w:val="28"/>
          <w:u w:val="single"/>
        </w:rPr>
        <w:t>-</w:t>
      </w:r>
      <w:r w:rsidR="00FB2851" w:rsidRPr="00D9492F">
        <w:rPr>
          <w:rFonts w:ascii="Times New Roman" w:eastAsia="Times New Roman" w:hAnsi="Times New Roman"/>
          <w:bCs/>
          <w:kern w:val="28"/>
          <w:u w:val="single"/>
        </w:rPr>
        <w:t xml:space="preserve">fluorouracilu dozę skrandžio adenokarcinomai gydyti, </w:t>
      </w:r>
      <w:r w:rsidRPr="00D9492F">
        <w:rPr>
          <w:rFonts w:ascii="Times New Roman" w:eastAsia="Times New Roman" w:hAnsi="Times New Roman"/>
          <w:bCs/>
          <w:kern w:val="28"/>
          <w:u w:val="single"/>
        </w:rPr>
        <w:t>apibūdinimas</w:t>
      </w:r>
    </w:p>
    <w:p w14:paraId="0AE2F7BE" w14:textId="77777777" w:rsidR="00DC1CDC" w:rsidRPr="00D9492F" w:rsidRDefault="00DC1CDC" w:rsidP="00DC1CDC">
      <w:pPr>
        <w:keepNext/>
        <w:keepLines/>
        <w:spacing w:after="0" w:line="240" w:lineRule="auto"/>
        <w:rPr>
          <w:rFonts w:ascii="Times New Roman" w:hAnsi="Times New Roman"/>
        </w:rPr>
      </w:pPr>
    </w:p>
    <w:p w14:paraId="4046F330" w14:textId="77777777" w:rsidR="00DC1CDC" w:rsidRPr="00D9492F" w:rsidRDefault="00DC1CDC" w:rsidP="00DC1CDC">
      <w:pPr>
        <w:keepNext/>
        <w:keepLines/>
        <w:spacing w:after="0" w:line="240" w:lineRule="auto"/>
        <w:outlineLvl w:val="0"/>
        <w:rPr>
          <w:rFonts w:ascii="Times New Roman" w:eastAsia="Times New Roman" w:hAnsi="Times New Roman"/>
          <w:bCs/>
          <w:i/>
          <w:iCs/>
          <w:kern w:val="28"/>
          <w:u w:val="single"/>
        </w:rPr>
      </w:pPr>
      <w:r w:rsidRPr="00D9492F">
        <w:rPr>
          <w:rFonts w:ascii="Times New Roman" w:eastAsia="Times New Roman" w:hAnsi="Times New Roman"/>
          <w:bCs/>
          <w:i/>
          <w:iCs/>
          <w:kern w:val="28"/>
          <w:u w:val="single"/>
        </w:rPr>
        <w:t>Kraujo ir limfinės sistemos sutrikimai</w:t>
      </w:r>
    </w:p>
    <w:p w14:paraId="7CEC56F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Febrilinė neutropenija pasireiškė 17,2 %, o su neutropenija susijusi infekcija – 13,5 % pacientų (neatsižvelgiant, buvo vartojama G</w:t>
      </w:r>
      <w:r w:rsidRPr="00D9492F">
        <w:rPr>
          <w:rFonts w:ascii="Times New Roman" w:hAnsi="Times New Roman"/>
        </w:rPr>
        <w:noBreakHyphen/>
        <w:t>KSF ar ne). Antrinė profilaktika G</w:t>
      </w:r>
      <w:r w:rsidRPr="00D9492F">
        <w:rPr>
          <w:rFonts w:ascii="Times New Roman" w:hAnsi="Times New Roman"/>
        </w:rPr>
        <w:noBreakHyphen/>
        <w:t xml:space="preserve">KSF taikyta 19,3 % pacientų (10,7 % ciklų). Febrilinė neutropenija ir su neutropenija susijusi infekcija pasireiškė atitinkamai </w:t>
      </w:r>
      <w:r w:rsidRPr="00D9492F">
        <w:rPr>
          <w:rFonts w:ascii="Times New Roman" w:hAnsi="Times New Roman"/>
        </w:rPr>
        <w:lastRenderedPageBreak/>
        <w:t>12,1 % ir 3,4 % pacientų, profilaktikai vartojusių G</w:t>
      </w:r>
      <w:r w:rsidRPr="00D9492F">
        <w:rPr>
          <w:rFonts w:ascii="Times New Roman" w:hAnsi="Times New Roman"/>
        </w:rPr>
        <w:noBreakHyphen/>
        <w:t>KSF, ir 15,6 % bei 12,9 % pacientų, kuriems profilaktinis gydymas G</w:t>
      </w:r>
      <w:r w:rsidRPr="00D9492F">
        <w:rPr>
          <w:rFonts w:ascii="Times New Roman" w:hAnsi="Times New Roman"/>
        </w:rPr>
        <w:noBreakHyphen/>
        <w:t>KSF netaikytas (žr. 4.2 skyrių).</w:t>
      </w:r>
    </w:p>
    <w:p w14:paraId="11D25752" w14:textId="77777777" w:rsidR="00DC1CDC" w:rsidRPr="00D9492F" w:rsidRDefault="00DC1CDC" w:rsidP="00DC1CDC">
      <w:pPr>
        <w:keepNext/>
        <w:suppressAutoHyphens/>
        <w:spacing w:after="0" w:line="240" w:lineRule="auto"/>
        <w:rPr>
          <w:rFonts w:ascii="Times New Roman" w:eastAsia="Times New Roman" w:hAnsi="Times New Roman"/>
          <w:bCs/>
          <w:u w:val="single"/>
        </w:rPr>
      </w:pPr>
      <w:r w:rsidRPr="00D9492F">
        <w:rPr>
          <w:rFonts w:ascii="Times New Roman" w:eastAsia="Times New Roman" w:hAnsi="Times New Roman"/>
          <w:bCs/>
          <w:u w:val="single"/>
        </w:rPr>
        <w:lastRenderedPageBreak/>
        <w:t>Docetaxel SanoSwiss 75 mg/m² derinyje su cisplatina ir 5-fluorouracilu galvos ir kaklo vėžiui gydyti</w:t>
      </w:r>
    </w:p>
    <w:p w14:paraId="4D6CA0CE" w14:textId="77777777" w:rsidR="00DC1CDC" w:rsidRPr="00D9492F" w:rsidRDefault="00DC1CDC" w:rsidP="00DC1CDC">
      <w:pPr>
        <w:keepNext/>
        <w:keepLines/>
        <w:tabs>
          <w:tab w:val="left" w:pos="567"/>
          <w:tab w:val="left" w:pos="7655"/>
        </w:tabs>
        <w:spacing w:after="0" w:line="240" w:lineRule="auto"/>
        <w:rPr>
          <w:rFonts w:ascii="Times New Roman" w:hAnsi="Times New Roman"/>
          <w:u w:val="single"/>
        </w:rPr>
      </w:pPr>
    </w:p>
    <w:p w14:paraId="5B61EBA1" w14:textId="77777777" w:rsidR="00DC1CDC" w:rsidRPr="00D9492F" w:rsidRDefault="00DC1CDC" w:rsidP="00DC1CDC">
      <w:pPr>
        <w:keepNext/>
        <w:keepLines/>
        <w:numPr>
          <w:ilvl w:val="0"/>
          <w:numId w:val="10"/>
        </w:numPr>
        <w:tabs>
          <w:tab w:val="clear" w:pos="354"/>
        </w:tabs>
        <w:spacing w:after="0" w:line="240" w:lineRule="auto"/>
        <w:ind w:left="567" w:hanging="567"/>
        <w:rPr>
          <w:rFonts w:ascii="Times New Roman" w:hAnsi="Times New Roman"/>
        </w:rPr>
      </w:pPr>
      <w:r w:rsidRPr="00D9492F">
        <w:rPr>
          <w:rFonts w:ascii="Times New Roman" w:hAnsi="Times New Roman"/>
        </w:rPr>
        <w:t>Įvadinė chemoterapija, kai vėliau gydoma spinduliais (TAX 323)</w:t>
      </w:r>
    </w:p>
    <w:p w14:paraId="569975CD" w14:textId="77777777" w:rsidR="00DC1CDC" w:rsidRPr="00D9492F" w:rsidRDefault="00DC1CDC" w:rsidP="00DC1CDC">
      <w:pPr>
        <w:keepNext/>
        <w:keepLines/>
        <w:spacing w:after="0" w:line="240" w:lineRule="auto"/>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5"/>
        <w:gridCol w:w="2265"/>
        <w:gridCol w:w="2265"/>
        <w:gridCol w:w="2265"/>
      </w:tblGrid>
      <w:tr w:rsidR="00DC1CDC" w:rsidRPr="00D9492F" w14:paraId="47E85759" w14:textId="77777777" w:rsidTr="0003751A">
        <w:trPr>
          <w:cantSplit/>
          <w:tblHeader/>
        </w:trPr>
        <w:tc>
          <w:tcPr>
            <w:tcW w:w="1250" w:type="pct"/>
            <w:shd w:val="clear" w:color="auto" w:fill="auto"/>
          </w:tcPr>
          <w:p w14:paraId="58490C0B"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lastRenderedPageBreak/>
              <w:t>MedDRA organų sistemų klasės</w:t>
            </w:r>
          </w:p>
          <w:p w14:paraId="055FE248" w14:textId="77777777" w:rsidR="00DC1CDC" w:rsidRPr="00D9492F" w:rsidRDefault="00DC1CDC" w:rsidP="00DC1CDC">
            <w:pPr>
              <w:keepNext/>
              <w:keepLines/>
              <w:spacing w:after="0" w:line="240" w:lineRule="auto"/>
              <w:rPr>
                <w:rFonts w:ascii="Times New Roman" w:hAnsi="Times New Roman"/>
                <w:u w:val="single"/>
              </w:rPr>
            </w:pPr>
          </w:p>
        </w:tc>
        <w:tc>
          <w:tcPr>
            <w:tcW w:w="1250" w:type="pct"/>
            <w:shd w:val="clear" w:color="auto" w:fill="auto"/>
          </w:tcPr>
          <w:p w14:paraId="4A78A74B" w14:textId="13545623"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Labai dažnos nepageidaujamos reakcijos</w:t>
            </w:r>
          </w:p>
          <w:p w14:paraId="11B6B87F" w14:textId="77777777" w:rsidR="00DC1CDC" w:rsidRPr="00D9492F" w:rsidRDefault="00DC1CDC" w:rsidP="00DC1CDC">
            <w:pPr>
              <w:keepNext/>
              <w:keepLines/>
              <w:spacing w:after="0" w:line="240" w:lineRule="auto"/>
              <w:rPr>
                <w:rFonts w:ascii="Times New Roman" w:hAnsi="Times New Roman"/>
                <w:u w:val="single"/>
              </w:rPr>
            </w:pPr>
          </w:p>
        </w:tc>
        <w:tc>
          <w:tcPr>
            <w:tcW w:w="1250" w:type="pct"/>
            <w:shd w:val="clear" w:color="auto" w:fill="auto"/>
          </w:tcPr>
          <w:p w14:paraId="29D0A838"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Dažnos nepageidaujamos reakcijos</w:t>
            </w:r>
          </w:p>
          <w:p w14:paraId="44D23C24" w14:textId="77777777" w:rsidR="00DC1CDC" w:rsidRPr="00D9492F" w:rsidRDefault="00DC1CDC" w:rsidP="00DC1CDC">
            <w:pPr>
              <w:keepNext/>
              <w:keepLines/>
              <w:spacing w:after="0" w:line="240" w:lineRule="auto"/>
              <w:rPr>
                <w:rFonts w:ascii="Times New Roman" w:hAnsi="Times New Roman"/>
                <w:u w:val="single"/>
              </w:rPr>
            </w:pPr>
          </w:p>
        </w:tc>
        <w:tc>
          <w:tcPr>
            <w:tcW w:w="1250" w:type="pct"/>
            <w:shd w:val="clear" w:color="auto" w:fill="auto"/>
          </w:tcPr>
          <w:p w14:paraId="505A1C13"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Nedažnos nepageidaujamos reakcijos</w:t>
            </w:r>
          </w:p>
          <w:p w14:paraId="2BF3ED6E" w14:textId="77777777" w:rsidR="00DC1CDC" w:rsidRPr="00D9492F" w:rsidRDefault="00DC1CDC" w:rsidP="00DC1CDC">
            <w:pPr>
              <w:keepNext/>
              <w:keepLines/>
              <w:spacing w:after="0" w:line="240" w:lineRule="auto"/>
              <w:rPr>
                <w:rFonts w:ascii="Times New Roman" w:hAnsi="Times New Roman"/>
                <w:u w:val="single"/>
              </w:rPr>
            </w:pPr>
          </w:p>
        </w:tc>
      </w:tr>
      <w:tr w:rsidR="00DC1CDC" w:rsidRPr="00D9492F" w14:paraId="7BAE79EB" w14:textId="77777777" w:rsidTr="0003751A">
        <w:trPr>
          <w:cantSplit/>
        </w:trPr>
        <w:tc>
          <w:tcPr>
            <w:tcW w:w="1250" w:type="pct"/>
          </w:tcPr>
          <w:p w14:paraId="376BC8A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Infekcijos ir infestacijos</w:t>
            </w:r>
          </w:p>
        </w:tc>
        <w:tc>
          <w:tcPr>
            <w:tcW w:w="1250" w:type="pct"/>
          </w:tcPr>
          <w:p w14:paraId="3CFC6D0E" w14:textId="77777777" w:rsidR="00DC1CDC" w:rsidRPr="00D9492F" w:rsidRDefault="00DC1CDC" w:rsidP="00DC1CDC">
            <w:pPr>
              <w:keepNext/>
              <w:keepLines/>
              <w:suppressAutoHyphens/>
              <w:spacing w:after="0" w:line="240" w:lineRule="auto"/>
              <w:rPr>
                <w:rFonts w:ascii="Times New Roman" w:hAnsi="Times New Roman"/>
              </w:rPr>
            </w:pPr>
            <w:r w:rsidRPr="00D9492F">
              <w:rPr>
                <w:rFonts w:ascii="Times New Roman" w:hAnsi="Times New Roman"/>
              </w:rPr>
              <w:t>Infekcija (3</w:t>
            </w:r>
            <w:r w:rsidRPr="00D9492F">
              <w:rPr>
                <w:rFonts w:ascii="Times New Roman" w:hAnsi="Times New Roman"/>
              </w:rPr>
              <w:noBreakHyphen/>
              <w:t>4 laipsnio – 6,3 %)</w:t>
            </w:r>
            <w:r w:rsidR="007C07DF" w:rsidRPr="00D9492F">
              <w:rPr>
                <w:rFonts w:ascii="Times New Roman" w:hAnsi="Times New Roman"/>
              </w:rPr>
              <w:t>.</w:t>
            </w:r>
          </w:p>
          <w:p w14:paraId="3AF07E24"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rPr>
              <w:t>Neutropeninė infekcija</w:t>
            </w:r>
            <w:r w:rsidR="007C07DF" w:rsidRPr="00D9492F">
              <w:rPr>
                <w:rFonts w:ascii="Times New Roman" w:hAnsi="Times New Roman"/>
              </w:rPr>
              <w:t>.</w:t>
            </w:r>
          </w:p>
        </w:tc>
        <w:tc>
          <w:tcPr>
            <w:tcW w:w="1250" w:type="pct"/>
          </w:tcPr>
          <w:p w14:paraId="3723EC91"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78374712"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3C954BEB" w14:textId="77777777" w:rsidTr="0003751A">
        <w:trPr>
          <w:cantSplit/>
        </w:trPr>
        <w:tc>
          <w:tcPr>
            <w:tcW w:w="1250" w:type="pct"/>
          </w:tcPr>
          <w:p w14:paraId="6F881A4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Gerybiniai</w:t>
            </w:r>
            <w:r w:rsidR="00736FF0" w:rsidRPr="00D9492F">
              <w:rPr>
                <w:rFonts w:ascii="Times New Roman" w:hAnsi="Times New Roman"/>
              </w:rPr>
              <w:t>,</w:t>
            </w:r>
            <w:r w:rsidRPr="00D9492F">
              <w:rPr>
                <w:rFonts w:ascii="Times New Roman" w:hAnsi="Times New Roman"/>
              </w:rPr>
              <w:t xml:space="preserve"> piktybiniai </w:t>
            </w:r>
            <w:r w:rsidR="00736FF0" w:rsidRPr="00D9492F">
              <w:rPr>
                <w:rFonts w:ascii="Times New Roman" w:hAnsi="Times New Roman"/>
              </w:rPr>
              <w:t xml:space="preserve">ir nepatikslinti </w:t>
            </w:r>
            <w:r w:rsidRPr="00D9492F">
              <w:rPr>
                <w:rFonts w:ascii="Times New Roman" w:hAnsi="Times New Roman"/>
              </w:rPr>
              <w:t>navikai (tarp jų cistos ir polipai)</w:t>
            </w:r>
          </w:p>
        </w:tc>
        <w:tc>
          <w:tcPr>
            <w:tcW w:w="1250" w:type="pct"/>
          </w:tcPr>
          <w:p w14:paraId="536574B4"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763B05EA"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rPr>
              <w:t xml:space="preserve">Vėžio sukeltas skausmas </w:t>
            </w:r>
            <w:r w:rsidRPr="00D9492F">
              <w:rPr>
                <w:rFonts w:ascii="Times New Roman" w:hAnsi="Times New Roman"/>
                <w:bCs/>
                <w:iCs/>
              </w:rPr>
              <w:t>(</w:t>
            </w:r>
            <w:r w:rsidRPr="00D9492F">
              <w:rPr>
                <w:rFonts w:ascii="Times New Roman" w:hAnsi="Times New Roman"/>
              </w:rPr>
              <w:t>3</w:t>
            </w:r>
            <w:r w:rsidRPr="00D9492F">
              <w:rPr>
                <w:rFonts w:ascii="Times New Roman" w:hAnsi="Times New Roman"/>
              </w:rPr>
              <w:noBreakHyphen/>
              <w:t xml:space="preserve">4 laipsnio – </w:t>
            </w:r>
            <w:r w:rsidRPr="00D9492F">
              <w:rPr>
                <w:rFonts w:ascii="Times New Roman" w:hAnsi="Times New Roman"/>
                <w:bCs/>
                <w:iCs/>
              </w:rPr>
              <w:t>0,6 %)</w:t>
            </w:r>
            <w:r w:rsidR="00736FF0" w:rsidRPr="00D9492F">
              <w:rPr>
                <w:rFonts w:ascii="Times New Roman" w:hAnsi="Times New Roman"/>
                <w:bCs/>
                <w:iCs/>
              </w:rPr>
              <w:t>.</w:t>
            </w:r>
          </w:p>
        </w:tc>
        <w:tc>
          <w:tcPr>
            <w:tcW w:w="1250" w:type="pct"/>
          </w:tcPr>
          <w:p w14:paraId="515ECAC2"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24E4FB83" w14:textId="77777777" w:rsidTr="0003751A">
        <w:trPr>
          <w:cantSplit/>
        </w:trPr>
        <w:tc>
          <w:tcPr>
            <w:tcW w:w="1250" w:type="pct"/>
          </w:tcPr>
          <w:p w14:paraId="468E4F3C"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Kraujo ir limfinės sistemos sutrikimai</w:t>
            </w:r>
          </w:p>
        </w:tc>
        <w:tc>
          <w:tcPr>
            <w:tcW w:w="1250" w:type="pct"/>
          </w:tcPr>
          <w:p w14:paraId="5C829AF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Neutropenija (3</w:t>
            </w:r>
            <w:r w:rsidRPr="00D9492F">
              <w:rPr>
                <w:rFonts w:ascii="Times New Roman" w:hAnsi="Times New Roman"/>
              </w:rPr>
              <w:noBreakHyphen/>
              <w:t>4 laipsnio – 76,3 %)</w:t>
            </w:r>
            <w:r w:rsidR="00736FF0" w:rsidRPr="00D9492F">
              <w:rPr>
                <w:rFonts w:ascii="Times New Roman" w:hAnsi="Times New Roman"/>
              </w:rPr>
              <w:t>.</w:t>
            </w:r>
          </w:p>
          <w:p w14:paraId="198004B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Anemija (3</w:t>
            </w:r>
            <w:r w:rsidRPr="00D9492F">
              <w:rPr>
                <w:rFonts w:ascii="Times New Roman" w:hAnsi="Times New Roman"/>
              </w:rPr>
              <w:noBreakHyphen/>
              <w:t>4 laipsnio – 9,2 %)</w:t>
            </w:r>
            <w:r w:rsidR="00736FF0" w:rsidRPr="00D9492F">
              <w:rPr>
                <w:rFonts w:ascii="Times New Roman" w:hAnsi="Times New Roman"/>
              </w:rPr>
              <w:t>.</w:t>
            </w:r>
          </w:p>
          <w:p w14:paraId="5F40EA0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Trombocitopenija (3</w:t>
            </w:r>
            <w:r w:rsidRPr="00D9492F">
              <w:rPr>
                <w:rFonts w:ascii="Times New Roman" w:hAnsi="Times New Roman"/>
              </w:rPr>
              <w:noBreakHyphen/>
              <w:t>4 laipsnio – 5,2 %)</w:t>
            </w:r>
            <w:r w:rsidR="00736FF0" w:rsidRPr="00D9492F">
              <w:rPr>
                <w:rFonts w:ascii="Times New Roman" w:hAnsi="Times New Roman"/>
              </w:rPr>
              <w:t>.</w:t>
            </w:r>
          </w:p>
        </w:tc>
        <w:tc>
          <w:tcPr>
            <w:tcW w:w="1250" w:type="pct"/>
          </w:tcPr>
          <w:p w14:paraId="585E94F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Febrilinė neutropenija</w:t>
            </w:r>
            <w:r w:rsidR="00736FF0" w:rsidRPr="00D9492F">
              <w:rPr>
                <w:rFonts w:ascii="Times New Roman" w:hAnsi="Times New Roman"/>
              </w:rPr>
              <w:t>.</w:t>
            </w:r>
          </w:p>
        </w:tc>
        <w:tc>
          <w:tcPr>
            <w:tcW w:w="1250" w:type="pct"/>
          </w:tcPr>
          <w:p w14:paraId="3F867937" w14:textId="77777777" w:rsidR="00DC1CDC" w:rsidRPr="00D9492F" w:rsidRDefault="00DC1CDC" w:rsidP="00DC1CDC">
            <w:pPr>
              <w:keepNext/>
              <w:keepLines/>
              <w:spacing w:after="0" w:line="240" w:lineRule="auto"/>
              <w:rPr>
                <w:rFonts w:ascii="Times New Roman" w:hAnsi="Times New Roman"/>
              </w:rPr>
            </w:pPr>
          </w:p>
        </w:tc>
      </w:tr>
      <w:tr w:rsidR="00DC1CDC" w:rsidRPr="00D9492F" w14:paraId="589AE538" w14:textId="77777777" w:rsidTr="0003751A">
        <w:trPr>
          <w:cantSplit/>
        </w:trPr>
        <w:tc>
          <w:tcPr>
            <w:tcW w:w="1250" w:type="pct"/>
          </w:tcPr>
          <w:p w14:paraId="7F91A3D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Imuninės sistemos sutrikimai</w:t>
            </w:r>
          </w:p>
        </w:tc>
        <w:tc>
          <w:tcPr>
            <w:tcW w:w="1250" w:type="pct"/>
          </w:tcPr>
          <w:p w14:paraId="11471B04"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6FE42D03" w14:textId="77777777" w:rsidR="00DC1CDC" w:rsidRPr="00D9492F" w:rsidRDefault="00DC1CDC" w:rsidP="00DC1CDC">
            <w:pPr>
              <w:keepNext/>
              <w:keepLines/>
              <w:tabs>
                <w:tab w:val="left" w:pos="567"/>
                <w:tab w:val="left" w:pos="7655"/>
              </w:tabs>
              <w:spacing w:after="0" w:line="240" w:lineRule="auto"/>
              <w:rPr>
                <w:rFonts w:ascii="Times New Roman" w:hAnsi="Times New Roman"/>
                <w:bCs/>
                <w:iCs/>
              </w:rPr>
            </w:pPr>
            <w:r w:rsidRPr="00D9492F">
              <w:rPr>
                <w:rFonts w:ascii="Times New Roman" w:hAnsi="Times New Roman"/>
                <w:bCs/>
              </w:rPr>
              <w:t xml:space="preserve">Padidėjęs jautrumas </w:t>
            </w:r>
            <w:r w:rsidRPr="00D9492F">
              <w:rPr>
                <w:rFonts w:ascii="Times New Roman" w:hAnsi="Times New Roman"/>
                <w:bCs/>
                <w:iCs/>
              </w:rPr>
              <w:t>(</w:t>
            </w:r>
            <w:r w:rsidRPr="00D9492F">
              <w:rPr>
                <w:rFonts w:ascii="Times New Roman" w:hAnsi="Times New Roman"/>
              </w:rPr>
              <w:t>nesunkus</w:t>
            </w:r>
            <w:r w:rsidRPr="00D9492F">
              <w:rPr>
                <w:rFonts w:ascii="Times New Roman" w:hAnsi="Times New Roman"/>
                <w:bCs/>
                <w:iCs/>
              </w:rPr>
              <w:t>)</w:t>
            </w:r>
            <w:r w:rsidR="00736FF0" w:rsidRPr="00D9492F">
              <w:rPr>
                <w:rFonts w:ascii="Times New Roman" w:hAnsi="Times New Roman"/>
                <w:bCs/>
                <w:iCs/>
              </w:rPr>
              <w:t>.</w:t>
            </w:r>
          </w:p>
          <w:p w14:paraId="1F9FADA6"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4BD57FF6"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74B54F51" w14:textId="77777777" w:rsidTr="0003751A">
        <w:trPr>
          <w:cantSplit/>
        </w:trPr>
        <w:tc>
          <w:tcPr>
            <w:tcW w:w="1250" w:type="pct"/>
          </w:tcPr>
          <w:p w14:paraId="495881E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Metabolizmo ir mitybos sutrikimai</w:t>
            </w:r>
          </w:p>
        </w:tc>
        <w:tc>
          <w:tcPr>
            <w:tcW w:w="1250" w:type="pct"/>
          </w:tcPr>
          <w:p w14:paraId="637CCF6A"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Anoreksija (</w:t>
            </w:r>
            <w:r w:rsidRPr="00D9492F">
              <w:rPr>
                <w:rFonts w:ascii="Times New Roman" w:hAnsi="Times New Roman"/>
              </w:rPr>
              <w:t>3</w:t>
            </w:r>
            <w:r w:rsidRPr="00D9492F">
              <w:rPr>
                <w:rFonts w:ascii="Times New Roman" w:hAnsi="Times New Roman"/>
              </w:rPr>
              <w:noBreakHyphen/>
              <w:t xml:space="preserve">4 laipsnio – </w:t>
            </w:r>
            <w:r w:rsidRPr="00D9492F">
              <w:rPr>
                <w:rFonts w:ascii="Times New Roman" w:hAnsi="Times New Roman"/>
                <w:bCs/>
                <w:iCs/>
              </w:rPr>
              <w:t>0,6 %)</w:t>
            </w:r>
            <w:r w:rsidR="00736FF0" w:rsidRPr="00D9492F">
              <w:rPr>
                <w:rFonts w:ascii="Times New Roman" w:hAnsi="Times New Roman"/>
                <w:bCs/>
                <w:iCs/>
              </w:rPr>
              <w:t>.</w:t>
            </w:r>
          </w:p>
        </w:tc>
        <w:tc>
          <w:tcPr>
            <w:tcW w:w="1250" w:type="pct"/>
          </w:tcPr>
          <w:p w14:paraId="462DF471"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6C077235"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228BD6D2" w14:textId="77777777" w:rsidTr="0003751A">
        <w:trPr>
          <w:cantSplit/>
          <w:trHeight w:val="815"/>
        </w:trPr>
        <w:tc>
          <w:tcPr>
            <w:tcW w:w="1250" w:type="pct"/>
          </w:tcPr>
          <w:p w14:paraId="6AB0BE3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Nervų sistemos sutrikimai</w:t>
            </w:r>
          </w:p>
        </w:tc>
        <w:tc>
          <w:tcPr>
            <w:tcW w:w="1250" w:type="pct"/>
          </w:tcPr>
          <w:p w14:paraId="197D9A6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Disgeuzija arba parosmija</w:t>
            </w:r>
            <w:r w:rsidR="00736FF0" w:rsidRPr="00D9492F">
              <w:rPr>
                <w:rFonts w:ascii="Times New Roman" w:hAnsi="Times New Roman"/>
              </w:rPr>
              <w:t>.</w:t>
            </w:r>
          </w:p>
          <w:p w14:paraId="0298F5CD" w14:textId="77777777" w:rsidR="00DC1CDC" w:rsidRPr="00D9492F" w:rsidRDefault="00DC1CDC" w:rsidP="00DC1CDC">
            <w:pPr>
              <w:keepNext/>
              <w:keepLines/>
              <w:spacing w:after="0" w:line="240" w:lineRule="auto"/>
              <w:rPr>
                <w:rFonts w:ascii="Times New Roman" w:hAnsi="Times New Roman"/>
                <w:bCs/>
                <w:iCs/>
                <w:color w:val="000000"/>
              </w:rPr>
            </w:pPr>
            <w:r w:rsidRPr="00D9492F">
              <w:rPr>
                <w:rFonts w:ascii="Times New Roman" w:hAnsi="Times New Roman"/>
              </w:rPr>
              <w:t>Periferinė sensorinė neuropatija (3</w:t>
            </w:r>
            <w:r w:rsidRPr="00D9492F">
              <w:rPr>
                <w:rFonts w:ascii="Times New Roman" w:hAnsi="Times New Roman"/>
              </w:rPr>
              <w:noBreakHyphen/>
              <w:t>4 laipsnio – 0,6 %)</w:t>
            </w:r>
            <w:r w:rsidR="00736FF0" w:rsidRPr="00D9492F">
              <w:rPr>
                <w:rFonts w:ascii="Times New Roman" w:hAnsi="Times New Roman"/>
              </w:rPr>
              <w:t>.</w:t>
            </w:r>
          </w:p>
        </w:tc>
        <w:tc>
          <w:tcPr>
            <w:tcW w:w="1250" w:type="pct"/>
          </w:tcPr>
          <w:p w14:paraId="411A7C89" w14:textId="77777777" w:rsidR="00DC1CDC" w:rsidRPr="00D9492F" w:rsidRDefault="00DC1CDC" w:rsidP="00DC1CDC">
            <w:pPr>
              <w:keepNext/>
              <w:keepLines/>
              <w:tabs>
                <w:tab w:val="left" w:pos="7655"/>
              </w:tab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Galvos svaigimas</w:t>
            </w:r>
            <w:r w:rsidR="00736FF0" w:rsidRPr="00D9492F">
              <w:rPr>
                <w:rFonts w:ascii="Times New Roman" w:eastAsia="Times New Roman" w:hAnsi="Times New Roman"/>
              </w:rPr>
              <w:t>.</w:t>
            </w:r>
          </w:p>
          <w:p w14:paraId="30285D0E" w14:textId="77777777" w:rsidR="00DC1CDC" w:rsidRPr="00D9492F" w:rsidRDefault="00DC1CDC" w:rsidP="00DC1CDC">
            <w:pPr>
              <w:keepNext/>
              <w:keepLines/>
              <w:tabs>
                <w:tab w:val="left" w:pos="7655"/>
              </w:tabs>
              <w:overflowPunct w:val="0"/>
              <w:autoSpaceDE w:val="0"/>
              <w:autoSpaceDN w:val="0"/>
              <w:adjustRightInd w:val="0"/>
              <w:spacing w:after="0" w:line="240" w:lineRule="auto"/>
              <w:textAlignment w:val="baseline"/>
              <w:rPr>
                <w:rFonts w:ascii="Times New Roman" w:eastAsia="Times New Roman" w:hAnsi="Times New Roman"/>
                <w:bCs/>
                <w:iCs/>
              </w:rPr>
            </w:pPr>
          </w:p>
        </w:tc>
        <w:tc>
          <w:tcPr>
            <w:tcW w:w="1250" w:type="pct"/>
          </w:tcPr>
          <w:p w14:paraId="17869EEE" w14:textId="77777777" w:rsidR="00DC1CDC" w:rsidRPr="00D9492F" w:rsidRDefault="00DC1CDC" w:rsidP="00DC1CDC">
            <w:pPr>
              <w:keepNext/>
              <w:keepLines/>
              <w:tabs>
                <w:tab w:val="left" w:pos="7655"/>
              </w:tabs>
              <w:overflowPunct w:val="0"/>
              <w:autoSpaceDE w:val="0"/>
              <w:autoSpaceDN w:val="0"/>
              <w:adjustRightInd w:val="0"/>
              <w:spacing w:after="0" w:line="240" w:lineRule="auto"/>
              <w:textAlignment w:val="baseline"/>
              <w:rPr>
                <w:rFonts w:ascii="Times New Roman" w:eastAsia="Times New Roman" w:hAnsi="Times New Roman"/>
              </w:rPr>
            </w:pPr>
          </w:p>
        </w:tc>
      </w:tr>
      <w:tr w:rsidR="00DC1CDC" w:rsidRPr="00D9492F" w14:paraId="4EC9519B" w14:textId="77777777" w:rsidTr="0003751A">
        <w:trPr>
          <w:cantSplit/>
        </w:trPr>
        <w:tc>
          <w:tcPr>
            <w:tcW w:w="1250" w:type="pct"/>
          </w:tcPr>
          <w:p w14:paraId="69BCFF4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Aki</w:t>
            </w:r>
            <w:r w:rsidR="00736FF0" w:rsidRPr="00D9492F">
              <w:rPr>
                <w:rFonts w:ascii="Times New Roman" w:hAnsi="Times New Roman"/>
              </w:rPr>
              <w:t>ų</w:t>
            </w:r>
            <w:r w:rsidRPr="00D9492F">
              <w:rPr>
                <w:rFonts w:ascii="Times New Roman" w:hAnsi="Times New Roman"/>
              </w:rPr>
              <w:t xml:space="preserve"> sutrikimai</w:t>
            </w:r>
          </w:p>
        </w:tc>
        <w:tc>
          <w:tcPr>
            <w:tcW w:w="1250" w:type="pct"/>
          </w:tcPr>
          <w:p w14:paraId="1299D0C3"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p>
        </w:tc>
        <w:tc>
          <w:tcPr>
            <w:tcW w:w="1250" w:type="pct"/>
          </w:tcPr>
          <w:p w14:paraId="31EA8263"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Ašarojimo sustiprėjimas</w:t>
            </w:r>
            <w:r w:rsidR="00736FF0" w:rsidRPr="00D9492F">
              <w:rPr>
                <w:rFonts w:ascii="Times New Roman" w:hAnsi="Times New Roman"/>
                <w:bCs/>
                <w:iCs/>
              </w:rPr>
              <w:t>.</w:t>
            </w:r>
            <w:r w:rsidRPr="00D9492F">
              <w:rPr>
                <w:rFonts w:ascii="Times New Roman" w:hAnsi="Times New Roman"/>
                <w:bCs/>
                <w:iCs/>
              </w:rPr>
              <w:t xml:space="preserve"> </w:t>
            </w:r>
          </w:p>
          <w:p w14:paraId="0C98D6A0"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Konjunktyvitas</w:t>
            </w:r>
            <w:r w:rsidR="00736FF0" w:rsidRPr="00D9492F">
              <w:rPr>
                <w:rFonts w:ascii="Times New Roman" w:hAnsi="Times New Roman"/>
                <w:bCs/>
                <w:iCs/>
              </w:rPr>
              <w:t>.</w:t>
            </w:r>
            <w:r w:rsidRPr="00D9492F">
              <w:rPr>
                <w:rFonts w:ascii="Times New Roman" w:hAnsi="Times New Roman"/>
                <w:bCs/>
                <w:iCs/>
              </w:rPr>
              <w:t xml:space="preserve"> </w:t>
            </w:r>
          </w:p>
        </w:tc>
        <w:tc>
          <w:tcPr>
            <w:tcW w:w="1250" w:type="pct"/>
          </w:tcPr>
          <w:p w14:paraId="5E6E769D"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67F500FD" w14:textId="77777777" w:rsidTr="0003751A">
        <w:trPr>
          <w:cantSplit/>
          <w:trHeight w:val="515"/>
        </w:trPr>
        <w:tc>
          <w:tcPr>
            <w:tcW w:w="1250" w:type="pct"/>
          </w:tcPr>
          <w:p w14:paraId="1C4C88B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bCs/>
                <w:iCs/>
              </w:rPr>
              <w:t>Aus</w:t>
            </w:r>
            <w:r w:rsidR="00736FF0" w:rsidRPr="00D9492F">
              <w:rPr>
                <w:rFonts w:ascii="Times New Roman" w:hAnsi="Times New Roman"/>
                <w:bCs/>
                <w:iCs/>
              </w:rPr>
              <w:t>ų</w:t>
            </w:r>
            <w:r w:rsidRPr="00D9492F">
              <w:rPr>
                <w:rFonts w:ascii="Times New Roman" w:hAnsi="Times New Roman"/>
                <w:bCs/>
                <w:iCs/>
              </w:rPr>
              <w:t xml:space="preserve"> ir labirint</w:t>
            </w:r>
            <w:r w:rsidR="00736FF0" w:rsidRPr="00D9492F">
              <w:rPr>
                <w:rFonts w:ascii="Times New Roman" w:hAnsi="Times New Roman"/>
                <w:bCs/>
                <w:iCs/>
              </w:rPr>
              <w:t>ų</w:t>
            </w:r>
            <w:r w:rsidRPr="00D9492F">
              <w:rPr>
                <w:rFonts w:ascii="Times New Roman" w:hAnsi="Times New Roman"/>
                <w:bCs/>
                <w:iCs/>
              </w:rPr>
              <w:t xml:space="preserve"> sutrikimai</w:t>
            </w:r>
          </w:p>
        </w:tc>
        <w:tc>
          <w:tcPr>
            <w:tcW w:w="1250" w:type="pct"/>
          </w:tcPr>
          <w:p w14:paraId="3F25B36A"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p>
        </w:tc>
        <w:tc>
          <w:tcPr>
            <w:tcW w:w="1250" w:type="pct"/>
          </w:tcPr>
          <w:p w14:paraId="2460C8AB"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Klausos susilpnėjimas</w:t>
            </w:r>
            <w:r w:rsidR="00736FF0" w:rsidRPr="00D9492F">
              <w:rPr>
                <w:rFonts w:ascii="Times New Roman" w:hAnsi="Times New Roman"/>
                <w:bCs/>
                <w:iCs/>
              </w:rPr>
              <w:t>.</w:t>
            </w:r>
          </w:p>
        </w:tc>
        <w:tc>
          <w:tcPr>
            <w:tcW w:w="1250" w:type="pct"/>
          </w:tcPr>
          <w:p w14:paraId="2FFF15D3" w14:textId="77777777" w:rsidR="00DC1CDC" w:rsidRPr="00D9492F" w:rsidRDefault="00DC1CDC" w:rsidP="00DC1CDC">
            <w:pPr>
              <w:keepNext/>
              <w:keepLines/>
              <w:suppressAutoHyphens/>
              <w:spacing w:after="0" w:line="240" w:lineRule="auto"/>
              <w:rPr>
                <w:rFonts w:ascii="Times New Roman" w:eastAsia="Times New Roman" w:hAnsi="Times New Roman"/>
                <w:bCs/>
                <w:iCs/>
              </w:rPr>
            </w:pPr>
          </w:p>
        </w:tc>
      </w:tr>
      <w:tr w:rsidR="00DC1CDC" w:rsidRPr="00D9492F" w14:paraId="7101A03F" w14:textId="77777777" w:rsidTr="0003751A">
        <w:trPr>
          <w:cantSplit/>
        </w:trPr>
        <w:tc>
          <w:tcPr>
            <w:tcW w:w="1250" w:type="pct"/>
          </w:tcPr>
          <w:p w14:paraId="3D33D2B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Širdies sutrikimai</w:t>
            </w:r>
          </w:p>
        </w:tc>
        <w:tc>
          <w:tcPr>
            <w:tcW w:w="1250" w:type="pct"/>
          </w:tcPr>
          <w:p w14:paraId="0828548F" w14:textId="77777777" w:rsidR="00DC1CDC" w:rsidRPr="00D9492F" w:rsidRDefault="00DC1CDC" w:rsidP="00DC1CDC">
            <w:pPr>
              <w:keepNext/>
              <w:keepLines/>
              <w:tabs>
                <w:tab w:val="left" w:pos="7655"/>
              </w:tabs>
              <w:suppressAutoHyphens/>
              <w:overflowPunct w:val="0"/>
              <w:autoSpaceDE w:val="0"/>
              <w:autoSpaceDN w:val="0"/>
              <w:adjustRightInd w:val="0"/>
              <w:spacing w:after="0" w:line="240" w:lineRule="auto"/>
              <w:textAlignment w:val="baseline"/>
              <w:rPr>
                <w:rFonts w:ascii="Times New Roman" w:eastAsia="Times New Roman" w:hAnsi="Times New Roman"/>
              </w:rPr>
            </w:pPr>
          </w:p>
        </w:tc>
        <w:tc>
          <w:tcPr>
            <w:tcW w:w="1250" w:type="pct"/>
          </w:tcPr>
          <w:p w14:paraId="0E40B8C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Miokardo išemija (3</w:t>
            </w:r>
            <w:r w:rsidRPr="00D9492F">
              <w:rPr>
                <w:rFonts w:ascii="Times New Roman" w:hAnsi="Times New Roman"/>
              </w:rPr>
              <w:noBreakHyphen/>
              <w:t>4 laipsnio – 1,7 %)</w:t>
            </w:r>
            <w:r w:rsidR="00736FF0" w:rsidRPr="00D9492F">
              <w:rPr>
                <w:rFonts w:ascii="Times New Roman" w:hAnsi="Times New Roman"/>
              </w:rPr>
              <w:t>.</w:t>
            </w:r>
          </w:p>
        </w:tc>
        <w:tc>
          <w:tcPr>
            <w:tcW w:w="1250" w:type="pct"/>
          </w:tcPr>
          <w:p w14:paraId="63FCB6E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Aritmija (3</w:t>
            </w:r>
            <w:r w:rsidRPr="00D9492F">
              <w:rPr>
                <w:rFonts w:ascii="Times New Roman" w:hAnsi="Times New Roman"/>
              </w:rPr>
              <w:noBreakHyphen/>
              <w:t>4 laipsnio – 0,6 %)</w:t>
            </w:r>
            <w:r w:rsidR="00736FF0" w:rsidRPr="00D9492F">
              <w:rPr>
                <w:rFonts w:ascii="Times New Roman" w:hAnsi="Times New Roman"/>
              </w:rPr>
              <w:t>.</w:t>
            </w:r>
          </w:p>
        </w:tc>
      </w:tr>
      <w:tr w:rsidR="00DC1CDC" w:rsidRPr="00D9492F" w14:paraId="502F48EA" w14:textId="77777777" w:rsidTr="0003751A">
        <w:trPr>
          <w:cantSplit/>
        </w:trPr>
        <w:tc>
          <w:tcPr>
            <w:tcW w:w="1250" w:type="pct"/>
          </w:tcPr>
          <w:p w14:paraId="666D730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Kraujagyslių sutrikimai</w:t>
            </w:r>
          </w:p>
        </w:tc>
        <w:tc>
          <w:tcPr>
            <w:tcW w:w="1250" w:type="pct"/>
          </w:tcPr>
          <w:p w14:paraId="0FE3450A"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1CDC5485"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rPr>
              <w:t xml:space="preserve">Venų sutrikimai </w:t>
            </w:r>
            <w:r w:rsidRPr="00D9492F">
              <w:rPr>
                <w:rFonts w:ascii="Times New Roman" w:hAnsi="Times New Roman"/>
                <w:bCs/>
                <w:iCs/>
              </w:rPr>
              <w:t>(</w:t>
            </w:r>
            <w:r w:rsidRPr="00D9492F">
              <w:rPr>
                <w:rFonts w:ascii="Times New Roman" w:hAnsi="Times New Roman"/>
              </w:rPr>
              <w:t>3</w:t>
            </w:r>
            <w:r w:rsidRPr="00D9492F">
              <w:rPr>
                <w:rFonts w:ascii="Times New Roman" w:hAnsi="Times New Roman"/>
              </w:rPr>
              <w:noBreakHyphen/>
              <w:t xml:space="preserve">4 laipsnio – </w:t>
            </w:r>
            <w:r w:rsidRPr="00D9492F">
              <w:rPr>
                <w:rFonts w:ascii="Times New Roman" w:hAnsi="Times New Roman"/>
                <w:bCs/>
                <w:iCs/>
              </w:rPr>
              <w:t>0,6 %)</w:t>
            </w:r>
            <w:r w:rsidR="00736FF0" w:rsidRPr="00D9492F">
              <w:rPr>
                <w:rFonts w:ascii="Times New Roman" w:hAnsi="Times New Roman"/>
                <w:bCs/>
                <w:iCs/>
              </w:rPr>
              <w:t>.</w:t>
            </w:r>
          </w:p>
        </w:tc>
        <w:tc>
          <w:tcPr>
            <w:tcW w:w="1250" w:type="pct"/>
          </w:tcPr>
          <w:p w14:paraId="4BA33B85"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74C28975" w14:textId="77777777" w:rsidTr="0003751A">
        <w:trPr>
          <w:cantSplit/>
        </w:trPr>
        <w:tc>
          <w:tcPr>
            <w:tcW w:w="1250" w:type="pct"/>
          </w:tcPr>
          <w:p w14:paraId="410D0C8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Virškinimo trakto sutrikimai</w:t>
            </w:r>
          </w:p>
        </w:tc>
        <w:tc>
          <w:tcPr>
            <w:tcW w:w="1250" w:type="pct"/>
          </w:tcPr>
          <w:p w14:paraId="2CA76B5E"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Pykinimas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0,6 %)</w:t>
            </w:r>
            <w:r w:rsidR="00736FF0" w:rsidRPr="00D9492F">
              <w:rPr>
                <w:rFonts w:ascii="Times New Roman" w:eastAsia="Times New Roman" w:hAnsi="Times New Roman"/>
                <w:bCs/>
                <w:iCs/>
              </w:rPr>
              <w:t>.</w:t>
            </w:r>
          </w:p>
          <w:p w14:paraId="2DCECF70"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Stomatitas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4,0 %)</w:t>
            </w:r>
            <w:r w:rsidR="00736FF0" w:rsidRPr="00D9492F">
              <w:rPr>
                <w:rFonts w:ascii="Times New Roman" w:eastAsia="Times New Roman" w:hAnsi="Times New Roman"/>
                <w:bCs/>
                <w:iCs/>
              </w:rPr>
              <w:t>.</w:t>
            </w:r>
          </w:p>
          <w:p w14:paraId="71F8D0CE"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Viduriavimas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2,9 %)</w:t>
            </w:r>
            <w:r w:rsidR="00736FF0" w:rsidRPr="00D9492F">
              <w:rPr>
                <w:rFonts w:ascii="Times New Roman" w:eastAsia="Times New Roman" w:hAnsi="Times New Roman"/>
                <w:bCs/>
                <w:iCs/>
              </w:rPr>
              <w:t>.</w:t>
            </w:r>
          </w:p>
          <w:p w14:paraId="716F55DC"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Vėmimas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0,6 %)</w:t>
            </w:r>
            <w:r w:rsidR="00736FF0" w:rsidRPr="00D9492F">
              <w:rPr>
                <w:rFonts w:ascii="Times New Roman" w:eastAsia="Times New Roman" w:hAnsi="Times New Roman"/>
                <w:bCs/>
                <w:iCs/>
              </w:rPr>
              <w:t>.</w:t>
            </w:r>
          </w:p>
          <w:p w14:paraId="573DCFD5" w14:textId="77777777" w:rsidR="00DC1CDC" w:rsidRPr="00D9492F" w:rsidRDefault="00DC1CDC" w:rsidP="00DC1CDC">
            <w:pPr>
              <w:keepNext/>
              <w:keepLines/>
              <w:spacing w:after="0" w:line="240" w:lineRule="auto"/>
              <w:rPr>
                <w:rFonts w:ascii="Times New Roman" w:hAnsi="Times New Roman"/>
              </w:rPr>
            </w:pPr>
          </w:p>
        </w:tc>
        <w:tc>
          <w:tcPr>
            <w:tcW w:w="1250" w:type="pct"/>
          </w:tcPr>
          <w:p w14:paraId="795B0268"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Vidurių užkietėjimas</w:t>
            </w:r>
            <w:r w:rsidR="00736FF0" w:rsidRPr="00D9492F">
              <w:rPr>
                <w:rFonts w:ascii="Times New Roman" w:eastAsia="Times New Roman" w:hAnsi="Times New Roman"/>
                <w:bCs/>
                <w:iCs/>
              </w:rPr>
              <w:t>.</w:t>
            </w:r>
          </w:p>
          <w:p w14:paraId="33783C6E"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Ezofagitas arba disfagija</w:t>
            </w:r>
            <w:r w:rsidR="00736FF0" w:rsidRPr="00D9492F">
              <w:rPr>
                <w:rFonts w:ascii="Times New Roman" w:eastAsia="Times New Roman" w:hAnsi="Times New Roman"/>
                <w:bCs/>
                <w:iCs/>
              </w:rPr>
              <w:t>,</w:t>
            </w:r>
            <w:r w:rsidRPr="00D9492F">
              <w:rPr>
                <w:rFonts w:ascii="Times New Roman" w:eastAsia="Times New Roman" w:hAnsi="Times New Roman"/>
                <w:bCs/>
                <w:iCs/>
              </w:rPr>
              <w:t xml:space="preserve"> arba odinofagija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0,6 %)</w:t>
            </w:r>
            <w:r w:rsidR="00736FF0" w:rsidRPr="00D9492F">
              <w:rPr>
                <w:rFonts w:ascii="Times New Roman" w:eastAsia="Times New Roman" w:hAnsi="Times New Roman"/>
                <w:bCs/>
                <w:iCs/>
              </w:rPr>
              <w:t>.</w:t>
            </w:r>
          </w:p>
          <w:p w14:paraId="26B30A20"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Pilvo skausmas</w:t>
            </w:r>
            <w:r w:rsidR="00736FF0" w:rsidRPr="00D9492F">
              <w:rPr>
                <w:rFonts w:ascii="Times New Roman" w:eastAsia="Times New Roman" w:hAnsi="Times New Roman"/>
                <w:bCs/>
                <w:iCs/>
              </w:rPr>
              <w:t>.</w:t>
            </w:r>
          </w:p>
          <w:p w14:paraId="3D983003"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Dispepsija</w:t>
            </w:r>
            <w:r w:rsidR="00736FF0" w:rsidRPr="00D9492F">
              <w:rPr>
                <w:rFonts w:ascii="Times New Roman" w:eastAsia="Times New Roman" w:hAnsi="Times New Roman"/>
                <w:bCs/>
                <w:iCs/>
              </w:rPr>
              <w:t>.</w:t>
            </w:r>
          </w:p>
          <w:p w14:paraId="1276BA62"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rPr>
            </w:pPr>
            <w:r w:rsidRPr="00D9492F">
              <w:rPr>
                <w:rFonts w:ascii="Times New Roman" w:eastAsia="Times New Roman" w:hAnsi="Times New Roman"/>
              </w:rPr>
              <w:t xml:space="preserve">Kraujavimas iš virškinimo takto </w:t>
            </w:r>
            <w:r w:rsidRPr="00D9492F">
              <w:rPr>
                <w:rFonts w:ascii="Times New Roman" w:eastAsia="Times New Roman" w:hAnsi="Times New Roman"/>
                <w:bCs/>
                <w:iCs/>
              </w:rPr>
              <w:t>(</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0,6 %)</w:t>
            </w:r>
            <w:r w:rsidR="00736FF0" w:rsidRPr="00D9492F">
              <w:rPr>
                <w:rFonts w:ascii="Times New Roman" w:eastAsia="Times New Roman" w:hAnsi="Times New Roman"/>
                <w:bCs/>
                <w:iCs/>
              </w:rPr>
              <w:t>.</w:t>
            </w:r>
          </w:p>
        </w:tc>
        <w:tc>
          <w:tcPr>
            <w:tcW w:w="1250" w:type="pct"/>
          </w:tcPr>
          <w:p w14:paraId="6FD90C87" w14:textId="77777777" w:rsidR="00DC1CDC" w:rsidRPr="00D9492F" w:rsidRDefault="00DC1CDC" w:rsidP="00DC1CDC">
            <w:pPr>
              <w:keepNext/>
              <w:keepLines/>
              <w:widowControl w:val="0"/>
              <w:tabs>
                <w:tab w:val="left" w:pos="567"/>
                <w:tab w:val="center" w:pos="4320"/>
                <w:tab w:val="right" w:pos="8640"/>
              </w:tabs>
              <w:suppressAutoHyphens/>
              <w:spacing w:after="0" w:line="240" w:lineRule="auto"/>
              <w:rPr>
                <w:rFonts w:ascii="Times New Roman" w:eastAsia="Times New Roman" w:hAnsi="Times New Roman"/>
                <w:bCs/>
                <w:iCs/>
              </w:rPr>
            </w:pPr>
          </w:p>
        </w:tc>
      </w:tr>
      <w:tr w:rsidR="00DC1CDC" w:rsidRPr="00D9492F" w14:paraId="1290FC10" w14:textId="77777777" w:rsidTr="0003751A">
        <w:trPr>
          <w:cantSplit/>
        </w:trPr>
        <w:tc>
          <w:tcPr>
            <w:tcW w:w="1250" w:type="pct"/>
          </w:tcPr>
          <w:p w14:paraId="6620356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Odos ir poodinio audinio sutrikimai</w:t>
            </w:r>
          </w:p>
        </w:tc>
        <w:tc>
          <w:tcPr>
            <w:tcW w:w="1250" w:type="pct"/>
          </w:tcPr>
          <w:p w14:paraId="7CAE9466" w14:textId="77777777" w:rsidR="00DC1CDC" w:rsidRPr="00D9492F" w:rsidRDefault="00DC1CDC" w:rsidP="00DC1CDC">
            <w:pPr>
              <w:keepNext/>
              <w:keepLines/>
              <w:widowControl w:val="0"/>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Alopecija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10,9 %)</w:t>
            </w:r>
            <w:r w:rsidR="00736FF0" w:rsidRPr="00D9492F">
              <w:rPr>
                <w:rFonts w:ascii="Times New Roman" w:eastAsia="Times New Roman" w:hAnsi="Times New Roman"/>
                <w:bCs/>
                <w:iCs/>
              </w:rPr>
              <w:t>.</w:t>
            </w:r>
          </w:p>
          <w:p w14:paraId="50800C48" w14:textId="77777777" w:rsidR="00DC1CDC" w:rsidRPr="00D9492F" w:rsidRDefault="00DC1CDC" w:rsidP="00DC1CDC">
            <w:pPr>
              <w:keepNext/>
              <w:keepLines/>
              <w:spacing w:after="0" w:line="240" w:lineRule="auto"/>
              <w:rPr>
                <w:rFonts w:ascii="Times New Roman" w:hAnsi="Times New Roman"/>
              </w:rPr>
            </w:pPr>
          </w:p>
        </w:tc>
        <w:tc>
          <w:tcPr>
            <w:tcW w:w="1250" w:type="pct"/>
          </w:tcPr>
          <w:p w14:paraId="5B64107A"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Odos išbėrimas</w:t>
            </w:r>
            <w:r w:rsidR="00736FF0" w:rsidRPr="00D9492F">
              <w:rPr>
                <w:rFonts w:ascii="Times New Roman" w:hAnsi="Times New Roman"/>
                <w:bCs/>
                <w:iCs/>
              </w:rPr>
              <w:t>.</w:t>
            </w:r>
          </w:p>
          <w:p w14:paraId="28D90EDC"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Odos sausumas</w:t>
            </w:r>
            <w:r w:rsidR="00736FF0" w:rsidRPr="00D9492F">
              <w:rPr>
                <w:rFonts w:ascii="Times New Roman" w:hAnsi="Times New Roman"/>
                <w:bCs/>
                <w:iCs/>
              </w:rPr>
              <w:t>.</w:t>
            </w:r>
          </w:p>
          <w:p w14:paraId="2A1BCF09" w14:textId="77777777" w:rsidR="00DC1CDC" w:rsidRPr="00D9492F" w:rsidRDefault="00DC1CDC" w:rsidP="00DC1CDC">
            <w:pPr>
              <w:keepNext/>
              <w:keepLines/>
              <w:tabs>
                <w:tab w:val="left" w:pos="7655"/>
              </w:tab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bCs/>
                <w:iCs/>
              </w:rPr>
              <w:t>Odos eksfoliacija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0,6 %)</w:t>
            </w:r>
            <w:r w:rsidR="00736FF0" w:rsidRPr="00D9492F">
              <w:rPr>
                <w:rFonts w:ascii="Times New Roman" w:eastAsia="Times New Roman" w:hAnsi="Times New Roman"/>
                <w:bCs/>
                <w:iCs/>
              </w:rPr>
              <w:t>.</w:t>
            </w:r>
          </w:p>
        </w:tc>
        <w:tc>
          <w:tcPr>
            <w:tcW w:w="1250" w:type="pct"/>
          </w:tcPr>
          <w:p w14:paraId="07E26031"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450A74C7" w14:textId="77777777" w:rsidTr="0003751A">
        <w:trPr>
          <w:cantSplit/>
        </w:trPr>
        <w:tc>
          <w:tcPr>
            <w:tcW w:w="1250" w:type="pct"/>
          </w:tcPr>
          <w:p w14:paraId="5F22B77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Skeleto, raumenų ir jungiamojo audinio sutrikimai</w:t>
            </w:r>
          </w:p>
        </w:tc>
        <w:tc>
          <w:tcPr>
            <w:tcW w:w="1250" w:type="pct"/>
          </w:tcPr>
          <w:p w14:paraId="51E65A21" w14:textId="77777777" w:rsidR="00DC1CDC" w:rsidRPr="00D9492F" w:rsidRDefault="00DC1CDC" w:rsidP="00DC1CDC">
            <w:pPr>
              <w:keepNext/>
              <w:keepLines/>
              <w:tabs>
                <w:tab w:val="center" w:pos="4320"/>
                <w:tab w:val="right" w:pos="8640"/>
              </w:tabs>
              <w:spacing w:after="0" w:line="240" w:lineRule="auto"/>
              <w:rPr>
                <w:rFonts w:ascii="Times New Roman" w:eastAsia="Times New Roman" w:hAnsi="Times New Roman"/>
                <w:bCs/>
                <w:iCs/>
              </w:rPr>
            </w:pPr>
          </w:p>
        </w:tc>
        <w:tc>
          <w:tcPr>
            <w:tcW w:w="1250" w:type="pct"/>
          </w:tcPr>
          <w:p w14:paraId="0D1C7969"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rPr>
              <w:t>Mialgija (3</w:t>
            </w:r>
            <w:r w:rsidRPr="00D9492F">
              <w:rPr>
                <w:rFonts w:ascii="Times New Roman" w:hAnsi="Times New Roman"/>
              </w:rPr>
              <w:noBreakHyphen/>
              <w:t>4 laipsnio – 0,6 %)</w:t>
            </w:r>
            <w:r w:rsidR="00736FF0" w:rsidRPr="00D9492F">
              <w:rPr>
                <w:rFonts w:ascii="Times New Roman" w:hAnsi="Times New Roman"/>
              </w:rPr>
              <w:t>.</w:t>
            </w:r>
          </w:p>
        </w:tc>
        <w:tc>
          <w:tcPr>
            <w:tcW w:w="1250" w:type="pct"/>
          </w:tcPr>
          <w:p w14:paraId="186A6752" w14:textId="77777777" w:rsidR="00DC1CDC" w:rsidRPr="00D9492F" w:rsidRDefault="00DC1CDC" w:rsidP="00DC1CDC">
            <w:pPr>
              <w:keepNext/>
              <w:keepLines/>
              <w:suppressAutoHyphens/>
              <w:spacing w:after="0" w:line="240" w:lineRule="auto"/>
              <w:rPr>
                <w:rFonts w:ascii="Times New Roman" w:hAnsi="Times New Roman"/>
              </w:rPr>
            </w:pPr>
          </w:p>
        </w:tc>
      </w:tr>
      <w:tr w:rsidR="00DC1CDC" w:rsidRPr="00D9492F" w14:paraId="01CD9F6E" w14:textId="77777777" w:rsidTr="0003751A">
        <w:trPr>
          <w:cantSplit/>
        </w:trPr>
        <w:tc>
          <w:tcPr>
            <w:tcW w:w="1250" w:type="pct"/>
          </w:tcPr>
          <w:p w14:paraId="3D2ED4C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lastRenderedPageBreak/>
              <w:t>Bendri</w:t>
            </w:r>
            <w:r w:rsidR="00736FF0" w:rsidRPr="00D9492F">
              <w:rPr>
                <w:rFonts w:ascii="Times New Roman" w:hAnsi="Times New Roman"/>
              </w:rPr>
              <w:t>eji</w:t>
            </w:r>
            <w:r w:rsidRPr="00D9492F">
              <w:rPr>
                <w:rFonts w:ascii="Times New Roman" w:hAnsi="Times New Roman"/>
              </w:rPr>
              <w:t xml:space="preserve"> sutrikimai ir vartojimo vietos pažeidimai</w:t>
            </w:r>
          </w:p>
        </w:tc>
        <w:tc>
          <w:tcPr>
            <w:tcW w:w="1250" w:type="pct"/>
          </w:tcPr>
          <w:p w14:paraId="48A5B201" w14:textId="77777777" w:rsidR="00DC1CDC" w:rsidRPr="00D9492F" w:rsidRDefault="00DC1CDC" w:rsidP="00DC1CDC">
            <w:pPr>
              <w:keepNext/>
              <w:keepLines/>
              <w:suppressAutoHyphens/>
              <w:spacing w:after="0" w:line="240" w:lineRule="auto"/>
              <w:rPr>
                <w:rFonts w:ascii="Times New Roman" w:hAnsi="Times New Roman"/>
              </w:rPr>
            </w:pPr>
            <w:r w:rsidRPr="00D9492F">
              <w:rPr>
                <w:rFonts w:ascii="Times New Roman" w:hAnsi="Times New Roman"/>
                <w:bCs/>
                <w:iCs/>
              </w:rPr>
              <w:t xml:space="preserve">Letargija </w:t>
            </w:r>
            <w:r w:rsidRPr="00D9492F">
              <w:rPr>
                <w:rFonts w:ascii="Times New Roman" w:hAnsi="Times New Roman"/>
              </w:rPr>
              <w:t>(3</w:t>
            </w:r>
            <w:r w:rsidRPr="00D9492F">
              <w:rPr>
                <w:rFonts w:ascii="Times New Roman" w:hAnsi="Times New Roman"/>
              </w:rPr>
              <w:noBreakHyphen/>
              <w:t>4 laipsnio – 3,4 %)</w:t>
            </w:r>
            <w:r w:rsidR="00736FF0" w:rsidRPr="00D9492F">
              <w:rPr>
                <w:rFonts w:ascii="Times New Roman" w:hAnsi="Times New Roman"/>
              </w:rPr>
              <w:t>.</w:t>
            </w:r>
          </w:p>
          <w:p w14:paraId="17AAB6CB" w14:textId="77777777" w:rsidR="00DC1CDC" w:rsidRPr="00D9492F" w:rsidRDefault="00DC1CDC" w:rsidP="00DC1CDC">
            <w:pPr>
              <w:keepNext/>
              <w:keepLines/>
              <w:suppressAutoHyphens/>
              <w:spacing w:after="0" w:line="240" w:lineRule="auto"/>
              <w:rPr>
                <w:rFonts w:ascii="Times New Roman" w:hAnsi="Times New Roman"/>
              </w:rPr>
            </w:pPr>
            <w:r w:rsidRPr="00D9492F">
              <w:rPr>
                <w:rFonts w:ascii="Times New Roman" w:hAnsi="Times New Roman"/>
                <w:bCs/>
                <w:iCs/>
              </w:rPr>
              <w:t xml:space="preserve">Karščiavimas </w:t>
            </w:r>
            <w:r w:rsidRPr="00D9492F">
              <w:rPr>
                <w:rFonts w:ascii="Times New Roman" w:hAnsi="Times New Roman"/>
              </w:rPr>
              <w:t>(3</w:t>
            </w:r>
            <w:r w:rsidRPr="00D9492F">
              <w:rPr>
                <w:rFonts w:ascii="Times New Roman" w:hAnsi="Times New Roman"/>
              </w:rPr>
              <w:noBreakHyphen/>
              <w:t>4 laipsnio – 0,6 %)</w:t>
            </w:r>
            <w:r w:rsidR="00736FF0" w:rsidRPr="00D9492F">
              <w:rPr>
                <w:rFonts w:ascii="Times New Roman" w:hAnsi="Times New Roman"/>
              </w:rPr>
              <w:t>.</w:t>
            </w:r>
          </w:p>
          <w:p w14:paraId="0B3348D7" w14:textId="77777777" w:rsidR="00DC1CDC" w:rsidRPr="00D9492F" w:rsidRDefault="00DC1CDC" w:rsidP="00DC1CDC">
            <w:pPr>
              <w:keepNext/>
              <w:keepLines/>
              <w:tabs>
                <w:tab w:val="left" w:pos="7655"/>
              </w:tabs>
              <w:suppressAutoHyphens/>
              <w:spacing w:after="0" w:line="240" w:lineRule="auto"/>
              <w:rPr>
                <w:rFonts w:ascii="Times New Roman" w:eastAsia="Times New Roman" w:hAnsi="Times New Roman"/>
              </w:rPr>
            </w:pPr>
            <w:r w:rsidRPr="00D9492F">
              <w:rPr>
                <w:rFonts w:ascii="Times New Roman" w:eastAsia="Times New Roman" w:hAnsi="Times New Roman"/>
              </w:rPr>
              <w:t>Skysčių susilaikymas</w:t>
            </w:r>
            <w:r w:rsidR="00736FF0" w:rsidRPr="00D9492F">
              <w:rPr>
                <w:rFonts w:ascii="Times New Roman" w:eastAsia="Times New Roman" w:hAnsi="Times New Roman"/>
              </w:rPr>
              <w:t>.</w:t>
            </w:r>
          </w:p>
          <w:p w14:paraId="497E1155"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Edema</w:t>
            </w:r>
            <w:r w:rsidR="00736FF0" w:rsidRPr="00D9492F">
              <w:rPr>
                <w:rFonts w:ascii="Times New Roman" w:hAnsi="Times New Roman"/>
                <w:bCs/>
                <w:iCs/>
              </w:rPr>
              <w:t>.</w:t>
            </w:r>
          </w:p>
        </w:tc>
        <w:tc>
          <w:tcPr>
            <w:tcW w:w="1250" w:type="pct"/>
          </w:tcPr>
          <w:p w14:paraId="046BD0AF"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37318525"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4435DBA1" w14:textId="77777777" w:rsidTr="0003751A">
        <w:trPr>
          <w:cantSplit/>
        </w:trPr>
        <w:tc>
          <w:tcPr>
            <w:tcW w:w="1250" w:type="pct"/>
          </w:tcPr>
          <w:p w14:paraId="486A014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Tyrimai </w:t>
            </w:r>
          </w:p>
        </w:tc>
        <w:tc>
          <w:tcPr>
            <w:tcW w:w="1250" w:type="pct"/>
          </w:tcPr>
          <w:p w14:paraId="25BFAAC2" w14:textId="77777777" w:rsidR="00DC1CDC" w:rsidRPr="00D9492F" w:rsidRDefault="00DC1CDC" w:rsidP="00DC1CDC">
            <w:pPr>
              <w:keepNext/>
              <w:keepLines/>
              <w:tabs>
                <w:tab w:val="left" w:pos="7655"/>
              </w:tabs>
              <w:suppressAutoHyphens/>
              <w:overflowPunct w:val="0"/>
              <w:autoSpaceDE w:val="0"/>
              <w:autoSpaceDN w:val="0"/>
              <w:adjustRightInd w:val="0"/>
              <w:spacing w:after="0" w:line="240" w:lineRule="auto"/>
              <w:textAlignment w:val="baseline"/>
              <w:rPr>
                <w:rFonts w:ascii="Times New Roman" w:eastAsia="Times New Roman" w:hAnsi="Times New Roman"/>
              </w:rPr>
            </w:pPr>
          </w:p>
        </w:tc>
        <w:tc>
          <w:tcPr>
            <w:tcW w:w="1250" w:type="pct"/>
          </w:tcPr>
          <w:p w14:paraId="4506942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bCs/>
                <w:iCs/>
              </w:rPr>
              <w:t>Svorio padidėjimas</w:t>
            </w:r>
            <w:r w:rsidR="00736FF0" w:rsidRPr="00D9492F">
              <w:rPr>
                <w:rFonts w:ascii="Times New Roman" w:hAnsi="Times New Roman"/>
                <w:bCs/>
                <w:iCs/>
              </w:rPr>
              <w:t>.</w:t>
            </w:r>
          </w:p>
        </w:tc>
        <w:tc>
          <w:tcPr>
            <w:tcW w:w="1250" w:type="pct"/>
          </w:tcPr>
          <w:p w14:paraId="286EF83C" w14:textId="77777777" w:rsidR="00DC1CDC" w:rsidRPr="00D9492F" w:rsidRDefault="00DC1CDC" w:rsidP="00DC1CDC">
            <w:pPr>
              <w:keepNext/>
              <w:keepLines/>
              <w:spacing w:after="0" w:line="240" w:lineRule="auto"/>
              <w:rPr>
                <w:rFonts w:ascii="Times New Roman" w:hAnsi="Times New Roman"/>
              </w:rPr>
            </w:pPr>
          </w:p>
        </w:tc>
      </w:tr>
    </w:tbl>
    <w:p w14:paraId="6137946A" w14:textId="77777777" w:rsidR="00DC1CDC" w:rsidRPr="00D9492F" w:rsidRDefault="00DC1CDC" w:rsidP="00DC1CDC">
      <w:pPr>
        <w:keepNext/>
        <w:keepLines/>
        <w:tabs>
          <w:tab w:val="left" w:pos="7655"/>
        </w:tabs>
        <w:spacing w:after="0" w:line="240" w:lineRule="auto"/>
        <w:rPr>
          <w:rFonts w:ascii="Times New Roman" w:eastAsia="Times New Roman" w:hAnsi="Times New Roman"/>
        </w:rPr>
      </w:pPr>
    </w:p>
    <w:p w14:paraId="2C459A0C" w14:textId="77777777" w:rsidR="00DC1CDC" w:rsidRPr="00D9492F" w:rsidRDefault="00DC1CDC" w:rsidP="00DC1CDC">
      <w:pPr>
        <w:keepNext/>
        <w:keepLines/>
        <w:numPr>
          <w:ilvl w:val="0"/>
          <w:numId w:val="10"/>
        </w:numPr>
        <w:tabs>
          <w:tab w:val="clear" w:pos="354"/>
        </w:tabs>
        <w:spacing w:after="0" w:line="240" w:lineRule="auto"/>
        <w:ind w:left="567" w:hanging="567"/>
        <w:rPr>
          <w:rFonts w:ascii="Times New Roman" w:hAnsi="Times New Roman"/>
        </w:rPr>
      </w:pPr>
      <w:r w:rsidRPr="00D9492F">
        <w:rPr>
          <w:rFonts w:ascii="Times New Roman" w:hAnsi="Times New Roman"/>
        </w:rPr>
        <w:t>Įvadinė chemoterapija, kai vėliau taikoma chemoterapija bei gydoma spinduliais (TAX 324)</w:t>
      </w:r>
    </w:p>
    <w:p w14:paraId="05339BA6" w14:textId="77777777" w:rsidR="00DC1CDC" w:rsidRPr="00D9492F" w:rsidRDefault="00DC1CDC" w:rsidP="00DC1CDC">
      <w:pPr>
        <w:keepNext/>
        <w:keepLines/>
        <w:tabs>
          <w:tab w:val="left" w:pos="7655"/>
        </w:tabs>
        <w:spacing w:after="0" w:line="240" w:lineRule="auto"/>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5"/>
        <w:gridCol w:w="2127"/>
        <w:gridCol w:w="2403"/>
        <w:gridCol w:w="2265"/>
      </w:tblGrid>
      <w:tr w:rsidR="00DC1CDC" w:rsidRPr="00D9492F" w14:paraId="45E6F549" w14:textId="77777777" w:rsidTr="0003751A">
        <w:trPr>
          <w:cantSplit/>
          <w:tblHeader/>
        </w:trPr>
        <w:tc>
          <w:tcPr>
            <w:tcW w:w="1250" w:type="pct"/>
            <w:shd w:val="clear" w:color="auto" w:fill="auto"/>
          </w:tcPr>
          <w:p w14:paraId="27E6E841"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lastRenderedPageBreak/>
              <w:t>MedDRA organų sistemų klasės</w:t>
            </w:r>
          </w:p>
          <w:p w14:paraId="6068BAE3" w14:textId="77777777" w:rsidR="00DC1CDC" w:rsidRPr="00D9492F" w:rsidRDefault="00DC1CDC" w:rsidP="00DC1CDC">
            <w:pPr>
              <w:keepNext/>
              <w:keepLines/>
              <w:spacing w:after="0" w:line="240" w:lineRule="auto"/>
              <w:rPr>
                <w:rFonts w:ascii="Times New Roman" w:hAnsi="Times New Roman"/>
                <w:u w:val="single"/>
              </w:rPr>
            </w:pPr>
          </w:p>
        </w:tc>
        <w:tc>
          <w:tcPr>
            <w:tcW w:w="1174" w:type="pct"/>
            <w:shd w:val="clear" w:color="auto" w:fill="auto"/>
          </w:tcPr>
          <w:p w14:paraId="2CD675ED" w14:textId="25793118"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Labai dažnos nepageidaujamos reakcijos</w:t>
            </w:r>
          </w:p>
          <w:p w14:paraId="3A76C84F"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u w:val="single"/>
              </w:rPr>
            </w:pPr>
          </w:p>
        </w:tc>
        <w:tc>
          <w:tcPr>
            <w:tcW w:w="1326" w:type="pct"/>
            <w:shd w:val="clear" w:color="auto" w:fill="auto"/>
          </w:tcPr>
          <w:p w14:paraId="79EF55EA"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Dažnos nepageidaujamos reakcijos</w:t>
            </w:r>
          </w:p>
          <w:p w14:paraId="6DBFDC54" w14:textId="77777777" w:rsidR="00DC1CDC" w:rsidRPr="00D9492F" w:rsidRDefault="00DC1CDC" w:rsidP="00DC1CDC">
            <w:pPr>
              <w:keepNext/>
              <w:keepLines/>
              <w:spacing w:after="0" w:line="240" w:lineRule="auto"/>
              <w:rPr>
                <w:rFonts w:ascii="Times New Roman" w:hAnsi="Times New Roman"/>
                <w:u w:val="single"/>
              </w:rPr>
            </w:pPr>
          </w:p>
        </w:tc>
        <w:tc>
          <w:tcPr>
            <w:tcW w:w="1250" w:type="pct"/>
            <w:shd w:val="clear" w:color="auto" w:fill="auto"/>
          </w:tcPr>
          <w:p w14:paraId="74747920"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Nedažnos nepageidaujamos reakcijos</w:t>
            </w:r>
          </w:p>
          <w:p w14:paraId="3357AF25" w14:textId="77777777" w:rsidR="00DC1CDC" w:rsidRPr="00D9492F" w:rsidRDefault="00DC1CDC" w:rsidP="00DC1CDC">
            <w:pPr>
              <w:keepNext/>
              <w:keepLines/>
              <w:spacing w:after="0" w:line="240" w:lineRule="auto"/>
              <w:rPr>
                <w:rFonts w:ascii="Times New Roman" w:hAnsi="Times New Roman"/>
                <w:u w:val="single"/>
              </w:rPr>
            </w:pPr>
          </w:p>
        </w:tc>
      </w:tr>
      <w:tr w:rsidR="00DC1CDC" w:rsidRPr="00D9492F" w14:paraId="6B7A3B67" w14:textId="77777777" w:rsidTr="0003751A">
        <w:trPr>
          <w:cantSplit/>
        </w:trPr>
        <w:tc>
          <w:tcPr>
            <w:tcW w:w="1250" w:type="pct"/>
          </w:tcPr>
          <w:p w14:paraId="485CB90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Infekcijos ir infestacijos</w:t>
            </w:r>
          </w:p>
        </w:tc>
        <w:tc>
          <w:tcPr>
            <w:tcW w:w="1174" w:type="pct"/>
          </w:tcPr>
          <w:p w14:paraId="283219C8"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rPr>
              <w:t>Infekcija (3</w:t>
            </w:r>
            <w:r w:rsidRPr="00D9492F">
              <w:rPr>
                <w:rFonts w:ascii="Times New Roman" w:hAnsi="Times New Roman"/>
              </w:rPr>
              <w:noBreakHyphen/>
              <w:t>4 laipsnio – 3,6 %)</w:t>
            </w:r>
            <w:r w:rsidR="000A73F3" w:rsidRPr="00D9492F">
              <w:rPr>
                <w:rFonts w:ascii="Times New Roman" w:hAnsi="Times New Roman"/>
              </w:rPr>
              <w:t>.</w:t>
            </w:r>
          </w:p>
        </w:tc>
        <w:tc>
          <w:tcPr>
            <w:tcW w:w="1326" w:type="pct"/>
          </w:tcPr>
          <w:p w14:paraId="2513CCE6"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rPr>
              <w:t>Neutropeninė infekcija</w:t>
            </w:r>
            <w:r w:rsidR="000A73F3" w:rsidRPr="00D9492F">
              <w:rPr>
                <w:rFonts w:ascii="Times New Roman" w:hAnsi="Times New Roman"/>
              </w:rPr>
              <w:t>.</w:t>
            </w:r>
          </w:p>
        </w:tc>
        <w:tc>
          <w:tcPr>
            <w:tcW w:w="1250" w:type="pct"/>
          </w:tcPr>
          <w:p w14:paraId="03A852B9"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0C11E054" w14:textId="77777777" w:rsidTr="0003751A">
        <w:trPr>
          <w:cantSplit/>
        </w:trPr>
        <w:tc>
          <w:tcPr>
            <w:tcW w:w="1250" w:type="pct"/>
          </w:tcPr>
          <w:p w14:paraId="4B45C11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Gerybiniai</w:t>
            </w:r>
            <w:r w:rsidR="000A73F3" w:rsidRPr="00D9492F">
              <w:rPr>
                <w:rFonts w:ascii="Times New Roman" w:hAnsi="Times New Roman"/>
              </w:rPr>
              <w:t>,</w:t>
            </w:r>
            <w:r w:rsidRPr="00D9492F">
              <w:rPr>
                <w:rFonts w:ascii="Times New Roman" w:hAnsi="Times New Roman"/>
              </w:rPr>
              <w:t xml:space="preserve"> piktybiniai </w:t>
            </w:r>
            <w:r w:rsidR="000A73F3" w:rsidRPr="00D9492F">
              <w:rPr>
                <w:rFonts w:ascii="Times New Roman" w:hAnsi="Times New Roman"/>
              </w:rPr>
              <w:t xml:space="preserve">ir nepatikslinti </w:t>
            </w:r>
            <w:r w:rsidRPr="00D9492F">
              <w:rPr>
                <w:rFonts w:ascii="Times New Roman" w:hAnsi="Times New Roman"/>
              </w:rPr>
              <w:t>navikai (tarp jų cistos ir polipai)</w:t>
            </w:r>
          </w:p>
        </w:tc>
        <w:tc>
          <w:tcPr>
            <w:tcW w:w="1174" w:type="pct"/>
          </w:tcPr>
          <w:p w14:paraId="4E0DBE76" w14:textId="77777777" w:rsidR="00DC1CDC" w:rsidRPr="00D9492F" w:rsidRDefault="00DC1CDC" w:rsidP="00DC1CDC">
            <w:pPr>
              <w:keepNext/>
              <w:keepLines/>
              <w:suppressAutoHyphens/>
              <w:spacing w:after="0" w:line="240" w:lineRule="auto"/>
              <w:rPr>
                <w:rFonts w:ascii="Times New Roman" w:hAnsi="Times New Roman"/>
                <w:bCs/>
                <w:iCs/>
              </w:rPr>
            </w:pPr>
          </w:p>
        </w:tc>
        <w:tc>
          <w:tcPr>
            <w:tcW w:w="1326" w:type="pct"/>
          </w:tcPr>
          <w:p w14:paraId="0050A1AB"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rPr>
              <w:t xml:space="preserve">Vėžio sukeltas skausmas </w:t>
            </w:r>
            <w:r w:rsidRPr="00D9492F">
              <w:rPr>
                <w:rFonts w:ascii="Times New Roman" w:hAnsi="Times New Roman"/>
                <w:bCs/>
                <w:iCs/>
              </w:rPr>
              <w:t>(</w:t>
            </w:r>
            <w:r w:rsidRPr="00D9492F">
              <w:rPr>
                <w:rFonts w:ascii="Times New Roman" w:hAnsi="Times New Roman"/>
              </w:rPr>
              <w:t>3</w:t>
            </w:r>
            <w:r w:rsidRPr="00D9492F">
              <w:rPr>
                <w:rFonts w:ascii="Times New Roman" w:hAnsi="Times New Roman"/>
              </w:rPr>
              <w:noBreakHyphen/>
              <w:t xml:space="preserve">4 laipsnio – </w:t>
            </w:r>
            <w:r w:rsidRPr="00D9492F">
              <w:rPr>
                <w:rFonts w:ascii="Times New Roman" w:hAnsi="Times New Roman"/>
                <w:bCs/>
                <w:iCs/>
              </w:rPr>
              <w:t>1,2 %)</w:t>
            </w:r>
            <w:r w:rsidR="000A73F3" w:rsidRPr="00D9492F">
              <w:rPr>
                <w:rFonts w:ascii="Times New Roman" w:hAnsi="Times New Roman"/>
                <w:bCs/>
                <w:iCs/>
              </w:rPr>
              <w:t>.</w:t>
            </w:r>
          </w:p>
        </w:tc>
        <w:tc>
          <w:tcPr>
            <w:tcW w:w="1250" w:type="pct"/>
          </w:tcPr>
          <w:p w14:paraId="3056C6B5"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1D1C49DE" w14:textId="77777777" w:rsidTr="0003751A">
        <w:trPr>
          <w:cantSplit/>
        </w:trPr>
        <w:tc>
          <w:tcPr>
            <w:tcW w:w="1250" w:type="pct"/>
          </w:tcPr>
          <w:p w14:paraId="24D7BED3"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Kraujo ir limfinės sistemos sutrikimai</w:t>
            </w:r>
          </w:p>
        </w:tc>
        <w:tc>
          <w:tcPr>
            <w:tcW w:w="1174" w:type="pct"/>
          </w:tcPr>
          <w:p w14:paraId="03C062F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Neutropenija (3</w:t>
            </w:r>
            <w:r w:rsidRPr="00D9492F">
              <w:rPr>
                <w:rFonts w:ascii="Times New Roman" w:hAnsi="Times New Roman"/>
              </w:rPr>
              <w:noBreakHyphen/>
              <w:t>4 laipsnio – 83,5 %)</w:t>
            </w:r>
            <w:r w:rsidR="000A73F3" w:rsidRPr="00D9492F">
              <w:rPr>
                <w:rFonts w:ascii="Times New Roman" w:hAnsi="Times New Roman"/>
              </w:rPr>
              <w:t>.</w:t>
            </w:r>
          </w:p>
          <w:p w14:paraId="06A288E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Anemija (3</w:t>
            </w:r>
            <w:r w:rsidRPr="00D9492F">
              <w:rPr>
                <w:rFonts w:ascii="Times New Roman" w:hAnsi="Times New Roman"/>
              </w:rPr>
              <w:noBreakHyphen/>
              <w:t>4 laipsnio – 12,4 %)</w:t>
            </w:r>
            <w:r w:rsidR="000A73F3" w:rsidRPr="00D9492F">
              <w:rPr>
                <w:rFonts w:ascii="Times New Roman" w:hAnsi="Times New Roman"/>
              </w:rPr>
              <w:t>.</w:t>
            </w:r>
          </w:p>
          <w:p w14:paraId="246B15EF" w14:textId="77777777" w:rsidR="00DC1CDC" w:rsidRPr="00D9492F" w:rsidRDefault="00DC1CDC" w:rsidP="00DC1CDC">
            <w:pPr>
              <w:keepNext/>
              <w:keepLines/>
              <w:tabs>
                <w:tab w:val="left" w:pos="7655"/>
              </w:tabs>
              <w:suppressAutoHyphen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Trombocitopenija (3</w:t>
            </w:r>
            <w:r w:rsidRPr="00D9492F">
              <w:rPr>
                <w:rFonts w:ascii="Times New Roman" w:eastAsia="Times New Roman" w:hAnsi="Times New Roman"/>
              </w:rPr>
              <w:noBreakHyphen/>
              <w:t>4 laipsnio – 4,0 %)</w:t>
            </w:r>
            <w:r w:rsidR="000A73F3" w:rsidRPr="00D9492F">
              <w:rPr>
                <w:rFonts w:ascii="Times New Roman" w:eastAsia="Times New Roman" w:hAnsi="Times New Roman"/>
              </w:rPr>
              <w:t>.</w:t>
            </w:r>
          </w:p>
          <w:p w14:paraId="3B3529A5" w14:textId="77777777" w:rsidR="00DC1CDC" w:rsidRPr="00D9492F" w:rsidRDefault="00DC1CDC" w:rsidP="00DC1CDC">
            <w:pPr>
              <w:keepNext/>
              <w:keepLines/>
              <w:tabs>
                <w:tab w:val="left" w:pos="7655"/>
              </w:tabs>
              <w:suppressAutoHyphen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Febrilinė neutropenija</w:t>
            </w:r>
            <w:r w:rsidR="000A73F3" w:rsidRPr="00D9492F">
              <w:rPr>
                <w:rFonts w:ascii="Times New Roman" w:eastAsia="Times New Roman" w:hAnsi="Times New Roman"/>
              </w:rPr>
              <w:t>.</w:t>
            </w:r>
          </w:p>
        </w:tc>
        <w:tc>
          <w:tcPr>
            <w:tcW w:w="1326" w:type="pct"/>
          </w:tcPr>
          <w:p w14:paraId="018B8526" w14:textId="77777777" w:rsidR="00DC1CDC" w:rsidRPr="00D9492F" w:rsidRDefault="00DC1CDC" w:rsidP="00DC1CDC">
            <w:pPr>
              <w:keepNext/>
              <w:keepLines/>
              <w:spacing w:after="0" w:line="240" w:lineRule="auto"/>
              <w:rPr>
                <w:rFonts w:ascii="Times New Roman" w:hAnsi="Times New Roman"/>
              </w:rPr>
            </w:pPr>
          </w:p>
        </w:tc>
        <w:tc>
          <w:tcPr>
            <w:tcW w:w="1250" w:type="pct"/>
          </w:tcPr>
          <w:p w14:paraId="607FACFD" w14:textId="77777777" w:rsidR="00DC1CDC" w:rsidRPr="00D9492F" w:rsidRDefault="00DC1CDC" w:rsidP="00DC1CDC">
            <w:pPr>
              <w:keepNext/>
              <w:keepLines/>
              <w:spacing w:after="0" w:line="240" w:lineRule="auto"/>
              <w:rPr>
                <w:rFonts w:ascii="Times New Roman" w:hAnsi="Times New Roman"/>
              </w:rPr>
            </w:pPr>
          </w:p>
        </w:tc>
      </w:tr>
      <w:tr w:rsidR="00DC1CDC" w:rsidRPr="00D9492F" w14:paraId="43309388" w14:textId="77777777" w:rsidTr="0003751A">
        <w:trPr>
          <w:cantSplit/>
        </w:trPr>
        <w:tc>
          <w:tcPr>
            <w:tcW w:w="1250" w:type="pct"/>
          </w:tcPr>
          <w:p w14:paraId="614A946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Imuninės sistemos sutrikimai</w:t>
            </w:r>
          </w:p>
        </w:tc>
        <w:tc>
          <w:tcPr>
            <w:tcW w:w="1174" w:type="pct"/>
          </w:tcPr>
          <w:p w14:paraId="052CFE15" w14:textId="77777777" w:rsidR="00DC1CDC" w:rsidRPr="00D9492F" w:rsidRDefault="00DC1CDC" w:rsidP="00DC1CDC">
            <w:pPr>
              <w:keepNext/>
              <w:keepLines/>
              <w:suppressAutoHyphens/>
              <w:spacing w:after="0" w:line="240" w:lineRule="auto"/>
              <w:rPr>
                <w:rFonts w:ascii="Times New Roman" w:hAnsi="Times New Roman"/>
                <w:bCs/>
                <w:iCs/>
              </w:rPr>
            </w:pPr>
          </w:p>
        </w:tc>
        <w:tc>
          <w:tcPr>
            <w:tcW w:w="1326" w:type="pct"/>
          </w:tcPr>
          <w:p w14:paraId="2A1C0EFF" w14:textId="77777777" w:rsidR="00DC1CDC" w:rsidRPr="00D9492F" w:rsidRDefault="00DC1CDC" w:rsidP="00DC1CDC">
            <w:pPr>
              <w:keepNext/>
              <w:keepLines/>
              <w:tabs>
                <w:tab w:val="left" w:pos="567"/>
                <w:tab w:val="left" w:pos="7655"/>
              </w:tabs>
              <w:spacing w:after="0" w:line="240" w:lineRule="auto"/>
              <w:rPr>
                <w:rFonts w:ascii="Times New Roman" w:hAnsi="Times New Roman"/>
                <w:bCs/>
                <w:iCs/>
              </w:rPr>
            </w:pPr>
          </w:p>
        </w:tc>
        <w:tc>
          <w:tcPr>
            <w:tcW w:w="1250" w:type="pct"/>
          </w:tcPr>
          <w:p w14:paraId="11781C4A" w14:textId="77777777" w:rsidR="00DC1CDC" w:rsidRPr="00D9492F" w:rsidRDefault="00DC1CDC" w:rsidP="00DC1CDC">
            <w:pPr>
              <w:keepNext/>
              <w:keepLines/>
              <w:tabs>
                <w:tab w:val="left" w:pos="567"/>
                <w:tab w:val="left" w:pos="7655"/>
              </w:tabs>
              <w:spacing w:after="0" w:line="240" w:lineRule="auto"/>
              <w:rPr>
                <w:rFonts w:ascii="Times New Roman" w:hAnsi="Times New Roman"/>
                <w:bCs/>
                <w:iCs/>
              </w:rPr>
            </w:pPr>
            <w:r w:rsidRPr="00D9492F">
              <w:rPr>
                <w:rFonts w:ascii="Times New Roman" w:hAnsi="Times New Roman"/>
                <w:bCs/>
              </w:rPr>
              <w:t>Padidėjęs jautrumas</w:t>
            </w:r>
            <w:r w:rsidR="000A73F3" w:rsidRPr="00D9492F">
              <w:rPr>
                <w:rFonts w:ascii="Times New Roman" w:hAnsi="Times New Roman"/>
                <w:bCs/>
              </w:rPr>
              <w:t>.</w:t>
            </w:r>
            <w:r w:rsidRPr="00D9492F">
              <w:rPr>
                <w:rFonts w:ascii="Times New Roman" w:hAnsi="Times New Roman"/>
                <w:bCs/>
              </w:rPr>
              <w:t xml:space="preserve"> </w:t>
            </w:r>
          </w:p>
          <w:p w14:paraId="47E1F995"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43571DF2" w14:textId="77777777" w:rsidTr="0003751A">
        <w:trPr>
          <w:cantSplit/>
        </w:trPr>
        <w:tc>
          <w:tcPr>
            <w:tcW w:w="1250" w:type="pct"/>
          </w:tcPr>
          <w:p w14:paraId="3998B06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Metabolizmo ir mitybos sutrikimai</w:t>
            </w:r>
          </w:p>
        </w:tc>
        <w:tc>
          <w:tcPr>
            <w:tcW w:w="1174" w:type="pct"/>
          </w:tcPr>
          <w:p w14:paraId="31B4641E"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Anoreksija (</w:t>
            </w:r>
            <w:r w:rsidRPr="00D9492F">
              <w:rPr>
                <w:rFonts w:ascii="Times New Roman" w:hAnsi="Times New Roman"/>
              </w:rPr>
              <w:t>3</w:t>
            </w:r>
            <w:r w:rsidRPr="00D9492F">
              <w:rPr>
                <w:rFonts w:ascii="Times New Roman" w:hAnsi="Times New Roman"/>
              </w:rPr>
              <w:noBreakHyphen/>
              <w:t xml:space="preserve">4 laipsnio – </w:t>
            </w:r>
            <w:r w:rsidRPr="00D9492F">
              <w:rPr>
                <w:rFonts w:ascii="Times New Roman" w:hAnsi="Times New Roman"/>
                <w:bCs/>
                <w:iCs/>
              </w:rPr>
              <w:t>12,0 %)</w:t>
            </w:r>
            <w:r w:rsidR="000A73F3" w:rsidRPr="00D9492F">
              <w:rPr>
                <w:rFonts w:ascii="Times New Roman" w:hAnsi="Times New Roman"/>
                <w:bCs/>
                <w:iCs/>
              </w:rPr>
              <w:t>.</w:t>
            </w:r>
          </w:p>
        </w:tc>
        <w:tc>
          <w:tcPr>
            <w:tcW w:w="1326" w:type="pct"/>
          </w:tcPr>
          <w:p w14:paraId="7071A0AC"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522DD527"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5A1F2046" w14:textId="77777777" w:rsidTr="0003751A">
        <w:trPr>
          <w:cantSplit/>
          <w:trHeight w:val="815"/>
        </w:trPr>
        <w:tc>
          <w:tcPr>
            <w:tcW w:w="1250" w:type="pct"/>
          </w:tcPr>
          <w:p w14:paraId="0024B28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Nervų sistemos sutrikimai</w:t>
            </w:r>
          </w:p>
        </w:tc>
        <w:tc>
          <w:tcPr>
            <w:tcW w:w="1174" w:type="pct"/>
          </w:tcPr>
          <w:p w14:paraId="1AE1577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Disgeuzija arba parosmija (3</w:t>
            </w:r>
            <w:r w:rsidRPr="00D9492F">
              <w:rPr>
                <w:rFonts w:ascii="Times New Roman" w:hAnsi="Times New Roman"/>
              </w:rPr>
              <w:noBreakHyphen/>
              <w:t>4 laipsnio – 0,4 %)</w:t>
            </w:r>
            <w:r w:rsidR="000A73F3" w:rsidRPr="00D9492F">
              <w:rPr>
                <w:rFonts w:ascii="Times New Roman" w:hAnsi="Times New Roman"/>
              </w:rPr>
              <w:t>.</w:t>
            </w:r>
          </w:p>
          <w:p w14:paraId="51E5E83E" w14:textId="77777777" w:rsidR="00DC1CDC" w:rsidRPr="00D9492F" w:rsidRDefault="00DC1CDC" w:rsidP="00DC1CDC">
            <w:pPr>
              <w:keepNext/>
              <w:keepLines/>
              <w:tabs>
                <w:tab w:val="left" w:pos="7655"/>
              </w:tabs>
              <w:overflowPunct w:val="0"/>
              <w:autoSpaceDE w:val="0"/>
              <w:autoSpaceDN w:val="0"/>
              <w:adjustRightInd w:val="0"/>
              <w:spacing w:after="0" w:line="240" w:lineRule="auto"/>
              <w:textAlignment w:val="baseline"/>
              <w:rPr>
                <w:rFonts w:ascii="Times New Roman" w:eastAsia="Times New Roman" w:hAnsi="Times New Roman"/>
                <w:bCs/>
                <w:iCs/>
                <w:color w:val="000000"/>
              </w:rPr>
            </w:pPr>
            <w:r w:rsidRPr="00D9492F">
              <w:rPr>
                <w:rFonts w:ascii="Times New Roman" w:eastAsia="Times New Roman" w:hAnsi="Times New Roman"/>
              </w:rPr>
              <w:t>Periferinė sensorinė neuropatija (3</w:t>
            </w:r>
            <w:r w:rsidRPr="00D9492F">
              <w:rPr>
                <w:rFonts w:ascii="Times New Roman" w:eastAsia="Times New Roman" w:hAnsi="Times New Roman"/>
              </w:rPr>
              <w:noBreakHyphen/>
              <w:t>4 laipsnio – 1,2 %)</w:t>
            </w:r>
            <w:r w:rsidR="000A73F3" w:rsidRPr="00D9492F">
              <w:rPr>
                <w:rFonts w:ascii="Times New Roman" w:eastAsia="Times New Roman" w:hAnsi="Times New Roman"/>
              </w:rPr>
              <w:t>.</w:t>
            </w:r>
          </w:p>
        </w:tc>
        <w:tc>
          <w:tcPr>
            <w:tcW w:w="1326" w:type="pct"/>
          </w:tcPr>
          <w:p w14:paraId="7C0B8396" w14:textId="77777777" w:rsidR="00DC1CDC" w:rsidRPr="00D9492F" w:rsidRDefault="00DC1CDC" w:rsidP="00DC1CDC">
            <w:pPr>
              <w:keepNext/>
              <w:keepLines/>
              <w:tabs>
                <w:tab w:val="left" w:pos="7655"/>
              </w:tab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Galvos svaigimas (3</w:t>
            </w:r>
            <w:r w:rsidRPr="00D9492F">
              <w:rPr>
                <w:rFonts w:ascii="Times New Roman" w:eastAsia="Times New Roman" w:hAnsi="Times New Roman"/>
              </w:rPr>
              <w:noBreakHyphen/>
              <w:t>4 laipsnio – 2,0 %)</w:t>
            </w:r>
            <w:r w:rsidR="000A73F3" w:rsidRPr="00D9492F">
              <w:rPr>
                <w:rFonts w:ascii="Times New Roman" w:eastAsia="Times New Roman" w:hAnsi="Times New Roman"/>
              </w:rPr>
              <w:t>.</w:t>
            </w:r>
          </w:p>
          <w:p w14:paraId="60C4155D" w14:textId="77777777" w:rsidR="00DC1CDC" w:rsidRPr="00D9492F" w:rsidRDefault="00DC1CDC" w:rsidP="00DC1CDC">
            <w:pPr>
              <w:keepNext/>
              <w:keepLines/>
              <w:tabs>
                <w:tab w:val="left" w:pos="7655"/>
              </w:tabs>
              <w:overflowPunct w:val="0"/>
              <w:autoSpaceDE w:val="0"/>
              <w:autoSpaceDN w:val="0"/>
              <w:adjustRightInd w:val="0"/>
              <w:spacing w:after="0" w:line="240" w:lineRule="auto"/>
              <w:textAlignment w:val="baseline"/>
              <w:rPr>
                <w:rFonts w:ascii="Times New Roman" w:eastAsia="Times New Roman" w:hAnsi="Times New Roman"/>
                <w:bCs/>
                <w:iCs/>
              </w:rPr>
            </w:pPr>
            <w:r w:rsidRPr="00D9492F">
              <w:rPr>
                <w:rFonts w:ascii="Times New Roman" w:eastAsia="Times New Roman" w:hAnsi="Times New Roman"/>
              </w:rPr>
              <w:t>Periferinė motorinė neuropatija (3</w:t>
            </w:r>
            <w:r w:rsidRPr="00D9492F">
              <w:rPr>
                <w:rFonts w:ascii="Times New Roman" w:eastAsia="Times New Roman" w:hAnsi="Times New Roman"/>
              </w:rPr>
              <w:noBreakHyphen/>
              <w:t>4 laipsnio – 0,4 %)</w:t>
            </w:r>
            <w:r w:rsidR="000A73F3" w:rsidRPr="00D9492F">
              <w:rPr>
                <w:rFonts w:ascii="Times New Roman" w:eastAsia="Times New Roman" w:hAnsi="Times New Roman"/>
              </w:rPr>
              <w:t>.</w:t>
            </w:r>
          </w:p>
        </w:tc>
        <w:tc>
          <w:tcPr>
            <w:tcW w:w="1250" w:type="pct"/>
          </w:tcPr>
          <w:p w14:paraId="5D7484FF" w14:textId="77777777" w:rsidR="00DC1CDC" w:rsidRPr="00D9492F" w:rsidRDefault="00DC1CDC" w:rsidP="00DC1CDC">
            <w:pPr>
              <w:keepNext/>
              <w:keepLines/>
              <w:tabs>
                <w:tab w:val="left" w:pos="7655"/>
              </w:tabs>
              <w:overflowPunct w:val="0"/>
              <w:autoSpaceDE w:val="0"/>
              <w:autoSpaceDN w:val="0"/>
              <w:adjustRightInd w:val="0"/>
              <w:spacing w:after="0" w:line="240" w:lineRule="auto"/>
              <w:textAlignment w:val="baseline"/>
              <w:rPr>
                <w:rFonts w:ascii="Times New Roman" w:eastAsia="Times New Roman" w:hAnsi="Times New Roman"/>
              </w:rPr>
            </w:pPr>
          </w:p>
        </w:tc>
      </w:tr>
      <w:tr w:rsidR="00DC1CDC" w:rsidRPr="00D9492F" w14:paraId="16F21177" w14:textId="77777777" w:rsidTr="0003751A">
        <w:trPr>
          <w:cantSplit/>
        </w:trPr>
        <w:tc>
          <w:tcPr>
            <w:tcW w:w="1250" w:type="pct"/>
          </w:tcPr>
          <w:p w14:paraId="7725FE0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Aki</w:t>
            </w:r>
            <w:r w:rsidR="000A73F3" w:rsidRPr="00D9492F">
              <w:rPr>
                <w:rFonts w:ascii="Times New Roman" w:hAnsi="Times New Roman"/>
              </w:rPr>
              <w:t>ų</w:t>
            </w:r>
            <w:r w:rsidRPr="00D9492F">
              <w:rPr>
                <w:rFonts w:ascii="Times New Roman" w:hAnsi="Times New Roman"/>
              </w:rPr>
              <w:t xml:space="preserve"> sutrikimai</w:t>
            </w:r>
          </w:p>
        </w:tc>
        <w:tc>
          <w:tcPr>
            <w:tcW w:w="1174" w:type="pct"/>
          </w:tcPr>
          <w:p w14:paraId="078E981A" w14:textId="77777777" w:rsidR="00DC1CDC" w:rsidRPr="00D9492F" w:rsidRDefault="00DC1CDC" w:rsidP="00DC1CDC">
            <w:pPr>
              <w:keepNext/>
              <w:keepLines/>
              <w:tabs>
                <w:tab w:val="center" w:pos="4320"/>
                <w:tab w:val="right" w:pos="8640"/>
              </w:tabs>
              <w:spacing w:after="0" w:line="240" w:lineRule="auto"/>
              <w:rPr>
                <w:rFonts w:ascii="Times New Roman" w:eastAsia="Times New Roman" w:hAnsi="Times New Roman"/>
                <w:bCs/>
                <w:iCs/>
              </w:rPr>
            </w:pPr>
          </w:p>
        </w:tc>
        <w:tc>
          <w:tcPr>
            <w:tcW w:w="1326" w:type="pct"/>
          </w:tcPr>
          <w:p w14:paraId="046DDD37"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Ašarojimo sustiprėjimas</w:t>
            </w:r>
            <w:r w:rsidR="000A73F3" w:rsidRPr="00D9492F">
              <w:rPr>
                <w:rFonts w:ascii="Times New Roman" w:hAnsi="Times New Roman"/>
                <w:bCs/>
                <w:iCs/>
              </w:rPr>
              <w:t>.</w:t>
            </w:r>
          </w:p>
          <w:p w14:paraId="05CC2A33"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047BA83E"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Konjunktyvitas</w:t>
            </w:r>
            <w:r w:rsidR="000A73F3" w:rsidRPr="00D9492F">
              <w:rPr>
                <w:rFonts w:ascii="Times New Roman" w:hAnsi="Times New Roman"/>
                <w:bCs/>
                <w:iCs/>
              </w:rPr>
              <w:t>.</w:t>
            </w:r>
          </w:p>
        </w:tc>
      </w:tr>
      <w:tr w:rsidR="00DC1CDC" w:rsidRPr="00D9492F" w14:paraId="30F17FB1" w14:textId="77777777" w:rsidTr="0003751A">
        <w:trPr>
          <w:cantSplit/>
          <w:trHeight w:val="815"/>
        </w:trPr>
        <w:tc>
          <w:tcPr>
            <w:tcW w:w="1250" w:type="pct"/>
          </w:tcPr>
          <w:p w14:paraId="5F94CBE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bCs/>
                <w:iCs/>
              </w:rPr>
              <w:t>Aus</w:t>
            </w:r>
            <w:r w:rsidR="000A73F3" w:rsidRPr="00D9492F">
              <w:rPr>
                <w:rFonts w:ascii="Times New Roman" w:hAnsi="Times New Roman"/>
                <w:bCs/>
                <w:iCs/>
              </w:rPr>
              <w:t>ų</w:t>
            </w:r>
            <w:r w:rsidRPr="00D9492F">
              <w:rPr>
                <w:rFonts w:ascii="Times New Roman" w:hAnsi="Times New Roman"/>
                <w:bCs/>
                <w:iCs/>
              </w:rPr>
              <w:t xml:space="preserve"> ir labirint</w:t>
            </w:r>
            <w:r w:rsidR="000A73F3" w:rsidRPr="00D9492F">
              <w:rPr>
                <w:rFonts w:ascii="Times New Roman" w:hAnsi="Times New Roman"/>
                <w:bCs/>
                <w:iCs/>
              </w:rPr>
              <w:t>ų</w:t>
            </w:r>
            <w:r w:rsidRPr="00D9492F">
              <w:rPr>
                <w:rFonts w:ascii="Times New Roman" w:hAnsi="Times New Roman"/>
                <w:bCs/>
                <w:iCs/>
              </w:rPr>
              <w:t xml:space="preserve"> sutrikimai</w:t>
            </w:r>
          </w:p>
        </w:tc>
        <w:tc>
          <w:tcPr>
            <w:tcW w:w="1174" w:type="pct"/>
          </w:tcPr>
          <w:p w14:paraId="6A5E8C25" w14:textId="77777777" w:rsidR="00DC1CDC" w:rsidRPr="00D9492F" w:rsidRDefault="00DC1CDC" w:rsidP="00DC1CDC">
            <w:pPr>
              <w:keepNext/>
              <w:keepLines/>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Klausos susilpnėjimas</w:t>
            </w:r>
            <w:r w:rsidRPr="00D9492F">
              <w:rPr>
                <w:rFonts w:ascii="Times New Roman" w:eastAsia="Times New Roman" w:hAnsi="Times New Roman"/>
              </w:rPr>
              <w:t xml:space="preserve"> (3</w:t>
            </w:r>
            <w:r w:rsidRPr="00D9492F">
              <w:rPr>
                <w:rFonts w:ascii="Times New Roman" w:eastAsia="Times New Roman" w:hAnsi="Times New Roman"/>
              </w:rPr>
              <w:noBreakHyphen/>
              <w:t>4 laipsnio – 1,2 %)</w:t>
            </w:r>
            <w:r w:rsidR="000A73F3" w:rsidRPr="00D9492F">
              <w:rPr>
                <w:rFonts w:ascii="Times New Roman" w:eastAsia="Times New Roman" w:hAnsi="Times New Roman"/>
              </w:rPr>
              <w:t>.</w:t>
            </w:r>
          </w:p>
        </w:tc>
        <w:tc>
          <w:tcPr>
            <w:tcW w:w="1326" w:type="pct"/>
          </w:tcPr>
          <w:p w14:paraId="483348A0"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7275EC27" w14:textId="77777777" w:rsidR="00DC1CDC" w:rsidRPr="00D9492F" w:rsidRDefault="00DC1CDC" w:rsidP="00DC1CDC">
            <w:pPr>
              <w:keepNext/>
              <w:keepLines/>
              <w:suppressAutoHyphens/>
              <w:spacing w:after="0" w:line="240" w:lineRule="auto"/>
              <w:rPr>
                <w:rFonts w:ascii="Times New Roman" w:eastAsia="Times New Roman" w:hAnsi="Times New Roman"/>
                <w:bCs/>
                <w:iCs/>
              </w:rPr>
            </w:pPr>
          </w:p>
        </w:tc>
      </w:tr>
      <w:tr w:rsidR="00DC1CDC" w:rsidRPr="00D9492F" w14:paraId="05EACA26" w14:textId="77777777" w:rsidTr="0003751A">
        <w:trPr>
          <w:cantSplit/>
        </w:trPr>
        <w:tc>
          <w:tcPr>
            <w:tcW w:w="1250" w:type="pct"/>
          </w:tcPr>
          <w:p w14:paraId="3BBC75F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Širdies sutrikimai</w:t>
            </w:r>
          </w:p>
        </w:tc>
        <w:tc>
          <w:tcPr>
            <w:tcW w:w="1174" w:type="pct"/>
          </w:tcPr>
          <w:p w14:paraId="4805E483" w14:textId="77777777" w:rsidR="00DC1CDC" w:rsidRPr="00D9492F" w:rsidRDefault="00DC1CDC" w:rsidP="00DC1CDC">
            <w:pPr>
              <w:keepNext/>
              <w:keepLines/>
              <w:tabs>
                <w:tab w:val="left" w:pos="7655"/>
              </w:tabs>
              <w:suppressAutoHyphens/>
              <w:overflowPunct w:val="0"/>
              <w:autoSpaceDE w:val="0"/>
              <w:autoSpaceDN w:val="0"/>
              <w:adjustRightInd w:val="0"/>
              <w:spacing w:after="0" w:line="240" w:lineRule="auto"/>
              <w:textAlignment w:val="baseline"/>
              <w:rPr>
                <w:rFonts w:ascii="Times New Roman" w:eastAsia="Times New Roman" w:hAnsi="Times New Roman"/>
              </w:rPr>
            </w:pPr>
          </w:p>
        </w:tc>
        <w:tc>
          <w:tcPr>
            <w:tcW w:w="1326" w:type="pct"/>
          </w:tcPr>
          <w:p w14:paraId="251C4B6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Aritmija (3</w:t>
            </w:r>
            <w:r w:rsidRPr="00D9492F">
              <w:rPr>
                <w:rFonts w:ascii="Times New Roman" w:hAnsi="Times New Roman"/>
              </w:rPr>
              <w:noBreakHyphen/>
              <w:t>4 laipsnio – 2,0 %)</w:t>
            </w:r>
            <w:r w:rsidR="000A73F3" w:rsidRPr="00D9492F">
              <w:rPr>
                <w:rFonts w:ascii="Times New Roman" w:hAnsi="Times New Roman"/>
              </w:rPr>
              <w:t>.</w:t>
            </w:r>
          </w:p>
        </w:tc>
        <w:tc>
          <w:tcPr>
            <w:tcW w:w="1250" w:type="pct"/>
          </w:tcPr>
          <w:p w14:paraId="4984C79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Miokardo išemija</w:t>
            </w:r>
            <w:r w:rsidR="000A73F3" w:rsidRPr="00D9492F">
              <w:rPr>
                <w:rFonts w:ascii="Times New Roman" w:hAnsi="Times New Roman"/>
              </w:rPr>
              <w:t>.</w:t>
            </w:r>
            <w:r w:rsidRPr="00D9492F">
              <w:rPr>
                <w:rFonts w:ascii="Times New Roman" w:hAnsi="Times New Roman"/>
              </w:rPr>
              <w:t xml:space="preserve"> </w:t>
            </w:r>
          </w:p>
        </w:tc>
      </w:tr>
      <w:tr w:rsidR="00DC1CDC" w:rsidRPr="00D9492F" w14:paraId="21772995" w14:textId="77777777" w:rsidTr="0003751A">
        <w:trPr>
          <w:cantSplit/>
        </w:trPr>
        <w:tc>
          <w:tcPr>
            <w:tcW w:w="1250" w:type="pct"/>
          </w:tcPr>
          <w:p w14:paraId="1B59CDC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Kraujagyslių sutrikimai</w:t>
            </w:r>
          </w:p>
        </w:tc>
        <w:tc>
          <w:tcPr>
            <w:tcW w:w="1174" w:type="pct"/>
          </w:tcPr>
          <w:p w14:paraId="5F38FB93" w14:textId="77777777" w:rsidR="00DC1CDC" w:rsidRPr="00D9492F" w:rsidRDefault="00DC1CDC" w:rsidP="00DC1CDC">
            <w:pPr>
              <w:keepNext/>
              <w:keepLines/>
              <w:suppressAutoHyphens/>
              <w:spacing w:after="0" w:line="240" w:lineRule="auto"/>
              <w:rPr>
                <w:rFonts w:ascii="Times New Roman" w:hAnsi="Times New Roman"/>
                <w:bCs/>
                <w:iCs/>
              </w:rPr>
            </w:pPr>
          </w:p>
        </w:tc>
        <w:tc>
          <w:tcPr>
            <w:tcW w:w="1326" w:type="pct"/>
          </w:tcPr>
          <w:p w14:paraId="281828E5"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41E5A1A6"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rPr>
              <w:t>Venų sutrikimai</w:t>
            </w:r>
            <w:r w:rsidR="000A73F3" w:rsidRPr="00D9492F">
              <w:rPr>
                <w:rFonts w:ascii="Times New Roman" w:hAnsi="Times New Roman"/>
              </w:rPr>
              <w:t>.</w:t>
            </w:r>
            <w:r w:rsidRPr="00D9492F">
              <w:rPr>
                <w:rFonts w:ascii="Times New Roman" w:hAnsi="Times New Roman"/>
              </w:rPr>
              <w:t xml:space="preserve"> </w:t>
            </w:r>
          </w:p>
        </w:tc>
      </w:tr>
      <w:tr w:rsidR="00DC1CDC" w:rsidRPr="00D9492F" w14:paraId="0C44EAA1" w14:textId="77777777" w:rsidTr="0003751A">
        <w:trPr>
          <w:cantSplit/>
        </w:trPr>
        <w:tc>
          <w:tcPr>
            <w:tcW w:w="1250" w:type="pct"/>
          </w:tcPr>
          <w:p w14:paraId="73830F8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Virškinimo trakto sutrikimai</w:t>
            </w:r>
          </w:p>
        </w:tc>
        <w:tc>
          <w:tcPr>
            <w:tcW w:w="1174" w:type="pct"/>
          </w:tcPr>
          <w:p w14:paraId="05F74BB8" w14:textId="77777777" w:rsidR="00DC1CDC" w:rsidRPr="00D9492F" w:rsidRDefault="00DC1CDC" w:rsidP="00DC1CDC">
            <w:pPr>
              <w:keepNext/>
              <w:keepLines/>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Pykinimas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13,9 %)</w:t>
            </w:r>
            <w:r w:rsidR="000A73F3" w:rsidRPr="00D9492F">
              <w:rPr>
                <w:rFonts w:ascii="Times New Roman" w:eastAsia="Times New Roman" w:hAnsi="Times New Roman"/>
                <w:bCs/>
                <w:iCs/>
              </w:rPr>
              <w:t>.</w:t>
            </w:r>
          </w:p>
          <w:p w14:paraId="7B20829E" w14:textId="77777777" w:rsidR="00DC1CDC" w:rsidRPr="00D9492F" w:rsidRDefault="00DC1CDC" w:rsidP="00DC1CDC">
            <w:pPr>
              <w:keepNext/>
              <w:keepLines/>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Stomatitas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20,7 %)</w:t>
            </w:r>
            <w:r w:rsidR="000A73F3" w:rsidRPr="00D9492F">
              <w:rPr>
                <w:rFonts w:ascii="Times New Roman" w:eastAsia="Times New Roman" w:hAnsi="Times New Roman"/>
                <w:bCs/>
                <w:iCs/>
              </w:rPr>
              <w:t>.</w:t>
            </w:r>
          </w:p>
          <w:p w14:paraId="293FF11E" w14:textId="77777777" w:rsidR="00DC1CDC" w:rsidRPr="00D9492F" w:rsidRDefault="00DC1CDC" w:rsidP="00DC1CDC">
            <w:pPr>
              <w:keepNext/>
              <w:keepLines/>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Vėmimas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8,4 %)</w:t>
            </w:r>
            <w:r w:rsidR="000A73F3" w:rsidRPr="00D9492F">
              <w:rPr>
                <w:rFonts w:ascii="Times New Roman" w:eastAsia="Times New Roman" w:hAnsi="Times New Roman"/>
                <w:bCs/>
                <w:iCs/>
              </w:rPr>
              <w:t>.</w:t>
            </w:r>
          </w:p>
          <w:p w14:paraId="1511E058" w14:textId="77777777" w:rsidR="00DC1CDC" w:rsidRPr="00D9492F" w:rsidRDefault="00DC1CDC" w:rsidP="00DC1CDC">
            <w:pPr>
              <w:keepNext/>
              <w:keepLines/>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Viduriavimas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6,8 %)</w:t>
            </w:r>
            <w:r w:rsidR="000A73F3" w:rsidRPr="00D9492F">
              <w:rPr>
                <w:rFonts w:ascii="Times New Roman" w:eastAsia="Times New Roman" w:hAnsi="Times New Roman"/>
                <w:bCs/>
                <w:iCs/>
              </w:rPr>
              <w:t>.</w:t>
            </w:r>
          </w:p>
          <w:p w14:paraId="69D85EA4" w14:textId="77777777" w:rsidR="00DC1CDC" w:rsidRPr="00D9492F" w:rsidRDefault="00DC1CDC" w:rsidP="00DC1CDC">
            <w:pPr>
              <w:keepNext/>
              <w:keepLines/>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Ezofagitas arba disfagija</w:t>
            </w:r>
            <w:r w:rsidR="000A73F3" w:rsidRPr="00D9492F">
              <w:rPr>
                <w:rFonts w:ascii="Times New Roman" w:eastAsia="Times New Roman" w:hAnsi="Times New Roman"/>
                <w:bCs/>
                <w:iCs/>
              </w:rPr>
              <w:t>.</w:t>
            </w:r>
            <w:r w:rsidRPr="00D9492F">
              <w:rPr>
                <w:rFonts w:ascii="Times New Roman" w:eastAsia="Times New Roman" w:hAnsi="Times New Roman"/>
                <w:bCs/>
                <w:iCs/>
              </w:rPr>
              <w:t xml:space="preserve"> arba odinofagija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12,0 %)</w:t>
            </w:r>
            <w:r w:rsidR="000A73F3" w:rsidRPr="00D9492F">
              <w:rPr>
                <w:rFonts w:ascii="Times New Roman" w:eastAsia="Times New Roman" w:hAnsi="Times New Roman"/>
                <w:bCs/>
                <w:iCs/>
              </w:rPr>
              <w:t>.</w:t>
            </w:r>
          </w:p>
          <w:p w14:paraId="2CB3AF24" w14:textId="77777777" w:rsidR="00DC1CDC" w:rsidRPr="00D9492F" w:rsidRDefault="00DC1CDC" w:rsidP="00DC1CDC">
            <w:pPr>
              <w:keepNext/>
              <w:keepLines/>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Vidurių užkietėjimas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0,4 %)</w:t>
            </w:r>
            <w:r w:rsidR="000A73F3" w:rsidRPr="00D9492F">
              <w:rPr>
                <w:rFonts w:ascii="Times New Roman" w:eastAsia="Times New Roman" w:hAnsi="Times New Roman"/>
                <w:bCs/>
                <w:iCs/>
              </w:rPr>
              <w:t>.</w:t>
            </w:r>
          </w:p>
          <w:p w14:paraId="0452D1B2" w14:textId="77777777" w:rsidR="00DC1CDC" w:rsidRPr="00D9492F" w:rsidRDefault="00DC1CDC" w:rsidP="00DC1CDC">
            <w:pPr>
              <w:keepNext/>
              <w:keepLines/>
              <w:tabs>
                <w:tab w:val="left" w:pos="567"/>
                <w:tab w:val="center" w:pos="4320"/>
                <w:tab w:val="right" w:pos="8640"/>
              </w:tabs>
              <w:suppressAutoHyphens/>
              <w:spacing w:after="0" w:line="240" w:lineRule="auto"/>
              <w:rPr>
                <w:rFonts w:ascii="Times New Roman" w:eastAsia="Times New Roman" w:hAnsi="Times New Roman"/>
              </w:rPr>
            </w:pPr>
          </w:p>
        </w:tc>
        <w:tc>
          <w:tcPr>
            <w:tcW w:w="1326" w:type="pct"/>
          </w:tcPr>
          <w:p w14:paraId="7843566E" w14:textId="77777777" w:rsidR="00DC1CDC" w:rsidRPr="00D9492F" w:rsidRDefault="00DC1CDC" w:rsidP="00DC1CDC">
            <w:pPr>
              <w:keepNext/>
              <w:keepLines/>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Dispepsija (</w:t>
            </w:r>
            <w:r w:rsidRPr="00D9492F">
              <w:rPr>
                <w:rFonts w:ascii="Times New Roman" w:eastAsia="Times New Roman" w:hAnsi="Times New Roman"/>
              </w:rPr>
              <w:t>3</w:t>
            </w:r>
            <w:r w:rsidRPr="00D9492F">
              <w:rPr>
                <w:rFonts w:ascii="Times New Roman" w:eastAsia="Times New Roman" w:hAnsi="Times New Roman"/>
              </w:rPr>
              <w:noBreakHyphen/>
              <w:t>4 laipsnio – 0,</w:t>
            </w:r>
            <w:r w:rsidRPr="00D9492F">
              <w:rPr>
                <w:rFonts w:ascii="Times New Roman" w:eastAsia="Times New Roman" w:hAnsi="Times New Roman"/>
                <w:bCs/>
                <w:iCs/>
              </w:rPr>
              <w:t>8 %)</w:t>
            </w:r>
            <w:r w:rsidR="000A73F3" w:rsidRPr="00D9492F">
              <w:rPr>
                <w:rFonts w:ascii="Times New Roman" w:eastAsia="Times New Roman" w:hAnsi="Times New Roman"/>
                <w:bCs/>
                <w:iCs/>
              </w:rPr>
              <w:t>.</w:t>
            </w:r>
          </w:p>
          <w:p w14:paraId="4A579FB7" w14:textId="77777777" w:rsidR="00DC1CDC" w:rsidRPr="00D9492F" w:rsidRDefault="00DC1CDC" w:rsidP="00DC1CDC">
            <w:pPr>
              <w:keepNext/>
              <w:keepLines/>
              <w:tabs>
                <w:tab w:val="left" w:pos="567"/>
                <w:tab w:val="center" w:pos="4320"/>
                <w:tab w:val="right" w:pos="8640"/>
              </w:tabs>
              <w:suppressAutoHyphens/>
              <w:spacing w:after="0" w:line="240" w:lineRule="auto"/>
              <w:rPr>
                <w:rFonts w:ascii="Times New Roman" w:eastAsia="Times New Roman" w:hAnsi="Times New Roman"/>
                <w:bCs/>
                <w:iCs/>
              </w:rPr>
            </w:pPr>
            <w:r w:rsidRPr="00D9492F">
              <w:rPr>
                <w:rFonts w:ascii="Times New Roman" w:eastAsia="Times New Roman" w:hAnsi="Times New Roman"/>
                <w:bCs/>
                <w:iCs/>
              </w:rPr>
              <w:t>Virškinimo trakto skausmas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1,2 %)</w:t>
            </w:r>
            <w:r w:rsidR="000A73F3" w:rsidRPr="00D9492F">
              <w:rPr>
                <w:rFonts w:ascii="Times New Roman" w:eastAsia="Times New Roman" w:hAnsi="Times New Roman"/>
                <w:bCs/>
                <w:iCs/>
              </w:rPr>
              <w:t>.</w:t>
            </w:r>
          </w:p>
          <w:p w14:paraId="1E96FCBC" w14:textId="77777777" w:rsidR="00DC1CDC" w:rsidRPr="00D9492F" w:rsidRDefault="00DC1CDC" w:rsidP="00DC1CDC">
            <w:pPr>
              <w:keepNext/>
              <w:keepLines/>
              <w:tabs>
                <w:tab w:val="left" w:pos="567"/>
                <w:tab w:val="center" w:pos="4320"/>
                <w:tab w:val="right" w:pos="8640"/>
              </w:tabs>
              <w:suppressAutoHyphens/>
              <w:spacing w:after="0" w:line="240" w:lineRule="auto"/>
              <w:rPr>
                <w:rFonts w:ascii="Times New Roman" w:eastAsia="Times New Roman" w:hAnsi="Times New Roman"/>
              </w:rPr>
            </w:pPr>
            <w:r w:rsidRPr="00D9492F">
              <w:rPr>
                <w:rFonts w:ascii="Times New Roman" w:eastAsia="Times New Roman" w:hAnsi="Times New Roman"/>
              </w:rPr>
              <w:t xml:space="preserve">Kraujavimas iš virškinimo takto </w:t>
            </w:r>
            <w:r w:rsidRPr="00D9492F">
              <w:rPr>
                <w:rFonts w:ascii="Times New Roman" w:eastAsia="Times New Roman" w:hAnsi="Times New Roman"/>
                <w:bCs/>
                <w:iCs/>
              </w:rPr>
              <w:t>(</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0,4 %)</w:t>
            </w:r>
            <w:r w:rsidR="000A73F3" w:rsidRPr="00D9492F">
              <w:rPr>
                <w:rFonts w:ascii="Times New Roman" w:eastAsia="Times New Roman" w:hAnsi="Times New Roman"/>
                <w:bCs/>
                <w:iCs/>
              </w:rPr>
              <w:t>.</w:t>
            </w:r>
          </w:p>
        </w:tc>
        <w:tc>
          <w:tcPr>
            <w:tcW w:w="1250" w:type="pct"/>
          </w:tcPr>
          <w:p w14:paraId="216A7631" w14:textId="77777777" w:rsidR="00DC1CDC" w:rsidRPr="00D9492F" w:rsidRDefault="00DC1CDC" w:rsidP="00DC1CDC">
            <w:pPr>
              <w:keepNext/>
              <w:keepLines/>
              <w:tabs>
                <w:tab w:val="left" w:pos="567"/>
                <w:tab w:val="center" w:pos="4320"/>
                <w:tab w:val="right" w:pos="8640"/>
              </w:tabs>
              <w:suppressAutoHyphens/>
              <w:spacing w:after="0" w:line="240" w:lineRule="auto"/>
              <w:rPr>
                <w:rFonts w:ascii="Times New Roman" w:eastAsia="Times New Roman" w:hAnsi="Times New Roman"/>
                <w:bCs/>
                <w:iCs/>
              </w:rPr>
            </w:pPr>
          </w:p>
        </w:tc>
      </w:tr>
      <w:tr w:rsidR="00DC1CDC" w:rsidRPr="00D9492F" w14:paraId="336C95E7" w14:textId="77777777" w:rsidTr="0003751A">
        <w:trPr>
          <w:cantSplit/>
        </w:trPr>
        <w:tc>
          <w:tcPr>
            <w:tcW w:w="1250" w:type="pct"/>
          </w:tcPr>
          <w:p w14:paraId="4AE9D82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lastRenderedPageBreak/>
              <w:t>Odos ir poodinio audinio sutrikimai</w:t>
            </w:r>
          </w:p>
        </w:tc>
        <w:tc>
          <w:tcPr>
            <w:tcW w:w="1174" w:type="pct"/>
          </w:tcPr>
          <w:p w14:paraId="081592A8" w14:textId="77777777" w:rsidR="00DC1CDC" w:rsidRPr="00D9492F" w:rsidRDefault="00DC1CDC" w:rsidP="00DC1CDC">
            <w:pPr>
              <w:keepNext/>
              <w:keepLines/>
              <w:tabs>
                <w:tab w:val="center" w:pos="4320"/>
                <w:tab w:val="right" w:pos="8640"/>
              </w:tabs>
              <w:spacing w:after="0" w:line="240" w:lineRule="auto"/>
              <w:rPr>
                <w:rFonts w:ascii="Times New Roman" w:eastAsia="Times New Roman" w:hAnsi="Times New Roman"/>
                <w:bCs/>
                <w:iCs/>
              </w:rPr>
            </w:pPr>
            <w:r w:rsidRPr="00D9492F">
              <w:rPr>
                <w:rFonts w:ascii="Times New Roman" w:eastAsia="Times New Roman" w:hAnsi="Times New Roman"/>
                <w:bCs/>
                <w:iCs/>
              </w:rPr>
              <w:t>Alopecija (</w:t>
            </w:r>
            <w:r w:rsidRPr="00D9492F">
              <w:rPr>
                <w:rFonts w:ascii="Times New Roman" w:eastAsia="Times New Roman" w:hAnsi="Times New Roman"/>
              </w:rPr>
              <w:t>3</w:t>
            </w:r>
            <w:r w:rsidRPr="00D9492F">
              <w:rPr>
                <w:rFonts w:ascii="Times New Roman" w:eastAsia="Times New Roman" w:hAnsi="Times New Roman"/>
              </w:rPr>
              <w:noBreakHyphen/>
              <w:t xml:space="preserve">4 laipsnio – </w:t>
            </w:r>
            <w:r w:rsidRPr="00D9492F">
              <w:rPr>
                <w:rFonts w:ascii="Times New Roman" w:eastAsia="Times New Roman" w:hAnsi="Times New Roman"/>
                <w:bCs/>
                <w:iCs/>
              </w:rPr>
              <w:t>4,0 %)</w:t>
            </w:r>
            <w:r w:rsidR="004F2D58" w:rsidRPr="00D9492F">
              <w:rPr>
                <w:rFonts w:ascii="Times New Roman" w:eastAsia="Times New Roman" w:hAnsi="Times New Roman"/>
                <w:bCs/>
                <w:iCs/>
              </w:rPr>
              <w:t>.</w:t>
            </w:r>
          </w:p>
          <w:p w14:paraId="3EA7E5A3"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Odos išbėrimas su niežuliu</w:t>
            </w:r>
            <w:r w:rsidR="004F2D58" w:rsidRPr="00D9492F">
              <w:rPr>
                <w:rFonts w:ascii="Times New Roman" w:hAnsi="Times New Roman"/>
                <w:bCs/>
                <w:iCs/>
              </w:rPr>
              <w:t>.</w:t>
            </w:r>
          </w:p>
          <w:p w14:paraId="4A21774E" w14:textId="77777777" w:rsidR="00DC1CDC" w:rsidRPr="00D9492F" w:rsidRDefault="00DC1CDC" w:rsidP="00DC1CDC">
            <w:pPr>
              <w:keepNext/>
              <w:keepLines/>
              <w:spacing w:after="0" w:line="240" w:lineRule="auto"/>
              <w:rPr>
                <w:rFonts w:ascii="Times New Roman" w:hAnsi="Times New Roman"/>
              </w:rPr>
            </w:pPr>
          </w:p>
        </w:tc>
        <w:tc>
          <w:tcPr>
            <w:tcW w:w="1326" w:type="pct"/>
          </w:tcPr>
          <w:p w14:paraId="00EAC40E"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Odos sausumas</w:t>
            </w:r>
            <w:r w:rsidR="004F2D58" w:rsidRPr="00D9492F">
              <w:rPr>
                <w:rFonts w:ascii="Times New Roman" w:hAnsi="Times New Roman"/>
                <w:bCs/>
                <w:iCs/>
              </w:rPr>
              <w:t>.</w:t>
            </w:r>
          </w:p>
          <w:p w14:paraId="497002F6" w14:textId="77777777" w:rsidR="00DC1CDC" w:rsidRPr="00D9492F" w:rsidRDefault="00DC1CDC" w:rsidP="00DC1CDC">
            <w:pPr>
              <w:keepNext/>
              <w:keepLines/>
              <w:tabs>
                <w:tab w:val="left" w:pos="7655"/>
              </w:tab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bCs/>
                <w:iCs/>
              </w:rPr>
              <w:t>Deskvamacija</w:t>
            </w:r>
            <w:r w:rsidR="004F2D58" w:rsidRPr="00D9492F">
              <w:rPr>
                <w:rFonts w:ascii="Times New Roman" w:eastAsia="Times New Roman" w:hAnsi="Times New Roman"/>
                <w:bCs/>
                <w:iCs/>
              </w:rPr>
              <w:t>.</w:t>
            </w:r>
          </w:p>
        </w:tc>
        <w:tc>
          <w:tcPr>
            <w:tcW w:w="1250" w:type="pct"/>
          </w:tcPr>
          <w:p w14:paraId="692E61D8"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6F604371" w14:textId="77777777" w:rsidTr="0003751A">
        <w:trPr>
          <w:cantSplit/>
        </w:trPr>
        <w:tc>
          <w:tcPr>
            <w:tcW w:w="1250" w:type="pct"/>
          </w:tcPr>
          <w:p w14:paraId="67BF911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Skeleto, raumenų ir jungiamojo audinio sutrikimai</w:t>
            </w:r>
          </w:p>
        </w:tc>
        <w:tc>
          <w:tcPr>
            <w:tcW w:w="1174" w:type="pct"/>
          </w:tcPr>
          <w:p w14:paraId="3B2EE957" w14:textId="77777777" w:rsidR="00DC1CDC" w:rsidRPr="00D9492F" w:rsidRDefault="00DC1CDC" w:rsidP="00DC1CDC">
            <w:pPr>
              <w:keepNext/>
              <w:keepLines/>
              <w:tabs>
                <w:tab w:val="center" w:pos="4320"/>
                <w:tab w:val="right" w:pos="8640"/>
              </w:tabs>
              <w:spacing w:after="0" w:line="240" w:lineRule="auto"/>
              <w:rPr>
                <w:rFonts w:ascii="Times New Roman" w:eastAsia="Times New Roman" w:hAnsi="Times New Roman"/>
                <w:bCs/>
                <w:iCs/>
              </w:rPr>
            </w:pPr>
          </w:p>
        </w:tc>
        <w:tc>
          <w:tcPr>
            <w:tcW w:w="1326" w:type="pct"/>
          </w:tcPr>
          <w:p w14:paraId="11BA865A"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rPr>
              <w:t>Mialgija (3</w:t>
            </w:r>
            <w:r w:rsidRPr="00D9492F">
              <w:rPr>
                <w:rFonts w:ascii="Times New Roman" w:hAnsi="Times New Roman"/>
              </w:rPr>
              <w:noBreakHyphen/>
              <w:t>4 laipsnio – 0,4 %)</w:t>
            </w:r>
            <w:r w:rsidR="004F2D58" w:rsidRPr="00D9492F">
              <w:rPr>
                <w:rFonts w:ascii="Times New Roman" w:hAnsi="Times New Roman"/>
              </w:rPr>
              <w:t>.</w:t>
            </w:r>
          </w:p>
        </w:tc>
        <w:tc>
          <w:tcPr>
            <w:tcW w:w="1250" w:type="pct"/>
          </w:tcPr>
          <w:p w14:paraId="3BC0D2B5" w14:textId="77777777" w:rsidR="00DC1CDC" w:rsidRPr="00D9492F" w:rsidRDefault="00DC1CDC" w:rsidP="00DC1CDC">
            <w:pPr>
              <w:keepNext/>
              <w:keepLines/>
              <w:suppressAutoHyphens/>
              <w:spacing w:after="0" w:line="240" w:lineRule="auto"/>
              <w:rPr>
                <w:rFonts w:ascii="Times New Roman" w:hAnsi="Times New Roman"/>
              </w:rPr>
            </w:pPr>
          </w:p>
        </w:tc>
      </w:tr>
      <w:tr w:rsidR="00DC1CDC" w:rsidRPr="00D9492F" w14:paraId="69BBBB6C" w14:textId="77777777" w:rsidTr="0003751A">
        <w:trPr>
          <w:cantSplit/>
        </w:trPr>
        <w:tc>
          <w:tcPr>
            <w:tcW w:w="1250" w:type="pct"/>
          </w:tcPr>
          <w:p w14:paraId="5B08302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Bendri</w:t>
            </w:r>
            <w:r w:rsidR="000A73F3" w:rsidRPr="00D9492F">
              <w:rPr>
                <w:rFonts w:ascii="Times New Roman" w:hAnsi="Times New Roman"/>
              </w:rPr>
              <w:t>eji</w:t>
            </w:r>
            <w:r w:rsidRPr="00D9492F">
              <w:rPr>
                <w:rFonts w:ascii="Times New Roman" w:hAnsi="Times New Roman"/>
              </w:rPr>
              <w:t xml:space="preserve"> sutrikimai ir vartojimo vietos pažeidimai</w:t>
            </w:r>
          </w:p>
        </w:tc>
        <w:tc>
          <w:tcPr>
            <w:tcW w:w="1174" w:type="pct"/>
          </w:tcPr>
          <w:p w14:paraId="642C036F" w14:textId="77777777" w:rsidR="00DC1CDC" w:rsidRPr="00D9492F" w:rsidRDefault="00DC1CDC" w:rsidP="00DC1CDC">
            <w:pPr>
              <w:keepNext/>
              <w:keepLines/>
              <w:suppressAutoHyphens/>
              <w:spacing w:after="0" w:line="240" w:lineRule="auto"/>
              <w:rPr>
                <w:rFonts w:ascii="Times New Roman" w:hAnsi="Times New Roman"/>
              </w:rPr>
            </w:pPr>
            <w:r w:rsidRPr="00D9492F">
              <w:rPr>
                <w:rFonts w:ascii="Times New Roman" w:hAnsi="Times New Roman"/>
                <w:bCs/>
                <w:iCs/>
              </w:rPr>
              <w:t xml:space="preserve">Letargija </w:t>
            </w:r>
            <w:r w:rsidRPr="00D9492F">
              <w:rPr>
                <w:rFonts w:ascii="Times New Roman" w:hAnsi="Times New Roman"/>
              </w:rPr>
              <w:t>(3</w:t>
            </w:r>
            <w:r w:rsidRPr="00D9492F">
              <w:rPr>
                <w:rFonts w:ascii="Times New Roman" w:hAnsi="Times New Roman"/>
              </w:rPr>
              <w:noBreakHyphen/>
              <w:t>4 laipsnio – 4,0 %)</w:t>
            </w:r>
            <w:r w:rsidR="004F2D58" w:rsidRPr="00D9492F">
              <w:rPr>
                <w:rFonts w:ascii="Times New Roman" w:hAnsi="Times New Roman"/>
              </w:rPr>
              <w:t>.</w:t>
            </w:r>
          </w:p>
          <w:p w14:paraId="078CAD2B" w14:textId="77777777" w:rsidR="00DC1CDC" w:rsidRPr="00D9492F" w:rsidRDefault="00DC1CDC" w:rsidP="00DC1CDC">
            <w:pPr>
              <w:keepNext/>
              <w:keepLines/>
              <w:suppressAutoHyphens/>
              <w:spacing w:after="0" w:line="240" w:lineRule="auto"/>
              <w:rPr>
                <w:rFonts w:ascii="Times New Roman" w:hAnsi="Times New Roman"/>
              </w:rPr>
            </w:pPr>
            <w:r w:rsidRPr="00D9492F">
              <w:rPr>
                <w:rFonts w:ascii="Times New Roman" w:hAnsi="Times New Roman"/>
                <w:bCs/>
                <w:iCs/>
              </w:rPr>
              <w:t xml:space="preserve">Karščiavimas </w:t>
            </w:r>
            <w:r w:rsidRPr="00D9492F">
              <w:rPr>
                <w:rFonts w:ascii="Times New Roman" w:hAnsi="Times New Roman"/>
              </w:rPr>
              <w:t>(3</w:t>
            </w:r>
            <w:r w:rsidRPr="00D9492F">
              <w:rPr>
                <w:rFonts w:ascii="Times New Roman" w:hAnsi="Times New Roman"/>
              </w:rPr>
              <w:noBreakHyphen/>
              <w:t>4 laipsnio – 3,6 %)</w:t>
            </w:r>
            <w:r w:rsidR="004F2D58" w:rsidRPr="00D9492F">
              <w:rPr>
                <w:rFonts w:ascii="Times New Roman" w:hAnsi="Times New Roman"/>
              </w:rPr>
              <w:t>.</w:t>
            </w:r>
          </w:p>
          <w:p w14:paraId="3ADBF70E" w14:textId="77777777" w:rsidR="00DC1CDC" w:rsidRPr="00D9492F" w:rsidRDefault="00DC1CDC" w:rsidP="00DC1CDC">
            <w:pPr>
              <w:keepNext/>
              <w:keepLines/>
              <w:tabs>
                <w:tab w:val="left" w:pos="7655"/>
              </w:tabs>
              <w:suppressAutoHyphens/>
              <w:spacing w:after="0" w:line="240" w:lineRule="auto"/>
              <w:rPr>
                <w:rFonts w:ascii="Times New Roman" w:eastAsia="Times New Roman" w:hAnsi="Times New Roman"/>
              </w:rPr>
            </w:pPr>
            <w:r w:rsidRPr="00D9492F">
              <w:rPr>
                <w:rFonts w:ascii="Times New Roman" w:eastAsia="Times New Roman" w:hAnsi="Times New Roman"/>
              </w:rPr>
              <w:t>Skysčių susilaikymas (3</w:t>
            </w:r>
            <w:r w:rsidRPr="00D9492F">
              <w:rPr>
                <w:rFonts w:ascii="Times New Roman" w:eastAsia="Times New Roman" w:hAnsi="Times New Roman"/>
              </w:rPr>
              <w:noBreakHyphen/>
              <w:t>4 laipsnio – 1,2 %)</w:t>
            </w:r>
            <w:r w:rsidR="004F2D58" w:rsidRPr="00D9492F">
              <w:rPr>
                <w:rFonts w:ascii="Times New Roman" w:eastAsia="Times New Roman" w:hAnsi="Times New Roman"/>
              </w:rPr>
              <w:t>.</w:t>
            </w:r>
          </w:p>
          <w:p w14:paraId="23A1A2EA" w14:textId="77777777" w:rsidR="00DC1CDC" w:rsidRPr="00D9492F" w:rsidRDefault="00DC1CDC" w:rsidP="00DC1CDC">
            <w:pPr>
              <w:keepNext/>
              <w:keepLines/>
              <w:suppressAutoHyphens/>
              <w:spacing w:after="0" w:line="240" w:lineRule="auto"/>
              <w:rPr>
                <w:rFonts w:ascii="Times New Roman" w:hAnsi="Times New Roman"/>
                <w:bCs/>
                <w:iCs/>
              </w:rPr>
            </w:pPr>
            <w:r w:rsidRPr="00D9492F">
              <w:rPr>
                <w:rFonts w:ascii="Times New Roman" w:hAnsi="Times New Roman"/>
                <w:bCs/>
                <w:iCs/>
              </w:rPr>
              <w:t xml:space="preserve">Edema </w:t>
            </w:r>
            <w:r w:rsidRPr="00D9492F">
              <w:rPr>
                <w:rFonts w:ascii="Times New Roman" w:hAnsi="Times New Roman"/>
              </w:rPr>
              <w:t>(3</w:t>
            </w:r>
            <w:r w:rsidRPr="00D9492F">
              <w:rPr>
                <w:rFonts w:ascii="Times New Roman" w:hAnsi="Times New Roman"/>
              </w:rPr>
              <w:noBreakHyphen/>
              <w:t>4 laipsnio – 1,2 %)</w:t>
            </w:r>
            <w:r w:rsidR="004F2D58" w:rsidRPr="00D9492F">
              <w:rPr>
                <w:rFonts w:ascii="Times New Roman" w:hAnsi="Times New Roman"/>
              </w:rPr>
              <w:t>.</w:t>
            </w:r>
          </w:p>
        </w:tc>
        <w:tc>
          <w:tcPr>
            <w:tcW w:w="1326" w:type="pct"/>
          </w:tcPr>
          <w:p w14:paraId="0AF3A1C9" w14:textId="77777777" w:rsidR="00DC1CDC" w:rsidRPr="00D9492F" w:rsidRDefault="00DC1CDC" w:rsidP="00DC1CDC">
            <w:pPr>
              <w:keepNext/>
              <w:keepLines/>
              <w:suppressAutoHyphens/>
              <w:spacing w:after="0" w:line="240" w:lineRule="auto"/>
              <w:rPr>
                <w:rFonts w:ascii="Times New Roman" w:hAnsi="Times New Roman"/>
                <w:bCs/>
                <w:iCs/>
              </w:rPr>
            </w:pPr>
          </w:p>
        </w:tc>
        <w:tc>
          <w:tcPr>
            <w:tcW w:w="1250" w:type="pct"/>
          </w:tcPr>
          <w:p w14:paraId="3F924707" w14:textId="77777777" w:rsidR="00DC1CDC" w:rsidRPr="00D9492F" w:rsidRDefault="00DC1CDC" w:rsidP="00DC1CDC">
            <w:pPr>
              <w:keepNext/>
              <w:keepLines/>
              <w:suppressAutoHyphens/>
              <w:spacing w:after="0" w:line="240" w:lineRule="auto"/>
              <w:rPr>
                <w:rFonts w:ascii="Times New Roman" w:hAnsi="Times New Roman"/>
                <w:bCs/>
                <w:iCs/>
              </w:rPr>
            </w:pPr>
          </w:p>
        </w:tc>
      </w:tr>
      <w:tr w:rsidR="00DC1CDC" w:rsidRPr="00D9492F" w14:paraId="6E862A31" w14:textId="77777777" w:rsidTr="0003751A">
        <w:trPr>
          <w:cantSplit/>
        </w:trPr>
        <w:tc>
          <w:tcPr>
            <w:tcW w:w="1250" w:type="pct"/>
          </w:tcPr>
          <w:p w14:paraId="6211FCF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Tyrimai </w:t>
            </w:r>
          </w:p>
        </w:tc>
        <w:tc>
          <w:tcPr>
            <w:tcW w:w="1174" w:type="pct"/>
          </w:tcPr>
          <w:p w14:paraId="67219A2A" w14:textId="77777777" w:rsidR="00DC1CDC" w:rsidRPr="00D9492F" w:rsidRDefault="00DC1CDC" w:rsidP="00DC1CDC">
            <w:pPr>
              <w:keepNext/>
              <w:keepLines/>
              <w:tabs>
                <w:tab w:val="left" w:pos="7655"/>
              </w:tabs>
              <w:suppressAutoHyphen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rPr>
              <w:t>Svorio sumažėjimas</w:t>
            </w:r>
            <w:r w:rsidR="004F2D58" w:rsidRPr="00D9492F">
              <w:rPr>
                <w:rFonts w:ascii="Times New Roman" w:eastAsia="Times New Roman" w:hAnsi="Times New Roman"/>
              </w:rPr>
              <w:t>.</w:t>
            </w:r>
          </w:p>
        </w:tc>
        <w:tc>
          <w:tcPr>
            <w:tcW w:w="1326" w:type="pct"/>
          </w:tcPr>
          <w:p w14:paraId="0F243DB0" w14:textId="77777777" w:rsidR="00DC1CDC" w:rsidRPr="00D9492F" w:rsidRDefault="00DC1CDC" w:rsidP="00DC1CDC">
            <w:pPr>
              <w:keepNext/>
              <w:keepLines/>
              <w:spacing w:after="0" w:line="240" w:lineRule="auto"/>
              <w:rPr>
                <w:rFonts w:ascii="Times New Roman" w:hAnsi="Times New Roman"/>
              </w:rPr>
            </w:pPr>
          </w:p>
        </w:tc>
        <w:tc>
          <w:tcPr>
            <w:tcW w:w="1250" w:type="pct"/>
          </w:tcPr>
          <w:p w14:paraId="7C5F492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bCs/>
                <w:iCs/>
              </w:rPr>
              <w:t>Svorio padidėjimas</w:t>
            </w:r>
            <w:r w:rsidR="004F2D58" w:rsidRPr="00D9492F">
              <w:rPr>
                <w:rFonts w:ascii="Times New Roman" w:hAnsi="Times New Roman"/>
                <w:bCs/>
                <w:iCs/>
              </w:rPr>
              <w:t>.</w:t>
            </w:r>
          </w:p>
        </w:tc>
      </w:tr>
    </w:tbl>
    <w:p w14:paraId="2C0D8F84" w14:textId="77777777" w:rsidR="00DC1CDC" w:rsidRPr="00D9492F" w:rsidRDefault="00DC1CDC" w:rsidP="00DC1CDC">
      <w:pPr>
        <w:spacing w:after="0" w:line="240" w:lineRule="auto"/>
        <w:rPr>
          <w:rFonts w:ascii="Times New Roman" w:hAnsi="Times New Roman"/>
        </w:rPr>
      </w:pPr>
    </w:p>
    <w:p w14:paraId="1F477C38" w14:textId="4FEB9F58" w:rsidR="00DC1CDC" w:rsidRPr="00D9492F" w:rsidRDefault="00DC1CDC" w:rsidP="00DC1CDC">
      <w:pPr>
        <w:keepNext/>
        <w:keepLines/>
        <w:tabs>
          <w:tab w:val="left" w:pos="7655"/>
        </w:tabs>
        <w:spacing w:after="0" w:line="240" w:lineRule="auto"/>
        <w:outlineLvl w:val="8"/>
        <w:rPr>
          <w:rFonts w:ascii="Times New Roman" w:eastAsia="Times New Roman" w:hAnsi="Times New Roman"/>
          <w:u w:val="single"/>
        </w:rPr>
      </w:pPr>
      <w:r w:rsidRPr="00D9492F">
        <w:rPr>
          <w:rFonts w:ascii="Times New Roman" w:eastAsia="Times New Roman" w:hAnsi="Times New Roman"/>
          <w:u w:val="single"/>
        </w:rPr>
        <w:t xml:space="preserve">Po vaistinio preparato </w:t>
      </w:r>
      <w:r w:rsidR="0077223B" w:rsidRPr="00D9492F">
        <w:rPr>
          <w:rFonts w:ascii="Times New Roman" w:eastAsia="Times New Roman" w:hAnsi="Times New Roman"/>
          <w:u w:val="single"/>
        </w:rPr>
        <w:t>pateikimo į rinką</w:t>
      </w:r>
    </w:p>
    <w:p w14:paraId="14752BD7" w14:textId="77777777" w:rsidR="00DC1CDC" w:rsidRPr="00D9492F" w:rsidRDefault="00DC1CDC" w:rsidP="00DC1CDC">
      <w:pPr>
        <w:spacing w:after="0" w:line="240" w:lineRule="auto"/>
        <w:rPr>
          <w:rFonts w:ascii="Times New Roman" w:hAnsi="Times New Roman"/>
        </w:rPr>
      </w:pPr>
    </w:p>
    <w:p w14:paraId="6E1F931F" w14:textId="77777777" w:rsidR="00DC1CDC" w:rsidRPr="00D9492F" w:rsidRDefault="00DC1CDC" w:rsidP="00DC1CDC">
      <w:pPr>
        <w:keepNext/>
        <w:keepLines/>
        <w:spacing w:after="0" w:line="240" w:lineRule="auto"/>
        <w:rPr>
          <w:rFonts w:ascii="Times New Roman" w:eastAsia="Times New Roman" w:hAnsi="Times New Roman"/>
          <w:bCs/>
          <w:i/>
          <w:iCs/>
          <w:u w:val="single"/>
        </w:rPr>
      </w:pPr>
      <w:r w:rsidRPr="00D9492F">
        <w:rPr>
          <w:rFonts w:ascii="Times New Roman" w:eastAsia="Times New Roman" w:hAnsi="Times New Roman"/>
          <w:bCs/>
          <w:i/>
          <w:iCs/>
          <w:u w:val="single"/>
        </w:rPr>
        <w:t>Gerybiniai</w:t>
      </w:r>
      <w:r w:rsidR="004F2D58" w:rsidRPr="00D9492F">
        <w:rPr>
          <w:rFonts w:ascii="Times New Roman" w:eastAsia="Times New Roman" w:hAnsi="Times New Roman"/>
          <w:bCs/>
          <w:i/>
          <w:iCs/>
          <w:u w:val="single"/>
        </w:rPr>
        <w:t>,</w:t>
      </w:r>
      <w:r w:rsidRPr="00D9492F">
        <w:rPr>
          <w:rFonts w:ascii="Times New Roman" w:eastAsia="Times New Roman" w:hAnsi="Times New Roman"/>
          <w:bCs/>
          <w:i/>
          <w:iCs/>
          <w:u w:val="single"/>
        </w:rPr>
        <w:t xml:space="preserve"> piktybiniai </w:t>
      </w:r>
      <w:r w:rsidR="004F2D58" w:rsidRPr="00D9492F">
        <w:rPr>
          <w:rFonts w:ascii="Times New Roman" w:eastAsia="Times New Roman" w:hAnsi="Times New Roman"/>
          <w:bCs/>
          <w:i/>
          <w:iCs/>
          <w:u w:val="single"/>
        </w:rPr>
        <w:t xml:space="preserve">ir nepatikslinti </w:t>
      </w:r>
      <w:r w:rsidRPr="00D9492F">
        <w:rPr>
          <w:rFonts w:ascii="Times New Roman" w:eastAsia="Times New Roman" w:hAnsi="Times New Roman"/>
          <w:bCs/>
          <w:i/>
          <w:iCs/>
          <w:u w:val="single"/>
        </w:rPr>
        <w:t>navikai (tarp jų cistos ir polipai)</w:t>
      </w:r>
    </w:p>
    <w:p w14:paraId="4C5BF90F" w14:textId="2777227F" w:rsidR="00DC1CDC" w:rsidRPr="00D9492F" w:rsidRDefault="00FB2851" w:rsidP="00DC1CDC">
      <w:pPr>
        <w:spacing w:after="0" w:line="240" w:lineRule="auto"/>
        <w:rPr>
          <w:rFonts w:ascii="Times New Roman" w:hAnsi="Times New Roman"/>
          <w:b/>
        </w:rPr>
      </w:pPr>
      <w:r w:rsidRPr="00D9492F">
        <w:rPr>
          <w:rFonts w:ascii="Times New Roman" w:hAnsi="Times New Roman"/>
        </w:rPr>
        <w:t xml:space="preserve">Pranešta apie antro pirminio vėžio (dažnis nežinomas), įskaitant ne Hodžkino limfomą, atvejus, kai docetakselio vartota </w:t>
      </w:r>
      <w:r w:rsidR="0077223B" w:rsidRPr="00D9492F">
        <w:rPr>
          <w:rFonts w:ascii="Times New Roman" w:hAnsi="Times New Roman"/>
        </w:rPr>
        <w:t>derinant</w:t>
      </w:r>
      <w:r w:rsidRPr="00D9492F">
        <w:rPr>
          <w:rFonts w:ascii="Times New Roman" w:hAnsi="Times New Roman"/>
        </w:rPr>
        <w:t xml:space="preserve"> ir kitokį vėžio gydymą, kuris gali sukelti antrą pirminį vėžį. </w:t>
      </w:r>
    </w:p>
    <w:p w14:paraId="11ABF9F6" w14:textId="77777777" w:rsidR="00CE3D83" w:rsidRPr="00D9492F" w:rsidRDefault="00CE3D83" w:rsidP="00CE3D83">
      <w:pPr>
        <w:spacing w:after="0" w:line="240" w:lineRule="auto"/>
        <w:rPr>
          <w:rFonts w:ascii="Times New Roman" w:hAnsi="Times New Roman"/>
        </w:rPr>
      </w:pPr>
      <w:r w:rsidRPr="00D9492F">
        <w:rPr>
          <w:rFonts w:ascii="Times New Roman" w:hAnsi="Times New Roman"/>
        </w:rPr>
        <w:t>Pagrindinių krūties vėžio gydymo TAC schema klinikinių tyrimų metu pranešta apie ūminę mieloidinę</w:t>
      </w:r>
    </w:p>
    <w:p w14:paraId="7F6E8465" w14:textId="76EB2FCF" w:rsidR="00DC1CDC" w:rsidRPr="00D9492F" w:rsidRDefault="00CE3D83" w:rsidP="00CE3D83">
      <w:pPr>
        <w:spacing w:after="0" w:line="240" w:lineRule="auto"/>
        <w:rPr>
          <w:rFonts w:ascii="Times New Roman" w:hAnsi="Times New Roman"/>
        </w:rPr>
      </w:pPr>
      <w:r w:rsidRPr="00D9492F">
        <w:rPr>
          <w:rFonts w:ascii="Times New Roman" w:hAnsi="Times New Roman"/>
        </w:rPr>
        <w:t>leukemiją ir mielodisplazinį sindromą (dažnis nežinomas).</w:t>
      </w:r>
    </w:p>
    <w:p w14:paraId="379608D1" w14:textId="77777777" w:rsidR="00CE3D83" w:rsidRPr="00D9492F" w:rsidRDefault="00CE3D83" w:rsidP="00CE3D83">
      <w:pPr>
        <w:spacing w:after="0" w:line="240" w:lineRule="auto"/>
        <w:rPr>
          <w:rFonts w:ascii="Times New Roman" w:hAnsi="Times New Roman"/>
        </w:rPr>
      </w:pPr>
    </w:p>
    <w:p w14:paraId="4DDA0FA0" w14:textId="77777777" w:rsidR="00DC1CDC" w:rsidRPr="00D9492F" w:rsidRDefault="00DC1CDC" w:rsidP="00DC1CDC">
      <w:pPr>
        <w:keepNext/>
        <w:keepLines/>
        <w:spacing w:after="0" w:line="240" w:lineRule="auto"/>
        <w:outlineLvl w:val="7"/>
        <w:rPr>
          <w:rFonts w:ascii="Times New Roman" w:eastAsia="Times New Roman" w:hAnsi="Times New Roman"/>
          <w:bCs/>
          <w:i/>
          <w:iCs/>
          <w:u w:val="single"/>
        </w:rPr>
      </w:pPr>
      <w:r w:rsidRPr="00D9492F">
        <w:rPr>
          <w:rFonts w:ascii="Times New Roman" w:eastAsia="Times New Roman" w:hAnsi="Times New Roman"/>
          <w:bCs/>
          <w:i/>
          <w:iCs/>
          <w:u w:val="single"/>
        </w:rPr>
        <w:t>Kraujo ir limfinės sistemos sutrikimai</w:t>
      </w:r>
    </w:p>
    <w:p w14:paraId="41964D8F"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Pastebėtas kaulų čiulpų slopinimas ir kitokių hematologinių nepageidaujamų reakcijų. Taip pat buvo pranešimų apie diseminuotą intravaskulinę koaguliaciją (DIC), dažnai kartu su sepsiu ir dauginiu organų nepakankamumu.</w:t>
      </w:r>
    </w:p>
    <w:p w14:paraId="3E2A3806" w14:textId="77777777" w:rsidR="00DC1CDC" w:rsidRPr="00D9492F" w:rsidRDefault="00DC1CDC" w:rsidP="00DC1CDC">
      <w:pPr>
        <w:spacing w:after="0" w:line="240" w:lineRule="auto"/>
        <w:rPr>
          <w:rFonts w:ascii="Times New Roman" w:hAnsi="Times New Roman"/>
          <w:bCs/>
        </w:rPr>
      </w:pPr>
    </w:p>
    <w:p w14:paraId="74B4062F" w14:textId="77777777" w:rsidR="00DC1CDC" w:rsidRPr="00D9492F" w:rsidRDefault="00DC1CDC" w:rsidP="00DC1CDC">
      <w:pPr>
        <w:keepNext/>
        <w:keepLines/>
        <w:spacing w:after="0" w:line="240" w:lineRule="auto"/>
        <w:outlineLvl w:val="7"/>
        <w:rPr>
          <w:rFonts w:ascii="Times New Roman" w:eastAsia="Times New Roman" w:hAnsi="Times New Roman"/>
          <w:bCs/>
          <w:i/>
          <w:u w:val="single"/>
        </w:rPr>
      </w:pPr>
      <w:r w:rsidRPr="00D9492F">
        <w:rPr>
          <w:rFonts w:ascii="Times New Roman" w:eastAsia="Times New Roman" w:hAnsi="Times New Roman"/>
          <w:bCs/>
          <w:i/>
          <w:u w:val="single"/>
        </w:rPr>
        <w:t>Imuninės sistemos sutrikimai</w:t>
      </w:r>
    </w:p>
    <w:p w14:paraId="395E284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Gauta pranešimų apie kelis anafilaksinio šoko (kartais mirtino) atvejus.</w:t>
      </w:r>
    </w:p>
    <w:p w14:paraId="6C3BA7D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Pranešta apie padidėjusio jautrumo reakcijų pasireiškimą (dažnis nežinomas) docetakseliu gydomiems pacientams, kuriems anksčiau buvo pasireiškusi padidėjusio jautrumo reakcija į paklitakselį.</w:t>
      </w:r>
    </w:p>
    <w:p w14:paraId="47A20B70" w14:textId="77777777" w:rsidR="00DC1CDC" w:rsidRPr="00D9492F" w:rsidRDefault="00DC1CDC" w:rsidP="00DC1CDC">
      <w:pPr>
        <w:spacing w:after="0" w:line="240" w:lineRule="auto"/>
        <w:rPr>
          <w:rFonts w:ascii="Times New Roman" w:hAnsi="Times New Roman"/>
        </w:rPr>
      </w:pPr>
    </w:p>
    <w:p w14:paraId="2E9DB41C" w14:textId="77777777" w:rsidR="00DC1CDC" w:rsidRPr="00D9492F" w:rsidRDefault="00DC1CDC" w:rsidP="00DC1CDC">
      <w:pPr>
        <w:keepNext/>
        <w:keepLines/>
        <w:spacing w:after="0" w:line="240" w:lineRule="auto"/>
        <w:outlineLvl w:val="7"/>
        <w:rPr>
          <w:rFonts w:ascii="Times New Roman" w:eastAsia="Times New Roman" w:hAnsi="Times New Roman"/>
          <w:bCs/>
          <w:i/>
          <w:iCs/>
          <w:u w:val="single"/>
        </w:rPr>
      </w:pPr>
      <w:r w:rsidRPr="00D9492F">
        <w:rPr>
          <w:rFonts w:ascii="Times New Roman" w:eastAsia="Times New Roman" w:hAnsi="Times New Roman"/>
          <w:bCs/>
          <w:i/>
          <w:iCs/>
          <w:u w:val="single"/>
        </w:rPr>
        <w:t>Nervų sistemos sutrikimai</w:t>
      </w:r>
    </w:p>
    <w:p w14:paraId="731369A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Vartojant docetakselį, retais atvejais ištiko traukuliai, trumpam išnyko sąmonė. Kartais šių reakcijų pasireiškia vaistinio preparato infuzijos metu.</w:t>
      </w:r>
    </w:p>
    <w:p w14:paraId="4AC89FC1" w14:textId="77777777" w:rsidR="00DC1CDC" w:rsidRPr="00D9492F" w:rsidRDefault="00DC1CDC" w:rsidP="00DC1CDC">
      <w:pPr>
        <w:spacing w:after="0" w:line="240" w:lineRule="auto"/>
        <w:rPr>
          <w:rFonts w:ascii="Times New Roman" w:hAnsi="Times New Roman"/>
        </w:rPr>
      </w:pPr>
    </w:p>
    <w:p w14:paraId="0DA58D9A" w14:textId="77777777" w:rsidR="00DC1CDC" w:rsidRPr="00D9492F" w:rsidRDefault="00DC1CDC" w:rsidP="00DC1CDC">
      <w:pPr>
        <w:keepNext/>
        <w:keepLines/>
        <w:spacing w:after="0" w:line="240" w:lineRule="auto"/>
        <w:rPr>
          <w:rFonts w:ascii="Times New Roman" w:hAnsi="Times New Roman"/>
          <w:bCs/>
          <w:i/>
          <w:iCs/>
          <w:u w:val="single"/>
        </w:rPr>
      </w:pPr>
      <w:r w:rsidRPr="00D9492F">
        <w:rPr>
          <w:rFonts w:ascii="Times New Roman" w:hAnsi="Times New Roman"/>
          <w:bCs/>
          <w:i/>
          <w:iCs/>
          <w:u w:val="single"/>
        </w:rPr>
        <w:t>Aki</w:t>
      </w:r>
      <w:r w:rsidR="007E501A" w:rsidRPr="00D9492F">
        <w:rPr>
          <w:rFonts w:ascii="Times New Roman" w:hAnsi="Times New Roman"/>
          <w:bCs/>
          <w:i/>
          <w:iCs/>
          <w:u w:val="single"/>
        </w:rPr>
        <w:t>ų</w:t>
      </w:r>
      <w:r w:rsidRPr="00D9492F">
        <w:rPr>
          <w:rFonts w:ascii="Times New Roman" w:hAnsi="Times New Roman"/>
          <w:bCs/>
          <w:i/>
          <w:iCs/>
          <w:u w:val="single"/>
        </w:rPr>
        <w:t xml:space="preserve"> sutrikimai</w:t>
      </w:r>
    </w:p>
    <w:p w14:paraId="2336024C" w14:textId="77777777" w:rsidR="00DC1CDC" w:rsidRPr="00D9492F" w:rsidRDefault="00DC1CDC" w:rsidP="00DC1CDC">
      <w:pPr>
        <w:keepNext/>
        <w:keepLines/>
        <w:spacing w:after="0" w:line="240" w:lineRule="auto"/>
        <w:outlineLvl w:val="7"/>
        <w:rPr>
          <w:rFonts w:ascii="Times New Roman" w:eastAsia="Times New Roman" w:hAnsi="Times New Roman"/>
        </w:rPr>
      </w:pPr>
      <w:r w:rsidRPr="00D9492F">
        <w:rPr>
          <w:rFonts w:ascii="Times New Roman" w:eastAsia="Times New Roman" w:hAnsi="Times New Roman"/>
        </w:rPr>
        <w:t>Gauta labai retų pranešimų apie trumpalaikius regos sutrikimus (blykčiojimas, žaibai akyse, skotomos), kurie paprastai atsirasdavo infuzijos metu ir būdavo susiję su padidėjusio jautrumo reakcijomis. Baigus infuziją, šie sutrikimai praeidavo. Gauta pranešimų apie retus ašarojimo (su konjunktyvitu ar be jo) ir ašarų latakų užsikimšimo, sukėlusio per didelį ašarojimą, atvejus. Gauta pranešimų apie cistinės geltonosios dėmės edemos (GDE) atvejus pacientams, gydytiems docetakseliu.</w:t>
      </w:r>
    </w:p>
    <w:p w14:paraId="6A02DDAC" w14:textId="77777777" w:rsidR="00DC1CDC" w:rsidRPr="00D9492F" w:rsidRDefault="00DC1CDC" w:rsidP="00DC1CDC">
      <w:pPr>
        <w:spacing w:after="0" w:line="240" w:lineRule="auto"/>
        <w:rPr>
          <w:rFonts w:ascii="Times New Roman" w:hAnsi="Times New Roman"/>
        </w:rPr>
      </w:pPr>
    </w:p>
    <w:p w14:paraId="0AFEF4F1" w14:textId="1D644437" w:rsidR="00DC1CDC" w:rsidRPr="00D9492F" w:rsidRDefault="00DC1CDC" w:rsidP="00DC1CDC">
      <w:pPr>
        <w:keepNext/>
        <w:keepLines/>
        <w:spacing w:after="0" w:line="240" w:lineRule="auto"/>
        <w:outlineLvl w:val="7"/>
        <w:rPr>
          <w:rFonts w:ascii="Times New Roman" w:eastAsia="Times New Roman" w:hAnsi="Times New Roman"/>
          <w:bCs/>
          <w:i/>
          <w:iCs/>
          <w:u w:val="single"/>
        </w:rPr>
      </w:pPr>
      <w:r w:rsidRPr="00D9492F">
        <w:rPr>
          <w:rFonts w:ascii="Times New Roman" w:eastAsia="Times New Roman" w:hAnsi="Times New Roman"/>
          <w:bCs/>
          <w:i/>
          <w:iCs/>
          <w:u w:val="single"/>
        </w:rPr>
        <w:t>Aus</w:t>
      </w:r>
      <w:r w:rsidR="00CE3D83" w:rsidRPr="00D9492F">
        <w:rPr>
          <w:rFonts w:ascii="Times New Roman" w:eastAsia="Times New Roman" w:hAnsi="Times New Roman"/>
          <w:bCs/>
          <w:i/>
          <w:iCs/>
          <w:u w:val="single"/>
        </w:rPr>
        <w:t>ies</w:t>
      </w:r>
      <w:r w:rsidRPr="00D9492F">
        <w:rPr>
          <w:rFonts w:ascii="Times New Roman" w:eastAsia="Times New Roman" w:hAnsi="Times New Roman"/>
          <w:bCs/>
          <w:i/>
          <w:iCs/>
          <w:u w:val="single"/>
        </w:rPr>
        <w:t xml:space="preserve"> ir labirint</w:t>
      </w:r>
      <w:r w:rsidR="00CE3D83" w:rsidRPr="00D9492F">
        <w:rPr>
          <w:rFonts w:ascii="Times New Roman" w:eastAsia="Times New Roman" w:hAnsi="Times New Roman"/>
          <w:bCs/>
          <w:i/>
          <w:iCs/>
          <w:u w:val="single"/>
        </w:rPr>
        <w:t>o</w:t>
      </w:r>
      <w:r w:rsidRPr="00D9492F">
        <w:rPr>
          <w:rFonts w:ascii="Times New Roman" w:eastAsia="Times New Roman" w:hAnsi="Times New Roman"/>
          <w:bCs/>
          <w:i/>
          <w:iCs/>
          <w:u w:val="single"/>
        </w:rPr>
        <w:t xml:space="preserve"> sutrikimai</w:t>
      </w:r>
    </w:p>
    <w:p w14:paraId="720772C7"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Buvo retų ototoksinio poveikio, klausos sutrikimo ir (arba) netekimo atvejų.</w:t>
      </w:r>
    </w:p>
    <w:p w14:paraId="22CB2319" w14:textId="77777777" w:rsidR="00DC1CDC" w:rsidRPr="00D9492F" w:rsidRDefault="00DC1CDC" w:rsidP="00DC1CDC">
      <w:pPr>
        <w:spacing w:after="0" w:line="240" w:lineRule="auto"/>
        <w:rPr>
          <w:rFonts w:ascii="Times New Roman" w:hAnsi="Times New Roman"/>
        </w:rPr>
      </w:pPr>
    </w:p>
    <w:p w14:paraId="660E31A6" w14:textId="77777777" w:rsidR="00DC1CDC" w:rsidRPr="00D9492F" w:rsidRDefault="00DC1CDC" w:rsidP="00DC1CDC">
      <w:pPr>
        <w:keepNext/>
        <w:keepLines/>
        <w:spacing w:after="0" w:line="240" w:lineRule="auto"/>
        <w:rPr>
          <w:rFonts w:ascii="Times New Roman" w:hAnsi="Times New Roman"/>
          <w:i/>
          <w:iCs/>
          <w:u w:val="single"/>
        </w:rPr>
      </w:pPr>
      <w:r w:rsidRPr="00D9492F">
        <w:rPr>
          <w:rFonts w:ascii="Times New Roman" w:hAnsi="Times New Roman"/>
          <w:i/>
          <w:iCs/>
          <w:u w:val="single"/>
        </w:rPr>
        <w:t>Širdies sutrikimai</w:t>
      </w:r>
    </w:p>
    <w:p w14:paraId="499396A7" w14:textId="73A894F7" w:rsidR="00DC1CDC" w:rsidRPr="00D9492F" w:rsidRDefault="00DC1CDC" w:rsidP="00DC1CDC">
      <w:pPr>
        <w:spacing w:after="0" w:line="240" w:lineRule="auto"/>
        <w:rPr>
          <w:rFonts w:ascii="Times New Roman" w:hAnsi="Times New Roman"/>
        </w:rPr>
      </w:pPr>
      <w:r w:rsidRPr="00D9492F">
        <w:rPr>
          <w:rFonts w:ascii="Times New Roman" w:hAnsi="Times New Roman"/>
        </w:rPr>
        <w:t>Gauta pranešimų apie retus miokardo infarkto atvejus.</w:t>
      </w:r>
    </w:p>
    <w:p w14:paraId="2567CF47" w14:textId="2A99B0FF" w:rsidR="00FB2851" w:rsidRPr="00D9492F" w:rsidRDefault="00FB2851" w:rsidP="00DC1CDC">
      <w:pPr>
        <w:spacing w:after="0" w:line="240" w:lineRule="auto"/>
        <w:rPr>
          <w:rFonts w:ascii="Times New Roman" w:hAnsi="Times New Roman"/>
          <w:iCs/>
        </w:rPr>
      </w:pPr>
      <w:r w:rsidRPr="00D9492F">
        <w:rPr>
          <w:rFonts w:ascii="Times New Roman" w:hAnsi="Times New Roman"/>
          <w:iCs/>
        </w:rPr>
        <w:lastRenderedPageBreak/>
        <w:t xml:space="preserve">Gauta pranešimų apie skilvelių aritmijos, įskaitant skilvelių tachikardiją (dažnis nežinomas), kuri kai kuriais atvejais buvo mirtina, atvejus pacientams, gydytiems docetakseliu, kai </w:t>
      </w:r>
      <w:r w:rsidR="0077223B" w:rsidRPr="00D9492F">
        <w:rPr>
          <w:rFonts w:ascii="Times New Roman" w:hAnsi="Times New Roman"/>
          <w:iCs/>
        </w:rPr>
        <w:t>derinyje</w:t>
      </w:r>
      <w:r w:rsidRPr="00D9492F">
        <w:rPr>
          <w:rFonts w:ascii="Times New Roman" w:hAnsi="Times New Roman"/>
          <w:iCs/>
        </w:rPr>
        <w:t xml:space="preserve"> buvo vartojama doksorubicino, 5-fluorouracilo ir (arba) ciklofosfamido.</w:t>
      </w:r>
    </w:p>
    <w:p w14:paraId="3E076D58" w14:textId="77777777" w:rsidR="00DC1CDC" w:rsidRPr="00D9492F" w:rsidRDefault="00DC1CDC" w:rsidP="00DC1CDC">
      <w:pPr>
        <w:spacing w:after="0" w:line="240" w:lineRule="auto"/>
        <w:rPr>
          <w:rFonts w:ascii="Times New Roman" w:hAnsi="Times New Roman"/>
          <w:iCs/>
          <w:u w:val="single"/>
        </w:rPr>
      </w:pPr>
    </w:p>
    <w:p w14:paraId="3DFA994B" w14:textId="77777777" w:rsidR="00DC1CDC" w:rsidRPr="00D9492F" w:rsidRDefault="00DC1CDC" w:rsidP="00DC1CDC">
      <w:pPr>
        <w:keepNext/>
        <w:keepLines/>
        <w:spacing w:after="0" w:line="240" w:lineRule="auto"/>
        <w:outlineLvl w:val="7"/>
        <w:rPr>
          <w:rFonts w:ascii="Times New Roman" w:eastAsia="Times New Roman" w:hAnsi="Times New Roman"/>
          <w:i/>
          <w:iCs/>
          <w:u w:val="single"/>
        </w:rPr>
      </w:pPr>
      <w:r w:rsidRPr="00D9492F">
        <w:rPr>
          <w:rFonts w:ascii="Times New Roman" w:eastAsia="Times New Roman" w:hAnsi="Times New Roman"/>
          <w:i/>
          <w:iCs/>
          <w:u w:val="single"/>
        </w:rPr>
        <w:t>Kraujagyslių sutrikimai</w:t>
      </w:r>
    </w:p>
    <w:p w14:paraId="51D7A14B" w14:textId="77777777" w:rsidR="00DC1CDC" w:rsidRPr="00D9492F" w:rsidRDefault="00DC1CDC" w:rsidP="00DC1CDC">
      <w:pPr>
        <w:spacing w:after="0" w:line="240" w:lineRule="auto"/>
        <w:rPr>
          <w:rFonts w:ascii="Times New Roman" w:hAnsi="Times New Roman"/>
          <w:i/>
          <w:u w:val="single"/>
        </w:rPr>
      </w:pPr>
      <w:r w:rsidRPr="00D9492F">
        <w:rPr>
          <w:rFonts w:ascii="Times New Roman" w:hAnsi="Times New Roman"/>
        </w:rPr>
        <w:t>Gauta pranešimų apie retus venų tromboembolijos atvejus.</w:t>
      </w:r>
    </w:p>
    <w:p w14:paraId="5853AC49" w14:textId="77777777" w:rsidR="00DC1CDC" w:rsidRPr="00D9492F" w:rsidRDefault="00DC1CDC" w:rsidP="00DC1CDC">
      <w:pPr>
        <w:spacing w:after="0" w:line="240" w:lineRule="auto"/>
        <w:rPr>
          <w:rFonts w:ascii="Times New Roman" w:hAnsi="Times New Roman"/>
        </w:rPr>
      </w:pPr>
    </w:p>
    <w:p w14:paraId="1D0557E5" w14:textId="77777777" w:rsidR="00DC1CDC" w:rsidRPr="00D9492F" w:rsidRDefault="00DC1CDC" w:rsidP="00DC1CDC">
      <w:pPr>
        <w:keepNext/>
        <w:keepLines/>
        <w:spacing w:after="0" w:line="240" w:lineRule="auto"/>
        <w:outlineLvl w:val="7"/>
        <w:rPr>
          <w:rFonts w:ascii="Times New Roman" w:eastAsia="Times New Roman" w:hAnsi="Times New Roman"/>
          <w:bCs/>
          <w:i/>
          <w:iCs/>
          <w:u w:val="single"/>
        </w:rPr>
      </w:pPr>
      <w:r w:rsidRPr="00D9492F">
        <w:rPr>
          <w:rFonts w:ascii="Times New Roman" w:eastAsia="Times New Roman" w:hAnsi="Times New Roman"/>
          <w:bCs/>
          <w:i/>
          <w:iCs/>
          <w:u w:val="single"/>
        </w:rPr>
        <w:t xml:space="preserve">Kvėpavimo sistemos, krūtinės ląstos ir </w:t>
      </w:r>
      <w:r w:rsidR="007E501A" w:rsidRPr="00D9492F">
        <w:rPr>
          <w:rFonts w:ascii="Times New Roman" w:eastAsia="Times New Roman" w:hAnsi="Times New Roman"/>
          <w:bCs/>
          <w:i/>
          <w:iCs/>
          <w:u w:val="single"/>
        </w:rPr>
        <w:t xml:space="preserve">tarpuplaučio </w:t>
      </w:r>
      <w:r w:rsidRPr="00D9492F">
        <w:rPr>
          <w:rFonts w:ascii="Times New Roman" w:eastAsia="Times New Roman" w:hAnsi="Times New Roman"/>
          <w:bCs/>
          <w:i/>
          <w:iCs/>
          <w:u w:val="single"/>
        </w:rPr>
        <w:t>sutrikimai</w:t>
      </w:r>
    </w:p>
    <w:p w14:paraId="7109AAD4" w14:textId="6527F742" w:rsidR="00DC1CDC" w:rsidRPr="00D9492F" w:rsidRDefault="00DC1CDC" w:rsidP="00DC1CDC">
      <w:pPr>
        <w:spacing w:after="0" w:line="240" w:lineRule="auto"/>
        <w:rPr>
          <w:rFonts w:ascii="Times New Roman" w:hAnsi="Times New Roman"/>
        </w:rPr>
      </w:pPr>
      <w:r w:rsidRPr="00D9492F">
        <w:rPr>
          <w:rFonts w:ascii="Times New Roman" w:hAnsi="Times New Roman"/>
        </w:rPr>
        <w:t>Gauta retų pranešimų apie ūminio kvėpavimo sutrikimo sindromo ir intersticinės pneumonijos</w:t>
      </w:r>
      <w:r w:rsidR="00FB2851" w:rsidRPr="00D9492F">
        <w:rPr>
          <w:rFonts w:ascii="Times New Roman" w:hAnsi="Times New Roman"/>
        </w:rPr>
        <w:t xml:space="preserve">/ pneumonito, intersticinės plaučių ligos, plaučių fibrozės ir kvėpavimo nepakankamumo atvejus, kurie kartais baigdavosi mirtimi. </w:t>
      </w:r>
      <w:r w:rsidRPr="00D9492F">
        <w:rPr>
          <w:rFonts w:ascii="Times New Roman" w:hAnsi="Times New Roman"/>
        </w:rPr>
        <w:t>Retais atvejais pacientams, kuriems tuo pačiu metu buvo taikomas spindulinis gydymas, pasireiškė spindulinis pneumonitas.</w:t>
      </w:r>
    </w:p>
    <w:p w14:paraId="1AEB8187" w14:textId="77777777" w:rsidR="00DC1CDC" w:rsidRPr="00D9492F" w:rsidRDefault="00DC1CDC" w:rsidP="00DC1CDC">
      <w:pPr>
        <w:spacing w:after="0" w:line="240" w:lineRule="auto"/>
        <w:rPr>
          <w:rFonts w:ascii="Times New Roman" w:hAnsi="Times New Roman"/>
        </w:rPr>
      </w:pPr>
    </w:p>
    <w:p w14:paraId="57D4CAEB" w14:textId="77777777" w:rsidR="00DC1CDC" w:rsidRPr="00D9492F" w:rsidRDefault="00DC1CDC" w:rsidP="00DC1CDC">
      <w:pPr>
        <w:keepNext/>
        <w:keepLines/>
        <w:spacing w:after="0" w:line="240" w:lineRule="auto"/>
        <w:rPr>
          <w:rFonts w:ascii="Times New Roman" w:hAnsi="Times New Roman"/>
          <w:bCs/>
          <w:i/>
          <w:iCs/>
          <w:u w:val="single"/>
        </w:rPr>
      </w:pPr>
      <w:r w:rsidRPr="00D9492F">
        <w:rPr>
          <w:rFonts w:ascii="Times New Roman" w:hAnsi="Times New Roman"/>
          <w:bCs/>
          <w:i/>
          <w:iCs/>
          <w:u w:val="single"/>
        </w:rPr>
        <w:t>Virškinimo trakto sutrikimai</w:t>
      </w:r>
    </w:p>
    <w:p w14:paraId="6A9AA68C" w14:textId="77777777" w:rsidR="00FB2851" w:rsidRPr="00D9492F" w:rsidRDefault="00FB2851" w:rsidP="00FB2851">
      <w:pPr>
        <w:spacing w:after="0" w:line="240" w:lineRule="auto"/>
        <w:rPr>
          <w:rFonts w:ascii="Times New Roman" w:hAnsi="Times New Roman"/>
        </w:rPr>
      </w:pPr>
      <w:r w:rsidRPr="00D9492F">
        <w:rPr>
          <w:rFonts w:ascii="Times New Roman" w:hAnsi="Times New Roman"/>
        </w:rPr>
        <w:t xml:space="preserve">Retais atvejais pasireiškė enterokolitas, įskaitant kolitą, išeminį kolitą ir neutropeninį enterokolitą, kuris gali būti mirtinas (dažnis nežinomas). </w:t>
      </w:r>
    </w:p>
    <w:p w14:paraId="49F447CA" w14:textId="77777777" w:rsidR="00FB2851" w:rsidRPr="00D9492F" w:rsidRDefault="00FB2851" w:rsidP="00FB2851">
      <w:pPr>
        <w:spacing w:after="0" w:line="240" w:lineRule="auto"/>
        <w:rPr>
          <w:rFonts w:ascii="Times New Roman" w:hAnsi="Times New Roman"/>
        </w:rPr>
      </w:pPr>
      <w:r w:rsidRPr="00D9492F">
        <w:rPr>
          <w:rFonts w:ascii="Times New Roman" w:hAnsi="Times New Roman"/>
        </w:rPr>
        <w:t xml:space="preserve">Retais atvejais pasireiškė dehidratacija dėl poveikio virškinimo traktui, įskaitant enterokolitą ir virškinimo trakto perforaciją. </w:t>
      </w:r>
    </w:p>
    <w:p w14:paraId="65313A2C" w14:textId="1738050C" w:rsidR="00DC1CDC" w:rsidRPr="00D9492F" w:rsidRDefault="00FB2851" w:rsidP="00DC1CDC">
      <w:pPr>
        <w:spacing w:after="0" w:line="240" w:lineRule="auto"/>
        <w:rPr>
          <w:rFonts w:ascii="Times New Roman" w:hAnsi="Times New Roman"/>
          <w:bCs/>
          <w:i/>
          <w:iCs/>
          <w:u w:val="single"/>
        </w:rPr>
      </w:pPr>
      <w:r w:rsidRPr="00D9492F">
        <w:rPr>
          <w:rFonts w:ascii="Times New Roman" w:hAnsi="Times New Roman"/>
        </w:rPr>
        <w:t xml:space="preserve">Retais atvejais pasireiškė žarnų nepraeinamumas ir žarnų obstrukcija. </w:t>
      </w:r>
    </w:p>
    <w:p w14:paraId="2C919B94" w14:textId="77777777" w:rsidR="00DC1CDC" w:rsidRPr="00D9492F" w:rsidRDefault="00DC1CDC" w:rsidP="00DC1CDC">
      <w:pPr>
        <w:keepNext/>
        <w:keepLines/>
        <w:spacing w:after="0" w:line="240" w:lineRule="auto"/>
        <w:rPr>
          <w:rFonts w:ascii="Times New Roman" w:hAnsi="Times New Roman"/>
          <w:bCs/>
          <w:i/>
          <w:iCs/>
          <w:u w:val="single"/>
        </w:rPr>
      </w:pPr>
      <w:r w:rsidRPr="00D9492F">
        <w:rPr>
          <w:rFonts w:ascii="Times New Roman" w:hAnsi="Times New Roman"/>
          <w:bCs/>
          <w:i/>
          <w:iCs/>
          <w:u w:val="single"/>
        </w:rPr>
        <w:t xml:space="preserve">Kepenų tulžies </w:t>
      </w:r>
      <w:r w:rsidR="005555CF" w:rsidRPr="00D9492F">
        <w:rPr>
          <w:rFonts w:ascii="Times New Roman" w:hAnsi="Times New Roman"/>
          <w:bCs/>
          <w:i/>
          <w:iCs/>
          <w:u w:val="single"/>
        </w:rPr>
        <w:t>pūslė</w:t>
      </w:r>
      <w:r w:rsidRPr="00D9492F">
        <w:rPr>
          <w:rFonts w:ascii="Times New Roman" w:hAnsi="Times New Roman"/>
          <w:bCs/>
          <w:i/>
          <w:iCs/>
          <w:u w:val="single"/>
        </w:rPr>
        <w:t xml:space="preserve">s </w:t>
      </w:r>
      <w:r w:rsidR="005555CF" w:rsidRPr="00D9492F">
        <w:rPr>
          <w:rFonts w:ascii="Times New Roman" w:hAnsi="Times New Roman"/>
          <w:bCs/>
          <w:i/>
          <w:iCs/>
          <w:u w:val="single"/>
        </w:rPr>
        <w:t xml:space="preserve">ir latakų </w:t>
      </w:r>
      <w:r w:rsidRPr="00D9492F">
        <w:rPr>
          <w:rFonts w:ascii="Times New Roman" w:hAnsi="Times New Roman"/>
          <w:bCs/>
          <w:i/>
          <w:iCs/>
          <w:u w:val="single"/>
        </w:rPr>
        <w:t>sutrikimai</w:t>
      </w:r>
    </w:p>
    <w:p w14:paraId="690A3E5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Gauta pranešimų apie labai retus hepatito atvejus. Kai kuriais jis buvo mirtinas, ypač jeigu pacientas jau anksčiau sirgo kepenų liga.</w:t>
      </w:r>
    </w:p>
    <w:p w14:paraId="4905F3E2" w14:textId="77777777" w:rsidR="00DC1CDC" w:rsidRPr="00D9492F" w:rsidRDefault="00DC1CDC" w:rsidP="00DC1CDC">
      <w:pPr>
        <w:spacing w:after="0" w:line="240" w:lineRule="auto"/>
        <w:rPr>
          <w:rFonts w:ascii="Times New Roman" w:hAnsi="Times New Roman"/>
          <w:i/>
          <w:u w:val="single"/>
        </w:rPr>
      </w:pPr>
    </w:p>
    <w:p w14:paraId="0469F701" w14:textId="77777777" w:rsidR="00DC1CDC" w:rsidRPr="00D9492F" w:rsidRDefault="00DC1CDC" w:rsidP="00DC1CDC">
      <w:pPr>
        <w:keepNext/>
        <w:keepLines/>
        <w:spacing w:after="0" w:line="240" w:lineRule="auto"/>
        <w:rPr>
          <w:rFonts w:ascii="Times New Roman" w:hAnsi="Times New Roman"/>
          <w:bCs/>
          <w:i/>
          <w:iCs/>
          <w:u w:val="single"/>
        </w:rPr>
      </w:pPr>
      <w:r w:rsidRPr="00D9492F">
        <w:rPr>
          <w:rFonts w:ascii="Times New Roman" w:hAnsi="Times New Roman"/>
          <w:bCs/>
          <w:i/>
          <w:iCs/>
          <w:u w:val="single"/>
        </w:rPr>
        <w:t>Odos ir poodinio audinio sutrikimai</w:t>
      </w:r>
    </w:p>
    <w:p w14:paraId="4A7548E3" w14:textId="34D5C7DF" w:rsidR="00DC1CDC" w:rsidRPr="00D9492F" w:rsidRDefault="00DC1CDC" w:rsidP="00DC1CDC">
      <w:pPr>
        <w:spacing w:after="0" w:line="240" w:lineRule="auto"/>
        <w:rPr>
          <w:rFonts w:ascii="Times New Roman" w:hAnsi="Times New Roman"/>
        </w:rPr>
      </w:pPr>
      <w:r w:rsidRPr="00D9492F">
        <w:rPr>
          <w:rFonts w:ascii="Times New Roman" w:hAnsi="Times New Roman"/>
        </w:rPr>
        <w:t>Labai retais atvejais docetakselį vartojantiems pacientams atsirado sisteminės raudonosios vilkligės odos forma arba pūslinis išbėrimas (pvz., pasireiškė daugiaformė eritema, Stivenso</w:t>
      </w:r>
      <w:r w:rsidR="00F757C3" w:rsidRPr="00D9492F">
        <w:rPr>
          <w:rFonts w:ascii="Times New Roman" w:hAnsi="Times New Roman"/>
        </w:rPr>
        <w:t>-</w:t>
      </w:r>
      <w:r w:rsidRPr="00D9492F">
        <w:rPr>
          <w:rFonts w:ascii="Times New Roman" w:hAnsi="Times New Roman"/>
        </w:rPr>
        <w:t xml:space="preserve">Džonsono </w:t>
      </w:r>
      <w:r w:rsidR="00C018BB" w:rsidRPr="00D9492F">
        <w:rPr>
          <w:rFonts w:ascii="Times New Roman" w:hAnsi="Times New Roman"/>
          <w:i/>
        </w:rPr>
        <w:t>(Stevens-Johnson)</w:t>
      </w:r>
      <w:r w:rsidR="00C018BB" w:rsidRPr="00D9492F">
        <w:rPr>
          <w:rFonts w:ascii="Times New Roman" w:hAnsi="Times New Roman"/>
        </w:rPr>
        <w:t xml:space="preserve"> </w:t>
      </w:r>
      <w:r w:rsidRPr="00D9492F">
        <w:rPr>
          <w:rFonts w:ascii="Times New Roman" w:hAnsi="Times New Roman"/>
        </w:rPr>
        <w:t>sindromas</w:t>
      </w:r>
      <w:r w:rsidR="00FB2851" w:rsidRPr="00D9492F">
        <w:rPr>
          <w:rFonts w:ascii="Times New Roman" w:hAnsi="Times New Roman"/>
        </w:rPr>
        <w:t xml:space="preserve"> (SJS)</w:t>
      </w:r>
      <w:r w:rsidRPr="00D9492F">
        <w:rPr>
          <w:rFonts w:ascii="Times New Roman" w:hAnsi="Times New Roman"/>
        </w:rPr>
        <w:t>, toksinė epidermio nekrolizė</w:t>
      </w:r>
      <w:r w:rsidR="00FB2851" w:rsidRPr="00D9492F">
        <w:rPr>
          <w:rFonts w:ascii="Times New Roman" w:hAnsi="Times New Roman"/>
        </w:rPr>
        <w:t xml:space="preserve"> (TEN) ir ūminė išplitusi egzanteminė pustuliozė (angl. </w:t>
      </w:r>
      <w:r w:rsidR="00FB2851" w:rsidRPr="00D9492F">
        <w:rPr>
          <w:rFonts w:ascii="Times New Roman" w:hAnsi="Times New Roman"/>
          <w:i/>
          <w:iCs/>
        </w:rPr>
        <w:t>acute generalised exanthematous pustulosis</w:t>
      </w:r>
      <w:r w:rsidR="00FB2851" w:rsidRPr="00D9492F">
        <w:rPr>
          <w:rFonts w:ascii="Times New Roman" w:hAnsi="Times New Roman"/>
        </w:rPr>
        <w:t>, AGEP</w:t>
      </w:r>
      <w:r w:rsidRPr="00D9492F">
        <w:rPr>
          <w:rFonts w:ascii="Times New Roman" w:hAnsi="Times New Roman"/>
        </w:rPr>
        <w:t>). Kai kada tam įtakos galėjo turėti ir kiti veiksniai. Gauta pranešimų apie tai, kad docetakselio vartojusiems pacientams atsirado į sklerodermiją panašių pokyčių (paprastai prieš tai pasireikšdavo periferinė limfedema). Gauta pranešimų apie užsitęsusios alopecijos</w:t>
      </w:r>
      <w:r w:rsidR="00FB2851" w:rsidRPr="00D9492F">
        <w:rPr>
          <w:rFonts w:ascii="Times New Roman" w:hAnsi="Times New Roman"/>
        </w:rPr>
        <w:t xml:space="preserve"> atvejus (dažnis nežinomas).</w:t>
      </w:r>
    </w:p>
    <w:p w14:paraId="107A1B36" w14:textId="77777777" w:rsidR="00DC1CDC" w:rsidRPr="00D9492F" w:rsidRDefault="00DC1CDC" w:rsidP="00DC1CDC">
      <w:pPr>
        <w:keepNext/>
        <w:keepLines/>
        <w:spacing w:after="0" w:line="240" w:lineRule="auto"/>
        <w:rPr>
          <w:rFonts w:ascii="Times New Roman" w:hAnsi="Times New Roman"/>
          <w:i/>
          <w:iCs/>
          <w:u w:val="single"/>
        </w:rPr>
      </w:pPr>
      <w:r w:rsidRPr="00D9492F">
        <w:rPr>
          <w:rFonts w:ascii="Times New Roman" w:hAnsi="Times New Roman"/>
          <w:i/>
          <w:iCs/>
          <w:u w:val="single"/>
        </w:rPr>
        <w:t>Inkstų ir šlapimo takų sutrikimai</w:t>
      </w:r>
    </w:p>
    <w:p w14:paraId="3772ABED" w14:textId="77777777" w:rsidR="00DC1CDC" w:rsidRPr="00D9492F" w:rsidRDefault="00DC1CDC" w:rsidP="00DC1CDC">
      <w:pPr>
        <w:spacing w:after="0" w:line="240" w:lineRule="auto"/>
        <w:ind w:right="-2"/>
        <w:rPr>
          <w:rFonts w:ascii="Times New Roman" w:hAnsi="Times New Roman"/>
        </w:rPr>
      </w:pPr>
      <w:r w:rsidRPr="00D9492F">
        <w:rPr>
          <w:rFonts w:ascii="Times New Roman" w:hAnsi="Times New Roman"/>
        </w:rPr>
        <w:t>Gauta duomenų apie inkstų funkcijos nepakankamumo ir sutrikimo atvejus. Maždaug 20</w:t>
      </w:r>
      <w:r w:rsidR="00053C96" w:rsidRPr="00D9492F">
        <w:rPr>
          <w:rFonts w:ascii="Times New Roman" w:hAnsi="Times New Roman"/>
        </w:rPr>
        <w:t xml:space="preserve"> </w:t>
      </w:r>
      <w:r w:rsidRPr="00D9492F">
        <w:rPr>
          <w:rFonts w:ascii="Times New Roman" w:hAnsi="Times New Roman"/>
        </w:rPr>
        <w:t>% atvejų</w:t>
      </w:r>
      <w:r w:rsidR="00053C96" w:rsidRPr="00D9492F">
        <w:rPr>
          <w:rFonts w:ascii="Times New Roman" w:hAnsi="Times New Roman"/>
        </w:rPr>
        <w:t xml:space="preserve"> </w:t>
      </w:r>
      <w:r w:rsidRPr="00D9492F">
        <w:rPr>
          <w:rFonts w:ascii="Times New Roman" w:hAnsi="Times New Roman"/>
        </w:rPr>
        <w:t>nebuvo ūminio inkstų nepakankamumo rizikos veiksnių, tokių kaip kartu vartojami nefrotoksiniai</w:t>
      </w:r>
    </w:p>
    <w:p w14:paraId="453A7D9C" w14:textId="77777777" w:rsidR="00DC1CDC" w:rsidRPr="00D9492F" w:rsidRDefault="00DC1CDC" w:rsidP="00DC1CDC">
      <w:pPr>
        <w:spacing w:after="0" w:line="240" w:lineRule="auto"/>
        <w:ind w:right="-2"/>
        <w:rPr>
          <w:rFonts w:ascii="Times New Roman" w:hAnsi="Times New Roman"/>
        </w:rPr>
      </w:pPr>
      <w:r w:rsidRPr="00D9492F">
        <w:rPr>
          <w:rFonts w:ascii="Times New Roman" w:hAnsi="Times New Roman"/>
        </w:rPr>
        <w:t>vaistiniai preparatai ir virškinimo trakto sistemos sutrikimai.</w:t>
      </w:r>
    </w:p>
    <w:p w14:paraId="6FF1B3B1" w14:textId="77777777" w:rsidR="00DC1CDC" w:rsidRPr="00D9492F" w:rsidRDefault="00DC1CDC" w:rsidP="00DC1CDC">
      <w:pPr>
        <w:spacing w:after="0" w:line="240" w:lineRule="auto"/>
        <w:rPr>
          <w:rFonts w:ascii="Times New Roman" w:hAnsi="Times New Roman"/>
        </w:rPr>
      </w:pPr>
    </w:p>
    <w:p w14:paraId="26878E54" w14:textId="77777777" w:rsidR="00DC1CDC" w:rsidRPr="00D9492F" w:rsidRDefault="00DC1CDC" w:rsidP="00DC1CDC">
      <w:pPr>
        <w:keepNext/>
        <w:keepLines/>
        <w:spacing w:after="0" w:line="240" w:lineRule="auto"/>
        <w:outlineLvl w:val="7"/>
        <w:rPr>
          <w:rFonts w:ascii="Times New Roman" w:eastAsia="Times New Roman" w:hAnsi="Times New Roman"/>
          <w:bCs/>
          <w:i/>
          <w:iCs/>
          <w:u w:val="single"/>
        </w:rPr>
      </w:pPr>
      <w:r w:rsidRPr="00D9492F">
        <w:rPr>
          <w:rFonts w:ascii="Times New Roman" w:eastAsia="Times New Roman" w:hAnsi="Times New Roman"/>
          <w:bCs/>
          <w:i/>
          <w:iCs/>
          <w:u w:val="single"/>
        </w:rPr>
        <w:t>Bendri</w:t>
      </w:r>
      <w:r w:rsidR="00053C96" w:rsidRPr="00D9492F">
        <w:rPr>
          <w:rFonts w:ascii="Times New Roman" w:eastAsia="Times New Roman" w:hAnsi="Times New Roman"/>
          <w:bCs/>
          <w:i/>
          <w:iCs/>
          <w:u w:val="single"/>
        </w:rPr>
        <w:t>eji</w:t>
      </w:r>
      <w:r w:rsidRPr="00D9492F">
        <w:rPr>
          <w:rFonts w:ascii="Times New Roman" w:eastAsia="Times New Roman" w:hAnsi="Times New Roman"/>
          <w:bCs/>
          <w:i/>
          <w:iCs/>
          <w:u w:val="single"/>
        </w:rPr>
        <w:t xml:space="preserve"> sutrikimai ir vartojimo vietos pažeidimai</w:t>
      </w:r>
    </w:p>
    <w:p w14:paraId="396BFE4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Gauta pranešimų apie retus spindulinio gydymo sukeltų reakcijų atsinaujinimo fenomeno atvejus.</w:t>
      </w:r>
    </w:p>
    <w:p w14:paraId="7F0630B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Buvo stebėtas injekcijos vietos reakcijos atsinaujinimas (odos reakcijos pasikartojimas ankstesnės ekstravazacijos vietoje po docetakselio suleidimo kitoje vietoje) ankstesnės ekstravazacijos vietoje (dažnis nežinomas).</w:t>
      </w:r>
    </w:p>
    <w:p w14:paraId="2B870D2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Kartu su skysčių susilaikymu ūminių oligurijos ar hipotenzijos epizodų nebuvo. Gauta pranešimų apie retus dehidratacijos ir plaučių edemos atvejus.</w:t>
      </w:r>
    </w:p>
    <w:p w14:paraId="770F9D8D" w14:textId="77777777" w:rsidR="00DC1CDC" w:rsidRPr="00D9492F" w:rsidRDefault="00DC1CDC" w:rsidP="00DC1CDC">
      <w:pPr>
        <w:spacing w:after="0" w:line="240" w:lineRule="auto"/>
        <w:rPr>
          <w:rFonts w:ascii="Times New Roman" w:hAnsi="Times New Roman"/>
          <w:u w:val="single"/>
        </w:rPr>
      </w:pPr>
    </w:p>
    <w:p w14:paraId="2D1C2003" w14:textId="77777777" w:rsidR="00DC1CDC" w:rsidRPr="00D9492F" w:rsidRDefault="00DC1CDC" w:rsidP="00DC1CDC">
      <w:pPr>
        <w:keepNext/>
        <w:keepLines/>
        <w:spacing w:after="0" w:line="240" w:lineRule="auto"/>
        <w:rPr>
          <w:rFonts w:ascii="Times New Roman" w:hAnsi="Times New Roman"/>
          <w:i/>
          <w:iCs/>
          <w:u w:val="single"/>
        </w:rPr>
      </w:pPr>
      <w:r w:rsidRPr="00D9492F">
        <w:rPr>
          <w:rFonts w:ascii="Times New Roman" w:hAnsi="Times New Roman"/>
          <w:i/>
          <w:iCs/>
          <w:u w:val="single"/>
        </w:rPr>
        <w:t>Metabolizmo ir mitybos sutrikimai</w:t>
      </w:r>
    </w:p>
    <w:p w14:paraId="492F7D79" w14:textId="71B6A980" w:rsidR="004F63C2" w:rsidRPr="00D9492F" w:rsidRDefault="00DC1CDC" w:rsidP="004F63C2">
      <w:pPr>
        <w:spacing w:after="0" w:line="240" w:lineRule="auto"/>
        <w:rPr>
          <w:rFonts w:ascii="Times New Roman" w:hAnsi="Times New Roman"/>
        </w:rPr>
      </w:pPr>
      <w:r w:rsidRPr="00D9492F">
        <w:rPr>
          <w:rFonts w:ascii="Times New Roman" w:hAnsi="Times New Roman"/>
        </w:rPr>
        <w:t>Gauta pranešimų apie hiponatremijos atvejus, kurie dažniausiai pasireiškė kartu su dehidratacija, vėmimu ir pneumonija.</w:t>
      </w:r>
      <w:r w:rsidR="00FB2851" w:rsidRPr="00D9492F">
        <w:rPr>
          <w:rFonts w:ascii="Times New Roman" w:hAnsi="Times New Roman"/>
        </w:rPr>
        <w:t xml:space="preserve"> Buvo hipokalemijos, hipomagnezemijos ir hipokalcemijos atvejų, paprastai susijusių su virškinimo trakto sutrikimais, ypač viduriavimu.</w:t>
      </w:r>
      <w:r w:rsidR="004F63C2" w:rsidRPr="00D9492F">
        <w:rPr>
          <w:rFonts w:ascii="Times New Roman" w:hAnsi="Times New Roman"/>
        </w:rPr>
        <w:t xml:space="preserve"> Pranešta apie naviko lizės sindromo, kuris gali būti mirtinas, atvejus (dažnis nežinomas).</w:t>
      </w:r>
    </w:p>
    <w:p w14:paraId="3DED6AF1" w14:textId="77777777" w:rsidR="004F63C2" w:rsidRPr="00D9492F" w:rsidRDefault="004F63C2" w:rsidP="004F63C2">
      <w:pPr>
        <w:spacing w:after="0" w:line="240" w:lineRule="auto"/>
        <w:rPr>
          <w:rFonts w:ascii="Times New Roman" w:hAnsi="Times New Roman"/>
        </w:rPr>
      </w:pPr>
    </w:p>
    <w:p w14:paraId="582C6D2D" w14:textId="77777777" w:rsidR="004F63C2" w:rsidRPr="00D9492F" w:rsidRDefault="004F63C2" w:rsidP="004F63C2">
      <w:pPr>
        <w:spacing w:after="0" w:line="240" w:lineRule="auto"/>
        <w:rPr>
          <w:rFonts w:ascii="Times New Roman" w:hAnsi="Times New Roman"/>
          <w:i/>
          <w:iCs/>
          <w:u w:val="single"/>
        </w:rPr>
      </w:pPr>
      <w:r w:rsidRPr="00D9492F">
        <w:rPr>
          <w:rFonts w:ascii="Times New Roman" w:hAnsi="Times New Roman"/>
          <w:i/>
          <w:iCs/>
          <w:u w:val="single"/>
        </w:rPr>
        <w:t>Skeleto, raumenų ir jungiamojo audinio sutrikimai</w:t>
      </w:r>
    </w:p>
    <w:p w14:paraId="2B04DB3F" w14:textId="4D89C9D6" w:rsidR="00DC1CDC" w:rsidRPr="00D9492F" w:rsidRDefault="004F63C2" w:rsidP="00DC1CDC">
      <w:pPr>
        <w:spacing w:after="0" w:line="240" w:lineRule="auto"/>
        <w:rPr>
          <w:rFonts w:ascii="Times New Roman" w:hAnsi="Times New Roman"/>
        </w:rPr>
      </w:pPr>
      <w:r w:rsidRPr="00D9492F">
        <w:rPr>
          <w:rFonts w:ascii="Times New Roman" w:hAnsi="Times New Roman"/>
        </w:rPr>
        <w:t>Pranešta apie vartojant docetakselio pasireiškusio miozito atvejus (dažnis nežinomas).</w:t>
      </w:r>
    </w:p>
    <w:p w14:paraId="745BD6A7" w14:textId="77777777" w:rsidR="00DC1CDC" w:rsidRPr="00D9492F" w:rsidRDefault="00DC1CDC" w:rsidP="00DC1CDC">
      <w:pPr>
        <w:spacing w:after="0" w:line="240" w:lineRule="auto"/>
        <w:rPr>
          <w:rFonts w:ascii="Times New Roman" w:hAnsi="Times New Roman"/>
        </w:rPr>
      </w:pPr>
    </w:p>
    <w:p w14:paraId="0246AB8C" w14:textId="77777777" w:rsidR="00DC1CDC" w:rsidRPr="00D9492F" w:rsidRDefault="00DC1CDC" w:rsidP="00DC1CDC">
      <w:pPr>
        <w:keepNext/>
        <w:keepLines/>
        <w:spacing w:after="0" w:line="240" w:lineRule="auto"/>
        <w:ind w:left="567" w:hanging="567"/>
        <w:rPr>
          <w:rFonts w:ascii="Times New Roman" w:hAnsi="Times New Roman"/>
          <w:u w:val="single"/>
        </w:rPr>
      </w:pPr>
      <w:r w:rsidRPr="00D9492F">
        <w:rPr>
          <w:rFonts w:ascii="Times New Roman" w:hAnsi="Times New Roman"/>
          <w:u w:val="single"/>
        </w:rPr>
        <w:t>Pranešimas apie įtariamas nepageidaujamas reakcijas</w:t>
      </w:r>
    </w:p>
    <w:p w14:paraId="6C2FDC78" w14:textId="77777777" w:rsidR="00DC1CDC" w:rsidRPr="00D9492F" w:rsidRDefault="00DC1CDC" w:rsidP="00DC1CDC">
      <w:pPr>
        <w:tabs>
          <w:tab w:val="left" w:pos="567"/>
        </w:tabs>
        <w:autoSpaceDE w:val="0"/>
        <w:autoSpaceDN w:val="0"/>
        <w:adjustRightInd w:val="0"/>
        <w:spacing w:after="0" w:line="260" w:lineRule="exact"/>
        <w:jc w:val="both"/>
        <w:rPr>
          <w:rFonts w:ascii="Times New Roman" w:eastAsia="Times New Roman" w:hAnsi="Times New Roman"/>
          <w:noProof/>
          <w:snapToGrid w:val="0"/>
        </w:rPr>
      </w:pPr>
      <w:r w:rsidRPr="00D9492F">
        <w:rPr>
          <w:rFonts w:ascii="Times New Roman" w:eastAsia="Times New Roman" w:hAnsi="Times New Roman"/>
          <w:noProof/>
          <w:snapToGrid w:val="0"/>
        </w:rPr>
        <w:t>Svarbu pranešti apie įtariamas nepageidaujamas reakcijas, pastebėtas po vaistinio preparato registracijos, nes tai leidžia nuolat stebėti vaistinio preparato naudos ir rizikos santykį.</w:t>
      </w:r>
      <w:r w:rsidRPr="00D9492F">
        <w:rPr>
          <w:rFonts w:ascii="Times New Roman" w:eastAsia="Times New Roman" w:hAnsi="Times New Roman"/>
          <w:snapToGrid w:val="0"/>
        </w:rPr>
        <w:t xml:space="preserve"> </w:t>
      </w:r>
      <w:r w:rsidRPr="00D9492F">
        <w:rPr>
          <w:rFonts w:ascii="Times New Roman" w:eastAsia="Times New Roman" w:hAnsi="Times New Roman"/>
          <w:noProof/>
          <w:snapToGrid w:val="0"/>
        </w:rPr>
        <w:t xml:space="preserve">Sveikatos priežiūros specialistai turi pranešti apie bet kokias įtariamas nepageidaujamas reakcijas, užpildę </w:t>
      </w:r>
      <w:r w:rsidRPr="00D9492F">
        <w:rPr>
          <w:rFonts w:ascii="Times New Roman" w:eastAsia="Times New Roman" w:hAnsi="Times New Roman"/>
          <w:noProof/>
          <w:snapToGrid w:val="0"/>
        </w:rPr>
        <w:lastRenderedPageBreak/>
        <w:t>interneto svetainėje http://</w:t>
      </w:r>
      <w:hyperlink r:id="rId11" w:history="1">
        <w:r w:rsidRPr="00D9492F">
          <w:rPr>
            <w:rFonts w:ascii="Times New Roman" w:eastAsia="SimSun" w:hAnsi="Times New Roman"/>
            <w:noProof/>
            <w:snapToGrid w:val="0"/>
            <w:color w:val="0000FF"/>
            <w:u w:val="single"/>
          </w:rPr>
          <w:t>www.vvkt.lt</w:t>
        </w:r>
      </w:hyperlink>
      <w:r w:rsidRPr="00D9492F">
        <w:rPr>
          <w:rFonts w:ascii="Times New Roman" w:eastAsia="Times New Roman" w:hAnsi="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D9492F">
          <w:rPr>
            <w:rFonts w:ascii="Times New Roman" w:eastAsia="SimSun" w:hAnsi="Times New Roman"/>
            <w:noProof/>
            <w:snapToGrid w:val="0"/>
            <w:color w:val="0000FF"/>
            <w:u w:val="single"/>
          </w:rPr>
          <w:t>NepageidaujamaR@vvkt.lt</w:t>
        </w:r>
      </w:hyperlink>
      <w:r w:rsidRPr="00D9492F">
        <w:rPr>
          <w:rFonts w:ascii="Times New Roman" w:eastAsia="Times New Roman" w:hAnsi="Times New Roman"/>
          <w:noProof/>
          <w:snapToGrid w:val="0"/>
        </w:rPr>
        <w:t xml:space="preserve">), per interneto svetainę (adresu </w:t>
      </w:r>
      <w:hyperlink r:id="rId13" w:history="1">
        <w:r w:rsidRPr="00D9492F">
          <w:rPr>
            <w:rFonts w:ascii="Times New Roman" w:eastAsia="Times New Roman" w:hAnsi="Times New Roman"/>
            <w:noProof/>
            <w:snapToGrid w:val="0"/>
            <w:color w:val="0000FF"/>
            <w:u w:val="single"/>
          </w:rPr>
          <w:t>http://www.vvkt.lt</w:t>
        </w:r>
      </w:hyperlink>
      <w:r w:rsidRPr="00D9492F">
        <w:rPr>
          <w:rFonts w:ascii="Times New Roman" w:eastAsia="Times New Roman" w:hAnsi="Times New Roman"/>
          <w:noProof/>
          <w:snapToGrid w:val="0"/>
        </w:rPr>
        <w:t xml:space="preserve"> ).</w:t>
      </w:r>
    </w:p>
    <w:p w14:paraId="0329D3CC" w14:textId="77777777" w:rsidR="00DC1CDC" w:rsidRPr="00D9492F" w:rsidRDefault="00DC1CDC" w:rsidP="00DC1CDC">
      <w:pPr>
        <w:keepNext/>
        <w:keepLines/>
        <w:spacing w:after="0" w:line="240" w:lineRule="auto"/>
        <w:ind w:left="567" w:hanging="567"/>
        <w:rPr>
          <w:rFonts w:ascii="Times New Roman" w:hAnsi="Times New Roman"/>
        </w:rPr>
      </w:pPr>
    </w:p>
    <w:p w14:paraId="76AEE863"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4.9</w:t>
      </w:r>
      <w:r w:rsidRPr="00D9492F">
        <w:rPr>
          <w:rFonts w:ascii="Times New Roman" w:hAnsi="Times New Roman"/>
          <w:b/>
        </w:rPr>
        <w:tab/>
        <w:t>Perdozavimas</w:t>
      </w:r>
    </w:p>
    <w:p w14:paraId="2F160F69" w14:textId="77777777" w:rsidR="00DC1CDC" w:rsidRPr="00D9492F" w:rsidRDefault="00DC1CDC" w:rsidP="00DC1CDC">
      <w:pPr>
        <w:spacing w:after="0" w:line="240" w:lineRule="auto"/>
        <w:rPr>
          <w:rFonts w:ascii="Times New Roman" w:hAnsi="Times New Roman"/>
        </w:rPr>
      </w:pPr>
    </w:p>
    <w:p w14:paraId="7C59F9D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Pranešta apie kelis perdozavimo atvejus. Priešnuodžio perdozuotam docetakseliui nežinoma. Perdozavus šio vaistinio preparato, pacientą reikia gydyti specializuotame skyriuje ir atidžiai stebėti gyvybines funkcijas. Perdozavus tikėtinas nepageidaujamų reiškinių paūmėjimas. Labiausiai tikėtinos perdozavimo komplikacijos – kaulų čiulpų slopinimas, periferinis neurotoksinis poveikis ir mukozitas. Sužinojus apie perdozavimą, reikia nedelsiant skirti G</w:t>
      </w:r>
      <w:r w:rsidRPr="00D9492F">
        <w:rPr>
          <w:rFonts w:ascii="Times New Roman" w:hAnsi="Times New Roman"/>
        </w:rPr>
        <w:noBreakHyphen/>
        <w:t>KSF.</w:t>
      </w:r>
    </w:p>
    <w:p w14:paraId="22D2D75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Prireikus taikomos kitos simptominės priemonės.</w:t>
      </w:r>
    </w:p>
    <w:p w14:paraId="0D9C18D3" w14:textId="77777777" w:rsidR="00DC1CDC" w:rsidRPr="00D9492F" w:rsidRDefault="00DC1CDC" w:rsidP="00DC1CDC">
      <w:pPr>
        <w:spacing w:after="0" w:line="240" w:lineRule="auto"/>
        <w:rPr>
          <w:rFonts w:ascii="Times New Roman" w:hAnsi="Times New Roman"/>
        </w:rPr>
      </w:pPr>
    </w:p>
    <w:p w14:paraId="3870FF90" w14:textId="77777777" w:rsidR="00DC1CDC" w:rsidRPr="00D9492F" w:rsidRDefault="00DC1CDC" w:rsidP="00DC1CDC">
      <w:pPr>
        <w:spacing w:after="0" w:line="240" w:lineRule="auto"/>
        <w:rPr>
          <w:rFonts w:ascii="Times New Roman" w:hAnsi="Times New Roman"/>
        </w:rPr>
      </w:pPr>
    </w:p>
    <w:p w14:paraId="620917E5"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5.</w:t>
      </w:r>
      <w:r w:rsidRPr="00D9492F">
        <w:rPr>
          <w:rFonts w:ascii="Times New Roman" w:hAnsi="Times New Roman"/>
          <w:b/>
        </w:rPr>
        <w:tab/>
        <w:t>FARMAKOLOGINĖS SAVYBĖS</w:t>
      </w:r>
    </w:p>
    <w:p w14:paraId="11E68B34" w14:textId="77777777" w:rsidR="00DC1CDC" w:rsidRPr="00D9492F" w:rsidRDefault="00DC1CDC" w:rsidP="00DC1CDC">
      <w:pPr>
        <w:spacing w:after="0" w:line="240" w:lineRule="auto"/>
        <w:rPr>
          <w:rFonts w:ascii="Times New Roman" w:hAnsi="Times New Roman"/>
        </w:rPr>
      </w:pPr>
    </w:p>
    <w:p w14:paraId="547709A7" w14:textId="77777777" w:rsidR="00DC1CDC" w:rsidRPr="00D9492F" w:rsidRDefault="00DC1CDC" w:rsidP="00DC1CDC">
      <w:pPr>
        <w:keepNext/>
        <w:keepLines/>
        <w:spacing w:after="0" w:line="240" w:lineRule="auto"/>
        <w:ind w:left="567" w:hanging="567"/>
        <w:rPr>
          <w:rFonts w:ascii="Times New Roman" w:hAnsi="Times New Roman"/>
          <w:b/>
        </w:rPr>
      </w:pPr>
      <w:bookmarkStart w:id="7" w:name="_Ref16305054"/>
      <w:bookmarkStart w:id="8" w:name="_Ref16438709"/>
      <w:r w:rsidRPr="00D9492F">
        <w:rPr>
          <w:rFonts w:ascii="Times New Roman" w:hAnsi="Times New Roman"/>
          <w:b/>
        </w:rPr>
        <w:t>5.1</w:t>
      </w:r>
      <w:r w:rsidRPr="00D9492F">
        <w:rPr>
          <w:rFonts w:ascii="Times New Roman" w:hAnsi="Times New Roman"/>
          <w:b/>
        </w:rPr>
        <w:tab/>
        <w:t>Farmakodinaminės savybės</w:t>
      </w:r>
      <w:bookmarkEnd w:id="7"/>
      <w:bookmarkEnd w:id="8"/>
    </w:p>
    <w:p w14:paraId="75BA3B9C" w14:textId="77777777" w:rsidR="00DC1CDC" w:rsidRPr="00D9492F" w:rsidRDefault="00DC1CDC" w:rsidP="00DC1CDC">
      <w:pPr>
        <w:spacing w:after="0" w:line="240" w:lineRule="auto"/>
        <w:rPr>
          <w:rFonts w:ascii="Times New Roman" w:hAnsi="Times New Roman"/>
        </w:rPr>
      </w:pPr>
    </w:p>
    <w:p w14:paraId="048DB7C0" w14:textId="77777777" w:rsidR="00DC1CDC" w:rsidRPr="00D9492F" w:rsidRDefault="00DC1CDC" w:rsidP="00DC1CDC">
      <w:pPr>
        <w:spacing w:after="0" w:line="240" w:lineRule="auto"/>
        <w:rPr>
          <w:rFonts w:ascii="Times New Roman" w:hAnsi="Times New Roman"/>
        </w:rPr>
      </w:pPr>
      <w:bookmarkStart w:id="9" w:name="_Ref16306564"/>
      <w:r w:rsidRPr="00D9492F">
        <w:rPr>
          <w:rFonts w:ascii="Times New Roman" w:hAnsi="Times New Roman"/>
        </w:rPr>
        <w:t>Farmakoterapinė grupė – taksanai, ATC kodas – L01CD 02.</w:t>
      </w:r>
    </w:p>
    <w:p w14:paraId="4BCEFFC4" w14:textId="77777777" w:rsidR="00DC1CDC" w:rsidRPr="00D9492F" w:rsidRDefault="00DC1CDC" w:rsidP="00DC1CDC">
      <w:pPr>
        <w:spacing w:after="0" w:line="240" w:lineRule="auto"/>
        <w:rPr>
          <w:rFonts w:ascii="Times New Roman" w:hAnsi="Times New Roman"/>
        </w:rPr>
      </w:pPr>
    </w:p>
    <w:p w14:paraId="5542D393" w14:textId="2311C1C6" w:rsidR="00DC1CDC" w:rsidRPr="00D9492F" w:rsidRDefault="00FB2851" w:rsidP="00DC1CDC">
      <w:pPr>
        <w:spacing w:after="0" w:line="240" w:lineRule="auto"/>
        <w:rPr>
          <w:rFonts w:ascii="Times New Roman" w:hAnsi="Times New Roman"/>
        </w:rPr>
      </w:pPr>
      <w:r w:rsidRPr="00D9492F">
        <w:rPr>
          <w:rFonts w:ascii="Times New Roman" w:hAnsi="Times New Roman"/>
          <w:bCs/>
          <w:u w:val="single"/>
        </w:rPr>
        <w:t xml:space="preserve">Veikimo mechanizmas </w:t>
      </w:r>
    </w:p>
    <w:p w14:paraId="7FBB8FF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Docetakselis yra vaistinis preparatas nuo vėžio, kuris skatina tubulino jungimąsi į stabilius mikrovamzdelius ir neleidžia jiems atsiskirti. Dėl tokio poveikio gerokai sumažėja laisvojo tubulino. Įtakos protofilamenų skaičiui docetakselio prisijungimas prie mikrovamzdelių neturi.</w:t>
      </w:r>
    </w:p>
    <w:p w14:paraId="598E96E0" w14:textId="77777777" w:rsidR="00DC1CDC" w:rsidRPr="00D9492F" w:rsidRDefault="00DC1CDC" w:rsidP="00DC1CDC">
      <w:pPr>
        <w:spacing w:after="0" w:line="240" w:lineRule="auto"/>
        <w:rPr>
          <w:rFonts w:ascii="Times New Roman" w:hAnsi="Times New Roman"/>
        </w:rPr>
      </w:pPr>
    </w:p>
    <w:p w14:paraId="4E3EE65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Nustatyta, kad </w:t>
      </w:r>
      <w:r w:rsidRPr="00D9492F">
        <w:rPr>
          <w:rFonts w:ascii="Times New Roman" w:hAnsi="Times New Roman"/>
          <w:i/>
        </w:rPr>
        <w:t>in vitro</w:t>
      </w:r>
      <w:r w:rsidRPr="00D9492F">
        <w:rPr>
          <w:rFonts w:ascii="Times New Roman" w:hAnsi="Times New Roman"/>
        </w:rPr>
        <w:t xml:space="preserve"> docetakselis suardo mikrovamzdelių tinklą, būtiną gyvybinėms ląstelės funkcijoms mitozės ir interfazės metu.</w:t>
      </w:r>
    </w:p>
    <w:p w14:paraId="046703DA" w14:textId="77777777" w:rsidR="00FB2851" w:rsidRPr="00D9492F" w:rsidRDefault="00FB2851" w:rsidP="00FB2851">
      <w:pPr>
        <w:spacing w:after="0" w:line="240" w:lineRule="auto"/>
        <w:rPr>
          <w:rFonts w:ascii="Times New Roman" w:hAnsi="Times New Roman"/>
          <w:u w:val="single"/>
        </w:rPr>
      </w:pPr>
    </w:p>
    <w:p w14:paraId="12D62D4D" w14:textId="615E942A" w:rsidR="00FB2851" w:rsidRPr="00D9492F" w:rsidRDefault="00FB2851" w:rsidP="00FB2851">
      <w:pPr>
        <w:spacing w:after="0" w:line="240" w:lineRule="auto"/>
        <w:rPr>
          <w:rFonts w:ascii="Times New Roman" w:hAnsi="Times New Roman"/>
          <w:u w:val="single"/>
        </w:rPr>
      </w:pPr>
      <w:r w:rsidRPr="00D9492F">
        <w:rPr>
          <w:rFonts w:ascii="Times New Roman" w:hAnsi="Times New Roman"/>
          <w:u w:val="single"/>
        </w:rPr>
        <w:t xml:space="preserve">Farmakodinaminis poveikis </w:t>
      </w:r>
    </w:p>
    <w:p w14:paraId="5E187991" w14:textId="77777777" w:rsidR="00DC1CDC" w:rsidRPr="00D9492F" w:rsidRDefault="00DC1CDC" w:rsidP="00DC1CDC">
      <w:pPr>
        <w:spacing w:after="0" w:line="240" w:lineRule="auto"/>
        <w:rPr>
          <w:rFonts w:ascii="Times New Roman" w:hAnsi="Times New Roman"/>
        </w:rPr>
      </w:pPr>
    </w:p>
    <w:p w14:paraId="6BFC8C36"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Klonogeniniais tyrimais nustatyta, kad </w:t>
      </w:r>
      <w:r w:rsidRPr="00D9492F">
        <w:rPr>
          <w:rFonts w:ascii="Times New Roman" w:hAnsi="Times New Roman"/>
          <w:i/>
        </w:rPr>
        <w:t>in vitro</w:t>
      </w:r>
      <w:r w:rsidRPr="00D9492F">
        <w:rPr>
          <w:rFonts w:ascii="Times New Roman" w:hAnsi="Times New Roman"/>
        </w:rPr>
        <w:t xml:space="preserve"> docetakselis yra citotoksiškas įvairioms graužikų ir žmonių navikinių ląstelių linijoms bei ką tik pašalintoms žmogaus navikų ląstelėms. Ląstelėse susidaro didelė docetakselio koncentracija, šis vaistinis preparatas jose išlieka ilgai. Be to, nustatyta, kad docetakselis veikia kai kurias (bet ne visas) ląstelių linijas, kuriose labai stipriai išreikšta p</w:t>
      </w:r>
      <w:r w:rsidRPr="00D9492F">
        <w:rPr>
          <w:rFonts w:ascii="Times New Roman" w:hAnsi="Times New Roman"/>
        </w:rPr>
        <w:noBreakHyphen/>
        <w:t xml:space="preserve">glikoproteino ekspresija (pastarąjį koduoja naviko atsparumą daugeliui vaistinių preparatų lemiantis genas). </w:t>
      </w:r>
      <w:r w:rsidRPr="00D9492F">
        <w:rPr>
          <w:rFonts w:ascii="Times New Roman" w:hAnsi="Times New Roman"/>
          <w:i/>
        </w:rPr>
        <w:t xml:space="preserve">In vivo </w:t>
      </w:r>
      <w:r w:rsidRPr="00D9492F">
        <w:rPr>
          <w:rFonts w:ascii="Times New Roman" w:hAnsi="Times New Roman"/>
        </w:rPr>
        <w:t>docetakselio poveikis nepriklauso nuo jo vartojimo tvarkos, eksperimentais nustatytas platus šio vaistinio preparato veikimo prieš progresavusius graužikų navikus ir persodintus žmogaus navikus spektras.</w:t>
      </w:r>
    </w:p>
    <w:p w14:paraId="529BD9F8" w14:textId="77777777" w:rsidR="00DC1CDC" w:rsidRPr="00D9492F" w:rsidRDefault="00DC1CDC" w:rsidP="00DC1CDC">
      <w:pPr>
        <w:spacing w:after="0" w:line="240" w:lineRule="auto"/>
        <w:rPr>
          <w:rFonts w:ascii="Times New Roman" w:hAnsi="Times New Roman"/>
          <w:i/>
          <w:u w:val="single"/>
        </w:rPr>
      </w:pPr>
    </w:p>
    <w:p w14:paraId="3C181238" w14:textId="68A380F5" w:rsidR="00DC1CDC" w:rsidRPr="00D9492F" w:rsidRDefault="00FB2851" w:rsidP="00DC1CDC">
      <w:pPr>
        <w:spacing w:after="0" w:line="240" w:lineRule="auto"/>
        <w:rPr>
          <w:rFonts w:ascii="Times New Roman" w:hAnsi="Times New Roman"/>
        </w:rPr>
      </w:pPr>
      <w:r w:rsidRPr="00D9492F">
        <w:rPr>
          <w:rFonts w:ascii="Times New Roman" w:eastAsia="Times New Roman" w:hAnsi="Times New Roman"/>
          <w:bCs/>
          <w:u w:val="single"/>
        </w:rPr>
        <w:t xml:space="preserve">Klinikinis veiksmingumas ir saugumas </w:t>
      </w:r>
    </w:p>
    <w:p w14:paraId="027FCC88" w14:textId="77777777" w:rsidR="00DC1CDC" w:rsidRPr="00D9492F" w:rsidRDefault="00DC1CDC" w:rsidP="00DC1CDC">
      <w:pPr>
        <w:keepNext/>
        <w:keepLines/>
        <w:spacing w:after="0" w:line="240" w:lineRule="auto"/>
        <w:rPr>
          <w:rFonts w:ascii="Times New Roman" w:hAnsi="Times New Roman"/>
          <w:bCs/>
          <w:i/>
          <w:iCs/>
          <w:u w:val="single"/>
        </w:rPr>
      </w:pPr>
      <w:r w:rsidRPr="00D9492F">
        <w:rPr>
          <w:rFonts w:ascii="Times New Roman" w:hAnsi="Times New Roman"/>
          <w:bCs/>
          <w:i/>
          <w:iCs/>
          <w:u w:val="single"/>
        </w:rPr>
        <w:t>Krūties vėžys</w:t>
      </w:r>
    </w:p>
    <w:p w14:paraId="7BD63D3E" w14:textId="77777777" w:rsidR="00DC1CDC" w:rsidRPr="00D9492F" w:rsidRDefault="00DC1CDC" w:rsidP="00DC1CDC">
      <w:pPr>
        <w:spacing w:after="0" w:line="240" w:lineRule="auto"/>
        <w:rPr>
          <w:rFonts w:ascii="Times New Roman" w:hAnsi="Times New Roman"/>
        </w:rPr>
      </w:pPr>
      <w:r w:rsidRPr="00D9492F">
        <w:rPr>
          <w:rFonts w:ascii="Times New Roman" w:hAnsi="Times New Roman"/>
          <w:iCs/>
        </w:rPr>
        <w:t>Docetaxel SanoSwiss</w:t>
      </w:r>
      <w:r w:rsidRPr="00D9492F">
        <w:rPr>
          <w:rFonts w:ascii="Times New Roman" w:hAnsi="Times New Roman"/>
        </w:rPr>
        <w:t xml:space="preserve"> derinys su doksorubicinu ir ciklofosfamidu (pagalbinis gydymas)</w:t>
      </w:r>
    </w:p>
    <w:p w14:paraId="64F86A6F" w14:textId="77777777" w:rsidR="00DC1CDC" w:rsidRPr="00D9492F" w:rsidRDefault="00DC1CDC" w:rsidP="00DC1CDC">
      <w:pPr>
        <w:spacing w:after="0" w:line="240" w:lineRule="auto"/>
        <w:rPr>
          <w:rFonts w:ascii="Times New Roman" w:hAnsi="Times New Roman"/>
        </w:rPr>
      </w:pPr>
    </w:p>
    <w:p w14:paraId="29181F49" w14:textId="77777777" w:rsidR="00DC1CDC" w:rsidRPr="00D9492F" w:rsidRDefault="00DC1CDC" w:rsidP="00DC1CDC">
      <w:pPr>
        <w:keepNext/>
        <w:keepLines/>
        <w:overflowPunct w:val="0"/>
        <w:autoSpaceDE w:val="0"/>
        <w:autoSpaceDN w:val="0"/>
        <w:adjustRightInd w:val="0"/>
        <w:spacing w:after="0" w:line="240" w:lineRule="auto"/>
        <w:textAlignment w:val="baseline"/>
        <w:rPr>
          <w:rFonts w:ascii="Times New Roman" w:eastAsia="Times New Roman" w:hAnsi="Times New Roman"/>
        </w:rPr>
      </w:pPr>
      <w:r w:rsidRPr="00D9492F">
        <w:rPr>
          <w:rFonts w:ascii="Times New Roman" w:eastAsia="Times New Roman" w:hAnsi="Times New Roman"/>
          <w:u w:val="single"/>
        </w:rPr>
        <w:t>Pacientės</w:t>
      </w:r>
      <w:r w:rsidR="00ED4C20" w:rsidRPr="00D9492F">
        <w:rPr>
          <w:rFonts w:ascii="Times New Roman" w:eastAsia="Times New Roman" w:hAnsi="Times New Roman"/>
          <w:u w:val="single"/>
        </w:rPr>
        <w:t>,</w:t>
      </w:r>
      <w:r w:rsidRPr="00D9492F">
        <w:rPr>
          <w:rFonts w:ascii="Times New Roman" w:eastAsia="Times New Roman" w:hAnsi="Times New Roman"/>
          <w:u w:val="single"/>
        </w:rPr>
        <w:t xml:space="preserve"> sergančios tinkamu operuoti į limfmazgius metastazavusiu krūties vėžiu (TAX 316</w:t>
      </w:r>
      <w:r w:rsidRPr="00D9492F">
        <w:rPr>
          <w:rFonts w:ascii="Times New Roman" w:eastAsia="Times New Roman" w:hAnsi="Times New Roman"/>
        </w:rPr>
        <w:t>)</w:t>
      </w:r>
    </w:p>
    <w:p w14:paraId="1D74E9C5" w14:textId="77777777" w:rsidR="00DC1CDC" w:rsidRPr="00D9492F" w:rsidRDefault="00DC1CDC" w:rsidP="00DC1CDC">
      <w:pPr>
        <w:spacing w:after="0" w:line="240" w:lineRule="auto"/>
        <w:rPr>
          <w:rFonts w:ascii="Times New Roman" w:hAnsi="Times New Roman"/>
        </w:rPr>
      </w:pPr>
    </w:p>
    <w:p w14:paraId="2938F186"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Docetakselio vartojimas į limfmazgius metastazavusio tinkamo operuoti krūties vėžio pagalbiniam gydymui 18</w:t>
      </w:r>
      <w:r w:rsidRPr="00D9492F">
        <w:rPr>
          <w:rFonts w:ascii="Times New Roman" w:hAnsi="Times New Roman"/>
        </w:rPr>
        <w:noBreakHyphen/>
        <w:t xml:space="preserve">70 metų pacientėms, kurių KPS (būklė pagal </w:t>
      </w:r>
      <w:r w:rsidRPr="00D9492F">
        <w:rPr>
          <w:rFonts w:ascii="Times New Roman" w:hAnsi="Times New Roman"/>
          <w:i/>
        </w:rPr>
        <w:t>Karnofsky</w:t>
      </w:r>
      <w:r w:rsidRPr="00D9492F">
        <w:rPr>
          <w:rFonts w:ascii="Times New Roman" w:hAnsi="Times New Roman"/>
        </w:rPr>
        <w:t xml:space="preserve"> skalę) vertinama 80 % ar daugiau, pagrįstas daugiacentrio atviro atsitiktinės atrankos tyrimo duomenimis. Atlikus stratifikavimą pagal limfmazgių, kuriuose rasta metastazių, skaičių (1-3, 4+), 1491 pacientės atsitiktinai parinktos vartoti 75 mg/m</w:t>
      </w:r>
      <w:r w:rsidRPr="00D9492F">
        <w:rPr>
          <w:rFonts w:ascii="Times New Roman" w:hAnsi="Times New Roman"/>
          <w:vertAlign w:val="superscript"/>
        </w:rPr>
        <w:t>2 </w:t>
      </w:r>
      <w:r w:rsidRPr="00D9492F">
        <w:rPr>
          <w:rFonts w:ascii="Times New Roman" w:hAnsi="Times New Roman"/>
        </w:rPr>
        <w:t>docetakselio 1 val.</w:t>
      </w:r>
      <w:r w:rsidR="00BA6639" w:rsidRPr="00D9492F">
        <w:rPr>
          <w:rFonts w:ascii="Times New Roman" w:hAnsi="Times New Roman"/>
        </w:rPr>
        <w:t>,</w:t>
      </w:r>
      <w:r w:rsidRPr="00D9492F">
        <w:rPr>
          <w:rFonts w:ascii="Times New Roman" w:hAnsi="Times New Roman"/>
        </w:rPr>
        <w:t xml:space="preserve"> po 50 mg/m</w:t>
      </w:r>
      <w:r w:rsidRPr="00D9492F">
        <w:rPr>
          <w:rFonts w:ascii="Times New Roman" w:hAnsi="Times New Roman"/>
          <w:vertAlign w:val="superscript"/>
        </w:rPr>
        <w:t>2 </w:t>
      </w:r>
      <w:r w:rsidRPr="00D9492F">
        <w:rPr>
          <w:rFonts w:ascii="Times New Roman" w:hAnsi="Times New Roman"/>
        </w:rPr>
        <w:t>doksorubicino ir 500 mg/m</w:t>
      </w:r>
      <w:r w:rsidRPr="00D9492F">
        <w:rPr>
          <w:rFonts w:ascii="Times New Roman" w:hAnsi="Times New Roman"/>
          <w:vertAlign w:val="superscript"/>
        </w:rPr>
        <w:t>2 </w:t>
      </w:r>
      <w:r w:rsidRPr="00D9492F">
        <w:rPr>
          <w:rFonts w:ascii="Times New Roman" w:hAnsi="Times New Roman"/>
        </w:rPr>
        <w:t>ciklofosfamido (TAC grupė) arba 50 mg/m</w:t>
      </w:r>
      <w:r w:rsidRPr="00D9492F">
        <w:rPr>
          <w:rFonts w:ascii="Times New Roman" w:hAnsi="Times New Roman"/>
          <w:vertAlign w:val="superscript"/>
        </w:rPr>
        <w:t>2 </w:t>
      </w:r>
      <w:r w:rsidRPr="00D9492F">
        <w:rPr>
          <w:rFonts w:ascii="Times New Roman" w:hAnsi="Times New Roman"/>
        </w:rPr>
        <w:t>doksorubicino, o paskui 500 mg/m</w:t>
      </w:r>
      <w:r w:rsidRPr="00D9492F">
        <w:rPr>
          <w:rFonts w:ascii="Times New Roman" w:hAnsi="Times New Roman"/>
          <w:vertAlign w:val="superscript"/>
        </w:rPr>
        <w:t>2 </w:t>
      </w:r>
      <w:r w:rsidRPr="00D9492F">
        <w:rPr>
          <w:rFonts w:ascii="Times New Roman" w:hAnsi="Times New Roman"/>
        </w:rPr>
        <w:t>fluorouracilo ir 500 mg/m</w:t>
      </w:r>
      <w:r w:rsidRPr="00D9492F">
        <w:rPr>
          <w:rFonts w:ascii="Times New Roman" w:hAnsi="Times New Roman"/>
          <w:vertAlign w:val="superscript"/>
        </w:rPr>
        <w:t>2 </w:t>
      </w:r>
      <w:r w:rsidRPr="00D9492F">
        <w:rPr>
          <w:rFonts w:ascii="Times New Roman" w:hAnsi="Times New Roman"/>
        </w:rPr>
        <w:t xml:space="preserve">ciklofosfamido (FAC grupė). Abu deriniai vartoti kas 3 savaites, iš viso 6 kursus. Docetakselis </w:t>
      </w:r>
      <w:r w:rsidR="00885BC7" w:rsidRPr="00D9492F">
        <w:rPr>
          <w:rFonts w:ascii="Times New Roman" w:hAnsi="Times New Roman"/>
        </w:rPr>
        <w:t xml:space="preserve">suleistas </w:t>
      </w:r>
      <w:r w:rsidRPr="00D9492F">
        <w:rPr>
          <w:rFonts w:ascii="Times New Roman" w:hAnsi="Times New Roman"/>
        </w:rPr>
        <w:t>per 1 val., visi kiti</w:t>
      </w:r>
      <w:r w:rsidR="00885BC7" w:rsidRPr="00D9492F">
        <w:rPr>
          <w:rFonts w:ascii="Times New Roman" w:hAnsi="Times New Roman"/>
        </w:rPr>
        <w:t xml:space="preserve"> </w:t>
      </w:r>
      <w:r w:rsidRPr="00D9492F">
        <w:rPr>
          <w:rFonts w:ascii="Times New Roman" w:hAnsi="Times New Roman"/>
        </w:rPr>
        <w:t>vaistiniai preparatai vartoti intraveninio boliuso būdu pirmąją kurso dieną. Pacientėms, kurioms pasireiškė neutropenija su komplikacijomis (febriline neutropenija, ilgalaike neutropenija ar infekcija),</w:t>
      </w:r>
    </w:p>
    <w:p w14:paraId="08967C0C" w14:textId="754E311B" w:rsidR="00DC1CDC" w:rsidRPr="00D9492F" w:rsidRDefault="00DC1CDC" w:rsidP="00DC1CDC">
      <w:pPr>
        <w:spacing w:after="0" w:line="240" w:lineRule="auto"/>
        <w:rPr>
          <w:rFonts w:ascii="Times New Roman" w:hAnsi="Times New Roman"/>
        </w:rPr>
      </w:pPr>
      <w:r w:rsidRPr="00D9492F">
        <w:rPr>
          <w:rFonts w:ascii="Times New Roman" w:hAnsi="Times New Roman"/>
        </w:rPr>
        <w:t>antrinei profilaktikai skirta G</w:t>
      </w:r>
      <w:r w:rsidRPr="00D9492F">
        <w:rPr>
          <w:rFonts w:ascii="Times New Roman" w:hAnsi="Times New Roman"/>
        </w:rPr>
        <w:noBreakHyphen/>
        <w:t xml:space="preserve">KSF. TAC grupės pacientės infekcijos profilaktikai gėrė po 500 mg ciprofloksacino 2 kartus per parą 10 dienų nuo 5-os kiekvieno kurso dienos arba atitinkamai kitą </w:t>
      </w:r>
      <w:r w:rsidRPr="00D9492F">
        <w:rPr>
          <w:rFonts w:ascii="Times New Roman" w:hAnsi="Times New Roman"/>
        </w:rPr>
        <w:lastRenderedPageBreak/>
        <w:t>antibiotiką. Po paskutinio chemoterapijos kurso abiejų grupių pacientėms, kurioms rasta teigiamų estrogenų ir (ar) progesterono receptorių, skirta 20 mg tamoksifeno per parą iki 5 metų. Pagalbinis spindulinis gydymas skirtas 69 % TAC grupės ir 72 % FAC grupės pacienčių, remiantis tyrime</w:t>
      </w:r>
      <w:r w:rsidR="00885BC7" w:rsidRPr="00D9492F">
        <w:rPr>
          <w:rFonts w:ascii="Times New Roman" w:hAnsi="Times New Roman"/>
        </w:rPr>
        <w:t xml:space="preserve"> </w:t>
      </w:r>
      <w:r w:rsidRPr="00D9492F">
        <w:rPr>
          <w:rFonts w:ascii="Times New Roman" w:hAnsi="Times New Roman"/>
        </w:rPr>
        <w:t>dalyvavusiose institucijose priimta praktika. Atliktos dvi tarpinės ir viena galutinė analizė. Pirmoji tarpinė analizė suplanuota praėjus 3 metams nuo dienos, kai tyrime pradėjo dalyvauti pusė tiriamųjų. Antroji tarpinė analizė atlikta, kai bendrai nustatyta 400 </w:t>
      </w:r>
      <w:r w:rsidR="00431505" w:rsidRPr="00D9492F">
        <w:rPr>
          <w:rFonts w:ascii="Times New Roman" w:hAnsi="Times New Roman"/>
        </w:rPr>
        <w:t>I</w:t>
      </w:r>
      <w:r w:rsidRPr="00D9492F">
        <w:rPr>
          <w:rFonts w:ascii="Times New Roman" w:hAnsi="Times New Roman"/>
        </w:rPr>
        <w:t xml:space="preserve">BLS atvejų, jos metu stebėjimo laikotarpio mediana buvo 55 mėnesiai. Galutinė analizė atlikta, kai visi pacientai sulaukė 10-ųjų metų stebėjimo laikotarpio vizito (išskyrus atvejus, kai pacientams buvo </w:t>
      </w:r>
      <w:r w:rsidR="00431505" w:rsidRPr="00D9492F">
        <w:rPr>
          <w:rFonts w:ascii="Times New Roman" w:hAnsi="Times New Roman"/>
        </w:rPr>
        <w:t>I</w:t>
      </w:r>
      <w:r w:rsidRPr="00D9492F">
        <w:rPr>
          <w:rFonts w:ascii="Times New Roman" w:hAnsi="Times New Roman"/>
        </w:rPr>
        <w:t xml:space="preserve">BLS reiškinių arba jie iš stebėjimo pasitraukė anksčiau). Pirminė veiksmingumo vertinamoji baigtis yra </w:t>
      </w:r>
      <w:r w:rsidR="00431505" w:rsidRPr="00D9492F">
        <w:rPr>
          <w:rFonts w:ascii="Times New Roman" w:hAnsi="Times New Roman"/>
        </w:rPr>
        <w:t xml:space="preserve">išgyvenamumas </w:t>
      </w:r>
      <w:r w:rsidRPr="00D9492F">
        <w:rPr>
          <w:rFonts w:ascii="Times New Roman" w:hAnsi="Times New Roman"/>
        </w:rPr>
        <w:t>be ligos simptomų (</w:t>
      </w:r>
      <w:r w:rsidR="00431505" w:rsidRPr="00D9492F">
        <w:rPr>
          <w:rFonts w:ascii="Times New Roman" w:hAnsi="Times New Roman"/>
        </w:rPr>
        <w:t>I</w:t>
      </w:r>
      <w:r w:rsidRPr="00D9492F">
        <w:rPr>
          <w:rFonts w:ascii="Times New Roman" w:hAnsi="Times New Roman"/>
        </w:rPr>
        <w:t>BLS), o antrinė veiksmingumo vertinamoji baigtis – bendrasis išgyvenamumas (BI).</w:t>
      </w:r>
    </w:p>
    <w:p w14:paraId="10218E16" w14:textId="53BEDBDB" w:rsidR="00DC1CDC" w:rsidRPr="00D9492F" w:rsidRDefault="00DC1CDC" w:rsidP="00DC1CDC">
      <w:pPr>
        <w:spacing w:after="0" w:line="240" w:lineRule="auto"/>
        <w:rPr>
          <w:rFonts w:ascii="Times New Roman" w:hAnsi="Times New Roman"/>
        </w:rPr>
      </w:pPr>
      <w:r w:rsidRPr="00D9492F">
        <w:rPr>
          <w:rFonts w:ascii="Times New Roman" w:hAnsi="Times New Roman"/>
        </w:rPr>
        <w:t>Galutinėje analizėje stebėjimo laikotarpio mediana – 96 mėnesiai. Nustatyta, kad TAC grupės pacientės be ligos reiškinių išgyveno reikšmingai ilgiau negu FAC. Atkryčių po 10 metų skaičius po gydymo TAC buvo 39 %, po gydymo FAC – 45 %, t.</w:t>
      </w:r>
      <w:r w:rsidR="00885BC7" w:rsidRPr="00D9492F">
        <w:rPr>
          <w:rFonts w:ascii="Times New Roman" w:hAnsi="Times New Roman"/>
        </w:rPr>
        <w:t xml:space="preserve"> </w:t>
      </w:r>
      <w:r w:rsidRPr="00D9492F">
        <w:rPr>
          <w:rFonts w:ascii="Times New Roman" w:hAnsi="Times New Roman"/>
        </w:rPr>
        <w:t>y. absoliuti rizika sumažėjo 6 % (p = 0,0043). Bendras išgyvenamumas po 10 metų TAC grupėje buvo 76 % ir buvo reikšmingai didesnis, nei FAC grupėje – 69 %, t.</w:t>
      </w:r>
      <w:r w:rsidR="00885BC7" w:rsidRPr="00D9492F">
        <w:rPr>
          <w:rFonts w:ascii="Times New Roman" w:hAnsi="Times New Roman"/>
        </w:rPr>
        <w:t xml:space="preserve"> </w:t>
      </w:r>
      <w:r w:rsidRPr="00D9492F">
        <w:rPr>
          <w:rFonts w:ascii="Times New Roman" w:hAnsi="Times New Roman"/>
        </w:rPr>
        <w:t xml:space="preserve">y. absoliuti mirties rizika TAC grupėje buvo 7 % mažesnė (p = 0,002). Kadangi pacientėms, kurioms 4 ar daugiau limfmazgiuose rasta metastazių, teigiamas </w:t>
      </w:r>
      <w:r w:rsidR="00431505" w:rsidRPr="00D9492F">
        <w:rPr>
          <w:rFonts w:ascii="Times New Roman" w:hAnsi="Times New Roman"/>
        </w:rPr>
        <w:t>I</w:t>
      </w:r>
      <w:r w:rsidRPr="00D9492F">
        <w:rPr>
          <w:rFonts w:ascii="Times New Roman" w:hAnsi="Times New Roman"/>
        </w:rPr>
        <w:t xml:space="preserve">BLS ir BI pokytis nebuvo statistiškai reikšmingas, todėl galutinė duomenų analizė šioms pacientėms TAC palankaus naudos ir rizikos santykio pilnai neparodė. </w:t>
      </w:r>
    </w:p>
    <w:p w14:paraId="2AFBBE44" w14:textId="77777777" w:rsidR="00FB2851" w:rsidRPr="00D9492F" w:rsidRDefault="00FB2851" w:rsidP="00FB2851">
      <w:pPr>
        <w:keepNext/>
        <w:keepLines/>
        <w:tabs>
          <w:tab w:val="left" w:pos="851"/>
          <w:tab w:val="left" w:pos="8222"/>
        </w:tabs>
        <w:spacing w:after="0" w:line="240" w:lineRule="auto"/>
        <w:rPr>
          <w:rFonts w:ascii="Times New Roman" w:eastAsia="Times New Roman" w:hAnsi="Times New Roman"/>
        </w:rPr>
      </w:pPr>
    </w:p>
    <w:p w14:paraId="7ED00F1B" w14:textId="5C0554EC" w:rsidR="00FB2851" w:rsidRPr="00D9492F" w:rsidRDefault="00FB2851" w:rsidP="00FB2851">
      <w:pPr>
        <w:keepNext/>
        <w:keepLines/>
        <w:tabs>
          <w:tab w:val="left" w:pos="851"/>
          <w:tab w:val="left" w:pos="8222"/>
        </w:tabs>
        <w:spacing w:after="0" w:line="240" w:lineRule="auto"/>
        <w:rPr>
          <w:rFonts w:ascii="Times New Roman" w:eastAsia="Times New Roman" w:hAnsi="Times New Roman"/>
        </w:rPr>
      </w:pPr>
      <w:r w:rsidRPr="00D9492F">
        <w:rPr>
          <w:rFonts w:ascii="Times New Roman" w:eastAsia="Times New Roman" w:hAnsi="Times New Roman"/>
        </w:rPr>
        <w:t xml:space="preserve">Apibendrinus, tyrimo rezultatai rodo, kad TAC grupėje naudos ir rizikos santykis yra </w:t>
      </w:r>
      <w:r w:rsidR="00E85ECD" w:rsidRPr="00D9492F">
        <w:rPr>
          <w:rFonts w:ascii="Times New Roman" w:eastAsia="Times New Roman" w:hAnsi="Times New Roman"/>
        </w:rPr>
        <w:t>palankus</w:t>
      </w:r>
      <w:r w:rsidRPr="00D9492F">
        <w:rPr>
          <w:rFonts w:ascii="Times New Roman" w:eastAsia="Times New Roman" w:hAnsi="Times New Roman"/>
        </w:rPr>
        <w:t xml:space="preserve">, lyginant su FAC grupe. </w:t>
      </w:r>
    </w:p>
    <w:p w14:paraId="72549E88" w14:textId="77777777" w:rsidR="00DC1CDC" w:rsidRPr="00D9492F" w:rsidRDefault="00DC1CDC" w:rsidP="00DC1CDC">
      <w:pPr>
        <w:spacing w:after="0" w:line="240" w:lineRule="auto"/>
        <w:rPr>
          <w:rFonts w:ascii="Times New Roman" w:hAnsi="Times New Roman"/>
        </w:rPr>
      </w:pPr>
    </w:p>
    <w:p w14:paraId="3352BE9E" w14:textId="77777777" w:rsidR="00DC1CDC" w:rsidRPr="00D9492F" w:rsidRDefault="00DC1CDC" w:rsidP="00DC1CDC">
      <w:pPr>
        <w:keepNext/>
        <w:keepLines/>
        <w:tabs>
          <w:tab w:val="left" w:pos="851"/>
          <w:tab w:val="left" w:pos="8222"/>
        </w:tabs>
        <w:spacing w:after="0" w:line="240" w:lineRule="auto"/>
        <w:rPr>
          <w:rFonts w:ascii="Times New Roman" w:eastAsia="Times New Roman" w:hAnsi="Times New Roman"/>
        </w:rPr>
      </w:pPr>
      <w:r w:rsidRPr="00D9492F">
        <w:rPr>
          <w:rFonts w:ascii="Times New Roman" w:eastAsia="Times New Roman" w:hAnsi="Times New Roman"/>
        </w:rPr>
        <w:t>Išanalizuoti TAC gydytų pacienčių poaibiai, sudaryti pagal prospektyviniu būdu nustatytus pagrindinius prognozės kriterijus:</w:t>
      </w:r>
    </w:p>
    <w:p w14:paraId="08678CF1" w14:textId="77777777" w:rsidR="00DC1CDC" w:rsidRPr="00D9492F" w:rsidRDefault="00DC1CDC" w:rsidP="00DC1CDC">
      <w:pPr>
        <w:keepNext/>
        <w:keepLines/>
        <w:spacing w:after="0" w:line="240" w:lineRule="auto"/>
        <w:jc w:val="both"/>
        <w:rPr>
          <w:rFonts w:ascii="Times New Roman" w:hAnsi="Times New Roman"/>
        </w:rPr>
      </w:pPr>
    </w:p>
    <w:tbl>
      <w:tblPr>
        <w:tblW w:w="9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4"/>
        <w:gridCol w:w="1195"/>
        <w:gridCol w:w="1112"/>
        <w:gridCol w:w="1087"/>
        <w:gridCol w:w="1041"/>
        <w:gridCol w:w="1132"/>
        <w:gridCol w:w="1087"/>
        <w:gridCol w:w="1043"/>
      </w:tblGrid>
      <w:tr w:rsidR="00DC1CDC" w:rsidRPr="00D9492F" w14:paraId="0BCF76DB" w14:textId="77777777" w:rsidTr="0003751A">
        <w:trPr>
          <w:cantSplit/>
          <w:jc w:val="center"/>
        </w:trPr>
        <w:tc>
          <w:tcPr>
            <w:tcW w:w="1464" w:type="dxa"/>
            <w:tcBorders>
              <w:top w:val="nil"/>
              <w:left w:val="nil"/>
              <w:right w:val="nil"/>
            </w:tcBorders>
          </w:tcPr>
          <w:p w14:paraId="0796AF5A" w14:textId="77777777" w:rsidR="00DC1CDC" w:rsidRPr="00D9492F" w:rsidRDefault="00DC1CDC" w:rsidP="00DC1CDC">
            <w:pPr>
              <w:keepNext/>
              <w:keepLines/>
              <w:spacing w:after="0" w:line="240" w:lineRule="auto"/>
              <w:rPr>
                <w:rFonts w:ascii="Times New Roman" w:hAnsi="Times New Roman"/>
              </w:rPr>
            </w:pPr>
          </w:p>
        </w:tc>
        <w:tc>
          <w:tcPr>
            <w:tcW w:w="1195" w:type="dxa"/>
            <w:tcBorders>
              <w:top w:val="nil"/>
              <w:left w:val="nil"/>
            </w:tcBorders>
          </w:tcPr>
          <w:p w14:paraId="3AD1D335" w14:textId="77777777" w:rsidR="00DC1CDC" w:rsidRPr="00D9492F" w:rsidRDefault="00DC1CDC" w:rsidP="00DC1CDC">
            <w:pPr>
              <w:keepNext/>
              <w:keepLines/>
              <w:spacing w:after="0" w:line="240" w:lineRule="auto"/>
              <w:rPr>
                <w:rFonts w:ascii="Times New Roman" w:hAnsi="Times New Roman"/>
              </w:rPr>
            </w:pPr>
          </w:p>
        </w:tc>
        <w:tc>
          <w:tcPr>
            <w:tcW w:w="3240" w:type="dxa"/>
            <w:gridSpan w:val="3"/>
          </w:tcPr>
          <w:p w14:paraId="1EA064FC" w14:textId="77777777" w:rsidR="00DC1CDC" w:rsidRPr="00D9492F" w:rsidRDefault="00DC1CDC" w:rsidP="00DC1CDC">
            <w:pPr>
              <w:keepNext/>
              <w:keepLines/>
              <w:spacing w:after="0" w:line="240" w:lineRule="auto"/>
              <w:jc w:val="center"/>
              <w:rPr>
                <w:rFonts w:ascii="Times New Roman" w:hAnsi="Times New Roman"/>
                <w:u w:val="single"/>
              </w:rPr>
            </w:pPr>
            <w:r w:rsidRPr="00D9492F">
              <w:rPr>
                <w:rFonts w:ascii="Times New Roman" w:hAnsi="Times New Roman"/>
                <w:u w:val="single"/>
              </w:rPr>
              <w:t>Be ligos reiškinių išgyventas laikotarpis</w:t>
            </w:r>
          </w:p>
        </w:tc>
        <w:tc>
          <w:tcPr>
            <w:tcW w:w="3262" w:type="dxa"/>
            <w:gridSpan w:val="3"/>
          </w:tcPr>
          <w:p w14:paraId="0A4ECB07" w14:textId="77777777" w:rsidR="00DC1CDC" w:rsidRPr="00D9492F" w:rsidRDefault="00DC1CDC" w:rsidP="00DC1CDC">
            <w:pPr>
              <w:keepNext/>
              <w:keepLines/>
              <w:spacing w:after="0" w:line="240" w:lineRule="auto"/>
              <w:jc w:val="center"/>
              <w:rPr>
                <w:rFonts w:ascii="Times New Roman" w:hAnsi="Times New Roman"/>
                <w:u w:val="single"/>
              </w:rPr>
            </w:pPr>
            <w:r w:rsidRPr="00D9492F">
              <w:rPr>
                <w:rFonts w:ascii="Times New Roman" w:hAnsi="Times New Roman"/>
                <w:u w:val="single"/>
              </w:rPr>
              <w:t>Bendras išgyventas laikotarpis</w:t>
            </w:r>
          </w:p>
        </w:tc>
      </w:tr>
      <w:tr w:rsidR="00DC1CDC" w:rsidRPr="00D9492F" w14:paraId="373E222B" w14:textId="77777777" w:rsidTr="0003751A">
        <w:trPr>
          <w:jc w:val="center"/>
        </w:trPr>
        <w:tc>
          <w:tcPr>
            <w:tcW w:w="1464" w:type="dxa"/>
            <w:tcBorders>
              <w:bottom w:val="single" w:sz="4" w:space="0" w:color="auto"/>
            </w:tcBorders>
          </w:tcPr>
          <w:p w14:paraId="310F629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Pacienčių poaibis</w:t>
            </w:r>
          </w:p>
        </w:tc>
        <w:tc>
          <w:tcPr>
            <w:tcW w:w="1195" w:type="dxa"/>
            <w:tcBorders>
              <w:bottom w:val="single" w:sz="4" w:space="0" w:color="auto"/>
            </w:tcBorders>
          </w:tcPr>
          <w:p w14:paraId="3645E2B8"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 xml:space="preserve">Pacienčių skaičius </w:t>
            </w:r>
          </w:p>
        </w:tc>
        <w:tc>
          <w:tcPr>
            <w:tcW w:w="1112" w:type="dxa"/>
            <w:tcBorders>
              <w:bottom w:val="single" w:sz="4" w:space="0" w:color="auto"/>
            </w:tcBorders>
          </w:tcPr>
          <w:p w14:paraId="32177899"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Rizikos koeficientas *</w:t>
            </w:r>
          </w:p>
        </w:tc>
        <w:tc>
          <w:tcPr>
            <w:tcW w:w="1087" w:type="dxa"/>
            <w:tcBorders>
              <w:bottom w:val="single" w:sz="4" w:space="0" w:color="auto"/>
            </w:tcBorders>
          </w:tcPr>
          <w:p w14:paraId="497A518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95% PI</w:t>
            </w:r>
          </w:p>
        </w:tc>
        <w:tc>
          <w:tcPr>
            <w:tcW w:w="1041" w:type="dxa"/>
            <w:tcBorders>
              <w:bottom w:val="single" w:sz="4" w:space="0" w:color="auto"/>
            </w:tcBorders>
          </w:tcPr>
          <w:p w14:paraId="7497BBD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p </w:t>
            </w:r>
          </w:p>
        </w:tc>
        <w:tc>
          <w:tcPr>
            <w:tcW w:w="1132" w:type="dxa"/>
            <w:tcBorders>
              <w:bottom w:val="single" w:sz="4" w:space="0" w:color="auto"/>
            </w:tcBorders>
          </w:tcPr>
          <w:p w14:paraId="7C0DAEE5"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Rizikos koeficientas*</w:t>
            </w:r>
          </w:p>
        </w:tc>
        <w:tc>
          <w:tcPr>
            <w:tcW w:w="1087" w:type="dxa"/>
            <w:tcBorders>
              <w:bottom w:val="single" w:sz="4" w:space="0" w:color="auto"/>
            </w:tcBorders>
          </w:tcPr>
          <w:p w14:paraId="33FB833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95% PI</w:t>
            </w:r>
          </w:p>
        </w:tc>
        <w:tc>
          <w:tcPr>
            <w:tcW w:w="1043" w:type="dxa"/>
            <w:tcBorders>
              <w:bottom w:val="single" w:sz="4" w:space="0" w:color="auto"/>
            </w:tcBorders>
          </w:tcPr>
          <w:p w14:paraId="52E506A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p </w:t>
            </w:r>
          </w:p>
        </w:tc>
      </w:tr>
      <w:tr w:rsidR="00DC1CDC" w:rsidRPr="00D9492F" w14:paraId="76C76617" w14:textId="77777777" w:rsidTr="0003751A">
        <w:trPr>
          <w:jc w:val="center"/>
        </w:trPr>
        <w:tc>
          <w:tcPr>
            <w:tcW w:w="1464" w:type="dxa"/>
            <w:tcBorders>
              <w:bottom w:val="nil"/>
              <w:right w:val="single" w:sz="4" w:space="0" w:color="auto"/>
            </w:tcBorders>
          </w:tcPr>
          <w:p w14:paraId="65B1A71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Pažeistų limfmazgių skaičius</w:t>
            </w:r>
          </w:p>
        </w:tc>
        <w:tc>
          <w:tcPr>
            <w:tcW w:w="1195" w:type="dxa"/>
            <w:tcBorders>
              <w:left w:val="single" w:sz="4" w:space="0" w:color="auto"/>
              <w:bottom w:val="nil"/>
              <w:right w:val="single" w:sz="4" w:space="0" w:color="auto"/>
            </w:tcBorders>
          </w:tcPr>
          <w:p w14:paraId="6B64AEB1" w14:textId="77777777" w:rsidR="00DC1CDC" w:rsidRPr="00D9492F" w:rsidRDefault="00DC1CDC" w:rsidP="00DC1CDC">
            <w:pPr>
              <w:keepNext/>
              <w:keepLines/>
              <w:spacing w:after="0" w:line="240" w:lineRule="auto"/>
              <w:rPr>
                <w:rFonts w:ascii="Times New Roman" w:eastAsia="Times New Roman" w:hAnsi="Times New Roman"/>
              </w:rPr>
            </w:pPr>
          </w:p>
        </w:tc>
        <w:tc>
          <w:tcPr>
            <w:tcW w:w="1112" w:type="dxa"/>
            <w:tcBorders>
              <w:left w:val="single" w:sz="4" w:space="0" w:color="auto"/>
              <w:bottom w:val="nil"/>
              <w:right w:val="single" w:sz="4" w:space="0" w:color="auto"/>
            </w:tcBorders>
          </w:tcPr>
          <w:p w14:paraId="108EAE1F" w14:textId="77777777" w:rsidR="00DC1CDC" w:rsidRPr="00D9492F" w:rsidRDefault="00DC1CDC" w:rsidP="00DC1CDC">
            <w:pPr>
              <w:keepNext/>
              <w:keepLines/>
              <w:spacing w:after="0" w:line="240" w:lineRule="auto"/>
              <w:jc w:val="center"/>
              <w:rPr>
                <w:rFonts w:ascii="Times New Roman" w:hAnsi="Times New Roman"/>
              </w:rPr>
            </w:pPr>
          </w:p>
        </w:tc>
        <w:tc>
          <w:tcPr>
            <w:tcW w:w="1087" w:type="dxa"/>
            <w:tcBorders>
              <w:left w:val="single" w:sz="4" w:space="0" w:color="auto"/>
              <w:bottom w:val="nil"/>
              <w:right w:val="single" w:sz="4" w:space="0" w:color="auto"/>
            </w:tcBorders>
          </w:tcPr>
          <w:p w14:paraId="4CBA8B71" w14:textId="77777777" w:rsidR="00DC1CDC" w:rsidRPr="00D9492F" w:rsidRDefault="00DC1CDC" w:rsidP="00DC1CDC">
            <w:pPr>
              <w:keepNext/>
              <w:keepLines/>
              <w:spacing w:after="0" w:line="240" w:lineRule="auto"/>
              <w:jc w:val="center"/>
              <w:rPr>
                <w:rFonts w:ascii="Times New Roman" w:hAnsi="Times New Roman"/>
              </w:rPr>
            </w:pPr>
          </w:p>
        </w:tc>
        <w:tc>
          <w:tcPr>
            <w:tcW w:w="1041" w:type="dxa"/>
            <w:tcBorders>
              <w:left w:val="single" w:sz="4" w:space="0" w:color="auto"/>
              <w:bottom w:val="nil"/>
              <w:right w:val="single" w:sz="4" w:space="0" w:color="auto"/>
            </w:tcBorders>
          </w:tcPr>
          <w:p w14:paraId="2B844006" w14:textId="77777777" w:rsidR="00DC1CDC" w:rsidRPr="00D9492F" w:rsidRDefault="00DC1CDC" w:rsidP="00DC1CDC">
            <w:pPr>
              <w:keepNext/>
              <w:keepLines/>
              <w:spacing w:after="0" w:line="240" w:lineRule="auto"/>
              <w:jc w:val="center"/>
              <w:rPr>
                <w:rFonts w:ascii="Times New Roman" w:hAnsi="Times New Roman"/>
              </w:rPr>
            </w:pPr>
          </w:p>
        </w:tc>
        <w:tc>
          <w:tcPr>
            <w:tcW w:w="1132" w:type="dxa"/>
            <w:tcBorders>
              <w:left w:val="single" w:sz="4" w:space="0" w:color="auto"/>
              <w:bottom w:val="nil"/>
              <w:right w:val="single" w:sz="4" w:space="0" w:color="auto"/>
            </w:tcBorders>
          </w:tcPr>
          <w:p w14:paraId="0B98F515" w14:textId="77777777" w:rsidR="00DC1CDC" w:rsidRPr="00D9492F" w:rsidRDefault="00DC1CDC" w:rsidP="00DC1CDC">
            <w:pPr>
              <w:keepNext/>
              <w:keepLines/>
              <w:spacing w:after="0" w:line="240" w:lineRule="auto"/>
              <w:jc w:val="center"/>
              <w:rPr>
                <w:rFonts w:ascii="Times New Roman" w:hAnsi="Times New Roman"/>
              </w:rPr>
            </w:pPr>
          </w:p>
        </w:tc>
        <w:tc>
          <w:tcPr>
            <w:tcW w:w="1087" w:type="dxa"/>
            <w:tcBorders>
              <w:left w:val="single" w:sz="4" w:space="0" w:color="auto"/>
              <w:bottom w:val="nil"/>
              <w:right w:val="single" w:sz="4" w:space="0" w:color="auto"/>
            </w:tcBorders>
          </w:tcPr>
          <w:p w14:paraId="05FEE460" w14:textId="77777777" w:rsidR="00DC1CDC" w:rsidRPr="00D9492F" w:rsidRDefault="00DC1CDC" w:rsidP="00DC1CDC">
            <w:pPr>
              <w:keepNext/>
              <w:keepLines/>
              <w:spacing w:after="0" w:line="240" w:lineRule="auto"/>
              <w:jc w:val="center"/>
              <w:rPr>
                <w:rFonts w:ascii="Times New Roman" w:hAnsi="Times New Roman"/>
              </w:rPr>
            </w:pPr>
          </w:p>
        </w:tc>
        <w:tc>
          <w:tcPr>
            <w:tcW w:w="1043" w:type="dxa"/>
            <w:tcBorders>
              <w:left w:val="single" w:sz="4" w:space="0" w:color="auto"/>
              <w:bottom w:val="nil"/>
            </w:tcBorders>
          </w:tcPr>
          <w:p w14:paraId="1E8BDDC4" w14:textId="77777777" w:rsidR="00DC1CDC" w:rsidRPr="00D9492F" w:rsidRDefault="00DC1CDC" w:rsidP="00DC1CDC">
            <w:pPr>
              <w:keepNext/>
              <w:keepLines/>
              <w:spacing w:after="0" w:line="240" w:lineRule="auto"/>
              <w:jc w:val="center"/>
              <w:rPr>
                <w:rFonts w:ascii="Times New Roman" w:hAnsi="Times New Roman"/>
              </w:rPr>
            </w:pPr>
          </w:p>
        </w:tc>
      </w:tr>
      <w:tr w:rsidR="00DC1CDC" w:rsidRPr="00D9492F" w14:paraId="46DFBC0C" w14:textId="77777777" w:rsidTr="0003751A">
        <w:trPr>
          <w:jc w:val="center"/>
        </w:trPr>
        <w:tc>
          <w:tcPr>
            <w:tcW w:w="1464" w:type="dxa"/>
            <w:tcBorders>
              <w:top w:val="nil"/>
              <w:bottom w:val="nil"/>
              <w:right w:val="single" w:sz="4" w:space="0" w:color="auto"/>
            </w:tcBorders>
          </w:tcPr>
          <w:p w14:paraId="5AA481E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Iš viso</w:t>
            </w:r>
          </w:p>
        </w:tc>
        <w:tc>
          <w:tcPr>
            <w:tcW w:w="1195" w:type="dxa"/>
            <w:tcBorders>
              <w:top w:val="nil"/>
              <w:left w:val="single" w:sz="4" w:space="0" w:color="auto"/>
              <w:bottom w:val="nil"/>
              <w:right w:val="single" w:sz="4" w:space="0" w:color="auto"/>
            </w:tcBorders>
          </w:tcPr>
          <w:p w14:paraId="74187D5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745</w:t>
            </w:r>
          </w:p>
        </w:tc>
        <w:tc>
          <w:tcPr>
            <w:tcW w:w="1112" w:type="dxa"/>
            <w:tcBorders>
              <w:top w:val="nil"/>
              <w:left w:val="single" w:sz="4" w:space="0" w:color="auto"/>
              <w:bottom w:val="nil"/>
              <w:right w:val="single" w:sz="4" w:space="0" w:color="auto"/>
            </w:tcBorders>
          </w:tcPr>
          <w:p w14:paraId="6A8E620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0,80</w:t>
            </w:r>
          </w:p>
        </w:tc>
        <w:tc>
          <w:tcPr>
            <w:tcW w:w="1087" w:type="dxa"/>
            <w:tcBorders>
              <w:top w:val="nil"/>
              <w:left w:val="single" w:sz="4" w:space="0" w:color="auto"/>
              <w:bottom w:val="nil"/>
              <w:right w:val="single" w:sz="4" w:space="0" w:color="auto"/>
            </w:tcBorders>
          </w:tcPr>
          <w:p w14:paraId="735483E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0,68-0,93</w:t>
            </w:r>
          </w:p>
        </w:tc>
        <w:tc>
          <w:tcPr>
            <w:tcW w:w="1041" w:type="dxa"/>
            <w:tcBorders>
              <w:top w:val="nil"/>
              <w:left w:val="single" w:sz="4" w:space="0" w:color="auto"/>
              <w:bottom w:val="nil"/>
              <w:right w:val="single" w:sz="4" w:space="0" w:color="auto"/>
            </w:tcBorders>
          </w:tcPr>
          <w:p w14:paraId="0C56414B"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0,0043</w:t>
            </w:r>
          </w:p>
        </w:tc>
        <w:tc>
          <w:tcPr>
            <w:tcW w:w="1132" w:type="dxa"/>
            <w:tcBorders>
              <w:top w:val="nil"/>
              <w:left w:val="single" w:sz="4" w:space="0" w:color="auto"/>
              <w:bottom w:val="nil"/>
              <w:right w:val="single" w:sz="4" w:space="0" w:color="auto"/>
            </w:tcBorders>
          </w:tcPr>
          <w:p w14:paraId="64138939"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0,74</w:t>
            </w:r>
          </w:p>
        </w:tc>
        <w:tc>
          <w:tcPr>
            <w:tcW w:w="1087" w:type="dxa"/>
            <w:tcBorders>
              <w:top w:val="nil"/>
              <w:left w:val="single" w:sz="4" w:space="0" w:color="auto"/>
              <w:bottom w:val="nil"/>
              <w:right w:val="single" w:sz="4" w:space="0" w:color="auto"/>
            </w:tcBorders>
          </w:tcPr>
          <w:p w14:paraId="5C844BA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0,61-0,90</w:t>
            </w:r>
          </w:p>
        </w:tc>
        <w:tc>
          <w:tcPr>
            <w:tcW w:w="1043" w:type="dxa"/>
            <w:tcBorders>
              <w:top w:val="nil"/>
              <w:left w:val="single" w:sz="4" w:space="0" w:color="auto"/>
              <w:bottom w:val="nil"/>
            </w:tcBorders>
          </w:tcPr>
          <w:p w14:paraId="5A5696B0"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0,0020</w:t>
            </w:r>
          </w:p>
        </w:tc>
      </w:tr>
      <w:tr w:rsidR="00DC1CDC" w:rsidRPr="00D9492F" w14:paraId="27831026" w14:textId="77777777" w:rsidTr="0003751A">
        <w:trPr>
          <w:jc w:val="center"/>
        </w:trPr>
        <w:tc>
          <w:tcPr>
            <w:tcW w:w="1464" w:type="dxa"/>
            <w:tcBorders>
              <w:top w:val="nil"/>
              <w:bottom w:val="nil"/>
              <w:right w:val="single" w:sz="4" w:space="0" w:color="auto"/>
            </w:tcBorders>
          </w:tcPr>
          <w:p w14:paraId="103DF79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1</w:t>
            </w:r>
            <w:r w:rsidRPr="00D9492F">
              <w:rPr>
                <w:rFonts w:ascii="Times New Roman" w:hAnsi="Times New Roman"/>
              </w:rPr>
              <w:noBreakHyphen/>
              <w:t>3</w:t>
            </w:r>
          </w:p>
        </w:tc>
        <w:tc>
          <w:tcPr>
            <w:tcW w:w="1195" w:type="dxa"/>
            <w:tcBorders>
              <w:top w:val="nil"/>
              <w:left w:val="single" w:sz="4" w:space="0" w:color="auto"/>
              <w:bottom w:val="nil"/>
              <w:right w:val="single" w:sz="4" w:space="0" w:color="auto"/>
            </w:tcBorders>
          </w:tcPr>
          <w:p w14:paraId="345056E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467</w:t>
            </w:r>
          </w:p>
        </w:tc>
        <w:tc>
          <w:tcPr>
            <w:tcW w:w="1112" w:type="dxa"/>
            <w:tcBorders>
              <w:top w:val="nil"/>
              <w:left w:val="single" w:sz="4" w:space="0" w:color="auto"/>
              <w:bottom w:val="nil"/>
              <w:right w:val="single" w:sz="4" w:space="0" w:color="auto"/>
            </w:tcBorders>
          </w:tcPr>
          <w:p w14:paraId="0922260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0,72</w:t>
            </w:r>
          </w:p>
        </w:tc>
        <w:tc>
          <w:tcPr>
            <w:tcW w:w="1087" w:type="dxa"/>
            <w:tcBorders>
              <w:top w:val="nil"/>
              <w:left w:val="single" w:sz="4" w:space="0" w:color="auto"/>
              <w:bottom w:val="nil"/>
              <w:right w:val="single" w:sz="4" w:space="0" w:color="auto"/>
            </w:tcBorders>
          </w:tcPr>
          <w:p w14:paraId="7E1A5D31"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0,58-0,91</w:t>
            </w:r>
          </w:p>
        </w:tc>
        <w:tc>
          <w:tcPr>
            <w:tcW w:w="1041" w:type="dxa"/>
            <w:tcBorders>
              <w:top w:val="nil"/>
              <w:left w:val="single" w:sz="4" w:space="0" w:color="auto"/>
              <w:bottom w:val="nil"/>
              <w:right w:val="single" w:sz="4" w:space="0" w:color="auto"/>
            </w:tcBorders>
          </w:tcPr>
          <w:p w14:paraId="547621E7"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0,0074</w:t>
            </w:r>
          </w:p>
        </w:tc>
        <w:tc>
          <w:tcPr>
            <w:tcW w:w="1132" w:type="dxa"/>
            <w:tcBorders>
              <w:top w:val="nil"/>
              <w:left w:val="single" w:sz="4" w:space="0" w:color="auto"/>
              <w:bottom w:val="nil"/>
              <w:right w:val="single" w:sz="4" w:space="0" w:color="auto"/>
            </w:tcBorders>
          </w:tcPr>
          <w:p w14:paraId="52FF738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0,62</w:t>
            </w:r>
          </w:p>
        </w:tc>
        <w:tc>
          <w:tcPr>
            <w:tcW w:w="1087" w:type="dxa"/>
            <w:tcBorders>
              <w:top w:val="nil"/>
              <w:left w:val="single" w:sz="4" w:space="0" w:color="auto"/>
              <w:bottom w:val="nil"/>
              <w:right w:val="single" w:sz="4" w:space="0" w:color="auto"/>
            </w:tcBorders>
          </w:tcPr>
          <w:p w14:paraId="2D010A38"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0,46-0,82</w:t>
            </w:r>
          </w:p>
        </w:tc>
        <w:tc>
          <w:tcPr>
            <w:tcW w:w="1043" w:type="dxa"/>
            <w:tcBorders>
              <w:top w:val="nil"/>
              <w:left w:val="single" w:sz="4" w:space="0" w:color="auto"/>
              <w:bottom w:val="nil"/>
            </w:tcBorders>
          </w:tcPr>
          <w:p w14:paraId="1BF1D4F2"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0,0008</w:t>
            </w:r>
          </w:p>
        </w:tc>
      </w:tr>
      <w:tr w:rsidR="00DC1CDC" w:rsidRPr="00D9492F" w14:paraId="27799424" w14:textId="77777777" w:rsidTr="0003751A">
        <w:trPr>
          <w:jc w:val="center"/>
        </w:trPr>
        <w:tc>
          <w:tcPr>
            <w:tcW w:w="1464" w:type="dxa"/>
            <w:tcBorders>
              <w:top w:val="nil"/>
              <w:bottom w:val="single" w:sz="4" w:space="0" w:color="auto"/>
              <w:right w:val="single" w:sz="4" w:space="0" w:color="auto"/>
            </w:tcBorders>
          </w:tcPr>
          <w:p w14:paraId="6A0F392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4+</w:t>
            </w:r>
          </w:p>
        </w:tc>
        <w:tc>
          <w:tcPr>
            <w:tcW w:w="1195" w:type="dxa"/>
            <w:tcBorders>
              <w:top w:val="nil"/>
              <w:left w:val="single" w:sz="4" w:space="0" w:color="auto"/>
              <w:bottom w:val="single" w:sz="4" w:space="0" w:color="auto"/>
              <w:right w:val="single" w:sz="4" w:space="0" w:color="auto"/>
            </w:tcBorders>
          </w:tcPr>
          <w:p w14:paraId="6511561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278</w:t>
            </w:r>
          </w:p>
        </w:tc>
        <w:tc>
          <w:tcPr>
            <w:tcW w:w="1112" w:type="dxa"/>
            <w:tcBorders>
              <w:top w:val="nil"/>
              <w:left w:val="single" w:sz="4" w:space="0" w:color="auto"/>
              <w:bottom w:val="single" w:sz="4" w:space="0" w:color="auto"/>
              <w:right w:val="single" w:sz="4" w:space="0" w:color="auto"/>
            </w:tcBorders>
          </w:tcPr>
          <w:p w14:paraId="65210CB8"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0,87</w:t>
            </w:r>
          </w:p>
        </w:tc>
        <w:tc>
          <w:tcPr>
            <w:tcW w:w="1087" w:type="dxa"/>
            <w:tcBorders>
              <w:top w:val="nil"/>
              <w:left w:val="single" w:sz="4" w:space="0" w:color="auto"/>
              <w:bottom w:val="single" w:sz="4" w:space="0" w:color="auto"/>
              <w:right w:val="single" w:sz="4" w:space="0" w:color="auto"/>
            </w:tcBorders>
          </w:tcPr>
          <w:p w14:paraId="3FF1D08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0,70-1,09</w:t>
            </w:r>
          </w:p>
        </w:tc>
        <w:tc>
          <w:tcPr>
            <w:tcW w:w="1041" w:type="dxa"/>
            <w:tcBorders>
              <w:top w:val="nil"/>
              <w:left w:val="single" w:sz="4" w:space="0" w:color="auto"/>
              <w:bottom w:val="single" w:sz="4" w:space="0" w:color="auto"/>
              <w:right w:val="single" w:sz="4" w:space="0" w:color="auto"/>
            </w:tcBorders>
          </w:tcPr>
          <w:p w14:paraId="3ADA85AB"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0,2290</w:t>
            </w:r>
          </w:p>
        </w:tc>
        <w:tc>
          <w:tcPr>
            <w:tcW w:w="1132" w:type="dxa"/>
            <w:tcBorders>
              <w:top w:val="nil"/>
              <w:left w:val="single" w:sz="4" w:space="0" w:color="auto"/>
              <w:bottom w:val="single" w:sz="4" w:space="0" w:color="auto"/>
              <w:right w:val="single" w:sz="4" w:space="0" w:color="auto"/>
            </w:tcBorders>
          </w:tcPr>
          <w:p w14:paraId="6C46BFCB"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0,87</w:t>
            </w:r>
          </w:p>
        </w:tc>
        <w:tc>
          <w:tcPr>
            <w:tcW w:w="1087" w:type="dxa"/>
            <w:tcBorders>
              <w:top w:val="nil"/>
              <w:left w:val="single" w:sz="4" w:space="0" w:color="auto"/>
              <w:bottom w:val="single" w:sz="4" w:space="0" w:color="auto"/>
              <w:right w:val="single" w:sz="4" w:space="0" w:color="auto"/>
            </w:tcBorders>
          </w:tcPr>
          <w:p w14:paraId="7138C44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0,67-1,12</w:t>
            </w:r>
          </w:p>
        </w:tc>
        <w:tc>
          <w:tcPr>
            <w:tcW w:w="1043" w:type="dxa"/>
            <w:tcBorders>
              <w:top w:val="nil"/>
              <w:left w:val="single" w:sz="4" w:space="0" w:color="auto"/>
              <w:bottom w:val="single" w:sz="4" w:space="0" w:color="auto"/>
            </w:tcBorders>
          </w:tcPr>
          <w:p w14:paraId="29CFE46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0,2746</w:t>
            </w:r>
          </w:p>
        </w:tc>
      </w:tr>
    </w:tbl>
    <w:p w14:paraId="7E34EB5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 * Mažesnis už 1 rizikos koeficientas rodo, kad vartojant TAC be ligos reiškinių išgyventas laikotarpis ir bendras išgyventas laikotarpis buvo ilgesni negu vartojant FAC.</w:t>
      </w:r>
    </w:p>
    <w:p w14:paraId="144B1231" w14:textId="77777777" w:rsidR="00DC1CDC" w:rsidRPr="00D9492F" w:rsidRDefault="00DC1CDC" w:rsidP="00DC1CDC">
      <w:pPr>
        <w:spacing w:after="0" w:line="240" w:lineRule="auto"/>
        <w:rPr>
          <w:rFonts w:ascii="Times New Roman" w:hAnsi="Times New Roman"/>
          <w:bCs/>
        </w:rPr>
      </w:pPr>
    </w:p>
    <w:p w14:paraId="1F05A636"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Pacientės, sergančios tinkamu operuoti į limfmazgius nemetastazavusiu krūties vėžiu, kurioms galima chemoterapija (GEICAM 9805)</w:t>
      </w:r>
    </w:p>
    <w:p w14:paraId="36C6393D" w14:textId="77777777" w:rsidR="00DC1CDC" w:rsidRPr="00D9492F" w:rsidRDefault="00DC1CDC" w:rsidP="00DC1CDC">
      <w:pPr>
        <w:spacing w:after="0" w:line="240" w:lineRule="auto"/>
        <w:rPr>
          <w:rFonts w:ascii="Times New Roman" w:hAnsi="Times New Roman"/>
        </w:rPr>
      </w:pPr>
    </w:p>
    <w:p w14:paraId="6D8EA7E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Daugiacentrio, atvirojo, atsitiktinės parinkties tyrimo duomenys patvirtina Docetaxel SanoSwiss vartojimą pagalbiniam gydymui pacienčių, sergančių tinkamu operuoti į limfmazgius nemetastazavusiu krūties vėžiu, kurioms gali būti taikoma chemoterapija. 1060 pacientės, sergančios tinkamu operuoti į limfmazgius nemetastazavusiu krūties vėžiu su didele atkryčio rizika pagal 1998 </w:t>
      </w:r>
      <w:r w:rsidRPr="00D9492F">
        <w:rPr>
          <w:rFonts w:ascii="Times New Roman" w:hAnsi="Times New Roman"/>
          <w:i/>
        </w:rPr>
        <w:t>St.</w:t>
      </w:r>
      <w:r w:rsidR="0027700C" w:rsidRPr="00D9492F">
        <w:rPr>
          <w:rFonts w:ascii="Times New Roman" w:hAnsi="Times New Roman"/>
          <w:i/>
        </w:rPr>
        <w:t xml:space="preserve"> </w:t>
      </w:r>
      <w:r w:rsidRPr="00D9492F">
        <w:rPr>
          <w:rFonts w:ascii="Times New Roman" w:hAnsi="Times New Roman"/>
          <w:i/>
        </w:rPr>
        <w:t>Gallen</w:t>
      </w:r>
      <w:r w:rsidRPr="00D9492F">
        <w:rPr>
          <w:rFonts w:ascii="Times New Roman" w:hAnsi="Times New Roman"/>
        </w:rPr>
        <w:t xml:space="preserve"> kriterijus (naviko dydis &gt; 2 cm ir (arba) neigiamas ER ir PR ir (arba) didelis histologinis branduolių diferenciacijos laipsnis (2 arba 3 laipsnis) ir (arba) amžius &lt; 35 metai) buvo atsitiktinai suskirstytos ir vartojo arba Docetaxel SanoSwiss 75 mg/m</w:t>
      </w:r>
      <w:r w:rsidRPr="00D9492F">
        <w:rPr>
          <w:rFonts w:ascii="Times New Roman" w:hAnsi="Times New Roman"/>
          <w:vertAlign w:val="superscript"/>
        </w:rPr>
        <w:t>2</w:t>
      </w:r>
      <w:r w:rsidRPr="00D9492F">
        <w:rPr>
          <w:rFonts w:ascii="Times New Roman" w:hAnsi="Times New Roman"/>
        </w:rPr>
        <w:t>, skiriamo praėjus 1 valandai po doksorubicino 50 mg/m</w:t>
      </w:r>
      <w:r w:rsidRPr="00D9492F">
        <w:rPr>
          <w:rFonts w:ascii="Times New Roman" w:hAnsi="Times New Roman"/>
          <w:vertAlign w:val="superscript"/>
        </w:rPr>
        <w:t>2</w:t>
      </w:r>
      <w:r w:rsidRPr="00D9492F">
        <w:rPr>
          <w:rFonts w:ascii="Times New Roman" w:hAnsi="Times New Roman"/>
        </w:rPr>
        <w:t xml:space="preserve"> ir ciklofosfamido 500 mg/m</w:t>
      </w:r>
      <w:r w:rsidRPr="00D9492F">
        <w:rPr>
          <w:rFonts w:ascii="Times New Roman" w:hAnsi="Times New Roman"/>
          <w:vertAlign w:val="superscript"/>
        </w:rPr>
        <w:t>2</w:t>
      </w:r>
      <w:r w:rsidRPr="00D9492F">
        <w:rPr>
          <w:rFonts w:ascii="Times New Roman" w:hAnsi="Times New Roman"/>
        </w:rPr>
        <w:t xml:space="preserve"> vartojimo (539 pacientės TAC grupėje), arba doksorubicino 50 mg/m</w:t>
      </w:r>
      <w:r w:rsidRPr="00D9492F">
        <w:rPr>
          <w:rFonts w:ascii="Times New Roman" w:hAnsi="Times New Roman"/>
          <w:vertAlign w:val="superscript"/>
        </w:rPr>
        <w:t>2</w:t>
      </w:r>
      <w:r w:rsidR="0027700C" w:rsidRPr="00D9492F">
        <w:rPr>
          <w:rFonts w:ascii="Times New Roman" w:hAnsi="Times New Roman"/>
        </w:rPr>
        <w:t>,</w:t>
      </w:r>
      <w:r w:rsidRPr="00D9492F">
        <w:rPr>
          <w:rFonts w:ascii="Times New Roman" w:hAnsi="Times New Roman"/>
          <w:vertAlign w:val="superscript"/>
        </w:rPr>
        <w:t xml:space="preserve"> </w:t>
      </w:r>
      <w:r w:rsidRPr="00D9492F">
        <w:rPr>
          <w:rFonts w:ascii="Times New Roman" w:hAnsi="Times New Roman"/>
        </w:rPr>
        <w:t>skiriamo po fluorouracilo 500 mg/m</w:t>
      </w:r>
      <w:r w:rsidRPr="00D9492F">
        <w:rPr>
          <w:rFonts w:ascii="Times New Roman" w:hAnsi="Times New Roman"/>
          <w:vertAlign w:val="superscript"/>
        </w:rPr>
        <w:t>2</w:t>
      </w:r>
      <w:r w:rsidRPr="00D9492F">
        <w:rPr>
          <w:rFonts w:ascii="Times New Roman" w:hAnsi="Times New Roman"/>
        </w:rPr>
        <w:t xml:space="preserve"> ir ciklofosfamido 500 mg/m</w:t>
      </w:r>
      <w:r w:rsidRPr="00D9492F">
        <w:rPr>
          <w:rFonts w:ascii="Times New Roman" w:hAnsi="Times New Roman"/>
          <w:vertAlign w:val="superscript"/>
        </w:rPr>
        <w:t>2</w:t>
      </w:r>
      <w:r w:rsidRPr="00D9492F">
        <w:rPr>
          <w:rFonts w:ascii="Times New Roman" w:hAnsi="Times New Roman"/>
        </w:rPr>
        <w:t xml:space="preserve"> (521 pacientė FAC grupėje). Abi gydymo schemos buvo taikomos kartą kas 3 savaites 6 gydymo kursus. Docetaxel SanoSwiss buvo suleidžiamas 1 valandos trukmės infuzijos metu, visi kiti vaistiniai preparatai buvo vartojami į veną pirmąją dieną kas tris savaites. Kai buvo atrinkta 230 pacienčių, TAC grupėje pradžioje buvo privaloma profilaktiškai vartoti G-KSF. 4 laipsnio neutropenijos, febrilinės neutropenijos ir su neutropeninės infekcijos dažnis buvo mažesnis pacientėms, kurios pradžioje profilaktikai vartojo G-KSF (žr. 4.8 skyrių). Po paskutinio chemoterapijos kurso, abiejų grupių </w:t>
      </w:r>
      <w:r w:rsidRPr="00D9492F">
        <w:rPr>
          <w:rFonts w:ascii="Times New Roman" w:hAnsi="Times New Roman"/>
        </w:rPr>
        <w:lastRenderedPageBreak/>
        <w:t>pacientės, kurioms nustatyti ER ir PR teigiami navikai, vartojo tamoksifeną 20 mg kartą per parą 5 metus. Pagalbinis spindulinis gydymas buvo taikomas pagal dalyvaujančiose institucijose esančias gaires. Jis buvo pritaikytas 57,3 % pacienčių, kurios buvo gydytos taikant TAC schemą</w:t>
      </w:r>
      <w:r w:rsidR="0027700C" w:rsidRPr="00D9492F">
        <w:rPr>
          <w:rFonts w:ascii="Times New Roman" w:hAnsi="Times New Roman"/>
        </w:rPr>
        <w:t>,</w:t>
      </w:r>
      <w:r w:rsidRPr="00D9492F">
        <w:rPr>
          <w:rFonts w:ascii="Times New Roman" w:hAnsi="Times New Roman"/>
        </w:rPr>
        <w:t xml:space="preserve"> ir 51,2 % gydytoms taikant FAC schemą.</w:t>
      </w:r>
    </w:p>
    <w:p w14:paraId="066982D1" w14:textId="77777777" w:rsidR="00135562" w:rsidRPr="00D9492F" w:rsidRDefault="00135562" w:rsidP="00135562">
      <w:pPr>
        <w:spacing w:after="0" w:line="240" w:lineRule="auto"/>
        <w:rPr>
          <w:rFonts w:ascii="Times New Roman" w:hAnsi="Times New Roman"/>
        </w:rPr>
      </w:pPr>
    </w:p>
    <w:p w14:paraId="3BFCC86A" w14:textId="5D7DFF78" w:rsidR="00135562" w:rsidRPr="00D9492F" w:rsidRDefault="00135562" w:rsidP="00135562">
      <w:pPr>
        <w:spacing w:after="0" w:line="240" w:lineRule="auto"/>
        <w:rPr>
          <w:rFonts w:ascii="Times New Roman" w:hAnsi="Times New Roman"/>
        </w:rPr>
      </w:pPr>
      <w:r w:rsidRPr="00D9492F">
        <w:rPr>
          <w:rFonts w:ascii="Times New Roman" w:hAnsi="Times New Roman"/>
        </w:rPr>
        <w:t>Buvo atliktos viena pagrindinė ir viena atnaujinta analizė. Pagrindinė analizė buvo atlikta tada, kai visų pacienčių stebėjimo laikotarpis viršijo 5</w:t>
      </w:r>
      <w:r w:rsidR="00126FB4" w:rsidRPr="00D9492F">
        <w:rPr>
          <w:rFonts w:ascii="Times New Roman" w:hAnsi="Times New Roman"/>
        </w:rPr>
        <w:t> </w:t>
      </w:r>
      <w:r w:rsidRPr="00D9492F">
        <w:rPr>
          <w:rFonts w:ascii="Times New Roman" w:hAnsi="Times New Roman"/>
        </w:rPr>
        <w:t>metus (stebėjimo laikotarpio mediana buvo 77</w:t>
      </w:r>
      <w:r w:rsidR="00126FB4" w:rsidRPr="00D9492F">
        <w:rPr>
          <w:rFonts w:ascii="Times New Roman" w:hAnsi="Times New Roman"/>
        </w:rPr>
        <w:t> </w:t>
      </w:r>
      <w:r w:rsidRPr="00D9492F">
        <w:rPr>
          <w:rFonts w:ascii="Times New Roman" w:hAnsi="Times New Roman"/>
        </w:rPr>
        <w:t>mėnesiai). Atnaujinta analizė buvo atlikta tada, kai visos pacientės atliko 10-ųjų metų (stebėjimo laikotarpio mediana buvo 10</w:t>
      </w:r>
      <w:r w:rsidR="00126FB4" w:rsidRPr="00D9492F">
        <w:rPr>
          <w:rFonts w:ascii="Times New Roman" w:hAnsi="Times New Roman"/>
        </w:rPr>
        <w:t> </w:t>
      </w:r>
      <w:r w:rsidRPr="00D9492F">
        <w:rPr>
          <w:rFonts w:ascii="Times New Roman" w:hAnsi="Times New Roman"/>
        </w:rPr>
        <w:t>metų ir 5</w:t>
      </w:r>
      <w:r w:rsidR="00126FB4" w:rsidRPr="00D9492F">
        <w:rPr>
          <w:rFonts w:ascii="Times New Roman" w:hAnsi="Times New Roman"/>
        </w:rPr>
        <w:t> </w:t>
      </w:r>
      <w:r w:rsidRPr="00D9492F">
        <w:rPr>
          <w:rFonts w:ascii="Times New Roman" w:hAnsi="Times New Roman"/>
        </w:rPr>
        <w:t xml:space="preserve">mėnesiai) stebėjimo vizitą (išskyrus atvejus, kai pasireiškė </w:t>
      </w:r>
      <w:r w:rsidR="00E85ECD" w:rsidRPr="00D9492F">
        <w:rPr>
          <w:rFonts w:ascii="Times New Roman" w:hAnsi="Times New Roman"/>
        </w:rPr>
        <w:t>I</w:t>
      </w:r>
      <w:r w:rsidRPr="00D9492F">
        <w:rPr>
          <w:rFonts w:ascii="Times New Roman" w:hAnsi="Times New Roman"/>
        </w:rPr>
        <w:t>BLS reiškinys arba pacientės stebėjimas nutrūko anksčiau). Pirminė veiksmingumo vertinamoji baigtis buvo</w:t>
      </w:r>
      <w:r w:rsidR="00E85ECD" w:rsidRPr="00D9492F">
        <w:rPr>
          <w:rFonts w:ascii="Times New Roman" w:hAnsi="Times New Roman"/>
        </w:rPr>
        <w:t xml:space="preserve"> išgyvenamumas</w:t>
      </w:r>
      <w:r w:rsidRPr="00D9492F">
        <w:rPr>
          <w:rFonts w:ascii="Times New Roman" w:hAnsi="Times New Roman"/>
        </w:rPr>
        <w:t xml:space="preserve"> be ligos simptomų (</w:t>
      </w:r>
      <w:r w:rsidR="00E85ECD" w:rsidRPr="00D9492F">
        <w:rPr>
          <w:rFonts w:ascii="Times New Roman" w:hAnsi="Times New Roman"/>
        </w:rPr>
        <w:t>I</w:t>
      </w:r>
      <w:r w:rsidRPr="00D9492F">
        <w:rPr>
          <w:rFonts w:ascii="Times New Roman" w:hAnsi="Times New Roman"/>
        </w:rPr>
        <w:t xml:space="preserve">BLS), o antrinė veiksmingumo vertinamoji baigtis – bendrasis išgyvenamumas (BI). </w:t>
      </w:r>
    </w:p>
    <w:p w14:paraId="14CC6BD1" w14:textId="77777777" w:rsidR="00DC1CDC" w:rsidRPr="00D9492F" w:rsidRDefault="00DC1CDC" w:rsidP="00DC1CDC">
      <w:pPr>
        <w:spacing w:after="0" w:line="240" w:lineRule="auto"/>
        <w:rPr>
          <w:rFonts w:ascii="Times New Roman" w:hAnsi="Times New Roman"/>
        </w:rPr>
      </w:pPr>
    </w:p>
    <w:p w14:paraId="0150E036" w14:textId="45BE7FDA"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Vidutinė stebėjimo trukmė buvo 77 mėnesiai. Buvo nustatytas reikšmingai ilgesnis be ligos reiškinių išgyventas laikotarpis TAC grupėje lyginant su FAC grupe. TAC gydytoms pacientėms atkryčio rizika buvo 32 % mažesnė nei FAC gydytųjų grupėje (rizikos koeficientas = 0,68, 95 % PI (0,49-0,93), p = 0,01). </w:t>
      </w:r>
      <w:r w:rsidR="00135562" w:rsidRPr="00D9492F">
        <w:rPr>
          <w:rFonts w:ascii="Times New Roman" w:hAnsi="Times New Roman"/>
        </w:rPr>
        <w:t xml:space="preserve">Pasiekus 10 metų ir 5 mėnesių stebėjimo laikotarpio medianą, TAC gydytoms pacientėms atkryčio rizika buvo 16,5% mažesnė nei FAC gydytųjų grupėje (rizikos koeficientas = 0,84, 95% PI (0,65-1,08), p=0,1646). </w:t>
      </w:r>
      <w:r w:rsidR="00E85ECD" w:rsidRPr="00D9492F">
        <w:rPr>
          <w:rFonts w:ascii="Times New Roman" w:hAnsi="Times New Roman"/>
        </w:rPr>
        <w:t>I</w:t>
      </w:r>
      <w:r w:rsidR="00135562" w:rsidRPr="00D9492F">
        <w:rPr>
          <w:rFonts w:ascii="Times New Roman" w:hAnsi="Times New Roman"/>
        </w:rPr>
        <w:t xml:space="preserve">BLS duomenys statistiškai reikšmingai nesiskyrė, tačiau stebėta palanki tendencija TAC grupėje. </w:t>
      </w:r>
      <w:r w:rsidRPr="00D9492F">
        <w:rPr>
          <w:rFonts w:ascii="Times New Roman" w:hAnsi="Times New Roman"/>
        </w:rPr>
        <w:t>Bendras išgyventas laikotarpis (BIL) taip pat buvo ilgesnis TAC grupėje, nes TAC gydytoms pacientėms mirties rizika buvo 24 % mažesnė</w:t>
      </w:r>
      <w:r w:rsidR="0065594D" w:rsidRPr="00D9492F">
        <w:rPr>
          <w:rFonts w:ascii="Times New Roman" w:hAnsi="Times New Roman"/>
        </w:rPr>
        <w:t>,</w:t>
      </w:r>
      <w:r w:rsidRPr="00D9492F">
        <w:rPr>
          <w:rFonts w:ascii="Times New Roman" w:hAnsi="Times New Roman"/>
        </w:rPr>
        <w:t xml:space="preserve"> lyginant su FAC grupe (rizikos koeficientas = 0,76, 95 % PI (0,46-1,26, p = 0,29). Tačiau BIL abiejose grupėse reikšmingai nesiskyrė.</w:t>
      </w:r>
    </w:p>
    <w:p w14:paraId="75D6B5D9" w14:textId="77777777" w:rsidR="00135562" w:rsidRPr="00D9492F" w:rsidRDefault="00135562" w:rsidP="00135562">
      <w:pPr>
        <w:spacing w:after="0" w:line="240" w:lineRule="auto"/>
        <w:rPr>
          <w:rFonts w:ascii="Times New Roman" w:hAnsi="Times New Roman"/>
        </w:rPr>
      </w:pPr>
    </w:p>
    <w:p w14:paraId="52E2BFF3" w14:textId="45876266"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Pasiekus 10 metų ir 5 mėnesių stebėjimo laikotarpio medianą, TAC gydytoms pacientėms mirties rizika buvo 9% mažesnė lyginant su FAC grupės pacientėmis (rizikos koeficientas = 0,91, 95% PI (0,63-1,32)). </w:t>
      </w:r>
    </w:p>
    <w:p w14:paraId="5FEAA504"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Išgyvenamumo dažnis buvo 93,7% TAC grupėje ir 91,4 % FAC grupėje, kai stebėjimo laikotarpio mediana buvo 8 metai, bei 91,3% TAC grupėje ir 89% FAC grupėje, kai stebėjimo laikotarpio mediana buvo 10 metų. </w:t>
      </w:r>
    </w:p>
    <w:p w14:paraId="47C97F31" w14:textId="77777777" w:rsidR="00135562" w:rsidRPr="00D9492F" w:rsidRDefault="00135562" w:rsidP="00135562">
      <w:pPr>
        <w:spacing w:after="0" w:line="240" w:lineRule="auto"/>
        <w:rPr>
          <w:rFonts w:ascii="Times New Roman" w:hAnsi="Times New Roman"/>
        </w:rPr>
      </w:pPr>
    </w:p>
    <w:p w14:paraId="1821547E"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Palankus naudos ir rizikos santykis TAC grupėje, palyginti su FAC grupe, nepakito. </w:t>
      </w:r>
    </w:p>
    <w:p w14:paraId="16B61C56" w14:textId="77777777" w:rsidR="00DC1CDC" w:rsidRPr="00D9492F" w:rsidRDefault="00DC1CDC" w:rsidP="00DC1CDC">
      <w:pPr>
        <w:spacing w:after="0" w:line="240" w:lineRule="auto"/>
        <w:rPr>
          <w:rFonts w:ascii="Times New Roman" w:hAnsi="Times New Roman"/>
        </w:rPr>
      </w:pPr>
    </w:p>
    <w:p w14:paraId="6369C2D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TAC gydytų pacienčių pogrupių, pagal prospektyviai nustatytus didžiuosius prognostinius kriterijus, analizė (žr. lentelę toliau).</w:t>
      </w:r>
    </w:p>
    <w:p w14:paraId="6B65A9C2" w14:textId="77777777" w:rsidR="00DC1CDC" w:rsidRPr="00D9492F" w:rsidRDefault="00DC1CDC" w:rsidP="00DC1CDC">
      <w:pPr>
        <w:spacing w:after="0" w:line="240" w:lineRule="auto"/>
        <w:rPr>
          <w:rFonts w:ascii="Times New Roman" w:hAnsi="Times New Roman"/>
        </w:rPr>
      </w:pPr>
    </w:p>
    <w:p w14:paraId="362E573C"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lastRenderedPageBreak/>
        <w:t>Pacienčių, sergančių į limfmazgius nemetastazavusiu krūties vėžiu, pagalbinio gydymo tyrimo pogrupių analizė (</w:t>
      </w:r>
      <w:r w:rsidR="0065594D" w:rsidRPr="00D9492F">
        <w:rPr>
          <w:rFonts w:ascii="Times New Roman" w:eastAsia="Times New Roman" w:hAnsi="Times New Roman"/>
          <w:u w:val="single"/>
        </w:rPr>
        <w:t>v</w:t>
      </w:r>
      <w:r w:rsidRPr="00D9492F">
        <w:rPr>
          <w:rFonts w:ascii="Times New Roman" w:eastAsia="Times New Roman" w:hAnsi="Times New Roman"/>
          <w:u w:val="single"/>
        </w:rPr>
        <w:t>isų tyrime dalyvavusių pacienčių duomenų analizė)</w:t>
      </w:r>
    </w:p>
    <w:p w14:paraId="2AD57808" w14:textId="77777777" w:rsidR="00DC1CDC" w:rsidRPr="00D9492F" w:rsidRDefault="00DC1CDC" w:rsidP="00DC1CDC">
      <w:pPr>
        <w:keepNext/>
        <w:keepLines/>
        <w:spacing w:after="0" w:line="240" w:lineRule="auto"/>
        <w:rPr>
          <w:rFonts w:ascii="Times New Roman" w:eastAsia="Times New Roman" w:hAnsi="Times New Roman"/>
          <w:u w:val="single"/>
        </w:rPr>
      </w:pP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160"/>
        <w:gridCol w:w="1934"/>
        <w:gridCol w:w="1935"/>
      </w:tblGrid>
      <w:tr w:rsidR="00DC1CDC" w:rsidRPr="00D9492F" w14:paraId="44D30D57" w14:textId="77777777" w:rsidTr="0003751A">
        <w:trPr>
          <w:tblHeader/>
          <w:jc w:val="center"/>
        </w:trPr>
        <w:tc>
          <w:tcPr>
            <w:tcW w:w="2340" w:type="dxa"/>
            <w:tcBorders>
              <w:bottom w:val="nil"/>
            </w:tcBorders>
            <w:shd w:val="clear" w:color="auto" w:fill="auto"/>
          </w:tcPr>
          <w:p w14:paraId="5A6A9F93" w14:textId="77777777" w:rsidR="00DC1CDC" w:rsidRPr="00D9492F" w:rsidRDefault="00DC1CDC" w:rsidP="00DC1CDC">
            <w:pPr>
              <w:keepNext/>
              <w:keepLines/>
              <w:spacing w:after="0" w:line="240" w:lineRule="auto"/>
              <w:rPr>
                <w:rFonts w:ascii="Times New Roman" w:eastAsia="Times New Roman" w:hAnsi="Times New Roman"/>
              </w:rPr>
            </w:pPr>
          </w:p>
        </w:tc>
        <w:tc>
          <w:tcPr>
            <w:tcW w:w="2160" w:type="dxa"/>
            <w:tcBorders>
              <w:bottom w:val="nil"/>
            </w:tcBorders>
            <w:shd w:val="clear" w:color="auto" w:fill="auto"/>
          </w:tcPr>
          <w:p w14:paraId="4778ADFB"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3869" w:type="dxa"/>
            <w:gridSpan w:val="2"/>
            <w:tcBorders>
              <w:bottom w:val="single" w:sz="4" w:space="0" w:color="auto"/>
            </w:tcBorders>
            <w:shd w:val="clear" w:color="auto" w:fill="auto"/>
          </w:tcPr>
          <w:p w14:paraId="7BB75F61" w14:textId="77777777" w:rsidR="00DC1CDC" w:rsidRPr="00D9492F" w:rsidRDefault="00DC1CDC" w:rsidP="00DC1CDC">
            <w:pPr>
              <w:keepNext/>
              <w:keepLines/>
              <w:spacing w:after="0" w:line="240" w:lineRule="auto"/>
              <w:jc w:val="center"/>
              <w:rPr>
                <w:rFonts w:ascii="Times New Roman" w:eastAsia="Times New Roman" w:hAnsi="Times New Roman"/>
                <w:u w:val="single"/>
              </w:rPr>
            </w:pPr>
            <w:r w:rsidRPr="00D9492F">
              <w:rPr>
                <w:rFonts w:ascii="Times New Roman" w:eastAsia="Times New Roman" w:hAnsi="Times New Roman"/>
                <w:u w:val="single"/>
              </w:rPr>
              <w:t>Be ligos reiškinių išgyventas laikotarpis</w:t>
            </w:r>
          </w:p>
        </w:tc>
      </w:tr>
      <w:tr w:rsidR="00DC1CDC" w:rsidRPr="00D9492F" w14:paraId="7FA843A4" w14:textId="77777777" w:rsidTr="0003751A">
        <w:trPr>
          <w:tblHeader/>
          <w:jc w:val="center"/>
        </w:trPr>
        <w:tc>
          <w:tcPr>
            <w:tcW w:w="2340" w:type="dxa"/>
            <w:tcBorders>
              <w:top w:val="nil"/>
              <w:bottom w:val="single" w:sz="4" w:space="0" w:color="auto"/>
            </w:tcBorders>
            <w:shd w:val="clear" w:color="auto" w:fill="auto"/>
          </w:tcPr>
          <w:p w14:paraId="6FB39B3E"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Pacienčių pogrupis</w:t>
            </w:r>
          </w:p>
        </w:tc>
        <w:tc>
          <w:tcPr>
            <w:tcW w:w="2160" w:type="dxa"/>
            <w:tcBorders>
              <w:top w:val="nil"/>
              <w:bottom w:val="single" w:sz="4" w:space="0" w:color="auto"/>
            </w:tcBorders>
            <w:shd w:val="clear" w:color="auto" w:fill="auto"/>
          </w:tcPr>
          <w:p w14:paraId="58579527" w14:textId="77777777" w:rsidR="00DC1CDC" w:rsidRPr="00D9492F" w:rsidRDefault="00DC1CDC" w:rsidP="00DC1CDC">
            <w:pPr>
              <w:keepNext/>
              <w:keepLines/>
              <w:spacing w:after="0" w:line="240" w:lineRule="auto"/>
              <w:jc w:val="center"/>
              <w:rPr>
                <w:rFonts w:ascii="Times New Roman" w:eastAsia="Times New Roman" w:hAnsi="Times New Roman"/>
                <w:u w:val="single"/>
              </w:rPr>
            </w:pPr>
            <w:r w:rsidRPr="00D9492F">
              <w:rPr>
                <w:rFonts w:ascii="Times New Roman" w:eastAsia="Times New Roman" w:hAnsi="Times New Roman"/>
                <w:u w:val="single"/>
              </w:rPr>
              <w:t xml:space="preserve">Pacienčių skaičius TAC grupėje </w:t>
            </w:r>
          </w:p>
        </w:tc>
        <w:tc>
          <w:tcPr>
            <w:tcW w:w="1934" w:type="dxa"/>
            <w:tcBorders>
              <w:bottom w:val="single" w:sz="4" w:space="0" w:color="auto"/>
            </w:tcBorders>
            <w:shd w:val="clear" w:color="auto" w:fill="auto"/>
          </w:tcPr>
          <w:p w14:paraId="3301EE48" w14:textId="77777777" w:rsidR="00DC1CDC" w:rsidRPr="00D9492F" w:rsidRDefault="00DC1CDC" w:rsidP="00DC1CDC">
            <w:pPr>
              <w:keepNext/>
              <w:keepLines/>
              <w:spacing w:after="0" w:line="240" w:lineRule="auto"/>
              <w:jc w:val="center"/>
              <w:rPr>
                <w:rFonts w:ascii="Times New Roman" w:eastAsia="Times New Roman" w:hAnsi="Times New Roman"/>
                <w:u w:val="single"/>
              </w:rPr>
            </w:pPr>
            <w:r w:rsidRPr="00D9492F">
              <w:rPr>
                <w:rFonts w:ascii="Times New Roman" w:eastAsia="Times New Roman" w:hAnsi="Times New Roman"/>
                <w:u w:val="single"/>
              </w:rPr>
              <w:t>Rizikos koeficientas*</w:t>
            </w:r>
          </w:p>
        </w:tc>
        <w:tc>
          <w:tcPr>
            <w:tcW w:w="1935" w:type="dxa"/>
            <w:tcBorders>
              <w:bottom w:val="single" w:sz="4" w:space="0" w:color="auto"/>
            </w:tcBorders>
            <w:shd w:val="clear" w:color="auto" w:fill="auto"/>
          </w:tcPr>
          <w:p w14:paraId="6C1F1652" w14:textId="77777777" w:rsidR="00DC1CDC" w:rsidRPr="00D9492F" w:rsidRDefault="00DC1CDC" w:rsidP="00DC1CDC">
            <w:pPr>
              <w:keepNext/>
              <w:keepLines/>
              <w:spacing w:after="0" w:line="240" w:lineRule="auto"/>
              <w:jc w:val="center"/>
              <w:rPr>
                <w:rFonts w:ascii="Times New Roman" w:eastAsia="Times New Roman" w:hAnsi="Times New Roman"/>
                <w:u w:val="single"/>
              </w:rPr>
            </w:pPr>
            <w:r w:rsidRPr="00D9492F">
              <w:rPr>
                <w:rFonts w:ascii="Times New Roman" w:eastAsia="Times New Roman" w:hAnsi="Times New Roman"/>
                <w:u w:val="single"/>
              </w:rPr>
              <w:t>95% PI</w:t>
            </w:r>
          </w:p>
        </w:tc>
      </w:tr>
      <w:tr w:rsidR="00DC1CDC" w:rsidRPr="00D9492F" w14:paraId="1EB46BEA" w14:textId="77777777" w:rsidTr="0003751A">
        <w:trPr>
          <w:jc w:val="center"/>
        </w:trPr>
        <w:tc>
          <w:tcPr>
            <w:tcW w:w="2340" w:type="dxa"/>
            <w:tcBorders>
              <w:bottom w:val="single" w:sz="4" w:space="0" w:color="auto"/>
              <w:right w:val="single" w:sz="4" w:space="0" w:color="auto"/>
            </w:tcBorders>
            <w:shd w:val="clear" w:color="auto" w:fill="auto"/>
          </w:tcPr>
          <w:p w14:paraId="7537F485"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Bendras</w:t>
            </w:r>
          </w:p>
        </w:tc>
        <w:tc>
          <w:tcPr>
            <w:tcW w:w="2160" w:type="dxa"/>
            <w:tcBorders>
              <w:left w:val="single" w:sz="4" w:space="0" w:color="auto"/>
              <w:bottom w:val="single" w:sz="4" w:space="0" w:color="auto"/>
              <w:right w:val="single" w:sz="4" w:space="0" w:color="auto"/>
            </w:tcBorders>
            <w:shd w:val="clear" w:color="auto" w:fill="auto"/>
          </w:tcPr>
          <w:p w14:paraId="7EAC7B96"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539</w:t>
            </w:r>
          </w:p>
        </w:tc>
        <w:tc>
          <w:tcPr>
            <w:tcW w:w="1934" w:type="dxa"/>
            <w:tcBorders>
              <w:left w:val="single" w:sz="4" w:space="0" w:color="auto"/>
              <w:bottom w:val="single" w:sz="4" w:space="0" w:color="auto"/>
              <w:right w:val="single" w:sz="4" w:space="0" w:color="auto"/>
            </w:tcBorders>
            <w:shd w:val="clear" w:color="auto" w:fill="auto"/>
          </w:tcPr>
          <w:p w14:paraId="3A0E31A3"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0,68</w:t>
            </w:r>
          </w:p>
        </w:tc>
        <w:tc>
          <w:tcPr>
            <w:tcW w:w="1935" w:type="dxa"/>
            <w:tcBorders>
              <w:left w:val="single" w:sz="4" w:space="0" w:color="auto"/>
              <w:bottom w:val="single" w:sz="4" w:space="0" w:color="auto"/>
              <w:right w:val="single" w:sz="4" w:space="0" w:color="auto"/>
            </w:tcBorders>
            <w:shd w:val="clear" w:color="auto" w:fill="auto"/>
          </w:tcPr>
          <w:p w14:paraId="4D9315B4"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0,49-0,93</w:t>
            </w:r>
          </w:p>
        </w:tc>
      </w:tr>
      <w:tr w:rsidR="00DC1CDC" w:rsidRPr="00D9492F" w14:paraId="6689E102" w14:textId="77777777" w:rsidTr="0003751A">
        <w:trPr>
          <w:jc w:val="center"/>
        </w:trPr>
        <w:tc>
          <w:tcPr>
            <w:tcW w:w="2340" w:type="dxa"/>
            <w:tcBorders>
              <w:top w:val="single" w:sz="4" w:space="0" w:color="auto"/>
              <w:bottom w:val="nil"/>
            </w:tcBorders>
            <w:shd w:val="clear" w:color="auto" w:fill="auto"/>
          </w:tcPr>
          <w:p w14:paraId="0A9CBB77"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1 amžiaus kategorija</w:t>
            </w:r>
          </w:p>
        </w:tc>
        <w:tc>
          <w:tcPr>
            <w:tcW w:w="2160" w:type="dxa"/>
            <w:tcBorders>
              <w:top w:val="single" w:sz="4" w:space="0" w:color="auto"/>
              <w:bottom w:val="nil"/>
            </w:tcBorders>
            <w:shd w:val="clear" w:color="auto" w:fill="auto"/>
          </w:tcPr>
          <w:p w14:paraId="39D07456"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4" w:type="dxa"/>
            <w:tcBorders>
              <w:top w:val="single" w:sz="4" w:space="0" w:color="auto"/>
              <w:bottom w:val="nil"/>
            </w:tcBorders>
            <w:shd w:val="clear" w:color="auto" w:fill="auto"/>
          </w:tcPr>
          <w:p w14:paraId="0D0BD240"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5" w:type="dxa"/>
            <w:tcBorders>
              <w:top w:val="single" w:sz="4" w:space="0" w:color="auto"/>
              <w:bottom w:val="nil"/>
            </w:tcBorders>
            <w:shd w:val="clear" w:color="auto" w:fill="auto"/>
          </w:tcPr>
          <w:p w14:paraId="198D8DE9" w14:textId="77777777" w:rsidR="00DC1CDC" w:rsidRPr="00D9492F" w:rsidRDefault="00DC1CDC" w:rsidP="00DC1CDC">
            <w:pPr>
              <w:keepNext/>
              <w:keepLines/>
              <w:spacing w:after="0" w:line="240" w:lineRule="auto"/>
              <w:jc w:val="center"/>
              <w:rPr>
                <w:rFonts w:ascii="Times New Roman" w:eastAsia="Times New Roman" w:hAnsi="Times New Roman"/>
              </w:rPr>
            </w:pPr>
          </w:p>
        </w:tc>
      </w:tr>
      <w:tr w:rsidR="00DC1CDC" w:rsidRPr="00D9492F" w14:paraId="6FBF606D" w14:textId="77777777" w:rsidTr="0003751A">
        <w:trPr>
          <w:jc w:val="center"/>
        </w:trPr>
        <w:tc>
          <w:tcPr>
            <w:tcW w:w="2340" w:type="dxa"/>
            <w:tcBorders>
              <w:top w:val="nil"/>
              <w:bottom w:val="nil"/>
            </w:tcBorders>
            <w:shd w:val="clear" w:color="auto" w:fill="auto"/>
          </w:tcPr>
          <w:p w14:paraId="528A00DD"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&lt;50 metai</w:t>
            </w:r>
          </w:p>
        </w:tc>
        <w:tc>
          <w:tcPr>
            <w:tcW w:w="2160" w:type="dxa"/>
            <w:tcBorders>
              <w:top w:val="nil"/>
              <w:bottom w:val="nil"/>
            </w:tcBorders>
            <w:shd w:val="clear" w:color="auto" w:fill="auto"/>
          </w:tcPr>
          <w:p w14:paraId="134FF0C9"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260</w:t>
            </w:r>
          </w:p>
        </w:tc>
        <w:tc>
          <w:tcPr>
            <w:tcW w:w="1934" w:type="dxa"/>
            <w:tcBorders>
              <w:top w:val="nil"/>
              <w:bottom w:val="nil"/>
            </w:tcBorders>
            <w:shd w:val="clear" w:color="auto" w:fill="auto"/>
          </w:tcPr>
          <w:p w14:paraId="7CD501F8"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0,67</w:t>
            </w:r>
          </w:p>
        </w:tc>
        <w:tc>
          <w:tcPr>
            <w:tcW w:w="1935" w:type="dxa"/>
            <w:tcBorders>
              <w:top w:val="nil"/>
              <w:bottom w:val="nil"/>
            </w:tcBorders>
            <w:shd w:val="clear" w:color="auto" w:fill="auto"/>
          </w:tcPr>
          <w:p w14:paraId="12B974B8"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0,43-1,05</w:t>
            </w:r>
          </w:p>
        </w:tc>
      </w:tr>
      <w:tr w:rsidR="00DC1CDC" w:rsidRPr="00D9492F" w14:paraId="2B457B6B" w14:textId="77777777" w:rsidTr="0003751A">
        <w:trPr>
          <w:jc w:val="center"/>
        </w:trPr>
        <w:tc>
          <w:tcPr>
            <w:tcW w:w="2340" w:type="dxa"/>
            <w:tcBorders>
              <w:top w:val="nil"/>
              <w:left w:val="single" w:sz="4" w:space="0" w:color="auto"/>
              <w:bottom w:val="single" w:sz="4" w:space="0" w:color="auto"/>
              <w:right w:val="single" w:sz="4" w:space="0" w:color="auto"/>
            </w:tcBorders>
            <w:shd w:val="clear" w:color="auto" w:fill="auto"/>
          </w:tcPr>
          <w:p w14:paraId="1BE32E89"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≥50 metai</w:t>
            </w:r>
          </w:p>
        </w:tc>
        <w:tc>
          <w:tcPr>
            <w:tcW w:w="2160" w:type="dxa"/>
            <w:tcBorders>
              <w:top w:val="nil"/>
              <w:left w:val="single" w:sz="4" w:space="0" w:color="auto"/>
              <w:bottom w:val="single" w:sz="4" w:space="0" w:color="auto"/>
              <w:right w:val="single" w:sz="4" w:space="0" w:color="auto"/>
            </w:tcBorders>
            <w:shd w:val="clear" w:color="auto" w:fill="auto"/>
          </w:tcPr>
          <w:p w14:paraId="757CF7D6"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279</w:t>
            </w:r>
          </w:p>
        </w:tc>
        <w:tc>
          <w:tcPr>
            <w:tcW w:w="1934" w:type="dxa"/>
            <w:tcBorders>
              <w:top w:val="nil"/>
              <w:left w:val="single" w:sz="4" w:space="0" w:color="auto"/>
              <w:bottom w:val="single" w:sz="4" w:space="0" w:color="auto"/>
              <w:right w:val="single" w:sz="4" w:space="0" w:color="auto"/>
            </w:tcBorders>
            <w:shd w:val="clear" w:color="auto" w:fill="auto"/>
          </w:tcPr>
          <w:p w14:paraId="563CC42D"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0,67</w:t>
            </w:r>
          </w:p>
        </w:tc>
        <w:tc>
          <w:tcPr>
            <w:tcW w:w="1935" w:type="dxa"/>
            <w:tcBorders>
              <w:top w:val="nil"/>
              <w:left w:val="single" w:sz="4" w:space="0" w:color="auto"/>
              <w:bottom w:val="single" w:sz="4" w:space="0" w:color="auto"/>
              <w:right w:val="single" w:sz="4" w:space="0" w:color="auto"/>
            </w:tcBorders>
            <w:shd w:val="clear" w:color="auto" w:fill="auto"/>
          </w:tcPr>
          <w:p w14:paraId="743EE0DD"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0,43-1,05</w:t>
            </w:r>
          </w:p>
        </w:tc>
      </w:tr>
      <w:tr w:rsidR="00DC1CDC" w:rsidRPr="00D9492F" w14:paraId="206CD24E" w14:textId="77777777" w:rsidTr="0003751A">
        <w:trPr>
          <w:jc w:val="center"/>
        </w:trPr>
        <w:tc>
          <w:tcPr>
            <w:tcW w:w="2340" w:type="dxa"/>
            <w:tcBorders>
              <w:bottom w:val="nil"/>
              <w:right w:val="single" w:sz="4" w:space="0" w:color="auto"/>
            </w:tcBorders>
            <w:shd w:val="clear" w:color="auto" w:fill="auto"/>
          </w:tcPr>
          <w:p w14:paraId="239C7889"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2 amžiaus kategorija</w:t>
            </w:r>
          </w:p>
        </w:tc>
        <w:tc>
          <w:tcPr>
            <w:tcW w:w="2160" w:type="dxa"/>
            <w:tcBorders>
              <w:left w:val="single" w:sz="4" w:space="0" w:color="auto"/>
              <w:bottom w:val="nil"/>
              <w:right w:val="single" w:sz="4" w:space="0" w:color="auto"/>
            </w:tcBorders>
            <w:shd w:val="clear" w:color="auto" w:fill="auto"/>
          </w:tcPr>
          <w:p w14:paraId="44C8F03E"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4" w:type="dxa"/>
            <w:tcBorders>
              <w:left w:val="single" w:sz="4" w:space="0" w:color="auto"/>
              <w:bottom w:val="nil"/>
              <w:right w:val="single" w:sz="4" w:space="0" w:color="auto"/>
            </w:tcBorders>
            <w:shd w:val="clear" w:color="auto" w:fill="auto"/>
          </w:tcPr>
          <w:p w14:paraId="6BB55782"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5" w:type="dxa"/>
            <w:tcBorders>
              <w:left w:val="single" w:sz="4" w:space="0" w:color="auto"/>
              <w:bottom w:val="nil"/>
              <w:right w:val="single" w:sz="4" w:space="0" w:color="auto"/>
            </w:tcBorders>
            <w:shd w:val="clear" w:color="auto" w:fill="auto"/>
          </w:tcPr>
          <w:p w14:paraId="26EB0007" w14:textId="77777777" w:rsidR="00DC1CDC" w:rsidRPr="00D9492F" w:rsidRDefault="00DC1CDC" w:rsidP="00DC1CDC">
            <w:pPr>
              <w:keepNext/>
              <w:keepLines/>
              <w:spacing w:after="0" w:line="240" w:lineRule="auto"/>
              <w:jc w:val="center"/>
              <w:rPr>
                <w:rFonts w:ascii="Times New Roman" w:eastAsia="Times New Roman" w:hAnsi="Times New Roman"/>
              </w:rPr>
            </w:pPr>
          </w:p>
        </w:tc>
      </w:tr>
      <w:tr w:rsidR="00DC1CDC" w:rsidRPr="00D9492F" w14:paraId="08EB2ACF" w14:textId="77777777" w:rsidTr="0003751A">
        <w:trPr>
          <w:jc w:val="center"/>
        </w:trPr>
        <w:tc>
          <w:tcPr>
            <w:tcW w:w="2340" w:type="dxa"/>
            <w:tcBorders>
              <w:top w:val="nil"/>
              <w:bottom w:val="nil"/>
              <w:right w:val="single" w:sz="4" w:space="0" w:color="auto"/>
            </w:tcBorders>
            <w:shd w:val="clear" w:color="auto" w:fill="auto"/>
          </w:tcPr>
          <w:p w14:paraId="09CCB1F0"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&lt;35 metai</w:t>
            </w:r>
          </w:p>
        </w:tc>
        <w:tc>
          <w:tcPr>
            <w:tcW w:w="2160" w:type="dxa"/>
            <w:tcBorders>
              <w:top w:val="nil"/>
              <w:left w:val="single" w:sz="4" w:space="0" w:color="auto"/>
              <w:bottom w:val="nil"/>
              <w:right w:val="single" w:sz="4" w:space="0" w:color="auto"/>
            </w:tcBorders>
            <w:shd w:val="clear" w:color="auto" w:fill="auto"/>
          </w:tcPr>
          <w:p w14:paraId="0CD2EF20"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42</w:t>
            </w:r>
          </w:p>
        </w:tc>
        <w:tc>
          <w:tcPr>
            <w:tcW w:w="1934" w:type="dxa"/>
            <w:tcBorders>
              <w:top w:val="nil"/>
              <w:left w:val="single" w:sz="4" w:space="0" w:color="auto"/>
              <w:bottom w:val="nil"/>
              <w:right w:val="single" w:sz="4" w:space="0" w:color="auto"/>
            </w:tcBorders>
            <w:shd w:val="clear" w:color="auto" w:fill="auto"/>
          </w:tcPr>
          <w:p w14:paraId="132C552D"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0,31</w:t>
            </w:r>
          </w:p>
        </w:tc>
        <w:tc>
          <w:tcPr>
            <w:tcW w:w="1935" w:type="dxa"/>
            <w:tcBorders>
              <w:top w:val="nil"/>
              <w:left w:val="single" w:sz="4" w:space="0" w:color="auto"/>
              <w:bottom w:val="nil"/>
              <w:right w:val="single" w:sz="4" w:space="0" w:color="auto"/>
            </w:tcBorders>
            <w:shd w:val="clear" w:color="auto" w:fill="auto"/>
          </w:tcPr>
          <w:p w14:paraId="26CC5BD1"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0,11-0,89</w:t>
            </w:r>
          </w:p>
        </w:tc>
      </w:tr>
      <w:tr w:rsidR="00DC1CDC" w:rsidRPr="00D9492F" w14:paraId="566E8141" w14:textId="77777777" w:rsidTr="0003751A">
        <w:trPr>
          <w:jc w:val="center"/>
        </w:trPr>
        <w:tc>
          <w:tcPr>
            <w:tcW w:w="2340" w:type="dxa"/>
            <w:tcBorders>
              <w:top w:val="nil"/>
              <w:bottom w:val="single" w:sz="4" w:space="0" w:color="auto"/>
              <w:right w:val="single" w:sz="4" w:space="0" w:color="auto"/>
            </w:tcBorders>
            <w:shd w:val="clear" w:color="auto" w:fill="auto"/>
          </w:tcPr>
          <w:p w14:paraId="40D5FE6C"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≥35 metai</w:t>
            </w:r>
          </w:p>
        </w:tc>
        <w:tc>
          <w:tcPr>
            <w:tcW w:w="2160" w:type="dxa"/>
            <w:tcBorders>
              <w:top w:val="nil"/>
              <w:left w:val="single" w:sz="4" w:space="0" w:color="auto"/>
              <w:bottom w:val="single" w:sz="4" w:space="0" w:color="auto"/>
              <w:right w:val="single" w:sz="4" w:space="0" w:color="auto"/>
            </w:tcBorders>
            <w:shd w:val="clear" w:color="auto" w:fill="auto"/>
          </w:tcPr>
          <w:p w14:paraId="6C8E4A0D"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497</w:t>
            </w:r>
          </w:p>
        </w:tc>
        <w:tc>
          <w:tcPr>
            <w:tcW w:w="1934" w:type="dxa"/>
            <w:tcBorders>
              <w:top w:val="nil"/>
              <w:left w:val="single" w:sz="4" w:space="0" w:color="auto"/>
              <w:bottom w:val="single" w:sz="4" w:space="0" w:color="auto"/>
              <w:right w:val="single" w:sz="4" w:space="0" w:color="auto"/>
            </w:tcBorders>
            <w:shd w:val="clear" w:color="auto" w:fill="auto"/>
          </w:tcPr>
          <w:p w14:paraId="29BBC63E"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0.73</w:t>
            </w:r>
          </w:p>
        </w:tc>
        <w:tc>
          <w:tcPr>
            <w:tcW w:w="1935" w:type="dxa"/>
            <w:tcBorders>
              <w:top w:val="nil"/>
              <w:left w:val="single" w:sz="4" w:space="0" w:color="auto"/>
              <w:bottom w:val="single" w:sz="4" w:space="0" w:color="auto"/>
              <w:right w:val="single" w:sz="4" w:space="0" w:color="auto"/>
            </w:tcBorders>
            <w:shd w:val="clear" w:color="auto" w:fill="auto"/>
          </w:tcPr>
          <w:p w14:paraId="23B0F332"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0,52-1,01</w:t>
            </w:r>
          </w:p>
        </w:tc>
      </w:tr>
      <w:tr w:rsidR="00DC1CDC" w:rsidRPr="00D9492F" w14:paraId="2BA22E9D" w14:textId="77777777" w:rsidTr="0003751A">
        <w:trPr>
          <w:jc w:val="center"/>
        </w:trPr>
        <w:tc>
          <w:tcPr>
            <w:tcW w:w="2340" w:type="dxa"/>
            <w:tcBorders>
              <w:bottom w:val="nil"/>
              <w:right w:val="single" w:sz="4" w:space="0" w:color="auto"/>
            </w:tcBorders>
            <w:shd w:val="clear" w:color="auto" w:fill="auto"/>
          </w:tcPr>
          <w:p w14:paraId="68618E60"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Hormonų receptoriai</w:t>
            </w:r>
          </w:p>
        </w:tc>
        <w:tc>
          <w:tcPr>
            <w:tcW w:w="2160" w:type="dxa"/>
            <w:tcBorders>
              <w:left w:val="single" w:sz="4" w:space="0" w:color="auto"/>
              <w:bottom w:val="nil"/>
              <w:right w:val="single" w:sz="4" w:space="0" w:color="auto"/>
            </w:tcBorders>
            <w:shd w:val="clear" w:color="auto" w:fill="auto"/>
          </w:tcPr>
          <w:p w14:paraId="019FEB12"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4" w:type="dxa"/>
            <w:tcBorders>
              <w:left w:val="single" w:sz="4" w:space="0" w:color="auto"/>
              <w:bottom w:val="nil"/>
              <w:right w:val="single" w:sz="4" w:space="0" w:color="auto"/>
            </w:tcBorders>
            <w:shd w:val="clear" w:color="auto" w:fill="auto"/>
          </w:tcPr>
          <w:p w14:paraId="6F09BE1E"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5" w:type="dxa"/>
            <w:tcBorders>
              <w:left w:val="single" w:sz="4" w:space="0" w:color="auto"/>
              <w:bottom w:val="nil"/>
              <w:right w:val="single" w:sz="4" w:space="0" w:color="auto"/>
            </w:tcBorders>
            <w:shd w:val="clear" w:color="auto" w:fill="auto"/>
          </w:tcPr>
          <w:p w14:paraId="63CF8806" w14:textId="77777777" w:rsidR="00DC1CDC" w:rsidRPr="00D9492F" w:rsidRDefault="00DC1CDC" w:rsidP="00DC1CDC">
            <w:pPr>
              <w:keepNext/>
              <w:keepLines/>
              <w:spacing w:after="0" w:line="240" w:lineRule="auto"/>
              <w:jc w:val="center"/>
              <w:rPr>
                <w:rFonts w:ascii="Times New Roman" w:eastAsia="Times New Roman" w:hAnsi="Times New Roman"/>
              </w:rPr>
            </w:pPr>
          </w:p>
        </w:tc>
      </w:tr>
      <w:tr w:rsidR="00DC1CDC" w:rsidRPr="00D9492F" w14:paraId="336BAD67" w14:textId="77777777" w:rsidTr="0003751A">
        <w:trPr>
          <w:trHeight w:val="92"/>
          <w:jc w:val="center"/>
        </w:trPr>
        <w:tc>
          <w:tcPr>
            <w:tcW w:w="2340" w:type="dxa"/>
            <w:tcBorders>
              <w:top w:val="nil"/>
              <w:bottom w:val="nil"/>
              <w:right w:val="single" w:sz="4" w:space="0" w:color="auto"/>
            </w:tcBorders>
            <w:shd w:val="clear" w:color="auto" w:fill="auto"/>
          </w:tcPr>
          <w:p w14:paraId="07E30E1C"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Neigiami</w:t>
            </w:r>
          </w:p>
        </w:tc>
        <w:tc>
          <w:tcPr>
            <w:tcW w:w="2160" w:type="dxa"/>
            <w:tcBorders>
              <w:top w:val="nil"/>
              <w:left w:val="single" w:sz="4" w:space="0" w:color="auto"/>
              <w:bottom w:val="nil"/>
              <w:right w:val="single" w:sz="4" w:space="0" w:color="auto"/>
            </w:tcBorders>
            <w:shd w:val="clear" w:color="auto" w:fill="auto"/>
          </w:tcPr>
          <w:p w14:paraId="2CA1102E"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195</w:t>
            </w:r>
          </w:p>
        </w:tc>
        <w:tc>
          <w:tcPr>
            <w:tcW w:w="1934" w:type="dxa"/>
            <w:tcBorders>
              <w:top w:val="nil"/>
              <w:left w:val="single" w:sz="4" w:space="0" w:color="auto"/>
              <w:bottom w:val="nil"/>
              <w:right w:val="single" w:sz="4" w:space="0" w:color="auto"/>
            </w:tcBorders>
            <w:shd w:val="clear" w:color="auto" w:fill="auto"/>
          </w:tcPr>
          <w:p w14:paraId="39F67D8B"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0,7</w:t>
            </w:r>
          </w:p>
        </w:tc>
        <w:tc>
          <w:tcPr>
            <w:tcW w:w="1935" w:type="dxa"/>
            <w:tcBorders>
              <w:top w:val="nil"/>
              <w:left w:val="single" w:sz="4" w:space="0" w:color="auto"/>
              <w:bottom w:val="nil"/>
              <w:right w:val="single" w:sz="4" w:space="0" w:color="auto"/>
            </w:tcBorders>
            <w:shd w:val="clear" w:color="auto" w:fill="auto"/>
          </w:tcPr>
          <w:p w14:paraId="403B0640"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0,45-1,1</w:t>
            </w:r>
          </w:p>
        </w:tc>
      </w:tr>
      <w:tr w:rsidR="00DC1CDC" w:rsidRPr="00D9492F" w14:paraId="7DC10C6D" w14:textId="77777777" w:rsidTr="0003751A">
        <w:trPr>
          <w:jc w:val="center"/>
        </w:trPr>
        <w:tc>
          <w:tcPr>
            <w:tcW w:w="2340" w:type="dxa"/>
            <w:tcBorders>
              <w:top w:val="nil"/>
              <w:bottom w:val="single" w:sz="4" w:space="0" w:color="auto"/>
              <w:right w:val="single" w:sz="4" w:space="0" w:color="auto"/>
            </w:tcBorders>
            <w:shd w:val="clear" w:color="auto" w:fill="auto"/>
          </w:tcPr>
          <w:p w14:paraId="44E80E53"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Teigiami</w:t>
            </w:r>
          </w:p>
        </w:tc>
        <w:tc>
          <w:tcPr>
            <w:tcW w:w="2160" w:type="dxa"/>
            <w:tcBorders>
              <w:top w:val="nil"/>
              <w:left w:val="single" w:sz="4" w:space="0" w:color="auto"/>
              <w:bottom w:val="single" w:sz="4" w:space="0" w:color="auto"/>
              <w:right w:val="single" w:sz="4" w:space="0" w:color="auto"/>
            </w:tcBorders>
            <w:shd w:val="clear" w:color="auto" w:fill="auto"/>
          </w:tcPr>
          <w:p w14:paraId="157A720D"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344</w:t>
            </w:r>
          </w:p>
        </w:tc>
        <w:tc>
          <w:tcPr>
            <w:tcW w:w="1934" w:type="dxa"/>
            <w:tcBorders>
              <w:top w:val="nil"/>
              <w:left w:val="single" w:sz="4" w:space="0" w:color="auto"/>
              <w:bottom w:val="single" w:sz="4" w:space="0" w:color="auto"/>
              <w:right w:val="single" w:sz="4" w:space="0" w:color="auto"/>
            </w:tcBorders>
            <w:shd w:val="clear" w:color="auto" w:fill="auto"/>
          </w:tcPr>
          <w:p w14:paraId="157625C8"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0,62</w:t>
            </w:r>
          </w:p>
        </w:tc>
        <w:tc>
          <w:tcPr>
            <w:tcW w:w="1935" w:type="dxa"/>
            <w:tcBorders>
              <w:top w:val="nil"/>
              <w:left w:val="single" w:sz="4" w:space="0" w:color="auto"/>
              <w:bottom w:val="single" w:sz="4" w:space="0" w:color="auto"/>
              <w:right w:val="single" w:sz="4" w:space="0" w:color="auto"/>
            </w:tcBorders>
            <w:shd w:val="clear" w:color="auto" w:fill="auto"/>
          </w:tcPr>
          <w:p w14:paraId="709420F3"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0,4-0,97</w:t>
            </w:r>
          </w:p>
        </w:tc>
      </w:tr>
      <w:tr w:rsidR="00DC1CDC" w:rsidRPr="00D9492F" w14:paraId="39F570E9" w14:textId="77777777" w:rsidTr="0003751A">
        <w:trPr>
          <w:jc w:val="center"/>
        </w:trPr>
        <w:tc>
          <w:tcPr>
            <w:tcW w:w="2340" w:type="dxa"/>
            <w:tcBorders>
              <w:bottom w:val="nil"/>
            </w:tcBorders>
            <w:shd w:val="clear" w:color="auto" w:fill="auto"/>
          </w:tcPr>
          <w:p w14:paraId="72069F11"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Naviko dydis</w:t>
            </w:r>
          </w:p>
        </w:tc>
        <w:tc>
          <w:tcPr>
            <w:tcW w:w="2160" w:type="dxa"/>
            <w:tcBorders>
              <w:bottom w:val="nil"/>
            </w:tcBorders>
            <w:shd w:val="clear" w:color="auto" w:fill="auto"/>
          </w:tcPr>
          <w:p w14:paraId="0311378E"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4" w:type="dxa"/>
            <w:tcBorders>
              <w:bottom w:val="nil"/>
            </w:tcBorders>
            <w:shd w:val="clear" w:color="auto" w:fill="auto"/>
          </w:tcPr>
          <w:p w14:paraId="468CF71C"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5" w:type="dxa"/>
            <w:tcBorders>
              <w:bottom w:val="nil"/>
            </w:tcBorders>
            <w:shd w:val="clear" w:color="auto" w:fill="auto"/>
          </w:tcPr>
          <w:p w14:paraId="28F0D3AE" w14:textId="77777777" w:rsidR="00DC1CDC" w:rsidRPr="00D9492F" w:rsidRDefault="00DC1CDC" w:rsidP="00DC1CDC">
            <w:pPr>
              <w:keepNext/>
              <w:keepLines/>
              <w:spacing w:after="0" w:line="240" w:lineRule="auto"/>
              <w:jc w:val="center"/>
              <w:rPr>
                <w:rFonts w:ascii="Times New Roman" w:eastAsia="Times New Roman" w:hAnsi="Times New Roman"/>
              </w:rPr>
            </w:pPr>
          </w:p>
        </w:tc>
      </w:tr>
      <w:tr w:rsidR="00DC1CDC" w:rsidRPr="00D9492F" w14:paraId="28ECFE12" w14:textId="77777777" w:rsidTr="0003751A">
        <w:trPr>
          <w:jc w:val="center"/>
        </w:trPr>
        <w:tc>
          <w:tcPr>
            <w:tcW w:w="2340" w:type="dxa"/>
            <w:tcBorders>
              <w:top w:val="nil"/>
              <w:bottom w:val="nil"/>
            </w:tcBorders>
            <w:shd w:val="clear" w:color="auto" w:fill="auto"/>
          </w:tcPr>
          <w:p w14:paraId="17F9650D"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sym w:font="Symbol" w:char="F0A3"/>
            </w:r>
            <w:r w:rsidRPr="00D9492F">
              <w:rPr>
                <w:rFonts w:ascii="Times New Roman" w:eastAsia="Times New Roman" w:hAnsi="Times New Roman"/>
              </w:rPr>
              <w:t>2 cm</w:t>
            </w:r>
          </w:p>
        </w:tc>
        <w:tc>
          <w:tcPr>
            <w:tcW w:w="2160" w:type="dxa"/>
            <w:tcBorders>
              <w:top w:val="nil"/>
              <w:bottom w:val="nil"/>
            </w:tcBorders>
            <w:shd w:val="clear" w:color="auto" w:fill="auto"/>
          </w:tcPr>
          <w:p w14:paraId="55A6655C"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285</w:t>
            </w:r>
          </w:p>
        </w:tc>
        <w:tc>
          <w:tcPr>
            <w:tcW w:w="1934" w:type="dxa"/>
            <w:tcBorders>
              <w:top w:val="nil"/>
              <w:bottom w:val="nil"/>
            </w:tcBorders>
            <w:shd w:val="clear" w:color="auto" w:fill="auto"/>
          </w:tcPr>
          <w:p w14:paraId="6B8B58C1"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0,69</w:t>
            </w:r>
          </w:p>
        </w:tc>
        <w:tc>
          <w:tcPr>
            <w:tcW w:w="1935" w:type="dxa"/>
            <w:tcBorders>
              <w:top w:val="nil"/>
              <w:bottom w:val="nil"/>
            </w:tcBorders>
            <w:shd w:val="clear" w:color="auto" w:fill="auto"/>
          </w:tcPr>
          <w:p w14:paraId="5BD8D840"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0,43-1,1</w:t>
            </w:r>
          </w:p>
        </w:tc>
      </w:tr>
      <w:tr w:rsidR="00DC1CDC" w:rsidRPr="00D9492F" w14:paraId="3057D11A" w14:textId="77777777" w:rsidTr="0003751A">
        <w:trPr>
          <w:jc w:val="center"/>
        </w:trPr>
        <w:tc>
          <w:tcPr>
            <w:tcW w:w="2340" w:type="dxa"/>
            <w:tcBorders>
              <w:top w:val="nil"/>
              <w:bottom w:val="single" w:sz="4" w:space="0" w:color="auto"/>
            </w:tcBorders>
            <w:shd w:val="clear" w:color="auto" w:fill="auto"/>
          </w:tcPr>
          <w:p w14:paraId="26DBC4D1"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&gt;2 cm</w:t>
            </w:r>
          </w:p>
        </w:tc>
        <w:tc>
          <w:tcPr>
            <w:tcW w:w="2160" w:type="dxa"/>
            <w:tcBorders>
              <w:top w:val="nil"/>
              <w:bottom w:val="single" w:sz="4" w:space="0" w:color="auto"/>
            </w:tcBorders>
            <w:shd w:val="clear" w:color="auto" w:fill="auto"/>
          </w:tcPr>
          <w:p w14:paraId="581A5C51"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254</w:t>
            </w:r>
          </w:p>
        </w:tc>
        <w:tc>
          <w:tcPr>
            <w:tcW w:w="1934" w:type="dxa"/>
            <w:tcBorders>
              <w:top w:val="nil"/>
              <w:bottom w:val="single" w:sz="4" w:space="0" w:color="auto"/>
            </w:tcBorders>
            <w:shd w:val="clear" w:color="auto" w:fill="auto"/>
          </w:tcPr>
          <w:p w14:paraId="065479D4"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0,68</w:t>
            </w:r>
          </w:p>
        </w:tc>
        <w:tc>
          <w:tcPr>
            <w:tcW w:w="1935" w:type="dxa"/>
            <w:tcBorders>
              <w:top w:val="nil"/>
              <w:bottom w:val="single" w:sz="4" w:space="0" w:color="auto"/>
            </w:tcBorders>
            <w:shd w:val="clear" w:color="auto" w:fill="auto"/>
          </w:tcPr>
          <w:p w14:paraId="71D26ACB"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0.45-1.04</w:t>
            </w:r>
          </w:p>
        </w:tc>
      </w:tr>
      <w:tr w:rsidR="00DC1CDC" w:rsidRPr="00D9492F" w14:paraId="4B22C2BA" w14:textId="77777777" w:rsidTr="0003751A">
        <w:trPr>
          <w:jc w:val="center"/>
        </w:trPr>
        <w:tc>
          <w:tcPr>
            <w:tcW w:w="2340" w:type="dxa"/>
            <w:tcBorders>
              <w:top w:val="single" w:sz="4" w:space="0" w:color="auto"/>
              <w:bottom w:val="nil"/>
            </w:tcBorders>
            <w:shd w:val="clear" w:color="auto" w:fill="auto"/>
          </w:tcPr>
          <w:p w14:paraId="33FDA6E4"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Histologinis laipsnis</w:t>
            </w:r>
          </w:p>
        </w:tc>
        <w:tc>
          <w:tcPr>
            <w:tcW w:w="2160" w:type="dxa"/>
            <w:tcBorders>
              <w:top w:val="single" w:sz="4" w:space="0" w:color="auto"/>
              <w:bottom w:val="nil"/>
            </w:tcBorders>
            <w:shd w:val="clear" w:color="auto" w:fill="auto"/>
          </w:tcPr>
          <w:p w14:paraId="24F84781"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4" w:type="dxa"/>
            <w:tcBorders>
              <w:top w:val="single" w:sz="4" w:space="0" w:color="auto"/>
              <w:bottom w:val="nil"/>
            </w:tcBorders>
            <w:shd w:val="clear" w:color="auto" w:fill="auto"/>
          </w:tcPr>
          <w:p w14:paraId="63DBEF10"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5" w:type="dxa"/>
            <w:tcBorders>
              <w:top w:val="single" w:sz="4" w:space="0" w:color="auto"/>
              <w:bottom w:val="nil"/>
            </w:tcBorders>
            <w:shd w:val="clear" w:color="auto" w:fill="auto"/>
          </w:tcPr>
          <w:p w14:paraId="076F126E" w14:textId="77777777" w:rsidR="00DC1CDC" w:rsidRPr="00D9492F" w:rsidRDefault="00DC1CDC" w:rsidP="00DC1CDC">
            <w:pPr>
              <w:keepNext/>
              <w:keepLines/>
              <w:spacing w:after="0" w:line="240" w:lineRule="auto"/>
              <w:jc w:val="center"/>
              <w:rPr>
                <w:rFonts w:ascii="Times New Roman" w:eastAsia="Times New Roman" w:hAnsi="Times New Roman"/>
              </w:rPr>
            </w:pPr>
          </w:p>
        </w:tc>
      </w:tr>
      <w:tr w:rsidR="00DC1CDC" w:rsidRPr="00D9492F" w14:paraId="78584A16" w14:textId="77777777" w:rsidTr="0003751A">
        <w:trPr>
          <w:jc w:val="center"/>
        </w:trPr>
        <w:tc>
          <w:tcPr>
            <w:tcW w:w="2340" w:type="dxa"/>
            <w:tcBorders>
              <w:top w:val="nil"/>
              <w:bottom w:val="nil"/>
            </w:tcBorders>
            <w:shd w:val="clear" w:color="auto" w:fill="auto"/>
          </w:tcPr>
          <w:p w14:paraId="0F953F54"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1 laipsnis (įskaitant neįvertinamą laipsnį)</w:t>
            </w:r>
          </w:p>
        </w:tc>
        <w:tc>
          <w:tcPr>
            <w:tcW w:w="2160" w:type="dxa"/>
            <w:tcBorders>
              <w:top w:val="nil"/>
              <w:bottom w:val="nil"/>
            </w:tcBorders>
            <w:shd w:val="clear" w:color="auto" w:fill="auto"/>
          </w:tcPr>
          <w:p w14:paraId="6BAB2040"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64</w:t>
            </w:r>
          </w:p>
        </w:tc>
        <w:tc>
          <w:tcPr>
            <w:tcW w:w="1934" w:type="dxa"/>
            <w:tcBorders>
              <w:top w:val="nil"/>
              <w:bottom w:val="nil"/>
            </w:tcBorders>
            <w:shd w:val="clear" w:color="auto" w:fill="auto"/>
          </w:tcPr>
          <w:p w14:paraId="1F0133EF"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0,79</w:t>
            </w:r>
          </w:p>
        </w:tc>
        <w:tc>
          <w:tcPr>
            <w:tcW w:w="1935" w:type="dxa"/>
            <w:tcBorders>
              <w:top w:val="nil"/>
              <w:bottom w:val="nil"/>
            </w:tcBorders>
            <w:shd w:val="clear" w:color="auto" w:fill="auto"/>
          </w:tcPr>
          <w:p w14:paraId="0C3214E5"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0,24-2,6</w:t>
            </w:r>
          </w:p>
        </w:tc>
      </w:tr>
      <w:tr w:rsidR="00DC1CDC" w:rsidRPr="00D9492F" w14:paraId="3CD880A1" w14:textId="77777777" w:rsidTr="0003751A">
        <w:trPr>
          <w:jc w:val="center"/>
        </w:trPr>
        <w:tc>
          <w:tcPr>
            <w:tcW w:w="2340" w:type="dxa"/>
            <w:tcBorders>
              <w:top w:val="nil"/>
              <w:left w:val="single" w:sz="4" w:space="0" w:color="auto"/>
              <w:bottom w:val="nil"/>
              <w:right w:val="single" w:sz="4" w:space="0" w:color="auto"/>
            </w:tcBorders>
            <w:shd w:val="clear" w:color="auto" w:fill="auto"/>
          </w:tcPr>
          <w:p w14:paraId="6E1F3755"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2 laipsnis</w:t>
            </w:r>
          </w:p>
        </w:tc>
        <w:tc>
          <w:tcPr>
            <w:tcW w:w="2160" w:type="dxa"/>
            <w:tcBorders>
              <w:top w:val="nil"/>
              <w:left w:val="single" w:sz="4" w:space="0" w:color="auto"/>
              <w:bottom w:val="nil"/>
              <w:right w:val="single" w:sz="4" w:space="0" w:color="auto"/>
            </w:tcBorders>
            <w:shd w:val="clear" w:color="auto" w:fill="auto"/>
          </w:tcPr>
          <w:p w14:paraId="3E9AB622"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216</w:t>
            </w:r>
          </w:p>
        </w:tc>
        <w:tc>
          <w:tcPr>
            <w:tcW w:w="1934" w:type="dxa"/>
            <w:tcBorders>
              <w:top w:val="nil"/>
              <w:left w:val="single" w:sz="4" w:space="0" w:color="auto"/>
              <w:bottom w:val="nil"/>
              <w:right w:val="single" w:sz="4" w:space="0" w:color="auto"/>
            </w:tcBorders>
            <w:shd w:val="clear" w:color="auto" w:fill="auto"/>
          </w:tcPr>
          <w:p w14:paraId="504A12BD"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0,77</w:t>
            </w:r>
          </w:p>
        </w:tc>
        <w:tc>
          <w:tcPr>
            <w:tcW w:w="1935" w:type="dxa"/>
            <w:tcBorders>
              <w:top w:val="nil"/>
              <w:left w:val="single" w:sz="4" w:space="0" w:color="auto"/>
              <w:bottom w:val="nil"/>
              <w:right w:val="single" w:sz="4" w:space="0" w:color="auto"/>
            </w:tcBorders>
            <w:shd w:val="clear" w:color="auto" w:fill="auto"/>
          </w:tcPr>
          <w:p w14:paraId="44BDB513"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0,46-1,3</w:t>
            </w:r>
          </w:p>
        </w:tc>
      </w:tr>
      <w:tr w:rsidR="00DC1CDC" w:rsidRPr="00D9492F" w14:paraId="349797D0" w14:textId="77777777" w:rsidTr="0003751A">
        <w:trPr>
          <w:jc w:val="center"/>
        </w:trPr>
        <w:tc>
          <w:tcPr>
            <w:tcW w:w="2340" w:type="dxa"/>
            <w:tcBorders>
              <w:top w:val="nil"/>
              <w:left w:val="single" w:sz="4" w:space="0" w:color="auto"/>
              <w:bottom w:val="single" w:sz="4" w:space="0" w:color="auto"/>
              <w:right w:val="single" w:sz="4" w:space="0" w:color="auto"/>
            </w:tcBorders>
            <w:shd w:val="clear" w:color="auto" w:fill="auto"/>
          </w:tcPr>
          <w:p w14:paraId="58CB7B73"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3 laipsnis</w:t>
            </w:r>
          </w:p>
        </w:tc>
        <w:tc>
          <w:tcPr>
            <w:tcW w:w="2160" w:type="dxa"/>
            <w:tcBorders>
              <w:top w:val="nil"/>
              <w:left w:val="single" w:sz="4" w:space="0" w:color="auto"/>
              <w:bottom w:val="single" w:sz="4" w:space="0" w:color="auto"/>
              <w:right w:val="single" w:sz="4" w:space="0" w:color="auto"/>
            </w:tcBorders>
            <w:shd w:val="clear" w:color="auto" w:fill="auto"/>
          </w:tcPr>
          <w:p w14:paraId="114BD840"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259</w:t>
            </w:r>
          </w:p>
        </w:tc>
        <w:tc>
          <w:tcPr>
            <w:tcW w:w="1934" w:type="dxa"/>
            <w:tcBorders>
              <w:top w:val="nil"/>
              <w:left w:val="single" w:sz="4" w:space="0" w:color="auto"/>
              <w:bottom w:val="single" w:sz="4" w:space="0" w:color="auto"/>
              <w:right w:val="single" w:sz="4" w:space="0" w:color="auto"/>
            </w:tcBorders>
            <w:shd w:val="clear" w:color="auto" w:fill="auto"/>
          </w:tcPr>
          <w:p w14:paraId="25B3D130"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0,59</w:t>
            </w:r>
          </w:p>
        </w:tc>
        <w:tc>
          <w:tcPr>
            <w:tcW w:w="1935" w:type="dxa"/>
            <w:tcBorders>
              <w:top w:val="nil"/>
              <w:left w:val="single" w:sz="4" w:space="0" w:color="auto"/>
              <w:bottom w:val="single" w:sz="4" w:space="0" w:color="auto"/>
              <w:right w:val="single" w:sz="4" w:space="0" w:color="auto"/>
            </w:tcBorders>
            <w:shd w:val="clear" w:color="auto" w:fill="auto"/>
          </w:tcPr>
          <w:p w14:paraId="7E6CF247"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0,39-0,9</w:t>
            </w:r>
          </w:p>
        </w:tc>
      </w:tr>
      <w:tr w:rsidR="00DC1CDC" w:rsidRPr="00D9492F" w14:paraId="35D99990" w14:textId="77777777" w:rsidTr="0003751A">
        <w:trPr>
          <w:jc w:val="center"/>
        </w:trPr>
        <w:tc>
          <w:tcPr>
            <w:tcW w:w="2340" w:type="dxa"/>
            <w:tcBorders>
              <w:top w:val="single" w:sz="4" w:space="0" w:color="auto"/>
              <w:bottom w:val="nil"/>
            </w:tcBorders>
            <w:shd w:val="clear" w:color="auto" w:fill="auto"/>
          </w:tcPr>
          <w:p w14:paraId="36A7D085"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Menopauzė</w:t>
            </w:r>
          </w:p>
        </w:tc>
        <w:tc>
          <w:tcPr>
            <w:tcW w:w="2160" w:type="dxa"/>
            <w:tcBorders>
              <w:top w:val="single" w:sz="4" w:space="0" w:color="auto"/>
              <w:bottom w:val="nil"/>
            </w:tcBorders>
            <w:shd w:val="clear" w:color="auto" w:fill="auto"/>
          </w:tcPr>
          <w:p w14:paraId="5EF73C81"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4" w:type="dxa"/>
            <w:tcBorders>
              <w:top w:val="single" w:sz="4" w:space="0" w:color="auto"/>
              <w:bottom w:val="nil"/>
            </w:tcBorders>
            <w:shd w:val="clear" w:color="auto" w:fill="auto"/>
          </w:tcPr>
          <w:p w14:paraId="4DD917EC"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935" w:type="dxa"/>
            <w:tcBorders>
              <w:top w:val="single" w:sz="4" w:space="0" w:color="auto"/>
              <w:bottom w:val="nil"/>
            </w:tcBorders>
            <w:shd w:val="clear" w:color="auto" w:fill="auto"/>
          </w:tcPr>
          <w:p w14:paraId="1C77AAA1" w14:textId="77777777" w:rsidR="00DC1CDC" w:rsidRPr="00D9492F" w:rsidRDefault="00DC1CDC" w:rsidP="00DC1CDC">
            <w:pPr>
              <w:keepNext/>
              <w:keepLines/>
              <w:spacing w:after="0" w:line="240" w:lineRule="auto"/>
              <w:jc w:val="center"/>
              <w:rPr>
                <w:rFonts w:ascii="Times New Roman" w:eastAsia="Times New Roman" w:hAnsi="Times New Roman"/>
              </w:rPr>
            </w:pPr>
          </w:p>
        </w:tc>
      </w:tr>
      <w:tr w:rsidR="00DC1CDC" w:rsidRPr="00D9492F" w14:paraId="28422413" w14:textId="77777777" w:rsidTr="0003751A">
        <w:trPr>
          <w:jc w:val="center"/>
        </w:trPr>
        <w:tc>
          <w:tcPr>
            <w:tcW w:w="2340" w:type="dxa"/>
            <w:tcBorders>
              <w:top w:val="nil"/>
              <w:bottom w:val="nil"/>
            </w:tcBorders>
            <w:shd w:val="clear" w:color="auto" w:fill="auto"/>
          </w:tcPr>
          <w:p w14:paraId="77E4F031"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Premenopauzė</w:t>
            </w:r>
          </w:p>
        </w:tc>
        <w:tc>
          <w:tcPr>
            <w:tcW w:w="2160" w:type="dxa"/>
            <w:tcBorders>
              <w:top w:val="nil"/>
              <w:bottom w:val="nil"/>
            </w:tcBorders>
            <w:shd w:val="clear" w:color="auto" w:fill="auto"/>
          </w:tcPr>
          <w:p w14:paraId="24DF8190"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285</w:t>
            </w:r>
          </w:p>
        </w:tc>
        <w:tc>
          <w:tcPr>
            <w:tcW w:w="1934" w:type="dxa"/>
            <w:tcBorders>
              <w:top w:val="nil"/>
              <w:bottom w:val="nil"/>
            </w:tcBorders>
            <w:shd w:val="clear" w:color="auto" w:fill="auto"/>
          </w:tcPr>
          <w:p w14:paraId="2D7A2B3C"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0,64</w:t>
            </w:r>
          </w:p>
        </w:tc>
        <w:tc>
          <w:tcPr>
            <w:tcW w:w="1935" w:type="dxa"/>
            <w:tcBorders>
              <w:top w:val="nil"/>
              <w:bottom w:val="nil"/>
            </w:tcBorders>
            <w:shd w:val="clear" w:color="auto" w:fill="auto"/>
          </w:tcPr>
          <w:p w14:paraId="42D95FEF"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0,40-1</w:t>
            </w:r>
          </w:p>
        </w:tc>
      </w:tr>
      <w:tr w:rsidR="00DC1CDC" w:rsidRPr="00D9492F" w14:paraId="3C939F5D" w14:textId="77777777" w:rsidTr="0003751A">
        <w:trPr>
          <w:jc w:val="center"/>
        </w:trPr>
        <w:tc>
          <w:tcPr>
            <w:tcW w:w="2340" w:type="dxa"/>
            <w:tcBorders>
              <w:top w:val="nil"/>
            </w:tcBorders>
            <w:shd w:val="clear" w:color="auto" w:fill="auto"/>
          </w:tcPr>
          <w:p w14:paraId="0C6EB4FD"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Pomenopauzė</w:t>
            </w:r>
          </w:p>
        </w:tc>
        <w:tc>
          <w:tcPr>
            <w:tcW w:w="2160" w:type="dxa"/>
            <w:tcBorders>
              <w:top w:val="nil"/>
            </w:tcBorders>
            <w:shd w:val="clear" w:color="auto" w:fill="auto"/>
          </w:tcPr>
          <w:p w14:paraId="0E21F759"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254</w:t>
            </w:r>
          </w:p>
        </w:tc>
        <w:tc>
          <w:tcPr>
            <w:tcW w:w="1934" w:type="dxa"/>
            <w:tcBorders>
              <w:top w:val="nil"/>
            </w:tcBorders>
            <w:shd w:val="clear" w:color="auto" w:fill="auto"/>
          </w:tcPr>
          <w:p w14:paraId="481AD5F7"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0,72</w:t>
            </w:r>
          </w:p>
        </w:tc>
        <w:tc>
          <w:tcPr>
            <w:tcW w:w="1935" w:type="dxa"/>
            <w:tcBorders>
              <w:top w:val="nil"/>
            </w:tcBorders>
            <w:shd w:val="clear" w:color="auto" w:fill="auto"/>
          </w:tcPr>
          <w:p w14:paraId="488F4D41"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0,47-1,12</w:t>
            </w:r>
          </w:p>
        </w:tc>
      </w:tr>
    </w:tbl>
    <w:p w14:paraId="06558A15" w14:textId="77777777" w:rsidR="00DC1CDC" w:rsidRPr="00D9492F" w:rsidRDefault="00DC1CDC" w:rsidP="00DC1CDC">
      <w:pPr>
        <w:keepNext/>
        <w:keepLines/>
        <w:spacing w:after="0" w:line="240" w:lineRule="auto"/>
        <w:ind w:left="360"/>
        <w:jc w:val="both"/>
        <w:rPr>
          <w:rFonts w:ascii="Times New Roman" w:hAnsi="Times New Roman"/>
        </w:rPr>
      </w:pPr>
      <w:r w:rsidRPr="00D9492F">
        <w:rPr>
          <w:rFonts w:ascii="Times New Roman" w:hAnsi="Times New Roman"/>
        </w:rPr>
        <w:t xml:space="preserve">*rizikos koeficientas (TAC/FAC) mažiau nei 1 rodo, kad gydymas TAC susijęs su ilgesniu be ligos reiškinių išgyventu laikotarpiu lyginant su gydymu FAC. </w:t>
      </w:r>
    </w:p>
    <w:p w14:paraId="1A9EEC32" w14:textId="77777777" w:rsidR="00DC1CDC" w:rsidRPr="00D9492F" w:rsidRDefault="00DC1CDC" w:rsidP="00DC1CDC">
      <w:pPr>
        <w:spacing w:after="0" w:line="240" w:lineRule="auto"/>
        <w:rPr>
          <w:rFonts w:ascii="Times New Roman" w:hAnsi="Times New Roman"/>
        </w:rPr>
      </w:pPr>
    </w:p>
    <w:p w14:paraId="5DD80637" w14:textId="77777777" w:rsidR="00DC1CDC" w:rsidRPr="00D9492F" w:rsidRDefault="00DC1CDC" w:rsidP="00DC1CDC">
      <w:pPr>
        <w:keepNext/>
        <w:keepLines/>
        <w:suppressAutoHyphens/>
        <w:spacing w:after="0" w:line="240" w:lineRule="auto"/>
        <w:jc w:val="both"/>
        <w:rPr>
          <w:rFonts w:ascii="Times New Roman" w:hAnsi="Times New Roman"/>
          <w:bCs/>
          <w:u w:val="single"/>
        </w:rPr>
      </w:pPr>
      <w:r w:rsidRPr="00D9492F">
        <w:rPr>
          <w:rFonts w:ascii="Times New Roman" w:hAnsi="Times New Roman"/>
          <w:bCs/>
          <w:u w:val="single"/>
        </w:rPr>
        <w:t xml:space="preserve">Atlikta pacienčių, kurios atitiko 2009 </w:t>
      </w:r>
      <w:r w:rsidRPr="00D9492F">
        <w:rPr>
          <w:rFonts w:ascii="Times New Roman" w:hAnsi="Times New Roman"/>
          <w:bCs/>
          <w:i/>
          <w:u w:val="single"/>
        </w:rPr>
        <w:t>St. Gallen</w:t>
      </w:r>
      <w:r w:rsidRPr="00D9492F">
        <w:rPr>
          <w:rFonts w:ascii="Times New Roman" w:hAnsi="Times New Roman"/>
          <w:bCs/>
          <w:u w:val="single"/>
        </w:rPr>
        <w:t xml:space="preserve"> chemoterapijos kriterijus</w:t>
      </w:r>
      <w:r w:rsidR="00F34ADB" w:rsidRPr="00D9492F">
        <w:rPr>
          <w:rFonts w:ascii="Times New Roman" w:hAnsi="Times New Roman"/>
          <w:bCs/>
          <w:u w:val="single"/>
        </w:rPr>
        <w:t>,</w:t>
      </w:r>
      <w:r w:rsidRPr="00D9492F">
        <w:rPr>
          <w:rFonts w:ascii="Times New Roman" w:hAnsi="Times New Roman"/>
          <w:bCs/>
          <w:u w:val="single"/>
        </w:rPr>
        <w:t xml:space="preserve"> išplėstinė pogrupių analizė (</w:t>
      </w:r>
      <w:r w:rsidR="00BE09FA" w:rsidRPr="00D9492F">
        <w:rPr>
          <w:rFonts w:ascii="Times New Roman" w:hAnsi="Times New Roman"/>
          <w:bCs/>
          <w:u w:val="single"/>
        </w:rPr>
        <w:t>t</w:t>
      </w:r>
      <w:r w:rsidRPr="00D9492F">
        <w:rPr>
          <w:rFonts w:ascii="Times New Roman" w:hAnsi="Times New Roman"/>
          <w:bCs/>
          <w:u w:val="single"/>
        </w:rPr>
        <w:t xml:space="preserve">yrimą baigusių pacienčių duomenų analizė) </w:t>
      </w:r>
    </w:p>
    <w:p w14:paraId="437353D5" w14:textId="77777777" w:rsidR="00DC1CDC" w:rsidRPr="00D9492F" w:rsidRDefault="00DC1CDC" w:rsidP="00DC1CDC">
      <w:pPr>
        <w:keepNext/>
        <w:keepLines/>
        <w:suppressAutoHyphens/>
        <w:spacing w:after="0" w:line="240" w:lineRule="auto"/>
        <w:rPr>
          <w:rFonts w:ascii="Times New Roman" w:hAnsi="Times New Roman"/>
          <w:bCs/>
          <w:u w:val="single"/>
        </w:rPr>
      </w:pPr>
    </w:p>
    <w:tbl>
      <w:tblPr>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9"/>
        <w:gridCol w:w="1620"/>
        <w:gridCol w:w="1260"/>
        <w:gridCol w:w="2160"/>
        <w:gridCol w:w="1351"/>
      </w:tblGrid>
      <w:tr w:rsidR="00DC1CDC" w:rsidRPr="00D9492F" w14:paraId="76D2622E" w14:textId="77777777" w:rsidTr="0003751A">
        <w:trPr>
          <w:jc w:val="center"/>
        </w:trPr>
        <w:tc>
          <w:tcPr>
            <w:tcW w:w="2719" w:type="dxa"/>
          </w:tcPr>
          <w:p w14:paraId="3A63E2C7" w14:textId="77777777" w:rsidR="00DC1CDC" w:rsidRPr="00D9492F" w:rsidRDefault="00DC1CDC" w:rsidP="00DC1CDC">
            <w:pPr>
              <w:keepNext/>
              <w:keepLines/>
              <w:spacing w:after="0" w:line="240" w:lineRule="auto"/>
              <w:rPr>
                <w:rFonts w:ascii="Times New Roman" w:eastAsia="Times New Roman" w:hAnsi="Times New Roman"/>
              </w:rPr>
            </w:pPr>
          </w:p>
        </w:tc>
        <w:tc>
          <w:tcPr>
            <w:tcW w:w="1620" w:type="dxa"/>
          </w:tcPr>
          <w:p w14:paraId="24FFC250" w14:textId="77777777" w:rsidR="00DC1CDC" w:rsidRPr="00D9492F" w:rsidRDefault="00DC1CDC" w:rsidP="00DC1CDC">
            <w:pPr>
              <w:keepNext/>
              <w:keepLines/>
              <w:spacing w:after="0" w:line="240" w:lineRule="auto"/>
              <w:jc w:val="center"/>
              <w:rPr>
                <w:rFonts w:ascii="Times New Roman" w:eastAsia="Times New Roman" w:hAnsi="Times New Roman"/>
                <w:u w:val="single"/>
              </w:rPr>
            </w:pPr>
          </w:p>
          <w:p w14:paraId="02CE3EA0" w14:textId="77777777" w:rsidR="00DC1CDC" w:rsidRPr="00D9492F" w:rsidRDefault="00DC1CDC" w:rsidP="00DC1CDC">
            <w:pPr>
              <w:keepNext/>
              <w:keepLines/>
              <w:spacing w:after="0" w:line="240" w:lineRule="auto"/>
              <w:jc w:val="center"/>
              <w:rPr>
                <w:rFonts w:ascii="Times New Roman" w:eastAsia="Times New Roman" w:hAnsi="Times New Roman"/>
                <w:u w:val="single"/>
              </w:rPr>
            </w:pPr>
            <w:r w:rsidRPr="00D9492F">
              <w:rPr>
                <w:rFonts w:ascii="Times New Roman" w:eastAsia="Times New Roman" w:hAnsi="Times New Roman"/>
                <w:u w:val="single"/>
              </w:rPr>
              <w:t>TAC</w:t>
            </w:r>
          </w:p>
        </w:tc>
        <w:tc>
          <w:tcPr>
            <w:tcW w:w="1260" w:type="dxa"/>
          </w:tcPr>
          <w:p w14:paraId="3D451F25" w14:textId="77777777" w:rsidR="00DC1CDC" w:rsidRPr="00D9492F" w:rsidRDefault="00DC1CDC" w:rsidP="00DC1CDC">
            <w:pPr>
              <w:keepNext/>
              <w:keepLines/>
              <w:spacing w:after="0" w:line="240" w:lineRule="auto"/>
              <w:jc w:val="center"/>
              <w:rPr>
                <w:rFonts w:ascii="Times New Roman" w:eastAsia="Times New Roman" w:hAnsi="Times New Roman"/>
                <w:u w:val="single"/>
              </w:rPr>
            </w:pPr>
          </w:p>
          <w:p w14:paraId="1FC8AFEE" w14:textId="77777777" w:rsidR="00DC1CDC" w:rsidRPr="00D9492F" w:rsidRDefault="00DC1CDC" w:rsidP="00DC1CDC">
            <w:pPr>
              <w:keepNext/>
              <w:keepLines/>
              <w:spacing w:after="0" w:line="240" w:lineRule="auto"/>
              <w:jc w:val="center"/>
              <w:rPr>
                <w:rFonts w:ascii="Times New Roman" w:eastAsia="Times New Roman" w:hAnsi="Times New Roman"/>
                <w:u w:val="single"/>
              </w:rPr>
            </w:pPr>
            <w:r w:rsidRPr="00D9492F">
              <w:rPr>
                <w:rFonts w:ascii="Times New Roman" w:eastAsia="Times New Roman" w:hAnsi="Times New Roman"/>
                <w:u w:val="single"/>
              </w:rPr>
              <w:t>FAC</w:t>
            </w:r>
          </w:p>
        </w:tc>
        <w:tc>
          <w:tcPr>
            <w:tcW w:w="2160" w:type="dxa"/>
          </w:tcPr>
          <w:p w14:paraId="7111EDA3" w14:textId="77777777" w:rsidR="00DC1CDC" w:rsidRPr="00D9492F" w:rsidRDefault="00DC1CDC" w:rsidP="00DC1CDC">
            <w:pPr>
              <w:keepNext/>
              <w:keepLines/>
              <w:spacing w:after="0" w:line="240" w:lineRule="auto"/>
              <w:jc w:val="center"/>
              <w:rPr>
                <w:rFonts w:ascii="Times New Roman" w:eastAsia="Times New Roman" w:hAnsi="Times New Roman"/>
                <w:u w:val="single"/>
              </w:rPr>
            </w:pPr>
            <w:r w:rsidRPr="00D9492F">
              <w:rPr>
                <w:rFonts w:ascii="Times New Roman" w:eastAsia="Times New Roman" w:hAnsi="Times New Roman"/>
                <w:u w:val="single"/>
              </w:rPr>
              <w:t>Rizikos koeficientas</w:t>
            </w:r>
          </w:p>
          <w:p w14:paraId="57D67E8C" w14:textId="77777777" w:rsidR="00DC1CDC" w:rsidRPr="00D9492F" w:rsidRDefault="00DC1CDC" w:rsidP="00DC1CDC">
            <w:pPr>
              <w:keepNext/>
              <w:keepLines/>
              <w:spacing w:after="0" w:line="240" w:lineRule="auto"/>
              <w:jc w:val="center"/>
              <w:rPr>
                <w:rFonts w:ascii="Times New Roman" w:eastAsia="Times New Roman" w:hAnsi="Times New Roman"/>
                <w:u w:val="single"/>
              </w:rPr>
            </w:pPr>
            <w:r w:rsidRPr="00D9492F">
              <w:rPr>
                <w:rFonts w:ascii="Times New Roman" w:eastAsia="Times New Roman" w:hAnsi="Times New Roman"/>
                <w:u w:val="single"/>
              </w:rPr>
              <w:t>(TAC/FAC)</w:t>
            </w:r>
          </w:p>
        </w:tc>
        <w:tc>
          <w:tcPr>
            <w:tcW w:w="1351" w:type="dxa"/>
          </w:tcPr>
          <w:p w14:paraId="5AC1B645" w14:textId="77777777" w:rsidR="00DC1CDC" w:rsidRPr="00D9492F" w:rsidRDefault="00DC1CDC" w:rsidP="00DC1CDC">
            <w:pPr>
              <w:keepNext/>
              <w:keepLines/>
              <w:spacing w:after="0" w:line="240" w:lineRule="auto"/>
              <w:jc w:val="center"/>
              <w:rPr>
                <w:rFonts w:ascii="Times New Roman" w:eastAsia="Times New Roman" w:hAnsi="Times New Roman"/>
                <w:u w:val="single"/>
              </w:rPr>
            </w:pPr>
          </w:p>
          <w:p w14:paraId="547A671B" w14:textId="77777777" w:rsidR="00DC1CDC" w:rsidRPr="00D9492F" w:rsidRDefault="00DC1CDC" w:rsidP="00DC1CDC">
            <w:pPr>
              <w:keepNext/>
              <w:keepLines/>
              <w:spacing w:after="0" w:line="240" w:lineRule="auto"/>
              <w:jc w:val="center"/>
              <w:rPr>
                <w:rFonts w:ascii="Times New Roman" w:eastAsia="Times New Roman" w:hAnsi="Times New Roman"/>
                <w:u w:val="single"/>
              </w:rPr>
            </w:pPr>
          </w:p>
        </w:tc>
      </w:tr>
      <w:tr w:rsidR="00DC1CDC" w:rsidRPr="00D9492F" w14:paraId="3D28B4B3" w14:textId="77777777" w:rsidTr="0003751A">
        <w:trPr>
          <w:jc w:val="center"/>
        </w:trPr>
        <w:tc>
          <w:tcPr>
            <w:tcW w:w="2719" w:type="dxa"/>
          </w:tcPr>
          <w:p w14:paraId="000D63B8" w14:textId="77777777" w:rsidR="00DC1CDC" w:rsidRPr="00D9492F" w:rsidRDefault="00DC1CDC" w:rsidP="00DC1CDC">
            <w:pPr>
              <w:keepNext/>
              <w:keepLines/>
              <w:spacing w:after="0" w:line="240" w:lineRule="auto"/>
              <w:rPr>
                <w:rFonts w:ascii="Times New Roman" w:eastAsia="Times New Roman" w:hAnsi="Times New Roman"/>
                <w:u w:val="single"/>
              </w:rPr>
            </w:pPr>
            <w:r w:rsidRPr="00D9492F">
              <w:rPr>
                <w:rFonts w:ascii="Times New Roman" w:eastAsia="Times New Roman" w:hAnsi="Times New Roman"/>
                <w:u w:val="single"/>
              </w:rPr>
              <w:t>Pogrupiai</w:t>
            </w:r>
          </w:p>
        </w:tc>
        <w:tc>
          <w:tcPr>
            <w:tcW w:w="1620" w:type="dxa"/>
          </w:tcPr>
          <w:p w14:paraId="1CB737A1"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(n=539)</w:t>
            </w:r>
          </w:p>
        </w:tc>
        <w:tc>
          <w:tcPr>
            <w:tcW w:w="1260" w:type="dxa"/>
          </w:tcPr>
          <w:p w14:paraId="3BDDCE4B"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(n=521)</w:t>
            </w:r>
          </w:p>
        </w:tc>
        <w:tc>
          <w:tcPr>
            <w:tcW w:w="2160" w:type="dxa"/>
          </w:tcPr>
          <w:p w14:paraId="473FDA34"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(95% PI)</w:t>
            </w:r>
          </w:p>
        </w:tc>
        <w:tc>
          <w:tcPr>
            <w:tcW w:w="1351" w:type="dxa"/>
          </w:tcPr>
          <w:p w14:paraId="77A2D740" w14:textId="77777777" w:rsidR="00DC1CDC" w:rsidRPr="00D9492F" w:rsidRDefault="00DC1CDC" w:rsidP="00DC1CDC">
            <w:pPr>
              <w:keepNext/>
              <w:keepLines/>
              <w:spacing w:after="0" w:line="240" w:lineRule="auto"/>
              <w:jc w:val="center"/>
              <w:rPr>
                <w:rFonts w:ascii="Times New Roman" w:eastAsia="Times New Roman" w:hAnsi="Times New Roman"/>
                <w:u w:val="single"/>
              </w:rPr>
            </w:pPr>
            <w:r w:rsidRPr="00D9492F">
              <w:rPr>
                <w:rFonts w:ascii="Times New Roman" w:eastAsia="Times New Roman" w:hAnsi="Times New Roman"/>
                <w:u w:val="single"/>
              </w:rPr>
              <w:t>p-reikšmė</w:t>
            </w:r>
          </w:p>
        </w:tc>
      </w:tr>
      <w:tr w:rsidR="00DC1CDC" w:rsidRPr="00D9492F" w14:paraId="0243A0C6" w14:textId="77777777" w:rsidTr="0003751A">
        <w:trPr>
          <w:jc w:val="center"/>
        </w:trPr>
        <w:tc>
          <w:tcPr>
            <w:tcW w:w="2719" w:type="dxa"/>
          </w:tcPr>
          <w:p w14:paraId="5DA91A02" w14:textId="77777777" w:rsidR="00DC1CDC" w:rsidRPr="00D9492F" w:rsidRDefault="00DC1CDC" w:rsidP="00DC1CDC">
            <w:pPr>
              <w:keepNext/>
              <w:keepLines/>
              <w:spacing w:after="0" w:line="240" w:lineRule="auto"/>
              <w:rPr>
                <w:rFonts w:ascii="Times New Roman" w:eastAsia="Times New Roman" w:hAnsi="Times New Roman"/>
              </w:rPr>
            </w:pPr>
          </w:p>
          <w:p w14:paraId="3B57968B"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Santykinis indikacijos chemoterapijai atitikimas</w:t>
            </w:r>
            <w:r w:rsidRPr="00D9492F">
              <w:rPr>
                <w:rFonts w:ascii="Times New Roman" w:eastAsia="Times New Roman" w:hAnsi="Times New Roman"/>
                <w:vertAlign w:val="superscript"/>
              </w:rPr>
              <w:t>a</w:t>
            </w:r>
          </w:p>
        </w:tc>
        <w:tc>
          <w:tcPr>
            <w:tcW w:w="1620" w:type="dxa"/>
          </w:tcPr>
          <w:p w14:paraId="2A3727D7"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260" w:type="dxa"/>
          </w:tcPr>
          <w:p w14:paraId="210038AD"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2160" w:type="dxa"/>
          </w:tcPr>
          <w:p w14:paraId="208B08F6" w14:textId="77777777" w:rsidR="00DC1CDC" w:rsidRPr="00D9492F" w:rsidRDefault="00DC1CDC" w:rsidP="00DC1CDC">
            <w:pPr>
              <w:keepNext/>
              <w:keepLines/>
              <w:spacing w:after="0" w:line="240" w:lineRule="auto"/>
              <w:jc w:val="center"/>
              <w:rPr>
                <w:rFonts w:ascii="Times New Roman" w:eastAsia="Times New Roman" w:hAnsi="Times New Roman"/>
              </w:rPr>
            </w:pPr>
          </w:p>
        </w:tc>
        <w:tc>
          <w:tcPr>
            <w:tcW w:w="1351" w:type="dxa"/>
          </w:tcPr>
          <w:p w14:paraId="10E37D1E" w14:textId="77777777" w:rsidR="00DC1CDC" w:rsidRPr="00D9492F" w:rsidRDefault="00DC1CDC" w:rsidP="00DC1CDC">
            <w:pPr>
              <w:keepNext/>
              <w:keepLines/>
              <w:spacing w:after="0" w:line="240" w:lineRule="auto"/>
              <w:jc w:val="center"/>
              <w:rPr>
                <w:rFonts w:ascii="Times New Roman" w:eastAsia="Times New Roman" w:hAnsi="Times New Roman"/>
              </w:rPr>
            </w:pPr>
          </w:p>
        </w:tc>
      </w:tr>
      <w:tr w:rsidR="00DC1CDC" w:rsidRPr="00D9492F" w14:paraId="4C4C490A" w14:textId="77777777" w:rsidTr="0003751A">
        <w:trPr>
          <w:jc w:val="center"/>
        </w:trPr>
        <w:tc>
          <w:tcPr>
            <w:tcW w:w="2719" w:type="dxa"/>
          </w:tcPr>
          <w:p w14:paraId="777B7A3B" w14:textId="77777777" w:rsidR="00DC1CDC" w:rsidRPr="00D9492F" w:rsidRDefault="00DC1CDC" w:rsidP="00DC1CDC">
            <w:pPr>
              <w:keepNext/>
              <w:keepLines/>
              <w:spacing w:after="0" w:line="240" w:lineRule="auto"/>
              <w:rPr>
                <w:rFonts w:ascii="Times New Roman" w:eastAsia="Times New Roman" w:hAnsi="Times New Roman"/>
              </w:rPr>
            </w:pPr>
          </w:p>
          <w:p w14:paraId="570D3361"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Ne</w:t>
            </w:r>
          </w:p>
        </w:tc>
        <w:tc>
          <w:tcPr>
            <w:tcW w:w="1620" w:type="dxa"/>
          </w:tcPr>
          <w:p w14:paraId="3078EA14" w14:textId="77777777" w:rsidR="00DC1CDC" w:rsidRPr="00D9492F" w:rsidRDefault="00DC1CDC" w:rsidP="00DC1CDC">
            <w:pPr>
              <w:keepNext/>
              <w:keepLines/>
              <w:spacing w:after="0" w:line="240" w:lineRule="auto"/>
              <w:jc w:val="center"/>
              <w:rPr>
                <w:rFonts w:ascii="Times New Roman" w:eastAsia="Times New Roman" w:hAnsi="Times New Roman"/>
              </w:rPr>
            </w:pPr>
          </w:p>
          <w:p w14:paraId="29B8D2F0"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18/214</w:t>
            </w:r>
          </w:p>
          <w:p w14:paraId="32811A94"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(8,4 %)</w:t>
            </w:r>
          </w:p>
        </w:tc>
        <w:tc>
          <w:tcPr>
            <w:tcW w:w="1260" w:type="dxa"/>
          </w:tcPr>
          <w:p w14:paraId="1DE56DFE" w14:textId="77777777" w:rsidR="00DC1CDC" w:rsidRPr="00D9492F" w:rsidRDefault="00DC1CDC" w:rsidP="00DC1CDC">
            <w:pPr>
              <w:keepNext/>
              <w:keepLines/>
              <w:spacing w:after="0" w:line="240" w:lineRule="auto"/>
              <w:jc w:val="center"/>
              <w:rPr>
                <w:rFonts w:ascii="Times New Roman" w:eastAsia="Times New Roman" w:hAnsi="Times New Roman"/>
              </w:rPr>
            </w:pPr>
          </w:p>
          <w:p w14:paraId="05B97508"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26/227</w:t>
            </w:r>
          </w:p>
          <w:p w14:paraId="36CB5985"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(11,5 %)</w:t>
            </w:r>
          </w:p>
        </w:tc>
        <w:tc>
          <w:tcPr>
            <w:tcW w:w="2160" w:type="dxa"/>
          </w:tcPr>
          <w:p w14:paraId="32362433" w14:textId="77777777" w:rsidR="00DC1CDC" w:rsidRPr="00D9492F" w:rsidRDefault="00DC1CDC" w:rsidP="00DC1CDC">
            <w:pPr>
              <w:keepNext/>
              <w:keepLines/>
              <w:spacing w:after="0" w:line="240" w:lineRule="auto"/>
              <w:jc w:val="center"/>
              <w:rPr>
                <w:rFonts w:ascii="Times New Roman" w:eastAsia="Times New Roman" w:hAnsi="Times New Roman"/>
              </w:rPr>
            </w:pPr>
          </w:p>
          <w:p w14:paraId="62178D0B"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0,796 (0,434 – 1,459)</w:t>
            </w:r>
          </w:p>
        </w:tc>
        <w:tc>
          <w:tcPr>
            <w:tcW w:w="1351" w:type="dxa"/>
          </w:tcPr>
          <w:p w14:paraId="3C8ADB01" w14:textId="77777777" w:rsidR="00DC1CDC" w:rsidRPr="00D9492F" w:rsidRDefault="00DC1CDC" w:rsidP="00DC1CDC">
            <w:pPr>
              <w:keepNext/>
              <w:keepLines/>
              <w:spacing w:after="0" w:line="240" w:lineRule="auto"/>
              <w:jc w:val="center"/>
              <w:rPr>
                <w:rFonts w:ascii="Times New Roman" w:eastAsia="Times New Roman" w:hAnsi="Times New Roman"/>
              </w:rPr>
            </w:pPr>
          </w:p>
          <w:p w14:paraId="36008071"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0,4593</w:t>
            </w:r>
          </w:p>
        </w:tc>
      </w:tr>
      <w:tr w:rsidR="00DC1CDC" w:rsidRPr="00D9492F" w14:paraId="03E12859" w14:textId="77777777" w:rsidTr="0003751A">
        <w:trPr>
          <w:jc w:val="center"/>
        </w:trPr>
        <w:tc>
          <w:tcPr>
            <w:tcW w:w="2719" w:type="dxa"/>
          </w:tcPr>
          <w:p w14:paraId="259AE43E" w14:textId="77777777" w:rsidR="00DC1CDC" w:rsidRPr="00D9492F" w:rsidRDefault="00DC1CDC" w:rsidP="00DC1CDC">
            <w:pPr>
              <w:keepNext/>
              <w:keepLines/>
              <w:spacing w:after="0" w:line="240" w:lineRule="auto"/>
              <w:rPr>
                <w:rFonts w:ascii="Times New Roman" w:eastAsia="Times New Roman" w:hAnsi="Times New Roman"/>
              </w:rPr>
            </w:pPr>
          </w:p>
          <w:p w14:paraId="4232EFAC"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Taip</w:t>
            </w:r>
          </w:p>
          <w:p w14:paraId="37216876" w14:textId="77777777" w:rsidR="00DC1CDC" w:rsidRPr="00D9492F" w:rsidRDefault="00DC1CDC" w:rsidP="00DC1CDC">
            <w:pPr>
              <w:keepNext/>
              <w:keepLines/>
              <w:spacing w:after="0" w:line="240" w:lineRule="auto"/>
              <w:rPr>
                <w:rFonts w:ascii="Times New Roman" w:eastAsia="Times New Roman" w:hAnsi="Times New Roman"/>
              </w:rPr>
            </w:pPr>
          </w:p>
        </w:tc>
        <w:tc>
          <w:tcPr>
            <w:tcW w:w="1620" w:type="dxa"/>
          </w:tcPr>
          <w:p w14:paraId="17B13B94" w14:textId="77777777" w:rsidR="00DC1CDC" w:rsidRPr="00D9492F" w:rsidRDefault="00DC1CDC" w:rsidP="00DC1CDC">
            <w:pPr>
              <w:keepNext/>
              <w:keepLines/>
              <w:spacing w:after="0" w:line="240" w:lineRule="auto"/>
              <w:jc w:val="center"/>
              <w:rPr>
                <w:rFonts w:ascii="Times New Roman" w:eastAsia="Times New Roman" w:hAnsi="Times New Roman"/>
              </w:rPr>
            </w:pPr>
          </w:p>
          <w:p w14:paraId="054765E6"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48/325</w:t>
            </w:r>
          </w:p>
          <w:p w14:paraId="1F1CE6D3"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(14,8 %)</w:t>
            </w:r>
          </w:p>
        </w:tc>
        <w:tc>
          <w:tcPr>
            <w:tcW w:w="1260" w:type="dxa"/>
          </w:tcPr>
          <w:p w14:paraId="32CFDDF5" w14:textId="77777777" w:rsidR="00DC1CDC" w:rsidRPr="00D9492F" w:rsidRDefault="00DC1CDC" w:rsidP="00DC1CDC">
            <w:pPr>
              <w:keepNext/>
              <w:keepLines/>
              <w:spacing w:after="0" w:line="240" w:lineRule="auto"/>
              <w:jc w:val="center"/>
              <w:rPr>
                <w:rFonts w:ascii="Times New Roman" w:eastAsia="Times New Roman" w:hAnsi="Times New Roman"/>
              </w:rPr>
            </w:pPr>
          </w:p>
          <w:p w14:paraId="6B82C769"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69/294</w:t>
            </w:r>
          </w:p>
          <w:p w14:paraId="1328E4F5"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(23,5 %)</w:t>
            </w:r>
          </w:p>
        </w:tc>
        <w:tc>
          <w:tcPr>
            <w:tcW w:w="2160" w:type="dxa"/>
          </w:tcPr>
          <w:p w14:paraId="22E44E5E" w14:textId="77777777" w:rsidR="00DC1CDC" w:rsidRPr="00D9492F" w:rsidRDefault="00DC1CDC" w:rsidP="00DC1CDC">
            <w:pPr>
              <w:keepNext/>
              <w:keepLines/>
              <w:spacing w:after="0" w:line="240" w:lineRule="auto"/>
              <w:jc w:val="center"/>
              <w:rPr>
                <w:rFonts w:ascii="Times New Roman" w:eastAsia="Times New Roman" w:hAnsi="Times New Roman"/>
              </w:rPr>
            </w:pPr>
          </w:p>
          <w:p w14:paraId="2B9F2AF1"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0,606 (0,42 – 0,877)</w:t>
            </w:r>
          </w:p>
        </w:tc>
        <w:tc>
          <w:tcPr>
            <w:tcW w:w="1351" w:type="dxa"/>
          </w:tcPr>
          <w:p w14:paraId="143F1B46" w14:textId="77777777" w:rsidR="00DC1CDC" w:rsidRPr="00D9492F" w:rsidRDefault="00DC1CDC" w:rsidP="00DC1CDC">
            <w:pPr>
              <w:keepNext/>
              <w:keepLines/>
              <w:spacing w:after="0" w:line="240" w:lineRule="auto"/>
              <w:jc w:val="center"/>
              <w:rPr>
                <w:rFonts w:ascii="Times New Roman" w:eastAsia="Times New Roman" w:hAnsi="Times New Roman"/>
              </w:rPr>
            </w:pPr>
          </w:p>
          <w:p w14:paraId="5405F6FD" w14:textId="77777777" w:rsidR="00DC1CDC" w:rsidRPr="00D9492F" w:rsidRDefault="00DC1CDC" w:rsidP="00DC1CDC">
            <w:pPr>
              <w:keepNext/>
              <w:keepLines/>
              <w:spacing w:after="0" w:line="240" w:lineRule="auto"/>
              <w:jc w:val="center"/>
              <w:rPr>
                <w:rFonts w:ascii="Times New Roman" w:eastAsia="Times New Roman" w:hAnsi="Times New Roman"/>
              </w:rPr>
            </w:pPr>
            <w:r w:rsidRPr="00D9492F">
              <w:rPr>
                <w:rFonts w:ascii="Times New Roman" w:eastAsia="Times New Roman" w:hAnsi="Times New Roman"/>
              </w:rPr>
              <w:t>0,0072</w:t>
            </w:r>
          </w:p>
        </w:tc>
      </w:tr>
    </w:tbl>
    <w:p w14:paraId="6FD5890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TAC = docetakselis, doksorubicinas ir ciklofosfamidas</w:t>
      </w:r>
    </w:p>
    <w:p w14:paraId="6DF7330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FAC = 5-fluorouracilas, doksorubicinas ir ciklofosfamidas</w:t>
      </w:r>
    </w:p>
    <w:p w14:paraId="3F6C764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PI = pasikliautinis intervalas; ER = estrogenų receptorius</w:t>
      </w:r>
    </w:p>
    <w:p w14:paraId="3F0204D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PR = progesterono receptorius</w:t>
      </w:r>
    </w:p>
    <w:p w14:paraId="4B817D48" w14:textId="77777777" w:rsidR="00DC1CDC" w:rsidRPr="00D9492F" w:rsidRDefault="00DC1CDC" w:rsidP="00DC1CDC">
      <w:pPr>
        <w:spacing w:after="0" w:line="240" w:lineRule="auto"/>
        <w:rPr>
          <w:rFonts w:ascii="Times New Roman" w:hAnsi="Times New Roman"/>
        </w:rPr>
      </w:pPr>
      <w:r w:rsidRPr="00D9492F">
        <w:rPr>
          <w:rFonts w:ascii="Times New Roman" w:hAnsi="Times New Roman"/>
          <w:vertAlign w:val="superscript"/>
        </w:rPr>
        <w:t>a</w:t>
      </w:r>
      <w:r w:rsidRPr="00D9492F">
        <w:rPr>
          <w:rFonts w:ascii="Times New Roman" w:hAnsi="Times New Roman"/>
        </w:rPr>
        <w:t xml:space="preserve"> ER/PR-neigiami arba 3 laipsnio ar naviko dydis &gt;5 cm</w:t>
      </w:r>
    </w:p>
    <w:p w14:paraId="41B01BAE" w14:textId="77777777" w:rsidR="00DC1CDC" w:rsidRPr="00D9492F" w:rsidRDefault="00DC1CDC" w:rsidP="00DC1CDC">
      <w:pPr>
        <w:spacing w:after="0" w:line="240" w:lineRule="auto"/>
        <w:rPr>
          <w:rFonts w:ascii="Times New Roman" w:hAnsi="Times New Roman"/>
        </w:rPr>
      </w:pPr>
    </w:p>
    <w:p w14:paraId="1C22CAF7"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Apskaičiuotas rizikos koeficientas gautas naudojantis Cox proporcinės rizikos modeliu gydomąją grupę laikant faktoriumi. </w:t>
      </w:r>
    </w:p>
    <w:p w14:paraId="7DD116A8" w14:textId="77777777" w:rsidR="00DC1CDC" w:rsidRPr="00D9492F" w:rsidRDefault="00DC1CDC" w:rsidP="00DC1CDC">
      <w:pPr>
        <w:spacing w:after="0" w:line="240" w:lineRule="auto"/>
        <w:rPr>
          <w:rFonts w:ascii="Times New Roman" w:hAnsi="Times New Roman"/>
        </w:rPr>
      </w:pPr>
    </w:p>
    <w:p w14:paraId="595F1C52" w14:textId="77777777" w:rsidR="00DC1CDC" w:rsidRPr="00D9492F" w:rsidRDefault="00DC1CDC" w:rsidP="00DC1CDC">
      <w:pPr>
        <w:keepNext/>
        <w:keepLines/>
        <w:spacing w:after="0" w:line="240" w:lineRule="auto"/>
        <w:rPr>
          <w:rFonts w:ascii="Times New Roman" w:eastAsia="Times New Roman" w:hAnsi="Times New Roman"/>
          <w:bCs/>
          <w:i/>
        </w:rPr>
      </w:pPr>
      <w:r w:rsidRPr="00D9492F">
        <w:rPr>
          <w:rFonts w:ascii="Times New Roman" w:eastAsia="Times New Roman" w:hAnsi="Times New Roman"/>
          <w:bCs/>
          <w:i/>
        </w:rPr>
        <w:t xml:space="preserve">Monoterapija </w:t>
      </w:r>
      <w:r w:rsidRPr="00D9492F">
        <w:rPr>
          <w:rFonts w:ascii="Times New Roman" w:eastAsia="Times New Roman" w:hAnsi="Times New Roman"/>
          <w:bCs/>
          <w:i/>
          <w:iCs/>
        </w:rPr>
        <w:t>Docetaxel SanoSwiss</w:t>
      </w:r>
    </w:p>
    <w:p w14:paraId="30CE6835" w14:textId="77777777" w:rsidR="00DC1CDC" w:rsidRPr="00D9492F" w:rsidRDefault="00DC1CDC" w:rsidP="00DC1CDC">
      <w:pPr>
        <w:spacing w:after="0" w:line="240" w:lineRule="auto"/>
        <w:rPr>
          <w:rFonts w:ascii="Times New Roman" w:hAnsi="Times New Roman"/>
        </w:rPr>
      </w:pPr>
    </w:p>
    <w:p w14:paraId="79807AB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lastRenderedPageBreak/>
        <w:t xml:space="preserve">Atlikti du atsitiktiniai III fazės palyginamieji tyrimai su pacientėmis, sergančiomis metastazavusiu krūties vėžiu. Prieš tai 326 šiame tyrime dalyvavusioms pacientėms buvo neveiksmingas gydymas alkilinančiais vaistiniais preparatais, o 392 pacientėms – antraciklinais. Docetakselio </w:t>
      </w:r>
      <w:r w:rsidR="00507947" w:rsidRPr="00D9492F">
        <w:rPr>
          <w:rFonts w:ascii="Times New Roman" w:hAnsi="Times New Roman"/>
        </w:rPr>
        <w:t xml:space="preserve">skirta </w:t>
      </w:r>
      <w:r w:rsidRPr="00D9492F">
        <w:rPr>
          <w:rFonts w:ascii="Times New Roman" w:hAnsi="Times New Roman"/>
        </w:rPr>
        <w:t>rekomenduojamomis dozėmis ir tvarka (100 mg/m² kas 3 savaites).</w:t>
      </w:r>
    </w:p>
    <w:p w14:paraId="50F19B6C" w14:textId="77777777" w:rsidR="00DC1CDC" w:rsidRPr="00D9492F" w:rsidRDefault="00DC1CDC" w:rsidP="00DC1CDC">
      <w:pPr>
        <w:spacing w:after="0" w:line="240" w:lineRule="auto"/>
        <w:rPr>
          <w:rFonts w:ascii="Times New Roman" w:hAnsi="Times New Roman"/>
        </w:rPr>
      </w:pPr>
    </w:p>
    <w:p w14:paraId="5FE4545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Pacientėms, kurioms gydymas alkilinančiais vaistiniais preparatais buvo neveiksmingas, palygintas docetakselio ir doksorubicino (75 mg/m</w:t>
      </w:r>
      <w:r w:rsidRPr="00D9492F">
        <w:rPr>
          <w:rFonts w:ascii="Times New Roman" w:hAnsi="Times New Roman"/>
          <w:vertAlign w:val="superscript"/>
        </w:rPr>
        <w:t>2 </w:t>
      </w:r>
      <w:r w:rsidRPr="00D9492F">
        <w:rPr>
          <w:rFonts w:ascii="Times New Roman" w:hAnsi="Times New Roman"/>
        </w:rPr>
        <w:t>kas 3 savaites) poveikis. Docetakselis sukėlė atsaką dažniau (docetakselis – 52 %, doksorubicinas – 37 %, p </w:t>
      </w:r>
      <w:r w:rsidRPr="00D9492F">
        <w:rPr>
          <w:rFonts w:ascii="Times New Roman" w:hAnsi="Times New Roman"/>
        </w:rPr>
        <w:sym w:font="Symbol" w:char="F03D"/>
      </w:r>
      <w:r w:rsidRPr="00D9492F">
        <w:rPr>
          <w:rFonts w:ascii="Times New Roman" w:hAnsi="Times New Roman"/>
        </w:rPr>
        <w:t> 0,01) ir greičiau (docetakselis – per 12 savaičių, doksorubicinas – per 23 savaites, p </w:t>
      </w:r>
      <w:r w:rsidRPr="00D9492F">
        <w:rPr>
          <w:rFonts w:ascii="Times New Roman" w:hAnsi="Times New Roman"/>
        </w:rPr>
        <w:sym w:font="Symbol" w:char="F03D"/>
      </w:r>
      <w:r w:rsidRPr="00D9492F">
        <w:rPr>
          <w:rFonts w:ascii="Times New Roman" w:hAnsi="Times New Roman"/>
        </w:rPr>
        <w:t> 0,007), tačiau nepakeitė bendrosios išgyvenimo trukmės (docetakselis – 15 mėn., doksorubicinas – 14 mėn., p </w:t>
      </w:r>
      <w:r w:rsidRPr="00D9492F">
        <w:rPr>
          <w:rFonts w:ascii="Times New Roman" w:hAnsi="Times New Roman"/>
        </w:rPr>
        <w:sym w:font="Symbol" w:char="F03D"/>
      </w:r>
      <w:r w:rsidRPr="00D9492F">
        <w:rPr>
          <w:rFonts w:ascii="Times New Roman" w:hAnsi="Times New Roman"/>
        </w:rPr>
        <w:t> 0,38) ir laikotarpio iki ligos progresavimo trukmės (docetakselis – 27 mėn., doksorubicinas – 23 mėn., p </w:t>
      </w:r>
      <w:r w:rsidRPr="00D9492F">
        <w:rPr>
          <w:rFonts w:ascii="Times New Roman" w:hAnsi="Times New Roman"/>
        </w:rPr>
        <w:sym w:font="Symbol" w:char="F03D"/>
      </w:r>
      <w:r w:rsidRPr="00D9492F">
        <w:rPr>
          <w:rFonts w:ascii="Times New Roman" w:hAnsi="Times New Roman"/>
        </w:rPr>
        <w:t> 0,54). Trys docetakseliu gydytos pacientės (2 %) nutraukė vaistinio preparato vartojimą dėl skysčių susilaikymo, 15 (9 %) doksorubicinu gydytų pacienčių – dėl kardiotoksinio poveikio (3 pacientės mirė nuo stazinio širdies nepakankamumo).</w:t>
      </w:r>
    </w:p>
    <w:p w14:paraId="5583E90A" w14:textId="77777777" w:rsidR="00DC1CDC" w:rsidRPr="00D9492F" w:rsidRDefault="00DC1CDC" w:rsidP="00DC1CDC">
      <w:pPr>
        <w:spacing w:after="0" w:line="240" w:lineRule="auto"/>
        <w:rPr>
          <w:rFonts w:ascii="Times New Roman" w:hAnsi="Times New Roman"/>
        </w:rPr>
      </w:pPr>
    </w:p>
    <w:p w14:paraId="40900C4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Pacientėms, kurioms gydymas antraciklinais buvo neveiksmingas, docetakselio poveikis palygintas su mitomicino C (12 mg/m</w:t>
      </w:r>
      <w:r w:rsidRPr="00D9492F">
        <w:rPr>
          <w:rFonts w:ascii="Times New Roman" w:hAnsi="Times New Roman"/>
          <w:vertAlign w:val="superscript"/>
        </w:rPr>
        <w:t>2 </w:t>
      </w:r>
      <w:r w:rsidRPr="00D9492F">
        <w:rPr>
          <w:rFonts w:ascii="Times New Roman" w:hAnsi="Times New Roman"/>
        </w:rPr>
        <w:t>kas 6 savaites) ir vinblastino (6 mg/m</w:t>
      </w:r>
      <w:r w:rsidRPr="00D9492F">
        <w:rPr>
          <w:rFonts w:ascii="Times New Roman" w:hAnsi="Times New Roman"/>
          <w:vertAlign w:val="superscript"/>
        </w:rPr>
        <w:t>2 </w:t>
      </w:r>
      <w:r w:rsidRPr="00D9492F">
        <w:rPr>
          <w:rFonts w:ascii="Times New Roman" w:hAnsi="Times New Roman"/>
        </w:rPr>
        <w:t>kas 3 savaites) derinio poveikiu. Docetakselis dažniau sukėlė atsaką (33 % palyginus su 12 %, p &lt; 0,0001), prailgino laikotarpį iki ligos progresavimo (19 savaičių palyginus su 11 savaičių, p </w:t>
      </w:r>
      <w:r w:rsidRPr="00D9492F">
        <w:rPr>
          <w:rFonts w:ascii="Times New Roman" w:hAnsi="Times New Roman"/>
        </w:rPr>
        <w:sym w:font="Symbol" w:char="F03D"/>
      </w:r>
      <w:r w:rsidRPr="00D9492F">
        <w:rPr>
          <w:rFonts w:ascii="Times New Roman" w:hAnsi="Times New Roman"/>
        </w:rPr>
        <w:t> 0,0004) ir bendrąją išgyvenimo trukmę (11 mėn. palyginus su 9 mėn., p </w:t>
      </w:r>
      <w:r w:rsidRPr="00D9492F">
        <w:rPr>
          <w:rFonts w:ascii="Times New Roman" w:hAnsi="Times New Roman"/>
        </w:rPr>
        <w:sym w:font="Symbol" w:char="F03D"/>
      </w:r>
      <w:r w:rsidRPr="00D9492F">
        <w:rPr>
          <w:rFonts w:ascii="Times New Roman" w:hAnsi="Times New Roman"/>
        </w:rPr>
        <w:t xml:space="preserve"> 0,01). </w:t>
      </w:r>
    </w:p>
    <w:p w14:paraId="713321D5" w14:textId="77777777" w:rsidR="00DC1CDC" w:rsidRPr="00D9492F" w:rsidRDefault="00DC1CDC" w:rsidP="00DC1CDC">
      <w:pPr>
        <w:spacing w:after="0" w:line="240" w:lineRule="auto"/>
        <w:rPr>
          <w:rFonts w:ascii="Times New Roman" w:hAnsi="Times New Roman"/>
        </w:rPr>
      </w:pPr>
    </w:p>
    <w:p w14:paraId="51A5CAC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Šių dvejų III fazės klinikinių tyrimų metu nustatytas docetakselio saugumo pobūdis buvo panašus į nustatytą II fazės tyrimų metu (žr. 4.8 skyrių).</w:t>
      </w:r>
    </w:p>
    <w:p w14:paraId="60606159" w14:textId="77777777" w:rsidR="00DC1CDC" w:rsidRPr="00D9492F" w:rsidRDefault="00DC1CDC" w:rsidP="00DC1CDC">
      <w:pPr>
        <w:spacing w:after="0" w:line="240" w:lineRule="auto"/>
        <w:rPr>
          <w:rFonts w:ascii="Times New Roman" w:hAnsi="Times New Roman"/>
        </w:rPr>
      </w:pPr>
    </w:p>
    <w:p w14:paraId="6C836A3F"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Atviro daugelyje centrų vykusio atsitiktinių imčių III fazės tyrimo metu lygintas docetakselio monoterapijos bei gydymo paklitakseliu veiksmingumas pažengusiu krūties vėžiu sergantiems pacientams, kurie ankstesnio gydymo metu vartojo antraciklino. Viso 449 pacientams atsitiktiniu būdu buvo parinktas gydymas arba vien tik docetakseliu (100 mg/m² dozę </w:t>
      </w:r>
      <w:r w:rsidR="002C7D72" w:rsidRPr="00D9492F">
        <w:rPr>
          <w:rFonts w:ascii="Times New Roman" w:hAnsi="Times New Roman"/>
        </w:rPr>
        <w:t xml:space="preserve">suleidžiant </w:t>
      </w:r>
      <w:r w:rsidRPr="00D9492F">
        <w:rPr>
          <w:rFonts w:ascii="Times New Roman" w:hAnsi="Times New Roman"/>
        </w:rPr>
        <w:t xml:space="preserve">per 1 valandą) arba vien tik paklitakseliu (175 mg/m² dozę </w:t>
      </w:r>
      <w:r w:rsidR="002C7D72" w:rsidRPr="00D9492F">
        <w:rPr>
          <w:rFonts w:ascii="Times New Roman" w:hAnsi="Times New Roman"/>
        </w:rPr>
        <w:t xml:space="preserve">suleidžiant </w:t>
      </w:r>
      <w:r w:rsidRPr="00D9492F">
        <w:rPr>
          <w:rFonts w:ascii="Times New Roman" w:hAnsi="Times New Roman"/>
        </w:rPr>
        <w:t>per 3 valandas). Abiejų gydymų kursai kartoti kas 3 savaites.</w:t>
      </w:r>
    </w:p>
    <w:p w14:paraId="088FE7B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Nors pagrindinė vertinamoji baigtis (bendras atsako dažnis) nesiskyrė (32 % ir 25 %, p </w:t>
      </w:r>
      <w:r w:rsidRPr="00D9492F">
        <w:rPr>
          <w:rFonts w:ascii="Times New Roman" w:hAnsi="Times New Roman"/>
        </w:rPr>
        <w:sym w:font="Symbol" w:char="F03D"/>
      </w:r>
      <w:r w:rsidRPr="00D9492F">
        <w:rPr>
          <w:rFonts w:ascii="Times New Roman" w:hAnsi="Times New Roman"/>
        </w:rPr>
        <w:t> 0,10), docetakselis pailgino laikotarpio iki ligos progresavimo medianą (24,6 savaitės ir 15,6 savaitės; p &lt; 0,01) bei išgyvento laikotarpio medianą (15,3 mėnesio ir 12,7 mėnesio; p </w:t>
      </w:r>
      <w:r w:rsidRPr="00D9492F">
        <w:rPr>
          <w:rFonts w:ascii="Times New Roman" w:hAnsi="Times New Roman"/>
        </w:rPr>
        <w:sym w:font="Symbol" w:char="F03D"/>
      </w:r>
      <w:r w:rsidRPr="00D9492F">
        <w:rPr>
          <w:rFonts w:ascii="Times New Roman" w:hAnsi="Times New Roman"/>
        </w:rPr>
        <w:t> 0,03).</w:t>
      </w:r>
    </w:p>
    <w:p w14:paraId="13B89EC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Pacientams, kuriems taikyta monoterapija docetakseliu, dažniau pasireiškė 3 arba 4 laipsnio nepageidaujamų reiškinių (55,4 %), palyginti su vartojusiais paklitakselio (23,0 %).</w:t>
      </w:r>
    </w:p>
    <w:p w14:paraId="2CAF656C" w14:textId="77777777" w:rsidR="00DC1CDC" w:rsidRPr="00D9492F" w:rsidRDefault="00DC1CDC" w:rsidP="00DC1CDC">
      <w:pPr>
        <w:spacing w:after="0" w:line="240" w:lineRule="auto"/>
        <w:rPr>
          <w:rFonts w:ascii="Times New Roman" w:hAnsi="Times New Roman"/>
        </w:rPr>
      </w:pPr>
    </w:p>
    <w:p w14:paraId="5FD2BE1E" w14:textId="77777777" w:rsidR="00DC1CDC" w:rsidRPr="00D9492F" w:rsidRDefault="00DC1CDC" w:rsidP="00DC1CDC">
      <w:pPr>
        <w:keepNext/>
        <w:keepLines/>
        <w:spacing w:after="0" w:line="240" w:lineRule="auto"/>
        <w:rPr>
          <w:rFonts w:ascii="Times New Roman" w:hAnsi="Times New Roman"/>
          <w:i/>
        </w:rPr>
      </w:pPr>
      <w:r w:rsidRPr="00D9492F">
        <w:rPr>
          <w:rFonts w:ascii="Times New Roman" w:hAnsi="Times New Roman"/>
          <w:i/>
          <w:iCs/>
        </w:rPr>
        <w:t>Docetaxel SanoSwiss</w:t>
      </w:r>
      <w:r w:rsidRPr="00D9492F">
        <w:rPr>
          <w:rFonts w:ascii="Times New Roman" w:hAnsi="Times New Roman"/>
          <w:i/>
        </w:rPr>
        <w:t xml:space="preserve"> derinys su doksorubicinu</w:t>
      </w:r>
    </w:p>
    <w:p w14:paraId="32D47597" w14:textId="77777777" w:rsidR="00DC1CDC" w:rsidRPr="00D9492F" w:rsidRDefault="00DC1CDC" w:rsidP="00DC1CDC">
      <w:pPr>
        <w:spacing w:after="0" w:line="240" w:lineRule="auto"/>
        <w:rPr>
          <w:rFonts w:ascii="Times New Roman" w:hAnsi="Times New Roman"/>
        </w:rPr>
      </w:pPr>
    </w:p>
    <w:p w14:paraId="1BB002E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Atliktas didelės apimties atsitiktinis III fazės tyrimas, kuriame dalyvavo 429 pacientės, sergančios iki tol negydytu metastazavusiu krūties vėžiu. Viena tiriamųjų grupė (AT) gydyta doksorubicinu (50 mg/m</w:t>
      </w:r>
      <w:r w:rsidRPr="00D9492F">
        <w:rPr>
          <w:rFonts w:ascii="Times New Roman" w:hAnsi="Times New Roman"/>
          <w:vertAlign w:val="superscript"/>
        </w:rPr>
        <w:t>2</w:t>
      </w:r>
      <w:r w:rsidRPr="00D9492F">
        <w:rPr>
          <w:rFonts w:ascii="Times New Roman" w:hAnsi="Times New Roman"/>
        </w:rPr>
        <w:t>) ir docetakseliu (75 mg/m</w:t>
      </w:r>
      <w:r w:rsidRPr="00D9492F">
        <w:rPr>
          <w:rFonts w:ascii="Times New Roman" w:hAnsi="Times New Roman"/>
          <w:vertAlign w:val="superscript"/>
        </w:rPr>
        <w:t>2</w:t>
      </w:r>
      <w:r w:rsidRPr="00D9492F">
        <w:rPr>
          <w:rFonts w:ascii="Times New Roman" w:hAnsi="Times New Roman"/>
        </w:rPr>
        <w:t>), kita (AC) – doksorubicinu (60 mg/m</w:t>
      </w:r>
      <w:r w:rsidRPr="00D9492F">
        <w:rPr>
          <w:rFonts w:ascii="Times New Roman" w:hAnsi="Times New Roman"/>
          <w:vertAlign w:val="superscript"/>
        </w:rPr>
        <w:t>2</w:t>
      </w:r>
      <w:r w:rsidRPr="00D9492F">
        <w:rPr>
          <w:rFonts w:ascii="Times New Roman" w:hAnsi="Times New Roman"/>
        </w:rPr>
        <w:t>) ir ciklofosfamidu (600 mg/m</w:t>
      </w:r>
      <w:r w:rsidRPr="00D9492F">
        <w:rPr>
          <w:rFonts w:ascii="Times New Roman" w:hAnsi="Times New Roman"/>
          <w:vertAlign w:val="superscript"/>
        </w:rPr>
        <w:t>2</w:t>
      </w:r>
      <w:r w:rsidRPr="00D9492F">
        <w:rPr>
          <w:rFonts w:ascii="Times New Roman" w:hAnsi="Times New Roman"/>
        </w:rPr>
        <w:t xml:space="preserve">). Abiem atvejais nurodytų vaistinių preparatų </w:t>
      </w:r>
      <w:r w:rsidR="002C7D72" w:rsidRPr="00D9492F">
        <w:rPr>
          <w:rFonts w:ascii="Times New Roman" w:hAnsi="Times New Roman"/>
        </w:rPr>
        <w:t xml:space="preserve">skirta </w:t>
      </w:r>
      <w:r w:rsidRPr="00D9492F">
        <w:rPr>
          <w:rFonts w:ascii="Times New Roman" w:hAnsi="Times New Roman"/>
        </w:rPr>
        <w:t>pirmąją kiekvieno 3 savaičių ciklo dieną.</w:t>
      </w:r>
    </w:p>
    <w:p w14:paraId="4A6BA0EC" w14:textId="77777777" w:rsidR="00DC1CDC" w:rsidRPr="00D9492F" w:rsidRDefault="00DC1CDC" w:rsidP="00DC1CDC">
      <w:pPr>
        <w:spacing w:after="0" w:line="240" w:lineRule="auto"/>
        <w:rPr>
          <w:rFonts w:ascii="Times New Roman" w:hAnsi="Times New Roman"/>
        </w:rPr>
      </w:pPr>
    </w:p>
    <w:p w14:paraId="1E094B23" w14:textId="77777777" w:rsidR="00DC1CDC" w:rsidRPr="00D9492F" w:rsidRDefault="00DC1CDC" w:rsidP="00DC1CDC">
      <w:pPr>
        <w:keepNext/>
        <w:keepLines/>
        <w:numPr>
          <w:ilvl w:val="0"/>
          <w:numId w:val="4"/>
        </w:numPr>
        <w:spacing w:after="0" w:line="240" w:lineRule="auto"/>
        <w:rPr>
          <w:rFonts w:ascii="Times New Roman" w:hAnsi="Times New Roman"/>
        </w:rPr>
      </w:pPr>
      <w:r w:rsidRPr="00D9492F">
        <w:rPr>
          <w:rFonts w:ascii="Times New Roman" w:hAnsi="Times New Roman"/>
        </w:rPr>
        <w:t>AT grupės tiriamųjų laikotarpis iki ligos progresavimo buvo reikšmingai ilgesnis negu AC (p = 0,0138). Laikotarpio iki ligos progresavimo mediana AT grupėje buvo 37,3 savaitės (95 % pasikliautinumo intervalas – 33,4</w:t>
      </w:r>
      <w:r w:rsidRPr="00D9492F">
        <w:rPr>
          <w:rFonts w:ascii="Times New Roman" w:hAnsi="Times New Roman"/>
        </w:rPr>
        <w:noBreakHyphen/>
        <w:t>42,1 savaitės), AC grupėje – 31,9 savaitės (95 % pasikliautinumo intervalas – 27,4</w:t>
      </w:r>
      <w:r w:rsidRPr="00D9492F">
        <w:rPr>
          <w:rFonts w:ascii="Times New Roman" w:hAnsi="Times New Roman"/>
        </w:rPr>
        <w:noBreakHyphen/>
        <w:t>36 savaitės).</w:t>
      </w:r>
    </w:p>
    <w:p w14:paraId="6594498A" w14:textId="77777777" w:rsidR="00DC1CDC" w:rsidRPr="00D9492F" w:rsidRDefault="00DC1CDC" w:rsidP="00DC1CDC">
      <w:pPr>
        <w:keepNext/>
        <w:keepLines/>
        <w:numPr>
          <w:ilvl w:val="0"/>
          <w:numId w:val="4"/>
        </w:numPr>
        <w:spacing w:after="0" w:line="240" w:lineRule="auto"/>
        <w:rPr>
          <w:rFonts w:ascii="Times New Roman" w:hAnsi="Times New Roman"/>
        </w:rPr>
      </w:pPr>
      <w:r w:rsidRPr="00D9492F">
        <w:rPr>
          <w:rFonts w:ascii="Times New Roman" w:hAnsi="Times New Roman"/>
        </w:rPr>
        <w:t>Bendras atsako dažnis AT grupėje buvo reikšmingai didesnis negu AC (p = 0,009). Bendras atsako dažnis AT grupėje buvo 59,3 % (95 % pasikliautinumo intervalas – 52,8</w:t>
      </w:r>
      <w:r w:rsidRPr="00D9492F">
        <w:rPr>
          <w:rFonts w:ascii="Times New Roman" w:hAnsi="Times New Roman"/>
        </w:rPr>
        <w:noBreakHyphen/>
        <w:t>65,9 %), AC grupėje – 46,5 % (95 % pasikliautinumo intervalas – 39,8</w:t>
      </w:r>
      <w:r w:rsidRPr="00D9492F">
        <w:rPr>
          <w:rFonts w:ascii="Times New Roman" w:hAnsi="Times New Roman"/>
        </w:rPr>
        <w:noBreakHyphen/>
        <w:t>53,2 %).</w:t>
      </w:r>
    </w:p>
    <w:p w14:paraId="04D62C72" w14:textId="77777777" w:rsidR="00DC1CDC" w:rsidRPr="00D9492F" w:rsidRDefault="00DC1CDC" w:rsidP="00DC1CDC">
      <w:pPr>
        <w:spacing w:after="0" w:line="240" w:lineRule="auto"/>
        <w:rPr>
          <w:rFonts w:ascii="Times New Roman" w:hAnsi="Times New Roman"/>
        </w:rPr>
      </w:pPr>
    </w:p>
    <w:p w14:paraId="2773C7D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Šio tyrimo metu AT grupės tiriamosioms dažniau negu AC grupės pasireiškė sunki neutropenija (atitinkamai 90 % ir 68,6 %), febrilinė neutropenija (33,3 % ir 10 %), infekcija (8 % ir 2,4 %), viduriavimas (7,5 % ir 1,4 %), astenija (8,5 % ir 2,4 %), skausmas (2,8 % ir 0 %). Kita vertus, AC grupės tiriamosioms dažnesnė buvo sunki anemija (atitinkamai 15,8 % ir 8,5 %) bei sunkus kardiotoksinis poveikis: stazinis širdies nepakankamumas (atitinkamai 3,8 % ir 2,8 %), absoliučios </w:t>
      </w:r>
      <w:r w:rsidRPr="00D9492F">
        <w:rPr>
          <w:rFonts w:ascii="Times New Roman" w:hAnsi="Times New Roman"/>
        </w:rPr>
        <w:lastRenderedPageBreak/>
        <w:t>kairiojo skilvelio išstūmimo frakcijos sumažėjimas 20 % ar daugiau (13,1 % ir 6,1 %), absoliučios kairiojo skilvelio išstūmimo frakcijos sumažėjimas 30 % ar daugiau (6,2 % ir 1,1 %). Dėl vaistinių preparatų toksinio poveikio mirė 1 AT grupės pacientė (pasireiškė stazinis širdies nepakankamumas) ir 4 AC grupės pacientės (1 ištiko sepsinis šokas, 3 – stazinis širdies nepakankamumas).</w:t>
      </w:r>
    </w:p>
    <w:p w14:paraId="1FC54B7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Abiejų grupių tiriamųjų gyvenimo kokybė (remiantis </w:t>
      </w:r>
      <w:r w:rsidRPr="00D9492F">
        <w:rPr>
          <w:rFonts w:ascii="Times New Roman" w:hAnsi="Times New Roman"/>
          <w:i/>
        </w:rPr>
        <w:t>EORTC</w:t>
      </w:r>
      <w:r w:rsidRPr="00D9492F">
        <w:rPr>
          <w:rFonts w:ascii="Times New Roman" w:hAnsi="Times New Roman"/>
        </w:rPr>
        <w:t xml:space="preserve"> klausimų rinkiniu) gydymo bei vėlesnio stebėjimo laikotarpiu buvo panaši ir stabili.</w:t>
      </w:r>
    </w:p>
    <w:p w14:paraId="6EEC999F" w14:textId="77777777" w:rsidR="00DC1CDC" w:rsidRPr="00D9492F" w:rsidRDefault="00DC1CDC" w:rsidP="00DC1CDC">
      <w:pPr>
        <w:spacing w:after="0" w:line="240" w:lineRule="auto"/>
        <w:rPr>
          <w:rFonts w:ascii="Times New Roman" w:hAnsi="Times New Roman"/>
        </w:rPr>
      </w:pPr>
    </w:p>
    <w:p w14:paraId="05CE6BF7" w14:textId="77777777" w:rsidR="00DC1CDC" w:rsidRPr="00D9492F" w:rsidRDefault="00DC1CDC" w:rsidP="00DC1CDC">
      <w:pPr>
        <w:keepNext/>
        <w:keepLines/>
        <w:spacing w:after="0" w:line="240" w:lineRule="auto"/>
        <w:rPr>
          <w:rFonts w:ascii="Times New Roman" w:hAnsi="Times New Roman"/>
          <w:i/>
        </w:rPr>
      </w:pPr>
      <w:r w:rsidRPr="00D9492F">
        <w:rPr>
          <w:rFonts w:ascii="Times New Roman" w:hAnsi="Times New Roman"/>
          <w:i/>
          <w:iCs/>
        </w:rPr>
        <w:t>Docetaxel SanoSwiss</w:t>
      </w:r>
      <w:r w:rsidRPr="00D9492F">
        <w:rPr>
          <w:rFonts w:ascii="Times New Roman" w:hAnsi="Times New Roman"/>
        </w:rPr>
        <w:t xml:space="preserve"> </w:t>
      </w:r>
      <w:r w:rsidRPr="00D9492F">
        <w:rPr>
          <w:rFonts w:ascii="Times New Roman" w:hAnsi="Times New Roman"/>
          <w:i/>
        </w:rPr>
        <w:t>derinys su trastuzumabu</w:t>
      </w:r>
    </w:p>
    <w:p w14:paraId="5B10984E" w14:textId="77777777" w:rsidR="00DC1CDC" w:rsidRPr="00D9492F" w:rsidRDefault="00DC1CDC" w:rsidP="00DC1CDC">
      <w:pPr>
        <w:spacing w:after="0" w:line="240" w:lineRule="auto"/>
        <w:rPr>
          <w:rFonts w:ascii="Times New Roman" w:hAnsi="Times New Roman"/>
        </w:rPr>
      </w:pPr>
    </w:p>
    <w:p w14:paraId="26AFBD4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Tirtas docetakselio ir trastuzumabo derinio poveikis pacientėms, sergančioms metastazavusiu krūties vėžiu su HER2 hiperekspresija, kurioms (metastazavusio) chemoterapija anksčiau netaikyta. 186 pacientės atsitiktinai parinktos vartoti 100 mg/m</w:t>
      </w:r>
      <w:r w:rsidRPr="00D9492F">
        <w:rPr>
          <w:rFonts w:ascii="Times New Roman" w:hAnsi="Times New Roman"/>
          <w:vertAlign w:val="superscript"/>
        </w:rPr>
        <w:t>2 </w:t>
      </w:r>
      <w:r w:rsidRPr="00D9492F">
        <w:rPr>
          <w:rFonts w:ascii="Times New Roman" w:hAnsi="Times New Roman"/>
        </w:rPr>
        <w:t xml:space="preserve">docetakselio su trastuzumabu ar be jo. 60 % pacienčių prieš tai taikyta adjuvantinė chemoterapija, kurios pagrindinis vaistinis preparatas </w:t>
      </w:r>
      <w:r w:rsidR="00232979" w:rsidRPr="00D9492F">
        <w:rPr>
          <w:rFonts w:ascii="Times New Roman" w:hAnsi="Times New Roman"/>
        </w:rPr>
        <w:t xml:space="preserve">- </w:t>
      </w:r>
      <w:r w:rsidRPr="00D9492F">
        <w:rPr>
          <w:rFonts w:ascii="Times New Roman" w:hAnsi="Times New Roman"/>
        </w:rPr>
        <w:t xml:space="preserve">antraciklinas. Docetakselio ir trastuzumabo derinys buvo veiksmingas nepriklausomai nuo to, ar anksčiau taikyta adjuvantinė chemoterapija antraciklinais. Pagrindinis tyrimas, šio labai svarbaus tyrimo metu naudotas nustatymui, ar navikas HER2 teigiamas, buvo imunohistocheminis (IHC). Nedaugelis pacienčių tirtos fluorescencijos būdu </w:t>
      </w:r>
      <w:r w:rsidRPr="00D9492F">
        <w:rPr>
          <w:rFonts w:ascii="Times New Roman" w:hAnsi="Times New Roman"/>
          <w:i/>
        </w:rPr>
        <w:t>in situ</w:t>
      </w:r>
      <w:r w:rsidRPr="00D9492F">
        <w:rPr>
          <w:rFonts w:ascii="Times New Roman" w:hAnsi="Times New Roman"/>
        </w:rPr>
        <w:t xml:space="preserve"> atlikus hibridizaciją (FISH). 87 % į tyrimą įtrauktų pacienčių sirgo IHC 3+ naviku, 95 % – IHC 3+ ir (ar) FISH teigiamu naviku. Gydymo veiksmingumo duomenys apibendrinami lentelėje:</w:t>
      </w:r>
    </w:p>
    <w:p w14:paraId="3EFE326D" w14:textId="77777777" w:rsidR="00DC1CDC" w:rsidRPr="00D9492F" w:rsidRDefault="00DC1CDC" w:rsidP="00DC1CDC">
      <w:pPr>
        <w:spacing w:after="0" w:line="240" w:lineRule="auto"/>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3171"/>
        <w:gridCol w:w="2033"/>
      </w:tblGrid>
      <w:tr w:rsidR="00DC1CDC" w:rsidRPr="00D9492F" w14:paraId="7FCC1618" w14:textId="77777777" w:rsidTr="0003751A">
        <w:trPr>
          <w:jc w:val="center"/>
        </w:trPr>
        <w:tc>
          <w:tcPr>
            <w:tcW w:w="3969" w:type="dxa"/>
          </w:tcPr>
          <w:p w14:paraId="38E1585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Rodiklis</w:t>
            </w:r>
          </w:p>
        </w:tc>
        <w:tc>
          <w:tcPr>
            <w:tcW w:w="3171" w:type="dxa"/>
          </w:tcPr>
          <w:p w14:paraId="3805D14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 xml:space="preserve">Docetakselis ir trastuzumabas </w:t>
            </w:r>
            <w:r w:rsidRPr="00D9492F">
              <w:rPr>
                <w:rFonts w:ascii="Times New Roman" w:hAnsi="Times New Roman"/>
                <w:vertAlign w:val="superscript"/>
              </w:rPr>
              <w:t>1</w:t>
            </w:r>
          </w:p>
          <w:p w14:paraId="523B417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(n = 92)</w:t>
            </w:r>
          </w:p>
        </w:tc>
        <w:tc>
          <w:tcPr>
            <w:tcW w:w="2033" w:type="dxa"/>
          </w:tcPr>
          <w:p w14:paraId="464AC7B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 xml:space="preserve">Docetakselis </w:t>
            </w:r>
            <w:r w:rsidRPr="00D9492F">
              <w:rPr>
                <w:rFonts w:ascii="Times New Roman" w:hAnsi="Times New Roman"/>
                <w:vertAlign w:val="superscript"/>
              </w:rPr>
              <w:t>1</w:t>
            </w:r>
          </w:p>
          <w:p w14:paraId="3DDDC49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(n = 94)</w:t>
            </w:r>
          </w:p>
        </w:tc>
      </w:tr>
      <w:tr w:rsidR="00DC1CDC" w:rsidRPr="00D9492F" w14:paraId="3CDB1FC7" w14:textId="77777777" w:rsidTr="0003751A">
        <w:trPr>
          <w:jc w:val="center"/>
        </w:trPr>
        <w:tc>
          <w:tcPr>
            <w:tcW w:w="3969" w:type="dxa"/>
          </w:tcPr>
          <w:p w14:paraId="537881D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Atsako dažnis</w:t>
            </w:r>
          </w:p>
          <w:p w14:paraId="511AF1E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3171" w:type="dxa"/>
          </w:tcPr>
          <w:p w14:paraId="11BECCA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61 %</w:t>
            </w:r>
          </w:p>
          <w:p w14:paraId="5FBD590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(50-71)</w:t>
            </w:r>
          </w:p>
        </w:tc>
        <w:tc>
          <w:tcPr>
            <w:tcW w:w="2033" w:type="dxa"/>
          </w:tcPr>
          <w:p w14:paraId="7E0CB315"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34 %</w:t>
            </w:r>
          </w:p>
          <w:p w14:paraId="483F3B8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(25-45)</w:t>
            </w:r>
          </w:p>
        </w:tc>
      </w:tr>
      <w:tr w:rsidR="00DC1CDC" w:rsidRPr="00D9492F" w14:paraId="7ED64BAD" w14:textId="77777777" w:rsidTr="0003751A">
        <w:trPr>
          <w:jc w:val="center"/>
        </w:trPr>
        <w:tc>
          <w:tcPr>
            <w:tcW w:w="3969" w:type="dxa"/>
          </w:tcPr>
          <w:p w14:paraId="3D5EF38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Atsako trukmės mediana (mėn.)</w:t>
            </w:r>
          </w:p>
          <w:p w14:paraId="7EB2556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3171" w:type="dxa"/>
          </w:tcPr>
          <w:p w14:paraId="1A82D01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11,4</w:t>
            </w:r>
          </w:p>
          <w:p w14:paraId="2776F33B"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(9,2-15,0)</w:t>
            </w:r>
          </w:p>
        </w:tc>
        <w:tc>
          <w:tcPr>
            <w:tcW w:w="2033" w:type="dxa"/>
          </w:tcPr>
          <w:p w14:paraId="195DDA3B"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5,1</w:t>
            </w:r>
          </w:p>
          <w:p w14:paraId="4089BAF6"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(4,4-6,2)</w:t>
            </w:r>
          </w:p>
        </w:tc>
      </w:tr>
      <w:tr w:rsidR="00DC1CDC" w:rsidRPr="00D9492F" w14:paraId="673AA895" w14:textId="77777777" w:rsidTr="0003751A">
        <w:trPr>
          <w:jc w:val="center"/>
        </w:trPr>
        <w:tc>
          <w:tcPr>
            <w:tcW w:w="3969" w:type="dxa"/>
          </w:tcPr>
          <w:p w14:paraId="7E2223A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LLP mediana (mėn.)</w:t>
            </w:r>
          </w:p>
          <w:p w14:paraId="7EBECEF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3171" w:type="dxa"/>
          </w:tcPr>
          <w:p w14:paraId="79164845"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10,6</w:t>
            </w:r>
          </w:p>
          <w:p w14:paraId="66DF72F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(7,6-12,9)</w:t>
            </w:r>
          </w:p>
        </w:tc>
        <w:tc>
          <w:tcPr>
            <w:tcW w:w="2033" w:type="dxa"/>
          </w:tcPr>
          <w:p w14:paraId="254AE106"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5,7</w:t>
            </w:r>
          </w:p>
          <w:p w14:paraId="44A774D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(5,0-6,5)</w:t>
            </w:r>
          </w:p>
        </w:tc>
      </w:tr>
      <w:tr w:rsidR="00DC1CDC" w:rsidRPr="00D9492F" w14:paraId="1F0BC4AF" w14:textId="77777777" w:rsidTr="0003751A">
        <w:trPr>
          <w:jc w:val="center"/>
        </w:trPr>
        <w:tc>
          <w:tcPr>
            <w:tcW w:w="3969" w:type="dxa"/>
          </w:tcPr>
          <w:p w14:paraId="506250B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Išgyvento laikotarpio mediana (mėn.)</w:t>
            </w:r>
          </w:p>
          <w:p w14:paraId="66BF6E9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3171" w:type="dxa"/>
          </w:tcPr>
          <w:p w14:paraId="5902AF8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30,5</w:t>
            </w:r>
            <w:r w:rsidRPr="00D9492F">
              <w:rPr>
                <w:rFonts w:ascii="Times New Roman" w:hAnsi="Times New Roman"/>
                <w:vertAlign w:val="superscript"/>
              </w:rPr>
              <w:t>2</w:t>
            </w:r>
          </w:p>
          <w:p w14:paraId="5715E1D5"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(26,8-nį)</w:t>
            </w:r>
          </w:p>
        </w:tc>
        <w:tc>
          <w:tcPr>
            <w:tcW w:w="2033" w:type="dxa"/>
          </w:tcPr>
          <w:p w14:paraId="7D857CE5"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22,1</w:t>
            </w:r>
            <w:r w:rsidRPr="00D9492F">
              <w:rPr>
                <w:rFonts w:ascii="Times New Roman" w:hAnsi="Times New Roman"/>
                <w:vertAlign w:val="superscript"/>
              </w:rPr>
              <w:t>2</w:t>
            </w:r>
          </w:p>
          <w:p w14:paraId="0515593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(17,6-28,9)</w:t>
            </w:r>
          </w:p>
        </w:tc>
      </w:tr>
    </w:tbl>
    <w:p w14:paraId="2185282C" w14:textId="21649C77" w:rsidR="00DC1CDC" w:rsidRPr="00D9492F" w:rsidRDefault="00DC1CDC" w:rsidP="00DC1CDC">
      <w:pPr>
        <w:keepNext/>
        <w:keepLines/>
        <w:spacing w:after="0" w:line="240" w:lineRule="auto"/>
        <w:jc w:val="both"/>
        <w:rPr>
          <w:rFonts w:ascii="Times New Roman" w:hAnsi="Times New Roman"/>
        </w:rPr>
      </w:pPr>
      <w:r w:rsidRPr="00D9492F">
        <w:rPr>
          <w:rFonts w:ascii="Times New Roman" w:hAnsi="Times New Roman"/>
        </w:rPr>
        <w:t>LLP – laikotarpis iki ligos progresavimo; „nį” rodo, kad jo trukmė negalėjo būti įvertinta arba</w:t>
      </w:r>
      <w:r w:rsidR="00F37E73" w:rsidRPr="00D9492F">
        <w:rPr>
          <w:rFonts w:ascii="Times New Roman" w:hAnsi="Times New Roman"/>
        </w:rPr>
        <w:t>,</w:t>
      </w:r>
      <w:r w:rsidRPr="00D9492F">
        <w:rPr>
          <w:rFonts w:ascii="Times New Roman" w:hAnsi="Times New Roman"/>
        </w:rPr>
        <w:t xml:space="preserve"> kad laikas vertinti dar neatėjo.</w:t>
      </w:r>
    </w:p>
    <w:p w14:paraId="0C62D51D" w14:textId="77777777" w:rsidR="00DC1CDC" w:rsidRPr="00D9492F" w:rsidRDefault="00DC1CDC" w:rsidP="00DC1CDC">
      <w:pPr>
        <w:keepNext/>
        <w:keepLines/>
        <w:spacing w:after="0" w:line="240" w:lineRule="auto"/>
        <w:jc w:val="both"/>
        <w:rPr>
          <w:rFonts w:ascii="Times New Roman" w:hAnsi="Times New Roman"/>
        </w:rPr>
      </w:pPr>
      <w:r w:rsidRPr="00D9492F">
        <w:rPr>
          <w:rFonts w:ascii="Times New Roman" w:hAnsi="Times New Roman"/>
          <w:vertAlign w:val="superscript"/>
        </w:rPr>
        <w:t>1 </w:t>
      </w:r>
      <w:r w:rsidRPr="00D9492F">
        <w:rPr>
          <w:rFonts w:ascii="Times New Roman" w:hAnsi="Times New Roman"/>
        </w:rPr>
        <w:t>Skaičiuojant visas į tyrimą įtrauktas (planuotas gydyti) pacientes.</w:t>
      </w:r>
    </w:p>
    <w:p w14:paraId="469664B2" w14:textId="77777777" w:rsidR="00DC1CDC" w:rsidRPr="00D9492F" w:rsidRDefault="00DC1CDC" w:rsidP="00DC1CDC">
      <w:pPr>
        <w:keepNext/>
        <w:keepLines/>
        <w:spacing w:after="0" w:line="240" w:lineRule="auto"/>
        <w:jc w:val="both"/>
        <w:rPr>
          <w:rFonts w:ascii="Times New Roman" w:hAnsi="Times New Roman"/>
        </w:rPr>
      </w:pPr>
      <w:r w:rsidRPr="00D9492F">
        <w:rPr>
          <w:rFonts w:ascii="Times New Roman" w:hAnsi="Times New Roman"/>
          <w:vertAlign w:val="superscript"/>
        </w:rPr>
        <w:t>2 </w:t>
      </w:r>
      <w:r w:rsidRPr="00D9492F">
        <w:rPr>
          <w:rFonts w:ascii="Times New Roman" w:hAnsi="Times New Roman"/>
        </w:rPr>
        <w:t>Apskaičiuotoji išgyvento laikotarpio mediana.</w:t>
      </w:r>
    </w:p>
    <w:p w14:paraId="12A1CC1F" w14:textId="77777777" w:rsidR="00DC1CDC" w:rsidRPr="00D9492F" w:rsidRDefault="00DC1CDC" w:rsidP="00DC1CDC">
      <w:pPr>
        <w:keepNext/>
        <w:keepLines/>
        <w:spacing w:after="0" w:line="240" w:lineRule="auto"/>
        <w:rPr>
          <w:rFonts w:ascii="Times New Roman" w:eastAsia="Times New Roman" w:hAnsi="Times New Roman"/>
        </w:rPr>
      </w:pPr>
    </w:p>
    <w:p w14:paraId="6420715D" w14:textId="77777777" w:rsidR="00DC1CDC" w:rsidRPr="00D9492F" w:rsidRDefault="00DC1CDC" w:rsidP="00DC1CDC">
      <w:pPr>
        <w:keepNext/>
        <w:keepLines/>
        <w:spacing w:after="0" w:line="240" w:lineRule="auto"/>
        <w:rPr>
          <w:rFonts w:ascii="Times New Roman" w:hAnsi="Times New Roman"/>
          <w:i/>
        </w:rPr>
      </w:pPr>
      <w:r w:rsidRPr="00D9492F">
        <w:rPr>
          <w:rFonts w:ascii="Times New Roman" w:hAnsi="Times New Roman"/>
          <w:i/>
          <w:iCs/>
        </w:rPr>
        <w:t>Docetaxel SanoSwiss</w:t>
      </w:r>
      <w:r w:rsidRPr="00D9492F">
        <w:rPr>
          <w:rFonts w:ascii="Times New Roman" w:hAnsi="Times New Roman"/>
        </w:rPr>
        <w:t xml:space="preserve"> </w:t>
      </w:r>
      <w:r w:rsidRPr="00D9492F">
        <w:rPr>
          <w:rFonts w:ascii="Times New Roman" w:hAnsi="Times New Roman"/>
          <w:i/>
        </w:rPr>
        <w:t>derinys su kapecitabinu</w:t>
      </w:r>
    </w:p>
    <w:p w14:paraId="4BA9EE27" w14:textId="77777777" w:rsidR="00DC1CDC" w:rsidRPr="00D9492F" w:rsidRDefault="00DC1CDC" w:rsidP="00DC1CDC">
      <w:pPr>
        <w:spacing w:after="0" w:line="240" w:lineRule="auto"/>
        <w:rPr>
          <w:rFonts w:ascii="Times New Roman" w:hAnsi="Times New Roman"/>
        </w:rPr>
      </w:pPr>
    </w:p>
    <w:p w14:paraId="5122213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Daugelyje centrų atlikto atsitiktinio kontroliuojamo III fazės klinikinio tyrimo duomenys pagrindžia docetakselio derinimą su kapecitabinu lokaliai progresavusiam ar metastazavusiam krūties vėžiui gydyti po neveiksmingos citotoksinės chemoterapijos, kurios sudėtyje buvo antraciklinas. Šio tyrimo metu 255 pacientės buvo atsitiktinai parinktos vartoti docetakselį (</w:t>
      </w:r>
      <w:r w:rsidR="009F404D" w:rsidRPr="00D9492F">
        <w:rPr>
          <w:rFonts w:ascii="Times New Roman" w:hAnsi="Times New Roman"/>
        </w:rPr>
        <w:t xml:space="preserve">suleista </w:t>
      </w:r>
      <w:r w:rsidRPr="00D9492F">
        <w:rPr>
          <w:rFonts w:ascii="Times New Roman" w:hAnsi="Times New Roman"/>
        </w:rPr>
        <w:t>75 mg/m</w:t>
      </w:r>
      <w:r w:rsidRPr="00D9492F">
        <w:rPr>
          <w:rFonts w:ascii="Times New Roman" w:hAnsi="Times New Roman"/>
          <w:vertAlign w:val="superscript"/>
        </w:rPr>
        <w:t>2 </w:t>
      </w:r>
      <w:r w:rsidRPr="00D9492F">
        <w:rPr>
          <w:rFonts w:ascii="Times New Roman" w:hAnsi="Times New Roman"/>
        </w:rPr>
        <w:t>per 1 val. į veną, kas 3 savaites) ir kapecitabiną (po 1250 mg/m</w:t>
      </w:r>
      <w:r w:rsidRPr="00D9492F">
        <w:rPr>
          <w:rFonts w:ascii="Times New Roman" w:hAnsi="Times New Roman"/>
          <w:vertAlign w:val="superscript"/>
        </w:rPr>
        <w:t>2 </w:t>
      </w:r>
      <w:r w:rsidRPr="00D9492F">
        <w:rPr>
          <w:rFonts w:ascii="Times New Roman" w:hAnsi="Times New Roman"/>
        </w:rPr>
        <w:t>2 kartus per parą 2 savaites</w:t>
      </w:r>
      <w:r w:rsidR="009F404D" w:rsidRPr="00D9492F">
        <w:rPr>
          <w:rFonts w:ascii="Times New Roman" w:hAnsi="Times New Roman"/>
        </w:rPr>
        <w:t>,</w:t>
      </w:r>
      <w:r w:rsidRPr="00D9492F">
        <w:rPr>
          <w:rFonts w:ascii="Times New Roman" w:hAnsi="Times New Roman"/>
        </w:rPr>
        <w:t xml:space="preserve"> </w:t>
      </w:r>
      <w:r w:rsidR="009F404D" w:rsidRPr="00D9492F">
        <w:rPr>
          <w:rFonts w:ascii="Times New Roman" w:hAnsi="Times New Roman"/>
        </w:rPr>
        <w:t>vėliau</w:t>
      </w:r>
      <w:r w:rsidRPr="00D9492F">
        <w:rPr>
          <w:rFonts w:ascii="Times New Roman" w:hAnsi="Times New Roman"/>
        </w:rPr>
        <w:t xml:space="preserve"> darant savaitės pertrauką), 256 – tik docetakselį (</w:t>
      </w:r>
      <w:r w:rsidR="009F404D" w:rsidRPr="00D9492F">
        <w:rPr>
          <w:rFonts w:ascii="Times New Roman" w:hAnsi="Times New Roman"/>
        </w:rPr>
        <w:t xml:space="preserve">suleista </w:t>
      </w:r>
      <w:r w:rsidRPr="00D9492F">
        <w:rPr>
          <w:rFonts w:ascii="Times New Roman" w:hAnsi="Times New Roman"/>
        </w:rPr>
        <w:t>100 mg/m</w:t>
      </w:r>
      <w:r w:rsidRPr="00D9492F">
        <w:rPr>
          <w:rFonts w:ascii="Times New Roman" w:hAnsi="Times New Roman"/>
          <w:vertAlign w:val="superscript"/>
        </w:rPr>
        <w:t>2 </w:t>
      </w:r>
      <w:r w:rsidRPr="00D9492F">
        <w:rPr>
          <w:rFonts w:ascii="Times New Roman" w:hAnsi="Times New Roman"/>
        </w:rPr>
        <w:t>per 1 val. į veną, kas 3 savaites). Docetakselį ir kapecitabiną kartu vartojusios grupės pacientės išgyveno ilgiau (p = 0,0126). Išgyvento laikotarpio mediana docetakselio ir kapecitabino derinio grupėje buvo 442 dienos, gydymo tik docetakseliu grupėje – 352 dienos. Bendras objektyvaus atsako dažnis visoje atsitiktinai parinktoje populiacijoje (tyrėjo vertinimu) docetakselio ir kapecitabino derinio grupėje buvo 41,6 %, docetakselio – 29,7 % (p = 0,0058). Laikotarpis iki ligos progresavimo buvo ilgesnis docetakselio ir kapecitabino derinio grupėje (p &lt; 0,0001). Jo mediana docetakselio ir kapecitabino derinio grupėje buvo 186 dienos, docetakselio – 128 dienos. </w:t>
      </w:r>
    </w:p>
    <w:p w14:paraId="2560122B" w14:textId="77777777" w:rsidR="00DC1CDC" w:rsidRPr="00D9492F" w:rsidRDefault="00DC1CDC" w:rsidP="00DC1CDC">
      <w:pPr>
        <w:spacing w:after="0" w:line="240" w:lineRule="auto"/>
        <w:rPr>
          <w:rFonts w:ascii="Times New Roman" w:hAnsi="Times New Roman"/>
        </w:rPr>
      </w:pPr>
    </w:p>
    <w:p w14:paraId="71A5CC64" w14:textId="77777777" w:rsidR="00DC1CDC" w:rsidRPr="00D9492F" w:rsidRDefault="00DC1CDC" w:rsidP="00DC1CDC">
      <w:pPr>
        <w:keepNext/>
        <w:keepLines/>
        <w:spacing w:after="0" w:line="240" w:lineRule="auto"/>
        <w:rPr>
          <w:rFonts w:ascii="Times New Roman" w:hAnsi="Times New Roman"/>
          <w:bCs/>
          <w:i/>
          <w:iCs/>
          <w:u w:val="single"/>
        </w:rPr>
      </w:pPr>
      <w:r w:rsidRPr="00D9492F">
        <w:rPr>
          <w:rFonts w:ascii="Times New Roman" w:hAnsi="Times New Roman"/>
          <w:bCs/>
          <w:i/>
          <w:iCs/>
          <w:u w:val="single"/>
        </w:rPr>
        <w:t>Plaučių nesmulkiųjų ląstelių vėžys</w:t>
      </w:r>
    </w:p>
    <w:p w14:paraId="009F1131" w14:textId="77777777" w:rsidR="00DC1CDC" w:rsidRPr="00D9492F" w:rsidRDefault="00DC1CDC" w:rsidP="00DC1CDC">
      <w:pPr>
        <w:spacing w:after="0" w:line="240" w:lineRule="auto"/>
        <w:rPr>
          <w:rFonts w:ascii="Times New Roman" w:hAnsi="Times New Roman"/>
        </w:rPr>
      </w:pPr>
    </w:p>
    <w:p w14:paraId="716337D3" w14:textId="77777777" w:rsidR="00DC1CDC" w:rsidRPr="00D9492F" w:rsidRDefault="00DC1CDC" w:rsidP="00DC1CDC">
      <w:pPr>
        <w:spacing w:after="0" w:line="240" w:lineRule="auto"/>
        <w:rPr>
          <w:rFonts w:ascii="Times New Roman" w:hAnsi="Times New Roman"/>
          <w:bCs/>
          <w:i/>
        </w:rPr>
      </w:pPr>
      <w:r w:rsidRPr="00D9492F">
        <w:rPr>
          <w:rFonts w:ascii="Times New Roman" w:hAnsi="Times New Roman"/>
          <w:bCs/>
          <w:i/>
        </w:rPr>
        <w:t>Pacientai, kuriems anksčiau taikyta chemoterapija (su radioterapija arba be jos)</w:t>
      </w:r>
    </w:p>
    <w:p w14:paraId="06618E3F" w14:textId="77777777" w:rsidR="00DC1CDC" w:rsidRPr="00D9492F" w:rsidRDefault="00DC1CDC" w:rsidP="00DC1CDC">
      <w:pPr>
        <w:spacing w:after="0" w:line="240" w:lineRule="auto"/>
        <w:rPr>
          <w:rFonts w:ascii="Times New Roman" w:hAnsi="Times New Roman"/>
        </w:rPr>
      </w:pPr>
    </w:p>
    <w:p w14:paraId="679AB7D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Su jau gydytais pacientais atliktas III fazės tyrimas parodė, kad, vartojant docetakselį 75 mg/m</w:t>
      </w:r>
      <w:r w:rsidRPr="00D9492F">
        <w:rPr>
          <w:rFonts w:ascii="Times New Roman" w:hAnsi="Times New Roman"/>
          <w:vertAlign w:val="superscript"/>
        </w:rPr>
        <w:t>2 </w:t>
      </w:r>
      <w:r w:rsidRPr="00D9492F">
        <w:rPr>
          <w:rFonts w:ascii="Times New Roman" w:hAnsi="Times New Roman"/>
        </w:rPr>
        <w:t xml:space="preserve">dozėmis, laikotarpis iki ligos progresavimo yra reikšmingai ilgesnis negu apsiribojus </w:t>
      </w:r>
      <w:r w:rsidRPr="00D9492F">
        <w:rPr>
          <w:rFonts w:ascii="Times New Roman" w:hAnsi="Times New Roman"/>
        </w:rPr>
        <w:lastRenderedPageBreak/>
        <w:t>geriausia palaikomąja priežiūra (laikotarpis iki ligos progresavimo truko atitinkamai 12,3 ir 7 savaites). Vienerius metus išgyvenusių pacientų skaičius docetakselio grupėje taip pat buvo reikšmingai didesnis (atitinkamai 40 % ir 16 %). Be to, vartojant docetakselį 75 mg/m</w:t>
      </w:r>
      <w:r w:rsidRPr="00D9492F">
        <w:rPr>
          <w:rFonts w:ascii="Times New Roman" w:hAnsi="Times New Roman"/>
          <w:vertAlign w:val="superscript"/>
        </w:rPr>
        <w:t>2 </w:t>
      </w:r>
      <w:r w:rsidRPr="00D9492F">
        <w:rPr>
          <w:rFonts w:ascii="Times New Roman" w:hAnsi="Times New Roman"/>
        </w:rPr>
        <w:t>dozėmis, mažiau reikėjo morfino grupės analgetikų (p &lt; 0,01), nemorfininių analgetikų (p &lt; 0,01), kitų su liga susijusių vaistinių preparatų (p &lt; 0,06) ir radioterapijos (p &lt; 0,01) (palyginus su pacientais, turėjusiais geriausią palaikomąją priežiūrą).</w:t>
      </w:r>
    </w:p>
    <w:p w14:paraId="358A97DB"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Bendras atsako dažnis, skaičiuojant pacientus, kurių būklę buvo galima įvertinti, buvo 6,8 %, atsako trukmės mediana – 26,1 savaitė.</w:t>
      </w:r>
    </w:p>
    <w:p w14:paraId="20F0789D" w14:textId="77777777" w:rsidR="00DC1CDC" w:rsidRPr="00D9492F" w:rsidRDefault="00DC1CDC" w:rsidP="00DC1CDC">
      <w:pPr>
        <w:spacing w:after="0" w:line="240" w:lineRule="auto"/>
        <w:rPr>
          <w:rFonts w:ascii="Times New Roman" w:hAnsi="Times New Roman"/>
          <w:i/>
        </w:rPr>
      </w:pPr>
    </w:p>
    <w:p w14:paraId="444FE086" w14:textId="77777777" w:rsidR="00DC1CDC" w:rsidRPr="00D9492F" w:rsidRDefault="00DC1CDC" w:rsidP="00DC1CDC">
      <w:pPr>
        <w:keepNext/>
        <w:keepLines/>
        <w:spacing w:after="0" w:line="240" w:lineRule="auto"/>
        <w:rPr>
          <w:rFonts w:ascii="Times New Roman" w:hAnsi="Times New Roman"/>
          <w:i/>
        </w:rPr>
      </w:pPr>
      <w:r w:rsidRPr="00D9492F">
        <w:rPr>
          <w:rFonts w:ascii="Times New Roman" w:hAnsi="Times New Roman"/>
          <w:i/>
          <w:iCs/>
        </w:rPr>
        <w:t>Docetaxel SanoSwiss</w:t>
      </w:r>
      <w:r w:rsidRPr="00D9492F">
        <w:rPr>
          <w:rFonts w:ascii="Times New Roman" w:hAnsi="Times New Roman"/>
        </w:rPr>
        <w:t xml:space="preserve"> </w:t>
      </w:r>
      <w:r w:rsidRPr="00D9492F">
        <w:rPr>
          <w:rFonts w:ascii="Times New Roman" w:hAnsi="Times New Roman"/>
          <w:i/>
        </w:rPr>
        <w:t xml:space="preserve">derinys su platinos </w:t>
      </w:r>
      <w:r w:rsidR="006E179B" w:rsidRPr="00D9492F">
        <w:rPr>
          <w:rFonts w:ascii="Times New Roman" w:hAnsi="Times New Roman"/>
          <w:i/>
        </w:rPr>
        <w:t xml:space="preserve">vaistiniais </w:t>
      </w:r>
      <w:r w:rsidRPr="00D9492F">
        <w:rPr>
          <w:rFonts w:ascii="Times New Roman" w:hAnsi="Times New Roman"/>
          <w:i/>
        </w:rPr>
        <w:t>preparatais</w:t>
      </w:r>
      <w:r w:rsidRPr="00D9492F">
        <w:rPr>
          <w:rFonts w:ascii="Times New Roman" w:hAnsi="Times New Roman"/>
        </w:rPr>
        <w:t xml:space="preserve"> </w:t>
      </w:r>
      <w:r w:rsidRPr="00D9492F">
        <w:rPr>
          <w:rFonts w:ascii="Times New Roman" w:hAnsi="Times New Roman"/>
          <w:i/>
        </w:rPr>
        <w:t>pacientams, kuriems anksčiau chemoterapija netaikyta</w:t>
      </w:r>
    </w:p>
    <w:p w14:paraId="47654514" w14:textId="77777777" w:rsidR="00DC1CDC" w:rsidRPr="00D9492F" w:rsidRDefault="00DC1CDC" w:rsidP="00DC1CDC">
      <w:pPr>
        <w:spacing w:after="0" w:line="240" w:lineRule="auto"/>
        <w:rPr>
          <w:rFonts w:ascii="Times New Roman" w:hAnsi="Times New Roman"/>
        </w:rPr>
      </w:pPr>
    </w:p>
    <w:p w14:paraId="1317E649"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III fazės tyrime dalyvavo 1218 pacientų, sirgusių neoperuojamu IIIB ar IV stadijos nesmulkiųjų ląstelių plaučių vėžiu. Jų KPS (būklė pagal </w:t>
      </w:r>
      <w:r w:rsidRPr="00D9492F">
        <w:rPr>
          <w:rFonts w:ascii="Times New Roman" w:hAnsi="Times New Roman"/>
          <w:i/>
        </w:rPr>
        <w:t>Karnofsky</w:t>
      </w:r>
      <w:r w:rsidRPr="00D9492F">
        <w:rPr>
          <w:rFonts w:ascii="Times New Roman" w:hAnsi="Times New Roman"/>
        </w:rPr>
        <w:t xml:space="preserve"> skalę) įvertinta 70 % arba geriau, šiol ligos chemoterapija anksčiau jiems netaikyta. Tyrimo dalyviai buvo atsitiktinai parinkti vartoti: 1) 75 mg/m</w:t>
      </w:r>
      <w:r w:rsidRPr="00D9492F">
        <w:rPr>
          <w:rFonts w:ascii="Times New Roman" w:hAnsi="Times New Roman"/>
          <w:vertAlign w:val="superscript"/>
        </w:rPr>
        <w:t>2 </w:t>
      </w:r>
      <w:r w:rsidRPr="00D9492F">
        <w:rPr>
          <w:rFonts w:ascii="Times New Roman" w:hAnsi="Times New Roman"/>
        </w:rPr>
        <w:t>docetakselio (infuzijos trukmė – 1 val.) ir paskui tuoj pat 75 mg/m</w:t>
      </w:r>
      <w:r w:rsidRPr="00D9492F">
        <w:rPr>
          <w:rFonts w:ascii="Times New Roman" w:hAnsi="Times New Roman"/>
          <w:vertAlign w:val="superscript"/>
        </w:rPr>
        <w:t>2 </w:t>
      </w:r>
      <w:r w:rsidRPr="00D9492F">
        <w:rPr>
          <w:rFonts w:ascii="Times New Roman" w:hAnsi="Times New Roman"/>
        </w:rPr>
        <w:t>cisplatinos (infuzijos trukmė –30</w:t>
      </w:r>
      <w:r w:rsidRPr="00D9492F">
        <w:rPr>
          <w:rFonts w:ascii="Times New Roman" w:hAnsi="Times New Roman"/>
        </w:rPr>
        <w:noBreakHyphen/>
        <w:t>60 min.), kas 3 savaites; 2) 75 mg/m</w:t>
      </w:r>
      <w:r w:rsidRPr="00D9492F">
        <w:rPr>
          <w:rFonts w:ascii="Times New Roman" w:hAnsi="Times New Roman"/>
          <w:vertAlign w:val="superscript"/>
        </w:rPr>
        <w:t>2 </w:t>
      </w:r>
      <w:r w:rsidRPr="00D9492F">
        <w:rPr>
          <w:rFonts w:ascii="Times New Roman" w:hAnsi="Times New Roman"/>
        </w:rPr>
        <w:t>docetakselio (infuzijos trukmė – 1 val.) kartu su karboplatina (plotas po kreive (AUC) – 6 mg/ml</w:t>
      </w:r>
      <w:r w:rsidRPr="00D9492F">
        <w:rPr>
          <w:rFonts w:ascii="Times New Roman" w:hAnsi="Times New Roman"/>
        </w:rPr>
        <w:sym w:font="Symbol" w:char="F0B4"/>
      </w:r>
      <w:r w:rsidRPr="00D9492F">
        <w:rPr>
          <w:rFonts w:ascii="Times New Roman" w:hAnsi="Times New Roman"/>
        </w:rPr>
        <w:t>min., infuzijos trukmė – 30</w:t>
      </w:r>
      <w:r w:rsidRPr="00D9492F">
        <w:rPr>
          <w:rFonts w:ascii="Times New Roman" w:hAnsi="Times New Roman"/>
        </w:rPr>
        <w:noBreakHyphen/>
        <w:t>60 min.), kas 3 savaites; arba 3) 25 mg/m</w:t>
      </w:r>
      <w:r w:rsidRPr="00D9492F">
        <w:rPr>
          <w:rFonts w:ascii="Times New Roman" w:hAnsi="Times New Roman"/>
          <w:vertAlign w:val="superscript"/>
        </w:rPr>
        <w:t>2 </w:t>
      </w:r>
      <w:r w:rsidRPr="00D9492F">
        <w:rPr>
          <w:rFonts w:ascii="Times New Roman" w:hAnsi="Times New Roman"/>
        </w:rPr>
        <w:t>vinorelbino per 6</w:t>
      </w:r>
      <w:r w:rsidRPr="00D9492F">
        <w:rPr>
          <w:rFonts w:ascii="Times New Roman" w:hAnsi="Times New Roman"/>
        </w:rPr>
        <w:noBreakHyphen/>
        <w:t>10 min. (1, 8, 15 ir 22 kurso dienomis), o paskui 100 mg/m</w:t>
      </w:r>
      <w:r w:rsidRPr="00D9492F">
        <w:rPr>
          <w:rFonts w:ascii="Times New Roman" w:hAnsi="Times New Roman"/>
          <w:vertAlign w:val="superscript"/>
        </w:rPr>
        <w:t>2 </w:t>
      </w:r>
      <w:r w:rsidRPr="00D9492F">
        <w:rPr>
          <w:rFonts w:ascii="Times New Roman" w:hAnsi="Times New Roman"/>
        </w:rPr>
        <w:t>cisplatinos (1 kurso dieną), kas 4 savaites.</w:t>
      </w:r>
    </w:p>
    <w:p w14:paraId="16EA4614" w14:textId="77777777" w:rsidR="00DC1CDC" w:rsidRPr="00D9492F" w:rsidRDefault="00DC1CDC" w:rsidP="00DC1CDC">
      <w:pPr>
        <w:spacing w:after="0" w:line="240" w:lineRule="auto"/>
        <w:rPr>
          <w:rFonts w:ascii="Times New Roman" w:hAnsi="Times New Roman"/>
        </w:rPr>
      </w:pPr>
    </w:p>
    <w:p w14:paraId="348F32A6"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Išgyvenimo trukmės, laikotarpio iki ligos progresavimo medianos, ir atsako dažnio duomenys, nustatyti dvejose tyrimo grupėse, pateikiami lentelėje:</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417"/>
        <w:gridCol w:w="1418"/>
        <w:gridCol w:w="2907"/>
      </w:tblGrid>
      <w:tr w:rsidR="00DC1CDC" w:rsidRPr="00D9492F" w14:paraId="3885438B" w14:textId="77777777" w:rsidTr="0003751A">
        <w:trPr>
          <w:jc w:val="right"/>
        </w:trPr>
        <w:tc>
          <w:tcPr>
            <w:tcW w:w="3330" w:type="dxa"/>
          </w:tcPr>
          <w:p w14:paraId="7496EBC9" w14:textId="77777777" w:rsidR="00DC1CDC" w:rsidRPr="00D9492F" w:rsidRDefault="00DC1CDC" w:rsidP="00DC1CDC">
            <w:pPr>
              <w:keepNext/>
              <w:keepLines/>
              <w:spacing w:after="0" w:line="240" w:lineRule="auto"/>
              <w:rPr>
                <w:rFonts w:ascii="Times New Roman" w:hAnsi="Times New Roman"/>
              </w:rPr>
            </w:pPr>
          </w:p>
        </w:tc>
        <w:tc>
          <w:tcPr>
            <w:tcW w:w="1417" w:type="dxa"/>
          </w:tcPr>
          <w:p w14:paraId="5CE063E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Docetaxel SanoSwiss ir cisplatina (n = 408)</w:t>
            </w:r>
          </w:p>
        </w:tc>
        <w:tc>
          <w:tcPr>
            <w:tcW w:w="1418" w:type="dxa"/>
          </w:tcPr>
          <w:p w14:paraId="27662FC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Vinorelbinas ir cisplatina (n = 404)</w:t>
            </w:r>
          </w:p>
        </w:tc>
        <w:tc>
          <w:tcPr>
            <w:tcW w:w="2907" w:type="dxa"/>
          </w:tcPr>
          <w:p w14:paraId="16438D02"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Statistinė analizė</w:t>
            </w:r>
          </w:p>
        </w:tc>
      </w:tr>
      <w:tr w:rsidR="00DC1CDC" w:rsidRPr="00D9492F" w14:paraId="73CFC3D7" w14:textId="77777777" w:rsidTr="0003751A">
        <w:trPr>
          <w:trHeight w:val="599"/>
          <w:jc w:val="right"/>
        </w:trPr>
        <w:tc>
          <w:tcPr>
            <w:tcW w:w="3330" w:type="dxa"/>
            <w:tcBorders>
              <w:top w:val="nil"/>
              <w:bottom w:val="nil"/>
            </w:tcBorders>
          </w:tcPr>
          <w:p w14:paraId="6B7CFFB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Bendras išgyvenamumas</w:t>
            </w:r>
          </w:p>
          <w:p w14:paraId="356AEF9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(pagrindinis rodiklis)</w:t>
            </w:r>
          </w:p>
        </w:tc>
        <w:tc>
          <w:tcPr>
            <w:tcW w:w="1417" w:type="dxa"/>
            <w:tcBorders>
              <w:top w:val="nil"/>
              <w:bottom w:val="nil"/>
            </w:tcBorders>
          </w:tcPr>
          <w:p w14:paraId="627735AC" w14:textId="77777777" w:rsidR="00DC1CDC" w:rsidRPr="00D9492F" w:rsidRDefault="00DC1CDC" w:rsidP="00DC1CDC">
            <w:pPr>
              <w:keepNext/>
              <w:keepLines/>
              <w:spacing w:after="0" w:line="240" w:lineRule="auto"/>
              <w:rPr>
                <w:rFonts w:ascii="Times New Roman" w:hAnsi="Times New Roman"/>
              </w:rPr>
            </w:pPr>
          </w:p>
        </w:tc>
        <w:tc>
          <w:tcPr>
            <w:tcW w:w="1418" w:type="dxa"/>
            <w:tcBorders>
              <w:top w:val="nil"/>
              <w:bottom w:val="nil"/>
            </w:tcBorders>
          </w:tcPr>
          <w:p w14:paraId="1252E6F2" w14:textId="77777777" w:rsidR="00DC1CDC" w:rsidRPr="00D9492F" w:rsidRDefault="00DC1CDC" w:rsidP="00DC1CDC">
            <w:pPr>
              <w:keepNext/>
              <w:keepLines/>
              <w:spacing w:after="0" w:line="240" w:lineRule="auto"/>
              <w:rPr>
                <w:rFonts w:ascii="Times New Roman" w:hAnsi="Times New Roman"/>
              </w:rPr>
            </w:pPr>
          </w:p>
        </w:tc>
        <w:tc>
          <w:tcPr>
            <w:tcW w:w="2907" w:type="dxa"/>
            <w:tcBorders>
              <w:top w:val="nil"/>
              <w:bottom w:val="nil"/>
            </w:tcBorders>
          </w:tcPr>
          <w:p w14:paraId="11729521" w14:textId="77777777" w:rsidR="00DC1CDC" w:rsidRPr="00D9492F" w:rsidRDefault="00DC1CDC" w:rsidP="00DC1CDC">
            <w:pPr>
              <w:keepNext/>
              <w:keepLines/>
              <w:spacing w:after="0" w:line="240" w:lineRule="auto"/>
              <w:rPr>
                <w:rFonts w:ascii="Times New Roman" w:hAnsi="Times New Roman"/>
              </w:rPr>
            </w:pPr>
          </w:p>
        </w:tc>
      </w:tr>
      <w:tr w:rsidR="00DC1CDC" w:rsidRPr="00D9492F" w14:paraId="63AEFF64" w14:textId="77777777" w:rsidTr="0003751A">
        <w:trPr>
          <w:jc w:val="right"/>
        </w:trPr>
        <w:tc>
          <w:tcPr>
            <w:tcW w:w="3330" w:type="dxa"/>
            <w:tcBorders>
              <w:top w:val="nil"/>
              <w:bottom w:val="nil"/>
            </w:tcBorders>
          </w:tcPr>
          <w:p w14:paraId="0498F96F" w14:textId="77777777" w:rsidR="00DC1CDC" w:rsidRPr="00D9492F" w:rsidRDefault="00DC1CDC" w:rsidP="00DC1CDC">
            <w:pPr>
              <w:keepNext/>
              <w:keepLines/>
              <w:spacing w:after="0" w:line="240" w:lineRule="auto"/>
              <w:jc w:val="right"/>
              <w:rPr>
                <w:rFonts w:ascii="Times New Roman" w:hAnsi="Times New Roman"/>
              </w:rPr>
            </w:pPr>
            <w:r w:rsidRPr="00D9492F">
              <w:rPr>
                <w:rFonts w:ascii="Times New Roman" w:hAnsi="Times New Roman"/>
              </w:rPr>
              <w:t>Išgyvento laikotarpio mediana (mėn.)</w:t>
            </w:r>
          </w:p>
        </w:tc>
        <w:tc>
          <w:tcPr>
            <w:tcW w:w="1417" w:type="dxa"/>
            <w:tcBorders>
              <w:top w:val="nil"/>
              <w:bottom w:val="nil"/>
            </w:tcBorders>
          </w:tcPr>
          <w:p w14:paraId="7BA5C135"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11,3</w:t>
            </w:r>
          </w:p>
        </w:tc>
        <w:tc>
          <w:tcPr>
            <w:tcW w:w="1418" w:type="dxa"/>
            <w:tcBorders>
              <w:top w:val="nil"/>
              <w:bottom w:val="nil"/>
            </w:tcBorders>
          </w:tcPr>
          <w:p w14:paraId="20F1FCB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10,1</w:t>
            </w:r>
          </w:p>
        </w:tc>
        <w:tc>
          <w:tcPr>
            <w:tcW w:w="2907" w:type="dxa"/>
            <w:tcBorders>
              <w:top w:val="nil"/>
              <w:bottom w:val="nil"/>
            </w:tcBorders>
          </w:tcPr>
          <w:p w14:paraId="7E782EF9"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rPr>
              <w:t>Santykinė rizika – 1,122 (97,2 % PI: 0,937; 1,342)*</w:t>
            </w:r>
          </w:p>
        </w:tc>
      </w:tr>
      <w:tr w:rsidR="00DC1CDC" w:rsidRPr="00D9492F" w14:paraId="3DA99046" w14:textId="77777777" w:rsidTr="0003751A">
        <w:trPr>
          <w:jc w:val="right"/>
        </w:trPr>
        <w:tc>
          <w:tcPr>
            <w:tcW w:w="3330" w:type="dxa"/>
            <w:tcBorders>
              <w:top w:val="nil"/>
              <w:bottom w:val="nil"/>
            </w:tcBorders>
          </w:tcPr>
          <w:p w14:paraId="4B887FC3" w14:textId="77777777" w:rsidR="00DC1CDC" w:rsidRPr="00D9492F" w:rsidRDefault="00DC1CDC" w:rsidP="00DC1CDC">
            <w:pPr>
              <w:keepNext/>
              <w:keepLines/>
              <w:spacing w:after="0" w:line="240" w:lineRule="auto"/>
              <w:jc w:val="right"/>
              <w:rPr>
                <w:rFonts w:ascii="Times New Roman" w:hAnsi="Times New Roman"/>
              </w:rPr>
            </w:pPr>
            <w:r w:rsidRPr="00D9492F">
              <w:rPr>
                <w:rFonts w:ascii="Times New Roman" w:hAnsi="Times New Roman"/>
              </w:rPr>
              <w:t>1 metus išgyvenę pacientai (%)</w:t>
            </w:r>
          </w:p>
        </w:tc>
        <w:tc>
          <w:tcPr>
            <w:tcW w:w="1417" w:type="dxa"/>
            <w:tcBorders>
              <w:top w:val="nil"/>
              <w:bottom w:val="nil"/>
            </w:tcBorders>
          </w:tcPr>
          <w:p w14:paraId="4E9A2CE9"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46</w:t>
            </w:r>
          </w:p>
        </w:tc>
        <w:tc>
          <w:tcPr>
            <w:tcW w:w="1418" w:type="dxa"/>
            <w:tcBorders>
              <w:top w:val="nil"/>
              <w:bottom w:val="nil"/>
            </w:tcBorders>
          </w:tcPr>
          <w:p w14:paraId="0BB9D50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41</w:t>
            </w:r>
          </w:p>
        </w:tc>
        <w:tc>
          <w:tcPr>
            <w:tcW w:w="2907" w:type="dxa"/>
            <w:tcBorders>
              <w:top w:val="nil"/>
              <w:bottom w:val="nil"/>
            </w:tcBorders>
          </w:tcPr>
          <w:p w14:paraId="732DC34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Su gydymu susijęs skirtumas – 5,4 % (95 % PI: -1,1; 12,0)*</w:t>
            </w:r>
          </w:p>
        </w:tc>
      </w:tr>
      <w:tr w:rsidR="00DC1CDC" w:rsidRPr="00D9492F" w14:paraId="19FE07C0" w14:textId="77777777" w:rsidTr="0003751A">
        <w:trPr>
          <w:trHeight w:val="689"/>
          <w:jc w:val="right"/>
        </w:trPr>
        <w:tc>
          <w:tcPr>
            <w:tcW w:w="3330" w:type="dxa"/>
            <w:tcBorders>
              <w:top w:val="nil"/>
            </w:tcBorders>
          </w:tcPr>
          <w:p w14:paraId="2D10B5A8" w14:textId="77777777" w:rsidR="00DC1CDC" w:rsidRPr="00D9492F" w:rsidRDefault="00DC1CDC" w:rsidP="00DC1CDC">
            <w:pPr>
              <w:keepNext/>
              <w:keepLines/>
              <w:spacing w:after="0" w:line="240" w:lineRule="auto"/>
              <w:jc w:val="right"/>
              <w:rPr>
                <w:rFonts w:ascii="Times New Roman" w:hAnsi="Times New Roman"/>
              </w:rPr>
            </w:pPr>
            <w:r w:rsidRPr="00D9492F">
              <w:rPr>
                <w:rFonts w:ascii="Times New Roman" w:hAnsi="Times New Roman"/>
              </w:rPr>
              <w:t>2 metus išgyvenę pacientai (%)</w:t>
            </w:r>
          </w:p>
        </w:tc>
        <w:tc>
          <w:tcPr>
            <w:tcW w:w="1417" w:type="dxa"/>
            <w:tcBorders>
              <w:top w:val="nil"/>
            </w:tcBorders>
          </w:tcPr>
          <w:p w14:paraId="7515BAE8"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21</w:t>
            </w:r>
          </w:p>
        </w:tc>
        <w:tc>
          <w:tcPr>
            <w:tcW w:w="1418" w:type="dxa"/>
            <w:tcBorders>
              <w:top w:val="nil"/>
            </w:tcBorders>
          </w:tcPr>
          <w:p w14:paraId="5DB03E0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14</w:t>
            </w:r>
          </w:p>
        </w:tc>
        <w:tc>
          <w:tcPr>
            <w:tcW w:w="2907" w:type="dxa"/>
            <w:tcBorders>
              <w:top w:val="nil"/>
            </w:tcBorders>
          </w:tcPr>
          <w:p w14:paraId="4D498EF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Su gydymu susijęs skirtumas – 6,2 % (95 % PI: 0,2; 12,3)</w:t>
            </w:r>
          </w:p>
        </w:tc>
      </w:tr>
      <w:tr w:rsidR="00DC1CDC" w:rsidRPr="00D9492F" w14:paraId="7CC8D33C" w14:textId="77777777" w:rsidTr="0003751A">
        <w:trPr>
          <w:trHeight w:val="561"/>
          <w:jc w:val="right"/>
        </w:trPr>
        <w:tc>
          <w:tcPr>
            <w:tcW w:w="3330" w:type="dxa"/>
          </w:tcPr>
          <w:p w14:paraId="417C13D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Laikotarpio iki ligos progresavimo mediana (savaitės)</w:t>
            </w:r>
          </w:p>
        </w:tc>
        <w:tc>
          <w:tcPr>
            <w:tcW w:w="1417" w:type="dxa"/>
          </w:tcPr>
          <w:p w14:paraId="5010DBD7"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22,0</w:t>
            </w:r>
          </w:p>
        </w:tc>
        <w:tc>
          <w:tcPr>
            <w:tcW w:w="1418" w:type="dxa"/>
          </w:tcPr>
          <w:p w14:paraId="31CEB9A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23,0</w:t>
            </w:r>
          </w:p>
        </w:tc>
        <w:tc>
          <w:tcPr>
            <w:tcW w:w="2907" w:type="dxa"/>
          </w:tcPr>
          <w:p w14:paraId="62B5CAE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Santykinė rizika – 1,032</w:t>
            </w:r>
          </w:p>
          <w:p w14:paraId="733614C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 (95 % PI: 0,876; 1,216)</w:t>
            </w:r>
          </w:p>
        </w:tc>
      </w:tr>
      <w:tr w:rsidR="00DC1CDC" w:rsidRPr="00D9492F" w14:paraId="533A64D8" w14:textId="77777777" w:rsidTr="0003751A">
        <w:trPr>
          <w:trHeight w:val="555"/>
          <w:jc w:val="right"/>
        </w:trPr>
        <w:tc>
          <w:tcPr>
            <w:tcW w:w="3330" w:type="dxa"/>
          </w:tcPr>
          <w:p w14:paraId="3F5CB23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Bendras atsako dažnis (%)</w:t>
            </w:r>
          </w:p>
        </w:tc>
        <w:tc>
          <w:tcPr>
            <w:tcW w:w="1417" w:type="dxa"/>
          </w:tcPr>
          <w:p w14:paraId="622CABF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31,6</w:t>
            </w:r>
          </w:p>
        </w:tc>
        <w:tc>
          <w:tcPr>
            <w:tcW w:w="1418" w:type="dxa"/>
          </w:tcPr>
          <w:p w14:paraId="66CEC680"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24,5</w:t>
            </w:r>
          </w:p>
        </w:tc>
        <w:tc>
          <w:tcPr>
            <w:tcW w:w="2907" w:type="dxa"/>
          </w:tcPr>
          <w:p w14:paraId="25A2022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Su gydymu susijęs skirtumas – 7,1 % (95 % PI: 0,7; 13,5)</w:t>
            </w:r>
          </w:p>
        </w:tc>
      </w:tr>
    </w:tbl>
    <w:p w14:paraId="023B8CE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 *: Koreguota daugeliui lyginimų ir pritaikyta stratifikavimo veiksniams (ligos stadijai, gydymo regionui), remiantis pacientų populiacijos, kurios stebėjimo duomenis galima įvertinti, duomenimis.</w:t>
      </w:r>
    </w:p>
    <w:p w14:paraId="41998356" w14:textId="77777777" w:rsidR="00DC1CDC" w:rsidRPr="00D9492F" w:rsidRDefault="00DC1CDC" w:rsidP="00DC1CDC">
      <w:pPr>
        <w:spacing w:after="0" w:line="240" w:lineRule="auto"/>
        <w:rPr>
          <w:rFonts w:ascii="Times New Roman" w:hAnsi="Times New Roman"/>
        </w:rPr>
      </w:pPr>
    </w:p>
    <w:p w14:paraId="3950590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Antriniai rodikliai buvo skausmo, bendros gyvenimo kokybės (</w:t>
      </w:r>
      <w:r w:rsidRPr="00D9492F">
        <w:rPr>
          <w:rFonts w:ascii="Times New Roman" w:hAnsi="Times New Roman"/>
          <w:i/>
        </w:rPr>
        <w:t>EuroQoL-5D</w:t>
      </w:r>
      <w:r w:rsidRPr="00D9492F">
        <w:rPr>
          <w:rFonts w:ascii="Times New Roman" w:hAnsi="Times New Roman"/>
        </w:rPr>
        <w:t xml:space="preserve">), įvertinimo pagal plaučių vėžio simptomų skalę ir būklės pagal </w:t>
      </w:r>
      <w:r w:rsidRPr="00D9492F">
        <w:rPr>
          <w:rFonts w:ascii="Times New Roman" w:hAnsi="Times New Roman"/>
          <w:i/>
        </w:rPr>
        <w:t xml:space="preserve">Karnofsky </w:t>
      </w:r>
      <w:r w:rsidRPr="00D9492F">
        <w:rPr>
          <w:rFonts w:ascii="Times New Roman" w:hAnsi="Times New Roman"/>
        </w:rPr>
        <w:t>skalę pokyčiai. Gydymo veiksmingumo vertinimas pagal šiuos rodiklius patvirtino pagrindinio rodiklio duomenis.</w:t>
      </w:r>
    </w:p>
    <w:p w14:paraId="5A7449C4" w14:textId="77777777" w:rsidR="00DC1CDC" w:rsidRPr="00D9492F" w:rsidRDefault="00DC1CDC" w:rsidP="00DC1CDC">
      <w:pPr>
        <w:spacing w:after="0" w:line="240" w:lineRule="auto"/>
        <w:rPr>
          <w:rFonts w:ascii="Times New Roman" w:hAnsi="Times New Roman"/>
        </w:rPr>
      </w:pPr>
    </w:p>
    <w:p w14:paraId="3A3ED77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Nepavyko įrodyti nei ekvivalentiško, nei ne mažesnio docetakselio ir karboplatinos derinio veiksmingumo palyginus su vinorelbino ir cisplatinos deriniu.</w:t>
      </w:r>
    </w:p>
    <w:p w14:paraId="17DBF1D4" w14:textId="77777777" w:rsidR="00DC1CDC" w:rsidRPr="00D9492F" w:rsidRDefault="00DC1CDC" w:rsidP="00DC1CDC">
      <w:pPr>
        <w:spacing w:after="0" w:line="240" w:lineRule="auto"/>
        <w:rPr>
          <w:rFonts w:ascii="Times New Roman" w:hAnsi="Times New Roman"/>
        </w:rPr>
      </w:pPr>
    </w:p>
    <w:p w14:paraId="6BD91B71" w14:textId="77777777" w:rsidR="00DC1CDC" w:rsidRPr="00D9492F" w:rsidRDefault="00DC1CDC" w:rsidP="00DC1CDC">
      <w:pPr>
        <w:keepNext/>
        <w:keepLines/>
        <w:spacing w:after="0" w:line="240" w:lineRule="auto"/>
        <w:rPr>
          <w:rFonts w:ascii="Times New Roman" w:hAnsi="Times New Roman"/>
          <w:bCs/>
          <w:i/>
          <w:iCs/>
          <w:u w:val="single"/>
        </w:rPr>
      </w:pPr>
      <w:r w:rsidRPr="00D9492F">
        <w:rPr>
          <w:rFonts w:ascii="Times New Roman" w:hAnsi="Times New Roman"/>
          <w:bCs/>
          <w:i/>
          <w:iCs/>
          <w:u w:val="single"/>
        </w:rPr>
        <w:t>Prostatos vėžys</w:t>
      </w:r>
    </w:p>
    <w:p w14:paraId="72166810" w14:textId="77777777" w:rsidR="00135562" w:rsidRPr="00D9492F" w:rsidRDefault="00135562" w:rsidP="00135562">
      <w:pPr>
        <w:spacing w:after="0" w:line="240" w:lineRule="auto"/>
        <w:rPr>
          <w:rFonts w:ascii="Times New Roman" w:hAnsi="Times New Roman"/>
          <w:u w:val="single"/>
        </w:rPr>
      </w:pPr>
    </w:p>
    <w:p w14:paraId="7D74C554" w14:textId="0AA18921" w:rsidR="00135562" w:rsidRPr="00D9492F" w:rsidRDefault="00135562" w:rsidP="00135562">
      <w:pPr>
        <w:spacing w:after="0" w:line="240" w:lineRule="auto"/>
        <w:rPr>
          <w:rFonts w:ascii="Times New Roman" w:hAnsi="Times New Roman"/>
          <w:u w:val="single"/>
        </w:rPr>
      </w:pPr>
      <w:r w:rsidRPr="00D9492F">
        <w:rPr>
          <w:rFonts w:ascii="Times New Roman" w:hAnsi="Times New Roman"/>
          <w:u w:val="single"/>
        </w:rPr>
        <w:t>Metastazavęs kastracijai atsparus prostatos vėžys</w:t>
      </w:r>
    </w:p>
    <w:p w14:paraId="02FEBE8F" w14:textId="77777777" w:rsidR="00DC1CDC" w:rsidRPr="00D9492F" w:rsidRDefault="00DC1CDC" w:rsidP="00DC1CDC">
      <w:pPr>
        <w:keepNext/>
        <w:keepLines/>
        <w:spacing w:after="0" w:line="240" w:lineRule="auto"/>
        <w:rPr>
          <w:rFonts w:ascii="Times New Roman" w:hAnsi="Times New Roman"/>
        </w:rPr>
      </w:pPr>
    </w:p>
    <w:p w14:paraId="01E114D9" w14:textId="383B9F32"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Docetakselio, vartojamo kartu su prednizonu ar prednizolonu, saugumas ir veiksmingumas </w:t>
      </w:r>
      <w:r w:rsidR="00135562" w:rsidRPr="00D9492F">
        <w:rPr>
          <w:rFonts w:ascii="Times New Roman" w:hAnsi="Times New Roman"/>
        </w:rPr>
        <w:t xml:space="preserve">metastazavusiu kastracijai atspariu </w:t>
      </w:r>
      <w:r w:rsidRPr="00D9492F">
        <w:rPr>
          <w:rFonts w:ascii="Times New Roman" w:hAnsi="Times New Roman"/>
        </w:rPr>
        <w:t>prostatos vėžiu sergantiems pacientams vertintas atliekant atsitiktinės atrankos daugiacentrį III fazės tyrimą. Iš viso 1006 pacientai, kurių KPS </w:t>
      </w:r>
      <w:r w:rsidRPr="00D9492F">
        <w:rPr>
          <w:rFonts w:ascii="Times New Roman" w:hAnsi="Times New Roman"/>
        </w:rPr>
        <w:sym w:font="Symbol" w:char="F0B3"/>
      </w:r>
      <w:r w:rsidRPr="00D9492F">
        <w:rPr>
          <w:rFonts w:ascii="Times New Roman" w:hAnsi="Times New Roman"/>
        </w:rPr>
        <w:t> 60, buvo atsitiktinai paskirstyti į šias gydymo grupes:</w:t>
      </w:r>
    </w:p>
    <w:p w14:paraId="32E97259" w14:textId="77777777" w:rsidR="00DC1CDC" w:rsidRPr="00D9492F" w:rsidRDefault="00DC1CDC" w:rsidP="00DC1CDC">
      <w:pPr>
        <w:numPr>
          <w:ilvl w:val="0"/>
          <w:numId w:val="4"/>
        </w:numPr>
        <w:spacing w:after="0" w:line="240" w:lineRule="auto"/>
        <w:rPr>
          <w:rFonts w:ascii="Times New Roman" w:hAnsi="Times New Roman"/>
        </w:rPr>
      </w:pPr>
      <w:r w:rsidRPr="00D9492F">
        <w:rPr>
          <w:rFonts w:ascii="Times New Roman" w:hAnsi="Times New Roman"/>
        </w:rPr>
        <w:t>docetakselio 75 mg/m</w:t>
      </w:r>
      <w:r w:rsidRPr="00D9492F">
        <w:rPr>
          <w:rFonts w:ascii="Times New Roman" w:hAnsi="Times New Roman"/>
          <w:vertAlign w:val="superscript"/>
        </w:rPr>
        <w:t>2 </w:t>
      </w:r>
      <w:r w:rsidRPr="00D9492F">
        <w:rPr>
          <w:rFonts w:ascii="Times New Roman" w:hAnsi="Times New Roman"/>
        </w:rPr>
        <w:t>kas 3 savaites, 10 ciklų;</w:t>
      </w:r>
    </w:p>
    <w:p w14:paraId="40D47C92" w14:textId="77777777" w:rsidR="00DC1CDC" w:rsidRPr="00D9492F" w:rsidRDefault="00DC1CDC" w:rsidP="00DC1CDC">
      <w:pPr>
        <w:numPr>
          <w:ilvl w:val="0"/>
          <w:numId w:val="4"/>
        </w:numPr>
        <w:spacing w:after="0" w:line="240" w:lineRule="auto"/>
        <w:rPr>
          <w:rFonts w:ascii="Times New Roman" w:hAnsi="Times New Roman"/>
        </w:rPr>
      </w:pPr>
      <w:r w:rsidRPr="00D9492F">
        <w:rPr>
          <w:rFonts w:ascii="Times New Roman" w:hAnsi="Times New Roman"/>
        </w:rPr>
        <w:t>docetakselio 30 mg/m</w:t>
      </w:r>
      <w:r w:rsidRPr="00D9492F">
        <w:rPr>
          <w:rFonts w:ascii="Times New Roman" w:hAnsi="Times New Roman"/>
          <w:vertAlign w:val="superscript"/>
        </w:rPr>
        <w:t>2 </w:t>
      </w:r>
      <w:r w:rsidRPr="00D9492F">
        <w:rPr>
          <w:rFonts w:ascii="Times New Roman" w:hAnsi="Times New Roman"/>
        </w:rPr>
        <w:t>kas savaitę pirmas penkias 6 savaičių ciklo savaites, 5 ciklus;</w:t>
      </w:r>
    </w:p>
    <w:p w14:paraId="32BBC0BC" w14:textId="77777777" w:rsidR="00DC1CDC" w:rsidRPr="00D9492F" w:rsidRDefault="00DC1CDC" w:rsidP="00DC1CDC">
      <w:pPr>
        <w:numPr>
          <w:ilvl w:val="0"/>
          <w:numId w:val="4"/>
        </w:numPr>
        <w:spacing w:after="0" w:line="240" w:lineRule="auto"/>
        <w:rPr>
          <w:rFonts w:ascii="Times New Roman" w:hAnsi="Times New Roman"/>
        </w:rPr>
      </w:pPr>
      <w:r w:rsidRPr="00D9492F">
        <w:rPr>
          <w:rFonts w:ascii="Times New Roman" w:hAnsi="Times New Roman"/>
        </w:rPr>
        <w:t>mitoksantronas 12 mg/m</w:t>
      </w:r>
      <w:r w:rsidRPr="00D9492F">
        <w:rPr>
          <w:rFonts w:ascii="Times New Roman" w:hAnsi="Times New Roman"/>
          <w:vertAlign w:val="superscript"/>
        </w:rPr>
        <w:t>2 </w:t>
      </w:r>
      <w:r w:rsidRPr="00D9492F">
        <w:rPr>
          <w:rFonts w:ascii="Times New Roman" w:hAnsi="Times New Roman"/>
        </w:rPr>
        <w:t>kas 3 savaites, 10 ciklų.</w:t>
      </w:r>
    </w:p>
    <w:p w14:paraId="67DDC20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Visų 3 grupių pacientai kartu vartojo po 5 mg prednizono ar prednizolono 2 kartus per parą be pertraukų.</w:t>
      </w:r>
    </w:p>
    <w:p w14:paraId="4168E580" w14:textId="77777777" w:rsidR="00DC1CDC" w:rsidRPr="00D9492F" w:rsidRDefault="00DC1CDC" w:rsidP="00DC1CDC">
      <w:pPr>
        <w:spacing w:after="0" w:line="240" w:lineRule="auto"/>
        <w:rPr>
          <w:rFonts w:ascii="Times New Roman" w:hAnsi="Times New Roman"/>
        </w:rPr>
      </w:pPr>
    </w:p>
    <w:p w14:paraId="7039355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Docetakselį kas 3 savaites vartojusių pacientų bendra išgyvento laikotarpio trukmė buvo reikšmingai ilgesnė negu vartojusių mitoksantroną. Docetakselį kas savaitę vartojusių pacientų išgyventas laikotarpis nebuvo statistiškai reikšmingai ilgesnis negu kontrolinės mitoksantrono grupės. Gydymo veiksmingumo kriterijai, lyginant docetakselio grupes su kontroline, apibendrinti lentelėje:</w:t>
      </w:r>
    </w:p>
    <w:p w14:paraId="5DC13721" w14:textId="77777777" w:rsidR="00DC1CDC" w:rsidRPr="00D9492F" w:rsidRDefault="00DC1CDC" w:rsidP="00DC1CDC">
      <w:pPr>
        <w:spacing w:after="0" w:line="240" w:lineRule="auto"/>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6"/>
        <w:gridCol w:w="1870"/>
        <w:gridCol w:w="1871"/>
        <w:gridCol w:w="1871"/>
      </w:tblGrid>
      <w:tr w:rsidR="00DC1CDC" w:rsidRPr="00D9492F" w14:paraId="0FFB3087" w14:textId="77777777" w:rsidTr="0003751A">
        <w:trPr>
          <w:cantSplit/>
          <w:jc w:val="center"/>
        </w:trPr>
        <w:tc>
          <w:tcPr>
            <w:tcW w:w="3616" w:type="dxa"/>
          </w:tcPr>
          <w:p w14:paraId="586CE10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Gydymo veiksmingumo kriterijus</w:t>
            </w:r>
          </w:p>
          <w:p w14:paraId="6402976C" w14:textId="77777777" w:rsidR="00DC1CDC" w:rsidRPr="00D9492F" w:rsidRDefault="00DC1CDC" w:rsidP="00DC1CDC">
            <w:pPr>
              <w:keepNext/>
              <w:keepLines/>
              <w:spacing w:after="0" w:line="240" w:lineRule="auto"/>
              <w:rPr>
                <w:rFonts w:ascii="Times New Roman" w:hAnsi="Times New Roman"/>
              </w:rPr>
            </w:pPr>
          </w:p>
        </w:tc>
        <w:tc>
          <w:tcPr>
            <w:tcW w:w="1870" w:type="dxa"/>
          </w:tcPr>
          <w:p w14:paraId="330F547B" w14:textId="0A60B536" w:rsidR="00BC3417"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Docetakselis</w:t>
            </w:r>
          </w:p>
          <w:p w14:paraId="5277F30F" w14:textId="3FF4F2B1"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kas 3 savaites</w:t>
            </w:r>
          </w:p>
        </w:tc>
        <w:tc>
          <w:tcPr>
            <w:tcW w:w="1871" w:type="dxa"/>
          </w:tcPr>
          <w:p w14:paraId="26F426A6" w14:textId="3B148D38" w:rsidR="00BC3417"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Docetakselis</w:t>
            </w:r>
          </w:p>
          <w:p w14:paraId="5EB464B5" w14:textId="3D41F8D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kas savaitę</w:t>
            </w:r>
          </w:p>
        </w:tc>
        <w:tc>
          <w:tcPr>
            <w:tcW w:w="1871" w:type="dxa"/>
          </w:tcPr>
          <w:p w14:paraId="1CB8F717" w14:textId="1E7A6474" w:rsidR="00BC3417"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Mitoksantronas</w:t>
            </w:r>
          </w:p>
          <w:p w14:paraId="498860ED" w14:textId="78BD998F"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kas 3 savaites</w:t>
            </w:r>
          </w:p>
        </w:tc>
      </w:tr>
      <w:tr w:rsidR="00DC1CDC" w:rsidRPr="00D9492F" w14:paraId="4F1484D6" w14:textId="77777777" w:rsidTr="0003751A">
        <w:trPr>
          <w:cantSplit/>
          <w:jc w:val="center"/>
        </w:trPr>
        <w:tc>
          <w:tcPr>
            <w:tcW w:w="3616" w:type="dxa"/>
          </w:tcPr>
          <w:p w14:paraId="3281690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Pacientų skaičius</w:t>
            </w:r>
          </w:p>
          <w:p w14:paraId="29A653E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Išgyvento laikotarpio mediana (mėn.)</w:t>
            </w:r>
          </w:p>
          <w:p w14:paraId="6CECDCF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p w14:paraId="55E6D89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Santykinė rizika</w:t>
            </w:r>
          </w:p>
          <w:p w14:paraId="140FC3F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p w14:paraId="3BDCB90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 reikšmė†*</w:t>
            </w:r>
          </w:p>
        </w:tc>
        <w:tc>
          <w:tcPr>
            <w:tcW w:w="1870" w:type="dxa"/>
          </w:tcPr>
          <w:p w14:paraId="1DB368D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335</w:t>
            </w:r>
          </w:p>
          <w:p w14:paraId="06CA8A8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18,9</w:t>
            </w:r>
          </w:p>
          <w:p w14:paraId="233219C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(17,0-21,2)</w:t>
            </w:r>
          </w:p>
          <w:p w14:paraId="5413462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0,761</w:t>
            </w:r>
          </w:p>
          <w:p w14:paraId="0277FB40"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(0,619-0,936)</w:t>
            </w:r>
          </w:p>
          <w:p w14:paraId="4FEE83F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0,0094</w:t>
            </w:r>
          </w:p>
        </w:tc>
        <w:tc>
          <w:tcPr>
            <w:tcW w:w="1871" w:type="dxa"/>
          </w:tcPr>
          <w:p w14:paraId="0C4A7488"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334</w:t>
            </w:r>
          </w:p>
          <w:p w14:paraId="1F6533F0"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17,4</w:t>
            </w:r>
          </w:p>
          <w:p w14:paraId="08865050"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(15,7-19,0)</w:t>
            </w:r>
          </w:p>
          <w:p w14:paraId="23C3C38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0,912</w:t>
            </w:r>
          </w:p>
          <w:p w14:paraId="28313AA2"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(0,747-1,113)</w:t>
            </w:r>
          </w:p>
          <w:p w14:paraId="03A326DB"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0,3624</w:t>
            </w:r>
          </w:p>
        </w:tc>
        <w:tc>
          <w:tcPr>
            <w:tcW w:w="1871" w:type="dxa"/>
          </w:tcPr>
          <w:p w14:paraId="25165668"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337</w:t>
            </w:r>
          </w:p>
          <w:p w14:paraId="64FDAC1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16,5</w:t>
            </w:r>
          </w:p>
          <w:p w14:paraId="72C1010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(14,4-18,6)</w:t>
            </w:r>
          </w:p>
          <w:p w14:paraId="7150FBE6"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w:t>
            </w:r>
          </w:p>
          <w:p w14:paraId="4ADC93B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w:t>
            </w:r>
          </w:p>
          <w:p w14:paraId="0B1C131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w:t>
            </w:r>
          </w:p>
        </w:tc>
      </w:tr>
      <w:tr w:rsidR="00DC1CDC" w:rsidRPr="00D9492F" w14:paraId="07758B3A" w14:textId="77777777" w:rsidTr="0003751A">
        <w:trPr>
          <w:cantSplit/>
          <w:jc w:val="center"/>
        </w:trPr>
        <w:tc>
          <w:tcPr>
            <w:tcW w:w="3616" w:type="dxa"/>
          </w:tcPr>
          <w:p w14:paraId="6138E3C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Pacientų skaičius</w:t>
            </w:r>
          </w:p>
          <w:p w14:paraId="5E87218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PSA** atsako dažnis (%)</w:t>
            </w:r>
          </w:p>
          <w:p w14:paraId="011F43B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p w14:paraId="27768CD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 reikšmė*</w:t>
            </w:r>
          </w:p>
        </w:tc>
        <w:tc>
          <w:tcPr>
            <w:tcW w:w="1870" w:type="dxa"/>
          </w:tcPr>
          <w:p w14:paraId="0A06E70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291</w:t>
            </w:r>
          </w:p>
          <w:p w14:paraId="45D90C35"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45,4</w:t>
            </w:r>
          </w:p>
          <w:p w14:paraId="32B63298"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(39,5-51,3)</w:t>
            </w:r>
          </w:p>
          <w:p w14:paraId="12BFD19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0,0005</w:t>
            </w:r>
          </w:p>
        </w:tc>
        <w:tc>
          <w:tcPr>
            <w:tcW w:w="1871" w:type="dxa"/>
          </w:tcPr>
          <w:p w14:paraId="63D7E4D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282</w:t>
            </w:r>
          </w:p>
          <w:p w14:paraId="6C740B2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47,9</w:t>
            </w:r>
          </w:p>
          <w:p w14:paraId="788E10EB" w14:textId="77777777" w:rsidR="00BC3417"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(41,9-53,9)</w:t>
            </w:r>
          </w:p>
          <w:p w14:paraId="3ADC2C89" w14:textId="586C7814"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&lt; 0,0001</w:t>
            </w:r>
          </w:p>
        </w:tc>
        <w:tc>
          <w:tcPr>
            <w:tcW w:w="1871" w:type="dxa"/>
          </w:tcPr>
          <w:p w14:paraId="2BA5501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300</w:t>
            </w:r>
          </w:p>
          <w:p w14:paraId="7FFF929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31,7</w:t>
            </w:r>
          </w:p>
          <w:p w14:paraId="2D636C0D" w14:textId="77777777" w:rsidR="00BC3417"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(26,4-37,3)</w:t>
            </w:r>
          </w:p>
          <w:p w14:paraId="0AA8C40B" w14:textId="54476B1C"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w:t>
            </w:r>
          </w:p>
        </w:tc>
      </w:tr>
      <w:tr w:rsidR="00DC1CDC" w:rsidRPr="00D9492F" w14:paraId="3E523D46" w14:textId="77777777" w:rsidTr="0003751A">
        <w:trPr>
          <w:cantSplit/>
          <w:jc w:val="center"/>
        </w:trPr>
        <w:tc>
          <w:tcPr>
            <w:tcW w:w="3616" w:type="dxa"/>
          </w:tcPr>
          <w:p w14:paraId="436AF08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Pacientų skaičius</w:t>
            </w:r>
          </w:p>
          <w:p w14:paraId="78998D2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Skausmo atsako dažnis (%)</w:t>
            </w:r>
          </w:p>
          <w:p w14:paraId="35C920E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p w14:paraId="7FFF408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 reikšmė*</w:t>
            </w:r>
          </w:p>
        </w:tc>
        <w:tc>
          <w:tcPr>
            <w:tcW w:w="1870" w:type="dxa"/>
          </w:tcPr>
          <w:p w14:paraId="7E5CB292"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153</w:t>
            </w:r>
          </w:p>
          <w:p w14:paraId="453B785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34,6</w:t>
            </w:r>
          </w:p>
          <w:p w14:paraId="15853BD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(27,1-42,7)</w:t>
            </w:r>
          </w:p>
          <w:p w14:paraId="335649F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0,0107</w:t>
            </w:r>
          </w:p>
        </w:tc>
        <w:tc>
          <w:tcPr>
            <w:tcW w:w="1871" w:type="dxa"/>
          </w:tcPr>
          <w:p w14:paraId="1060DA9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154</w:t>
            </w:r>
          </w:p>
          <w:p w14:paraId="6EAF3D87"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31,2</w:t>
            </w:r>
          </w:p>
          <w:p w14:paraId="53D86059"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(24,0-39,1)</w:t>
            </w:r>
          </w:p>
          <w:p w14:paraId="2EF51D5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0,0798</w:t>
            </w:r>
          </w:p>
        </w:tc>
        <w:tc>
          <w:tcPr>
            <w:tcW w:w="1871" w:type="dxa"/>
          </w:tcPr>
          <w:p w14:paraId="0C7422E6"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157</w:t>
            </w:r>
          </w:p>
          <w:p w14:paraId="5E6B882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21,7</w:t>
            </w:r>
          </w:p>
          <w:p w14:paraId="5E541025"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(15,5-28,9)</w:t>
            </w:r>
          </w:p>
          <w:p w14:paraId="59FC4790"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w:t>
            </w:r>
          </w:p>
        </w:tc>
      </w:tr>
      <w:tr w:rsidR="00DC1CDC" w:rsidRPr="00D9492F" w14:paraId="625189FB" w14:textId="77777777" w:rsidTr="0003751A">
        <w:trPr>
          <w:cantSplit/>
          <w:trHeight w:val="1014"/>
          <w:jc w:val="center"/>
        </w:trPr>
        <w:tc>
          <w:tcPr>
            <w:tcW w:w="3616" w:type="dxa"/>
          </w:tcPr>
          <w:p w14:paraId="740577B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Pacientų skaičius</w:t>
            </w:r>
          </w:p>
          <w:p w14:paraId="10CEF77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Naviko atsako dažnis (%)</w:t>
            </w:r>
          </w:p>
          <w:p w14:paraId="6EF90C8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p w14:paraId="6361EDD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 reikšmė*</w:t>
            </w:r>
          </w:p>
        </w:tc>
        <w:tc>
          <w:tcPr>
            <w:tcW w:w="1870" w:type="dxa"/>
          </w:tcPr>
          <w:p w14:paraId="3EEDE21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141</w:t>
            </w:r>
          </w:p>
          <w:p w14:paraId="4708554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12,1</w:t>
            </w:r>
          </w:p>
          <w:p w14:paraId="25BCE129"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(7,2-18,6)</w:t>
            </w:r>
          </w:p>
          <w:p w14:paraId="5A169D3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0,1112</w:t>
            </w:r>
          </w:p>
        </w:tc>
        <w:tc>
          <w:tcPr>
            <w:tcW w:w="1871" w:type="dxa"/>
          </w:tcPr>
          <w:p w14:paraId="309B019B"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134</w:t>
            </w:r>
          </w:p>
          <w:p w14:paraId="459965F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8,2</w:t>
            </w:r>
          </w:p>
          <w:p w14:paraId="28EA43B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(4,2-14,2)</w:t>
            </w:r>
          </w:p>
          <w:p w14:paraId="3E35D000"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0,5853</w:t>
            </w:r>
          </w:p>
        </w:tc>
        <w:tc>
          <w:tcPr>
            <w:tcW w:w="1871" w:type="dxa"/>
          </w:tcPr>
          <w:p w14:paraId="31797322"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137</w:t>
            </w:r>
          </w:p>
          <w:p w14:paraId="1B429EB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6,6</w:t>
            </w:r>
          </w:p>
          <w:p w14:paraId="65D0AC1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(3,0-12,1)</w:t>
            </w:r>
          </w:p>
          <w:p w14:paraId="11681DF2"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w:t>
            </w:r>
          </w:p>
        </w:tc>
      </w:tr>
    </w:tbl>
    <w:p w14:paraId="13B626FC" w14:textId="52E4F4D3" w:rsidR="00BD43CF" w:rsidRPr="00D9492F" w:rsidRDefault="00DC1CDC" w:rsidP="00DC1CDC">
      <w:pPr>
        <w:keepNext/>
        <w:keepLines/>
        <w:spacing w:after="0" w:line="240" w:lineRule="auto"/>
        <w:rPr>
          <w:rFonts w:ascii="Times New Roman" w:hAnsi="Times New Roman"/>
        </w:rPr>
      </w:pPr>
      <w:r w:rsidRPr="00D9492F">
        <w:rPr>
          <w:rFonts w:ascii="Times New Roman" w:hAnsi="Times New Roman"/>
        </w:rPr>
        <w:t>†Stratifikuotas logaritminio rango testas</w:t>
      </w:r>
    </w:p>
    <w:p w14:paraId="6D273D72" w14:textId="7C3EE3CD"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*Statistinio reikšmingumo lygmuo = 0,0175</w:t>
      </w:r>
    </w:p>
    <w:p w14:paraId="156D2166" w14:textId="349132D2" w:rsidR="00DC1CDC" w:rsidRPr="00D9492F" w:rsidRDefault="00DC1CDC" w:rsidP="00DC1CDC">
      <w:pPr>
        <w:spacing w:after="0" w:line="240" w:lineRule="auto"/>
        <w:rPr>
          <w:rFonts w:ascii="Times New Roman" w:hAnsi="Times New Roman"/>
        </w:rPr>
      </w:pPr>
      <w:r w:rsidRPr="00D9492F">
        <w:rPr>
          <w:rFonts w:ascii="Times New Roman" w:hAnsi="Times New Roman"/>
        </w:rPr>
        <w:t>**PSA – prostatai specifinis antigenas</w:t>
      </w:r>
    </w:p>
    <w:p w14:paraId="0B120796" w14:textId="77777777" w:rsidR="00BD43CF" w:rsidRPr="00D9492F" w:rsidRDefault="00BD43CF" w:rsidP="00DC1CDC">
      <w:pPr>
        <w:spacing w:after="0" w:line="240" w:lineRule="auto"/>
        <w:rPr>
          <w:rFonts w:ascii="Times New Roman" w:hAnsi="Times New Roman"/>
        </w:rPr>
      </w:pPr>
    </w:p>
    <w:p w14:paraId="16A6F796"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Atsižvelgiant į tai, kad kas savaitę vartojamo docetakselio saugumas buvo šiek kiek geresnis, nei docetakselio </w:t>
      </w:r>
      <w:r w:rsidR="00696C02" w:rsidRPr="00D9492F">
        <w:rPr>
          <w:rFonts w:ascii="Times New Roman" w:hAnsi="Times New Roman"/>
        </w:rPr>
        <w:t xml:space="preserve">skiriant </w:t>
      </w:r>
      <w:r w:rsidRPr="00D9492F">
        <w:rPr>
          <w:rFonts w:ascii="Times New Roman" w:hAnsi="Times New Roman"/>
        </w:rPr>
        <w:t>kas 3 savaites, tikėtina, kad kai kuriems pacientams gali būti naudinga docetakselio vartoti kas savaitę.</w:t>
      </w:r>
    </w:p>
    <w:p w14:paraId="1E74EB71" w14:textId="77777777" w:rsidR="00DC1CDC" w:rsidRPr="00D9492F" w:rsidRDefault="00DC1CDC" w:rsidP="00DC1CDC">
      <w:pPr>
        <w:spacing w:after="0" w:line="240" w:lineRule="auto"/>
        <w:rPr>
          <w:rFonts w:ascii="Times New Roman" w:hAnsi="Times New Roman"/>
        </w:rPr>
      </w:pPr>
    </w:p>
    <w:p w14:paraId="06791F8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Statistinių bendros gyvenimo kokybės skirtumų tarp gydymo grupių nenustatyta.</w:t>
      </w:r>
    </w:p>
    <w:p w14:paraId="37B73D12" w14:textId="77777777" w:rsidR="00135562" w:rsidRPr="00D9492F" w:rsidRDefault="00135562" w:rsidP="00135562">
      <w:pPr>
        <w:spacing w:after="0" w:line="240" w:lineRule="auto"/>
        <w:rPr>
          <w:rFonts w:ascii="Times New Roman" w:hAnsi="Times New Roman"/>
          <w:u w:val="single"/>
        </w:rPr>
      </w:pPr>
    </w:p>
    <w:p w14:paraId="28931F0C" w14:textId="128FF503" w:rsidR="00135562" w:rsidRPr="00D9492F" w:rsidRDefault="00135562" w:rsidP="00135562">
      <w:pPr>
        <w:spacing w:after="0" w:line="240" w:lineRule="auto"/>
        <w:rPr>
          <w:rFonts w:ascii="Times New Roman" w:hAnsi="Times New Roman"/>
          <w:u w:val="single"/>
        </w:rPr>
      </w:pPr>
      <w:r w:rsidRPr="00D9492F">
        <w:rPr>
          <w:rFonts w:ascii="Times New Roman" w:hAnsi="Times New Roman"/>
          <w:u w:val="single"/>
        </w:rPr>
        <w:t xml:space="preserve">Metastazavęs hormonams jautrus prostatos vėžys </w:t>
      </w:r>
    </w:p>
    <w:p w14:paraId="2F1AE754"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 </w:t>
      </w:r>
    </w:p>
    <w:p w14:paraId="36293E6F" w14:textId="77777777" w:rsidR="00135562" w:rsidRPr="00D9492F" w:rsidRDefault="00135562" w:rsidP="00135562">
      <w:pPr>
        <w:spacing w:after="0" w:line="240" w:lineRule="auto"/>
        <w:rPr>
          <w:rFonts w:ascii="Times New Roman" w:hAnsi="Times New Roman"/>
          <w:i/>
          <w:iCs/>
        </w:rPr>
      </w:pPr>
      <w:r w:rsidRPr="00D9492F">
        <w:rPr>
          <w:rFonts w:ascii="Times New Roman" w:hAnsi="Times New Roman"/>
          <w:i/>
          <w:iCs/>
        </w:rPr>
        <w:t xml:space="preserve">STAMPEDE tyrimas </w:t>
      </w:r>
    </w:p>
    <w:p w14:paraId="674CF5A6"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 </w:t>
      </w:r>
    </w:p>
    <w:p w14:paraId="0E78CC88" w14:textId="5920D781"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Docetakselio saugumas ir veiksmingumas </w:t>
      </w:r>
      <w:r w:rsidR="00F67A1B" w:rsidRPr="00D9492F">
        <w:rPr>
          <w:rFonts w:ascii="Times New Roman" w:hAnsi="Times New Roman"/>
        </w:rPr>
        <w:t>derinant</w:t>
      </w:r>
      <w:r w:rsidRPr="00D9492F">
        <w:rPr>
          <w:rFonts w:ascii="Times New Roman" w:hAnsi="Times New Roman"/>
        </w:rPr>
        <w:t xml:space="preserve"> įprastinį gydymą (ADT) pacientams, sergantiems didelės rizikos lokaliai </w:t>
      </w:r>
      <w:r w:rsidR="00F67A1B" w:rsidRPr="00D9492F">
        <w:rPr>
          <w:rFonts w:ascii="Times New Roman" w:hAnsi="Times New Roman"/>
        </w:rPr>
        <w:t>išplitusiu</w:t>
      </w:r>
      <w:r w:rsidRPr="00D9492F">
        <w:rPr>
          <w:rFonts w:ascii="Times New Roman" w:hAnsi="Times New Roman"/>
        </w:rPr>
        <w:t xml:space="preserve"> ar metastazavusiu hormonams jautriu prostatos vėžiu, buvo vertintas atsitiktinių imčių, kelių grupių ir kelių stadijų (angl. </w:t>
      </w:r>
      <w:r w:rsidRPr="00D9492F">
        <w:rPr>
          <w:rFonts w:ascii="Times New Roman" w:hAnsi="Times New Roman"/>
          <w:i/>
          <w:iCs/>
        </w:rPr>
        <w:t>multi-arm multi-stage</w:t>
      </w:r>
      <w:r w:rsidRPr="00D9492F">
        <w:rPr>
          <w:rFonts w:ascii="Times New Roman" w:hAnsi="Times New Roman"/>
        </w:rPr>
        <w:t>, MAMS) nuoseklių II/III fazių tyrimo (STAMPEDE – MRC PR08) metu. Iš viso 1</w:t>
      </w:r>
      <w:r w:rsidR="00126FB4" w:rsidRPr="00D9492F">
        <w:rPr>
          <w:rFonts w:ascii="Times New Roman" w:hAnsi="Times New Roman"/>
        </w:rPr>
        <w:t> </w:t>
      </w:r>
      <w:r w:rsidRPr="00D9492F">
        <w:rPr>
          <w:rFonts w:ascii="Times New Roman" w:hAnsi="Times New Roman"/>
        </w:rPr>
        <w:t>776</w:t>
      </w:r>
      <w:r w:rsidR="00126FB4" w:rsidRPr="00D9492F">
        <w:rPr>
          <w:rFonts w:ascii="Times New Roman" w:hAnsi="Times New Roman"/>
        </w:rPr>
        <w:t> </w:t>
      </w:r>
      <w:r w:rsidRPr="00D9492F">
        <w:rPr>
          <w:rFonts w:ascii="Times New Roman" w:hAnsi="Times New Roman"/>
        </w:rPr>
        <w:t xml:space="preserve">pacientai vyrai buvo įtraukti į specifines tiriamąsias grupes:  </w:t>
      </w:r>
    </w:p>
    <w:p w14:paraId="4B4B2E1C" w14:textId="2A3C721C" w:rsidR="00135562" w:rsidRPr="00D9492F" w:rsidRDefault="00135562" w:rsidP="00135562">
      <w:pPr>
        <w:tabs>
          <w:tab w:val="left" w:pos="567"/>
        </w:tabs>
        <w:spacing w:after="0" w:line="240" w:lineRule="auto"/>
        <w:rPr>
          <w:rFonts w:ascii="Times New Roman" w:hAnsi="Times New Roman"/>
        </w:rPr>
      </w:pPr>
      <w:r w:rsidRPr="00D9492F">
        <w:rPr>
          <w:rFonts w:ascii="Times New Roman" w:hAnsi="Times New Roman"/>
        </w:rPr>
        <w:t>•</w:t>
      </w:r>
      <w:r w:rsidRPr="00D9492F">
        <w:rPr>
          <w:rFonts w:ascii="Times New Roman" w:hAnsi="Times New Roman"/>
        </w:rPr>
        <w:tab/>
        <w:t>įprastinio gydymo + docetakselio 75</w:t>
      </w:r>
      <w:r w:rsidR="00126FB4" w:rsidRPr="00D9492F">
        <w:rPr>
          <w:rFonts w:ascii="Times New Roman" w:hAnsi="Times New Roman"/>
        </w:rPr>
        <w:t> </w:t>
      </w:r>
      <w:r w:rsidRPr="00D9492F">
        <w:rPr>
          <w:rFonts w:ascii="Times New Roman" w:hAnsi="Times New Roman"/>
        </w:rPr>
        <w:t>mg/m² kas 3</w:t>
      </w:r>
      <w:r w:rsidR="00126FB4" w:rsidRPr="00D9492F">
        <w:rPr>
          <w:rFonts w:ascii="Times New Roman" w:hAnsi="Times New Roman"/>
        </w:rPr>
        <w:t> </w:t>
      </w:r>
      <w:r w:rsidRPr="00D9492F">
        <w:rPr>
          <w:rFonts w:ascii="Times New Roman" w:hAnsi="Times New Roman"/>
        </w:rPr>
        <w:t>savaites 6</w:t>
      </w:r>
      <w:r w:rsidR="00126FB4" w:rsidRPr="00D9492F">
        <w:rPr>
          <w:rFonts w:ascii="Times New Roman" w:hAnsi="Times New Roman"/>
        </w:rPr>
        <w:t> </w:t>
      </w:r>
      <w:r w:rsidRPr="00D9492F">
        <w:rPr>
          <w:rFonts w:ascii="Times New Roman" w:hAnsi="Times New Roman"/>
        </w:rPr>
        <w:t xml:space="preserve">ciklus; </w:t>
      </w:r>
    </w:p>
    <w:p w14:paraId="1E34C490" w14:textId="77777777" w:rsidR="00135562" w:rsidRPr="00D9492F" w:rsidRDefault="00135562" w:rsidP="00135562">
      <w:pPr>
        <w:tabs>
          <w:tab w:val="left" w:pos="567"/>
        </w:tabs>
        <w:spacing w:after="0" w:line="240" w:lineRule="auto"/>
        <w:rPr>
          <w:rFonts w:ascii="Times New Roman" w:hAnsi="Times New Roman"/>
        </w:rPr>
      </w:pPr>
      <w:r w:rsidRPr="00D9492F">
        <w:rPr>
          <w:rFonts w:ascii="Times New Roman" w:hAnsi="Times New Roman"/>
        </w:rPr>
        <w:t>•</w:t>
      </w:r>
      <w:r w:rsidRPr="00D9492F">
        <w:rPr>
          <w:rFonts w:ascii="Times New Roman" w:hAnsi="Times New Roman"/>
        </w:rPr>
        <w:tab/>
        <w:t xml:space="preserve">vien tik įprastinio gydymo. </w:t>
      </w:r>
    </w:p>
    <w:p w14:paraId="69657A5D" w14:textId="4E785057" w:rsidR="00135562" w:rsidRPr="00D9492F" w:rsidRDefault="00135562" w:rsidP="00135562">
      <w:pPr>
        <w:spacing w:after="0" w:line="240" w:lineRule="auto"/>
        <w:rPr>
          <w:rFonts w:ascii="Times New Roman" w:hAnsi="Times New Roman"/>
        </w:rPr>
      </w:pPr>
      <w:r w:rsidRPr="00D9492F">
        <w:rPr>
          <w:rFonts w:ascii="Times New Roman" w:hAnsi="Times New Roman"/>
        </w:rPr>
        <w:lastRenderedPageBreak/>
        <w:t xml:space="preserve">Docetakselio buvo vartojama </w:t>
      </w:r>
      <w:r w:rsidR="00F67A1B" w:rsidRPr="00D9492F">
        <w:rPr>
          <w:rFonts w:ascii="Times New Roman" w:hAnsi="Times New Roman"/>
        </w:rPr>
        <w:t>derinyje</w:t>
      </w:r>
      <w:r w:rsidRPr="00D9492F">
        <w:rPr>
          <w:rFonts w:ascii="Times New Roman" w:hAnsi="Times New Roman"/>
        </w:rPr>
        <w:t xml:space="preserve"> su prednizonu arba prednizolonu (po 5</w:t>
      </w:r>
      <w:r w:rsidR="00126FB4" w:rsidRPr="00D9492F">
        <w:rPr>
          <w:rFonts w:ascii="Times New Roman" w:hAnsi="Times New Roman"/>
        </w:rPr>
        <w:t> </w:t>
      </w:r>
      <w:r w:rsidRPr="00D9492F">
        <w:rPr>
          <w:rFonts w:ascii="Times New Roman" w:hAnsi="Times New Roman"/>
        </w:rPr>
        <w:t xml:space="preserve">mg du kartus per parą, be pertraukų). </w:t>
      </w:r>
    </w:p>
    <w:p w14:paraId="75142882" w14:textId="0EEFF04C" w:rsidR="00135562" w:rsidRPr="00D9492F" w:rsidRDefault="00135562" w:rsidP="00135562">
      <w:pPr>
        <w:spacing w:after="0" w:line="240" w:lineRule="auto"/>
        <w:rPr>
          <w:rFonts w:ascii="Times New Roman" w:hAnsi="Times New Roman"/>
        </w:rPr>
      </w:pPr>
      <w:r w:rsidRPr="00D9492F">
        <w:rPr>
          <w:rFonts w:ascii="Times New Roman" w:hAnsi="Times New Roman"/>
        </w:rPr>
        <w:t>Iš 1</w:t>
      </w:r>
      <w:r w:rsidR="00126FB4" w:rsidRPr="00D9492F">
        <w:rPr>
          <w:rFonts w:ascii="Times New Roman" w:hAnsi="Times New Roman"/>
        </w:rPr>
        <w:t> </w:t>
      </w:r>
      <w:r w:rsidRPr="00D9492F">
        <w:rPr>
          <w:rFonts w:ascii="Times New Roman" w:hAnsi="Times New Roman"/>
        </w:rPr>
        <w:t>776</w:t>
      </w:r>
      <w:r w:rsidR="00126FB4" w:rsidRPr="00D9492F">
        <w:rPr>
          <w:rFonts w:ascii="Times New Roman" w:hAnsi="Times New Roman"/>
        </w:rPr>
        <w:t> </w:t>
      </w:r>
      <w:r w:rsidRPr="00D9492F">
        <w:rPr>
          <w:rFonts w:ascii="Times New Roman" w:hAnsi="Times New Roman"/>
        </w:rPr>
        <w:t xml:space="preserve">atsitiktinėms imtims priskirtų pacientų 1 086 (61 %) sirgo metastazavusia liga, 362 buvo atsitiktinai priskirti vartoti docetakselį </w:t>
      </w:r>
      <w:r w:rsidR="00F67A1B" w:rsidRPr="00D9492F">
        <w:rPr>
          <w:rFonts w:ascii="Times New Roman" w:hAnsi="Times New Roman"/>
        </w:rPr>
        <w:t>derinant</w:t>
      </w:r>
      <w:r w:rsidRPr="00D9492F">
        <w:rPr>
          <w:rFonts w:ascii="Times New Roman" w:hAnsi="Times New Roman"/>
        </w:rPr>
        <w:t xml:space="preserve"> standartinį gydymą, o 724 pacientams skirtas tik standartinis gydymas.  </w:t>
      </w:r>
    </w:p>
    <w:p w14:paraId="2163048E"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 </w:t>
      </w:r>
    </w:p>
    <w:p w14:paraId="6EB282D7" w14:textId="7512E58F" w:rsidR="00135562" w:rsidRPr="00D9492F" w:rsidRDefault="00135562" w:rsidP="00135562">
      <w:pPr>
        <w:spacing w:after="0" w:line="240" w:lineRule="auto"/>
        <w:rPr>
          <w:rFonts w:ascii="Times New Roman" w:hAnsi="Times New Roman"/>
        </w:rPr>
      </w:pPr>
      <w:r w:rsidRPr="00D9492F">
        <w:rPr>
          <w:rFonts w:ascii="Times New Roman" w:hAnsi="Times New Roman"/>
        </w:rPr>
        <w:t>Šių metastazavusiu prostatos vėžiu sirgusių pacientų bendrojo išgyven</w:t>
      </w:r>
      <w:r w:rsidR="00F67A1B" w:rsidRPr="00D9492F">
        <w:rPr>
          <w:rFonts w:ascii="Times New Roman" w:hAnsi="Times New Roman"/>
        </w:rPr>
        <w:t xml:space="preserve">amumo (angl. </w:t>
      </w:r>
      <w:r w:rsidR="00F67A1B" w:rsidRPr="00D9492F">
        <w:rPr>
          <w:rFonts w:ascii="Times New Roman" w:hAnsi="Times New Roman"/>
          <w:i/>
        </w:rPr>
        <w:t>overall survival</w:t>
      </w:r>
      <w:r w:rsidR="00F67A1B" w:rsidRPr="00D9492F">
        <w:rPr>
          <w:rFonts w:ascii="Times New Roman" w:hAnsi="Times New Roman"/>
        </w:rPr>
        <w:t>, OS)</w:t>
      </w:r>
      <w:r w:rsidRPr="00D9492F">
        <w:rPr>
          <w:rFonts w:ascii="Times New Roman" w:hAnsi="Times New Roman"/>
        </w:rPr>
        <w:t xml:space="preserve"> trukmės mediana buvo reikšmingai didesnė gydymo docetakseliu grupėje, palyginti su vien tik standartinio gydymo grupe: įprastinį gydymą papildžius docetakseliu, bendrojo </w:t>
      </w:r>
      <w:r w:rsidR="00F67A1B" w:rsidRPr="00D9492F">
        <w:rPr>
          <w:rFonts w:ascii="Times New Roman" w:hAnsi="Times New Roman"/>
        </w:rPr>
        <w:t>išgyvenamumo</w:t>
      </w:r>
      <w:r w:rsidRPr="00D9492F">
        <w:rPr>
          <w:rFonts w:ascii="Times New Roman" w:hAnsi="Times New Roman"/>
        </w:rPr>
        <w:t xml:space="preserve">trukmės mediana pailgėjo 19 mėnesių (SR=0,76, 95 % PI = 0,62-0,92, p=0,005). </w:t>
      </w:r>
    </w:p>
    <w:p w14:paraId="51526857"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 </w:t>
      </w:r>
    </w:p>
    <w:p w14:paraId="6179C3B8"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Docetakselio ir kontrolinės grupės metastazavusiu prostatos vėžiu sirgusiems pacientams veiksmingumo rezultatai apibendrinti toliau pateikiamoje lentelėje. </w:t>
      </w:r>
    </w:p>
    <w:p w14:paraId="17565C30"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 </w:t>
      </w:r>
    </w:p>
    <w:p w14:paraId="671B57F4" w14:textId="496B53F9"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Metastazavusiu hormonams jautriu prostatos vėžiu sergančių pacientų gydymo docetakseliu </w:t>
      </w:r>
      <w:r w:rsidR="00F67A1B" w:rsidRPr="00D9492F">
        <w:rPr>
          <w:rFonts w:ascii="Times New Roman" w:hAnsi="Times New Roman"/>
        </w:rPr>
        <w:t>derinant</w:t>
      </w:r>
      <w:r w:rsidRPr="00D9492F">
        <w:rPr>
          <w:rFonts w:ascii="Times New Roman" w:hAnsi="Times New Roman"/>
        </w:rPr>
        <w:t xml:space="preserve"> prednizoną ar prednizoloną ir standartinį gydymą veiksmingumo rezultatai (STAMPEDE tyrimas)</w:t>
      </w:r>
    </w:p>
    <w:p w14:paraId="1F0A2686" w14:textId="77777777" w:rsidR="00135562" w:rsidRPr="00D9492F" w:rsidRDefault="00135562" w:rsidP="00135562">
      <w:pPr>
        <w:spacing w:after="0" w:line="240" w:lineRule="auto"/>
        <w:rPr>
          <w:rFonts w:ascii="Times New Roman" w:hAnsi="Times New Roman"/>
        </w:rPr>
      </w:pPr>
    </w:p>
    <w:tbl>
      <w:tblPr>
        <w:tblStyle w:val="TableGrid"/>
        <w:tblW w:w="8705" w:type="dxa"/>
        <w:tblInd w:w="184" w:type="dxa"/>
        <w:tblCellMar>
          <w:top w:w="26" w:type="dxa"/>
          <w:left w:w="108" w:type="dxa"/>
          <w:right w:w="115" w:type="dxa"/>
        </w:tblCellMar>
        <w:tblLook w:val="04A0" w:firstRow="1" w:lastRow="0" w:firstColumn="1" w:lastColumn="0" w:noHBand="0" w:noVBand="1"/>
      </w:tblPr>
      <w:tblGrid>
        <w:gridCol w:w="3360"/>
        <w:gridCol w:w="2837"/>
        <w:gridCol w:w="2508"/>
      </w:tblGrid>
      <w:tr w:rsidR="00135562" w:rsidRPr="00D9492F" w14:paraId="3BE78560" w14:textId="77777777" w:rsidTr="00135562">
        <w:trPr>
          <w:trHeight w:val="546"/>
        </w:trPr>
        <w:tc>
          <w:tcPr>
            <w:tcW w:w="3360" w:type="dxa"/>
            <w:tcBorders>
              <w:top w:val="single" w:sz="4" w:space="0" w:color="000000"/>
              <w:left w:val="single" w:sz="4" w:space="0" w:color="000000"/>
              <w:bottom w:val="single" w:sz="4" w:space="0" w:color="000000"/>
              <w:right w:val="single" w:sz="4" w:space="0" w:color="000000"/>
            </w:tcBorders>
            <w:hideMark/>
          </w:tcPr>
          <w:p w14:paraId="6374B852" w14:textId="77777777" w:rsidR="00135562" w:rsidRPr="00D9492F" w:rsidRDefault="00135562">
            <w:pPr>
              <w:spacing w:after="0"/>
              <w:rPr>
                <w:rFonts w:ascii="Times New Roman" w:hAnsi="Times New Roman"/>
                <w:color w:val="000000"/>
                <w:lang w:val="it-CH" w:eastAsia="it-CH"/>
              </w:rPr>
            </w:pPr>
            <w:r w:rsidRPr="00D9492F">
              <w:rPr>
                <w:rFonts w:ascii="Times New Roman" w:hAnsi="Times New Roman"/>
                <w:color w:val="000000"/>
                <w:lang w:val="it-CH" w:eastAsia="it-CH"/>
              </w:rPr>
              <w:t xml:space="preserve">Vertinamoji baigtis </w:t>
            </w:r>
          </w:p>
          <w:p w14:paraId="0FD0133C" w14:textId="77777777" w:rsidR="00135562" w:rsidRPr="00D9492F" w:rsidRDefault="00135562">
            <w:pPr>
              <w:spacing w:after="0"/>
              <w:ind w:left="62"/>
              <w:jc w:val="center"/>
              <w:rPr>
                <w:rFonts w:ascii="Times New Roman" w:hAnsi="Times New Roman"/>
                <w:color w:val="000000"/>
                <w:lang w:val="it-CH" w:eastAsia="it-CH"/>
              </w:rPr>
            </w:pPr>
            <w:r w:rsidRPr="00D9492F">
              <w:rPr>
                <w:rFonts w:ascii="Times New Roman" w:hAnsi="Times New Roman"/>
                <w:b/>
                <w:color w:val="000000"/>
                <w:lang w:val="it-CH" w:eastAsia="it-CH"/>
              </w:rPr>
              <w:t xml:space="preserve"> </w:t>
            </w:r>
          </w:p>
        </w:tc>
        <w:tc>
          <w:tcPr>
            <w:tcW w:w="2837" w:type="dxa"/>
            <w:tcBorders>
              <w:top w:val="single" w:sz="4" w:space="0" w:color="000000"/>
              <w:left w:val="single" w:sz="4" w:space="0" w:color="000000"/>
              <w:bottom w:val="single" w:sz="4" w:space="0" w:color="000000"/>
              <w:right w:val="single" w:sz="4" w:space="0" w:color="000000"/>
            </w:tcBorders>
            <w:hideMark/>
          </w:tcPr>
          <w:p w14:paraId="3C7E986C" w14:textId="77777777" w:rsidR="00135562" w:rsidRPr="00D9492F" w:rsidRDefault="00135562">
            <w:pPr>
              <w:spacing w:after="0" w:line="237" w:lineRule="auto"/>
              <w:jc w:val="center"/>
              <w:rPr>
                <w:rFonts w:ascii="Times New Roman" w:hAnsi="Times New Roman"/>
                <w:color w:val="000000"/>
                <w:lang w:val="it-CH" w:eastAsia="it-CH"/>
              </w:rPr>
            </w:pPr>
            <w:r w:rsidRPr="00D9492F">
              <w:rPr>
                <w:rFonts w:ascii="Times New Roman" w:hAnsi="Times New Roman"/>
                <w:color w:val="000000"/>
                <w:lang w:val="it-CH" w:eastAsia="it-CH"/>
              </w:rPr>
              <w:t>Docetakselis</w:t>
            </w:r>
            <w:r w:rsidRPr="00D9492F">
              <w:rPr>
                <w:rFonts w:ascii="Times New Roman" w:hAnsi="Times New Roman"/>
                <w:i/>
                <w:color w:val="000000"/>
                <w:lang w:val="it-CH" w:eastAsia="it-CH"/>
              </w:rPr>
              <w:t xml:space="preserve"> </w:t>
            </w:r>
            <w:r w:rsidRPr="00D9492F">
              <w:rPr>
                <w:rFonts w:ascii="Times New Roman" w:hAnsi="Times New Roman"/>
                <w:color w:val="000000"/>
                <w:lang w:val="it-CH" w:eastAsia="it-CH"/>
              </w:rPr>
              <w:t xml:space="preserve">+ standartinis gydymas  </w:t>
            </w:r>
          </w:p>
        </w:tc>
        <w:tc>
          <w:tcPr>
            <w:tcW w:w="2508" w:type="dxa"/>
            <w:tcBorders>
              <w:top w:val="single" w:sz="4" w:space="0" w:color="000000"/>
              <w:left w:val="single" w:sz="4" w:space="0" w:color="000000"/>
              <w:bottom w:val="single" w:sz="4" w:space="0" w:color="000000"/>
              <w:right w:val="single" w:sz="4" w:space="0" w:color="000000"/>
            </w:tcBorders>
            <w:hideMark/>
          </w:tcPr>
          <w:p w14:paraId="5FAA46D7" w14:textId="77777777" w:rsidR="00135562" w:rsidRPr="00D9492F" w:rsidRDefault="00135562">
            <w:pPr>
              <w:spacing w:after="0"/>
              <w:ind w:left="7"/>
              <w:jc w:val="center"/>
              <w:rPr>
                <w:rFonts w:ascii="Times New Roman" w:hAnsi="Times New Roman"/>
                <w:color w:val="000000"/>
                <w:lang w:val="it-CH" w:eastAsia="it-CH"/>
              </w:rPr>
            </w:pPr>
            <w:r w:rsidRPr="00D9492F">
              <w:rPr>
                <w:rFonts w:ascii="Times New Roman" w:hAnsi="Times New Roman"/>
                <w:color w:val="000000"/>
                <w:lang w:val="it-CH" w:eastAsia="it-CH"/>
              </w:rPr>
              <w:t xml:space="preserve">Vien tik standartinis </w:t>
            </w:r>
          </w:p>
          <w:p w14:paraId="226C9D9E" w14:textId="77777777" w:rsidR="00135562" w:rsidRPr="00D9492F" w:rsidRDefault="00135562">
            <w:pPr>
              <w:spacing w:after="0"/>
              <w:ind w:right="1"/>
              <w:jc w:val="center"/>
              <w:rPr>
                <w:rFonts w:ascii="Times New Roman" w:hAnsi="Times New Roman"/>
                <w:color w:val="000000"/>
                <w:lang w:val="it-CH" w:eastAsia="it-CH"/>
              </w:rPr>
            </w:pPr>
            <w:r w:rsidRPr="00D9492F">
              <w:rPr>
                <w:rFonts w:ascii="Times New Roman" w:hAnsi="Times New Roman"/>
                <w:color w:val="000000"/>
                <w:lang w:val="it-CH" w:eastAsia="it-CH"/>
              </w:rPr>
              <w:t xml:space="preserve">gydymas </w:t>
            </w:r>
          </w:p>
        </w:tc>
      </w:tr>
      <w:tr w:rsidR="00135562" w:rsidRPr="00D9492F" w14:paraId="4933E173" w14:textId="77777777" w:rsidTr="00135562">
        <w:trPr>
          <w:trHeight w:val="1308"/>
        </w:trPr>
        <w:tc>
          <w:tcPr>
            <w:tcW w:w="3360" w:type="dxa"/>
            <w:tcBorders>
              <w:top w:val="single" w:sz="4" w:space="0" w:color="000000"/>
              <w:left w:val="single" w:sz="4" w:space="0" w:color="000000"/>
              <w:bottom w:val="nil"/>
              <w:right w:val="single" w:sz="4" w:space="0" w:color="000000"/>
            </w:tcBorders>
            <w:hideMark/>
          </w:tcPr>
          <w:p w14:paraId="3BF47896" w14:textId="77777777" w:rsidR="00135562" w:rsidRPr="00D9492F" w:rsidRDefault="00135562">
            <w:pPr>
              <w:spacing w:after="6" w:line="235" w:lineRule="auto"/>
              <w:rPr>
                <w:rFonts w:ascii="Times New Roman" w:hAnsi="Times New Roman"/>
                <w:color w:val="000000"/>
                <w:lang w:val="it-CH" w:eastAsia="it-CH"/>
              </w:rPr>
            </w:pPr>
            <w:r w:rsidRPr="00D9492F">
              <w:rPr>
                <w:rFonts w:ascii="Times New Roman" w:hAnsi="Times New Roman"/>
                <w:color w:val="000000"/>
                <w:lang w:val="it-CH" w:eastAsia="it-CH"/>
              </w:rPr>
              <w:t xml:space="preserve">Metastazavusiu prostatos vėžiu sirgusių pacientų skaičius </w:t>
            </w:r>
          </w:p>
          <w:p w14:paraId="2CC2DBA0" w14:textId="35814276" w:rsidR="00135562" w:rsidRPr="00D9492F" w:rsidRDefault="00135562">
            <w:pPr>
              <w:spacing w:after="6" w:line="235" w:lineRule="auto"/>
              <w:rPr>
                <w:rFonts w:ascii="Times New Roman" w:hAnsi="Times New Roman"/>
                <w:color w:val="000000"/>
                <w:lang w:val="it-CH" w:eastAsia="it-CH"/>
              </w:rPr>
            </w:pPr>
            <w:r w:rsidRPr="00D9492F">
              <w:rPr>
                <w:rFonts w:ascii="Times New Roman" w:hAnsi="Times New Roman"/>
                <w:color w:val="000000"/>
                <w:lang w:val="it-CH" w:eastAsia="it-CH"/>
              </w:rPr>
              <w:t>Bendrojo išgyven</w:t>
            </w:r>
            <w:r w:rsidR="00F67A1B" w:rsidRPr="00D9492F">
              <w:rPr>
                <w:rFonts w:ascii="Times New Roman" w:hAnsi="Times New Roman"/>
                <w:color w:val="000000"/>
                <w:lang w:val="it-CH" w:eastAsia="it-CH"/>
              </w:rPr>
              <w:t xml:space="preserve">amumo </w:t>
            </w:r>
            <w:r w:rsidRPr="00D9492F">
              <w:rPr>
                <w:rFonts w:ascii="Times New Roman" w:hAnsi="Times New Roman"/>
                <w:color w:val="000000"/>
                <w:lang w:val="it-CH" w:eastAsia="it-CH"/>
              </w:rPr>
              <w:t xml:space="preserve">mediana (mėn.)  </w:t>
            </w:r>
          </w:p>
          <w:p w14:paraId="4A704764" w14:textId="77777777" w:rsidR="00135562" w:rsidRPr="00D9492F" w:rsidRDefault="00135562">
            <w:pPr>
              <w:spacing w:after="0"/>
              <w:rPr>
                <w:rFonts w:ascii="Times New Roman" w:hAnsi="Times New Roman"/>
                <w:bCs/>
                <w:iCs/>
                <w:color w:val="000000"/>
                <w:lang w:val="it-CH" w:eastAsia="it-CH"/>
              </w:rPr>
            </w:pPr>
            <w:r w:rsidRPr="00D9492F">
              <w:rPr>
                <w:rFonts w:ascii="Times New Roman" w:hAnsi="Times New Roman"/>
                <w:bCs/>
                <w:iCs/>
                <w:color w:val="000000"/>
                <w:lang w:val="it-CH" w:eastAsia="it-CH"/>
              </w:rPr>
              <w:t xml:space="preserve">95 % PI </w:t>
            </w:r>
          </w:p>
        </w:tc>
        <w:tc>
          <w:tcPr>
            <w:tcW w:w="2837" w:type="dxa"/>
            <w:tcBorders>
              <w:top w:val="single" w:sz="4" w:space="0" w:color="000000"/>
              <w:left w:val="single" w:sz="4" w:space="0" w:color="000000"/>
              <w:bottom w:val="nil"/>
              <w:right w:val="single" w:sz="4" w:space="0" w:color="000000"/>
            </w:tcBorders>
            <w:hideMark/>
          </w:tcPr>
          <w:p w14:paraId="506F9EFE" w14:textId="77777777" w:rsidR="00135562" w:rsidRPr="00D9492F" w:rsidRDefault="00135562">
            <w:pPr>
              <w:spacing w:after="0"/>
              <w:ind w:left="2"/>
              <w:jc w:val="center"/>
              <w:rPr>
                <w:rFonts w:ascii="Times New Roman" w:hAnsi="Times New Roman"/>
                <w:color w:val="000000"/>
                <w:lang w:val="it-CH" w:eastAsia="it-CH"/>
              </w:rPr>
            </w:pPr>
            <w:r w:rsidRPr="00D9492F">
              <w:rPr>
                <w:rFonts w:ascii="Times New Roman" w:hAnsi="Times New Roman"/>
                <w:color w:val="000000"/>
                <w:lang w:val="it-CH" w:eastAsia="it-CH"/>
              </w:rPr>
              <w:t xml:space="preserve">362 </w:t>
            </w:r>
          </w:p>
          <w:p w14:paraId="6533640B" w14:textId="77777777" w:rsidR="00135562" w:rsidRPr="00D9492F" w:rsidRDefault="00135562">
            <w:pPr>
              <w:spacing w:after="0"/>
              <w:ind w:left="58"/>
              <w:jc w:val="center"/>
              <w:rPr>
                <w:rFonts w:ascii="Times New Roman" w:hAnsi="Times New Roman"/>
                <w:color w:val="000000"/>
                <w:sz w:val="18"/>
                <w:szCs w:val="18"/>
                <w:lang w:val="it-CH" w:eastAsia="it-CH"/>
              </w:rPr>
            </w:pPr>
            <w:r w:rsidRPr="00D9492F">
              <w:rPr>
                <w:rFonts w:ascii="Times New Roman" w:hAnsi="Times New Roman"/>
                <w:color w:val="000000"/>
                <w:sz w:val="20"/>
                <w:szCs w:val="20"/>
                <w:lang w:val="it-CH" w:eastAsia="it-CH"/>
              </w:rPr>
              <w:t xml:space="preserve"> </w:t>
            </w:r>
          </w:p>
          <w:p w14:paraId="7F91D7CE" w14:textId="77777777" w:rsidR="00135562" w:rsidRPr="00D9492F" w:rsidRDefault="00135562">
            <w:pPr>
              <w:spacing w:after="0"/>
              <w:ind w:left="58"/>
              <w:jc w:val="center"/>
              <w:rPr>
                <w:rFonts w:ascii="Times New Roman" w:hAnsi="Times New Roman"/>
                <w:color w:val="000000"/>
                <w:sz w:val="18"/>
                <w:szCs w:val="18"/>
                <w:lang w:val="it-CH" w:eastAsia="it-CH"/>
              </w:rPr>
            </w:pPr>
            <w:r w:rsidRPr="00D9492F">
              <w:rPr>
                <w:rFonts w:ascii="Times New Roman" w:hAnsi="Times New Roman"/>
                <w:color w:val="000000"/>
                <w:sz w:val="20"/>
                <w:szCs w:val="20"/>
                <w:lang w:val="it-CH" w:eastAsia="it-CH"/>
              </w:rPr>
              <w:t xml:space="preserve"> </w:t>
            </w:r>
          </w:p>
          <w:p w14:paraId="1910E390" w14:textId="77777777" w:rsidR="00135562" w:rsidRPr="00D9492F" w:rsidRDefault="00135562">
            <w:pPr>
              <w:spacing w:after="0"/>
              <w:ind w:left="2"/>
              <w:jc w:val="center"/>
              <w:rPr>
                <w:rFonts w:ascii="Times New Roman" w:hAnsi="Times New Roman"/>
                <w:color w:val="000000"/>
                <w:lang w:val="it-CH" w:eastAsia="it-CH"/>
              </w:rPr>
            </w:pPr>
            <w:r w:rsidRPr="00D9492F">
              <w:rPr>
                <w:rFonts w:ascii="Times New Roman" w:hAnsi="Times New Roman"/>
                <w:color w:val="000000"/>
                <w:lang w:val="it-CH" w:eastAsia="it-CH"/>
              </w:rPr>
              <w:t xml:space="preserve">62 </w:t>
            </w:r>
          </w:p>
          <w:p w14:paraId="37F6CA2E" w14:textId="77777777" w:rsidR="00135562" w:rsidRPr="00D9492F" w:rsidRDefault="00135562">
            <w:pPr>
              <w:spacing w:after="0"/>
              <w:jc w:val="center"/>
              <w:rPr>
                <w:rFonts w:ascii="Times New Roman" w:hAnsi="Times New Roman"/>
                <w:color w:val="000000"/>
                <w:lang w:val="it-CH" w:eastAsia="it-CH"/>
              </w:rPr>
            </w:pPr>
            <w:r w:rsidRPr="00D9492F">
              <w:rPr>
                <w:rFonts w:ascii="Times New Roman" w:hAnsi="Times New Roman"/>
                <w:color w:val="000000"/>
                <w:lang w:val="it-CH" w:eastAsia="it-CH"/>
              </w:rPr>
              <w:t xml:space="preserve">51-73 </w:t>
            </w:r>
          </w:p>
        </w:tc>
        <w:tc>
          <w:tcPr>
            <w:tcW w:w="2508" w:type="dxa"/>
            <w:tcBorders>
              <w:top w:val="single" w:sz="4" w:space="0" w:color="000000"/>
              <w:left w:val="single" w:sz="4" w:space="0" w:color="000000"/>
              <w:bottom w:val="nil"/>
              <w:right w:val="single" w:sz="4" w:space="0" w:color="000000"/>
            </w:tcBorders>
            <w:hideMark/>
          </w:tcPr>
          <w:p w14:paraId="11B70966" w14:textId="77777777" w:rsidR="00135562" w:rsidRPr="00D9492F" w:rsidRDefault="00135562">
            <w:pPr>
              <w:spacing w:after="0"/>
              <w:ind w:left="5"/>
              <w:jc w:val="center"/>
              <w:rPr>
                <w:rFonts w:ascii="Times New Roman" w:hAnsi="Times New Roman"/>
                <w:color w:val="000000"/>
                <w:lang w:val="it-CH" w:eastAsia="it-CH"/>
              </w:rPr>
            </w:pPr>
            <w:r w:rsidRPr="00D9492F">
              <w:rPr>
                <w:rFonts w:ascii="Times New Roman" w:hAnsi="Times New Roman"/>
                <w:color w:val="000000"/>
                <w:lang w:val="it-CH" w:eastAsia="it-CH"/>
              </w:rPr>
              <w:t xml:space="preserve">724 </w:t>
            </w:r>
          </w:p>
          <w:p w14:paraId="35F05ADB" w14:textId="77777777" w:rsidR="00135562" w:rsidRPr="00D9492F" w:rsidRDefault="00135562">
            <w:pPr>
              <w:spacing w:after="0"/>
              <w:ind w:left="60"/>
              <w:jc w:val="center"/>
              <w:rPr>
                <w:rFonts w:ascii="Times New Roman" w:hAnsi="Times New Roman"/>
                <w:color w:val="000000"/>
                <w:sz w:val="18"/>
                <w:szCs w:val="18"/>
                <w:lang w:val="it-CH" w:eastAsia="it-CH"/>
              </w:rPr>
            </w:pPr>
            <w:r w:rsidRPr="00D9492F">
              <w:rPr>
                <w:rFonts w:ascii="Times New Roman" w:hAnsi="Times New Roman"/>
                <w:color w:val="000000"/>
                <w:lang w:val="it-CH" w:eastAsia="it-CH"/>
              </w:rPr>
              <w:t xml:space="preserve"> </w:t>
            </w:r>
          </w:p>
          <w:p w14:paraId="60DA645D" w14:textId="77777777" w:rsidR="00135562" w:rsidRPr="00D9492F" w:rsidRDefault="00135562">
            <w:pPr>
              <w:spacing w:after="0"/>
              <w:ind w:left="60"/>
              <w:jc w:val="center"/>
              <w:rPr>
                <w:rFonts w:ascii="Times New Roman" w:hAnsi="Times New Roman"/>
                <w:color w:val="000000"/>
                <w:sz w:val="18"/>
                <w:szCs w:val="18"/>
                <w:lang w:val="it-CH" w:eastAsia="it-CH"/>
              </w:rPr>
            </w:pPr>
            <w:r w:rsidRPr="00D9492F">
              <w:rPr>
                <w:rFonts w:ascii="Times New Roman" w:hAnsi="Times New Roman"/>
                <w:color w:val="000000"/>
                <w:sz w:val="20"/>
                <w:szCs w:val="20"/>
                <w:lang w:val="it-CH" w:eastAsia="it-CH"/>
              </w:rPr>
              <w:t xml:space="preserve"> </w:t>
            </w:r>
          </w:p>
          <w:p w14:paraId="354937B3" w14:textId="77777777" w:rsidR="00135562" w:rsidRPr="00D9492F" w:rsidRDefault="00135562">
            <w:pPr>
              <w:spacing w:after="0"/>
              <w:ind w:left="5"/>
              <w:jc w:val="center"/>
              <w:rPr>
                <w:rFonts w:ascii="Times New Roman" w:hAnsi="Times New Roman"/>
                <w:color w:val="000000"/>
                <w:lang w:val="it-CH" w:eastAsia="it-CH"/>
              </w:rPr>
            </w:pPr>
            <w:r w:rsidRPr="00D9492F">
              <w:rPr>
                <w:rFonts w:ascii="Times New Roman" w:hAnsi="Times New Roman"/>
                <w:color w:val="000000"/>
                <w:lang w:val="it-CH" w:eastAsia="it-CH"/>
              </w:rPr>
              <w:t xml:space="preserve">43 </w:t>
            </w:r>
          </w:p>
          <w:p w14:paraId="54EAA7CA" w14:textId="77777777" w:rsidR="00135562" w:rsidRPr="00D9492F" w:rsidRDefault="00135562">
            <w:pPr>
              <w:spacing w:after="0"/>
              <w:ind w:left="2"/>
              <w:jc w:val="center"/>
              <w:rPr>
                <w:rFonts w:ascii="Times New Roman" w:hAnsi="Times New Roman"/>
                <w:color w:val="000000"/>
                <w:lang w:val="it-CH" w:eastAsia="it-CH"/>
              </w:rPr>
            </w:pPr>
            <w:r w:rsidRPr="00D9492F">
              <w:rPr>
                <w:rFonts w:ascii="Times New Roman" w:hAnsi="Times New Roman"/>
                <w:color w:val="000000"/>
                <w:lang w:val="it-CH" w:eastAsia="it-CH"/>
              </w:rPr>
              <w:t xml:space="preserve">40-48 </w:t>
            </w:r>
          </w:p>
        </w:tc>
      </w:tr>
      <w:tr w:rsidR="00135562" w:rsidRPr="00D9492F" w14:paraId="7912C13E" w14:textId="77777777" w:rsidTr="00135562">
        <w:trPr>
          <w:trHeight w:val="756"/>
        </w:trPr>
        <w:tc>
          <w:tcPr>
            <w:tcW w:w="3360" w:type="dxa"/>
            <w:tcBorders>
              <w:top w:val="nil"/>
              <w:left w:val="single" w:sz="4" w:space="0" w:color="000000"/>
              <w:bottom w:val="single" w:sz="4" w:space="0" w:color="000000"/>
              <w:right w:val="single" w:sz="4" w:space="0" w:color="000000"/>
            </w:tcBorders>
            <w:hideMark/>
          </w:tcPr>
          <w:p w14:paraId="665CD649" w14:textId="77777777" w:rsidR="00135562" w:rsidRPr="00D9492F" w:rsidRDefault="00135562">
            <w:pPr>
              <w:spacing w:after="0"/>
              <w:rPr>
                <w:rFonts w:ascii="Times New Roman" w:hAnsi="Times New Roman"/>
                <w:color w:val="000000"/>
                <w:lang w:val="it-CH" w:eastAsia="it-CH"/>
              </w:rPr>
            </w:pPr>
            <w:r w:rsidRPr="00D9492F">
              <w:rPr>
                <w:rFonts w:ascii="Times New Roman" w:hAnsi="Times New Roman"/>
                <w:color w:val="000000"/>
                <w:lang w:val="it-CH" w:eastAsia="it-CH"/>
              </w:rPr>
              <w:t xml:space="preserve">Koreguota santykinė rizika </w:t>
            </w:r>
          </w:p>
          <w:p w14:paraId="1295A2BD" w14:textId="77777777" w:rsidR="00135562" w:rsidRPr="00D9492F" w:rsidRDefault="00135562">
            <w:pPr>
              <w:spacing w:after="0"/>
              <w:ind w:right="2208"/>
              <w:rPr>
                <w:rFonts w:ascii="Times New Roman" w:hAnsi="Times New Roman"/>
                <w:color w:val="000000"/>
                <w:lang w:val="it-CH" w:eastAsia="it-CH"/>
              </w:rPr>
            </w:pPr>
            <w:r w:rsidRPr="00D9492F">
              <w:rPr>
                <w:rFonts w:ascii="Times New Roman" w:hAnsi="Times New Roman"/>
                <w:color w:val="000000"/>
                <w:lang w:val="it-CH" w:eastAsia="it-CH"/>
              </w:rPr>
              <w:t xml:space="preserve">95 % PI </w:t>
            </w:r>
          </w:p>
          <w:p w14:paraId="1190D593" w14:textId="77777777" w:rsidR="00135562" w:rsidRPr="00D9492F" w:rsidRDefault="00135562">
            <w:pPr>
              <w:spacing w:after="0"/>
              <w:ind w:right="1875"/>
              <w:rPr>
                <w:rFonts w:ascii="Times New Roman" w:hAnsi="Times New Roman"/>
                <w:color w:val="000000"/>
                <w:lang w:val="it-CH" w:eastAsia="it-CH"/>
              </w:rPr>
            </w:pPr>
            <w:r w:rsidRPr="00D9492F">
              <w:rPr>
                <w:rFonts w:ascii="Times New Roman" w:hAnsi="Times New Roman"/>
                <w:color w:val="000000"/>
                <w:lang w:val="it-CH" w:eastAsia="it-CH"/>
              </w:rPr>
              <w:t>p reikšmė</w:t>
            </w:r>
            <w:r w:rsidRPr="00D9492F">
              <w:rPr>
                <w:rFonts w:ascii="Times New Roman" w:hAnsi="Times New Roman"/>
                <w:i/>
                <w:color w:val="000000"/>
                <w:vertAlign w:val="superscript"/>
                <w:lang w:val="it-CH" w:eastAsia="it-CH"/>
              </w:rPr>
              <w:t>a</w:t>
            </w:r>
            <w:r w:rsidRPr="00D9492F">
              <w:rPr>
                <w:rFonts w:ascii="Times New Roman" w:hAnsi="Times New Roman"/>
                <w:color w:val="000000"/>
                <w:lang w:val="it-CH" w:eastAsia="it-CH"/>
              </w:rPr>
              <w:t xml:space="preserve"> </w:t>
            </w:r>
          </w:p>
        </w:tc>
        <w:tc>
          <w:tcPr>
            <w:tcW w:w="5345" w:type="dxa"/>
            <w:gridSpan w:val="2"/>
            <w:tcBorders>
              <w:top w:val="nil"/>
              <w:left w:val="single" w:sz="4" w:space="0" w:color="000000"/>
              <w:bottom w:val="single" w:sz="4" w:space="0" w:color="000000"/>
              <w:right w:val="single" w:sz="4" w:space="0" w:color="000000"/>
            </w:tcBorders>
            <w:hideMark/>
          </w:tcPr>
          <w:p w14:paraId="7C5E229E" w14:textId="77777777" w:rsidR="00135562" w:rsidRPr="00D9492F" w:rsidRDefault="00135562">
            <w:pPr>
              <w:spacing w:after="0"/>
              <w:ind w:left="7"/>
              <w:jc w:val="center"/>
              <w:rPr>
                <w:rFonts w:ascii="Times New Roman" w:hAnsi="Times New Roman"/>
                <w:color w:val="000000"/>
                <w:lang w:val="it-CH" w:eastAsia="it-CH"/>
              </w:rPr>
            </w:pPr>
            <w:r w:rsidRPr="00D9492F">
              <w:rPr>
                <w:rFonts w:ascii="Times New Roman" w:hAnsi="Times New Roman"/>
                <w:color w:val="000000"/>
                <w:lang w:val="it-CH" w:eastAsia="it-CH"/>
              </w:rPr>
              <w:t xml:space="preserve">0,76 </w:t>
            </w:r>
          </w:p>
          <w:p w14:paraId="42630CC5" w14:textId="77777777" w:rsidR="00135562" w:rsidRPr="00D9492F" w:rsidRDefault="00135562">
            <w:pPr>
              <w:spacing w:after="0"/>
              <w:ind w:left="6"/>
              <w:jc w:val="center"/>
              <w:rPr>
                <w:rFonts w:ascii="Times New Roman" w:hAnsi="Times New Roman"/>
                <w:color w:val="000000"/>
                <w:lang w:val="it-CH" w:eastAsia="it-CH"/>
              </w:rPr>
            </w:pPr>
            <w:r w:rsidRPr="00D9492F">
              <w:rPr>
                <w:rFonts w:ascii="Times New Roman" w:hAnsi="Times New Roman"/>
                <w:color w:val="000000"/>
                <w:lang w:val="it-CH" w:eastAsia="it-CH"/>
              </w:rPr>
              <w:t xml:space="preserve">(0,62-0,92) </w:t>
            </w:r>
          </w:p>
          <w:p w14:paraId="6CEDC7B1" w14:textId="77777777" w:rsidR="00135562" w:rsidRPr="00D9492F" w:rsidRDefault="00135562">
            <w:pPr>
              <w:spacing w:after="0"/>
              <w:ind w:left="7"/>
              <w:jc w:val="center"/>
              <w:rPr>
                <w:rFonts w:ascii="Times New Roman" w:hAnsi="Times New Roman"/>
                <w:color w:val="000000"/>
                <w:lang w:val="it-CH" w:eastAsia="it-CH"/>
              </w:rPr>
            </w:pPr>
            <w:r w:rsidRPr="00D9492F">
              <w:rPr>
                <w:rFonts w:ascii="Times New Roman" w:hAnsi="Times New Roman"/>
                <w:color w:val="000000"/>
                <w:lang w:val="it-CH" w:eastAsia="it-CH"/>
              </w:rPr>
              <w:t xml:space="preserve">0,005 </w:t>
            </w:r>
          </w:p>
        </w:tc>
      </w:tr>
      <w:tr w:rsidR="00135562" w:rsidRPr="00D9492F" w14:paraId="235EB82A" w14:textId="77777777" w:rsidTr="00135562">
        <w:trPr>
          <w:trHeight w:val="1038"/>
        </w:trPr>
        <w:tc>
          <w:tcPr>
            <w:tcW w:w="3360" w:type="dxa"/>
            <w:tcBorders>
              <w:top w:val="single" w:sz="4" w:space="0" w:color="000000"/>
              <w:left w:val="single" w:sz="4" w:space="0" w:color="000000"/>
              <w:bottom w:val="nil"/>
              <w:right w:val="single" w:sz="4" w:space="0" w:color="000000"/>
            </w:tcBorders>
            <w:hideMark/>
          </w:tcPr>
          <w:p w14:paraId="5F8C4FBF" w14:textId="77777777" w:rsidR="00135562" w:rsidRPr="00D9492F" w:rsidRDefault="00135562">
            <w:pPr>
              <w:spacing w:after="0"/>
              <w:rPr>
                <w:rFonts w:ascii="Times New Roman" w:hAnsi="Times New Roman"/>
                <w:color w:val="000000"/>
                <w:lang w:val="it-CH" w:eastAsia="it-CH"/>
              </w:rPr>
            </w:pPr>
            <w:r w:rsidRPr="00D9492F">
              <w:rPr>
                <w:rFonts w:ascii="Times New Roman" w:hAnsi="Times New Roman"/>
                <w:color w:val="000000"/>
                <w:lang w:val="it-CH" w:eastAsia="it-CH"/>
              </w:rPr>
              <w:t xml:space="preserve">Be gydomojo poveikio išnykimo </w:t>
            </w:r>
          </w:p>
          <w:p w14:paraId="24DC45B4" w14:textId="3ADF7BE3" w:rsidR="00135562" w:rsidRPr="00D9492F" w:rsidRDefault="00135562">
            <w:pPr>
              <w:spacing w:after="0"/>
              <w:ind w:right="1200"/>
              <w:rPr>
                <w:rFonts w:ascii="Times New Roman" w:hAnsi="Times New Roman"/>
                <w:color w:val="000000"/>
                <w:lang w:val="it-CH" w:eastAsia="it-CH"/>
              </w:rPr>
            </w:pPr>
            <w:r w:rsidRPr="00D9492F">
              <w:rPr>
                <w:rFonts w:ascii="Times New Roman" w:hAnsi="Times New Roman"/>
                <w:color w:val="000000"/>
                <w:lang w:val="it-CH" w:eastAsia="it-CH"/>
              </w:rPr>
              <w:t>išgyven</w:t>
            </w:r>
            <w:r w:rsidR="00F67A1B" w:rsidRPr="00D9492F">
              <w:rPr>
                <w:rFonts w:ascii="Times New Roman" w:hAnsi="Times New Roman"/>
                <w:color w:val="000000"/>
                <w:lang w:val="it-CH" w:eastAsia="it-CH"/>
              </w:rPr>
              <w:t>amumo</w:t>
            </w:r>
            <w:r w:rsidRPr="00D9492F">
              <w:rPr>
                <w:rFonts w:ascii="Times New Roman" w:hAnsi="Times New Roman"/>
                <w:i/>
                <w:color w:val="000000"/>
                <w:vertAlign w:val="superscript"/>
                <w:lang w:val="it-CH" w:eastAsia="it-CH"/>
              </w:rPr>
              <w:t>b</w:t>
            </w:r>
            <w:r w:rsidRPr="00D9492F">
              <w:rPr>
                <w:rFonts w:ascii="Times New Roman" w:hAnsi="Times New Roman"/>
                <w:color w:val="000000"/>
                <w:lang w:val="it-CH" w:eastAsia="it-CH"/>
              </w:rPr>
              <w:t xml:space="preserve"> mediana (mėn.)  </w:t>
            </w:r>
          </w:p>
          <w:p w14:paraId="316AD2C6" w14:textId="77777777" w:rsidR="00135562" w:rsidRPr="00D9492F" w:rsidRDefault="00135562">
            <w:pPr>
              <w:spacing w:after="0"/>
              <w:ind w:right="1200"/>
              <w:rPr>
                <w:rFonts w:ascii="Times New Roman" w:hAnsi="Times New Roman"/>
                <w:color w:val="000000"/>
                <w:lang w:val="it-CH" w:eastAsia="it-CH"/>
              </w:rPr>
            </w:pPr>
            <w:r w:rsidRPr="00D9492F">
              <w:rPr>
                <w:rFonts w:ascii="Times New Roman" w:hAnsi="Times New Roman"/>
                <w:color w:val="000000"/>
                <w:lang w:val="it-CH" w:eastAsia="it-CH"/>
              </w:rPr>
              <w:t>95 % PI</w:t>
            </w:r>
            <w:r w:rsidRPr="00D9492F">
              <w:rPr>
                <w:rFonts w:ascii="Times New Roman" w:hAnsi="Times New Roman"/>
                <w:b/>
                <w:i/>
                <w:color w:val="000000"/>
                <w:lang w:val="it-CH" w:eastAsia="it-CH"/>
              </w:rPr>
              <w:t xml:space="preserve"> </w:t>
            </w:r>
          </w:p>
        </w:tc>
        <w:tc>
          <w:tcPr>
            <w:tcW w:w="2837" w:type="dxa"/>
            <w:tcBorders>
              <w:top w:val="single" w:sz="4" w:space="0" w:color="000000"/>
              <w:left w:val="single" w:sz="4" w:space="0" w:color="000000"/>
              <w:bottom w:val="nil"/>
              <w:right w:val="single" w:sz="4" w:space="0" w:color="000000"/>
            </w:tcBorders>
            <w:hideMark/>
          </w:tcPr>
          <w:p w14:paraId="6A24BB3C" w14:textId="77777777" w:rsidR="00135562" w:rsidRPr="00D9492F" w:rsidRDefault="00135562">
            <w:pPr>
              <w:spacing w:after="228"/>
              <w:ind w:left="58"/>
              <w:jc w:val="center"/>
              <w:rPr>
                <w:rFonts w:ascii="Times New Roman" w:hAnsi="Times New Roman"/>
                <w:color w:val="000000"/>
                <w:sz w:val="24"/>
                <w:szCs w:val="24"/>
                <w:lang w:val="it-CH" w:eastAsia="it-CH"/>
              </w:rPr>
            </w:pPr>
            <w:r w:rsidRPr="00D9492F">
              <w:rPr>
                <w:rFonts w:ascii="Times New Roman" w:hAnsi="Times New Roman"/>
                <w:color w:val="000000"/>
                <w:lang w:val="it-CH" w:eastAsia="it-CH"/>
              </w:rPr>
              <w:t xml:space="preserve"> </w:t>
            </w:r>
          </w:p>
          <w:p w14:paraId="1E2FEDAD" w14:textId="77777777" w:rsidR="00135562" w:rsidRPr="00D9492F" w:rsidRDefault="00135562">
            <w:pPr>
              <w:spacing w:after="0"/>
              <w:ind w:left="5"/>
              <w:jc w:val="center"/>
              <w:rPr>
                <w:rFonts w:ascii="Times New Roman" w:hAnsi="Times New Roman"/>
                <w:color w:val="000000"/>
                <w:lang w:val="it-CH" w:eastAsia="it-CH"/>
              </w:rPr>
            </w:pPr>
            <w:r w:rsidRPr="00D9492F">
              <w:rPr>
                <w:rFonts w:ascii="Times New Roman" w:hAnsi="Times New Roman"/>
                <w:color w:val="000000"/>
                <w:lang w:val="it-CH" w:eastAsia="it-CH"/>
              </w:rPr>
              <w:t xml:space="preserve">20,4 </w:t>
            </w:r>
          </w:p>
          <w:p w14:paraId="2FBDC982" w14:textId="77777777" w:rsidR="00135562" w:rsidRPr="00D9492F" w:rsidRDefault="00135562">
            <w:pPr>
              <w:spacing w:after="0"/>
              <w:ind w:left="5"/>
              <w:jc w:val="center"/>
              <w:rPr>
                <w:rFonts w:ascii="Times New Roman" w:hAnsi="Times New Roman"/>
                <w:color w:val="000000"/>
                <w:lang w:val="it-CH" w:eastAsia="it-CH"/>
              </w:rPr>
            </w:pPr>
            <w:r w:rsidRPr="00D9492F">
              <w:rPr>
                <w:rFonts w:ascii="Times New Roman" w:hAnsi="Times New Roman"/>
                <w:color w:val="000000"/>
                <w:lang w:val="it-CH" w:eastAsia="it-CH"/>
              </w:rPr>
              <w:t xml:space="preserve">16,8-25,2 </w:t>
            </w:r>
          </w:p>
        </w:tc>
        <w:tc>
          <w:tcPr>
            <w:tcW w:w="2508" w:type="dxa"/>
            <w:tcBorders>
              <w:top w:val="single" w:sz="4" w:space="0" w:color="000000"/>
              <w:left w:val="single" w:sz="4" w:space="0" w:color="000000"/>
              <w:bottom w:val="nil"/>
              <w:right w:val="single" w:sz="4" w:space="0" w:color="000000"/>
            </w:tcBorders>
            <w:hideMark/>
          </w:tcPr>
          <w:p w14:paraId="1EE85AE4" w14:textId="77777777" w:rsidR="00135562" w:rsidRPr="00D9492F" w:rsidRDefault="00135562">
            <w:pPr>
              <w:spacing w:after="228"/>
              <w:ind w:left="60"/>
              <w:jc w:val="center"/>
              <w:rPr>
                <w:rFonts w:ascii="Times New Roman" w:hAnsi="Times New Roman"/>
                <w:color w:val="000000"/>
                <w:sz w:val="24"/>
                <w:szCs w:val="24"/>
                <w:lang w:val="it-CH" w:eastAsia="it-CH"/>
              </w:rPr>
            </w:pPr>
            <w:r w:rsidRPr="00D9492F">
              <w:rPr>
                <w:rFonts w:ascii="Times New Roman" w:hAnsi="Times New Roman"/>
                <w:color w:val="000000"/>
                <w:lang w:val="it-CH" w:eastAsia="it-CH"/>
              </w:rPr>
              <w:t xml:space="preserve"> </w:t>
            </w:r>
          </w:p>
          <w:p w14:paraId="52F3AE6D" w14:textId="77777777" w:rsidR="00135562" w:rsidRPr="00D9492F" w:rsidRDefault="00135562">
            <w:pPr>
              <w:spacing w:after="0"/>
              <w:ind w:left="5"/>
              <w:jc w:val="center"/>
              <w:rPr>
                <w:rFonts w:ascii="Times New Roman" w:hAnsi="Times New Roman"/>
                <w:color w:val="000000"/>
                <w:lang w:val="it-CH" w:eastAsia="it-CH"/>
              </w:rPr>
            </w:pPr>
            <w:r w:rsidRPr="00D9492F">
              <w:rPr>
                <w:rFonts w:ascii="Times New Roman" w:hAnsi="Times New Roman"/>
                <w:color w:val="000000"/>
                <w:lang w:val="it-CH" w:eastAsia="it-CH"/>
              </w:rPr>
              <w:t xml:space="preserve">12 </w:t>
            </w:r>
          </w:p>
          <w:p w14:paraId="69775E04" w14:textId="77777777" w:rsidR="00135562" w:rsidRPr="00D9492F" w:rsidRDefault="00135562">
            <w:pPr>
              <w:spacing w:after="0"/>
              <w:jc w:val="center"/>
              <w:rPr>
                <w:rFonts w:ascii="Times New Roman" w:hAnsi="Times New Roman"/>
                <w:color w:val="000000"/>
                <w:lang w:val="it-CH" w:eastAsia="it-CH"/>
              </w:rPr>
            </w:pPr>
            <w:r w:rsidRPr="00D9492F">
              <w:rPr>
                <w:rFonts w:ascii="Times New Roman" w:hAnsi="Times New Roman"/>
                <w:color w:val="000000"/>
                <w:lang w:val="it-CH" w:eastAsia="it-CH"/>
              </w:rPr>
              <w:t xml:space="preserve">9,6-12 </w:t>
            </w:r>
          </w:p>
        </w:tc>
      </w:tr>
      <w:tr w:rsidR="00135562" w:rsidRPr="00D9492F" w14:paraId="67BB31E0" w14:textId="77777777" w:rsidTr="00135562">
        <w:trPr>
          <w:trHeight w:val="743"/>
        </w:trPr>
        <w:tc>
          <w:tcPr>
            <w:tcW w:w="3360" w:type="dxa"/>
            <w:tcBorders>
              <w:top w:val="nil"/>
              <w:left w:val="single" w:sz="4" w:space="0" w:color="000000"/>
              <w:bottom w:val="single" w:sz="4" w:space="0" w:color="000000"/>
              <w:right w:val="single" w:sz="4" w:space="0" w:color="000000"/>
            </w:tcBorders>
            <w:hideMark/>
          </w:tcPr>
          <w:p w14:paraId="03CBEEA4" w14:textId="77777777" w:rsidR="00135562" w:rsidRPr="00D9492F" w:rsidRDefault="00135562">
            <w:pPr>
              <w:spacing w:after="0"/>
              <w:rPr>
                <w:rFonts w:ascii="Times New Roman" w:hAnsi="Times New Roman"/>
                <w:color w:val="000000"/>
                <w:lang w:val="it-CH" w:eastAsia="it-CH"/>
              </w:rPr>
            </w:pPr>
            <w:r w:rsidRPr="00D9492F">
              <w:rPr>
                <w:rFonts w:ascii="Times New Roman" w:hAnsi="Times New Roman"/>
                <w:color w:val="000000"/>
                <w:lang w:val="it-CH" w:eastAsia="it-CH"/>
              </w:rPr>
              <w:t xml:space="preserve">Koreguota santykinė rizika </w:t>
            </w:r>
          </w:p>
          <w:p w14:paraId="418EB2B7" w14:textId="77777777" w:rsidR="00135562" w:rsidRPr="00D9492F" w:rsidRDefault="00135562">
            <w:pPr>
              <w:spacing w:after="0"/>
              <w:ind w:right="1734"/>
              <w:rPr>
                <w:rFonts w:ascii="Times New Roman" w:hAnsi="Times New Roman"/>
                <w:color w:val="000000"/>
                <w:lang w:val="it-CH" w:eastAsia="it-CH"/>
              </w:rPr>
            </w:pPr>
            <w:r w:rsidRPr="00D9492F">
              <w:rPr>
                <w:rFonts w:ascii="Times New Roman" w:hAnsi="Times New Roman"/>
                <w:color w:val="000000"/>
                <w:lang w:val="it-CH" w:eastAsia="it-CH"/>
              </w:rPr>
              <w:t xml:space="preserve">95 % PI </w:t>
            </w:r>
          </w:p>
          <w:p w14:paraId="1A6AE59B" w14:textId="77777777" w:rsidR="00135562" w:rsidRPr="00D9492F" w:rsidRDefault="00135562">
            <w:pPr>
              <w:spacing w:after="0"/>
              <w:ind w:right="1734"/>
              <w:rPr>
                <w:rFonts w:ascii="Times New Roman" w:hAnsi="Times New Roman"/>
                <w:color w:val="000000"/>
                <w:lang w:val="it-CH" w:eastAsia="it-CH"/>
              </w:rPr>
            </w:pPr>
            <w:r w:rsidRPr="00D9492F">
              <w:rPr>
                <w:rFonts w:ascii="Times New Roman" w:hAnsi="Times New Roman"/>
                <w:color w:val="000000"/>
                <w:lang w:val="it-CH" w:eastAsia="it-CH"/>
              </w:rPr>
              <w:t>p reikšmė</w:t>
            </w:r>
            <w:r w:rsidRPr="00D9492F">
              <w:rPr>
                <w:rFonts w:ascii="Times New Roman" w:hAnsi="Times New Roman"/>
                <w:i/>
                <w:color w:val="000000"/>
                <w:vertAlign w:val="superscript"/>
                <w:lang w:val="it-CH" w:eastAsia="it-CH"/>
              </w:rPr>
              <w:t>a</w:t>
            </w:r>
            <w:r w:rsidRPr="00D9492F">
              <w:rPr>
                <w:rFonts w:ascii="Times New Roman" w:hAnsi="Times New Roman"/>
                <w:color w:val="000000"/>
                <w:lang w:val="it-CH" w:eastAsia="it-CH"/>
              </w:rPr>
              <w:t xml:space="preserve"> </w:t>
            </w:r>
          </w:p>
        </w:tc>
        <w:tc>
          <w:tcPr>
            <w:tcW w:w="5345" w:type="dxa"/>
            <w:gridSpan w:val="2"/>
            <w:tcBorders>
              <w:top w:val="nil"/>
              <w:left w:val="single" w:sz="4" w:space="0" w:color="000000"/>
              <w:bottom w:val="single" w:sz="4" w:space="0" w:color="000000"/>
              <w:right w:val="single" w:sz="4" w:space="0" w:color="000000"/>
            </w:tcBorders>
            <w:hideMark/>
          </w:tcPr>
          <w:p w14:paraId="11F73DF5" w14:textId="77777777" w:rsidR="00135562" w:rsidRPr="00D9492F" w:rsidRDefault="00135562">
            <w:pPr>
              <w:spacing w:after="0"/>
              <w:ind w:left="7"/>
              <w:jc w:val="center"/>
              <w:rPr>
                <w:rFonts w:ascii="Times New Roman" w:hAnsi="Times New Roman"/>
                <w:color w:val="000000"/>
                <w:lang w:val="it-CH" w:eastAsia="it-CH"/>
              </w:rPr>
            </w:pPr>
            <w:r w:rsidRPr="00D9492F">
              <w:rPr>
                <w:rFonts w:ascii="Times New Roman" w:hAnsi="Times New Roman"/>
                <w:color w:val="000000"/>
                <w:lang w:val="it-CH" w:eastAsia="it-CH"/>
              </w:rPr>
              <w:t xml:space="preserve">0,66 </w:t>
            </w:r>
          </w:p>
          <w:p w14:paraId="5510A0E4" w14:textId="77777777" w:rsidR="00135562" w:rsidRPr="00D9492F" w:rsidRDefault="00135562">
            <w:pPr>
              <w:spacing w:after="0"/>
              <w:ind w:left="6"/>
              <w:jc w:val="center"/>
              <w:rPr>
                <w:rFonts w:ascii="Times New Roman" w:hAnsi="Times New Roman"/>
                <w:color w:val="000000"/>
                <w:lang w:val="it-CH" w:eastAsia="it-CH"/>
              </w:rPr>
            </w:pPr>
            <w:r w:rsidRPr="00D9492F">
              <w:rPr>
                <w:rFonts w:ascii="Times New Roman" w:hAnsi="Times New Roman"/>
                <w:color w:val="000000"/>
                <w:lang w:val="it-CH" w:eastAsia="it-CH"/>
              </w:rPr>
              <w:t xml:space="preserve">(0,57-0,76) </w:t>
            </w:r>
          </w:p>
          <w:p w14:paraId="79F93034" w14:textId="77777777" w:rsidR="00135562" w:rsidRPr="00D9492F" w:rsidRDefault="00135562">
            <w:pPr>
              <w:spacing w:after="0"/>
              <w:ind w:left="10"/>
              <w:jc w:val="center"/>
              <w:rPr>
                <w:rFonts w:ascii="Times New Roman" w:hAnsi="Times New Roman"/>
                <w:color w:val="000000"/>
                <w:lang w:val="it-CH" w:eastAsia="it-CH"/>
              </w:rPr>
            </w:pPr>
            <w:r w:rsidRPr="00D9492F">
              <w:rPr>
                <w:rFonts w:ascii="Times New Roman" w:hAnsi="Times New Roman"/>
                <w:color w:val="000000"/>
                <w:lang w:val="it-CH" w:eastAsia="it-CH"/>
              </w:rPr>
              <w:t xml:space="preserve">&lt; 0,001 </w:t>
            </w:r>
          </w:p>
        </w:tc>
      </w:tr>
    </w:tbl>
    <w:p w14:paraId="1375494D" w14:textId="77777777" w:rsidR="00135562" w:rsidRPr="00D9492F" w:rsidRDefault="00135562" w:rsidP="00135562">
      <w:pPr>
        <w:numPr>
          <w:ilvl w:val="0"/>
          <w:numId w:val="28"/>
        </w:numPr>
        <w:tabs>
          <w:tab w:val="left" w:pos="567"/>
        </w:tabs>
        <w:spacing w:after="0" w:line="240" w:lineRule="auto"/>
        <w:rPr>
          <w:rFonts w:ascii="Times New Roman" w:hAnsi="Times New Roman"/>
          <w:lang w:val="it-CH"/>
        </w:rPr>
      </w:pPr>
      <w:r w:rsidRPr="00D9492F">
        <w:rPr>
          <w:rFonts w:ascii="Times New Roman" w:hAnsi="Times New Roman"/>
          <w:lang w:val="it-CH"/>
        </w:rPr>
        <w:t xml:space="preserve">p reikšme apskaičiuota remiantis tikėtinumo santykio testu ir koreguota pagal visus stratifikavimo veiksnius (išskyrus centrą ir planuotą gydymą hormonais) bei stratifikuota pagal tyrimo laikotarpį </w:t>
      </w:r>
    </w:p>
    <w:p w14:paraId="1589CA2B" w14:textId="25B6AEAF" w:rsidR="00135562" w:rsidRPr="00D9492F" w:rsidRDefault="00135562" w:rsidP="00135562">
      <w:pPr>
        <w:numPr>
          <w:ilvl w:val="0"/>
          <w:numId w:val="28"/>
        </w:numPr>
        <w:tabs>
          <w:tab w:val="left" w:pos="567"/>
        </w:tabs>
        <w:spacing w:after="0" w:line="240" w:lineRule="auto"/>
        <w:rPr>
          <w:rFonts w:ascii="Times New Roman" w:hAnsi="Times New Roman"/>
          <w:lang w:val="it-CH"/>
        </w:rPr>
      </w:pPr>
      <w:r w:rsidRPr="00D9492F">
        <w:rPr>
          <w:rFonts w:ascii="Times New Roman" w:hAnsi="Times New Roman"/>
          <w:lang w:val="it-CH"/>
        </w:rPr>
        <w:t>Be gydomojo poveikio išnykimo išgyven</w:t>
      </w:r>
      <w:r w:rsidR="00F67A1B" w:rsidRPr="00D9492F">
        <w:rPr>
          <w:rFonts w:ascii="Times New Roman" w:hAnsi="Times New Roman"/>
          <w:lang w:val="it-CH"/>
        </w:rPr>
        <w:t>amumas</w:t>
      </w:r>
      <w:r w:rsidRPr="00D9492F">
        <w:rPr>
          <w:rFonts w:ascii="Times New Roman" w:hAnsi="Times New Roman"/>
          <w:lang w:val="it-CH"/>
        </w:rPr>
        <w:t xml:space="preserve">: laikotarpis nuo priskyrimo atsitiktinei imčiai iki pirmojo bent vieno toliau paminėto reiškinio pasireiškimo: biocheminių rodmenų pablogėjimo (apibūdinama kaip PSA </w:t>
      </w:r>
      <w:r w:rsidR="00F67A1B" w:rsidRPr="00D9492F">
        <w:rPr>
          <w:rFonts w:ascii="Times New Roman" w:hAnsi="Times New Roman"/>
          <w:lang w:val="it-CH"/>
        </w:rPr>
        <w:t>koncentracijos</w:t>
      </w:r>
      <w:r w:rsidRPr="00D9492F">
        <w:rPr>
          <w:rFonts w:ascii="Times New Roman" w:hAnsi="Times New Roman"/>
          <w:lang w:val="it-CH"/>
        </w:rPr>
        <w:t xml:space="preserve"> padidėjimas 50 % virš mažiausio rodmens 24 savaičių laikotarpiu bei virš 4 ng/ml, patvirtintas kartotiniu tyrimu ar gydymu); lokalaus </w:t>
      </w:r>
      <w:r w:rsidR="00BF2CAF" w:rsidRPr="00D9492F">
        <w:rPr>
          <w:rFonts w:ascii="Times New Roman" w:hAnsi="Times New Roman"/>
          <w:lang w:val="it-CH"/>
        </w:rPr>
        <w:t>išplitimo</w:t>
      </w:r>
      <w:r w:rsidRPr="00D9492F">
        <w:rPr>
          <w:rFonts w:ascii="Times New Roman" w:hAnsi="Times New Roman"/>
          <w:lang w:val="it-CH"/>
        </w:rPr>
        <w:t xml:space="preserve"> (limfmazgiuose) arba tolimųjų metastazių atsiradimo; su skeletu susijusių reiškinių; mirties nuo prostatos vėžio. </w:t>
      </w:r>
    </w:p>
    <w:p w14:paraId="621D9A20" w14:textId="77777777" w:rsidR="00135562" w:rsidRPr="00D9492F" w:rsidRDefault="00135562" w:rsidP="00135562">
      <w:pPr>
        <w:spacing w:after="0" w:line="240" w:lineRule="auto"/>
        <w:rPr>
          <w:rFonts w:ascii="Times New Roman" w:hAnsi="Times New Roman"/>
        </w:rPr>
      </w:pPr>
    </w:p>
    <w:p w14:paraId="24AEBAE8" w14:textId="77777777" w:rsidR="00135562" w:rsidRPr="00D9492F" w:rsidRDefault="00135562" w:rsidP="00135562">
      <w:pPr>
        <w:spacing w:after="0" w:line="240" w:lineRule="auto"/>
        <w:rPr>
          <w:rFonts w:ascii="Times New Roman" w:hAnsi="Times New Roman"/>
          <w:i/>
          <w:iCs/>
        </w:rPr>
      </w:pPr>
      <w:r w:rsidRPr="00D9492F">
        <w:rPr>
          <w:rFonts w:ascii="Times New Roman" w:hAnsi="Times New Roman"/>
          <w:i/>
          <w:iCs/>
        </w:rPr>
        <w:t xml:space="preserve">CHAARTED tyrimas </w:t>
      </w:r>
    </w:p>
    <w:p w14:paraId="5E4524BB"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 </w:t>
      </w:r>
    </w:p>
    <w:p w14:paraId="1D9EFA98"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Docetakselio saugumas ir veiksmingumas jo skiriant metastazavusiu hormonams jautriu prostatos vėžiu sergantiems pacientams androgenų deprivacijos terapijos (ADT) pradžioje buvo įvertinti atsitiktinių imčių daugiacentrio III fazės tyrimo (CHAARTED) metu. Iš viso 790 pacientų vyrų buvo suskirstyti į 2 tiriamąsias grupes: </w:t>
      </w:r>
    </w:p>
    <w:p w14:paraId="770058D4" w14:textId="77777777" w:rsidR="00135562" w:rsidRPr="00D9492F" w:rsidRDefault="00135562" w:rsidP="00135562">
      <w:pPr>
        <w:tabs>
          <w:tab w:val="left" w:pos="567"/>
        </w:tabs>
        <w:spacing w:after="0" w:line="240" w:lineRule="auto"/>
        <w:rPr>
          <w:rFonts w:ascii="Times New Roman" w:hAnsi="Times New Roman"/>
        </w:rPr>
      </w:pPr>
      <w:r w:rsidRPr="00D9492F">
        <w:rPr>
          <w:rFonts w:ascii="Times New Roman" w:hAnsi="Times New Roman"/>
        </w:rPr>
        <w:t xml:space="preserve">• </w:t>
      </w:r>
      <w:r w:rsidRPr="00D9492F">
        <w:rPr>
          <w:rFonts w:ascii="Times New Roman" w:hAnsi="Times New Roman"/>
        </w:rPr>
        <w:tab/>
        <w:t xml:space="preserve">ADT + docetakselis 75 mg/m², skiriamas ADT pradžioje kas 3 savaites 6 ciklus; </w:t>
      </w:r>
    </w:p>
    <w:p w14:paraId="635CC562" w14:textId="77777777" w:rsidR="00135562" w:rsidRPr="00D9492F" w:rsidRDefault="00135562" w:rsidP="00135562">
      <w:pPr>
        <w:tabs>
          <w:tab w:val="left" w:pos="567"/>
        </w:tabs>
        <w:spacing w:after="0" w:line="240" w:lineRule="auto"/>
        <w:rPr>
          <w:rFonts w:ascii="Times New Roman" w:hAnsi="Times New Roman"/>
        </w:rPr>
      </w:pPr>
      <w:r w:rsidRPr="00D9492F">
        <w:rPr>
          <w:rFonts w:ascii="Times New Roman" w:hAnsi="Times New Roman"/>
        </w:rPr>
        <w:t xml:space="preserve">• </w:t>
      </w:r>
      <w:r w:rsidRPr="00D9492F">
        <w:rPr>
          <w:rFonts w:ascii="Times New Roman" w:hAnsi="Times New Roman"/>
        </w:rPr>
        <w:tab/>
        <w:t xml:space="preserve">Vien tik ADT. </w:t>
      </w:r>
    </w:p>
    <w:p w14:paraId="790D30EA"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 </w:t>
      </w:r>
    </w:p>
    <w:p w14:paraId="0A1A8BEE" w14:textId="11F3F9F5" w:rsidR="00135562" w:rsidRPr="00D9492F" w:rsidRDefault="00135562" w:rsidP="00135562">
      <w:pPr>
        <w:spacing w:after="0" w:line="240" w:lineRule="auto"/>
        <w:rPr>
          <w:rFonts w:ascii="Times New Roman" w:hAnsi="Times New Roman"/>
        </w:rPr>
      </w:pPr>
      <w:r w:rsidRPr="00D9492F">
        <w:rPr>
          <w:rFonts w:ascii="Times New Roman" w:hAnsi="Times New Roman"/>
        </w:rPr>
        <w:t>Gydymo docetakselio grupėje, palyginti su vien tik ADT grupe, bendrojo išgyven</w:t>
      </w:r>
      <w:r w:rsidR="00BF2CAF" w:rsidRPr="00D9492F">
        <w:rPr>
          <w:rFonts w:ascii="Times New Roman" w:hAnsi="Times New Roman"/>
        </w:rPr>
        <w:t xml:space="preserve">amumo </w:t>
      </w:r>
      <w:r w:rsidRPr="00D9492F">
        <w:rPr>
          <w:rFonts w:ascii="Times New Roman" w:hAnsi="Times New Roman"/>
        </w:rPr>
        <w:t>trukmės mediana buvo reikšmingai didesnė: ADT papildžius docetakseliu, bendrojo išgyven</w:t>
      </w:r>
      <w:r w:rsidR="00BF2CAF" w:rsidRPr="00D9492F">
        <w:rPr>
          <w:rFonts w:ascii="Times New Roman" w:hAnsi="Times New Roman"/>
        </w:rPr>
        <w:t xml:space="preserve">amumo </w:t>
      </w:r>
      <w:r w:rsidRPr="00D9492F">
        <w:rPr>
          <w:rFonts w:ascii="Times New Roman" w:hAnsi="Times New Roman"/>
        </w:rPr>
        <w:t xml:space="preserve">trukmės </w:t>
      </w:r>
      <w:r w:rsidRPr="00D9492F">
        <w:rPr>
          <w:rFonts w:ascii="Times New Roman" w:hAnsi="Times New Roman"/>
        </w:rPr>
        <w:lastRenderedPageBreak/>
        <w:t xml:space="preserve">mediana pailgėjo 13,6 mėnesio (santykinė rizika (SR)=0,61, 95 % pasikliautinieji intervalai (PI) = 0,47-0,80, p=0,0003).  </w:t>
      </w:r>
    </w:p>
    <w:p w14:paraId="3776D3F2"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 </w:t>
      </w:r>
    </w:p>
    <w:p w14:paraId="64ADC460"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Docetakselio ir kontrolinės grupėse veiksmingumo rezultatai apibendrinti toliau pateikiamoje lentelėje. </w:t>
      </w:r>
    </w:p>
    <w:p w14:paraId="7953926E"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 </w:t>
      </w:r>
    </w:p>
    <w:p w14:paraId="162573F5"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Metastazavusiu hormonams jautriu prostatos vėžiu sergančių pacientų gydymo docetakseliu ir ADT veiksmingumas (CHAARTED tyrimas)</w:t>
      </w:r>
    </w:p>
    <w:p w14:paraId="35DE4A5B" w14:textId="77777777" w:rsidR="00135562" w:rsidRPr="00D9492F" w:rsidRDefault="00135562" w:rsidP="00135562">
      <w:pPr>
        <w:spacing w:after="0" w:line="240" w:lineRule="auto"/>
        <w:rPr>
          <w:rFonts w:ascii="Times New Roman" w:hAnsi="Times New Roman"/>
        </w:rPr>
      </w:pPr>
    </w:p>
    <w:tbl>
      <w:tblPr>
        <w:tblW w:w="9286" w:type="dxa"/>
        <w:tblInd w:w="-106" w:type="dxa"/>
        <w:tblCellMar>
          <w:top w:w="26" w:type="dxa"/>
          <w:right w:w="115" w:type="dxa"/>
        </w:tblCellMar>
        <w:tblLook w:val="04A0" w:firstRow="1" w:lastRow="0" w:firstColumn="1" w:lastColumn="0" w:noHBand="0" w:noVBand="1"/>
      </w:tblPr>
      <w:tblGrid>
        <w:gridCol w:w="4937"/>
        <w:gridCol w:w="2674"/>
        <w:gridCol w:w="1675"/>
      </w:tblGrid>
      <w:tr w:rsidR="00135562" w:rsidRPr="00D9492F" w14:paraId="5041CCC0" w14:textId="77777777" w:rsidTr="00135562">
        <w:trPr>
          <w:trHeight w:val="516"/>
        </w:trPr>
        <w:tc>
          <w:tcPr>
            <w:tcW w:w="4937" w:type="dxa"/>
            <w:tcBorders>
              <w:top w:val="single" w:sz="4" w:space="0" w:color="000000"/>
              <w:left w:val="single" w:sz="4" w:space="0" w:color="000000"/>
              <w:bottom w:val="single" w:sz="4" w:space="0" w:color="000000"/>
              <w:right w:val="single" w:sz="4" w:space="0" w:color="000000"/>
            </w:tcBorders>
            <w:hideMark/>
          </w:tcPr>
          <w:p w14:paraId="2BD7626C" w14:textId="77777777" w:rsidR="00135562" w:rsidRPr="00D9492F" w:rsidRDefault="00135562">
            <w:pPr>
              <w:spacing w:after="0"/>
              <w:ind w:left="9"/>
              <w:rPr>
                <w:rFonts w:ascii="Times New Roman" w:eastAsia="Times New Roman" w:hAnsi="Times New Roman"/>
                <w:bCs/>
                <w:color w:val="000000"/>
                <w:lang w:val="it-CH" w:eastAsia="it-CH"/>
              </w:rPr>
            </w:pPr>
            <w:r w:rsidRPr="00D9492F">
              <w:rPr>
                <w:rFonts w:ascii="Times New Roman" w:eastAsia="Times New Roman" w:hAnsi="Times New Roman"/>
                <w:bCs/>
                <w:color w:val="000000"/>
                <w:lang w:val="it-CH" w:eastAsia="it-CH"/>
              </w:rPr>
              <w:t xml:space="preserve">Vertinamoji baigtis </w:t>
            </w:r>
          </w:p>
          <w:p w14:paraId="00E78927" w14:textId="77777777" w:rsidR="00135562" w:rsidRPr="00D9492F" w:rsidRDefault="00135562">
            <w:pPr>
              <w:spacing w:after="0"/>
              <w:ind w:left="60"/>
              <w:jc w:val="center"/>
              <w:rPr>
                <w:rFonts w:ascii="Times New Roman" w:eastAsia="Times New Roman" w:hAnsi="Times New Roman"/>
                <w:bCs/>
                <w:color w:val="000000"/>
                <w:lang w:val="it-CH" w:eastAsia="it-CH"/>
              </w:rPr>
            </w:pPr>
            <w:r w:rsidRPr="00D9492F">
              <w:rPr>
                <w:rFonts w:ascii="Times New Roman" w:eastAsia="Times New Roman" w:hAnsi="Times New Roman"/>
                <w:bCs/>
                <w:color w:val="000000"/>
                <w:lang w:val="it-CH" w:eastAsia="it-CH"/>
              </w:rPr>
              <w:t xml:space="preserve"> </w:t>
            </w:r>
          </w:p>
        </w:tc>
        <w:tc>
          <w:tcPr>
            <w:tcW w:w="2674" w:type="dxa"/>
            <w:tcBorders>
              <w:top w:val="single" w:sz="4" w:space="0" w:color="000000"/>
              <w:left w:val="single" w:sz="4" w:space="0" w:color="000000"/>
              <w:bottom w:val="single" w:sz="4" w:space="0" w:color="000000"/>
              <w:right w:val="single" w:sz="4" w:space="0" w:color="000000"/>
            </w:tcBorders>
            <w:hideMark/>
          </w:tcPr>
          <w:p w14:paraId="4D854E52" w14:textId="77777777" w:rsidR="00135562" w:rsidRPr="00D9492F" w:rsidRDefault="00135562">
            <w:pPr>
              <w:spacing w:after="0"/>
              <w:ind w:left="5"/>
              <w:jc w:val="center"/>
              <w:rPr>
                <w:rFonts w:ascii="Times New Roman" w:eastAsia="Times New Roman" w:hAnsi="Times New Roman"/>
                <w:bCs/>
                <w:color w:val="000000"/>
                <w:lang w:val="it-CH" w:eastAsia="it-CH"/>
              </w:rPr>
            </w:pPr>
            <w:r w:rsidRPr="00D9492F">
              <w:rPr>
                <w:rFonts w:ascii="Times New Roman" w:eastAsia="Times New Roman" w:hAnsi="Times New Roman"/>
                <w:bCs/>
                <w:color w:val="000000"/>
                <w:lang w:val="it-CH" w:eastAsia="it-CH"/>
              </w:rPr>
              <w:t>Docetakselis</w:t>
            </w:r>
            <w:r w:rsidRPr="00D9492F">
              <w:rPr>
                <w:rFonts w:ascii="Times New Roman" w:eastAsia="Times New Roman" w:hAnsi="Times New Roman"/>
                <w:bCs/>
                <w:i/>
                <w:color w:val="000000"/>
                <w:lang w:val="it-CH" w:eastAsia="it-CH"/>
              </w:rPr>
              <w:t xml:space="preserve"> </w:t>
            </w:r>
            <w:r w:rsidRPr="00D9492F">
              <w:rPr>
                <w:rFonts w:ascii="Times New Roman" w:eastAsia="Times New Roman" w:hAnsi="Times New Roman"/>
                <w:bCs/>
                <w:color w:val="000000"/>
                <w:lang w:val="it-CH" w:eastAsia="it-CH"/>
              </w:rPr>
              <w:t xml:space="preserve">+ADT  </w:t>
            </w:r>
          </w:p>
          <w:p w14:paraId="0E1A7FA0" w14:textId="77777777" w:rsidR="00135562" w:rsidRPr="00D9492F" w:rsidRDefault="00135562">
            <w:pPr>
              <w:spacing w:after="0"/>
              <w:ind w:left="58"/>
              <w:jc w:val="center"/>
              <w:rPr>
                <w:rFonts w:ascii="Times New Roman" w:eastAsia="Times New Roman" w:hAnsi="Times New Roman"/>
                <w:bCs/>
                <w:color w:val="000000"/>
                <w:lang w:val="it-CH" w:eastAsia="it-CH"/>
              </w:rPr>
            </w:pPr>
            <w:r w:rsidRPr="00D9492F">
              <w:rPr>
                <w:rFonts w:ascii="Times New Roman" w:eastAsia="Times New Roman" w:hAnsi="Times New Roman"/>
                <w:bCs/>
                <w:color w:val="000000"/>
                <w:lang w:val="it-CH" w:eastAsia="it-CH"/>
              </w:rPr>
              <w:t xml:space="preserve"> </w:t>
            </w:r>
          </w:p>
        </w:tc>
        <w:tc>
          <w:tcPr>
            <w:tcW w:w="1675" w:type="dxa"/>
            <w:tcBorders>
              <w:top w:val="single" w:sz="4" w:space="0" w:color="000000"/>
              <w:left w:val="single" w:sz="4" w:space="0" w:color="000000"/>
              <w:bottom w:val="single" w:sz="4" w:space="0" w:color="000000"/>
              <w:right w:val="single" w:sz="4" w:space="0" w:color="000000"/>
            </w:tcBorders>
            <w:hideMark/>
          </w:tcPr>
          <w:p w14:paraId="299EE848" w14:textId="77777777" w:rsidR="00135562" w:rsidRPr="00D9492F" w:rsidRDefault="00135562">
            <w:pPr>
              <w:spacing w:after="0"/>
              <w:ind w:left="94"/>
              <w:rPr>
                <w:rFonts w:ascii="Times New Roman" w:eastAsia="Times New Roman" w:hAnsi="Times New Roman"/>
                <w:bCs/>
                <w:color w:val="000000"/>
                <w:lang w:val="it-CH" w:eastAsia="it-CH"/>
              </w:rPr>
            </w:pPr>
            <w:r w:rsidRPr="00D9492F">
              <w:rPr>
                <w:rFonts w:ascii="Times New Roman" w:eastAsia="Times New Roman" w:hAnsi="Times New Roman"/>
                <w:bCs/>
                <w:color w:val="000000"/>
                <w:lang w:val="it-CH" w:eastAsia="it-CH"/>
              </w:rPr>
              <w:t xml:space="preserve">Vien tik ADT </w:t>
            </w:r>
          </w:p>
        </w:tc>
      </w:tr>
      <w:tr w:rsidR="00135562" w:rsidRPr="00D9492F" w14:paraId="0B4C6325" w14:textId="77777777" w:rsidTr="00135562">
        <w:trPr>
          <w:trHeight w:val="1289"/>
        </w:trPr>
        <w:tc>
          <w:tcPr>
            <w:tcW w:w="4937" w:type="dxa"/>
            <w:tcBorders>
              <w:top w:val="single" w:sz="4" w:space="0" w:color="000000"/>
              <w:left w:val="single" w:sz="4" w:space="0" w:color="000000"/>
              <w:bottom w:val="nil"/>
              <w:right w:val="single" w:sz="4" w:space="0" w:color="000000"/>
            </w:tcBorders>
            <w:hideMark/>
          </w:tcPr>
          <w:p w14:paraId="0758BD3E"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Pacientų skaičius </w:t>
            </w:r>
          </w:p>
          <w:p w14:paraId="72609EAE" w14:textId="57C8F7C1" w:rsidR="00135562" w:rsidRPr="00D9492F" w:rsidRDefault="00135562">
            <w:pPr>
              <w:spacing w:after="7" w:line="235" w:lineRule="auto"/>
              <w:ind w:right="61"/>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Bendrojo išgyven</w:t>
            </w:r>
            <w:r w:rsidR="00BF2CAF" w:rsidRPr="00D9492F">
              <w:rPr>
                <w:rFonts w:ascii="Times New Roman" w:eastAsia="Times New Roman" w:hAnsi="Times New Roman"/>
                <w:color w:val="000000"/>
                <w:lang w:val="it-CH" w:eastAsia="it-CH"/>
              </w:rPr>
              <w:t>amumo</w:t>
            </w:r>
            <w:r w:rsidRPr="00D9492F">
              <w:rPr>
                <w:rFonts w:ascii="Times New Roman" w:eastAsia="Times New Roman" w:hAnsi="Times New Roman"/>
                <w:color w:val="000000"/>
                <w:lang w:val="it-CH" w:eastAsia="it-CH"/>
              </w:rPr>
              <w:t xml:space="preserve"> mediana (mėn.)  </w:t>
            </w:r>
          </w:p>
          <w:p w14:paraId="7FB46B06" w14:textId="77777777" w:rsidR="00135562" w:rsidRPr="00D9492F" w:rsidRDefault="00135562">
            <w:pPr>
              <w:spacing w:after="7" w:line="235" w:lineRule="auto"/>
              <w:ind w:right="61"/>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Visi pacientai </w:t>
            </w:r>
          </w:p>
          <w:p w14:paraId="477AC216" w14:textId="77777777" w:rsidR="00135562" w:rsidRPr="00D9492F" w:rsidRDefault="00135562">
            <w:pPr>
              <w:spacing w:after="0"/>
              <w:rPr>
                <w:rFonts w:ascii="Times New Roman" w:eastAsia="Times New Roman" w:hAnsi="Times New Roman"/>
                <w:bCs/>
                <w:iCs/>
                <w:color w:val="000000"/>
                <w:lang w:val="it-CH" w:eastAsia="it-CH"/>
              </w:rPr>
            </w:pPr>
            <w:r w:rsidRPr="00D9492F">
              <w:rPr>
                <w:rFonts w:ascii="Times New Roman" w:eastAsia="Times New Roman" w:hAnsi="Times New Roman"/>
                <w:bCs/>
                <w:iCs/>
                <w:color w:val="000000"/>
                <w:lang w:val="it-CH" w:eastAsia="it-CH"/>
              </w:rPr>
              <w:t xml:space="preserve">95 % PI </w:t>
            </w:r>
          </w:p>
          <w:p w14:paraId="4B74980A"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Koreguota santykinė rizika </w:t>
            </w:r>
          </w:p>
        </w:tc>
        <w:tc>
          <w:tcPr>
            <w:tcW w:w="2674" w:type="dxa"/>
            <w:tcBorders>
              <w:top w:val="single" w:sz="4" w:space="0" w:color="000000"/>
              <w:left w:val="single" w:sz="4" w:space="0" w:color="000000"/>
              <w:bottom w:val="nil"/>
              <w:right w:val="single" w:sz="4" w:space="0" w:color="000000"/>
            </w:tcBorders>
            <w:hideMark/>
          </w:tcPr>
          <w:p w14:paraId="52F98D80" w14:textId="77777777" w:rsidR="00135562" w:rsidRPr="00D9492F" w:rsidRDefault="00135562">
            <w:pPr>
              <w:spacing w:after="0"/>
              <w:ind w:left="2"/>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397 </w:t>
            </w:r>
          </w:p>
          <w:p w14:paraId="4AB6477C" w14:textId="77777777" w:rsidR="00135562" w:rsidRPr="00D9492F" w:rsidRDefault="00135562">
            <w:pPr>
              <w:spacing w:after="0"/>
              <w:ind w:left="58"/>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p w14:paraId="4DE12DAC" w14:textId="77777777" w:rsidR="00135562" w:rsidRPr="00D9492F" w:rsidRDefault="00135562">
            <w:pPr>
              <w:spacing w:after="0"/>
              <w:ind w:left="5"/>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57,6 </w:t>
            </w:r>
          </w:p>
          <w:p w14:paraId="52A20037"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49,1-72,8 </w:t>
            </w:r>
          </w:p>
          <w:p w14:paraId="2BEF2AEE" w14:textId="77777777" w:rsidR="00135562" w:rsidRPr="00D9492F" w:rsidRDefault="00135562">
            <w:pPr>
              <w:spacing w:after="0"/>
              <w:ind w:left="5"/>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0,61 </w:t>
            </w:r>
          </w:p>
        </w:tc>
        <w:tc>
          <w:tcPr>
            <w:tcW w:w="1675" w:type="dxa"/>
            <w:tcBorders>
              <w:top w:val="single" w:sz="4" w:space="0" w:color="000000"/>
              <w:left w:val="single" w:sz="4" w:space="0" w:color="000000"/>
              <w:bottom w:val="nil"/>
              <w:right w:val="single" w:sz="4" w:space="0" w:color="000000"/>
            </w:tcBorders>
            <w:hideMark/>
          </w:tcPr>
          <w:p w14:paraId="114EA3FC" w14:textId="77777777" w:rsidR="00135562" w:rsidRPr="00D9492F" w:rsidRDefault="00135562">
            <w:pPr>
              <w:spacing w:after="0"/>
              <w:ind w:left="7"/>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393 </w:t>
            </w:r>
          </w:p>
          <w:p w14:paraId="10F5C4E1" w14:textId="77777777" w:rsidR="00135562" w:rsidRPr="00D9492F" w:rsidRDefault="00135562">
            <w:pPr>
              <w:spacing w:after="0"/>
              <w:ind w:left="62"/>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p w14:paraId="3F8EA668" w14:textId="77777777" w:rsidR="00135562" w:rsidRPr="00D9492F" w:rsidRDefault="00135562">
            <w:pPr>
              <w:spacing w:after="0"/>
              <w:ind w:left="9"/>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44,0 </w:t>
            </w:r>
          </w:p>
          <w:p w14:paraId="5E92C63C"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34,4-49,1 </w:t>
            </w:r>
          </w:p>
          <w:p w14:paraId="3FCBDF90"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r w:rsidR="00135562" w:rsidRPr="00D9492F" w14:paraId="24260E8A" w14:textId="77777777" w:rsidTr="00135562">
        <w:trPr>
          <w:trHeight w:val="236"/>
        </w:trPr>
        <w:tc>
          <w:tcPr>
            <w:tcW w:w="4937" w:type="dxa"/>
            <w:tcBorders>
              <w:top w:val="nil"/>
              <w:left w:val="single" w:sz="4" w:space="0" w:color="000000"/>
              <w:bottom w:val="nil"/>
              <w:right w:val="single" w:sz="4" w:space="0" w:color="000000"/>
            </w:tcBorders>
            <w:hideMark/>
          </w:tcPr>
          <w:p w14:paraId="0C842F07"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95 % PI </w:t>
            </w:r>
          </w:p>
        </w:tc>
        <w:tc>
          <w:tcPr>
            <w:tcW w:w="2674" w:type="dxa"/>
            <w:tcBorders>
              <w:top w:val="nil"/>
              <w:left w:val="single" w:sz="4" w:space="0" w:color="000000"/>
              <w:bottom w:val="nil"/>
              <w:right w:val="single" w:sz="4" w:space="0" w:color="000000"/>
            </w:tcBorders>
            <w:hideMark/>
          </w:tcPr>
          <w:p w14:paraId="460CD5F1"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(0,47-0,80) </w:t>
            </w:r>
          </w:p>
        </w:tc>
        <w:tc>
          <w:tcPr>
            <w:tcW w:w="1675" w:type="dxa"/>
            <w:tcBorders>
              <w:top w:val="nil"/>
              <w:left w:val="single" w:sz="4" w:space="0" w:color="000000"/>
              <w:bottom w:val="nil"/>
              <w:right w:val="single" w:sz="4" w:space="0" w:color="000000"/>
            </w:tcBorders>
            <w:hideMark/>
          </w:tcPr>
          <w:p w14:paraId="75785371" w14:textId="77777777" w:rsidR="00135562" w:rsidRPr="00D9492F" w:rsidRDefault="00135562">
            <w:pPr>
              <w:spacing w:after="0"/>
              <w:ind w:left="6"/>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r w:rsidR="00135562" w:rsidRPr="00D9492F" w14:paraId="4C49F9C2" w14:textId="77777777" w:rsidTr="00135562">
        <w:trPr>
          <w:trHeight w:val="254"/>
        </w:trPr>
        <w:tc>
          <w:tcPr>
            <w:tcW w:w="4937" w:type="dxa"/>
            <w:tcBorders>
              <w:top w:val="nil"/>
              <w:left w:val="single" w:sz="4" w:space="0" w:color="000000"/>
              <w:bottom w:val="single" w:sz="4" w:space="0" w:color="000000"/>
              <w:right w:val="single" w:sz="4" w:space="0" w:color="000000"/>
            </w:tcBorders>
            <w:hideMark/>
          </w:tcPr>
          <w:p w14:paraId="63087A9B"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p reikšmė</w:t>
            </w:r>
            <w:r w:rsidRPr="00D9492F">
              <w:rPr>
                <w:rFonts w:ascii="Times New Roman" w:eastAsia="Times New Roman" w:hAnsi="Times New Roman"/>
                <w:i/>
                <w:color w:val="000000"/>
                <w:vertAlign w:val="superscript"/>
                <w:lang w:val="it-CH" w:eastAsia="it-CH"/>
              </w:rPr>
              <w:t>a</w:t>
            </w:r>
            <w:r w:rsidRPr="00D9492F">
              <w:rPr>
                <w:rFonts w:ascii="Times New Roman" w:eastAsia="Times New Roman" w:hAnsi="Times New Roman"/>
                <w:color w:val="000000"/>
                <w:lang w:val="it-CH" w:eastAsia="it-CH"/>
              </w:rPr>
              <w:t xml:space="preserve"> </w:t>
            </w:r>
          </w:p>
        </w:tc>
        <w:tc>
          <w:tcPr>
            <w:tcW w:w="2674" w:type="dxa"/>
            <w:tcBorders>
              <w:top w:val="nil"/>
              <w:left w:val="single" w:sz="4" w:space="0" w:color="000000"/>
              <w:bottom w:val="single" w:sz="4" w:space="0" w:color="000000"/>
              <w:right w:val="single" w:sz="4" w:space="0" w:color="000000"/>
            </w:tcBorders>
            <w:hideMark/>
          </w:tcPr>
          <w:p w14:paraId="5754682B" w14:textId="77777777" w:rsidR="00135562" w:rsidRPr="00D9492F" w:rsidRDefault="00135562">
            <w:pPr>
              <w:spacing w:after="0"/>
              <w:ind w:left="5"/>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0,0003 </w:t>
            </w:r>
          </w:p>
        </w:tc>
        <w:tc>
          <w:tcPr>
            <w:tcW w:w="1675" w:type="dxa"/>
            <w:tcBorders>
              <w:top w:val="nil"/>
              <w:left w:val="single" w:sz="4" w:space="0" w:color="000000"/>
              <w:bottom w:val="single" w:sz="4" w:space="0" w:color="000000"/>
              <w:right w:val="single" w:sz="4" w:space="0" w:color="000000"/>
            </w:tcBorders>
            <w:hideMark/>
          </w:tcPr>
          <w:p w14:paraId="5C2D2DFC"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r w:rsidR="00135562" w:rsidRPr="00D9492F" w14:paraId="1F4A95C8" w14:textId="77777777" w:rsidTr="00135562">
        <w:trPr>
          <w:trHeight w:val="1526"/>
        </w:trPr>
        <w:tc>
          <w:tcPr>
            <w:tcW w:w="4937" w:type="dxa"/>
            <w:tcBorders>
              <w:top w:val="single" w:sz="4" w:space="0" w:color="000000"/>
              <w:left w:val="single" w:sz="4" w:space="0" w:color="000000"/>
              <w:bottom w:val="single" w:sz="4" w:space="0" w:color="000000"/>
              <w:right w:val="single" w:sz="4" w:space="0" w:color="000000"/>
            </w:tcBorders>
            <w:hideMark/>
          </w:tcPr>
          <w:p w14:paraId="4CFF5FD1" w14:textId="446CD806" w:rsidR="00135562" w:rsidRPr="00D9492F" w:rsidRDefault="00BF2CAF">
            <w:pPr>
              <w:spacing w:after="9" w:line="237" w:lineRule="auto"/>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Išgyvenamumo b</w:t>
            </w:r>
            <w:r w:rsidR="00135562" w:rsidRPr="00D9492F">
              <w:rPr>
                <w:rFonts w:ascii="Times New Roman" w:eastAsia="Times New Roman" w:hAnsi="Times New Roman"/>
                <w:color w:val="000000"/>
                <w:lang w:val="it-CH" w:eastAsia="it-CH"/>
              </w:rPr>
              <w:t xml:space="preserve">e ligos progresavimo   mediana (mėn.) </w:t>
            </w:r>
          </w:p>
          <w:p w14:paraId="7C0BB4AE"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95 % PI</w:t>
            </w:r>
            <w:r w:rsidRPr="00D9492F">
              <w:rPr>
                <w:rFonts w:ascii="Times New Roman" w:eastAsia="Times New Roman" w:hAnsi="Times New Roman"/>
                <w:color w:val="000000"/>
                <w:sz w:val="24"/>
                <w:lang w:val="it-CH" w:eastAsia="it-CH"/>
              </w:rPr>
              <w:t xml:space="preserve">  </w:t>
            </w:r>
          </w:p>
          <w:p w14:paraId="681F7CA8"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Koreguota santykinė rizika </w:t>
            </w:r>
          </w:p>
          <w:p w14:paraId="1AFE2634" w14:textId="77777777" w:rsidR="00135562" w:rsidRPr="00D9492F" w:rsidRDefault="00135562">
            <w:pPr>
              <w:spacing w:after="0"/>
              <w:ind w:right="3744"/>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95 % PI </w:t>
            </w:r>
          </w:p>
          <w:p w14:paraId="230C6552" w14:textId="77777777" w:rsidR="00135562" w:rsidRPr="00D9492F" w:rsidRDefault="00135562">
            <w:pPr>
              <w:spacing w:after="0"/>
              <w:ind w:right="3449"/>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p reikšmė* </w:t>
            </w:r>
          </w:p>
        </w:tc>
        <w:tc>
          <w:tcPr>
            <w:tcW w:w="2674" w:type="dxa"/>
            <w:tcBorders>
              <w:top w:val="single" w:sz="4" w:space="0" w:color="000000"/>
              <w:left w:val="single" w:sz="4" w:space="0" w:color="000000"/>
              <w:bottom w:val="single" w:sz="4" w:space="0" w:color="000000"/>
              <w:right w:val="single" w:sz="4" w:space="0" w:color="000000"/>
            </w:tcBorders>
            <w:hideMark/>
          </w:tcPr>
          <w:p w14:paraId="2D97B8C2" w14:textId="77777777" w:rsidR="00135562" w:rsidRPr="00D9492F" w:rsidRDefault="00135562">
            <w:pPr>
              <w:spacing w:after="0"/>
              <w:ind w:left="58"/>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p w14:paraId="3097A645" w14:textId="77777777" w:rsidR="00135562" w:rsidRPr="00D9492F" w:rsidRDefault="00135562">
            <w:pPr>
              <w:spacing w:after="0"/>
              <w:ind w:left="5"/>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19,8 </w:t>
            </w:r>
          </w:p>
          <w:p w14:paraId="44D27CF5" w14:textId="77777777" w:rsidR="00135562" w:rsidRPr="00D9492F" w:rsidRDefault="00135562">
            <w:pPr>
              <w:spacing w:after="2" w:line="235" w:lineRule="auto"/>
              <w:ind w:left="613" w:right="553"/>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16,7-22,8 </w:t>
            </w:r>
          </w:p>
          <w:p w14:paraId="5A109F50" w14:textId="77777777" w:rsidR="00135562" w:rsidRPr="00D9492F" w:rsidRDefault="00135562">
            <w:pPr>
              <w:spacing w:after="2" w:line="235" w:lineRule="auto"/>
              <w:ind w:left="613" w:right="553"/>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0,60 </w:t>
            </w:r>
          </w:p>
          <w:p w14:paraId="4ABCB7DF"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0,51-0,72 </w:t>
            </w:r>
          </w:p>
          <w:p w14:paraId="44E6D0DC" w14:textId="77777777" w:rsidR="00135562" w:rsidRPr="00D9492F" w:rsidRDefault="00135562">
            <w:pPr>
              <w:spacing w:after="0"/>
              <w:ind w:left="7"/>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&lt; 0,0001 </w:t>
            </w:r>
          </w:p>
        </w:tc>
        <w:tc>
          <w:tcPr>
            <w:tcW w:w="1675" w:type="dxa"/>
            <w:tcBorders>
              <w:top w:val="single" w:sz="4" w:space="0" w:color="000000"/>
              <w:left w:val="single" w:sz="4" w:space="0" w:color="000000"/>
              <w:bottom w:val="single" w:sz="4" w:space="0" w:color="000000"/>
              <w:right w:val="single" w:sz="4" w:space="0" w:color="000000"/>
            </w:tcBorders>
            <w:hideMark/>
          </w:tcPr>
          <w:p w14:paraId="65E76282" w14:textId="77777777" w:rsidR="00135562" w:rsidRPr="00D9492F" w:rsidRDefault="00135562">
            <w:pPr>
              <w:spacing w:after="0"/>
              <w:ind w:left="62"/>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p w14:paraId="78BB0637" w14:textId="77777777" w:rsidR="00135562" w:rsidRPr="00D9492F" w:rsidRDefault="00135562">
            <w:pPr>
              <w:spacing w:after="0"/>
              <w:ind w:left="10"/>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11,6 </w:t>
            </w:r>
          </w:p>
          <w:p w14:paraId="39EA68E3" w14:textId="77777777" w:rsidR="00135562" w:rsidRPr="00D9492F" w:rsidRDefault="00135562">
            <w:pPr>
              <w:spacing w:after="0"/>
              <w:ind w:left="5"/>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10,8-14,3 </w:t>
            </w:r>
          </w:p>
          <w:p w14:paraId="70C69E82"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p w14:paraId="0EBBDD76" w14:textId="77777777" w:rsidR="00135562" w:rsidRPr="00D9492F" w:rsidRDefault="00135562">
            <w:pPr>
              <w:spacing w:after="0"/>
              <w:ind w:left="582" w:right="523"/>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p w14:paraId="582BB1A3" w14:textId="77777777" w:rsidR="00135562" w:rsidRPr="00D9492F" w:rsidRDefault="00135562">
            <w:pPr>
              <w:spacing w:after="0"/>
              <w:ind w:left="582" w:right="523"/>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r w:rsidR="00135562" w:rsidRPr="00D9492F" w14:paraId="72272DC8" w14:textId="77777777" w:rsidTr="00135562">
        <w:trPr>
          <w:trHeight w:val="576"/>
        </w:trPr>
        <w:tc>
          <w:tcPr>
            <w:tcW w:w="4937" w:type="dxa"/>
            <w:tcBorders>
              <w:top w:val="single" w:sz="4" w:space="0" w:color="000000"/>
              <w:left w:val="single" w:sz="4" w:space="0" w:color="000000"/>
              <w:bottom w:val="single" w:sz="4" w:space="0" w:color="000000"/>
              <w:right w:val="single" w:sz="4" w:space="0" w:color="000000"/>
            </w:tcBorders>
            <w:hideMark/>
          </w:tcPr>
          <w:p w14:paraId="0B60CBC9" w14:textId="77777777" w:rsidR="00135562" w:rsidRPr="00D9492F" w:rsidRDefault="00135562">
            <w:pPr>
              <w:spacing w:after="0"/>
              <w:ind w:right="1243"/>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PSA atsakas** po 6 mėnesių – N (%) </w:t>
            </w:r>
          </w:p>
          <w:p w14:paraId="1B76A55B" w14:textId="77777777" w:rsidR="00135562" w:rsidRPr="00D9492F" w:rsidRDefault="00135562">
            <w:pPr>
              <w:spacing w:after="0"/>
              <w:ind w:right="1243"/>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p reikšmė</w:t>
            </w:r>
            <w:r w:rsidRPr="00D9492F">
              <w:rPr>
                <w:rFonts w:ascii="Times New Roman" w:eastAsia="Times New Roman" w:hAnsi="Times New Roman"/>
                <w:i/>
                <w:color w:val="000000"/>
                <w:vertAlign w:val="superscript"/>
                <w:lang w:val="it-CH" w:eastAsia="it-CH"/>
              </w:rPr>
              <w:t>a</w:t>
            </w:r>
            <w:r w:rsidRPr="00D9492F">
              <w:rPr>
                <w:rFonts w:ascii="Times New Roman" w:eastAsia="Times New Roman" w:hAnsi="Times New Roman"/>
                <w:i/>
                <w:color w:val="000000"/>
                <w:sz w:val="34"/>
                <w:vertAlign w:val="superscript"/>
                <w:lang w:val="it-CH" w:eastAsia="it-CH"/>
              </w:rPr>
              <w:t>*</w:t>
            </w:r>
            <w:r w:rsidRPr="00D9492F">
              <w:rPr>
                <w:rFonts w:ascii="Times New Roman" w:eastAsia="Times New Roman" w:hAnsi="Times New Roman"/>
                <w:color w:val="000000"/>
                <w:lang w:val="it-CH" w:eastAsia="it-CH"/>
              </w:rPr>
              <w:t xml:space="preserve"> </w:t>
            </w:r>
          </w:p>
        </w:tc>
        <w:tc>
          <w:tcPr>
            <w:tcW w:w="2674" w:type="dxa"/>
            <w:tcBorders>
              <w:top w:val="single" w:sz="4" w:space="0" w:color="000000"/>
              <w:left w:val="single" w:sz="4" w:space="0" w:color="000000"/>
              <w:bottom w:val="single" w:sz="4" w:space="0" w:color="000000"/>
              <w:right w:val="single" w:sz="4" w:space="0" w:color="000000"/>
            </w:tcBorders>
            <w:hideMark/>
          </w:tcPr>
          <w:p w14:paraId="31B2448A" w14:textId="77777777" w:rsidR="00135562" w:rsidRPr="00D9492F" w:rsidRDefault="00135562">
            <w:pPr>
              <w:spacing w:after="0"/>
              <w:ind w:left="706" w:right="648"/>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127 (32,0) </w:t>
            </w:r>
          </w:p>
          <w:p w14:paraId="1EFC299E" w14:textId="77777777" w:rsidR="00135562" w:rsidRPr="00D9492F" w:rsidRDefault="00135562">
            <w:pPr>
              <w:spacing w:after="0"/>
              <w:ind w:left="706" w:right="648"/>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&lt; 0,0001 </w:t>
            </w:r>
          </w:p>
        </w:tc>
        <w:tc>
          <w:tcPr>
            <w:tcW w:w="1675" w:type="dxa"/>
            <w:tcBorders>
              <w:top w:val="single" w:sz="4" w:space="0" w:color="000000"/>
              <w:left w:val="single" w:sz="4" w:space="0" w:color="000000"/>
              <w:bottom w:val="single" w:sz="4" w:space="0" w:color="000000"/>
              <w:right w:val="single" w:sz="4" w:space="0" w:color="000000"/>
            </w:tcBorders>
            <w:hideMark/>
          </w:tcPr>
          <w:p w14:paraId="4AD550D0" w14:textId="77777777" w:rsidR="00135562" w:rsidRPr="00D9492F" w:rsidRDefault="00135562">
            <w:pPr>
              <w:spacing w:after="0"/>
              <w:ind w:left="9"/>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77 (19,6) </w:t>
            </w:r>
          </w:p>
          <w:p w14:paraId="748A212A"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r w:rsidR="00135562" w:rsidRPr="00D9492F" w14:paraId="5FCCB400" w14:textId="77777777" w:rsidTr="00135562">
        <w:trPr>
          <w:trHeight w:val="576"/>
        </w:trPr>
        <w:tc>
          <w:tcPr>
            <w:tcW w:w="4937" w:type="dxa"/>
            <w:tcBorders>
              <w:top w:val="single" w:sz="4" w:space="0" w:color="000000"/>
              <w:left w:val="single" w:sz="4" w:space="0" w:color="000000"/>
              <w:bottom w:val="single" w:sz="4" w:space="0" w:color="000000"/>
              <w:right w:val="single" w:sz="4" w:space="0" w:color="000000"/>
            </w:tcBorders>
            <w:hideMark/>
          </w:tcPr>
          <w:p w14:paraId="641456A7" w14:textId="77777777" w:rsidR="00135562" w:rsidRPr="00D9492F" w:rsidRDefault="00135562">
            <w:pPr>
              <w:spacing w:after="0"/>
              <w:ind w:right="1133"/>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PSA atsakas** po 12 mėnesių – N (%) </w:t>
            </w:r>
          </w:p>
          <w:p w14:paraId="7B4D2E63" w14:textId="77777777" w:rsidR="00135562" w:rsidRPr="00D9492F" w:rsidRDefault="00135562">
            <w:pPr>
              <w:spacing w:after="0"/>
              <w:ind w:right="1133"/>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p reikšmė</w:t>
            </w:r>
            <w:r w:rsidRPr="00D9492F">
              <w:rPr>
                <w:rFonts w:ascii="Times New Roman" w:eastAsia="Times New Roman" w:hAnsi="Times New Roman"/>
                <w:i/>
                <w:color w:val="000000"/>
                <w:vertAlign w:val="superscript"/>
                <w:lang w:val="it-CH" w:eastAsia="it-CH"/>
              </w:rPr>
              <w:t>a</w:t>
            </w:r>
            <w:r w:rsidRPr="00D9492F">
              <w:rPr>
                <w:rFonts w:ascii="Times New Roman" w:eastAsia="Times New Roman" w:hAnsi="Times New Roman"/>
                <w:i/>
                <w:color w:val="000000"/>
                <w:sz w:val="34"/>
                <w:vertAlign w:val="superscript"/>
                <w:lang w:val="it-CH" w:eastAsia="it-CH"/>
              </w:rPr>
              <w:t>*</w:t>
            </w:r>
            <w:r w:rsidRPr="00D9492F">
              <w:rPr>
                <w:rFonts w:ascii="Times New Roman" w:eastAsia="Times New Roman" w:hAnsi="Times New Roman"/>
                <w:color w:val="000000"/>
                <w:lang w:val="it-CH" w:eastAsia="it-CH"/>
              </w:rPr>
              <w:t xml:space="preserve"> </w:t>
            </w:r>
          </w:p>
        </w:tc>
        <w:tc>
          <w:tcPr>
            <w:tcW w:w="2674" w:type="dxa"/>
            <w:tcBorders>
              <w:top w:val="single" w:sz="4" w:space="0" w:color="000000"/>
              <w:left w:val="single" w:sz="4" w:space="0" w:color="000000"/>
              <w:bottom w:val="single" w:sz="4" w:space="0" w:color="000000"/>
              <w:right w:val="single" w:sz="4" w:space="0" w:color="000000"/>
            </w:tcBorders>
            <w:hideMark/>
          </w:tcPr>
          <w:p w14:paraId="5AF9977B" w14:textId="77777777" w:rsidR="00135562" w:rsidRPr="00D9492F" w:rsidRDefault="00135562">
            <w:pPr>
              <w:spacing w:after="0"/>
              <w:ind w:left="706" w:right="648"/>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110 (27,7) </w:t>
            </w:r>
          </w:p>
          <w:p w14:paraId="34352BEA" w14:textId="77777777" w:rsidR="00135562" w:rsidRPr="00D9492F" w:rsidRDefault="00135562">
            <w:pPr>
              <w:spacing w:after="0"/>
              <w:ind w:left="706" w:right="648"/>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&lt; 0,0001 </w:t>
            </w:r>
          </w:p>
        </w:tc>
        <w:tc>
          <w:tcPr>
            <w:tcW w:w="1675" w:type="dxa"/>
            <w:tcBorders>
              <w:top w:val="single" w:sz="4" w:space="0" w:color="000000"/>
              <w:left w:val="single" w:sz="4" w:space="0" w:color="000000"/>
              <w:bottom w:val="single" w:sz="4" w:space="0" w:color="000000"/>
              <w:right w:val="single" w:sz="4" w:space="0" w:color="000000"/>
            </w:tcBorders>
            <w:hideMark/>
          </w:tcPr>
          <w:p w14:paraId="76E28EDD" w14:textId="77777777" w:rsidR="00135562" w:rsidRPr="00D9492F" w:rsidRDefault="00135562">
            <w:pPr>
              <w:spacing w:after="0"/>
              <w:ind w:left="9"/>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66 (16,8) </w:t>
            </w:r>
          </w:p>
          <w:p w14:paraId="6C8FB2D6"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r w:rsidR="00135562" w:rsidRPr="00D9492F" w14:paraId="2893F965" w14:textId="77777777" w:rsidTr="00135562">
        <w:trPr>
          <w:trHeight w:val="1289"/>
        </w:trPr>
        <w:tc>
          <w:tcPr>
            <w:tcW w:w="4937" w:type="dxa"/>
            <w:tcBorders>
              <w:top w:val="single" w:sz="4" w:space="0" w:color="000000"/>
              <w:left w:val="single" w:sz="4" w:space="0" w:color="000000"/>
              <w:bottom w:val="nil"/>
              <w:right w:val="single" w:sz="4" w:space="0" w:color="000000"/>
            </w:tcBorders>
            <w:hideMark/>
          </w:tcPr>
          <w:p w14:paraId="7EBECF57" w14:textId="35ADD2AC" w:rsidR="00135562" w:rsidRPr="00D9492F" w:rsidRDefault="00135562">
            <w:pPr>
              <w:spacing w:after="0" w:line="254" w:lineRule="auto"/>
              <w:ind w:right="185"/>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Laikotarpio iki kastracijai atsparaus prostatos vėžio pasireiškimo</w:t>
            </w:r>
            <w:r w:rsidRPr="00D9492F">
              <w:rPr>
                <w:rFonts w:ascii="Times New Roman" w:eastAsia="Times New Roman" w:hAnsi="Times New Roman"/>
                <w:i/>
                <w:color w:val="000000"/>
                <w:vertAlign w:val="superscript"/>
                <w:lang w:val="it-CH" w:eastAsia="it-CH"/>
              </w:rPr>
              <w:t>b</w:t>
            </w:r>
            <w:r w:rsidRPr="00D9492F">
              <w:rPr>
                <w:rFonts w:ascii="Times New Roman" w:eastAsia="Times New Roman" w:hAnsi="Times New Roman"/>
                <w:color w:val="000000"/>
                <w:lang w:val="it-CH" w:eastAsia="it-CH"/>
              </w:rPr>
              <w:t xml:space="preserve"> mediana (mėn.) </w:t>
            </w:r>
          </w:p>
          <w:p w14:paraId="79252BB9"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95 % PI </w:t>
            </w:r>
          </w:p>
          <w:p w14:paraId="220B406F"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Koreguota santykinė rizika </w:t>
            </w:r>
          </w:p>
        </w:tc>
        <w:tc>
          <w:tcPr>
            <w:tcW w:w="2674" w:type="dxa"/>
            <w:tcBorders>
              <w:top w:val="single" w:sz="4" w:space="0" w:color="000000"/>
              <w:left w:val="single" w:sz="4" w:space="0" w:color="000000"/>
              <w:bottom w:val="nil"/>
              <w:right w:val="single" w:sz="4" w:space="0" w:color="000000"/>
            </w:tcBorders>
            <w:hideMark/>
          </w:tcPr>
          <w:p w14:paraId="24B3AF47" w14:textId="77777777" w:rsidR="00135562" w:rsidRPr="00D9492F" w:rsidRDefault="00135562">
            <w:pPr>
              <w:spacing w:after="230"/>
              <w:ind w:left="58"/>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p w14:paraId="1C57FF2D" w14:textId="77777777" w:rsidR="00135562" w:rsidRPr="00D9492F" w:rsidRDefault="00135562">
            <w:pPr>
              <w:spacing w:after="0"/>
              <w:ind w:left="5"/>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20,2 </w:t>
            </w:r>
          </w:p>
          <w:p w14:paraId="76E526A7"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(17,2-23,6) </w:t>
            </w:r>
          </w:p>
          <w:p w14:paraId="5008D58B" w14:textId="77777777" w:rsidR="00135562" w:rsidRPr="00D9492F" w:rsidRDefault="00135562">
            <w:pPr>
              <w:spacing w:after="0"/>
              <w:ind w:left="5"/>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0,61 </w:t>
            </w:r>
          </w:p>
        </w:tc>
        <w:tc>
          <w:tcPr>
            <w:tcW w:w="1675" w:type="dxa"/>
            <w:tcBorders>
              <w:top w:val="single" w:sz="4" w:space="0" w:color="000000"/>
              <w:left w:val="single" w:sz="4" w:space="0" w:color="000000"/>
              <w:bottom w:val="nil"/>
              <w:right w:val="single" w:sz="4" w:space="0" w:color="000000"/>
            </w:tcBorders>
            <w:hideMark/>
          </w:tcPr>
          <w:p w14:paraId="7DF51F84" w14:textId="77777777" w:rsidR="00135562" w:rsidRPr="00D9492F" w:rsidRDefault="00135562">
            <w:pPr>
              <w:spacing w:after="230"/>
              <w:ind w:left="62"/>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p w14:paraId="3FC70BFB" w14:textId="77777777" w:rsidR="00135562" w:rsidRPr="00D9492F" w:rsidRDefault="00135562">
            <w:pPr>
              <w:spacing w:after="0"/>
              <w:ind w:left="10"/>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11,7 </w:t>
            </w:r>
          </w:p>
          <w:p w14:paraId="52236DEE" w14:textId="77777777" w:rsidR="00135562" w:rsidRPr="00D9492F" w:rsidRDefault="00135562">
            <w:pPr>
              <w:spacing w:after="0"/>
              <w:ind w:left="9"/>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(10,8-14,7) </w:t>
            </w:r>
          </w:p>
          <w:p w14:paraId="343D23D2"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r w:rsidR="00135562" w:rsidRPr="00D9492F" w14:paraId="2D8B5E4D" w14:textId="77777777" w:rsidTr="00135562">
        <w:trPr>
          <w:trHeight w:val="253"/>
        </w:trPr>
        <w:tc>
          <w:tcPr>
            <w:tcW w:w="4937" w:type="dxa"/>
            <w:tcBorders>
              <w:top w:val="nil"/>
              <w:left w:val="single" w:sz="4" w:space="0" w:color="000000"/>
              <w:bottom w:val="nil"/>
              <w:right w:val="single" w:sz="4" w:space="0" w:color="000000"/>
            </w:tcBorders>
            <w:hideMark/>
          </w:tcPr>
          <w:p w14:paraId="4FD363D1"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95 % PI </w:t>
            </w:r>
          </w:p>
        </w:tc>
        <w:tc>
          <w:tcPr>
            <w:tcW w:w="2674" w:type="dxa"/>
            <w:tcBorders>
              <w:top w:val="nil"/>
              <w:left w:val="single" w:sz="4" w:space="0" w:color="000000"/>
              <w:bottom w:val="nil"/>
              <w:right w:val="single" w:sz="4" w:space="0" w:color="000000"/>
            </w:tcBorders>
            <w:hideMark/>
          </w:tcPr>
          <w:p w14:paraId="7BA937BE"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(0,51-0,72) </w:t>
            </w:r>
          </w:p>
        </w:tc>
        <w:tc>
          <w:tcPr>
            <w:tcW w:w="1675" w:type="dxa"/>
            <w:tcBorders>
              <w:top w:val="nil"/>
              <w:left w:val="single" w:sz="4" w:space="0" w:color="000000"/>
              <w:bottom w:val="nil"/>
              <w:right w:val="single" w:sz="4" w:space="0" w:color="000000"/>
            </w:tcBorders>
            <w:hideMark/>
          </w:tcPr>
          <w:p w14:paraId="25CC66AA"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r w:rsidR="00135562" w:rsidRPr="00D9492F" w14:paraId="175E8760" w14:textId="77777777" w:rsidTr="00135562">
        <w:trPr>
          <w:trHeight w:val="296"/>
        </w:trPr>
        <w:tc>
          <w:tcPr>
            <w:tcW w:w="4937" w:type="dxa"/>
            <w:tcBorders>
              <w:top w:val="nil"/>
              <w:left w:val="single" w:sz="4" w:space="0" w:color="000000"/>
              <w:bottom w:val="single" w:sz="4" w:space="0" w:color="000000"/>
              <w:right w:val="single" w:sz="4" w:space="0" w:color="000000"/>
            </w:tcBorders>
            <w:hideMark/>
          </w:tcPr>
          <w:p w14:paraId="56AD81F1"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p reikšmė</w:t>
            </w:r>
            <w:r w:rsidRPr="00D9492F">
              <w:rPr>
                <w:rFonts w:ascii="Times New Roman" w:eastAsia="Times New Roman" w:hAnsi="Times New Roman"/>
                <w:i/>
                <w:color w:val="000000"/>
                <w:vertAlign w:val="superscript"/>
                <w:lang w:val="it-CH" w:eastAsia="it-CH"/>
              </w:rPr>
              <w:t>a</w:t>
            </w:r>
            <w:r w:rsidRPr="00D9492F">
              <w:rPr>
                <w:rFonts w:ascii="Times New Roman" w:eastAsia="Times New Roman" w:hAnsi="Times New Roman"/>
                <w:i/>
                <w:color w:val="000000"/>
                <w:sz w:val="34"/>
                <w:vertAlign w:val="superscript"/>
                <w:lang w:val="it-CH" w:eastAsia="it-CH"/>
              </w:rPr>
              <w:t>*</w:t>
            </w:r>
            <w:r w:rsidRPr="00D9492F">
              <w:rPr>
                <w:rFonts w:ascii="Times New Roman" w:eastAsia="Times New Roman" w:hAnsi="Times New Roman"/>
                <w:color w:val="000000"/>
                <w:lang w:val="it-CH" w:eastAsia="it-CH"/>
              </w:rPr>
              <w:t xml:space="preserve"> </w:t>
            </w:r>
          </w:p>
        </w:tc>
        <w:tc>
          <w:tcPr>
            <w:tcW w:w="2674" w:type="dxa"/>
            <w:tcBorders>
              <w:top w:val="nil"/>
              <w:left w:val="single" w:sz="4" w:space="0" w:color="000000"/>
              <w:bottom w:val="single" w:sz="4" w:space="0" w:color="000000"/>
              <w:right w:val="single" w:sz="4" w:space="0" w:color="000000"/>
            </w:tcBorders>
            <w:hideMark/>
          </w:tcPr>
          <w:p w14:paraId="595EEFD0" w14:textId="77777777" w:rsidR="00135562" w:rsidRPr="00D9492F" w:rsidRDefault="00135562">
            <w:pPr>
              <w:spacing w:after="0"/>
              <w:ind w:left="7"/>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&lt; 0,0001 </w:t>
            </w:r>
          </w:p>
        </w:tc>
        <w:tc>
          <w:tcPr>
            <w:tcW w:w="1675" w:type="dxa"/>
            <w:tcBorders>
              <w:top w:val="nil"/>
              <w:left w:val="single" w:sz="4" w:space="0" w:color="000000"/>
              <w:bottom w:val="single" w:sz="4" w:space="0" w:color="000000"/>
              <w:right w:val="single" w:sz="4" w:space="0" w:color="000000"/>
            </w:tcBorders>
            <w:hideMark/>
          </w:tcPr>
          <w:p w14:paraId="2A22E2AB"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r w:rsidR="00135562" w:rsidRPr="00D9492F" w14:paraId="1539A6C0" w14:textId="77777777" w:rsidTr="00135562">
        <w:trPr>
          <w:trHeight w:val="532"/>
        </w:trPr>
        <w:tc>
          <w:tcPr>
            <w:tcW w:w="4937" w:type="dxa"/>
            <w:tcBorders>
              <w:top w:val="single" w:sz="4" w:space="0" w:color="000000"/>
              <w:left w:val="single" w:sz="4" w:space="0" w:color="000000"/>
              <w:bottom w:val="nil"/>
              <w:right w:val="single" w:sz="4" w:space="0" w:color="000000"/>
            </w:tcBorders>
            <w:hideMark/>
          </w:tcPr>
          <w:p w14:paraId="207C2BC5" w14:textId="77777777" w:rsidR="00135562" w:rsidRPr="00D9492F" w:rsidRDefault="00135562">
            <w:pPr>
              <w:spacing w:after="0"/>
              <w:ind w:right="305"/>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Laikotarpio iki klinikinio progresavimo</w:t>
            </w:r>
            <w:r w:rsidRPr="00D9492F">
              <w:rPr>
                <w:rFonts w:ascii="Times New Roman" w:eastAsia="Times New Roman" w:hAnsi="Times New Roman"/>
                <w:i/>
                <w:color w:val="000000"/>
                <w:vertAlign w:val="superscript"/>
                <w:lang w:val="it-CH" w:eastAsia="it-CH"/>
              </w:rPr>
              <w:t>c</w:t>
            </w:r>
            <w:r w:rsidRPr="00D9492F">
              <w:rPr>
                <w:rFonts w:ascii="Times New Roman" w:eastAsia="Times New Roman" w:hAnsi="Times New Roman"/>
                <w:color w:val="000000"/>
                <w:lang w:val="it-CH" w:eastAsia="it-CH"/>
              </w:rPr>
              <w:t xml:space="preserve">  </w:t>
            </w:r>
          </w:p>
          <w:p w14:paraId="56A7D964" w14:textId="77777777" w:rsidR="00135562" w:rsidRPr="00D9492F" w:rsidRDefault="00135562">
            <w:pPr>
              <w:spacing w:after="0"/>
              <w:ind w:right="305"/>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mediana (mėn.) </w:t>
            </w:r>
          </w:p>
        </w:tc>
        <w:tc>
          <w:tcPr>
            <w:tcW w:w="2674" w:type="dxa"/>
            <w:tcBorders>
              <w:top w:val="single" w:sz="4" w:space="0" w:color="000000"/>
              <w:left w:val="single" w:sz="4" w:space="0" w:color="000000"/>
              <w:bottom w:val="nil"/>
              <w:right w:val="single" w:sz="4" w:space="0" w:color="000000"/>
            </w:tcBorders>
            <w:hideMark/>
          </w:tcPr>
          <w:p w14:paraId="004BAD58" w14:textId="77777777" w:rsidR="00135562" w:rsidRPr="00D9492F" w:rsidRDefault="00135562">
            <w:pPr>
              <w:spacing w:after="0"/>
              <w:ind w:left="58"/>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p w14:paraId="7245BE8A" w14:textId="77777777" w:rsidR="00135562" w:rsidRPr="00D9492F" w:rsidRDefault="00135562">
            <w:pPr>
              <w:spacing w:after="0"/>
              <w:ind w:left="5"/>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33,0 </w:t>
            </w:r>
          </w:p>
        </w:tc>
        <w:tc>
          <w:tcPr>
            <w:tcW w:w="1675" w:type="dxa"/>
            <w:tcBorders>
              <w:top w:val="single" w:sz="4" w:space="0" w:color="000000"/>
              <w:left w:val="single" w:sz="4" w:space="0" w:color="000000"/>
              <w:bottom w:val="nil"/>
              <w:right w:val="single" w:sz="4" w:space="0" w:color="000000"/>
            </w:tcBorders>
            <w:hideMark/>
          </w:tcPr>
          <w:p w14:paraId="78ABAF77" w14:textId="77777777" w:rsidR="00135562" w:rsidRPr="00D9492F" w:rsidRDefault="00135562">
            <w:pPr>
              <w:spacing w:after="0"/>
              <w:ind w:left="62"/>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p w14:paraId="6D774FB4" w14:textId="77777777" w:rsidR="00135562" w:rsidRPr="00D9492F" w:rsidRDefault="00135562">
            <w:pPr>
              <w:spacing w:after="0"/>
              <w:ind w:left="10"/>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19,8 </w:t>
            </w:r>
          </w:p>
        </w:tc>
      </w:tr>
      <w:tr w:rsidR="00135562" w:rsidRPr="00D9492F" w14:paraId="46261036" w14:textId="77777777" w:rsidTr="00135562">
        <w:trPr>
          <w:trHeight w:val="252"/>
        </w:trPr>
        <w:tc>
          <w:tcPr>
            <w:tcW w:w="4937" w:type="dxa"/>
            <w:tcBorders>
              <w:top w:val="nil"/>
              <w:left w:val="single" w:sz="4" w:space="0" w:color="000000"/>
              <w:bottom w:val="nil"/>
              <w:right w:val="single" w:sz="4" w:space="0" w:color="000000"/>
            </w:tcBorders>
            <w:hideMark/>
          </w:tcPr>
          <w:p w14:paraId="5FBEDF0D"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95 % PI </w:t>
            </w:r>
          </w:p>
        </w:tc>
        <w:tc>
          <w:tcPr>
            <w:tcW w:w="2674" w:type="dxa"/>
            <w:tcBorders>
              <w:top w:val="nil"/>
              <w:left w:val="single" w:sz="4" w:space="0" w:color="000000"/>
              <w:bottom w:val="nil"/>
              <w:right w:val="single" w:sz="4" w:space="0" w:color="000000"/>
            </w:tcBorders>
            <w:hideMark/>
          </w:tcPr>
          <w:p w14:paraId="387FE49E"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(27,3-41,2) </w:t>
            </w:r>
          </w:p>
        </w:tc>
        <w:tc>
          <w:tcPr>
            <w:tcW w:w="1675" w:type="dxa"/>
            <w:tcBorders>
              <w:top w:val="nil"/>
              <w:left w:val="single" w:sz="4" w:space="0" w:color="000000"/>
              <w:bottom w:val="nil"/>
              <w:right w:val="single" w:sz="4" w:space="0" w:color="000000"/>
            </w:tcBorders>
            <w:hideMark/>
          </w:tcPr>
          <w:p w14:paraId="1D7254A5" w14:textId="77777777" w:rsidR="00135562" w:rsidRPr="00D9492F" w:rsidRDefault="00135562">
            <w:pPr>
              <w:spacing w:after="0"/>
              <w:ind w:left="9"/>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(17,9-22,8) </w:t>
            </w:r>
          </w:p>
        </w:tc>
      </w:tr>
      <w:tr w:rsidR="00135562" w:rsidRPr="00D9492F" w14:paraId="388A38B6" w14:textId="77777777" w:rsidTr="00135562">
        <w:trPr>
          <w:trHeight w:val="253"/>
        </w:trPr>
        <w:tc>
          <w:tcPr>
            <w:tcW w:w="4937" w:type="dxa"/>
            <w:tcBorders>
              <w:top w:val="nil"/>
              <w:left w:val="single" w:sz="4" w:space="0" w:color="000000"/>
              <w:bottom w:val="nil"/>
              <w:right w:val="single" w:sz="4" w:space="0" w:color="000000"/>
            </w:tcBorders>
            <w:hideMark/>
          </w:tcPr>
          <w:p w14:paraId="3D48D264"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Koreguota santykinė rizika </w:t>
            </w:r>
          </w:p>
        </w:tc>
        <w:tc>
          <w:tcPr>
            <w:tcW w:w="2674" w:type="dxa"/>
            <w:tcBorders>
              <w:top w:val="nil"/>
              <w:left w:val="single" w:sz="4" w:space="0" w:color="000000"/>
              <w:bottom w:val="nil"/>
              <w:right w:val="single" w:sz="4" w:space="0" w:color="000000"/>
            </w:tcBorders>
            <w:hideMark/>
          </w:tcPr>
          <w:p w14:paraId="2DBC19F3" w14:textId="77777777" w:rsidR="00135562" w:rsidRPr="00D9492F" w:rsidRDefault="00135562">
            <w:pPr>
              <w:spacing w:after="0"/>
              <w:ind w:left="5"/>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0,61 </w:t>
            </w:r>
          </w:p>
        </w:tc>
        <w:tc>
          <w:tcPr>
            <w:tcW w:w="1675" w:type="dxa"/>
            <w:tcBorders>
              <w:top w:val="nil"/>
              <w:left w:val="single" w:sz="4" w:space="0" w:color="000000"/>
              <w:bottom w:val="nil"/>
              <w:right w:val="single" w:sz="4" w:space="0" w:color="000000"/>
            </w:tcBorders>
            <w:hideMark/>
          </w:tcPr>
          <w:p w14:paraId="243C4E07"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r w:rsidR="00135562" w:rsidRPr="00D9492F" w14:paraId="0FF1CFA1" w14:textId="77777777" w:rsidTr="00135562">
        <w:trPr>
          <w:trHeight w:val="253"/>
        </w:trPr>
        <w:tc>
          <w:tcPr>
            <w:tcW w:w="4937" w:type="dxa"/>
            <w:tcBorders>
              <w:top w:val="nil"/>
              <w:left w:val="single" w:sz="4" w:space="0" w:color="000000"/>
              <w:bottom w:val="nil"/>
              <w:right w:val="single" w:sz="4" w:space="0" w:color="000000"/>
            </w:tcBorders>
            <w:hideMark/>
          </w:tcPr>
          <w:p w14:paraId="29AE739D"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95 % PI </w:t>
            </w:r>
          </w:p>
        </w:tc>
        <w:tc>
          <w:tcPr>
            <w:tcW w:w="2674" w:type="dxa"/>
            <w:tcBorders>
              <w:top w:val="nil"/>
              <w:left w:val="single" w:sz="4" w:space="0" w:color="000000"/>
              <w:bottom w:val="nil"/>
              <w:right w:val="single" w:sz="4" w:space="0" w:color="000000"/>
            </w:tcBorders>
            <w:hideMark/>
          </w:tcPr>
          <w:p w14:paraId="24960B2E"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(0,50-0,75) </w:t>
            </w:r>
          </w:p>
        </w:tc>
        <w:tc>
          <w:tcPr>
            <w:tcW w:w="1675" w:type="dxa"/>
            <w:tcBorders>
              <w:top w:val="nil"/>
              <w:left w:val="single" w:sz="4" w:space="0" w:color="000000"/>
              <w:bottom w:val="nil"/>
              <w:right w:val="single" w:sz="4" w:space="0" w:color="000000"/>
            </w:tcBorders>
            <w:hideMark/>
          </w:tcPr>
          <w:p w14:paraId="2B379F95"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r w:rsidR="00135562" w:rsidRPr="00D9492F" w14:paraId="523771F6" w14:textId="77777777" w:rsidTr="00135562">
        <w:trPr>
          <w:trHeight w:val="296"/>
        </w:trPr>
        <w:tc>
          <w:tcPr>
            <w:tcW w:w="4937" w:type="dxa"/>
            <w:tcBorders>
              <w:top w:val="nil"/>
              <w:left w:val="single" w:sz="4" w:space="0" w:color="000000"/>
              <w:bottom w:val="single" w:sz="4" w:space="0" w:color="000000"/>
              <w:right w:val="single" w:sz="4" w:space="0" w:color="000000"/>
            </w:tcBorders>
            <w:hideMark/>
          </w:tcPr>
          <w:p w14:paraId="4AB70551" w14:textId="77777777" w:rsidR="00135562" w:rsidRPr="00D9492F" w:rsidRDefault="00135562">
            <w:pPr>
              <w:spacing w:after="0"/>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p reikšmė</w:t>
            </w:r>
            <w:r w:rsidRPr="00D9492F">
              <w:rPr>
                <w:rFonts w:ascii="Times New Roman" w:eastAsia="Times New Roman" w:hAnsi="Times New Roman"/>
                <w:i/>
                <w:color w:val="000000"/>
                <w:vertAlign w:val="superscript"/>
                <w:lang w:val="it-CH" w:eastAsia="it-CH"/>
              </w:rPr>
              <w:t>a</w:t>
            </w:r>
            <w:r w:rsidRPr="00D9492F">
              <w:rPr>
                <w:rFonts w:ascii="Times New Roman" w:eastAsia="Times New Roman" w:hAnsi="Times New Roman"/>
                <w:i/>
                <w:color w:val="000000"/>
                <w:sz w:val="34"/>
                <w:vertAlign w:val="superscript"/>
                <w:lang w:val="it-CH" w:eastAsia="it-CH"/>
              </w:rPr>
              <w:t>*</w:t>
            </w:r>
            <w:r w:rsidRPr="00D9492F">
              <w:rPr>
                <w:rFonts w:ascii="Times New Roman" w:eastAsia="Times New Roman" w:hAnsi="Times New Roman"/>
                <w:color w:val="000000"/>
                <w:lang w:val="it-CH" w:eastAsia="it-CH"/>
              </w:rPr>
              <w:t xml:space="preserve"> </w:t>
            </w:r>
          </w:p>
        </w:tc>
        <w:tc>
          <w:tcPr>
            <w:tcW w:w="2674" w:type="dxa"/>
            <w:tcBorders>
              <w:top w:val="nil"/>
              <w:left w:val="single" w:sz="4" w:space="0" w:color="000000"/>
              <w:bottom w:val="single" w:sz="4" w:space="0" w:color="000000"/>
              <w:right w:val="single" w:sz="4" w:space="0" w:color="000000"/>
            </w:tcBorders>
            <w:hideMark/>
          </w:tcPr>
          <w:p w14:paraId="6A53C63F" w14:textId="77777777" w:rsidR="00135562" w:rsidRPr="00D9492F" w:rsidRDefault="00135562">
            <w:pPr>
              <w:spacing w:after="0"/>
              <w:ind w:left="7"/>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&lt; 0,0001 </w:t>
            </w:r>
          </w:p>
        </w:tc>
        <w:tc>
          <w:tcPr>
            <w:tcW w:w="1675" w:type="dxa"/>
            <w:tcBorders>
              <w:top w:val="nil"/>
              <w:left w:val="single" w:sz="4" w:space="0" w:color="000000"/>
              <w:bottom w:val="single" w:sz="4" w:space="0" w:color="000000"/>
              <w:right w:val="single" w:sz="4" w:space="0" w:color="000000"/>
            </w:tcBorders>
            <w:hideMark/>
          </w:tcPr>
          <w:p w14:paraId="2AE94637" w14:textId="77777777" w:rsidR="00135562" w:rsidRPr="00D9492F" w:rsidRDefault="00135562">
            <w:pPr>
              <w:spacing w:after="0"/>
              <w:ind w:left="4"/>
              <w:jc w:val="center"/>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w:t>
            </w:r>
          </w:p>
        </w:tc>
      </w:tr>
    </w:tbl>
    <w:p w14:paraId="341BDD3C" w14:textId="77777777" w:rsidR="00135562" w:rsidRPr="00D9492F" w:rsidRDefault="00135562" w:rsidP="00135562">
      <w:pPr>
        <w:spacing w:after="16" w:line="244" w:lineRule="auto"/>
        <w:ind w:left="59" w:right="2833" w:hanging="70"/>
        <w:rPr>
          <w:rFonts w:ascii="Times New Roman" w:eastAsia="Times New Roman" w:hAnsi="Times New Roman"/>
          <w:color w:val="000000"/>
          <w:lang w:val="it-CH" w:eastAsia="it-CH"/>
        </w:rPr>
      </w:pPr>
      <w:r w:rsidRPr="00D9492F">
        <w:rPr>
          <w:rFonts w:ascii="Times New Roman" w:eastAsia="Times New Roman" w:hAnsi="Times New Roman"/>
          <w:i/>
          <w:color w:val="000000"/>
          <w:sz w:val="14"/>
          <w:lang w:val="it-CH" w:eastAsia="it-CH"/>
        </w:rPr>
        <w:t xml:space="preserve">a </w:t>
      </w:r>
      <w:r w:rsidRPr="00D9492F">
        <w:rPr>
          <w:rFonts w:ascii="Times New Roman" w:eastAsia="Times New Roman" w:hAnsi="Times New Roman"/>
          <w:color w:val="000000"/>
          <w:lang w:val="it-CH" w:eastAsia="it-CH"/>
        </w:rPr>
        <w:t xml:space="preserve"> Laikotarpio iki reiškinio kintamieji: stratifikuotas </w:t>
      </w:r>
      <w:r w:rsidRPr="00D9492F">
        <w:rPr>
          <w:rFonts w:ascii="Times New Roman" w:eastAsia="Times New Roman" w:hAnsi="Times New Roman"/>
          <w:i/>
          <w:color w:val="000000"/>
          <w:lang w:val="it-CH" w:eastAsia="it-CH"/>
        </w:rPr>
        <w:t>log-rank</w:t>
      </w:r>
      <w:r w:rsidRPr="00D9492F">
        <w:rPr>
          <w:rFonts w:ascii="Times New Roman" w:eastAsia="Times New Roman" w:hAnsi="Times New Roman"/>
          <w:color w:val="000000"/>
          <w:lang w:val="it-CH" w:eastAsia="it-CH"/>
        </w:rPr>
        <w:t xml:space="preserve"> testas.  </w:t>
      </w:r>
    </w:p>
    <w:p w14:paraId="2C030BBC" w14:textId="77777777" w:rsidR="00135562" w:rsidRPr="00D9492F" w:rsidRDefault="00135562" w:rsidP="00135562">
      <w:pPr>
        <w:spacing w:after="5" w:line="244" w:lineRule="auto"/>
        <w:ind w:right="12" w:hanging="9"/>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Atsako dažnio kintamieji: </w:t>
      </w:r>
      <w:r w:rsidRPr="00D9492F">
        <w:rPr>
          <w:rFonts w:ascii="Times New Roman" w:eastAsia="Times New Roman" w:hAnsi="Times New Roman"/>
          <w:i/>
          <w:color w:val="000000"/>
          <w:lang w:val="it-CH" w:eastAsia="it-CH"/>
        </w:rPr>
        <w:t>Fisher's</w:t>
      </w:r>
      <w:r w:rsidRPr="00D9492F">
        <w:rPr>
          <w:rFonts w:ascii="Times New Roman" w:eastAsia="Times New Roman" w:hAnsi="Times New Roman"/>
          <w:color w:val="000000"/>
          <w:lang w:val="it-CH" w:eastAsia="it-CH"/>
        </w:rPr>
        <w:t xml:space="preserve"> tikslusis testas. </w:t>
      </w:r>
    </w:p>
    <w:p w14:paraId="0BE5E2F9" w14:textId="77777777" w:rsidR="00135562" w:rsidRPr="00D9492F" w:rsidRDefault="00135562" w:rsidP="00135562">
      <w:pPr>
        <w:spacing w:after="5" w:line="244" w:lineRule="auto"/>
        <w:ind w:right="12" w:hanging="9"/>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p reikšmė aprašomiesiems tikslams. </w:t>
      </w:r>
    </w:p>
    <w:p w14:paraId="0D411C5D" w14:textId="592EFD4D" w:rsidR="00135562" w:rsidRPr="00D9492F" w:rsidRDefault="00135562" w:rsidP="00135562">
      <w:pPr>
        <w:spacing w:after="16" w:line="244" w:lineRule="auto"/>
        <w:ind w:left="-2" w:hanging="9"/>
        <w:rPr>
          <w:rFonts w:ascii="Times New Roman" w:eastAsia="Times New Roman" w:hAnsi="Times New Roman"/>
          <w:color w:val="000000"/>
          <w:lang w:val="it-CH" w:eastAsia="it-CH"/>
        </w:rPr>
      </w:pPr>
      <w:r w:rsidRPr="00D9492F">
        <w:rPr>
          <w:rFonts w:ascii="Times New Roman" w:eastAsia="Times New Roman" w:hAnsi="Times New Roman"/>
          <w:color w:val="000000"/>
          <w:lang w:val="it-CH" w:eastAsia="it-CH"/>
        </w:rPr>
        <w:t xml:space="preserve">** PSA atsakas: prostatai specifinio antigeno atsakas: PSA </w:t>
      </w:r>
      <w:r w:rsidR="00BF2CAF" w:rsidRPr="00D9492F">
        <w:rPr>
          <w:rFonts w:ascii="Times New Roman" w:eastAsia="Times New Roman" w:hAnsi="Times New Roman"/>
          <w:color w:val="000000"/>
          <w:lang w:val="it-CH" w:eastAsia="it-CH"/>
        </w:rPr>
        <w:t>koncentracija</w:t>
      </w:r>
      <w:r w:rsidRPr="00D9492F">
        <w:rPr>
          <w:rFonts w:ascii="Times New Roman" w:eastAsia="Times New Roman" w:hAnsi="Times New Roman"/>
          <w:color w:val="000000"/>
          <w:lang w:val="it-CH" w:eastAsia="it-CH"/>
        </w:rPr>
        <w:t xml:space="preserve"> &lt; 0,2 ng/ml, nustatytas dv</w:t>
      </w:r>
      <w:r w:rsidR="00BF2CAF" w:rsidRPr="00D9492F">
        <w:rPr>
          <w:rFonts w:ascii="Times New Roman" w:eastAsia="Times New Roman" w:hAnsi="Times New Roman"/>
          <w:color w:val="000000"/>
          <w:lang w:val="it-CH" w:eastAsia="it-CH"/>
        </w:rPr>
        <w:t>ejais</w:t>
      </w:r>
      <w:r w:rsidRPr="00D9492F">
        <w:rPr>
          <w:rFonts w:ascii="Times New Roman" w:eastAsia="Times New Roman" w:hAnsi="Times New Roman"/>
          <w:color w:val="000000"/>
          <w:lang w:val="it-CH" w:eastAsia="it-CH"/>
        </w:rPr>
        <w:t xml:space="preserve"> iš eilės atliktais tyrimais, tarp kurių buvo ne mažesnė kaip 4 savaičių pertrauka. </w:t>
      </w:r>
    </w:p>
    <w:p w14:paraId="15E9CE37" w14:textId="4B9C45D8" w:rsidR="00135562" w:rsidRPr="00D9492F" w:rsidRDefault="00135562" w:rsidP="00135562">
      <w:pPr>
        <w:spacing w:after="5" w:line="244" w:lineRule="auto"/>
        <w:ind w:right="591" w:hanging="9"/>
        <w:rPr>
          <w:rFonts w:ascii="Times New Roman" w:eastAsia="Times New Roman" w:hAnsi="Times New Roman"/>
          <w:color w:val="000000"/>
          <w:lang w:val="it-CH" w:eastAsia="it-CH"/>
        </w:rPr>
      </w:pPr>
      <w:r w:rsidRPr="00D9492F">
        <w:rPr>
          <w:rFonts w:ascii="Times New Roman" w:eastAsia="Times New Roman" w:hAnsi="Times New Roman"/>
          <w:i/>
          <w:color w:val="000000"/>
          <w:sz w:val="14"/>
          <w:lang w:val="it-CH" w:eastAsia="it-CH"/>
        </w:rPr>
        <w:t xml:space="preserve">b </w:t>
      </w:r>
      <w:r w:rsidRPr="00D9492F">
        <w:rPr>
          <w:rFonts w:ascii="Times New Roman" w:eastAsia="Times New Roman" w:hAnsi="Times New Roman"/>
          <w:color w:val="000000"/>
          <w:lang w:val="it-CH" w:eastAsia="it-CH"/>
        </w:rPr>
        <w:t xml:space="preserve"> Laikotarpis iki kastracijai atsparaus prostatos vėžio pasireiškimo – laikotarpis nuo priskyrimo atsitiktinei imčiai iki PSA progresavimo, klinikinio progresavimo (t. y. simptominių metastazių kauluose progresavimo, progresavimo pagal </w:t>
      </w:r>
      <w:r w:rsidR="00BF2CAF" w:rsidRPr="00D9492F">
        <w:rPr>
          <w:rFonts w:ascii="Times New Roman" w:eastAsia="Times New Roman" w:hAnsi="Times New Roman"/>
          <w:color w:val="000000"/>
          <w:lang w:val="it-CH" w:eastAsia="it-CH"/>
        </w:rPr>
        <w:t>Solidinių</w:t>
      </w:r>
      <w:r w:rsidRPr="00D9492F">
        <w:rPr>
          <w:rFonts w:ascii="Times New Roman" w:eastAsia="Times New Roman" w:hAnsi="Times New Roman"/>
          <w:color w:val="000000"/>
          <w:lang w:val="it-CH" w:eastAsia="it-CH"/>
        </w:rPr>
        <w:t xml:space="preserve"> navik</w:t>
      </w:r>
      <w:r w:rsidR="00BF2CAF" w:rsidRPr="00D9492F">
        <w:rPr>
          <w:rFonts w:ascii="Times New Roman" w:eastAsia="Times New Roman" w:hAnsi="Times New Roman"/>
          <w:color w:val="000000"/>
          <w:lang w:val="it-CH" w:eastAsia="it-CH"/>
        </w:rPr>
        <w:t>ų</w:t>
      </w:r>
      <w:r w:rsidRPr="00D9492F">
        <w:rPr>
          <w:rFonts w:ascii="Times New Roman" w:eastAsia="Times New Roman" w:hAnsi="Times New Roman"/>
          <w:color w:val="000000"/>
          <w:lang w:val="it-CH" w:eastAsia="it-CH"/>
        </w:rPr>
        <w:t xml:space="preserve"> </w:t>
      </w:r>
      <w:r w:rsidR="00BF2CAF" w:rsidRPr="00D9492F">
        <w:rPr>
          <w:rFonts w:ascii="Times New Roman" w:eastAsia="Times New Roman" w:hAnsi="Times New Roman"/>
          <w:color w:val="000000"/>
          <w:lang w:val="it-CH" w:eastAsia="it-CH"/>
        </w:rPr>
        <w:t>gydymo poveikio</w:t>
      </w:r>
      <w:r w:rsidRPr="00D9492F">
        <w:rPr>
          <w:rFonts w:ascii="Times New Roman" w:eastAsia="Times New Roman" w:hAnsi="Times New Roman"/>
          <w:color w:val="000000"/>
          <w:lang w:val="it-CH" w:eastAsia="it-CH"/>
        </w:rPr>
        <w:t xml:space="preserve"> kriterijus (angl. </w:t>
      </w:r>
      <w:r w:rsidRPr="00D9492F">
        <w:rPr>
          <w:rFonts w:ascii="Times New Roman" w:eastAsia="Times New Roman" w:hAnsi="Times New Roman"/>
          <w:i/>
          <w:color w:val="000000"/>
          <w:lang w:val="it-CH" w:eastAsia="it-CH"/>
        </w:rPr>
        <w:lastRenderedPageBreak/>
        <w:t>Response Evaluation Criteria in Solid Tumours</w:t>
      </w:r>
      <w:r w:rsidRPr="00D9492F">
        <w:rPr>
          <w:rFonts w:ascii="Times New Roman" w:eastAsia="Times New Roman" w:hAnsi="Times New Roman"/>
          <w:color w:val="000000"/>
          <w:lang w:val="it-CH" w:eastAsia="it-CH"/>
        </w:rPr>
        <w:t xml:space="preserve">, RECIST) ar vėžio nulemto klinikinės būklės blogėjimo tyrėjo sprendimu), priklausomai nuo to, kas pasireiškia anksčiau. </w:t>
      </w:r>
    </w:p>
    <w:p w14:paraId="4598D0D2" w14:textId="77777777" w:rsidR="00135562" w:rsidRPr="00D9492F" w:rsidRDefault="00135562" w:rsidP="00135562">
      <w:pPr>
        <w:spacing w:after="0"/>
        <w:ind w:left="-3" w:hanging="10"/>
        <w:rPr>
          <w:rFonts w:ascii="Times New Roman" w:eastAsia="Times New Roman" w:hAnsi="Times New Roman"/>
          <w:color w:val="000000"/>
          <w:lang w:val="it-CH" w:eastAsia="it-CH"/>
        </w:rPr>
      </w:pPr>
      <w:r w:rsidRPr="00D9492F">
        <w:rPr>
          <w:rFonts w:ascii="Times New Roman" w:eastAsia="Times New Roman" w:hAnsi="Times New Roman"/>
          <w:i/>
          <w:color w:val="000000"/>
          <w:sz w:val="14"/>
          <w:lang w:val="it-CH" w:eastAsia="it-CH"/>
        </w:rPr>
        <w:t>c</w:t>
      </w:r>
      <w:r w:rsidRPr="00D9492F">
        <w:rPr>
          <w:rFonts w:ascii="Times New Roman" w:eastAsia="Times New Roman" w:hAnsi="Times New Roman"/>
          <w:color w:val="000000"/>
          <w:lang w:val="it-CH" w:eastAsia="it-CH"/>
        </w:rPr>
        <w:t xml:space="preserve"> Laikotarpis iki klinikinio progresavimo – laikotarpis nuo priskyrimo atsitiktinei imčiai iki klinikinio progresavimo (t. y. simptominių metastazių kauluose progresavimo, progresavimo pagal RECIST kriterijus ar vėžio nulemto klinikinės būklės blogėjimo tyrėjo sprendimu). </w:t>
      </w:r>
    </w:p>
    <w:p w14:paraId="6FBA35FB" w14:textId="77777777" w:rsidR="00DC1CDC" w:rsidRPr="00D9492F" w:rsidRDefault="00DC1CDC" w:rsidP="00DC1CDC">
      <w:pPr>
        <w:spacing w:after="0" w:line="240" w:lineRule="auto"/>
        <w:rPr>
          <w:rFonts w:ascii="Times New Roman" w:hAnsi="Times New Roman"/>
          <w:lang w:val="it-CH"/>
        </w:rPr>
      </w:pPr>
    </w:p>
    <w:p w14:paraId="55B5DF22" w14:textId="77777777" w:rsidR="00DC1CDC" w:rsidRPr="00D9492F" w:rsidRDefault="00DC1CDC" w:rsidP="00DC1CDC">
      <w:pPr>
        <w:keepNext/>
        <w:keepLines/>
        <w:spacing w:after="0" w:line="240" w:lineRule="auto"/>
        <w:rPr>
          <w:rFonts w:ascii="Times New Roman" w:hAnsi="Times New Roman"/>
          <w:bCs/>
          <w:i/>
          <w:iCs/>
          <w:u w:val="single"/>
        </w:rPr>
      </w:pPr>
      <w:r w:rsidRPr="00D9492F">
        <w:rPr>
          <w:rFonts w:ascii="Times New Roman" w:hAnsi="Times New Roman"/>
          <w:bCs/>
          <w:i/>
          <w:iCs/>
          <w:u w:val="single"/>
        </w:rPr>
        <w:t>Skrandžio adenokarcinoma</w:t>
      </w:r>
    </w:p>
    <w:p w14:paraId="3D3E0C6B" w14:textId="77777777" w:rsidR="00DC1CDC" w:rsidRPr="00D9492F" w:rsidRDefault="00DC1CDC" w:rsidP="00DC1CDC">
      <w:pPr>
        <w:spacing w:after="0" w:line="240" w:lineRule="auto"/>
        <w:rPr>
          <w:rFonts w:ascii="Times New Roman" w:hAnsi="Times New Roman"/>
        </w:rPr>
      </w:pPr>
    </w:p>
    <w:p w14:paraId="106F426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Buvo atliktas daugiacentris atviras atsitiktinių imčių tyrimas, kurio metu vertintas pacientų, kurie sirgo metastazavusia skrandžio adenokarcinoma, įskaitant skrandžio ir stemplės jungties adenokarcinomą, ir kuriems metastazavusios ligos chemoterapija anksčiau netaikyta, gydymo docetakseliu veiksmingumas bei saugumas. Viso 445 pacientai, kurių KPS buvo &gt; 70, gydyti arba docetakseliu (T) (75 mg/m</w:t>
      </w:r>
      <w:r w:rsidRPr="00D9492F">
        <w:rPr>
          <w:rFonts w:ascii="Times New Roman" w:hAnsi="Times New Roman"/>
          <w:vertAlign w:val="superscript"/>
        </w:rPr>
        <w:t>2 </w:t>
      </w:r>
      <w:r w:rsidRPr="00D9492F">
        <w:rPr>
          <w:rFonts w:ascii="Times New Roman" w:hAnsi="Times New Roman"/>
        </w:rPr>
        <w:t>1 parą), cisplatina (C) (75 mg/m</w:t>
      </w:r>
      <w:r w:rsidRPr="00D9492F">
        <w:rPr>
          <w:rFonts w:ascii="Times New Roman" w:hAnsi="Times New Roman"/>
          <w:vertAlign w:val="superscript"/>
        </w:rPr>
        <w:t>2 </w:t>
      </w:r>
      <w:r w:rsidRPr="00D9492F">
        <w:rPr>
          <w:rFonts w:ascii="Times New Roman" w:hAnsi="Times New Roman"/>
        </w:rPr>
        <w:t>1 parą) ir 5</w:t>
      </w:r>
      <w:r w:rsidRPr="00D9492F">
        <w:rPr>
          <w:rFonts w:ascii="Times New Roman" w:hAnsi="Times New Roman"/>
        </w:rPr>
        <w:noBreakHyphen/>
        <w:t>fluorouracilu (F) (750 mg/m</w:t>
      </w:r>
      <w:r w:rsidRPr="00D9492F">
        <w:rPr>
          <w:rFonts w:ascii="Times New Roman" w:hAnsi="Times New Roman"/>
          <w:vertAlign w:val="superscript"/>
        </w:rPr>
        <w:t>2 </w:t>
      </w:r>
      <w:r w:rsidRPr="00D9492F">
        <w:rPr>
          <w:rFonts w:ascii="Times New Roman" w:hAnsi="Times New Roman"/>
        </w:rPr>
        <w:t>per parą 5 dienas), arba cisplatina (100 mg/m</w:t>
      </w:r>
      <w:r w:rsidRPr="00D9492F">
        <w:rPr>
          <w:rFonts w:ascii="Times New Roman" w:hAnsi="Times New Roman"/>
          <w:vertAlign w:val="superscript"/>
        </w:rPr>
        <w:t>2 </w:t>
      </w:r>
      <w:r w:rsidRPr="00D9492F">
        <w:rPr>
          <w:rFonts w:ascii="Times New Roman" w:hAnsi="Times New Roman"/>
        </w:rPr>
        <w:t>1 parą) ir 5</w:t>
      </w:r>
      <w:r w:rsidRPr="00D9492F">
        <w:rPr>
          <w:rFonts w:ascii="Times New Roman" w:hAnsi="Times New Roman"/>
        </w:rPr>
        <w:noBreakHyphen/>
        <w:t>fluorouracilu (1000 mg/m</w:t>
      </w:r>
      <w:r w:rsidRPr="00D9492F">
        <w:rPr>
          <w:rFonts w:ascii="Times New Roman" w:hAnsi="Times New Roman"/>
          <w:vertAlign w:val="superscript"/>
        </w:rPr>
        <w:t>2 </w:t>
      </w:r>
      <w:r w:rsidRPr="00D9492F">
        <w:rPr>
          <w:rFonts w:ascii="Times New Roman" w:hAnsi="Times New Roman"/>
        </w:rPr>
        <w:t>per parą 5 dienas). Gydymo ciklo trukmė TCF grupėje buvo 3 savaitės, CF grupėje - 4 savaitės. TCF grupėje pacientui skirtų gydymo ciklų mediana buvo 6 (1</w:t>
      </w:r>
      <w:r w:rsidRPr="00D9492F">
        <w:rPr>
          <w:rFonts w:ascii="Times New Roman" w:hAnsi="Times New Roman"/>
        </w:rPr>
        <w:noBreakHyphen/>
        <w:t>16), o CF grupėje 4 (1</w:t>
      </w:r>
      <w:r w:rsidRPr="00D9492F">
        <w:rPr>
          <w:rFonts w:ascii="Times New Roman" w:hAnsi="Times New Roman"/>
        </w:rPr>
        <w:noBreakHyphen/>
        <w:t>12). Pagrindinė vertinamoji baigtis buvo laikotarpis iki ligos progresavimo (angl.</w:t>
      </w:r>
      <w:r w:rsidR="0035619F" w:rsidRPr="00D9492F">
        <w:rPr>
          <w:rFonts w:ascii="Times New Roman" w:hAnsi="Times New Roman"/>
        </w:rPr>
        <w:t>,</w:t>
      </w:r>
      <w:r w:rsidRPr="00D9492F">
        <w:rPr>
          <w:rFonts w:ascii="Times New Roman" w:hAnsi="Times New Roman"/>
        </w:rPr>
        <w:t xml:space="preserve"> </w:t>
      </w:r>
      <w:r w:rsidRPr="00D9492F">
        <w:rPr>
          <w:rFonts w:ascii="Times New Roman" w:hAnsi="Times New Roman"/>
          <w:i/>
        </w:rPr>
        <w:t>Time to progression</w:t>
      </w:r>
      <w:r w:rsidRPr="00D9492F">
        <w:rPr>
          <w:rFonts w:ascii="Times New Roman" w:hAnsi="Times New Roman"/>
        </w:rPr>
        <w:t xml:space="preserve"> (TTP). TCF grupės gydymo rezultatai buvo geresni: progresavimo pavojus sumažėjo 32,1 % o TTP buvo reikšmingai ilgesnis (p = 0,0004). Bendras išgyvenamumas TCF grupėje buvo reikšmingai ilgesnis (p = 0,0201), mirties pavojus sumažėjo 22,7 %. Gydymo veiksmingumo duomenys apibendrinami toliau pateiktoje lentelėje.</w:t>
      </w:r>
    </w:p>
    <w:p w14:paraId="17527774" w14:textId="77777777" w:rsidR="00DC1CDC" w:rsidRPr="00D9492F" w:rsidRDefault="00DC1CDC" w:rsidP="00DC1CDC">
      <w:pPr>
        <w:spacing w:after="0" w:line="240" w:lineRule="auto"/>
        <w:rPr>
          <w:rFonts w:ascii="Times New Roman" w:hAnsi="Times New Roman"/>
        </w:rPr>
      </w:pPr>
    </w:p>
    <w:p w14:paraId="51BD6C6A" w14:textId="77777777" w:rsidR="00DC1CDC" w:rsidRPr="00D9492F" w:rsidRDefault="00DC1CDC" w:rsidP="00DC1CDC">
      <w:pPr>
        <w:keepNext/>
        <w:keepLines/>
        <w:tabs>
          <w:tab w:val="left" w:pos="0"/>
        </w:tabs>
        <w:spacing w:after="0" w:line="240" w:lineRule="auto"/>
        <w:rPr>
          <w:rFonts w:ascii="Times New Roman" w:eastAsia="Times New Roman" w:hAnsi="Times New Roman"/>
          <w:kern w:val="28"/>
          <w:u w:val="single"/>
        </w:rPr>
      </w:pPr>
      <w:r w:rsidRPr="00D9492F">
        <w:rPr>
          <w:rFonts w:ascii="Times New Roman" w:eastAsia="Arial Unicode MS" w:hAnsi="Times New Roman"/>
          <w:u w:val="single"/>
        </w:rPr>
        <w:t xml:space="preserve">Docetakselio </w:t>
      </w:r>
      <w:r w:rsidRPr="00D9492F">
        <w:rPr>
          <w:rFonts w:ascii="Times New Roman" w:eastAsia="Times New Roman" w:hAnsi="Times New Roman"/>
          <w:kern w:val="28"/>
          <w:u w:val="single"/>
        </w:rPr>
        <w:t>veiksmingumas gydant skrandžio adenokarcinoma sergančius pacientus:</w:t>
      </w:r>
    </w:p>
    <w:p w14:paraId="6AF4FF17" w14:textId="77777777" w:rsidR="00DC1CDC" w:rsidRPr="00D9492F" w:rsidRDefault="00DC1CDC" w:rsidP="00DC1CDC">
      <w:pPr>
        <w:spacing w:after="0" w:line="240" w:lineRule="auto"/>
        <w:jc w:val="both"/>
        <w:rPr>
          <w:rFonts w:ascii="Times New Roman" w:hAnsi="Times New Roman"/>
        </w:rPr>
      </w:pPr>
    </w:p>
    <w:tbl>
      <w:tblPr>
        <w:tblW w:w="7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5"/>
        <w:gridCol w:w="1551"/>
        <w:gridCol w:w="1655"/>
      </w:tblGrid>
      <w:tr w:rsidR="00DC1CDC" w:rsidRPr="00D9492F" w14:paraId="3B9CFA9F" w14:textId="77777777" w:rsidTr="0003751A">
        <w:trPr>
          <w:tblHeader/>
        </w:trPr>
        <w:tc>
          <w:tcPr>
            <w:tcW w:w="3945" w:type="dxa"/>
            <w:tcBorders>
              <w:bottom w:val="single" w:sz="4" w:space="0" w:color="auto"/>
            </w:tcBorders>
          </w:tcPr>
          <w:p w14:paraId="53EAF45D"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bCs/>
                <w:u w:val="single"/>
              </w:rPr>
              <w:t>Vertinamoji baigtis</w:t>
            </w:r>
          </w:p>
        </w:tc>
        <w:tc>
          <w:tcPr>
            <w:tcW w:w="1551" w:type="dxa"/>
            <w:tcBorders>
              <w:bottom w:val="single" w:sz="4" w:space="0" w:color="auto"/>
            </w:tcBorders>
          </w:tcPr>
          <w:p w14:paraId="77AD79E9"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rPr>
              <w:t>TCF</w:t>
            </w:r>
          </w:p>
          <w:p w14:paraId="552ACF96"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n = 221</w:t>
            </w:r>
          </w:p>
        </w:tc>
        <w:tc>
          <w:tcPr>
            <w:tcW w:w="1655" w:type="dxa"/>
            <w:tcBorders>
              <w:bottom w:val="single" w:sz="4" w:space="0" w:color="auto"/>
            </w:tcBorders>
          </w:tcPr>
          <w:p w14:paraId="666A95B7"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rPr>
              <w:t>CF</w:t>
            </w:r>
          </w:p>
          <w:p w14:paraId="21FE80B9"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n = 224</w:t>
            </w:r>
          </w:p>
        </w:tc>
      </w:tr>
      <w:tr w:rsidR="00DC1CDC" w:rsidRPr="00D9492F" w14:paraId="14E86D34" w14:textId="77777777" w:rsidTr="0003751A">
        <w:trPr>
          <w:cantSplit/>
        </w:trPr>
        <w:tc>
          <w:tcPr>
            <w:tcW w:w="3945" w:type="dxa"/>
            <w:tcBorders>
              <w:top w:val="nil"/>
              <w:bottom w:val="nil"/>
            </w:tcBorders>
          </w:tcPr>
          <w:p w14:paraId="10476F3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TTP mediana (mėnesiai)</w:t>
            </w:r>
          </w:p>
        </w:tc>
        <w:tc>
          <w:tcPr>
            <w:tcW w:w="1551" w:type="dxa"/>
            <w:tcBorders>
              <w:bottom w:val="nil"/>
            </w:tcBorders>
          </w:tcPr>
          <w:p w14:paraId="1F8184F1"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5,6</w:t>
            </w:r>
          </w:p>
        </w:tc>
        <w:tc>
          <w:tcPr>
            <w:tcW w:w="1655" w:type="dxa"/>
            <w:tcBorders>
              <w:bottom w:val="nil"/>
            </w:tcBorders>
          </w:tcPr>
          <w:p w14:paraId="46D5D8B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3,7</w:t>
            </w:r>
          </w:p>
        </w:tc>
      </w:tr>
      <w:tr w:rsidR="00DC1CDC" w:rsidRPr="00D9492F" w14:paraId="00C53CE2" w14:textId="77777777" w:rsidTr="0003751A">
        <w:trPr>
          <w:cantSplit/>
        </w:trPr>
        <w:tc>
          <w:tcPr>
            <w:tcW w:w="3945" w:type="dxa"/>
            <w:tcBorders>
              <w:top w:val="nil"/>
              <w:bottom w:val="nil"/>
            </w:tcBorders>
          </w:tcPr>
          <w:p w14:paraId="33B2339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1551" w:type="dxa"/>
            <w:tcBorders>
              <w:top w:val="nil"/>
              <w:bottom w:val="single" w:sz="4" w:space="0" w:color="auto"/>
            </w:tcBorders>
          </w:tcPr>
          <w:p w14:paraId="5672F210"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(4,86-5,91)</w:t>
            </w:r>
          </w:p>
        </w:tc>
        <w:tc>
          <w:tcPr>
            <w:tcW w:w="1655" w:type="dxa"/>
            <w:tcBorders>
              <w:top w:val="nil"/>
              <w:bottom w:val="single" w:sz="4" w:space="0" w:color="auto"/>
            </w:tcBorders>
          </w:tcPr>
          <w:p w14:paraId="12BD3C76" w14:textId="77777777" w:rsidR="00DC1CDC" w:rsidRPr="00D9492F" w:rsidRDefault="00DC1CDC" w:rsidP="00DC1CDC">
            <w:pPr>
              <w:keepNext/>
              <w:keepLines/>
              <w:spacing w:after="0" w:line="240" w:lineRule="auto"/>
              <w:jc w:val="center"/>
              <w:rPr>
                <w:rFonts w:ascii="Times New Roman" w:hAnsi="Times New Roman"/>
                <w:b/>
              </w:rPr>
            </w:pPr>
            <w:r w:rsidRPr="00D9492F">
              <w:rPr>
                <w:rFonts w:ascii="Times New Roman" w:hAnsi="Times New Roman"/>
              </w:rPr>
              <w:t>(3,45-4,47)</w:t>
            </w:r>
          </w:p>
        </w:tc>
      </w:tr>
      <w:tr w:rsidR="00DC1CDC" w:rsidRPr="00D9492F" w14:paraId="3898B628" w14:textId="77777777" w:rsidTr="0003751A">
        <w:trPr>
          <w:cantSplit/>
        </w:trPr>
        <w:tc>
          <w:tcPr>
            <w:tcW w:w="3945" w:type="dxa"/>
            <w:tcBorders>
              <w:top w:val="nil"/>
              <w:bottom w:val="nil"/>
            </w:tcBorders>
          </w:tcPr>
          <w:p w14:paraId="29BD5E8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Rizikos koeficientas</w:t>
            </w:r>
          </w:p>
        </w:tc>
        <w:tc>
          <w:tcPr>
            <w:tcW w:w="3206" w:type="dxa"/>
            <w:gridSpan w:val="2"/>
            <w:tcBorders>
              <w:top w:val="single" w:sz="4" w:space="0" w:color="auto"/>
              <w:bottom w:val="nil"/>
            </w:tcBorders>
          </w:tcPr>
          <w:p w14:paraId="60E126C1"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1,473</w:t>
            </w:r>
          </w:p>
        </w:tc>
      </w:tr>
      <w:tr w:rsidR="00DC1CDC" w:rsidRPr="00D9492F" w14:paraId="714C8EFB" w14:textId="77777777" w:rsidTr="0003751A">
        <w:trPr>
          <w:cantSplit/>
        </w:trPr>
        <w:tc>
          <w:tcPr>
            <w:tcW w:w="3945" w:type="dxa"/>
            <w:tcBorders>
              <w:top w:val="nil"/>
              <w:bottom w:val="nil"/>
            </w:tcBorders>
          </w:tcPr>
          <w:p w14:paraId="5590FE3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3206" w:type="dxa"/>
            <w:gridSpan w:val="2"/>
            <w:tcBorders>
              <w:top w:val="nil"/>
              <w:bottom w:val="nil"/>
            </w:tcBorders>
          </w:tcPr>
          <w:p w14:paraId="36763E9B"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(1,189-1,825)</w:t>
            </w:r>
          </w:p>
        </w:tc>
      </w:tr>
      <w:tr w:rsidR="00DC1CDC" w:rsidRPr="00D9492F" w14:paraId="4F042000" w14:textId="77777777" w:rsidTr="0003751A">
        <w:trPr>
          <w:cantSplit/>
        </w:trPr>
        <w:tc>
          <w:tcPr>
            <w:tcW w:w="3945" w:type="dxa"/>
            <w:tcBorders>
              <w:top w:val="nil"/>
              <w:bottom w:val="single" w:sz="4" w:space="0" w:color="auto"/>
            </w:tcBorders>
          </w:tcPr>
          <w:p w14:paraId="211628C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p reikšmė</w:t>
            </w:r>
          </w:p>
        </w:tc>
        <w:tc>
          <w:tcPr>
            <w:tcW w:w="3206" w:type="dxa"/>
            <w:gridSpan w:val="2"/>
            <w:tcBorders>
              <w:top w:val="nil"/>
              <w:bottom w:val="single" w:sz="4" w:space="0" w:color="auto"/>
            </w:tcBorders>
          </w:tcPr>
          <w:p w14:paraId="6A26011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0,0004</w:t>
            </w:r>
          </w:p>
        </w:tc>
      </w:tr>
      <w:tr w:rsidR="00DC1CDC" w:rsidRPr="00D9492F" w14:paraId="0A16E9A2" w14:textId="77777777" w:rsidTr="0003751A">
        <w:tc>
          <w:tcPr>
            <w:tcW w:w="3945" w:type="dxa"/>
            <w:tcBorders>
              <w:top w:val="nil"/>
              <w:bottom w:val="nil"/>
            </w:tcBorders>
          </w:tcPr>
          <w:p w14:paraId="6C4C81A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Išgyvenamumo mediana (mėnesiai)</w:t>
            </w:r>
          </w:p>
        </w:tc>
        <w:tc>
          <w:tcPr>
            <w:tcW w:w="1551" w:type="dxa"/>
            <w:tcBorders>
              <w:top w:val="nil"/>
              <w:bottom w:val="nil"/>
            </w:tcBorders>
          </w:tcPr>
          <w:p w14:paraId="4E15F15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9,2</w:t>
            </w:r>
          </w:p>
        </w:tc>
        <w:tc>
          <w:tcPr>
            <w:tcW w:w="1655" w:type="dxa"/>
            <w:tcBorders>
              <w:top w:val="nil"/>
              <w:bottom w:val="nil"/>
            </w:tcBorders>
          </w:tcPr>
          <w:p w14:paraId="3AD7F676"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8,6</w:t>
            </w:r>
          </w:p>
        </w:tc>
      </w:tr>
      <w:tr w:rsidR="00DC1CDC" w:rsidRPr="00D9492F" w14:paraId="3F7A4ADC" w14:textId="77777777" w:rsidTr="0003751A">
        <w:tc>
          <w:tcPr>
            <w:tcW w:w="3945" w:type="dxa"/>
            <w:tcBorders>
              <w:top w:val="nil"/>
              <w:bottom w:val="nil"/>
            </w:tcBorders>
          </w:tcPr>
          <w:p w14:paraId="2C0D9A6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1551" w:type="dxa"/>
            <w:tcBorders>
              <w:top w:val="nil"/>
              <w:bottom w:val="nil"/>
            </w:tcBorders>
          </w:tcPr>
          <w:p w14:paraId="20E873B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(8,38-10,58)</w:t>
            </w:r>
          </w:p>
        </w:tc>
        <w:tc>
          <w:tcPr>
            <w:tcW w:w="1655" w:type="dxa"/>
            <w:tcBorders>
              <w:top w:val="nil"/>
              <w:bottom w:val="nil"/>
            </w:tcBorders>
          </w:tcPr>
          <w:p w14:paraId="10AC5D0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(7,16-9,46)</w:t>
            </w:r>
          </w:p>
        </w:tc>
      </w:tr>
      <w:tr w:rsidR="00DC1CDC" w:rsidRPr="00D9492F" w14:paraId="6F2E965E" w14:textId="77777777" w:rsidTr="0003751A">
        <w:tc>
          <w:tcPr>
            <w:tcW w:w="3945" w:type="dxa"/>
            <w:tcBorders>
              <w:top w:val="nil"/>
              <w:bottom w:val="nil"/>
            </w:tcBorders>
          </w:tcPr>
          <w:p w14:paraId="5196A7EC"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2 metų įvertis (%)</w:t>
            </w:r>
          </w:p>
        </w:tc>
        <w:tc>
          <w:tcPr>
            <w:tcW w:w="1551" w:type="dxa"/>
            <w:tcBorders>
              <w:top w:val="nil"/>
              <w:bottom w:val="single" w:sz="4" w:space="0" w:color="auto"/>
            </w:tcBorders>
          </w:tcPr>
          <w:p w14:paraId="1BB4E5F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18,4</w:t>
            </w:r>
          </w:p>
        </w:tc>
        <w:tc>
          <w:tcPr>
            <w:tcW w:w="1655" w:type="dxa"/>
            <w:tcBorders>
              <w:top w:val="nil"/>
              <w:bottom w:val="single" w:sz="4" w:space="0" w:color="auto"/>
            </w:tcBorders>
          </w:tcPr>
          <w:p w14:paraId="05E64D42"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8,8</w:t>
            </w:r>
          </w:p>
        </w:tc>
      </w:tr>
      <w:tr w:rsidR="00DC1CDC" w:rsidRPr="00D9492F" w14:paraId="671C4DC1" w14:textId="77777777" w:rsidTr="0003751A">
        <w:trPr>
          <w:cantSplit/>
        </w:trPr>
        <w:tc>
          <w:tcPr>
            <w:tcW w:w="3945" w:type="dxa"/>
            <w:tcBorders>
              <w:top w:val="nil"/>
              <w:bottom w:val="nil"/>
            </w:tcBorders>
          </w:tcPr>
          <w:p w14:paraId="694B999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Rizikos koeficientas</w:t>
            </w:r>
          </w:p>
        </w:tc>
        <w:tc>
          <w:tcPr>
            <w:tcW w:w="3206" w:type="dxa"/>
            <w:gridSpan w:val="2"/>
            <w:tcBorders>
              <w:bottom w:val="nil"/>
            </w:tcBorders>
          </w:tcPr>
          <w:p w14:paraId="1450496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1,293</w:t>
            </w:r>
          </w:p>
        </w:tc>
      </w:tr>
      <w:tr w:rsidR="00DC1CDC" w:rsidRPr="00D9492F" w14:paraId="5B098725" w14:textId="77777777" w:rsidTr="0003751A">
        <w:trPr>
          <w:cantSplit/>
        </w:trPr>
        <w:tc>
          <w:tcPr>
            <w:tcW w:w="3945" w:type="dxa"/>
            <w:tcBorders>
              <w:top w:val="nil"/>
              <w:bottom w:val="nil"/>
            </w:tcBorders>
          </w:tcPr>
          <w:p w14:paraId="43DFC97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3206" w:type="dxa"/>
            <w:gridSpan w:val="2"/>
            <w:tcBorders>
              <w:top w:val="nil"/>
              <w:bottom w:val="nil"/>
            </w:tcBorders>
          </w:tcPr>
          <w:p w14:paraId="7B3FD63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(1,041-1,606)</w:t>
            </w:r>
          </w:p>
        </w:tc>
      </w:tr>
      <w:tr w:rsidR="00DC1CDC" w:rsidRPr="00D9492F" w14:paraId="47C5EDB0" w14:textId="77777777" w:rsidTr="0003751A">
        <w:trPr>
          <w:cantSplit/>
        </w:trPr>
        <w:tc>
          <w:tcPr>
            <w:tcW w:w="3945" w:type="dxa"/>
            <w:tcBorders>
              <w:top w:val="nil"/>
              <w:bottom w:val="single" w:sz="4" w:space="0" w:color="auto"/>
            </w:tcBorders>
          </w:tcPr>
          <w:p w14:paraId="179272D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 reikšmė</w:t>
            </w:r>
          </w:p>
        </w:tc>
        <w:tc>
          <w:tcPr>
            <w:tcW w:w="3206" w:type="dxa"/>
            <w:gridSpan w:val="2"/>
            <w:tcBorders>
              <w:top w:val="nil"/>
              <w:bottom w:val="single" w:sz="4" w:space="0" w:color="auto"/>
            </w:tcBorders>
          </w:tcPr>
          <w:p w14:paraId="684C076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0,0201</w:t>
            </w:r>
          </w:p>
        </w:tc>
      </w:tr>
      <w:tr w:rsidR="00DC1CDC" w:rsidRPr="00D9492F" w14:paraId="02840488" w14:textId="77777777" w:rsidTr="0003751A">
        <w:trPr>
          <w:cantSplit/>
        </w:trPr>
        <w:tc>
          <w:tcPr>
            <w:tcW w:w="3945" w:type="dxa"/>
            <w:tcBorders>
              <w:top w:val="single" w:sz="4" w:space="0" w:color="auto"/>
              <w:bottom w:val="nil"/>
            </w:tcBorders>
          </w:tcPr>
          <w:p w14:paraId="0F3C53E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Bendras atsako dažnis (CR+PR) (%)</w:t>
            </w:r>
          </w:p>
        </w:tc>
        <w:tc>
          <w:tcPr>
            <w:tcW w:w="1551" w:type="dxa"/>
            <w:tcBorders>
              <w:top w:val="single" w:sz="4" w:space="0" w:color="auto"/>
              <w:bottom w:val="single" w:sz="4" w:space="0" w:color="auto"/>
            </w:tcBorders>
          </w:tcPr>
          <w:p w14:paraId="186B8C07"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36,7</w:t>
            </w:r>
          </w:p>
        </w:tc>
        <w:tc>
          <w:tcPr>
            <w:tcW w:w="1655" w:type="dxa"/>
            <w:tcBorders>
              <w:top w:val="single" w:sz="4" w:space="0" w:color="auto"/>
              <w:bottom w:val="single" w:sz="4" w:space="0" w:color="auto"/>
            </w:tcBorders>
          </w:tcPr>
          <w:p w14:paraId="70E7AA7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25,4</w:t>
            </w:r>
          </w:p>
        </w:tc>
      </w:tr>
      <w:tr w:rsidR="00DC1CDC" w:rsidRPr="00D9492F" w14:paraId="65D990E3" w14:textId="77777777" w:rsidTr="0003751A">
        <w:trPr>
          <w:cantSplit/>
        </w:trPr>
        <w:tc>
          <w:tcPr>
            <w:tcW w:w="3945" w:type="dxa"/>
            <w:tcBorders>
              <w:top w:val="nil"/>
              <w:bottom w:val="single" w:sz="4" w:space="0" w:color="auto"/>
            </w:tcBorders>
          </w:tcPr>
          <w:p w14:paraId="1DAE92C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 reikšmė</w:t>
            </w:r>
          </w:p>
        </w:tc>
        <w:tc>
          <w:tcPr>
            <w:tcW w:w="3206" w:type="dxa"/>
            <w:gridSpan w:val="2"/>
            <w:tcBorders>
              <w:top w:val="single" w:sz="4" w:space="0" w:color="auto"/>
              <w:bottom w:val="single" w:sz="4" w:space="0" w:color="auto"/>
            </w:tcBorders>
          </w:tcPr>
          <w:p w14:paraId="4D4186B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0,0106</w:t>
            </w:r>
          </w:p>
        </w:tc>
      </w:tr>
      <w:tr w:rsidR="00DC1CDC" w:rsidRPr="00D9492F" w14:paraId="00156111" w14:textId="77777777" w:rsidTr="0003751A">
        <w:trPr>
          <w:cantSplit/>
        </w:trPr>
        <w:tc>
          <w:tcPr>
            <w:tcW w:w="3945" w:type="dxa"/>
            <w:tcBorders>
              <w:top w:val="single" w:sz="4" w:space="0" w:color="auto"/>
              <w:bottom w:val="single" w:sz="4" w:space="0" w:color="auto"/>
            </w:tcBorders>
          </w:tcPr>
          <w:p w14:paraId="66984B1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Ligos progresavimas kaip geriausias bendras atsako dažnis (%)</w:t>
            </w:r>
          </w:p>
        </w:tc>
        <w:tc>
          <w:tcPr>
            <w:tcW w:w="1551" w:type="dxa"/>
            <w:tcBorders>
              <w:top w:val="single" w:sz="4" w:space="0" w:color="auto"/>
              <w:bottom w:val="single" w:sz="4" w:space="0" w:color="auto"/>
            </w:tcBorders>
            <w:vAlign w:val="center"/>
          </w:tcPr>
          <w:p w14:paraId="7B850658"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16,7</w:t>
            </w:r>
          </w:p>
        </w:tc>
        <w:tc>
          <w:tcPr>
            <w:tcW w:w="1655" w:type="dxa"/>
            <w:tcBorders>
              <w:top w:val="single" w:sz="4" w:space="0" w:color="auto"/>
              <w:bottom w:val="single" w:sz="4" w:space="0" w:color="auto"/>
            </w:tcBorders>
            <w:vAlign w:val="center"/>
          </w:tcPr>
          <w:p w14:paraId="39515422"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25,9</w:t>
            </w:r>
          </w:p>
        </w:tc>
      </w:tr>
    </w:tbl>
    <w:p w14:paraId="4F396BF1"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*Nestratifikuotas logaritminio rango testas</w:t>
      </w:r>
    </w:p>
    <w:p w14:paraId="68EEE12E" w14:textId="77777777" w:rsidR="00DC1CDC" w:rsidRPr="00D9492F" w:rsidRDefault="00DC1CDC" w:rsidP="00DC1CDC">
      <w:pPr>
        <w:spacing w:after="0" w:line="240" w:lineRule="auto"/>
        <w:rPr>
          <w:rFonts w:ascii="Times New Roman" w:hAnsi="Times New Roman"/>
        </w:rPr>
      </w:pPr>
    </w:p>
    <w:p w14:paraId="2F41870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Pogrupių (pacientus skirstant pagal amžių, lytį ar rasę) analizė patvirtino pastovų TCF pranašumą prieš CF.</w:t>
      </w:r>
    </w:p>
    <w:p w14:paraId="7FE56E1B" w14:textId="77777777" w:rsidR="00DC1CDC" w:rsidRPr="00D9492F" w:rsidRDefault="00DC1CDC" w:rsidP="00DC1CDC">
      <w:pPr>
        <w:spacing w:after="0" w:line="240" w:lineRule="auto"/>
        <w:rPr>
          <w:rFonts w:ascii="Times New Roman" w:hAnsi="Times New Roman"/>
        </w:rPr>
      </w:pPr>
    </w:p>
    <w:p w14:paraId="1FBDF0DB" w14:textId="77777777" w:rsidR="00DC1CDC" w:rsidRPr="00D9492F" w:rsidRDefault="00DC1CDC" w:rsidP="00DC1CDC">
      <w:pPr>
        <w:spacing w:after="0" w:line="240" w:lineRule="auto"/>
        <w:rPr>
          <w:rFonts w:ascii="Times New Roman" w:hAnsi="Times New Roman"/>
          <w:iCs/>
        </w:rPr>
      </w:pPr>
      <w:r w:rsidRPr="00D9492F">
        <w:rPr>
          <w:rFonts w:ascii="Times New Roman" w:hAnsi="Times New Roman"/>
          <w:iCs/>
        </w:rPr>
        <w:t>Papildomos išgyvenamumo analizės (stebėjimo mediana – 41,6 mėnesio) metu tolesnio statistiškai reikšmingo skirtumo nenustatyta, tačiau visada TCF grupės gydymo rezultatai buvo palankesni, o 18 </w:t>
      </w:r>
      <w:r w:rsidRPr="00D9492F">
        <w:rPr>
          <w:rFonts w:ascii="Times New Roman" w:hAnsi="Times New Roman"/>
          <w:iCs/>
        </w:rPr>
        <w:noBreakHyphen/>
        <w:t> 30 stebėjimo mėnesiais TCF pranašumas prieš CF buvo akivaizdus.</w:t>
      </w:r>
    </w:p>
    <w:p w14:paraId="54CDBC87" w14:textId="77777777" w:rsidR="00DC1CDC" w:rsidRPr="00D9492F" w:rsidRDefault="00DC1CDC" w:rsidP="00DC1CDC">
      <w:pPr>
        <w:spacing w:after="0" w:line="240" w:lineRule="auto"/>
        <w:rPr>
          <w:rFonts w:ascii="Times New Roman" w:hAnsi="Times New Roman"/>
          <w:b/>
          <w:bCs/>
          <w:i/>
          <w:iCs/>
          <w:u w:val="single"/>
        </w:rPr>
      </w:pPr>
    </w:p>
    <w:p w14:paraId="73C65F0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Gyvenimo kokybės bei klinikinio poveikio analizė parodė pastovų TCF pranašumą. TCF grupės pacientams laikotarpis iki bendros sveikatos būklės pablogėjimo (vertinant remtasi QLQ-C30 klausimynu) buvo 5 % ilgesnis (p = 0,0121), o laikotarpis iki būklės pablogėjimo, vertinat pagal </w:t>
      </w:r>
      <w:r w:rsidRPr="00D9492F">
        <w:rPr>
          <w:rFonts w:ascii="Times New Roman" w:hAnsi="Times New Roman"/>
          <w:i/>
        </w:rPr>
        <w:t>Karnofsky</w:t>
      </w:r>
      <w:r w:rsidRPr="00D9492F">
        <w:rPr>
          <w:rFonts w:ascii="Times New Roman" w:hAnsi="Times New Roman"/>
        </w:rPr>
        <w:t xml:space="preserve"> skalę, irgi buvo ilgesnis (p = 0,0088) (lyginta su CF grupės pacientais).</w:t>
      </w:r>
    </w:p>
    <w:p w14:paraId="1C37B302" w14:textId="77777777" w:rsidR="00DC1CDC" w:rsidRPr="00D9492F" w:rsidRDefault="00DC1CDC" w:rsidP="00DC1CDC">
      <w:pPr>
        <w:spacing w:after="0" w:line="240" w:lineRule="auto"/>
        <w:rPr>
          <w:rFonts w:ascii="Times New Roman" w:hAnsi="Times New Roman"/>
          <w:bCs/>
        </w:rPr>
      </w:pPr>
    </w:p>
    <w:p w14:paraId="1FDB2121" w14:textId="77777777" w:rsidR="00DC1CDC" w:rsidRPr="00D9492F" w:rsidRDefault="00DC1CDC" w:rsidP="00DC1CDC">
      <w:pPr>
        <w:keepNext/>
        <w:keepLines/>
        <w:widowControl w:val="0"/>
        <w:spacing w:after="0" w:line="240" w:lineRule="auto"/>
        <w:rPr>
          <w:rFonts w:ascii="Times New Roman" w:hAnsi="Times New Roman"/>
          <w:i/>
          <w:iCs/>
          <w:u w:val="single"/>
        </w:rPr>
      </w:pPr>
      <w:r w:rsidRPr="00D9492F">
        <w:rPr>
          <w:rFonts w:ascii="Times New Roman" w:hAnsi="Times New Roman"/>
          <w:i/>
          <w:iCs/>
          <w:u w:val="single"/>
        </w:rPr>
        <w:lastRenderedPageBreak/>
        <w:t>Galvos ir kaklo vėžys</w:t>
      </w:r>
    </w:p>
    <w:p w14:paraId="3492BAD1" w14:textId="77777777" w:rsidR="00DC1CDC" w:rsidRPr="00D9492F" w:rsidRDefault="00DC1CDC" w:rsidP="00DC1CDC">
      <w:pPr>
        <w:spacing w:after="0" w:line="240" w:lineRule="auto"/>
        <w:rPr>
          <w:rFonts w:ascii="Times New Roman" w:hAnsi="Times New Roman"/>
        </w:rPr>
      </w:pPr>
    </w:p>
    <w:p w14:paraId="7C15B6DE" w14:textId="77777777" w:rsidR="00DC1CDC" w:rsidRPr="00D9492F" w:rsidRDefault="00DC1CDC" w:rsidP="00DC1CDC">
      <w:pPr>
        <w:keepNext/>
        <w:keepLines/>
        <w:widowControl w:val="0"/>
        <w:numPr>
          <w:ilvl w:val="0"/>
          <w:numId w:val="10"/>
        </w:numPr>
        <w:tabs>
          <w:tab w:val="clear" w:pos="354"/>
        </w:tabs>
        <w:spacing w:after="0" w:line="240" w:lineRule="auto"/>
        <w:ind w:left="567" w:hanging="567"/>
        <w:rPr>
          <w:rFonts w:ascii="Times New Roman" w:hAnsi="Times New Roman"/>
        </w:rPr>
      </w:pPr>
      <w:r w:rsidRPr="00D9492F">
        <w:rPr>
          <w:rFonts w:ascii="Times New Roman" w:hAnsi="Times New Roman"/>
        </w:rPr>
        <w:t>Įvadinė chemoterapija, kai vėliau gydoma spinduliais (TAX 323)</w:t>
      </w:r>
    </w:p>
    <w:p w14:paraId="681565C5" w14:textId="77777777" w:rsidR="00DC1CDC" w:rsidRPr="00D9492F" w:rsidRDefault="00DC1CDC" w:rsidP="00DC1CDC">
      <w:pPr>
        <w:spacing w:after="0" w:line="240" w:lineRule="auto"/>
        <w:rPr>
          <w:rFonts w:ascii="Times New Roman" w:hAnsi="Times New Roman"/>
        </w:rPr>
      </w:pPr>
    </w:p>
    <w:p w14:paraId="17EE31F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Docetakselio veiksmingumas bei saugumas jo vartojant įvadiniam </w:t>
      </w:r>
      <w:r w:rsidRPr="00D9492F">
        <w:rPr>
          <w:rFonts w:ascii="Times New Roman" w:hAnsi="Times New Roman"/>
          <w:bCs/>
          <w:iCs/>
        </w:rPr>
        <w:t>plokščialąsteliniu galvos ir kaklo vėžiu (PGKV) sergančių pacientų gydymui tirtas</w:t>
      </w:r>
      <w:r w:rsidRPr="00D9492F">
        <w:rPr>
          <w:rFonts w:ascii="Times New Roman" w:hAnsi="Times New Roman"/>
        </w:rPr>
        <w:t xml:space="preserve"> III fazės daugiacentriu atviru atsitiktinių imčių tyrimu (TAX323). Šio tyrimo metu 358 neoperuojamu lokaliai progresavusiu </w:t>
      </w:r>
      <w:r w:rsidRPr="00D9492F">
        <w:rPr>
          <w:rFonts w:ascii="Times New Roman" w:hAnsi="Times New Roman"/>
          <w:bCs/>
          <w:iCs/>
        </w:rPr>
        <w:t xml:space="preserve">PGKV sirgę pacientai, kurių aktyvumo būklė pagal PSO vertinimą buvo </w:t>
      </w:r>
      <w:r w:rsidRPr="00D9492F">
        <w:rPr>
          <w:rFonts w:ascii="Times New Roman" w:hAnsi="Times New Roman"/>
        </w:rPr>
        <w:t>0 arba 1, atsitiktinai parinkus buvo priskirti vienai iš dviejų gydymo grupių. Docetakselio grupės pacientams skirta 75 mg/m</w:t>
      </w:r>
      <w:r w:rsidRPr="00D9492F">
        <w:rPr>
          <w:rFonts w:ascii="Times New Roman" w:hAnsi="Times New Roman"/>
          <w:vertAlign w:val="superscript"/>
        </w:rPr>
        <w:t>2 </w:t>
      </w:r>
      <w:r w:rsidRPr="00D9492F">
        <w:rPr>
          <w:rFonts w:ascii="Times New Roman" w:hAnsi="Times New Roman"/>
        </w:rPr>
        <w:t>docetakselio (T), po to 75 mg/m</w:t>
      </w:r>
      <w:r w:rsidRPr="00D9492F">
        <w:rPr>
          <w:rFonts w:ascii="Times New Roman" w:hAnsi="Times New Roman"/>
          <w:vertAlign w:val="superscript"/>
        </w:rPr>
        <w:t>2 </w:t>
      </w:r>
      <w:r w:rsidRPr="00D9492F">
        <w:rPr>
          <w:rFonts w:ascii="Times New Roman" w:hAnsi="Times New Roman"/>
        </w:rPr>
        <w:t xml:space="preserve">cisplatinos (P), po to 5 dienas nuolat </w:t>
      </w:r>
      <w:r w:rsidR="001D2FCA" w:rsidRPr="00D9492F">
        <w:rPr>
          <w:rFonts w:ascii="Times New Roman" w:hAnsi="Times New Roman"/>
        </w:rPr>
        <w:t>leista </w:t>
      </w:r>
      <w:r w:rsidRPr="00D9492F">
        <w:rPr>
          <w:rFonts w:ascii="Times New Roman" w:hAnsi="Times New Roman"/>
        </w:rPr>
        <w:t>5</w:t>
      </w:r>
      <w:r w:rsidRPr="00D9492F">
        <w:rPr>
          <w:rFonts w:ascii="Times New Roman" w:hAnsi="Times New Roman"/>
        </w:rPr>
        <w:noBreakHyphen/>
        <w:t>fluorouracilo (F) (paros dozė 750 mg/m</w:t>
      </w:r>
      <w:r w:rsidRPr="00D9492F">
        <w:rPr>
          <w:rFonts w:ascii="Times New Roman" w:hAnsi="Times New Roman"/>
          <w:vertAlign w:val="superscript"/>
        </w:rPr>
        <w:t>2</w:t>
      </w:r>
      <w:r w:rsidRPr="00D9492F">
        <w:rPr>
          <w:rFonts w:ascii="Times New Roman" w:hAnsi="Times New Roman"/>
        </w:rPr>
        <w:t>). Jei po 2 kursų pasireikšdavo bent minimali reakcija (dviem kryptimis išmatuoto naviko dydis sumažėdavo ≥ 25 %), tokie gydymo kursai buvo kartojami kas 3 savaites 4 kartus. Baigus chemoterapiją, mažiausiai po 4 savaičių, bet daugiausiai po 7 savaičių pacientams, kuriems liga neprogresavo, 7 savaites taikytas gydymas spinduliais (RT), atsižvelgiant į įstaigoje patvirtintas gaires (TPF/RT). Palyginamosios grupės pacientams skirta 100 mg/m</w:t>
      </w:r>
      <w:r w:rsidRPr="00D9492F">
        <w:rPr>
          <w:rFonts w:ascii="Times New Roman" w:hAnsi="Times New Roman"/>
          <w:vertAlign w:val="superscript"/>
        </w:rPr>
        <w:t>2 </w:t>
      </w:r>
      <w:r w:rsidRPr="00D9492F">
        <w:rPr>
          <w:rFonts w:ascii="Times New Roman" w:hAnsi="Times New Roman"/>
        </w:rPr>
        <w:t>cisplatinos ir po to 5 dienas 5</w:t>
      </w:r>
      <w:r w:rsidRPr="00D9492F">
        <w:rPr>
          <w:rFonts w:ascii="Times New Roman" w:hAnsi="Times New Roman"/>
        </w:rPr>
        <w:noBreakHyphen/>
        <w:t>fluorouracilo (paros dozė 1000 mg/m</w:t>
      </w:r>
      <w:r w:rsidRPr="00D9492F">
        <w:rPr>
          <w:rFonts w:ascii="Times New Roman" w:hAnsi="Times New Roman"/>
          <w:vertAlign w:val="superscript"/>
        </w:rPr>
        <w:t>2</w:t>
      </w:r>
      <w:r w:rsidRPr="00D9492F">
        <w:rPr>
          <w:rFonts w:ascii="Times New Roman" w:hAnsi="Times New Roman"/>
        </w:rPr>
        <w:t>) (PF schema). Jei po 2 gydymo ciklų buvo gauta bent minimali reakcija (≥ 25 % sumažėjo naviko dydis, jį matuojant dviejose dimensijose), tokie gydymo kursai kartoti kas tris savaites 4 kartus. Baigus chemoterapiją, mažiausiai po 4 savaičių, bet daugiausiai po 7 savaičių pacientams, kuriems liga neprogresavo, 7 savaites taikytas lokalus gydymas spinduliais, atsižvelgiant į įstaigoje patvirtintas gaires (PF/RT): spinduliuota įprastinėmis frakcijomis (1,8 – 2,0 kartą per parą 5 dienas per savaitę, suminė dozė 66 – 70 Gy) arba taikyta pagreitinto ar hiperfrakcionuoto gydymo spinduliais schema (du kartus per parą, 5 dienas per savaitę, minimali pertrauka tarp seansų - 6 valandos). Taikant pagreitintą schemą, rekomenduojama bendra dozė buvo 70 Gy, taikant hiperfrakcionuotą schemą – 74 Gy. Baigus chemoterapiją, navikas galėjo būti pašalintas</w:t>
      </w:r>
    </w:p>
    <w:p w14:paraId="27FFFD8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operuojant (prieš gydymą spinduliais arba po jo). TPF grupės pacientai profilaktikai vartodavo antibiotikų: po 500 mg geriamo ciprofloksacino du kartus per parą 10 dienų (</w:t>
      </w:r>
      <w:r w:rsidR="001D2FCA" w:rsidRPr="00D9492F">
        <w:rPr>
          <w:rFonts w:ascii="Times New Roman" w:hAnsi="Times New Roman"/>
        </w:rPr>
        <w:t xml:space="preserve">vaistinio </w:t>
      </w:r>
      <w:r w:rsidRPr="00D9492F">
        <w:rPr>
          <w:rFonts w:ascii="Times New Roman" w:hAnsi="Times New Roman"/>
        </w:rPr>
        <w:t>preparato būdavo pradedama vartoti 5 kiekvieno kurso dieną). Pragyventas laikotarpis be ligos progresavimo (PLBLP) (pagrindinė vertinamoji šio tyrimo baigtis) buvo reikšmingai ilgesnis TPF grupėje nei PF grupėje, p = 0,0042 (PLBLP mediana atitinkamai 11,4 ir 8,3 mėnesio, bendra pacientų stebėjimo mediana 33,7 mėnesio). Bendro išgyvenamumo mediana irgi buvo reikšmingai didesnė TPF grupėje nei PF grupėje (atitinkamai 18,6 ir 14,5 mėnesi). Mirties pavojus sumažėjo 28 % (p = 0,0128). Gydymo veiksmingumo duomenys apibendrinami toliau pateiktoje lentelėje:</w:t>
      </w:r>
    </w:p>
    <w:p w14:paraId="22AD858D" w14:textId="77777777" w:rsidR="00DC1CDC" w:rsidRPr="00D9492F" w:rsidRDefault="00DC1CDC" w:rsidP="00DC1CDC">
      <w:pPr>
        <w:spacing w:after="0" w:line="240" w:lineRule="auto"/>
        <w:rPr>
          <w:rFonts w:ascii="Times New Roman" w:hAnsi="Times New Roman"/>
        </w:rPr>
      </w:pPr>
    </w:p>
    <w:p w14:paraId="75E92878" w14:textId="77777777" w:rsidR="00DC1CDC" w:rsidRPr="00D9492F" w:rsidRDefault="00DC1CDC" w:rsidP="00DC1CDC">
      <w:pPr>
        <w:keepNext/>
        <w:keepLines/>
        <w:tabs>
          <w:tab w:val="left" w:pos="567"/>
        </w:tabs>
        <w:suppressAutoHyphens/>
        <w:spacing w:after="0" w:line="240" w:lineRule="auto"/>
        <w:rPr>
          <w:rFonts w:ascii="Times New Roman" w:hAnsi="Times New Roman"/>
          <w:u w:val="single"/>
        </w:rPr>
      </w:pPr>
      <w:r w:rsidRPr="00D9492F">
        <w:rPr>
          <w:rFonts w:ascii="Times New Roman" w:hAnsi="Times New Roman"/>
          <w:u w:val="single"/>
        </w:rPr>
        <w:t>Docetakselio veiksmingumas jo skiriant įvadiniam neoperuojamam lokaliai progresavusiam PGKV gydymui (</w:t>
      </w:r>
      <w:bookmarkStart w:id="10" w:name="OLE_LINK1"/>
      <w:r w:rsidRPr="00D9492F">
        <w:rPr>
          <w:rFonts w:ascii="Times New Roman" w:hAnsi="Times New Roman"/>
          <w:i/>
          <w:u w:val="single"/>
        </w:rPr>
        <w:t>Intent-to-Treat</w:t>
      </w:r>
      <w:bookmarkEnd w:id="10"/>
      <w:r w:rsidRPr="00D9492F">
        <w:rPr>
          <w:rFonts w:ascii="Times New Roman" w:hAnsi="Times New Roman"/>
          <w:u w:val="single"/>
        </w:rPr>
        <w:t xml:space="preserve"> analizė):</w:t>
      </w:r>
    </w:p>
    <w:p w14:paraId="0CC270EB" w14:textId="77777777" w:rsidR="00DC1CDC" w:rsidRPr="00D9492F" w:rsidRDefault="00DC1CDC" w:rsidP="00DC1CD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7"/>
        <w:gridCol w:w="1738"/>
        <w:gridCol w:w="1738"/>
      </w:tblGrid>
      <w:tr w:rsidR="00DC1CDC" w:rsidRPr="00D9492F" w14:paraId="691D3F97" w14:textId="77777777" w:rsidTr="0003751A">
        <w:tc>
          <w:tcPr>
            <w:tcW w:w="4557" w:type="dxa"/>
            <w:tcBorders>
              <w:bottom w:val="single" w:sz="4" w:space="0" w:color="auto"/>
            </w:tcBorders>
          </w:tcPr>
          <w:p w14:paraId="1A729B73" w14:textId="77777777" w:rsidR="00DC1CDC" w:rsidRPr="00D9492F" w:rsidRDefault="00DC1CDC" w:rsidP="00DC1CDC">
            <w:pPr>
              <w:keepNext/>
              <w:keepLines/>
              <w:spacing w:after="0" w:line="240" w:lineRule="auto"/>
              <w:outlineLvl w:val="0"/>
              <w:rPr>
                <w:rFonts w:ascii="Times New Roman" w:eastAsia="Times New Roman" w:hAnsi="Times New Roman"/>
                <w:bCs/>
                <w:caps/>
                <w:kern w:val="28"/>
                <w:u w:val="single"/>
              </w:rPr>
            </w:pPr>
            <w:r w:rsidRPr="00D9492F">
              <w:rPr>
                <w:rFonts w:ascii="Times New Roman" w:eastAsia="Times New Roman" w:hAnsi="Times New Roman"/>
                <w:bCs/>
                <w:kern w:val="28"/>
                <w:u w:val="single"/>
              </w:rPr>
              <w:lastRenderedPageBreak/>
              <w:t>Vertinamoji baigtis</w:t>
            </w:r>
          </w:p>
        </w:tc>
        <w:tc>
          <w:tcPr>
            <w:tcW w:w="1738" w:type="dxa"/>
          </w:tcPr>
          <w:p w14:paraId="39C24778"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u w:val="single"/>
              </w:rPr>
              <w:t>Docetakselis</w:t>
            </w:r>
            <w:r w:rsidRPr="00D9492F">
              <w:rPr>
                <w:rFonts w:ascii="Times New Roman" w:hAnsi="Times New Roman"/>
              </w:rPr>
              <w:t> </w:t>
            </w:r>
            <w:r w:rsidRPr="00D9492F">
              <w:rPr>
                <w:rFonts w:ascii="Times New Roman" w:hAnsi="Times New Roman"/>
                <w:bCs/>
              </w:rPr>
              <w:t>+</w:t>
            </w:r>
          </w:p>
          <w:p w14:paraId="6D3CA560"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rPr>
              <w:t>Cis + 5</w:t>
            </w:r>
            <w:r w:rsidRPr="00D9492F">
              <w:rPr>
                <w:rFonts w:ascii="Times New Roman" w:hAnsi="Times New Roman"/>
                <w:bCs/>
              </w:rPr>
              <w:noBreakHyphen/>
              <w:t>FU</w:t>
            </w:r>
          </w:p>
          <w:p w14:paraId="4AA14B76"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rPr>
              <w:t>n = 177</w:t>
            </w:r>
          </w:p>
        </w:tc>
        <w:tc>
          <w:tcPr>
            <w:tcW w:w="1738" w:type="dxa"/>
          </w:tcPr>
          <w:p w14:paraId="28D8C3D0"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rPr>
              <w:t>Cis + 5</w:t>
            </w:r>
            <w:r w:rsidRPr="00D9492F">
              <w:rPr>
                <w:rFonts w:ascii="Times New Roman" w:hAnsi="Times New Roman"/>
                <w:bCs/>
              </w:rPr>
              <w:noBreakHyphen/>
              <w:t>FU</w:t>
            </w:r>
          </w:p>
          <w:p w14:paraId="1EDCC327" w14:textId="77777777" w:rsidR="00DC1CDC" w:rsidRPr="00D9492F" w:rsidRDefault="00DC1CDC" w:rsidP="00DC1CDC">
            <w:pPr>
              <w:keepNext/>
              <w:keepLines/>
              <w:spacing w:after="0" w:line="240" w:lineRule="auto"/>
              <w:jc w:val="center"/>
              <w:rPr>
                <w:rFonts w:ascii="Times New Roman" w:hAnsi="Times New Roman"/>
                <w:bCs/>
              </w:rPr>
            </w:pPr>
          </w:p>
          <w:p w14:paraId="163778AD"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rPr>
              <w:t>n = 181</w:t>
            </w:r>
          </w:p>
        </w:tc>
      </w:tr>
      <w:tr w:rsidR="00DC1CDC" w:rsidRPr="00D9492F" w14:paraId="6327EEE7" w14:textId="77777777" w:rsidTr="0003751A">
        <w:trPr>
          <w:trHeight w:val="440"/>
        </w:trPr>
        <w:tc>
          <w:tcPr>
            <w:tcW w:w="4557" w:type="dxa"/>
            <w:tcBorders>
              <w:bottom w:val="nil"/>
            </w:tcBorders>
          </w:tcPr>
          <w:p w14:paraId="221D6D4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Pragyventas laikotarpis be ligos progresavimo (mėnesiai)</w:t>
            </w:r>
          </w:p>
          <w:p w14:paraId="5DF62C6F"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1738" w:type="dxa"/>
          </w:tcPr>
          <w:p w14:paraId="481390E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11,4</w:t>
            </w:r>
          </w:p>
          <w:p w14:paraId="31AA4A41"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(10,1-14,0)</w:t>
            </w:r>
          </w:p>
        </w:tc>
        <w:tc>
          <w:tcPr>
            <w:tcW w:w="1738" w:type="dxa"/>
          </w:tcPr>
          <w:p w14:paraId="6CEF67C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8,3</w:t>
            </w:r>
          </w:p>
          <w:p w14:paraId="376CC756"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(7,4-9,1)</w:t>
            </w:r>
          </w:p>
        </w:tc>
      </w:tr>
      <w:tr w:rsidR="00DC1CDC" w:rsidRPr="00D9492F" w14:paraId="39A4676E" w14:textId="77777777" w:rsidTr="0003751A">
        <w:trPr>
          <w:cantSplit/>
        </w:trPr>
        <w:tc>
          <w:tcPr>
            <w:tcW w:w="4557" w:type="dxa"/>
            <w:tcBorders>
              <w:top w:val="nil"/>
              <w:bottom w:val="single" w:sz="4" w:space="0" w:color="auto"/>
            </w:tcBorders>
          </w:tcPr>
          <w:p w14:paraId="0E050AC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Koreguotas rizikos koeficientas</w:t>
            </w:r>
          </w:p>
          <w:p w14:paraId="727A6B1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p w14:paraId="5D6B87E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p reikšmė</w:t>
            </w:r>
          </w:p>
        </w:tc>
        <w:tc>
          <w:tcPr>
            <w:tcW w:w="3476" w:type="dxa"/>
            <w:gridSpan w:val="2"/>
          </w:tcPr>
          <w:p w14:paraId="0148AED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0,70</w:t>
            </w:r>
          </w:p>
          <w:p w14:paraId="5C690BE1"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(0,55-0,89)</w:t>
            </w:r>
          </w:p>
          <w:p w14:paraId="44F9AE66"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0,0042</w:t>
            </w:r>
          </w:p>
        </w:tc>
      </w:tr>
      <w:tr w:rsidR="00DC1CDC" w:rsidRPr="00D9492F" w14:paraId="53DC05A4" w14:textId="77777777" w:rsidTr="0003751A">
        <w:trPr>
          <w:trHeight w:val="413"/>
        </w:trPr>
        <w:tc>
          <w:tcPr>
            <w:tcW w:w="4557" w:type="dxa"/>
            <w:tcBorders>
              <w:bottom w:val="nil"/>
            </w:tcBorders>
          </w:tcPr>
          <w:p w14:paraId="7320C1C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Išgyvenamumo mediana (mėnesiai)</w:t>
            </w:r>
          </w:p>
          <w:p w14:paraId="4AB6A87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1738" w:type="dxa"/>
          </w:tcPr>
          <w:p w14:paraId="5C69A77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18,6</w:t>
            </w:r>
          </w:p>
          <w:p w14:paraId="5C4B1A1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(15,7-24.0)</w:t>
            </w:r>
          </w:p>
        </w:tc>
        <w:tc>
          <w:tcPr>
            <w:tcW w:w="1738" w:type="dxa"/>
          </w:tcPr>
          <w:p w14:paraId="48358AC0"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14,5</w:t>
            </w:r>
          </w:p>
          <w:p w14:paraId="4918B4C7"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(11,6-18,7)</w:t>
            </w:r>
          </w:p>
        </w:tc>
      </w:tr>
      <w:tr w:rsidR="00DC1CDC" w:rsidRPr="00D9492F" w14:paraId="08ABD6DB" w14:textId="77777777" w:rsidTr="0003751A">
        <w:trPr>
          <w:cantSplit/>
        </w:trPr>
        <w:tc>
          <w:tcPr>
            <w:tcW w:w="4557" w:type="dxa"/>
            <w:tcBorders>
              <w:top w:val="nil"/>
              <w:bottom w:val="single" w:sz="4" w:space="0" w:color="auto"/>
            </w:tcBorders>
          </w:tcPr>
          <w:p w14:paraId="3AD14C2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Rizikos koeficientas</w:t>
            </w:r>
          </w:p>
          <w:p w14:paraId="0A6268E1"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p w14:paraId="7C5E3FE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p reikšmė</w:t>
            </w:r>
          </w:p>
        </w:tc>
        <w:tc>
          <w:tcPr>
            <w:tcW w:w="3476" w:type="dxa"/>
            <w:gridSpan w:val="2"/>
          </w:tcPr>
          <w:p w14:paraId="46C560CC"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0,72</w:t>
            </w:r>
          </w:p>
          <w:p w14:paraId="1D1F45A8"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(0,56-0,93)</w:t>
            </w:r>
          </w:p>
          <w:p w14:paraId="53C005D0"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0,0128</w:t>
            </w:r>
          </w:p>
        </w:tc>
      </w:tr>
      <w:tr w:rsidR="00DC1CDC" w:rsidRPr="00D9492F" w14:paraId="0C109A66" w14:textId="77777777" w:rsidTr="0003751A">
        <w:tc>
          <w:tcPr>
            <w:tcW w:w="4557" w:type="dxa"/>
            <w:tcBorders>
              <w:bottom w:val="nil"/>
            </w:tcBorders>
          </w:tcPr>
          <w:p w14:paraId="435E3E5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Geriausias bendras atsako į chemoterapiją dažnis (%)</w:t>
            </w:r>
          </w:p>
          <w:p w14:paraId="11896A1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1738" w:type="dxa"/>
          </w:tcPr>
          <w:p w14:paraId="5FB7C4D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67,8</w:t>
            </w:r>
          </w:p>
          <w:p w14:paraId="2806D601"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(60,4-74,6)</w:t>
            </w:r>
          </w:p>
        </w:tc>
        <w:tc>
          <w:tcPr>
            <w:tcW w:w="1738" w:type="dxa"/>
          </w:tcPr>
          <w:p w14:paraId="294CA7C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53,6</w:t>
            </w:r>
          </w:p>
          <w:p w14:paraId="7CCE293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(46,0-61,0)</w:t>
            </w:r>
          </w:p>
        </w:tc>
      </w:tr>
      <w:tr w:rsidR="00DC1CDC" w:rsidRPr="00D9492F" w14:paraId="3D8AEA0D" w14:textId="77777777" w:rsidTr="0003751A">
        <w:trPr>
          <w:cantSplit/>
        </w:trPr>
        <w:tc>
          <w:tcPr>
            <w:tcW w:w="4557" w:type="dxa"/>
            <w:tcBorders>
              <w:top w:val="nil"/>
              <w:bottom w:val="single" w:sz="4" w:space="0" w:color="auto"/>
            </w:tcBorders>
          </w:tcPr>
          <w:p w14:paraId="73FFE62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p reikšmė</w:t>
            </w:r>
          </w:p>
        </w:tc>
        <w:tc>
          <w:tcPr>
            <w:tcW w:w="3476" w:type="dxa"/>
            <w:gridSpan w:val="2"/>
          </w:tcPr>
          <w:p w14:paraId="3B2CB790"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0,006</w:t>
            </w:r>
          </w:p>
        </w:tc>
      </w:tr>
      <w:tr w:rsidR="00DC1CDC" w:rsidRPr="00D9492F" w14:paraId="7B348AD3" w14:textId="77777777" w:rsidTr="0003751A">
        <w:tc>
          <w:tcPr>
            <w:tcW w:w="4557" w:type="dxa"/>
            <w:tcBorders>
              <w:bottom w:val="nil"/>
            </w:tcBorders>
          </w:tcPr>
          <w:p w14:paraId="1541CD4A"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Geriausias bendras atsako į tyrimo metu taikytą gydymą dažnis (chemoterapija +/- radioterapija) (%)</w:t>
            </w:r>
          </w:p>
          <w:p w14:paraId="186D5E3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1738" w:type="dxa"/>
          </w:tcPr>
          <w:p w14:paraId="36C303CC" w14:textId="77777777" w:rsidR="00DC1CDC" w:rsidRPr="00D9492F" w:rsidRDefault="00DC1CDC" w:rsidP="00DC1CDC">
            <w:pPr>
              <w:keepNext/>
              <w:keepLines/>
              <w:spacing w:after="0" w:line="240" w:lineRule="auto"/>
              <w:jc w:val="center"/>
              <w:rPr>
                <w:rFonts w:ascii="Times New Roman" w:hAnsi="Times New Roman"/>
              </w:rPr>
            </w:pPr>
          </w:p>
          <w:p w14:paraId="727570F6"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72,3</w:t>
            </w:r>
          </w:p>
          <w:p w14:paraId="1E7B94F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(65,1-78,8)</w:t>
            </w:r>
          </w:p>
        </w:tc>
        <w:tc>
          <w:tcPr>
            <w:tcW w:w="1738" w:type="dxa"/>
          </w:tcPr>
          <w:p w14:paraId="060F7F10" w14:textId="77777777" w:rsidR="00DC1CDC" w:rsidRPr="00D9492F" w:rsidRDefault="00DC1CDC" w:rsidP="00DC1CDC">
            <w:pPr>
              <w:keepNext/>
              <w:keepLines/>
              <w:spacing w:after="0" w:line="240" w:lineRule="auto"/>
              <w:jc w:val="center"/>
              <w:rPr>
                <w:rFonts w:ascii="Times New Roman" w:hAnsi="Times New Roman"/>
              </w:rPr>
            </w:pPr>
          </w:p>
          <w:p w14:paraId="1B8A316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58,6</w:t>
            </w:r>
          </w:p>
          <w:p w14:paraId="1F96E74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(51,0-65,8)</w:t>
            </w:r>
          </w:p>
        </w:tc>
      </w:tr>
      <w:tr w:rsidR="00DC1CDC" w:rsidRPr="00D9492F" w14:paraId="22FF17F4" w14:textId="77777777" w:rsidTr="0003751A">
        <w:trPr>
          <w:cantSplit/>
        </w:trPr>
        <w:tc>
          <w:tcPr>
            <w:tcW w:w="4557" w:type="dxa"/>
            <w:tcBorders>
              <w:top w:val="nil"/>
              <w:bottom w:val="single" w:sz="4" w:space="0" w:color="auto"/>
            </w:tcBorders>
          </w:tcPr>
          <w:p w14:paraId="29BECBA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p reikšmė</w:t>
            </w:r>
          </w:p>
        </w:tc>
        <w:tc>
          <w:tcPr>
            <w:tcW w:w="3476" w:type="dxa"/>
            <w:gridSpan w:val="2"/>
          </w:tcPr>
          <w:p w14:paraId="179750A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0,006</w:t>
            </w:r>
          </w:p>
        </w:tc>
      </w:tr>
      <w:tr w:rsidR="00DC1CDC" w:rsidRPr="00D9492F" w14:paraId="05B6AAE7" w14:textId="77777777" w:rsidTr="0003751A">
        <w:tc>
          <w:tcPr>
            <w:tcW w:w="4557" w:type="dxa"/>
            <w:tcBorders>
              <w:top w:val="single" w:sz="4" w:space="0" w:color="auto"/>
              <w:bottom w:val="nil"/>
            </w:tcBorders>
          </w:tcPr>
          <w:p w14:paraId="2F469EF8"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Atsako į chemoterapiją </w:t>
            </w:r>
            <w:r w:rsidRPr="00D9492F">
              <w:rPr>
                <w:rFonts w:ascii="Times New Roman" w:hAnsi="Times New Roman"/>
              </w:rPr>
              <w:sym w:font="Symbol" w:char="F0B1"/>
            </w:r>
            <w:r w:rsidRPr="00D9492F">
              <w:rPr>
                <w:rFonts w:ascii="Times New Roman" w:hAnsi="Times New Roman"/>
              </w:rPr>
              <w:t xml:space="preserve"> radioterapiją trukmės mediana (mėnesiai)</w:t>
            </w:r>
          </w:p>
          <w:p w14:paraId="434D53D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1738" w:type="dxa"/>
          </w:tcPr>
          <w:p w14:paraId="0895CDA7"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n = 128</w:t>
            </w:r>
          </w:p>
          <w:p w14:paraId="75FF26C7"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15,7</w:t>
            </w:r>
          </w:p>
          <w:p w14:paraId="587F997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(13,4-24,6)</w:t>
            </w:r>
          </w:p>
        </w:tc>
        <w:tc>
          <w:tcPr>
            <w:tcW w:w="1738" w:type="dxa"/>
          </w:tcPr>
          <w:p w14:paraId="322EC60B"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n = 106</w:t>
            </w:r>
          </w:p>
          <w:p w14:paraId="477051B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11,7</w:t>
            </w:r>
          </w:p>
          <w:p w14:paraId="3AFC8CE9"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(10,2-17,4)</w:t>
            </w:r>
          </w:p>
        </w:tc>
      </w:tr>
      <w:tr w:rsidR="00DC1CDC" w:rsidRPr="00D9492F" w14:paraId="0AAC4C1B" w14:textId="77777777" w:rsidTr="0003751A">
        <w:trPr>
          <w:cantSplit/>
        </w:trPr>
        <w:tc>
          <w:tcPr>
            <w:tcW w:w="4557" w:type="dxa"/>
            <w:tcBorders>
              <w:top w:val="nil"/>
            </w:tcBorders>
          </w:tcPr>
          <w:p w14:paraId="4BC714BE"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Rizikos koeficientas</w:t>
            </w:r>
          </w:p>
          <w:p w14:paraId="2F73990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p w14:paraId="00C2CA3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p reikšmė</w:t>
            </w:r>
          </w:p>
        </w:tc>
        <w:tc>
          <w:tcPr>
            <w:tcW w:w="3476" w:type="dxa"/>
            <w:gridSpan w:val="2"/>
          </w:tcPr>
          <w:p w14:paraId="4BD42839"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0,72</w:t>
            </w:r>
          </w:p>
          <w:p w14:paraId="2517EBC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(0,52-0,99)</w:t>
            </w:r>
          </w:p>
          <w:p w14:paraId="21BDD54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0,0457</w:t>
            </w:r>
          </w:p>
        </w:tc>
      </w:tr>
    </w:tbl>
    <w:p w14:paraId="0EF0619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Docetakselis +Cisplatina + 5</w:t>
      </w:r>
      <w:r w:rsidRPr="00D9492F">
        <w:rPr>
          <w:rFonts w:ascii="Times New Roman" w:hAnsi="Times New Roman"/>
          <w:b/>
          <w:bCs/>
        </w:rPr>
        <w:noBreakHyphen/>
      </w:r>
      <w:r w:rsidRPr="00D9492F">
        <w:rPr>
          <w:rFonts w:ascii="Times New Roman" w:hAnsi="Times New Roman"/>
        </w:rPr>
        <w:t>FU pranašumo rizikos santykis yra mažesnis, negu 1</w:t>
      </w:r>
    </w:p>
    <w:p w14:paraId="36DC465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w:t>
      </w:r>
      <w:r w:rsidRPr="00D9492F">
        <w:rPr>
          <w:rFonts w:ascii="Times New Roman" w:hAnsi="Times New Roman"/>
          <w:i/>
          <w:iCs/>
        </w:rPr>
        <w:t>Cox</w:t>
      </w:r>
      <w:r w:rsidRPr="00D9492F">
        <w:rPr>
          <w:rFonts w:ascii="Times New Roman" w:hAnsi="Times New Roman"/>
        </w:rPr>
        <w:t xml:space="preserve"> modelis (atsižvelgiant į pirminio auglio vietą, T ir N klinikinės stadijos ir </w:t>
      </w:r>
      <w:r w:rsidRPr="00D9492F">
        <w:rPr>
          <w:rFonts w:ascii="Times New Roman" w:hAnsi="Times New Roman"/>
          <w:i/>
          <w:iCs/>
        </w:rPr>
        <w:t>PSWHO</w:t>
      </w:r>
      <w:r w:rsidRPr="00D9492F">
        <w:rPr>
          <w:rFonts w:ascii="Times New Roman" w:hAnsi="Times New Roman"/>
        </w:rPr>
        <w:t>)</w:t>
      </w:r>
    </w:p>
    <w:p w14:paraId="3B82DD0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w:t>
      </w:r>
      <w:r w:rsidRPr="00D9492F">
        <w:rPr>
          <w:rFonts w:ascii="Times New Roman" w:hAnsi="Times New Roman"/>
          <w:i/>
          <w:iCs/>
        </w:rPr>
        <w:t>Logrank</w:t>
      </w:r>
      <w:r w:rsidRPr="00D9492F">
        <w:rPr>
          <w:rFonts w:ascii="Times New Roman" w:hAnsi="Times New Roman"/>
        </w:rPr>
        <w:t xml:space="preserve"> testas</w:t>
      </w:r>
    </w:p>
    <w:p w14:paraId="26655D0F" w14:textId="77777777" w:rsidR="00DC1CDC" w:rsidRPr="00D9492F" w:rsidRDefault="00DC1CDC" w:rsidP="00DC1CDC">
      <w:pPr>
        <w:spacing w:after="0" w:line="240" w:lineRule="auto"/>
        <w:rPr>
          <w:rFonts w:ascii="Times New Roman" w:hAnsi="Times New Roman"/>
          <w:b/>
        </w:rPr>
      </w:pPr>
      <w:r w:rsidRPr="00D9492F">
        <w:rPr>
          <w:rFonts w:ascii="Times New Roman" w:hAnsi="Times New Roman"/>
        </w:rPr>
        <w:t>*** Chi kvadrato (χ2) kriterijus</w:t>
      </w:r>
    </w:p>
    <w:p w14:paraId="19AFDF4B" w14:textId="77777777" w:rsidR="00DC1CDC" w:rsidRPr="00D9492F" w:rsidRDefault="00DC1CDC" w:rsidP="00DC1CDC">
      <w:pPr>
        <w:spacing w:after="0" w:line="240" w:lineRule="auto"/>
        <w:rPr>
          <w:rFonts w:ascii="Times New Roman" w:hAnsi="Times New Roman"/>
        </w:rPr>
      </w:pPr>
    </w:p>
    <w:p w14:paraId="0B1607BB" w14:textId="77777777" w:rsidR="00DC1CDC" w:rsidRPr="00D9492F" w:rsidRDefault="00DC1CDC" w:rsidP="00DC1CDC">
      <w:pPr>
        <w:keepNext/>
        <w:keepLines/>
        <w:autoSpaceDE w:val="0"/>
        <w:autoSpaceDN w:val="0"/>
        <w:adjustRightInd w:val="0"/>
        <w:spacing w:after="0" w:line="240" w:lineRule="auto"/>
        <w:rPr>
          <w:rFonts w:ascii="Times New Roman" w:hAnsi="Times New Roman"/>
          <w:i/>
          <w:iCs/>
        </w:rPr>
      </w:pPr>
      <w:r w:rsidRPr="00D9492F">
        <w:rPr>
          <w:rFonts w:ascii="Times New Roman" w:hAnsi="Times New Roman"/>
          <w:i/>
          <w:iCs/>
        </w:rPr>
        <w:t>Gyvenimo kokybės parametrai</w:t>
      </w:r>
    </w:p>
    <w:p w14:paraId="67334F59" w14:textId="415778E8" w:rsidR="00DC1CDC" w:rsidRPr="00D9492F" w:rsidRDefault="00DC1CDC" w:rsidP="00DC1CDC">
      <w:pPr>
        <w:spacing w:after="0" w:line="240" w:lineRule="auto"/>
        <w:rPr>
          <w:rFonts w:ascii="Times New Roman" w:hAnsi="Times New Roman"/>
        </w:rPr>
      </w:pPr>
      <w:r w:rsidRPr="00D9492F">
        <w:rPr>
          <w:rFonts w:ascii="Times New Roman" w:hAnsi="Times New Roman"/>
        </w:rPr>
        <w:t>TPF grupės pacientams reikšmingai mažiau nei PF grupės pacientams sumažėjo bendros sveikatos būklės įvertinimas (p = 0,01, naudota EORTC QLQ</w:t>
      </w:r>
      <w:r w:rsidRPr="00D9492F">
        <w:rPr>
          <w:rFonts w:ascii="Times New Roman" w:hAnsi="Times New Roman"/>
          <w:b/>
          <w:bCs/>
        </w:rPr>
        <w:noBreakHyphen/>
      </w:r>
      <w:r w:rsidRPr="00D9492F">
        <w:rPr>
          <w:rFonts w:ascii="Times New Roman" w:hAnsi="Times New Roman"/>
        </w:rPr>
        <w:t>C30 skalė).</w:t>
      </w:r>
    </w:p>
    <w:p w14:paraId="3677EEF0" w14:textId="77777777" w:rsidR="00DC1CDC" w:rsidRPr="00D9492F" w:rsidRDefault="00DC1CDC" w:rsidP="00DC1CDC">
      <w:pPr>
        <w:spacing w:after="0" w:line="240" w:lineRule="auto"/>
        <w:rPr>
          <w:rFonts w:ascii="Times New Roman" w:hAnsi="Times New Roman"/>
          <w:color w:val="000000"/>
        </w:rPr>
      </w:pPr>
    </w:p>
    <w:p w14:paraId="32162C5A" w14:textId="77777777" w:rsidR="00DC1CDC" w:rsidRPr="00D9492F" w:rsidRDefault="00DC1CDC" w:rsidP="00DC1CDC">
      <w:pPr>
        <w:keepNext/>
        <w:keepLines/>
        <w:autoSpaceDE w:val="0"/>
        <w:autoSpaceDN w:val="0"/>
        <w:adjustRightInd w:val="0"/>
        <w:spacing w:after="0" w:line="240" w:lineRule="auto"/>
        <w:rPr>
          <w:rFonts w:ascii="Times New Roman" w:eastAsia="Times New Roman" w:hAnsi="Times New Roman"/>
          <w:i/>
          <w:iCs/>
        </w:rPr>
      </w:pPr>
      <w:r w:rsidRPr="00D9492F">
        <w:rPr>
          <w:rFonts w:ascii="Times New Roman" w:eastAsia="Times New Roman" w:hAnsi="Times New Roman"/>
          <w:i/>
          <w:iCs/>
        </w:rPr>
        <w:t>Klinikinio poveikio parametrai</w:t>
      </w:r>
    </w:p>
    <w:p w14:paraId="17B0574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TPF grupės pacientų aktyvumo vertinimo skalės galvos ir kaklo būklę (kalbos suprantamumą, gebėjimą valgyti viešoje vietoje ir dietos normalumą) analizuojančios dalies (AVS</w:t>
      </w:r>
      <w:r w:rsidRPr="00D9492F">
        <w:rPr>
          <w:rFonts w:ascii="Times New Roman" w:hAnsi="Times New Roman"/>
          <w:b/>
          <w:bCs/>
        </w:rPr>
        <w:noBreakHyphen/>
      </w:r>
      <w:r w:rsidRPr="00D9492F">
        <w:rPr>
          <w:rFonts w:ascii="Times New Roman" w:hAnsi="Times New Roman"/>
        </w:rPr>
        <w:t>GK) įvertinimas buvo reikšmingai geresnis nei PF grupės pacientams.</w:t>
      </w:r>
    </w:p>
    <w:p w14:paraId="63103B4B" w14:textId="77777777" w:rsidR="00DC1CDC" w:rsidRPr="00D9492F" w:rsidRDefault="00DC1CDC" w:rsidP="00DC1CDC">
      <w:pPr>
        <w:spacing w:after="0" w:line="240" w:lineRule="auto"/>
        <w:rPr>
          <w:rFonts w:ascii="Times New Roman" w:hAnsi="Times New Roman"/>
          <w:snapToGrid w:val="0"/>
          <w:lang w:eastAsia="de-DE"/>
        </w:rPr>
      </w:pPr>
      <w:r w:rsidRPr="00D9492F">
        <w:rPr>
          <w:rFonts w:ascii="Times New Roman" w:hAnsi="Times New Roman"/>
        </w:rPr>
        <w:t>TPF grupėje laikotarpio iki pirmojo pablogėjimo (vertinant aktyvumo būklę pagal PSO kriterijus) mediana buvo reikšmingai ilgesnė nei PF grupėje.</w:t>
      </w:r>
      <w:r w:rsidRPr="00D9492F">
        <w:rPr>
          <w:rFonts w:ascii="Times New Roman" w:hAnsi="Times New Roman"/>
          <w:b/>
          <w:snapToGrid w:val="0"/>
          <w:lang w:eastAsia="de-DE"/>
        </w:rPr>
        <w:t xml:space="preserve"> </w:t>
      </w:r>
      <w:r w:rsidRPr="00D9492F">
        <w:rPr>
          <w:rFonts w:ascii="Times New Roman" w:hAnsi="Times New Roman"/>
          <w:snapToGrid w:val="0"/>
          <w:lang w:eastAsia="de-DE"/>
        </w:rPr>
        <w:t>Skausmo intensyvumas sumažėjo ab</w:t>
      </w:r>
      <w:r w:rsidR="00962C6F" w:rsidRPr="00D9492F">
        <w:rPr>
          <w:rFonts w:ascii="Times New Roman" w:hAnsi="Times New Roman"/>
          <w:snapToGrid w:val="0"/>
          <w:lang w:eastAsia="de-DE"/>
        </w:rPr>
        <w:t>i</w:t>
      </w:r>
      <w:r w:rsidRPr="00D9492F">
        <w:rPr>
          <w:rFonts w:ascii="Times New Roman" w:hAnsi="Times New Roman"/>
          <w:snapToGrid w:val="0"/>
          <w:lang w:eastAsia="de-DE"/>
        </w:rPr>
        <w:t>ejose gydymo grupėse, tai rodė gerą skausmo kontrolę.</w:t>
      </w:r>
    </w:p>
    <w:p w14:paraId="00BF8E8E" w14:textId="77777777" w:rsidR="00DC1CDC" w:rsidRPr="00D9492F" w:rsidRDefault="00DC1CDC" w:rsidP="00DC1CDC">
      <w:pPr>
        <w:spacing w:after="0" w:line="240" w:lineRule="auto"/>
        <w:rPr>
          <w:rFonts w:ascii="Times New Roman" w:hAnsi="Times New Roman"/>
        </w:rPr>
      </w:pPr>
    </w:p>
    <w:p w14:paraId="4FCC9D0D" w14:textId="77777777" w:rsidR="00DC1CDC" w:rsidRPr="00D9492F" w:rsidRDefault="00962C6F" w:rsidP="00962C6F">
      <w:pPr>
        <w:keepNext/>
        <w:keepLines/>
        <w:widowControl w:val="0"/>
        <w:numPr>
          <w:ilvl w:val="0"/>
          <w:numId w:val="10"/>
        </w:numPr>
        <w:tabs>
          <w:tab w:val="clear" w:pos="354"/>
        </w:tabs>
        <w:spacing w:after="0" w:line="240" w:lineRule="auto"/>
        <w:ind w:left="567" w:hanging="567"/>
        <w:rPr>
          <w:rFonts w:ascii="Times New Roman" w:hAnsi="Times New Roman"/>
        </w:rPr>
      </w:pPr>
      <w:r w:rsidRPr="00D9492F">
        <w:rPr>
          <w:rFonts w:ascii="Times New Roman" w:hAnsi="Times New Roman"/>
        </w:rPr>
        <w:t xml:space="preserve">Įvadinė chemoterapija, kai vėliau </w:t>
      </w:r>
      <w:r w:rsidR="00DC1CDC" w:rsidRPr="00D9492F">
        <w:rPr>
          <w:rFonts w:ascii="Times New Roman" w:hAnsi="Times New Roman"/>
        </w:rPr>
        <w:t>taikoma chemoterapija bei gydoma spinduliais (TAX 324)</w:t>
      </w:r>
    </w:p>
    <w:p w14:paraId="77B1CFCA" w14:textId="77777777" w:rsidR="00962C6F" w:rsidRPr="00D9492F" w:rsidRDefault="00962C6F" w:rsidP="00DC1CDC">
      <w:pPr>
        <w:spacing w:after="0" w:line="240" w:lineRule="auto"/>
        <w:rPr>
          <w:rFonts w:ascii="Times New Roman" w:hAnsi="Times New Roman"/>
        </w:rPr>
      </w:pPr>
    </w:p>
    <w:p w14:paraId="7B7D7C67" w14:textId="77777777" w:rsidR="00DC1CDC" w:rsidRPr="00D9492F" w:rsidRDefault="00962C6F" w:rsidP="00DC1CDC">
      <w:pPr>
        <w:spacing w:after="0" w:line="240" w:lineRule="auto"/>
        <w:rPr>
          <w:rFonts w:ascii="Times New Roman" w:hAnsi="Times New Roman"/>
        </w:rPr>
      </w:pPr>
      <w:r w:rsidRPr="00D9492F">
        <w:rPr>
          <w:rFonts w:ascii="Times New Roman" w:hAnsi="Times New Roman"/>
        </w:rPr>
        <w:t>D</w:t>
      </w:r>
      <w:r w:rsidR="00DC1CDC" w:rsidRPr="00D9492F">
        <w:rPr>
          <w:rFonts w:ascii="Times New Roman" w:hAnsi="Times New Roman"/>
        </w:rPr>
        <w:t xml:space="preserve">ocetakselio veiksmingumas bei saugumas jo vartojant įvadiniam lokaliai progresavusiu </w:t>
      </w:r>
      <w:r w:rsidR="00DC1CDC" w:rsidRPr="00D9492F">
        <w:rPr>
          <w:rFonts w:ascii="Times New Roman" w:hAnsi="Times New Roman"/>
          <w:bCs/>
          <w:iCs/>
        </w:rPr>
        <w:t>plokščialąsteliniu galvos ir kaklo vėžiu (PGKV) sergančių pacientų gydymui tirtas</w:t>
      </w:r>
      <w:r w:rsidR="00DC1CDC" w:rsidRPr="00D9492F">
        <w:rPr>
          <w:rFonts w:ascii="Times New Roman" w:hAnsi="Times New Roman"/>
        </w:rPr>
        <w:t xml:space="preserve"> III fazės daugiacentriu atviru atsitiktinių imčių tyrimu (TAX324). Šio tyrimo metu 501 lokaliai progresavusiu </w:t>
      </w:r>
      <w:r w:rsidR="00DC1CDC" w:rsidRPr="00D9492F">
        <w:rPr>
          <w:rFonts w:ascii="Times New Roman" w:hAnsi="Times New Roman"/>
          <w:bCs/>
          <w:iCs/>
        </w:rPr>
        <w:t xml:space="preserve">PGKV sirgę pacientai, kurių aktyvumo būklė pagal PSO vertinimą buvo </w:t>
      </w:r>
      <w:r w:rsidR="00DC1CDC" w:rsidRPr="00D9492F">
        <w:rPr>
          <w:rFonts w:ascii="Times New Roman" w:hAnsi="Times New Roman"/>
        </w:rPr>
        <w:t xml:space="preserve">0 arba 1, atsitiktinai parinkus buvo priskirti vienai iš dviejų gydymo grupių. Tyrime dalyvavusiems pacientams naviko rezekcija buvo techniškai neįmanoma, chirurginio gydymo sėkmės tikimybė buvo labai maža, siekta išsaugoti organus. Veiksmingumas ir saugumas vertinti atsižvelgiant tik į išgyvenamumą apimančias vertinamąsias baigtis, o organų išsaugojimas formaliai nevertintas. Docetakselio grupės pacientams 1 </w:t>
      </w:r>
      <w:r w:rsidR="00DC1CDC" w:rsidRPr="00D9492F">
        <w:rPr>
          <w:rFonts w:ascii="Times New Roman" w:hAnsi="Times New Roman"/>
        </w:rPr>
        <w:lastRenderedPageBreak/>
        <w:t xml:space="preserve">dieną į veną buvo </w:t>
      </w:r>
      <w:r w:rsidR="00AB7E1B" w:rsidRPr="00D9492F">
        <w:rPr>
          <w:rFonts w:ascii="Times New Roman" w:hAnsi="Times New Roman"/>
        </w:rPr>
        <w:t xml:space="preserve">leidžiama </w:t>
      </w:r>
      <w:r w:rsidR="00DC1CDC" w:rsidRPr="00D9492F">
        <w:rPr>
          <w:rFonts w:ascii="Times New Roman" w:hAnsi="Times New Roman"/>
        </w:rPr>
        <w:t>75 mg/m</w:t>
      </w:r>
      <w:r w:rsidR="00DC1CDC" w:rsidRPr="00D9492F">
        <w:rPr>
          <w:rFonts w:ascii="Times New Roman" w:hAnsi="Times New Roman"/>
          <w:vertAlign w:val="superscript"/>
        </w:rPr>
        <w:t>2 </w:t>
      </w:r>
      <w:r w:rsidR="00DC1CDC" w:rsidRPr="00D9492F">
        <w:rPr>
          <w:rFonts w:ascii="Times New Roman" w:hAnsi="Times New Roman"/>
        </w:rPr>
        <w:t>docetakselio (T), po to 100 mg/m</w:t>
      </w:r>
      <w:r w:rsidR="00DC1CDC" w:rsidRPr="00D9492F">
        <w:rPr>
          <w:rFonts w:ascii="Times New Roman" w:hAnsi="Times New Roman"/>
          <w:vertAlign w:val="superscript"/>
        </w:rPr>
        <w:t>2 </w:t>
      </w:r>
      <w:r w:rsidR="00DC1CDC" w:rsidRPr="00D9492F">
        <w:rPr>
          <w:rFonts w:ascii="Times New Roman" w:hAnsi="Times New Roman"/>
        </w:rPr>
        <w:t>cisplatinos (P) (infuzijos trukmė 30 min. - 3 val.), po to 1</w:t>
      </w:r>
      <w:r w:rsidR="00DC1CDC" w:rsidRPr="00D9492F">
        <w:rPr>
          <w:rFonts w:ascii="Times New Roman" w:hAnsi="Times New Roman"/>
        </w:rPr>
        <w:noBreakHyphen/>
        <w:t xml:space="preserve">4 dieną nuolat </w:t>
      </w:r>
      <w:r w:rsidR="00AB7E1B" w:rsidRPr="00D9492F">
        <w:rPr>
          <w:rFonts w:ascii="Times New Roman" w:hAnsi="Times New Roman"/>
        </w:rPr>
        <w:t>leista </w:t>
      </w:r>
      <w:r w:rsidR="00DC1CDC" w:rsidRPr="00D9492F">
        <w:rPr>
          <w:rFonts w:ascii="Times New Roman" w:hAnsi="Times New Roman"/>
        </w:rPr>
        <w:t>5</w:t>
      </w:r>
      <w:r w:rsidR="00DC1CDC" w:rsidRPr="00D9492F">
        <w:rPr>
          <w:rFonts w:ascii="Times New Roman" w:hAnsi="Times New Roman"/>
        </w:rPr>
        <w:noBreakHyphen/>
        <w:t>fluorouracilo (F) (paros dozė 1000 mg/m</w:t>
      </w:r>
      <w:r w:rsidR="00DC1CDC" w:rsidRPr="00D9492F">
        <w:rPr>
          <w:rFonts w:ascii="Times New Roman" w:hAnsi="Times New Roman"/>
          <w:vertAlign w:val="superscript"/>
        </w:rPr>
        <w:t>2</w:t>
      </w:r>
      <w:r w:rsidR="00DC1CDC" w:rsidRPr="00D9492F">
        <w:rPr>
          <w:rFonts w:ascii="Times New Roman" w:hAnsi="Times New Roman"/>
        </w:rPr>
        <w:t xml:space="preserve">) (TPF schema). Tokie gydymo kursai kartoti kas tris savaites 3 kartus. Po to visiems pacientams, kuriems liga neprogresavo, skirta protokole numatyta chemoterapija bei gydymas spinduliais (TPF/CRT). Palyginamosios grupės pacientams 1 dieną į veną buvo </w:t>
      </w:r>
      <w:r w:rsidR="00AB7E1B" w:rsidRPr="00D9492F">
        <w:rPr>
          <w:rFonts w:ascii="Times New Roman" w:hAnsi="Times New Roman"/>
        </w:rPr>
        <w:t xml:space="preserve">leidžiama </w:t>
      </w:r>
      <w:r w:rsidR="00DC1CDC" w:rsidRPr="00D9492F">
        <w:rPr>
          <w:rFonts w:ascii="Times New Roman" w:hAnsi="Times New Roman"/>
        </w:rPr>
        <w:t>100 mg/m</w:t>
      </w:r>
      <w:r w:rsidR="00DC1CDC" w:rsidRPr="00D9492F">
        <w:rPr>
          <w:rFonts w:ascii="Times New Roman" w:hAnsi="Times New Roman"/>
          <w:vertAlign w:val="superscript"/>
        </w:rPr>
        <w:t>2 </w:t>
      </w:r>
      <w:r w:rsidR="00DC1CDC" w:rsidRPr="00D9492F">
        <w:rPr>
          <w:rFonts w:ascii="Times New Roman" w:hAnsi="Times New Roman"/>
        </w:rPr>
        <w:t>cisplatinos (P) (infuzijos trukmė 30 min. - 3 val.), po to 1</w:t>
      </w:r>
      <w:r w:rsidR="00DC1CDC" w:rsidRPr="00D9492F">
        <w:rPr>
          <w:rFonts w:ascii="Times New Roman" w:hAnsi="Times New Roman"/>
        </w:rPr>
        <w:noBreakHyphen/>
        <w:t xml:space="preserve">5 dieną nuolat </w:t>
      </w:r>
      <w:r w:rsidR="00AB7E1B" w:rsidRPr="00D9492F">
        <w:rPr>
          <w:rFonts w:ascii="Times New Roman" w:hAnsi="Times New Roman"/>
        </w:rPr>
        <w:t>leista </w:t>
      </w:r>
      <w:r w:rsidR="00DC1CDC" w:rsidRPr="00D9492F">
        <w:rPr>
          <w:rFonts w:ascii="Times New Roman" w:hAnsi="Times New Roman"/>
        </w:rPr>
        <w:t>5</w:t>
      </w:r>
      <w:r w:rsidR="00DC1CDC" w:rsidRPr="00D9492F">
        <w:rPr>
          <w:rFonts w:ascii="Times New Roman" w:hAnsi="Times New Roman"/>
        </w:rPr>
        <w:noBreakHyphen/>
        <w:t>fluorouracilo (F) (paros dozė 1000 mg/m</w:t>
      </w:r>
      <w:r w:rsidR="00DC1CDC" w:rsidRPr="00D9492F">
        <w:rPr>
          <w:rFonts w:ascii="Times New Roman" w:hAnsi="Times New Roman"/>
          <w:vertAlign w:val="superscript"/>
        </w:rPr>
        <w:t>2</w:t>
      </w:r>
      <w:r w:rsidR="00DC1CDC" w:rsidRPr="00D9492F">
        <w:rPr>
          <w:rFonts w:ascii="Times New Roman" w:hAnsi="Times New Roman"/>
        </w:rPr>
        <w:t>). Tokie gydymo kursai kartoti kas tris savaites 3 kartus. Po to visiems pacientams, kuriems liga neprogresavo, skirta protokole numatyta chemoterapija bei gydymas spinduliais (PF/CRT).</w:t>
      </w:r>
    </w:p>
    <w:p w14:paraId="181A7DB9"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Baigus įvadinę chemoterapiją, mažiausiai po 3 savaičių, bet daugiausiai po 8 savaičių po paskutinio kurso pradžios (t. y. laikotarpiu nuo 22 iki 56 paskutinio kurso dienos) abiejų gydymo grupių pacientams 7 savaites taikytas gydymas pagal CRT schemą. Gydymo spinduliais metu kas savaitę per vieną valandą būdavo sulašinama karboplatinos (AUC 1,5) (buvo sulašinama daugiausiai 7 dozės). Buvo naudojama megavoltinė įranga, spinduliuota frakcijomis kartą per parą (2 Gy per parą, 5 dienas per savaitę, 7 savaites, suminė dozė 70</w:t>
      </w:r>
      <w:r w:rsidRPr="00D9492F">
        <w:rPr>
          <w:rFonts w:ascii="Times New Roman" w:hAnsi="Times New Roman"/>
        </w:rPr>
        <w:noBreakHyphen/>
        <w:t xml:space="preserve">72 Gy). Baigus CRT, pirminė ligos vieta ir (arba) kaklas bet kuriuo metu galėjo būti operuojami. Visi docetakselio grupės pacientai profilaktikai vartojo antibiotikų. Pagrindinė vertinamoji tyrimo baigtis </w:t>
      </w:r>
      <w:r w:rsidR="00047969" w:rsidRPr="00D9492F">
        <w:rPr>
          <w:rFonts w:ascii="Times New Roman" w:hAnsi="Times New Roman"/>
        </w:rPr>
        <w:t xml:space="preserve">- </w:t>
      </w:r>
      <w:r w:rsidRPr="00D9492F">
        <w:rPr>
          <w:rFonts w:ascii="Times New Roman" w:hAnsi="Times New Roman"/>
        </w:rPr>
        <w:t>bendras išgyvenamumas (BI)</w:t>
      </w:r>
      <w:r w:rsidR="00047969" w:rsidRPr="00D9492F">
        <w:rPr>
          <w:rFonts w:ascii="Times New Roman" w:hAnsi="Times New Roman"/>
        </w:rPr>
        <w:t>,</w:t>
      </w:r>
      <w:r w:rsidRPr="00D9492F">
        <w:rPr>
          <w:rFonts w:ascii="Times New Roman" w:hAnsi="Times New Roman"/>
        </w:rPr>
        <w:t xml:space="preserve"> buvo reikšmingai ilgesnis docetakselio vartojusių pacientų grupėje (</w:t>
      </w:r>
      <w:r w:rsidRPr="00D9492F">
        <w:rPr>
          <w:rFonts w:ascii="Times New Roman" w:hAnsi="Times New Roman"/>
          <w:i/>
        </w:rPr>
        <w:t>log-rank</w:t>
      </w:r>
      <w:r w:rsidRPr="00D9492F">
        <w:rPr>
          <w:rFonts w:ascii="Times New Roman" w:hAnsi="Times New Roman"/>
        </w:rPr>
        <w:t xml:space="preserve"> testas, p = 0,0058) nei PF grupėje (BI mediana atitinkamai 70,6 ir 30,1 mėnesio), o mirties pavojus, palyginti su PF grupės pacientais, sumažėjo 30 % (rizikos koeficientas (RK) = 0,70, 95 % pasikliautinieji intervalai (PI) = 0,54</w:t>
      </w:r>
      <w:r w:rsidRPr="00D9492F">
        <w:rPr>
          <w:rFonts w:ascii="Times New Roman" w:hAnsi="Times New Roman"/>
        </w:rPr>
        <w:noBreakHyphen/>
        <w:t>0,90) (stebėjimo mediana buvo 41,9 mėnesio). Vertinant poveikį antrinei vertinamajai baigčiai (PLBLP) nustatyta, kad 29 % sumažėjo ligos progresavimo ir mirties rizika, o PLBLP mediana pailgėjo 22 mėnesiais (35,5 mėnesio</w:t>
      </w:r>
      <w:r w:rsidR="00047969" w:rsidRPr="00D9492F">
        <w:rPr>
          <w:rFonts w:ascii="Times New Roman" w:hAnsi="Times New Roman"/>
        </w:rPr>
        <w:t xml:space="preserve"> </w:t>
      </w:r>
      <w:r w:rsidRPr="00D9492F">
        <w:rPr>
          <w:rFonts w:ascii="Times New Roman" w:hAnsi="Times New Roman"/>
        </w:rPr>
        <w:t xml:space="preserve">TPF grupėje ir 13,1 mėnesio PF grupėje). Skirtumas buvo statistiškai reikšmingas (RK 0,71; 95 % PI 0,56-0,90; </w:t>
      </w:r>
      <w:r w:rsidRPr="00D9492F">
        <w:rPr>
          <w:rFonts w:ascii="Times New Roman" w:hAnsi="Times New Roman"/>
          <w:i/>
        </w:rPr>
        <w:t>log-rank</w:t>
      </w:r>
      <w:r w:rsidRPr="00D9492F">
        <w:rPr>
          <w:rFonts w:ascii="Times New Roman" w:hAnsi="Times New Roman"/>
        </w:rPr>
        <w:t xml:space="preserve"> testo p = 0,004). Duomenys apie veiksmingumą apibendrinti toliau pateiktoje lentelėje:</w:t>
      </w:r>
    </w:p>
    <w:p w14:paraId="4B55D0E3" w14:textId="77777777" w:rsidR="00DC1CDC" w:rsidRPr="00D9492F" w:rsidRDefault="00DC1CDC" w:rsidP="00DC1CDC">
      <w:pPr>
        <w:spacing w:after="0" w:line="240" w:lineRule="auto"/>
        <w:rPr>
          <w:rFonts w:ascii="Times New Roman" w:hAnsi="Times New Roman"/>
          <w:b/>
        </w:rPr>
      </w:pPr>
    </w:p>
    <w:p w14:paraId="363B7486" w14:textId="77777777" w:rsidR="00DC1CDC" w:rsidRPr="00D9492F" w:rsidRDefault="00DC1CDC" w:rsidP="00DC1CDC">
      <w:pPr>
        <w:keepNext/>
        <w:keepLines/>
        <w:tabs>
          <w:tab w:val="left" w:pos="567"/>
        </w:tabs>
        <w:suppressAutoHyphens/>
        <w:spacing w:after="0" w:line="240" w:lineRule="auto"/>
        <w:rPr>
          <w:rFonts w:ascii="Times New Roman" w:hAnsi="Times New Roman"/>
          <w:u w:val="single"/>
        </w:rPr>
      </w:pPr>
      <w:r w:rsidRPr="00D9492F">
        <w:rPr>
          <w:rFonts w:ascii="Times New Roman" w:hAnsi="Times New Roman"/>
          <w:u w:val="single"/>
        </w:rPr>
        <w:t>Docetakselio veiksmingumas jo skiriant įvadiniam lokaliai progresavusiam PGKV gydymui (</w:t>
      </w:r>
      <w:r w:rsidRPr="00D9492F">
        <w:rPr>
          <w:rFonts w:ascii="Times New Roman" w:hAnsi="Times New Roman"/>
          <w:i/>
          <w:u w:val="single"/>
        </w:rPr>
        <w:t>Intent</w:t>
      </w:r>
      <w:r w:rsidRPr="00D9492F">
        <w:rPr>
          <w:rFonts w:ascii="Times New Roman" w:hAnsi="Times New Roman"/>
          <w:i/>
          <w:u w:val="single"/>
        </w:rPr>
        <w:noBreakHyphen/>
        <w:t>to-Treat</w:t>
      </w:r>
      <w:r w:rsidRPr="00D9492F">
        <w:rPr>
          <w:rFonts w:ascii="Times New Roman" w:hAnsi="Times New Roman"/>
          <w:u w:val="single"/>
        </w:rPr>
        <w:t xml:space="preserve"> analizė)</w:t>
      </w:r>
    </w:p>
    <w:p w14:paraId="21F20D47" w14:textId="77777777" w:rsidR="00DC1CDC" w:rsidRPr="00D9492F" w:rsidRDefault="00DC1CDC" w:rsidP="00DC1CDC">
      <w:pPr>
        <w:spacing w:after="0" w:line="240" w:lineRule="auto"/>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7"/>
        <w:gridCol w:w="1738"/>
        <w:gridCol w:w="1738"/>
      </w:tblGrid>
      <w:tr w:rsidR="00DC1CDC" w:rsidRPr="00D9492F" w14:paraId="528D4EE4" w14:textId="77777777" w:rsidTr="0003751A">
        <w:trPr>
          <w:jc w:val="center"/>
        </w:trPr>
        <w:tc>
          <w:tcPr>
            <w:tcW w:w="4557" w:type="dxa"/>
            <w:tcBorders>
              <w:bottom w:val="single" w:sz="4" w:space="0" w:color="auto"/>
            </w:tcBorders>
          </w:tcPr>
          <w:p w14:paraId="5DF4130A" w14:textId="77777777" w:rsidR="00DC1CDC" w:rsidRPr="00D9492F" w:rsidRDefault="00DC1CDC" w:rsidP="00DC1CDC">
            <w:pPr>
              <w:keepNext/>
              <w:keepLines/>
              <w:spacing w:after="0" w:line="240" w:lineRule="auto"/>
              <w:outlineLvl w:val="0"/>
              <w:rPr>
                <w:rFonts w:ascii="Times New Roman" w:eastAsia="Times New Roman" w:hAnsi="Times New Roman"/>
                <w:bCs/>
                <w:kern w:val="28"/>
                <w:u w:val="single"/>
              </w:rPr>
            </w:pPr>
            <w:r w:rsidRPr="00D9492F">
              <w:rPr>
                <w:rFonts w:ascii="Times New Roman" w:eastAsia="Times New Roman" w:hAnsi="Times New Roman"/>
                <w:bCs/>
                <w:kern w:val="28"/>
                <w:u w:val="single"/>
              </w:rPr>
              <w:t>Vertinamoji baigtis</w:t>
            </w:r>
          </w:p>
        </w:tc>
        <w:tc>
          <w:tcPr>
            <w:tcW w:w="1738" w:type="dxa"/>
          </w:tcPr>
          <w:p w14:paraId="778B53F3"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u w:val="single"/>
              </w:rPr>
              <w:t>Docetaxel SanoSwiss</w:t>
            </w:r>
            <w:r w:rsidRPr="00D9492F">
              <w:rPr>
                <w:rFonts w:ascii="Times New Roman" w:hAnsi="Times New Roman"/>
              </w:rPr>
              <w:t> </w:t>
            </w:r>
            <w:r w:rsidRPr="00D9492F">
              <w:rPr>
                <w:rFonts w:ascii="Times New Roman" w:hAnsi="Times New Roman"/>
                <w:bCs/>
              </w:rPr>
              <w:t>+</w:t>
            </w:r>
          </w:p>
          <w:p w14:paraId="37209201"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rPr>
              <w:t>Cis + 5</w:t>
            </w:r>
            <w:r w:rsidRPr="00D9492F">
              <w:rPr>
                <w:rFonts w:ascii="Times New Roman" w:hAnsi="Times New Roman"/>
                <w:bCs/>
              </w:rPr>
              <w:noBreakHyphen/>
              <w:t>FU</w:t>
            </w:r>
          </w:p>
          <w:p w14:paraId="778E0C99"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rPr>
              <w:t>n = 255</w:t>
            </w:r>
          </w:p>
        </w:tc>
        <w:tc>
          <w:tcPr>
            <w:tcW w:w="1738" w:type="dxa"/>
          </w:tcPr>
          <w:p w14:paraId="1F863A6D"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rPr>
              <w:t>Cis + 5</w:t>
            </w:r>
            <w:r w:rsidRPr="00D9492F">
              <w:rPr>
                <w:rFonts w:ascii="Times New Roman" w:hAnsi="Times New Roman"/>
                <w:bCs/>
              </w:rPr>
              <w:noBreakHyphen/>
              <w:t>FU</w:t>
            </w:r>
          </w:p>
          <w:p w14:paraId="7B7C305A" w14:textId="77777777" w:rsidR="00DC1CDC" w:rsidRPr="00D9492F" w:rsidRDefault="00DC1CDC" w:rsidP="00DC1CDC">
            <w:pPr>
              <w:keepNext/>
              <w:keepLines/>
              <w:spacing w:after="0" w:line="240" w:lineRule="auto"/>
              <w:jc w:val="center"/>
              <w:rPr>
                <w:rFonts w:ascii="Times New Roman" w:hAnsi="Times New Roman"/>
                <w:bCs/>
              </w:rPr>
            </w:pPr>
          </w:p>
          <w:p w14:paraId="6657D4D8" w14:textId="77777777" w:rsidR="00DC1CDC" w:rsidRPr="00D9492F" w:rsidRDefault="00DC1CDC" w:rsidP="00DC1CDC">
            <w:pPr>
              <w:keepNext/>
              <w:keepLines/>
              <w:spacing w:after="0" w:line="240" w:lineRule="auto"/>
              <w:jc w:val="center"/>
              <w:rPr>
                <w:rFonts w:ascii="Times New Roman" w:hAnsi="Times New Roman"/>
                <w:bCs/>
              </w:rPr>
            </w:pPr>
            <w:r w:rsidRPr="00D9492F">
              <w:rPr>
                <w:rFonts w:ascii="Times New Roman" w:hAnsi="Times New Roman"/>
                <w:bCs/>
              </w:rPr>
              <w:t>n = 246</w:t>
            </w:r>
          </w:p>
        </w:tc>
      </w:tr>
      <w:tr w:rsidR="00DC1CDC" w:rsidRPr="00D9492F" w14:paraId="3AD205D1" w14:textId="77777777" w:rsidTr="0003751A">
        <w:trPr>
          <w:trHeight w:val="440"/>
          <w:jc w:val="center"/>
        </w:trPr>
        <w:tc>
          <w:tcPr>
            <w:tcW w:w="4557" w:type="dxa"/>
            <w:tcBorders>
              <w:bottom w:val="nil"/>
            </w:tcBorders>
          </w:tcPr>
          <w:p w14:paraId="1218544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Bendro išgyvenamumo mediana (mėnesiai)</w:t>
            </w:r>
          </w:p>
          <w:p w14:paraId="4A66CEC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1738" w:type="dxa"/>
          </w:tcPr>
          <w:p w14:paraId="6517D36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70,6</w:t>
            </w:r>
          </w:p>
          <w:p w14:paraId="5E16F7B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(49,0-DN)</w:t>
            </w:r>
          </w:p>
        </w:tc>
        <w:tc>
          <w:tcPr>
            <w:tcW w:w="1738" w:type="dxa"/>
          </w:tcPr>
          <w:p w14:paraId="32299EF1"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30,1</w:t>
            </w:r>
          </w:p>
          <w:p w14:paraId="01C34245"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(20,9-51,5)</w:t>
            </w:r>
          </w:p>
        </w:tc>
      </w:tr>
      <w:tr w:rsidR="00DC1CDC" w:rsidRPr="00D9492F" w14:paraId="53BE29C7" w14:textId="77777777" w:rsidTr="0003751A">
        <w:trPr>
          <w:cantSplit/>
          <w:jc w:val="center"/>
        </w:trPr>
        <w:tc>
          <w:tcPr>
            <w:tcW w:w="4557" w:type="dxa"/>
            <w:tcBorders>
              <w:top w:val="nil"/>
              <w:bottom w:val="single" w:sz="4" w:space="0" w:color="auto"/>
            </w:tcBorders>
          </w:tcPr>
          <w:p w14:paraId="2635F7F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Rizikos koeficientas</w:t>
            </w:r>
          </w:p>
          <w:p w14:paraId="7F76DC2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p w14:paraId="0DE8B61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p reikšmė</w:t>
            </w:r>
          </w:p>
        </w:tc>
        <w:tc>
          <w:tcPr>
            <w:tcW w:w="3476" w:type="dxa"/>
            <w:gridSpan w:val="2"/>
          </w:tcPr>
          <w:p w14:paraId="339D3AE3"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0,70</w:t>
            </w:r>
          </w:p>
          <w:p w14:paraId="31E8DD59"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(0,54-0,90)</w:t>
            </w:r>
          </w:p>
          <w:p w14:paraId="4D8072BA"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0,0058</w:t>
            </w:r>
          </w:p>
        </w:tc>
      </w:tr>
      <w:tr w:rsidR="00DC1CDC" w:rsidRPr="00D9492F" w14:paraId="572AE67B" w14:textId="77777777" w:rsidTr="0003751A">
        <w:trPr>
          <w:trHeight w:val="413"/>
          <w:jc w:val="center"/>
        </w:trPr>
        <w:tc>
          <w:tcPr>
            <w:tcW w:w="4557" w:type="dxa"/>
            <w:tcBorders>
              <w:bottom w:val="nil"/>
            </w:tcBorders>
          </w:tcPr>
          <w:p w14:paraId="415599D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PLBLP mediana (mėnesiai)</w:t>
            </w:r>
          </w:p>
          <w:p w14:paraId="0BFB080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1738" w:type="dxa"/>
          </w:tcPr>
          <w:p w14:paraId="386F95E3" w14:textId="77777777" w:rsidR="00DC1CDC" w:rsidRPr="00D9492F" w:rsidRDefault="00DC1CDC" w:rsidP="00DC1CDC">
            <w:pPr>
              <w:keepNext/>
              <w:keepLines/>
              <w:spacing w:before="40" w:after="0" w:line="240" w:lineRule="auto"/>
              <w:jc w:val="center"/>
              <w:rPr>
                <w:rFonts w:ascii="Times New Roman" w:hAnsi="Times New Roman"/>
              </w:rPr>
            </w:pPr>
            <w:r w:rsidRPr="00D9492F">
              <w:rPr>
                <w:rFonts w:ascii="Times New Roman" w:hAnsi="Times New Roman"/>
              </w:rPr>
              <w:t>35,5</w:t>
            </w:r>
          </w:p>
          <w:p w14:paraId="2BD5F8C9"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(19,3- DN)</w:t>
            </w:r>
          </w:p>
        </w:tc>
        <w:tc>
          <w:tcPr>
            <w:tcW w:w="1738" w:type="dxa"/>
          </w:tcPr>
          <w:p w14:paraId="4AB61042" w14:textId="77777777" w:rsidR="00DC1CDC" w:rsidRPr="00D9492F" w:rsidRDefault="00DC1CDC" w:rsidP="00DC1CDC">
            <w:pPr>
              <w:keepNext/>
              <w:keepLines/>
              <w:spacing w:before="40" w:after="0" w:line="240" w:lineRule="auto"/>
              <w:jc w:val="center"/>
              <w:rPr>
                <w:rFonts w:ascii="Times New Roman" w:hAnsi="Times New Roman"/>
              </w:rPr>
            </w:pPr>
            <w:r w:rsidRPr="00D9492F">
              <w:rPr>
                <w:rFonts w:ascii="Times New Roman" w:hAnsi="Times New Roman"/>
              </w:rPr>
              <w:t>13,1</w:t>
            </w:r>
          </w:p>
          <w:p w14:paraId="459A9AA1"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(10,6 – 20,2)</w:t>
            </w:r>
          </w:p>
        </w:tc>
      </w:tr>
      <w:tr w:rsidR="00DC1CDC" w:rsidRPr="00D9492F" w14:paraId="7E9CCC5E" w14:textId="77777777" w:rsidTr="0003751A">
        <w:trPr>
          <w:cantSplit/>
          <w:jc w:val="center"/>
        </w:trPr>
        <w:tc>
          <w:tcPr>
            <w:tcW w:w="4557" w:type="dxa"/>
            <w:tcBorders>
              <w:top w:val="nil"/>
              <w:bottom w:val="single" w:sz="4" w:space="0" w:color="auto"/>
            </w:tcBorders>
          </w:tcPr>
          <w:p w14:paraId="23D8EE4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Rizikos koeficientas</w:t>
            </w:r>
          </w:p>
          <w:p w14:paraId="5439DB5B"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p w14:paraId="4AA1096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p reikšmė</w:t>
            </w:r>
          </w:p>
        </w:tc>
        <w:tc>
          <w:tcPr>
            <w:tcW w:w="3476" w:type="dxa"/>
            <w:gridSpan w:val="2"/>
          </w:tcPr>
          <w:p w14:paraId="1EF36C7F"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0,71</w:t>
            </w:r>
          </w:p>
          <w:p w14:paraId="7B960C11"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(0,56-0,90)</w:t>
            </w:r>
          </w:p>
          <w:p w14:paraId="4659D067"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0,004</w:t>
            </w:r>
          </w:p>
        </w:tc>
      </w:tr>
      <w:tr w:rsidR="00DC1CDC" w:rsidRPr="00D9492F" w14:paraId="791DB4DB" w14:textId="77777777" w:rsidTr="0003751A">
        <w:trPr>
          <w:jc w:val="center"/>
        </w:trPr>
        <w:tc>
          <w:tcPr>
            <w:tcW w:w="4557" w:type="dxa"/>
            <w:tcBorders>
              <w:bottom w:val="nil"/>
            </w:tcBorders>
          </w:tcPr>
          <w:p w14:paraId="605920E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Geriausias bendras atsako (CR + PR) dažnis (%)</w:t>
            </w:r>
          </w:p>
          <w:p w14:paraId="564FB6A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1738" w:type="dxa"/>
          </w:tcPr>
          <w:p w14:paraId="4B1EE6C1" w14:textId="77777777" w:rsidR="00DC1CDC" w:rsidRPr="00D9492F" w:rsidRDefault="00DC1CDC" w:rsidP="00DC1CDC">
            <w:pPr>
              <w:keepNext/>
              <w:keepLines/>
              <w:spacing w:before="40" w:after="0" w:line="240" w:lineRule="auto"/>
              <w:jc w:val="center"/>
              <w:rPr>
                <w:rFonts w:ascii="Times New Roman" w:hAnsi="Times New Roman"/>
              </w:rPr>
            </w:pPr>
            <w:r w:rsidRPr="00D9492F">
              <w:rPr>
                <w:rFonts w:ascii="Times New Roman" w:hAnsi="Times New Roman"/>
              </w:rPr>
              <w:t>71,.8</w:t>
            </w:r>
          </w:p>
          <w:p w14:paraId="7B875BE4"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(65,8-77,2)</w:t>
            </w:r>
          </w:p>
        </w:tc>
        <w:tc>
          <w:tcPr>
            <w:tcW w:w="1738" w:type="dxa"/>
          </w:tcPr>
          <w:p w14:paraId="12DD3B9B" w14:textId="77777777" w:rsidR="00DC1CDC" w:rsidRPr="00D9492F" w:rsidRDefault="00DC1CDC" w:rsidP="00DC1CDC">
            <w:pPr>
              <w:keepNext/>
              <w:keepLines/>
              <w:spacing w:before="40" w:after="0" w:line="240" w:lineRule="auto"/>
              <w:jc w:val="center"/>
              <w:rPr>
                <w:rFonts w:ascii="Times New Roman" w:hAnsi="Times New Roman"/>
              </w:rPr>
            </w:pPr>
            <w:r w:rsidRPr="00D9492F">
              <w:rPr>
                <w:rFonts w:ascii="Times New Roman" w:hAnsi="Times New Roman"/>
              </w:rPr>
              <w:t>64,2</w:t>
            </w:r>
          </w:p>
          <w:p w14:paraId="4C4473DD"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(57,9-70,2)</w:t>
            </w:r>
          </w:p>
        </w:tc>
      </w:tr>
      <w:tr w:rsidR="00DC1CDC" w:rsidRPr="00D9492F" w14:paraId="349EEB51" w14:textId="77777777" w:rsidTr="0003751A">
        <w:trPr>
          <w:cantSplit/>
          <w:jc w:val="center"/>
        </w:trPr>
        <w:tc>
          <w:tcPr>
            <w:tcW w:w="4557" w:type="dxa"/>
            <w:tcBorders>
              <w:top w:val="nil"/>
              <w:bottom w:val="single" w:sz="4" w:space="0" w:color="auto"/>
            </w:tcBorders>
          </w:tcPr>
          <w:p w14:paraId="03B03205"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p reikšmė</w:t>
            </w:r>
          </w:p>
        </w:tc>
        <w:tc>
          <w:tcPr>
            <w:tcW w:w="3476" w:type="dxa"/>
            <w:gridSpan w:val="2"/>
          </w:tcPr>
          <w:p w14:paraId="197B920E"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0,070</w:t>
            </w:r>
          </w:p>
        </w:tc>
      </w:tr>
      <w:tr w:rsidR="00DC1CDC" w:rsidRPr="00D9492F" w14:paraId="3F245311" w14:textId="77777777" w:rsidTr="0003751A">
        <w:trPr>
          <w:jc w:val="center"/>
        </w:trPr>
        <w:tc>
          <w:tcPr>
            <w:tcW w:w="4557" w:type="dxa"/>
            <w:tcBorders>
              <w:bottom w:val="nil"/>
            </w:tcBorders>
          </w:tcPr>
          <w:p w14:paraId="4FB6602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Geriausias bendras atsako (CR + PR) į tyrimo metu taikytą gydymą (chemoterapija +/- radioterapija) dažnis (%)</w:t>
            </w:r>
          </w:p>
          <w:p w14:paraId="2293E7A7"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(95 % PI)</w:t>
            </w:r>
          </w:p>
        </w:tc>
        <w:tc>
          <w:tcPr>
            <w:tcW w:w="1738" w:type="dxa"/>
          </w:tcPr>
          <w:p w14:paraId="1F2AB495" w14:textId="77777777" w:rsidR="00DC1CDC" w:rsidRPr="00D9492F" w:rsidRDefault="00DC1CDC" w:rsidP="00DC1CDC">
            <w:pPr>
              <w:keepNext/>
              <w:keepLines/>
              <w:spacing w:before="40" w:after="0" w:line="240" w:lineRule="auto"/>
              <w:jc w:val="center"/>
              <w:rPr>
                <w:rFonts w:ascii="Times New Roman" w:hAnsi="Times New Roman"/>
              </w:rPr>
            </w:pPr>
            <w:r w:rsidRPr="00D9492F">
              <w:rPr>
                <w:rFonts w:ascii="Times New Roman" w:hAnsi="Times New Roman"/>
              </w:rPr>
              <w:t>76,5</w:t>
            </w:r>
          </w:p>
          <w:p w14:paraId="445E7379"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(70,8-81,5)</w:t>
            </w:r>
          </w:p>
        </w:tc>
        <w:tc>
          <w:tcPr>
            <w:tcW w:w="1738" w:type="dxa"/>
          </w:tcPr>
          <w:p w14:paraId="7680BD66" w14:textId="77777777" w:rsidR="00DC1CDC" w:rsidRPr="00D9492F" w:rsidRDefault="00DC1CDC" w:rsidP="00DC1CDC">
            <w:pPr>
              <w:keepNext/>
              <w:keepLines/>
              <w:spacing w:before="40" w:after="0" w:line="240" w:lineRule="auto"/>
              <w:jc w:val="center"/>
              <w:rPr>
                <w:rFonts w:ascii="Times New Roman" w:hAnsi="Times New Roman"/>
              </w:rPr>
            </w:pPr>
            <w:r w:rsidRPr="00D9492F">
              <w:rPr>
                <w:rFonts w:ascii="Times New Roman" w:hAnsi="Times New Roman"/>
              </w:rPr>
              <w:t>71,5</w:t>
            </w:r>
          </w:p>
          <w:p w14:paraId="43EEE718"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(65,5-77,1)</w:t>
            </w:r>
          </w:p>
        </w:tc>
      </w:tr>
      <w:tr w:rsidR="00DC1CDC" w:rsidRPr="00D9492F" w14:paraId="7E1BEB14" w14:textId="77777777" w:rsidTr="0003751A">
        <w:trPr>
          <w:cantSplit/>
          <w:jc w:val="center"/>
        </w:trPr>
        <w:tc>
          <w:tcPr>
            <w:tcW w:w="4557" w:type="dxa"/>
            <w:tcBorders>
              <w:top w:val="nil"/>
              <w:bottom w:val="single" w:sz="4" w:space="0" w:color="auto"/>
            </w:tcBorders>
          </w:tcPr>
          <w:p w14:paraId="6F939AB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p reikšmė</w:t>
            </w:r>
          </w:p>
        </w:tc>
        <w:tc>
          <w:tcPr>
            <w:tcW w:w="3476" w:type="dxa"/>
            <w:gridSpan w:val="2"/>
          </w:tcPr>
          <w:p w14:paraId="0CA3AC76" w14:textId="77777777" w:rsidR="00DC1CDC" w:rsidRPr="00D9492F" w:rsidRDefault="00DC1CDC" w:rsidP="00DC1CDC">
            <w:pPr>
              <w:keepNext/>
              <w:keepLines/>
              <w:spacing w:after="0" w:line="240" w:lineRule="auto"/>
              <w:jc w:val="center"/>
              <w:rPr>
                <w:rFonts w:ascii="Times New Roman" w:hAnsi="Times New Roman"/>
              </w:rPr>
            </w:pPr>
            <w:r w:rsidRPr="00D9492F">
              <w:rPr>
                <w:rFonts w:ascii="Times New Roman" w:hAnsi="Times New Roman"/>
              </w:rPr>
              <w:t>0,209</w:t>
            </w:r>
          </w:p>
        </w:tc>
      </w:tr>
    </w:tbl>
    <w:p w14:paraId="101651A9"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Docetakselis +cisplatina + fluorouracilas pranašumo rizikos santykis yra mažesnis, negu 1</w:t>
      </w:r>
    </w:p>
    <w:p w14:paraId="43476961"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w:t>
      </w:r>
      <w:r w:rsidRPr="00D9492F">
        <w:rPr>
          <w:rFonts w:ascii="Times New Roman" w:hAnsi="Times New Roman"/>
          <w:i/>
          <w:iCs/>
        </w:rPr>
        <w:t xml:space="preserve"> Nekoreguotas logrank</w:t>
      </w:r>
      <w:r w:rsidRPr="00D9492F">
        <w:rPr>
          <w:rFonts w:ascii="Times New Roman" w:hAnsi="Times New Roman"/>
        </w:rPr>
        <w:t xml:space="preserve"> testas</w:t>
      </w:r>
    </w:p>
    <w:p w14:paraId="25A295CB"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w:t>
      </w:r>
      <w:r w:rsidRPr="00D9492F">
        <w:rPr>
          <w:rFonts w:ascii="Times New Roman" w:hAnsi="Times New Roman"/>
          <w:i/>
          <w:iCs/>
        </w:rPr>
        <w:t xml:space="preserve"> Nekoreguotas logrank</w:t>
      </w:r>
      <w:r w:rsidRPr="00D9492F">
        <w:rPr>
          <w:rFonts w:ascii="Times New Roman" w:hAnsi="Times New Roman"/>
        </w:rPr>
        <w:t xml:space="preserve"> testas, nepritaikytas daugybiniams palyginimams</w:t>
      </w:r>
    </w:p>
    <w:p w14:paraId="69594145" w14:textId="53C63538" w:rsidR="00DC1CDC" w:rsidRPr="00D9492F" w:rsidRDefault="00DC1CDC" w:rsidP="00DC1CDC">
      <w:pPr>
        <w:spacing w:after="0" w:line="240" w:lineRule="auto"/>
        <w:rPr>
          <w:rFonts w:ascii="Times New Roman" w:hAnsi="Times New Roman"/>
          <w:b/>
        </w:rPr>
      </w:pPr>
      <w:r w:rsidRPr="00D9492F">
        <w:rPr>
          <w:rFonts w:ascii="Times New Roman" w:hAnsi="Times New Roman"/>
        </w:rPr>
        <w:t>*** Chi kvadrato (χ2) kriterijus, nepritaikytas daugybiniams palyginimams</w:t>
      </w:r>
    </w:p>
    <w:p w14:paraId="2029DA92" w14:textId="0BAEB23C" w:rsidR="00DC1CDC" w:rsidRPr="00D9492F" w:rsidRDefault="00DC1CDC" w:rsidP="00DC1CDC">
      <w:pPr>
        <w:spacing w:after="0" w:line="240" w:lineRule="auto"/>
        <w:rPr>
          <w:rFonts w:ascii="Times New Roman" w:hAnsi="Times New Roman"/>
        </w:rPr>
      </w:pPr>
      <w:r w:rsidRPr="00D9492F">
        <w:rPr>
          <w:rFonts w:ascii="Times New Roman" w:hAnsi="Times New Roman"/>
        </w:rPr>
        <w:t>DN – duomenys neaktualūs</w:t>
      </w:r>
    </w:p>
    <w:p w14:paraId="42F3560C" w14:textId="77777777" w:rsidR="00135562" w:rsidRPr="00D9492F" w:rsidRDefault="00135562" w:rsidP="00135562">
      <w:pPr>
        <w:spacing w:after="0" w:line="240" w:lineRule="auto"/>
        <w:rPr>
          <w:rFonts w:ascii="Times New Roman" w:hAnsi="Times New Roman"/>
          <w:u w:val="single"/>
        </w:rPr>
      </w:pPr>
      <w:r w:rsidRPr="00D9492F">
        <w:rPr>
          <w:rFonts w:ascii="Times New Roman" w:hAnsi="Times New Roman"/>
          <w:u w:val="single"/>
        </w:rPr>
        <w:lastRenderedPageBreak/>
        <w:t xml:space="preserve">Vaikų populiacija </w:t>
      </w:r>
    </w:p>
    <w:p w14:paraId="0C38D12C"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 </w:t>
      </w:r>
    </w:p>
    <w:p w14:paraId="7ABD2B0B" w14:textId="5172E76B" w:rsidR="00135562" w:rsidRPr="00D9492F" w:rsidRDefault="00135562" w:rsidP="00135562">
      <w:pPr>
        <w:spacing w:after="0" w:line="240" w:lineRule="auto"/>
        <w:rPr>
          <w:rFonts w:ascii="Times New Roman" w:hAnsi="Times New Roman"/>
        </w:rPr>
      </w:pPr>
      <w:r w:rsidRPr="00D9492F">
        <w:rPr>
          <w:rFonts w:ascii="Times New Roman" w:hAnsi="Times New Roman"/>
        </w:rPr>
        <w:t xml:space="preserve">Europos vaistų agentūra </w:t>
      </w:r>
      <w:r w:rsidR="00BF2CAF" w:rsidRPr="00D9492F">
        <w:rPr>
          <w:rFonts w:ascii="Times New Roman" w:hAnsi="Times New Roman"/>
        </w:rPr>
        <w:t>atleido nuo įsipareigojimo</w:t>
      </w:r>
      <w:r w:rsidRPr="00D9492F">
        <w:rPr>
          <w:rFonts w:ascii="Times New Roman" w:hAnsi="Times New Roman"/>
        </w:rPr>
        <w:t xml:space="preserve"> pateikti </w:t>
      </w:r>
      <w:r w:rsidR="0030583E" w:rsidRPr="00D9492F">
        <w:rPr>
          <w:rFonts w:ascii="Times New Roman" w:hAnsi="Times New Roman"/>
        </w:rPr>
        <w:t>TAXOTERE</w:t>
      </w:r>
      <w:r w:rsidRPr="00D9492F">
        <w:rPr>
          <w:rFonts w:ascii="Times New Roman" w:hAnsi="Times New Roman"/>
        </w:rPr>
        <w:t xml:space="preserve"> tyrimų </w:t>
      </w:r>
      <w:r w:rsidR="0030583E" w:rsidRPr="00D9492F">
        <w:rPr>
          <w:rFonts w:ascii="Times New Roman" w:hAnsi="Times New Roman"/>
        </w:rPr>
        <w:t>su visais vaikų populiacijos pogrupiais duomenis</w:t>
      </w:r>
      <w:r w:rsidRPr="00D9492F">
        <w:rPr>
          <w:rFonts w:ascii="Times New Roman" w:hAnsi="Times New Roman"/>
        </w:rPr>
        <w:t xml:space="preserve"> krūties vėžio, plaučių nesmulkialąstelinio vėžio, prostatos vėžio, skrandžio vėžio ir galvos ir kaklo vėžio atvejais, išskyrus II ir III tipo mažiau diferencijuotos nosiaryklės karcinomą</w:t>
      </w:r>
      <w:r w:rsidR="00641C9D" w:rsidRPr="00D9492F">
        <w:rPr>
          <w:rFonts w:ascii="Times New Roman" w:hAnsi="Times New Roman"/>
        </w:rPr>
        <w:t xml:space="preserve"> (vartojimo vaikams informacija pateikiama 4.2 skyriuje</w:t>
      </w:r>
      <w:r w:rsidR="00641C9D" w:rsidRPr="00D9492F" w:rsidDel="0030583E">
        <w:rPr>
          <w:rFonts w:ascii="Times New Roman" w:hAnsi="Times New Roman"/>
        </w:rPr>
        <w:t xml:space="preserve"> </w:t>
      </w:r>
      <w:r w:rsidRPr="00D9492F">
        <w:rPr>
          <w:rFonts w:ascii="Times New Roman" w:hAnsi="Times New Roman"/>
        </w:rPr>
        <w:t>.</w:t>
      </w:r>
    </w:p>
    <w:p w14:paraId="0EB865FB" w14:textId="77777777" w:rsidR="00135562" w:rsidRPr="00D9492F" w:rsidRDefault="00135562" w:rsidP="00DC1CDC">
      <w:pPr>
        <w:spacing w:after="0" w:line="240" w:lineRule="auto"/>
        <w:rPr>
          <w:rFonts w:ascii="Times New Roman" w:hAnsi="Times New Roman"/>
        </w:rPr>
      </w:pPr>
    </w:p>
    <w:p w14:paraId="00B2D91A" w14:textId="77777777" w:rsidR="00DC1CDC" w:rsidRPr="00D9492F" w:rsidRDefault="00DC1CDC" w:rsidP="00DC1CDC">
      <w:pPr>
        <w:spacing w:after="0" w:line="240" w:lineRule="auto"/>
        <w:rPr>
          <w:rFonts w:ascii="Times New Roman" w:hAnsi="Times New Roman"/>
        </w:rPr>
      </w:pPr>
    </w:p>
    <w:p w14:paraId="683F678D"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5.2</w:t>
      </w:r>
      <w:r w:rsidRPr="00D9492F">
        <w:rPr>
          <w:rFonts w:ascii="Times New Roman" w:hAnsi="Times New Roman"/>
          <w:b/>
        </w:rPr>
        <w:tab/>
        <w:t>Farmakokinetinės savybės</w:t>
      </w:r>
      <w:bookmarkEnd w:id="9"/>
    </w:p>
    <w:p w14:paraId="63747366" w14:textId="77777777" w:rsidR="00DC1CDC" w:rsidRPr="00D9492F" w:rsidRDefault="00DC1CDC" w:rsidP="00DC1CDC">
      <w:pPr>
        <w:spacing w:after="0" w:line="240" w:lineRule="auto"/>
        <w:rPr>
          <w:rFonts w:ascii="Times New Roman" w:hAnsi="Times New Roman"/>
        </w:rPr>
      </w:pPr>
    </w:p>
    <w:p w14:paraId="057BF9EF"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Absorbcija</w:t>
      </w:r>
    </w:p>
    <w:p w14:paraId="002FEC31" w14:textId="7695CF9F"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Docetakselio farmakokinetika vėžiu sergančių pacientų organizme tirta I fazės tyrimų metu </w:t>
      </w:r>
      <w:r w:rsidR="001C3AD8" w:rsidRPr="00D9492F">
        <w:rPr>
          <w:rFonts w:ascii="Times New Roman" w:hAnsi="Times New Roman"/>
        </w:rPr>
        <w:t xml:space="preserve">leidžiant </w:t>
      </w:r>
      <w:r w:rsidRPr="00D9492F">
        <w:rPr>
          <w:rFonts w:ascii="Times New Roman" w:hAnsi="Times New Roman"/>
        </w:rPr>
        <w:t>šio vaistinio preparato 20</w:t>
      </w:r>
      <w:r w:rsidRPr="00D9492F">
        <w:rPr>
          <w:rFonts w:ascii="Times New Roman" w:hAnsi="Times New Roman"/>
          <w:b/>
          <w:bCs/>
        </w:rPr>
        <w:noBreakHyphen/>
      </w:r>
      <w:r w:rsidRPr="00D9492F">
        <w:rPr>
          <w:rFonts w:ascii="Times New Roman" w:hAnsi="Times New Roman"/>
        </w:rPr>
        <w:t>115 mg/m</w:t>
      </w:r>
      <w:r w:rsidRPr="00D9492F">
        <w:rPr>
          <w:rFonts w:ascii="Times New Roman" w:hAnsi="Times New Roman"/>
          <w:vertAlign w:val="superscript"/>
        </w:rPr>
        <w:t>2 </w:t>
      </w:r>
      <w:r w:rsidRPr="00D9492F">
        <w:rPr>
          <w:rFonts w:ascii="Times New Roman" w:hAnsi="Times New Roman"/>
        </w:rPr>
        <w:t xml:space="preserve">dozėmis. Šio vaistinio preparato farmakokinetikos pobūdis nepriklauso nuo dozės ir atitinka trijų </w:t>
      </w:r>
      <w:r w:rsidR="00020860" w:rsidRPr="00D9492F">
        <w:rPr>
          <w:rFonts w:ascii="Times New Roman" w:hAnsi="Times New Roman"/>
        </w:rPr>
        <w:t xml:space="preserve">skyrių </w:t>
      </w:r>
      <w:r w:rsidRPr="00D9492F">
        <w:rPr>
          <w:rFonts w:ascii="Times New Roman" w:hAnsi="Times New Roman"/>
        </w:rPr>
        <w:t xml:space="preserve">modelį. Pusinis laikas </w:t>
      </w:r>
      <w:r w:rsidRPr="00D9492F">
        <w:rPr>
          <w:rFonts w:ascii="Times New Roman" w:hAnsi="Times New Roman"/>
        </w:rPr>
        <w:sym w:font="Symbol" w:char="F061"/>
      </w:r>
      <w:r w:rsidRPr="00D9492F">
        <w:rPr>
          <w:rFonts w:ascii="Times New Roman" w:hAnsi="Times New Roman"/>
        </w:rPr>
        <w:t xml:space="preserve">, </w:t>
      </w:r>
      <w:r w:rsidRPr="00D9492F">
        <w:rPr>
          <w:rFonts w:ascii="Times New Roman" w:hAnsi="Times New Roman"/>
        </w:rPr>
        <w:sym w:font="Symbol" w:char="F062"/>
      </w:r>
      <w:r w:rsidRPr="00D9492F">
        <w:rPr>
          <w:rFonts w:ascii="Times New Roman" w:hAnsi="Times New Roman"/>
        </w:rPr>
        <w:t xml:space="preserve"> ir </w:t>
      </w:r>
      <w:r w:rsidRPr="00D9492F">
        <w:rPr>
          <w:rFonts w:ascii="Times New Roman" w:hAnsi="Times New Roman"/>
        </w:rPr>
        <w:sym w:font="Symbol" w:char="F067"/>
      </w:r>
      <w:r w:rsidRPr="00D9492F">
        <w:rPr>
          <w:rFonts w:ascii="Times New Roman" w:hAnsi="Times New Roman"/>
        </w:rPr>
        <w:t> fazėse yra atitinkamai 4 min., 36 min. ir 11,1 val. Paskutinė fazė iš dalies priklauso nuo palyginus lėto docetakselio patekimo iš periferi</w:t>
      </w:r>
      <w:r w:rsidR="00020860" w:rsidRPr="00D9492F">
        <w:rPr>
          <w:rFonts w:ascii="Times New Roman" w:hAnsi="Times New Roman"/>
        </w:rPr>
        <w:t>jos</w:t>
      </w:r>
      <w:r w:rsidRPr="00D9492F">
        <w:rPr>
          <w:rFonts w:ascii="Times New Roman" w:hAnsi="Times New Roman"/>
        </w:rPr>
        <w:t xml:space="preserve"> į kraują.</w:t>
      </w:r>
    </w:p>
    <w:p w14:paraId="4984C747" w14:textId="77777777" w:rsidR="00DC1CDC" w:rsidRPr="00D9492F" w:rsidRDefault="00DC1CDC" w:rsidP="00DC1CDC">
      <w:pPr>
        <w:spacing w:after="0" w:line="240" w:lineRule="auto"/>
        <w:rPr>
          <w:rFonts w:ascii="Times New Roman" w:hAnsi="Times New Roman"/>
        </w:rPr>
      </w:pPr>
    </w:p>
    <w:p w14:paraId="05DDC078"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Pasiskirstymas</w:t>
      </w:r>
    </w:p>
    <w:p w14:paraId="272D7D0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Per 1 val. </w:t>
      </w:r>
      <w:r w:rsidR="00020860" w:rsidRPr="00D9492F">
        <w:rPr>
          <w:rFonts w:ascii="Times New Roman" w:hAnsi="Times New Roman"/>
        </w:rPr>
        <w:t xml:space="preserve">suleidus </w:t>
      </w:r>
      <w:r w:rsidRPr="00D9492F">
        <w:rPr>
          <w:rFonts w:ascii="Times New Roman" w:hAnsi="Times New Roman"/>
        </w:rPr>
        <w:t>100 mg/m</w:t>
      </w:r>
      <w:r w:rsidRPr="00D9492F">
        <w:rPr>
          <w:rFonts w:ascii="Times New Roman" w:hAnsi="Times New Roman"/>
          <w:vertAlign w:val="superscript"/>
        </w:rPr>
        <w:t>2 </w:t>
      </w:r>
      <w:r w:rsidRPr="00D9492F">
        <w:rPr>
          <w:rFonts w:ascii="Times New Roman" w:hAnsi="Times New Roman"/>
        </w:rPr>
        <w:t>docetakselio, didžiausia jo koncentracija plazmoje būna vidutiniškai 3,7 </w:t>
      </w:r>
      <w:r w:rsidRPr="00D9492F">
        <w:rPr>
          <w:rFonts w:ascii="Times New Roman" w:hAnsi="Times New Roman"/>
        </w:rPr>
        <w:sym w:font="Symbol" w:char="F06D"/>
      </w:r>
      <w:r w:rsidRPr="00D9492F">
        <w:rPr>
          <w:rFonts w:ascii="Times New Roman" w:hAnsi="Times New Roman"/>
        </w:rPr>
        <w:t>g/ml, AUC – 4,6 val. </w:t>
      </w:r>
      <w:r w:rsidRPr="00D9492F">
        <w:rPr>
          <w:rFonts w:ascii="Times New Roman" w:hAnsi="Times New Roman"/>
        </w:rPr>
        <w:sym w:font="Symbol" w:char="F0B4"/>
      </w:r>
      <w:r w:rsidRPr="00D9492F">
        <w:rPr>
          <w:rFonts w:ascii="Times New Roman" w:hAnsi="Times New Roman"/>
        </w:rPr>
        <w:t> </w:t>
      </w:r>
      <w:r w:rsidRPr="00D9492F">
        <w:rPr>
          <w:rFonts w:ascii="Times New Roman" w:hAnsi="Times New Roman"/>
        </w:rPr>
        <w:sym w:font="Symbol" w:char="F06D"/>
      </w:r>
      <w:r w:rsidRPr="00D9492F">
        <w:rPr>
          <w:rFonts w:ascii="Times New Roman" w:hAnsi="Times New Roman"/>
        </w:rPr>
        <w:t>g/ml. Vidutinis suminis organizmo klirensas – 21 l/val./m</w:t>
      </w:r>
      <w:r w:rsidRPr="00D9492F">
        <w:rPr>
          <w:rFonts w:ascii="Times New Roman" w:hAnsi="Times New Roman"/>
          <w:vertAlign w:val="superscript"/>
        </w:rPr>
        <w:t>2</w:t>
      </w:r>
      <w:r w:rsidRPr="00D9492F">
        <w:rPr>
          <w:rFonts w:ascii="Times New Roman" w:hAnsi="Times New Roman"/>
        </w:rPr>
        <w:t>, vidutinis pusiausvyrinis pasiskirstymo tūris – 113 litrų. Suminis skirtingų asmenų organizmo klirensas įvairuoja maždaug 50 %. Daugiau kaip 95 % docetakselio būna prisijungusio prie plazmos baltymų.</w:t>
      </w:r>
    </w:p>
    <w:p w14:paraId="17217F29" w14:textId="77777777" w:rsidR="00DC1CDC" w:rsidRPr="00D9492F" w:rsidRDefault="00DC1CDC" w:rsidP="00DC1CDC">
      <w:pPr>
        <w:spacing w:after="0" w:line="240" w:lineRule="auto"/>
        <w:rPr>
          <w:rFonts w:ascii="Times New Roman" w:hAnsi="Times New Roman"/>
        </w:rPr>
      </w:pPr>
    </w:p>
    <w:p w14:paraId="7B17FBAB"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Eliminacija</w:t>
      </w:r>
    </w:p>
    <w:p w14:paraId="621EBCA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Su trimis vėžiu sergančiais pacientais atliktas </w:t>
      </w:r>
      <w:r w:rsidRPr="00D9492F">
        <w:rPr>
          <w:rFonts w:ascii="Times New Roman" w:hAnsi="Times New Roman"/>
          <w:vertAlign w:val="superscript"/>
        </w:rPr>
        <w:t>14</w:t>
      </w:r>
      <w:r w:rsidRPr="00D9492F">
        <w:rPr>
          <w:rFonts w:ascii="Times New Roman" w:hAnsi="Times New Roman"/>
        </w:rPr>
        <w:t xml:space="preserve">C-docetakselio kinetikos tyrimas. Docetakselis per 7 dienas pasišalino su šlapimu ir išmatomis po citochromo P450 katalizuojamo tretinės butilo esterio grupės oksidacinio metabolizmo (šlapime ir išmatose rasta atitinkamai 6 % ir 75 % </w:t>
      </w:r>
      <w:r w:rsidR="005B7753" w:rsidRPr="00D9492F">
        <w:rPr>
          <w:rFonts w:ascii="Times New Roman" w:hAnsi="Times New Roman"/>
        </w:rPr>
        <w:t xml:space="preserve">suleisto </w:t>
      </w:r>
      <w:r w:rsidRPr="00D9492F">
        <w:rPr>
          <w:rFonts w:ascii="Times New Roman" w:hAnsi="Times New Roman"/>
        </w:rPr>
        <w:t>radioaktyvumo). Maždaug 80 % išmatose rasto radioaktyvumo pasišalino per pirmąsias 48 val. (tai buvo vienas pagrindinis neaktyvus metabolitas, trys mažiau svarbūs neaktyvūs metabolitai ir labai nedidelis nepakitusio vaistinio preparato kiekis).</w:t>
      </w:r>
    </w:p>
    <w:p w14:paraId="5038B52D" w14:textId="77777777" w:rsidR="00DC1CDC" w:rsidRPr="00D9492F" w:rsidRDefault="00DC1CDC" w:rsidP="00DC1CDC">
      <w:pPr>
        <w:spacing w:after="0" w:line="240" w:lineRule="auto"/>
        <w:rPr>
          <w:rFonts w:ascii="Times New Roman" w:hAnsi="Times New Roman"/>
          <w:u w:val="single"/>
        </w:rPr>
      </w:pPr>
    </w:p>
    <w:p w14:paraId="2A8B5D02" w14:textId="77777777" w:rsidR="00DC1CDC" w:rsidRPr="00D9492F" w:rsidRDefault="006357E7" w:rsidP="00DC1CDC">
      <w:pPr>
        <w:keepNext/>
        <w:keepLines/>
        <w:spacing w:after="0" w:line="240" w:lineRule="auto"/>
        <w:rPr>
          <w:rFonts w:ascii="Times New Roman" w:hAnsi="Times New Roman"/>
          <w:u w:val="single"/>
        </w:rPr>
      </w:pPr>
      <w:r w:rsidRPr="00D9492F">
        <w:rPr>
          <w:rFonts w:ascii="Times New Roman" w:hAnsi="Times New Roman"/>
          <w:u w:val="single"/>
        </w:rPr>
        <w:t>Ypatingos populiacijos</w:t>
      </w:r>
    </w:p>
    <w:p w14:paraId="3F7BF184" w14:textId="77777777" w:rsidR="00C425C6" w:rsidRPr="00D9492F" w:rsidRDefault="00C425C6" w:rsidP="00DC1CDC">
      <w:pPr>
        <w:keepNext/>
        <w:keepLines/>
        <w:spacing w:after="0" w:line="240" w:lineRule="auto"/>
        <w:rPr>
          <w:rFonts w:ascii="Times New Roman" w:hAnsi="Times New Roman"/>
          <w:i/>
          <w:u w:val="single"/>
        </w:rPr>
      </w:pPr>
    </w:p>
    <w:p w14:paraId="10ED1BFD"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Amžius ir lytis</w:t>
      </w:r>
    </w:p>
    <w:p w14:paraId="735773E0" w14:textId="6C4AEB3D" w:rsidR="00DC1CDC" w:rsidRPr="00D9492F" w:rsidRDefault="00DC1CDC" w:rsidP="00DC1CDC">
      <w:pPr>
        <w:spacing w:after="0" w:line="240" w:lineRule="auto"/>
        <w:rPr>
          <w:rFonts w:ascii="Times New Roman" w:hAnsi="Times New Roman"/>
        </w:rPr>
      </w:pPr>
      <w:r w:rsidRPr="00D9492F">
        <w:rPr>
          <w:rFonts w:ascii="Times New Roman" w:hAnsi="Times New Roman"/>
        </w:rPr>
        <w:t>Populiacinė docetakselio farmakokinetikos analizė atlikta su 577 pacientais. Modeliu nustatyti labai panašūs farmakokinetikos parametrai kaip I fazės tyrimų metu. Docetakselio farmakokinetika nepriklausė nuo paciento amžiaus ir lyties.</w:t>
      </w:r>
    </w:p>
    <w:p w14:paraId="7D0556B3" w14:textId="77777777" w:rsidR="00DC1CDC" w:rsidRPr="00D9492F" w:rsidRDefault="00DC1CDC" w:rsidP="00DC1CDC">
      <w:pPr>
        <w:spacing w:after="0" w:line="240" w:lineRule="auto"/>
        <w:rPr>
          <w:rFonts w:ascii="Times New Roman" w:hAnsi="Times New Roman"/>
        </w:rPr>
      </w:pPr>
    </w:p>
    <w:p w14:paraId="50DC1AD2" w14:textId="77777777" w:rsidR="00DC1CDC" w:rsidRPr="00D9492F" w:rsidRDefault="009A12A7" w:rsidP="00DC1CDC">
      <w:pPr>
        <w:keepNext/>
        <w:keepLines/>
        <w:spacing w:after="0" w:line="240" w:lineRule="auto"/>
        <w:rPr>
          <w:rFonts w:ascii="Times New Roman" w:hAnsi="Times New Roman"/>
          <w:u w:val="single"/>
        </w:rPr>
      </w:pPr>
      <w:r w:rsidRPr="00D9492F">
        <w:rPr>
          <w:rFonts w:ascii="Times New Roman" w:hAnsi="Times New Roman"/>
          <w:u w:val="single"/>
        </w:rPr>
        <w:t>Sutrikusi kepenų funkcija</w:t>
      </w:r>
    </w:p>
    <w:p w14:paraId="26FDC5A1"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23 pacientų kepenų funkcija, sprendžiant pagal klinikinius cheminius rodmenis, buvo lengvai arba vidutiniškai pakenkta (ALT, AST koncentracija viršijo VNR 1,5 karto arba daugiau, šarminės fosfatazės – 2,5 karto arba daugiau). Docetakselio suminis klirensas šių pacientų organizme buvo vidutiniškai 27 % mažesnis (žr. 4.2 skyrių). </w:t>
      </w:r>
    </w:p>
    <w:p w14:paraId="70937512" w14:textId="77777777" w:rsidR="00DC1CDC" w:rsidRPr="00D9492F" w:rsidRDefault="00DC1CDC" w:rsidP="00DC1CDC">
      <w:pPr>
        <w:spacing w:after="0" w:line="240" w:lineRule="auto"/>
        <w:rPr>
          <w:rFonts w:ascii="Times New Roman" w:hAnsi="Times New Roman"/>
        </w:rPr>
      </w:pPr>
    </w:p>
    <w:p w14:paraId="63FF2D98" w14:textId="77777777" w:rsidR="00DC1CDC" w:rsidRPr="00D9492F" w:rsidRDefault="00DC1CDC" w:rsidP="00DC1CDC">
      <w:pPr>
        <w:keepNext/>
        <w:keepLines/>
        <w:spacing w:after="0" w:line="240" w:lineRule="auto"/>
        <w:rPr>
          <w:rFonts w:ascii="Times New Roman" w:hAnsi="Times New Roman"/>
          <w:u w:val="single"/>
        </w:rPr>
      </w:pPr>
      <w:r w:rsidRPr="00D9492F">
        <w:rPr>
          <w:rFonts w:ascii="Times New Roman" w:hAnsi="Times New Roman"/>
          <w:u w:val="single"/>
        </w:rPr>
        <w:t>Skysčių sulaikymas</w:t>
      </w:r>
    </w:p>
    <w:p w14:paraId="4F851C6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Lengvas ar vidutinio laipsnio skysčių susilaikymas įtakos docetakselio klirensui neturėjo, o duomenų apie sunkaus laipsnio skysčių susilaikymo įtaką nėra.</w:t>
      </w:r>
    </w:p>
    <w:p w14:paraId="409E67E4" w14:textId="77777777" w:rsidR="00DC1CDC" w:rsidRPr="00D9492F" w:rsidRDefault="00DC1CDC" w:rsidP="00DC1CDC">
      <w:pPr>
        <w:spacing w:after="0" w:line="240" w:lineRule="auto"/>
        <w:rPr>
          <w:rFonts w:ascii="Times New Roman" w:hAnsi="Times New Roman"/>
        </w:rPr>
      </w:pPr>
    </w:p>
    <w:p w14:paraId="18046794" w14:textId="77777777" w:rsidR="00DC1CDC" w:rsidRPr="00D9492F" w:rsidRDefault="00DC1CDC" w:rsidP="00DC1CDC">
      <w:pPr>
        <w:autoSpaceDE w:val="0"/>
        <w:autoSpaceDN w:val="0"/>
        <w:adjustRightInd w:val="0"/>
        <w:spacing w:after="0" w:line="240" w:lineRule="auto"/>
        <w:rPr>
          <w:rFonts w:ascii="Times New Roman" w:eastAsia="TimesNewRoman" w:hAnsi="Times New Roman"/>
          <w:u w:val="single"/>
          <w:lang w:eastAsia="en-GB"/>
        </w:rPr>
      </w:pPr>
      <w:r w:rsidRPr="00D9492F">
        <w:rPr>
          <w:rFonts w:ascii="Times New Roman" w:eastAsia="TimesNewRoman" w:hAnsi="Times New Roman"/>
          <w:u w:val="single"/>
          <w:lang w:eastAsia="en-GB"/>
        </w:rPr>
        <w:t>Kombinuotas gydymas</w:t>
      </w:r>
    </w:p>
    <w:p w14:paraId="7C0652C2" w14:textId="77777777" w:rsidR="00DC1CDC" w:rsidRPr="00D9492F" w:rsidRDefault="00DC1CDC" w:rsidP="00DC1CDC">
      <w:pPr>
        <w:keepNext/>
        <w:keepLines/>
        <w:spacing w:after="0" w:line="240" w:lineRule="auto"/>
        <w:rPr>
          <w:rFonts w:ascii="Times New Roman" w:hAnsi="Times New Roman"/>
        </w:rPr>
      </w:pPr>
      <w:r w:rsidRPr="00D9492F">
        <w:rPr>
          <w:rFonts w:ascii="Times New Roman" w:eastAsia="TimesNewRoman" w:hAnsi="Times New Roman"/>
          <w:i/>
          <w:iCs/>
          <w:lang w:eastAsia="en-GB"/>
        </w:rPr>
        <w:t>Doksorubicinas</w:t>
      </w:r>
    </w:p>
    <w:p w14:paraId="19A1CCF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Kartu vartojamas docetakselis neveikia doksorubicino klirenso ir doksorubicino metabolito – doksorubicinolio</w:t>
      </w:r>
      <w:r w:rsidR="002078A6" w:rsidRPr="00D9492F">
        <w:rPr>
          <w:rFonts w:ascii="Times New Roman" w:hAnsi="Times New Roman"/>
        </w:rPr>
        <w:t>,</w:t>
      </w:r>
      <w:r w:rsidRPr="00D9492F">
        <w:rPr>
          <w:rFonts w:ascii="Times New Roman" w:hAnsi="Times New Roman"/>
        </w:rPr>
        <w:t xml:space="preserve"> koncentracijos plazmoje. Kartu vartojami docetakselis, doksorubicinas ir ciklofosfamidas vienas kito farmakokinetikos nekeičia.</w:t>
      </w:r>
    </w:p>
    <w:p w14:paraId="6F402C1D" w14:textId="77777777" w:rsidR="00DC1CDC" w:rsidRPr="00D9492F" w:rsidRDefault="00DC1CDC" w:rsidP="00DC1CDC">
      <w:pPr>
        <w:spacing w:after="0" w:line="240" w:lineRule="auto"/>
        <w:rPr>
          <w:rFonts w:ascii="Times New Roman" w:hAnsi="Times New Roman"/>
        </w:rPr>
      </w:pPr>
    </w:p>
    <w:p w14:paraId="0BE94A53"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i/>
          <w:iCs/>
          <w:lang w:eastAsia="en-GB"/>
        </w:rPr>
        <w:lastRenderedPageBreak/>
        <w:t>Kapecitabinas</w:t>
      </w:r>
    </w:p>
    <w:p w14:paraId="0FD51A5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I fazės metu tirtas kapecitabino ir docetakselio poveikis vienas kito farmakokinetikai. Kapecitabino įtakos docetakselio farmakokinetikai (didžiausiai koncentracijai ir AUC) nenustatyta. Taip pat nenustatyta docetakselio įtakos pagrindinio kapecitabino metabolito (5’</w:t>
      </w:r>
      <w:r w:rsidRPr="00D9492F">
        <w:rPr>
          <w:rFonts w:ascii="Times New Roman" w:hAnsi="Times New Roman"/>
          <w:b/>
          <w:bCs/>
        </w:rPr>
        <w:noBreakHyphen/>
      </w:r>
      <w:r w:rsidRPr="00D9492F">
        <w:rPr>
          <w:rFonts w:ascii="Times New Roman" w:hAnsi="Times New Roman"/>
        </w:rPr>
        <w:t>DFUR) farmakokinetikai.</w:t>
      </w:r>
    </w:p>
    <w:p w14:paraId="7D5F1F76" w14:textId="77777777" w:rsidR="00DC1CDC" w:rsidRPr="00D9492F" w:rsidRDefault="00DC1CDC" w:rsidP="00DC1CDC">
      <w:pPr>
        <w:spacing w:after="0" w:line="240" w:lineRule="auto"/>
        <w:rPr>
          <w:rFonts w:ascii="Times New Roman" w:hAnsi="Times New Roman"/>
        </w:rPr>
      </w:pPr>
    </w:p>
    <w:p w14:paraId="4546FF1B" w14:textId="77777777" w:rsidR="00DC1CDC" w:rsidRPr="00D9492F" w:rsidRDefault="00DC1CDC" w:rsidP="00DC1CDC">
      <w:pPr>
        <w:keepNext/>
        <w:keepLines/>
        <w:spacing w:after="0" w:line="240" w:lineRule="auto"/>
        <w:rPr>
          <w:rFonts w:ascii="Times New Roman" w:eastAsia="Times New Roman" w:hAnsi="Times New Roman"/>
        </w:rPr>
      </w:pPr>
      <w:r w:rsidRPr="00D9492F">
        <w:rPr>
          <w:rFonts w:ascii="Times New Roman" w:eastAsia="Times New Roman" w:hAnsi="Times New Roman"/>
          <w:i/>
          <w:iCs/>
          <w:lang w:eastAsia="en-GB"/>
        </w:rPr>
        <w:t>Cisplatina</w:t>
      </w:r>
    </w:p>
    <w:p w14:paraId="4FB597C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Kartu su cisplatina vartojamo docetakselio klirensas buvo panašus į nustatytą jį vartojant atskirai. </w:t>
      </w:r>
      <w:r w:rsidR="002078A6" w:rsidRPr="00D9492F">
        <w:rPr>
          <w:rFonts w:ascii="Times New Roman" w:hAnsi="Times New Roman"/>
        </w:rPr>
        <w:t>C</w:t>
      </w:r>
      <w:r w:rsidRPr="00D9492F">
        <w:rPr>
          <w:rFonts w:ascii="Times New Roman" w:hAnsi="Times New Roman"/>
        </w:rPr>
        <w:t>isplatinos, pavartotos tuoj po docetakselio infuzijos, farmakokinetikos pobūdis yra panašus kaip vartojamos atskirai.</w:t>
      </w:r>
    </w:p>
    <w:p w14:paraId="048CBFDB" w14:textId="77777777" w:rsidR="00DC1CDC" w:rsidRPr="00D9492F" w:rsidRDefault="00DC1CDC" w:rsidP="00DC1CDC">
      <w:pPr>
        <w:spacing w:after="0" w:line="240" w:lineRule="auto"/>
        <w:rPr>
          <w:rFonts w:ascii="Times New Roman" w:hAnsi="Times New Roman"/>
        </w:rPr>
      </w:pPr>
    </w:p>
    <w:p w14:paraId="26A8F320" w14:textId="77777777" w:rsidR="00DC1CDC" w:rsidRPr="00D9492F" w:rsidRDefault="00DC1CDC" w:rsidP="00DC1CDC">
      <w:pPr>
        <w:keepNext/>
        <w:keepLines/>
        <w:autoSpaceDE w:val="0"/>
        <w:autoSpaceDN w:val="0"/>
        <w:adjustRightInd w:val="0"/>
        <w:spacing w:after="0" w:line="240" w:lineRule="auto"/>
        <w:rPr>
          <w:rFonts w:ascii="Times New Roman" w:hAnsi="Times New Roman"/>
        </w:rPr>
      </w:pPr>
      <w:r w:rsidRPr="00D9492F">
        <w:rPr>
          <w:rFonts w:ascii="Times New Roman" w:hAnsi="Times New Roman"/>
          <w:i/>
          <w:iCs/>
          <w:lang w:eastAsia="en-GB"/>
        </w:rPr>
        <w:t>Cisplatina ir 5</w:t>
      </w:r>
      <w:r w:rsidRPr="00D9492F">
        <w:rPr>
          <w:rFonts w:ascii="Times New Roman" w:hAnsi="Times New Roman"/>
          <w:b/>
          <w:bCs/>
          <w:i/>
          <w:iCs/>
          <w:lang w:eastAsia="en-GB"/>
        </w:rPr>
        <w:t>-</w:t>
      </w:r>
      <w:r w:rsidRPr="00D9492F">
        <w:rPr>
          <w:rFonts w:ascii="Times New Roman" w:hAnsi="Times New Roman"/>
          <w:i/>
          <w:iCs/>
          <w:lang w:eastAsia="en-GB"/>
        </w:rPr>
        <w:t>fluorouracilas</w:t>
      </w:r>
    </w:p>
    <w:p w14:paraId="3A83DFCD" w14:textId="112F7355" w:rsidR="00DC1CDC" w:rsidRPr="00D9492F" w:rsidRDefault="00DC1CDC" w:rsidP="00DC1CDC">
      <w:pPr>
        <w:spacing w:after="0" w:line="240" w:lineRule="auto"/>
        <w:rPr>
          <w:rFonts w:ascii="Times New Roman" w:hAnsi="Times New Roman"/>
          <w:i/>
        </w:rPr>
      </w:pPr>
      <w:r w:rsidRPr="00D9492F">
        <w:rPr>
          <w:rFonts w:ascii="Times New Roman" w:hAnsi="Times New Roman"/>
        </w:rPr>
        <w:t>12 pacientų standžių navikų gydymui vartoti docetakselis, cisplatina ir 5</w:t>
      </w:r>
      <w:r w:rsidRPr="00D9492F">
        <w:rPr>
          <w:rFonts w:ascii="Times New Roman" w:hAnsi="Times New Roman"/>
          <w:b/>
          <w:bCs/>
        </w:rPr>
        <w:noBreakHyphen/>
      </w:r>
      <w:r w:rsidRPr="00D9492F">
        <w:rPr>
          <w:rFonts w:ascii="Times New Roman" w:hAnsi="Times New Roman"/>
        </w:rPr>
        <w:t>fluorouracilas poveikio vienas kito farmakokinetikai nedarė.</w:t>
      </w:r>
    </w:p>
    <w:p w14:paraId="702D98C1" w14:textId="77777777" w:rsidR="00DC1CDC" w:rsidRPr="00D9492F" w:rsidRDefault="00DC1CDC" w:rsidP="00DC1CDC">
      <w:pPr>
        <w:spacing w:after="0" w:line="240" w:lineRule="auto"/>
        <w:rPr>
          <w:rFonts w:ascii="Times New Roman" w:hAnsi="Times New Roman"/>
          <w:i/>
        </w:rPr>
      </w:pPr>
    </w:p>
    <w:p w14:paraId="204A29CA" w14:textId="77777777" w:rsidR="00DC1CDC" w:rsidRPr="00D9492F" w:rsidRDefault="00DC1CDC" w:rsidP="00DC1CDC">
      <w:pPr>
        <w:keepNext/>
        <w:keepLines/>
        <w:autoSpaceDE w:val="0"/>
        <w:autoSpaceDN w:val="0"/>
        <w:adjustRightInd w:val="0"/>
        <w:spacing w:after="0" w:line="240" w:lineRule="auto"/>
        <w:rPr>
          <w:rFonts w:ascii="Times New Roman" w:hAnsi="Times New Roman"/>
          <w:i/>
        </w:rPr>
      </w:pPr>
      <w:r w:rsidRPr="00D9492F">
        <w:rPr>
          <w:rFonts w:ascii="Times New Roman" w:hAnsi="Times New Roman"/>
          <w:i/>
          <w:iCs/>
          <w:lang w:eastAsia="en-GB"/>
        </w:rPr>
        <w:t>Prednizonas ir deksametazonas</w:t>
      </w:r>
    </w:p>
    <w:p w14:paraId="5831DFA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Tirta prednizono, vartojamo kartu su įprastinei premedikacijai skiriamu deksametazonu, įtaka docetakselio farmakokinetikai 42 pacientų organizme.</w:t>
      </w:r>
    </w:p>
    <w:p w14:paraId="0C5E0F7E" w14:textId="77777777" w:rsidR="00DC1CDC" w:rsidRPr="00D9492F" w:rsidRDefault="00DC1CDC" w:rsidP="00DC1CDC">
      <w:pPr>
        <w:spacing w:after="0" w:line="240" w:lineRule="auto"/>
        <w:rPr>
          <w:rFonts w:ascii="Times New Roman" w:hAnsi="Times New Roman"/>
        </w:rPr>
      </w:pPr>
    </w:p>
    <w:p w14:paraId="0F8517FD" w14:textId="77777777" w:rsidR="00DC1CDC" w:rsidRPr="00D9492F" w:rsidRDefault="00DC1CDC" w:rsidP="00DC1CDC">
      <w:pPr>
        <w:keepNext/>
        <w:keepLines/>
        <w:autoSpaceDE w:val="0"/>
        <w:autoSpaceDN w:val="0"/>
        <w:adjustRightInd w:val="0"/>
        <w:spacing w:after="0" w:line="240" w:lineRule="auto"/>
        <w:rPr>
          <w:rFonts w:ascii="Times New Roman" w:hAnsi="Times New Roman"/>
        </w:rPr>
      </w:pPr>
      <w:r w:rsidRPr="00D9492F">
        <w:rPr>
          <w:rFonts w:ascii="Times New Roman" w:hAnsi="Times New Roman"/>
          <w:i/>
          <w:iCs/>
          <w:lang w:eastAsia="en-GB"/>
        </w:rPr>
        <w:t>Prednizonas</w:t>
      </w:r>
    </w:p>
    <w:p w14:paraId="7FF5F5C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Prednizono įtakos docetakselio farmakokinetikai nenustatyta.</w:t>
      </w:r>
    </w:p>
    <w:p w14:paraId="19E2242A" w14:textId="77777777" w:rsidR="00DC1CDC" w:rsidRPr="00D9492F" w:rsidRDefault="00DC1CDC" w:rsidP="00DC1CDC">
      <w:pPr>
        <w:spacing w:after="0" w:line="240" w:lineRule="auto"/>
        <w:rPr>
          <w:rFonts w:ascii="Times New Roman" w:hAnsi="Times New Roman"/>
        </w:rPr>
      </w:pPr>
    </w:p>
    <w:p w14:paraId="13922F82"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5.3</w:t>
      </w:r>
      <w:r w:rsidRPr="00D9492F">
        <w:rPr>
          <w:rFonts w:ascii="Times New Roman" w:hAnsi="Times New Roman"/>
          <w:b/>
        </w:rPr>
        <w:tab/>
        <w:t>Ikiklinikinių saugumo tyrimų duomenys</w:t>
      </w:r>
    </w:p>
    <w:p w14:paraId="6A35564E" w14:textId="77777777" w:rsidR="00DC1CDC" w:rsidRPr="00D9492F" w:rsidRDefault="00DC1CDC" w:rsidP="00DC1CDC">
      <w:pPr>
        <w:spacing w:after="0" w:line="240" w:lineRule="auto"/>
        <w:rPr>
          <w:rFonts w:ascii="Times New Roman" w:hAnsi="Times New Roman"/>
        </w:rPr>
      </w:pPr>
    </w:p>
    <w:p w14:paraId="1B3CE48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Docetakselio potencialus kancerogeninis poveikis netirtas.</w:t>
      </w:r>
    </w:p>
    <w:p w14:paraId="0A16C723" w14:textId="77777777" w:rsidR="00DC1CDC" w:rsidRPr="00D9492F" w:rsidRDefault="00DC1CDC" w:rsidP="00DC1CDC">
      <w:pPr>
        <w:spacing w:after="0" w:line="240" w:lineRule="auto"/>
        <w:rPr>
          <w:rFonts w:ascii="Times New Roman" w:hAnsi="Times New Roman"/>
        </w:rPr>
      </w:pPr>
    </w:p>
    <w:p w14:paraId="26E24BE1"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Mikrobranduolių ir chromosomų aberacijos testai su </w:t>
      </w:r>
      <w:r w:rsidRPr="00D9492F">
        <w:rPr>
          <w:rFonts w:ascii="Times New Roman" w:hAnsi="Times New Roman"/>
          <w:iCs/>
        </w:rPr>
        <w:t>CHO</w:t>
      </w:r>
      <w:r w:rsidRPr="00D9492F">
        <w:rPr>
          <w:rFonts w:ascii="Times New Roman" w:hAnsi="Times New Roman"/>
          <w:b/>
          <w:bCs/>
        </w:rPr>
        <w:noBreakHyphen/>
      </w:r>
      <w:r w:rsidRPr="00D9492F">
        <w:rPr>
          <w:rFonts w:ascii="Times New Roman" w:hAnsi="Times New Roman"/>
          <w:iCs/>
        </w:rPr>
        <w:t>K1 </w:t>
      </w:r>
      <w:r w:rsidRPr="00D9492F">
        <w:rPr>
          <w:rFonts w:ascii="Times New Roman" w:hAnsi="Times New Roman"/>
        </w:rPr>
        <w:t xml:space="preserve">(kiniškojo žiurkėno kiaušidžių K1) ląstelėmis </w:t>
      </w:r>
      <w:r w:rsidRPr="00D9492F">
        <w:rPr>
          <w:rFonts w:ascii="Times New Roman" w:hAnsi="Times New Roman"/>
          <w:i/>
        </w:rPr>
        <w:t xml:space="preserve">in vitro </w:t>
      </w:r>
      <w:r w:rsidRPr="00D9492F">
        <w:rPr>
          <w:rFonts w:ascii="Times New Roman" w:hAnsi="Times New Roman"/>
        </w:rPr>
        <w:t xml:space="preserve">bei mikrobranduolių testas su pelėmis </w:t>
      </w:r>
      <w:r w:rsidRPr="00D9492F">
        <w:rPr>
          <w:rFonts w:ascii="Times New Roman" w:hAnsi="Times New Roman"/>
          <w:i/>
        </w:rPr>
        <w:t>in vivo</w:t>
      </w:r>
      <w:r w:rsidRPr="00D9492F">
        <w:rPr>
          <w:rFonts w:ascii="Times New Roman" w:hAnsi="Times New Roman"/>
        </w:rPr>
        <w:t xml:space="preserve"> parodė docetakselio mutageninį poveikį. </w:t>
      </w:r>
      <w:r w:rsidRPr="00D9492F">
        <w:rPr>
          <w:rFonts w:ascii="Times New Roman" w:hAnsi="Times New Roman"/>
          <w:iCs/>
        </w:rPr>
        <w:t xml:space="preserve">Ames </w:t>
      </w:r>
      <w:r w:rsidRPr="00D9492F">
        <w:rPr>
          <w:rFonts w:ascii="Times New Roman" w:hAnsi="Times New Roman"/>
        </w:rPr>
        <w:t xml:space="preserve">testas ir kiniškojo žiurkėno kiaušidžių ląstelių </w:t>
      </w:r>
      <w:r w:rsidRPr="00D9492F">
        <w:rPr>
          <w:rFonts w:ascii="Times New Roman" w:hAnsi="Times New Roman"/>
          <w:iCs/>
        </w:rPr>
        <w:t>HGPRT</w:t>
      </w:r>
      <w:r w:rsidRPr="00D9492F">
        <w:rPr>
          <w:rFonts w:ascii="Times New Roman" w:hAnsi="Times New Roman"/>
        </w:rPr>
        <w:t xml:space="preserve"> geno mutacijos testas mutageninio poveikio neparodė. Gauti rezultatai atitinka turimą informaciją apie docetakselio farmakologinį poveikį. </w:t>
      </w:r>
    </w:p>
    <w:p w14:paraId="5285B920" w14:textId="77777777" w:rsidR="00DC1CDC" w:rsidRPr="00D9492F" w:rsidRDefault="00DC1CDC" w:rsidP="00DC1CDC">
      <w:pPr>
        <w:spacing w:after="0" w:line="240" w:lineRule="auto"/>
        <w:rPr>
          <w:rFonts w:ascii="Times New Roman" w:hAnsi="Times New Roman"/>
        </w:rPr>
      </w:pPr>
    </w:p>
    <w:p w14:paraId="6F1BD7E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Tiriant docetakselio toksiškumą nustatytas nepageidaujamas poveikis graužikų sėklidėms rodo, kad šis vaistinis preparatas gali trikdyti vyriškos lyties individų vaisingumą</w:t>
      </w:r>
      <w:r w:rsidR="0056150C" w:rsidRPr="00D9492F">
        <w:rPr>
          <w:rFonts w:ascii="Times New Roman" w:hAnsi="Times New Roman"/>
        </w:rPr>
        <w:t xml:space="preserve"> (žr. 4.6 skyrių)</w:t>
      </w:r>
      <w:r w:rsidRPr="00D9492F">
        <w:rPr>
          <w:rFonts w:ascii="Times New Roman" w:hAnsi="Times New Roman"/>
        </w:rPr>
        <w:t>.</w:t>
      </w:r>
    </w:p>
    <w:p w14:paraId="1A371D4D" w14:textId="77777777" w:rsidR="00DC1CDC" w:rsidRPr="00D9492F" w:rsidRDefault="00DC1CDC" w:rsidP="00DC1CDC">
      <w:pPr>
        <w:spacing w:after="0" w:line="240" w:lineRule="auto"/>
        <w:rPr>
          <w:rFonts w:ascii="Times New Roman" w:hAnsi="Times New Roman"/>
        </w:rPr>
      </w:pPr>
    </w:p>
    <w:p w14:paraId="4F6BDF06" w14:textId="77777777" w:rsidR="00DC1CDC" w:rsidRPr="00D9492F" w:rsidRDefault="00DC1CDC" w:rsidP="00DC1CDC">
      <w:pPr>
        <w:spacing w:after="0" w:line="240" w:lineRule="auto"/>
        <w:rPr>
          <w:rFonts w:ascii="Times New Roman" w:hAnsi="Times New Roman"/>
        </w:rPr>
      </w:pPr>
    </w:p>
    <w:p w14:paraId="7857D107"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6.</w:t>
      </w:r>
      <w:r w:rsidRPr="00D9492F">
        <w:rPr>
          <w:rFonts w:ascii="Times New Roman" w:hAnsi="Times New Roman"/>
          <w:b/>
        </w:rPr>
        <w:tab/>
        <w:t>FARMACINĖ INFORMACIJA</w:t>
      </w:r>
    </w:p>
    <w:p w14:paraId="5BFAF04E" w14:textId="77777777" w:rsidR="00DC1CDC" w:rsidRPr="00D9492F" w:rsidRDefault="00DC1CDC" w:rsidP="00DC1CDC">
      <w:pPr>
        <w:spacing w:after="0" w:line="240" w:lineRule="auto"/>
        <w:rPr>
          <w:rFonts w:ascii="Times New Roman" w:hAnsi="Times New Roman"/>
        </w:rPr>
      </w:pPr>
    </w:p>
    <w:p w14:paraId="44E1B66E"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6.1</w:t>
      </w:r>
      <w:r w:rsidRPr="00D9492F">
        <w:rPr>
          <w:rFonts w:ascii="Times New Roman" w:hAnsi="Times New Roman"/>
          <w:b/>
        </w:rPr>
        <w:tab/>
        <w:t>Pagalbinių medžiagų sąrašas</w:t>
      </w:r>
    </w:p>
    <w:p w14:paraId="2220687D" w14:textId="77777777" w:rsidR="00DC1CDC" w:rsidRPr="00D9492F" w:rsidRDefault="00DC1CDC" w:rsidP="00DC1CDC">
      <w:pPr>
        <w:spacing w:after="0" w:line="240" w:lineRule="auto"/>
        <w:rPr>
          <w:rFonts w:ascii="Times New Roman" w:hAnsi="Times New Roman"/>
        </w:rPr>
      </w:pPr>
    </w:p>
    <w:p w14:paraId="505544A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Citrinų rūgštis monohidratas (pH reguliuoti)</w:t>
      </w:r>
    </w:p>
    <w:p w14:paraId="72385C57"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Bevandenis etanolis</w:t>
      </w:r>
    </w:p>
    <w:p w14:paraId="773B57F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Polisorbatas 80</w:t>
      </w:r>
    </w:p>
    <w:p w14:paraId="3AAB4B6B" w14:textId="77777777" w:rsidR="00DC1CDC" w:rsidRPr="00D9492F" w:rsidRDefault="00DC1CDC" w:rsidP="00DC1CDC">
      <w:pPr>
        <w:spacing w:after="0" w:line="240" w:lineRule="auto"/>
        <w:rPr>
          <w:rFonts w:ascii="Times New Roman" w:hAnsi="Times New Roman"/>
          <w:i/>
        </w:rPr>
      </w:pPr>
      <w:r w:rsidRPr="00D9492F">
        <w:rPr>
          <w:rFonts w:ascii="Times New Roman" w:hAnsi="Times New Roman"/>
        </w:rPr>
        <w:t>Injekcinis vanduo</w:t>
      </w:r>
    </w:p>
    <w:p w14:paraId="58791EDD" w14:textId="77777777" w:rsidR="00DC1CDC" w:rsidRPr="00D9492F" w:rsidRDefault="00DC1CDC" w:rsidP="00DC1CDC">
      <w:pPr>
        <w:spacing w:after="0" w:line="240" w:lineRule="auto"/>
        <w:rPr>
          <w:rFonts w:ascii="Times New Roman" w:hAnsi="Times New Roman"/>
        </w:rPr>
      </w:pPr>
    </w:p>
    <w:p w14:paraId="39A1D9B4"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6.2</w:t>
      </w:r>
      <w:r w:rsidRPr="00D9492F">
        <w:rPr>
          <w:rFonts w:ascii="Times New Roman" w:hAnsi="Times New Roman"/>
          <w:b/>
        </w:rPr>
        <w:tab/>
        <w:t>Nesuderinamumas</w:t>
      </w:r>
    </w:p>
    <w:p w14:paraId="1129AAEE" w14:textId="77777777" w:rsidR="00DC1CDC" w:rsidRPr="00D9492F" w:rsidRDefault="00DC1CDC" w:rsidP="00DC1CDC">
      <w:pPr>
        <w:spacing w:after="0" w:line="240" w:lineRule="auto"/>
        <w:rPr>
          <w:rFonts w:ascii="Times New Roman" w:hAnsi="Times New Roman"/>
        </w:rPr>
      </w:pPr>
    </w:p>
    <w:p w14:paraId="068F2C74"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Šio vaistinio preparato negalima maišyti su kitais, išskyrus nurodytus 6.6 skyriuje.</w:t>
      </w:r>
    </w:p>
    <w:p w14:paraId="3DA91643" w14:textId="77777777" w:rsidR="00DC1CDC" w:rsidRPr="00D9492F" w:rsidRDefault="00DC1CDC" w:rsidP="00DC1CDC">
      <w:pPr>
        <w:spacing w:after="0" w:line="240" w:lineRule="auto"/>
        <w:rPr>
          <w:rFonts w:ascii="Times New Roman" w:hAnsi="Times New Roman"/>
        </w:rPr>
      </w:pPr>
    </w:p>
    <w:p w14:paraId="1AC7E40E"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6.3</w:t>
      </w:r>
      <w:r w:rsidRPr="00D9492F">
        <w:rPr>
          <w:rFonts w:ascii="Times New Roman" w:hAnsi="Times New Roman"/>
          <w:b/>
        </w:rPr>
        <w:tab/>
        <w:t>Tinkamumo laikas</w:t>
      </w:r>
    </w:p>
    <w:p w14:paraId="0184AD27" w14:textId="77777777" w:rsidR="00DC1CDC" w:rsidRPr="00D9492F" w:rsidRDefault="00DC1CDC" w:rsidP="00DC1CDC">
      <w:pPr>
        <w:spacing w:after="0" w:line="240" w:lineRule="auto"/>
        <w:rPr>
          <w:rFonts w:ascii="Times New Roman" w:hAnsi="Times New Roman"/>
        </w:rPr>
      </w:pPr>
    </w:p>
    <w:p w14:paraId="59F3704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u w:val="single"/>
        </w:rPr>
        <w:t>Neatidarytas flakonas:</w:t>
      </w:r>
      <w:r w:rsidRPr="00D9492F">
        <w:rPr>
          <w:rFonts w:ascii="Times New Roman" w:hAnsi="Times New Roman"/>
        </w:rPr>
        <w:t xml:space="preserve"> 2 metai</w:t>
      </w:r>
    </w:p>
    <w:p w14:paraId="6B266B91" w14:textId="77777777" w:rsidR="00DC1CDC" w:rsidRPr="00D9492F" w:rsidRDefault="00DC1CDC" w:rsidP="00DC1CDC">
      <w:pPr>
        <w:spacing w:after="0" w:line="240" w:lineRule="auto"/>
        <w:rPr>
          <w:rFonts w:ascii="Times New Roman" w:hAnsi="Times New Roman"/>
        </w:rPr>
      </w:pPr>
    </w:p>
    <w:p w14:paraId="3BF98BF1" w14:textId="77777777" w:rsidR="00DC1CDC" w:rsidRPr="00D9492F" w:rsidRDefault="00DC1CDC" w:rsidP="00DC1CDC">
      <w:pPr>
        <w:spacing w:after="0" w:line="240" w:lineRule="auto"/>
        <w:rPr>
          <w:rFonts w:ascii="Times New Roman" w:eastAsia="SymbolMT" w:hAnsi="Times New Roman"/>
          <w:u w:val="single"/>
          <w:lang w:eastAsia="lt-LT"/>
        </w:rPr>
      </w:pPr>
      <w:r w:rsidRPr="00D9492F">
        <w:rPr>
          <w:rFonts w:ascii="Times New Roman" w:eastAsia="SymbolMT" w:hAnsi="Times New Roman"/>
          <w:u w:val="single"/>
          <w:lang w:eastAsia="lt-LT"/>
        </w:rPr>
        <w:t>Flakoną atidarius pirmą kartą</w:t>
      </w:r>
    </w:p>
    <w:p w14:paraId="6F7A7689" w14:textId="77777777" w:rsidR="00DC1CDC" w:rsidRPr="00D9492F" w:rsidRDefault="00DC1CDC" w:rsidP="00DC1CDC">
      <w:pPr>
        <w:spacing w:after="0" w:line="240" w:lineRule="auto"/>
        <w:rPr>
          <w:rFonts w:ascii="Times New Roman" w:eastAsia="SymbolMT" w:hAnsi="Times New Roman"/>
          <w:lang w:eastAsia="lt-LT"/>
        </w:rPr>
      </w:pPr>
      <w:r w:rsidRPr="00D9492F">
        <w:rPr>
          <w:rFonts w:ascii="Times New Roman" w:hAnsi="Times New Roman"/>
          <w:lang w:eastAsia="lt-LT"/>
        </w:rPr>
        <w:t xml:space="preserve">Kiekvienas flakonas skirtas vienkartiniam vartojimui </w:t>
      </w:r>
      <w:r w:rsidRPr="00D9492F">
        <w:rPr>
          <w:rFonts w:ascii="Times New Roman" w:eastAsia="SymbolMT" w:hAnsi="Times New Roman"/>
          <w:lang w:eastAsia="lt-LT"/>
        </w:rPr>
        <w:t>ir po atidarymo turi būti vartojamas nedelsiant.</w:t>
      </w:r>
    </w:p>
    <w:p w14:paraId="48226BBE"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Jei jis iš karto nesuvartojamas, už jo laikymo trukmę ir sąlygas atsako vartotojas.</w:t>
      </w:r>
    </w:p>
    <w:p w14:paraId="6B8C292B" w14:textId="77777777" w:rsidR="00DC1CDC" w:rsidRPr="00D9492F" w:rsidRDefault="00DC1CDC" w:rsidP="00DC1CDC">
      <w:pPr>
        <w:spacing w:after="0" w:line="240" w:lineRule="auto"/>
        <w:rPr>
          <w:rFonts w:ascii="Times New Roman" w:hAnsi="Times New Roman"/>
          <w:lang w:eastAsia="lt-LT"/>
        </w:rPr>
      </w:pPr>
    </w:p>
    <w:p w14:paraId="7B144BF5" w14:textId="77777777" w:rsidR="00DC1CDC" w:rsidRPr="00D9492F" w:rsidRDefault="00DC1CDC" w:rsidP="00DC1CDC">
      <w:pPr>
        <w:spacing w:after="0" w:line="240" w:lineRule="auto"/>
        <w:rPr>
          <w:rFonts w:ascii="Times New Roman" w:hAnsi="Times New Roman"/>
          <w:u w:val="single"/>
          <w:lang w:eastAsia="lt-LT"/>
        </w:rPr>
      </w:pPr>
      <w:r w:rsidRPr="00D9492F">
        <w:rPr>
          <w:rFonts w:ascii="Times New Roman" w:hAnsi="Times New Roman"/>
          <w:u w:val="single"/>
          <w:lang w:eastAsia="lt-LT"/>
        </w:rPr>
        <w:t>Po pridėjimo į infuzinį maišelį</w:t>
      </w:r>
    </w:p>
    <w:p w14:paraId="54B2E13A"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lastRenderedPageBreak/>
        <w:t xml:space="preserve">Mikrobiologiniu požiūriu, skiedimas turi būti atliekamas kontroliuojamomis aseptinėmis sąlygomis. Paruoštas vaistinis preparatas turi būti suvartojamas nedelsiant. Jeigu iš karto nevartojamas, už paruošto </w:t>
      </w:r>
      <w:r w:rsidR="00D70C6E" w:rsidRPr="00D9492F">
        <w:rPr>
          <w:rFonts w:ascii="Times New Roman" w:hAnsi="Times New Roman"/>
          <w:lang w:eastAsia="lt-LT"/>
        </w:rPr>
        <w:t xml:space="preserve">infuzinio </w:t>
      </w:r>
      <w:r w:rsidRPr="00D9492F">
        <w:rPr>
          <w:rFonts w:ascii="Times New Roman" w:hAnsi="Times New Roman"/>
          <w:lang w:eastAsia="lt-LT"/>
        </w:rPr>
        <w:t>tirpalo laikymo trukmę ir sąlygas atsako vartotojas.</w:t>
      </w:r>
    </w:p>
    <w:p w14:paraId="6D774536" w14:textId="77777777" w:rsidR="00DC1CDC" w:rsidRPr="00D9492F" w:rsidRDefault="00DC1CDC" w:rsidP="00DC1CDC">
      <w:pPr>
        <w:spacing w:after="0" w:line="240" w:lineRule="auto"/>
        <w:rPr>
          <w:rFonts w:ascii="Times New Roman" w:hAnsi="Times New Roman"/>
          <w:lang w:eastAsia="lt-LT"/>
        </w:rPr>
      </w:pPr>
    </w:p>
    <w:p w14:paraId="13A70BFA" w14:textId="332A096E"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Pridėjus į infuzinį maišelį kaip rekomenduojama, docetakselio infuzinis tirpalas, laikomas žemesnėje kaip 25°C temperatūroje, yra stabilus 6 valandas. </w:t>
      </w:r>
      <w:r w:rsidR="00D70C6E" w:rsidRPr="00D9492F">
        <w:rPr>
          <w:rFonts w:ascii="Times New Roman" w:hAnsi="Times New Roman"/>
          <w:lang w:eastAsia="lt-LT"/>
        </w:rPr>
        <w:t>Infuzinis t</w:t>
      </w:r>
      <w:r w:rsidRPr="00D9492F">
        <w:rPr>
          <w:rFonts w:ascii="Times New Roman" w:hAnsi="Times New Roman"/>
          <w:lang w:eastAsia="lt-LT"/>
        </w:rPr>
        <w:t>irpalas turi būti suvartotas per 6 valandas (įskaitant infuzijos į veną, trunkančios 1 valandą, laiką).</w:t>
      </w:r>
    </w:p>
    <w:p w14:paraId="0A8323E8" w14:textId="77777777" w:rsidR="00DC1CDC" w:rsidRPr="00D9492F" w:rsidRDefault="00DC1CDC" w:rsidP="00DC1CDC">
      <w:pPr>
        <w:spacing w:after="0" w:line="240" w:lineRule="auto"/>
        <w:rPr>
          <w:rFonts w:ascii="Times New Roman" w:hAnsi="Times New Roman"/>
          <w:lang w:eastAsia="lt-LT"/>
        </w:rPr>
      </w:pPr>
    </w:p>
    <w:p w14:paraId="64052397"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Be to, nustatyta, kad fiziniu ir cheminiu požiūriu infuzinis tirpalas, paruoštas kaip rekomenduojama, ne PVC maišeliuose 2°C </w:t>
      </w:r>
      <w:r w:rsidRPr="00D9492F">
        <w:rPr>
          <w:rFonts w:ascii="Times New Roman" w:hAnsi="Times New Roman"/>
          <w:lang w:eastAsia="lt-LT"/>
        </w:rPr>
        <w:noBreakHyphen/>
        <w:t>8°C temperatūroje išlieka stabilus iki 24 valandų.</w:t>
      </w:r>
    </w:p>
    <w:p w14:paraId="34334D6B" w14:textId="77777777" w:rsidR="00DC1CDC" w:rsidRPr="00D9492F" w:rsidRDefault="00DC1CDC" w:rsidP="00DC1CDC">
      <w:pPr>
        <w:spacing w:after="0" w:line="240" w:lineRule="auto"/>
        <w:rPr>
          <w:rFonts w:ascii="Times New Roman" w:hAnsi="Times New Roman"/>
          <w:lang w:eastAsia="lt-LT"/>
        </w:rPr>
      </w:pPr>
    </w:p>
    <w:p w14:paraId="14C57ABD" w14:textId="0CA7B52A" w:rsidR="00D80F8A"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Docetakselio infuzinis tirpalas yra persotintas, todėl laikui bėgant gali kristalizuotis. Jeigu atsiranda kristalų, tirpalas turi būti daugiau nevartojamas ir sunaikinamas.</w:t>
      </w:r>
    </w:p>
    <w:p w14:paraId="0D4A072E" w14:textId="77777777" w:rsidR="00DC1CDC" w:rsidRPr="00D9492F" w:rsidRDefault="00DC1CDC" w:rsidP="00DC1CDC">
      <w:pPr>
        <w:spacing w:after="0" w:line="240" w:lineRule="auto"/>
        <w:rPr>
          <w:rFonts w:ascii="Times New Roman" w:hAnsi="Times New Roman"/>
        </w:rPr>
      </w:pPr>
    </w:p>
    <w:p w14:paraId="6C022F19"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6.4</w:t>
      </w:r>
      <w:r w:rsidRPr="00D9492F">
        <w:rPr>
          <w:rFonts w:ascii="Times New Roman" w:hAnsi="Times New Roman"/>
          <w:b/>
        </w:rPr>
        <w:tab/>
        <w:t>Specialios laikymo sąlygos</w:t>
      </w:r>
    </w:p>
    <w:p w14:paraId="2AD5C58C" w14:textId="77777777" w:rsidR="00DC1CDC" w:rsidRPr="00D9492F" w:rsidRDefault="00DC1CDC" w:rsidP="00DC1CDC">
      <w:pPr>
        <w:spacing w:after="0" w:line="240" w:lineRule="auto"/>
        <w:rPr>
          <w:rFonts w:ascii="Times New Roman" w:hAnsi="Times New Roman"/>
        </w:rPr>
      </w:pPr>
    </w:p>
    <w:p w14:paraId="66086240"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Laikyti ne aukštesnėje kaip 25 °C temperatūroje. N</w:t>
      </w:r>
      <w:r w:rsidRPr="00D9492F">
        <w:rPr>
          <w:rFonts w:ascii="Times New Roman" w:hAnsi="Times New Roman"/>
          <w:noProof/>
        </w:rPr>
        <w:t>egalima šaldyti ar užšaldyti</w:t>
      </w:r>
      <w:r w:rsidRPr="00D9492F">
        <w:rPr>
          <w:rFonts w:ascii="Times New Roman" w:hAnsi="Times New Roman"/>
        </w:rPr>
        <w:t>.</w:t>
      </w:r>
    </w:p>
    <w:p w14:paraId="6AAE1BA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Flakoną laikyti išorinėje dėžutėje</w:t>
      </w:r>
      <w:r w:rsidRPr="00D9492F">
        <w:rPr>
          <w:rFonts w:ascii="Times New Roman" w:hAnsi="Times New Roman"/>
          <w:noProof/>
        </w:rPr>
        <w:t>, kad vaistinis preparatas būtų apsaugotas nuo šviesos.</w:t>
      </w:r>
    </w:p>
    <w:p w14:paraId="34678673" w14:textId="77777777" w:rsidR="00DC1CDC" w:rsidRPr="00D9492F" w:rsidRDefault="00DC1CDC" w:rsidP="00DC1CDC">
      <w:pPr>
        <w:spacing w:after="0" w:line="240" w:lineRule="auto"/>
        <w:rPr>
          <w:rFonts w:ascii="Times New Roman" w:hAnsi="Times New Roman"/>
        </w:rPr>
      </w:pPr>
    </w:p>
    <w:p w14:paraId="029DA6C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w:t>
      </w:r>
      <w:r w:rsidR="00D70C6E" w:rsidRPr="00D9492F">
        <w:rPr>
          <w:rFonts w:ascii="Times New Roman" w:hAnsi="Times New Roman"/>
        </w:rPr>
        <w:t>irmą kartą atidaryto ir p</w:t>
      </w:r>
      <w:r w:rsidRPr="00D9492F">
        <w:rPr>
          <w:rFonts w:ascii="Times New Roman" w:hAnsi="Times New Roman"/>
        </w:rPr>
        <w:t>raskiesto vaistinio preparato laikymo sąlygos pateikiamos 6.3 skyriuje.</w:t>
      </w:r>
    </w:p>
    <w:p w14:paraId="7513A7DC" w14:textId="77777777" w:rsidR="00DC1CDC" w:rsidRPr="00D9492F" w:rsidRDefault="00DC1CDC" w:rsidP="00DC1CDC">
      <w:pPr>
        <w:spacing w:after="0" w:line="240" w:lineRule="auto"/>
        <w:rPr>
          <w:rFonts w:ascii="Times New Roman" w:hAnsi="Times New Roman"/>
        </w:rPr>
      </w:pPr>
    </w:p>
    <w:p w14:paraId="0E1B8A07"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6.5</w:t>
      </w:r>
      <w:r w:rsidRPr="00D9492F">
        <w:rPr>
          <w:rFonts w:ascii="Times New Roman" w:hAnsi="Times New Roman"/>
          <w:b/>
        </w:rPr>
        <w:tab/>
      </w:r>
      <w:r w:rsidRPr="00D9492F">
        <w:rPr>
          <w:rFonts w:ascii="Times New Roman" w:hAnsi="Times New Roman"/>
          <w:b/>
          <w:bCs/>
          <w:noProof/>
        </w:rPr>
        <w:t>Talpyklės pobūdis ir jos turinys</w:t>
      </w:r>
    </w:p>
    <w:p w14:paraId="518AF6B3" w14:textId="77777777" w:rsidR="00DC1CDC" w:rsidRPr="00D9492F" w:rsidRDefault="00DC1CDC" w:rsidP="00DC1CDC">
      <w:pPr>
        <w:spacing w:after="0" w:line="240" w:lineRule="auto"/>
        <w:rPr>
          <w:rFonts w:ascii="Times New Roman" w:hAnsi="Times New Roman"/>
        </w:rPr>
      </w:pPr>
    </w:p>
    <w:p w14:paraId="5B2707CB" w14:textId="1165C97A" w:rsidR="00DC1CDC" w:rsidRPr="00D9492F" w:rsidRDefault="00DC1CDC" w:rsidP="00DC1CDC">
      <w:pPr>
        <w:spacing w:after="0" w:line="240" w:lineRule="auto"/>
        <w:rPr>
          <w:rFonts w:ascii="Times New Roman" w:hAnsi="Times New Roman"/>
          <w:bCs/>
        </w:rPr>
      </w:pPr>
      <w:r w:rsidRPr="00D9492F">
        <w:rPr>
          <w:rFonts w:ascii="Times New Roman" w:hAnsi="Times New Roman"/>
          <w:bCs/>
        </w:rPr>
        <w:t xml:space="preserve">5 ml talpos skaidraus stiklo (I tipo) flakonas su </w:t>
      </w:r>
      <w:r w:rsidRPr="00D9492F">
        <w:rPr>
          <w:rFonts w:ascii="Times New Roman" w:hAnsi="Times New Roman"/>
          <w:bCs/>
          <w:i/>
        </w:rPr>
        <w:t>omniflex plus</w:t>
      </w:r>
      <w:r w:rsidRPr="00D9492F">
        <w:rPr>
          <w:rFonts w:ascii="Times New Roman" w:hAnsi="Times New Roman"/>
          <w:bCs/>
        </w:rPr>
        <w:t xml:space="preserve"> (fluorintu polimeru) dengtu bromobutilo gumos kamščiu ir raudonu aliumininiu dangteliu, kuriame yra 0,5 ml </w:t>
      </w:r>
      <w:r w:rsidR="00D70C6E" w:rsidRPr="00D9492F">
        <w:rPr>
          <w:rFonts w:ascii="Times New Roman" w:hAnsi="Times New Roman"/>
          <w:bCs/>
        </w:rPr>
        <w:t xml:space="preserve">sterilaus </w:t>
      </w:r>
      <w:r w:rsidRPr="00D9492F">
        <w:rPr>
          <w:rFonts w:ascii="Times New Roman" w:hAnsi="Times New Roman"/>
          <w:bCs/>
        </w:rPr>
        <w:t xml:space="preserve">koncentrato. </w:t>
      </w:r>
    </w:p>
    <w:p w14:paraId="0362DDA0" w14:textId="77777777" w:rsidR="00DC1CDC" w:rsidRPr="00D9492F" w:rsidRDefault="00DC1CDC" w:rsidP="00DC1CDC">
      <w:pPr>
        <w:spacing w:after="0" w:line="240" w:lineRule="auto"/>
        <w:rPr>
          <w:rFonts w:ascii="Times New Roman" w:hAnsi="Times New Roman"/>
          <w:bCs/>
          <w:u w:val="single"/>
        </w:rPr>
      </w:pPr>
    </w:p>
    <w:p w14:paraId="02DD05AA" w14:textId="18DDD2EB" w:rsidR="00DC1CDC" w:rsidRPr="00D9492F" w:rsidRDefault="00DC1CDC" w:rsidP="00DC1CDC">
      <w:pPr>
        <w:spacing w:after="0" w:line="240" w:lineRule="auto"/>
        <w:rPr>
          <w:rFonts w:ascii="Times New Roman" w:hAnsi="Times New Roman"/>
          <w:bCs/>
        </w:rPr>
      </w:pPr>
      <w:r w:rsidRPr="00D9492F">
        <w:rPr>
          <w:rFonts w:ascii="Times New Roman" w:hAnsi="Times New Roman"/>
          <w:bCs/>
        </w:rPr>
        <w:t xml:space="preserve">15 ml talpos skaidraus stiklo (I tipo) flakonas su </w:t>
      </w:r>
      <w:r w:rsidRPr="00D9492F">
        <w:rPr>
          <w:rFonts w:ascii="Times New Roman" w:hAnsi="Times New Roman"/>
          <w:bCs/>
          <w:i/>
        </w:rPr>
        <w:t>omniflex plus</w:t>
      </w:r>
      <w:r w:rsidRPr="00D9492F">
        <w:rPr>
          <w:rFonts w:ascii="Times New Roman" w:hAnsi="Times New Roman"/>
          <w:bCs/>
        </w:rPr>
        <w:t xml:space="preserve"> (fluorintu polimeru) dengtu bromobutilo gumos kamščiu ir raudonu aliumininiu dangteliu, kuriame yra 2 ml </w:t>
      </w:r>
      <w:r w:rsidR="00D70C6E" w:rsidRPr="00D9492F">
        <w:rPr>
          <w:rFonts w:ascii="Times New Roman" w:hAnsi="Times New Roman"/>
          <w:bCs/>
        </w:rPr>
        <w:t xml:space="preserve">sterilaus </w:t>
      </w:r>
      <w:r w:rsidRPr="00D9492F">
        <w:rPr>
          <w:rFonts w:ascii="Times New Roman" w:hAnsi="Times New Roman"/>
          <w:bCs/>
        </w:rPr>
        <w:t>koncentrato.</w:t>
      </w:r>
    </w:p>
    <w:p w14:paraId="742F099F" w14:textId="77777777" w:rsidR="00DC1CDC" w:rsidRPr="00D9492F" w:rsidRDefault="00DC1CDC" w:rsidP="00DC1CDC">
      <w:pPr>
        <w:spacing w:after="0" w:line="240" w:lineRule="auto"/>
        <w:rPr>
          <w:rFonts w:ascii="Times New Roman" w:hAnsi="Times New Roman"/>
          <w:bCs/>
          <w:u w:val="single"/>
        </w:rPr>
      </w:pPr>
    </w:p>
    <w:p w14:paraId="4B9101D0" w14:textId="77777777" w:rsidR="00DC1CDC" w:rsidRPr="00D9492F" w:rsidRDefault="00DC1CDC" w:rsidP="00DC1CDC">
      <w:pPr>
        <w:spacing w:after="0" w:line="240" w:lineRule="auto"/>
        <w:rPr>
          <w:rFonts w:ascii="Times New Roman" w:hAnsi="Times New Roman"/>
          <w:bCs/>
        </w:rPr>
      </w:pPr>
      <w:r w:rsidRPr="00D9492F">
        <w:rPr>
          <w:rFonts w:ascii="Times New Roman" w:hAnsi="Times New Roman"/>
          <w:bCs/>
        </w:rPr>
        <w:t>Kiekvienoje dėžutėje yra vienas flakonas.</w:t>
      </w:r>
    </w:p>
    <w:p w14:paraId="14FF6C72" w14:textId="7E32E928" w:rsidR="00DC1CDC" w:rsidRPr="00D9492F" w:rsidRDefault="00DC1CDC" w:rsidP="00DC1CDC">
      <w:pPr>
        <w:spacing w:after="0" w:line="240" w:lineRule="auto"/>
        <w:rPr>
          <w:rFonts w:ascii="Times New Roman" w:hAnsi="Times New Roman"/>
        </w:rPr>
      </w:pPr>
    </w:p>
    <w:p w14:paraId="0227AFCA" w14:textId="65E251A4" w:rsidR="0019712A" w:rsidRPr="00D9492F" w:rsidRDefault="0019712A" w:rsidP="00DC1CDC">
      <w:pPr>
        <w:spacing w:after="0" w:line="240" w:lineRule="auto"/>
        <w:rPr>
          <w:rFonts w:ascii="Times New Roman" w:hAnsi="Times New Roman"/>
        </w:rPr>
      </w:pPr>
      <w:r w:rsidRPr="00D9492F">
        <w:rPr>
          <w:rFonts w:ascii="Times New Roman" w:hAnsi="Times New Roman"/>
        </w:rPr>
        <w:t>Gali būti tiekiamos ne visų dydžių pakuotės.</w:t>
      </w:r>
    </w:p>
    <w:p w14:paraId="3662F2D8" w14:textId="77777777" w:rsidR="0019712A" w:rsidRPr="00D9492F" w:rsidRDefault="0019712A" w:rsidP="00DC1CDC">
      <w:pPr>
        <w:spacing w:after="0" w:line="240" w:lineRule="auto"/>
        <w:rPr>
          <w:rFonts w:ascii="Times New Roman" w:hAnsi="Times New Roman"/>
        </w:rPr>
      </w:pPr>
    </w:p>
    <w:p w14:paraId="25F009C3" w14:textId="77777777" w:rsidR="00DC1CDC" w:rsidRPr="00D9492F" w:rsidRDefault="00DC1CDC" w:rsidP="00DC1CDC">
      <w:pPr>
        <w:keepNext/>
        <w:keepLines/>
        <w:spacing w:after="0" w:line="240" w:lineRule="auto"/>
        <w:ind w:left="567" w:hanging="567"/>
        <w:outlineLvl w:val="0"/>
        <w:rPr>
          <w:rFonts w:ascii="Times New Roman" w:hAnsi="Times New Roman"/>
        </w:rPr>
      </w:pPr>
      <w:r w:rsidRPr="00D9492F">
        <w:rPr>
          <w:rFonts w:ascii="Times New Roman" w:hAnsi="Times New Roman"/>
          <w:b/>
        </w:rPr>
        <w:t>6.6</w:t>
      </w:r>
      <w:r w:rsidRPr="00D9492F">
        <w:rPr>
          <w:rFonts w:ascii="Times New Roman" w:hAnsi="Times New Roman"/>
          <w:b/>
        </w:rPr>
        <w:tab/>
      </w:r>
      <w:r w:rsidRPr="00D9492F">
        <w:rPr>
          <w:rFonts w:ascii="Times New Roman" w:hAnsi="Times New Roman"/>
          <w:b/>
          <w:bCs/>
          <w:color w:val="000000"/>
        </w:rPr>
        <w:t>Specialūs reikalavimai atliekoms tvarkyti ir vaistiniam preparatui ruošti</w:t>
      </w:r>
    </w:p>
    <w:p w14:paraId="04B34819" w14:textId="77777777" w:rsidR="00DC1CDC" w:rsidRPr="00D9492F" w:rsidRDefault="00DC1CDC" w:rsidP="00DC1CDC">
      <w:pPr>
        <w:spacing w:after="0" w:line="240" w:lineRule="auto"/>
        <w:rPr>
          <w:rFonts w:ascii="Times New Roman" w:hAnsi="Times New Roman"/>
        </w:rPr>
      </w:pPr>
    </w:p>
    <w:p w14:paraId="6CE19AC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Docetaxel SanoSwiss yra </w:t>
      </w:r>
      <w:r w:rsidR="0003751A" w:rsidRPr="00D9492F">
        <w:rPr>
          <w:rFonts w:ascii="Times New Roman" w:hAnsi="Times New Roman"/>
        </w:rPr>
        <w:t xml:space="preserve">vaistinis </w:t>
      </w:r>
      <w:r w:rsidRPr="00D9492F">
        <w:rPr>
          <w:rFonts w:ascii="Times New Roman" w:hAnsi="Times New Roman"/>
        </w:rPr>
        <w:t>preparatas nuo vėžio. Jo (kaip ir kitų potencialiai toksiškų junginių) tirpalus ruošti reikia atsargiai. Rekomenduojama mūvėti pirštinėmis.</w:t>
      </w:r>
    </w:p>
    <w:p w14:paraId="25FBD13C" w14:textId="77777777" w:rsidR="00DC1CDC" w:rsidRPr="00D9492F" w:rsidRDefault="00DC1CDC" w:rsidP="00DC1CDC">
      <w:pPr>
        <w:spacing w:after="0" w:line="240" w:lineRule="auto"/>
        <w:rPr>
          <w:rFonts w:ascii="Times New Roman" w:hAnsi="Times New Roman"/>
        </w:rPr>
      </w:pPr>
    </w:p>
    <w:p w14:paraId="4896B7E6"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Jei Docetaxel SanoSwiss </w:t>
      </w:r>
      <w:r w:rsidR="00D70C6E" w:rsidRPr="00D9492F">
        <w:rPr>
          <w:rFonts w:ascii="Times New Roman" w:hAnsi="Times New Roman"/>
        </w:rPr>
        <w:t xml:space="preserve">sterilaus </w:t>
      </w:r>
      <w:r w:rsidRPr="00D9492F">
        <w:rPr>
          <w:rFonts w:ascii="Times New Roman" w:hAnsi="Times New Roman"/>
        </w:rPr>
        <w:t xml:space="preserve">koncentrato arba </w:t>
      </w:r>
      <w:r w:rsidR="0003751A" w:rsidRPr="00D9492F">
        <w:rPr>
          <w:rFonts w:ascii="Times New Roman" w:hAnsi="Times New Roman"/>
        </w:rPr>
        <w:t xml:space="preserve">paruošto </w:t>
      </w:r>
      <w:r w:rsidRPr="00D9492F">
        <w:rPr>
          <w:rFonts w:ascii="Times New Roman" w:hAnsi="Times New Roman"/>
        </w:rPr>
        <w:t xml:space="preserve">infuzinio tirpalo pateko ant odos, reikia nedelsiant nuplauti dideliu vandens kiekiu su muilu. Jei Docetaxel SanoSwiss </w:t>
      </w:r>
      <w:r w:rsidR="00D70C6E" w:rsidRPr="00D9492F">
        <w:rPr>
          <w:rFonts w:ascii="Times New Roman" w:hAnsi="Times New Roman"/>
        </w:rPr>
        <w:t xml:space="preserve">sterilaus </w:t>
      </w:r>
      <w:r w:rsidRPr="00D9492F">
        <w:rPr>
          <w:rFonts w:ascii="Times New Roman" w:hAnsi="Times New Roman"/>
        </w:rPr>
        <w:t xml:space="preserve">koncentrato arba </w:t>
      </w:r>
      <w:r w:rsidR="0003751A" w:rsidRPr="00D9492F">
        <w:rPr>
          <w:rFonts w:ascii="Times New Roman" w:hAnsi="Times New Roman"/>
        </w:rPr>
        <w:t xml:space="preserve">paruošto </w:t>
      </w:r>
      <w:r w:rsidRPr="00D9492F">
        <w:rPr>
          <w:rFonts w:ascii="Times New Roman" w:hAnsi="Times New Roman"/>
        </w:rPr>
        <w:t>infuzinio tirpalo pateko ant gleivinės, reikia nedelsiant nuplauti dideliu vandens kiekiu.</w:t>
      </w:r>
    </w:p>
    <w:p w14:paraId="5919C8DF" w14:textId="77777777" w:rsidR="00DC1CDC" w:rsidRPr="00D9492F" w:rsidRDefault="00DC1CDC" w:rsidP="00DC1CDC">
      <w:pPr>
        <w:spacing w:after="0" w:line="240" w:lineRule="auto"/>
        <w:rPr>
          <w:rFonts w:ascii="Times New Roman" w:hAnsi="Times New Roman"/>
        </w:rPr>
      </w:pPr>
    </w:p>
    <w:p w14:paraId="4D3BF671" w14:textId="77777777" w:rsidR="00DC1CDC" w:rsidRPr="00D9492F" w:rsidRDefault="00DC1CDC" w:rsidP="00DC1CDC">
      <w:pPr>
        <w:spacing w:after="0" w:line="240" w:lineRule="auto"/>
        <w:rPr>
          <w:rFonts w:ascii="Times New Roman" w:hAnsi="Times New Roman"/>
          <w:u w:val="single"/>
          <w:lang w:eastAsia="lt-LT"/>
        </w:rPr>
      </w:pPr>
      <w:r w:rsidRPr="00D9492F">
        <w:rPr>
          <w:rFonts w:ascii="Times New Roman" w:hAnsi="Times New Roman"/>
          <w:i/>
          <w:iCs/>
          <w:u w:val="single"/>
          <w:lang w:eastAsia="lt-LT"/>
        </w:rPr>
        <w:t>Infuzinio tirpalo paruošimas</w:t>
      </w:r>
    </w:p>
    <w:p w14:paraId="106A2851" w14:textId="1D3B4268"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b/>
          <w:lang w:eastAsia="lt-LT"/>
        </w:rPr>
        <w:t xml:space="preserve">NEGALIMA </w:t>
      </w:r>
      <w:r w:rsidRPr="00D9492F">
        <w:rPr>
          <w:rFonts w:ascii="Times New Roman" w:hAnsi="Times New Roman"/>
          <w:lang w:eastAsia="lt-LT"/>
        </w:rPr>
        <w:t xml:space="preserve">vartoti kitokio docetakselio vaistinio preparato, kurį sudaro 2 flakonai (koncentratas ir tirpiklis), kartu su šiuo vaistiniu preparatu (Docetaxel SanoSwiss  sudaro tik 1 flakonas). </w:t>
      </w:r>
    </w:p>
    <w:p w14:paraId="5399680B" w14:textId="77777777" w:rsidR="00DC1CDC" w:rsidRPr="00D9492F" w:rsidRDefault="00DC1CDC" w:rsidP="00DC1CDC">
      <w:pPr>
        <w:spacing w:after="0" w:line="240" w:lineRule="auto"/>
        <w:rPr>
          <w:rFonts w:ascii="Times New Roman" w:hAnsi="Times New Roman"/>
          <w:b/>
          <w:lang w:eastAsia="lt-LT"/>
        </w:rPr>
      </w:pPr>
    </w:p>
    <w:p w14:paraId="3F3945D0" w14:textId="10F13FDD"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Docetaxel SanoSwiss </w:t>
      </w:r>
      <w:r w:rsidRPr="00D9492F">
        <w:rPr>
          <w:rFonts w:ascii="Times New Roman" w:hAnsi="Times New Roman"/>
          <w:b/>
          <w:lang w:eastAsia="lt-LT"/>
        </w:rPr>
        <w:t>NEREIKIA</w:t>
      </w:r>
      <w:r w:rsidRPr="00D9492F">
        <w:rPr>
          <w:rFonts w:ascii="Times New Roman" w:hAnsi="Times New Roman"/>
          <w:lang w:eastAsia="lt-LT"/>
        </w:rPr>
        <w:t xml:space="preserve"> iš pradžių skiesti tirpikliu: šis vaistinis preparatas yra paruoštas suleisti į infuzinį tirpalą.</w:t>
      </w:r>
    </w:p>
    <w:p w14:paraId="133811E9" w14:textId="77777777" w:rsidR="00DC1CDC" w:rsidRPr="00D9492F" w:rsidRDefault="00DC1CDC" w:rsidP="00DC1CDC">
      <w:pPr>
        <w:spacing w:after="0" w:line="240" w:lineRule="auto"/>
        <w:rPr>
          <w:rFonts w:ascii="Times New Roman" w:hAnsi="Times New Roman"/>
          <w:lang w:eastAsia="lt-LT"/>
        </w:rPr>
      </w:pPr>
    </w:p>
    <w:p w14:paraId="6913C6D9"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Kiekvienas flakonas skirtas vienkartiniam vartojimui, jo turinį būtina vartoti nedelsiant.</w:t>
      </w:r>
    </w:p>
    <w:p w14:paraId="36C05D4E" w14:textId="77777777" w:rsidR="00DC1CDC" w:rsidRPr="00D9492F" w:rsidRDefault="00DC1CDC" w:rsidP="00DC1CDC">
      <w:pPr>
        <w:spacing w:after="0" w:line="240" w:lineRule="auto"/>
        <w:rPr>
          <w:rFonts w:ascii="Times New Roman" w:hAnsi="Times New Roman"/>
          <w:lang w:eastAsia="lt-LT"/>
        </w:rPr>
      </w:pPr>
    </w:p>
    <w:p w14:paraId="0CC85773" w14:textId="75871220"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Norint gauti pacientui reikiamą dozę, gali prireikti daugiau kaip vieno Docetaxel SanoSwiss </w:t>
      </w:r>
      <w:r w:rsidR="009C35AC" w:rsidRPr="00D9492F">
        <w:rPr>
          <w:rFonts w:ascii="Times New Roman" w:hAnsi="Times New Roman"/>
          <w:lang w:eastAsia="lt-LT"/>
        </w:rPr>
        <w:t>sterilaus koncentrato</w:t>
      </w:r>
      <w:r w:rsidRPr="00D9492F">
        <w:rPr>
          <w:rFonts w:ascii="Times New Roman" w:hAnsi="Times New Roman"/>
          <w:lang w:eastAsia="lt-LT"/>
        </w:rPr>
        <w:t xml:space="preserve"> flakono. Naudodami kalibruotą švirkštą, aseptiniu būdu įtraukite reikiamą kiekį Docetaxel SanoSwiss</w:t>
      </w:r>
      <w:r w:rsidR="009C35AC" w:rsidRPr="00D9492F">
        <w:rPr>
          <w:rFonts w:ascii="Times New Roman" w:hAnsi="Times New Roman"/>
          <w:lang w:eastAsia="lt-LT"/>
        </w:rPr>
        <w:t>.</w:t>
      </w:r>
      <w:r w:rsidRPr="00D9492F">
        <w:rPr>
          <w:rFonts w:ascii="Times New Roman" w:hAnsi="Times New Roman"/>
          <w:lang w:eastAsia="lt-LT"/>
        </w:rPr>
        <w:t>.</w:t>
      </w:r>
    </w:p>
    <w:p w14:paraId="7CCF8FA5" w14:textId="77777777" w:rsidR="00DC1CDC" w:rsidRPr="00D9492F" w:rsidRDefault="00DC1CDC" w:rsidP="00DC1CDC">
      <w:pPr>
        <w:spacing w:after="0" w:line="240" w:lineRule="auto"/>
        <w:rPr>
          <w:rFonts w:ascii="Times New Roman" w:hAnsi="Times New Roman"/>
          <w:lang w:eastAsia="lt-LT"/>
        </w:rPr>
      </w:pPr>
    </w:p>
    <w:p w14:paraId="41C6A7F9" w14:textId="122BC77F" w:rsidR="00DC1CDC" w:rsidRPr="00D9492F" w:rsidRDefault="00DC1CDC" w:rsidP="00DC1CDC">
      <w:pPr>
        <w:spacing w:after="0" w:line="240" w:lineRule="auto"/>
        <w:rPr>
          <w:rFonts w:ascii="Times New Roman" w:hAnsi="Times New Roman"/>
          <w:b/>
          <w:lang w:eastAsia="lt-LT"/>
        </w:rPr>
      </w:pPr>
      <w:r w:rsidRPr="00D9492F">
        <w:rPr>
          <w:rFonts w:ascii="Times New Roman" w:hAnsi="Times New Roman"/>
          <w:b/>
          <w:lang w:eastAsia="lt-LT"/>
        </w:rPr>
        <w:t xml:space="preserve">Docetakselio koncentracija Docetaxel SanoSwiss flakone yra 40 mg/ml. </w:t>
      </w:r>
    </w:p>
    <w:p w14:paraId="7D26DF2F" w14:textId="6642CD41"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lastRenderedPageBreak/>
        <w:t xml:space="preserve">Reikiamas Docetaxel SanoSwiss </w:t>
      </w:r>
      <w:r w:rsidR="009C35AC" w:rsidRPr="00D9492F">
        <w:rPr>
          <w:rFonts w:ascii="Times New Roman" w:hAnsi="Times New Roman"/>
          <w:lang w:eastAsia="lt-LT"/>
        </w:rPr>
        <w:t>sterilaus koncentrato</w:t>
      </w:r>
      <w:r w:rsidRPr="00D9492F">
        <w:rPr>
          <w:rFonts w:ascii="Times New Roman" w:hAnsi="Times New Roman"/>
          <w:lang w:eastAsia="lt-LT"/>
        </w:rPr>
        <w:t xml:space="preserve"> kiekis turi būti viena injekcija (vienu </w:t>
      </w:r>
      <w:r w:rsidR="00965A62" w:rsidRPr="00D9492F">
        <w:rPr>
          <w:rFonts w:ascii="Times New Roman" w:hAnsi="Times New Roman"/>
          <w:lang w:eastAsia="lt-LT"/>
        </w:rPr>
        <w:t>leidimu</w:t>
      </w:r>
      <w:r w:rsidRPr="00D9492F">
        <w:rPr>
          <w:rFonts w:ascii="Times New Roman" w:hAnsi="Times New Roman"/>
          <w:lang w:eastAsia="lt-LT"/>
        </w:rPr>
        <w:t>) suleistas į 250 ml infuzijų maišelį ar buteliuką, kuriame yra 5 % gliukozės tirpalo ar 9 mg/ml (0,9 %) natrio chlorido infuzinio tirpalo.</w:t>
      </w:r>
    </w:p>
    <w:p w14:paraId="574D0536" w14:textId="77777777" w:rsidR="00DC1CDC" w:rsidRPr="00D9492F" w:rsidRDefault="00DC1CDC" w:rsidP="00DC1CDC">
      <w:pPr>
        <w:spacing w:after="0" w:line="240" w:lineRule="auto"/>
        <w:rPr>
          <w:rFonts w:ascii="Times New Roman" w:hAnsi="Times New Roman"/>
          <w:lang w:eastAsia="lt-LT"/>
        </w:rPr>
      </w:pPr>
    </w:p>
    <w:p w14:paraId="40CDBB43"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Jei reikalinga didesnė nei 190 mg docetakselio dozė, reikia didesnio infuzinio tirpalo kiekio, kad docetakselio koncentracija nebūtų didesnė kaip 0,74 mg/ml. </w:t>
      </w:r>
    </w:p>
    <w:p w14:paraId="2F95E098" w14:textId="77777777" w:rsidR="00DC1CDC" w:rsidRPr="00D9492F" w:rsidRDefault="00DC1CDC" w:rsidP="00DC1CDC">
      <w:pPr>
        <w:spacing w:after="0" w:line="240" w:lineRule="auto"/>
        <w:rPr>
          <w:rFonts w:ascii="Times New Roman" w:hAnsi="Times New Roman"/>
          <w:lang w:eastAsia="lt-LT"/>
        </w:rPr>
      </w:pPr>
    </w:p>
    <w:p w14:paraId="23D5E63C"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Infuzijų maišelyje ar buteliuke esantį tirpalą sumaišykite rankiniu būdu (sukamaisiais judesiais).</w:t>
      </w:r>
    </w:p>
    <w:p w14:paraId="5FEE5C6B" w14:textId="77777777" w:rsidR="00DC1CDC" w:rsidRPr="00D9492F" w:rsidRDefault="00DC1CDC" w:rsidP="00DC1CDC">
      <w:pPr>
        <w:spacing w:after="0" w:line="240" w:lineRule="auto"/>
        <w:rPr>
          <w:rFonts w:ascii="Times New Roman" w:hAnsi="Times New Roman"/>
          <w:lang w:eastAsia="lt-LT"/>
        </w:rPr>
      </w:pPr>
    </w:p>
    <w:p w14:paraId="565C5FCB"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Infuzijų maišelyje ar buteliuke esantį tirpalą reikia suvartoti per 6 valandas (jis turi būti laikomas žemesnėje kaip 25°C temperatūroje), įskaitant vienos valandos trukmės infuziją pacientui.</w:t>
      </w:r>
    </w:p>
    <w:p w14:paraId="30D3D04E" w14:textId="77777777" w:rsidR="00DC1CDC" w:rsidRPr="00D9492F" w:rsidRDefault="00DC1CDC" w:rsidP="00DC1CDC">
      <w:pPr>
        <w:spacing w:after="0" w:line="240" w:lineRule="auto"/>
        <w:rPr>
          <w:rFonts w:ascii="Times New Roman" w:hAnsi="Times New Roman"/>
          <w:lang w:eastAsia="lt-LT"/>
        </w:rPr>
      </w:pPr>
    </w:p>
    <w:p w14:paraId="48EB06D8" w14:textId="5BEACDCD" w:rsidR="00DC1CDC" w:rsidRPr="00D9492F" w:rsidRDefault="009C35AC" w:rsidP="00DC1CDC">
      <w:pPr>
        <w:spacing w:after="0" w:line="240" w:lineRule="auto"/>
        <w:rPr>
          <w:rFonts w:ascii="Times New Roman" w:hAnsi="Times New Roman"/>
          <w:lang w:eastAsia="lt-LT"/>
        </w:rPr>
      </w:pPr>
      <w:r w:rsidRPr="00D9492F">
        <w:rPr>
          <w:rFonts w:ascii="Times New Roman" w:hAnsi="Times New Roman"/>
          <w:lang w:eastAsia="lt-LT"/>
        </w:rPr>
        <w:t>Paruoštą</w:t>
      </w:r>
      <w:r w:rsidR="00DC1CDC" w:rsidRPr="00D9492F">
        <w:rPr>
          <w:rFonts w:ascii="Times New Roman" w:hAnsi="Times New Roman"/>
          <w:lang w:eastAsia="lt-LT"/>
        </w:rPr>
        <w:t xml:space="preserve"> infuzinį tirpalą prieš vartojimą reikia apžiūrėti. Jei yra nuosėdų, tokį </w:t>
      </w:r>
      <w:r w:rsidRPr="00D9492F">
        <w:rPr>
          <w:rFonts w:ascii="Times New Roman" w:hAnsi="Times New Roman"/>
          <w:lang w:eastAsia="lt-LT"/>
        </w:rPr>
        <w:t xml:space="preserve">infuzinį </w:t>
      </w:r>
      <w:r w:rsidR="00DC1CDC" w:rsidRPr="00D9492F">
        <w:rPr>
          <w:rFonts w:ascii="Times New Roman" w:hAnsi="Times New Roman"/>
          <w:lang w:eastAsia="lt-LT"/>
        </w:rPr>
        <w:t>tirpalą reikia sunaikinti.</w:t>
      </w:r>
    </w:p>
    <w:p w14:paraId="7B726362" w14:textId="77777777" w:rsidR="00DC1CDC" w:rsidRPr="00D9492F" w:rsidRDefault="00DC1CDC" w:rsidP="00DC1CDC">
      <w:pPr>
        <w:spacing w:after="0" w:line="240" w:lineRule="auto"/>
        <w:rPr>
          <w:rFonts w:ascii="Times New Roman" w:hAnsi="Times New Roman"/>
        </w:rPr>
      </w:pPr>
    </w:p>
    <w:p w14:paraId="6E5B9B6A" w14:textId="77777777" w:rsidR="00DC1CDC" w:rsidRPr="00D9492F" w:rsidRDefault="00DC1CDC" w:rsidP="00DC1CDC">
      <w:pPr>
        <w:spacing w:after="0" w:line="240" w:lineRule="auto"/>
        <w:rPr>
          <w:rFonts w:ascii="Times New Roman" w:hAnsi="Times New Roman"/>
        </w:rPr>
      </w:pPr>
      <w:r w:rsidRPr="00D9492F">
        <w:rPr>
          <w:rFonts w:ascii="Times New Roman" w:hAnsi="Times New Roman"/>
          <w:noProof/>
        </w:rPr>
        <w:t>Nesuvartotą vaistinį preparatą ar atliekas reikia tvarkyti laikantis vietinių reikalavimų</w:t>
      </w:r>
      <w:r w:rsidRPr="00D9492F">
        <w:rPr>
          <w:rFonts w:ascii="Times New Roman" w:hAnsi="Times New Roman"/>
        </w:rPr>
        <w:t>.</w:t>
      </w:r>
    </w:p>
    <w:p w14:paraId="4B66123D" w14:textId="77777777" w:rsidR="00DC1CDC" w:rsidRPr="00D9492F" w:rsidRDefault="00DC1CDC" w:rsidP="00DC1CDC">
      <w:pPr>
        <w:spacing w:after="0" w:line="240" w:lineRule="auto"/>
        <w:rPr>
          <w:rFonts w:ascii="Times New Roman" w:hAnsi="Times New Roman"/>
        </w:rPr>
      </w:pPr>
    </w:p>
    <w:p w14:paraId="25D69B2F" w14:textId="77777777" w:rsidR="00DC1CDC" w:rsidRPr="00D9492F" w:rsidRDefault="00DC1CDC" w:rsidP="00DC1CDC">
      <w:pPr>
        <w:spacing w:after="0" w:line="240" w:lineRule="auto"/>
        <w:rPr>
          <w:rFonts w:ascii="Times New Roman" w:hAnsi="Times New Roman"/>
        </w:rPr>
      </w:pPr>
    </w:p>
    <w:p w14:paraId="350C1891"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7.</w:t>
      </w:r>
      <w:r w:rsidRPr="00D9492F">
        <w:rPr>
          <w:rFonts w:ascii="Times New Roman" w:hAnsi="Times New Roman"/>
          <w:b/>
        </w:rPr>
        <w:tab/>
        <w:t>REGISTRUOTOJAS</w:t>
      </w:r>
      <w:r w:rsidRPr="00D9492F" w:rsidDel="001949B7">
        <w:rPr>
          <w:rFonts w:ascii="Times New Roman" w:hAnsi="Times New Roman"/>
          <w:b/>
        </w:rPr>
        <w:t xml:space="preserve"> </w:t>
      </w:r>
    </w:p>
    <w:p w14:paraId="2C1738E3" w14:textId="77777777" w:rsidR="00DC1CDC" w:rsidRPr="00D9492F" w:rsidRDefault="00DC1CDC" w:rsidP="00DC1CDC">
      <w:pPr>
        <w:spacing w:after="0" w:line="240" w:lineRule="auto"/>
        <w:rPr>
          <w:rFonts w:ascii="Times New Roman" w:hAnsi="Times New Roman"/>
        </w:rPr>
      </w:pPr>
    </w:p>
    <w:p w14:paraId="11EE1783" w14:textId="77777777" w:rsidR="00DC1CDC" w:rsidRPr="00D9492F" w:rsidRDefault="00DC1CDC" w:rsidP="00DC1CDC">
      <w:pPr>
        <w:spacing w:after="0" w:line="240" w:lineRule="auto"/>
        <w:rPr>
          <w:rFonts w:ascii="Times New Roman" w:hAnsi="Times New Roman"/>
          <w:color w:val="000000"/>
          <w:lang w:eastAsia="ar-SA"/>
        </w:rPr>
      </w:pPr>
      <w:r w:rsidRPr="00D9492F">
        <w:rPr>
          <w:rFonts w:ascii="Times New Roman" w:hAnsi="Times New Roman"/>
          <w:color w:val="000000"/>
          <w:lang w:eastAsia="ar-SA"/>
        </w:rPr>
        <w:t>UAB SanoSwiss</w:t>
      </w:r>
    </w:p>
    <w:p w14:paraId="471AC50E" w14:textId="3A2F230F" w:rsidR="00DC1CDC" w:rsidRPr="00D9492F" w:rsidRDefault="00135562" w:rsidP="00DC1CDC">
      <w:pPr>
        <w:spacing w:after="0" w:line="240" w:lineRule="auto"/>
        <w:rPr>
          <w:rFonts w:ascii="Times New Roman" w:hAnsi="Times New Roman"/>
        </w:rPr>
      </w:pPr>
      <w:r w:rsidRPr="00D9492F">
        <w:rPr>
          <w:rFonts w:ascii="Times New Roman" w:hAnsi="Times New Roman"/>
        </w:rPr>
        <w:t>Lvovo g. 25-701,</w:t>
      </w:r>
    </w:p>
    <w:p w14:paraId="3424BE9E" w14:textId="53F3FFB5" w:rsidR="00135562" w:rsidRPr="00D9492F" w:rsidRDefault="00135562" w:rsidP="00DC1CDC">
      <w:pPr>
        <w:spacing w:after="0" w:line="240" w:lineRule="auto"/>
        <w:rPr>
          <w:rFonts w:ascii="Times New Roman" w:hAnsi="Times New Roman"/>
        </w:rPr>
      </w:pPr>
      <w:r w:rsidRPr="00D9492F">
        <w:rPr>
          <w:rFonts w:ascii="Times New Roman" w:hAnsi="Times New Roman"/>
        </w:rPr>
        <w:t>LT-09320 Vilnius,</w:t>
      </w:r>
    </w:p>
    <w:p w14:paraId="690677EF" w14:textId="77777777" w:rsidR="00DC1CDC" w:rsidRPr="00D9492F" w:rsidRDefault="00DC1CDC" w:rsidP="00DC1CDC">
      <w:pPr>
        <w:spacing w:after="0" w:line="240" w:lineRule="auto"/>
        <w:rPr>
          <w:rFonts w:ascii="Times New Roman" w:hAnsi="Times New Roman"/>
          <w:bCs/>
          <w:color w:val="000000"/>
        </w:rPr>
      </w:pPr>
      <w:r w:rsidRPr="00D9492F">
        <w:rPr>
          <w:rFonts w:ascii="Times New Roman" w:hAnsi="Times New Roman"/>
          <w:bCs/>
          <w:color w:val="000000"/>
        </w:rPr>
        <w:t>Lietuva</w:t>
      </w:r>
    </w:p>
    <w:p w14:paraId="38340176" w14:textId="77777777" w:rsidR="00DC1CDC" w:rsidRPr="00D9492F" w:rsidRDefault="00DC1CDC" w:rsidP="00DC1CDC">
      <w:pPr>
        <w:spacing w:after="0" w:line="240" w:lineRule="auto"/>
        <w:rPr>
          <w:rFonts w:ascii="Times New Roman" w:hAnsi="Times New Roman"/>
        </w:rPr>
      </w:pPr>
    </w:p>
    <w:p w14:paraId="3E28EC73" w14:textId="77777777" w:rsidR="00DC1CDC" w:rsidRPr="00D9492F" w:rsidRDefault="00DC1CDC" w:rsidP="00DC1CDC">
      <w:pPr>
        <w:spacing w:after="0" w:line="240" w:lineRule="auto"/>
        <w:rPr>
          <w:rFonts w:ascii="Times New Roman" w:hAnsi="Times New Roman"/>
        </w:rPr>
      </w:pPr>
    </w:p>
    <w:p w14:paraId="22321BA7" w14:textId="6E570E1E" w:rsidR="00402015" w:rsidRPr="00D9492F" w:rsidRDefault="00DC1CDC" w:rsidP="00402015">
      <w:pPr>
        <w:keepNext/>
        <w:keepLines/>
        <w:spacing w:after="0" w:line="240" w:lineRule="auto"/>
        <w:ind w:left="567" w:hanging="567"/>
        <w:rPr>
          <w:rFonts w:ascii="Times New Roman" w:hAnsi="Times New Roman"/>
          <w:b/>
        </w:rPr>
      </w:pPr>
      <w:r w:rsidRPr="00D9492F">
        <w:rPr>
          <w:rFonts w:ascii="Times New Roman" w:hAnsi="Times New Roman"/>
          <w:b/>
        </w:rPr>
        <w:t>8.</w:t>
      </w:r>
      <w:r w:rsidRPr="00D9492F">
        <w:rPr>
          <w:rFonts w:ascii="Times New Roman" w:hAnsi="Times New Roman"/>
          <w:b/>
        </w:rPr>
        <w:tab/>
        <w:t>REGISTRACIJOS</w:t>
      </w:r>
      <w:r w:rsidRPr="00D9492F">
        <w:rPr>
          <w:rFonts w:ascii="Times New Roman" w:hAnsi="Times New Roman"/>
          <w:b/>
          <w:caps/>
          <w:noProof/>
        </w:rPr>
        <w:t xml:space="preserve"> PAŽYMĖJIMO </w:t>
      </w:r>
      <w:r w:rsidRPr="00D9492F">
        <w:rPr>
          <w:rFonts w:ascii="Times New Roman" w:hAnsi="Times New Roman"/>
          <w:b/>
        </w:rPr>
        <w:t>NUMERIS</w:t>
      </w:r>
      <w:r w:rsidR="001E7875" w:rsidRPr="00D9492F">
        <w:rPr>
          <w:rFonts w:ascii="Times New Roman" w:hAnsi="Times New Roman"/>
          <w:b/>
        </w:rPr>
        <w:t xml:space="preserve"> (-IAI)</w:t>
      </w:r>
    </w:p>
    <w:p w14:paraId="58A75766" w14:textId="77777777" w:rsidR="000D1314" w:rsidRPr="00D9492F" w:rsidRDefault="000D1314" w:rsidP="00402015">
      <w:pPr>
        <w:keepNext/>
        <w:keepLines/>
        <w:spacing w:after="0" w:line="240" w:lineRule="auto"/>
        <w:ind w:left="567" w:hanging="567"/>
        <w:rPr>
          <w:rFonts w:ascii="Times New Roman" w:hAnsi="Times New Roman"/>
        </w:rPr>
      </w:pPr>
    </w:p>
    <w:p w14:paraId="79725262" w14:textId="3378F6D4" w:rsidR="00DC1CDC" w:rsidRPr="00D9492F" w:rsidRDefault="00DC1CDC" w:rsidP="00402015">
      <w:pPr>
        <w:keepNext/>
        <w:keepLines/>
        <w:spacing w:after="0" w:line="240" w:lineRule="auto"/>
        <w:ind w:left="567" w:hanging="567"/>
        <w:rPr>
          <w:rFonts w:ascii="Times New Roman" w:hAnsi="Times New Roman"/>
          <w:b/>
        </w:rPr>
      </w:pPr>
      <w:r w:rsidRPr="00D9492F">
        <w:rPr>
          <w:rFonts w:ascii="Times New Roman" w:hAnsi="Times New Roman"/>
        </w:rPr>
        <w:t>LT/1/14/3596/001</w:t>
      </w:r>
      <w:r w:rsidR="00402015" w:rsidRPr="00D9492F">
        <w:rPr>
          <w:rFonts w:ascii="Times New Roman" w:hAnsi="Times New Roman"/>
        </w:rPr>
        <w:t xml:space="preserve"> – </w:t>
      </w:r>
      <w:r w:rsidR="000D1314" w:rsidRPr="00D9492F">
        <w:rPr>
          <w:rFonts w:ascii="Times New Roman" w:hAnsi="Times New Roman"/>
        </w:rPr>
        <w:t>flakonas (</w:t>
      </w:r>
      <w:r w:rsidR="00402015" w:rsidRPr="00D9492F">
        <w:rPr>
          <w:rFonts w:ascii="Times New Roman" w:hAnsi="Times New Roman"/>
        </w:rPr>
        <w:t>0,5 m</w:t>
      </w:r>
      <w:r w:rsidR="005365A9" w:rsidRPr="00D9492F">
        <w:rPr>
          <w:rFonts w:ascii="Times New Roman" w:hAnsi="Times New Roman"/>
        </w:rPr>
        <w:t>l</w:t>
      </w:r>
      <w:r w:rsidR="000D1314" w:rsidRPr="00D9492F">
        <w:rPr>
          <w:rFonts w:ascii="Times New Roman" w:hAnsi="Times New Roman"/>
        </w:rPr>
        <w:t>)</w:t>
      </w:r>
      <w:r w:rsidR="00402015" w:rsidRPr="00D9492F">
        <w:rPr>
          <w:rFonts w:ascii="Times New Roman" w:hAnsi="Times New Roman"/>
        </w:rPr>
        <w:t xml:space="preserve"> </w:t>
      </w:r>
      <w:r w:rsidR="000D1314" w:rsidRPr="00D9492F">
        <w:rPr>
          <w:rFonts w:ascii="Times New Roman" w:hAnsi="Times New Roman"/>
        </w:rPr>
        <w:t>N1</w:t>
      </w:r>
    </w:p>
    <w:p w14:paraId="31CF61AE" w14:textId="619C2CAC" w:rsidR="00DC1CDC" w:rsidRPr="00D9492F" w:rsidRDefault="00DC1CDC" w:rsidP="00DC1CDC">
      <w:pPr>
        <w:spacing w:after="0" w:line="240" w:lineRule="auto"/>
        <w:rPr>
          <w:rFonts w:ascii="Times New Roman" w:hAnsi="Times New Roman"/>
        </w:rPr>
      </w:pPr>
      <w:r w:rsidRPr="00D9492F">
        <w:rPr>
          <w:rFonts w:ascii="Times New Roman" w:hAnsi="Times New Roman"/>
        </w:rPr>
        <w:t>LT/1/14/3596/002</w:t>
      </w:r>
      <w:r w:rsidR="00402015" w:rsidRPr="00D9492F">
        <w:rPr>
          <w:rFonts w:ascii="Times New Roman" w:hAnsi="Times New Roman"/>
        </w:rPr>
        <w:t xml:space="preserve"> – </w:t>
      </w:r>
      <w:r w:rsidR="000D1314" w:rsidRPr="00D9492F">
        <w:rPr>
          <w:rFonts w:ascii="Times New Roman" w:hAnsi="Times New Roman"/>
        </w:rPr>
        <w:t>flakonas (2</w:t>
      </w:r>
      <w:r w:rsidR="00402015" w:rsidRPr="00D9492F">
        <w:rPr>
          <w:rFonts w:ascii="Times New Roman" w:hAnsi="Times New Roman"/>
        </w:rPr>
        <w:t xml:space="preserve"> m</w:t>
      </w:r>
      <w:r w:rsidR="001E7875" w:rsidRPr="00D9492F">
        <w:rPr>
          <w:rFonts w:ascii="Times New Roman" w:hAnsi="Times New Roman"/>
        </w:rPr>
        <w:t>l</w:t>
      </w:r>
      <w:r w:rsidR="000D1314" w:rsidRPr="00D9492F">
        <w:rPr>
          <w:rFonts w:ascii="Times New Roman" w:hAnsi="Times New Roman"/>
        </w:rPr>
        <w:t>) N1</w:t>
      </w:r>
    </w:p>
    <w:p w14:paraId="7BE30F39" w14:textId="77777777" w:rsidR="00DC1CDC" w:rsidRPr="00D9492F" w:rsidRDefault="00DC1CDC" w:rsidP="00DC1CDC">
      <w:pPr>
        <w:spacing w:after="0" w:line="240" w:lineRule="auto"/>
        <w:rPr>
          <w:rFonts w:ascii="Times New Roman" w:hAnsi="Times New Roman"/>
        </w:rPr>
      </w:pPr>
    </w:p>
    <w:p w14:paraId="50CBF4B1" w14:textId="77777777" w:rsidR="00DC1CDC" w:rsidRPr="00D9492F" w:rsidRDefault="00DC1CDC" w:rsidP="00DC1CDC">
      <w:pPr>
        <w:spacing w:after="0" w:line="240" w:lineRule="auto"/>
        <w:rPr>
          <w:rFonts w:ascii="Times New Roman" w:hAnsi="Times New Roman"/>
        </w:rPr>
      </w:pPr>
    </w:p>
    <w:p w14:paraId="3B771539"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9.</w:t>
      </w:r>
      <w:r w:rsidRPr="00D9492F">
        <w:rPr>
          <w:rFonts w:ascii="Times New Roman" w:hAnsi="Times New Roman"/>
          <w:b/>
        </w:rPr>
        <w:tab/>
        <w:t>REGISTRAVIMO / PERREGISTRAVIMO</w:t>
      </w:r>
      <w:r w:rsidRPr="00D9492F">
        <w:rPr>
          <w:rFonts w:ascii="Times New Roman" w:hAnsi="Times New Roman"/>
          <w:b/>
          <w:caps/>
          <w:noProof/>
        </w:rPr>
        <w:t xml:space="preserve"> </w:t>
      </w:r>
      <w:r w:rsidRPr="00D9492F">
        <w:rPr>
          <w:rFonts w:ascii="Times New Roman" w:hAnsi="Times New Roman"/>
          <w:b/>
        </w:rPr>
        <w:t>DATA</w:t>
      </w:r>
    </w:p>
    <w:p w14:paraId="62760D43" w14:textId="77777777" w:rsidR="00DC1CDC" w:rsidRPr="00D9492F" w:rsidRDefault="00DC1CDC" w:rsidP="00DC1CDC">
      <w:pPr>
        <w:spacing w:after="0" w:line="240" w:lineRule="auto"/>
        <w:rPr>
          <w:rFonts w:ascii="Times New Roman" w:hAnsi="Times New Roman"/>
        </w:rPr>
      </w:pPr>
    </w:p>
    <w:p w14:paraId="65E7B035" w14:textId="77777777" w:rsidR="00DC1CDC" w:rsidRPr="00D9492F" w:rsidRDefault="00DC1CDC" w:rsidP="00DC1CDC">
      <w:pPr>
        <w:tabs>
          <w:tab w:val="left" w:pos="1296"/>
        </w:tabs>
        <w:spacing w:after="0" w:line="240" w:lineRule="auto"/>
        <w:rPr>
          <w:rFonts w:ascii="Times New Roman" w:hAnsi="Times New Roman"/>
        </w:rPr>
      </w:pPr>
      <w:r w:rsidRPr="00D9492F">
        <w:rPr>
          <w:rFonts w:ascii="Times New Roman" w:hAnsi="Times New Roman"/>
        </w:rPr>
        <w:t>Registravimo data 2014 m. liepos 23 d.</w:t>
      </w:r>
    </w:p>
    <w:p w14:paraId="045FDE8A" w14:textId="6462A2B0" w:rsidR="00DC1CDC" w:rsidRPr="00D9492F" w:rsidRDefault="009C35AC" w:rsidP="00DC1CDC">
      <w:pPr>
        <w:spacing w:after="0" w:line="240" w:lineRule="auto"/>
        <w:rPr>
          <w:rFonts w:ascii="Times New Roman" w:hAnsi="Times New Roman"/>
        </w:rPr>
      </w:pPr>
      <w:r w:rsidRPr="00D9492F">
        <w:rPr>
          <w:rFonts w:ascii="Times New Roman" w:hAnsi="Times New Roman"/>
        </w:rPr>
        <w:t>Paskutinio perregistravimo data</w:t>
      </w:r>
      <w:r w:rsidR="005365A9" w:rsidRPr="00D9492F">
        <w:rPr>
          <w:rFonts w:ascii="Times New Roman" w:hAnsi="Times New Roman"/>
        </w:rPr>
        <w:t xml:space="preserve"> 2018 m. rugsėjo 28 d.</w:t>
      </w:r>
    </w:p>
    <w:p w14:paraId="6CE8FC38" w14:textId="23003B96" w:rsidR="00DC1CDC" w:rsidRPr="00D9492F" w:rsidRDefault="00DC1CDC" w:rsidP="00DC1CDC">
      <w:pPr>
        <w:spacing w:after="0" w:line="240" w:lineRule="auto"/>
        <w:rPr>
          <w:rFonts w:ascii="Times New Roman" w:hAnsi="Times New Roman"/>
        </w:rPr>
      </w:pPr>
    </w:p>
    <w:p w14:paraId="5AFAADFA" w14:textId="77777777" w:rsidR="00BA09CC" w:rsidRPr="00D9492F" w:rsidRDefault="00BA09CC" w:rsidP="00DC1CDC">
      <w:pPr>
        <w:spacing w:after="0" w:line="240" w:lineRule="auto"/>
        <w:rPr>
          <w:rFonts w:ascii="Times New Roman" w:hAnsi="Times New Roman"/>
        </w:rPr>
      </w:pPr>
    </w:p>
    <w:p w14:paraId="4120D100"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10.</w:t>
      </w:r>
      <w:r w:rsidRPr="00D9492F">
        <w:rPr>
          <w:rFonts w:ascii="Times New Roman" w:hAnsi="Times New Roman"/>
          <w:b/>
        </w:rPr>
        <w:tab/>
        <w:t>TEKSTO PERŽIŪROS DATA</w:t>
      </w:r>
    </w:p>
    <w:p w14:paraId="10894898" w14:textId="77777777" w:rsidR="005365A9" w:rsidRPr="00D9492F" w:rsidRDefault="005365A9" w:rsidP="00DC1CDC">
      <w:pPr>
        <w:spacing w:after="0" w:line="240" w:lineRule="auto"/>
        <w:rPr>
          <w:rFonts w:ascii="Times New Roman" w:hAnsi="Times New Roman"/>
        </w:rPr>
      </w:pPr>
    </w:p>
    <w:p w14:paraId="22FED321" w14:textId="313D42A9" w:rsidR="00DC1CDC" w:rsidRPr="00D9492F" w:rsidRDefault="00781CEB" w:rsidP="00DC1CDC">
      <w:pPr>
        <w:spacing w:after="0" w:line="240" w:lineRule="auto"/>
        <w:rPr>
          <w:rFonts w:ascii="Times New Roman" w:hAnsi="Times New Roman"/>
        </w:rPr>
      </w:pPr>
      <w:r>
        <w:rPr>
          <w:rFonts w:ascii="Times New Roman" w:hAnsi="Times New Roman"/>
        </w:rPr>
        <w:t>2021 m. gegužės 12 d.</w:t>
      </w:r>
    </w:p>
    <w:p w14:paraId="7DB2AA7C" w14:textId="77777777" w:rsidR="005365A9" w:rsidRPr="00D9492F" w:rsidRDefault="005365A9" w:rsidP="00DC1CDC">
      <w:pPr>
        <w:spacing w:after="0" w:line="240" w:lineRule="auto"/>
        <w:rPr>
          <w:rFonts w:ascii="Times New Roman" w:eastAsia="SimSun" w:hAnsi="Times New Roman"/>
          <w:noProof/>
        </w:rPr>
      </w:pPr>
    </w:p>
    <w:p w14:paraId="24F66292" w14:textId="77777777" w:rsidR="00DC1CDC" w:rsidRPr="00D9492F" w:rsidRDefault="00DC1CDC" w:rsidP="00DC1CDC">
      <w:pPr>
        <w:spacing w:after="0" w:line="240" w:lineRule="auto"/>
        <w:rPr>
          <w:rFonts w:ascii="Times New Roman" w:hAnsi="Times New Roman"/>
        </w:rPr>
      </w:pPr>
      <w:r w:rsidRPr="00D9492F">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D9492F">
        <w:rPr>
          <w:rFonts w:ascii="Times New Roman" w:eastAsia="SimSun" w:hAnsi="Times New Roman"/>
          <w:i/>
          <w:noProof/>
        </w:rPr>
        <w:t xml:space="preserve"> </w:t>
      </w:r>
      <w:hyperlink r:id="rId14" w:history="1">
        <w:r w:rsidRPr="00D9492F">
          <w:rPr>
            <w:rFonts w:ascii="Times New Roman" w:eastAsia="SimSun" w:hAnsi="Times New Roman"/>
            <w:noProof/>
            <w:color w:val="0000FF"/>
            <w:u w:val="single"/>
          </w:rPr>
          <w:t>http://www.</w:t>
        </w:r>
        <w:r w:rsidRPr="00D9492F">
          <w:rPr>
            <w:rFonts w:ascii="Times New Roman" w:eastAsia="SimSun" w:hAnsi="Times New Roman"/>
            <w:color w:val="0000FF"/>
            <w:u w:val="single"/>
          </w:rPr>
          <w:t>vvkt.lt</w:t>
        </w:r>
      </w:hyperlink>
    </w:p>
    <w:p w14:paraId="1B303CC1" w14:textId="77777777" w:rsidR="00DC1CDC" w:rsidRPr="00D9492F" w:rsidRDefault="00DC1CDC" w:rsidP="00DC1CDC">
      <w:pPr>
        <w:keepNext/>
        <w:keepLines/>
        <w:spacing w:after="0" w:line="240" w:lineRule="auto"/>
        <w:ind w:left="567" w:hanging="567"/>
        <w:jc w:val="center"/>
        <w:rPr>
          <w:rFonts w:ascii="Times New Roman" w:hAnsi="Times New Roman"/>
        </w:rPr>
      </w:pPr>
      <w:r w:rsidRPr="00D9492F">
        <w:rPr>
          <w:rFonts w:ascii="Times New Roman" w:hAnsi="Times New Roman"/>
        </w:rPr>
        <w:br w:type="page"/>
      </w:r>
    </w:p>
    <w:p w14:paraId="2497770E" w14:textId="77777777" w:rsidR="00DC1CDC" w:rsidRPr="00D9492F" w:rsidRDefault="00DC1CDC" w:rsidP="00DC1CDC">
      <w:pPr>
        <w:spacing w:after="0" w:line="240" w:lineRule="auto"/>
        <w:jc w:val="center"/>
        <w:rPr>
          <w:rFonts w:ascii="Times New Roman" w:hAnsi="Times New Roman"/>
        </w:rPr>
      </w:pPr>
    </w:p>
    <w:p w14:paraId="61BF1DBD" w14:textId="77777777" w:rsidR="00DC1CDC" w:rsidRPr="00D9492F" w:rsidRDefault="00DC1CDC" w:rsidP="00DC1CDC">
      <w:pPr>
        <w:spacing w:after="0" w:line="240" w:lineRule="auto"/>
        <w:jc w:val="center"/>
        <w:rPr>
          <w:rFonts w:ascii="Times New Roman" w:hAnsi="Times New Roman"/>
        </w:rPr>
      </w:pPr>
    </w:p>
    <w:p w14:paraId="7BE4CAB3" w14:textId="77777777" w:rsidR="00DC1CDC" w:rsidRPr="00D9492F" w:rsidRDefault="00DC1CDC" w:rsidP="00DC1CDC">
      <w:pPr>
        <w:spacing w:after="0" w:line="240" w:lineRule="auto"/>
        <w:jc w:val="center"/>
        <w:rPr>
          <w:rFonts w:ascii="Times New Roman" w:hAnsi="Times New Roman"/>
        </w:rPr>
      </w:pPr>
    </w:p>
    <w:p w14:paraId="13413C93" w14:textId="77777777" w:rsidR="00DC1CDC" w:rsidRPr="00D9492F" w:rsidRDefault="00DC1CDC" w:rsidP="00DC1CDC">
      <w:pPr>
        <w:spacing w:after="0" w:line="240" w:lineRule="auto"/>
        <w:jc w:val="center"/>
        <w:rPr>
          <w:rFonts w:ascii="Times New Roman" w:hAnsi="Times New Roman"/>
        </w:rPr>
      </w:pPr>
    </w:p>
    <w:p w14:paraId="48BD9D82" w14:textId="77777777" w:rsidR="00DC1CDC" w:rsidRPr="00D9492F" w:rsidRDefault="00DC1CDC" w:rsidP="00DC1CDC">
      <w:pPr>
        <w:spacing w:after="0" w:line="240" w:lineRule="auto"/>
        <w:jc w:val="center"/>
        <w:rPr>
          <w:rFonts w:ascii="Times New Roman" w:hAnsi="Times New Roman"/>
          <w:b/>
        </w:rPr>
      </w:pPr>
    </w:p>
    <w:p w14:paraId="2D50505B" w14:textId="77777777" w:rsidR="00DC1CDC" w:rsidRPr="00D9492F" w:rsidRDefault="00DC1CDC" w:rsidP="00DC1CDC">
      <w:pPr>
        <w:spacing w:after="0" w:line="240" w:lineRule="auto"/>
        <w:jc w:val="center"/>
        <w:rPr>
          <w:rFonts w:ascii="Times New Roman" w:hAnsi="Times New Roman"/>
          <w:b/>
        </w:rPr>
      </w:pPr>
    </w:p>
    <w:p w14:paraId="7D277B83" w14:textId="77777777" w:rsidR="00DC1CDC" w:rsidRPr="00D9492F" w:rsidRDefault="00DC1CDC" w:rsidP="00DC1CDC">
      <w:pPr>
        <w:spacing w:after="0" w:line="240" w:lineRule="auto"/>
        <w:jc w:val="center"/>
        <w:rPr>
          <w:rFonts w:ascii="Times New Roman" w:hAnsi="Times New Roman"/>
          <w:b/>
        </w:rPr>
      </w:pPr>
    </w:p>
    <w:p w14:paraId="6EBA433A" w14:textId="77777777" w:rsidR="00DC1CDC" w:rsidRPr="00D9492F" w:rsidRDefault="00DC1CDC" w:rsidP="00DC1CDC">
      <w:pPr>
        <w:spacing w:after="0" w:line="240" w:lineRule="auto"/>
        <w:jc w:val="center"/>
        <w:rPr>
          <w:rFonts w:ascii="Times New Roman" w:hAnsi="Times New Roman"/>
          <w:b/>
        </w:rPr>
      </w:pPr>
    </w:p>
    <w:p w14:paraId="7AB204F9" w14:textId="77777777" w:rsidR="00DC1CDC" w:rsidRPr="00D9492F" w:rsidRDefault="00DC1CDC" w:rsidP="00DC1CDC">
      <w:pPr>
        <w:spacing w:after="0" w:line="240" w:lineRule="auto"/>
        <w:jc w:val="center"/>
        <w:rPr>
          <w:rFonts w:ascii="Times New Roman" w:hAnsi="Times New Roman"/>
          <w:b/>
        </w:rPr>
      </w:pPr>
    </w:p>
    <w:p w14:paraId="1A75BCDF" w14:textId="77777777" w:rsidR="00DC1CDC" w:rsidRPr="00D9492F" w:rsidRDefault="00DC1CDC" w:rsidP="00DC1CDC">
      <w:pPr>
        <w:spacing w:after="0" w:line="240" w:lineRule="auto"/>
        <w:jc w:val="center"/>
        <w:rPr>
          <w:rFonts w:ascii="Times New Roman" w:hAnsi="Times New Roman"/>
          <w:b/>
        </w:rPr>
      </w:pPr>
    </w:p>
    <w:p w14:paraId="31DB6698" w14:textId="77777777" w:rsidR="00DC1CDC" w:rsidRPr="00D9492F" w:rsidRDefault="00DC1CDC" w:rsidP="00DC1CDC">
      <w:pPr>
        <w:spacing w:after="0" w:line="240" w:lineRule="auto"/>
        <w:jc w:val="center"/>
        <w:rPr>
          <w:rFonts w:ascii="Times New Roman" w:hAnsi="Times New Roman"/>
          <w:b/>
        </w:rPr>
      </w:pPr>
    </w:p>
    <w:p w14:paraId="48FB95CF" w14:textId="77777777" w:rsidR="00DC1CDC" w:rsidRPr="00D9492F" w:rsidRDefault="00DC1CDC" w:rsidP="00DC1CDC">
      <w:pPr>
        <w:spacing w:after="0" w:line="240" w:lineRule="auto"/>
        <w:jc w:val="center"/>
        <w:rPr>
          <w:rFonts w:ascii="Times New Roman" w:hAnsi="Times New Roman"/>
          <w:b/>
        </w:rPr>
      </w:pPr>
    </w:p>
    <w:p w14:paraId="76AEEFB3" w14:textId="77777777" w:rsidR="00DC1CDC" w:rsidRPr="00D9492F" w:rsidRDefault="00DC1CDC" w:rsidP="00DC1CDC">
      <w:pPr>
        <w:spacing w:after="0" w:line="240" w:lineRule="auto"/>
        <w:jc w:val="center"/>
        <w:rPr>
          <w:rFonts w:ascii="Times New Roman" w:hAnsi="Times New Roman"/>
          <w:b/>
        </w:rPr>
      </w:pPr>
    </w:p>
    <w:p w14:paraId="302EAD80" w14:textId="77777777" w:rsidR="00DC1CDC" w:rsidRPr="00D9492F" w:rsidRDefault="00DC1CDC" w:rsidP="00DC1CDC">
      <w:pPr>
        <w:spacing w:after="0" w:line="240" w:lineRule="auto"/>
        <w:jc w:val="center"/>
        <w:rPr>
          <w:rFonts w:ascii="Times New Roman" w:hAnsi="Times New Roman"/>
          <w:b/>
        </w:rPr>
      </w:pPr>
    </w:p>
    <w:p w14:paraId="09C2CA91" w14:textId="77777777" w:rsidR="00DC1CDC" w:rsidRPr="00D9492F" w:rsidRDefault="00DC1CDC" w:rsidP="00DC1CDC">
      <w:pPr>
        <w:spacing w:after="0" w:line="240" w:lineRule="auto"/>
        <w:jc w:val="center"/>
        <w:rPr>
          <w:rFonts w:ascii="Times New Roman" w:hAnsi="Times New Roman"/>
          <w:b/>
        </w:rPr>
      </w:pPr>
    </w:p>
    <w:p w14:paraId="10E1BF98" w14:textId="77777777" w:rsidR="00DC1CDC" w:rsidRPr="00D9492F" w:rsidRDefault="00DC1CDC" w:rsidP="00DC1CDC">
      <w:pPr>
        <w:spacing w:after="0" w:line="240" w:lineRule="auto"/>
        <w:jc w:val="center"/>
        <w:rPr>
          <w:rFonts w:ascii="Times New Roman" w:hAnsi="Times New Roman"/>
          <w:b/>
        </w:rPr>
      </w:pPr>
    </w:p>
    <w:p w14:paraId="3F7FF66C" w14:textId="77777777" w:rsidR="00DC1CDC" w:rsidRPr="00D9492F" w:rsidRDefault="00DC1CDC" w:rsidP="00DC1CDC">
      <w:pPr>
        <w:spacing w:after="0" w:line="240" w:lineRule="auto"/>
        <w:jc w:val="center"/>
        <w:rPr>
          <w:rFonts w:ascii="Times New Roman" w:hAnsi="Times New Roman"/>
          <w:b/>
        </w:rPr>
      </w:pPr>
    </w:p>
    <w:p w14:paraId="2B1D5CA9" w14:textId="77777777" w:rsidR="00DC1CDC" w:rsidRPr="00D9492F" w:rsidRDefault="00DC1CDC" w:rsidP="00DC1CDC">
      <w:pPr>
        <w:spacing w:after="0" w:line="240" w:lineRule="auto"/>
        <w:jc w:val="center"/>
        <w:rPr>
          <w:rFonts w:ascii="Times New Roman" w:hAnsi="Times New Roman"/>
          <w:b/>
        </w:rPr>
      </w:pPr>
    </w:p>
    <w:p w14:paraId="2078878D" w14:textId="77777777" w:rsidR="00DC1CDC" w:rsidRPr="00D9492F" w:rsidRDefault="00DC1CDC" w:rsidP="00DC1CDC">
      <w:pPr>
        <w:spacing w:after="0" w:line="240" w:lineRule="auto"/>
        <w:jc w:val="center"/>
        <w:rPr>
          <w:rFonts w:ascii="Times New Roman" w:hAnsi="Times New Roman"/>
          <w:b/>
        </w:rPr>
      </w:pPr>
    </w:p>
    <w:p w14:paraId="4AF502FD" w14:textId="77777777" w:rsidR="00DC1CDC" w:rsidRPr="00D9492F" w:rsidRDefault="00DC1CDC" w:rsidP="00DC1CDC">
      <w:pPr>
        <w:spacing w:after="0" w:line="240" w:lineRule="auto"/>
        <w:jc w:val="center"/>
        <w:rPr>
          <w:rFonts w:ascii="Times New Roman" w:hAnsi="Times New Roman"/>
          <w:b/>
        </w:rPr>
      </w:pPr>
    </w:p>
    <w:p w14:paraId="34808ACA" w14:textId="77777777" w:rsidR="00DC1CDC" w:rsidRPr="00D9492F" w:rsidRDefault="00DC1CDC" w:rsidP="00DC1CDC">
      <w:pPr>
        <w:spacing w:after="0" w:line="240" w:lineRule="auto"/>
        <w:jc w:val="center"/>
        <w:rPr>
          <w:rFonts w:ascii="Times New Roman" w:hAnsi="Times New Roman"/>
          <w:b/>
        </w:rPr>
      </w:pPr>
    </w:p>
    <w:p w14:paraId="425929EB" w14:textId="77777777" w:rsidR="00DC1CDC" w:rsidRPr="00D9492F" w:rsidRDefault="00DC1CDC" w:rsidP="00DC1CDC">
      <w:pPr>
        <w:spacing w:after="0" w:line="240" w:lineRule="auto"/>
        <w:jc w:val="center"/>
        <w:rPr>
          <w:rFonts w:ascii="Times New Roman" w:hAnsi="Times New Roman"/>
          <w:b/>
        </w:rPr>
      </w:pPr>
    </w:p>
    <w:p w14:paraId="71AA0199" w14:textId="77777777" w:rsidR="00DC1CDC" w:rsidRPr="00D9492F" w:rsidRDefault="00DC1CDC" w:rsidP="00DC1CDC">
      <w:pPr>
        <w:spacing w:after="0" w:line="240" w:lineRule="auto"/>
        <w:jc w:val="center"/>
        <w:rPr>
          <w:rFonts w:ascii="Times New Roman" w:hAnsi="Times New Roman"/>
          <w:b/>
        </w:rPr>
      </w:pPr>
    </w:p>
    <w:p w14:paraId="220C33A2" w14:textId="77777777" w:rsidR="00DC1CDC" w:rsidRPr="00D9492F" w:rsidRDefault="00DC1CDC" w:rsidP="00DC1CDC">
      <w:pPr>
        <w:spacing w:after="0" w:line="240" w:lineRule="auto"/>
        <w:jc w:val="center"/>
        <w:rPr>
          <w:rFonts w:ascii="Times New Roman" w:hAnsi="Times New Roman"/>
          <w:b/>
        </w:rPr>
      </w:pPr>
      <w:r w:rsidRPr="00D9492F">
        <w:rPr>
          <w:rFonts w:ascii="Times New Roman" w:hAnsi="Times New Roman"/>
          <w:b/>
        </w:rPr>
        <w:t>II PRIEDAS</w:t>
      </w:r>
    </w:p>
    <w:p w14:paraId="49259ACD" w14:textId="77777777" w:rsidR="00DC1CDC" w:rsidRPr="00D9492F" w:rsidRDefault="00DC1CDC" w:rsidP="00DC1CDC">
      <w:pPr>
        <w:tabs>
          <w:tab w:val="left" w:pos="567"/>
        </w:tabs>
        <w:spacing w:after="0" w:line="240" w:lineRule="auto"/>
        <w:jc w:val="center"/>
        <w:rPr>
          <w:rFonts w:ascii="Times New Roman" w:hAnsi="Times New Roman"/>
          <w:b/>
          <w:snapToGrid w:val="0"/>
        </w:rPr>
      </w:pPr>
    </w:p>
    <w:p w14:paraId="42B09938" w14:textId="77777777" w:rsidR="00DC1CDC" w:rsidRPr="00D9492F" w:rsidRDefault="00DC1CDC" w:rsidP="00DC1CDC">
      <w:pPr>
        <w:tabs>
          <w:tab w:val="left" w:pos="567"/>
        </w:tabs>
        <w:spacing w:after="0" w:line="240" w:lineRule="auto"/>
        <w:jc w:val="center"/>
        <w:rPr>
          <w:rFonts w:ascii="Times New Roman" w:hAnsi="Times New Roman"/>
          <w:i/>
          <w:snapToGrid w:val="0"/>
        </w:rPr>
      </w:pPr>
      <w:r w:rsidRPr="00D9492F">
        <w:rPr>
          <w:rFonts w:ascii="Times New Roman" w:hAnsi="Times New Roman"/>
          <w:b/>
          <w:snapToGrid w:val="0"/>
        </w:rPr>
        <w:t>REGISTRACIJOS SĄLYGOS</w:t>
      </w:r>
    </w:p>
    <w:p w14:paraId="0BF2BEA8" w14:textId="77777777" w:rsidR="00DC1CDC" w:rsidRPr="00D9492F" w:rsidRDefault="00DC1CDC" w:rsidP="00DC1CDC">
      <w:pPr>
        <w:spacing w:after="0" w:line="240" w:lineRule="auto"/>
        <w:ind w:left="1701" w:right="1416" w:hanging="567"/>
        <w:rPr>
          <w:rFonts w:ascii="Times New Roman" w:hAnsi="Times New Roman"/>
        </w:rPr>
      </w:pPr>
    </w:p>
    <w:p w14:paraId="7A88E72E" w14:textId="77777777" w:rsidR="00DC1CDC" w:rsidRPr="00D9492F" w:rsidRDefault="00DC1CDC" w:rsidP="00DC1CDC">
      <w:pPr>
        <w:numPr>
          <w:ilvl w:val="0"/>
          <w:numId w:val="1"/>
        </w:numPr>
        <w:spacing w:after="0" w:line="240" w:lineRule="auto"/>
        <w:ind w:left="1701" w:right="1416" w:hanging="567"/>
        <w:rPr>
          <w:rFonts w:ascii="Times New Roman" w:hAnsi="Times New Roman"/>
          <w:b/>
        </w:rPr>
      </w:pPr>
      <w:r w:rsidRPr="00D9492F">
        <w:rPr>
          <w:rFonts w:ascii="Times New Roman" w:hAnsi="Times New Roman"/>
          <w:b/>
        </w:rPr>
        <w:t xml:space="preserve">GAMINTOJAS (-AI), ATSAKINGAS (-I) UŽ SERIJŲ IŠLEIDIMĄ </w:t>
      </w:r>
    </w:p>
    <w:p w14:paraId="7119B9BB" w14:textId="77777777" w:rsidR="00DC1CDC" w:rsidRPr="00D9492F" w:rsidRDefault="00DC1CDC" w:rsidP="00DC1CDC">
      <w:pPr>
        <w:numPr>
          <w:ilvl w:val="12"/>
          <w:numId w:val="0"/>
        </w:numPr>
        <w:spacing w:after="0" w:line="240" w:lineRule="auto"/>
        <w:ind w:right="1416"/>
        <w:rPr>
          <w:rFonts w:ascii="Times New Roman" w:hAnsi="Times New Roman"/>
          <w:b/>
        </w:rPr>
      </w:pPr>
    </w:p>
    <w:p w14:paraId="02F73C0A" w14:textId="77777777" w:rsidR="00DC1CDC" w:rsidRPr="00D9492F" w:rsidRDefault="00DC1CDC" w:rsidP="00DC1CDC">
      <w:pPr>
        <w:numPr>
          <w:ilvl w:val="0"/>
          <w:numId w:val="1"/>
        </w:numPr>
        <w:spacing w:after="0" w:line="240" w:lineRule="auto"/>
        <w:ind w:left="1701" w:right="1416" w:hanging="567"/>
        <w:rPr>
          <w:rFonts w:ascii="Times New Roman" w:hAnsi="Times New Roman"/>
          <w:b/>
        </w:rPr>
      </w:pPr>
      <w:r w:rsidRPr="00D9492F">
        <w:rPr>
          <w:rFonts w:ascii="Times New Roman" w:hAnsi="Times New Roman"/>
          <w:b/>
          <w:noProof/>
        </w:rPr>
        <w:t>TIEKIMO IR VARTOJIMO SĄLYGOS AR APRIBOJIMAI</w:t>
      </w:r>
    </w:p>
    <w:p w14:paraId="61C6FDE8" w14:textId="77777777" w:rsidR="00DC1CDC" w:rsidRPr="00D9492F" w:rsidRDefault="00DC1CDC" w:rsidP="00DC1CDC">
      <w:pPr>
        <w:spacing w:after="0" w:line="240" w:lineRule="auto"/>
        <w:ind w:left="1296"/>
        <w:rPr>
          <w:rFonts w:ascii="Times New Roman" w:eastAsia="Times New Roman" w:hAnsi="Times New Roman"/>
          <w:b/>
        </w:rPr>
      </w:pPr>
    </w:p>
    <w:p w14:paraId="2A07A8EB" w14:textId="77777777" w:rsidR="00DC1CDC" w:rsidRPr="00D9492F" w:rsidRDefault="00DC1CDC" w:rsidP="00DC1CDC">
      <w:pPr>
        <w:numPr>
          <w:ilvl w:val="12"/>
          <w:numId w:val="0"/>
        </w:numPr>
        <w:spacing w:after="0" w:line="240" w:lineRule="auto"/>
        <w:ind w:right="1416"/>
        <w:rPr>
          <w:rFonts w:ascii="Times New Roman" w:hAnsi="Times New Roman"/>
          <w:b/>
        </w:rPr>
      </w:pPr>
    </w:p>
    <w:p w14:paraId="02E7FE9D" w14:textId="77777777" w:rsidR="00DC1CDC" w:rsidRPr="00D9492F" w:rsidRDefault="00DC1CDC" w:rsidP="00DC1CDC">
      <w:pPr>
        <w:spacing w:after="0" w:line="240" w:lineRule="auto"/>
        <w:ind w:left="567" w:hanging="567"/>
        <w:rPr>
          <w:rFonts w:ascii="Times New Roman" w:eastAsia="Times New Roman" w:hAnsi="Times New Roman"/>
          <w:b/>
        </w:rPr>
      </w:pPr>
      <w:r w:rsidRPr="00D9492F">
        <w:rPr>
          <w:rFonts w:ascii="Times New Roman" w:eastAsia="Times New Roman" w:hAnsi="Times New Roman"/>
          <w:b/>
        </w:rPr>
        <w:br w:type="page"/>
      </w:r>
      <w:r w:rsidRPr="00D9492F">
        <w:rPr>
          <w:rFonts w:ascii="Times New Roman" w:eastAsia="Times New Roman" w:hAnsi="Times New Roman"/>
          <w:b/>
        </w:rPr>
        <w:lastRenderedPageBreak/>
        <w:t>A.</w:t>
      </w:r>
      <w:r w:rsidRPr="00D9492F">
        <w:rPr>
          <w:rFonts w:ascii="Times New Roman" w:eastAsia="Times New Roman" w:hAnsi="Times New Roman"/>
          <w:b/>
        </w:rPr>
        <w:tab/>
        <w:t>GAMINTOJAS (-AI), ATSAKINGAS (-I) UŽ SERIJŲ IŠLEIDIMĄ</w:t>
      </w:r>
    </w:p>
    <w:p w14:paraId="191F8C34" w14:textId="77777777" w:rsidR="00DC1CDC" w:rsidRPr="00D9492F" w:rsidRDefault="00DC1CDC" w:rsidP="00DC1CDC">
      <w:pPr>
        <w:spacing w:after="0" w:line="240" w:lineRule="auto"/>
        <w:ind w:right="1416"/>
        <w:jc w:val="both"/>
        <w:rPr>
          <w:rFonts w:ascii="Times New Roman" w:hAnsi="Times New Roman"/>
        </w:rPr>
      </w:pPr>
    </w:p>
    <w:p w14:paraId="6A525F16" w14:textId="77777777" w:rsidR="00DC1CDC" w:rsidRPr="00D9492F" w:rsidRDefault="00DC1CDC" w:rsidP="00DC1CDC">
      <w:pPr>
        <w:spacing w:after="0" w:line="240" w:lineRule="auto"/>
        <w:jc w:val="both"/>
        <w:rPr>
          <w:rFonts w:ascii="Times New Roman" w:hAnsi="Times New Roman"/>
        </w:rPr>
      </w:pPr>
      <w:r w:rsidRPr="00D9492F">
        <w:rPr>
          <w:rFonts w:ascii="Times New Roman" w:hAnsi="Times New Roman"/>
          <w:u w:val="single"/>
        </w:rPr>
        <w:t>Gamintojo (-ų), atsakingo (-ų) už serijų išleidimą, pavadinimas (-ai) ir adresas (-ai)</w:t>
      </w:r>
    </w:p>
    <w:p w14:paraId="7516C8AC" w14:textId="77777777" w:rsidR="00DC1CDC" w:rsidRPr="00D9492F" w:rsidRDefault="00DC1CDC" w:rsidP="00DC1CDC">
      <w:pPr>
        <w:spacing w:after="0" w:line="240" w:lineRule="auto"/>
        <w:jc w:val="both"/>
        <w:rPr>
          <w:rFonts w:ascii="Times New Roman" w:hAnsi="Times New Roman"/>
        </w:rPr>
      </w:pPr>
    </w:p>
    <w:p w14:paraId="061D6E17"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Venus Pharma GmbH</w:t>
      </w:r>
    </w:p>
    <w:p w14:paraId="321528B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Am Bahnhof 1-3</w:t>
      </w:r>
    </w:p>
    <w:p w14:paraId="70C7F5C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D-59368 Werne</w:t>
      </w:r>
    </w:p>
    <w:p w14:paraId="422DCD4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Vokietija</w:t>
      </w:r>
    </w:p>
    <w:p w14:paraId="722A11B5" w14:textId="77777777" w:rsidR="00DC1CDC" w:rsidRPr="00D9492F" w:rsidRDefault="00DC1CDC" w:rsidP="00DC1CDC">
      <w:pPr>
        <w:suppressAutoHyphens/>
        <w:spacing w:after="0" w:line="240" w:lineRule="auto"/>
        <w:rPr>
          <w:rFonts w:ascii="Times New Roman" w:hAnsi="Times New Roman"/>
        </w:rPr>
      </w:pPr>
    </w:p>
    <w:p w14:paraId="52F64DEE" w14:textId="77777777" w:rsidR="00DC1CDC" w:rsidRPr="00D9492F" w:rsidRDefault="00DC1CDC" w:rsidP="00DC1CDC">
      <w:pPr>
        <w:spacing w:after="0" w:line="240" w:lineRule="auto"/>
        <w:jc w:val="both"/>
        <w:rPr>
          <w:rFonts w:ascii="Times New Roman" w:hAnsi="Times New Roman"/>
        </w:rPr>
      </w:pPr>
    </w:p>
    <w:p w14:paraId="4E1882FE" w14:textId="77777777" w:rsidR="00DC1CDC" w:rsidRPr="00D9492F" w:rsidRDefault="00DC1CDC" w:rsidP="00DC1CDC">
      <w:pPr>
        <w:spacing w:after="0" w:line="240" w:lineRule="auto"/>
        <w:ind w:left="567" w:hanging="567"/>
        <w:rPr>
          <w:rFonts w:ascii="Times New Roman" w:eastAsia="Times New Roman" w:hAnsi="Times New Roman"/>
          <w:b/>
        </w:rPr>
      </w:pPr>
      <w:r w:rsidRPr="00D9492F">
        <w:rPr>
          <w:rFonts w:ascii="Times New Roman" w:eastAsia="Times New Roman" w:hAnsi="Times New Roman"/>
          <w:b/>
        </w:rPr>
        <w:t>B.</w:t>
      </w:r>
      <w:r w:rsidRPr="00D9492F">
        <w:rPr>
          <w:rFonts w:ascii="Times New Roman" w:eastAsia="Times New Roman" w:hAnsi="Times New Roman"/>
          <w:b/>
        </w:rPr>
        <w:tab/>
        <w:t>TIEKIMO IR VARTOJIMO SĄLYGOS AR APRIBOJIMAI</w:t>
      </w:r>
    </w:p>
    <w:p w14:paraId="1D663AD1" w14:textId="77777777" w:rsidR="00DC1CDC" w:rsidRPr="00D9492F" w:rsidRDefault="00DC1CDC" w:rsidP="00DC1CDC">
      <w:pPr>
        <w:spacing w:after="0" w:line="240" w:lineRule="auto"/>
        <w:jc w:val="both"/>
        <w:rPr>
          <w:rFonts w:ascii="Times New Roman" w:hAnsi="Times New Roman"/>
        </w:rPr>
      </w:pPr>
    </w:p>
    <w:p w14:paraId="75EB3705" w14:textId="77777777" w:rsidR="00DC1CDC" w:rsidRPr="00D9492F" w:rsidRDefault="00DC1CDC" w:rsidP="00DC1CDC">
      <w:pPr>
        <w:spacing w:after="0" w:line="240" w:lineRule="auto"/>
        <w:rPr>
          <w:rFonts w:ascii="Times New Roman" w:eastAsia="Times New Roman" w:hAnsi="Times New Roman"/>
        </w:rPr>
      </w:pPr>
      <w:r w:rsidRPr="00D9492F">
        <w:rPr>
          <w:rFonts w:ascii="Times New Roman" w:eastAsia="Times New Roman" w:hAnsi="Times New Roman"/>
        </w:rPr>
        <w:t>Receptinis vaistinis preparatas.</w:t>
      </w:r>
    </w:p>
    <w:p w14:paraId="5BAAA58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br w:type="page"/>
      </w:r>
    </w:p>
    <w:p w14:paraId="3C9C859B" w14:textId="77777777" w:rsidR="00DC1CDC" w:rsidRPr="00D9492F" w:rsidRDefault="00DC1CDC" w:rsidP="00DC1CDC">
      <w:pPr>
        <w:spacing w:after="0" w:line="240" w:lineRule="auto"/>
        <w:rPr>
          <w:rFonts w:ascii="Times New Roman" w:hAnsi="Times New Roman"/>
        </w:rPr>
      </w:pPr>
    </w:p>
    <w:p w14:paraId="5BBE5E2E" w14:textId="77777777" w:rsidR="00DC1CDC" w:rsidRPr="00D9492F" w:rsidRDefault="00DC1CDC" w:rsidP="00DC1CDC">
      <w:pPr>
        <w:spacing w:after="0" w:line="240" w:lineRule="auto"/>
        <w:rPr>
          <w:rFonts w:ascii="Times New Roman" w:hAnsi="Times New Roman"/>
        </w:rPr>
      </w:pPr>
    </w:p>
    <w:p w14:paraId="312FE081" w14:textId="77777777" w:rsidR="00DC1CDC" w:rsidRPr="00D9492F" w:rsidRDefault="00DC1CDC" w:rsidP="00DC1CDC">
      <w:pPr>
        <w:spacing w:after="0" w:line="240" w:lineRule="auto"/>
        <w:rPr>
          <w:rFonts w:ascii="Times New Roman" w:hAnsi="Times New Roman"/>
        </w:rPr>
      </w:pPr>
    </w:p>
    <w:p w14:paraId="14C48DE2" w14:textId="77777777" w:rsidR="00DC1CDC" w:rsidRPr="00D9492F" w:rsidRDefault="00DC1CDC" w:rsidP="00DC1CDC">
      <w:pPr>
        <w:spacing w:after="0" w:line="240" w:lineRule="auto"/>
        <w:rPr>
          <w:rFonts w:ascii="Times New Roman" w:hAnsi="Times New Roman"/>
        </w:rPr>
      </w:pPr>
    </w:p>
    <w:p w14:paraId="5383C27C" w14:textId="77777777" w:rsidR="00DC1CDC" w:rsidRPr="00D9492F" w:rsidRDefault="00DC1CDC" w:rsidP="00DC1CDC">
      <w:pPr>
        <w:spacing w:after="0" w:line="240" w:lineRule="auto"/>
        <w:rPr>
          <w:rFonts w:ascii="Times New Roman" w:hAnsi="Times New Roman"/>
        </w:rPr>
      </w:pPr>
    </w:p>
    <w:p w14:paraId="00C8EF69" w14:textId="77777777" w:rsidR="00DC1CDC" w:rsidRPr="00D9492F" w:rsidRDefault="00DC1CDC" w:rsidP="00DC1CDC">
      <w:pPr>
        <w:spacing w:after="0" w:line="240" w:lineRule="auto"/>
        <w:rPr>
          <w:rFonts w:ascii="Times New Roman" w:hAnsi="Times New Roman"/>
        </w:rPr>
      </w:pPr>
    </w:p>
    <w:p w14:paraId="379532E3" w14:textId="77777777" w:rsidR="00DC1CDC" w:rsidRPr="00D9492F" w:rsidRDefault="00DC1CDC" w:rsidP="00DC1CDC">
      <w:pPr>
        <w:spacing w:after="0" w:line="240" w:lineRule="auto"/>
        <w:rPr>
          <w:rFonts w:ascii="Times New Roman" w:hAnsi="Times New Roman"/>
        </w:rPr>
      </w:pPr>
    </w:p>
    <w:p w14:paraId="71CDFA97" w14:textId="77777777" w:rsidR="00DC1CDC" w:rsidRPr="00D9492F" w:rsidRDefault="00DC1CDC" w:rsidP="00DC1CDC">
      <w:pPr>
        <w:spacing w:after="0" w:line="240" w:lineRule="auto"/>
        <w:rPr>
          <w:rFonts w:ascii="Times New Roman" w:hAnsi="Times New Roman"/>
        </w:rPr>
      </w:pPr>
    </w:p>
    <w:p w14:paraId="06136D24" w14:textId="77777777" w:rsidR="00DC1CDC" w:rsidRPr="00D9492F" w:rsidRDefault="00DC1CDC" w:rsidP="00DC1CDC">
      <w:pPr>
        <w:spacing w:after="0" w:line="240" w:lineRule="auto"/>
        <w:rPr>
          <w:rFonts w:ascii="Times New Roman" w:hAnsi="Times New Roman"/>
        </w:rPr>
      </w:pPr>
    </w:p>
    <w:p w14:paraId="324EC257" w14:textId="77777777" w:rsidR="00DC1CDC" w:rsidRPr="00D9492F" w:rsidRDefault="00DC1CDC" w:rsidP="00DC1CDC">
      <w:pPr>
        <w:spacing w:after="0" w:line="240" w:lineRule="auto"/>
        <w:rPr>
          <w:rFonts w:ascii="Times New Roman" w:hAnsi="Times New Roman"/>
        </w:rPr>
      </w:pPr>
    </w:p>
    <w:p w14:paraId="1282494B" w14:textId="77777777" w:rsidR="00DC1CDC" w:rsidRPr="00D9492F" w:rsidRDefault="00DC1CDC" w:rsidP="00DC1CDC">
      <w:pPr>
        <w:spacing w:after="0" w:line="240" w:lineRule="auto"/>
        <w:rPr>
          <w:rFonts w:ascii="Times New Roman" w:hAnsi="Times New Roman"/>
        </w:rPr>
      </w:pPr>
    </w:p>
    <w:p w14:paraId="2B4272E0" w14:textId="77777777" w:rsidR="00DC1CDC" w:rsidRPr="00D9492F" w:rsidRDefault="00DC1CDC" w:rsidP="00DC1CDC">
      <w:pPr>
        <w:spacing w:after="0" w:line="240" w:lineRule="auto"/>
        <w:rPr>
          <w:rFonts w:ascii="Times New Roman" w:hAnsi="Times New Roman"/>
        </w:rPr>
      </w:pPr>
    </w:p>
    <w:p w14:paraId="2F3DD0CB" w14:textId="77777777" w:rsidR="00DC1CDC" w:rsidRPr="00D9492F" w:rsidRDefault="00DC1CDC" w:rsidP="00DC1CDC">
      <w:pPr>
        <w:spacing w:after="0" w:line="240" w:lineRule="auto"/>
        <w:rPr>
          <w:rFonts w:ascii="Times New Roman" w:hAnsi="Times New Roman"/>
        </w:rPr>
      </w:pPr>
    </w:p>
    <w:p w14:paraId="717FD848" w14:textId="77777777" w:rsidR="00DC1CDC" w:rsidRPr="00D9492F" w:rsidRDefault="00DC1CDC" w:rsidP="00DC1CDC">
      <w:pPr>
        <w:spacing w:after="0" w:line="240" w:lineRule="auto"/>
        <w:rPr>
          <w:rFonts w:ascii="Times New Roman" w:hAnsi="Times New Roman"/>
        </w:rPr>
      </w:pPr>
    </w:p>
    <w:p w14:paraId="50992882" w14:textId="77777777" w:rsidR="00DC1CDC" w:rsidRPr="00D9492F" w:rsidRDefault="00DC1CDC" w:rsidP="00DC1CDC">
      <w:pPr>
        <w:spacing w:after="0" w:line="240" w:lineRule="auto"/>
        <w:rPr>
          <w:rFonts w:ascii="Times New Roman" w:hAnsi="Times New Roman"/>
        </w:rPr>
      </w:pPr>
    </w:p>
    <w:p w14:paraId="1EB3E1DD" w14:textId="77777777" w:rsidR="00DC1CDC" w:rsidRPr="00D9492F" w:rsidRDefault="00DC1CDC" w:rsidP="00DC1CDC">
      <w:pPr>
        <w:spacing w:after="0" w:line="240" w:lineRule="auto"/>
        <w:rPr>
          <w:rFonts w:ascii="Times New Roman" w:hAnsi="Times New Roman"/>
        </w:rPr>
      </w:pPr>
    </w:p>
    <w:p w14:paraId="75EC9E91" w14:textId="77777777" w:rsidR="00DC1CDC" w:rsidRPr="00D9492F" w:rsidRDefault="00DC1CDC" w:rsidP="00DC1CDC">
      <w:pPr>
        <w:spacing w:after="0" w:line="240" w:lineRule="auto"/>
        <w:rPr>
          <w:rFonts w:ascii="Times New Roman" w:hAnsi="Times New Roman"/>
        </w:rPr>
      </w:pPr>
    </w:p>
    <w:p w14:paraId="118C253A" w14:textId="77777777" w:rsidR="00DC1CDC" w:rsidRPr="00D9492F" w:rsidRDefault="00DC1CDC" w:rsidP="00DC1CDC">
      <w:pPr>
        <w:spacing w:after="0" w:line="240" w:lineRule="auto"/>
        <w:rPr>
          <w:rFonts w:ascii="Times New Roman" w:hAnsi="Times New Roman"/>
        </w:rPr>
      </w:pPr>
    </w:p>
    <w:p w14:paraId="487CE1FC" w14:textId="77777777" w:rsidR="00DC1CDC" w:rsidRPr="00D9492F" w:rsidRDefault="00DC1CDC" w:rsidP="00DC1CDC">
      <w:pPr>
        <w:spacing w:after="0" w:line="240" w:lineRule="auto"/>
        <w:rPr>
          <w:rFonts w:ascii="Times New Roman" w:hAnsi="Times New Roman"/>
        </w:rPr>
      </w:pPr>
    </w:p>
    <w:p w14:paraId="79F6580F" w14:textId="77777777" w:rsidR="00DC1CDC" w:rsidRPr="00D9492F" w:rsidRDefault="00DC1CDC" w:rsidP="00DC1CDC">
      <w:pPr>
        <w:spacing w:after="0" w:line="240" w:lineRule="auto"/>
        <w:rPr>
          <w:rFonts w:ascii="Times New Roman" w:hAnsi="Times New Roman"/>
        </w:rPr>
      </w:pPr>
    </w:p>
    <w:p w14:paraId="7A9D3DA4" w14:textId="77777777" w:rsidR="00DC1CDC" w:rsidRPr="00D9492F" w:rsidRDefault="00DC1CDC" w:rsidP="00DC1CDC">
      <w:pPr>
        <w:spacing w:after="0" w:line="240" w:lineRule="auto"/>
        <w:jc w:val="center"/>
        <w:rPr>
          <w:rFonts w:ascii="Times New Roman" w:hAnsi="Times New Roman"/>
          <w:b/>
        </w:rPr>
      </w:pPr>
    </w:p>
    <w:p w14:paraId="7D52C911" w14:textId="77777777" w:rsidR="00DC1CDC" w:rsidRPr="00D9492F" w:rsidRDefault="00DC1CDC" w:rsidP="00DC1CDC">
      <w:pPr>
        <w:spacing w:after="0" w:line="240" w:lineRule="auto"/>
        <w:jc w:val="center"/>
        <w:rPr>
          <w:rFonts w:ascii="Times New Roman" w:hAnsi="Times New Roman"/>
          <w:b/>
        </w:rPr>
      </w:pPr>
    </w:p>
    <w:p w14:paraId="6BF88131" w14:textId="77777777" w:rsidR="00DC1CDC" w:rsidRPr="00D9492F" w:rsidRDefault="00DC1CDC" w:rsidP="00DC1CDC">
      <w:pPr>
        <w:spacing w:after="0" w:line="240" w:lineRule="auto"/>
        <w:jc w:val="center"/>
        <w:rPr>
          <w:rFonts w:ascii="Times New Roman" w:hAnsi="Times New Roman"/>
          <w:b/>
        </w:rPr>
      </w:pPr>
    </w:p>
    <w:p w14:paraId="378123EC" w14:textId="77777777" w:rsidR="00DC1CDC" w:rsidRPr="00D9492F" w:rsidRDefault="00DC1CDC" w:rsidP="00DC1CDC">
      <w:pPr>
        <w:spacing w:after="0" w:line="240" w:lineRule="auto"/>
        <w:jc w:val="center"/>
        <w:rPr>
          <w:rFonts w:ascii="Times New Roman" w:hAnsi="Times New Roman"/>
          <w:b/>
        </w:rPr>
      </w:pPr>
      <w:r w:rsidRPr="00D9492F">
        <w:rPr>
          <w:rFonts w:ascii="Times New Roman" w:hAnsi="Times New Roman"/>
          <w:b/>
        </w:rPr>
        <w:t>III PRIEDAS</w:t>
      </w:r>
    </w:p>
    <w:p w14:paraId="704BD698" w14:textId="77777777" w:rsidR="00DC1CDC" w:rsidRPr="00D9492F" w:rsidRDefault="00DC1CDC" w:rsidP="00DC1CDC">
      <w:pPr>
        <w:spacing w:after="0" w:line="240" w:lineRule="auto"/>
        <w:jc w:val="center"/>
        <w:rPr>
          <w:rFonts w:ascii="Times New Roman" w:hAnsi="Times New Roman"/>
          <w:b/>
        </w:rPr>
      </w:pPr>
    </w:p>
    <w:p w14:paraId="28747876" w14:textId="77777777" w:rsidR="00DC1CDC" w:rsidRPr="00D9492F" w:rsidRDefault="00DC1CDC" w:rsidP="00DC1CDC">
      <w:pPr>
        <w:spacing w:after="0" w:line="240" w:lineRule="auto"/>
        <w:jc w:val="center"/>
        <w:rPr>
          <w:rFonts w:ascii="Times New Roman" w:hAnsi="Times New Roman"/>
          <w:b/>
        </w:rPr>
      </w:pPr>
      <w:r w:rsidRPr="00D9492F">
        <w:rPr>
          <w:rFonts w:ascii="Times New Roman" w:hAnsi="Times New Roman"/>
          <w:b/>
        </w:rPr>
        <w:t xml:space="preserve">ŽENKLINIMAS IR </w:t>
      </w:r>
      <w:r w:rsidRPr="00D9492F">
        <w:rPr>
          <w:rFonts w:ascii="Times New Roman" w:hAnsi="Times New Roman"/>
          <w:b/>
          <w:noProof/>
        </w:rPr>
        <w:t xml:space="preserve">PAKUOTĖS </w:t>
      </w:r>
      <w:r w:rsidRPr="00D9492F">
        <w:rPr>
          <w:rFonts w:ascii="Times New Roman" w:hAnsi="Times New Roman"/>
          <w:b/>
        </w:rPr>
        <w:t>LAPELIS</w:t>
      </w:r>
    </w:p>
    <w:p w14:paraId="173E086F"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br w:type="page"/>
      </w:r>
    </w:p>
    <w:p w14:paraId="41D63B54" w14:textId="77777777" w:rsidR="00DC1CDC" w:rsidRPr="00D9492F" w:rsidRDefault="00DC1CDC" w:rsidP="00DC1CDC">
      <w:pPr>
        <w:spacing w:after="0" w:line="240" w:lineRule="auto"/>
        <w:rPr>
          <w:rFonts w:ascii="Times New Roman" w:hAnsi="Times New Roman"/>
        </w:rPr>
      </w:pPr>
    </w:p>
    <w:p w14:paraId="52AED769" w14:textId="77777777" w:rsidR="00DC1CDC" w:rsidRPr="00D9492F" w:rsidRDefault="00DC1CDC" w:rsidP="00DC1CDC">
      <w:pPr>
        <w:spacing w:after="0" w:line="240" w:lineRule="auto"/>
        <w:rPr>
          <w:rFonts w:ascii="Times New Roman" w:hAnsi="Times New Roman"/>
        </w:rPr>
      </w:pPr>
    </w:p>
    <w:p w14:paraId="188AC571" w14:textId="77777777" w:rsidR="00DC1CDC" w:rsidRPr="00D9492F" w:rsidRDefault="00DC1CDC" w:rsidP="00DC1CDC">
      <w:pPr>
        <w:spacing w:after="0" w:line="240" w:lineRule="auto"/>
        <w:rPr>
          <w:rFonts w:ascii="Times New Roman" w:hAnsi="Times New Roman"/>
        </w:rPr>
      </w:pPr>
    </w:p>
    <w:p w14:paraId="1EC541EA" w14:textId="77777777" w:rsidR="00DC1CDC" w:rsidRPr="00D9492F" w:rsidRDefault="00DC1CDC" w:rsidP="00DC1CDC">
      <w:pPr>
        <w:spacing w:after="0" w:line="240" w:lineRule="auto"/>
        <w:rPr>
          <w:rFonts w:ascii="Times New Roman" w:hAnsi="Times New Roman"/>
        </w:rPr>
      </w:pPr>
    </w:p>
    <w:p w14:paraId="107E7AE3" w14:textId="77777777" w:rsidR="00DC1CDC" w:rsidRPr="00D9492F" w:rsidRDefault="00DC1CDC" w:rsidP="00DC1CDC">
      <w:pPr>
        <w:spacing w:after="0" w:line="240" w:lineRule="auto"/>
        <w:rPr>
          <w:rFonts w:ascii="Times New Roman" w:hAnsi="Times New Roman"/>
        </w:rPr>
      </w:pPr>
    </w:p>
    <w:p w14:paraId="5F3D17E0" w14:textId="77777777" w:rsidR="00DC1CDC" w:rsidRPr="00D9492F" w:rsidRDefault="00DC1CDC" w:rsidP="00DC1CDC">
      <w:pPr>
        <w:spacing w:after="0" w:line="240" w:lineRule="auto"/>
        <w:rPr>
          <w:rFonts w:ascii="Times New Roman" w:hAnsi="Times New Roman"/>
        </w:rPr>
      </w:pPr>
    </w:p>
    <w:p w14:paraId="45C9DC2B" w14:textId="77777777" w:rsidR="00DC1CDC" w:rsidRPr="00D9492F" w:rsidRDefault="00DC1CDC" w:rsidP="00DC1CDC">
      <w:pPr>
        <w:spacing w:after="0" w:line="240" w:lineRule="auto"/>
        <w:rPr>
          <w:rFonts w:ascii="Times New Roman" w:hAnsi="Times New Roman"/>
        </w:rPr>
      </w:pPr>
    </w:p>
    <w:p w14:paraId="6C1037C2" w14:textId="77777777" w:rsidR="00DC1CDC" w:rsidRPr="00D9492F" w:rsidRDefault="00DC1CDC" w:rsidP="00DC1CDC">
      <w:pPr>
        <w:spacing w:after="0" w:line="240" w:lineRule="auto"/>
        <w:rPr>
          <w:rFonts w:ascii="Times New Roman" w:hAnsi="Times New Roman"/>
        </w:rPr>
      </w:pPr>
    </w:p>
    <w:p w14:paraId="4537FB06" w14:textId="77777777" w:rsidR="00DC1CDC" w:rsidRPr="00D9492F" w:rsidRDefault="00DC1CDC" w:rsidP="00DC1CDC">
      <w:pPr>
        <w:spacing w:after="0" w:line="240" w:lineRule="auto"/>
        <w:rPr>
          <w:rFonts w:ascii="Times New Roman" w:hAnsi="Times New Roman"/>
        </w:rPr>
      </w:pPr>
    </w:p>
    <w:p w14:paraId="0FA5DE3D" w14:textId="77777777" w:rsidR="00DC1CDC" w:rsidRPr="00D9492F" w:rsidRDefault="00DC1CDC" w:rsidP="00DC1CDC">
      <w:pPr>
        <w:spacing w:after="0" w:line="240" w:lineRule="auto"/>
        <w:rPr>
          <w:rFonts w:ascii="Times New Roman" w:hAnsi="Times New Roman"/>
        </w:rPr>
      </w:pPr>
    </w:p>
    <w:p w14:paraId="694B8174" w14:textId="77777777" w:rsidR="00DC1CDC" w:rsidRPr="00D9492F" w:rsidRDefault="00DC1CDC" w:rsidP="00DC1CDC">
      <w:pPr>
        <w:spacing w:after="0" w:line="240" w:lineRule="auto"/>
        <w:rPr>
          <w:rFonts w:ascii="Times New Roman" w:hAnsi="Times New Roman"/>
        </w:rPr>
      </w:pPr>
    </w:p>
    <w:p w14:paraId="10B2414B" w14:textId="77777777" w:rsidR="00DC1CDC" w:rsidRPr="00D9492F" w:rsidRDefault="00DC1CDC" w:rsidP="00DC1CDC">
      <w:pPr>
        <w:spacing w:after="0" w:line="240" w:lineRule="auto"/>
        <w:rPr>
          <w:rFonts w:ascii="Times New Roman" w:hAnsi="Times New Roman"/>
        </w:rPr>
      </w:pPr>
    </w:p>
    <w:p w14:paraId="217FA148" w14:textId="77777777" w:rsidR="00DC1CDC" w:rsidRPr="00D9492F" w:rsidRDefault="00DC1CDC" w:rsidP="00DC1CDC">
      <w:pPr>
        <w:spacing w:after="0" w:line="240" w:lineRule="auto"/>
        <w:rPr>
          <w:rFonts w:ascii="Times New Roman" w:hAnsi="Times New Roman"/>
        </w:rPr>
      </w:pPr>
    </w:p>
    <w:p w14:paraId="385B0220" w14:textId="77777777" w:rsidR="00DC1CDC" w:rsidRPr="00D9492F" w:rsidRDefault="00DC1CDC" w:rsidP="00DC1CDC">
      <w:pPr>
        <w:spacing w:after="0" w:line="240" w:lineRule="auto"/>
        <w:rPr>
          <w:rFonts w:ascii="Times New Roman" w:hAnsi="Times New Roman"/>
        </w:rPr>
      </w:pPr>
    </w:p>
    <w:p w14:paraId="166D5D98" w14:textId="77777777" w:rsidR="00DC1CDC" w:rsidRPr="00D9492F" w:rsidRDefault="00DC1CDC" w:rsidP="00DC1CDC">
      <w:pPr>
        <w:spacing w:after="0" w:line="240" w:lineRule="auto"/>
        <w:rPr>
          <w:rFonts w:ascii="Times New Roman" w:hAnsi="Times New Roman"/>
        </w:rPr>
      </w:pPr>
    </w:p>
    <w:p w14:paraId="7CAC4D22" w14:textId="77777777" w:rsidR="00DC1CDC" w:rsidRPr="00D9492F" w:rsidRDefault="00DC1CDC" w:rsidP="00DC1CDC">
      <w:pPr>
        <w:spacing w:after="0" w:line="240" w:lineRule="auto"/>
        <w:rPr>
          <w:rFonts w:ascii="Times New Roman" w:hAnsi="Times New Roman"/>
        </w:rPr>
      </w:pPr>
    </w:p>
    <w:p w14:paraId="7918050A" w14:textId="77777777" w:rsidR="00DC1CDC" w:rsidRPr="00D9492F" w:rsidRDefault="00DC1CDC" w:rsidP="00DC1CDC">
      <w:pPr>
        <w:spacing w:after="0" w:line="240" w:lineRule="auto"/>
        <w:rPr>
          <w:rFonts w:ascii="Times New Roman" w:hAnsi="Times New Roman"/>
        </w:rPr>
      </w:pPr>
    </w:p>
    <w:p w14:paraId="29863BDB" w14:textId="77777777" w:rsidR="00DC1CDC" w:rsidRPr="00D9492F" w:rsidRDefault="00DC1CDC" w:rsidP="00DC1CDC">
      <w:pPr>
        <w:spacing w:after="0" w:line="240" w:lineRule="auto"/>
        <w:rPr>
          <w:rFonts w:ascii="Times New Roman" w:hAnsi="Times New Roman"/>
        </w:rPr>
      </w:pPr>
    </w:p>
    <w:p w14:paraId="1DB317B4" w14:textId="77777777" w:rsidR="00DC1CDC" w:rsidRPr="00D9492F" w:rsidRDefault="00DC1CDC" w:rsidP="00DC1CDC">
      <w:pPr>
        <w:spacing w:after="0" w:line="240" w:lineRule="auto"/>
        <w:rPr>
          <w:rFonts w:ascii="Times New Roman" w:hAnsi="Times New Roman"/>
        </w:rPr>
      </w:pPr>
    </w:p>
    <w:p w14:paraId="7AA11161" w14:textId="77777777" w:rsidR="00DC1CDC" w:rsidRPr="00D9492F" w:rsidRDefault="00DC1CDC" w:rsidP="00DC1CDC">
      <w:pPr>
        <w:spacing w:after="0" w:line="240" w:lineRule="auto"/>
        <w:rPr>
          <w:rFonts w:ascii="Times New Roman" w:hAnsi="Times New Roman"/>
        </w:rPr>
      </w:pPr>
    </w:p>
    <w:p w14:paraId="1024B0E6" w14:textId="77777777" w:rsidR="00DC1CDC" w:rsidRPr="00D9492F" w:rsidRDefault="00DC1CDC" w:rsidP="00DC1CDC">
      <w:pPr>
        <w:keepNext/>
        <w:spacing w:after="0" w:line="240" w:lineRule="auto"/>
        <w:jc w:val="center"/>
        <w:outlineLvl w:val="6"/>
        <w:rPr>
          <w:rFonts w:ascii="Times New Roman" w:eastAsia="Times New Roman" w:hAnsi="Times New Roman"/>
          <w:b/>
        </w:rPr>
      </w:pPr>
    </w:p>
    <w:p w14:paraId="6AA3285E" w14:textId="77777777" w:rsidR="00DC1CDC" w:rsidRPr="00D9492F" w:rsidRDefault="00DC1CDC" w:rsidP="00DC1CDC">
      <w:pPr>
        <w:keepNext/>
        <w:spacing w:after="0" w:line="240" w:lineRule="auto"/>
        <w:jc w:val="center"/>
        <w:outlineLvl w:val="6"/>
        <w:rPr>
          <w:rFonts w:ascii="Times New Roman" w:eastAsia="Times New Roman" w:hAnsi="Times New Roman"/>
          <w:b/>
        </w:rPr>
      </w:pPr>
    </w:p>
    <w:p w14:paraId="10507C90" w14:textId="77777777" w:rsidR="00DC1CDC" w:rsidRPr="00D9492F" w:rsidRDefault="00DC1CDC" w:rsidP="00DC1CDC">
      <w:pPr>
        <w:spacing w:after="0" w:line="240" w:lineRule="auto"/>
        <w:rPr>
          <w:rFonts w:ascii="Times New Roman" w:hAnsi="Times New Roman"/>
        </w:rPr>
      </w:pPr>
    </w:p>
    <w:p w14:paraId="7AC74EB1" w14:textId="77777777" w:rsidR="00DC1CDC" w:rsidRPr="00D9492F" w:rsidRDefault="00DC1CDC" w:rsidP="00DC1CDC">
      <w:pPr>
        <w:spacing w:after="0" w:line="240" w:lineRule="auto"/>
        <w:jc w:val="center"/>
        <w:rPr>
          <w:rFonts w:ascii="Times New Roman" w:eastAsia="Times New Roman" w:hAnsi="Times New Roman"/>
          <w:b/>
        </w:rPr>
      </w:pPr>
      <w:r w:rsidRPr="00D9492F">
        <w:rPr>
          <w:rFonts w:ascii="Times New Roman" w:eastAsia="Times New Roman" w:hAnsi="Times New Roman"/>
          <w:b/>
        </w:rPr>
        <w:t>A. ŽENKLINIMAS</w:t>
      </w:r>
    </w:p>
    <w:p w14:paraId="4B22C6D9" w14:textId="77777777" w:rsidR="00DC1CDC" w:rsidRPr="00D9492F" w:rsidRDefault="00DC1CDC" w:rsidP="00DC1CDC">
      <w:pPr>
        <w:spacing w:after="0" w:line="240" w:lineRule="auto"/>
        <w:rPr>
          <w:rFonts w:ascii="Times New Roman" w:hAnsi="Times New Roman"/>
          <w:b/>
        </w:rPr>
      </w:pPr>
      <w:r w:rsidRPr="00D9492F">
        <w:rPr>
          <w:rFonts w:ascii="Times New Roman" w:hAnsi="Times New Roman"/>
          <w:b/>
        </w:rPr>
        <w:br w:type="page"/>
      </w:r>
    </w:p>
    <w:p w14:paraId="10335810"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lastRenderedPageBreak/>
        <w:t xml:space="preserve">Informacija ant IŠORINĖS pakuotės </w:t>
      </w:r>
    </w:p>
    <w:p w14:paraId="1CC62080"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77D99B4C"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D9492F">
        <w:rPr>
          <w:rFonts w:ascii="Times New Roman" w:hAnsi="Times New Roman"/>
          <w:b/>
          <w:bCs/>
        </w:rPr>
        <w:t>KARTONO DĖŽUTĖ</w:t>
      </w:r>
    </w:p>
    <w:p w14:paraId="7227B9C7" w14:textId="77777777" w:rsidR="00DC1CDC" w:rsidRPr="00D9492F" w:rsidRDefault="00DC1CDC" w:rsidP="00DC1CDC">
      <w:pPr>
        <w:spacing w:after="0" w:line="240" w:lineRule="auto"/>
        <w:rPr>
          <w:rFonts w:ascii="Times New Roman" w:hAnsi="Times New Roman"/>
        </w:rPr>
      </w:pPr>
    </w:p>
    <w:p w14:paraId="790EFB34" w14:textId="77777777" w:rsidR="00DC1CDC" w:rsidRPr="00D9492F" w:rsidRDefault="00DC1CDC" w:rsidP="00DC1CDC">
      <w:pPr>
        <w:spacing w:after="0" w:line="240" w:lineRule="auto"/>
        <w:rPr>
          <w:rFonts w:ascii="Times New Roman" w:hAnsi="Times New Roman"/>
        </w:rPr>
      </w:pPr>
    </w:p>
    <w:p w14:paraId="4EC7FA18"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1.</w:t>
      </w:r>
      <w:r w:rsidRPr="00D9492F">
        <w:rPr>
          <w:rFonts w:ascii="Times New Roman" w:hAnsi="Times New Roman"/>
          <w:b/>
          <w:caps/>
        </w:rPr>
        <w:tab/>
        <w:t>vaistinio preparato pavadinimas</w:t>
      </w:r>
    </w:p>
    <w:p w14:paraId="68D23C77" w14:textId="77777777" w:rsidR="00DC1CDC" w:rsidRPr="00D9492F" w:rsidRDefault="00DC1CDC" w:rsidP="00DC1CDC">
      <w:pPr>
        <w:spacing w:after="0" w:line="240" w:lineRule="auto"/>
        <w:rPr>
          <w:rFonts w:ascii="Times New Roman" w:hAnsi="Times New Roman"/>
        </w:rPr>
      </w:pPr>
    </w:p>
    <w:p w14:paraId="64668196" w14:textId="47A3CA10"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Docetaxel SanoSwiss </w:t>
      </w:r>
      <w:r w:rsidR="008233A7" w:rsidRPr="00D9492F">
        <w:rPr>
          <w:rFonts w:ascii="Times New Roman" w:hAnsi="Times New Roman"/>
        </w:rPr>
        <w:t>4</w:t>
      </w:r>
      <w:r w:rsidRPr="00D9492F">
        <w:rPr>
          <w:rFonts w:ascii="Times New Roman" w:hAnsi="Times New Roman"/>
        </w:rPr>
        <w:t>0 mg/ml koncentratas infuziniam tirpalui</w:t>
      </w:r>
    </w:p>
    <w:p w14:paraId="7983747E" w14:textId="77777777" w:rsidR="00DC1CDC" w:rsidRPr="00D9492F" w:rsidRDefault="00DC1CDC" w:rsidP="00DC1CDC">
      <w:pPr>
        <w:spacing w:after="0" w:line="240" w:lineRule="auto"/>
        <w:rPr>
          <w:rFonts w:ascii="Times New Roman" w:hAnsi="Times New Roman"/>
        </w:rPr>
      </w:pPr>
    </w:p>
    <w:p w14:paraId="4318F498"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Docetakselis</w:t>
      </w:r>
    </w:p>
    <w:p w14:paraId="2F6C3792" w14:textId="77777777" w:rsidR="00DC1CDC" w:rsidRPr="00D9492F" w:rsidRDefault="00DC1CDC" w:rsidP="00DC1CDC">
      <w:pPr>
        <w:spacing w:after="0" w:line="240" w:lineRule="auto"/>
        <w:rPr>
          <w:rFonts w:ascii="Times New Roman" w:hAnsi="Times New Roman"/>
        </w:rPr>
      </w:pPr>
    </w:p>
    <w:p w14:paraId="659CB966" w14:textId="77777777" w:rsidR="00DC1CDC" w:rsidRPr="00D9492F" w:rsidRDefault="00DC1CDC" w:rsidP="00DC1CDC">
      <w:pPr>
        <w:spacing w:after="0" w:line="240" w:lineRule="auto"/>
        <w:rPr>
          <w:rFonts w:ascii="Times New Roman" w:hAnsi="Times New Roman"/>
        </w:rPr>
      </w:pPr>
    </w:p>
    <w:p w14:paraId="48816455"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2.</w:t>
      </w:r>
      <w:r w:rsidRPr="00D9492F">
        <w:rPr>
          <w:rFonts w:ascii="Times New Roman" w:hAnsi="Times New Roman"/>
          <w:b/>
          <w:caps/>
        </w:rPr>
        <w:tab/>
        <w:t>VEIKLIOJI (-IOS) medžiagA (-OS) ir JOS (-Ų) kiekIS (-IAI)</w:t>
      </w:r>
    </w:p>
    <w:p w14:paraId="26F2E866" w14:textId="77777777" w:rsidR="00DC1CDC" w:rsidRPr="00D9492F" w:rsidRDefault="00DC1CDC" w:rsidP="00DC1CDC">
      <w:pPr>
        <w:spacing w:after="0" w:line="240" w:lineRule="auto"/>
        <w:rPr>
          <w:rFonts w:ascii="Times New Roman" w:hAnsi="Times New Roman"/>
        </w:rPr>
      </w:pPr>
    </w:p>
    <w:p w14:paraId="4FCA4A86"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Kiekviename koncentrato infuziniam tirpalui mililitre yra 40 mg docetakselio.</w:t>
      </w:r>
    </w:p>
    <w:p w14:paraId="1E99DCBC" w14:textId="77777777" w:rsidR="00DC1CDC" w:rsidRPr="00D9492F" w:rsidRDefault="00DC1CDC" w:rsidP="00DC1CDC">
      <w:pPr>
        <w:spacing w:after="0" w:line="240" w:lineRule="auto"/>
        <w:rPr>
          <w:rFonts w:ascii="Times New Roman" w:hAnsi="Times New Roman"/>
        </w:rPr>
      </w:pPr>
    </w:p>
    <w:p w14:paraId="0FB5DAE9" w14:textId="4466E356" w:rsidR="00DC1CDC" w:rsidRPr="00D9492F" w:rsidRDefault="00DC1CDC" w:rsidP="00DC1CDC">
      <w:pPr>
        <w:spacing w:after="0" w:line="240" w:lineRule="auto"/>
        <w:rPr>
          <w:rFonts w:ascii="Times New Roman" w:hAnsi="Times New Roman"/>
        </w:rPr>
      </w:pPr>
      <w:r w:rsidRPr="00D9492F">
        <w:rPr>
          <w:rFonts w:ascii="Times New Roman" w:hAnsi="Times New Roman"/>
        </w:rPr>
        <w:t>Kiekviename 0,5 ml flakone yra 20 mg docetakselio.</w:t>
      </w:r>
    </w:p>
    <w:p w14:paraId="3617B08A" w14:textId="132767F7" w:rsidR="00D8475E" w:rsidRPr="00D9492F" w:rsidRDefault="00DC1CDC" w:rsidP="00DC1CDC">
      <w:pPr>
        <w:spacing w:after="0" w:line="240" w:lineRule="auto"/>
        <w:rPr>
          <w:rFonts w:ascii="Times New Roman" w:hAnsi="Times New Roman"/>
        </w:rPr>
      </w:pPr>
      <w:r w:rsidRPr="00D9492F">
        <w:rPr>
          <w:rFonts w:ascii="Times New Roman" w:hAnsi="Times New Roman"/>
        </w:rPr>
        <w:t>Kiekviename 2 ml flakone yra 80 mg docetakselio.</w:t>
      </w:r>
    </w:p>
    <w:p w14:paraId="36B3F477" w14:textId="77777777" w:rsidR="00D8475E" w:rsidRPr="00D9492F" w:rsidRDefault="00D8475E" w:rsidP="00DC1CDC">
      <w:pPr>
        <w:spacing w:after="0" w:line="240" w:lineRule="auto"/>
        <w:rPr>
          <w:rFonts w:ascii="Times New Roman" w:hAnsi="Times New Roman"/>
        </w:rPr>
      </w:pPr>
    </w:p>
    <w:p w14:paraId="02562F6E" w14:textId="60D43750" w:rsidR="00DC1CDC" w:rsidRPr="00D9492F" w:rsidRDefault="00DC1CDC" w:rsidP="00DC1CDC">
      <w:pPr>
        <w:spacing w:after="0" w:line="240" w:lineRule="auto"/>
        <w:rPr>
          <w:rFonts w:ascii="Times New Roman" w:hAnsi="Times New Roman"/>
        </w:rPr>
      </w:pPr>
    </w:p>
    <w:p w14:paraId="3F6645E2"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3.</w:t>
      </w:r>
      <w:r w:rsidRPr="00D9492F">
        <w:rPr>
          <w:rFonts w:ascii="Times New Roman" w:hAnsi="Times New Roman"/>
          <w:b/>
          <w:caps/>
        </w:rPr>
        <w:tab/>
        <w:t>pagalbinių medžiagų sąrašas</w:t>
      </w:r>
    </w:p>
    <w:p w14:paraId="5193CE69" w14:textId="77777777" w:rsidR="00DC1CDC" w:rsidRPr="00D9492F" w:rsidRDefault="00DC1CDC" w:rsidP="00DC1CDC">
      <w:pPr>
        <w:spacing w:after="0" w:line="240" w:lineRule="auto"/>
        <w:rPr>
          <w:rFonts w:ascii="Times New Roman" w:hAnsi="Times New Roman"/>
        </w:rPr>
      </w:pPr>
    </w:p>
    <w:p w14:paraId="2E6284C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Pagalbinės medžiagos: polisorbatas 80, bevandenis etanolis, citrinų rūgštis monohidratas (pH reguliuoti) ir injekcinis vanduo. Daugiau informacijos pateikta pakuotės lapelyje.</w:t>
      </w:r>
    </w:p>
    <w:p w14:paraId="148CE96A" w14:textId="77777777" w:rsidR="00DC1CDC" w:rsidRPr="00D9492F" w:rsidRDefault="00DC1CDC" w:rsidP="00DC1CDC">
      <w:pPr>
        <w:keepNext/>
        <w:keepLines/>
        <w:spacing w:after="0" w:line="240" w:lineRule="auto"/>
        <w:rPr>
          <w:rFonts w:ascii="Times New Roman" w:hAnsi="Times New Roman"/>
        </w:rPr>
      </w:pPr>
    </w:p>
    <w:p w14:paraId="7CE34B8A" w14:textId="77777777" w:rsidR="00DC1CDC" w:rsidRPr="00D9492F" w:rsidRDefault="00DC1CDC" w:rsidP="00DC1CDC">
      <w:pPr>
        <w:spacing w:after="0" w:line="240" w:lineRule="auto"/>
        <w:rPr>
          <w:rFonts w:ascii="Times New Roman" w:hAnsi="Times New Roman"/>
          <w:b/>
          <w:caps/>
        </w:rPr>
      </w:pPr>
    </w:p>
    <w:p w14:paraId="36D5EAA3"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4.</w:t>
      </w:r>
      <w:r w:rsidRPr="00D9492F">
        <w:rPr>
          <w:rFonts w:ascii="Times New Roman" w:hAnsi="Times New Roman"/>
          <w:b/>
          <w:caps/>
        </w:rPr>
        <w:tab/>
      </w:r>
      <w:r w:rsidRPr="00D9492F">
        <w:rPr>
          <w:rFonts w:ascii="Times New Roman" w:hAnsi="Times New Roman"/>
          <w:b/>
          <w:noProof/>
        </w:rPr>
        <w:t xml:space="preserve">FARMACINĖ </w:t>
      </w:r>
      <w:r w:rsidRPr="00D9492F">
        <w:rPr>
          <w:rFonts w:ascii="Times New Roman" w:hAnsi="Times New Roman"/>
          <w:b/>
          <w:caps/>
        </w:rPr>
        <w:t>forma ir KIEKIS PAKUOTĖJE</w:t>
      </w:r>
    </w:p>
    <w:p w14:paraId="479752A5" w14:textId="77777777" w:rsidR="00DC1CDC" w:rsidRPr="00D9492F" w:rsidRDefault="00DC1CDC" w:rsidP="00DC1CDC">
      <w:pPr>
        <w:spacing w:after="0" w:line="240" w:lineRule="auto"/>
        <w:rPr>
          <w:rFonts w:ascii="Times New Roman" w:hAnsi="Times New Roman"/>
          <w:b/>
          <w:caps/>
        </w:rPr>
      </w:pPr>
    </w:p>
    <w:p w14:paraId="134A5F3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 xml:space="preserve">Koncentratas infuziniam tirpalui </w:t>
      </w:r>
    </w:p>
    <w:p w14:paraId="273330DF" w14:textId="77777777" w:rsidR="00DC1CDC" w:rsidRPr="00D9492F" w:rsidRDefault="00DC1CDC" w:rsidP="00DC1CDC">
      <w:pPr>
        <w:spacing w:after="0" w:line="240" w:lineRule="auto"/>
        <w:rPr>
          <w:rFonts w:ascii="Times New Roman" w:hAnsi="Times New Roman"/>
        </w:rPr>
      </w:pPr>
    </w:p>
    <w:p w14:paraId="71E6B2D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Vienas 0,5 ml flakonas.</w:t>
      </w:r>
    </w:p>
    <w:p w14:paraId="3A67445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Vienas 2 ml flakonas.</w:t>
      </w:r>
    </w:p>
    <w:p w14:paraId="26B65311" w14:textId="77777777" w:rsidR="00DC1CDC" w:rsidRPr="00D9492F" w:rsidRDefault="00DC1CDC" w:rsidP="00DC1CDC">
      <w:pPr>
        <w:spacing w:after="0" w:line="240" w:lineRule="auto"/>
        <w:rPr>
          <w:rFonts w:ascii="Times New Roman" w:hAnsi="Times New Roman"/>
          <w:b/>
          <w:caps/>
        </w:rPr>
      </w:pPr>
    </w:p>
    <w:p w14:paraId="3B9D7E41" w14:textId="77777777" w:rsidR="00DC1CDC" w:rsidRPr="00D9492F" w:rsidRDefault="00DC1CDC" w:rsidP="00DC1CDC">
      <w:pPr>
        <w:spacing w:after="0" w:line="240" w:lineRule="auto"/>
        <w:rPr>
          <w:rFonts w:ascii="Times New Roman" w:hAnsi="Times New Roman"/>
          <w:b/>
          <w:caps/>
        </w:rPr>
      </w:pPr>
    </w:p>
    <w:p w14:paraId="24015D9B"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5.</w:t>
      </w:r>
      <w:r w:rsidRPr="00D9492F">
        <w:rPr>
          <w:rFonts w:ascii="Times New Roman" w:hAnsi="Times New Roman"/>
          <w:b/>
          <w:caps/>
        </w:rPr>
        <w:tab/>
        <w:t>vartojimo METODAS IR būdas (-Ai)</w:t>
      </w:r>
    </w:p>
    <w:p w14:paraId="6370BC8D" w14:textId="77777777" w:rsidR="00DC1CDC" w:rsidRPr="00D9492F" w:rsidRDefault="00DC1CDC" w:rsidP="00DC1CDC">
      <w:pPr>
        <w:spacing w:after="0" w:line="240" w:lineRule="auto"/>
        <w:rPr>
          <w:rFonts w:ascii="Times New Roman" w:hAnsi="Times New Roman"/>
        </w:rPr>
      </w:pPr>
    </w:p>
    <w:p w14:paraId="76FE64BB" w14:textId="69CC33E3" w:rsidR="00DC1CDC" w:rsidRPr="00D9492F" w:rsidRDefault="00DC1CDC" w:rsidP="00DC1CDC">
      <w:pPr>
        <w:spacing w:after="0" w:line="240" w:lineRule="auto"/>
        <w:rPr>
          <w:rFonts w:ascii="Times New Roman" w:hAnsi="Times New Roman"/>
          <w:b/>
        </w:rPr>
      </w:pPr>
      <w:r w:rsidRPr="00D9492F">
        <w:rPr>
          <w:rFonts w:ascii="Times New Roman" w:hAnsi="Times New Roman"/>
          <w:b/>
        </w:rPr>
        <w:t>Parengtas su</w:t>
      </w:r>
      <w:r w:rsidR="009C35AC" w:rsidRPr="00D9492F">
        <w:rPr>
          <w:rFonts w:ascii="Times New Roman" w:hAnsi="Times New Roman"/>
          <w:b/>
        </w:rPr>
        <w:t>leisti</w:t>
      </w:r>
      <w:r w:rsidRPr="00D9492F">
        <w:rPr>
          <w:rFonts w:ascii="Times New Roman" w:hAnsi="Times New Roman"/>
          <w:b/>
        </w:rPr>
        <w:t xml:space="preserve"> į infuzijų talpyklę.</w:t>
      </w:r>
    </w:p>
    <w:p w14:paraId="186B4F46" w14:textId="19EC3E7E" w:rsidR="00DC1CDC" w:rsidRPr="00D9492F" w:rsidRDefault="00DC1CDC" w:rsidP="00DC1CDC">
      <w:pPr>
        <w:spacing w:after="0" w:line="240" w:lineRule="auto"/>
        <w:jc w:val="both"/>
        <w:rPr>
          <w:rFonts w:ascii="Times New Roman" w:hAnsi="Times New Roman"/>
        </w:rPr>
      </w:pPr>
      <w:r w:rsidRPr="00D9492F">
        <w:rPr>
          <w:rFonts w:ascii="Times New Roman" w:hAnsi="Times New Roman"/>
          <w:b/>
        </w:rPr>
        <w:t>DĖMESIO!</w:t>
      </w:r>
      <w:r w:rsidRPr="00D9492F">
        <w:rPr>
          <w:rFonts w:ascii="Times New Roman" w:hAnsi="Times New Roman"/>
        </w:rPr>
        <w:t xml:space="preserve"> Iš flakono ištraukite reikiamą kiekį docetakselio </w:t>
      </w:r>
      <w:r w:rsidR="009C35AC" w:rsidRPr="00D9492F">
        <w:rPr>
          <w:rFonts w:ascii="Times New Roman" w:hAnsi="Times New Roman"/>
        </w:rPr>
        <w:t xml:space="preserve">sterilaus </w:t>
      </w:r>
      <w:r w:rsidRPr="00D9492F">
        <w:rPr>
          <w:rFonts w:ascii="Times New Roman" w:hAnsi="Times New Roman"/>
        </w:rPr>
        <w:t>koncentrato (40 mg/ml) ir su</w:t>
      </w:r>
      <w:r w:rsidR="009C35AC" w:rsidRPr="00D9492F">
        <w:rPr>
          <w:rFonts w:ascii="Times New Roman" w:hAnsi="Times New Roman"/>
        </w:rPr>
        <w:t>leiskite</w:t>
      </w:r>
      <w:r w:rsidRPr="00D9492F">
        <w:rPr>
          <w:rFonts w:ascii="Times New Roman" w:hAnsi="Times New Roman"/>
        </w:rPr>
        <w:t xml:space="preserve"> į infuzinį tirpalą. Žr. kartu pateikiamą </w:t>
      </w:r>
      <w:r w:rsidR="00965A62" w:rsidRPr="00D9492F">
        <w:rPr>
          <w:rFonts w:ascii="Times New Roman" w:hAnsi="Times New Roman"/>
        </w:rPr>
        <w:t xml:space="preserve">infuzinio tirpalo </w:t>
      </w:r>
      <w:r w:rsidRPr="00D9492F">
        <w:rPr>
          <w:rFonts w:ascii="Times New Roman" w:hAnsi="Times New Roman"/>
        </w:rPr>
        <w:t xml:space="preserve">ruošimo </w:t>
      </w:r>
      <w:r w:rsidR="00965A62" w:rsidRPr="00D9492F">
        <w:rPr>
          <w:rFonts w:ascii="Times New Roman" w:hAnsi="Times New Roman"/>
        </w:rPr>
        <w:t>instrukciją</w:t>
      </w:r>
      <w:r w:rsidRPr="00D9492F">
        <w:rPr>
          <w:rFonts w:ascii="Times New Roman" w:hAnsi="Times New Roman"/>
        </w:rPr>
        <w:t>.</w:t>
      </w:r>
    </w:p>
    <w:p w14:paraId="67CCF549" w14:textId="77777777" w:rsidR="00DC1CDC" w:rsidRPr="00D9492F" w:rsidRDefault="00DC1CDC" w:rsidP="00DC1CDC">
      <w:pPr>
        <w:spacing w:after="0" w:line="240" w:lineRule="auto"/>
        <w:jc w:val="both"/>
        <w:rPr>
          <w:rFonts w:ascii="Times New Roman" w:hAnsi="Times New Roman"/>
          <w:lang w:eastAsia="lt-LT"/>
        </w:rPr>
      </w:pPr>
    </w:p>
    <w:p w14:paraId="3CEAEEF3" w14:textId="77777777" w:rsidR="00DC1CDC" w:rsidRPr="00D9492F" w:rsidRDefault="00DC1CDC" w:rsidP="00DC1CDC">
      <w:pPr>
        <w:spacing w:after="0" w:line="240" w:lineRule="auto"/>
        <w:jc w:val="both"/>
        <w:rPr>
          <w:rFonts w:ascii="Times New Roman" w:hAnsi="Times New Roman"/>
          <w:lang w:eastAsia="lt-LT"/>
        </w:rPr>
      </w:pPr>
      <w:r w:rsidRPr="00D9492F">
        <w:rPr>
          <w:rFonts w:ascii="Times New Roman" w:hAnsi="Times New Roman"/>
          <w:lang w:eastAsia="lt-LT"/>
        </w:rPr>
        <w:t>Vienkartiniam vartojimui.</w:t>
      </w:r>
    </w:p>
    <w:p w14:paraId="1BDDBCAB" w14:textId="77777777" w:rsidR="00DC1CDC" w:rsidRPr="00D9492F" w:rsidRDefault="00DC1CDC" w:rsidP="00DC1CDC">
      <w:pPr>
        <w:spacing w:after="0" w:line="240" w:lineRule="auto"/>
        <w:rPr>
          <w:rFonts w:ascii="Times New Roman" w:hAnsi="Times New Roman"/>
          <w:lang w:eastAsia="lt-LT"/>
        </w:rPr>
      </w:pPr>
    </w:p>
    <w:p w14:paraId="249B9E2D"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Prieš vartojimą perskaitykite pakuotės lapelį.</w:t>
      </w:r>
    </w:p>
    <w:p w14:paraId="010FE4B7" w14:textId="77777777" w:rsidR="00DC1CDC" w:rsidRPr="00D9492F" w:rsidRDefault="00DC1CDC" w:rsidP="00DC1CDC">
      <w:pPr>
        <w:spacing w:after="0" w:line="240" w:lineRule="auto"/>
        <w:rPr>
          <w:rFonts w:ascii="Times New Roman" w:hAnsi="Times New Roman"/>
          <w:lang w:eastAsia="lt-LT"/>
        </w:rPr>
      </w:pPr>
    </w:p>
    <w:p w14:paraId="59C5F514"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Leisti į veną.</w:t>
      </w:r>
    </w:p>
    <w:p w14:paraId="1A57EDBD" w14:textId="77777777" w:rsidR="00DC1CDC" w:rsidRPr="00D9492F" w:rsidRDefault="00DC1CDC" w:rsidP="00DC1CDC">
      <w:pPr>
        <w:spacing w:after="0" w:line="240" w:lineRule="auto"/>
        <w:rPr>
          <w:rFonts w:ascii="Times New Roman" w:hAnsi="Times New Roman"/>
          <w:lang w:eastAsia="lt-LT"/>
        </w:rPr>
      </w:pPr>
    </w:p>
    <w:p w14:paraId="3A483910" w14:textId="77777777" w:rsidR="00DC1CDC" w:rsidRPr="00D9492F" w:rsidRDefault="00DC1CDC" w:rsidP="00DC1CDC">
      <w:pPr>
        <w:spacing w:after="0" w:line="240" w:lineRule="auto"/>
        <w:rPr>
          <w:rFonts w:ascii="Times New Roman" w:hAnsi="Times New Roman"/>
          <w:b/>
          <w:caps/>
        </w:rPr>
      </w:pPr>
    </w:p>
    <w:p w14:paraId="7FC1E6A3"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6.</w:t>
      </w:r>
      <w:r w:rsidRPr="00D9492F">
        <w:rPr>
          <w:rFonts w:ascii="Times New Roman" w:hAnsi="Times New Roman"/>
          <w:b/>
          <w:caps/>
        </w:rPr>
        <w:tab/>
        <w:t xml:space="preserve">SPECIALUS Įspėjimas, </w:t>
      </w:r>
      <w:r w:rsidRPr="00D9492F">
        <w:rPr>
          <w:rFonts w:ascii="Times New Roman" w:hAnsi="Times New Roman"/>
          <w:b/>
          <w:bCs/>
          <w:noProof/>
        </w:rPr>
        <w:t>KAD</w:t>
      </w:r>
      <w:r w:rsidRPr="00D9492F">
        <w:rPr>
          <w:rFonts w:ascii="Times New Roman" w:hAnsi="Times New Roman"/>
          <w:b/>
          <w:caps/>
        </w:rPr>
        <w:t xml:space="preserve"> VAISTINĮ PREPARATĄ BŪTINA LAIKYTI VAIKAMS NEPASTEBIMOJE IR NEPAsiekiamOJE VIETOJE</w:t>
      </w:r>
    </w:p>
    <w:p w14:paraId="4CB9F486" w14:textId="77777777" w:rsidR="00DC1CDC" w:rsidRPr="00D9492F" w:rsidRDefault="00DC1CDC" w:rsidP="00DC1CDC">
      <w:pPr>
        <w:spacing w:after="0" w:line="240" w:lineRule="auto"/>
        <w:rPr>
          <w:rFonts w:ascii="Times New Roman" w:hAnsi="Times New Roman"/>
        </w:rPr>
      </w:pPr>
    </w:p>
    <w:p w14:paraId="14E69585"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Laikyti vaikams nepastebimoje ir nepasiekiamoje vietoje.</w:t>
      </w:r>
    </w:p>
    <w:p w14:paraId="6D02C4D0" w14:textId="77777777" w:rsidR="00DC1CDC" w:rsidRPr="00D9492F" w:rsidRDefault="00DC1CDC" w:rsidP="00DC1CDC">
      <w:pPr>
        <w:spacing w:after="0" w:line="240" w:lineRule="auto"/>
        <w:rPr>
          <w:rFonts w:ascii="Times New Roman" w:hAnsi="Times New Roman"/>
        </w:rPr>
      </w:pPr>
    </w:p>
    <w:p w14:paraId="1E4553EE" w14:textId="77777777" w:rsidR="00DC1CDC" w:rsidRPr="00D9492F" w:rsidRDefault="00DC1CDC" w:rsidP="00DC1CDC">
      <w:pPr>
        <w:spacing w:after="0" w:line="240" w:lineRule="auto"/>
        <w:rPr>
          <w:rFonts w:ascii="Times New Roman" w:hAnsi="Times New Roman"/>
        </w:rPr>
      </w:pPr>
    </w:p>
    <w:p w14:paraId="64B18862"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7.</w:t>
      </w:r>
      <w:r w:rsidRPr="00D9492F">
        <w:rPr>
          <w:rFonts w:ascii="Times New Roman" w:hAnsi="Times New Roman"/>
          <w:b/>
          <w:caps/>
        </w:rPr>
        <w:tab/>
        <w:t>kitas (-I) specialus (-ŪS) Įspėjimas (-AI) (jei reikia)</w:t>
      </w:r>
    </w:p>
    <w:p w14:paraId="09C9F6EA" w14:textId="77777777" w:rsidR="00DC1CDC" w:rsidRPr="00D9492F" w:rsidRDefault="00DC1CDC" w:rsidP="00DC1CDC">
      <w:pPr>
        <w:spacing w:after="0" w:line="240" w:lineRule="auto"/>
        <w:rPr>
          <w:rFonts w:ascii="Times New Roman" w:hAnsi="Times New Roman"/>
        </w:rPr>
      </w:pPr>
    </w:p>
    <w:p w14:paraId="24122449" w14:textId="77777777" w:rsidR="00DC1CDC" w:rsidRPr="00D9492F" w:rsidRDefault="00DC1CDC" w:rsidP="00DC1CDC">
      <w:pPr>
        <w:spacing w:after="0" w:line="240" w:lineRule="auto"/>
        <w:rPr>
          <w:rFonts w:ascii="Times New Roman" w:hAnsi="Times New Roman"/>
          <w:b/>
        </w:rPr>
      </w:pPr>
      <w:r w:rsidRPr="00D9492F">
        <w:rPr>
          <w:rFonts w:ascii="Times New Roman" w:hAnsi="Times New Roman"/>
          <w:b/>
        </w:rPr>
        <w:lastRenderedPageBreak/>
        <w:t>Citotoksinis</w:t>
      </w:r>
    </w:p>
    <w:p w14:paraId="6706BD9D" w14:textId="77777777" w:rsidR="00DC1CDC" w:rsidRPr="00D9492F" w:rsidRDefault="00DC1CDC" w:rsidP="00DC1CDC">
      <w:pPr>
        <w:spacing w:after="0" w:line="240" w:lineRule="auto"/>
        <w:rPr>
          <w:rFonts w:ascii="Times New Roman" w:hAnsi="Times New Roman"/>
          <w:caps/>
        </w:rPr>
      </w:pPr>
    </w:p>
    <w:p w14:paraId="08A5199D" w14:textId="77777777" w:rsidR="00DC1CDC" w:rsidRPr="00D9492F" w:rsidRDefault="00DC1CDC" w:rsidP="00DC1CDC">
      <w:pPr>
        <w:spacing w:after="0" w:line="240" w:lineRule="auto"/>
        <w:rPr>
          <w:rFonts w:ascii="Times New Roman" w:hAnsi="Times New Roman"/>
          <w:caps/>
        </w:rPr>
      </w:pPr>
    </w:p>
    <w:p w14:paraId="40D44CE4"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8.</w:t>
      </w:r>
      <w:r w:rsidRPr="00D9492F">
        <w:rPr>
          <w:rFonts w:ascii="Times New Roman" w:hAnsi="Times New Roman"/>
          <w:b/>
          <w:caps/>
        </w:rPr>
        <w:tab/>
        <w:t>tinkamumo laikas</w:t>
      </w:r>
    </w:p>
    <w:p w14:paraId="2B968ACA" w14:textId="77777777" w:rsidR="00DC1CDC" w:rsidRPr="00D9492F" w:rsidRDefault="00DC1CDC" w:rsidP="00DC1CDC">
      <w:pPr>
        <w:spacing w:after="0" w:line="240" w:lineRule="auto"/>
        <w:rPr>
          <w:rFonts w:ascii="Times New Roman" w:hAnsi="Times New Roman"/>
          <w:caps/>
        </w:rPr>
      </w:pPr>
    </w:p>
    <w:p w14:paraId="4957378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Tinka iki</w:t>
      </w:r>
      <w:r w:rsidR="006B129E" w:rsidRPr="00D9492F">
        <w:rPr>
          <w:rFonts w:ascii="Times New Roman" w:hAnsi="Times New Roman"/>
        </w:rPr>
        <w:t>/EXP</w:t>
      </w:r>
      <w:r w:rsidRPr="00D9492F">
        <w:rPr>
          <w:rFonts w:ascii="Times New Roman" w:hAnsi="Times New Roman"/>
        </w:rPr>
        <w:t xml:space="preserve"> MMMM/mm</w:t>
      </w:r>
    </w:p>
    <w:p w14:paraId="31FB2A10" w14:textId="77777777" w:rsidR="00DC1CDC" w:rsidRPr="00D9492F" w:rsidRDefault="00DC1CDC" w:rsidP="00DC1CDC">
      <w:pPr>
        <w:spacing w:after="0" w:line="240" w:lineRule="auto"/>
        <w:rPr>
          <w:rFonts w:ascii="Times New Roman" w:hAnsi="Times New Roman"/>
        </w:rPr>
      </w:pPr>
    </w:p>
    <w:p w14:paraId="0B897BB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Tinkamumo laikas praskiedus: žr. pakuotės lapelyje.</w:t>
      </w:r>
    </w:p>
    <w:p w14:paraId="345C9F8F" w14:textId="77777777" w:rsidR="00DC1CDC" w:rsidRPr="00D9492F" w:rsidRDefault="00DC1CDC" w:rsidP="00DC1CDC">
      <w:pPr>
        <w:spacing w:after="0" w:line="240" w:lineRule="auto"/>
        <w:rPr>
          <w:rFonts w:ascii="Times New Roman" w:hAnsi="Times New Roman"/>
        </w:rPr>
      </w:pPr>
    </w:p>
    <w:p w14:paraId="6061F6A2" w14:textId="77777777" w:rsidR="00DC1CDC" w:rsidRPr="00D9492F" w:rsidRDefault="00DC1CDC" w:rsidP="00DC1CDC">
      <w:pPr>
        <w:spacing w:after="0" w:line="240" w:lineRule="auto"/>
        <w:rPr>
          <w:rFonts w:ascii="Times New Roman" w:hAnsi="Times New Roman"/>
        </w:rPr>
      </w:pPr>
    </w:p>
    <w:p w14:paraId="293F7BD8"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9.</w:t>
      </w:r>
      <w:r w:rsidRPr="00D9492F">
        <w:rPr>
          <w:rFonts w:ascii="Times New Roman" w:hAnsi="Times New Roman"/>
          <w:b/>
          <w:caps/>
        </w:rPr>
        <w:tab/>
        <w:t>SPECIALIOS laikymo sąlygos</w:t>
      </w:r>
    </w:p>
    <w:p w14:paraId="037EE2E4" w14:textId="77777777" w:rsidR="00DC1CDC" w:rsidRPr="00D9492F" w:rsidRDefault="00DC1CDC" w:rsidP="00DC1CDC">
      <w:pPr>
        <w:spacing w:after="0" w:line="240" w:lineRule="auto"/>
        <w:rPr>
          <w:rFonts w:ascii="Times New Roman" w:hAnsi="Times New Roman"/>
        </w:rPr>
      </w:pPr>
    </w:p>
    <w:p w14:paraId="35D2FB01"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Laikyti ne aukštesnėje kaip 25 °C temperatūroje. N</w:t>
      </w:r>
      <w:r w:rsidRPr="00D9492F">
        <w:rPr>
          <w:rFonts w:ascii="Times New Roman" w:hAnsi="Times New Roman"/>
          <w:noProof/>
        </w:rPr>
        <w:t>egalima šaldyti ar užšaldyti</w:t>
      </w:r>
      <w:r w:rsidRPr="00D9492F">
        <w:rPr>
          <w:rFonts w:ascii="Times New Roman" w:hAnsi="Times New Roman"/>
        </w:rPr>
        <w:t>.</w:t>
      </w:r>
    </w:p>
    <w:p w14:paraId="79F41559" w14:textId="77777777" w:rsidR="00DC1CDC" w:rsidRPr="00D9492F" w:rsidRDefault="00DC1CDC" w:rsidP="00DC1CDC">
      <w:pPr>
        <w:spacing w:after="0" w:line="240" w:lineRule="auto"/>
        <w:rPr>
          <w:rFonts w:ascii="Times New Roman" w:hAnsi="Times New Roman"/>
        </w:rPr>
      </w:pPr>
      <w:r w:rsidRPr="00D9492F">
        <w:rPr>
          <w:rFonts w:ascii="Times New Roman" w:hAnsi="Times New Roman"/>
          <w:noProof/>
        </w:rPr>
        <w:t>Flakoną laikyti išorinėje dėžutėje, kad vaistas būtų apsaugotas nuo šviesos.</w:t>
      </w:r>
    </w:p>
    <w:p w14:paraId="23E3FC2F" w14:textId="77777777" w:rsidR="00DC1CDC" w:rsidRPr="00D9492F" w:rsidRDefault="00DC1CDC" w:rsidP="00DC1CDC">
      <w:pPr>
        <w:spacing w:after="0" w:line="240" w:lineRule="auto"/>
        <w:rPr>
          <w:rFonts w:ascii="Times New Roman" w:hAnsi="Times New Roman"/>
        </w:rPr>
      </w:pPr>
    </w:p>
    <w:p w14:paraId="7C4E4C7F" w14:textId="77777777" w:rsidR="00DC1CDC" w:rsidRPr="00D9492F" w:rsidRDefault="00DC1CDC" w:rsidP="00DC1CDC">
      <w:pPr>
        <w:spacing w:after="0" w:line="240" w:lineRule="auto"/>
        <w:rPr>
          <w:rFonts w:ascii="Times New Roman" w:hAnsi="Times New Roman"/>
        </w:rPr>
      </w:pPr>
    </w:p>
    <w:p w14:paraId="62D99188"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10.</w:t>
      </w:r>
      <w:r w:rsidRPr="00D9492F">
        <w:rPr>
          <w:rFonts w:ascii="Times New Roman" w:hAnsi="Times New Roman"/>
          <w:b/>
          <w:caps/>
        </w:rPr>
        <w:tab/>
        <w:t>specialios atsargumo priemonės</w:t>
      </w:r>
      <w:r w:rsidRPr="00D9492F">
        <w:rPr>
          <w:rFonts w:ascii="Times New Roman" w:hAnsi="Times New Roman"/>
          <w:b/>
          <w:caps/>
          <w:noProof/>
        </w:rPr>
        <w:t xml:space="preserve"> DĖL NESUVARTOTO</w:t>
      </w:r>
      <w:r w:rsidRPr="00D9492F" w:rsidDel="00537816">
        <w:rPr>
          <w:rFonts w:ascii="Times New Roman" w:hAnsi="Times New Roman"/>
          <w:b/>
          <w:caps/>
        </w:rPr>
        <w:t xml:space="preserve"> </w:t>
      </w:r>
      <w:r w:rsidRPr="00D9492F">
        <w:rPr>
          <w:rFonts w:ascii="Times New Roman" w:hAnsi="Times New Roman"/>
          <w:b/>
          <w:caps/>
        </w:rPr>
        <w:t xml:space="preserve">vaistinIO preparatO </w:t>
      </w:r>
      <w:r w:rsidRPr="00D9492F">
        <w:rPr>
          <w:rFonts w:ascii="Times New Roman" w:hAnsi="Times New Roman"/>
          <w:b/>
          <w:bCs/>
          <w:caps/>
          <w:noProof/>
        </w:rPr>
        <w:t xml:space="preserve">AR JO </w:t>
      </w:r>
      <w:r w:rsidRPr="00D9492F">
        <w:rPr>
          <w:rFonts w:ascii="Times New Roman" w:hAnsi="Times New Roman"/>
          <w:b/>
          <w:caps/>
        </w:rPr>
        <w:t>ATLIEK</w:t>
      </w:r>
      <w:r w:rsidRPr="00D9492F">
        <w:rPr>
          <w:rFonts w:ascii="Times New Roman" w:hAnsi="Times New Roman"/>
          <w:b/>
          <w:noProof/>
        </w:rPr>
        <w:t>Ų</w:t>
      </w:r>
      <w:r w:rsidRPr="00D9492F" w:rsidDel="00537816">
        <w:rPr>
          <w:rFonts w:ascii="Times New Roman" w:hAnsi="Times New Roman"/>
          <w:b/>
          <w:caps/>
        </w:rPr>
        <w:t xml:space="preserve"> </w:t>
      </w:r>
      <w:r w:rsidRPr="00D9492F">
        <w:rPr>
          <w:rFonts w:ascii="Times New Roman" w:hAnsi="Times New Roman"/>
          <w:b/>
          <w:bCs/>
          <w:caps/>
          <w:noProof/>
        </w:rPr>
        <w:t>TVARKYMO</w:t>
      </w:r>
      <w:r w:rsidRPr="00D9492F">
        <w:rPr>
          <w:rFonts w:ascii="Times New Roman" w:hAnsi="Times New Roman"/>
          <w:b/>
          <w:caps/>
        </w:rPr>
        <w:t xml:space="preserve"> (jei reikia)</w:t>
      </w:r>
    </w:p>
    <w:p w14:paraId="4FB0EFBD" w14:textId="77777777" w:rsidR="00DC1CDC" w:rsidRPr="00D9492F" w:rsidRDefault="00DC1CDC" w:rsidP="00DC1CDC">
      <w:pPr>
        <w:spacing w:after="0" w:line="240" w:lineRule="auto"/>
        <w:rPr>
          <w:rFonts w:ascii="Times New Roman" w:hAnsi="Times New Roman"/>
        </w:rPr>
      </w:pPr>
    </w:p>
    <w:p w14:paraId="51E9FDA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noProof/>
        </w:rPr>
        <w:t>Nesuvartotą vaistą ar atliekas reikia tvarkyti laikantis vietinių reikalavimų</w:t>
      </w:r>
      <w:r w:rsidRPr="00D9492F">
        <w:rPr>
          <w:rFonts w:ascii="Times New Roman" w:hAnsi="Times New Roman"/>
        </w:rPr>
        <w:t>.</w:t>
      </w:r>
    </w:p>
    <w:p w14:paraId="18B3C668" w14:textId="77777777" w:rsidR="00DC1CDC" w:rsidRPr="00D9492F" w:rsidRDefault="00DC1CDC" w:rsidP="00DC1CDC">
      <w:pPr>
        <w:spacing w:after="0" w:line="240" w:lineRule="auto"/>
        <w:rPr>
          <w:rFonts w:ascii="Times New Roman" w:hAnsi="Times New Roman"/>
        </w:rPr>
      </w:pPr>
    </w:p>
    <w:p w14:paraId="43CF511B" w14:textId="77777777" w:rsidR="00DC1CDC" w:rsidRPr="00D9492F" w:rsidRDefault="00DC1CDC" w:rsidP="00DC1CDC">
      <w:pPr>
        <w:spacing w:after="0" w:line="240" w:lineRule="auto"/>
        <w:rPr>
          <w:rFonts w:ascii="Times New Roman" w:hAnsi="Times New Roman"/>
        </w:rPr>
      </w:pPr>
    </w:p>
    <w:p w14:paraId="03676409"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11.</w:t>
      </w:r>
      <w:r w:rsidRPr="00D9492F">
        <w:rPr>
          <w:rFonts w:ascii="Times New Roman" w:hAnsi="Times New Roman"/>
          <w:b/>
          <w:caps/>
        </w:rPr>
        <w:tab/>
      </w:r>
      <w:r w:rsidRPr="00D9492F">
        <w:rPr>
          <w:rFonts w:ascii="Times New Roman" w:hAnsi="Times New Roman"/>
          <w:b/>
          <w:caps/>
          <w:noProof/>
        </w:rPr>
        <w:t>REGISTRUOTOJO</w:t>
      </w:r>
      <w:r w:rsidRPr="00D9492F">
        <w:rPr>
          <w:rFonts w:ascii="Times New Roman" w:hAnsi="Times New Roman"/>
          <w:b/>
          <w:caps/>
        </w:rPr>
        <w:t xml:space="preserve"> pavadinimas ir adresas</w:t>
      </w:r>
    </w:p>
    <w:p w14:paraId="30755DF9" w14:textId="77777777" w:rsidR="00DC1CDC" w:rsidRPr="00D9492F" w:rsidRDefault="00DC1CDC" w:rsidP="00DC1CDC">
      <w:pPr>
        <w:spacing w:after="0" w:line="240" w:lineRule="auto"/>
        <w:rPr>
          <w:rFonts w:ascii="Times New Roman" w:eastAsia="Times New Roman" w:hAnsi="Times New Roman"/>
        </w:rPr>
      </w:pPr>
    </w:p>
    <w:p w14:paraId="21A2F5D9" w14:textId="77777777" w:rsidR="00DC1CDC" w:rsidRPr="00D9492F" w:rsidRDefault="00DC1CDC" w:rsidP="00DC1CDC">
      <w:pPr>
        <w:widowControl w:val="0"/>
        <w:suppressAutoHyphens/>
        <w:autoSpaceDE w:val="0"/>
        <w:spacing w:after="0" w:line="240" w:lineRule="auto"/>
        <w:rPr>
          <w:rFonts w:ascii="Times New Roman" w:hAnsi="Times New Roman"/>
          <w:color w:val="000000"/>
          <w:lang w:eastAsia="ar-SA"/>
        </w:rPr>
      </w:pPr>
      <w:r w:rsidRPr="00D9492F">
        <w:rPr>
          <w:rFonts w:ascii="Times New Roman" w:hAnsi="Times New Roman"/>
          <w:color w:val="000000"/>
          <w:lang w:eastAsia="ar-SA"/>
        </w:rPr>
        <w:t>UAB SanoSwiss</w:t>
      </w:r>
    </w:p>
    <w:p w14:paraId="6D4F2813"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Lvovo g. 25-701,</w:t>
      </w:r>
    </w:p>
    <w:p w14:paraId="10C160BC"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LT-09320 Vilnius,</w:t>
      </w:r>
    </w:p>
    <w:p w14:paraId="543602FA" w14:textId="77777777" w:rsidR="00DC1CDC" w:rsidRPr="00D9492F" w:rsidRDefault="00DC1CDC" w:rsidP="00DC1CDC">
      <w:pPr>
        <w:widowControl w:val="0"/>
        <w:suppressAutoHyphens/>
        <w:autoSpaceDE w:val="0"/>
        <w:spacing w:after="0" w:line="240" w:lineRule="auto"/>
        <w:rPr>
          <w:rFonts w:ascii="Times New Roman" w:hAnsi="Times New Roman"/>
          <w:bCs/>
          <w:color w:val="000000"/>
          <w:lang w:eastAsia="ar-SA"/>
        </w:rPr>
      </w:pPr>
      <w:r w:rsidRPr="00D9492F">
        <w:rPr>
          <w:rFonts w:ascii="Times New Roman" w:hAnsi="Times New Roman"/>
          <w:bCs/>
          <w:color w:val="000000"/>
          <w:lang w:eastAsia="ar-SA"/>
        </w:rPr>
        <w:t>Lietuva</w:t>
      </w:r>
    </w:p>
    <w:p w14:paraId="371D1E4B" w14:textId="77777777" w:rsidR="00DC1CDC" w:rsidRPr="00D9492F" w:rsidRDefault="00DC1CDC" w:rsidP="00DC1CDC">
      <w:pPr>
        <w:spacing w:after="0" w:line="240" w:lineRule="auto"/>
        <w:rPr>
          <w:rFonts w:ascii="Times New Roman" w:hAnsi="Times New Roman"/>
        </w:rPr>
      </w:pPr>
    </w:p>
    <w:p w14:paraId="731FE52E" w14:textId="77777777" w:rsidR="00DC1CDC" w:rsidRPr="00D9492F" w:rsidRDefault="00DC1CDC" w:rsidP="00DC1CDC">
      <w:pPr>
        <w:spacing w:after="0" w:line="240" w:lineRule="auto"/>
        <w:rPr>
          <w:rFonts w:ascii="Times New Roman" w:hAnsi="Times New Roman"/>
        </w:rPr>
      </w:pPr>
    </w:p>
    <w:p w14:paraId="29A80FEC"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12.</w:t>
      </w:r>
      <w:r w:rsidRPr="00D9492F">
        <w:rPr>
          <w:rFonts w:ascii="Times New Roman" w:hAnsi="Times New Roman"/>
          <w:b/>
          <w:caps/>
        </w:rPr>
        <w:tab/>
      </w:r>
      <w:r w:rsidRPr="00D9492F">
        <w:rPr>
          <w:rFonts w:ascii="Times New Roman" w:hAnsi="Times New Roman"/>
          <w:b/>
          <w:caps/>
          <w:noProof/>
        </w:rPr>
        <w:t xml:space="preserve">REGISTRACIJOS PAŽYMĖJIMO </w:t>
      </w:r>
      <w:r w:rsidRPr="00D9492F">
        <w:rPr>
          <w:rFonts w:ascii="Times New Roman" w:hAnsi="Times New Roman"/>
          <w:b/>
          <w:caps/>
        </w:rPr>
        <w:t>numeris (-IAI)</w:t>
      </w:r>
    </w:p>
    <w:p w14:paraId="2F778E1A" w14:textId="77777777" w:rsidR="00DC1CDC" w:rsidRPr="00D9492F" w:rsidRDefault="00DC1CDC" w:rsidP="00DC1CDC">
      <w:pPr>
        <w:spacing w:after="0" w:line="240" w:lineRule="auto"/>
        <w:rPr>
          <w:rFonts w:ascii="Times New Roman" w:hAnsi="Times New Roman"/>
        </w:rPr>
      </w:pPr>
    </w:p>
    <w:p w14:paraId="18934C39" w14:textId="56BFC43F" w:rsidR="00DC1CDC" w:rsidRPr="00D9492F" w:rsidRDefault="00DC1CDC" w:rsidP="00DC1CDC">
      <w:pPr>
        <w:spacing w:after="0" w:line="240" w:lineRule="auto"/>
        <w:rPr>
          <w:rFonts w:ascii="Times New Roman" w:hAnsi="Times New Roman"/>
        </w:rPr>
      </w:pPr>
      <w:r w:rsidRPr="00D9492F">
        <w:rPr>
          <w:rFonts w:ascii="Times New Roman" w:hAnsi="Times New Roman"/>
        </w:rPr>
        <w:t>LT/1/14/3596/001</w:t>
      </w:r>
      <w:r w:rsidR="005365A9" w:rsidRPr="00D9492F">
        <w:rPr>
          <w:rFonts w:ascii="Times New Roman" w:hAnsi="Times New Roman"/>
        </w:rPr>
        <w:t xml:space="preserve"> – 0,5 ml</w:t>
      </w:r>
    </w:p>
    <w:p w14:paraId="65DFD2D6" w14:textId="314B2BA9" w:rsidR="00DC1CDC" w:rsidRPr="00D9492F" w:rsidRDefault="00DC1CDC" w:rsidP="00DC1CDC">
      <w:pPr>
        <w:spacing w:after="0" w:line="240" w:lineRule="auto"/>
        <w:rPr>
          <w:rFonts w:ascii="Times New Roman" w:hAnsi="Times New Roman"/>
        </w:rPr>
      </w:pPr>
      <w:r w:rsidRPr="00D9492F">
        <w:rPr>
          <w:rFonts w:ascii="Times New Roman" w:hAnsi="Times New Roman"/>
        </w:rPr>
        <w:t>LT/1/14/3596/002</w:t>
      </w:r>
      <w:r w:rsidR="005365A9" w:rsidRPr="00D9492F">
        <w:rPr>
          <w:rFonts w:ascii="Times New Roman" w:hAnsi="Times New Roman"/>
        </w:rPr>
        <w:t xml:space="preserve"> – 2 ml</w:t>
      </w:r>
    </w:p>
    <w:p w14:paraId="56A85B6B" w14:textId="77777777" w:rsidR="00DC1CDC" w:rsidRPr="00D9492F" w:rsidRDefault="00DC1CDC" w:rsidP="00DC1CDC">
      <w:pPr>
        <w:spacing w:after="0" w:line="240" w:lineRule="auto"/>
        <w:rPr>
          <w:rFonts w:ascii="Times New Roman" w:hAnsi="Times New Roman"/>
        </w:rPr>
      </w:pPr>
    </w:p>
    <w:p w14:paraId="13C8057F" w14:textId="77777777" w:rsidR="00DC1CDC" w:rsidRPr="00D9492F" w:rsidRDefault="00DC1CDC" w:rsidP="00DC1CDC">
      <w:pPr>
        <w:spacing w:after="0" w:line="240" w:lineRule="auto"/>
        <w:rPr>
          <w:rFonts w:ascii="Times New Roman" w:hAnsi="Times New Roman"/>
        </w:rPr>
      </w:pPr>
    </w:p>
    <w:p w14:paraId="7B8782A5"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13.</w:t>
      </w:r>
      <w:r w:rsidRPr="00D9492F">
        <w:rPr>
          <w:rFonts w:ascii="Times New Roman" w:hAnsi="Times New Roman"/>
          <w:b/>
          <w:caps/>
        </w:rPr>
        <w:tab/>
        <w:t>serijos numeris</w:t>
      </w:r>
    </w:p>
    <w:p w14:paraId="18ABE5E9" w14:textId="77777777" w:rsidR="00DC1CDC" w:rsidRPr="00D9492F" w:rsidRDefault="00DC1CDC" w:rsidP="00DC1CDC">
      <w:pPr>
        <w:spacing w:after="0" w:line="240" w:lineRule="auto"/>
        <w:rPr>
          <w:rFonts w:ascii="Times New Roman" w:hAnsi="Times New Roman"/>
        </w:rPr>
      </w:pPr>
    </w:p>
    <w:p w14:paraId="159FD9C3"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Serija</w:t>
      </w:r>
      <w:r w:rsidR="006B129E" w:rsidRPr="00D9492F">
        <w:rPr>
          <w:rFonts w:ascii="Times New Roman" w:hAnsi="Times New Roman"/>
        </w:rPr>
        <w:t>/Lot</w:t>
      </w:r>
    </w:p>
    <w:p w14:paraId="3071D792" w14:textId="77777777" w:rsidR="00DC1CDC" w:rsidRPr="00D9492F" w:rsidRDefault="00DC1CDC" w:rsidP="00DC1CDC">
      <w:pPr>
        <w:spacing w:after="0" w:line="240" w:lineRule="auto"/>
        <w:rPr>
          <w:rFonts w:ascii="Times New Roman" w:hAnsi="Times New Roman"/>
        </w:rPr>
      </w:pPr>
    </w:p>
    <w:p w14:paraId="1A67CBB1" w14:textId="77777777" w:rsidR="00DC1CDC" w:rsidRPr="00D9492F" w:rsidRDefault="00DC1CDC" w:rsidP="00DC1CDC">
      <w:pPr>
        <w:spacing w:after="0" w:line="240" w:lineRule="auto"/>
        <w:rPr>
          <w:rFonts w:ascii="Times New Roman" w:hAnsi="Times New Roman"/>
        </w:rPr>
      </w:pPr>
    </w:p>
    <w:p w14:paraId="1AFDFC00"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14.</w:t>
      </w:r>
      <w:r w:rsidRPr="00D9492F">
        <w:rPr>
          <w:rFonts w:ascii="Times New Roman" w:hAnsi="Times New Roman"/>
          <w:b/>
          <w:caps/>
        </w:rPr>
        <w:tab/>
      </w:r>
      <w:r w:rsidRPr="00D9492F">
        <w:rPr>
          <w:rFonts w:ascii="Times New Roman" w:hAnsi="Times New Roman"/>
          <w:b/>
          <w:noProof/>
        </w:rPr>
        <w:t xml:space="preserve">PARDAVIMO (IŠDAVIMO) </w:t>
      </w:r>
      <w:r w:rsidRPr="00D9492F">
        <w:rPr>
          <w:rFonts w:ascii="Times New Roman" w:hAnsi="Times New Roman"/>
          <w:b/>
          <w:caps/>
        </w:rPr>
        <w:t>tvarka</w:t>
      </w:r>
    </w:p>
    <w:p w14:paraId="1CB95668" w14:textId="77777777" w:rsidR="00DC1CDC" w:rsidRPr="00D9492F" w:rsidRDefault="00DC1CDC" w:rsidP="00DC1CDC">
      <w:pPr>
        <w:spacing w:after="0" w:line="240" w:lineRule="auto"/>
        <w:rPr>
          <w:rFonts w:ascii="Times New Roman" w:hAnsi="Times New Roman"/>
          <w:b/>
          <w:caps/>
        </w:rPr>
      </w:pPr>
    </w:p>
    <w:p w14:paraId="0D34956C"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Receptinis vaistas.</w:t>
      </w:r>
    </w:p>
    <w:p w14:paraId="35550835" w14:textId="77777777" w:rsidR="00DC1CDC" w:rsidRPr="00D9492F" w:rsidRDefault="00DC1CDC" w:rsidP="00DC1CDC">
      <w:pPr>
        <w:spacing w:after="0" w:line="240" w:lineRule="auto"/>
        <w:rPr>
          <w:rFonts w:ascii="Times New Roman" w:hAnsi="Times New Roman"/>
        </w:rPr>
      </w:pPr>
    </w:p>
    <w:p w14:paraId="1A28A708" w14:textId="77777777" w:rsidR="00DC1CDC" w:rsidRPr="00D9492F" w:rsidRDefault="00DC1CDC" w:rsidP="00DC1CDC">
      <w:pPr>
        <w:spacing w:after="0" w:line="240" w:lineRule="auto"/>
        <w:rPr>
          <w:rFonts w:ascii="Times New Roman" w:hAnsi="Times New Roman"/>
        </w:rPr>
      </w:pPr>
    </w:p>
    <w:p w14:paraId="249CA637"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15.</w:t>
      </w:r>
      <w:r w:rsidRPr="00D9492F">
        <w:rPr>
          <w:rFonts w:ascii="Times New Roman" w:hAnsi="Times New Roman"/>
          <w:b/>
          <w:caps/>
        </w:rPr>
        <w:tab/>
        <w:t>vartojimo instrukcijA</w:t>
      </w:r>
    </w:p>
    <w:p w14:paraId="28A14A53" w14:textId="77777777" w:rsidR="00DC1CDC" w:rsidRPr="00D9492F" w:rsidRDefault="00DC1CDC" w:rsidP="00DC1CDC">
      <w:pPr>
        <w:spacing w:after="0" w:line="240" w:lineRule="auto"/>
        <w:rPr>
          <w:rFonts w:ascii="Times New Roman" w:hAnsi="Times New Roman"/>
        </w:rPr>
      </w:pPr>
    </w:p>
    <w:p w14:paraId="4EAD0A6C" w14:textId="77777777" w:rsidR="00DC1CDC" w:rsidRPr="00D9492F" w:rsidRDefault="00DC1CDC" w:rsidP="00DC1CDC">
      <w:pPr>
        <w:spacing w:after="0" w:line="240" w:lineRule="auto"/>
        <w:rPr>
          <w:rFonts w:ascii="Times New Roman" w:hAnsi="Times New Roman"/>
        </w:rPr>
      </w:pPr>
    </w:p>
    <w:p w14:paraId="5F75BAE2"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16.</w:t>
      </w:r>
      <w:r w:rsidRPr="00D9492F">
        <w:rPr>
          <w:rFonts w:ascii="Times New Roman" w:hAnsi="Times New Roman"/>
          <w:b/>
          <w:caps/>
        </w:rPr>
        <w:tab/>
        <w:t>INFORMACIJA BRAILIO RAŠTU</w:t>
      </w:r>
    </w:p>
    <w:p w14:paraId="428F4E49" w14:textId="77777777" w:rsidR="00DC1CDC" w:rsidRPr="00D9492F" w:rsidRDefault="00DC1CDC" w:rsidP="00DC1CDC">
      <w:pPr>
        <w:spacing w:after="0" w:line="240" w:lineRule="auto"/>
        <w:rPr>
          <w:rFonts w:ascii="Times New Roman" w:hAnsi="Times New Roman"/>
        </w:rPr>
      </w:pPr>
    </w:p>
    <w:p w14:paraId="0EBB2CB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Priimtas pagrindimas informacijos Brailio raštu nepateikti.</w:t>
      </w:r>
    </w:p>
    <w:p w14:paraId="3DAF85C1" w14:textId="77777777" w:rsidR="00DC1CDC" w:rsidRPr="00D9492F" w:rsidRDefault="00DC1CDC" w:rsidP="00DC1CDC">
      <w:pPr>
        <w:spacing w:after="0" w:line="240" w:lineRule="auto"/>
        <w:rPr>
          <w:rFonts w:ascii="Times New Roman" w:hAnsi="Times New Roman"/>
        </w:rPr>
      </w:pPr>
    </w:p>
    <w:p w14:paraId="11AB2112" w14:textId="77777777" w:rsidR="00DC1CDC" w:rsidRPr="00D9492F" w:rsidRDefault="00DC1CDC" w:rsidP="00DC1CDC">
      <w:pPr>
        <w:widowControl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C1CDC" w:rsidRPr="00D9492F" w14:paraId="10498DB2" w14:textId="77777777" w:rsidTr="006C4B20">
        <w:tc>
          <w:tcPr>
            <w:tcW w:w="9650" w:type="dxa"/>
            <w:shd w:val="clear" w:color="auto" w:fill="auto"/>
          </w:tcPr>
          <w:p w14:paraId="6D206EDA" w14:textId="77777777" w:rsidR="00DC1CDC" w:rsidRPr="00D9492F" w:rsidRDefault="00DC1CDC" w:rsidP="006C4B20">
            <w:pPr>
              <w:widowControl w:val="0"/>
              <w:tabs>
                <w:tab w:val="left" w:pos="597"/>
                <w:tab w:val="left" w:pos="675"/>
              </w:tabs>
              <w:spacing w:after="0" w:line="240" w:lineRule="auto"/>
              <w:rPr>
                <w:rFonts w:ascii="Times New Roman" w:hAnsi="Times New Roman"/>
                <w:lang w:val="de-DE"/>
              </w:rPr>
            </w:pPr>
            <w:r w:rsidRPr="00D9492F">
              <w:rPr>
                <w:rFonts w:ascii="Times New Roman" w:hAnsi="Times New Roman"/>
                <w:b/>
                <w:w w:val="95"/>
                <w:lang w:val="de-DE"/>
              </w:rPr>
              <w:t>17.</w:t>
            </w:r>
            <w:r w:rsidRPr="00D9492F">
              <w:rPr>
                <w:rFonts w:ascii="Times New Roman" w:hAnsi="Times New Roman"/>
                <w:b/>
                <w:w w:val="95"/>
                <w:lang w:val="de-DE"/>
              </w:rPr>
              <w:tab/>
            </w:r>
            <w:r w:rsidRPr="00D9492F">
              <w:rPr>
                <w:rFonts w:ascii="Times New Roman" w:hAnsi="Times New Roman"/>
                <w:b/>
                <w:lang w:val="de-DE"/>
              </w:rPr>
              <w:t>UNIKALUS IDENTIFIKATORIUS – 2D BRŪKŠNINIS KODAS</w:t>
            </w:r>
          </w:p>
        </w:tc>
      </w:tr>
    </w:tbl>
    <w:p w14:paraId="70CD99BD" w14:textId="77777777" w:rsidR="00DC1CDC" w:rsidRPr="00D9492F" w:rsidRDefault="00DC1CDC" w:rsidP="00DC1CDC">
      <w:pPr>
        <w:widowControl w:val="0"/>
        <w:spacing w:after="0" w:line="240" w:lineRule="auto"/>
        <w:rPr>
          <w:rFonts w:ascii="Times New Roman" w:hAnsi="Times New Roman"/>
        </w:rPr>
      </w:pPr>
    </w:p>
    <w:p w14:paraId="1A8FCAB8" w14:textId="77777777" w:rsidR="00DC1CDC" w:rsidRPr="00D9492F" w:rsidRDefault="00DC1CDC" w:rsidP="00DC1CDC">
      <w:pPr>
        <w:widowControl w:val="0"/>
        <w:spacing w:after="0" w:line="240" w:lineRule="auto"/>
        <w:rPr>
          <w:rFonts w:ascii="Times New Roman" w:hAnsi="Times New Roman"/>
          <w:shd w:val="clear" w:color="auto" w:fill="CCCCCC"/>
        </w:rPr>
      </w:pPr>
      <w:r w:rsidRPr="00D9492F">
        <w:rPr>
          <w:rFonts w:ascii="Times New Roman" w:hAnsi="Times New Roman"/>
        </w:rPr>
        <w:t>2D brūkšninis kodas su nurodytu unikaliu identifikatoriumi.</w:t>
      </w:r>
    </w:p>
    <w:p w14:paraId="1960AD6B" w14:textId="77777777" w:rsidR="00DC1CDC" w:rsidRPr="00D9492F" w:rsidRDefault="00DC1CDC" w:rsidP="00DC1CDC">
      <w:pPr>
        <w:widowControl w:val="0"/>
        <w:spacing w:after="0" w:line="240" w:lineRule="auto"/>
        <w:rPr>
          <w:rFonts w:ascii="Times New Roman" w:hAnsi="Times New Roman"/>
        </w:rPr>
      </w:pPr>
    </w:p>
    <w:p w14:paraId="2CE99AAB" w14:textId="77777777" w:rsidR="00DC1CDC" w:rsidRPr="00D9492F" w:rsidRDefault="00DC1CDC" w:rsidP="00DC1CDC">
      <w:pPr>
        <w:widowControl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C1CDC" w:rsidRPr="00D9492F" w14:paraId="4C6BE2FD" w14:textId="77777777" w:rsidTr="006C4B20">
        <w:tc>
          <w:tcPr>
            <w:tcW w:w="9650" w:type="dxa"/>
            <w:shd w:val="clear" w:color="auto" w:fill="auto"/>
          </w:tcPr>
          <w:p w14:paraId="18DF5FD3" w14:textId="77777777" w:rsidR="00DC1CDC" w:rsidRPr="00D9492F" w:rsidRDefault="00DC1CDC" w:rsidP="006C4B20">
            <w:pPr>
              <w:widowControl w:val="0"/>
              <w:tabs>
                <w:tab w:val="left" w:pos="571"/>
                <w:tab w:val="left" w:pos="851"/>
              </w:tabs>
              <w:spacing w:after="0" w:line="240" w:lineRule="auto"/>
              <w:rPr>
                <w:rFonts w:ascii="Times New Roman" w:hAnsi="Times New Roman"/>
                <w:b/>
                <w:lang w:val="fi-FI"/>
              </w:rPr>
            </w:pPr>
            <w:r w:rsidRPr="00D9492F">
              <w:rPr>
                <w:rFonts w:ascii="Times New Roman" w:hAnsi="Times New Roman"/>
                <w:b/>
                <w:lang w:val="fi-FI"/>
              </w:rPr>
              <w:t xml:space="preserve">18. </w:t>
            </w:r>
            <w:r w:rsidRPr="00D9492F">
              <w:rPr>
                <w:rFonts w:ascii="Times New Roman" w:hAnsi="Times New Roman"/>
                <w:b/>
                <w:lang w:val="fi-FI"/>
              </w:rPr>
              <w:tab/>
              <w:t>UNIKALUS IDENTIFIKATORIUS – ŽMONĖMS SUPRANTAMI DUOMENYS</w:t>
            </w:r>
          </w:p>
        </w:tc>
      </w:tr>
    </w:tbl>
    <w:p w14:paraId="61EFECBC" w14:textId="77777777" w:rsidR="00DC1CDC" w:rsidRPr="00D9492F" w:rsidRDefault="00DC1CDC" w:rsidP="00DC1CDC">
      <w:pPr>
        <w:widowControl w:val="0"/>
        <w:spacing w:after="0" w:line="240" w:lineRule="auto"/>
        <w:rPr>
          <w:rFonts w:ascii="Times New Roman" w:hAnsi="Times New Roman"/>
        </w:rPr>
      </w:pPr>
    </w:p>
    <w:p w14:paraId="4C59C68E" w14:textId="34910E2E" w:rsidR="00DC1CDC" w:rsidRPr="00D9492F" w:rsidRDefault="00DC1CDC" w:rsidP="00DC1CDC">
      <w:pPr>
        <w:widowControl w:val="0"/>
        <w:spacing w:after="0" w:line="240" w:lineRule="auto"/>
        <w:rPr>
          <w:rFonts w:ascii="Times New Roman" w:hAnsi="Times New Roman"/>
        </w:rPr>
      </w:pPr>
      <w:r w:rsidRPr="00D9492F">
        <w:rPr>
          <w:rFonts w:ascii="Times New Roman" w:hAnsi="Times New Roman"/>
        </w:rPr>
        <w:t>PC: {numeris}</w:t>
      </w:r>
    </w:p>
    <w:p w14:paraId="2B2322C2" w14:textId="3BD9D9A5" w:rsidR="00DC1CDC" w:rsidRPr="00D9492F" w:rsidRDefault="00DC1CDC" w:rsidP="00DC1CDC">
      <w:pPr>
        <w:widowControl w:val="0"/>
        <w:spacing w:after="0" w:line="240" w:lineRule="auto"/>
        <w:rPr>
          <w:rFonts w:ascii="Times New Roman" w:hAnsi="Times New Roman"/>
        </w:rPr>
      </w:pPr>
      <w:r w:rsidRPr="00D9492F">
        <w:rPr>
          <w:rFonts w:ascii="Times New Roman" w:hAnsi="Times New Roman"/>
        </w:rPr>
        <w:t>SN: {numeris}</w:t>
      </w:r>
    </w:p>
    <w:p w14:paraId="5A71B536" w14:textId="46AFA925" w:rsidR="000465A3" w:rsidRPr="00D9492F" w:rsidRDefault="00DC1CDC" w:rsidP="000465A3">
      <w:pPr>
        <w:widowControl w:val="0"/>
        <w:spacing w:after="0" w:line="240" w:lineRule="auto"/>
        <w:rPr>
          <w:rFonts w:ascii="Times New Roman" w:hAnsi="Times New Roman"/>
        </w:rPr>
      </w:pPr>
      <w:r w:rsidRPr="00D9492F">
        <w:rPr>
          <w:rFonts w:ascii="Times New Roman" w:hAnsi="Times New Roman"/>
        </w:rPr>
        <w:t>NN: {numeris}</w:t>
      </w:r>
    </w:p>
    <w:p w14:paraId="5D08DA3F" w14:textId="7DFFD3EA" w:rsidR="00DC1CDC" w:rsidRPr="00D9492F" w:rsidRDefault="00DC1CDC" w:rsidP="008D51B4">
      <w:pPr>
        <w:widowControl w:val="0"/>
        <w:spacing w:after="0" w:line="240" w:lineRule="auto"/>
        <w:rPr>
          <w:rFonts w:ascii="Times New Roman" w:hAnsi="Times New Roman"/>
        </w:rPr>
      </w:pPr>
      <w:r w:rsidRPr="00D9492F">
        <w:rPr>
          <w:rFonts w:ascii="Times New Roman" w:hAnsi="Times New Roman"/>
        </w:rPr>
        <w:br w:type="page"/>
      </w:r>
    </w:p>
    <w:p w14:paraId="37A9851E" w14:textId="77777777" w:rsidR="00DC1CDC" w:rsidRPr="00D9492F" w:rsidRDefault="00DC1CDC" w:rsidP="00DC1CDC">
      <w:p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567" w:hanging="567"/>
        <w:rPr>
          <w:rFonts w:ascii="Times New Roman" w:hAnsi="Times New Roman"/>
          <w:b/>
        </w:rPr>
      </w:pPr>
      <w:r w:rsidRPr="00D9492F">
        <w:rPr>
          <w:rFonts w:ascii="Times New Roman" w:hAnsi="Times New Roman"/>
          <w:b/>
        </w:rPr>
        <w:lastRenderedPageBreak/>
        <w:t xml:space="preserve">MINIMALI </w:t>
      </w:r>
      <w:r w:rsidRPr="00D9492F">
        <w:rPr>
          <w:rFonts w:ascii="Times New Roman" w:hAnsi="Times New Roman"/>
          <w:b/>
          <w:caps/>
        </w:rPr>
        <w:t xml:space="preserve">informacija ant </w:t>
      </w:r>
      <w:r w:rsidRPr="00D9492F">
        <w:rPr>
          <w:rFonts w:ascii="Times New Roman" w:hAnsi="Times New Roman"/>
          <w:b/>
        </w:rPr>
        <w:t>MAŽŲ VIDINIŲ PAKUOČIŲ</w:t>
      </w:r>
    </w:p>
    <w:p w14:paraId="7D64AEC1"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rPr>
      </w:pPr>
    </w:p>
    <w:p w14:paraId="1A9120AB"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bCs/>
        </w:rPr>
        <w:t>FLAKONO ETIKETĖ</w:t>
      </w:r>
    </w:p>
    <w:p w14:paraId="4C9F1204" w14:textId="77777777" w:rsidR="00DC1CDC" w:rsidRPr="00D9492F" w:rsidRDefault="00DC1CDC" w:rsidP="00DC1CDC">
      <w:pPr>
        <w:spacing w:after="0" w:line="240" w:lineRule="auto"/>
        <w:ind w:left="567" w:hanging="567"/>
        <w:rPr>
          <w:rFonts w:ascii="Times New Roman" w:hAnsi="Times New Roman"/>
          <w:caps/>
        </w:rPr>
      </w:pPr>
    </w:p>
    <w:p w14:paraId="0D8311C0" w14:textId="77777777" w:rsidR="00DC1CDC" w:rsidRPr="00D9492F" w:rsidRDefault="00DC1CDC" w:rsidP="00DC1CDC">
      <w:pPr>
        <w:spacing w:after="0" w:line="240" w:lineRule="auto"/>
        <w:ind w:left="567" w:hanging="567"/>
        <w:rPr>
          <w:rFonts w:ascii="Times New Roman" w:hAnsi="Times New Roman"/>
          <w:caps/>
        </w:rPr>
      </w:pPr>
    </w:p>
    <w:p w14:paraId="784CB49C"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1.</w:t>
      </w:r>
      <w:r w:rsidRPr="00D9492F">
        <w:rPr>
          <w:rFonts w:ascii="Times New Roman" w:hAnsi="Times New Roman"/>
          <w:b/>
          <w:caps/>
        </w:rPr>
        <w:tab/>
        <w:t>VAISTINIO PREPARATO PAVADINIMAS IR VARTOJIMO BŪDAS (-AI)</w:t>
      </w:r>
    </w:p>
    <w:p w14:paraId="31B9B7EA" w14:textId="77777777" w:rsidR="00DC1CDC" w:rsidRPr="00D9492F" w:rsidRDefault="00DC1CDC" w:rsidP="00DC1CDC">
      <w:pPr>
        <w:spacing w:after="0" w:line="240" w:lineRule="auto"/>
        <w:rPr>
          <w:rFonts w:ascii="Times New Roman" w:hAnsi="Times New Roman"/>
        </w:rPr>
      </w:pPr>
    </w:p>
    <w:p w14:paraId="3CD14D92" w14:textId="5030C09B"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Docetaxel SanoSwiss </w:t>
      </w:r>
      <w:r w:rsidR="008233A7" w:rsidRPr="00D9492F">
        <w:rPr>
          <w:rFonts w:ascii="Times New Roman" w:hAnsi="Times New Roman"/>
        </w:rPr>
        <w:t>4</w:t>
      </w:r>
      <w:r w:rsidRPr="00D9492F">
        <w:rPr>
          <w:rFonts w:ascii="Times New Roman" w:hAnsi="Times New Roman"/>
        </w:rPr>
        <w:t>0 mg/ml koncentratas infuziniam tirpalui</w:t>
      </w:r>
    </w:p>
    <w:p w14:paraId="5737B4AD"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Docetakselis</w:t>
      </w:r>
    </w:p>
    <w:p w14:paraId="0F1B3F25" w14:textId="77777777" w:rsidR="00DC1CDC" w:rsidRPr="00D9492F" w:rsidRDefault="00DC1CDC" w:rsidP="00DC1CDC">
      <w:pPr>
        <w:spacing w:after="0" w:line="240" w:lineRule="auto"/>
        <w:rPr>
          <w:rFonts w:ascii="Times New Roman" w:hAnsi="Times New Roman"/>
        </w:rPr>
      </w:pPr>
    </w:p>
    <w:p w14:paraId="2352304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Leisti į veną.</w:t>
      </w:r>
    </w:p>
    <w:p w14:paraId="2313ED37" w14:textId="77777777" w:rsidR="00DC1CDC" w:rsidRPr="00D9492F" w:rsidRDefault="00DC1CDC" w:rsidP="00DC1CDC">
      <w:pPr>
        <w:spacing w:after="0" w:line="240" w:lineRule="auto"/>
        <w:rPr>
          <w:rFonts w:ascii="Times New Roman" w:hAnsi="Times New Roman"/>
        </w:rPr>
      </w:pPr>
    </w:p>
    <w:p w14:paraId="4E801864" w14:textId="77777777" w:rsidR="00DC1CDC" w:rsidRPr="00D9492F" w:rsidRDefault="00DC1CDC" w:rsidP="00DC1CDC">
      <w:pPr>
        <w:spacing w:after="0" w:line="240" w:lineRule="auto"/>
        <w:rPr>
          <w:rFonts w:ascii="Times New Roman" w:hAnsi="Times New Roman"/>
        </w:rPr>
      </w:pPr>
    </w:p>
    <w:p w14:paraId="2334A420"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rPr>
        <w:t>2.</w:t>
      </w:r>
      <w:r w:rsidRPr="00D9492F">
        <w:rPr>
          <w:rFonts w:ascii="Times New Roman" w:hAnsi="Times New Roman"/>
          <w:b/>
        </w:rPr>
        <w:tab/>
      </w:r>
      <w:r w:rsidRPr="00D9492F">
        <w:rPr>
          <w:rFonts w:ascii="Times New Roman" w:hAnsi="Times New Roman"/>
          <w:b/>
          <w:caps/>
          <w:noProof/>
        </w:rPr>
        <w:t>VARTOJIMO METODAS</w:t>
      </w:r>
    </w:p>
    <w:p w14:paraId="35891367" w14:textId="77777777" w:rsidR="00DC1CDC" w:rsidRPr="00D9492F" w:rsidRDefault="00DC1CDC" w:rsidP="00DC1CDC">
      <w:pPr>
        <w:spacing w:after="0" w:line="240" w:lineRule="auto"/>
        <w:rPr>
          <w:rFonts w:ascii="Times New Roman" w:hAnsi="Times New Roman"/>
        </w:rPr>
      </w:pPr>
    </w:p>
    <w:p w14:paraId="66BA1D99" w14:textId="77777777" w:rsidR="00DC1CDC" w:rsidRPr="00D9492F" w:rsidRDefault="00DC1CDC" w:rsidP="00DC1CDC">
      <w:pPr>
        <w:widowControl w:val="0"/>
        <w:tabs>
          <w:tab w:val="left" w:pos="567"/>
        </w:tabs>
        <w:spacing w:after="0" w:line="240" w:lineRule="auto"/>
        <w:rPr>
          <w:rFonts w:ascii="Times New Roman" w:hAnsi="Times New Roman"/>
          <w:lang w:eastAsia="zh-CN"/>
        </w:rPr>
      </w:pPr>
      <w:r w:rsidRPr="00D9492F">
        <w:rPr>
          <w:rFonts w:ascii="Times New Roman" w:hAnsi="Times New Roman"/>
          <w:lang w:eastAsia="zh-CN"/>
        </w:rPr>
        <w:t>Prieš vartojimą perskaitykite pakuotės lapelį.</w:t>
      </w:r>
    </w:p>
    <w:p w14:paraId="0D0E65DB" w14:textId="5BA3AF2C" w:rsidR="00DC1CDC" w:rsidRPr="00D9492F" w:rsidRDefault="00DC1CDC" w:rsidP="00DC1CDC">
      <w:pPr>
        <w:spacing w:after="0" w:line="240" w:lineRule="auto"/>
        <w:rPr>
          <w:rFonts w:ascii="Times New Roman" w:hAnsi="Times New Roman"/>
          <w:b/>
        </w:rPr>
      </w:pPr>
      <w:r w:rsidRPr="00D9492F">
        <w:rPr>
          <w:rFonts w:ascii="Times New Roman" w:hAnsi="Times New Roman"/>
          <w:b/>
        </w:rPr>
        <w:t>Parengtas su</w:t>
      </w:r>
      <w:r w:rsidR="009C35AC" w:rsidRPr="00D9492F">
        <w:rPr>
          <w:rFonts w:ascii="Times New Roman" w:hAnsi="Times New Roman"/>
          <w:b/>
        </w:rPr>
        <w:t>leisti</w:t>
      </w:r>
      <w:r w:rsidRPr="00D9492F">
        <w:rPr>
          <w:rFonts w:ascii="Times New Roman" w:hAnsi="Times New Roman"/>
          <w:b/>
        </w:rPr>
        <w:t xml:space="preserve"> į infuzijų talpyklę.</w:t>
      </w:r>
    </w:p>
    <w:p w14:paraId="7C662BEA" w14:textId="77777777" w:rsidR="00DC1CDC" w:rsidRPr="00D9492F" w:rsidRDefault="00DC1CDC" w:rsidP="00DC1CDC">
      <w:pPr>
        <w:spacing w:after="0" w:line="240" w:lineRule="auto"/>
        <w:rPr>
          <w:rFonts w:ascii="Times New Roman" w:hAnsi="Times New Roman"/>
          <w:b/>
        </w:rPr>
      </w:pPr>
    </w:p>
    <w:p w14:paraId="76AFBA66" w14:textId="77777777" w:rsidR="00DC1CDC" w:rsidRPr="00D9492F" w:rsidRDefault="00DC1CDC" w:rsidP="00DC1CDC">
      <w:pPr>
        <w:spacing w:after="0" w:line="240" w:lineRule="auto"/>
        <w:rPr>
          <w:rFonts w:ascii="Times New Roman" w:hAnsi="Times New Roman"/>
        </w:rPr>
      </w:pPr>
    </w:p>
    <w:p w14:paraId="4E8EC7C6"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rPr>
        <w:t>3.</w:t>
      </w:r>
      <w:r w:rsidRPr="00D9492F">
        <w:rPr>
          <w:rFonts w:ascii="Times New Roman" w:hAnsi="Times New Roman"/>
          <w:b/>
        </w:rPr>
        <w:tab/>
      </w:r>
      <w:r w:rsidRPr="00D9492F">
        <w:rPr>
          <w:rFonts w:ascii="Times New Roman" w:hAnsi="Times New Roman"/>
          <w:b/>
          <w:caps/>
        </w:rPr>
        <w:t>tinkamumo laikas</w:t>
      </w:r>
    </w:p>
    <w:p w14:paraId="5692E659" w14:textId="77777777" w:rsidR="00DC1CDC" w:rsidRPr="00D9492F" w:rsidRDefault="00DC1CDC" w:rsidP="00DC1CDC">
      <w:pPr>
        <w:spacing w:after="0" w:line="240" w:lineRule="auto"/>
        <w:rPr>
          <w:rFonts w:ascii="Times New Roman" w:hAnsi="Times New Roman"/>
        </w:rPr>
      </w:pPr>
    </w:p>
    <w:p w14:paraId="5C9BC1F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Tinka iki</w:t>
      </w:r>
      <w:r w:rsidR="006B129E" w:rsidRPr="00D9492F">
        <w:rPr>
          <w:rFonts w:ascii="Times New Roman" w:hAnsi="Times New Roman"/>
        </w:rPr>
        <w:t>/EXP</w:t>
      </w:r>
      <w:r w:rsidRPr="00D9492F">
        <w:rPr>
          <w:rFonts w:ascii="Times New Roman" w:hAnsi="Times New Roman"/>
        </w:rPr>
        <w:t xml:space="preserve"> MMMM/mm</w:t>
      </w:r>
    </w:p>
    <w:p w14:paraId="5E6E090F" w14:textId="77777777" w:rsidR="00DC1CDC" w:rsidRPr="00D9492F" w:rsidRDefault="00DC1CDC" w:rsidP="00DC1CDC">
      <w:pPr>
        <w:spacing w:after="0" w:line="240" w:lineRule="auto"/>
        <w:rPr>
          <w:rFonts w:ascii="Times New Roman" w:hAnsi="Times New Roman"/>
        </w:rPr>
      </w:pPr>
    </w:p>
    <w:p w14:paraId="3E5E71D8" w14:textId="77777777" w:rsidR="00DC1CDC" w:rsidRPr="00D9492F" w:rsidRDefault="00DC1CDC" w:rsidP="00DC1CDC">
      <w:pPr>
        <w:spacing w:after="0" w:line="240" w:lineRule="auto"/>
        <w:rPr>
          <w:rFonts w:ascii="Times New Roman" w:hAnsi="Times New Roman"/>
        </w:rPr>
      </w:pPr>
    </w:p>
    <w:p w14:paraId="48424CCD"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4.</w:t>
      </w:r>
      <w:r w:rsidRPr="00D9492F">
        <w:rPr>
          <w:rFonts w:ascii="Times New Roman" w:hAnsi="Times New Roman"/>
          <w:b/>
          <w:caps/>
        </w:rPr>
        <w:tab/>
        <w:t xml:space="preserve">serijos numeris </w:t>
      </w:r>
    </w:p>
    <w:p w14:paraId="32892C71" w14:textId="77777777" w:rsidR="00DC1CDC" w:rsidRPr="00D9492F" w:rsidRDefault="00DC1CDC" w:rsidP="00DC1CDC">
      <w:pPr>
        <w:spacing w:after="0" w:line="240" w:lineRule="auto"/>
        <w:rPr>
          <w:rFonts w:ascii="Times New Roman" w:hAnsi="Times New Roman"/>
        </w:rPr>
      </w:pPr>
    </w:p>
    <w:p w14:paraId="537AA7F7"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Serija</w:t>
      </w:r>
      <w:r w:rsidR="006B129E" w:rsidRPr="00D9492F">
        <w:rPr>
          <w:rFonts w:ascii="Times New Roman" w:hAnsi="Times New Roman"/>
        </w:rPr>
        <w:t>/Lot</w:t>
      </w:r>
    </w:p>
    <w:p w14:paraId="238AA26C" w14:textId="77777777" w:rsidR="00DC1CDC" w:rsidRPr="00D9492F" w:rsidRDefault="00DC1CDC" w:rsidP="00DC1CDC">
      <w:pPr>
        <w:spacing w:after="0" w:line="240" w:lineRule="auto"/>
        <w:rPr>
          <w:rFonts w:ascii="Times New Roman" w:hAnsi="Times New Roman"/>
        </w:rPr>
      </w:pPr>
    </w:p>
    <w:p w14:paraId="1885CE19" w14:textId="77777777" w:rsidR="00DC1CDC" w:rsidRPr="00D9492F" w:rsidRDefault="00DC1CDC" w:rsidP="00DC1CDC">
      <w:pPr>
        <w:spacing w:after="0" w:line="240" w:lineRule="auto"/>
        <w:rPr>
          <w:rFonts w:ascii="Times New Roman" w:hAnsi="Times New Roman"/>
        </w:rPr>
      </w:pPr>
    </w:p>
    <w:p w14:paraId="604045C9" w14:textId="77777777" w:rsidR="00DC1CDC" w:rsidRPr="00D9492F" w:rsidRDefault="00DC1CDC" w:rsidP="00DC1C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D9492F">
        <w:rPr>
          <w:rFonts w:ascii="Times New Roman" w:hAnsi="Times New Roman"/>
          <w:b/>
          <w:caps/>
        </w:rPr>
        <w:t>5.</w:t>
      </w:r>
      <w:r w:rsidRPr="00D9492F">
        <w:rPr>
          <w:rFonts w:ascii="Times New Roman" w:hAnsi="Times New Roman"/>
          <w:b/>
          <w:caps/>
        </w:rPr>
        <w:tab/>
        <w:t>KIEKIS (MASĖ, TŪRIS ARBA VIENETAI)</w:t>
      </w:r>
    </w:p>
    <w:p w14:paraId="1CC20C69" w14:textId="77777777" w:rsidR="00DC1CDC" w:rsidRPr="00D9492F" w:rsidRDefault="00DC1CDC" w:rsidP="00DC1CDC">
      <w:pPr>
        <w:spacing w:after="0" w:line="240" w:lineRule="auto"/>
        <w:rPr>
          <w:rFonts w:ascii="Times New Roman" w:hAnsi="Times New Roman"/>
        </w:rPr>
      </w:pPr>
    </w:p>
    <w:p w14:paraId="0D61885F" w14:textId="0495E862" w:rsidR="00BA09CC" w:rsidRPr="00D9492F" w:rsidRDefault="00BA09CC" w:rsidP="00BA09CC">
      <w:pPr>
        <w:keepNext/>
        <w:keepLines/>
        <w:spacing w:after="0" w:line="240" w:lineRule="auto"/>
        <w:rPr>
          <w:rFonts w:ascii="Times New Roman" w:hAnsi="Times New Roman"/>
        </w:rPr>
      </w:pPr>
      <w:r w:rsidRPr="00D9492F">
        <w:rPr>
          <w:rFonts w:ascii="Times New Roman" w:hAnsi="Times New Roman"/>
        </w:rPr>
        <w:t xml:space="preserve">20 mg/0,5 ml </w:t>
      </w:r>
    </w:p>
    <w:p w14:paraId="61FBB732" w14:textId="77777777" w:rsidR="00BA09CC" w:rsidRPr="00D9492F" w:rsidRDefault="00BA09CC" w:rsidP="00BA09CC">
      <w:pPr>
        <w:keepNext/>
        <w:keepLines/>
        <w:spacing w:after="0" w:line="240" w:lineRule="auto"/>
        <w:rPr>
          <w:rFonts w:ascii="Times New Roman" w:hAnsi="Times New Roman"/>
        </w:rPr>
      </w:pPr>
      <w:r w:rsidRPr="00D9492F">
        <w:rPr>
          <w:rFonts w:ascii="Times New Roman" w:hAnsi="Times New Roman"/>
        </w:rPr>
        <w:t xml:space="preserve">80 mg/2 ml </w:t>
      </w:r>
    </w:p>
    <w:p w14:paraId="5E21F3CA" w14:textId="77777777" w:rsidR="00DC1CDC" w:rsidRPr="00D9492F" w:rsidRDefault="00DC1CDC" w:rsidP="00DC1CDC">
      <w:pPr>
        <w:keepNext/>
        <w:keepLines/>
        <w:spacing w:after="0" w:line="240" w:lineRule="auto"/>
        <w:rPr>
          <w:rFonts w:ascii="Times New Roman" w:hAnsi="Times New Roman"/>
        </w:rPr>
      </w:pPr>
    </w:p>
    <w:p w14:paraId="57927A00" w14:textId="77777777" w:rsidR="00DC1CDC" w:rsidRPr="00D9492F" w:rsidRDefault="00DC1CDC" w:rsidP="00DC1CDC">
      <w:pPr>
        <w:keepNext/>
        <w:keepLines/>
        <w:spacing w:after="0" w:line="240" w:lineRule="auto"/>
        <w:rPr>
          <w:rFonts w:ascii="Times New Roman" w:hAnsi="Times New Roman"/>
        </w:rPr>
      </w:pPr>
    </w:p>
    <w:p w14:paraId="295F483D" w14:textId="77777777" w:rsidR="00DC1CDC" w:rsidRPr="00D9492F" w:rsidRDefault="00DC1CDC" w:rsidP="00DC1CD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D9492F">
        <w:rPr>
          <w:rFonts w:ascii="Times New Roman" w:hAnsi="Times New Roman"/>
          <w:b/>
        </w:rPr>
        <w:t>6.</w:t>
      </w:r>
      <w:r w:rsidRPr="00D9492F">
        <w:rPr>
          <w:rFonts w:ascii="Times New Roman" w:hAnsi="Times New Roman"/>
          <w:b/>
        </w:rPr>
        <w:tab/>
        <w:t>KITA</w:t>
      </w:r>
    </w:p>
    <w:p w14:paraId="476317C3" w14:textId="77777777" w:rsidR="00DC1CDC" w:rsidRPr="00D9492F" w:rsidRDefault="00DC1CDC" w:rsidP="00DC1CDC">
      <w:pPr>
        <w:spacing w:after="0" w:line="240" w:lineRule="auto"/>
        <w:rPr>
          <w:rFonts w:ascii="Times New Roman" w:hAnsi="Times New Roman"/>
        </w:rPr>
      </w:pPr>
    </w:p>
    <w:p w14:paraId="3F93783E" w14:textId="77777777" w:rsidR="00DC1CDC" w:rsidRPr="00D9492F" w:rsidRDefault="00DC1CDC" w:rsidP="00DC1CDC">
      <w:pPr>
        <w:widowControl w:val="0"/>
        <w:suppressAutoHyphens/>
        <w:autoSpaceDE w:val="0"/>
        <w:spacing w:after="0" w:line="240" w:lineRule="auto"/>
        <w:rPr>
          <w:rFonts w:ascii="Times New Roman" w:hAnsi="Times New Roman"/>
          <w:color w:val="000000"/>
          <w:lang w:eastAsia="ar-SA"/>
        </w:rPr>
      </w:pPr>
      <w:r w:rsidRPr="00D9492F">
        <w:rPr>
          <w:rFonts w:ascii="Times New Roman" w:hAnsi="Times New Roman"/>
          <w:color w:val="000000"/>
          <w:lang w:eastAsia="ar-SA"/>
        </w:rPr>
        <w:t>SanoSwiss</w:t>
      </w:r>
    </w:p>
    <w:p w14:paraId="1778CBA7" w14:textId="77777777" w:rsidR="00DC1CDC" w:rsidRPr="00D9492F" w:rsidRDefault="00DC1CDC" w:rsidP="00DC1CDC">
      <w:pPr>
        <w:spacing w:after="0" w:line="240" w:lineRule="auto"/>
        <w:rPr>
          <w:rFonts w:ascii="Times New Roman" w:hAnsi="Times New Roman"/>
        </w:rPr>
      </w:pPr>
    </w:p>
    <w:p w14:paraId="10297314"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Citotoksinis</w:t>
      </w:r>
    </w:p>
    <w:p w14:paraId="21307C97" w14:textId="77777777" w:rsidR="00DC1CDC" w:rsidRPr="00D9492F" w:rsidRDefault="00DC1CDC" w:rsidP="00DC1CDC">
      <w:pPr>
        <w:spacing w:after="0" w:line="240" w:lineRule="auto"/>
        <w:rPr>
          <w:rFonts w:ascii="Times New Roman" w:hAnsi="Times New Roman"/>
          <w:b/>
        </w:rPr>
      </w:pPr>
      <w:r w:rsidRPr="00D9492F">
        <w:rPr>
          <w:rFonts w:ascii="Times New Roman" w:hAnsi="Times New Roman"/>
          <w:b/>
        </w:rPr>
        <w:br w:type="page"/>
      </w:r>
    </w:p>
    <w:p w14:paraId="5C287AC8" w14:textId="77777777" w:rsidR="00DC1CDC" w:rsidRPr="00D9492F" w:rsidRDefault="00DC1CDC" w:rsidP="00DC1CDC">
      <w:pPr>
        <w:spacing w:after="0" w:line="240" w:lineRule="auto"/>
        <w:rPr>
          <w:rFonts w:ascii="Times New Roman" w:hAnsi="Times New Roman"/>
        </w:rPr>
      </w:pPr>
    </w:p>
    <w:p w14:paraId="17FB20E7" w14:textId="77777777" w:rsidR="00DC1CDC" w:rsidRPr="00D9492F" w:rsidRDefault="00DC1CDC" w:rsidP="00DC1CDC">
      <w:pPr>
        <w:spacing w:after="0" w:line="240" w:lineRule="auto"/>
        <w:rPr>
          <w:rFonts w:ascii="Times New Roman" w:hAnsi="Times New Roman"/>
        </w:rPr>
      </w:pPr>
    </w:p>
    <w:p w14:paraId="1829F405" w14:textId="77777777" w:rsidR="00DC1CDC" w:rsidRPr="00D9492F" w:rsidRDefault="00DC1CDC" w:rsidP="00DC1CDC">
      <w:pPr>
        <w:spacing w:after="0" w:line="240" w:lineRule="auto"/>
        <w:rPr>
          <w:rFonts w:ascii="Times New Roman" w:hAnsi="Times New Roman"/>
        </w:rPr>
      </w:pPr>
    </w:p>
    <w:p w14:paraId="1C831CD7" w14:textId="77777777" w:rsidR="00DC1CDC" w:rsidRPr="00D9492F" w:rsidRDefault="00DC1CDC" w:rsidP="00DC1CDC">
      <w:pPr>
        <w:spacing w:after="0" w:line="240" w:lineRule="auto"/>
        <w:rPr>
          <w:rFonts w:ascii="Times New Roman" w:hAnsi="Times New Roman"/>
        </w:rPr>
      </w:pPr>
    </w:p>
    <w:p w14:paraId="6CF62058" w14:textId="77777777" w:rsidR="00DC1CDC" w:rsidRPr="00D9492F" w:rsidRDefault="00DC1CDC" w:rsidP="00DC1CDC">
      <w:pPr>
        <w:spacing w:after="0" w:line="240" w:lineRule="auto"/>
        <w:rPr>
          <w:rFonts w:ascii="Times New Roman" w:hAnsi="Times New Roman"/>
        </w:rPr>
      </w:pPr>
    </w:p>
    <w:p w14:paraId="3943D1AC" w14:textId="77777777" w:rsidR="00DC1CDC" w:rsidRPr="00D9492F" w:rsidRDefault="00DC1CDC" w:rsidP="00DC1CDC">
      <w:pPr>
        <w:spacing w:after="0" w:line="240" w:lineRule="auto"/>
        <w:rPr>
          <w:rFonts w:ascii="Times New Roman" w:hAnsi="Times New Roman"/>
        </w:rPr>
      </w:pPr>
    </w:p>
    <w:p w14:paraId="79CF7724" w14:textId="77777777" w:rsidR="00DC1CDC" w:rsidRPr="00D9492F" w:rsidRDefault="00DC1CDC" w:rsidP="00DC1CDC">
      <w:pPr>
        <w:spacing w:after="0" w:line="240" w:lineRule="auto"/>
        <w:rPr>
          <w:rFonts w:ascii="Times New Roman" w:hAnsi="Times New Roman"/>
        </w:rPr>
      </w:pPr>
    </w:p>
    <w:p w14:paraId="271AA11B" w14:textId="77777777" w:rsidR="00DC1CDC" w:rsidRPr="00D9492F" w:rsidRDefault="00DC1CDC" w:rsidP="00DC1CDC">
      <w:pPr>
        <w:spacing w:after="0" w:line="240" w:lineRule="auto"/>
        <w:rPr>
          <w:rFonts w:ascii="Times New Roman" w:hAnsi="Times New Roman"/>
        </w:rPr>
      </w:pPr>
    </w:p>
    <w:p w14:paraId="43A35A8E" w14:textId="77777777" w:rsidR="00DC1CDC" w:rsidRPr="00D9492F" w:rsidRDefault="00DC1CDC" w:rsidP="00DC1CDC">
      <w:pPr>
        <w:spacing w:after="0" w:line="240" w:lineRule="auto"/>
        <w:rPr>
          <w:rFonts w:ascii="Times New Roman" w:hAnsi="Times New Roman"/>
        </w:rPr>
      </w:pPr>
    </w:p>
    <w:p w14:paraId="6CD5D9F1" w14:textId="77777777" w:rsidR="00DC1CDC" w:rsidRPr="00D9492F" w:rsidRDefault="00DC1CDC" w:rsidP="00DC1CDC">
      <w:pPr>
        <w:spacing w:after="0" w:line="240" w:lineRule="auto"/>
        <w:rPr>
          <w:rFonts w:ascii="Times New Roman" w:hAnsi="Times New Roman"/>
        </w:rPr>
      </w:pPr>
    </w:p>
    <w:p w14:paraId="6316E304" w14:textId="77777777" w:rsidR="00DC1CDC" w:rsidRPr="00D9492F" w:rsidRDefault="00DC1CDC" w:rsidP="00DC1CDC">
      <w:pPr>
        <w:spacing w:after="0" w:line="240" w:lineRule="auto"/>
        <w:rPr>
          <w:rFonts w:ascii="Times New Roman" w:hAnsi="Times New Roman"/>
        </w:rPr>
      </w:pPr>
    </w:p>
    <w:p w14:paraId="00100306" w14:textId="77777777" w:rsidR="00DC1CDC" w:rsidRPr="00D9492F" w:rsidRDefault="00DC1CDC" w:rsidP="00DC1CDC">
      <w:pPr>
        <w:spacing w:after="0" w:line="240" w:lineRule="auto"/>
        <w:rPr>
          <w:rFonts w:ascii="Times New Roman" w:hAnsi="Times New Roman"/>
        </w:rPr>
      </w:pPr>
    </w:p>
    <w:p w14:paraId="0150A63F" w14:textId="77777777" w:rsidR="00DC1CDC" w:rsidRPr="00D9492F" w:rsidRDefault="00DC1CDC" w:rsidP="00DC1CDC">
      <w:pPr>
        <w:spacing w:after="0" w:line="240" w:lineRule="auto"/>
        <w:rPr>
          <w:rFonts w:ascii="Times New Roman" w:hAnsi="Times New Roman"/>
        </w:rPr>
      </w:pPr>
    </w:p>
    <w:p w14:paraId="0E0660AF" w14:textId="77777777" w:rsidR="00DC1CDC" w:rsidRPr="00D9492F" w:rsidRDefault="00DC1CDC" w:rsidP="00DC1CDC">
      <w:pPr>
        <w:spacing w:after="0" w:line="240" w:lineRule="auto"/>
        <w:rPr>
          <w:rFonts w:ascii="Times New Roman" w:hAnsi="Times New Roman"/>
        </w:rPr>
      </w:pPr>
    </w:p>
    <w:p w14:paraId="25B7D7A2" w14:textId="77777777" w:rsidR="00DC1CDC" w:rsidRPr="00D9492F" w:rsidRDefault="00DC1CDC" w:rsidP="00DC1CDC">
      <w:pPr>
        <w:spacing w:after="0" w:line="240" w:lineRule="auto"/>
        <w:rPr>
          <w:rFonts w:ascii="Times New Roman" w:hAnsi="Times New Roman"/>
        </w:rPr>
      </w:pPr>
    </w:p>
    <w:p w14:paraId="18D837A1" w14:textId="77777777" w:rsidR="00DC1CDC" w:rsidRPr="00D9492F" w:rsidRDefault="00DC1CDC" w:rsidP="00DC1CDC">
      <w:pPr>
        <w:spacing w:after="0" w:line="240" w:lineRule="auto"/>
        <w:rPr>
          <w:rFonts w:ascii="Times New Roman" w:hAnsi="Times New Roman"/>
        </w:rPr>
      </w:pPr>
    </w:p>
    <w:p w14:paraId="39DAD602" w14:textId="77777777" w:rsidR="00DC1CDC" w:rsidRPr="00D9492F" w:rsidRDefault="00DC1CDC" w:rsidP="00DC1CDC">
      <w:pPr>
        <w:spacing w:after="0" w:line="240" w:lineRule="auto"/>
        <w:rPr>
          <w:rFonts w:ascii="Times New Roman" w:hAnsi="Times New Roman"/>
        </w:rPr>
      </w:pPr>
    </w:p>
    <w:p w14:paraId="1B50DF40" w14:textId="77777777" w:rsidR="00DC1CDC" w:rsidRPr="00D9492F" w:rsidRDefault="00DC1CDC" w:rsidP="00DC1CDC">
      <w:pPr>
        <w:spacing w:after="0" w:line="240" w:lineRule="auto"/>
        <w:rPr>
          <w:rFonts w:ascii="Times New Roman" w:hAnsi="Times New Roman"/>
        </w:rPr>
      </w:pPr>
    </w:p>
    <w:p w14:paraId="08914989" w14:textId="77777777" w:rsidR="00DC1CDC" w:rsidRPr="00D9492F" w:rsidRDefault="00DC1CDC" w:rsidP="00DC1CDC">
      <w:pPr>
        <w:spacing w:after="0" w:line="240" w:lineRule="auto"/>
        <w:rPr>
          <w:rFonts w:ascii="Times New Roman" w:hAnsi="Times New Roman"/>
        </w:rPr>
      </w:pPr>
    </w:p>
    <w:p w14:paraId="48BEB17C" w14:textId="77777777" w:rsidR="00DC1CDC" w:rsidRPr="00D9492F" w:rsidRDefault="00DC1CDC" w:rsidP="00DC1CDC">
      <w:pPr>
        <w:spacing w:after="0" w:line="240" w:lineRule="auto"/>
        <w:rPr>
          <w:rFonts w:ascii="Times New Roman" w:hAnsi="Times New Roman"/>
        </w:rPr>
      </w:pPr>
    </w:p>
    <w:p w14:paraId="56ABBC09" w14:textId="77777777" w:rsidR="00DC1CDC" w:rsidRPr="00D9492F" w:rsidRDefault="00DC1CDC" w:rsidP="00DC1CDC">
      <w:pPr>
        <w:spacing w:after="0" w:line="240" w:lineRule="auto"/>
        <w:rPr>
          <w:rFonts w:ascii="Times New Roman" w:hAnsi="Times New Roman"/>
        </w:rPr>
      </w:pPr>
    </w:p>
    <w:p w14:paraId="155984E2" w14:textId="77777777" w:rsidR="00DC1CDC" w:rsidRPr="00D9492F" w:rsidRDefault="00DC1CDC" w:rsidP="00DC1CDC">
      <w:pPr>
        <w:spacing w:after="0" w:line="240" w:lineRule="auto"/>
        <w:rPr>
          <w:rFonts w:ascii="Times New Roman" w:hAnsi="Times New Roman"/>
        </w:rPr>
      </w:pPr>
    </w:p>
    <w:p w14:paraId="264B7CE3" w14:textId="77777777" w:rsidR="00DC1CDC" w:rsidRPr="00D9492F" w:rsidRDefault="00DC1CDC" w:rsidP="00DC1CDC">
      <w:pPr>
        <w:spacing w:after="0" w:line="240" w:lineRule="auto"/>
        <w:rPr>
          <w:rFonts w:ascii="Times New Roman" w:hAnsi="Times New Roman"/>
          <w:b/>
        </w:rPr>
      </w:pPr>
    </w:p>
    <w:p w14:paraId="3902DF71" w14:textId="77777777" w:rsidR="00DC1CDC" w:rsidRPr="00D9492F" w:rsidRDefault="00DC1CDC" w:rsidP="00DC1CDC">
      <w:pPr>
        <w:spacing w:after="0" w:line="240" w:lineRule="auto"/>
        <w:rPr>
          <w:rFonts w:ascii="Times New Roman" w:hAnsi="Times New Roman"/>
          <w:b/>
        </w:rPr>
      </w:pPr>
    </w:p>
    <w:p w14:paraId="3E42B6C3" w14:textId="77777777" w:rsidR="00DC1CDC" w:rsidRPr="00D9492F" w:rsidRDefault="00DC1CDC" w:rsidP="00DC1CDC">
      <w:pPr>
        <w:spacing w:after="0" w:line="240" w:lineRule="auto"/>
        <w:jc w:val="center"/>
        <w:rPr>
          <w:rFonts w:ascii="Times New Roman" w:eastAsia="Times New Roman" w:hAnsi="Times New Roman"/>
          <w:b/>
        </w:rPr>
      </w:pPr>
      <w:r w:rsidRPr="00D9492F">
        <w:rPr>
          <w:rFonts w:ascii="Times New Roman" w:eastAsia="Times New Roman" w:hAnsi="Times New Roman"/>
          <w:b/>
        </w:rPr>
        <w:t>B. PAKUOTĖS LAPELIS</w:t>
      </w:r>
    </w:p>
    <w:p w14:paraId="206A1FF9" w14:textId="77777777" w:rsidR="00DC1CDC" w:rsidRPr="00D9492F" w:rsidRDefault="00DC1CDC" w:rsidP="00DC1CDC">
      <w:pPr>
        <w:keepNext/>
        <w:spacing w:after="0" w:line="240" w:lineRule="auto"/>
        <w:jc w:val="center"/>
        <w:rPr>
          <w:rFonts w:ascii="Times New Roman" w:hAnsi="Times New Roman"/>
          <w:b/>
          <w:bCs/>
        </w:rPr>
      </w:pPr>
      <w:r w:rsidRPr="00D9492F">
        <w:rPr>
          <w:rFonts w:ascii="Times New Roman" w:hAnsi="Times New Roman"/>
        </w:rPr>
        <w:br w:type="page"/>
      </w:r>
      <w:r w:rsidRPr="00D9492F">
        <w:rPr>
          <w:rFonts w:ascii="Times New Roman" w:hAnsi="Times New Roman"/>
          <w:b/>
          <w:bCs/>
        </w:rPr>
        <w:lastRenderedPageBreak/>
        <w:t>Pakuot</w:t>
      </w:r>
      <w:r w:rsidRPr="00D9492F">
        <w:rPr>
          <w:rFonts w:ascii="Times New Roman" w:hAnsi="Times New Roman"/>
          <w:b/>
          <w:noProof/>
        </w:rPr>
        <w:t>ės</w:t>
      </w:r>
      <w:r w:rsidRPr="00D9492F">
        <w:rPr>
          <w:rFonts w:ascii="Times New Roman" w:hAnsi="Times New Roman"/>
          <w:b/>
          <w:bCs/>
        </w:rPr>
        <w:t xml:space="preserve"> lapelis: informacija pacientui</w:t>
      </w:r>
    </w:p>
    <w:p w14:paraId="225951B9" w14:textId="77777777" w:rsidR="00DC1CDC" w:rsidRPr="00D9492F" w:rsidRDefault="00DC1CDC" w:rsidP="00DC1CDC">
      <w:pPr>
        <w:keepNext/>
        <w:spacing w:after="0" w:line="240" w:lineRule="auto"/>
        <w:jc w:val="center"/>
        <w:rPr>
          <w:rFonts w:ascii="Times New Roman" w:hAnsi="Times New Roman"/>
          <w:b/>
          <w:bCs/>
        </w:rPr>
      </w:pPr>
    </w:p>
    <w:p w14:paraId="57A0FDDF" w14:textId="0F2E56BB" w:rsidR="00DC1CDC" w:rsidRPr="00D9492F" w:rsidRDefault="00DC1CDC" w:rsidP="00DC1CDC">
      <w:pPr>
        <w:keepNext/>
        <w:keepLines/>
        <w:spacing w:after="0" w:line="240" w:lineRule="auto"/>
        <w:jc w:val="center"/>
        <w:rPr>
          <w:rFonts w:ascii="Times New Roman" w:hAnsi="Times New Roman"/>
          <w:b/>
        </w:rPr>
      </w:pPr>
      <w:r w:rsidRPr="00D9492F">
        <w:rPr>
          <w:rFonts w:ascii="Times New Roman" w:hAnsi="Times New Roman"/>
          <w:b/>
        </w:rPr>
        <w:t xml:space="preserve">Docetaxel SanoSwiss </w:t>
      </w:r>
      <w:r w:rsidR="008233A7" w:rsidRPr="00D9492F">
        <w:rPr>
          <w:rFonts w:ascii="Times New Roman" w:hAnsi="Times New Roman"/>
          <w:b/>
        </w:rPr>
        <w:t>4</w:t>
      </w:r>
      <w:r w:rsidRPr="00D9492F">
        <w:rPr>
          <w:rFonts w:ascii="Times New Roman" w:hAnsi="Times New Roman"/>
          <w:b/>
        </w:rPr>
        <w:t>0 mg/ml koncentratas infuziniam tirpalui</w:t>
      </w:r>
    </w:p>
    <w:p w14:paraId="47407377" w14:textId="77777777" w:rsidR="00DC1CDC" w:rsidRPr="00D9492F" w:rsidRDefault="00DC1CDC" w:rsidP="00DC1CDC">
      <w:pPr>
        <w:keepNext/>
        <w:spacing w:after="0" w:line="240" w:lineRule="auto"/>
        <w:jc w:val="center"/>
        <w:outlineLvl w:val="6"/>
        <w:rPr>
          <w:rFonts w:ascii="Times New Roman" w:eastAsia="Times New Roman" w:hAnsi="Times New Roman"/>
        </w:rPr>
      </w:pPr>
      <w:r w:rsidRPr="00D9492F">
        <w:rPr>
          <w:rFonts w:ascii="Times New Roman" w:eastAsia="Times New Roman" w:hAnsi="Times New Roman"/>
        </w:rPr>
        <w:t>Docetakselis</w:t>
      </w:r>
    </w:p>
    <w:p w14:paraId="0E9A85F5" w14:textId="77777777" w:rsidR="00DC1CDC" w:rsidRPr="00D9492F" w:rsidRDefault="00DC1CDC" w:rsidP="00DC1CDC">
      <w:pPr>
        <w:keepNext/>
        <w:spacing w:after="0" w:line="240" w:lineRule="auto"/>
        <w:rPr>
          <w:rFonts w:ascii="Times New Roman" w:hAnsi="Times New Roman"/>
          <w:bCs/>
        </w:rPr>
      </w:pPr>
    </w:p>
    <w:p w14:paraId="5911C6CB" w14:textId="77777777" w:rsidR="00DC1CDC" w:rsidRPr="00D9492F" w:rsidRDefault="00DC1CDC" w:rsidP="00DC1CDC">
      <w:pPr>
        <w:keepNext/>
        <w:spacing w:after="0" w:line="240" w:lineRule="auto"/>
        <w:rPr>
          <w:rFonts w:ascii="Times New Roman" w:hAnsi="Times New Roman"/>
          <w:b/>
        </w:rPr>
      </w:pPr>
      <w:r w:rsidRPr="00D9492F">
        <w:rPr>
          <w:rFonts w:ascii="Times New Roman" w:hAnsi="Times New Roman"/>
          <w:b/>
          <w:noProof/>
        </w:rPr>
        <w:t>Atidžiai perskaitykite visą šį lapelį, p</w:t>
      </w:r>
      <w:r w:rsidRPr="00D9492F">
        <w:rPr>
          <w:rFonts w:ascii="Times New Roman" w:hAnsi="Times New Roman"/>
          <w:b/>
        </w:rPr>
        <w:t>rieš pradėdami vartoti vaistą, nes jame pateikiama Jums svarbi informacija.</w:t>
      </w:r>
    </w:p>
    <w:p w14:paraId="1A043BD4" w14:textId="77777777" w:rsidR="00DC1CDC" w:rsidRPr="00D9492F" w:rsidRDefault="00DC1CDC" w:rsidP="00DC1CDC">
      <w:pPr>
        <w:keepNext/>
        <w:numPr>
          <w:ilvl w:val="0"/>
          <w:numId w:val="5"/>
        </w:numPr>
        <w:spacing w:after="0" w:line="240" w:lineRule="auto"/>
        <w:rPr>
          <w:rFonts w:ascii="Times New Roman" w:hAnsi="Times New Roman"/>
          <w:bCs/>
        </w:rPr>
      </w:pPr>
      <w:r w:rsidRPr="00D9492F">
        <w:rPr>
          <w:rFonts w:ascii="Times New Roman" w:hAnsi="Times New Roman"/>
          <w:bCs/>
        </w:rPr>
        <w:t xml:space="preserve">Neišmeskite </w:t>
      </w:r>
      <w:r w:rsidRPr="00D9492F">
        <w:rPr>
          <w:rFonts w:ascii="Times New Roman" w:hAnsi="Times New Roman"/>
          <w:noProof/>
        </w:rPr>
        <w:t>šio</w:t>
      </w:r>
      <w:r w:rsidRPr="00D9492F">
        <w:rPr>
          <w:rFonts w:ascii="Times New Roman" w:hAnsi="Times New Roman"/>
          <w:bCs/>
        </w:rPr>
        <w:t xml:space="preserve"> lapelio, nes vėl gali prireikti jį perskaityti.</w:t>
      </w:r>
    </w:p>
    <w:p w14:paraId="2F7804F1" w14:textId="77777777" w:rsidR="00DC1CDC" w:rsidRPr="00D9492F" w:rsidRDefault="00DC1CDC" w:rsidP="00DC1CDC">
      <w:pPr>
        <w:keepNext/>
        <w:numPr>
          <w:ilvl w:val="0"/>
          <w:numId w:val="5"/>
        </w:numPr>
        <w:spacing w:after="0" w:line="240" w:lineRule="auto"/>
        <w:rPr>
          <w:rFonts w:ascii="Times New Roman" w:hAnsi="Times New Roman"/>
          <w:bCs/>
        </w:rPr>
      </w:pPr>
      <w:r w:rsidRPr="00D9492F">
        <w:rPr>
          <w:rFonts w:ascii="Times New Roman" w:hAnsi="Times New Roman"/>
          <w:bCs/>
        </w:rPr>
        <w:t xml:space="preserve">Jeigu kiltų </w:t>
      </w:r>
      <w:r w:rsidRPr="00D9492F">
        <w:rPr>
          <w:rFonts w:ascii="Times New Roman" w:hAnsi="Times New Roman"/>
          <w:noProof/>
        </w:rPr>
        <w:t xml:space="preserve">daugiau </w:t>
      </w:r>
      <w:r w:rsidRPr="00D9492F">
        <w:rPr>
          <w:rFonts w:ascii="Times New Roman" w:hAnsi="Times New Roman"/>
          <w:bCs/>
        </w:rPr>
        <w:t>klausimų, kreipkitės į gydytoją, vaistininką arba slaugytoją.</w:t>
      </w:r>
    </w:p>
    <w:p w14:paraId="2A624B9F" w14:textId="77777777" w:rsidR="00DC1CDC" w:rsidRPr="00D9492F" w:rsidRDefault="00DC1CDC" w:rsidP="00DC1CDC">
      <w:pPr>
        <w:keepNext/>
        <w:numPr>
          <w:ilvl w:val="0"/>
          <w:numId w:val="5"/>
        </w:numPr>
        <w:spacing w:after="0" w:line="240" w:lineRule="auto"/>
        <w:rPr>
          <w:rFonts w:ascii="Times New Roman" w:hAnsi="Times New Roman"/>
          <w:bCs/>
        </w:rPr>
      </w:pPr>
      <w:r w:rsidRPr="00D9492F">
        <w:rPr>
          <w:rFonts w:ascii="Times New Roman" w:hAnsi="Times New Roman"/>
          <w:bCs/>
        </w:rPr>
        <w:t>Šis vaistas skirtas tik Jums, todėl kitiems žmonėms jo duoti negalima. Vaistas gali jiems pakenkti (net tiems, kurių ligos požymiai yra tokie patys kaip Jūsų).</w:t>
      </w:r>
    </w:p>
    <w:p w14:paraId="17FBE3D6" w14:textId="77777777" w:rsidR="00DC1CDC" w:rsidRPr="00D9492F" w:rsidRDefault="00DC1CDC" w:rsidP="00DC1CDC">
      <w:pPr>
        <w:keepNext/>
        <w:numPr>
          <w:ilvl w:val="0"/>
          <w:numId w:val="5"/>
        </w:numPr>
        <w:spacing w:after="0" w:line="240" w:lineRule="auto"/>
        <w:rPr>
          <w:rFonts w:ascii="Times New Roman" w:hAnsi="Times New Roman"/>
          <w:b/>
        </w:rPr>
      </w:pPr>
      <w:r w:rsidRPr="00D9492F">
        <w:rPr>
          <w:rFonts w:ascii="Times New Roman" w:hAnsi="Times New Roman"/>
          <w:bCs/>
        </w:rPr>
        <w:t>Jeigu pasireišk</w:t>
      </w:r>
      <w:r w:rsidRPr="00D9492F">
        <w:rPr>
          <w:rFonts w:ascii="Times New Roman" w:hAnsi="Times New Roman"/>
          <w:noProof/>
        </w:rPr>
        <w:t>ė</w:t>
      </w:r>
      <w:r w:rsidRPr="00D9492F" w:rsidDel="00537816">
        <w:rPr>
          <w:rFonts w:ascii="Times New Roman" w:hAnsi="Times New Roman"/>
          <w:bCs/>
        </w:rPr>
        <w:t xml:space="preserve"> </w:t>
      </w:r>
      <w:r w:rsidRPr="00D9492F">
        <w:rPr>
          <w:rFonts w:ascii="Times New Roman" w:hAnsi="Times New Roman"/>
          <w:bCs/>
        </w:rPr>
        <w:t>šalutinis poveikis (net jeigu jis šiame lapelyje nenurodytas) kreipkitės į gydytoją, vaistininką arba slaugytoją. Žr. 4 skyrių.</w:t>
      </w:r>
    </w:p>
    <w:p w14:paraId="356050C0" w14:textId="77777777" w:rsidR="00DC1CDC" w:rsidRPr="00D9492F" w:rsidRDefault="00DC1CDC" w:rsidP="00DC1CDC">
      <w:pPr>
        <w:keepNext/>
        <w:spacing w:after="0" w:line="240" w:lineRule="auto"/>
        <w:outlineLvl w:val="7"/>
        <w:rPr>
          <w:rFonts w:ascii="Times New Roman" w:eastAsia="Times New Roman" w:hAnsi="Times New Roman"/>
          <w:noProof/>
        </w:rPr>
      </w:pPr>
    </w:p>
    <w:p w14:paraId="4B069E94" w14:textId="77777777" w:rsidR="00DC1CDC" w:rsidRPr="00D9492F" w:rsidRDefault="00DC1CDC" w:rsidP="00DC1CDC">
      <w:pPr>
        <w:keepNext/>
        <w:spacing w:after="0" w:line="240" w:lineRule="auto"/>
        <w:outlineLvl w:val="7"/>
        <w:rPr>
          <w:rFonts w:ascii="Times New Roman" w:eastAsia="Times New Roman" w:hAnsi="Times New Roman"/>
          <w:b/>
        </w:rPr>
      </w:pPr>
      <w:r w:rsidRPr="00D9492F">
        <w:rPr>
          <w:rFonts w:ascii="Times New Roman" w:eastAsia="Times New Roman" w:hAnsi="Times New Roman"/>
          <w:b/>
        </w:rPr>
        <w:t>Apie ką rašoma šiame lapelyje?</w:t>
      </w:r>
    </w:p>
    <w:p w14:paraId="57FE82E2" w14:textId="77777777" w:rsidR="00DC1CDC" w:rsidRPr="00D9492F" w:rsidRDefault="00DC1CDC" w:rsidP="00DC1CDC">
      <w:pPr>
        <w:keepNext/>
        <w:spacing w:after="0" w:line="240" w:lineRule="auto"/>
        <w:outlineLvl w:val="7"/>
        <w:rPr>
          <w:rFonts w:ascii="Times New Roman" w:eastAsia="Times New Roman" w:hAnsi="Times New Roman"/>
          <w:b/>
        </w:rPr>
      </w:pPr>
    </w:p>
    <w:p w14:paraId="59F00040" w14:textId="77777777" w:rsidR="00DC1CDC" w:rsidRPr="00D9492F" w:rsidRDefault="00DC1CDC" w:rsidP="00DC1CDC">
      <w:pPr>
        <w:keepNext/>
        <w:tabs>
          <w:tab w:val="left" w:pos="567"/>
        </w:tabs>
        <w:spacing w:after="0" w:line="240" w:lineRule="auto"/>
        <w:rPr>
          <w:rFonts w:ascii="Times New Roman" w:eastAsia="Times New Roman" w:hAnsi="Times New Roman"/>
          <w:bCs/>
        </w:rPr>
      </w:pPr>
      <w:r w:rsidRPr="00D9492F">
        <w:rPr>
          <w:rFonts w:ascii="Times New Roman" w:eastAsia="Times New Roman" w:hAnsi="Times New Roman"/>
          <w:bCs/>
        </w:rPr>
        <w:t>1.</w:t>
      </w:r>
      <w:r w:rsidRPr="00D9492F">
        <w:rPr>
          <w:rFonts w:ascii="Times New Roman" w:eastAsia="Times New Roman" w:hAnsi="Times New Roman"/>
          <w:bCs/>
        </w:rPr>
        <w:tab/>
        <w:t xml:space="preserve">Kas yra </w:t>
      </w:r>
      <w:r w:rsidRPr="00D9492F">
        <w:rPr>
          <w:rFonts w:ascii="Times New Roman" w:eastAsia="Times New Roman" w:hAnsi="Times New Roman"/>
        </w:rPr>
        <w:t xml:space="preserve">Docetaxel SanoSwiss </w:t>
      </w:r>
      <w:r w:rsidRPr="00D9492F">
        <w:rPr>
          <w:rFonts w:ascii="Times New Roman" w:eastAsia="Times New Roman" w:hAnsi="Times New Roman"/>
          <w:noProof/>
        </w:rPr>
        <w:t xml:space="preserve">ir kam </w:t>
      </w:r>
      <w:r w:rsidRPr="00D9492F">
        <w:rPr>
          <w:rFonts w:ascii="Times New Roman" w:eastAsia="Times New Roman" w:hAnsi="Times New Roman"/>
          <w:bCs/>
        </w:rPr>
        <w:t>jis vartojamas</w:t>
      </w:r>
    </w:p>
    <w:p w14:paraId="67468385" w14:textId="77777777" w:rsidR="00DC1CDC" w:rsidRPr="00D9492F" w:rsidRDefault="00DC1CDC" w:rsidP="00DC1CDC">
      <w:pPr>
        <w:keepNext/>
        <w:tabs>
          <w:tab w:val="left" w:pos="567"/>
        </w:tabs>
        <w:spacing w:after="0" w:line="240" w:lineRule="auto"/>
        <w:rPr>
          <w:rFonts w:ascii="Times New Roman" w:hAnsi="Times New Roman"/>
          <w:bCs/>
        </w:rPr>
      </w:pPr>
      <w:r w:rsidRPr="00D9492F">
        <w:rPr>
          <w:rFonts w:ascii="Times New Roman" w:hAnsi="Times New Roman"/>
          <w:bCs/>
        </w:rPr>
        <w:t>2.</w:t>
      </w:r>
      <w:r w:rsidRPr="00D9492F">
        <w:rPr>
          <w:rFonts w:ascii="Times New Roman" w:hAnsi="Times New Roman"/>
          <w:bCs/>
        </w:rPr>
        <w:tab/>
        <w:t xml:space="preserve">Kas žinotina prieš vartojant </w:t>
      </w:r>
      <w:r w:rsidRPr="00D9492F">
        <w:rPr>
          <w:rFonts w:ascii="Times New Roman" w:hAnsi="Times New Roman"/>
        </w:rPr>
        <w:t>Docetaxel SanoSwiss</w:t>
      </w:r>
    </w:p>
    <w:p w14:paraId="17307137" w14:textId="77777777" w:rsidR="00DC1CDC" w:rsidRPr="00D9492F" w:rsidRDefault="00DC1CDC" w:rsidP="00DC1CDC">
      <w:pPr>
        <w:keepNext/>
        <w:tabs>
          <w:tab w:val="left" w:pos="567"/>
        </w:tabs>
        <w:spacing w:after="0" w:line="240" w:lineRule="auto"/>
        <w:rPr>
          <w:rFonts w:ascii="Times New Roman" w:hAnsi="Times New Roman"/>
          <w:bCs/>
        </w:rPr>
      </w:pPr>
      <w:r w:rsidRPr="00D9492F">
        <w:rPr>
          <w:rFonts w:ascii="Times New Roman" w:hAnsi="Times New Roman"/>
          <w:bCs/>
        </w:rPr>
        <w:t>3.</w:t>
      </w:r>
      <w:r w:rsidRPr="00D9492F">
        <w:rPr>
          <w:rFonts w:ascii="Times New Roman" w:hAnsi="Times New Roman"/>
          <w:bCs/>
        </w:rPr>
        <w:tab/>
        <w:t xml:space="preserve">Kaip vartoti </w:t>
      </w:r>
      <w:r w:rsidRPr="00D9492F">
        <w:rPr>
          <w:rFonts w:ascii="Times New Roman" w:hAnsi="Times New Roman"/>
        </w:rPr>
        <w:t>Docetaxel SanoSwiss</w:t>
      </w:r>
    </w:p>
    <w:p w14:paraId="38741409" w14:textId="77777777" w:rsidR="00DC1CDC" w:rsidRPr="00D9492F" w:rsidRDefault="00DC1CDC" w:rsidP="00DC1CDC">
      <w:pPr>
        <w:keepNext/>
        <w:tabs>
          <w:tab w:val="left" w:pos="567"/>
        </w:tabs>
        <w:spacing w:after="0" w:line="240" w:lineRule="auto"/>
        <w:rPr>
          <w:rFonts w:ascii="Times New Roman" w:hAnsi="Times New Roman"/>
          <w:bCs/>
        </w:rPr>
      </w:pPr>
      <w:r w:rsidRPr="00D9492F">
        <w:rPr>
          <w:rFonts w:ascii="Times New Roman" w:hAnsi="Times New Roman"/>
          <w:bCs/>
        </w:rPr>
        <w:t>4.</w:t>
      </w:r>
      <w:r w:rsidRPr="00D9492F">
        <w:rPr>
          <w:rFonts w:ascii="Times New Roman" w:hAnsi="Times New Roman"/>
          <w:bCs/>
        </w:rPr>
        <w:tab/>
        <w:t>Galimas šalutinis poveikis</w:t>
      </w:r>
    </w:p>
    <w:p w14:paraId="58317AEE" w14:textId="77777777" w:rsidR="00DC1CDC" w:rsidRPr="00D9492F" w:rsidRDefault="00DC1CDC" w:rsidP="00DC1CDC">
      <w:pPr>
        <w:keepNext/>
        <w:tabs>
          <w:tab w:val="left" w:pos="567"/>
        </w:tabs>
        <w:spacing w:after="0" w:line="240" w:lineRule="auto"/>
        <w:rPr>
          <w:rFonts w:ascii="Times New Roman" w:hAnsi="Times New Roman"/>
          <w:bCs/>
        </w:rPr>
      </w:pPr>
      <w:r w:rsidRPr="00D9492F">
        <w:rPr>
          <w:rFonts w:ascii="Times New Roman" w:hAnsi="Times New Roman"/>
          <w:bCs/>
        </w:rPr>
        <w:t>5.</w:t>
      </w:r>
      <w:r w:rsidRPr="00D9492F">
        <w:rPr>
          <w:rFonts w:ascii="Times New Roman" w:hAnsi="Times New Roman"/>
          <w:bCs/>
        </w:rPr>
        <w:tab/>
        <w:t xml:space="preserve">Kaip laikyti </w:t>
      </w:r>
      <w:r w:rsidRPr="00D9492F">
        <w:rPr>
          <w:rFonts w:ascii="Times New Roman" w:hAnsi="Times New Roman"/>
        </w:rPr>
        <w:t>Docetaxel SanoSwiss</w:t>
      </w:r>
    </w:p>
    <w:p w14:paraId="7D45D83F" w14:textId="77777777" w:rsidR="00DC1CDC" w:rsidRPr="00D9492F" w:rsidRDefault="00DC1CDC" w:rsidP="00DC1CDC">
      <w:pPr>
        <w:keepNext/>
        <w:tabs>
          <w:tab w:val="left" w:pos="567"/>
        </w:tabs>
        <w:spacing w:after="0" w:line="240" w:lineRule="auto"/>
        <w:rPr>
          <w:rFonts w:ascii="Times New Roman" w:hAnsi="Times New Roman"/>
          <w:bCs/>
        </w:rPr>
      </w:pPr>
      <w:r w:rsidRPr="00D9492F">
        <w:rPr>
          <w:rFonts w:ascii="Times New Roman" w:hAnsi="Times New Roman"/>
          <w:bCs/>
        </w:rPr>
        <w:t>6.</w:t>
      </w:r>
      <w:r w:rsidRPr="00D9492F">
        <w:rPr>
          <w:rFonts w:ascii="Times New Roman" w:hAnsi="Times New Roman"/>
          <w:bCs/>
        </w:rPr>
        <w:tab/>
        <w:t>Pakuotės turinys ir kita informacija</w:t>
      </w:r>
    </w:p>
    <w:p w14:paraId="7B85D647" w14:textId="77777777" w:rsidR="00DC1CDC" w:rsidRPr="00D9492F" w:rsidRDefault="00DC1CDC" w:rsidP="00DC1CDC">
      <w:pPr>
        <w:keepNext/>
        <w:spacing w:after="0" w:line="240" w:lineRule="auto"/>
        <w:rPr>
          <w:rFonts w:ascii="Times New Roman" w:hAnsi="Times New Roman"/>
        </w:rPr>
      </w:pPr>
    </w:p>
    <w:p w14:paraId="587A697D" w14:textId="77777777" w:rsidR="00DC1CDC" w:rsidRPr="00D9492F" w:rsidRDefault="00DC1CDC" w:rsidP="00DC1CDC">
      <w:pPr>
        <w:keepNext/>
        <w:spacing w:after="0" w:line="240" w:lineRule="auto"/>
        <w:rPr>
          <w:rFonts w:ascii="Times New Roman" w:eastAsia="Times New Roman" w:hAnsi="Times New Roman"/>
        </w:rPr>
      </w:pPr>
    </w:p>
    <w:p w14:paraId="6B2DB873" w14:textId="77777777" w:rsidR="00DC1CDC" w:rsidRPr="00D9492F" w:rsidRDefault="00DC1CDC" w:rsidP="00DC1CDC">
      <w:pPr>
        <w:keepNext/>
        <w:spacing w:after="0" w:line="240" w:lineRule="auto"/>
        <w:ind w:left="567" w:hanging="567"/>
        <w:rPr>
          <w:rFonts w:ascii="Times New Roman" w:hAnsi="Times New Roman"/>
          <w:b/>
        </w:rPr>
      </w:pPr>
      <w:r w:rsidRPr="00D9492F">
        <w:rPr>
          <w:rFonts w:ascii="Times New Roman" w:hAnsi="Times New Roman"/>
          <w:b/>
        </w:rPr>
        <w:t>1.</w:t>
      </w:r>
      <w:r w:rsidRPr="00D9492F">
        <w:rPr>
          <w:rFonts w:ascii="Times New Roman" w:hAnsi="Times New Roman"/>
          <w:b/>
        </w:rPr>
        <w:tab/>
        <w:t xml:space="preserve">Kas yra </w:t>
      </w:r>
      <w:r w:rsidRPr="00D9492F">
        <w:rPr>
          <w:rFonts w:ascii="Times New Roman" w:hAnsi="Times New Roman"/>
          <w:b/>
          <w:bCs/>
        </w:rPr>
        <w:t>Docetaxel SanoSwiss</w:t>
      </w:r>
      <w:r w:rsidRPr="00D9492F">
        <w:rPr>
          <w:rFonts w:ascii="Times New Roman" w:hAnsi="Times New Roman"/>
        </w:rPr>
        <w:t xml:space="preserve"> </w:t>
      </w:r>
      <w:r w:rsidRPr="00D9492F">
        <w:rPr>
          <w:rFonts w:ascii="Times New Roman" w:hAnsi="Times New Roman"/>
          <w:b/>
        </w:rPr>
        <w:t xml:space="preserve">ir </w:t>
      </w:r>
      <w:r w:rsidRPr="00D9492F">
        <w:rPr>
          <w:rFonts w:ascii="Times New Roman" w:hAnsi="Times New Roman"/>
          <w:b/>
          <w:noProof/>
        </w:rPr>
        <w:t>kam</w:t>
      </w:r>
      <w:r w:rsidRPr="00D9492F" w:rsidDel="00537816">
        <w:rPr>
          <w:rFonts w:ascii="Times New Roman" w:hAnsi="Times New Roman"/>
          <w:b/>
        </w:rPr>
        <w:t xml:space="preserve"> </w:t>
      </w:r>
      <w:r w:rsidRPr="00D9492F">
        <w:rPr>
          <w:rFonts w:ascii="Times New Roman" w:hAnsi="Times New Roman"/>
          <w:b/>
        </w:rPr>
        <w:t>jis vartojamas</w:t>
      </w:r>
    </w:p>
    <w:p w14:paraId="5409FE06" w14:textId="77777777" w:rsidR="00DC1CDC" w:rsidRPr="00D9492F" w:rsidRDefault="00DC1CDC" w:rsidP="00DC1CDC">
      <w:pPr>
        <w:keepNext/>
        <w:spacing w:after="0" w:line="240" w:lineRule="auto"/>
        <w:rPr>
          <w:rFonts w:ascii="Times New Roman" w:hAnsi="Times New Roman"/>
          <w:b/>
        </w:rPr>
      </w:pPr>
    </w:p>
    <w:p w14:paraId="1E631BE6"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 xml:space="preserve">Šio vaisto pavadinimas yra Docetaxel SanoSwiss. </w:t>
      </w:r>
      <w:r w:rsidR="00A66E1F" w:rsidRPr="00D9492F">
        <w:rPr>
          <w:rFonts w:ascii="Times New Roman" w:hAnsi="Times New Roman"/>
        </w:rPr>
        <w:t>Vaisto veiklioji medžiaga</w:t>
      </w:r>
      <w:r w:rsidRPr="00D9492F">
        <w:rPr>
          <w:rFonts w:ascii="Times New Roman" w:hAnsi="Times New Roman"/>
        </w:rPr>
        <w:t xml:space="preserve"> – docetakselis. Docetakselis yra medžiaga, gaunama iš kukmedžio spyglių.</w:t>
      </w:r>
    </w:p>
    <w:p w14:paraId="5B3219B9"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Docetakselis priklauso vaistų nuo vėžio, vadinamų taksoidais, grupei.</w:t>
      </w:r>
    </w:p>
    <w:p w14:paraId="2C11BFE0" w14:textId="77777777" w:rsidR="00DC1CDC" w:rsidRPr="00D9492F" w:rsidRDefault="00DC1CDC" w:rsidP="00DC1CDC">
      <w:pPr>
        <w:keepNext/>
        <w:spacing w:after="0" w:line="240" w:lineRule="auto"/>
        <w:rPr>
          <w:rFonts w:ascii="Times New Roman" w:hAnsi="Times New Roman"/>
        </w:rPr>
      </w:pPr>
    </w:p>
    <w:p w14:paraId="3FFABCE8"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Docetaxel SanoSwiss gydytojas skyrė krūties vėžiui, tam tikros rūšies (nesmulkiųjų ląstelių) plaučių vėžiui, prostatos vėžiui, skrandžio vėžiui ir galvos bei kaklo vėžiui gydyti:</w:t>
      </w:r>
    </w:p>
    <w:p w14:paraId="112DE388" w14:textId="77777777" w:rsidR="00DC1CDC" w:rsidRPr="00D9492F" w:rsidRDefault="00DC1CDC" w:rsidP="00DC1CDC">
      <w:pPr>
        <w:keepNext/>
        <w:numPr>
          <w:ilvl w:val="0"/>
          <w:numId w:val="3"/>
        </w:numPr>
        <w:spacing w:after="0" w:line="240" w:lineRule="auto"/>
        <w:rPr>
          <w:rFonts w:ascii="Times New Roman" w:hAnsi="Times New Roman"/>
        </w:rPr>
      </w:pPr>
      <w:r w:rsidRPr="00D9492F">
        <w:rPr>
          <w:rFonts w:ascii="Times New Roman" w:hAnsi="Times New Roman"/>
        </w:rPr>
        <w:t>progresavusiam krūties vėžiui gydyti Docetaxel SanoSwiss vartojamas vienas arba kartu su doksorubicinu, trastuzumabu ar kapecitabinu;</w:t>
      </w:r>
    </w:p>
    <w:p w14:paraId="287E8451" w14:textId="77777777" w:rsidR="00DC1CDC" w:rsidRPr="00D9492F" w:rsidRDefault="00DC1CDC" w:rsidP="00DC1CDC">
      <w:pPr>
        <w:keepNext/>
        <w:numPr>
          <w:ilvl w:val="0"/>
          <w:numId w:val="3"/>
        </w:numPr>
        <w:spacing w:after="0" w:line="240" w:lineRule="auto"/>
        <w:rPr>
          <w:rFonts w:ascii="Times New Roman" w:hAnsi="Times New Roman"/>
        </w:rPr>
      </w:pPr>
      <w:r w:rsidRPr="00D9492F">
        <w:rPr>
          <w:rFonts w:ascii="Times New Roman" w:hAnsi="Times New Roman"/>
        </w:rPr>
        <w:t>pradinių stadijų krūties vėžiui, pažeidusiam ar nepažeidusiam limfmazgius, gydyti Docetaxel SanoSwiss gali būti vartojamas kartu su doksorubicinu ir ciklofosfamidu;</w:t>
      </w:r>
    </w:p>
    <w:p w14:paraId="18A6DBD7" w14:textId="77777777" w:rsidR="00DC1CDC" w:rsidRPr="00D9492F" w:rsidRDefault="00DC1CDC" w:rsidP="00DC1CDC">
      <w:pPr>
        <w:keepNext/>
        <w:numPr>
          <w:ilvl w:val="0"/>
          <w:numId w:val="3"/>
        </w:numPr>
        <w:spacing w:after="0" w:line="240" w:lineRule="auto"/>
        <w:rPr>
          <w:rFonts w:ascii="Times New Roman" w:hAnsi="Times New Roman"/>
        </w:rPr>
      </w:pPr>
      <w:r w:rsidRPr="00D9492F">
        <w:rPr>
          <w:rFonts w:ascii="Times New Roman" w:hAnsi="Times New Roman"/>
        </w:rPr>
        <w:t>plaučių vėžiui gydyti Docetaxel SanoSwiss vartojamas vienas arba kartu su cisplatina;</w:t>
      </w:r>
    </w:p>
    <w:p w14:paraId="544C745C" w14:textId="77777777" w:rsidR="00DC1CDC" w:rsidRPr="00D9492F" w:rsidRDefault="00DC1CDC" w:rsidP="00DC1CDC">
      <w:pPr>
        <w:keepNext/>
        <w:numPr>
          <w:ilvl w:val="0"/>
          <w:numId w:val="3"/>
        </w:numPr>
        <w:spacing w:after="0" w:line="240" w:lineRule="auto"/>
        <w:rPr>
          <w:rFonts w:ascii="Times New Roman" w:hAnsi="Times New Roman"/>
        </w:rPr>
      </w:pPr>
      <w:r w:rsidRPr="00D9492F">
        <w:rPr>
          <w:rFonts w:ascii="Times New Roman" w:hAnsi="Times New Roman"/>
        </w:rPr>
        <w:t>prostatos vėžiui gydyti Docetaxel SanoSwiss vartojamas kartu su prednizonu ar prednizolonu;</w:t>
      </w:r>
    </w:p>
    <w:p w14:paraId="1418E28A" w14:textId="77777777" w:rsidR="00DC1CDC" w:rsidRPr="00D9492F" w:rsidRDefault="00DC1CDC" w:rsidP="00DC1CDC">
      <w:pPr>
        <w:keepNext/>
        <w:numPr>
          <w:ilvl w:val="0"/>
          <w:numId w:val="3"/>
        </w:numPr>
        <w:spacing w:after="0" w:line="240" w:lineRule="auto"/>
        <w:rPr>
          <w:rFonts w:ascii="Times New Roman" w:hAnsi="Times New Roman"/>
        </w:rPr>
      </w:pPr>
      <w:r w:rsidRPr="00D9492F">
        <w:rPr>
          <w:rFonts w:ascii="Times New Roman" w:hAnsi="Times New Roman"/>
        </w:rPr>
        <w:t>skrandžio vėžiui gydyti Docetaxel SanoSwiss vartojamas kartu su cisplatina ir 5</w:t>
      </w:r>
      <w:r w:rsidRPr="00D9492F">
        <w:rPr>
          <w:rFonts w:ascii="Times New Roman" w:hAnsi="Times New Roman"/>
        </w:rPr>
        <w:noBreakHyphen/>
        <w:t>fluorouracilu.</w:t>
      </w:r>
    </w:p>
    <w:p w14:paraId="19B777F1" w14:textId="77777777" w:rsidR="00DC1CDC" w:rsidRPr="00D9492F" w:rsidRDefault="00DC1CDC" w:rsidP="00DC1CDC">
      <w:pPr>
        <w:keepNext/>
        <w:numPr>
          <w:ilvl w:val="0"/>
          <w:numId w:val="3"/>
        </w:numPr>
        <w:spacing w:after="0" w:line="240" w:lineRule="auto"/>
        <w:rPr>
          <w:rFonts w:ascii="Times New Roman" w:hAnsi="Times New Roman"/>
        </w:rPr>
      </w:pPr>
      <w:r w:rsidRPr="00D9492F">
        <w:rPr>
          <w:rFonts w:ascii="Times New Roman" w:hAnsi="Times New Roman"/>
        </w:rPr>
        <w:t>galvos ir kaklo vėžiui gydyti Docetaxel SanoSwiss vartojamas kartu su cisplatina ir 5</w:t>
      </w:r>
      <w:r w:rsidRPr="00D9492F">
        <w:rPr>
          <w:rFonts w:ascii="Times New Roman" w:hAnsi="Times New Roman"/>
        </w:rPr>
        <w:noBreakHyphen/>
        <w:t>fluorouracilu.</w:t>
      </w:r>
    </w:p>
    <w:p w14:paraId="2E8107AF" w14:textId="77777777" w:rsidR="00DC1CDC" w:rsidRPr="00D9492F" w:rsidRDefault="00DC1CDC" w:rsidP="00DC1CDC">
      <w:pPr>
        <w:keepNext/>
        <w:spacing w:after="0" w:line="240" w:lineRule="auto"/>
        <w:rPr>
          <w:rFonts w:ascii="Times New Roman" w:hAnsi="Times New Roman"/>
        </w:rPr>
      </w:pPr>
    </w:p>
    <w:p w14:paraId="271081B8" w14:textId="77777777" w:rsidR="00DC1CDC" w:rsidRPr="00D9492F" w:rsidRDefault="00DC1CDC" w:rsidP="00DC1CDC">
      <w:pPr>
        <w:keepNext/>
        <w:spacing w:after="0" w:line="240" w:lineRule="auto"/>
        <w:rPr>
          <w:rFonts w:ascii="Times New Roman" w:hAnsi="Times New Roman"/>
        </w:rPr>
      </w:pPr>
    </w:p>
    <w:p w14:paraId="3F4D2BB6" w14:textId="77777777" w:rsidR="00DC1CDC" w:rsidRPr="00D9492F" w:rsidRDefault="00DC1CDC" w:rsidP="00DC1CDC">
      <w:pPr>
        <w:keepNext/>
        <w:spacing w:after="0" w:line="240" w:lineRule="auto"/>
        <w:ind w:left="567" w:hanging="567"/>
        <w:rPr>
          <w:rFonts w:ascii="Times New Roman" w:hAnsi="Times New Roman"/>
          <w:b/>
        </w:rPr>
      </w:pPr>
      <w:r w:rsidRPr="00D9492F">
        <w:rPr>
          <w:rFonts w:ascii="Times New Roman" w:hAnsi="Times New Roman"/>
          <w:b/>
        </w:rPr>
        <w:t>2.</w:t>
      </w:r>
      <w:r w:rsidRPr="00D9492F">
        <w:rPr>
          <w:rFonts w:ascii="Times New Roman" w:hAnsi="Times New Roman"/>
          <w:b/>
        </w:rPr>
        <w:tab/>
        <w:t xml:space="preserve">Kas žinotina prieš vartojant </w:t>
      </w:r>
      <w:r w:rsidRPr="00D9492F">
        <w:rPr>
          <w:rFonts w:ascii="Times New Roman" w:hAnsi="Times New Roman"/>
          <w:b/>
          <w:bCs/>
        </w:rPr>
        <w:t>Docetaxel SanoSwiss</w:t>
      </w:r>
    </w:p>
    <w:p w14:paraId="0E92C3FB" w14:textId="77777777" w:rsidR="00DC1CDC" w:rsidRPr="00D9492F" w:rsidRDefault="00DC1CDC" w:rsidP="00DC1CDC">
      <w:pPr>
        <w:keepNext/>
        <w:spacing w:after="0" w:line="240" w:lineRule="auto"/>
        <w:rPr>
          <w:rFonts w:ascii="Times New Roman" w:hAnsi="Times New Roman"/>
          <w:b/>
        </w:rPr>
      </w:pPr>
    </w:p>
    <w:p w14:paraId="2F752603" w14:textId="77777777" w:rsidR="00DC1CDC" w:rsidRPr="00D9492F" w:rsidRDefault="00DC1CDC" w:rsidP="00DC1CDC">
      <w:pPr>
        <w:keepNext/>
        <w:spacing w:after="0" w:line="240" w:lineRule="auto"/>
        <w:rPr>
          <w:rFonts w:ascii="Times New Roman" w:hAnsi="Times New Roman"/>
          <w:b/>
        </w:rPr>
      </w:pPr>
      <w:r w:rsidRPr="00D9492F">
        <w:rPr>
          <w:rFonts w:ascii="Times New Roman" w:hAnsi="Times New Roman"/>
          <w:b/>
          <w:bCs/>
        </w:rPr>
        <w:t>Docetaxel SanoSwiss</w:t>
      </w:r>
      <w:r w:rsidRPr="00D9492F">
        <w:rPr>
          <w:rFonts w:ascii="Times New Roman" w:hAnsi="Times New Roman"/>
        </w:rPr>
        <w:t xml:space="preserve"> </w:t>
      </w:r>
      <w:r w:rsidRPr="00D9492F">
        <w:rPr>
          <w:rFonts w:ascii="Times New Roman" w:hAnsi="Times New Roman"/>
          <w:b/>
        </w:rPr>
        <w:t>vartoti negalima:</w:t>
      </w:r>
    </w:p>
    <w:p w14:paraId="3C4012E9" w14:textId="77777777" w:rsidR="00DC1CDC" w:rsidRPr="00D9492F" w:rsidRDefault="00DC1CDC" w:rsidP="00DC1CDC">
      <w:pPr>
        <w:keepNext/>
        <w:numPr>
          <w:ilvl w:val="0"/>
          <w:numId w:val="2"/>
        </w:numPr>
        <w:spacing w:after="0" w:line="240" w:lineRule="auto"/>
        <w:rPr>
          <w:rFonts w:ascii="Times New Roman" w:eastAsia="Times New Roman" w:hAnsi="Times New Roman"/>
        </w:rPr>
      </w:pPr>
      <w:r w:rsidRPr="00D9492F">
        <w:rPr>
          <w:rFonts w:ascii="Times New Roman" w:eastAsia="Times New Roman" w:hAnsi="Times New Roman"/>
        </w:rPr>
        <w:t>jeigu yra alergija docetakseliui arba bet kuriai pagalbinei šio vaisto medžiagai (jos išvardytos 6 skyriuje);</w:t>
      </w:r>
    </w:p>
    <w:p w14:paraId="01225BFA" w14:textId="77777777" w:rsidR="00DC1CDC" w:rsidRPr="00D9492F" w:rsidRDefault="00DC1CDC" w:rsidP="00DC1CDC">
      <w:pPr>
        <w:keepNext/>
        <w:numPr>
          <w:ilvl w:val="0"/>
          <w:numId w:val="2"/>
        </w:numPr>
        <w:spacing w:after="0" w:line="240" w:lineRule="auto"/>
        <w:rPr>
          <w:rFonts w:ascii="Times New Roman" w:eastAsia="Times New Roman" w:hAnsi="Times New Roman"/>
        </w:rPr>
      </w:pPr>
      <w:r w:rsidRPr="00D9492F">
        <w:rPr>
          <w:rFonts w:ascii="Times New Roman" w:eastAsia="Times New Roman" w:hAnsi="Times New Roman"/>
        </w:rPr>
        <w:t>jeigu per daug sumažėjęs baltųjų kraujo kūnelių skaičius;</w:t>
      </w:r>
    </w:p>
    <w:p w14:paraId="1E2F2571" w14:textId="77777777" w:rsidR="00DC1CDC" w:rsidRPr="00D9492F" w:rsidRDefault="00DC1CDC" w:rsidP="00DC1CDC">
      <w:pPr>
        <w:keepNext/>
        <w:numPr>
          <w:ilvl w:val="0"/>
          <w:numId w:val="2"/>
        </w:numPr>
        <w:spacing w:after="0" w:line="240" w:lineRule="auto"/>
        <w:rPr>
          <w:rFonts w:ascii="Times New Roman" w:hAnsi="Times New Roman"/>
        </w:rPr>
      </w:pPr>
      <w:r w:rsidRPr="00D9492F">
        <w:rPr>
          <w:rFonts w:ascii="Times New Roman" w:hAnsi="Times New Roman"/>
        </w:rPr>
        <w:t>jeigu sergate sunkia kepenų liga.</w:t>
      </w:r>
    </w:p>
    <w:p w14:paraId="11BC2C8F" w14:textId="77777777" w:rsidR="00DC1CDC" w:rsidRPr="00D9492F" w:rsidRDefault="00DC1CDC" w:rsidP="00DC1CDC">
      <w:pPr>
        <w:keepNext/>
        <w:spacing w:after="0" w:line="240" w:lineRule="auto"/>
        <w:rPr>
          <w:rFonts w:ascii="Times New Roman" w:hAnsi="Times New Roman"/>
        </w:rPr>
      </w:pPr>
    </w:p>
    <w:p w14:paraId="7B061405" w14:textId="77777777" w:rsidR="00DC1CDC" w:rsidRPr="00D9492F" w:rsidRDefault="00DC1CDC" w:rsidP="00DC1CDC">
      <w:pPr>
        <w:keepNext/>
        <w:spacing w:after="0" w:line="240" w:lineRule="auto"/>
        <w:rPr>
          <w:rFonts w:ascii="Times New Roman" w:hAnsi="Times New Roman"/>
          <w:b/>
        </w:rPr>
      </w:pPr>
      <w:r w:rsidRPr="00D9492F">
        <w:rPr>
          <w:rFonts w:ascii="Times New Roman" w:hAnsi="Times New Roman"/>
          <w:b/>
        </w:rPr>
        <w:t>Įspėjimai ir atsargumo priemonės</w:t>
      </w:r>
    </w:p>
    <w:p w14:paraId="333AF080"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 xml:space="preserve">Prieš kiekvieną Docetaxel SanoSwiss gydymo kursą Jums bus atliekamas kraujo tyrimas. Jo metu bus nustatyta, ar ne per mažai kraujo kūnelių ir ar pakankama kepenų funkcija, kad būtų galima </w:t>
      </w:r>
      <w:r w:rsidR="00484A28" w:rsidRPr="00D9492F">
        <w:rPr>
          <w:rFonts w:ascii="Times New Roman" w:hAnsi="Times New Roman"/>
        </w:rPr>
        <w:t xml:space="preserve">skirti </w:t>
      </w:r>
      <w:r w:rsidRPr="00D9492F">
        <w:rPr>
          <w:rFonts w:ascii="Times New Roman" w:hAnsi="Times New Roman"/>
        </w:rPr>
        <w:lastRenderedPageBreak/>
        <w:t xml:space="preserve">Docetaxel SanoSwiss. Jei sumažės baltųjų kraujo kūnelių </w:t>
      </w:r>
      <w:r w:rsidR="00D22B8D" w:rsidRPr="00D9492F">
        <w:rPr>
          <w:rFonts w:ascii="Times New Roman" w:hAnsi="Times New Roman"/>
        </w:rPr>
        <w:t>skaičius</w:t>
      </w:r>
      <w:r w:rsidRPr="00D9492F">
        <w:rPr>
          <w:rFonts w:ascii="Times New Roman" w:hAnsi="Times New Roman"/>
        </w:rPr>
        <w:t>, gali pasireikšti su tuo susijęs karščiavimas ar infekcija.</w:t>
      </w:r>
    </w:p>
    <w:p w14:paraId="5F260341" w14:textId="77777777" w:rsidR="004B41B3" w:rsidRPr="00D9492F" w:rsidRDefault="004B41B3" w:rsidP="004B41B3">
      <w:pPr>
        <w:keepNext/>
        <w:spacing w:after="0" w:line="240" w:lineRule="auto"/>
        <w:rPr>
          <w:rFonts w:ascii="Times New Roman" w:hAnsi="Times New Roman"/>
        </w:rPr>
      </w:pPr>
    </w:p>
    <w:p w14:paraId="77293749" w14:textId="080A2C16" w:rsidR="00DC1CDC" w:rsidRPr="00D9492F" w:rsidRDefault="004B41B3" w:rsidP="004B41B3">
      <w:pPr>
        <w:keepNext/>
        <w:spacing w:after="0" w:line="240" w:lineRule="auto"/>
        <w:rPr>
          <w:rFonts w:ascii="Times New Roman" w:hAnsi="Times New Roman"/>
        </w:rPr>
      </w:pPr>
      <w:r w:rsidRPr="00D9492F">
        <w:rPr>
          <w:rFonts w:ascii="Times New Roman" w:hAnsi="Times New Roman"/>
        </w:rPr>
        <w:t>Nedelsdami pasakykite gydytojui, vaistininkui arba slaugytojui, jei atsiranda pilvo skausmas</w:t>
      </w:r>
      <w:r w:rsidR="00641C9D" w:rsidRPr="00D9492F">
        <w:rPr>
          <w:rFonts w:ascii="Times New Roman" w:hAnsi="Times New Roman"/>
        </w:rPr>
        <w:t xml:space="preserve"> </w:t>
      </w:r>
      <w:r w:rsidRPr="00D9492F">
        <w:rPr>
          <w:rFonts w:ascii="Times New Roman" w:hAnsi="Times New Roman"/>
        </w:rPr>
        <w:t>ar jautrumas, viduriavimas, kraujavimas iš tiesiosios žarnos, kraujas išmatose arba karščiaviamas.</w:t>
      </w:r>
      <w:r w:rsidR="00641C9D" w:rsidRPr="00D9492F">
        <w:rPr>
          <w:rFonts w:ascii="Times New Roman" w:hAnsi="Times New Roman"/>
        </w:rPr>
        <w:t xml:space="preserve"> </w:t>
      </w:r>
      <w:r w:rsidRPr="00D9492F">
        <w:rPr>
          <w:rFonts w:ascii="Times New Roman" w:hAnsi="Times New Roman"/>
        </w:rPr>
        <w:t>Tokie simptomai gali būti pirmieji sunkaus toksinio poveikio virškinimo traktui, kuris gali būti</w:t>
      </w:r>
      <w:r w:rsidR="00641C9D" w:rsidRPr="00D9492F">
        <w:rPr>
          <w:rFonts w:ascii="Times New Roman" w:hAnsi="Times New Roman"/>
        </w:rPr>
        <w:t xml:space="preserve"> </w:t>
      </w:r>
      <w:r w:rsidRPr="00D9492F">
        <w:rPr>
          <w:rFonts w:ascii="Times New Roman" w:hAnsi="Times New Roman"/>
        </w:rPr>
        <w:t>mirtinas, požymiai. Gydytojas turi nedelsdamas juos įvertinti.</w:t>
      </w:r>
    </w:p>
    <w:p w14:paraId="1FED85C3" w14:textId="77777777" w:rsidR="004B41B3" w:rsidRPr="00D9492F" w:rsidRDefault="004B41B3" w:rsidP="004B41B3">
      <w:pPr>
        <w:keepNext/>
        <w:spacing w:after="0" w:line="240" w:lineRule="auto"/>
        <w:rPr>
          <w:rFonts w:ascii="Times New Roman" w:hAnsi="Times New Roman"/>
        </w:rPr>
      </w:pPr>
    </w:p>
    <w:p w14:paraId="033AF518"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Jeigu Jums sutriko regėjimas, pasakykite gydytojui, vaistininkui arba slaugytojai. Sutrikus regėjimui, ypač jeigu neaiškiai matote, reikia nedelsiant pasitikrinti akis ir regėjimą.</w:t>
      </w:r>
    </w:p>
    <w:p w14:paraId="07D939B8" w14:textId="77777777" w:rsidR="00DC1CDC" w:rsidRPr="00D9492F" w:rsidRDefault="00DC1CDC" w:rsidP="00DC1CDC">
      <w:pPr>
        <w:keepNext/>
        <w:spacing w:after="0" w:line="240" w:lineRule="auto"/>
        <w:rPr>
          <w:rFonts w:ascii="Times New Roman" w:hAnsi="Times New Roman"/>
        </w:rPr>
      </w:pPr>
    </w:p>
    <w:p w14:paraId="3387EA77"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Jeigu Jums buvo pasireiškusi alerginė reakcija į ankstesnį gydymą paklitakseliu, apie tai pasakykite gydytojui, ligoninės vaistininkui arba slaugytojui.</w:t>
      </w:r>
    </w:p>
    <w:p w14:paraId="442381F9" w14:textId="77777777" w:rsidR="004B41B3" w:rsidRPr="00D9492F" w:rsidRDefault="004B41B3" w:rsidP="00DC1CDC">
      <w:pPr>
        <w:keepNext/>
        <w:spacing w:after="0" w:line="240" w:lineRule="auto"/>
      </w:pPr>
    </w:p>
    <w:p w14:paraId="003A9E8F" w14:textId="75B70278" w:rsidR="00DC1CDC" w:rsidRPr="00D9492F" w:rsidRDefault="004B41B3" w:rsidP="00DC1CDC">
      <w:pPr>
        <w:keepNext/>
        <w:spacing w:after="0" w:line="240" w:lineRule="auto"/>
        <w:rPr>
          <w:rFonts w:ascii="Times New Roman" w:hAnsi="Times New Roman"/>
        </w:rPr>
      </w:pPr>
      <w:r w:rsidRPr="00D9492F">
        <w:rPr>
          <w:rFonts w:ascii="Times New Roman" w:hAnsi="Times New Roman"/>
        </w:rPr>
        <w:t>Jeigu Jums yra širdies sutrikimų, apie tai pasakykite gydytojui, vaistininkui arba slaugytojui.</w:t>
      </w:r>
    </w:p>
    <w:p w14:paraId="6DB41EC5" w14:textId="77777777" w:rsidR="004B41B3" w:rsidRPr="00D9492F" w:rsidRDefault="004B41B3" w:rsidP="00DC1CDC">
      <w:pPr>
        <w:keepNext/>
        <w:spacing w:after="0" w:line="240" w:lineRule="auto"/>
        <w:rPr>
          <w:rFonts w:ascii="Times New Roman" w:hAnsi="Times New Roman"/>
        </w:rPr>
      </w:pPr>
    </w:p>
    <w:p w14:paraId="63E1752E"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 xml:space="preserve">Jeigu atsirado ūmių </w:t>
      </w:r>
      <w:r w:rsidR="00D22B8D" w:rsidRPr="00D9492F">
        <w:rPr>
          <w:rFonts w:ascii="Times New Roman" w:hAnsi="Times New Roman"/>
        </w:rPr>
        <w:t xml:space="preserve">kvėpavimo </w:t>
      </w:r>
      <w:r w:rsidRPr="00D9492F">
        <w:rPr>
          <w:rFonts w:ascii="Times New Roman" w:hAnsi="Times New Roman"/>
        </w:rPr>
        <w:t>sutrikimų arba pasunkėjo esami (karščiavimas, dusulys arba kosulys),</w:t>
      </w:r>
      <w:r w:rsidR="00D22B8D" w:rsidRPr="00D9492F">
        <w:rPr>
          <w:rFonts w:ascii="Times New Roman" w:hAnsi="Times New Roman"/>
        </w:rPr>
        <w:t xml:space="preserve"> </w:t>
      </w:r>
      <w:r w:rsidRPr="00D9492F">
        <w:rPr>
          <w:rFonts w:ascii="Times New Roman" w:hAnsi="Times New Roman"/>
        </w:rPr>
        <w:t>nedelsiant pasakykite gydytojui, vaistininkui arba slaugytojai. Gydytojas gali nuspręsti nedelsiant nutraukti šio vaisto vartojimą.</w:t>
      </w:r>
    </w:p>
    <w:p w14:paraId="5B5941C3" w14:textId="77777777" w:rsidR="00DC1CDC" w:rsidRPr="00D9492F" w:rsidRDefault="00DC1CDC" w:rsidP="00DC1CDC">
      <w:pPr>
        <w:keepNext/>
        <w:spacing w:after="0" w:line="240" w:lineRule="auto"/>
        <w:rPr>
          <w:rFonts w:ascii="Times New Roman" w:hAnsi="Times New Roman"/>
        </w:rPr>
      </w:pPr>
    </w:p>
    <w:p w14:paraId="0A3CB06F"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 xml:space="preserve">Gydytojas nurodys gerti kortikosteroido (pvz., deksametazono) premedikacijai vieną dieną iki Docetaxel SanoSwiss infuzijos ir vieną ar dvi dienas po jos, kad būtų silpnesni kai kurie po infuzijos </w:t>
      </w:r>
    </w:p>
    <w:p w14:paraId="55493697"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galimi nepageidaujami poveikiai: alerginės reakcijos ir skysčių susilaikymas (plaštakų, pėdų ir kojų tinimas, svorio didėjimas).</w:t>
      </w:r>
    </w:p>
    <w:p w14:paraId="74C01565" w14:textId="77777777" w:rsidR="00DC1CDC" w:rsidRPr="00D9492F" w:rsidRDefault="00DC1CDC" w:rsidP="00DC1CDC">
      <w:pPr>
        <w:keepNext/>
        <w:spacing w:after="0" w:line="240" w:lineRule="auto"/>
        <w:rPr>
          <w:rFonts w:ascii="Times New Roman" w:hAnsi="Times New Roman"/>
        </w:rPr>
      </w:pPr>
    </w:p>
    <w:p w14:paraId="0801BC08" w14:textId="71961A50" w:rsidR="00DC1CDC" w:rsidRPr="00D9492F" w:rsidRDefault="00DC1CDC" w:rsidP="00DC1CDC">
      <w:pPr>
        <w:keepNext/>
        <w:suppressAutoHyphens/>
        <w:spacing w:after="0" w:line="240" w:lineRule="auto"/>
        <w:rPr>
          <w:rFonts w:ascii="Times New Roman" w:hAnsi="Times New Roman"/>
        </w:rPr>
      </w:pPr>
      <w:r w:rsidRPr="00D9492F">
        <w:rPr>
          <w:rFonts w:ascii="Times New Roman" w:hAnsi="Times New Roman"/>
        </w:rPr>
        <w:t>Gydymo metu gydytojas gali skirti kitų vaistų reikiamam kraujo kūnelių skaičiui išlaikyti.</w:t>
      </w:r>
    </w:p>
    <w:p w14:paraId="7AF9C76A" w14:textId="77777777" w:rsidR="004B41B3" w:rsidRPr="00D9492F" w:rsidRDefault="004B41B3" w:rsidP="004B41B3">
      <w:pPr>
        <w:keepNext/>
        <w:suppressAutoHyphens/>
        <w:spacing w:after="0" w:line="240" w:lineRule="auto"/>
        <w:rPr>
          <w:rFonts w:ascii="Times New Roman" w:hAnsi="Times New Roman"/>
        </w:rPr>
      </w:pPr>
    </w:p>
    <w:p w14:paraId="0A64166F" w14:textId="0A2FC17C" w:rsidR="004B41B3" w:rsidRPr="00D9492F" w:rsidRDefault="004B41B3" w:rsidP="004B41B3">
      <w:pPr>
        <w:keepNext/>
        <w:suppressAutoHyphens/>
        <w:spacing w:after="0" w:line="240" w:lineRule="auto"/>
        <w:rPr>
          <w:rFonts w:ascii="Times New Roman" w:hAnsi="Times New Roman"/>
        </w:rPr>
      </w:pPr>
      <w:r w:rsidRPr="00D9492F">
        <w:rPr>
          <w:rFonts w:ascii="Times New Roman" w:hAnsi="Times New Roman"/>
        </w:rPr>
        <w:t>Vartojant docetakselio pranešta apie sunkius odos sutrikimus, tokius kaip Stivenso-Džonsono (</w:t>
      </w:r>
      <w:r w:rsidRPr="00D9492F">
        <w:rPr>
          <w:rFonts w:ascii="Times New Roman" w:hAnsi="Times New Roman"/>
          <w:i/>
        </w:rPr>
        <w:t>Stevens-Johnson</w:t>
      </w:r>
      <w:r w:rsidRPr="00D9492F">
        <w:rPr>
          <w:rFonts w:ascii="Times New Roman" w:hAnsi="Times New Roman"/>
        </w:rPr>
        <w:t xml:space="preserve">) sindromas (SJS), toksinė epidermio nekrolizė (TEN) ir ūminė išplitusi egzanteminė pustuliozė (angl. </w:t>
      </w:r>
      <w:r w:rsidR="00126FB4" w:rsidRPr="00D9492F">
        <w:rPr>
          <w:rFonts w:ascii="Times New Roman" w:hAnsi="Times New Roman"/>
          <w:i/>
        </w:rPr>
        <w:t>a</w:t>
      </w:r>
      <w:r w:rsidRPr="00D9492F">
        <w:rPr>
          <w:rFonts w:ascii="Times New Roman" w:hAnsi="Times New Roman"/>
          <w:i/>
        </w:rPr>
        <w:t xml:space="preserve">cute </w:t>
      </w:r>
      <w:r w:rsidR="00126FB4" w:rsidRPr="00D9492F">
        <w:rPr>
          <w:rFonts w:ascii="Times New Roman" w:hAnsi="Times New Roman"/>
          <w:i/>
        </w:rPr>
        <w:t>g</w:t>
      </w:r>
      <w:r w:rsidRPr="00D9492F">
        <w:rPr>
          <w:rFonts w:ascii="Times New Roman" w:hAnsi="Times New Roman"/>
          <w:i/>
        </w:rPr>
        <w:t xml:space="preserve">eneralized </w:t>
      </w:r>
      <w:r w:rsidR="00126FB4" w:rsidRPr="00D9492F">
        <w:rPr>
          <w:rFonts w:ascii="Times New Roman" w:hAnsi="Times New Roman"/>
          <w:i/>
        </w:rPr>
        <w:t>e</w:t>
      </w:r>
      <w:r w:rsidRPr="00D9492F">
        <w:rPr>
          <w:rFonts w:ascii="Times New Roman" w:hAnsi="Times New Roman"/>
          <w:i/>
        </w:rPr>
        <w:t xml:space="preserve">xanthematous </w:t>
      </w:r>
      <w:r w:rsidR="00126FB4" w:rsidRPr="00D9492F">
        <w:rPr>
          <w:rFonts w:ascii="Times New Roman" w:hAnsi="Times New Roman"/>
          <w:i/>
        </w:rPr>
        <w:t>p</w:t>
      </w:r>
      <w:r w:rsidRPr="00D9492F">
        <w:rPr>
          <w:rFonts w:ascii="Times New Roman" w:hAnsi="Times New Roman"/>
          <w:i/>
        </w:rPr>
        <w:t>ustulosis,</w:t>
      </w:r>
      <w:r w:rsidRPr="00D9492F">
        <w:rPr>
          <w:rFonts w:ascii="Times New Roman" w:hAnsi="Times New Roman"/>
        </w:rPr>
        <w:t xml:space="preserve"> AGEP). </w:t>
      </w:r>
    </w:p>
    <w:p w14:paraId="3CBD6915" w14:textId="1F3A0AFD" w:rsidR="004B41B3" w:rsidRPr="00D9492F" w:rsidRDefault="004B41B3" w:rsidP="00D9492F">
      <w:pPr>
        <w:keepNext/>
        <w:suppressAutoHyphens/>
        <w:spacing w:after="0" w:line="240" w:lineRule="auto"/>
        <w:ind w:left="1296" w:hanging="1296"/>
        <w:rPr>
          <w:rFonts w:ascii="Times New Roman" w:hAnsi="Times New Roman"/>
        </w:rPr>
      </w:pPr>
      <w:r w:rsidRPr="00D9492F">
        <w:rPr>
          <w:rFonts w:ascii="Times New Roman" w:hAnsi="Times New Roman"/>
        </w:rPr>
        <w:t>-</w:t>
      </w:r>
      <w:r w:rsidRPr="00D9492F">
        <w:rPr>
          <w:rFonts w:ascii="Times New Roman" w:hAnsi="Times New Roman"/>
        </w:rPr>
        <w:tab/>
        <w:t xml:space="preserve">Galimi SJS ar TEN simptomai yra pūslių atsiradimas, lupimasis ar kraujavimas bet kurioje odos vietoje (įskaitant lūpas, akis, burną, nosį, lytinius organus, plaštakas ar </w:t>
      </w:r>
      <w:r w:rsidRPr="00D9492F">
        <w:rPr>
          <w:rFonts w:ascii="Times New Roman" w:hAnsi="Times New Roman"/>
        </w:rPr>
        <w:lastRenderedPageBreak/>
        <w:t xml:space="preserve">pėdas) su išbėrimu arba be jo. Be to, tuo pat metu gali atsirasti į gripą panašių simptomų, tokių kaip karščiavimas, šaltkrėtis ar raumenų maudimas. </w:t>
      </w:r>
    </w:p>
    <w:p w14:paraId="49750C6A" w14:textId="01719989" w:rsidR="004B41B3" w:rsidRPr="00D9492F" w:rsidRDefault="004B41B3" w:rsidP="00D9492F">
      <w:pPr>
        <w:keepNext/>
        <w:suppressAutoHyphens/>
        <w:spacing w:after="0" w:line="240" w:lineRule="auto"/>
        <w:ind w:left="1296" w:hanging="1296"/>
        <w:rPr>
          <w:rFonts w:ascii="Times New Roman" w:hAnsi="Times New Roman"/>
        </w:rPr>
      </w:pPr>
      <w:r w:rsidRPr="00D9492F">
        <w:rPr>
          <w:rFonts w:ascii="Times New Roman" w:hAnsi="Times New Roman"/>
        </w:rPr>
        <w:t>-</w:t>
      </w:r>
      <w:r w:rsidRPr="00D9492F">
        <w:rPr>
          <w:rFonts w:ascii="Times New Roman" w:hAnsi="Times New Roman"/>
        </w:rPr>
        <w:tab/>
        <w:t xml:space="preserve">Galimi AGEP simptomai yra išplitęs išbėrimas raudonomis pleiskanotomis dėmėmis su gumbais po ištinusia oda (įskaitant odos raukšles, liemenį ir rankas) ir pūslės kartu su karščiavimu. </w:t>
      </w:r>
    </w:p>
    <w:p w14:paraId="267C5BA3" w14:textId="2A6A2AC8" w:rsidR="004B41B3" w:rsidRPr="00D9492F" w:rsidRDefault="004B41B3" w:rsidP="004B41B3">
      <w:pPr>
        <w:keepNext/>
        <w:suppressAutoHyphens/>
        <w:spacing w:after="0" w:line="240" w:lineRule="auto"/>
        <w:rPr>
          <w:rFonts w:ascii="Times New Roman" w:hAnsi="Times New Roman"/>
        </w:rPr>
      </w:pPr>
      <w:r w:rsidRPr="00D9492F">
        <w:rPr>
          <w:rFonts w:ascii="Times New Roman" w:hAnsi="Times New Roman"/>
        </w:rPr>
        <w:t>Jei Jums atsiranda sunkių odos reakcijų arba bet kokių aukščiau paminėtų reakcijų, nedelsdami kreipkitės į gydytoją ar sveikatos priežiūros specialistą.</w:t>
      </w:r>
    </w:p>
    <w:p w14:paraId="3A33317E" w14:textId="77777777" w:rsidR="004B41B3" w:rsidRPr="00D9492F" w:rsidRDefault="004B41B3" w:rsidP="00DC1CDC">
      <w:pPr>
        <w:keepNext/>
        <w:spacing w:after="0" w:line="240" w:lineRule="auto"/>
        <w:rPr>
          <w:rFonts w:ascii="Times New Roman" w:hAnsi="Times New Roman"/>
        </w:rPr>
      </w:pPr>
    </w:p>
    <w:p w14:paraId="52D6BDE5"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 xml:space="preserve">Docetaxel SanoSwiss sudėtyje yra alkoholio. Jei turite priklausomybės nuo alkoholio problemų arba </w:t>
      </w:r>
    </w:p>
    <w:p w14:paraId="133FE591"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sergate kepenų nepakankamumu, pasitarkite su gydytoju. Taip pat žiūrėkite skyrių žemiau „Docetaxel SanoSwiss sudėtyje yra etanolio (alkoholio)“.</w:t>
      </w:r>
    </w:p>
    <w:p w14:paraId="1556AA52" w14:textId="77777777" w:rsidR="00141053" w:rsidRPr="00D9492F" w:rsidRDefault="00141053" w:rsidP="00DC1CDC">
      <w:pPr>
        <w:keepNext/>
        <w:spacing w:after="0" w:line="240" w:lineRule="auto"/>
        <w:rPr>
          <w:rFonts w:ascii="Times New Roman" w:hAnsi="Times New Roman"/>
        </w:rPr>
      </w:pPr>
    </w:p>
    <w:p w14:paraId="38D0B992" w14:textId="77777777" w:rsidR="00141053" w:rsidRPr="00D9492F" w:rsidRDefault="00141053" w:rsidP="00DC1CDC">
      <w:pPr>
        <w:keepNext/>
        <w:spacing w:after="0" w:line="240" w:lineRule="auto"/>
        <w:rPr>
          <w:rFonts w:ascii="Times New Roman" w:hAnsi="Times New Roman"/>
          <w:b/>
        </w:rPr>
      </w:pPr>
      <w:r w:rsidRPr="00D9492F">
        <w:rPr>
          <w:rFonts w:ascii="Times New Roman" w:hAnsi="Times New Roman"/>
          <w:b/>
        </w:rPr>
        <w:t>Vaikams</w:t>
      </w:r>
    </w:p>
    <w:p w14:paraId="3A6BEF34" w14:textId="77777777" w:rsidR="00604640" w:rsidRPr="00D9492F" w:rsidRDefault="00604640" w:rsidP="00E15A99">
      <w:pPr>
        <w:keepNext/>
        <w:spacing w:after="0" w:line="240" w:lineRule="auto"/>
        <w:rPr>
          <w:rFonts w:ascii="Times New Roman" w:hAnsi="Times New Roman"/>
        </w:rPr>
      </w:pPr>
      <w:r w:rsidRPr="00D9492F">
        <w:rPr>
          <w:rFonts w:ascii="Times New Roman" w:hAnsi="Times New Roman"/>
        </w:rPr>
        <w:t>Docetaxel SanoSwiss vartojimas vaikams, kurie sirgtų krūties vėžiu, plaučių nesmulkialąsteliniu vėžiu, prostatos vėžiu, skrandžio karcinoma, galvos ir kaklo vėžiu, neaktualus, išskyrus II arba III tipo mažiau diferencijuotą nosiaryklės karcinomą.</w:t>
      </w:r>
    </w:p>
    <w:p w14:paraId="59C47D93" w14:textId="77777777" w:rsidR="00604640" w:rsidRPr="00D9492F" w:rsidRDefault="00604640" w:rsidP="00E15A99">
      <w:pPr>
        <w:keepNext/>
        <w:spacing w:after="0" w:line="240" w:lineRule="auto"/>
        <w:rPr>
          <w:rFonts w:ascii="Times New Roman" w:hAnsi="Times New Roman"/>
        </w:rPr>
      </w:pPr>
    </w:p>
    <w:p w14:paraId="62124884" w14:textId="77777777" w:rsidR="00604640" w:rsidRPr="00D9492F" w:rsidRDefault="00DC1CDC" w:rsidP="00DC1CDC">
      <w:pPr>
        <w:keepNext/>
        <w:spacing w:after="0" w:line="240" w:lineRule="auto"/>
        <w:rPr>
          <w:rFonts w:ascii="Times New Roman" w:hAnsi="Times New Roman"/>
          <w:b/>
        </w:rPr>
      </w:pPr>
      <w:r w:rsidRPr="00D9492F">
        <w:rPr>
          <w:rFonts w:ascii="Times New Roman" w:hAnsi="Times New Roman"/>
          <w:b/>
        </w:rPr>
        <w:t>Kiti vaistai ir Docetaxel SanoSwiss</w:t>
      </w:r>
    </w:p>
    <w:p w14:paraId="7274E12B"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noProof/>
        </w:rPr>
        <w:t>Jeigu vartojate ar neseniai vartojote kitų vaistų arba dėl to nesate tikri, apie tai pasakykite gydytojui arba ligoninės vaistininkui.</w:t>
      </w:r>
      <w:r w:rsidRPr="00D9492F">
        <w:rPr>
          <w:rFonts w:ascii="Times New Roman" w:hAnsi="Times New Roman"/>
        </w:rPr>
        <w:t xml:space="preserve"> Tai būtina, kadangi Docetaxel SanoSwiss ir kitų vaistų</w:t>
      </w:r>
      <w:r w:rsidR="00AA3459" w:rsidRPr="00D9492F">
        <w:rPr>
          <w:rFonts w:ascii="Times New Roman" w:hAnsi="Times New Roman"/>
        </w:rPr>
        <w:t>, jeigu yra vartojami kartu,</w:t>
      </w:r>
      <w:r w:rsidRPr="00D9492F">
        <w:rPr>
          <w:rFonts w:ascii="Times New Roman" w:hAnsi="Times New Roman"/>
        </w:rPr>
        <w:t xml:space="preserve"> poveikis gali būti ne toks, kokio tikėtasi, be to, gali padidėti šalutinio poveikio pavojus.</w:t>
      </w:r>
    </w:p>
    <w:p w14:paraId="08EF1A12"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Alkoholio kiekis, esantis šio vaisto sudėtyje, gali keisti kitų vaistų poveikį.</w:t>
      </w:r>
    </w:p>
    <w:p w14:paraId="57C7EA4C" w14:textId="77777777" w:rsidR="00DC1CDC" w:rsidRPr="00D9492F" w:rsidRDefault="00DC1CDC" w:rsidP="00DC1CDC">
      <w:pPr>
        <w:keepNext/>
        <w:spacing w:after="0" w:line="240" w:lineRule="auto"/>
        <w:rPr>
          <w:rFonts w:ascii="Times New Roman" w:hAnsi="Times New Roman"/>
          <w:b/>
        </w:rPr>
      </w:pPr>
    </w:p>
    <w:p w14:paraId="2B744392" w14:textId="77777777" w:rsidR="00DC1CDC" w:rsidRPr="00D9492F" w:rsidRDefault="00DC1CDC" w:rsidP="00DC1CDC">
      <w:pPr>
        <w:keepNext/>
        <w:spacing w:after="0" w:line="240" w:lineRule="auto"/>
        <w:rPr>
          <w:rFonts w:ascii="Times New Roman" w:hAnsi="Times New Roman"/>
          <w:b/>
        </w:rPr>
      </w:pPr>
      <w:r w:rsidRPr="00D9492F">
        <w:rPr>
          <w:rFonts w:ascii="Times New Roman" w:hAnsi="Times New Roman"/>
          <w:b/>
        </w:rPr>
        <w:t>Nėštumas, žindymo laikotarpis ir vaisingumas</w:t>
      </w:r>
    </w:p>
    <w:p w14:paraId="26510957" w14:textId="77777777" w:rsidR="00DC1CDC" w:rsidRPr="00D9492F" w:rsidRDefault="00813072" w:rsidP="00DC1CDC">
      <w:pPr>
        <w:keepNext/>
        <w:spacing w:after="0" w:line="240" w:lineRule="auto"/>
        <w:rPr>
          <w:rFonts w:ascii="Times New Roman" w:hAnsi="Times New Roman"/>
          <w:b/>
        </w:rPr>
      </w:pPr>
      <w:r w:rsidRPr="00D9492F">
        <w:rPr>
          <w:rFonts w:ascii="Times New Roman" w:hAnsi="Times New Roman"/>
          <w:noProof/>
          <w:szCs w:val="24"/>
        </w:rPr>
        <w:t>Jeigu esate nėščia, žindote kūdikį, manote, kad galbūt esate nėščia, arba planuojate pastoti, tai prieš vartodama šį vaistą, pasitarkite su gydytoju.</w:t>
      </w:r>
    </w:p>
    <w:p w14:paraId="0DE00528" w14:textId="77777777" w:rsidR="00DC1CDC" w:rsidRPr="00D9492F" w:rsidRDefault="00DC1CDC" w:rsidP="00DC1CDC">
      <w:pPr>
        <w:keepNext/>
        <w:spacing w:after="0" w:line="240" w:lineRule="auto"/>
        <w:rPr>
          <w:rFonts w:ascii="Times New Roman" w:hAnsi="Times New Roman"/>
        </w:rPr>
      </w:pPr>
    </w:p>
    <w:p w14:paraId="66328BFF"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 xml:space="preserve">Nėščioms moterims Docetaxel SanoSwiss vartoti </w:t>
      </w:r>
      <w:r w:rsidRPr="00D9492F">
        <w:rPr>
          <w:rFonts w:ascii="Times New Roman" w:hAnsi="Times New Roman"/>
          <w:u w:val="single"/>
        </w:rPr>
        <w:t>NEGALIMA</w:t>
      </w:r>
      <w:r w:rsidRPr="00D9492F">
        <w:rPr>
          <w:rFonts w:ascii="Times New Roman" w:hAnsi="Times New Roman"/>
        </w:rPr>
        <w:t>, išskyrus neabejotinai būtinus atvejus.</w:t>
      </w:r>
    </w:p>
    <w:p w14:paraId="3C31A5E1" w14:textId="77777777" w:rsidR="00DC1CDC" w:rsidRPr="00D9492F" w:rsidRDefault="00DC1CDC" w:rsidP="00DC1CDC">
      <w:pPr>
        <w:keepNext/>
        <w:spacing w:after="0" w:line="240" w:lineRule="auto"/>
        <w:rPr>
          <w:rFonts w:ascii="Times New Roman" w:hAnsi="Times New Roman"/>
        </w:rPr>
      </w:pPr>
    </w:p>
    <w:p w14:paraId="57B58653"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Vartojant Docetaxel SanoSwiss negalima pastoti ir būtina naudoti veiksmingą kontracepcijos metodą, nes Docetaxel SanoSwiss gali pakenkti vaisiui. Jei šiuo vaistu gydoma moteris pastojo, ji turi nedelsdama apie tai pasakyti gydytojui.</w:t>
      </w:r>
    </w:p>
    <w:p w14:paraId="69EEF2F8" w14:textId="77777777" w:rsidR="00DC1CDC" w:rsidRPr="00D9492F" w:rsidRDefault="00DC1CDC" w:rsidP="00DC1CDC">
      <w:pPr>
        <w:keepNext/>
        <w:spacing w:after="0" w:line="240" w:lineRule="auto"/>
        <w:rPr>
          <w:rFonts w:ascii="Times New Roman" w:hAnsi="Times New Roman"/>
        </w:rPr>
      </w:pPr>
    </w:p>
    <w:p w14:paraId="0EEC059D"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Vyrams, gydymo Docetaxel SanoSwiss metu ir bent 6 mėnesius po gydymo, patariama neapvaisinti moters bei kreiptis dėl spermos užšaldymo galimybės iki gydymo pradžios, nes docetakselis gali trikdyti vyrų vaisingumą.</w:t>
      </w:r>
    </w:p>
    <w:p w14:paraId="0FA012A2" w14:textId="77777777" w:rsidR="00DC1CDC" w:rsidRPr="00D9492F" w:rsidRDefault="00DC1CDC" w:rsidP="00DC1CDC">
      <w:pPr>
        <w:keepNext/>
        <w:spacing w:after="0" w:line="240" w:lineRule="auto"/>
        <w:rPr>
          <w:rFonts w:ascii="Times New Roman" w:hAnsi="Times New Roman"/>
        </w:rPr>
      </w:pPr>
    </w:p>
    <w:p w14:paraId="0AF785FB"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Vartojant Docetaxel SanoSwiss žindyti negalima.</w:t>
      </w:r>
    </w:p>
    <w:p w14:paraId="54DB9957" w14:textId="77777777" w:rsidR="00DC1CDC" w:rsidRPr="00D9492F" w:rsidRDefault="00DC1CDC" w:rsidP="00DC1CDC">
      <w:pPr>
        <w:keepNext/>
        <w:spacing w:after="0" w:line="240" w:lineRule="auto"/>
        <w:rPr>
          <w:rFonts w:ascii="Times New Roman" w:hAnsi="Times New Roman"/>
        </w:rPr>
      </w:pPr>
    </w:p>
    <w:p w14:paraId="0796906D" w14:textId="77777777" w:rsidR="00DC1CDC" w:rsidRPr="00D9492F" w:rsidRDefault="00DC1CDC" w:rsidP="00DC1CDC">
      <w:pPr>
        <w:keepNext/>
        <w:spacing w:after="0" w:line="240" w:lineRule="auto"/>
        <w:rPr>
          <w:rFonts w:ascii="Times New Roman" w:hAnsi="Times New Roman"/>
          <w:b/>
        </w:rPr>
      </w:pPr>
      <w:r w:rsidRPr="00D9492F">
        <w:rPr>
          <w:rFonts w:ascii="Times New Roman" w:hAnsi="Times New Roman"/>
          <w:b/>
        </w:rPr>
        <w:t>Vairavimas ir mechanizmų valdymas</w:t>
      </w:r>
    </w:p>
    <w:p w14:paraId="1F3BAC5A" w14:textId="77777777" w:rsidR="004B41B3" w:rsidRPr="00D9492F" w:rsidRDefault="004B41B3" w:rsidP="004B41B3">
      <w:pPr>
        <w:keepNext/>
        <w:spacing w:after="0" w:line="240" w:lineRule="auto"/>
        <w:rPr>
          <w:rFonts w:ascii="Times New Roman" w:eastAsia="Times New Roman" w:hAnsi="Times New Roman"/>
        </w:rPr>
      </w:pPr>
      <w:r w:rsidRPr="00D9492F">
        <w:rPr>
          <w:rFonts w:ascii="Times New Roman" w:eastAsia="Times New Roman" w:hAnsi="Times New Roman"/>
        </w:rPr>
        <w:t xml:space="preserve">Šio vaisto sudėtyje esantis alkoholio kiekis gali trikdyti gebėjimą vairuoti ir valdyti mechanizmus. </w:t>
      </w:r>
    </w:p>
    <w:p w14:paraId="50F7A565" w14:textId="0693C79C" w:rsidR="00DC1CDC" w:rsidRPr="00D9492F" w:rsidRDefault="004B41B3" w:rsidP="00DC1CDC">
      <w:pPr>
        <w:keepNext/>
        <w:spacing w:after="0" w:line="240" w:lineRule="auto"/>
        <w:rPr>
          <w:rFonts w:ascii="Times New Roman" w:eastAsia="Times New Roman" w:hAnsi="Times New Roman"/>
        </w:rPr>
      </w:pPr>
      <w:r w:rsidRPr="00D9492F">
        <w:rPr>
          <w:rFonts w:ascii="Times New Roman" w:eastAsia="Times New Roman" w:hAnsi="Times New Roman"/>
        </w:rPr>
        <w:t xml:space="preserve">Vartojant šio vaisto Jums gali pasireikšti šalutinis poveikis, kuris gali paveikti Jūsų gebėjimą vairuoti, naudoti įrankius ar valdyti mechanizmus (žr. 4 skyrių „Galimas šalutinis poveikis“). Jei toks šalutinis </w:t>
      </w:r>
      <w:r w:rsidRPr="00D9492F">
        <w:rPr>
          <w:rFonts w:ascii="Times New Roman" w:eastAsia="Times New Roman" w:hAnsi="Times New Roman"/>
        </w:rPr>
        <w:lastRenderedPageBreak/>
        <w:t>poveikis pasireikštų, prieš pasitardami su gydytoju, slaugytoju ar vaistininku, nevairuokite, nenaudokite jokių įrankių ir nevaldykite mechanizmų.</w:t>
      </w:r>
    </w:p>
    <w:p w14:paraId="4790E6B6" w14:textId="77777777" w:rsidR="00DC1CDC" w:rsidRPr="00D9492F" w:rsidRDefault="00DC1CDC" w:rsidP="00DC1CDC">
      <w:pPr>
        <w:keepNext/>
        <w:tabs>
          <w:tab w:val="left" w:pos="567"/>
        </w:tabs>
        <w:spacing w:after="0" w:line="240" w:lineRule="auto"/>
        <w:rPr>
          <w:rFonts w:ascii="Times New Roman" w:eastAsia="Times New Roman" w:hAnsi="Times New Roman"/>
          <w:b/>
          <w:bCs/>
        </w:rPr>
      </w:pPr>
      <w:r w:rsidRPr="00D9492F">
        <w:rPr>
          <w:rFonts w:ascii="Times New Roman" w:eastAsia="Times New Roman" w:hAnsi="Times New Roman"/>
          <w:b/>
        </w:rPr>
        <w:t>Docetaxel SanoSwiss</w:t>
      </w:r>
      <w:r w:rsidRPr="00D9492F">
        <w:rPr>
          <w:rFonts w:ascii="Times New Roman" w:eastAsia="Times New Roman" w:hAnsi="Times New Roman"/>
          <w:b/>
          <w:bCs/>
          <w:lang w:eastAsia="en-GB"/>
        </w:rPr>
        <w:t xml:space="preserve"> </w:t>
      </w:r>
      <w:r w:rsidRPr="00D9492F">
        <w:rPr>
          <w:rFonts w:ascii="Times New Roman" w:eastAsia="Times New Roman" w:hAnsi="Times New Roman"/>
          <w:b/>
          <w:bCs/>
        </w:rPr>
        <w:t>sudėtyje yra etanolio (alkoholio)</w:t>
      </w:r>
    </w:p>
    <w:p w14:paraId="2C8F18EF" w14:textId="7292B9D3" w:rsidR="0043767E" w:rsidRPr="00D9492F" w:rsidRDefault="0043767E" w:rsidP="0043767E">
      <w:pPr>
        <w:keepNext/>
        <w:tabs>
          <w:tab w:val="left" w:pos="567"/>
        </w:tabs>
        <w:spacing w:after="0" w:line="240" w:lineRule="auto"/>
        <w:rPr>
          <w:rFonts w:ascii="Times New Roman" w:eastAsia="Times New Roman" w:hAnsi="Times New Roman"/>
          <w:noProof/>
        </w:rPr>
      </w:pPr>
      <w:r w:rsidRPr="00D9492F">
        <w:rPr>
          <w:rFonts w:ascii="Times New Roman" w:eastAsia="Times New Roman" w:hAnsi="Times New Roman"/>
          <w:noProof/>
        </w:rPr>
        <w:t>Kiekviename šio vaisto mililitre yra 326 mg alkoholio (etanolio). Toks mililitre esantis alkoholio kiekis atitinka 8,2 ml alaus ar 3,3 ml vyno.</w:t>
      </w:r>
    </w:p>
    <w:p w14:paraId="08BC5DF2" w14:textId="77777777" w:rsidR="0043767E" w:rsidRPr="00D9492F" w:rsidRDefault="0043767E" w:rsidP="0043767E">
      <w:pPr>
        <w:keepNext/>
        <w:tabs>
          <w:tab w:val="left" w:pos="567"/>
        </w:tabs>
        <w:spacing w:after="0" w:line="240" w:lineRule="auto"/>
        <w:rPr>
          <w:rFonts w:ascii="Times New Roman" w:eastAsia="Times New Roman" w:hAnsi="Times New Roman"/>
          <w:noProof/>
        </w:rPr>
      </w:pPr>
    </w:p>
    <w:p w14:paraId="3D6CCD94" w14:textId="77777777" w:rsidR="0043767E" w:rsidRPr="00D9492F" w:rsidRDefault="0043767E" w:rsidP="0043767E">
      <w:pPr>
        <w:keepNext/>
        <w:tabs>
          <w:tab w:val="left" w:pos="567"/>
        </w:tabs>
        <w:spacing w:after="0" w:line="240" w:lineRule="auto"/>
        <w:rPr>
          <w:rFonts w:ascii="Times New Roman" w:eastAsia="Times New Roman" w:hAnsi="Times New Roman"/>
          <w:noProof/>
        </w:rPr>
      </w:pPr>
      <w:r w:rsidRPr="00D9492F">
        <w:rPr>
          <w:rFonts w:ascii="Times New Roman" w:eastAsia="Times New Roman" w:hAnsi="Times New Roman"/>
          <w:noProof/>
        </w:rPr>
        <w:t>Alkoholio kiekis, esantis šio vaisto sudėtyje, nesukelia poveikio suaugusiesiems ir paaugliams, o poveikis vaikams, tikėtina, kad bus nepastebimas. Vis dėl to, mažiems vaikams toks alkoholio kiekis gali daryti nedidelį poveikį, pavyzdžiui, sukelti mieguistumą.</w:t>
      </w:r>
    </w:p>
    <w:p w14:paraId="1217773E" w14:textId="77777777" w:rsidR="0043767E" w:rsidRPr="00D9492F" w:rsidRDefault="0043767E" w:rsidP="0043767E">
      <w:pPr>
        <w:keepNext/>
        <w:tabs>
          <w:tab w:val="left" w:pos="567"/>
        </w:tabs>
        <w:spacing w:after="0" w:line="240" w:lineRule="auto"/>
        <w:rPr>
          <w:rFonts w:ascii="Times New Roman" w:eastAsia="Times New Roman" w:hAnsi="Times New Roman"/>
          <w:noProof/>
        </w:rPr>
      </w:pPr>
      <w:r w:rsidRPr="00D9492F">
        <w:rPr>
          <w:rFonts w:ascii="Times New Roman" w:eastAsia="Times New Roman" w:hAnsi="Times New Roman"/>
          <w:noProof/>
        </w:rPr>
        <w:t>Alkoholio kiekis, esantis šio vaisto sudėtyje, gali keisti kitų vaistų poveikį. Jeigu vartojate kitų vaistų, pasitarkite su gydytoju arba vaistininku.</w:t>
      </w:r>
    </w:p>
    <w:p w14:paraId="546886D9" w14:textId="77777777" w:rsidR="0033778A" w:rsidRPr="00D9492F" w:rsidRDefault="0033778A" w:rsidP="0043767E">
      <w:pPr>
        <w:keepNext/>
        <w:tabs>
          <w:tab w:val="left" w:pos="567"/>
        </w:tabs>
        <w:spacing w:after="0" w:line="240" w:lineRule="auto"/>
        <w:rPr>
          <w:rFonts w:ascii="Times New Roman" w:eastAsia="Times New Roman" w:hAnsi="Times New Roman"/>
          <w:noProof/>
        </w:rPr>
      </w:pPr>
    </w:p>
    <w:p w14:paraId="29463C26" w14:textId="2B396871" w:rsidR="0043767E" w:rsidRPr="00D9492F" w:rsidRDefault="0043767E" w:rsidP="0043767E">
      <w:pPr>
        <w:keepNext/>
        <w:tabs>
          <w:tab w:val="left" w:pos="567"/>
        </w:tabs>
        <w:spacing w:after="0" w:line="240" w:lineRule="auto"/>
        <w:rPr>
          <w:rFonts w:ascii="Times New Roman" w:eastAsia="Times New Roman" w:hAnsi="Times New Roman"/>
          <w:noProof/>
        </w:rPr>
      </w:pPr>
      <w:r w:rsidRPr="00D9492F">
        <w:rPr>
          <w:rFonts w:ascii="Times New Roman" w:eastAsia="Times New Roman" w:hAnsi="Times New Roman"/>
          <w:noProof/>
        </w:rPr>
        <w:t>Jeigu esate nėščia arba žindote kūdikį, prieš vartodama šį vaistą pasitarkite su gydytoju arba vaistininku.</w:t>
      </w:r>
    </w:p>
    <w:p w14:paraId="2427368B" w14:textId="77777777" w:rsidR="0033778A" w:rsidRPr="00D9492F" w:rsidRDefault="0033778A" w:rsidP="0043767E">
      <w:pPr>
        <w:keepNext/>
        <w:spacing w:after="0" w:line="240" w:lineRule="auto"/>
        <w:rPr>
          <w:rFonts w:ascii="Times New Roman" w:eastAsia="Times New Roman" w:hAnsi="Times New Roman"/>
          <w:noProof/>
        </w:rPr>
      </w:pPr>
    </w:p>
    <w:p w14:paraId="067E413E" w14:textId="490A1DD4" w:rsidR="0043767E" w:rsidRPr="00D9492F" w:rsidRDefault="0043767E" w:rsidP="0043767E">
      <w:pPr>
        <w:keepNext/>
        <w:spacing w:after="0" w:line="240" w:lineRule="auto"/>
        <w:rPr>
          <w:rFonts w:ascii="Times New Roman" w:eastAsia="Times New Roman" w:hAnsi="Times New Roman"/>
        </w:rPr>
      </w:pPr>
      <w:r w:rsidRPr="00D9492F">
        <w:rPr>
          <w:rFonts w:ascii="Times New Roman" w:eastAsia="Times New Roman" w:hAnsi="Times New Roman"/>
          <w:noProof/>
        </w:rPr>
        <w:t>Jeigu esate priklausomi nuo alkoholio, prieš vartodami šį vaistą pasitarkite su gydytoju arba vaistininku.</w:t>
      </w:r>
    </w:p>
    <w:p w14:paraId="4B0DF36D" w14:textId="77777777" w:rsidR="00DC1CDC" w:rsidRPr="00D9492F" w:rsidRDefault="00DC1CDC" w:rsidP="00DC1CDC">
      <w:pPr>
        <w:keepNext/>
        <w:spacing w:after="0" w:line="240" w:lineRule="auto"/>
        <w:rPr>
          <w:rFonts w:ascii="Times New Roman" w:eastAsia="Times New Roman" w:hAnsi="Times New Roman"/>
        </w:rPr>
      </w:pPr>
    </w:p>
    <w:p w14:paraId="71406C78" w14:textId="77777777" w:rsidR="00DC1CDC" w:rsidRPr="00D9492F" w:rsidRDefault="00DC1CDC" w:rsidP="00DC1CDC">
      <w:pPr>
        <w:keepNext/>
        <w:spacing w:after="0" w:line="240" w:lineRule="auto"/>
        <w:rPr>
          <w:rFonts w:ascii="Times New Roman" w:eastAsia="Times New Roman" w:hAnsi="Times New Roman"/>
        </w:rPr>
      </w:pPr>
    </w:p>
    <w:p w14:paraId="4F8E298F" w14:textId="77777777" w:rsidR="00DC1CDC" w:rsidRPr="00D9492F" w:rsidRDefault="00DC1CDC" w:rsidP="00DC1CDC">
      <w:pPr>
        <w:keepNext/>
        <w:spacing w:after="0" w:line="240" w:lineRule="auto"/>
        <w:ind w:left="567" w:hanging="567"/>
        <w:rPr>
          <w:rFonts w:ascii="Times New Roman" w:hAnsi="Times New Roman"/>
          <w:b/>
        </w:rPr>
      </w:pPr>
      <w:r w:rsidRPr="00D9492F">
        <w:rPr>
          <w:rFonts w:ascii="Times New Roman" w:hAnsi="Times New Roman"/>
          <w:b/>
        </w:rPr>
        <w:t>3.</w:t>
      </w:r>
      <w:r w:rsidRPr="00D9492F">
        <w:rPr>
          <w:rFonts w:ascii="Times New Roman" w:hAnsi="Times New Roman"/>
          <w:b/>
        </w:rPr>
        <w:tab/>
        <w:t xml:space="preserve">Kaip vartoti </w:t>
      </w:r>
      <w:r w:rsidRPr="00D9492F">
        <w:rPr>
          <w:rFonts w:ascii="Times New Roman" w:hAnsi="Times New Roman"/>
          <w:b/>
          <w:bCs/>
        </w:rPr>
        <w:t>Docetaxel SanoSwiss</w:t>
      </w:r>
    </w:p>
    <w:p w14:paraId="1BDD376E" w14:textId="77777777" w:rsidR="00DC1CDC" w:rsidRPr="00D9492F" w:rsidRDefault="00DC1CDC" w:rsidP="00DC1CDC">
      <w:pPr>
        <w:keepNext/>
        <w:spacing w:after="0" w:line="240" w:lineRule="auto"/>
        <w:rPr>
          <w:rFonts w:ascii="Times New Roman" w:eastAsia="Times New Roman" w:hAnsi="Times New Roman"/>
          <w:b/>
        </w:rPr>
      </w:pPr>
    </w:p>
    <w:p w14:paraId="10A440B2" w14:textId="77777777" w:rsidR="00DC1CDC" w:rsidRPr="00D9492F" w:rsidRDefault="00DC1CDC" w:rsidP="00DC1CDC">
      <w:pPr>
        <w:keepNext/>
        <w:suppressAutoHyphens/>
        <w:spacing w:after="0" w:line="240" w:lineRule="auto"/>
        <w:ind w:right="56"/>
        <w:rPr>
          <w:rFonts w:ascii="Times New Roman" w:hAnsi="Times New Roman"/>
        </w:rPr>
      </w:pPr>
      <w:r w:rsidRPr="00D9492F">
        <w:rPr>
          <w:rFonts w:ascii="Times New Roman" w:hAnsi="Times New Roman"/>
        </w:rPr>
        <w:t xml:space="preserve">Docetaxel SanoSwiss Jums </w:t>
      </w:r>
      <w:r w:rsidR="00BA2DE7" w:rsidRPr="00D9492F">
        <w:rPr>
          <w:rFonts w:ascii="Times New Roman" w:hAnsi="Times New Roman"/>
        </w:rPr>
        <w:t xml:space="preserve">skirs </w:t>
      </w:r>
      <w:r w:rsidRPr="00D9492F">
        <w:rPr>
          <w:rFonts w:ascii="Times New Roman" w:hAnsi="Times New Roman"/>
        </w:rPr>
        <w:t>sveikatos priežiūros specialistas.</w:t>
      </w:r>
    </w:p>
    <w:p w14:paraId="085295F4" w14:textId="77777777" w:rsidR="00DC1CDC" w:rsidRPr="00D9492F" w:rsidRDefault="00DC1CDC" w:rsidP="00DC1CDC">
      <w:pPr>
        <w:keepNext/>
        <w:spacing w:after="0" w:line="240" w:lineRule="auto"/>
        <w:rPr>
          <w:rFonts w:ascii="Times New Roman" w:hAnsi="Times New Roman"/>
          <w:b/>
        </w:rPr>
      </w:pPr>
    </w:p>
    <w:p w14:paraId="634F6856"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Rekomenduojama dozė</w:t>
      </w:r>
    </w:p>
    <w:p w14:paraId="78629C02"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Dozė priklauso nuo paciento kūno svorio ir bendrosios sveikatos būklės. Gydytojas apskaičiuos kūno paviršiaus plotą kvadratiniais metrais (m</w:t>
      </w:r>
      <w:r w:rsidRPr="00D9492F">
        <w:rPr>
          <w:rFonts w:ascii="Times New Roman" w:hAnsi="Times New Roman"/>
          <w:vertAlign w:val="superscript"/>
        </w:rPr>
        <w:t>2</w:t>
      </w:r>
      <w:r w:rsidRPr="00D9492F">
        <w:rPr>
          <w:rFonts w:ascii="Times New Roman" w:hAnsi="Times New Roman"/>
        </w:rPr>
        <w:t>) ir pagal jį – reikiamą dozę.</w:t>
      </w:r>
    </w:p>
    <w:p w14:paraId="7A07E0B9" w14:textId="77777777" w:rsidR="00DC1CDC" w:rsidRPr="00D9492F" w:rsidRDefault="00DC1CDC" w:rsidP="00DC1CDC">
      <w:pPr>
        <w:keepNext/>
        <w:spacing w:after="0" w:line="240" w:lineRule="auto"/>
        <w:rPr>
          <w:rFonts w:ascii="Times New Roman" w:hAnsi="Times New Roman"/>
        </w:rPr>
      </w:pPr>
    </w:p>
    <w:p w14:paraId="1B451DE8"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Vartojimo metodas</w:t>
      </w:r>
    </w:p>
    <w:p w14:paraId="45991B22"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 xml:space="preserve">Docetaxel SanoSwiss </w:t>
      </w:r>
      <w:r w:rsidR="00BA2DE7" w:rsidRPr="00D9492F">
        <w:rPr>
          <w:rFonts w:ascii="Times New Roman" w:hAnsi="Times New Roman"/>
        </w:rPr>
        <w:t>leidžiamas</w:t>
      </w:r>
      <w:r w:rsidRPr="00D9492F">
        <w:rPr>
          <w:rFonts w:ascii="Times New Roman" w:hAnsi="Times New Roman"/>
        </w:rPr>
        <w:t xml:space="preserve"> į veną. Infuzijos trukmė yra maždaug 1 val. Jos metu Jūs būsite ligoninėje.</w:t>
      </w:r>
    </w:p>
    <w:p w14:paraId="1DB2B6A1" w14:textId="77777777" w:rsidR="00DC1CDC" w:rsidRPr="00D9492F" w:rsidRDefault="00DC1CDC" w:rsidP="00DC1CDC">
      <w:pPr>
        <w:keepNext/>
        <w:spacing w:after="0" w:line="240" w:lineRule="auto"/>
        <w:rPr>
          <w:rFonts w:ascii="Times New Roman" w:hAnsi="Times New Roman"/>
        </w:rPr>
      </w:pPr>
    </w:p>
    <w:p w14:paraId="6C14F8B5"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Vartojimo dažn</w:t>
      </w:r>
      <w:r w:rsidR="00BA2DE7" w:rsidRPr="00D9492F">
        <w:rPr>
          <w:rFonts w:ascii="Times New Roman" w:hAnsi="Times New Roman"/>
        </w:rPr>
        <w:t>i</w:t>
      </w:r>
      <w:r w:rsidRPr="00D9492F">
        <w:rPr>
          <w:rFonts w:ascii="Times New Roman" w:hAnsi="Times New Roman"/>
        </w:rPr>
        <w:t>s</w:t>
      </w:r>
    </w:p>
    <w:p w14:paraId="7B9616C2"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 xml:space="preserve">Dažniausiai šio vaisto </w:t>
      </w:r>
      <w:r w:rsidR="00BA2DE7" w:rsidRPr="00D9492F">
        <w:rPr>
          <w:rFonts w:ascii="Times New Roman" w:hAnsi="Times New Roman"/>
        </w:rPr>
        <w:t xml:space="preserve">skiriama </w:t>
      </w:r>
      <w:r w:rsidRPr="00D9492F">
        <w:rPr>
          <w:rFonts w:ascii="Times New Roman" w:hAnsi="Times New Roman"/>
        </w:rPr>
        <w:t>kas 3 savaites.</w:t>
      </w:r>
    </w:p>
    <w:p w14:paraId="47F41CF8" w14:textId="77777777" w:rsidR="00DC1CDC" w:rsidRPr="00D9492F" w:rsidRDefault="00DC1CDC" w:rsidP="00DC1CDC">
      <w:pPr>
        <w:keepNext/>
        <w:spacing w:after="0" w:line="240" w:lineRule="auto"/>
        <w:rPr>
          <w:rFonts w:ascii="Times New Roman" w:hAnsi="Times New Roman"/>
        </w:rPr>
      </w:pPr>
    </w:p>
    <w:p w14:paraId="7B081FBF"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 xml:space="preserve">Docetaxel SanoSwiss dozę ir vartojimo periodiškumą gydytojas gali keisti, atsižvelgdamas į kraujo tyrimų duomenis, bendrąją sveikatos būklę bei vaisto poveikį. Ypač svarbu pasakyti gydytojui, jei atsiranda viduriavimas, burnos skausmas, tirpulys, badymas, dilgčiojimas bei karščiavimas, be to, </w:t>
      </w:r>
    </w:p>
    <w:p w14:paraId="01B6D16F" w14:textId="77777777" w:rsidR="005F7D75" w:rsidRPr="00D9492F" w:rsidRDefault="00DC1CDC" w:rsidP="00DC1CDC">
      <w:pPr>
        <w:keepNext/>
        <w:spacing w:after="0" w:line="240" w:lineRule="auto"/>
        <w:rPr>
          <w:rFonts w:ascii="Times New Roman" w:hAnsi="Times New Roman"/>
        </w:rPr>
      </w:pPr>
      <w:r w:rsidRPr="00D9492F">
        <w:rPr>
          <w:rFonts w:ascii="Times New Roman" w:hAnsi="Times New Roman"/>
        </w:rPr>
        <w:t xml:space="preserve">parodykite Jam savo kraujo tyrimo rezultatus. Tai gydytojui padės nuspręsti, ar reikia mažinti dozę. </w:t>
      </w:r>
    </w:p>
    <w:p w14:paraId="5D8D4A4B" w14:textId="77777777" w:rsidR="005F7D75" w:rsidRPr="00D9492F" w:rsidRDefault="005F7D75" w:rsidP="00DC1CDC">
      <w:pPr>
        <w:keepNext/>
        <w:spacing w:after="0" w:line="240" w:lineRule="auto"/>
        <w:rPr>
          <w:rFonts w:ascii="Times New Roman" w:hAnsi="Times New Roman"/>
        </w:rPr>
      </w:pPr>
    </w:p>
    <w:p w14:paraId="1067F738"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 xml:space="preserve">Jeigu kiltų </w:t>
      </w:r>
      <w:r w:rsidR="005F7D75" w:rsidRPr="00D9492F">
        <w:rPr>
          <w:rFonts w:ascii="Times New Roman" w:hAnsi="Times New Roman"/>
        </w:rPr>
        <w:t>daugiau</w:t>
      </w:r>
      <w:r w:rsidRPr="00D9492F">
        <w:rPr>
          <w:rFonts w:ascii="Times New Roman" w:hAnsi="Times New Roman"/>
        </w:rPr>
        <w:t xml:space="preserve"> klausimų dėl šio vaisto vartojimo, kreipkitės į gydytoją arba vaistininką.</w:t>
      </w:r>
    </w:p>
    <w:p w14:paraId="7F83CCE6" w14:textId="77777777" w:rsidR="00DC1CDC" w:rsidRPr="00D9492F" w:rsidRDefault="00DC1CDC" w:rsidP="00DC1CDC">
      <w:pPr>
        <w:keepNext/>
        <w:spacing w:after="0" w:line="240" w:lineRule="auto"/>
        <w:rPr>
          <w:rFonts w:ascii="Times New Roman" w:hAnsi="Times New Roman"/>
        </w:rPr>
      </w:pPr>
    </w:p>
    <w:p w14:paraId="7E587E2D" w14:textId="77777777" w:rsidR="00DC1CDC" w:rsidRPr="00D9492F" w:rsidRDefault="00DC1CDC" w:rsidP="00DC1CDC">
      <w:pPr>
        <w:keepNext/>
        <w:spacing w:after="0" w:line="240" w:lineRule="auto"/>
        <w:rPr>
          <w:rFonts w:ascii="Times New Roman" w:hAnsi="Times New Roman"/>
        </w:rPr>
      </w:pPr>
    </w:p>
    <w:p w14:paraId="23ED7079" w14:textId="77777777" w:rsidR="00DC1CDC" w:rsidRPr="00D9492F" w:rsidRDefault="00DC1CDC" w:rsidP="00DC1CDC">
      <w:pPr>
        <w:keepNext/>
        <w:keepLines/>
        <w:spacing w:after="0" w:line="240" w:lineRule="auto"/>
        <w:ind w:left="567" w:hanging="567"/>
        <w:rPr>
          <w:rFonts w:ascii="Times New Roman" w:hAnsi="Times New Roman"/>
          <w:b/>
        </w:rPr>
      </w:pPr>
      <w:r w:rsidRPr="00D9492F">
        <w:rPr>
          <w:rFonts w:ascii="Times New Roman" w:hAnsi="Times New Roman"/>
          <w:b/>
        </w:rPr>
        <w:t>4.</w:t>
      </w:r>
      <w:r w:rsidRPr="00D9492F">
        <w:rPr>
          <w:rFonts w:ascii="Times New Roman" w:hAnsi="Times New Roman"/>
          <w:b/>
        </w:rPr>
        <w:tab/>
        <w:t>Galimas šalutinis poveikis</w:t>
      </w:r>
    </w:p>
    <w:p w14:paraId="670089A0" w14:textId="77777777" w:rsidR="00DC1CDC" w:rsidRPr="00D9492F" w:rsidRDefault="00DC1CDC" w:rsidP="00DC1CDC">
      <w:pPr>
        <w:keepNext/>
        <w:keepLines/>
        <w:spacing w:after="0" w:line="240" w:lineRule="auto"/>
        <w:rPr>
          <w:rFonts w:ascii="Times New Roman" w:hAnsi="Times New Roman"/>
        </w:rPr>
      </w:pPr>
    </w:p>
    <w:p w14:paraId="1AACBDC2"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Šis vaistas, </w:t>
      </w:r>
      <w:r w:rsidRPr="00D9492F">
        <w:rPr>
          <w:rFonts w:ascii="Times New Roman" w:hAnsi="Times New Roman"/>
          <w:noProof/>
        </w:rPr>
        <w:t>kaip ir kiti, gali sukelti šalutinį poveikį, nors jis pasireiškia ne visiems žmonėms</w:t>
      </w:r>
      <w:r w:rsidRPr="00D9492F">
        <w:rPr>
          <w:rFonts w:ascii="Times New Roman" w:hAnsi="Times New Roman"/>
        </w:rPr>
        <w:t xml:space="preserve">. </w:t>
      </w:r>
    </w:p>
    <w:p w14:paraId="6FF86DE7" w14:textId="77777777" w:rsidR="00DC1CDC" w:rsidRPr="00D9492F" w:rsidRDefault="00DC1CDC" w:rsidP="00DC1CDC">
      <w:pPr>
        <w:keepNext/>
        <w:keepLines/>
        <w:spacing w:after="0" w:line="240" w:lineRule="auto"/>
        <w:rPr>
          <w:rFonts w:ascii="Times New Roman" w:hAnsi="Times New Roman"/>
        </w:rPr>
      </w:pPr>
    </w:p>
    <w:p w14:paraId="289D1A20"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Apie juos Jums papasakos gydytojas, kuris taip pat paaiškins palankius gydymo poveikius ir galimus pavojus.</w:t>
      </w:r>
    </w:p>
    <w:p w14:paraId="2E0003FC" w14:textId="77777777" w:rsidR="00DC1CDC" w:rsidRPr="00D9492F" w:rsidRDefault="00DC1CDC" w:rsidP="00DC1CDC">
      <w:pPr>
        <w:keepNext/>
        <w:keepLines/>
        <w:spacing w:after="0" w:line="240" w:lineRule="auto"/>
        <w:rPr>
          <w:rFonts w:ascii="Times New Roman" w:hAnsi="Times New Roman"/>
        </w:rPr>
      </w:pPr>
    </w:p>
    <w:p w14:paraId="51A5A387" w14:textId="505E762F"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Nepageidaujamo poveikio dažnis nurodytas toliau: labai dažnas (pasireiškia daugiau negu 1 vartotojui iš 10), dažnas (pasireiškia 1</w:t>
      </w:r>
      <w:r w:rsidRPr="00D9492F">
        <w:rPr>
          <w:rFonts w:ascii="Times New Roman" w:hAnsi="Times New Roman"/>
        </w:rPr>
        <w:sym w:font="Symbol" w:char="F02D"/>
      </w:r>
      <w:r w:rsidRPr="00D9492F">
        <w:rPr>
          <w:rFonts w:ascii="Times New Roman" w:hAnsi="Times New Roman"/>
        </w:rPr>
        <w:t>10 vartotojų iš 100), nedažnas (pasireiškia 1</w:t>
      </w:r>
      <w:r w:rsidRPr="00D9492F">
        <w:rPr>
          <w:rFonts w:ascii="Times New Roman" w:hAnsi="Times New Roman"/>
        </w:rPr>
        <w:sym w:font="Symbol" w:char="F02D"/>
      </w:r>
      <w:r w:rsidRPr="00D9492F">
        <w:rPr>
          <w:rFonts w:ascii="Times New Roman" w:hAnsi="Times New Roman"/>
        </w:rPr>
        <w:t>10 vartotojų iš 1000), retas (pasireiškia 1</w:t>
      </w:r>
      <w:r w:rsidRPr="00D9492F">
        <w:rPr>
          <w:rFonts w:ascii="Times New Roman" w:hAnsi="Times New Roman"/>
        </w:rPr>
        <w:sym w:font="Symbol" w:char="F02D"/>
      </w:r>
      <w:r w:rsidRPr="00D9492F">
        <w:rPr>
          <w:rFonts w:ascii="Times New Roman" w:hAnsi="Times New Roman"/>
        </w:rPr>
        <w:t>10 vartotojų iš 10000), labai retas (pasireiškia mažiau negu 1 vartotojui iš 10000), dažnis nežinomas (negali būti apskaičiuotas pagal turimus duomenis).</w:t>
      </w:r>
    </w:p>
    <w:p w14:paraId="5A7F48BC" w14:textId="77777777" w:rsidR="00DC1CDC" w:rsidRPr="00D9492F" w:rsidRDefault="00DC1CDC" w:rsidP="00DC1CDC">
      <w:pPr>
        <w:keepNext/>
        <w:keepLines/>
        <w:spacing w:after="0" w:line="240" w:lineRule="auto"/>
        <w:rPr>
          <w:rFonts w:ascii="Times New Roman" w:hAnsi="Times New Roman"/>
        </w:rPr>
      </w:pPr>
    </w:p>
    <w:p w14:paraId="60163434" w14:textId="77777777" w:rsidR="00DC1CDC" w:rsidRPr="00D9492F" w:rsidRDefault="00DC1CDC" w:rsidP="00DC1CDC">
      <w:pPr>
        <w:keepNext/>
        <w:suppressAutoHyphens/>
        <w:spacing w:after="0" w:line="240" w:lineRule="auto"/>
        <w:ind w:right="56"/>
        <w:rPr>
          <w:rFonts w:ascii="Times New Roman" w:hAnsi="Times New Roman"/>
          <w:bCs/>
          <w:lang w:eastAsia="fr-FR"/>
        </w:rPr>
      </w:pPr>
      <w:r w:rsidRPr="00D9492F">
        <w:rPr>
          <w:rFonts w:ascii="Times New Roman" w:hAnsi="Times New Roman"/>
          <w:bCs/>
          <w:lang w:eastAsia="fr-FR"/>
        </w:rPr>
        <w:t xml:space="preserve">Dažniausios nepageidaujamos reakcijos, pasireiškiančios vartojant vien tik </w:t>
      </w:r>
      <w:r w:rsidRPr="00D9492F">
        <w:rPr>
          <w:rFonts w:ascii="Times New Roman" w:hAnsi="Times New Roman"/>
        </w:rPr>
        <w:t>Docetaxel SanoSwiss</w:t>
      </w:r>
      <w:r w:rsidRPr="00D9492F">
        <w:rPr>
          <w:rFonts w:ascii="Times New Roman" w:hAnsi="Times New Roman"/>
          <w:bCs/>
          <w:lang w:eastAsia="fr-FR"/>
        </w:rPr>
        <w:t xml:space="preserve">, yra raudonųjų ar baltųjų kraujo kūnelių </w:t>
      </w:r>
      <w:r w:rsidR="008877DE" w:rsidRPr="00D9492F">
        <w:rPr>
          <w:rFonts w:ascii="Times New Roman" w:hAnsi="Times New Roman"/>
          <w:bCs/>
          <w:lang w:eastAsia="fr-FR"/>
        </w:rPr>
        <w:t xml:space="preserve">skaičiaus </w:t>
      </w:r>
      <w:r w:rsidRPr="00D9492F">
        <w:rPr>
          <w:rFonts w:ascii="Times New Roman" w:hAnsi="Times New Roman"/>
          <w:bCs/>
          <w:lang w:eastAsia="fr-FR"/>
        </w:rPr>
        <w:t>sumažėjimas, nuplikimas, pykinimas, vėmimas, burnos skausmas, viduriavimas ir nuovargis.</w:t>
      </w:r>
    </w:p>
    <w:p w14:paraId="4EDD9BE9" w14:textId="77777777" w:rsidR="00DC1CDC" w:rsidRPr="00D9492F" w:rsidRDefault="00DC1CDC" w:rsidP="00DC1CDC">
      <w:pPr>
        <w:keepNext/>
        <w:suppressAutoHyphens/>
        <w:spacing w:after="0" w:line="240" w:lineRule="auto"/>
        <w:ind w:right="56"/>
        <w:rPr>
          <w:rFonts w:ascii="Times New Roman" w:hAnsi="Times New Roman"/>
          <w:bCs/>
          <w:lang w:eastAsia="fr-FR"/>
        </w:rPr>
      </w:pPr>
    </w:p>
    <w:p w14:paraId="26B31E80" w14:textId="77777777" w:rsidR="00DC1CDC" w:rsidRPr="00D9492F" w:rsidRDefault="00DC1CDC" w:rsidP="00DC1CDC">
      <w:pPr>
        <w:keepNext/>
        <w:suppressAutoHyphens/>
        <w:spacing w:after="0" w:line="240" w:lineRule="auto"/>
        <w:ind w:right="56"/>
        <w:rPr>
          <w:rFonts w:ascii="Times New Roman" w:hAnsi="Times New Roman"/>
          <w:bCs/>
          <w:lang w:eastAsia="fr-FR"/>
        </w:rPr>
      </w:pPr>
      <w:r w:rsidRPr="00D9492F">
        <w:rPr>
          <w:rFonts w:ascii="Times New Roman" w:hAnsi="Times New Roman"/>
        </w:rPr>
        <w:t>Nepageidaujamų</w:t>
      </w:r>
      <w:r w:rsidRPr="00D9492F">
        <w:rPr>
          <w:rFonts w:ascii="Times New Roman" w:hAnsi="Times New Roman"/>
          <w:bCs/>
          <w:lang w:eastAsia="fr-FR"/>
        </w:rPr>
        <w:t xml:space="preserve"> </w:t>
      </w:r>
      <w:r w:rsidRPr="00D9492F">
        <w:rPr>
          <w:rFonts w:ascii="Times New Roman" w:hAnsi="Times New Roman"/>
        </w:rPr>
        <w:t xml:space="preserve">Docetaxel SanoSwiss </w:t>
      </w:r>
      <w:r w:rsidRPr="00D9492F">
        <w:rPr>
          <w:rFonts w:ascii="Times New Roman" w:hAnsi="Times New Roman"/>
          <w:bCs/>
          <w:lang w:eastAsia="fr-FR"/>
        </w:rPr>
        <w:t>sukeltų reakcijų sunkumas gali padidėti, jei kartu vartojama kitokių chemoterapinių vaistų.</w:t>
      </w:r>
    </w:p>
    <w:p w14:paraId="40A5DAB5" w14:textId="77777777" w:rsidR="00DC1CDC" w:rsidRPr="00D9492F" w:rsidRDefault="00DC1CDC" w:rsidP="00DC1CDC">
      <w:pPr>
        <w:keepNext/>
        <w:spacing w:after="0" w:line="240" w:lineRule="auto"/>
        <w:rPr>
          <w:rFonts w:ascii="Times New Roman" w:eastAsia="Times New Roman" w:hAnsi="Times New Roman"/>
        </w:rPr>
      </w:pPr>
    </w:p>
    <w:p w14:paraId="35C43329" w14:textId="77777777" w:rsidR="00DC1CDC" w:rsidRPr="00D9492F" w:rsidRDefault="00DC1CDC" w:rsidP="00DC1CDC">
      <w:pPr>
        <w:keepNext/>
        <w:spacing w:after="0" w:line="240" w:lineRule="auto"/>
        <w:rPr>
          <w:rFonts w:ascii="Times New Roman" w:eastAsia="Times New Roman" w:hAnsi="Times New Roman"/>
        </w:rPr>
      </w:pPr>
      <w:r w:rsidRPr="00D9492F">
        <w:rPr>
          <w:rFonts w:ascii="Times New Roman" w:eastAsia="Times New Roman" w:hAnsi="Times New Roman"/>
        </w:rPr>
        <w:t xml:space="preserve">Infuzijos metu ligoninėje gali pasireikšti toliau išvardytų alerginių reakcijų (gali pasireikšti daugiau kaip 1 iš 10 žmonių): </w:t>
      </w:r>
    </w:p>
    <w:p w14:paraId="42EB8AD4"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paraudimas dėl kraujo priplūdimo, odos pokyčiai, niežulys;</w:t>
      </w:r>
    </w:p>
    <w:p w14:paraId="6139C62C"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gniaužimas krūtinėje, kvėpavimo pasunkėjimas;</w:t>
      </w:r>
    </w:p>
    <w:p w14:paraId="00747A0D"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karščiavimas arba šaltkrėtis;</w:t>
      </w:r>
    </w:p>
    <w:p w14:paraId="0F7B0610"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nugaros skausmas;</w:t>
      </w:r>
    </w:p>
    <w:p w14:paraId="7DA45646"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kraujo spaudimo sumažėjimas.</w:t>
      </w:r>
    </w:p>
    <w:p w14:paraId="248EA531" w14:textId="77777777" w:rsidR="00DC1CDC" w:rsidRPr="00D9492F" w:rsidRDefault="00DC1CDC" w:rsidP="00DC1CDC">
      <w:pPr>
        <w:keepNext/>
        <w:spacing w:after="0" w:line="240" w:lineRule="auto"/>
        <w:rPr>
          <w:rFonts w:ascii="Times New Roman" w:eastAsia="Times New Roman" w:hAnsi="Times New Roman"/>
        </w:rPr>
      </w:pPr>
      <w:r w:rsidRPr="00D9492F">
        <w:rPr>
          <w:rFonts w:ascii="Times New Roman" w:eastAsia="Times New Roman" w:hAnsi="Times New Roman"/>
        </w:rPr>
        <w:t>Gali atsirasti ir sunkesnių reakcijų.</w:t>
      </w:r>
    </w:p>
    <w:p w14:paraId="0F641E4C" w14:textId="77777777" w:rsidR="00DC1CDC" w:rsidRPr="00D9492F" w:rsidRDefault="00DC1CDC" w:rsidP="00DC1CDC">
      <w:pPr>
        <w:keepNext/>
        <w:spacing w:after="0" w:line="240" w:lineRule="auto"/>
        <w:rPr>
          <w:rFonts w:ascii="Times New Roman" w:eastAsia="Times New Roman" w:hAnsi="Times New Roman"/>
        </w:rPr>
      </w:pPr>
    </w:p>
    <w:p w14:paraId="0EEB06C1" w14:textId="77777777" w:rsidR="00DC1CDC" w:rsidRPr="00D9492F" w:rsidRDefault="00DC1CDC" w:rsidP="00DC1CDC">
      <w:pPr>
        <w:keepNext/>
        <w:spacing w:after="0" w:line="240" w:lineRule="auto"/>
        <w:rPr>
          <w:rFonts w:ascii="Times New Roman" w:eastAsia="Times New Roman" w:hAnsi="Times New Roman"/>
        </w:rPr>
      </w:pPr>
      <w:r w:rsidRPr="00D9492F">
        <w:rPr>
          <w:rFonts w:ascii="Times New Roman" w:eastAsia="Times New Roman" w:hAnsi="Times New Roman"/>
        </w:rPr>
        <w:t>Jei Jums buvo pasireiškusi alerginė reakcija į paklitakselį, gali pasireikšti alerginė reakcija į docetakselį, kuri gali būti sunkesnė.</w:t>
      </w:r>
    </w:p>
    <w:p w14:paraId="696ED5FB" w14:textId="77777777" w:rsidR="00DC1CDC" w:rsidRPr="00D9492F" w:rsidRDefault="00DC1CDC" w:rsidP="00DC1CDC">
      <w:pPr>
        <w:keepNext/>
        <w:spacing w:after="0" w:line="240" w:lineRule="auto"/>
        <w:rPr>
          <w:rFonts w:ascii="Times New Roman" w:eastAsia="Times New Roman" w:hAnsi="Times New Roman"/>
        </w:rPr>
      </w:pPr>
      <w:r w:rsidRPr="00D9492F">
        <w:rPr>
          <w:rFonts w:ascii="Times New Roman" w:eastAsia="Times New Roman" w:hAnsi="Times New Roman"/>
        </w:rPr>
        <w:t>Infuzijos metu Jūsų būklė bus atidžiai stebima. Jei pasireiškė kuris nors iš išvardytų poveikių, apie tai reikia nedelsiant pranešti gydytojui.</w:t>
      </w:r>
    </w:p>
    <w:p w14:paraId="5C13DD0B" w14:textId="77777777" w:rsidR="00DC1CDC" w:rsidRPr="00D9492F" w:rsidRDefault="00DC1CDC" w:rsidP="00DC1CDC">
      <w:pPr>
        <w:keepNext/>
        <w:spacing w:after="0" w:line="240" w:lineRule="auto"/>
        <w:rPr>
          <w:rFonts w:ascii="Times New Roman" w:hAnsi="Times New Roman"/>
        </w:rPr>
      </w:pPr>
    </w:p>
    <w:p w14:paraId="0113C731"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Laikotarpiu nuo vienos Docetaxel SanoSwiss infuzijos iki kitos gali atsirasti toliau išvardytas šalutinis poveikis (jo dažnumas priklauso nuo kitų kartu vartojamų vaistų):</w:t>
      </w:r>
    </w:p>
    <w:p w14:paraId="6ECD4E42" w14:textId="77777777" w:rsidR="00DC1CDC" w:rsidRPr="00D9492F" w:rsidRDefault="00DC1CDC" w:rsidP="00DC1CDC">
      <w:pPr>
        <w:keepNext/>
        <w:spacing w:after="0" w:line="240" w:lineRule="auto"/>
        <w:rPr>
          <w:rFonts w:ascii="Times New Roman" w:hAnsi="Times New Roman"/>
        </w:rPr>
      </w:pPr>
    </w:p>
    <w:p w14:paraId="5540214E"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bCs/>
        </w:rPr>
        <w:t>Labai dažnas</w:t>
      </w:r>
      <w:r w:rsidRPr="00D9492F">
        <w:rPr>
          <w:rFonts w:ascii="Times New Roman" w:hAnsi="Times New Roman"/>
        </w:rPr>
        <w:t xml:space="preserve"> (gali pasireikšti daugiau kaip 1 iš 10 vartotojų).</w:t>
      </w:r>
    </w:p>
    <w:p w14:paraId="184A7EF0"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 xml:space="preserve">Infekcija, raudonųjų kraujo kūnelių </w:t>
      </w:r>
      <w:r w:rsidR="002100F3" w:rsidRPr="00D9492F">
        <w:rPr>
          <w:rFonts w:ascii="Times New Roman" w:hAnsi="Times New Roman"/>
        </w:rPr>
        <w:t xml:space="preserve">skaičiaus </w:t>
      </w:r>
      <w:r w:rsidRPr="00D9492F">
        <w:rPr>
          <w:rFonts w:ascii="Times New Roman" w:hAnsi="Times New Roman"/>
        </w:rPr>
        <w:t xml:space="preserve">sumažėjimas (mažakraujystė), baltųjų kraujo kūnelių (pastarieji svarbūs organizmo apsaugai nuo infekcijos) </w:t>
      </w:r>
      <w:r w:rsidR="002100F3" w:rsidRPr="00D9492F">
        <w:rPr>
          <w:rFonts w:ascii="Times New Roman" w:hAnsi="Times New Roman"/>
        </w:rPr>
        <w:t xml:space="preserve">skaičiaus </w:t>
      </w:r>
      <w:r w:rsidRPr="00D9492F">
        <w:rPr>
          <w:rFonts w:ascii="Times New Roman" w:hAnsi="Times New Roman"/>
        </w:rPr>
        <w:t xml:space="preserve">sumažėjimas, trombocitų </w:t>
      </w:r>
      <w:r w:rsidR="002100F3" w:rsidRPr="00D9492F">
        <w:rPr>
          <w:rFonts w:ascii="Times New Roman" w:hAnsi="Times New Roman"/>
        </w:rPr>
        <w:t xml:space="preserve">skaičiaus </w:t>
      </w:r>
      <w:r w:rsidRPr="00D9492F">
        <w:rPr>
          <w:rFonts w:ascii="Times New Roman" w:hAnsi="Times New Roman"/>
        </w:rPr>
        <w:t>sumažėjimas.</w:t>
      </w:r>
    </w:p>
    <w:p w14:paraId="7CF4693E"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Karščiavimas. Atsiradus karščiavimui, būtina nedelsiant kreiptis į gydytoją.</w:t>
      </w:r>
    </w:p>
    <w:p w14:paraId="4776683C"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strike/>
        </w:rPr>
      </w:pPr>
      <w:r w:rsidRPr="00D9492F">
        <w:rPr>
          <w:rFonts w:ascii="Times New Roman" w:hAnsi="Times New Roman"/>
        </w:rPr>
        <w:t>Alerginės reakcijos (aprašytos anksčiau).</w:t>
      </w:r>
    </w:p>
    <w:p w14:paraId="24899140"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Apetito netekimas (anoreksija).</w:t>
      </w:r>
    </w:p>
    <w:p w14:paraId="4C961AB8"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Nemiga.</w:t>
      </w:r>
    </w:p>
    <w:p w14:paraId="358BCFD9"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Tirpimo, badymo ar smaigymo pojūtis arba skausmas sąnariuose ar raumenyse.</w:t>
      </w:r>
    </w:p>
    <w:p w14:paraId="4FB18ADA"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Galvos skausmas.</w:t>
      </w:r>
    </w:p>
    <w:p w14:paraId="6928B0EC"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Skonio pojūčio pokytis.</w:t>
      </w:r>
    </w:p>
    <w:p w14:paraId="591844DF"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Akies uždegimas, ašarojimo sustiprėjimas.</w:t>
      </w:r>
    </w:p>
    <w:p w14:paraId="1316F183"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Patinimas dėl limfos nutekėjimo sutrikimo.</w:t>
      </w:r>
    </w:p>
    <w:p w14:paraId="723BE18A"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Dusulys.</w:t>
      </w:r>
    </w:p>
    <w:p w14:paraId="7E4858C0"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Sloga, gerklės ir nosies uždegimas, kosulys.</w:t>
      </w:r>
    </w:p>
    <w:p w14:paraId="3881B410"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Kraujavimas iš nosies.</w:t>
      </w:r>
    </w:p>
    <w:p w14:paraId="62E59C75"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Burnos skausmas.</w:t>
      </w:r>
    </w:p>
    <w:p w14:paraId="1DB01BC2"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Virškinimo trakto sutrikimai, įskaitant pykinimą, vėmimą, viduriavimą ir vidurių užkietėjimą.</w:t>
      </w:r>
    </w:p>
    <w:p w14:paraId="0825A07F"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Pilvo skausmas.</w:t>
      </w:r>
    </w:p>
    <w:p w14:paraId="268AD266"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Nevirškinimas.</w:t>
      </w:r>
    </w:p>
    <w:p w14:paraId="36B6579D"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Trumpalaikis plaukų netekimas (dažniausiai vėliau plaukų augimas vėl tampa normalus).</w:t>
      </w:r>
    </w:p>
    <w:p w14:paraId="0C4C0398"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Delnų ar pėdų paraudimas ir patinimas (gali pradėti luptis oda). Toks poveikis gali atsirasti ir rankose, veide ar ant viso kūno odos.</w:t>
      </w:r>
    </w:p>
    <w:p w14:paraId="5B32A4BA"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Nagų spalvos pokytis (nagas gali nukristi).</w:t>
      </w:r>
    </w:p>
    <w:p w14:paraId="40E64A7D"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Raumenų maudimas ir skausmas, nugaros ar kaulų skausmas.</w:t>
      </w:r>
    </w:p>
    <w:p w14:paraId="5DC46BDC"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Menstruacijų pokytis arba išnykimas.</w:t>
      </w:r>
    </w:p>
    <w:p w14:paraId="536AB794"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Rankų, pėdų ir kojų patinimas.</w:t>
      </w:r>
    </w:p>
    <w:p w14:paraId="40118EBE"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Nuovargis arba į gripą panašūs simptomai.</w:t>
      </w:r>
    </w:p>
    <w:p w14:paraId="7C9DF107"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Svorio padidėjimas arba sumažėjimas.</w:t>
      </w:r>
    </w:p>
    <w:p w14:paraId="523489DC" w14:textId="77777777" w:rsidR="00DC1CDC" w:rsidRPr="00D9492F" w:rsidRDefault="00DC1CDC" w:rsidP="00DC1CDC">
      <w:pPr>
        <w:keepNext/>
        <w:tabs>
          <w:tab w:val="num" w:pos="567"/>
        </w:tabs>
        <w:suppressAutoHyphens/>
        <w:spacing w:after="0" w:line="240" w:lineRule="auto"/>
        <w:ind w:right="56"/>
        <w:rPr>
          <w:rFonts w:ascii="Times New Roman" w:hAnsi="Times New Roman"/>
        </w:rPr>
      </w:pPr>
    </w:p>
    <w:p w14:paraId="4499A18D"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bCs/>
        </w:rPr>
        <w:t>Dažnas</w:t>
      </w:r>
      <w:r w:rsidRPr="00D9492F">
        <w:rPr>
          <w:rFonts w:ascii="Times New Roman" w:hAnsi="Times New Roman"/>
        </w:rPr>
        <w:t xml:space="preserve"> (gali pasireikšti 1</w:t>
      </w:r>
      <w:r w:rsidRPr="00D9492F">
        <w:rPr>
          <w:rFonts w:ascii="Times New Roman" w:hAnsi="Times New Roman"/>
        </w:rPr>
        <w:sym w:font="Symbol" w:char="F02D"/>
      </w:r>
      <w:r w:rsidRPr="00D9492F">
        <w:rPr>
          <w:rFonts w:ascii="Times New Roman" w:hAnsi="Times New Roman"/>
        </w:rPr>
        <w:t>10 vartotojų iš 100).</w:t>
      </w:r>
    </w:p>
    <w:p w14:paraId="54D775E3"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Burnos kandidamikozė.</w:t>
      </w:r>
    </w:p>
    <w:p w14:paraId="68D2733C"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Skysčių kiekio sumažėjimas organizme.</w:t>
      </w:r>
    </w:p>
    <w:p w14:paraId="6C9BA29B"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lastRenderedPageBreak/>
        <w:t>Galvos svaigimas.</w:t>
      </w:r>
    </w:p>
    <w:p w14:paraId="29B9FE09"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Klausos pablogėjimas.</w:t>
      </w:r>
    </w:p>
    <w:p w14:paraId="5F535E22"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Kraujo spaudimo sumažėjimas, nereguliarus ar greitas širdies plakimas.</w:t>
      </w:r>
    </w:p>
    <w:p w14:paraId="1C4F2767"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Širdies nepakankamumas.</w:t>
      </w:r>
    </w:p>
    <w:p w14:paraId="23A76739" w14:textId="77777777" w:rsidR="00DC1CDC" w:rsidRPr="00D9492F" w:rsidRDefault="00DC1CDC" w:rsidP="00AA0DA9">
      <w:pPr>
        <w:keepNext/>
        <w:numPr>
          <w:ilvl w:val="0"/>
          <w:numId w:val="9"/>
        </w:numPr>
        <w:tabs>
          <w:tab w:val="clear" w:pos="720"/>
          <w:tab w:val="num" w:pos="851"/>
        </w:tabs>
        <w:spacing w:after="0" w:line="240" w:lineRule="auto"/>
        <w:ind w:left="851" w:hanging="851"/>
        <w:rPr>
          <w:rFonts w:ascii="Times New Roman" w:hAnsi="Times New Roman"/>
        </w:rPr>
      </w:pPr>
      <w:r w:rsidRPr="00D9492F">
        <w:rPr>
          <w:rFonts w:ascii="Times New Roman" w:hAnsi="Times New Roman"/>
        </w:rPr>
        <w:t>Stemplės uždegimas.</w:t>
      </w:r>
    </w:p>
    <w:p w14:paraId="682FB026"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Burnos džiūvimas.</w:t>
      </w:r>
    </w:p>
    <w:p w14:paraId="088595B9"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Pasunkėjęs ar skausmingas rijimas.</w:t>
      </w:r>
    </w:p>
    <w:p w14:paraId="07CD8D9D"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Kraujavimas.</w:t>
      </w:r>
    </w:p>
    <w:p w14:paraId="73BE645F" w14:textId="77777777" w:rsidR="00DC1CDC" w:rsidRPr="00D9492F" w:rsidRDefault="00DC1CDC" w:rsidP="00AA0DA9">
      <w:pPr>
        <w:keepNext/>
        <w:numPr>
          <w:ilvl w:val="0"/>
          <w:numId w:val="7"/>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Kepenų fermentų kiekio padidėjimas (dėl to reikia reguliariai tirti kraują).</w:t>
      </w:r>
    </w:p>
    <w:p w14:paraId="6A1D9462" w14:textId="77777777" w:rsidR="00DC1CDC" w:rsidRPr="00D9492F" w:rsidRDefault="00DC1CDC" w:rsidP="00DC1CDC">
      <w:pPr>
        <w:keepNext/>
        <w:tabs>
          <w:tab w:val="num" w:pos="567"/>
        </w:tabs>
        <w:spacing w:after="0" w:line="240" w:lineRule="auto"/>
        <w:rPr>
          <w:rFonts w:ascii="Times New Roman" w:hAnsi="Times New Roman"/>
        </w:rPr>
      </w:pPr>
    </w:p>
    <w:p w14:paraId="0BD267D2"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bCs/>
        </w:rPr>
        <w:t>Nedažnas</w:t>
      </w:r>
      <w:r w:rsidRPr="00D9492F">
        <w:rPr>
          <w:rFonts w:ascii="Times New Roman" w:hAnsi="Times New Roman"/>
        </w:rPr>
        <w:t xml:space="preserve"> (gali pasireikšti 1</w:t>
      </w:r>
      <w:r w:rsidRPr="00D9492F">
        <w:rPr>
          <w:rFonts w:ascii="Times New Roman" w:hAnsi="Times New Roman"/>
        </w:rPr>
        <w:sym w:font="Symbol" w:char="F02D"/>
      </w:r>
      <w:r w:rsidRPr="00D9492F">
        <w:rPr>
          <w:rFonts w:ascii="Times New Roman" w:hAnsi="Times New Roman"/>
        </w:rPr>
        <w:t>10 vartotojų iš 1000).</w:t>
      </w:r>
    </w:p>
    <w:p w14:paraId="21E58C34"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Alpulys</w:t>
      </w:r>
      <w:r w:rsidR="00726CDC" w:rsidRPr="00D9492F">
        <w:rPr>
          <w:rFonts w:ascii="Times New Roman" w:hAnsi="Times New Roman"/>
        </w:rPr>
        <w:t>.</w:t>
      </w:r>
    </w:p>
    <w:p w14:paraId="7E40611B"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Odos reakcija, flebitas (venos uždegimas) ar patinimas infuzijos vietoje.</w:t>
      </w:r>
    </w:p>
    <w:p w14:paraId="06DA4E2F"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Storosios bei plonosios žarnos uždegimas, žarnos prakiurimas.</w:t>
      </w:r>
    </w:p>
    <w:p w14:paraId="7FF620D6"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Kraujo krešulių atsiradimas.</w:t>
      </w:r>
    </w:p>
    <w:p w14:paraId="2056A1B0" w14:textId="77777777" w:rsidR="00DC1CDC" w:rsidRPr="00D9492F" w:rsidRDefault="00DC1CDC" w:rsidP="00DC1CDC">
      <w:pPr>
        <w:keepNext/>
        <w:spacing w:after="0" w:line="240" w:lineRule="auto"/>
        <w:rPr>
          <w:rFonts w:ascii="Times New Roman" w:hAnsi="Times New Roman"/>
        </w:rPr>
      </w:pPr>
    </w:p>
    <w:p w14:paraId="36859ECD" w14:textId="77777777" w:rsidR="00DC1CDC" w:rsidRPr="00D9492F" w:rsidRDefault="00DC1CDC" w:rsidP="00DC1CDC">
      <w:pPr>
        <w:keepNext/>
        <w:spacing w:after="0" w:line="240" w:lineRule="auto"/>
        <w:rPr>
          <w:rFonts w:ascii="Times New Roman" w:hAnsi="Times New Roman"/>
          <w:bCs/>
        </w:rPr>
      </w:pPr>
      <w:r w:rsidRPr="00D9492F">
        <w:rPr>
          <w:rFonts w:ascii="Times New Roman" w:hAnsi="Times New Roman"/>
          <w:bCs/>
        </w:rPr>
        <w:t>Dažnis nežinomas</w:t>
      </w:r>
    </w:p>
    <w:p w14:paraId="3F29EB59" w14:textId="77777777" w:rsidR="00DC1CDC" w:rsidRPr="00D9492F" w:rsidRDefault="00DC1CDC" w:rsidP="00AA0DA9">
      <w:pPr>
        <w:keepNext/>
        <w:numPr>
          <w:ilvl w:val="0"/>
          <w:numId w:val="8"/>
        </w:numPr>
        <w:tabs>
          <w:tab w:val="clear" w:pos="780"/>
          <w:tab w:val="num" w:pos="851"/>
        </w:tabs>
        <w:spacing w:after="0" w:line="240" w:lineRule="auto"/>
        <w:ind w:left="0" w:firstLine="0"/>
        <w:rPr>
          <w:rFonts w:ascii="Times New Roman" w:hAnsi="Times New Roman"/>
        </w:rPr>
      </w:pPr>
      <w:r w:rsidRPr="00D9492F">
        <w:rPr>
          <w:rFonts w:ascii="Times New Roman" w:hAnsi="Times New Roman"/>
        </w:rPr>
        <w:t>Intersticinė plaučių liga (plaučių uždegimas</w:t>
      </w:r>
      <w:r w:rsidR="00726CDC" w:rsidRPr="00D9492F">
        <w:rPr>
          <w:rFonts w:ascii="Times New Roman" w:hAnsi="Times New Roman"/>
        </w:rPr>
        <w:t>,</w:t>
      </w:r>
      <w:r w:rsidRPr="00D9492F">
        <w:rPr>
          <w:rFonts w:ascii="Times New Roman" w:hAnsi="Times New Roman"/>
        </w:rPr>
        <w:t xml:space="preserve"> pasireiškiantis kosuliu ir dusuliu. Plaučių </w:t>
      </w:r>
      <w:r w:rsidRPr="00D9492F">
        <w:rPr>
          <w:rFonts w:ascii="Times New Roman" w:hAnsi="Times New Roman"/>
        </w:rPr>
        <w:tab/>
        <w:t xml:space="preserve">uždegimas gali atsirasti kartu vartojant docetakselio ir </w:t>
      </w:r>
      <w:r w:rsidR="00726CDC" w:rsidRPr="00D9492F">
        <w:rPr>
          <w:rFonts w:ascii="Times New Roman" w:hAnsi="Times New Roman"/>
        </w:rPr>
        <w:t xml:space="preserve">taikant </w:t>
      </w:r>
      <w:r w:rsidRPr="00D9492F">
        <w:rPr>
          <w:rFonts w:ascii="Times New Roman" w:hAnsi="Times New Roman"/>
        </w:rPr>
        <w:t>spindulinį gydymą).</w:t>
      </w:r>
    </w:p>
    <w:p w14:paraId="46369D1C"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Pneumonija (infekcinė plaučių liga).</w:t>
      </w:r>
    </w:p>
    <w:p w14:paraId="3836049A"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Plaučių fibrozė (plaučių randėjimas ir storėjimas</w:t>
      </w:r>
      <w:r w:rsidR="00726CDC" w:rsidRPr="00D9492F">
        <w:rPr>
          <w:rFonts w:ascii="Times New Roman" w:hAnsi="Times New Roman"/>
        </w:rPr>
        <w:t>,</w:t>
      </w:r>
      <w:r w:rsidRPr="00D9492F">
        <w:rPr>
          <w:rFonts w:ascii="Times New Roman" w:hAnsi="Times New Roman"/>
        </w:rPr>
        <w:t xml:space="preserve"> pasireiškiantis dusuliu).</w:t>
      </w:r>
    </w:p>
    <w:p w14:paraId="0B5B6216"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Neaiškus matymas</w:t>
      </w:r>
      <w:r w:rsidR="00726CDC" w:rsidRPr="00D9492F">
        <w:rPr>
          <w:rFonts w:ascii="Times New Roman" w:hAnsi="Times New Roman"/>
        </w:rPr>
        <w:t>,</w:t>
      </w:r>
      <w:r w:rsidRPr="00D9492F">
        <w:rPr>
          <w:rFonts w:ascii="Times New Roman" w:hAnsi="Times New Roman"/>
        </w:rPr>
        <w:t xml:space="preserve"> atsiradęs dėl tinklainės patinimo akyje (cistinė geltonosios dėmės edema).</w:t>
      </w:r>
    </w:p>
    <w:p w14:paraId="4BCEAD2C"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Natrio kiekio sumažėjimas kraujyje.</w:t>
      </w:r>
    </w:p>
    <w:p w14:paraId="52D66041" w14:textId="77777777" w:rsidR="00DC1CDC" w:rsidRPr="00D9492F" w:rsidRDefault="00DC1CDC" w:rsidP="00AA0DA9">
      <w:pPr>
        <w:keepNext/>
        <w:numPr>
          <w:ilvl w:val="0"/>
          <w:numId w:val="8"/>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Injekcijos vietos reakcija ankstesnės reakcijos vietoje.</w:t>
      </w:r>
    </w:p>
    <w:p w14:paraId="05376D57" w14:textId="77777777" w:rsidR="00DC1CDC" w:rsidRPr="00D9492F" w:rsidRDefault="00DC1CDC" w:rsidP="00DC1CDC">
      <w:pPr>
        <w:keepNext/>
        <w:tabs>
          <w:tab w:val="left" w:pos="567"/>
        </w:tabs>
        <w:spacing w:after="0" w:line="240" w:lineRule="auto"/>
        <w:ind w:left="567" w:hanging="567"/>
        <w:rPr>
          <w:rFonts w:ascii="Times New Roman" w:hAnsi="Times New Roman"/>
        </w:rPr>
      </w:pPr>
    </w:p>
    <w:p w14:paraId="3A6A6046" w14:textId="77777777" w:rsidR="00DC1CDC" w:rsidRPr="00D9492F" w:rsidRDefault="00DC1CDC" w:rsidP="00DC1CDC">
      <w:pPr>
        <w:keepNext/>
        <w:spacing w:after="0" w:line="240" w:lineRule="auto"/>
        <w:rPr>
          <w:rFonts w:ascii="Times New Roman" w:hAnsi="Times New Roman"/>
          <w:b/>
        </w:rPr>
      </w:pPr>
      <w:r w:rsidRPr="00D9492F">
        <w:rPr>
          <w:rFonts w:ascii="Times New Roman" w:hAnsi="Times New Roman"/>
          <w:b/>
        </w:rPr>
        <w:t>Pranešimas apie šalutinį poveikį</w:t>
      </w:r>
    </w:p>
    <w:p w14:paraId="1DFC23B7"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15" w:history="1">
        <w:r w:rsidRPr="00D9492F">
          <w:rPr>
            <w:rFonts w:ascii="Times New Roman" w:hAnsi="Times New Roman"/>
            <w:color w:val="0000FF"/>
            <w:u w:val="single"/>
          </w:rPr>
          <w:t>www.vvkt.lt</w:t>
        </w:r>
      </w:hyperlink>
      <w:r w:rsidRPr="00D9492F">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6" w:history="1">
        <w:r w:rsidRPr="00D9492F">
          <w:rPr>
            <w:rFonts w:ascii="Times New Roman" w:hAnsi="Times New Roman"/>
            <w:color w:val="0000FF"/>
            <w:u w:val="single"/>
          </w:rPr>
          <w:t>NepageidaujamaR@vvkt.lt</w:t>
        </w:r>
      </w:hyperlink>
      <w:r w:rsidRPr="00D9492F">
        <w:rPr>
          <w:rFonts w:ascii="Times New Roman" w:hAnsi="Times New Roman"/>
        </w:rPr>
        <w:t xml:space="preserve">, taip pat per Valstybinės vaistų kontrolės tarnybos prie Lietuvos Respublikos sveikatos apsaugos ministerijos interneto svetainę (adresu </w:t>
      </w:r>
      <w:hyperlink r:id="rId17" w:history="1">
        <w:r w:rsidRPr="00D9492F">
          <w:rPr>
            <w:rFonts w:ascii="Times New Roman" w:hAnsi="Times New Roman"/>
            <w:color w:val="0000FF"/>
            <w:u w:val="single"/>
          </w:rPr>
          <w:t>http://www.vvkt.lt</w:t>
        </w:r>
      </w:hyperlink>
      <w:r w:rsidRPr="00D9492F">
        <w:rPr>
          <w:rFonts w:ascii="Times New Roman" w:hAnsi="Times New Roman"/>
        </w:rPr>
        <w:t>). Pranešdami apie šalutinį poveikį galite mums padėti gauti daugiau informacijos apie šio vaisto saugumą.</w:t>
      </w:r>
    </w:p>
    <w:p w14:paraId="6CF2E57D" w14:textId="77777777" w:rsidR="00DC1CDC" w:rsidRPr="00D9492F" w:rsidRDefault="00DC1CDC" w:rsidP="00DC1CDC">
      <w:pPr>
        <w:keepNext/>
        <w:spacing w:after="0" w:line="240" w:lineRule="auto"/>
        <w:rPr>
          <w:rFonts w:ascii="Times New Roman" w:hAnsi="Times New Roman"/>
        </w:rPr>
      </w:pPr>
    </w:p>
    <w:p w14:paraId="3D5AED96" w14:textId="77777777" w:rsidR="00DC1CDC" w:rsidRPr="00D9492F" w:rsidRDefault="00DC1CDC" w:rsidP="00DC1CDC">
      <w:pPr>
        <w:keepNext/>
        <w:spacing w:after="0" w:line="240" w:lineRule="auto"/>
        <w:rPr>
          <w:rFonts w:ascii="Times New Roman" w:hAnsi="Times New Roman"/>
        </w:rPr>
      </w:pPr>
    </w:p>
    <w:p w14:paraId="64597306" w14:textId="77777777" w:rsidR="00DC1CDC" w:rsidRPr="00D9492F" w:rsidRDefault="00DC1CDC" w:rsidP="00DC1CDC">
      <w:pPr>
        <w:keepNext/>
        <w:spacing w:after="0" w:line="240" w:lineRule="auto"/>
        <w:ind w:left="567" w:hanging="567"/>
        <w:rPr>
          <w:rFonts w:ascii="Times New Roman" w:hAnsi="Times New Roman"/>
          <w:b/>
        </w:rPr>
      </w:pPr>
      <w:r w:rsidRPr="00D9492F">
        <w:rPr>
          <w:rFonts w:ascii="Times New Roman" w:hAnsi="Times New Roman"/>
          <w:b/>
        </w:rPr>
        <w:t>5.</w:t>
      </w:r>
      <w:r w:rsidRPr="00D9492F">
        <w:rPr>
          <w:rFonts w:ascii="Times New Roman" w:hAnsi="Times New Roman"/>
          <w:b/>
        </w:rPr>
        <w:tab/>
        <w:t xml:space="preserve">Kaip laikyti </w:t>
      </w:r>
      <w:r w:rsidRPr="00D9492F">
        <w:rPr>
          <w:rFonts w:ascii="Times New Roman" w:hAnsi="Times New Roman"/>
          <w:b/>
          <w:bCs/>
        </w:rPr>
        <w:t>Docetaxel SanoSwiss</w:t>
      </w:r>
    </w:p>
    <w:p w14:paraId="569E9DB9" w14:textId="77777777" w:rsidR="00DC1CDC" w:rsidRPr="00D9492F" w:rsidRDefault="00DC1CDC" w:rsidP="00DC1CDC">
      <w:pPr>
        <w:keepNext/>
        <w:spacing w:after="0" w:line="240" w:lineRule="auto"/>
        <w:rPr>
          <w:rFonts w:ascii="Times New Roman" w:hAnsi="Times New Roman"/>
          <w:b/>
        </w:rPr>
      </w:pPr>
    </w:p>
    <w:p w14:paraId="1E15954E"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Šį vaistą laikykite vaikams nepastebimoje ir nepasiekiamoje vietoje.</w:t>
      </w:r>
    </w:p>
    <w:p w14:paraId="3D0D95AC" w14:textId="77777777" w:rsidR="00DC1CDC" w:rsidRPr="00D9492F" w:rsidRDefault="00DC1CDC" w:rsidP="00DC1CDC">
      <w:pPr>
        <w:keepNext/>
        <w:spacing w:after="0" w:line="240" w:lineRule="auto"/>
        <w:rPr>
          <w:rFonts w:ascii="Times New Roman" w:hAnsi="Times New Roman"/>
        </w:rPr>
      </w:pPr>
    </w:p>
    <w:p w14:paraId="4D33B423"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t>Ant dėžutės ir flakono etiketės po „Tinka iki</w:t>
      </w:r>
      <w:r w:rsidR="006B4C38" w:rsidRPr="00D9492F">
        <w:rPr>
          <w:rFonts w:ascii="Times New Roman" w:hAnsi="Times New Roman"/>
        </w:rPr>
        <w:t>/EXP</w:t>
      </w:r>
      <w:r w:rsidRPr="00D9492F">
        <w:rPr>
          <w:rFonts w:ascii="Times New Roman" w:hAnsi="Times New Roman"/>
        </w:rPr>
        <w:t>“ nurodytam tinkamumo laikui pasibaigus, šio vaisto vartoti negalima. Vaistas tinkamas vartoti iki paskutinės nurodyto mėnesio dienos.</w:t>
      </w:r>
    </w:p>
    <w:p w14:paraId="53927596" w14:textId="77777777" w:rsidR="00DC1CDC" w:rsidRPr="00D9492F" w:rsidRDefault="00DC1CDC" w:rsidP="00DC1CDC">
      <w:pPr>
        <w:keepNext/>
        <w:spacing w:after="0" w:line="240" w:lineRule="auto"/>
        <w:rPr>
          <w:rFonts w:ascii="Times New Roman" w:hAnsi="Times New Roman"/>
        </w:rPr>
      </w:pPr>
    </w:p>
    <w:p w14:paraId="34B5D149"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Laikyti ne aukštesnėje kaip 25 °C temperatūroje. N</w:t>
      </w:r>
      <w:r w:rsidRPr="00D9492F">
        <w:rPr>
          <w:rFonts w:ascii="Times New Roman" w:hAnsi="Times New Roman"/>
          <w:noProof/>
        </w:rPr>
        <w:t>egalima šaldyti ar užšaldyti</w:t>
      </w:r>
      <w:r w:rsidRPr="00D9492F">
        <w:rPr>
          <w:rFonts w:ascii="Times New Roman" w:hAnsi="Times New Roman"/>
        </w:rPr>
        <w:t>.</w:t>
      </w:r>
    </w:p>
    <w:p w14:paraId="3E2AB689" w14:textId="77777777" w:rsidR="00DC1CDC" w:rsidRPr="00D9492F" w:rsidRDefault="00DC1CDC" w:rsidP="00DC1CDC">
      <w:pPr>
        <w:spacing w:after="0" w:line="240" w:lineRule="auto"/>
        <w:rPr>
          <w:rFonts w:ascii="Times New Roman" w:hAnsi="Times New Roman"/>
        </w:rPr>
      </w:pPr>
      <w:r w:rsidRPr="00D9492F">
        <w:rPr>
          <w:rFonts w:ascii="Times New Roman" w:hAnsi="Times New Roman"/>
          <w:noProof/>
        </w:rPr>
        <w:t>Flakoną laikyti išorinėje dėžutėje, kad vaistas būtų apsaugotas nuo šviesos.</w:t>
      </w:r>
    </w:p>
    <w:p w14:paraId="07A97785" w14:textId="77777777" w:rsidR="00DC1CDC" w:rsidRPr="00D9492F" w:rsidRDefault="00DC1CDC" w:rsidP="00DC1CDC">
      <w:pPr>
        <w:keepNext/>
        <w:spacing w:after="0" w:line="240" w:lineRule="auto"/>
        <w:rPr>
          <w:rFonts w:ascii="Times New Roman" w:hAnsi="Times New Roman"/>
        </w:rPr>
      </w:pPr>
    </w:p>
    <w:p w14:paraId="0B5AE350" w14:textId="77777777" w:rsidR="00DC1CDC" w:rsidRPr="00D9492F" w:rsidRDefault="00DC1CDC" w:rsidP="00DC1CDC">
      <w:pPr>
        <w:spacing w:after="0" w:line="240" w:lineRule="auto"/>
        <w:rPr>
          <w:rFonts w:ascii="Times New Roman" w:hAnsi="Times New Roman"/>
          <w:lang w:eastAsia="lt-LT"/>
        </w:rPr>
      </w:pPr>
      <w:r w:rsidRPr="00D9492F">
        <w:rPr>
          <w:rFonts w:ascii="Times New Roman" w:eastAsia="SymbolMT" w:hAnsi="Times New Roman"/>
          <w:lang w:eastAsia="lt-LT"/>
        </w:rPr>
        <w:t xml:space="preserve">Po atidarymo, flakono turinį reikia nedelsiant suvartoti. </w:t>
      </w:r>
      <w:r w:rsidRPr="00D9492F">
        <w:rPr>
          <w:rFonts w:ascii="Times New Roman" w:hAnsi="Times New Roman"/>
          <w:lang w:eastAsia="lt-LT"/>
        </w:rPr>
        <w:t>Jei jis iš karto nesuvartojamas, už jo laikymo trukmę ir sąlygas atsako vartotojas.</w:t>
      </w:r>
    </w:p>
    <w:p w14:paraId="38CF3E2B" w14:textId="77777777" w:rsidR="00DC1CDC" w:rsidRPr="00D9492F" w:rsidRDefault="00DC1CDC" w:rsidP="00DC1CDC">
      <w:pPr>
        <w:spacing w:after="0" w:line="240" w:lineRule="auto"/>
        <w:rPr>
          <w:rFonts w:ascii="Times New Roman" w:hAnsi="Times New Roman"/>
          <w:lang w:eastAsia="lt-LT"/>
        </w:rPr>
      </w:pPr>
    </w:p>
    <w:p w14:paraId="0190C3C1" w14:textId="52E8B640"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Pridėjus į infuzinį maišelį, vaistą reikia suvartoti nedelsiant. Jei jis iš karto nesuvartojamas, už laikymo trukmę ir sąlygas atsako vartotojas ir paprastai ilgiau kaip 6 valandas žemesnėje kaip 25°C temperatūroje laikyti negalima. </w:t>
      </w:r>
      <w:r w:rsidR="009C35AC" w:rsidRPr="00D9492F">
        <w:rPr>
          <w:rFonts w:ascii="Times New Roman" w:hAnsi="Times New Roman"/>
          <w:lang w:eastAsia="lt-LT"/>
        </w:rPr>
        <w:t>Infuzinis t</w:t>
      </w:r>
      <w:r w:rsidRPr="00D9492F">
        <w:rPr>
          <w:rFonts w:ascii="Times New Roman" w:hAnsi="Times New Roman"/>
          <w:lang w:eastAsia="lt-LT"/>
        </w:rPr>
        <w:t xml:space="preserve">irpalas turi būti suvartotas per 6 valandas (įskaitant infuzijos į veną, trunkančios 1 valandą, laiką). </w:t>
      </w:r>
    </w:p>
    <w:p w14:paraId="29B26535" w14:textId="77777777" w:rsidR="00DC1CDC" w:rsidRPr="00D9492F" w:rsidRDefault="00DC1CDC" w:rsidP="00DC1CDC">
      <w:pPr>
        <w:spacing w:after="0" w:line="240" w:lineRule="auto"/>
        <w:rPr>
          <w:rFonts w:ascii="Times New Roman" w:hAnsi="Times New Roman"/>
          <w:lang w:eastAsia="lt-LT"/>
        </w:rPr>
      </w:pPr>
    </w:p>
    <w:p w14:paraId="3BE16E88"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Be to, nustatyta, kad fiziniu ir cheminiu požiūriu infuzinis tirpalas, paruoštas kaip rekomenduojama, ne PVC maišeliuose 2°C </w:t>
      </w:r>
      <w:r w:rsidRPr="00D9492F">
        <w:rPr>
          <w:rFonts w:ascii="Times New Roman" w:hAnsi="Times New Roman"/>
          <w:lang w:eastAsia="lt-LT"/>
        </w:rPr>
        <w:noBreakHyphen/>
        <w:t>8°C temperatūroje išlieka stabilus iki 24 valandų.</w:t>
      </w:r>
    </w:p>
    <w:p w14:paraId="525A394D" w14:textId="77777777" w:rsidR="00DC1CDC" w:rsidRPr="00D9492F" w:rsidRDefault="00DC1CDC" w:rsidP="00DC1CDC">
      <w:pPr>
        <w:spacing w:after="0" w:line="240" w:lineRule="auto"/>
        <w:rPr>
          <w:rFonts w:ascii="Times New Roman" w:hAnsi="Times New Roman"/>
          <w:lang w:eastAsia="lt-LT"/>
        </w:rPr>
      </w:pPr>
    </w:p>
    <w:p w14:paraId="6A5511B1"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Docetakselio infuzinis tirpalas yra persotintas, todėl laikui bėgant gali kristalizuotis. Jeigu atsiranda kristalų, tirpalas turi būti daugiau nevartojamas ir sunaikinamas. </w:t>
      </w:r>
    </w:p>
    <w:p w14:paraId="5C94A185" w14:textId="77777777" w:rsidR="00DC1CDC" w:rsidRPr="00D9492F" w:rsidRDefault="00DC1CDC" w:rsidP="00DC1CDC">
      <w:pPr>
        <w:spacing w:after="0" w:line="240" w:lineRule="auto"/>
        <w:rPr>
          <w:rFonts w:ascii="Times New Roman" w:hAnsi="Times New Roman"/>
        </w:rPr>
      </w:pPr>
    </w:p>
    <w:p w14:paraId="4D054C93" w14:textId="77777777" w:rsidR="00DC1CDC" w:rsidRPr="00D9492F" w:rsidRDefault="00DC1CDC" w:rsidP="00DC1CDC">
      <w:pPr>
        <w:spacing w:after="0" w:line="240" w:lineRule="auto"/>
        <w:rPr>
          <w:rFonts w:ascii="Times New Roman" w:hAnsi="Times New Roman"/>
          <w:noProof/>
          <w:lang w:eastAsia="ar-SA"/>
        </w:rPr>
      </w:pPr>
      <w:r w:rsidRPr="00D9492F">
        <w:rPr>
          <w:rFonts w:ascii="Times New Roman" w:hAnsi="Times New Roman"/>
          <w:noProof/>
          <w:lang w:eastAsia="ar-SA"/>
        </w:rPr>
        <w:t>Vaistų negalima išmesti į kanalizaciją arba su buitinėmis atliekomis. Kaip išmesti nereikalingus vaistus</w:t>
      </w:r>
      <w:r w:rsidR="00385670" w:rsidRPr="00D9492F">
        <w:rPr>
          <w:rFonts w:ascii="Times New Roman" w:hAnsi="Times New Roman"/>
          <w:noProof/>
          <w:lang w:eastAsia="ar-SA"/>
        </w:rPr>
        <w:t>,</w:t>
      </w:r>
      <w:r w:rsidRPr="00D9492F">
        <w:rPr>
          <w:rFonts w:ascii="Times New Roman" w:hAnsi="Times New Roman"/>
          <w:noProof/>
          <w:lang w:eastAsia="ar-SA"/>
        </w:rPr>
        <w:t xml:space="preserve"> klauskite vaistininko. Šios priemonės padės apsaugoti aplinką.</w:t>
      </w:r>
    </w:p>
    <w:p w14:paraId="5F577466" w14:textId="77777777" w:rsidR="00DC1CDC" w:rsidRPr="00D9492F" w:rsidRDefault="00DC1CDC" w:rsidP="00DC1CDC">
      <w:pPr>
        <w:spacing w:after="0" w:line="240" w:lineRule="auto"/>
        <w:rPr>
          <w:rFonts w:ascii="Times New Roman" w:hAnsi="Times New Roman"/>
          <w:b/>
          <w:caps/>
        </w:rPr>
      </w:pPr>
    </w:p>
    <w:p w14:paraId="39195475" w14:textId="77777777" w:rsidR="00DC1CDC" w:rsidRPr="00D9492F" w:rsidRDefault="00DC1CDC" w:rsidP="00DC1CDC">
      <w:pPr>
        <w:spacing w:after="0" w:line="240" w:lineRule="auto"/>
        <w:rPr>
          <w:rFonts w:ascii="Times New Roman" w:hAnsi="Times New Roman"/>
          <w:b/>
          <w:caps/>
        </w:rPr>
      </w:pPr>
    </w:p>
    <w:p w14:paraId="1BC9D975" w14:textId="77777777" w:rsidR="00DC1CDC" w:rsidRPr="00D9492F" w:rsidRDefault="00DC1CDC" w:rsidP="00DC1CDC">
      <w:pPr>
        <w:tabs>
          <w:tab w:val="left" w:pos="567"/>
        </w:tabs>
        <w:spacing w:after="0" w:line="240" w:lineRule="auto"/>
        <w:rPr>
          <w:rFonts w:ascii="Times New Roman" w:hAnsi="Times New Roman"/>
          <w:b/>
        </w:rPr>
      </w:pPr>
      <w:r w:rsidRPr="00D9492F">
        <w:rPr>
          <w:rFonts w:ascii="Times New Roman" w:hAnsi="Times New Roman"/>
          <w:b/>
          <w:caps/>
        </w:rPr>
        <w:t>6.</w:t>
      </w:r>
      <w:r w:rsidRPr="00D9492F">
        <w:rPr>
          <w:rFonts w:ascii="Times New Roman" w:hAnsi="Times New Roman"/>
          <w:b/>
        </w:rPr>
        <w:tab/>
        <w:t>Pakuotės turinys ir kita informacija</w:t>
      </w:r>
    </w:p>
    <w:p w14:paraId="29A825E3" w14:textId="77777777" w:rsidR="00DC1CDC" w:rsidRPr="00D9492F" w:rsidRDefault="00DC1CDC" w:rsidP="00DC1CDC">
      <w:pPr>
        <w:spacing w:after="0" w:line="240" w:lineRule="auto"/>
        <w:rPr>
          <w:rFonts w:ascii="Times New Roman" w:hAnsi="Times New Roman"/>
          <w:b/>
        </w:rPr>
      </w:pPr>
    </w:p>
    <w:p w14:paraId="32C23AC6" w14:textId="77777777" w:rsidR="00DC1CDC" w:rsidRPr="00D9492F" w:rsidRDefault="00DC1CDC" w:rsidP="00DC1CDC">
      <w:pPr>
        <w:spacing w:after="0" w:line="240" w:lineRule="auto"/>
        <w:rPr>
          <w:rFonts w:ascii="Times New Roman" w:hAnsi="Times New Roman"/>
          <w:b/>
          <w:bCs/>
        </w:rPr>
      </w:pPr>
      <w:r w:rsidRPr="00D9492F">
        <w:rPr>
          <w:rFonts w:ascii="Times New Roman" w:hAnsi="Times New Roman"/>
          <w:b/>
        </w:rPr>
        <w:t xml:space="preserve">Docetaxel SanoSwiss </w:t>
      </w:r>
      <w:r w:rsidRPr="00D9492F">
        <w:rPr>
          <w:rFonts w:ascii="Times New Roman" w:hAnsi="Times New Roman"/>
          <w:b/>
          <w:bCs/>
        </w:rPr>
        <w:t>sudėtis</w:t>
      </w:r>
    </w:p>
    <w:p w14:paraId="60559871" w14:textId="77777777" w:rsidR="00DC1CDC" w:rsidRPr="00D9492F" w:rsidRDefault="00DC1CDC" w:rsidP="00AA0DA9">
      <w:pPr>
        <w:numPr>
          <w:ilvl w:val="0"/>
          <w:numId w:val="26"/>
        </w:numPr>
        <w:spacing w:after="0" w:line="240" w:lineRule="auto"/>
        <w:rPr>
          <w:rFonts w:ascii="Times New Roman" w:hAnsi="Times New Roman"/>
        </w:rPr>
      </w:pPr>
      <w:r w:rsidRPr="00D9492F">
        <w:rPr>
          <w:rFonts w:ascii="Times New Roman" w:hAnsi="Times New Roman"/>
        </w:rPr>
        <w:t>Veiklioji medžiaga yra docetakselis. Kiekviename koncentrato infuziniam tirpalui mililitre yra 40 mg docetakselio.</w:t>
      </w:r>
      <w:r w:rsidR="00465445" w:rsidRPr="00D9492F">
        <w:rPr>
          <w:rFonts w:ascii="Times New Roman" w:hAnsi="Times New Roman"/>
        </w:rPr>
        <w:t xml:space="preserve"> </w:t>
      </w:r>
      <w:r w:rsidRPr="00D9492F">
        <w:rPr>
          <w:rFonts w:ascii="Times New Roman" w:hAnsi="Times New Roman"/>
        </w:rPr>
        <w:t>Kiekviename 0,5 ml koncentrato infuziniam tirpalui flakone yra 20 mg docetakselio.</w:t>
      </w:r>
      <w:r w:rsidR="00465445" w:rsidRPr="00D9492F">
        <w:rPr>
          <w:rFonts w:ascii="Times New Roman" w:hAnsi="Times New Roman"/>
        </w:rPr>
        <w:t xml:space="preserve"> </w:t>
      </w:r>
      <w:r w:rsidRPr="00D9492F">
        <w:rPr>
          <w:rFonts w:ascii="Times New Roman" w:hAnsi="Times New Roman"/>
        </w:rPr>
        <w:t>Kiekviename 2 ml koncentrato infuziniam tirpalui flakone yra 80 mg docetakselio.</w:t>
      </w:r>
    </w:p>
    <w:p w14:paraId="4EC61113" w14:textId="77777777" w:rsidR="00DC1CDC" w:rsidRPr="00D9492F" w:rsidRDefault="00DC1CDC" w:rsidP="00AA0DA9">
      <w:pPr>
        <w:numPr>
          <w:ilvl w:val="0"/>
          <w:numId w:val="26"/>
        </w:numPr>
        <w:spacing w:after="0" w:line="240" w:lineRule="auto"/>
        <w:rPr>
          <w:rFonts w:ascii="Times New Roman" w:hAnsi="Times New Roman"/>
        </w:rPr>
      </w:pPr>
      <w:r w:rsidRPr="00D9492F">
        <w:rPr>
          <w:rFonts w:ascii="Times New Roman" w:hAnsi="Times New Roman"/>
        </w:rPr>
        <w:t>Pagalbinės medžiagos yra polisorbatas 80, bevandenis etanolis, citrinų rūgštis monohidratas (pH reguliuoti) ir injekcinis vanduo.</w:t>
      </w:r>
    </w:p>
    <w:p w14:paraId="1F89E091" w14:textId="77777777" w:rsidR="00DC1CDC" w:rsidRPr="00D9492F" w:rsidRDefault="00DC1CDC" w:rsidP="00DC1CDC">
      <w:pPr>
        <w:keepNext/>
        <w:suppressAutoHyphens/>
        <w:spacing w:after="0" w:line="240" w:lineRule="auto"/>
        <w:ind w:right="113"/>
        <w:rPr>
          <w:rFonts w:ascii="Times New Roman" w:hAnsi="Times New Roman"/>
        </w:rPr>
      </w:pPr>
    </w:p>
    <w:p w14:paraId="0778EC47" w14:textId="77777777" w:rsidR="00DC1CDC" w:rsidRPr="00D9492F" w:rsidRDefault="00DC1CDC" w:rsidP="00DC1CDC">
      <w:pPr>
        <w:keepNext/>
        <w:numPr>
          <w:ilvl w:val="12"/>
          <w:numId w:val="0"/>
        </w:numPr>
        <w:spacing w:after="0" w:line="240" w:lineRule="auto"/>
        <w:ind w:right="-2"/>
        <w:rPr>
          <w:rFonts w:ascii="Times New Roman" w:hAnsi="Times New Roman"/>
          <w:b/>
          <w:bCs/>
        </w:rPr>
      </w:pPr>
      <w:r w:rsidRPr="00D9492F">
        <w:rPr>
          <w:rFonts w:ascii="Times New Roman" w:hAnsi="Times New Roman"/>
          <w:b/>
          <w:bCs/>
        </w:rPr>
        <w:t xml:space="preserve">Docetaxel SanoSwiss </w:t>
      </w:r>
      <w:r w:rsidRPr="00D9492F">
        <w:rPr>
          <w:rFonts w:ascii="Times New Roman" w:hAnsi="Times New Roman"/>
          <w:b/>
          <w:bCs/>
          <w:noProof/>
        </w:rPr>
        <w:t>išvaizda ir kiekis pakuotėje</w:t>
      </w:r>
    </w:p>
    <w:p w14:paraId="450D0BDA" w14:textId="16FF2C04" w:rsidR="00DC1CDC" w:rsidRPr="00D9492F" w:rsidRDefault="00DC1CDC" w:rsidP="00DC1CDC">
      <w:pPr>
        <w:keepNext/>
        <w:keepLines/>
        <w:spacing w:after="0" w:line="240" w:lineRule="auto"/>
        <w:rPr>
          <w:rFonts w:ascii="Times New Roman" w:hAnsi="Times New Roman"/>
          <w:color w:val="000000"/>
        </w:rPr>
      </w:pPr>
      <w:r w:rsidRPr="00D9492F">
        <w:rPr>
          <w:rFonts w:ascii="Times New Roman" w:hAnsi="Times New Roman"/>
        </w:rPr>
        <w:t xml:space="preserve">Docetaxel SanoSwiss </w:t>
      </w:r>
      <w:r w:rsidRPr="00D9492F">
        <w:rPr>
          <w:rFonts w:ascii="Times New Roman" w:hAnsi="Times New Roman"/>
          <w:color w:val="000000"/>
        </w:rPr>
        <w:t>koncentratas infuziniam tirpalui yra geltonas arba gelsvas tirpalas.</w:t>
      </w:r>
    </w:p>
    <w:p w14:paraId="564850DF" w14:textId="77777777" w:rsidR="00B02999" w:rsidRPr="00D9492F" w:rsidRDefault="00B02999" w:rsidP="00DC1CDC">
      <w:pPr>
        <w:keepNext/>
        <w:keepLines/>
        <w:spacing w:after="0" w:line="240" w:lineRule="auto"/>
        <w:rPr>
          <w:rFonts w:ascii="Times New Roman" w:hAnsi="Times New Roman"/>
          <w:color w:val="000000"/>
        </w:rPr>
      </w:pPr>
    </w:p>
    <w:p w14:paraId="208C7C8B" w14:textId="77777777" w:rsidR="00DC1CDC" w:rsidRPr="00D9492F" w:rsidRDefault="00DC1CDC" w:rsidP="00DC1CDC">
      <w:pPr>
        <w:keepNext/>
        <w:keepLines/>
        <w:spacing w:after="0" w:line="240" w:lineRule="auto"/>
        <w:rPr>
          <w:rFonts w:ascii="Times New Roman" w:hAnsi="Times New Roman"/>
          <w:bCs/>
        </w:rPr>
      </w:pPr>
      <w:r w:rsidRPr="00D9492F">
        <w:rPr>
          <w:rFonts w:ascii="Times New Roman" w:hAnsi="Times New Roman"/>
          <w:bCs/>
        </w:rPr>
        <w:t xml:space="preserve">Docetaxel SanoSwiss tiekiamas 5 ml ar 15 ml talpos skaidraus stiklo flakonuose su </w:t>
      </w:r>
      <w:r w:rsidRPr="00D9492F">
        <w:rPr>
          <w:rFonts w:ascii="Times New Roman" w:hAnsi="Times New Roman"/>
          <w:bCs/>
          <w:i/>
        </w:rPr>
        <w:t>omniflex plus</w:t>
      </w:r>
      <w:r w:rsidRPr="00D9492F">
        <w:rPr>
          <w:rFonts w:ascii="Times New Roman" w:hAnsi="Times New Roman"/>
          <w:bCs/>
        </w:rPr>
        <w:t xml:space="preserve"> bromobutilo gumos kamščiu ir raudonu aliumininiu dangteliu.</w:t>
      </w:r>
    </w:p>
    <w:p w14:paraId="4892ABE0" w14:textId="77777777" w:rsidR="00DC1CDC" w:rsidRPr="00D9492F" w:rsidRDefault="00DC1CDC" w:rsidP="00DC1CDC">
      <w:pPr>
        <w:keepNext/>
        <w:keepLines/>
        <w:spacing w:after="0" w:line="240" w:lineRule="auto"/>
        <w:rPr>
          <w:rFonts w:ascii="Times New Roman" w:hAnsi="Times New Roman"/>
          <w:bCs/>
        </w:rPr>
      </w:pPr>
    </w:p>
    <w:p w14:paraId="41749CB5" w14:textId="29CA9E0E" w:rsidR="00B02999" w:rsidRPr="00D9492F" w:rsidRDefault="00B02999" w:rsidP="00DC1CDC">
      <w:pPr>
        <w:keepNext/>
        <w:spacing w:after="0" w:line="240" w:lineRule="auto"/>
        <w:rPr>
          <w:rFonts w:ascii="Times New Roman" w:hAnsi="Times New Roman"/>
          <w:b/>
          <w:caps/>
        </w:rPr>
      </w:pPr>
      <w:r w:rsidRPr="00D9492F">
        <w:rPr>
          <w:rFonts w:ascii="Times New Roman" w:hAnsi="Times New Roman"/>
        </w:rPr>
        <w:t>Gali būti tiekiamos ne visų dydžių pakuotės.</w:t>
      </w:r>
    </w:p>
    <w:p w14:paraId="09147831" w14:textId="77777777" w:rsidR="00B02999" w:rsidRPr="00D9492F" w:rsidRDefault="00B02999" w:rsidP="00DC1CDC">
      <w:pPr>
        <w:keepNext/>
        <w:spacing w:after="0" w:line="240" w:lineRule="auto"/>
        <w:rPr>
          <w:rFonts w:ascii="Times New Roman" w:hAnsi="Times New Roman"/>
          <w:b/>
          <w:caps/>
        </w:rPr>
      </w:pPr>
    </w:p>
    <w:p w14:paraId="6F94AAB1" w14:textId="77777777" w:rsidR="00DC1CDC" w:rsidRPr="00D9492F" w:rsidRDefault="00DC1CDC" w:rsidP="00DC1CDC">
      <w:pPr>
        <w:keepNext/>
        <w:spacing w:after="0" w:line="240" w:lineRule="auto"/>
        <w:rPr>
          <w:rFonts w:ascii="Times New Roman" w:eastAsia="Times New Roman" w:hAnsi="Times New Roman"/>
          <w:b/>
          <w:bCs/>
        </w:rPr>
      </w:pPr>
      <w:r w:rsidRPr="00D9492F">
        <w:rPr>
          <w:rFonts w:ascii="Times New Roman" w:eastAsia="Times New Roman" w:hAnsi="Times New Roman"/>
          <w:b/>
          <w:bCs/>
          <w:noProof/>
        </w:rPr>
        <w:t>Registruotojas</w:t>
      </w:r>
      <w:r w:rsidRPr="00D9492F">
        <w:rPr>
          <w:rFonts w:ascii="Times New Roman" w:eastAsia="Times New Roman" w:hAnsi="Times New Roman"/>
          <w:b/>
          <w:bCs/>
        </w:rPr>
        <w:t xml:space="preserve"> ir gamintojas</w:t>
      </w:r>
    </w:p>
    <w:p w14:paraId="35652DAF" w14:textId="77777777" w:rsidR="00DC1CDC" w:rsidRPr="00D9492F" w:rsidRDefault="00DC1CDC" w:rsidP="00DC1CDC">
      <w:pPr>
        <w:widowControl w:val="0"/>
        <w:suppressAutoHyphens/>
        <w:autoSpaceDE w:val="0"/>
        <w:spacing w:after="0" w:line="240" w:lineRule="auto"/>
        <w:rPr>
          <w:rFonts w:ascii="Times New Roman" w:hAnsi="Times New Roman"/>
          <w:color w:val="000000"/>
          <w:lang w:eastAsia="ar-SA"/>
        </w:rPr>
      </w:pPr>
    </w:p>
    <w:p w14:paraId="059653D7" w14:textId="77777777" w:rsidR="00DC1CDC" w:rsidRPr="00D9492F" w:rsidRDefault="00DC1CDC" w:rsidP="00DC1CDC">
      <w:pPr>
        <w:widowControl w:val="0"/>
        <w:suppressAutoHyphens/>
        <w:autoSpaceDE w:val="0"/>
        <w:spacing w:after="0" w:line="240" w:lineRule="auto"/>
        <w:rPr>
          <w:rFonts w:ascii="Times New Roman" w:hAnsi="Times New Roman"/>
          <w:i/>
          <w:color w:val="000000"/>
          <w:lang w:eastAsia="ar-SA"/>
        </w:rPr>
      </w:pPr>
      <w:r w:rsidRPr="00D9492F">
        <w:rPr>
          <w:rFonts w:ascii="Times New Roman" w:hAnsi="Times New Roman"/>
          <w:i/>
          <w:color w:val="000000"/>
          <w:lang w:eastAsia="ar-SA"/>
        </w:rPr>
        <w:t>Registruotojas</w:t>
      </w:r>
    </w:p>
    <w:p w14:paraId="731B1A99" w14:textId="77777777" w:rsidR="00DC1CDC" w:rsidRPr="00D9492F" w:rsidRDefault="00DC1CDC" w:rsidP="00DC1CDC">
      <w:pPr>
        <w:widowControl w:val="0"/>
        <w:suppressAutoHyphens/>
        <w:autoSpaceDE w:val="0"/>
        <w:spacing w:after="0" w:line="240" w:lineRule="auto"/>
        <w:rPr>
          <w:rFonts w:ascii="Times New Roman" w:hAnsi="Times New Roman"/>
          <w:color w:val="000000"/>
          <w:lang w:eastAsia="ar-SA"/>
        </w:rPr>
      </w:pPr>
      <w:r w:rsidRPr="00D9492F">
        <w:rPr>
          <w:rFonts w:ascii="Times New Roman" w:hAnsi="Times New Roman"/>
          <w:color w:val="000000"/>
          <w:lang w:eastAsia="ar-SA"/>
        </w:rPr>
        <w:t>UAB SanoSwiss</w:t>
      </w:r>
    </w:p>
    <w:p w14:paraId="45497B43"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Lvovo g. 25-701,</w:t>
      </w:r>
    </w:p>
    <w:p w14:paraId="2F0A9414" w14:textId="77777777" w:rsidR="00135562" w:rsidRPr="00D9492F" w:rsidRDefault="00135562" w:rsidP="00135562">
      <w:pPr>
        <w:spacing w:after="0" w:line="240" w:lineRule="auto"/>
        <w:rPr>
          <w:rFonts w:ascii="Times New Roman" w:hAnsi="Times New Roman"/>
        </w:rPr>
      </w:pPr>
      <w:r w:rsidRPr="00D9492F">
        <w:rPr>
          <w:rFonts w:ascii="Times New Roman" w:hAnsi="Times New Roman"/>
        </w:rPr>
        <w:t>LT-09320 Vilnius,</w:t>
      </w:r>
    </w:p>
    <w:p w14:paraId="69F06626" w14:textId="77777777" w:rsidR="00DC1CDC" w:rsidRPr="00D9492F" w:rsidRDefault="00DC1CDC" w:rsidP="00DC1CDC">
      <w:pPr>
        <w:widowControl w:val="0"/>
        <w:suppressAutoHyphens/>
        <w:autoSpaceDE w:val="0"/>
        <w:spacing w:after="0" w:line="240" w:lineRule="auto"/>
        <w:rPr>
          <w:rFonts w:ascii="Times New Roman" w:hAnsi="Times New Roman"/>
          <w:bCs/>
          <w:color w:val="000000"/>
          <w:lang w:eastAsia="ar-SA"/>
        </w:rPr>
      </w:pPr>
      <w:r w:rsidRPr="00D9492F">
        <w:rPr>
          <w:rFonts w:ascii="Times New Roman" w:hAnsi="Times New Roman"/>
          <w:bCs/>
          <w:color w:val="000000"/>
          <w:lang w:eastAsia="ar-SA"/>
        </w:rPr>
        <w:t>Lietuva</w:t>
      </w:r>
    </w:p>
    <w:p w14:paraId="468BBB96" w14:textId="77777777" w:rsidR="00DC1CDC" w:rsidRPr="00D9492F" w:rsidRDefault="00DC1CDC" w:rsidP="00DC1CDC">
      <w:pPr>
        <w:spacing w:after="0" w:line="240" w:lineRule="auto"/>
        <w:rPr>
          <w:rFonts w:ascii="Times New Roman" w:hAnsi="Times New Roman"/>
          <w:snapToGrid w:val="0"/>
        </w:rPr>
      </w:pPr>
      <w:r w:rsidRPr="00D9492F">
        <w:rPr>
          <w:rFonts w:ascii="Times New Roman" w:hAnsi="Times New Roman"/>
          <w:noProof/>
          <w:snapToGrid w:val="0"/>
        </w:rPr>
        <w:t>Tel. +370 700 01320</w:t>
      </w:r>
    </w:p>
    <w:p w14:paraId="79A84607" w14:textId="77777777" w:rsidR="00DC1CDC" w:rsidRPr="00D9492F" w:rsidRDefault="00DC1CDC" w:rsidP="00DC1CDC">
      <w:pPr>
        <w:spacing w:after="0" w:line="240" w:lineRule="auto"/>
        <w:rPr>
          <w:rFonts w:ascii="Times New Roman" w:hAnsi="Times New Roman"/>
          <w:snapToGrid w:val="0"/>
        </w:rPr>
      </w:pPr>
      <w:r w:rsidRPr="00D9492F">
        <w:rPr>
          <w:rFonts w:ascii="Times New Roman" w:hAnsi="Times New Roman"/>
          <w:noProof/>
          <w:snapToGrid w:val="0"/>
        </w:rPr>
        <w:t>Faksas +370 700 22903</w:t>
      </w:r>
    </w:p>
    <w:p w14:paraId="479360E5" w14:textId="77777777" w:rsidR="00DC1CDC" w:rsidRPr="00D9492F" w:rsidRDefault="00DC1CDC" w:rsidP="00DC1CDC">
      <w:pPr>
        <w:numPr>
          <w:ilvl w:val="12"/>
          <w:numId w:val="0"/>
        </w:numPr>
        <w:spacing w:after="0" w:line="240" w:lineRule="auto"/>
        <w:ind w:right="-2"/>
        <w:rPr>
          <w:rFonts w:ascii="Times New Roman" w:hAnsi="Times New Roman"/>
          <w:snapToGrid w:val="0"/>
        </w:rPr>
      </w:pPr>
      <w:r w:rsidRPr="00D9492F">
        <w:rPr>
          <w:rFonts w:ascii="Times New Roman" w:hAnsi="Times New Roman"/>
          <w:noProof/>
          <w:snapToGrid w:val="0"/>
        </w:rPr>
        <w:t>El. paštas: info@sanoswiss.com</w:t>
      </w:r>
    </w:p>
    <w:p w14:paraId="7BF90FD3" w14:textId="77777777" w:rsidR="00DC1CDC" w:rsidRPr="00D9492F" w:rsidRDefault="00DC1CDC" w:rsidP="00DC1CDC">
      <w:pPr>
        <w:keepNext/>
        <w:spacing w:after="0" w:line="240" w:lineRule="auto"/>
        <w:rPr>
          <w:rFonts w:ascii="Times New Roman" w:hAnsi="Times New Roman"/>
          <w:u w:val="single"/>
        </w:rPr>
      </w:pPr>
    </w:p>
    <w:p w14:paraId="1CE0FB4E" w14:textId="77777777" w:rsidR="00DC1CDC" w:rsidRPr="00D9492F" w:rsidRDefault="00DC1CDC" w:rsidP="00DC1CDC">
      <w:pPr>
        <w:keepNext/>
        <w:spacing w:after="0" w:line="240" w:lineRule="auto"/>
        <w:rPr>
          <w:rFonts w:ascii="Times New Roman" w:eastAsia="Times New Roman" w:hAnsi="Times New Roman"/>
          <w:bCs/>
          <w:i/>
        </w:rPr>
      </w:pPr>
      <w:r w:rsidRPr="00D9492F">
        <w:rPr>
          <w:rFonts w:ascii="Times New Roman" w:eastAsia="Times New Roman" w:hAnsi="Times New Roman"/>
          <w:bCs/>
          <w:i/>
        </w:rPr>
        <w:t>Gamintojas</w:t>
      </w:r>
    </w:p>
    <w:p w14:paraId="7E15974E"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Venus Pharma GmbH</w:t>
      </w:r>
    </w:p>
    <w:p w14:paraId="1D5A7F7A"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Am Bahnhof 1-3</w:t>
      </w:r>
    </w:p>
    <w:p w14:paraId="33D933C7"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D-59368 Werne</w:t>
      </w:r>
    </w:p>
    <w:p w14:paraId="2EA42592" w14:textId="77777777" w:rsidR="00DC1CDC" w:rsidRPr="00D9492F" w:rsidRDefault="00DC1CDC" w:rsidP="00DC1CDC">
      <w:pPr>
        <w:spacing w:after="0" w:line="240" w:lineRule="auto"/>
        <w:rPr>
          <w:rFonts w:ascii="Times New Roman" w:hAnsi="Times New Roman"/>
        </w:rPr>
      </w:pPr>
      <w:r w:rsidRPr="00D9492F">
        <w:rPr>
          <w:rFonts w:ascii="Times New Roman" w:hAnsi="Times New Roman"/>
        </w:rPr>
        <w:t>Vokietija</w:t>
      </w:r>
    </w:p>
    <w:p w14:paraId="6A42286E" w14:textId="77777777" w:rsidR="00DC1CDC" w:rsidRPr="00D9492F" w:rsidRDefault="00DC1CDC" w:rsidP="00DC1CDC">
      <w:pPr>
        <w:spacing w:after="0" w:line="240" w:lineRule="auto"/>
        <w:rPr>
          <w:rFonts w:ascii="Times New Roman" w:hAnsi="Times New Roman"/>
        </w:rPr>
      </w:pPr>
    </w:p>
    <w:p w14:paraId="0715EE5D" w14:textId="77777777" w:rsidR="00170A52" w:rsidRPr="00D9492F" w:rsidRDefault="00170A52" w:rsidP="00DC1CDC">
      <w:pPr>
        <w:spacing w:after="0" w:line="240" w:lineRule="auto"/>
        <w:rPr>
          <w:rFonts w:ascii="Times New Roman" w:hAnsi="Times New Roman"/>
        </w:rPr>
      </w:pPr>
      <w:bookmarkStart w:id="11" w:name="_Hlk522881853"/>
      <w:r w:rsidRPr="00D9492F">
        <w:rPr>
          <w:rFonts w:ascii="Times New Roman" w:hAnsi="Times New Roman"/>
          <w:noProof/>
          <w:snapToGrid w:val="0"/>
          <w:szCs w:val="24"/>
        </w:rPr>
        <w:t>Jeigu apie šį vaistą norite sužinoti daugiau, kreipkitės į registruotoją.</w:t>
      </w:r>
    </w:p>
    <w:bookmarkEnd w:id="11"/>
    <w:p w14:paraId="6F661690" w14:textId="77777777" w:rsidR="00DC1CDC" w:rsidRPr="00D9492F" w:rsidRDefault="00DC1CDC" w:rsidP="00DC1CDC">
      <w:pPr>
        <w:spacing w:after="0" w:line="240" w:lineRule="auto"/>
        <w:rPr>
          <w:rFonts w:ascii="Times New Roman" w:hAnsi="Times New Roman"/>
        </w:rPr>
      </w:pPr>
    </w:p>
    <w:p w14:paraId="3A7C75AB" w14:textId="71EB24D9" w:rsidR="00DC1CDC" w:rsidRPr="00D9492F" w:rsidRDefault="00DC1CDC" w:rsidP="00DC1CDC">
      <w:pPr>
        <w:keepNext/>
        <w:numPr>
          <w:ilvl w:val="12"/>
          <w:numId w:val="0"/>
        </w:numPr>
        <w:spacing w:after="0" w:line="240" w:lineRule="auto"/>
        <w:ind w:right="-2"/>
        <w:outlineLvl w:val="0"/>
        <w:rPr>
          <w:rFonts w:ascii="Times New Roman" w:hAnsi="Times New Roman"/>
          <w:noProof/>
        </w:rPr>
      </w:pPr>
      <w:r w:rsidRPr="00D9492F">
        <w:rPr>
          <w:rFonts w:ascii="Times New Roman" w:hAnsi="Times New Roman"/>
          <w:b/>
          <w:bCs/>
          <w:noProof/>
        </w:rPr>
        <w:t xml:space="preserve">Šis pakuotės </w:t>
      </w:r>
      <w:r w:rsidRPr="00D9492F">
        <w:rPr>
          <w:rFonts w:ascii="Times New Roman" w:hAnsi="Times New Roman"/>
          <w:b/>
          <w:noProof/>
        </w:rPr>
        <w:t>lapelis paskutinį kartą peržiūrėtas</w:t>
      </w:r>
      <w:r w:rsidR="00781CEB">
        <w:rPr>
          <w:rFonts w:ascii="Times New Roman" w:hAnsi="Times New Roman"/>
          <w:b/>
          <w:noProof/>
        </w:rPr>
        <w:t xml:space="preserve"> 2021-05-12.</w:t>
      </w:r>
      <w:r w:rsidR="00755FDB" w:rsidRPr="00D9492F">
        <w:rPr>
          <w:rFonts w:ascii="Times New Roman" w:hAnsi="Times New Roman"/>
          <w:b/>
          <w:noProof/>
        </w:rPr>
        <w:t xml:space="preserve"> </w:t>
      </w:r>
    </w:p>
    <w:p w14:paraId="53BAF590" w14:textId="77777777" w:rsidR="00DC1CDC" w:rsidRPr="00D9492F" w:rsidRDefault="00DC1CDC" w:rsidP="00DC1CDC">
      <w:pPr>
        <w:numPr>
          <w:ilvl w:val="12"/>
          <w:numId w:val="0"/>
        </w:numPr>
        <w:tabs>
          <w:tab w:val="left" w:pos="567"/>
        </w:tabs>
        <w:spacing w:after="0" w:line="240" w:lineRule="auto"/>
        <w:ind w:right="-2"/>
        <w:rPr>
          <w:rFonts w:ascii="Times New Roman" w:hAnsi="Times New Roman"/>
          <w:snapToGrid w:val="0"/>
        </w:rPr>
      </w:pPr>
    </w:p>
    <w:p w14:paraId="466B8A5A" w14:textId="77777777" w:rsidR="00DC1CDC" w:rsidRPr="00D9492F" w:rsidRDefault="00DC1CDC" w:rsidP="00DC1CDC">
      <w:pPr>
        <w:numPr>
          <w:ilvl w:val="12"/>
          <w:numId w:val="0"/>
        </w:numPr>
        <w:tabs>
          <w:tab w:val="left" w:pos="567"/>
        </w:tabs>
        <w:spacing w:after="0" w:line="240" w:lineRule="auto"/>
        <w:ind w:right="-2"/>
        <w:rPr>
          <w:rFonts w:ascii="Times New Roman" w:hAnsi="Times New Roman"/>
          <w:snapToGrid w:val="0"/>
        </w:rPr>
      </w:pPr>
    </w:p>
    <w:p w14:paraId="26A76DE5" w14:textId="77777777" w:rsidR="00DC1CDC" w:rsidRPr="00D9492F" w:rsidRDefault="00DC1CDC" w:rsidP="00DC1CDC">
      <w:pPr>
        <w:numPr>
          <w:ilvl w:val="12"/>
          <w:numId w:val="0"/>
        </w:numPr>
        <w:tabs>
          <w:tab w:val="left" w:pos="567"/>
        </w:tabs>
        <w:spacing w:after="0" w:line="240" w:lineRule="auto"/>
        <w:ind w:right="-2"/>
        <w:rPr>
          <w:rFonts w:ascii="Times New Roman" w:hAnsi="Times New Roman"/>
          <w:snapToGrid w:val="0"/>
        </w:rPr>
      </w:pPr>
      <w:r w:rsidRPr="00D9492F">
        <w:rPr>
          <w:rFonts w:ascii="Times New Roman" w:hAnsi="Times New Roman"/>
          <w:snapToGrid w:val="0"/>
        </w:rPr>
        <w:t>Išsami informacija apie šį vaistą pateikiama Valstybinės vaistų kontrolės tarnybos prie Lietuvos Respublikos sveikatos apsaugos ministerijos tinklalapyje</w:t>
      </w:r>
      <w:r w:rsidRPr="00D9492F">
        <w:rPr>
          <w:rFonts w:ascii="Times New Roman" w:hAnsi="Times New Roman"/>
          <w:i/>
          <w:snapToGrid w:val="0"/>
        </w:rPr>
        <w:t xml:space="preserve"> </w:t>
      </w:r>
      <w:hyperlink r:id="rId18" w:history="1">
        <w:r w:rsidRPr="00D9492F">
          <w:rPr>
            <w:rFonts w:ascii="Times New Roman" w:eastAsia="SimSun" w:hAnsi="Times New Roman"/>
            <w:snapToGrid w:val="0"/>
            <w:color w:val="0000FF"/>
            <w:u w:val="single"/>
          </w:rPr>
          <w:t>http://www.vvkt.lt/</w:t>
        </w:r>
      </w:hyperlink>
      <w:r w:rsidRPr="00D9492F">
        <w:rPr>
          <w:rFonts w:ascii="Times New Roman" w:hAnsi="Times New Roman"/>
          <w:snapToGrid w:val="0"/>
        </w:rPr>
        <w:t>.</w:t>
      </w:r>
    </w:p>
    <w:p w14:paraId="002FC3CF" w14:textId="77777777" w:rsidR="00DC1CDC" w:rsidRPr="00D9492F" w:rsidRDefault="00DC1CDC" w:rsidP="00DC1CDC">
      <w:pPr>
        <w:keepNext/>
        <w:spacing w:after="0" w:line="240" w:lineRule="auto"/>
        <w:rPr>
          <w:rFonts w:ascii="Times New Roman" w:hAnsi="Times New Roman"/>
          <w:b/>
          <w:bCs/>
        </w:rPr>
      </w:pPr>
    </w:p>
    <w:p w14:paraId="437798F7" w14:textId="77777777" w:rsidR="00DC1CDC" w:rsidRPr="00D9492F" w:rsidRDefault="008B4586" w:rsidP="00DC1CDC">
      <w:pPr>
        <w:keepNext/>
        <w:spacing w:after="0" w:line="240" w:lineRule="auto"/>
        <w:rPr>
          <w:rFonts w:ascii="Times New Roman" w:hAnsi="Times New Roman"/>
          <w:i/>
        </w:rPr>
      </w:pPr>
      <w:r w:rsidRPr="00D9492F">
        <w:rPr>
          <w:noProof/>
          <w:lang w:eastAsia="lt-LT"/>
        </w:rPr>
        <mc:AlternateContent>
          <mc:Choice Requires="wps">
            <w:drawing>
              <wp:anchor distT="4294967295" distB="4294967295" distL="114300" distR="114300" simplePos="0" relativeHeight="251659264" behindDoc="0" locked="0" layoutInCell="1" allowOverlap="1" wp14:anchorId="484B20FA" wp14:editId="053CE1AD">
                <wp:simplePos x="0" y="0"/>
                <wp:positionH relativeFrom="column">
                  <wp:posOffset>65405</wp:posOffset>
                </wp:positionH>
                <wp:positionV relativeFrom="paragraph">
                  <wp:posOffset>79374</wp:posOffset>
                </wp:positionV>
                <wp:extent cx="6172200" cy="0"/>
                <wp:effectExtent l="0" t="0" r="0" b="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C0FFB5F" id="Line 2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6.25pt" to="491.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" strokeweight="1pt"/>
            </w:pict>
          </mc:Fallback>
        </mc:AlternateContent>
      </w:r>
    </w:p>
    <w:p w14:paraId="5E34217C" w14:textId="77777777" w:rsidR="00DC1CDC" w:rsidRPr="00D9492F" w:rsidRDefault="00DC1CDC" w:rsidP="00DC1CDC">
      <w:pPr>
        <w:spacing w:after="0" w:line="240" w:lineRule="auto"/>
        <w:rPr>
          <w:rFonts w:ascii="Times New Roman" w:hAnsi="Times New Roman"/>
        </w:rPr>
      </w:pPr>
    </w:p>
    <w:p w14:paraId="10F56D8A" w14:textId="77777777" w:rsidR="00DC1CDC" w:rsidRPr="00D9492F" w:rsidRDefault="00DC1CDC" w:rsidP="00DC1CDC">
      <w:pPr>
        <w:keepNext/>
        <w:spacing w:after="0" w:line="240" w:lineRule="auto"/>
        <w:rPr>
          <w:rFonts w:ascii="Times New Roman" w:hAnsi="Times New Roman"/>
        </w:rPr>
      </w:pPr>
      <w:r w:rsidRPr="00D9492F">
        <w:rPr>
          <w:rFonts w:ascii="Times New Roman" w:hAnsi="Times New Roman"/>
        </w:rPr>
        <w:lastRenderedPageBreak/>
        <w:t>Toliau pateikta informacija skirta tik sveikatos priežiūros specialistams</w:t>
      </w:r>
      <w:r w:rsidR="00D70B59" w:rsidRPr="00D9492F">
        <w:rPr>
          <w:rFonts w:ascii="Times New Roman" w:hAnsi="Times New Roman"/>
        </w:rPr>
        <w:t>.</w:t>
      </w:r>
    </w:p>
    <w:p w14:paraId="3277F24B" w14:textId="77777777" w:rsidR="00DC1CDC" w:rsidRPr="00D9492F" w:rsidRDefault="00DC1CDC" w:rsidP="00DC1CDC">
      <w:pPr>
        <w:spacing w:after="0" w:line="240" w:lineRule="auto"/>
        <w:rPr>
          <w:rFonts w:ascii="Times New Roman" w:hAnsi="Times New Roman"/>
        </w:rPr>
      </w:pPr>
    </w:p>
    <w:p w14:paraId="3E96F2B3" w14:textId="77777777" w:rsidR="00DC1CDC" w:rsidRPr="00D9492F" w:rsidRDefault="00DC1CDC" w:rsidP="00DC1CDC">
      <w:pPr>
        <w:spacing w:after="0" w:line="240" w:lineRule="auto"/>
        <w:rPr>
          <w:rFonts w:ascii="Times New Roman" w:hAnsi="Times New Roman"/>
        </w:rPr>
      </w:pPr>
    </w:p>
    <w:p w14:paraId="3FE9937F" w14:textId="2788F452" w:rsidR="00DC1CDC" w:rsidRPr="00D9492F" w:rsidRDefault="00DC1CDC" w:rsidP="00DC1CDC">
      <w:pPr>
        <w:spacing w:after="0" w:line="240" w:lineRule="auto"/>
        <w:jc w:val="center"/>
        <w:rPr>
          <w:rFonts w:ascii="Times New Roman" w:hAnsi="Times New Roman"/>
          <w:b/>
        </w:rPr>
      </w:pPr>
      <w:r w:rsidRPr="00D9492F">
        <w:rPr>
          <w:rFonts w:ascii="Times New Roman" w:hAnsi="Times New Roman"/>
          <w:b/>
        </w:rPr>
        <w:t xml:space="preserve">DOCETAXEL SANOSWISS </w:t>
      </w:r>
      <w:r w:rsidR="009C35AC" w:rsidRPr="00D9492F">
        <w:rPr>
          <w:rFonts w:ascii="Times New Roman" w:hAnsi="Times New Roman"/>
          <w:b/>
          <w:color w:val="000000"/>
        </w:rPr>
        <w:t>INFUZINIO TIRPALO</w:t>
      </w:r>
      <w:r w:rsidRPr="00D9492F">
        <w:rPr>
          <w:rFonts w:ascii="Times New Roman" w:hAnsi="Times New Roman"/>
          <w:b/>
          <w:color w:val="000000"/>
        </w:rPr>
        <w:t xml:space="preserve"> RUOŠIMO INSTRUKCIJA</w:t>
      </w:r>
    </w:p>
    <w:p w14:paraId="7ECC3A23" w14:textId="77777777" w:rsidR="00DC1CDC" w:rsidRPr="00D9492F" w:rsidRDefault="00DC1CDC" w:rsidP="00DC1CDC">
      <w:pPr>
        <w:spacing w:after="0" w:line="240" w:lineRule="auto"/>
        <w:rPr>
          <w:rFonts w:ascii="Times New Roman" w:hAnsi="Times New Roman"/>
        </w:rPr>
      </w:pPr>
    </w:p>
    <w:p w14:paraId="7BDF4A18" w14:textId="5BF8D824" w:rsidR="00DC1CDC" w:rsidRPr="00D9492F" w:rsidRDefault="00DC1CDC" w:rsidP="00DC1CDC">
      <w:pPr>
        <w:spacing w:after="0" w:line="240" w:lineRule="auto"/>
        <w:rPr>
          <w:rFonts w:ascii="Times New Roman" w:hAnsi="Times New Roman"/>
          <w:i/>
          <w:iCs/>
          <w:lang w:eastAsia="lt-LT"/>
        </w:rPr>
      </w:pPr>
      <w:r w:rsidRPr="00D9492F">
        <w:rPr>
          <w:rFonts w:ascii="Times New Roman" w:hAnsi="Times New Roman"/>
          <w:i/>
          <w:iCs/>
          <w:lang w:eastAsia="lt-LT"/>
        </w:rPr>
        <w:t>Būtina perskaityti visą pateiktą Docetaxel SanoSwiss infuzinio tirpalo ruošimo instrukciją.</w:t>
      </w:r>
    </w:p>
    <w:p w14:paraId="402A84D0" w14:textId="77777777" w:rsidR="00DC1CDC" w:rsidRPr="00D9492F" w:rsidRDefault="00DC1CDC" w:rsidP="00DC1CDC">
      <w:pPr>
        <w:spacing w:after="0" w:line="240" w:lineRule="auto"/>
        <w:rPr>
          <w:rFonts w:ascii="Times New Roman" w:hAnsi="Times New Roman"/>
        </w:rPr>
      </w:pPr>
    </w:p>
    <w:p w14:paraId="3A35F069"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Docetaxel SanoSwiss yra </w:t>
      </w:r>
      <w:r w:rsidR="00F17BE5" w:rsidRPr="00D9492F">
        <w:rPr>
          <w:rFonts w:ascii="Times New Roman" w:hAnsi="Times New Roman"/>
        </w:rPr>
        <w:t xml:space="preserve">vaistinis </w:t>
      </w:r>
      <w:r w:rsidRPr="00D9492F">
        <w:rPr>
          <w:rFonts w:ascii="Times New Roman" w:hAnsi="Times New Roman"/>
        </w:rPr>
        <w:t>preparatas nuo vėžio. Jo (kaip ir kitų potencialiai toksiškų junginių) tirpalus ruošti reikia atsargiai. Rekomenduojama mūvėti pirštinėmis.</w:t>
      </w:r>
    </w:p>
    <w:p w14:paraId="4254C59C" w14:textId="77777777" w:rsidR="00DC1CDC" w:rsidRPr="00D9492F" w:rsidRDefault="00DC1CDC" w:rsidP="00DC1CDC">
      <w:pPr>
        <w:keepNext/>
        <w:keepLines/>
        <w:spacing w:after="0" w:line="240" w:lineRule="auto"/>
        <w:rPr>
          <w:rFonts w:ascii="Times New Roman" w:hAnsi="Times New Roman"/>
        </w:rPr>
      </w:pPr>
    </w:p>
    <w:p w14:paraId="492DC6DD" w14:textId="77777777" w:rsidR="00DC1CDC" w:rsidRPr="00D9492F" w:rsidRDefault="00DC1CDC" w:rsidP="00DC1CDC">
      <w:pPr>
        <w:keepNext/>
        <w:keepLines/>
        <w:spacing w:after="0" w:line="240" w:lineRule="auto"/>
        <w:rPr>
          <w:rFonts w:ascii="Times New Roman" w:hAnsi="Times New Roman"/>
        </w:rPr>
      </w:pPr>
      <w:r w:rsidRPr="00D9492F">
        <w:rPr>
          <w:rFonts w:ascii="Times New Roman" w:hAnsi="Times New Roman"/>
        </w:rPr>
        <w:t xml:space="preserve">Jei Docetaxel SanoSwiss </w:t>
      </w:r>
      <w:r w:rsidR="009C35AC" w:rsidRPr="00D9492F">
        <w:rPr>
          <w:rFonts w:ascii="Times New Roman" w:hAnsi="Times New Roman"/>
        </w:rPr>
        <w:t xml:space="preserve">sterilaus </w:t>
      </w:r>
      <w:r w:rsidRPr="00D9492F">
        <w:rPr>
          <w:rFonts w:ascii="Times New Roman" w:hAnsi="Times New Roman"/>
        </w:rPr>
        <w:t xml:space="preserve">koncentrato arba </w:t>
      </w:r>
      <w:r w:rsidR="00F17BE5" w:rsidRPr="00D9492F">
        <w:rPr>
          <w:rFonts w:ascii="Times New Roman" w:hAnsi="Times New Roman"/>
        </w:rPr>
        <w:t xml:space="preserve">paruošto </w:t>
      </w:r>
      <w:r w:rsidRPr="00D9492F">
        <w:rPr>
          <w:rFonts w:ascii="Times New Roman" w:hAnsi="Times New Roman"/>
        </w:rPr>
        <w:t xml:space="preserve">infuzinio tirpalo pateko ant odos, reikia nedelsiant nuplauti dideliu vandens kiekiu su muilu. Jei Docetaxel SanoSwiss </w:t>
      </w:r>
      <w:r w:rsidR="009C35AC" w:rsidRPr="00D9492F">
        <w:rPr>
          <w:rFonts w:ascii="Times New Roman" w:hAnsi="Times New Roman"/>
        </w:rPr>
        <w:t xml:space="preserve">sterilaus </w:t>
      </w:r>
      <w:r w:rsidRPr="00D9492F">
        <w:rPr>
          <w:rFonts w:ascii="Times New Roman" w:hAnsi="Times New Roman"/>
        </w:rPr>
        <w:t xml:space="preserve">koncentrato arba </w:t>
      </w:r>
      <w:r w:rsidR="005D7026" w:rsidRPr="00D9492F">
        <w:rPr>
          <w:rFonts w:ascii="Times New Roman" w:hAnsi="Times New Roman"/>
        </w:rPr>
        <w:t xml:space="preserve">paruošto </w:t>
      </w:r>
      <w:r w:rsidRPr="00D9492F">
        <w:rPr>
          <w:rFonts w:ascii="Times New Roman" w:hAnsi="Times New Roman"/>
        </w:rPr>
        <w:t>infuzinio tirpalo pateko ant gleivinės, reikia nedelsiant nuplauti dideliu vandens kiekiu.</w:t>
      </w:r>
    </w:p>
    <w:p w14:paraId="7C32FA47" w14:textId="77777777" w:rsidR="00DC1CDC" w:rsidRPr="00D9492F" w:rsidRDefault="00DC1CDC" w:rsidP="00DC1CDC">
      <w:pPr>
        <w:spacing w:after="0" w:line="240" w:lineRule="auto"/>
        <w:rPr>
          <w:rFonts w:ascii="Times New Roman" w:hAnsi="Times New Roman"/>
          <w:b/>
          <w:bCs/>
        </w:rPr>
      </w:pPr>
    </w:p>
    <w:p w14:paraId="4AB86882" w14:textId="77777777" w:rsidR="00DC1CDC" w:rsidRPr="00D9492F" w:rsidRDefault="00DC1CDC" w:rsidP="00DC1CDC">
      <w:pPr>
        <w:spacing w:after="0" w:line="240" w:lineRule="auto"/>
        <w:rPr>
          <w:rFonts w:ascii="Times New Roman" w:hAnsi="Times New Roman"/>
          <w:bCs/>
          <w:i/>
          <w:u w:val="single"/>
        </w:rPr>
      </w:pPr>
      <w:r w:rsidRPr="00D9492F">
        <w:rPr>
          <w:rFonts w:ascii="Times New Roman" w:hAnsi="Times New Roman"/>
          <w:bCs/>
          <w:i/>
          <w:u w:val="single"/>
        </w:rPr>
        <w:t>Infuzinio tirpalo ruošimas</w:t>
      </w:r>
      <w:r w:rsidRPr="00D9492F" w:rsidDel="004A0313">
        <w:rPr>
          <w:rFonts w:ascii="Times New Roman" w:hAnsi="Times New Roman"/>
          <w:bCs/>
          <w:i/>
          <w:u w:val="single"/>
        </w:rPr>
        <w:t xml:space="preserve"> </w:t>
      </w:r>
    </w:p>
    <w:p w14:paraId="1F8E20AA" w14:textId="7488C5E6" w:rsidR="00DC1CDC" w:rsidRPr="00D9492F" w:rsidRDefault="00DC1CDC" w:rsidP="00DC1CDC">
      <w:pPr>
        <w:spacing w:after="0" w:line="240" w:lineRule="auto"/>
        <w:rPr>
          <w:rFonts w:ascii="Times New Roman" w:hAnsi="Times New Roman"/>
          <w:b/>
          <w:lang w:eastAsia="lt-LT"/>
        </w:rPr>
      </w:pPr>
      <w:r w:rsidRPr="00D9492F">
        <w:rPr>
          <w:rFonts w:ascii="Times New Roman" w:hAnsi="Times New Roman"/>
          <w:b/>
          <w:lang w:eastAsia="lt-LT"/>
        </w:rPr>
        <w:t xml:space="preserve">NEGALIMA vartoti kitokio docetakselio vaistinio preparato, kurį sudaro 2 flakonai (koncentratas ir tirpiklis), kartu su šiuo vaistiniu preparatu (Docetaxel SanoSwiss sudaro tik 1 flakonas). </w:t>
      </w:r>
    </w:p>
    <w:p w14:paraId="2A87E0A4" w14:textId="77777777" w:rsidR="00DC1CDC" w:rsidRPr="00D9492F" w:rsidRDefault="00DC1CDC" w:rsidP="00DC1CDC">
      <w:pPr>
        <w:spacing w:after="0" w:line="240" w:lineRule="auto"/>
        <w:rPr>
          <w:rFonts w:ascii="Times New Roman" w:hAnsi="Times New Roman"/>
          <w:b/>
          <w:lang w:eastAsia="lt-LT"/>
        </w:rPr>
      </w:pPr>
    </w:p>
    <w:p w14:paraId="39C1C6F9" w14:textId="3E1D0D2E" w:rsidR="00DC1CDC" w:rsidRPr="00D9492F" w:rsidRDefault="00DC1CDC" w:rsidP="00DC1CDC">
      <w:pPr>
        <w:spacing w:after="0" w:line="240" w:lineRule="auto"/>
        <w:rPr>
          <w:rFonts w:ascii="Times New Roman" w:hAnsi="Times New Roman"/>
          <w:b/>
          <w:lang w:eastAsia="lt-LT"/>
        </w:rPr>
      </w:pPr>
      <w:r w:rsidRPr="00D9492F">
        <w:rPr>
          <w:rFonts w:ascii="Times New Roman" w:hAnsi="Times New Roman"/>
          <w:b/>
          <w:lang w:eastAsia="lt-LT"/>
        </w:rPr>
        <w:t>Docetaxel SanoSwiss NEREIKIA iš pradžių skiesti tirpikliu: šis vaistinis preparatas yra paruoštas suleisti į infuzinį tirpalą.</w:t>
      </w:r>
    </w:p>
    <w:p w14:paraId="59FB1EAA" w14:textId="77777777" w:rsidR="00DC1CDC" w:rsidRPr="00D9492F" w:rsidRDefault="00DC1CDC" w:rsidP="00DC1CDC">
      <w:pPr>
        <w:spacing w:after="0" w:line="240" w:lineRule="auto"/>
        <w:rPr>
          <w:rFonts w:ascii="Times New Roman" w:hAnsi="Times New Roman"/>
          <w:lang w:eastAsia="lt-LT"/>
        </w:rPr>
      </w:pPr>
    </w:p>
    <w:p w14:paraId="11D4424B"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Kiekvienas flakonas skirtas vienkartiniam vartojimui, jo turinį būtina vartoti nedelsiant. Jei jis iškart nesuvartojamas, už jo laikymo trukmę ir sąlygas atsako vartotojas.</w:t>
      </w:r>
    </w:p>
    <w:p w14:paraId="16FFE541" w14:textId="77777777" w:rsidR="00DC1CDC" w:rsidRPr="00D9492F" w:rsidRDefault="00DC1CDC" w:rsidP="00DC1CDC">
      <w:pPr>
        <w:spacing w:after="0" w:line="240" w:lineRule="auto"/>
        <w:rPr>
          <w:rFonts w:ascii="Times New Roman" w:hAnsi="Times New Roman"/>
          <w:lang w:eastAsia="lt-LT"/>
        </w:rPr>
      </w:pPr>
    </w:p>
    <w:p w14:paraId="720AB651" w14:textId="6A3E58EE" w:rsidR="00DC1CDC" w:rsidRPr="00D9492F" w:rsidRDefault="00DC1CDC" w:rsidP="00DC1CDC">
      <w:pPr>
        <w:spacing w:after="0" w:line="240" w:lineRule="auto"/>
        <w:rPr>
          <w:rFonts w:ascii="Times New Roman" w:hAnsi="Times New Roman"/>
        </w:rPr>
      </w:pPr>
      <w:r w:rsidRPr="00D9492F">
        <w:rPr>
          <w:rFonts w:ascii="Times New Roman" w:hAnsi="Times New Roman"/>
          <w:lang w:eastAsia="lt-LT"/>
        </w:rPr>
        <w:t xml:space="preserve">Norint gauti pacientui reikiamą dozę, gali prireikti daugiau kaip vieno Docetaxel SanoSwiss </w:t>
      </w:r>
      <w:r w:rsidR="00965A62" w:rsidRPr="00D9492F">
        <w:rPr>
          <w:rFonts w:ascii="Times New Roman" w:hAnsi="Times New Roman"/>
          <w:lang w:eastAsia="lt-LT"/>
        </w:rPr>
        <w:t>sterilaus koncentrato</w:t>
      </w:r>
      <w:r w:rsidRPr="00D9492F">
        <w:rPr>
          <w:rFonts w:ascii="Times New Roman" w:hAnsi="Times New Roman"/>
          <w:lang w:eastAsia="lt-LT"/>
        </w:rPr>
        <w:t xml:space="preserve"> flakono. </w:t>
      </w:r>
      <w:r w:rsidRPr="00D9492F">
        <w:rPr>
          <w:rFonts w:ascii="Times New Roman" w:hAnsi="Times New Roman"/>
        </w:rPr>
        <w:t xml:space="preserve">Pavyzdžiui, jei reikiama docetakselio dozė yra 140 mg, pririeks 3,5 ml docetakselio </w:t>
      </w:r>
      <w:r w:rsidR="00965A62" w:rsidRPr="00D9492F">
        <w:rPr>
          <w:rFonts w:ascii="Times New Roman" w:hAnsi="Times New Roman"/>
        </w:rPr>
        <w:t xml:space="preserve">sterilaus </w:t>
      </w:r>
      <w:r w:rsidRPr="00D9492F">
        <w:rPr>
          <w:rFonts w:ascii="Times New Roman" w:hAnsi="Times New Roman"/>
        </w:rPr>
        <w:t>koncentrato .</w:t>
      </w:r>
    </w:p>
    <w:p w14:paraId="20013B1D" w14:textId="77777777" w:rsidR="00DC1CDC" w:rsidRPr="00D9492F" w:rsidRDefault="00DC1CDC" w:rsidP="00DC1CDC">
      <w:pPr>
        <w:spacing w:after="0" w:line="240" w:lineRule="auto"/>
        <w:rPr>
          <w:rFonts w:ascii="Times New Roman" w:hAnsi="Times New Roman"/>
          <w:lang w:eastAsia="lt-LT"/>
        </w:rPr>
      </w:pPr>
    </w:p>
    <w:p w14:paraId="6A457A69" w14:textId="4AD5052E"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Naudodami kalibruotą švirkštą, aseptiniu būdu įtraukite reikiamą kiekį Docetaxel SanoSwiss </w:t>
      </w:r>
      <w:r w:rsidR="00965A62" w:rsidRPr="00D9492F">
        <w:rPr>
          <w:rFonts w:ascii="Times New Roman" w:hAnsi="Times New Roman"/>
          <w:lang w:eastAsia="lt-LT"/>
        </w:rPr>
        <w:t xml:space="preserve">sterilaus </w:t>
      </w:r>
      <w:r w:rsidRPr="00D9492F">
        <w:rPr>
          <w:rFonts w:ascii="Times New Roman" w:hAnsi="Times New Roman"/>
          <w:lang w:eastAsia="lt-LT"/>
        </w:rPr>
        <w:t>koncentrato .</w:t>
      </w:r>
    </w:p>
    <w:p w14:paraId="0675F4CD" w14:textId="77777777" w:rsidR="00DC1CDC" w:rsidRPr="00D9492F" w:rsidRDefault="00DC1CDC" w:rsidP="00DC1CDC">
      <w:pPr>
        <w:spacing w:after="0" w:line="240" w:lineRule="auto"/>
        <w:rPr>
          <w:rFonts w:ascii="Times New Roman" w:hAnsi="Times New Roman"/>
          <w:lang w:eastAsia="lt-LT"/>
        </w:rPr>
      </w:pPr>
    </w:p>
    <w:p w14:paraId="763D0A1A" w14:textId="69347FF6" w:rsidR="00DC1CDC" w:rsidRPr="00D9492F" w:rsidRDefault="00DC1CDC" w:rsidP="00DC1CDC">
      <w:pPr>
        <w:spacing w:after="0" w:line="240" w:lineRule="auto"/>
        <w:rPr>
          <w:rFonts w:ascii="Times New Roman" w:hAnsi="Times New Roman"/>
          <w:b/>
          <w:lang w:eastAsia="lt-LT"/>
        </w:rPr>
      </w:pPr>
      <w:r w:rsidRPr="00D9492F">
        <w:rPr>
          <w:rFonts w:ascii="Times New Roman" w:hAnsi="Times New Roman"/>
          <w:b/>
          <w:lang w:eastAsia="lt-LT"/>
        </w:rPr>
        <w:t xml:space="preserve">Docetakselio koncentracija Docetaxel SanoSwiss flakone yra 40 mg/ml. </w:t>
      </w:r>
    </w:p>
    <w:p w14:paraId="1EB9790A" w14:textId="1B48FE22"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Reikiamas Docetaxel SanoSwiss </w:t>
      </w:r>
      <w:r w:rsidR="00965A62" w:rsidRPr="00D9492F">
        <w:rPr>
          <w:rFonts w:ascii="Times New Roman" w:hAnsi="Times New Roman"/>
          <w:lang w:eastAsia="lt-LT"/>
        </w:rPr>
        <w:t>sterilaus</w:t>
      </w:r>
      <w:r w:rsidR="00C35EF8" w:rsidRPr="00D9492F">
        <w:rPr>
          <w:rFonts w:ascii="Times New Roman" w:hAnsi="Times New Roman"/>
          <w:lang w:eastAsia="lt-LT"/>
        </w:rPr>
        <w:t xml:space="preserve"> </w:t>
      </w:r>
      <w:r w:rsidRPr="00D9492F">
        <w:rPr>
          <w:rFonts w:ascii="Times New Roman" w:hAnsi="Times New Roman"/>
          <w:lang w:eastAsia="lt-LT"/>
        </w:rPr>
        <w:t xml:space="preserve">koncentrato  kiekis turi būti viena injekcija (vienu </w:t>
      </w:r>
      <w:r w:rsidR="00965A62" w:rsidRPr="00D9492F">
        <w:rPr>
          <w:rFonts w:ascii="Times New Roman" w:hAnsi="Times New Roman"/>
          <w:lang w:eastAsia="lt-LT"/>
        </w:rPr>
        <w:t>leidimu</w:t>
      </w:r>
      <w:r w:rsidRPr="00D9492F">
        <w:rPr>
          <w:rFonts w:ascii="Times New Roman" w:hAnsi="Times New Roman"/>
          <w:lang w:eastAsia="lt-LT"/>
        </w:rPr>
        <w:t>) suleistas į 250 ml infuzijų maišelį ar buteliuką, kuriame yra 5 % gliukozės tirpalo ar 9 mg/ml (0,9 %) natrio chlorido infuzinio tirpalo.</w:t>
      </w:r>
    </w:p>
    <w:p w14:paraId="4C653632" w14:textId="77777777" w:rsidR="00DC1CDC" w:rsidRPr="00D9492F" w:rsidRDefault="00DC1CDC" w:rsidP="00DC1CDC">
      <w:pPr>
        <w:spacing w:after="0" w:line="240" w:lineRule="auto"/>
        <w:rPr>
          <w:rFonts w:ascii="Times New Roman" w:hAnsi="Times New Roman"/>
          <w:lang w:eastAsia="lt-LT"/>
        </w:rPr>
      </w:pPr>
    </w:p>
    <w:p w14:paraId="61DCF387"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Jei reikalinga didesnė nei 190 mg docetakselio dozė, reikia didesnio infuzinio tirpalo kiekio, kad docetakselio koncentracija nebūtų didesnė kaip 0,74 mg/ml. </w:t>
      </w:r>
    </w:p>
    <w:p w14:paraId="74777A4D" w14:textId="77777777" w:rsidR="00DC1CDC" w:rsidRPr="00D9492F" w:rsidRDefault="00DC1CDC" w:rsidP="00DC1CDC">
      <w:pPr>
        <w:spacing w:after="0" w:line="240" w:lineRule="auto"/>
        <w:rPr>
          <w:rFonts w:ascii="Times New Roman" w:hAnsi="Times New Roman"/>
          <w:lang w:eastAsia="lt-LT"/>
        </w:rPr>
      </w:pPr>
    </w:p>
    <w:p w14:paraId="269BCA45"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Infuzijų maišelyje ar buteliuke esantį tirpalą sumaišykite rankiniu būdu (sukamaisiais judesiais).</w:t>
      </w:r>
    </w:p>
    <w:p w14:paraId="41AB7AEE" w14:textId="77777777" w:rsidR="00DC1CDC" w:rsidRPr="00D9492F" w:rsidRDefault="00DC1CDC" w:rsidP="00DC1CDC">
      <w:pPr>
        <w:spacing w:after="0" w:line="240" w:lineRule="auto"/>
        <w:rPr>
          <w:rFonts w:ascii="Times New Roman" w:hAnsi="Times New Roman"/>
          <w:lang w:eastAsia="lt-LT"/>
        </w:rPr>
      </w:pPr>
    </w:p>
    <w:p w14:paraId="6A97C956"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Mikrobiologiniu požiūriu, skiedimas turi būti atliekamas kontroliuojamomis aseptinėmis sąlygomis. Paruoštas vaistinis preparatas turi būti suvartojamas nedelsiant. Jeigu iš karto nevartojamas, už paruošto tirpalo laikymo trukmę ir sąlygas atsako vartotojas.</w:t>
      </w:r>
    </w:p>
    <w:p w14:paraId="5C13D004" w14:textId="37703F10"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Pridėjus į infuzinį maišelį kaip rekomenduojama, docetakselio infuzinis tirpalas, laikomas žemesnėje kaip 25°C temperatūroje, yra stabilus 6 valandas. </w:t>
      </w:r>
      <w:r w:rsidR="00965A62" w:rsidRPr="00D9492F">
        <w:rPr>
          <w:rFonts w:ascii="Times New Roman" w:hAnsi="Times New Roman"/>
          <w:lang w:eastAsia="lt-LT"/>
        </w:rPr>
        <w:t>Infuzinis t</w:t>
      </w:r>
      <w:r w:rsidRPr="00D9492F">
        <w:rPr>
          <w:rFonts w:ascii="Times New Roman" w:hAnsi="Times New Roman"/>
          <w:lang w:eastAsia="lt-LT"/>
        </w:rPr>
        <w:t xml:space="preserve">irpalas turi būti suvartotas per 6 valandas (įskaitant infuzijos į veną, trunkančios 1 valandą, laiką). </w:t>
      </w:r>
    </w:p>
    <w:p w14:paraId="7F20193E"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Be to, nustatyta, kad fiziniu ir cheminiu požiūriu infuzinis tirpalas, paruoštas kaip rekomenduojama, ne PVC maišeliuose 2°C - 8°C temperatūroje išlieka stabilus iki 24 valandų.</w:t>
      </w:r>
    </w:p>
    <w:p w14:paraId="0D756007" w14:textId="77777777" w:rsidR="00DC1CDC" w:rsidRPr="00D9492F" w:rsidRDefault="00DC1CDC" w:rsidP="00DC1CDC">
      <w:pPr>
        <w:spacing w:after="0" w:line="240" w:lineRule="auto"/>
        <w:rPr>
          <w:rFonts w:ascii="Times New Roman" w:hAnsi="Times New Roman"/>
          <w:lang w:eastAsia="lt-LT"/>
        </w:rPr>
      </w:pPr>
    </w:p>
    <w:p w14:paraId="6AF1B3CC" w14:textId="77777777" w:rsidR="00DC1CDC" w:rsidRPr="00D9492F" w:rsidRDefault="00DC1CDC" w:rsidP="00DC1CDC">
      <w:pPr>
        <w:spacing w:after="0" w:line="240" w:lineRule="auto"/>
        <w:rPr>
          <w:rFonts w:ascii="Times New Roman" w:hAnsi="Times New Roman"/>
          <w:lang w:eastAsia="lt-LT"/>
        </w:rPr>
      </w:pPr>
      <w:r w:rsidRPr="00D9492F">
        <w:rPr>
          <w:rFonts w:ascii="Times New Roman" w:hAnsi="Times New Roman"/>
          <w:lang w:eastAsia="lt-LT"/>
        </w:rPr>
        <w:t xml:space="preserve">Docetaxel SanoSwiss infuzinis tirpalas yra persotintas, todėl laikui bėgant gali kristalizuotis. Jeigu atsiranda kristalų, </w:t>
      </w:r>
      <w:r w:rsidR="00965A62" w:rsidRPr="00D9492F">
        <w:rPr>
          <w:rFonts w:ascii="Times New Roman" w:hAnsi="Times New Roman"/>
          <w:lang w:eastAsia="lt-LT"/>
        </w:rPr>
        <w:t xml:space="preserve">infuzinis </w:t>
      </w:r>
      <w:r w:rsidRPr="00D9492F">
        <w:rPr>
          <w:rFonts w:ascii="Times New Roman" w:hAnsi="Times New Roman"/>
          <w:lang w:eastAsia="lt-LT"/>
        </w:rPr>
        <w:t>tirpalas turi būti daugiau nevartojamas ir sunaikinamas.</w:t>
      </w:r>
    </w:p>
    <w:p w14:paraId="558B8F58" w14:textId="77777777" w:rsidR="00DC1CDC" w:rsidRPr="00D9492F" w:rsidRDefault="00DC1CDC" w:rsidP="00DC1CDC">
      <w:pPr>
        <w:spacing w:after="0" w:line="240" w:lineRule="auto"/>
        <w:rPr>
          <w:rFonts w:ascii="Times New Roman" w:hAnsi="Times New Roman"/>
          <w:lang w:eastAsia="lt-LT"/>
        </w:rPr>
      </w:pPr>
    </w:p>
    <w:p w14:paraId="66071515" w14:textId="1807A55A" w:rsidR="00DC1CDC" w:rsidRPr="00D9492F" w:rsidRDefault="00965A62" w:rsidP="00DC1CDC">
      <w:pPr>
        <w:spacing w:after="0" w:line="240" w:lineRule="auto"/>
        <w:rPr>
          <w:rFonts w:ascii="Times New Roman" w:hAnsi="Times New Roman"/>
          <w:lang w:eastAsia="lt-LT"/>
        </w:rPr>
      </w:pPr>
      <w:r w:rsidRPr="00D9492F">
        <w:rPr>
          <w:rFonts w:ascii="Times New Roman" w:hAnsi="Times New Roman"/>
          <w:lang w:eastAsia="lt-LT"/>
        </w:rPr>
        <w:t>Paruoštą</w:t>
      </w:r>
      <w:r w:rsidR="00DC1CDC" w:rsidRPr="00D9492F">
        <w:rPr>
          <w:rFonts w:ascii="Times New Roman" w:hAnsi="Times New Roman"/>
          <w:lang w:eastAsia="lt-LT"/>
        </w:rPr>
        <w:t xml:space="preserve"> Docetaxel SanoSwiss infuzinį tirpalą prieš vartojimą reikia apžiūrėti. Jei yra nuosėdų, tokį </w:t>
      </w:r>
      <w:r w:rsidRPr="00D9492F">
        <w:rPr>
          <w:rFonts w:ascii="Times New Roman" w:hAnsi="Times New Roman"/>
          <w:lang w:eastAsia="lt-LT"/>
        </w:rPr>
        <w:t xml:space="preserve">infuzinį </w:t>
      </w:r>
      <w:r w:rsidR="00DC1CDC" w:rsidRPr="00D9492F">
        <w:rPr>
          <w:rFonts w:ascii="Times New Roman" w:hAnsi="Times New Roman"/>
          <w:lang w:eastAsia="lt-LT"/>
        </w:rPr>
        <w:t>tirpalą reikia sunaikinti.</w:t>
      </w:r>
    </w:p>
    <w:p w14:paraId="38C0B8F8" w14:textId="77777777" w:rsidR="00DC1CDC" w:rsidRPr="00D9492F" w:rsidRDefault="00DC1CDC" w:rsidP="00DC1CDC">
      <w:pPr>
        <w:spacing w:after="0" w:line="240" w:lineRule="auto"/>
        <w:rPr>
          <w:rFonts w:ascii="Times New Roman" w:hAnsi="Times New Roman"/>
        </w:rPr>
      </w:pPr>
    </w:p>
    <w:p w14:paraId="5484E2FA" w14:textId="77777777" w:rsidR="00DC1CDC" w:rsidRPr="00D9492F" w:rsidRDefault="00DC1CDC" w:rsidP="00DC1CDC">
      <w:pPr>
        <w:spacing w:after="0" w:line="240" w:lineRule="auto"/>
        <w:rPr>
          <w:rFonts w:ascii="Times New Roman" w:hAnsi="Times New Roman"/>
          <w:b/>
        </w:rPr>
      </w:pPr>
      <w:r w:rsidRPr="00D9492F">
        <w:rPr>
          <w:rFonts w:ascii="Times New Roman" w:hAnsi="Times New Roman"/>
          <w:b/>
        </w:rPr>
        <w:lastRenderedPageBreak/>
        <w:t>Atliekų tvarkymas</w:t>
      </w:r>
    </w:p>
    <w:p w14:paraId="09046558" w14:textId="77777777" w:rsidR="00DC1CDC" w:rsidRPr="00DC1CDC" w:rsidRDefault="00DC1CDC" w:rsidP="00DC1CDC">
      <w:pPr>
        <w:spacing w:after="0" w:line="240" w:lineRule="auto"/>
        <w:rPr>
          <w:rFonts w:ascii="Times New Roman" w:hAnsi="Times New Roman"/>
        </w:rPr>
      </w:pPr>
      <w:r w:rsidRPr="00D9492F">
        <w:rPr>
          <w:rFonts w:ascii="Times New Roman" w:hAnsi="Times New Roman"/>
        </w:rPr>
        <w:t>Nesuvartotą vaistinį preparatą ar atliekas reikia tvarkyti laikantis vietinių reikalavimų.</w:t>
      </w:r>
    </w:p>
    <w:p w14:paraId="6EDDA68B" w14:textId="77777777" w:rsidR="003233E4" w:rsidRDefault="003233E4" w:rsidP="00EC11C9"/>
    <w:sectPr w:rsidR="003233E4" w:rsidSect="0003751A">
      <w:footerReference w:type="even" r:id="rId19"/>
      <w:footerReference w:type="default" r:id="rId2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31CDF" w14:textId="77777777" w:rsidR="00F02AC9" w:rsidRDefault="00F02AC9">
      <w:pPr>
        <w:spacing w:after="0" w:line="240" w:lineRule="auto"/>
      </w:pPr>
      <w:r>
        <w:separator/>
      </w:r>
    </w:p>
  </w:endnote>
  <w:endnote w:type="continuationSeparator" w:id="0">
    <w:p w14:paraId="3C4C4AEE" w14:textId="77777777" w:rsidR="00F02AC9" w:rsidRDefault="00F02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8070000" w:usb2="00000010" w:usb3="00000000" w:csb0="00020001" w:csb1="00000000"/>
  </w:font>
  <w:font w:name="RimHelvetica">
    <w:altName w:val="Times New Roman"/>
    <w:charset w:val="00"/>
    <w:family w:val="auto"/>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
    <w:altName w:val="﷽﷽﷽﷽﷽﷽﷽﷽w Roman"/>
    <w:panose1 w:val="02020603050405020304"/>
    <w:charset w:val="BA"/>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Malgun Gothic Semi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ymbo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62F5D" w14:textId="77777777" w:rsidR="00D9492F" w:rsidRDefault="00D9492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603DFD9" w14:textId="77777777" w:rsidR="00D9492F" w:rsidRDefault="00D9492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2AFCC" w14:textId="794FC5F8" w:rsidR="00D9492F" w:rsidRPr="00F3235A" w:rsidRDefault="00D9492F">
    <w:pPr>
      <w:pStyle w:val="Porat"/>
      <w:ind w:right="360"/>
      <w:jc w:val="center"/>
      <w:rPr>
        <w:sz w:val="20"/>
      </w:rPr>
    </w:pPr>
    <w:r w:rsidRPr="00F3235A">
      <w:rPr>
        <w:rStyle w:val="Puslapionumeris"/>
        <w:sz w:val="20"/>
      </w:rPr>
      <w:fldChar w:fldCharType="begin"/>
    </w:r>
    <w:r w:rsidRPr="00F3235A">
      <w:rPr>
        <w:rStyle w:val="Puslapionumeris"/>
        <w:sz w:val="20"/>
      </w:rPr>
      <w:instrText xml:space="preserve"> PAGE </w:instrText>
    </w:r>
    <w:r w:rsidRPr="00F3235A">
      <w:rPr>
        <w:rStyle w:val="Puslapionumeris"/>
        <w:sz w:val="20"/>
      </w:rPr>
      <w:fldChar w:fldCharType="separate"/>
    </w:r>
    <w:r w:rsidR="009D4741">
      <w:rPr>
        <w:rStyle w:val="Puslapionumeris"/>
        <w:noProof/>
        <w:sz w:val="20"/>
      </w:rPr>
      <w:t>56</w:t>
    </w:r>
    <w:r w:rsidRPr="00F3235A">
      <w:rPr>
        <w:rStyle w:val="Puslapionumeri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AAE24" w14:textId="77777777" w:rsidR="00F02AC9" w:rsidRDefault="00F02AC9">
      <w:pPr>
        <w:spacing w:after="0" w:line="240" w:lineRule="auto"/>
      </w:pPr>
      <w:r>
        <w:separator/>
      </w:r>
    </w:p>
  </w:footnote>
  <w:footnote w:type="continuationSeparator" w:id="0">
    <w:p w14:paraId="35B3140B" w14:textId="77777777" w:rsidR="00F02AC9" w:rsidRDefault="00F02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1388992"/>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4552D31E"/>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F1527F88"/>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04D6C82E"/>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E708B4DA"/>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4E2AAC"/>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245E0C"/>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4AB2E"/>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B00BB08"/>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F4F870C2"/>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06547578"/>
    <w:multiLevelType w:val="hybridMultilevel"/>
    <w:tmpl w:val="A45CEF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4322B8"/>
    <w:multiLevelType w:val="hybridMultilevel"/>
    <w:tmpl w:val="83A832A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4536413"/>
    <w:multiLevelType w:val="hybridMultilevel"/>
    <w:tmpl w:val="E1C02E20"/>
    <w:lvl w:ilvl="0" w:tplc="A67C5D56">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547481"/>
    <w:multiLevelType w:val="hybridMultilevel"/>
    <w:tmpl w:val="6F84A1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DBD14AD"/>
    <w:multiLevelType w:val="hybridMultilevel"/>
    <w:tmpl w:val="E9BEAD10"/>
    <w:lvl w:ilvl="0" w:tplc="82BCC776">
      <w:start w:val="1"/>
      <w:numFmt w:val="bullet"/>
      <w:lvlText w:val=""/>
      <w:lvlJc w:val="left"/>
      <w:pPr>
        <w:tabs>
          <w:tab w:val="num" w:pos="354"/>
        </w:tabs>
        <w:ind w:left="7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180D0D"/>
    <w:multiLevelType w:val="hybridMultilevel"/>
    <w:tmpl w:val="2966A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7D16D6"/>
    <w:multiLevelType w:val="hybridMultilevel"/>
    <w:tmpl w:val="84E4C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65C40"/>
    <w:multiLevelType w:val="multilevel"/>
    <w:tmpl w:val="89307F0A"/>
    <w:lvl w:ilvl="0">
      <w:start w:val="1"/>
      <w:numFmt w:val="bullet"/>
      <w:lvlText w:val="-"/>
      <w:lvlJc w:val="left"/>
      <w:pPr>
        <w:tabs>
          <w:tab w:val="num" w:pos="567"/>
        </w:tabs>
        <w:ind w:left="567" w:hanging="567"/>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9" w15:restartNumberingAfterBreak="0">
    <w:nsid w:val="33D40F94"/>
    <w:multiLevelType w:val="hybridMultilevel"/>
    <w:tmpl w:val="853855AC"/>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5A70BC"/>
    <w:multiLevelType w:val="hybridMultilevel"/>
    <w:tmpl w:val="6F6E6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310287"/>
    <w:multiLevelType w:val="hybridMultilevel"/>
    <w:tmpl w:val="27125394"/>
    <w:lvl w:ilvl="0" w:tplc="04090001">
      <w:start w:val="1"/>
      <w:numFmt w:val="bullet"/>
      <w:lvlText w:val=""/>
      <w:lvlJc w:val="left"/>
      <w:pPr>
        <w:ind w:left="566" w:firstLine="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195AD294">
      <w:start w:val="1"/>
      <w:numFmt w:val="bullet"/>
      <w:lvlText w:val="o"/>
      <w:lvlJc w:val="left"/>
      <w:pPr>
        <w:ind w:left="10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B9058A6">
      <w:start w:val="1"/>
      <w:numFmt w:val="bullet"/>
      <w:lvlText w:val="▪"/>
      <w:lvlJc w:val="left"/>
      <w:pPr>
        <w:ind w:left="18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3D2E488">
      <w:start w:val="1"/>
      <w:numFmt w:val="bullet"/>
      <w:lvlText w:val="•"/>
      <w:lvlJc w:val="left"/>
      <w:pPr>
        <w:ind w:left="25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DC147D20">
      <w:start w:val="1"/>
      <w:numFmt w:val="bullet"/>
      <w:lvlText w:val="o"/>
      <w:lvlJc w:val="left"/>
      <w:pPr>
        <w:ind w:left="324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2420C1C">
      <w:start w:val="1"/>
      <w:numFmt w:val="bullet"/>
      <w:lvlText w:val="▪"/>
      <w:lvlJc w:val="left"/>
      <w:pPr>
        <w:ind w:left="39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33C6A46">
      <w:start w:val="1"/>
      <w:numFmt w:val="bullet"/>
      <w:lvlText w:val="•"/>
      <w:lvlJc w:val="left"/>
      <w:pPr>
        <w:ind w:left="46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104CE70">
      <w:start w:val="1"/>
      <w:numFmt w:val="bullet"/>
      <w:lvlText w:val="o"/>
      <w:lvlJc w:val="left"/>
      <w:pPr>
        <w:ind w:left="54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2A602074">
      <w:start w:val="1"/>
      <w:numFmt w:val="bullet"/>
      <w:lvlText w:val="▪"/>
      <w:lvlJc w:val="left"/>
      <w:pPr>
        <w:ind w:left="61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5368028E"/>
    <w:multiLevelType w:val="hybridMultilevel"/>
    <w:tmpl w:val="7812CC8A"/>
    <w:lvl w:ilvl="0" w:tplc="4B6CDB52">
      <w:start w:val="1"/>
      <w:numFmt w:val="lowerLetter"/>
      <w:lvlText w:val="%1"/>
      <w:lvlJc w:val="left"/>
      <w:pPr>
        <w:ind w:left="33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superscript"/>
      </w:rPr>
    </w:lvl>
    <w:lvl w:ilvl="1" w:tplc="7A0E02C6">
      <w:start w:val="1"/>
      <w:numFmt w:val="lowerLetter"/>
      <w:lvlText w:val="%2"/>
      <w:lvlJc w:val="left"/>
      <w:pPr>
        <w:ind w:left="14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superscript"/>
      </w:rPr>
    </w:lvl>
    <w:lvl w:ilvl="2" w:tplc="D0F85132">
      <w:start w:val="1"/>
      <w:numFmt w:val="lowerRoman"/>
      <w:lvlText w:val="%3"/>
      <w:lvlJc w:val="left"/>
      <w:pPr>
        <w:ind w:left="21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superscript"/>
      </w:rPr>
    </w:lvl>
    <w:lvl w:ilvl="3" w:tplc="6B064B1A">
      <w:start w:val="1"/>
      <w:numFmt w:val="decimal"/>
      <w:lvlText w:val="%4"/>
      <w:lvlJc w:val="left"/>
      <w:pPr>
        <w:ind w:left="28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superscript"/>
      </w:rPr>
    </w:lvl>
    <w:lvl w:ilvl="4" w:tplc="B64045EE">
      <w:start w:val="1"/>
      <w:numFmt w:val="lowerLetter"/>
      <w:lvlText w:val="%5"/>
      <w:lvlJc w:val="left"/>
      <w:pPr>
        <w:ind w:left="35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superscript"/>
      </w:rPr>
    </w:lvl>
    <w:lvl w:ilvl="5" w:tplc="455AE37E">
      <w:start w:val="1"/>
      <w:numFmt w:val="lowerRoman"/>
      <w:lvlText w:val="%6"/>
      <w:lvlJc w:val="left"/>
      <w:pPr>
        <w:ind w:left="42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superscript"/>
      </w:rPr>
    </w:lvl>
    <w:lvl w:ilvl="6" w:tplc="09A07DEE">
      <w:start w:val="1"/>
      <w:numFmt w:val="decimal"/>
      <w:lvlText w:val="%7"/>
      <w:lvlJc w:val="left"/>
      <w:pPr>
        <w:ind w:left="50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superscript"/>
      </w:rPr>
    </w:lvl>
    <w:lvl w:ilvl="7" w:tplc="AF828286">
      <w:start w:val="1"/>
      <w:numFmt w:val="lowerLetter"/>
      <w:lvlText w:val="%8"/>
      <w:lvlJc w:val="left"/>
      <w:pPr>
        <w:ind w:left="57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superscript"/>
      </w:rPr>
    </w:lvl>
    <w:lvl w:ilvl="8" w:tplc="B0F40130">
      <w:start w:val="1"/>
      <w:numFmt w:val="lowerRoman"/>
      <w:lvlText w:val="%9"/>
      <w:lvlJc w:val="left"/>
      <w:pPr>
        <w:ind w:left="64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superscript"/>
      </w:rPr>
    </w:lvl>
  </w:abstractNum>
  <w:abstractNum w:abstractNumId="23" w15:restartNumberingAfterBreak="0">
    <w:nsid w:val="5771408E"/>
    <w:multiLevelType w:val="hybridMultilevel"/>
    <w:tmpl w:val="7C569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661E0D"/>
    <w:multiLevelType w:val="hybridMultilevel"/>
    <w:tmpl w:val="2EF24632"/>
    <w:lvl w:ilvl="0" w:tplc="F7F888C2">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1155FC"/>
    <w:multiLevelType w:val="hybridMultilevel"/>
    <w:tmpl w:val="B68209BE"/>
    <w:lvl w:ilvl="0" w:tplc="DD80FE58">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8E36B2"/>
    <w:multiLevelType w:val="hybridMultilevel"/>
    <w:tmpl w:val="A048834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7964570E"/>
    <w:multiLevelType w:val="hybridMultilevel"/>
    <w:tmpl w:val="496286E4"/>
    <w:lvl w:ilvl="0" w:tplc="CB003F40">
      <w:start w:val="1"/>
      <w:numFmt w:val="bullet"/>
      <w:lvlText w:val="-"/>
      <w:lvlJc w:val="left"/>
      <w:pPr>
        <w:tabs>
          <w:tab w:val="num" w:pos="567"/>
        </w:tabs>
        <w:ind w:left="567" w:hanging="567"/>
      </w:pPr>
      <w:rPr>
        <w:rFonts w:ascii="Times New Roman" w:eastAsia="Times New Roman" w:hAnsi="Times New Roman" w:cs="Times New Roman" w:hint="default"/>
      </w:rPr>
    </w:lvl>
    <w:lvl w:ilvl="1" w:tplc="E7F8A97C" w:tentative="1">
      <w:start w:val="1"/>
      <w:numFmt w:val="bullet"/>
      <w:lvlText w:val="o"/>
      <w:lvlJc w:val="left"/>
      <w:pPr>
        <w:tabs>
          <w:tab w:val="num" w:pos="1440"/>
        </w:tabs>
        <w:ind w:left="1440" w:hanging="360"/>
      </w:pPr>
      <w:rPr>
        <w:rFonts w:ascii="Courier New" w:hAnsi="Courier New" w:hint="default"/>
      </w:rPr>
    </w:lvl>
    <w:lvl w:ilvl="2" w:tplc="9A8094A0" w:tentative="1">
      <w:start w:val="1"/>
      <w:numFmt w:val="bullet"/>
      <w:lvlText w:val=""/>
      <w:lvlJc w:val="left"/>
      <w:pPr>
        <w:tabs>
          <w:tab w:val="num" w:pos="2160"/>
        </w:tabs>
        <w:ind w:left="2160" w:hanging="360"/>
      </w:pPr>
      <w:rPr>
        <w:rFonts w:ascii="Wingdings" w:hAnsi="Wingdings" w:hint="default"/>
      </w:rPr>
    </w:lvl>
    <w:lvl w:ilvl="3" w:tplc="2D40620E" w:tentative="1">
      <w:start w:val="1"/>
      <w:numFmt w:val="bullet"/>
      <w:lvlText w:val=""/>
      <w:lvlJc w:val="left"/>
      <w:pPr>
        <w:tabs>
          <w:tab w:val="num" w:pos="2880"/>
        </w:tabs>
        <w:ind w:left="2880" w:hanging="360"/>
      </w:pPr>
      <w:rPr>
        <w:rFonts w:ascii="Symbol" w:hAnsi="Symbol" w:hint="default"/>
      </w:rPr>
    </w:lvl>
    <w:lvl w:ilvl="4" w:tplc="0E02C71C" w:tentative="1">
      <w:start w:val="1"/>
      <w:numFmt w:val="bullet"/>
      <w:lvlText w:val="o"/>
      <w:lvlJc w:val="left"/>
      <w:pPr>
        <w:tabs>
          <w:tab w:val="num" w:pos="3600"/>
        </w:tabs>
        <w:ind w:left="3600" w:hanging="360"/>
      </w:pPr>
      <w:rPr>
        <w:rFonts w:ascii="Courier New" w:hAnsi="Courier New" w:hint="default"/>
      </w:rPr>
    </w:lvl>
    <w:lvl w:ilvl="5" w:tplc="FC96C616" w:tentative="1">
      <w:start w:val="1"/>
      <w:numFmt w:val="bullet"/>
      <w:lvlText w:val=""/>
      <w:lvlJc w:val="left"/>
      <w:pPr>
        <w:tabs>
          <w:tab w:val="num" w:pos="4320"/>
        </w:tabs>
        <w:ind w:left="4320" w:hanging="360"/>
      </w:pPr>
      <w:rPr>
        <w:rFonts w:ascii="Wingdings" w:hAnsi="Wingdings" w:hint="default"/>
      </w:rPr>
    </w:lvl>
    <w:lvl w:ilvl="6" w:tplc="E572F3E8" w:tentative="1">
      <w:start w:val="1"/>
      <w:numFmt w:val="bullet"/>
      <w:lvlText w:val=""/>
      <w:lvlJc w:val="left"/>
      <w:pPr>
        <w:tabs>
          <w:tab w:val="num" w:pos="5040"/>
        </w:tabs>
        <w:ind w:left="5040" w:hanging="360"/>
      </w:pPr>
      <w:rPr>
        <w:rFonts w:ascii="Symbol" w:hAnsi="Symbol" w:hint="default"/>
      </w:rPr>
    </w:lvl>
    <w:lvl w:ilvl="7" w:tplc="A162A928" w:tentative="1">
      <w:start w:val="1"/>
      <w:numFmt w:val="bullet"/>
      <w:lvlText w:val="o"/>
      <w:lvlJc w:val="left"/>
      <w:pPr>
        <w:tabs>
          <w:tab w:val="num" w:pos="5760"/>
        </w:tabs>
        <w:ind w:left="5760" w:hanging="360"/>
      </w:pPr>
      <w:rPr>
        <w:rFonts w:ascii="Courier New" w:hAnsi="Courier New" w:hint="default"/>
      </w:rPr>
    </w:lvl>
    <w:lvl w:ilvl="8" w:tplc="E62CC4D2"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7"/>
  </w:num>
  <w:num w:numId="3">
    <w:abstractNumId w:val="12"/>
  </w:num>
  <w:num w:numId="4">
    <w:abstractNumId w:val="27"/>
  </w:num>
  <w:num w:numId="5">
    <w:abstractNumId w:val="25"/>
  </w:num>
  <w:num w:numId="6">
    <w:abstractNumId w:val="10"/>
  </w:num>
  <w:num w:numId="7">
    <w:abstractNumId w:val="11"/>
  </w:num>
  <w:num w:numId="8">
    <w:abstractNumId w:val="26"/>
  </w:num>
  <w:num w:numId="9">
    <w:abstractNumId w:val="23"/>
  </w:num>
  <w:num w:numId="10">
    <w:abstractNumId w:val="14"/>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4"/>
  </w:num>
  <w:num w:numId="22">
    <w:abstractNumId w:val="20"/>
  </w:num>
  <w:num w:numId="23">
    <w:abstractNumId w:val="16"/>
  </w:num>
  <w:num w:numId="24">
    <w:abstractNumId w:val="15"/>
  </w:num>
  <w:num w:numId="25">
    <w:abstractNumId w:val="13"/>
  </w:num>
  <w:num w:numId="26">
    <w:abstractNumId w:val="19"/>
  </w:num>
  <w:num w:numId="27">
    <w:abstractNumId w:val="21"/>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DC"/>
    <w:rsid w:val="00007B93"/>
    <w:rsid w:val="00020860"/>
    <w:rsid w:val="00024059"/>
    <w:rsid w:val="00031915"/>
    <w:rsid w:val="00037480"/>
    <w:rsid w:val="0003751A"/>
    <w:rsid w:val="000465A3"/>
    <w:rsid w:val="000478DC"/>
    <w:rsid w:val="00047969"/>
    <w:rsid w:val="00052B9E"/>
    <w:rsid w:val="00053C96"/>
    <w:rsid w:val="0007559A"/>
    <w:rsid w:val="00091637"/>
    <w:rsid w:val="000A73F3"/>
    <w:rsid w:val="000A77B8"/>
    <w:rsid w:val="000C6284"/>
    <w:rsid w:val="000D1314"/>
    <w:rsid w:val="000D7843"/>
    <w:rsid w:val="000F4E8F"/>
    <w:rsid w:val="000F545F"/>
    <w:rsid w:val="000F558E"/>
    <w:rsid w:val="000F6E68"/>
    <w:rsid w:val="001116F1"/>
    <w:rsid w:val="00111F5B"/>
    <w:rsid w:val="00114757"/>
    <w:rsid w:val="00126FB4"/>
    <w:rsid w:val="00134347"/>
    <w:rsid w:val="001344AB"/>
    <w:rsid w:val="00134CCA"/>
    <w:rsid w:val="00135562"/>
    <w:rsid w:val="00135ACC"/>
    <w:rsid w:val="001366CF"/>
    <w:rsid w:val="00141053"/>
    <w:rsid w:val="00142104"/>
    <w:rsid w:val="001445AB"/>
    <w:rsid w:val="0014507D"/>
    <w:rsid w:val="00170A52"/>
    <w:rsid w:val="00194711"/>
    <w:rsid w:val="0019712A"/>
    <w:rsid w:val="001A7053"/>
    <w:rsid w:val="001B40C9"/>
    <w:rsid w:val="001B4DF0"/>
    <w:rsid w:val="001B58E4"/>
    <w:rsid w:val="001C3AD8"/>
    <w:rsid w:val="001C7EF3"/>
    <w:rsid w:val="001D2FCA"/>
    <w:rsid w:val="001D5EAF"/>
    <w:rsid w:val="001E7875"/>
    <w:rsid w:val="001E7FFA"/>
    <w:rsid w:val="001F15CC"/>
    <w:rsid w:val="002031CB"/>
    <w:rsid w:val="0020367A"/>
    <w:rsid w:val="002078A6"/>
    <w:rsid w:val="002100F3"/>
    <w:rsid w:val="002178F4"/>
    <w:rsid w:val="00223F45"/>
    <w:rsid w:val="00232979"/>
    <w:rsid w:val="0025549B"/>
    <w:rsid w:val="0026147A"/>
    <w:rsid w:val="002644F2"/>
    <w:rsid w:val="00270050"/>
    <w:rsid w:val="00274BD1"/>
    <w:rsid w:val="002759F0"/>
    <w:rsid w:val="0027700C"/>
    <w:rsid w:val="002977FF"/>
    <w:rsid w:val="002B4820"/>
    <w:rsid w:val="002C7D72"/>
    <w:rsid w:val="002D0578"/>
    <w:rsid w:val="002D5D6B"/>
    <w:rsid w:val="002E2908"/>
    <w:rsid w:val="002F56B6"/>
    <w:rsid w:val="002F7302"/>
    <w:rsid w:val="0030583E"/>
    <w:rsid w:val="00315525"/>
    <w:rsid w:val="003233E4"/>
    <w:rsid w:val="00331422"/>
    <w:rsid w:val="0033778A"/>
    <w:rsid w:val="0035619F"/>
    <w:rsid w:val="0036100A"/>
    <w:rsid w:val="00364E84"/>
    <w:rsid w:val="00385670"/>
    <w:rsid w:val="00394AD1"/>
    <w:rsid w:val="003A02B0"/>
    <w:rsid w:val="003B4A66"/>
    <w:rsid w:val="003B5A42"/>
    <w:rsid w:val="003B7028"/>
    <w:rsid w:val="003D0865"/>
    <w:rsid w:val="003D6C53"/>
    <w:rsid w:val="003D79BD"/>
    <w:rsid w:val="003F1A6C"/>
    <w:rsid w:val="00402015"/>
    <w:rsid w:val="00431505"/>
    <w:rsid w:val="0043767E"/>
    <w:rsid w:val="004503D5"/>
    <w:rsid w:val="00454D26"/>
    <w:rsid w:val="00457A17"/>
    <w:rsid w:val="00465445"/>
    <w:rsid w:val="00477496"/>
    <w:rsid w:val="004820A6"/>
    <w:rsid w:val="004844E6"/>
    <w:rsid w:val="004849A2"/>
    <w:rsid w:val="00484A28"/>
    <w:rsid w:val="004864CB"/>
    <w:rsid w:val="004B08C7"/>
    <w:rsid w:val="004B41B3"/>
    <w:rsid w:val="004C0B30"/>
    <w:rsid w:val="004E112E"/>
    <w:rsid w:val="004E2993"/>
    <w:rsid w:val="004F2D58"/>
    <w:rsid w:val="004F63C2"/>
    <w:rsid w:val="00507947"/>
    <w:rsid w:val="005365A9"/>
    <w:rsid w:val="005379C4"/>
    <w:rsid w:val="005555CF"/>
    <w:rsid w:val="0056150C"/>
    <w:rsid w:val="00566430"/>
    <w:rsid w:val="005705A6"/>
    <w:rsid w:val="0057208E"/>
    <w:rsid w:val="00572DE4"/>
    <w:rsid w:val="0058049F"/>
    <w:rsid w:val="0058761C"/>
    <w:rsid w:val="00587C68"/>
    <w:rsid w:val="005A3EE4"/>
    <w:rsid w:val="005B1DF2"/>
    <w:rsid w:val="005B1E02"/>
    <w:rsid w:val="005B3133"/>
    <w:rsid w:val="005B7753"/>
    <w:rsid w:val="005D7026"/>
    <w:rsid w:val="005E150B"/>
    <w:rsid w:val="005E18A1"/>
    <w:rsid w:val="005F7D75"/>
    <w:rsid w:val="00604640"/>
    <w:rsid w:val="00615A6B"/>
    <w:rsid w:val="0062274B"/>
    <w:rsid w:val="006279C1"/>
    <w:rsid w:val="006357E7"/>
    <w:rsid w:val="00641C9D"/>
    <w:rsid w:val="0065594D"/>
    <w:rsid w:val="00664F2F"/>
    <w:rsid w:val="006669E2"/>
    <w:rsid w:val="00677D33"/>
    <w:rsid w:val="006855E6"/>
    <w:rsid w:val="00692B7A"/>
    <w:rsid w:val="00696C02"/>
    <w:rsid w:val="006B129E"/>
    <w:rsid w:val="006B3B8C"/>
    <w:rsid w:val="006B4C38"/>
    <w:rsid w:val="006B60F6"/>
    <w:rsid w:val="006C0026"/>
    <w:rsid w:val="006C4B20"/>
    <w:rsid w:val="006E179B"/>
    <w:rsid w:val="0071036F"/>
    <w:rsid w:val="00712D44"/>
    <w:rsid w:val="00726CDC"/>
    <w:rsid w:val="00732262"/>
    <w:rsid w:val="00736FF0"/>
    <w:rsid w:val="00744968"/>
    <w:rsid w:val="00755FDB"/>
    <w:rsid w:val="0077223B"/>
    <w:rsid w:val="00781CEB"/>
    <w:rsid w:val="007A76B7"/>
    <w:rsid w:val="007C07DF"/>
    <w:rsid w:val="007D3D0E"/>
    <w:rsid w:val="007E501A"/>
    <w:rsid w:val="007F44B9"/>
    <w:rsid w:val="008019BE"/>
    <w:rsid w:val="00813072"/>
    <w:rsid w:val="008233A7"/>
    <w:rsid w:val="00862430"/>
    <w:rsid w:val="008628CA"/>
    <w:rsid w:val="008677FC"/>
    <w:rsid w:val="00885BC7"/>
    <w:rsid w:val="008877DE"/>
    <w:rsid w:val="008944E7"/>
    <w:rsid w:val="008A416F"/>
    <w:rsid w:val="008B03A9"/>
    <w:rsid w:val="008B4586"/>
    <w:rsid w:val="008C4C70"/>
    <w:rsid w:val="008C7CA5"/>
    <w:rsid w:val="008D51B4"/>
    <w:rsid w:val="008E78CA"/>
    <w:rsid w:val="008F7CE8"/>
    <w:rsid w:val="00903D5F"/>
    <w:rsid w:val="00930CD0"/>
    <w:rsid w:val="00935697"/>
    <w:rsid w:val="009366CD"/>
    <w:rsid w:val="00937E49"/>
    <w:rsid w:val="00950A06"/>
    <w:rsid w:val="009564C6"/>
    <w:rsid w:val="009622D0"/>
    <w:rsid w:val="00962C6F"/>
    <w:rsid w:val="00965A62"/>
    <w:rsid w:val="00983869"/>
    <w:rsid w:val="00991D11"/>
    <w:rsid w:val="009A12A7"/>
    <w:rsid w:val="009C35AC"/>
    <w:rsid w:val="009D4741"/>
    <w:rsid w:val="009E17AD"/>
    <w:rsid w:val="009E470C"/>
    <w:rsid w:val="009F404D"/>
    <w:rsid w:val="00A02421"/>
    <w:rsid w:val="00A10A02"/>
    <w:rsid w:val="00A66E1F"/>
    <w:rsid w:val="00A73E23"/>
    <w:rsid w:val="00A85EBB"/>
    <w:rsid w:val="00A94ECD"/>
    <w:rsid w:val="00AA0DA9"/>
    <w:rsid w:val="00AA3459"/>
    <w:rsid w:val="00AA3FEB"/>
    <w:rsid w:val="00AA6CD2"/>
    <w:rsid w:val="00AB7E1B"/>
    <w:rsid w:val="00AC3B68"/>
    <w:rsid w:val="00AC5ACE"/>
    <w:rsid w:val="00AD682C"/>
    <w:rsid w:val="00B02999"/>
    <w:rsid w:val="00B4395A"/>
    <w:rsid w:val="00B50306"/>
    <w:rsid w:val="00B51B2B"/>
    <w:rsid w:val="00B61766"/>
    <w:rsid w:val="00B70B4C"/>
    <w:rsid w:val="00B84BD5"/>
    <w:rsid w:val="00B970C7"/>
    <w:rsid w:val="00BA09CC"/>
    <w:rsid w:val="00BA11C4"/>
    <w:rsid w:val="00BA2DE7"/>
    <w:rsid w:val="00BA6639"/>
    <w:rsid w:val="00BB0D82"/>
    <w:rsid w:val="00BC3417"/>
    <w:rsid w:val="00BD43CF"/>
    <w:rsid w:val="00BE09FA"/>
    <w:rsid w:val="00BE2720"/>
    <w:rsid w:val="00BF2CAF"/>
    <w:rsid w:val="00BF5632"/>
    <w:rsid w:val="00C018BB"/>
    <w:rsid w:val="00C03907"/>
    <w:rsid w:val="00C04382"/>
    <w:rsid w:val="00C152D4"/>
    <w:rsid w:val="00C16B7D"/>
    <w:rsid w:val="00C35EF8"/>
    <w:rsid w:val="00C425C6"/>
    <w:rsid w:val="00C50106"/>
    <w:rsid w:val="00C5080D"/>
    <w:rsid w:val="00C53E25"/>
    <w:rsid w:val="00C66179"/>
    <w:rsid w:val="00C7668D"/>
    <w:rsid w:val="00C7682A"/>
    <w:rsid w:val="00C942E9"/>
    <w:rsid w:val="00CC25E6"/>
    <w:rsid w:val="00CC2A61"/>
    <w:rsid w:val="00CD0E1D"/>
    <w:rsid w:val="00CD2345"/>
    <w:rsid w:val="00CE3D83"/>
    <w:rsid w:val="00CE5C01"/>
    <w:rsid w:val="00CE5F42"/>
    <w:rsid w:val="00CF2AA6"/>
    <w:rsid w:val="00D21095"/>
    <w:rsid w:val="00D22B8D"/>
    <w:rsid w:val="00D2377D"/>
    <w:rsid w:val="00D237AA"/>
    <w:rsid w:val="00D33482"/>
    <w:rsid w:val="00D34E05"/>
    <w:rsid w:val="00D3552E"/>
    <w:rsid w:val="00D36D29"/>
    <w:rsid w:val="00D47695"/>
    <w:rsid w:val="00D64310"/>
    <w:rsid w:val="00D67F0E"/>
    <w:rsid w:val="00D70B59"/>
    <w:rsid w:val="00D70C6E"/>
    <w:rsid w:val="00D80F8A"/>
    <w:rsid w:val="00D8475E"/>
    <w:rsid w:val="00D9492F"/>
    <w:rsid w:val="00DA6544"/>
    <w:rsid w:val="00DC04C0"/>
    <w:rsid w:val="00DC0BAA"/>
    <w:rsid w:val="00DC1CDC"/>
    <w:rsid w:val="00DD5437"/>
    <w:rsid w:val="00DE01D6"/>
    <w:rsid w:val="00E060D4"/>
    <w:rsid w:val="00E11C7B"/>
    <w:rsid w:val="00E1408E"/>
    <w:rsid w:val="00E15A99"/>
    <w:rsid w:val="00E22AF0"/>
    <w:rsid w:val="00E26F16"/>
    <w:rsid w:val="00E433E8"/>
    <w:rsid w:val="00E66DBD"/>
    <w:rsid w:val="00E7341B"/>
    <w:rsid w:val="00E85ECD"/>
    <w:rsid w:val="00E95BD8"/>
    <w:rsid w:val="00EA4D2B"/>
    <w:rsid w:val="00EB45B6"/>
    <w:rsid w:val="00EB6235"/>
    <w:rsid w:val="00EC11C9"/>
    <w:rsid w:val="00EC190F"/>
    <w:rsid w:val="00EC7907"/>
    <w:rsid w:val="00ED0CB5"/>
    <w:rsid w:val="00ED4C20"/>
    <w:rsid w:val="00EF0EAD"/>
    <w:rsid w:val="00F02AC9"/>
    <w:rsid w:val="00F13C18"/>
    <w:rsid w:val="00F17BE5"/>
    <w:rsid w:val="00F26A6E"/>
    <w:rsid w:val="00F34ADB"/>
    <w:rsid w:val="00F37E73"/>
    <w:rsid w:val="00F63E81"/>
    <w:rsid w:val="00F67A1B"/>
    <w:rsid w:val="00F757C3"/>
    <w:rsid w:val="00F84C5B"/>
    <w:rsid w:val="00F90ED1"/>
    <w:rsid w:val="00FB2851"/>
    <w:rsid w:val="00FB6081"/>
    <w:rsid w:val="00FC1982"/>
    <w:rsid w:val="00FE3FD2"/>
    <w:rsid w:val="00FF70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79A41"/>
  <w15:chartTrackingRefBased/>
  <w15:docId w15:val="{F2465215-5713-49B5-962B-5742FB89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eastAsia="en-US"/>
    </w:rPr>
  </w:style>
  <w:style w:type="paragraph" w:styleId="Antrat1">
    <w:name w:val="heading 1"/>
    <w:basedOn w:val="prastasis"/>
    <w:next w:val="prastasis"/>
    <w:link w:val="Antrat1Diagrama"/>
    <w:qFormat/>
    <w:rsid w:val="00DC1CDC"/>
    <w:pPr>
      <w:keepNext/>
      <w:spacing w:before="240" w:after="60" w:line="240" w:lineRule="auto"/>
      <w:outlineLvl w:val="0"/>
    </w:pPr>
    <w:rPr>
      <w:rFonts w:ascii="Arial" w:eastAsia="Times New Roman" w:hAnsi="Arial"/>
      <w:b/>
      <w:kern w:val="28"/>
      <w:sz w:val="28"/>
      <w:szCs w:val="20"/>
    </w:rPr>
  </w:style>
  <w:style w:type="paragraph" w:styleId="Antrat2">
    <w:name w:val="heading 2"/>
    <w:basedOn w:val="prastasis"/>
    <w:next w:val="prastasis"/>
    <w:link w:val="Antrat2Diagrama"/>
    <w:qFormat/>
    <w:rsid w:val="00DC1CDC"/>
    <w:pPr>
      <w:keepNext/>
      <w:spacing w:before="240" w:after="60" w:line="240" w:lineRule="auto"/>
      <w:outlineLvl w:val="1"/>
    </w:pPr>
    <w:rPr>
      <w:rFonts w:ascii="Arial" w:eastAsia="Times New Roman" w:hAnsi="Arial"/>
      <w:b/>
      <w:i/>
      <w:szCs w:val="20"/>
    </w:rPr>
  </w:style>
  <w:style w:type="paragraph" w:styleId="Antrat3">
    <w:name w:val="heading 3"/>
    <w:basedOn w:val="prastasis"/>
    <w:next w:val="prastasis"/>
    <w:link w:val="Antrat3Diagrama"/>
    <w:qFormat/>
    <w:rsid w:val="00DC1CDC"/>
    <w:pPr>
      <w:keepNext/>
      <w:tabs>
        <w:tab w:val="left" w:pos="4218"/>
      </w:tabs>
      <w:spacing w:after="0" w:line="240" w:lineRule="auto"/>
      <w:jc w:val="center"/>
      <w:outlineLvl w:val="2"/>
    </w:pPr>
    <w:rPr>
      <w:rFonts w:ascii="Times New Roman" w:eastAsia="Times New Roman" w:hAnsi="Times New Roman"/>
      <w:b/>
      <w:bCs/>
      <w:sz w:val="28"/>
      <w:szCs w:val="20"/>
    </w:rPr>
  </w:style>
  <w:style w:type="paragraph" w:styleId="Antrat4">
    <w:name w:val="heading 4"/>
    <w:basedOn w:val="prastasis"/>
    <w:next w:val="prastasis"/>
    <w:link w:val="Antrat4Diagrama"/>
    <w:qFormat/>
    <w:rsid w:val="00DC1CDC"/>
    <w:pPr>
      <w:keepNext/>
      <w:pBdr>
        <w:top w:val="single" w:sz="4" w:space="1" w:color="auto"/>
        <w:left w:val="single" w:sz="4" w:space="8" w:color="auto"/>
        <w:bottom w:val="single" w:sz="4" w:space="1" w:color="auto"/>
        <w:right w:val="single" w:sz="4" w:space="4" w:color="auto"/>
      </w:pBdr>
      <w:spacing w:after="0" w:line="240" w:lineRule="auto"/>
      <w:ind w:left="360"/>
      <w:outlineLvl w:val="3"/>
    </w:pPr>
    <w:rPr>
      <w:rFonts w:ascii="Times New Roman" w:eastAsia="Times New Roman" w:hAnsi="Times New Roman"/>
      <w:b/>
      <w:caps/>
      <w:szCs w:val="20"/>
    </w:rPr>
  </w:style>
  <w:style w:type="paragraph" w:styleId="Antrat5">
    <w:name w:val="heading 5"/>
    <w:basedOn w:val="prastasis"/>
    <w:next w:val="prastasis"/>
    <w:link w:val="Antrat5Diagrama"/>
    <w:qFormat/>
    <w:rsid w:val="00DC1CDC"/>
    <w:pPr>
      <w:keepNext/>
      <w:spacing w:after="0" w:line="240" w:lineRule="auto"/>
      <w:ind w:firstLine="360"/>
      <w:outlineLvl w:val="4"/>
    </w:pPr>
    <w:rPr>
      <w:rFonts w:ascii="Times New Roman" w:eastAsia="Times New Roman" w:hAnsi="Times New Roman"/>
      <w:b/>
      <w:szCs w:val="20"/>
    </w:rPr>
  </w:style>
  <w:style w:type="paragraph" w:styleId="Antrat6">
    <w:name w:val="heading 6"/>
    <w:basedOn w:val="prastasis"/>
    <w:next w:val="prastasis"/>
    <w:link w:val="Antrat6Diagrama"/>
    <w:qFormat/>
    <w:rsid w:val="00DC1CDC"/>
    <w:pPr>
      <w:keepNext/>
      <w:spacing w:after="0" w:line="240" w:lineRule="auto"/>
      <w:ind w:left="567" w:hanging="567"/>
      <w:jc w:val="center"/>
      <w:outlineLvl w:val="5"/>
    </w:pPr>
    <w:rPr>
      <w:rFonts w:ascii="Times New Roman" w:eastAsia="Times New Roman" w:hAnsi="Times New Roman"/>
      <w:b/>
      <w:szCs w:val="20"/>
    </w:rPr>
  </w:style>
  <w:style w:type="paragraph" w:styleId="Antrat7">
    <w:name w:val="heading 7"/>
    <w:basedOn w:val="prastasis"/>
    <w:next w:val="prastasis"/>
    <w:link w:val="Antrat7Diagrama"/>
    <w:qFormat/>
    <w:rsid w:val="00DC1CDC"/>
    <w:pPr>
      <w:keepNext/>
      <w:tabs>
        <w:tab w:val="left" w:pos="4218"/>
      </w:tabs>
      <w:spacing w:after="0" w:line="240" w:lineRule="auto"/>
      <w:jc w:val="center"/>
      <w:outlineLvl w:val="6"/>
    </w:pPr>
    <w:rPr>
      <w:rFonts w:ascii="Times New Roman" w:eastAsia="Times New Roman" w:hAnsi="Times New Roman"/>
      <w:b/>
      <w:szCs w:val="20"/>
    </w:rPr>
  </w:style>
  <w:style w:type="paragraph" w:styleId="Antrat8">
    <w:name w:val="heading 8"/>
    <w:basedOn w:val="prastasis"/>
    <w:next w:val="prastasis"/>
    <w:link w:val="Antrat8Diagrama"/>
    <w:qFormat/>
    <w:rsid w:val="00DC1CDC"/>
    <w:pPr>
      <w:keepNext/>
      <w:spacing w:after="0" w:line="240" w:lineRule="auto"/>
      <w:outlineLvl w:val="7"/>
    </w:pPr>
    <w:rPr>
      <w:rFonts w:ascii="Times New Roman" w:eastAsia="Times New Roman" w:hAnsi="Times New Roman"/>
      <w:b/>
      <w:szCs w:val="20"/>
    </w:rPr>
  </w:style>
  <w:style w:type="paragraph" w:styleId="Antrat9">
    <w:name w:val="heading 9"/>
    <w:basedOn w:val="prastasis"/>
    <w:next w:val="prastasis"/>
    <w:link w:val="Antrat9Diagrama"/>
    <w:qFormat/>
    <w:rsid w:val="00DC1CDC"/>
    <w:pPr>
      <w:keepNext/>
      <w:spacing w:after="0" w:line="240" w:lineRule="auto"/>
      <w:outlineLvl w:val="8"/>
    </w:pPr>
    <w:rPr>
      <w:rFonts w:ascii="Times New Roman" w:eastAsia="Times New Roman" w:hAnsi="Times New Roman"/>
      <w:szCs w:val="20"/>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C1CDC"/>
    <w:rPr>
      <w:rFonts w:ascii="Arial" w:eastAsia="Times New Roman" w:hAnsi="Arial" w:cs="Times New Roman"/>
      <w:b/>
      <w:kern w:val="28"/>
      <w:sz w:val="28"/>
      <w:szCs w:val="20"/>
    </w:rPr>
  </w:style>
  <w:style w:type="character" w:customStyle="1" w:styleId="Antrat2Diagrama">
    <w:name w:val="Antraštė 2 Diagrama"/>
    <w:link w:val="Antrat2"/>
    <w:rsid w:val="00DC1CDC"/>
    <w:rPr>
      <w:rFonts w:ascii="Arial" w:eastAsia="Times New Roman" w:hAnsi="Arial" w:cs="Times New Roman"/>
      <w:b/>
      <w:i/>
      <w:szCs w:val="20"/>
    </w:rPr>
  </w:style>
  <w:style w:type="character" w:customStyle="1" w:styleId="Antrat3Diagrama">
    <w:name w:val="Antraštė 3 Diagrama"/>
    <w:link w:val="Antrat3"/>
    <w:rsid w:val="00DC1CDC"/>
    <w:rPr>
      <w:rFonts w:ascii="Times New Roman" w:eastAsia="Times New Roman" w:hAnsi="Times New Roman" w:cs="Times New Roman"/>
      <w:b/>
      <w:bCs/>
      <w:sz w:val="28"/>
      <w:szCs w:val="20"/>
    </w:rPr>
  </w:style>
  <w:style w:type="character" w:customStyle="1" w:styleId="Antrat4Diagrama">
    <w:name w:val="Antraštė 4 Diagrama"/>
    <w:link w:val="Antrat4"/>
    <w:rsid w:val="00DC1CDC"/>
    <w:rPr>
      <w:rFonts w:ascii="Times New Roman" w:eastAsia="Times New Roman" w:hAnsi="Times New Roman" w:cs="Times New Roman"/>
      <w:b/>
      <w:caps/>
      <w:szCs w:val="20"/>
    </w:rPr>
  </w:style>
  <w:style w:type="character" w:customStyle="1" w:styleId="Antrat5Diagrama">
    <w:name w:val="Antraštė 5 Diagrama"/>
    <w:link w:val="Antrat5"/>
    <w:rsid w:val="00DC1CDC"/>
    <w:rPr>
      <w:rFonts w:ascii="Times New Roman" w:eastAsia="Times New Roman" w:hAnsi="Times New Roman" w:cs="Times New Roman"/>
      <w:b/>
      <w:szCs w:val="20"/>
    </w:rPr>
  </w:style>
  <w:style w:type="character" w:customStyle="1" w:styleId="Antrat6Diagrama">
    <w:name w:val="Antraštė 6 Diagrama"/>
    <w:link w:val="Antrat6"/>
    <w:rsid w:val="00DC1CDC"/>
    <w:rPr>
      <w:rFonts w:ascii="Times New Roman" w:eastAsia="Times New Roman" w:hAnsi="Times New Roman" w:cs="Times New Roman"/>
      <w:b/>
      <w:szCs w:val="20"/>
    </w:rPr>
  </w:style>
  <w:style w:type="character" w:customStyle="1" w:styleId="Antrat7Diagrama">
    <w:name w:val="Antraštė 7 Diagrama"/>
    <w:link w:val="Antrat7"/>
    <w:rsid w:val="00DC1CDC"/>
    <w:rPr>
      <w:rFonts w:ascii="Times New Roman" w:eastAsia="Times New Roman" w:hAnsi="Times New Roman" w:cs="Times New Roman"/>
      <w:b/>
      <w:szCs w:val="20"/>
    </w:rPr>
  </w:style>
  <w:style w:type="character" w:customStyle="1" w:styleId="Antrat8Diagrama">
    <w:name w:val="Antraštė 8 Diagrama"/>
    <w:link w:val="Antrat8"/>
    <w:rsid w:val="00DC1CDC"/>
    <w:rPr>
      <w:rFonts w:ascii="Times New Roman" w:eastAsia="Times New Roman" w:hAnsi="Times New Roman" w:cs="Times New Roman"/>
      <w:b/>
      <w:szCs w:val="20"/>
    </w:rPr>
  </w:style>
  <w:style w:type="character" w:customStyle="1" w:styleId="Antrat9Diagrama">
    <w:name w:val="Antraštė 9 Diagrama"/>
    <w:link w:val="Antrat9"/>
    <w:rsid w:val="00DC1CDC"/>
    <w:rPr>
      <w:rFonts w:ascii="Times New Roman" w:eastAsia="Times New Roman" w:hAnsi="Times New Roman" w:cs="Times New Roman"/>
      <w:szCs w:val="20"/>
      <w:u w:val="single"/>
    </w:rPr>
  </w:style>
  <w:style w:type="numbering" w:customStyle="1" w:styleId="NoList1">
    <w:name w:val="No List1"/>
    <w:next w:val="Sraonra"/>
    <w:uiPriority w:val="99"/>
    <w:semiHidden/>
    <w:unhideWhenUsed/>
    <w:rsid w:val="00DC1CDC"/>
  </w:style>
  <w:style w:type="paragraph" w:customStyle="1" w:styleId="Style1">
    <w:name w:val="Style1"/>
    <w:basedOn w:val="Pagrindinistekstas"/>
    <w:autoRedefine/>
    <w:rsid w:val="00DC1CDC"/>
    <w:pPr>
      <w:spacing w:after="0" w:line="360" w:lineRule="auto"/>
      <w:jc w:val="both"/>
    </w:pPr>
  </w:style>
  <w:style w:type="paragraph" w:styleId="Pagrindinistekstas">
    <w:name w:val="Body Text"/>
    <w:basedOn w:val="prastasis"/>
    <w:link w:val="PagrindinistekstasDiagrama"/>
    <w:rsid w:val="00DC1CDC"/>
    <w:pPr>
      <w:spacing w:after="120" w:line="240" w:lineRule="auto"/>
    </w:pPr>
    <w:rPr>
      <w:rFonts w:ascii="Times New Roman" w:eastAsia="Times New Roman" w:hAnsi="Times New Roman"/>
      <w:szCs w:val="20"/>
    </w:rPr>
  </w:style>
  <w:style w:type="character" w:customStyle="1" w:styleId="PagrindinistekstasDiagrama">
    <w:name w:val="Pagrindinis tekstas Diagrama"/>
    <w:link w:val="Pagrindinistekstas"/>
    <w:rsid w:val="00DC1CDC"/>
    <w:rPr>
      <w:rFonts w:ascii="Times New Roman" w:eastAsia="Times New Roman" w:hAnsi="Times New Roman" w:cs="Times New Roman"/>
      <w:szCs w:val="20"/>
    </w:rPr>
  </w:style>
  <w:style w:type="paragraph" w:styleId="Porat">
    <w:name w:val="footer"/>
    <w:basedOn w:val="prastasis"/>
    <w:link w:val="PoratDiagrama"/>
    <w:rsid w:val="00DC1CDC"/>
    <w:pPr>
      <w:tabs>
        <w:tab w:val="center" w:pos="4153"/>
        <w:tab w:val="right" w:pos="8306"/>
      </w:tabs>
      <w:spacing w:after="0" w:line="240" w:lineRule="auto"/>
    </w:pPr>
    <w:rPr>
      <w:rFonts w:ascii="Times New Roman" w:eastAsia="Times New Roman" w:hAnsi="Times New Roman"/>
      <w:szCs w:val="20"/>
    </w:rPr>
  </w:style>
  <w:style w:type="character" w:customStyle="1" w:styleId="PoratDiagrama">
    <w:name w:val="Poraštė Diagrama"/>
    <w:link w:val="Porat"/>
    <w:rsid w:val="00DC1CDC"/>
    <w:rPr>
      <w:rFonts w:ascii="Times New Roman" w:eastAsia="Times New Roman" w:hAnsi="Times New Roman" w:cs="Times New Roman"/>
      <w:szCs w:val="20"/>
    </w:rPr>
  </w:style>
  <w:style w:type="character" w:styleId="Puslapionumeris">
    <w:name w:val="page number"/>
    <w:basedOn w:val="Numatytasispastraiposriftas"/>
    <w:rsid w:val="00DC1CDC"/>
  </w:style>
  <w:style w:type="paragraph" w:styleId="Paantrat">
    <w:name w:val="Subtitle"/>
    <w:basedOn w:val="prastasis"/>
    <w:link w:val="PaantratDiagrama"/>
    <w:qFormat/>
    <w:rsid w:val="00DC1CDC"/>
    <w:pPr>
      <w:autoSpaceDE w:val="0"/>
      <w:autoSpaceDN w:val="0"/>
      <w:adjustRightInd w:val="0"/>
      <w:spacing w:after="0" w:line="240" w:lineRule="auto"/>
      <w:jc w:val="center"/>
    </w:pPr>
    <w:rPr>
      <w:rFonts w:ascii="TimesNewRoman,Bold" w:eastAsia="Times New Roman" w:hAnsi="TimesNewRoman,Bold"/>
      <w:b/>
      <w:color w:val="000000"/>
      <w:szCs w:val="20"/>
      <w:lang w:val="en-US"/>
    </w:rPr>
  </w:style>
  <w:style w:type="character" w:customStyle="1" w:styleId="PaantratDiagrama">
    <w:name w:val="Paantraštė Diagrama"/>
    <w:link w:val="Paantrat"/>
    <w:rsid w:val="00DC1CDC"/>
    <w:rPr>
      <w:rFonts w:ascii="TimesNewRoman,Bold" w:eastAsia="Times New Roman" w:hAnsi="TimesNewRoman,Bold" w:cs="Times New Roman"/>
      <w:b/>
      <w:color w:val="000000"/>
      <w:szCs w:val="20"/>
      <w:lang w:val="en-US"/>
    </w:rPr>
  </w:style>
  <w:style w:type="paragraph" w:styleId="Dokumentoinaostekstas">
    <w:name w:val="endnote text"/>
    <w:basedOn w:val="prastasis"/>
    <w:link w:val="DokumentoinaostekstasDiagrama"/>
    <w:semiHidden/>
    <w:rsid w:val="00DC1CDC"/>
    <w:pPr>
      <w:tabs>
        <w:tab w:val="left" w:pos="567"/>
      </w:tabs>
      <w:spacing w:after="0" w:line="240" w:lineRule="auto"/>
    </w:pPr>
    <w:rPr>
      <w:rFonts w:ascii="Times New Roman" w:eastAsia="Times New Roman" w:hAnsi="Times New Roman"/>
      <w:szCs w:val="20"/>
      <w:lang w:val="en-GB"/>
    </w:rPr>
  </w:style>
  <w:style w:type="character" w:customStyle="1" w:styleId="DokumentoinaostekstasDiagrama">
    <w:name w:val="Dokumento išnašos tekstas Diagrama"/>
    <w:link w:val="Dokumentoinaostekstas"/>
    <w:semiHidden/>
    <w:rsid w:val="00DC1CDC"/>
    <w:rPr>
      <w:rFonts w:ascii="Times New Roman" w:eastAsia="Times New Roman" w:hAnsi="Times New Roman" w:cs="Times New Roman"/>
      <w:szCs w:val="20"/>
      <w:lang w:val="en-GB"/>
    </w:rPr>
  </w:style>
  <w:style w:type="paragraph" w:styleId="Pagrindinistekstas2">
    <w:name w:val="Body Text 2"/>
    <w:basedOn w:val="prastasis"/>
    <w:link w:val="Pagrindinistekstas2Diagrama"/>
    <w:rsid w:val="00DC1CDC"/>
    <w:pPr>
      <w:spacing w:after="0" w:line="360" w:lineRule="auto"/>
      <w:jc w:val="both"/>
    </w:pPr>
    <w:rPr>
      <w:rFonts w:ascii="Times New Roman" w:eastAsia="Times New Roman" w:hAnsi="Times New Roman"/>
      <w:szCs w:val="20"/>
    </w:rPr>
  </w:style>
  <w:style w:type="character" w:customStyle="1" w:styleId="Pagrindinistekstas2Diagrama">
    <w:name w:val="Pagrindinis tekstas 2 Diagrama"/>
    <w:link w:val="Pagrindinistekstas2"/>
    <w:rsid w:val="00DC1CDC"/>
    <w:rPr>
      <w:rFonts w:ascii="Times New Roman" w:eastAsia="Times New Roman" w:hAnsi="Times New Roman" w:cs="Times New Roman"/>
      <w:szCs w:val="20"/>
    </w:rPr>
  </w:style>
  <w:style w:type="character" w:styleId="Komentaronuoroda">
    <w:name w:val="annotation reference"/>
    <w:uiPriority w:val="99"/>
    <w:rsid w:val="00DC1CDC"/>
    <w:rPr>
      <w:sz w:val="16"/>
    </w:rPr>
  </w:style>
  <w:style w:type="paragraph" w:styleId="Komentarotekstas">
    <w:name w:val="annotation text"/>
    <w:basedOn w:val="prastasis"/>
    <w:link w:val="KomentarotekstasDiagrama"/>
    <w:uiPriority w:val="99"/>
    <w:rsid w:val="00DC1CDC"/>
    <w:pPr>
      <w:spacing w:after="0" w:line="240" w:lineRule="auto"/>
    </w:pPr>
    <w:rPr>
      <w:rFonts w:ascii="Times New Roman" w:eastAsia="Times New Roman" w:hAnsi="Times New Roman"/>
      <w:sz w:val="20"/>
      <w:szCs w:val="20"/>
      <w:lang w:val="en-GB"/>
    </w:rPr>
  </w:style>
  <w:style w:type="character" w:customStyle="1" w:styleId="KomentarotekstasDiagrama">
    <w:name w:val="Komentaro tekstas Diagrama"/>
    <w:link w:val="Komentarotekstas"/>
    <w:uiPriority w:val="99"/>
    <w:rsid w:val="00DC1CDC"/>
    <w:rPr>
      <w:rFonts w:ascii="Times New Roman" w:eastAsia="Times New Roman" w:hAnsi="Times New Roman" w:cs="Times New Roman"/>
      <w:sz w:val="20"/>
      <w:szCs w:val="20"/>
      <w:lang w:val="en-GB"/>
    </w:rPr>
  </w:style>
  <w:style w:type="paragraph" w:styleId="Pagrindinistekstas3">
    <w:name w:val="Body Text 3"/>
    <w:basedOn w:val="prastasis"/>
    <w:link w:val="Pagrindinistekstas3Diagrama"/>
    <w:rsid w:val="00DC1CDC"/>
    <w:pPr>
      <w:widowControl w:val="0"/>
      <w:spacing w:after="0" w:line="240" w:lineRule="auto"/>
    </w:pPr>
    <w:rPr>
      <w:rFonts w:ascii="RimHelvetica" w:eastAsia="Times New Roman" w:hAnsi="RimHelvetica"/>
      <w:sz w:val="20"/>
      <w:szCs w:val="20"/>
      <w:lang w:val="sv-SE"/>
    </w:rPr>
  </w:style>
  <w:style w:type="character" w:customStyle="1" w:styleId="Pagrindinistekstas3Diagrama">
    <w:name w:val="Pagrindinis tekstas 3 Diagrama"/>
    <w:link w:val="Pagrindinistekstas3"/>
    <w:rsid w:val="00DC1CDC"/>
    <w:rPr>
      <w:rFonts w:ascii="RimHelvetica" w:eastAsia="Times New Roman" w:hAnsi="RimHelvetica" w:cs="Times New Roman"/>
      <w:sz w:val="20"/>
      <w:szCs w:val="20"/>
      <w:lang w:val="sv-SE"/>
    </w:rPr>
  </w:style>
  <w:style w:type="paragraph" w:styleId="Antrats">
    <w:name w:val="header"/>
    <w:basedOn w:val="prastasis"/>
    <w:link w:val="AntratsDiagrama"/>
    <w:rsid w:val="00DC1CDC"/>
    <w:pPr>
      <w:widowControl w:val="0"/>
      <w:tabs>
        <w:tab w:val="center" w:pos="4320"/>
        <w:tab w:val="right" w:pos="8640"/>
      </w:tabs>
      <w:spacing w:after="0" w:line="240" w:lineRule="auto"/>
    </w:pPr>
    <w:rPr>
      <w:rFonts w:ascii="Times New Roman" w:eastAsia="Times New Roman" w:hAnsi="Times New Roman"/>
      <w:szCs w:val="20"/>
      <w:lang w:val="sv-SE"/>
    </w:rPr>
  </w:style>
  <w:style w:type="character" w:customStyle="1" w:styleId="AntratsDiagrama">
    <w:name w:val="Antraštės Diagrama"/>
    <w:link w:val="Antrats"/>
    <w:rsid w:val="00DC1CDC"/>
    <w:rPr>
      <w:rFonts w:ascii="Times New Roman" w:eastAsia="Times New Roman" w:hAnsi="Times New Roman" w:cs="Times New Roman"/>
      <w:szCs w:val="20"/>
      <w:lang w:val="sv-SE"/>
    </w:rPr>
  </w:style>
  <w:style w:type="paragraph" w:styleId="Vokoatgalinisadresas">
    <w:name w:val="envelope return"/>
    <w:basedOn w:val="prastasis"/>
    <w:rsid w:val="00DC1CDC"/>
    <w:pPr>
      <w:widowControl w:val="0"/>
      <w:spacing w:after="0" w:line="240" w:lineRule="auto"/>
    </w:pPr>
    <w:rPr>
      <w:rFonts w:ascii="Times New Roman" w:eastAsia="Times New Roman" w:hAnsi="Times New Roman"/>
      <w:sz w:val="20"/>
      <w:szCs w:val="20"/>
      <w:lang w:val="sv-SE"/>
    </w:rPr>
  </w:style>
  <w:style w:type="paragraph" w:customStyle="1" w:styleId="Standard">
    <w:name w:val="Standard"/>
    <w:basedOn w:val="prastasis"/>
    <w:rsid w:val="00DC1CDC"/>
    <w:pPr>
      <w:spacing w:after="0" w:line="240" w:lineRule="auto"/>
    </w:pPr>
    <w:rPr>
      <w:rFonts w:ascii="Times New Roman" w:eastAsia="Times New Roman" w:hAnsi="Times New Roman"/>
      <w:szCs w:val="24"/>
      <w:lang w:val="fr-FR"/>
    </w:rPr>
  </w:style>
  <w:style w:type="paragraph" w:styleId="prastojitrauka">
    <w:name w:val="Normal Indent"/>
    <w:basedOn w:val="prastasis"/>
    <w:rsid w:val="00DC1CDC"/>
    <w:pPr>
      <w:spacing w:after="0" w:line="240" w:lineRule="auto"/>
      <w:ind w:left="567"/>
    </w:pPr>
    <w:rPr>
      <w:rFonts w:ascii="Times New Roman" w:eastAsia="Times New Roman" w:hAnsi="Times New Roman"/>
      <w:sz w:val="20"/>
      <w:szCs w:val="20"/>
      <w:lang w:val="fr-FR"/>
    </w:rPr>
  </w:style>
  <w:style w:type="paragraph" w:customStyle="1" w:styleId="Authors">
    <w:name w:val="Authors"/>
    <w:basedOn w:val="prastasis"/>
    <w:rsid w:val="00DC1CDC"/>
    <w:pPr>
      <w:keepNext/>
      <w:tabs>
        <w:tab w:val="left" w:pos="2268"/>
      </w:tabs>
      <w:spacing w:before="240" w:after="0" w:line="240" w:lineRule="auto"/>
    </w:pPr>
    <w:rPr>
      <w:rFonts w:ascii="Arial" w:eastAsia="Times New Roman" w:hAnsi="Arial"/>
      <w:szCs w:val="20"/>
      <w:lang w:val="en-US"/>
    </w:rPr>
  </w:style>
  <w:style w:type="paragraph" w:customStyle="1" w:styleId="TextTi11">
    <w:name w:val="Text:Ti11"/>
    <w:basedOn w:val="prastasis"/>
    <w:rsid w:val="00DC1CDC"/>
    <w:pPr>
      <w:spacing w:after="170" w:line="260" w:lineRule="atLeast"/>
      <w:jc w:val="both"/>
    </w:pPr>
    <w:rPr>
      <w:rFonts w:ascii="Times New Roman" w:eastAsia="Times New Roman" w:hAnsi="Times New Roman"/>
      <w:szCs w:val="20"/>
      <w:lang w:val="en-US"/>
    </w:rPr>
  </w:style>
  <w:style w:type="paragraph" w:styleId="Pagrindiniotekstotrauka3">
    <w:name w:val="Body Text Indent 3"/>
    <w:basedOn w:val="prastasis"/>
    <w:link w:val="Pagrindiniotekstotrauka3Diagrama"/>
    <w:rsid w:val="00DC1CDC"/>
    <w:pPr>
      <w:overflowPunct w:val="0"/>
      <w:autoSpaceDE w:val="0"/>
      <w:autoSpaceDN w:val="0"/>
      <w:adjustRightInd w:val="0"/>
      <w:spacing w:before="240" w:after="0" w:line="240" w:lineRule="auto"/>
      <w:ind w:left="720"/>
      <w:jc w:val="both"/>
      <w:textAlignment w:val="baseline"/>
    </w:pPr>
    <w:rPr>
      <w:rFonts w:ascii="Times New Roman" w:eastAsia="Times New Roman" w:hAnsi="Times New Roman"/>
      <w:snapToGrid w:val="0"/>
      <w:sz w:val="24"/>
      <w:szCs w:val="20"/>
      <w:lang w:val="en-US"/>
    </w:rPr>
  </w:style>
  <w:style w:type="character" w:customStyle="1" w:styleId="Pagrindiniotekstotrauka3Diagrama">
    <w:name w:val="Pagrindinio teksto įtrauka 3 Diagrama"/>
    <w:link w:val="Pagrindiniotekstotrauka3"/>
    <w:rsid w:val="00DC1CDC"/>
    <w:rPr>
      <w:rFonts w:ascii="Times New Roman" w:eastAsia="Times New Roman" w:hAnsi="Times New Roman" w:cs="Times New Roman"/>
      <w:snapToGrid w:val="0"/>
      <w:sz w:val="24"/>
      <w:szCs w:val="20"/>
      <w:lang w:val="en-US"/>
    </w:rPr>
  </w:style>
  <w:style w:type="paragraph" w:customStyle="1" w:styleId="MDSnormalsectionstyle">
    <w:name w:val="MDS normal section style"/>
    <w:basedOn w:val="prastasis"/>
    <w:rsid w:val="00DC1CDC"/>
    <w:pPr>
      <w:tabs>
        <w:tab w:val="left" w:pos="851"/>
        <w:tab w:val="left" w:pos="8222"/>
      </w:tabs>
      <w:spacing w:after="0" w:line="240" w:lineRule="auto"/>
      <w:ind w:left="567"/>
    </w:pPr>
    <w:rPr>
      <w:rFonts w:ascii="Times New Roman" w:eastAsia="Times New Roman" w:hAnsi="Times New Roman"/>
      <w:szCs w:val="20"/>
      <w:lang w:val="en-GB"/>
    </w:rPr>
  </w:style>
  <w:style w:type="character" w:customStyle="1" w:styleId="BoldCharacter">
    <w:name w:val="Bold Character"/>
    <w:rsid w:val="00DC1CDC"/>
    <w:rPr>
      <w:b/>
    </w:rPr>
  </w:style>
  <w:style w:type="paragraph" w:customStyle="1" w:styleId="TblTextLeft">
    <w:name w:val="Tbl Text Left"/>
    <w:rsid w:val="00DC1CDC"/>
    <w:pPr>
      <w:spacing w:before="60" w:after="60"/>
    </w:pPr>
    <w:rPr>
      <w:rFonts w:ascii="Arial Narrow" w:eastAsia="Times New Roman" w:hAnsi="Arial Narrow"/>
      <w:lang w:val="en-US" w:eastAsia="en-US"/>
    </w:rPr>
  </w:style>
  <w:style w:type="paragraph" w:styleId="Pagrindiniotekstotrauka2">
    <w:name w:val="Body Text Indent 2"/>
    <w:basedOn w:val="prastasis"/>
    <w:link w:val="Pagrindiniotekstotrauka2Diagrama"/>
    <w:rsid w:val="00DC1CDC"/>
    <w:pPr>
      <w:overflowPunct w:val="0"/>
      <w:autoSpaceDE w:val="0"/>
      <w:autoSpaceDN w:val="0"/>
      <w:adjustRightInd w:val="0"/>
      <w:spacing w:before="240" w:after="0" w:line="240" w:lineRule="auto"/>
      <w:ind w:left="720"/>
      <w:jc w:val="both"/>
      <w:textAlignment w:val="baseline"/>
    </w:pPr>
    <w:rPr>
      <w:rFonts w:ascii="Times New Roman" w:eastAsia="Times New Roman" w:hAnsi="Times New Roman"/>
      <w:i/>
      <w:sz w:val="24"/>
      <w:szCs w:val="20"/>
      <w:lang w:val="en-US"/>
    </w:rPr>
  </w:style>
  <w:style w:type="character" w:customStyle="1" w:styleId="Pagrindiniotekstotrauka2Diagrama">
    <w:name w:val="Pagrindinio teksto įtrauka 2 Diagrama"/>
    <w:link w:val="Pagrindiniotekstotrauka2"/>
    <w:rsid w:val="00DC1CDC"/>
    <w:rPr>
      <w:rFonts w:ascii="Times New Roman" w:eastAsia="Times New Roman" w:hAnsi="Times New Roman" w:cs="Times New Roman"/>
      <w:i/>
      <w:sz w:val="24"/>
      <w:szCs w:val="20"/>
      <w:lang w:val="en-US"/>
    </w:rPr>
  </w:style>
  <w:style w:type="paragraph" w:customStyle="1" w:styleId="Text">
    <w:name w:val="Text"/>
    <w:basedOn w:val="prastasis"/>
    <w:rsid w:val="00DC1CDC"/>
    <w:pPr>
      <w:spacing w:before="120" w:after="0" w:line="240" w:lineRule="auto"/>
      <w:jc w:val="both"/>
    </w:pPr>
    <w:rPr>
      <w:rFonts w:ascii="Times New Roman" w:eastAsia="Times New Roman" w:hAnsi="Times New Roman"/>
      <w:sz w:val="24"/>
      <w:szCs w:val="20"/>
      <w:lang w:val="en-GB"/>
    </w:rPr>
  </w:style>
  <w:style w:type="paragraph" w:customStyle="1" w:styleId="BalloonText1">
    <w:name w:val="Balloon Text1"/>
    <w:basedOn w:val="prastasis"/>
    <w:semiHidden/>
    <w:rsid w:val="00DC1CDC"/>
    <w:pPr>
      <w:spacing w:after="0" w:line="240" w:lineRule="auto"/>
    </w:pPr>
    <w:rPr>
      <w:rFonts w:ascii="Tahoma" w:eastAsia="Times New Roman" w:hAnsi="Tahoma" w:cs="Tahoma"/>
      <w:sz w:val="16"/>
      <w:szCs w:val="16"/>
    </w:rPr>
  </w:style>
  <w:style w:type="paragraph" w:customStyle="1" w:styleId="EMEATableLeft">
    <w:name w:val="EMEA Table Left"/>
    <w:basedOn w:val="prastasis"/>
    <w:rsid w:val="00DC1CDC"/>
    <w:pPr>
      <w:keepNext/>
      <w:keepLines/>
      <w:spacing w:after="0" w:line="240" w:lineRule="auto"/>
    </w:pPr>
    <w:rPr>
      <w:rFonts w:ascii="Times New Roman" w:eastAsia="Times New Roman" w:hAnsi="Times New Roman"/>
      <w:szCs w:val="20"/>
      <w:lang w:val="en-GB"/>
    </w:rPr>
  </w:style>
  <w:style w:type="paragraph" w:customStyle="1" w:styleId="Questiontext">
    <w:name w:val="Question text"/>
    <w:basedOn w:val="prastasis"/>
    <w:next w:val="prastasis"/>
    <w:rsid w:val="00DC1CDC"/>
    <w:pPr>
      <w:keepNext/>
      <w:tabs>
        <w:tab w:val="left" w:pos="851"/>
        <w:tab w:val="left" w:leader="dot" w:pos="7371"/>
      </w:tabs>
      <w:overflowPunct w:val="0"/>
      <w:autoSpaceDE w:val="0"/>
      <w:autoSpaceDN w:val="0"/>
      <w:adjustRightInd w:val="0"/>
      <w:spacing w:before="360" w:after="120" w:line="240" w:lineRule="auto"/>
      <w:jc w:val="both"/>
      <w:textAlignment w:val="baseline"/>
    </w:pPr>
    <w:rPr>
      <w:rFonts w:ascii="Arial" w:eastAsia="Times New Roman" w:hAnsi="Arial"/>
      <w:b/>
      <w:szCs w:val="20"/>
      <w:lang w:val="en-US"/>
    </w:rPr>
  </w:style>
  <w:style w:type="character" w:customStyle="1" w:styleId="BlueReplace">
    <w:name w:val="Blue Replace"/>
    <w:rsid w:val="00DC1CDC"/>
    <w:rPr>
      <w:color w:val="0000FF"/>
    </w:rPr>
  </w:style>
  <w:style w:type="paragraph" w:styleId="prastasiniatinklio">
    <w:name w:val="Normal (Web)"/>
    <w:basedOn w:val="prastasis"/>
    <w:rsid w:val="00DC1CDC"/>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BalloonText2">
    <w:name w:val="Balloon Text2"/>
    <w:basedOn w:val="prastasis"/>
    <w:semiHidden/>
    <w:rsid w:val="00DC1CDC"/>
    <w:pPr>
      <w:spacing w:after="0" w:line="240" w:lineRule="auto"/>
    </w:pPr>
    <w:rPr>
      <w:rFonts w:ascii="Tahoma" w:eastAsia="Times New Roman" w:hAnsi="Tahoma" w:cs="Tahoma"/>
      <w:sz w:val="16"/>
      <w:szCs w:val="16"/>
    </w:rPr>
  </w:style>
  <w:style w:type="paragraph" w:customStyle="1" w:styleId="Normal2">
    <w:name w:val="Normal2"/>
    <w:basedOn w:val="prastasis"/>
    <w:rsid w:val="00DC1CD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US"/>
    </w:rPr>
  </w:style>
  <w:style w:type="paragraph" w:styleId="Data">
    <w:name w:val="Date"/>
    <w:basedOn w:val="prastasis"/>
    <w:next w:val="prastasis"/>
    <w:link w:val="DataDiagrama"/>
    <w:rsid w:val="00DC1CDC"/>
    <w:pPr>
      <w:spacing w:after="0" w:line="240" w:lineRule="auto"/>
    </w:pPr>
    <w:rPr>
      <w:rFonts w:ascii="Times New Roman" w:eastAsia="Times New Roman" w:hAnsi="Times New Roman"/>
      <w:szCs w:val="24"/>
      <w:lang w:val="en-GB"/>
    </w:rPr>
  </w:style>
  <w:style w:type="character" w:customStyle="1" w:styleId="DataDiagrama">
    <w:name w:val="Data Diagrama"/>
    <w:link w:val="Data"/>
    <w:rsid w:val="00DC1CDC"/>
    <w:rPr>
      <w:rFonts w:ascii="Times New Roman" w:eastAsia="Times New Roman" w:hAnsi="Times New Roman" w:cs="Times New Roman"/>
      <w:szCs w:val="24"/>
      <w:lang w:val="en-GB"/>
    </w:rPr>
  </w:style>
  <w:style w:type="paragraph" w:customStyle="1" w:styleId="xCover2Answ">
    <w:name w:val="xCover 2 Answ"/>
    <w:basedOn w:val="prastasis"/>
    <w:rsid w:val="00DC1CDC"/>
    <w:pPr>
      <w:overflowPunct w:val="0"/>
      <w:autoSpaceDE w:val="0"/>
      <w:autoSpaceDN w:val="0"/>
      <w:adjustRightInd w:val="0"/>
      <w:spacing w:before="120" w:after="0" w:line="240" w:lineRule="auto"/>
      <w:textAlignment w:val="baseline"/>
    </w:pPr>
    <w:rPr>
      <w:rFonts w:ascii="Arial" w:eastAsia="Times New Roman" w:hAnsi="Arial"/>
      <w:sz w:val="20"/>
      <w:szCs w:val="20"/>
      <w:lang w:val="en-US"/>
    </w:rPr>
  </w:style>
  <w:style w:type="paragraph" w:customStyle="1" w:styleId="Event">
    <w:name w:val="Event"/>
    <w:basedOn w:val="prastasis"/>
    <w:rsid w:val="00DC1CDC"/>
    <w:pPr>
      <w:widowControl w:val="0"/>
      <w:autoSpaceDE w:val="0"/>
      <w:autoSpaceDN w:val="0"/>
      <w:adjustRightInd w:val="0"/>
      <w:spacing w:before="120" w:after="0" w:line="240" w:lineRule="auto"/>
    </w:pPr>
    <w:rPr>
      <w:rFonts w:ascii="Times" w:eastAsia="Times New Roman" w:hAnsi="Times"/>
      <w:sz w:val="20"/>
      <w:szCs w:val="20"/>
      <w:lang w:val="fr-FR"/>
    </w:rPr>
  </w:style>
  <w:style w:type="paragraph" w:styleId="Literatrossraoantrat">
    <w:name w:val="toa heading"/>
    <w:basedOn w:val="prastasis"/>
    <w:next w:val="prastasis"/>
    <w:semiHidden/>
    <w:rsid w:val="00DC1CDC"/>
    <w:pPr>
      <w:spacing w:before="120" w:after="0" w:line="276" w:lineRule="auto"/>
      <w:jc w:val="both"/>
    </w:pPr>
    <w:rPr>
      <w:rFonts w:ascii="Arial" w:eastAsia="Times New Roman" w:hAnsi="Arial"/>
      <w:b/>
      <w:sz w:val="24"/>
      <w:szCs w:val="20"/>
      <w:lang w:val="en-GB" w:eastAsia="nl-NL"/>
    </w:rPr>
  </w:style>
  <w:style w:type="paragraph" w:styleId="Puslapioinaostekstas">
    <w:name w:val="footnote text"/>
    <w:basedOn w:val="prastasis"/>
    <w:link w:val="PuslapioinaostekstasDiagrama"/>
    <w:semiHidden/>
    <w:rsid w:val="00DC1CDC"/>
    <w:pPr>
      <w:overflowPunct w:val="0"/>
      <w:autoSpaceDE w:val="0"/>
      <w:autoSpaceDN w:val="0"/>
      <w:adjustRightInd w:val="0"/>
      <w:spacing w:before="240" w:after="0" w:line="240" w:lineRule="auto"/>
      <w:jc w:val="both"/>
      <w:textAlignment w:val="baseline"/>
    </w:pPr>
    <w:rPr>
      <w:rFonts w:ascii="Times New Roman" w:eastAsia="Times New Roman" w:hAnsi="Times New Roman"/>
      <w:sz w:val="20"/>
      <w:szCs w:val="20"/>
      <w:lang w:val="en-US"/>
    </w:rPr>
  </w:style>
  <w:style w:type="character" w:customStyle="1" w:styleId="PuslapioinaostekstasDiagrama">
    <w:name w:val="Puslapio išnašos tekstas Diagrama"/>
    <w:link w:val="Puslapioinaostekstas"/>
    <w:semiHidden/>
    <w:rsid w:val="00DC1CDC"/>
    <w:rPr>
      <w:rFonts w:ascii="Times New Roman" w:eastAsia="Times New Roman" w:hAnsi="Times New Roman" w:cs="Times New Roman"/>
      <w:sz w:val="20"/>
      <w:szCs w:val="20"/>
      <w:lang w:val="en-US"/>
    </w:rPr>
  </w:style>
  <w:style w:type="character" w:customStyle="1" w:styleId="en">
    <w:name w:val="en"/>
    <w:rsid w:val="00DC1CDC"/>
    <w:rPr>
      <w:rFonts w:ascii="Arial" w:hAnsi="Arial" w:cs="Arial" w:hint="default"/>
      <w:b/>
      <w:bCs/>
      <w:i/>
      <w:iCs/>
      <w:color w:val="008000"/>
      <w:sz w:val="22"/>
      <w:szCs w:val="22"/>
    </w:rPr>
  </w:style>
  <w:style w:type="paragraph" w:customStyle="1" w:styleId="Heading41">
    <w:name w:val="Heading 41"/>
    <w:basedOn w:val="prastasis"/>
    <w:next w:val="prastasis"/>
    <w:rsid w:val="00DC1CDC"/>
    <w:pPr>
      <w:keepNext/>
      <w:widowControl w:val="0"/>
      <w:overflowPunct w:val="0"/>
      <w:autoSpaceDE w:val="0"/>
      <w:autoSpaceDN w:val="0"/>
      <w:adjustRightInd w:val="0"/>
      <w:spacing w:after="0" w:line="240" w:lineRule="auto"/>
      <w:textAlignment w:val="baseline"/>
    </w:pPr>
    <w:rPr>
      <w:rFonts w:ascii="Times New Roman" w:eastAsia="Times New Roman" w:hAnsi="Times New Roman"/>
      <w:b/>
      <w:szCs w:val="20"/>
      <w:lang w:val="en-GB"/>
    </w:rPr>
  </w:style>
  <w:style w:type="character" w:styleId="Grietas">
    <w:name w:val="Strong"/>
    <w:qFormat/>
    <w:rsid w:val="00DC1CDC"/>
    <w:rPr>
      <w:b/>
      <w:bCs/>
    </w:rPr>
  </w:style>
  <w:style w:type="paragraph" w:styleId="Debesliotekstas">
    <w:name w:val="Balloon Text"/>
    <w:basedOn w:val="prastasis"/>
    <w:link w:val="DebesliotekstasDiagrama"/>
    <w:semiHidden/>
    <w:rsid w:val="00DC1CDC"/>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semiHidden/>
    <w:rsid w:val="00DC1CDC"/>
    <w:rPr>
      <w:rFonts w:ascii="Tahoma" w:eastAsia="Times New Roman" w:hAnsi="Tahoma" w:cs="Tahoma"/>
      <w:sz w:val="16"/>
      <w:szCs w:val="16"/>
    </w:rPr>
  </w:style>
  <w:style w:type="paragraph" w:styleId="Dokumentostruktra">
    <w:name w:val="Document Map"/>
    <w:basedOn w:val="prastasis"/>
    <w:link w:val="DokumentostruktraDiagrama"/>
    <w:semiHidden/>
    <w:rsid w:val="00DC1CDC"/>
    <w:pPr>
      <w:shd w:val="clear" w:color="auto" w:fill="000080"/>
      <w:spacing w:after="0" w:line="240" w:lineRule="auto"/>
    </w:pPr>
    <w:rPr>
      <w:rFonts w:ascii="Tahoma" w:eastAsia="Times New Roman" w:hAnsi="Tahoma" w:cs="Tahoma"/>
      <w:szCs w:val="20"/>
    </w:rPr>
  </w:style>
  <w:style w:type="character" w:customStyle="1" w:styleId="DokumentostruktraDiagrama">
    <w:name w:val="Dokumento struktūra Diagrama"/>
    <w:link w:val="Dokumentostruktra"/>
    <w:semiHidden/>
    <w:rsid w:val="00DC1CDC"/>
    <w:rPr>
      <w:rFonts w:ascii="Tahoma" w:eastAsia="Times New Roman" w:hAnsi="Tahoma" w:cs="Tahoma"/>
      <w:szCs w:val="20"/>
      <w:shd w:val="clear" w:color="auto" w:fill="000080"/>
    </w:rPr>
  </w:style>
  <w:style w:type="paragraph" w:styleId="Komentarotema">
    <w:name w:val="annotation subject"/>
    <w:basedOn w:val="Komentarotekstas"/>
    <w:next w:val="Komentarotekstas"/>
    <w:link w:val="KomentarotemaDiagrama"/>
    <w:semiHidden/>
    <w:rsid w:val="00DC1CDC"/>
    <w:rPr>
      <w:b/>
      <w:bCs/>
      <w:lang w:val="lt-LT"/>
    </w:rPr>
  </w:style>
  <w:style w:type="character" w:customStyle="1" w:styleId="KomentarotemaDiagrama">
    <w:name w:val="Komentaro tema Diagrama"/>
    <w:link w:val="Komentarotema"/>
    <w:semiHidden/>
    <w:rsid w:val="00DC1CDC"/>
    <w:rPr>
      <w:rFonts w:ascii="Times New Roman" w:eastAsia="Times New Roman" w:hAnsi="Times New Roman" w:cs="Times New Roman"/>
      <w:b/>
      <w:bCs/>
      <w:sz w:val="20"/>
      <w:szCs w:val="20"/>
      <w:lang w:val="en-GB"/>
    </w:rPr>
  </w:style>
  <w:style w:type="character" w:styleId="Hipersaitas">
    <w:name w:val="Hyperlink"/>
    <w:rsid w:val="00DC1CDC"/>
    <w:rPr>
      <w:color w:val="0000FF"/>
      <w:u w:val="single"/>
    </w:rPr>
  </w:style>
  <w:style w:type="paragraph" w:customStyle="1" w:styleId="Normal11pt">
    <w:name w:val="Normal + 11pt"/>
    <w:basedOn w:val="prastasis"/>
    <w:rsid w:val="00DC1CDC"/>
    <w:pPr>
      <w:spacing w:after="0" w:line="240" w:lineRule="auto"/>
    </w:pPr>
    <w:rPr>
      <w:rFonts w:ascii="Times New Roman" w:eastAsia="Times New Roman" w:hAnsi="Times New Roman"/>
      <w:lang w:val="en-GB"/>
    </w:rPr>
  </w:style>
  <w:style w:type="paragraph" w:customStyle="1" w:styleId="TitleA">
    <w:name w:val="Title A"/>
    <w:basedOn w:val="prastasis"/>
    <w:rsid w:val="00DC1CDC"/>
    <w:pPr>
      <w:spacing w:after="0" w:line="240" w:lineRule="auto"/>
      <w:jc w:val="center"/>
    </w:pPr>
    <w:rPr>
      <w:rFonts w:ascii="Times New Roman" w:eastAsia="Times New Roman" w:hAnsi="Times New Roman"/>
      <w:b/>
      <w:szCs w:val="20"/>
    </w:rPr>
  </w:style>
  <w:style w:type="paragraph" w:customStyle="1" w:styleId="TitleB">
    <w:name w:val="Title B"/>
    <w:basedOn w:val="prastasis"/>
    <w:rsid w:val="00DC1CDC"/>
    <w:pPr>
      <w:spacing w:after="0" w:line="240" w:lineRule="auto"/>
      <w:ind w:left="567" w:hanging="567"/>
    </w:pPr>
    <w:rPr>
      <w:rFonts w:ascii="Times New Roman" w:eastAsia="Times New Roman" w:hAnsi="Times New Roman"/>
      <w:b/>
      <w:szCs w:val="20"/>
    </w:rPr>
  </w:style>
  <w:style w:type="paragraph" w:styleId="Tekstoblokas">
    <w:name w:val="Block Text"/>
    <w:basedOn w:val="prastasis"/>
    <w:rsid w:val="00DC1CDC"/>
    <w:pPr>
      <w:spacing w:after="120" w:line="240" w:lineRule="auto"/>
      <w:ind w:left="1440" w:right="1440"/>
    </w:pPr>
    <w:rPr>
      <w:rFonts w:ascii="Times New Roman" w:eastAsia="Times New Roman" w:hAnsi="Times New Roman"/>
      <w:szCs w:val="20"/>
    </w:rPr>
  </w:style>
  <w:style w:type="paragraph" w:styleId="Pagrindiniotekstopirmatrauka">
    <w:name w:val="Body Text First Indent"/>
    <w:basedOn w:val="Pagrindinistekstas"/>
    <w:link w:val="PagrindiniotekstopirmatraukaDiagrama"/>
    <w:rsid w:val="00DC1CDC"/>
    <w:pPr>
      <w:ind w:firstLine="210"/>
    </w:pPr>
  </w:style>
  <w:style w:type="character" w:customStyle="1" w:styleId="PagrindiniotekstopirmatraukaDiagrama">
    <w:name w:val="Pagrindinio teksto pirma įtrauka Diagrama"/>
    <w:link w:val="Pagrindiniotekstopirmatrauka"/>
    <w:rsid w:val="00DC1CDC"/>
    <w:rPr>
      <w:rFonts w:ascii="Times New Roman" w:eastAsia="Times New Roman" w:hAnsi="Times New Roman" w:cs="Times New Roman"/>
      <w:szCs w:val="20"/>
    </w:rPr>
  </w:style>
  <w:style w:type="paragraph" w:styleId="Pagrindiniotekstotrauka">
    <w:name w:val="Body Text Indent"/>
    <w:basedOn w:val="prastasis"/>
    <w:link w:val="PagrindiniotekstotraukaDiagrama"/>
    <w:rsid w:val="00DC1CDC"/>
    <w:pPr>
      <w:spacing w:after="120" w:line="240" w:lineRule="auto"/>
      <w:ind w:left="283"/>
    </w:pPr>
    <w:rPr>
      <w:rFonts w:ascii="Times New Roman" w:eastAsia="Times New Roman" w:hAnsi="Times New Roman"/>
      <w:szCs w:val="20"/>
    </w:rPr>
  </w:style>
  <w:style w:type="character" w:customStyle="1" w:styleId="PagrindiniotekstotraukaDiagrama">
    <w:name w:val="Pagrindinio teksto įtrauka Diagrama"/>
    <w:link w:val="Pagrindiniotekstotrauka"/>
    <w:rsid w:val="00DC1CDC"/>
    <w:rPr>
      <w:rFonts w:ascii="Times New Roman" w:eastAsia="Times New Roman" w:hAnsi="Times New Roman" w:cs="Times New Roman"/>
      <w:szCs w:val="20"/>
    </w:rPr>
  </w:style>
  <w:style w:type="paragraph" w:styleId="Pagrindiniotekstopirmatrauka2">
    <w:name w:val="Body Text First Indent 2"/>
    <w:basedOn w:val="Pagrindiniotekstotrauka"/>
    <w:link w:val="Pagrindiniotekstopirmatrauka2Diagrama"/>
    <w:rsid w:val="00DC1CDC"/>
    <w:pPr>
      <w:ind w:firstLine="210"/>
    </w:pPr>
  </w:style>
  <w:style w:type="character" w:customStyle="1" w:styleId="Pagrindiniotekstopirmatrauka2Diagrama">
    <w:name w:val="Pagrindinio teksto pirma įtrauka 2 Diagrama"/>
    <w:link w:val="Pagrindiniotekstopirmatrauka2"/>
    <w:rsid w:val="00DC1CDC"/>
    <w:rPr>
      <w:rFonts w:ascii="Times New Roman" w:eastAsia="Times New Roman" w:hAnsi="Times New Roman" w:cs="Times New Roman"/>
      <w:szCs w:val="20"/>
    </w:rPr>
  </w:style>
  <w:style w:type="paragraph" w:styleId="Antrat">
    <w:name w:val="caption"/>
    <w:basedOn w:val="prastasis"/>
    <w:next w:val="prastasis"/>
    <w:qFormat/>
    <w:rsid w:val="00DC1CDC"/>
    <w:pPr>
      <w:spacing w:after="0" w:line="240" w:lineRule="auto"/>
    </w:pPr>
    <w:rPr>
      <w:rFonts w:ascii="Times New Roman" w:eastAsia="Times New Roman" w:hAnsi="Times New Roman"/>
      <w:b/>
      <w:bCs/>
      <w:sz w:val="20"/>
      <w:szCs w:val="20"/>
    </w:rPr>
  </w:style>
  <w:style w:type="paragraph" w:styleId="Ubaigimas">
    <w:name w:val="Closing"/>
    <w:basedOn w:val="prastasis"/>
    <w:link w:val="UbaigimasDiagrama"/>
    <w:rsid w:val="00DC1CDC"/>
    <w:pPr>
      <w:spacing w:after="0" w:line="240" w:lineRule="auto"/>
      <w:ind w:left="4252"/>
    </w:pPr>
    <w:rPr>
      <w:rFonts w:ascii="Times New Roman" w:eastAsia="Times New Roman" w:hAnsi="Times New Roman"/>
      <w:szCs w:val="20"/>
    </w:rPr>
  </w:style>
  <w:style w:type="character" w:customStyle="1" w:styleId="UbaigimasDiagrama">
    <w:name w:val="Užbaigimas Diagrama"/>
    <w:link w:val="Ubaigimas"/>
    <w:rsid w:val="00DC1CDC"/>
    <w:rPr>
      <w:rFonts w:ascii="Times New Roman" w:eastAsia="Times New Roman" w:hAnsi="Times New Roman" w:cs="Times New Roman"/>
      <w:szCs w:val="20"/>
    </w:rPr>
  </w:style>
  <w:style w:type="paragraph" w:styleId="Elpatoparaas">
    <w:name w:val="E-mail Signature"/>
    <w:basedOn w:val="prastasis"/>
    <w:link w:val="ElpatoparaasDiagrama"/>
    <w:rsid w:val="00DC1CDC"/>
    <w:pPr>
      <w:spacing w:after="0" w:line="240" w:lineRule="auto"/>
    </w:pPr>
    <w:rPr>
      <w:rFonts w:ascii="Times New Roman" w:eastAsia="Times New Roman" w:hAnsi="Times New Roman"/>
      <w:szCs w:val="20"/>
    </w:rPr>
  </w:style>
  <w:style w:type="character" w:customStyle="1" w:styleId="ElpatoparaasDiagrama">
    <w:name w:val="El. pašto parašas Diagrama"/>
    <w:link w:val="Elpatoparaas"/>
    <w:rsid w:val="00DC1CDC"/>
    <w:rPr>
      <w:rFonts w:ascii="Times New Roman" w:eastAsia="Times New Roman" w:hAnsi="Times New Roman" w:cs="Times New Roman"/>
      <w:szCs w:val="20"/>
    </w:rPr>
  </w:style>
  <w:style w:type="paragraph" w:styleId="Adresasantvoko">
    <w:name w:val="envelope address"/>
    <w:basedOn w:val="prastasis"/>
    <w:rsid w:val="00DC1CDC"/>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HTMLadresas">
    <w:name w:val="HTML Address"/>
    <w:basedOn w:val="prastasis"/>
    <w:link w:val="HTMLadresasDiagrama"/>
    <w:rsid w:val="00DC1CDC"/>
    <w:pPr>
      <w:spacing w:after="0" w:line="240" w:lineRule="auto"/>
    </w:pPr>
    <w:rPr>
      <w:rFonts w:ascii="Times New Roman" w:eastAsia="Times New Roman" w:hAnsi="Times New Roman"/>
      <w:i/>
      <w:iCs/>
      <w:szCs w:val="20"/>
    </w:rPr>
  </w:style>
  <w:style w:type="character" w:customStyle="1" w:styleId="HTMLadresasDiagrama">
    <w:name w:val="HTML adresas Diagrama"/>
    <w:link w:val="HTMLadresas"/>
    <w:rsid w:val="00DC1CDC"/>
    <w:rPr>
      <w:rFonts w:ascii="Times New Roman" w:eastAsia="Times New Roman" w:hAnsi="Times New Roman" w:cs="Times New Roman"/>
      <w:i/>
      <w:iCs/>
      <w:szCs w:val="20"/>
    </w:rPr>
  </w:style>
  <w:style w:type="paragraph" w:styleId="HTMLiankstoformatuotas">
    <w:name w:val="HTML Preformatted"/>
    <w:basedOn w:val="prastasis"/>
    <w:link w:val="HTMLiankstoformatuotasDiagrama"/>
    <w:rsid w:val="00DC1CDC"/>
    <w:pPr>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link w:val="HTMLiankstoformatuotas"/>
    <w:rsid w:val="00DC1CDC"/>
    <w:rPr>
      <w:rFonts w:ascii="Courier New" w:eastAsia="Times New Roman" w:hAnsi="Courier New" w:cs="Courier New"/>
      <w:sz w:val="20"/>
      <w:szCs w:val="20"/>
    </w:rPr>
  </w:style>
  <w:style w:type="paragraph" w:styleId="Indeksas1">
    <w:name w:val="index 1"/>
    <w:basedOn w:val="prastasis"/>
    <w:next w:val="prastasis"/>
    <w:autoRedefine/>
    <w:semiHidden/>
    <w:rsid w:val="00DC1CDC"/>
    <w:pPr>
      <w:spacing w:after="0" w:line="240" w:lineRule="auto"/>
      <w:ind w:left="220" w:hanging="220"/>
    </w:pPr>
    <w:rPr>
      <w:rFonts w:ascii="Times New Roman" w:eastAsia="Times New Roman" w:hAnsi="Times New Roman"/>
      <w:szCs w:val="20"/>
    </w:rPr>
  </w:style>
  <w:style w:type="paragraph" w:styleId="Indeksas2">
    <w:name w:val="index 2"/>
    <w:basedOn w:val="prastasis"/>
    <w:next w:val="prastasis"/>
    <w:autoRedefine/>
    <w:semiHidden/>
    <w:rsid w:val="00DC1CDC"/>
    <w:pPr>
      <w:spacing w:after="0" w:line="240" w:lineRule="auto"/>
      <w:ind w:left="440" w:hanging="220"/>
    </w:pPr>
    <w:rPr>
      <w:rFonts w:ascii="Times New Roman" w:eastAsia="Times New Roman" w:hAnsi="Times New Roman"/>
      <w:szCs w:val="20"/>
    </w:rPr>
  </w:style>
  <w:style w:type="paragraph" w:styleId="Indeksas3">
    <w:name w:val="index 3"/>
    <w:basedOn w:val="prastasis"/>
    <w:next w:val="prastasis"/>
    <w:autoRedefine/>
    <w:semiHidden/>
    <w:rsid w:val="00DC1CDC"/>
    <w:pPr>
      <w:spacing w:after="0" w:line="240" w:lineRule="auto"/>
      <w:ind w:left="660" w:hanging="220"/>
    </w:pPr>
    <w:rPr>
      <w:rFonts w:ascii="Times New Roman" w:eastAsia="Times New Roman" w:hAnsi="Times New Roman"/>
      <w:szCs w:val="20"/>
    </w:rPr>
  </w:style>
  <w:style w:type="paragraph" w:styleId="Indeksas4">
    <w:name w:val="index 4"/>
    <w:basedOn w:val="prastasis"/>
    <w:next w:val="prastasis"/>
    <w:autoRedefine/>
    <w:semiHidden/>
    <w:rsid w:val="00DC1CDC"/>
    <w:pPr>
      <w:spacing w:after="0" w:line="240" w:lineRule="auto"/>
      <w:ind w:left="880" w:hanging="220"/>
    </w:pPr>
    <w:rPr>
      <w:rFonts w:ascii="Times New Roman" w:eastAsia="Times New Roman" w:hAnsi="Times New Roman"/>
      <w:szCs w:val="20"/>
    </w:rPr>
  </w:style>
  <w:style w:type="paragraph" w:styleId="Indeksas5">
    <w:name w:val="index 5"/>
    <w:basedOn w:val="prastasis"/>
    <w:next w:val="prastasis"/>
    <w:autoRedefine/>
    <w:semiHidden/>
    <w:rsid w:val="00DC1CDC"/>
    <w:pPr>
      <w:spacing w:after="0" w:line="240" w:lineRule="auto"/>
      <w:ind w:left="1100" w:hanging="220"/>
    </w:pPr>
    <w:rPr>
      <w:rFonts w:ascii="Times New Roman" w:eastAsia="Times New Roman" w:hAnsi="Times New Roman"/>
      <w:szCs w:val="20"/>
    </w:rPr>
  </w:style>
  <w:style w:type="paragraph" w:styleId="Indeksas6">
    <w:name w:val="index 6"/>
    <w:basedOn w:val="prastasis"/>
    <w:next w:val="prastasis"/>
    <w:autoRedefine/>
    <w:semiHidden/>
    <w:rsid w:val="00DC1CDC"/>
    <w:pPr>
      <w:spacing w:after="0" w:line="240" w:lineRule="auto"/>
      <w:ind w:left="1320" w:hanging="220"/>
    </w:pPr>
    <w:rPr>
      <w:rFonts w:ascii="Times New Roman" w:eastAsia="Times New Roman" w:hAnsi="Times New Roman"/>
      <w:szCs w:val="20"/>
    </w:rPr>
  </w:style>
  <w:style w:type="paragraph" w:styleId="Indeksas7">
    <w:name w:val="index 7"/>
    <w:basedOn w:val="prastasis"/>
    <w:next w:val="prastasis"/>
    <w:autoRedefine/>
    <w:semiHidden/>
    <w:rsid w:val="00DC1CDC"/>
    <w:pPr>
      <w:spacing w:after="0" w:line="240" w:lineRule="auto"/>
      <w:ind w:left="1540" w:hanging="220"/>
    </w:pPr>
    <w:rPr>
      <w:rFonts w:ascii="Times New Roman" w:eastAsia="Times New Roman" w:hAnsi="Times New Roman"/>
      <w:szCs w:val="20"/>
    </w:rPr>
  </w:style>
  <w:style w:type="paragraph" w:styleId="Indeksas8">
    <w:name w:val="index 8"/>
    <w:basedOn w:val="prastasis"/>
    <w:next w:val="prastasis"/>
    <w:autoRedefine/>
    <w:semiHidden/>
    <w:rsid w:val="00DC1CDC"/>
    <w:pPr>
      <w:spacing w:after="0" w:line="240" w:lineRule="auto"/>
      <w:ind w:left="1760" w:hanging="220"/>
    </w:pPr>
    <w:rPr>
      <w:rFonts w:ascii="Times New Roman" w:eastAsia="Times New Roman" w:hAnsi="Times New Roman"/>
      <w:szCs w:val="20"/>
    </w:rPr>
  </w:style>
  <w:style w:type="paragraph" w:styleId="Indeksas9">
    <w:name w:val="index 9"/>
    <w:basedOn w:val="prastasis"/>
    <w:next w:val="prastasis"/>
    <w:autoRedefine/>
    <w:semiHidden/>
    <w:rsid w:val="00DC1CDC"/>
    <w:pPr>
      <w:spacing w:after="0" w:line="240" w:lineRule="auto"/>
      <w:ind w:left="1980" w:hanging="220"/>
    </w:pPr>
    <w:rPr>
      <w:rFonts w:ascii="Times New Roman" w:eastAsia="Times New Roman" w:hAnsi="Times New Roman"/>
      <w:szCs w:val="20"/>
    </w:rPr>
  </w:style>
  <w:style w:type="paragraph" w:styleId="Indeksoantrat">
    <w:name w:val="index heading"/>
    <w:basedOn w:val="prastasis"/>
    <w:next w:val="Indeksas1"/>
    <w:semiHidden/>
    <w:rsid w:val="00DC1CDC"/>
    <w:pPr>
      <w:spacing w:after="0" w:line="240" w:lineRule="auto"/>
    </w:pPr>
    <w:rPr>
      <w:rFonts w:ascii="Arial" w:eastAsia="Times New Roman" w:hAnsi="Arial" w:cs="Arial"/>
      <w:b/>
      <w:bCs/>
      <w:szCs w:val="20"/>
    </w:rPr>
  </w:style>
  <w:style w:type="paragraph" w:styleId="Sraas">
    <w:name w:val="List"/>
    <w:basedOn w:val="prastasis"/>
    <w:rsid w:val="00DC1CDC"/>
    <w:pPr>
      <w:spacing w:after="0" w:line="240" w:lineRule="auto"/>
      <w:ind w:left="283" w:hanging="283"/>
    </w:pPr>
    <w:rPr>
      <w:rFonts w:ascii="Times New Roman" w:eastAsia="Times New Roman" w:hAnsi="Times New Roman"/>
      <w:szCs w:val="20"/>
    </w:rPr>
  </w:style>
  <w:style w:type="paragraph" w:styleId="Sraas2">
    <w:name w:val="List 2"/>
    <w:basedOn w:val="prastasis"/>
    <w:rsid w:val="00DC1CDC"/>
    <w:pPr>
      <w:spacing w:after="0" w:line="240" w:lineRule="auto"/>
      <w:ind w:left="566" w:hanging="283"/>
    </w:pPr>
    <w:rPr>
      <w:rFonts w:ascii="Times New Roman" w:eastAsia="Times New Roman" w:hAnsi="Times New Roman"/>
      <w:szCs w:val="20"/>
    </w:rPr>
  </w:style>
  <w:style w:type="paragraph" w:styleId="Sraas3">
    <w:name w:val="List 3"/>
    <w:basedOn w:val="prastasis"/>
    <w:rsid w:val="00DC1CDC"/>
    <w:pPr>
      <w:spacing w:after="0" w:line="240" w:lineRule="auto"/>
      <w:ind w:left="849" w:hanging="283"/>
    </w:pPr>
    <w:rPr>
      <w:rFonts w:ascii="Times New Roman" w:eastAsia="Times New Roman" w:hAnsi="Times New Roman"/>
      <w:szCs w:val="20"/>
    </w:rPr>
  </w:style>
  <w:style w:type="paragraph" w:styleId="Sraas4">
    <w:name w:val="List 4"/>
    <w:basedOn w:val="prastasis"/>
    <w:rsid w:val="00DC1CDC"/>
    <w:pPr>
      <w:spacing w:after="0" w:line="240" w:lineRule="auto"/>
      <w:ind w:left="1132" w:hanging="283"/>
    </w:pPr>
    <w:rPr>
      <w:rFonts w:ascii="Times New Roman" w:eastAsia="Times New Roman" w:hAnsi="Times New Roman"/>
      <w:szCs w:val="20"/>
    </w:rPr>
  </w:style>
  <w:style w:type="paragraph" w:styleId="Sraas5">
    <w:name w:val="List 5"/>
    <w:basedOn w:val="prastasis"/>
    <w:rsid w:val="00DC1CDC"/>
    <w:pPr>
      <w:spacing w:after="0" w:line="240" w:lineRule="auto"/>
      <w:ind w:left="1415" w:hanging="283"/>
    </w:pPr>
    <w:rPr>
      <w:rFonts w:ascii="Times New Roman" w:eastAsia="Times New Roman" w:hAnsi="Times New Roman"/>
      <w:szCs w:val="20"/>
    </w:rPr>
  </w:style>
  <w:style w:type="paragraph" w:styleId="Sraassuenkleliais">
    <w:name w:val="List Bullet"/>
    <w:basedOn w:val="prastasis"/>
    <w:rsid w:val="00DC1CDC"/>
    <w:pPr>
      <w:numPr>
        <w:numId w:val="11"/>
      </w:numPr>
      <w:spacing w:after="0" w:line="240" w:lineRule="auto"/>
    </w:pPr>
    <w:rPr>
      <w:rFonts w:ascii="Times New Roman" w:eastAsia="Times New Roman" w:hAnsi="Times New Roman"/>
      <w:szCs w:val="20"/>
    </w:rPr>
  </w:style>
  <w:style w:type="paragraph" w:styleId="Sraassuenkleliais2">
    <w:name w:val="List Bullet 2"/>
    <w:basedOn w:val="prastasis"/>
    <w:rsid w:val="00DC1CDC"/>
    <w:pPr>
      <w:numPr>
        <w:numId w:val="12"/>
      </w:numPr>
      <w:spacing w:after="0" w:line="240" w:lineRule="auto"/>
    </w:pPr>
    <w:rPr>
      <w:rFonts w:ascii="Times New Roman" w:eastAsia="Times New Roman" w:hAnsi="Times New Roman"/>
      <w:szCs w:val="20"/>
    </w:rPr>
  </w:style>
  <w:style w:type="paragraph" w:styleId="Sraassuenkleliais3">
    <w:name w:val="List Bullet 3"/>
    <w:basedOn w:val="prastasis"/>
    <w:rsid w:val="00DC1CDC"/>
    <w:pPr>
      <w:numPr>
        <w:numId w:val="13"/>
      </w:numPr>
      <w:spacing w:after="0" w:line="240" w:lineRule="auto"/>
    </w:pPr>
    <w:rPr>
      <w:rFonts w:ascii="Times New Roman" w:eastAsia="Times New Roman" w:hAnsi="Times New Roman"/>
      <w:szCs w:val="20"/>
    </w:rPr>
  </w:style>
  <w:style w:type="paragraph" w:styleId="Sraassuenkleliais4">
    <w:name w:val="List Bullet 4"/>
    <w:basedOn w:val="prastasis"/>
    <w:rsid w:val="00DC1CDC"/>
    <w:pPr>
      <w:numPr>
        <w:numId w:val="14"/>
      </w:numPr>
      <w:spacing w:after="0" w:line="240" w:lineRule="auto"/>
    </w:pPr>
    <w:rPr>
      <w:rFonts w:ascii="Times New Roman" w:eastAsia="Times New Roman" w:hAnsi="Times New Roman"/>
      <w:szCs w:val="20"/>
    </w:rPr>
  </w:style>
  <w:style w:type="paragraph" w:styleId="Sraassuenkleliais5">
    <w:name w:val="List Bullet 5"/>
    <w:basedOn w:val="prastasis"/>
    <w:rsid w:val="00DC1CDC"/>
    <w:pPr>
      <w:numPr>
        <w:numId w:val="15"/>
      </w:numPr>
      <w:spacing w:after="0" w:line="240" w:lineRule="auto"/>
    </w:pPr>
    <w:rPr>
      <w:rFonts w:ascii="Times New Roman" w:eastAsia="Times New Roman" w:hAnsi="Times New Roman"/>
      <w:szCs w:val="20"/>
    </w:rPr>
  </w:style>
  <w:style w:type="paragraph" w:styleId="Sraotsinys">
    <w:name w:val="List Continue"/>
    <w:basedOn w:val="prastasis"/>
    <w:rsid w:val="00DC1CDC"/>
    <w:pPr>
      <w:spacing w:after="120" w:line="240" w:lineRule="auto"/>
      <w:ind w:left="283"/>
    </w:pPr>
    <w:rPr>
      <w:rFonts w:ascii="Times New Roman" w:eastAsia="Times New Roman" w:hAnsi="Times New Roman"/>
      <w:szCs w:val="20"/>
    </w:rPr>
  </w:style>
  <w:style w:type="paragraph" w:styleId="Sraotsinys2">
    <w:name w:val="List Continue 2"/>
    <w:basedOn w:val="prastasis"/>
    <w:rsid w:val="00DC1CDC"/>
    <w:pPr>
      <w:spacing w:after="120" w:line="240" w:lineRule="auto"/>
      <w:ind w:left="566"/>
    </w:pPr>
    <w:rPr>
      <w:rFonts w:ascii="Times New Roman" w:eastAsia="Times New Roman" w:hAnsi="Times New Roman"/>
      <w:szCs w:val="20"/>
    </w:rPr>
  </w:style>
  <w:style w:type="paragraph" w:styleId="Sraotsinys3">
    <w:name w:val="List Continue 3"/>
    <w:basedOn w:val="prastasis"/>
    <w:rsid w:val="00DC1CDC"/>
    <w:pPr>
      <w:spacing w:after="120" w:line="240" w:lineRule="auto"/>
      <w:ind w:left="849"/>
    </w:pPr>
    <w:rPr>
      <w:rFonts w:ascii="Times New Roman" w:eastAsia="Times New Roman" w:hAnsi="Times New Roman"/>
      <w:szCs w:val="20"/>
    </w:rPr>
  </w:style>
  <w:style w:type="paragraph" w:styleId="Sraotsinys4">
    <w:name w:val="List Continue 4"/>
    <w:basedOn w:val="prastasis"/>
    <w:rsid w:val="00DC1CDC"/>
    <w:pPr>
      <w:spacing w:after="120" w:line="240" w:lineRule="auto"/>
      <w:ind w:left="1132"/>
    </w:pPr>
    <w:rPr>
      <w:rFonts w:ascii="Times New Roman" w:eastAsia="Times New Roman" w:hAnsi="Times New Roman"/>
      <w:szCs w:val="20"/>
    </w:rPr>
  </w:style>
  <w:style w:type="paragraph" w:styleId="Sraotsinys5">
    <w:name w:val="List Continue 5"/>
    <w:basedOn w:val="prastasis"/>
    <w:rsid w:val="00DC1CDC"/>
    <w:pPr>
      <w:spacing w:after="120" w:line="240" w:lineRule="auto"/>
      <w:ind w:left="1415"/>
    </w:pPr>
    <w:rPr>
      <w:rFonts w:ascii="Times New Roman" w:eastAsia="Times New Roman" w:hAnsi="Times New Roman"/>
      <w:szCs w:val="20"/>
    </w:rPr>
  </w:style>
  <w:style w:type="paragraph" w:styleId="Sraassunumeriais">
    <w:name w:val="List Number"/>
    <w:basedOn w:val="prastasis"/>
    <w:rsid w:val="00DC1CDC"/>
    <w:pPr>
      <w:numPr>
        <w:numId w:val="16"/>
      </w:numPr>
      <w:spacing w:after="0" w:line="240" w:lineRule="auto"/>
    </w:pPr>
    <w:rPr>
      <w:rFonts w:ascii="Times New Roman" w:eastAsia="Times New Roman" w:hAnsi="Times New Roman"/>
      <w:szCs w:val="20"/>
    </w:rPr>
  </w:style>
  <w:style w:type="paragraph" w:styleId="Sraassunumeriais2">
    <w:name w:val="List Number 2"/>
    <w:basedOn w:val="prastasis"/>
    <w:rsid w:val="00DC1CDC"/>
    <w:pPr>
      <w:numPr>
        <w:numId w:val="17"/>
      </w:numPr>
      <w:spacing w:after="0" w:line="240" w:lineRule="auto"/>
    </w:pPr>
    <w:rPr>
      <w:rFonts w:ascii="Times New Roman" w:eastAsia="Times New Roman" w:hAnsi="Times New Roman"/>
      <w:szCs w:val="20"/>
    </w:rPr>
  </w:style>
  <w:style w:type="paragraph" w:styleId="Sraassunumeriais3">
    <w:name w:val="List Number 3"/>
    <w:basedOn w:val="prastasis"/>
    <w:rsid w:val="00DC1CDC"/>
    <w:pPr>
      <w:numPr>
        <w:numId w:val="18"/>
      </w:numPr>
      <w:spacing w:after="0" w:line="240" w:lineRule="auto"/>
    </w:pPr>
    <w:rPr>
      <w:rFonts w:ascii="Times New Roman" w:eastAsia="Times New Roman" w:hAnsi="Times New Roman"/>
      <w:szCs w:val="20"/>
    </w:rPr>
  </w:style>
  <w:style w:type="paragraph" w:styleId="Sraassunumeriais4">
    <w:name w:val="List Number 4"/>
    <w:basedOn w:val="prastasis"/>
    <w:rsid w:val="00DC1CDC"/>
    <w:pPr>
      <w:numPr>
        <w:numId w:val="19"/>
      </w:numPr>
      <w:spacing w:after="0" w:line="240" w:lineRule="auto"/>
    </w:pPr>
    <w:rPr>
      <w:rFonts w:ascii="Times New Roman" w:eastAsia="Times New Roman" w:hAnsi="Times New Roman"/>
      <w:szCs w:val="20"/>
    </w:rPr>
  </w:style>
  <w:style w:type="paragraph" w:styleId="Sraassunumeriais5">
    <w:name w:val="List Number 5"/>
    <w:basedOn w:val="prastasis"/>
    <w:rsid w:val="00DC1CDC"/>
    <w:pPr>
      <w:numPr>
        <w:numId w:val="20"/>
      </w:numPr>
      <w:spacing w:after="0" w:line="240" w:lineRule="auto"/>
    </w:pPr>
    <w:rPr>
      <w:rFonts w:ascii="Times New Roman" w:eastAsia="Times New Roman" w:hAnsi="Times New Roman"/>
      <w:szCs w:val="20"/>
    </w:rPr>
  </w:style>
  <w:style w:type="paragraph" w:styleId="Makrokomandostekstas">
    <w:name w:val="macro"/>
    <w:link w:val="MakrokomandostekstasDiagrama"/>
    <w:semiHidden/>
    <w:rsid w:val="00DC1CD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lt-LT" w:eastAsia="en-US"/>
    </w:rPr>
  </w:style>
  <w:style w:type="character" w:customStyle="1" w:styleId="MakrokomandostekstasDiagrama">
    <w:name w:val="Makrokomandos tekstas Diagrama"/>
    <w:link w:val="Makrokomandostekstas"/>
    <w:semiHidden/>
    <w:rsid w:val="00DC1CDC"/>
    <w:rPr>
      <w:rFonts w:ascii="Courier New" w:eastAsia="Times New Roman" w:hAnsi="Courier New" w:cs="Courier New"/>
      <w:sz w:val="20"/>
      <w:szCs w:val="20"/>
    </w:rPr>
  </w:style>
  <w:style w:type="paragraph" w:styleId="Laikoantrat">
    <w:name w:val="Message Header"/>
    <w:basedOn w:val="prastasis"/>
    <w:link w:val="LaikoantratDiagrama"/>
    <w:rsid w:val="00DC1C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rPr>
  </w:style>
  <w:style w:type="character" w:customStyle="1" w:styleId="LaikoantratDiagrama">
    <w:name w:val="Laiško antraštė Diagrama"/>
    <w:link w:val="Laikoantrat"/>
    <w:rsid w:val="00DC1CDC"/>
    <w:rPr>
      <w:rFonts w:ascii="Arial" w:eastAsia="Times New Roman" w:hAnsi="Arial" w:cs="Arial"/>
      <w:sz w:val="24"/>
      <w:szCs w:val="24"/>
      <w:shd w:val="pct20" w:color="auto" w:fill="auto"/>
    </w:rPr>
  </w:style>
  <w:style w:type="paragraph" w:styleId="Pastabosantrat">
    <w:name w:val="Note Heading"/>
    <w:basedOn w:val="prastasis"/>
    <w:next w:val="prastasis"/>
    <w:link w:val="PastabosantratDiagrama"/>
    <w:rsid w:val="00DC1CDC"/>
    <w:pPr>
      <w:spacing w:after="0" w:line="240" w:lineRule="auto"/>
    </w:pPr>
    <w:rPr>
      <w:rFonts w:ascii="Times New Roman" w:eastAsia="Times New Roman" w:hAnsi="Times New Roman"/>
      <w:szCs w:val="20"/>
    </w:rPr>
  </w:style>
  <w:style w:type="character" w:customStyle="1" w:styleId="PastabosantratDiagrama">
    <w:name w:val="Pastabos antraštė Diagrama"/>
    <w:link w:val="Pastabosantrat"/>
    <w:rsid w:val="00DC1CDC"/>
    <w:rPr>
      <w:rFonts w:ascii="Times New Roman" w:eastAsia="Times New Roman" w:hAnsi="Times New Roman" w:cs="Times New Roman"/>
      <w:szCs w:val="20"/>
    </w:rPr>
  </w:style>
  <w:style w:type="paragraph" w:styleId="Paprastasistekstas">
    <w:name w:val="Plain Text"/>
    <w:basedOn w:val="prastasis"/>
    <w:link w:val="PaprastasistekstasDiagrama"/>
    <w:rsid w:val="00DC1CDC"/>
    <w:pPr>
      <w:spacing w:after="0" w:line="240" w:lineRule="auto"/>
    </w:pPr>
    <w:rPr>
      <w:rFonts w:ascii="Courier New" w:eastAsia="Times New Roman" w:hAnsi="Courier New" w:cs="Courier New"/>
      <w:sz w:val="20"/>
      <w:szCs w:val="20"/>
    </w:rPr>
  </w:style>
  <w:style w:type="character" w:customStyle="1" w:styleId="PaprastasistekstasDiagrama">
    <w:name w:val="Paprastasis tekstas Diagrama"/>
    <w:link w:val="Paprastasistekstas"/>
    <w:rsid w:val="00DC1CDC"/>
    <w:rPr>
      <w:rFonts w:ascii="Courier New" w:eastAsia="Times New Roman" w:hAnsi="Courier New" w:cs="Courier New"/>
      <w:sz w:val="20"/>
      <w:szCs w:val="20"/>
    </w:rPr>
  </w:style>
  <w:style w:type="paragraph" w:styleId="Pasveikinimas">
    <w:name w:val="Salutation"/>
    <w:basedOn w:val="prastasis"/>
    <w:next w:val="prastasis"/>
    <w:link w:val="PasveikinimasDiagrama"/>
    <w:rsid w:val="00DC1CDC"/>
    <w:pPr>
      <w:spacing w:after="0" w:line="240" w:lineRule="auto"/>
    </w:pPr>
    <w:rPr>
      <w:rFonts w:ascii="Times New Roman" w:eastAsia="Times New Roman" w:hAnsi="Times New Roman"/>
      <w:szCs w:val="20"/>
    </w:rPr>
  </w:style>
  <w:style w:type="character" w:customStyle="1" w:styleId="PasveikinimasDiagrama">
    <w:name w:val="Pasveikinimas Diagrama"/>
    <w:link w:val="Pasveikinimas"/>
    <w:rsid w:val="00DC1CDC"/>
    <w:rPr>
      <w:rFonts w:ascii="Times New Roman" w:eastAsia="Times New Roman" w:hAnsi="Times New Roman" w:cs="Times New Roman"/>
      <w:szCs w:val="20"/>
    </w:rPr>
  </w:style>
  <w:style w:type="paragraph" w:styleId="Paraas">
    <w:name w:val="Signature"/>
    <w:basedOn w:val="prastasis"/>
    <w:link w:val="ParaasDiagrama"/>
    <w:rsid w:val="00DC1CDC"/>
    <w:pPr>
      <w:spacing w:after="0" w:line="240" w:lineRule="auto"/>
      <w:ind w:left="4252"/>
    </w:pPr>
    <w:rPr>
      <w:rFonts w:ascii="Times New Roman" w:eastAsia="Times New Roman" w:hAnsi="Times New Roman"/>
      <w:szCs w:val="20"/>
    </w:rPr>
  </w:style>
  <w:style w:type="character" w:customStyle="1" w:styleId="ParaasDiagrama">
    <w:name w:val="Parašas Diagrama"/>
    <w:link w:val="Paraas"/>
    <w:rsid w:val="00DC1CDC"/>
    <w:rPr>
      <w:rFonts w:ascii="Times New Roman" w:eastAsia="Times New Roman" w:hAnsi="Times New Roman" w:cs="Times New Roman"/>
      <w:szCs w:val="20"/>
    </w:rPr>
  </w:style>
  <w:style w:type="paragraph" w:styleId="Literatra">
    <w:name w:val="table of authorities"/>
    <w:basedOn w:val="prastasis"/>
    <w:next w:val="prastasis"/>
    <w:semiHidden/>
    <w:rsid w:val="00DC1CDC"/>
    <w:pPr>
      <w:spacing w:after="0" w:line="240" w:lineRule="auto"/>
      <w:ind w:left="220" w:hanging="220"/>
    </w:pPr>
    <w:rPr>
      <w:rFonts w:ascii="Times New Roman" w:eastAsia="Times New Roman" w:hAnsi="Times New Roman"/>
      <w:szCs w:val="20"/>
    </w:rPr>
  </w:style>
  <w:style w:type="paragraph" w:styleId="Iliustracijsraas">
    <w:name w:val="table of figures"/>
    <w:basedOn w:val="prastasis"/>
    <w:next w:val="prastasis"/>
    <w:semiHidden/>
    <w:rsid w:val="00DC1CDC"/>
    <w:pPr>
      <w:spacing w:after="0" w:line="240" w:lineRule="auto"/>
    </w:pPr>
    <w:rPr>
      <w:rFonts w:ascii="Times New Roman" w:eastAsia="Times New Roman" w:hAnsi="Times New Roman"/>
      <w:szCs w:val="20"/>
    </w:rPr>
  </w:style>
  <w:style w:type="paragraph" w:styleId="Pavadinimas">
    <w:name w:val="Title"/>
    <w:basedOn w:val="prastasis"/>
    <w:link w:val="PavadinimasDiagrama"/>
    <w:qFormat/>
    <w:rsid w:val="00DC1CDC"/>
    <w:pPr>
      <w:spacing w:before="240" w:after="60" w:line="240" w:lineRule="auto"/>
      <w:jc w:val="center"/>
      <w:outlineLvl w:val="0"/>
    </w:pPr>
    <w:rPr>
      <w:rFonts w:ascii="Arial" w:eastAsia="Times New Roman" w:hAnsi="Arial" w:cs="Arial"/>
      <w:b/>
      <w:bCs/>
      <w:kern w:val="28"/>
      <w:sz w:val="32"/>
      <w:szCs w:val="32"/>
    </w:rPr>
  </w:style>
  <w:style w:type="character" w:customStyle="1" w:styleId="PavadinimasDiagrama">
    <w:name w:val="Pavadinimas Diagrama"/>
    <w:link w:val="Pavadinimas"/>
    <w:rsid w:val="00DC1CDC"/>
    <w:rPr>
      <w:rFonts w:ascii="Arial" w:eastAsia="Times New Roman" w:hAnsi="Arial" w:cs="Arial"/>
      <w:b/>
      <w:bCs/>
      <w:kern w:val="28"/>
      <w:sz w:val="32"/>
      <w:szCs w:val="32"/>
    </w:rPr>
  </w:style>
  <w:style w:type="paragraph" w:styleId="Turinys1">
    <w:name w:val="toc 1"/>
    <w:basedOn w:val="prastasis"/>
    <w:next w:val="prastasis"/>
    <w:autoRedefine/>
    <w:semiHidden/>
    <w:rsid w:val="00DC1CDC"/>
    <w:pPr>
      <w:spacing w:after="0" w:line="240" w:lineRule="auto"/>
    </w:pPr>
    <w:rPr>
      <w:rFonts w:ascii="Times New Roman" w:eastAsia="Times New Roman" w:hAnsi="Times New Roman"/>
      <w:szCs w:val="20"/>
    </w:rPr>
  </w:style>
  <w:style w:type="paragraph" w:styleId="Turinys2">
    <w:name w:val="toc 2"/>
    <w:basedOn w:val="prastasis"/>
    <w:next w:val="prastasis"/>
    <w:autoRedefine/>
    <w:semiHidden/>
    <w:rsid w:val="00DC1CDC"/>
    <w:pPr>
      <w:spacing w:after="0" w:line="240" w:lineRule="auto"/>
      <w:ind w:left="220"/>
    </w:pPr>
    <w:rPr>
      <w:rFonts w:ascii="Times New Roman" w:eastAsia="Times New Roman" w:hAnsi="Times New Roman"/>
      <w:szCs w:val="20"/>
    </w:rPr>
  </w:style>
  <w:style w:type="paragraph" w:styleId="Turinys3">
    <w:name w:val="toc 3"/>
    <w:basedOn w:val="prastasis"/>
    <w:next w:val="prastasis"/>
    <w:autoRedefine/>
    <w:semiHidden/>
    <w:rsid w:val="00DC1CDC"/>
    <w:pPr>
      <w:spacing w:after="0" w:line="240" w:lineRule="auto"/>
      <w:ind w:left="440"/>
    </w:pPr>
    <w:rPr>
      <w:rFonts w:ascii="Times New Roman" w:eastAsia="Times New Roman" w:hAnsi="Times New Roman"/>
      <w:szCs w:val="20"/>
    </w:rPr>
  </w:style>
  <w:style w:type="paragraph" w:styleId="Turinys4">
    <w:name w:val="toc 4"/>
    <w:basedOn w:val="prastasis"/>
    <w:next w:val="prastasis"/>
    <w:autoRedefine/>
    <w:semiHidden/>
    <w:rsid w:val="00DC1CDC"/>
    <w:pPr>
      <w:spacing w:after="0" w:line="240" w:lineRule="auto"/>
      <w:ind w:left="660"/>
    </w:pPr>
    <w:rPr>
      <w:rFonts w:ascii="Times New Roman" w:eastAsia="Times New Roman" w:hAnsi="Times New Roman"/>
      <w:szCs w:val="20"/>
    </w:rPr>
  </w:style>
  <w:style w:type="paragraph" w:styleId="Turinys5">
    <w:name w:val="toc 5"/>
    <w:basedOn w:val="prastasis"/>
    <w:next w:val="prastasis"/>
    <w:autoRedefine/>
    <w:semiHidden/>
    <w:rsid w:val="00DC1CDC"/>
    <w:pPr>
      <w:spacing w:after="0" w:line="240" w:lineRule="auto"/>
      <w:ind w:left="880"/>
    </w:pPr>
    <w:rPr>
      <w:rFonts w:ascii="Times New Roman" w:eastAsia="Times New Roman" w:hAnsi="Times New Roman"/>
      <w:szCs w:val="20"/>
    </w:rPr>
  </w:style>
  <w:style w:type="paragraph" w:styleId="Turinys6">
    <w:name w:val="toc 6"/>
    <w:basedOn w:val="prastasis"/>
    <w:next w:val="prastasis"/>
    <w:autoRedefine/>
    <w:semiHidden/>
    <w:rsid w:val="00DC1CDC"/>
    <w:pPr>
      <w:spacing w:after="0" w:line="240" w:lineRule="auto"/>
      <w:ind w:left="1100"/>
    </w:pPr>
    <w:rPr>
      <w:rFonts w:ascii="Times New Roman" w:eastAsia="Times New Roman" w:hAnsi="Times New Roman"/>
      <w:szCs w:val="20"/>
    </w:rPr>
  </w:style>
  <w:style w:type="paragraph" w:styleId="Turinys7">
    <w:name w:val="toc 7"/>
    <w:basedOn w:val="prastasis"/>
    <w:next w:val="prastasis"/>
    <w:autoRedefine/>
    <w:semiHidden/>
    <w:rsid w:val="00DC1CDC"/>
    <w:pPr>
      <w:spacing w:after="0" w:line="240" w:lineRule="auto"/>
      <w:ind w:left="1320"/>
    </w:pPr>
    <w:rPr>
      <w:rFonts w:ascii="Times New Roman" w:eastAsia="Times New Roman" w:hAnsi="Times New Roman"/>
      <w:szCs w:val="20"/>
    </w:rPr>
  </w:style>
  <w:style w:type="paragraph" w:styleId="Turinys8">
    <w:name w:val="toc 8"/>
    <w:basedOn w:val="prastasis"/>
    <w:next w:val="prastasis"/>
    <w:autoRedefine/>
    <w:semiHidden/>
    <w:rsid w:val="00DC1CDC"/>
    <w:pPr>
      <w:spacing w:after="0" w:line="240" w:lineRule="auto"/>
      <w:ind w:left="1540"/>
    </w:pPr>
    <w:rPr>
      <w:rFonts w:ascii="Times New Roman" w:eastAsia="Times New Roman" w:hAnsi="Times New Roman"/>
      <w:szCs w:val="20"/>
    </w:rPr>
  </w:style>
  <w:style w:type="paragraph" w:styleId="Turinys9">
    <w:name w:val="toc 9"/>
    <w:basedOn w:val="prastasis"/>
    <w:next w:val="prastasis"/>
    <w:autoRedefine/>
    <w:semiHidden/>
    <w:rsid w:val="00DC1CDC"/>
    <w:pPr>
      <w:spacing w:after="0" w:line="240" w:lineRule="auto"/>
      <w:ind w:left="1760"/>
    </w:pPr>
    <w:rPr>
      <w:rFonts w:ascii="Times New Roman" w:eastAsia="Times New Roman" w:hAnsi="Times New Roman"/>
      <w:szCs w:val="20"/>
    </w:rPr>
  </w:style>
  <w:style w:type="character" w:styleId="Perirtashipersaitas">
    <w:name w:val="FollowedHyperlink"/>
    <w:rsid w:val="00DC1CDC"/>
    <w:rPr>
      <w:color w:val="800080"/>
      <w:u w:val="single"/>
    </w:rPr>
  </w:style>
  <w:style w:type="paragraph" w:customStyle="1" w:styleId="TableTextCenter">
    <w:name w:val="Table Text Center"/>
    <w:basedOn w:val="prastasis"/>
    <w:link w:val="TableTextCenterChar1"/>
    <w:rsid w:val="00DC1CDC"/>
    <w:pPr>
      <w:overflowPunct w:val="0"/>
      <w:autoSpaceDE w:val="0"/>
      <w:autoSpaceDN w:val="0"/>
      <w:adjustRightInd w:val="0"/>
      <w:spacing w:before="60" w:after="60" w:line="240" w:lineRule="auto"/>
      <w:jc w:val="center"/>
      <w:textAlignment w:val="baseline"/>
    </w:pPr>
    <w:rPr>
      <w:rFonts w:ascii="Arial Narrow" w:eastAsia="Times New Roman" w:hAnsi="Arial Narrow"/>
      <w:sz w:val="20"/>
      <w:szCs w:val="20"/>
      <w:lang w:val="en-US"/>
    </w:rPr>
  </w:style>
  <w:style w:type="paragraph" w:customStyle="1" w:styleId="TableHeadCenter">
    <w:name w:val="Table Head Center"/>
    <w:basedOn w:val="TableTextCenter"/>
    <w:rsid w:val="00DC1CDC"/>
    <w:pPr>
      <w:keepNext/>
      <w:overflowPunct/>
      <w:autoSpaceDE/>
      <w:autoSpaceDN/>
      <w:adjustRightInd/>
      <w:textAlignment w:val="auto"/>
    </w:pPr>
    <w:rPr>
      <w:b/>
    </w:rPr>
  </w:style>
  <w:style w:type="character" w:customStyle="1" w:styleId="TableTextCenterChar1">
    <w:name w:val="Table Text Center Char1"/>
    <w:link w:val="TableTextCenter"/>
    <w:rsid w:val="00DC1CDC"/>
    <w:rPr>
      <w:rFonts w:ascii="Arial Narrow" w:eastAsia="Times New Roman" w:hAnsi="Arial Narrow" w:cs="Times New Roman"/>
      <w:sz w:val="20"/>
      <w:szCs w:val="20"/>
      <w:lang w:val="en-US"/>
    </w:rPr>
  </w:style>
  <w:style w:type="table" w:styleId="Lentelstinklelis">
    <w:name w:val="Table Grid"/>
    <w:basedOn w:val="prastojilentel"/>
    <w:rsid w:val="00DC1CDC"/>
    <w:pPr>
      <w:spacing w:before="240"/>
    </w:pPr>
    <w:rPr>
      <w:rFonts w:ascii="Times New Roman" w:eastAsia="Times New Roman" w:hAnsi="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1CDC"/>
    <w:pPr>
      <w:autoSpaceDE w:val="0"/>
      <w:autoSpaceDN w:val="0"/>
      <w:adjustRightInd w:val="0"/>
    </w:pPr>
    <w:rPr>
      <w:rFonts w:ascii="Times New Roman" w:eastAsia="MS Mincho" w:hAnsi="Times New Roman"/>
      <w:color w:val="000000"/>
      <w:sz w:val="24"/>
      <w:szCs w:val="24"/>
      <w:lang w:val="fr-FR" w:eastAsia="ja-JP"/>
    </w:rPr>
  </w:style>
  <w:style w:type="paragraph" w:customStyle="1" w:styleId="ListParagraph1">
    <w:name w:val="List Paragraph1"/>
    <w:basedOn w:val="prastasis"/>
    <w:uiPriority w:val="34"/>
    <w:qFormat/>
    <w:rsid w:val="00DC1CDC"/>
    <w:pPr>
      <w:spacing w:after="0" w:line="240" w:lineRule="auto"/>
      <w:ind w:left="1296"/>
    </w:pPr>
    <w:rPr>
      <w:rFonts w:ascii="Times New Roman" w:eastAsia="Times New Roman" w:hAnsi="Times New Roman"/>
      <w:szCs w:val="20"/>
    </w:rPr>
  </w:style>
  <w:style w:type="paragraph" w:customStyle="1" w:styleId="Revision1">
    <w:name w:val="Revision1"/>
    <w:hidden/>
    <w:uiPriority w:val="99"/>
    <w:semiHidden/>
    <w:rsid w:val="00DC1CDC"/>
    <w:rPr>
      <w:rFonts w:ascii="Times New Roman" w:eastAsia="Times New Roman" w:hAnsi="Times New Roman"/>
      <w:sz w:val="22"/>
      <w:lang w:val="lt-LT" w:eastAsia="en-US"/>
    </w:rPr>
  </w:style>
  <w:style w:type="paragraph" w:styleId="Pataisymai">
    <w:name w:val="Revision"/>
    <w:hidden/>
    <w:uiPriority w:val="99"/>
    <w:semiHidden/>
    <w:rsid w:val="00DC1CDC"/>
    <w:rPr>
      <w:rFonts w:ascii="Times New Roman" w:eastAsia="Times New Roman" w:hAnsi="Times New Roman"/>
      <w:sz w:val="22"/>
      <w:lang w:val="lt-LT" w:eastAsia="en-US"/>
    </w:rPr>
  </w:style>
  <w:style w:type="paragraph" w:styleId="Sraopastraipa">
    <w:name w:val="List Paragraph"/>
    <w:basedOn w:val="prastasis"/>
    <w:uiPriority w:val="34"/>
    <w:qFormat/>
    <w:rsid w:val="00DC1CDC"/>
    <w:pPr>
      <w:ind w:left="720"/>
      <w:contextualSpacing/>
    </w:pPr>
  </w:style>
  <w:style w:type="table" w:customStyle="1" w:styleId="TableGrid1">
    <w:name w:val="Table Grid1"/>
    <w:basedOn w:val="prastojilentel"/>
    <w:next w:val="Lentelstinklelis"/>
    <w:uiPriority w:val="39"/>
    <w:rsid w:val="00DC1CDC"/>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35562"/>
    <w:rPr>
      <w:rFonts w:eastAsia="Times New Roman"/>
      <w:sz w:val="22"/>
      <w:szCs w:val="22"/>
      <w:lang w:val="it-CH" w:eastAsia="it-CH"/>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36089">
      <w:bodyDiv w:val="1"/>
      <w:marLeft w:val="0"/>
      <w:marRight w:val="0"/>
      <w:marTop w:val="0"/>
      <w:marBottom w:val="0"/>
      <w:divBdr>
        <w:top w:val="none" w:sz="0" w:space="0" w:color="auto"/>
        <w:left w:val="none" w:sz="0" w:space="0" w:color="auto"/>
        <w:bottom w:val="none" w:sz="0" w:space="0" w:color="auto"/>
        <w:right w:val="none" w:sz="0" w:space="0" w:color="auto"/>
      </w:divBdr>
    </w:div>
    <w:div w:id="171266230">
      <w:bodyDiv w:val="1"/>
      <w:marLeft w:val="0"/>
      <w:marRight w:val="0"/>
      <w:marTop w:val="0"/>
      <w:marBottom w:val="0"/>
      <w:divBdr>
        <w:top w:val="none" w:sz="0" w:space="0" w:color="auto"/>
        <w:left w:val="none" w:sz="0" w:space="0" w:color="auto"/>
        <w:bottom w:val="none" w:sz="0" w:space="0" w:color="auto"/>
        <w:right w:val="none" w:sz="0" w:space="0" w:color="auto"/>
      </w:divBdr>
    </w:div>
    <w:div w:id="186408118">
      <w:bodyDiv w:val="1"/>
      <w:marLeft w:val="0"/>
      <w:marRight w:val="0"/>
      <w:marTop w:val="0"/>
      <w:marBottom w:val="0"/>
      <w:divBdr>
        <w:top w:val="none" w:sz="0" w:space="0" w:color="auto"/>
        <w:left w:val="none" w:sz="0" w:space="0" w:color="auto"/>
        <w:bottom w:val="none" w:sz="0" w:space="0" w:color="auto"/>
        <w:right w:val="none" w:sz="0" w:space="0" w:color="auto"/>
      </w:divBdr>
    </w:div>
    <w:div w:id="267273304">
      <w:bodyDiv w:val="1"/>
      <w:marLeft w:val="0"/>
      <w:marRight w:val="0"/>
      <w:marTop w:val="0"/>
      <w:marBottom w:val="0"/>
      <w:divBdr>
        <w:top w:val="none" w:sz="0" w:space="0" w:color="auto"/>
        <w:left w:val="none" w:sz="0" w:space="0" w:color="auto"/>
        <w:bottom w:val="none" w:sz="0" w:space="0" w:color="auto"/>
        <w:right w:val="none" w:sz="0" w:space="0" w:color="auto"/>
      </w:divBdr>
    </w:div>
    <w:div w:id="316080971">
      <w:bodyDiv w:val="1"/>
      <w:marLeft w:val="0"/>
      <w:marRight w:val="0"/>
      <w:marTop w:val="0"/>
      <w:marBottom w:val="0"/>
      <w:divBdr>
        <w:top w:val="none" w:sz="0" w:space="0" w:color="auto"/>
        <w:left w:val="none" w:sz="0" w:space="0" w:color="auto"/>
        <w:bottom w:val="none" w:sz="0" w:space="0" w:color="auto"/>
        <w:right w:val="none" w:sz="0" w:space="0" w:color="auto"/>
      </w:divBdr>
    </w:div>
    <w:div w:id="371882807">
      <w:bodyDiv w:val="1"/>
      <w:marLeft w:val="0"/>
      <w:marRight w:val="0"/>
      <w:marTop w:val="0"/>
      <w:marBottom w:val="0"/>
      <w:divBdr>
        <w:top w:val="none" w:sz="0" w:space="0" w:color="auto"/>
        <w:left w:val="none" w:sz="0" w:space="0" w:color="auto"/>
        <w:bottom w:val="none" w:sz="0" w:space="0" w:color="auto"/>
        <w:right w:val="none" w:sz="0" w:space="0" w:color="auto"/>
      </w:divBdr>
    </w:div>
    <w:div w:id="380982856">
      <w:bodyDiv w:val="1"/>
      <w:marLeft w:val="0"/>
      <w:marRight w:val="0"/>
      <w:marTop w:val="0"/>
      <w:marBottom w:val="0"/>
      <w:divBdr>
        <w:top w:val="none" w:sz="0" w:space="0" w:color="auto"/>
        <w:left w:val="none" w:sz="0" w:space="0" w:color="auto"/>
        <w:bottom w:val="none" w:sz="0" w:space="0" w:color="auto"/>
        <w:right w:val="none" w:sz="0" w:space="0" w:color="auto"/>
      </w:divBdr>
    </w:div>
    <w:div w:id="423502380">
      <w:bodyDiv w:val="1"/>
      <w:marLeft w:val="0"/>
      <w:marRight w:val="0"/>
      <w:marTop w:val="0"/>
      <w:marBottom w:val="0"/>
      <w:divBdr>
        <w:top w:val="none" w:sz="0" w:space="0" w:color="auto"/>
        <w:left w:val="none" w:sz="0" w:space="0" w:color="auto"/>
        <w:bottom w:val="none" w:sz="0" w:space="0" w:color="auto"/>
        <w:right w:val="none" w:sz="0" w:space="0" w:color="auto"/>
      </w:divBdr>
    </w:div>
    <w:div w:id="490174151">
      <w:bodyDiv w:val="1"/>
      <w:marLeft w:val="0"/>
      <w:marRight w:val="0"/>
      <w:marTop w:val="0"/>
      <w:marBottom w:val="0"/>
      <w:divBdr>
        <w:top w:val="none" w:sz="0" w:space="0" w:color="auto"/>
        <w:left w:val="none" w:sz="0" w:space="0" w:color="auto"/>
        <w:bottom w:val="none" w:sz="0" w:space="0" w:color="auto"/>
        <w:right w:val="none" w:sz="0" w:space="0" w:color="auto"/>
      </w:divBdr>
    </w:div>
    <w:div w:id="509417396">
      <w:bodyDiv w:val="1"/>
      <w:marLeft w:val="0"/>
      <w:marRight w:val="0"/>
      <w:marTop w:val="0"/>
      <w:marBottom w:val="0"/>
      <w:divBdr>
        <w:top w:val="none" w:sz="0" w:space="0" w:color="auto"/>
        <w:left w:val="none" w:sz="0" w:space="0" w:color="auto"/>
        <w:bottom w:val="none" w:sz="0" w:space="0" w:color="auto"/>
        <w:right w:val="none" w:sz="0" w:space="0" w:color="auto"/>
      </w:divBdr>
    </w:div>
    <w:div w:id="522088973">
      <w:bodyDiv w:val="1"/>
      <w:marLeft w:val="0"/>
      <w:marRight w:val="0"/>
      <w:marTop w:val="0"/>
      <w:marBottom w:val="0"/>
      <w:divBdr>
        <w:top w:val="none" w:sz="0" w:space="0" w:color="auto"/>
        <w:left w:val="none" w:sz="0" w:space="0" w:color="auto"/>
        <w:bottom w:val="none" w:sz="0" w:space="0" w:color="auto"/>
        <w:right w:val="none" w:sz="0" w:space="0" w:color="auto"/>
      </w:divBdr>
    </w:div>
    <w:div w:id="637999673">
      <w:bodyDiv w:val="1"/>
      <w:marLeft w:val="0"/>
      <w:marRight w:val="0"/>
      <w:marTop w:val="0"/>
      <w:marBottom w:val="0"/>
      <w:divBdr>
        <w:top w:val="none" w:sz="0" w:space="0" w:color="auto"/>
        <w:left w:val="none" w:sz="0" w:space="0" w:color="auto"/>
        <w:bottom w:val="none" w:sz="0" w:space="0" w:color="auto"/>
        <w:right w:val="none" w:sz="0" w:space="0" w:color="auto"/>
      </w:divBdr>
    </w:div>
    <w:div w:id="656033408">
      <w:bodyDiv w:val="1"/>
      <w:marLeft w:val="0"/>
      <w:marRight w:val="0"/>
      <w:marTop w:val="0"/>
      <w:marBottom w:val="0"/>
      <w:divBdr>
        <w:top w:val="none" w:sz="0" w:space="0" w:color="auto"/>
        <w:left w:val="none" w:sz="0" w:space="0" w:color="auto"/>
        <w:bottom w:val="none" w:sz="0" w:space="0" w:color="auto"/>
        <w:right w:val="none" w:sz="0" w:space="0" w:color="auto"/>
      </w:divBdr>
    </w:div>
    <w:div w:id="738796133">
      <w:bodyDiv w:val="1"/>
      <w:marLeft w:val="0"/>
      <w:marRight w:val="0"/>
      <w:marTop w:val="0"/>
      <w:marBottom w:val="0"/>
      <w:divBdr>
        <w:top w:val="none" w:sz="0" w:space="0" w:color="auto"/>
        <w:left w:val="none" w:sz="0" w:space="0" w:color="auto"/>
        <w:bottom w:val="none" w:sz="0" w:space="0" w:color="auto"/>
        <w:right w:val="none" w:sz="0" w:space="0" w:color="auto"/>
      </w:divBdr>
    </w:div>
    <w:div w:id="761606372">
      <w:bodyDiv w:val="1"/>
      <w:marLeft w:val="0"/>
      <w:marRight w:val="0"/>
      <w:marTop w:val="0"/>
      <w:marBottom w:val="0"/>
      <w:divBdr>
        <w:top w:val="none" w:sz="0" w:space="0" w:color="auto"/>
        <w:left w:val="none" w:sz="0" w:space="0" w:color="auto"/>
        <w:bottom w:val="none" w:sz="0" w:space="0" w:color="auto"/>
        <w:right w:val="none" w:sz="0" w:space="0" w:color="auto"/>
      </w:divBdr>
    </w:div>
    <w:div w:id="772673573">
      <w:bodyDiv w:val="1"/>
      <w:marLeft w:val="0"/>
      <w:marRight w:val="0"/>
      <w:marTop w:val="0"/>
      <w:marBottom w:val="0"/>
      <w:divBdr>
        <w:top w:val="none" w:sz="0" w:space="0" w:color="auto"/>
        <w:left w:val="none" w:sz="0" w:space="0" w:color="auto"/>
        <w:bottom w:val="none" w:sz="0" w:space="0" w:color="auto"/>
        <w:right w:val="none" w:sz="0" w:space="0" w:color="auto"/>
      </w:divBdr>
    </w:div>
    <w:div w:id="814562874">
      <w:bodyDiv w:val="1"/>
      <w:marLeft w:val="0"/>
      <w:marRight w:val="0"/>
      <w:marTop w:val="0"/>
      <w:marBottom w:val="0"/>
      <w:divBdr>
        <w:top w:val="none" w:sz="0" w:space="0" w:color="auto"/>
        <w:left w:val="none" w:sz="0" w:space="0" w:color="auto"/>
        <w:bottom w:val="none" w:sz="0" w:space="0" w:color="auto"/>
        <w:right w:val="none" w:sz="0" w:space="0" w:color="auto"/>
      </w:divBdr>
    </w:div>
    <w:div w:id="998116861">
      <w:bodyDiv w:val="1"/>
      <w:marLeft w:val="0"/>
      <w:marRight w:val="0"/>
      <w:marTop w:val="0"/>
      <w:marBottom w:val="0"/>
      <w:divBdr>
        <w:top w:val="none" w:sz="0" w:space="0" w:color="auto"/>
        <w:left w:val="none" w:sz="0" w:space="0" w:color="auto"/>
        <w:bottom w:val="none" w:sz="0" w:space="0" w:color="auto"/>
        <w:right w:val="none" w:sz="0" w:space="0" w:color="auto"/>
      </w:divBdr>
    </w:div>
    <w:div w:id="1024283515">
      <w:bodyDiv w:val="1"/>
      <w:marLeft w:val="0"/>
      <w:marRight w:val="0"/>
      <w:marTop w:val="0"/>
      <w:marBottom w:val="0"/>
      <w:divBdr>
        <w:top w:val="none" w:sz="0" w:space="0" w:color="auto"/>
        <w:left w:val="none" w:sz="0" w:space="0" w:color="auto"/>
        <w:bottom w:val="none" w:sz="0" w:space="0" w:color="auto"/>
        <w:right w:val="none" w:sz="0" w:space="0" w:color="auto"/>
      </w:divBdr>
    </w:div>
    <w:div w:id="1072846927">
      <w:bodyDiv w:val="1"/>
      <w:marLeft w:val="0"/>
      <w:marRight w:val="0"/>
      <w:marTop w:val="0"/>
      <w:marBottom w:val="0"/>
      <w:divBdr>
        <w:top w:val="none" w:sz="0" w:space="0" w:color="auto"/>
        <w:left w:val="none" w:sz="0" w:space="0" w:color="auto"/>
        <w:bottom w:val="none" w:sz="0" w:space="0" w:color="auto"/>
        <w:right w:val="none" w:sz="0" w:space="0" w:color="auto"/>
      </w:divBdr>
    </w:div>
    <w:div w:id="1182627422">
      <w:bodyDiv w:val="1"/>
      <w:marLeft w:val="0"/>
      <w:marRight w:val="0"/>
      <w:marTop w:val="0"/>
      <w:marBottom w:val="0"/>
      <w:divBdr>
        <w:top w:val="none" w:sz="0" w:space="0" w:color="auto"/>
        <w:left w:val="none" w:sz="0" w:space="0" w:color="auto"/>
        <w:bottom w:val="none" w:sz="0" w:space="0" w:color="auto"/>
        <w:right w:val="none" w:sz="0" w:space="0" w:color="auto"/>
      </w:divBdr>
    </w:div>
    <w:div w:id="1249463613">
      <w:bodyDiv w:val="1"/>
      <w:marLeft w:val="0"/>
      <w:marRight w:val="0"/>
      <w:marTop w:val="0"/>
      <w:marBottom w:val="0"/>
      <w:divBdr>
        <w:top w:val="none" w:sz="0" w:space="0" w:color="auto"/>
        <w:left w:val="none" w:sz="0" w:space="0" w:color="auto"/>
        <w:bottom w:val="none" w:sz="0" w:space="0" w:color="auto"/>
        <w:right w:val="none" w:sz="0" w:space="0" w:color="auto"/>
      </w:divBdr>
    </w:div>
    <w:div w:id="1259292966">
      <w:bodyDiv w:val="1"/>
      <w:marLeft w:val="0"/>
      <w:marRight w:val="0"/>
      <w:marTop w:val="0"/>
      <w:marBottom w:val="0"/>
      <w:divBdr>
        <w:top w:val="none" w:sz="0" w:space="0" w:color="auto"/>
        <w:left w:val="none" w:sz="0" w:space="0" w:color="auto"/>
        <w:bottom w:val="none" w:sz="0" w:space="0" w:color="auto"/>
        <w:right w:val="none" w:sz="0" w:space="0" w:color="auto"/>
      </w:divBdr>
    </w:div>
    <w:div w:id="1279024317">
      <w:bodyDiv w:val="1"/>
      <w:marLeft w:val="0"/>
      <w:marRight w:val="0"/>
      <w:marTop w:val="0"/>
      <w:marBottom w:val="0"/>
      <w:divBdr>
        <w:top w:val="none" w:sz="0" w:space="0" w:color="auto"/>
        <w:left w:val="none" w:sz="0" w:space="0" w:color="auto"/>
        <w:bottom w:val="none" w:sz="0" w:space="0" w:color="auto"/>
        <w:right w:val="none" w:sz="0" w:space="0" w:color="auto"/>
      </w:divBdr>
    </w:div>
    <w:div w:id="1279990110">
      <w:bodyDiv w:val="1"/>
      <w:marLeft w:val="0"/>
      <w:marRight w:val="0"/>
      <w:marTop w:val="0"/>
      <w:marBottom w:val="0"/>
      <w:divBdr>
        <w:top w:val="none" w:sz="0" w:space="0" w:color="auto"/>
        <w:left w:val="none" w:sz="0" w:space="0" w:color="auto"/>
        <w:bottom w:val="none" w:sz="0" w:space="0" w:color="auto"/>
        <w:right w:val="none" w:sz="0" w:space="0" w:color="auto"/>
      </w:divBdr>
    </w:div>
    <w:div w:id="1327241375">
      <w:bodyDiv w:val="1"/>
      <w:marLeft w:val="0"/>
      <w:marRight w:val="0"/>
      <w:marTop w:val="0"/>
      <w:marBottom w:val="0"/>
      <w:divBdr>
        <w:top w:val="none" w:sz="0" w:space="0" w:color="auto"/>
        <w:left w:val="none" w:sz="0" w:space="0" w:color="auto"/>
        <w:bottom w:val="none" w:sz="0" w:space="0" w:color="auto"/>
        <w:right w:val="none" w:sz="0" w:space="0" w:color="auto"/>
      </w:divBdr>
    </w:div>
    <w:div w:id="1423988158">
      <w:bodyDiv w:val="1"/>
      <w:marLeft w:val="0"/>
      <w:marRight w:val="0"/>
      <w:marTop w:val="0"/>
      <w:marBottom w:val="0"/>
      <w:divBdr>
        <w:top w:val="none" w:sz="0" w:space="0" w:color="auto"/>
        <w:left w:val="none" w:sz="0" w:space="0" w:color="auto"/>
        <w:bottom w:val="none" w:sz="0" w:space="0" w:color="auto"/>
        <w:right w:val="none" w:sz="0" w:space="0" w:color="auto"/>
      </w:divBdr>
    </w:div>
    <w:div w:id="1474758881">
      <w:bodyDiv w:val="1"/>
      <w:marLeft w:val="0"/>
      <w:marRight w:val="0"/>
      <w:marTop w:val="0"/>
      <w:marBottom w:val="0"/>
      <w:divBdr>
        <w:top w:val="none" w:sz="0" w:space="0" w:color="auto"/>
        <w:left w:val="none" w:sz="0" w:space="0" w:color="auto"/>
        <w:bottom w:val="none" w:sz="0" w:space="0" w:color="auto"/>
        <w:right w:val="none" w:sz="0" w:space="0" w:color="auto"/>
      </w:divBdr>
    </w:div>
    <w:div w:id="1666202729">
      <w:bodyDiv w:val="1"/>
      <w:marLeft w:val="0"/>
      <w:marRight w:val="0"/>
      <w:marTop w:val="0"/>
      <w:marBottom w:val="0"/>
      <w:divBdr>
        <w:top w:val="none" w:sz="0" w:space="0" w:color="auto"/>
        <w:left w:val="none" w:sz="0" w:space="0" w:color="auto"/>
        <w:bottom w:val="none" w:sz="0" w:space="0" w:color="auto"/>
        <w:right w:val="none" w:sz="0" w:space="0" w:color="auto"/>
      </w:divBdr>
    </w:div>
    <w:div w:id="1826433530">
      <w:bodyDiv w:val="1"/>
      <w:marLeft w:val="0"/>
      <w:marRight w:val="0"/>
      <w:marTop w:val="0"/>
      <w:marBottom w:val="0"/>
      <w:divBdr>
        <w:top w:val="none" w:sz="0" w:space="0" w:color="auto"/>
        <w:left w:val="none" w:sz="0" w:space="0" w:color="auto"/>
        <w:bottom w:val="none" w:sz="0" w:space="0" w:color="auto"/>
        <w:right w:val="none" w:sz="0" w:space="0" w:color="auto"/>
      </w:divBdr>
    </w:div>
    <w:div w:id="1834564295">
      <w:bodyDiv w:val="1"/>
      <w:marLeft w:val="0"/>
      <w:marRight w:val="0"/>
      <w:marTop w:val="0"/>
      <w:marBottom w:val="0"/>
      <w:divBdr>
        <w:top w:val="none" w:sz="0" w:space="0" w:color="auto"/>
        <w:left w:val="none" w:sz="0" w:space="0" w:color="auto"/>
        <w:bottom w:val="none" w:sz="0" w:space="0" w:color="auto"/>
        <w:right w:val="none" w:sz="0" w:space="0" w:color="auto"/>
      </w:divBdr>
    </w:div>
    <w:div w:id="1958755155">
      <w:bodyDiv w:val="1"/>
      <w:marLeft w:val="0"/>
      <w:marRight w:val="0"/>
      <w:marTop w:val="0"/>
      <w:marBottom w:val="0"/>
      <w:divBdr>
        <w:top w:val="none" w:sz="0" w:space="0" w:color="auto"/>
        <w:left w:val="none" w:sz="0" w:space="0" w:color="auto"/>
        <w:bottom w:val="none" w:sz="0" w:space="0" w:color="auto"/>
        <w:right w:val="none" w:sz="0" w:space="0" w:color="auto"/>
      </w:divBdr>
    </w:div>
    <w:div w:id="2099251098">
      <w:bodyDiv w:val="1"/>
      <w:marLeft w:val="0"/>
      <w:marRight w:val="0"/>
      <w:marTop w:val="0"/>
      <w:marBottom w:val="0"/>
      <w:divBdr>
        <w:top w:val="none" w:sz="0" w:space="0" w:color="auto"/>
        <w:left w:val="none" w:sz="0" w:space="0" w:color="auto"/>
        <w:bottom w:val="none" w:sz="0" w:space="0" w:color="auto"/>
        <w:right w:val="none" w:sz="0" w:space="0" w:color="auto"/>
      </w:divBdr>
    </w:div>
    <w:div w:id="212599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2" ma:contentTypeDescription="Create a new document." ma:contentTypeScope="" ma:versionID="7cb991635c15ee39022faa83dd334723">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9897b035a91f03e37a39ab4e65705786"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DD4B2-74EB-4F1E-A55B-E4B01966C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7F7920-A7EB-41F7-9190-B72B835A5348}">
  <ds:schemaRefs>
    <ds:schemaRef ds:uri="http://schemas.microsoft.com/sharepoint/v3/contenttype/forms"/>
  </ds:schemaRefs>
</ds:datastoreItem>
</file>

<file path=customXml/itemProps3.xml><?xml version="1.0" encoding="utf-8"?>
<ds:datastoreItem xmlns:ds="http://schemas.openxmlformats.org/officeDocument/2006/customXml" ds:itemID="{CA3E0886-7385-480A-BDAD-BD96E011874E}">
  <ds:schemaRefs>
    <ds:schemaRef ds:uri="http://schemas.microsoft.com/office/2006/documentManagement/types"/>
    <ds:schemaRef ds:uri="http://purl.org/dc/elements/1.1/"/>
    <ds:schemaRef ds:uri="http://www.w3.org/XML/1998/namespace"/>
    <ds:schemaRef ds:uri="http://schemas.microsoft.com/office/infopath/2007/PartnerControls"/>
    <ds:schemaRef ds:uri="04d69301-8a09-47d6-b4e7-771964707a58"/>
    <ds:schemaRef ds:uri="http://purl.org/dc/terms/"/>
    <ds:schemaRef ds:uri="http://schemas.openxmlformats.org/package/2006/metadata/core-properties"/>
    <ds:schemaRef ds:uri="109dd77f-ce19-45eb-9f15-de2b02146225"/>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BD09102-227F-4AA2-8B90-94C5B550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99675</Words>
  <Characters>56815</Characters>
  <Application>Microsoft Office Word</Application>
  <DocSecurity>4</DocSecurity>
  <Lines>473</Lines>
  <Paragraphs>312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156178</CharactersWithSpaces>
  <SharedDoc>false</SharedDoc>
  <HLinks>
    <vt:vector size="48" baseType="variant">
      <vt:variant>
        <vt:i4>1245218</vt:i4>
      </vt:variant>
      <vt:variant>
        <vt:i4>21</vt:i4>
      </vt:variant>
      <vt:variant>
        <vt:i4>0</vt:i4>
      </vt:variant>
      <vt:variant>
        <vt:i4>5</vt:i4>
      </vt:variant>
      <vt:variant>
        <vt:lpwstr>http://www.ema.europa.eu/</vt:lpwstr>
      </vt:variant>
      <vt:variant>
        <vt:lpwstr/>
      </vt:variant>
      <vt:variant>
        <vt:i4>7077905</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7077905</vt:i4>
      </vt:variant>
      <vt:variant>
        <vt:i4>12</vt:i4>
      </vt:variant>
      <vt:variant>
        <vt:i4>0</vt:i4>
      </vt:variant>
      <vt:variant>
        <vt:i4>5</vt:i4>
      </vt:variant>
      <vt:variant>
        <vt:lpwstr>http://www.vvkt.lt/</vt:lpwstr>
      </vt:variant>
      <vt:variant>
        <vt:lpwstr/>
      </vt:variant>
      <vt:variant>
        <vt:i4>1245218</vt:i4>
      </vt:variant>
      <vt:variant>
        <vt:i4>9</vt:i4>
      </vt:variant>
      <vt:variant>
        <vt:i4>0</vt:i4>
      </vt:variant>
      <vt:variant>
        <vt:i4>5</vt:i4>
      </vt:variant>
      <vt:variant>
        <vt:lpwstr>http://www.ema.europa.eu/</vt:lpwstr>
      </vt:variant>
      <vt:variant>
        <vt:lpwstr/>
      </vt:variant>
      <vt:variant>
        <vt:i4>7077905</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7077905</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Albina Burkauskaitė</cp:lastModifiedBy>
  <cp:revision>2</cp:revision>
  <cp:lastPrinted>2018-08-24T10:45:00Z</cp:lastPrinted>
  <dcterms:created xsi:type="dcterms:W3CDTF">2021-05-12T12:02:00Z</dcterms:created>
  <dcterms:modified xsi:type="dcterms:W3CDTF">2021-05-12T12:02:00Z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0x01010097D0BB27F6170C4281D72A09042F392A</vt:lpwstr>
  </property>
</Properties>
</file>