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CD7E5" w14:textId="77777777" w:rsidR="002B1317" w:rsidRPr="002B1317" w:rsidRDefault="002B1317" w:rsidP="002B1317">
      <w:pPr>
        <w:pStyle w:val="BodyText"/>
        <w:pBdr>
          <w:top w:val="single" w:sz="4" w:space="1" w:color="auto"/>
          <w:left w:val="single" w:sz="4" w:space="4" w:color="auto"/>
          <w:bottom w:val="single" w:sz="4" w:space="1" w:color="auto"/>
          <w:right w:val="single" w:sz="4" w:space="4" w:color="auto"/>
        </w:pBdr>
        <w:spacing w:after="0"/>
        <w:rPr>
          <w:b/>
          <w:szCs w:val="22"/>
        </w:rPr>
      </w:pPr>
      <w:r w:rsidRPr="002B1317">
        <w:rPr>
          <w:b/>
          <w:szCs w:val="22"/>
        </w:rPr>
        <w:t>INFORMACIJA ANT IŠORINĖS PAKUOTĖS</w:t>
      </w:r>
    </w:p>
    <w:p w14:paraId="0AC361FB" w14:textId="77777777" w:rsidR="002B1317" w:rsidRPr="002B1317" w:rsidRDefault="002B1317" w:rsidP="002B1317">
      <w:pPr>
        <w:pStyle w:val="BodyText"/>
        <w:pBdr>
          <w:top w:val="single" w:sz="4" w:space="1" w:color="auto"/>
          <w:left w:val="single" w:sz="4" w:space="4" w:color="auto"/>
          <w:bottom w:val="single" w:sz="4" w:space="1" w:color="auto"/>
          <w:right w:val="single" w:sz="4" w:space="4" w:color="auto"/>
        </w:pBdr>
        <w:spacing w:after="0"/>
        <w:rPr>
          <w:b/>
          <w:szCs w:val="22"/>
        </w:rPr>
      </w:pPr>
    </w:p>
    <w:p w14:paraId="0492A258" w14:textId="77777777" w:rsidR="002B1317" w:rsidRPr="002B1317" w:rsidRDefault="002B1317" w:rsidP="002B1317">
      <w:pPr>
        <w:pStyle w:val="BodyText"/>
        <w:pBdr>
          <w:top w:val="single" w:sz="4" w:space="1" w:color="auto"/>
          <w:left w:val="single" w:sz="4" w:space="4" w:color="auto"/>
          <w:bottom w:val="single" w:sz="4" w:space="1" w:color="auto"/>
          <w:right w:val="single" w:sz="4" w:space="4" w:color="auto"/>
        </w:pBdr>
        <w:spacing w:after="0"/>
        <w:rPr>
          <w:b/>
          <w:szCs w:val="22"/>
        </w:rPr>
      </w:pPr>
      <w:r w:rsidRPr="002B1317">
        <w:rPr>
          <w:b/>
          <w:szCs w:val="22"/>
        </w:rPr>
        <w:t>KARTONO DĖŽUTĖ</w:t>
      </w:r>
    </w:p>
    <w:p w14:paraId="086ABA60" w14:textId="77777777" w:rsidR="002B1317" w:rsidRPr="002B1317" w:rsidRDefault="002B1317" w:rsidP="002B1317">
      <w:pPr>
        <w:pStyle w:val="BodyText"/>
        <w:spacing w:after="0"/>
        <w:rPr>
          <w:szCs w:val="22"/>
        </w:rPr>
      </w:pPr>
    </w:p>
    <w:p w14:paraId="017CB564" w14:textId="77777777" w:rsidR="002B1317" w:rsidRPr="002B1317" w:rsidRDefault="002B1317" w:rsidP="002B1317">
      <w:pPr>
        <w:pStyle w:val="Heading3"/>
        <w:pBdr>
          <w:top w:val="single" w:sz="4" w:space="1" w:color="auto"/>
          <w:left w:val="single" w:sz="4" w:space="4" w:color="auto"/>
          <w:bottom w:val="single" w:sz="4" w:space="1" w:color="auto"/>
          <w:right w:val="single" w:sz="4" w:space="4" w:color="auto"/>
        </w:pBdr>
        <w:rPr>
          <w:szCs w:val="22"/>
        </w:rPr>
      </w:pPr>
      <w:r w:rsidRPr="002B1317">
        <w:rPr>
          <w:szCs w:val="22"/>
        </w:rPr>
        <w:t>1.</w:t>
      </w:r>
      <w:r w:rsidRPr="002B1317">
        <w:rPr>
          <w:szCs w:val="22"/>
        </w:rPr>
        <w:tab/>
        <w:t>VAISTINIO PREPARATO PAVADINIMAS</w:t>
      </w:r>
    </w:p>
    <w:p w14:paraId="28477FDE" w14:textId="77777777" w:rsidR="002B1317" w:rsidRPr="002B1317" w:rsidRDefault="002B1317" w:rsidP="002B1317">
      <w:pPr>
        <w:pStyle w:val="BodyText"/>
        <w:spacing w:after="0"/>
        <w:rPr>
          <w:szCs w:val="22"/>
        </w:rPr>
      </w:pPr>
    </w:p>
    <w:p w14:paraId="5A012683" w14:textId="2CC3EC81" w:rsidR="002B1317" w:rsidRPr="002B1317" w:rsidRDefault="002B1317" w:rsidP="002B1317">
      <w:pPr>
        <w:pStyle w:val="BodyText"/>
        <w:spacing w:after="0"/>
      </w:pPr>
      <w:r w:rsidRPr="002B1317">
        <w:t xml:space="preserve">Cathejell 20/0,5 mg/g gelis </w:t>
      </w:r>
    </w:p>
    <w:p w14:paraId="792F6423" w14:textId="6B22718E" w:rsidR="002B1317" w:rsidRPr="002B1317" w:rsidRDefault="002B1317" w:rsidP="002B1317">
      <w:pPr>
        <w:pStyle w:val="BodyText"/>
        <w:spacing w:after="0"/>
        <w:rPr>
          <w:szCs w:val="22"/>
        </w:rPr>
      </w:pPr>
      <w:r w:rsidRPr="002B1317">
        <w:rPr>
          <w:szCs w:val="22"/>
        </w:rPr>
        <w:t>Lidokaino hidrochloridas/Chlorheksidino dihidrochloridas</w:t>
      </w:r>
    </w:p>
    <w:p w14:paraId="654A7053" w14:textId="77777777" w:rsidR="002B1317" w:rsidRPr="002B1317" w:rsidRDefault="002B1317" w:rsidP="002B1317">
      <w:pPr>
        <w:pStyle w:val="BodyText"/>
        <w:spacing w:after="0"/>
        <w:rPr>
          <w:szCs w:val="22"/>
        </w:rPr>
      </w:pPr>
    </w:p>
    <w:p w14:paraId="73C41616" w14:textId="77777777" w:rsidR="002B1317" w:rsidRPr="002B1317" w:rsidRDefault="002B1317" w:rsidP="002B1317">
      <w:pPr>
        <w:pBdr>
          <w:top w:val="single" w:sz="4" w:space="1" w:color="auto"/>
          <w:left w:val="single" w:sz="4" w:space="4" w:color="auto"/>
          <w:bottom w:val="single" w:sz="4" w:space="1" w:color="auto"/>
          <w:right w:val="single" w:sz="4" w:space="4" w:color="auto"/>
        </w:pBdr>
        <w:ind w:left="567" w:hanging="567"/>
        <w:outlineLvl w:val="0"/>
        <w:rPr>
          <w:b/>
          <w:szCs w:val="22"/>
        </w:rPr>
      </w:pPr>
      <w:r w:rsidRPr="002B1317">
        <w:rPr>
          <w:b/>
          <w:szCs w:val="22"/>
        </w:rPr>
        <w:t>2.</w:t>
      </w:r>
      <w:r w:rsidRPr="002B1317">
        <w:rPr>
          <w:b/>
          <w:szCs w:val="22"/>
        </w:rPr>
        <w:tab/>
        <w:t>VEIKLIOJI (-IOS) MEDŽIAGA (-OS) IR JOS (-Ų) KIEKIS (-IAI)</w:t>
      </w:r>
    </w:p>
    <w:p w14:paraId="44904673" w14:textId="77777777" w:rsidR="002B1317" w:rsidRPr="002B1317" w:rsidRDefault="002B1317" w:rsidP="002B1317">
      <w:pPr>
        <w:pStyle w:val="BodyText"/>
        <w:spacing w:after="0"/>
        <w:rPr>
          <w:szCs w:val="22"/>
        </w:rPr>
      </w:pPr>
    </w:p>
    <w:p w14:paraId="6DEB7860" w14:textId="77777777" w:rsidR="002B1317" w:rsidRPr="002B1317" w:rsidRDefault="002B1317" w:rsidP="002B1317">
      <w:pPr>
        <w:pStyle w:val="BodyText"/>
        <w:spacing w:after="0"/>
        <w:rPr>
          <w:szCs w:val="22"/>
        </w:rPr>
      </w:pPr>
      <w:r w:rsidRPr="002B1317">
        <w:rPr>
          <w:szCs w:val="22"/>
        </w:rPr>
        <w:t>1 g gelio yra 20 mg lidokaino hidrochlorido ir 0,5 mg chlorheksidino dihidrochlorido.</w:t>
      </w:r>
    </w:p>
    <w:p w14:paraId="7D75E977" w14:textId="77777777" w:rsidR="002B1317" w:rsidRPr="002B1317" w:rsidRDefault="002B1317" w:rsidP="002B1317">
      <w:pPr>
        <w:tabs>
          <w:tab w:val="left" w:pos="567"/>
        </w:tabs>
        <w:rPr>
          <w:szCs w:val="22"/>
        </w:rPr>
      </w:pPr>
      <w:r w:rsidRPr="002B1317">
        <w:rPr>
          <w:szCs w:val="22"/>
        </w:rPr>
        <w:t>Viename švirkšte (12,5 g gelio) yra 250 mg lidokaino hidrochlorido ir 6,25 mg chlorheksidino dihidrochlorido.</w:t>
      </w:r>
    </w:p>
    <w:p w14:paraId="6F1D3F58" w14:textId="77777777" w:rsidR="002B1317" w:rsidRPr="002B1317" w:rsidRDefault="002B1317" w:rsidP="002B1317">
      <w:pPr>
        <w:pStyle w:val="BodyText"/>
        <w:spacing w:after="0"/>
        <w:rPr>
          <w:szCs w:val="22"/>
        </w:rPr>
      </w:pPr>
    </w:p>
    <w:p w14:paraId="50140336" w14:textId="77777777" w:rsidR="002B1317" w:rsidRPr="002B1317" w:rsidRDefault="002B1317" w:rsidP="002B1317">
      <w:pPr>
        <w:pStyle w:val="Heading3"/>
        <w:pBdr>
          <w:top w:val="single" w:sz="4" w:space="1" w:color="auto"/>
          <w:left w:val="single" w:sz="4" w:space="4" w:color="auto"/>
          <w:bottom w:val="single" w:sz="4" w:space="1" w:color="auto"/>
          <w:right w:val="single" w:sz="4" w:space="4" w:color="auto"/>
        </w:pBdr>
        <w:rPr>
          <w:szCs w:val="22"/>
        </w:rPr>
      </w:pPr>
      <w:r w:rsidRPr="002B1317">
        <w:rPr>
          <w:szCs w:val="22"/>
        </w:rPr>
        <w:t>3.</w:t>
      </w:r>
      <w:r w:rsidRPr="002B1317">
        <w:rPr>
          <w:szCs w:val="22"/>
        </w:rPr>
        <w:tab/>
        <w:t>PAGALBINIŲ MEDŽIAGŲ SĄRAŠAS</w:t>
      </w:r>
    </w:p>
    <w:p w14:paraId="2ACC0C5B" w14:textId="77777777" w:rsidR="002B1317" w:rsidRPr="002B1317" w:rsidRDefault="002B1317" w:rsidP="002B1317">
      <w:pPr>
        <w:pStyle w:val="BodyText"/>
        <w:spacing w:after="0"/>
        <w:rPr>
          <w:szCs w:val="22"/>
        </w:rPr>
      </w:pPr>
    </w:p>
    <w:p w14:paraId="7102BB73" w14:textId="1A409CF0" w:rsidR="002B1317" w:rsidRPr="002B1317" w:rsidRDefault="002B1317" w:rsidP="002B1317">
      <w:pPr>
        <w:tabs>
          <w:tab w:val="left" w:pos="567"/>
        </w:tabs>
        <w:rPr>
          <w:szCs w:val="22"/>
        </w:rPr>
      </w:pPr>
      <w:r w:rsidRPr="002B1317">
        <w:rPr>
          <w:szCs w:val="22"/>
        </w:rPr>
        <w:t>Pagalbinės medžiagos: hidroksietilceliuliozė, glicerolis, natrio laktatas, injekcinis vanduo</w:t>
      </w:r>
      <w:r w:rsidR="0068214D">
        <w:rPr>
          <w:szCs w:val="22"/>
        </w:rPr>
        <w:t>, natrio hidroksido ir druskos rūgšties tirpalas, skirtas pH sureguliuoti</w:t>
      </w:r>
      <w:r w:rsidRPr="002B1317">
        <w:rPr>
          <w:szCs w:val="22"/>
        </w:rPr>
        <w:t>.</w:t>
      </w:r>
    </w:p>
    <w:p w14:paraId="32B41881" w14:textId="77777777" w:rsidR="002B1317" w:rsidRPr="002B1317" w:rsidRDefault="002B1317" w:rsidP="002B1317">
      <w:pPr>
        <w:pStyle w:val="BodyText"/>
        <w:spacing w:after="0"/>
        <w:rPr>
          <w:szCs w:val="22"/>
        </w:rPr>
      </w:pPr>
    </w:p>
    <w:p w14:paraId="421CE847" w14:textId="77777777" w:rsidR="002B1317" w:rsidRPr="002B1317" w:rsidRDefault="002B1317" w:rsidP="002B1317">
      <w:pPr>
        <w:pStyle w:val="Heading3"/>
        <w:pBdr>
          <w:top w:val="single" w:sz="4" w:space="1" w:color="auto"/>
          <w:left w:val="single" w:sz="4" w:space="4" w:color="auto"/>
          <w:bottom w:val="single" w:sz="4" w:space="1" w:color="auto"/>
          <w:right w:val="single" w:sz="4" w:space="4" w:color="auto"/>
        </w:pBdr>
        <w:rPr>
          <w:szCs w:val="22"/>
        </w:rPr>
      </w:pPr>
      <w:r w:rsidRPr="002B1317">
        <w:rPr>
          <w:szCs w:val="22"/>
        </w:rPr>
        <w:t>4.</w:t>
      </w:r>
      <w:r w:rsidRPr="002B1317">
        <w:rPr>
          <w:szCs w:val="22"/>
        </w:rPr>
        <w:tab/>
        <w:t>FARMACINĖ FORMA IR KIEKIS PAKUOTĖJE</w:t>
      </w:r>
    </w:p>
    <w:p w14:paraId="6A07B658" w14:textId="77777777" w:rsidR="002B1317" w:rsidRPr="002B1317" w:rsidRDefault="002B1317" w:rsidP="002B1317">
      <w:pPr>
        <w:pStyle w:val="BodyText"/>
        <w:spacing w:after="0"/>
        <w:rPr>
          <w:szCs w:val="22"/>
        </w:rPr>
      </w:pPr>
    </w:p>
    <w:p w14:paraId="44EB43E8" w14:textId="77777777" w:rsidR="002B1317" w:rsidRPr="002B1317" w:rsidRDefault="002B1317" w:rsidP="002B1317">
      <w:pPr>
        <w:pStyle w:val="BodyText"/>
        <w:spacing w:after="0"/>
        <w:rPr>
          <w:szCs w:val="22"/>
        </w:rPr>
      </w:pPr>
      <w:r w:rsidRPr="005E0616">
        <w:rPr>
          <w:szCs w:val="22"/>
          <w:highlight w:val="lightGray"/>
        </w:rPr>
        <w:t>Gelis</w:t>
      </w:r>
    </w:p>
    <w:p w14:paraId="1098F161" w14:textId="13343B89" w:rsidR="002B1317" w:rsidRPr="002B1317" w:rsidRDefault="002B1317" w:rsidP="002B1317">
      <w:pPr>
        <w:pStyle w:val="BodyText"/>
        <w:spacing w:after="0"/>
        <w:rPr>
          <w:szCs w:val="22"/>
        </w:rPr>
      </w:pPr>
      <w:r w:rsidRPr="00992BD7">
        <w:rPr>
          <w:szCs w:val="22"/>
          <w:highlight w:val="lightGray"/>
        </w:rPr>
        <w:t>5 sterilios vienadozės talpyklės (5 x 12,5 g gelio)</w:t>
      </w:r>
    </w:p>
    <w:p w14:paraId="5670BE66" w14:textId="59C91B96" w:rsidR="002B1317" w:rsidRPr="002B1317" w:rsidRDefault="002B1317" w:rsidP="002B1317">
      <w:pPr>
        <w:pStyle w:val="BodyText"/>
        <w:spacing w:after="0"/>
        <w:rPr>
          <w:szCs w:val="22"/>
        </w:rPr>
      </w:pPr>
      <w:r w:rsidRPr="00992BD7">
        <w:rPr>
          <w:szCs w:val="22"/>
        </w:rPr>
        <w:t>25 sterilios vienadozės talpyklės (25 x 12,5 g gelio)</w:t>
      </w:r>
    </w:p>
    <w:p w14:paraId="004F9312" w14:textId="77777777" w:rsidR="002B1317" w:rsidRPr="002B1317" w:rsidRDefault="002B1317" w:rsidP="002B1317">
      <w:pPr>
        <w:pStyle w:val="BodyText"/>
        <w:spacing w:after="0"/>
        <w:rPr>
          <w:szCs w:val="22"/>
        </w:rPr>
      </w:pPr>
    </w:p>
    <w:p w14:paraId="07C9D58F" w14:textId="77777777" w:rsidR="002B1317" w:rsidRPr="002B1317" w:rsidRDefault="002B1317" w:rsidP="002B1317">
      <w:pPr>
        <w:pStyle w:val="Heading3"/>
        <w:pBdr>
          <w:top w:val="single" w:sz="4" w:space="1" w:color="auto"/>
          <w:left w:val="single" w:sz="4" w:space="4" w:color="auto"/>
          <w:bottom w:val="single" w:sz="4" w:space="1" w:color="auto"/>
          <w:right w:val="single" w:sz="4" w:space="4" w:color="auto"/>
        </w:pBdr>
        <w:rPr>
          <w:szCs w:val="22"/>
        </w:rPr>
      </w:pPr>
      <w:r w:rsidRPr="002B1317">
        <w:rPr>
          <w:szCs w:val="22"/>
        </w:rPr>
        <w:t>5.</w:t>
      </w:r>
      <w:r w:rsidRPr="002B1317">
        <w:rPr>
          <w:szCs w:val="22"/>
        </w:rPr>
        <w:tab/>
        <w:t>VARTOJIMO METODAS IR BŪDAS (-AI)</w:t>
      </w:r>
    </w:p>
    <w:p w14:paraId="65129562" w14:textId="77777777" w:rsidR="002B1317" w:rsidRPr="002B1317" w:rsidRDefault="002B1317" w:rsidP="002B1317">
      <w:pPr>
        <w:pStyle w:val="BodyText"/>
        <w:spacing w:after="0"/>
        <w:rPr>
          <w:szCs w:val="22"/>
        </w:rPr>
      </w:pPr>
    </w:p>
    <w:p w14:paraId="49B89EF3" w14:textId="2550A666" w:rsidR="002B1317" w:rsidRPr="002B1317" w:rsidRDefault="002B1317" w:rsidP="002B1317">
      <w:pPr>
        <w:pStyle w:val="BodyText"/>
        <w:spacing w:after="0"/>
        <w:rPr>
          <w:szCs w:val="22"/>
        </w:rPr>
      </w:pPr>
      <w:r w:rsidRPr="002B1317">
        <w:rPr>
          <w:szCs w:val="22"/>
        </w:rPr>
        <w:t>Vartoti į šlaplę.</w:t>
      </w:r>
      <w:r w:rsidR="00EF6ADD">
        <w:rPr>
          <w:szCs w:val="22"/>
        </w:rPr>
        <w:t xml:space="preserve"> </w:t>
      </w:r>
      <w:r w:rsidRPr="002B1317">
        <w:rPr>
          <w:szCs w:val="22"/>
        </w:rPr>
        <w:t>Prieš vartojimą perskaityti pakuotės lapelį.</w:t>
      </w:r>
    </w:p>
    <w:p w14:paraId="5F77B23D" w14:textId="77777777" w:rsidR="002B1317" w:rsidRPr="002B1317" w:rsidRDefault="002B1317" w:rsidP="002B1317">
      <w:pPr>
        <w:pStyle w:val="BodyText"/>
        <w:spacing w:after="0"/>
        <w:rPr>
          <w:szCs w:val="22"/>
        </w:rPr>
      </w:pPr>
    </w:p>
    <w:p w14:paraId="0DFDAD19" w14:textId="77777777" w:rsidR="002B1317" w:rsidRPr="002B1317" w:rsidRDefault="002B1317" w:rsidP="002B1317">
      <w:pPr>
        <w:pBdr>
          <w:top w:val="single" w:sz="4" w:space="1" w:color="auto"/>
          <w:left w:val="single" w:sz="4" w:space="4" w:color="auto"/>
          <w:bottom w:val="single" w:sz="4" w:space="1" w:color="auto"/>
          <w:right w:val="single" w:sz="4" w:space="4" w:color="auto"/>
        </w:pBdr>
        <w:ind w:left="567" w:hanging="567"/>
        <w:outlineLvl w:val="0"/>
        <w:rPr>
          <w:szCs w:val="22"/>
        </w:rPr>
      </w:pPr>
      <w:r w:rsidRPr="002B1317">
        <w:rPr>
          <w:b/>
          <w:szCs w:val="22"/>
        </w:rPr>
        <w:t>6.</w:t>
      </w:r>
      <w:r w:rsidRPr="002B1317">
        <w:rPr>
          <w:b/>
          <w:szCs w:val="22"/>
        </w:rPr>
        <w:tab/>
        <w:t>SPECIALUS ĮSPĖJIMAS, KAD VAISTINĮ PREPARATĄ BŪTINA LAIKYTI VAIKAMS NEPASTEBIMOJE IR  NEPASIEKIAMOJE VIETOJE</w:t>
      </w:r>
    </w:p>
    <w:p w14:paraId="57E650E0" w14:textId="77777777" w:rsidR="002B1317" w:rsidRPr="002B1317" w:rsidRDefault="002B1317" w:rsidP="002B1317">
      <w:pPr>
        <w:rPr>
          <w:szCs w:val="22"/>
        </w:rPr>
      </w:pPr>
    </w:p>
    <w:p w14:paraId="39B99571" w14:textId="77777777" w:rsidR="002B1317" w:rsidRPr="002B1317" w:rsidRDefault="002B1317" w:rsidP="002B1317">
      <w:pPr>
        <w:rPr>
          <w:szCs w:val="22"/>
        </w:rPr>
      </w:pPr>
      <w:r w:rsidRPr="002B1317">
        <w:rPr>
          <w:szCs w:val="22"/>
        </w:rPr>
        <w:t>Laikyti vaikams nepastebimoje ir nepasiekiamoje vietoje.</w:t>
      </w:r>
    </w:p>
    <w:p w14:paraId="5DBBABCA" w14:textId="77777777" w:rsidR="002B1317" w:rsidRPr="002B1317" w:rsidRDefault="002B1317" w:rsidP="002B1317">
      <w:pPr>
        <w:pStyle w:val="BodyText"/>
        <w:spacing w:after="0"/>
        <w:rPr>
          <w:szCs w:val="22"/>
        </w:rPr>
      </w:pPr>
    </w:p>
    <w:p w14:paraId="03BA42A6" w14:textId="77777777" w:rsidR="002B1317" w:rsidRPr="002B1317" w:rsidRDefault="002B1317" w:rsidP="002B1317">
      <w:pPr>
        <w:pBdr>
          <w:top w:val="single" w:sz="4" w:space="1" w:color="auto"/>
          <w:left w:val="single" w:sz="4" w:space="4" w:color="auto"/>
          <w:bottom w:val="single" w:sz="4" w:space="1" w:color="auto"/>
          <w:right w:val="single" w:sz="4" w:space="4" w:color="auto"/>
        </w:pBdr>
        <w:ind w:left="567" w:hanging="567"/>
        <w:outlineLvl w:val="0"/>
        <w:rPr>
          <w:szCs w:val="22"/>
        </w:rPr>
      </w:pPr>
      <w:r w:rsidRPr="002B1317">
        <w:rPr>
          <w:b/>
          <w:szCs w:val="22"/>
        </w:rPr>
        <w:t>7.</w:t>
      </w:r>
      <w:r w:rsidRPr="002B1317">
        <w:rPr>
          <w:b/>
          <w:szCs w:val="22"/>
        </w:rPr>
        <w:tab/>
        <w:t>KITAS (-I) SPECIALUS (-ŪS) ĮSPĖJIMAS (-AI) (JEI REIKIA)</w:t>
      </w:r>
    </w:p>
    <w:p w14:paraId="36C0E42E" w14:textId="7F57CBF6" w:rsidR="002B1317" w:rsidRDefault="002B1317" w:rsidP="002B1317">
      <w:pPr>
        <w:pStyle w:val="BodyText"/>
        <w:spacing w:after="0"/>
        <w:rPr>
          <w:szCs w:val="22"/>
        </w:rPr>
      </w:pPr>
    </w:p>
    <w:p w14:paraId="663887AA" w14:textId="77777777" w:rsidR="00EF6ADD" w:rsidRPr="002B1317" w:rsidRDefault="00EF6ADD" w:rsidP="002B1317">
      <w:pPr>
        <w:pStyle w:val="BodyText"/>
        <w:spacing w:after="0"/>
        <w:rPr>
          <w:szCs w:val="22"/>
        </w:rPr>
      </w:pPr>
    </w:p>
    <w:p w14:paraId="20FE76AE" w14:textId="77777777" w:rsidR="002B1317" w:rsidRPr="002B1317" w:rsidRDefault="002B1317" w:rsidP="002B1317">
      <w:pPr>
        <w:pStyle w:val="Heading3"/>
        <w:pBdr>
          <w:top w:val="single" w:sz="4" w:space="1" w:color="auto"/>
          <w:left w:val="single" w:sz="4" w:space="4" w:color="auto"/>
          <w:bottom w:val="single" w:sz="4" w:space="1" w:color="auto"/>
          <w:right w:val="single" w:sz="4" w:space="4" w:color="auto"/>
        </w:pBdr>
        <w:rPr>
          <w:szCs w:val="22"/>
        </w:rPr>
      </w:pPr>
      <w:r w:rsidRPr="002B1317">
        <w:rPr>
          <w:szCs w:val="22"/>
        </w:rPr>
        <w:t>8.</w:t>
      </w:r>
      <w:r w:rsidRPr="002B1317">
        <w:rPr>
          <w:szCs w:val="22"/>
        </w:rPr>
        <w:tab/>
        <w:t>TINKAMUMO LAIKAS</w:t>
      </w:r>
    </w:p>
    <w:p w14:paraId="5D1BAD01" w14:textId="77777777" w:rsidR="002B1317" w:rsidRPr="002B1317" w:rsidRDefault="002B1317" w:rsidP="002B1317">
      <w:pPr>
        <w:pStyle w:val="BodyText"/>
        <w:spacing w:after="0"/>
        <w:rPr>
          <w:szCs w:val="22"/>
        </w:rPr>
      </w:pPr>
    </w:p>
    <w:p w14:paraId="09C8D742" w14:textId="236B55C4" w:rsidR="002B1317" w:rsidRPr="002B1317" w:rsidRDefault="002B1317" w:rsidP="002B1317">
      <w:pPr>
        <w:pStyle w:val="BodyText"/>
        <w:spacing w:after="0"/>
        <w:rPr>
          <w:szCs w:val="22"/>
        </w:rPr>
      </w:pPr>
      <w:r w:rsidRPr="002B1317">
        <w:rPr>
          <w:szCs w:val="22"/>
        </w:rPr>
        <w:t>Tinka iki</w:t>
      </w:r>
      <w:r w:rsidRPr="0034741F">
        <w:rPr>
          <w:szCs w:val="22"/>
          <w:highlight w:val="lightGray"/>
        </w:rPr>
        <w:t>/EXP</w:t>
      </w:r>
      <w:r w:rsidRPr="002B1317">
        <w:rPr>
          <w:szCs w:val="22"/>
        </w:rPr>
        <w:t xml:space="preserve">: </w:t>
      </w:r>
      <w:r w:rsidRPr="0034741F">
        <w:rPr>
          <w:szCs w:val="22"/>
          <w:highlight w:val="lightGray"/>
        </w:rPr>
        <w:t>MMMM mm</w:t>
      </w:r>
    </w:p>
    <w:p w14:paraId="2B87B98C" w14:textId="77777777" w:rsidR="002B1317" w:rsidRPr="002B1317" w:rsidRDefault="002B1317" w:rsidP="002B1317">
      <w:pPr>
        <w:pStyle w:val="BodyText"/>
        <w:spacing w:after="0"/>
        <w:rPr>
          <w:szCs w:val="22"/>
        </w:rPr>
      </w:pPr>
    </w:p>
    <w:p w14:paraId="10E5F46C" w14:textId="77777777" w:rsidR="002B1317" w:rsidRPr="002B1317" w:rsidRDefault="002B1317" w:rsidP="002B1317">
      <w:pPr>
        <w:pStyle w:val="Heading3"/>
        <w:pBdr>
          <w:top w:val="single" w:sz="4" w:space="1" w:color="auto"/>
          <w:left w:val="single" w:sz="4" w:space="4" w:color="auto"/>
          <w:bottom w:val="single" w:sz="4" w:space="1" w:color="auto"/>
          <w:right w:val="single" w:sz="4" w:space="4" w:color="auto"/>
        </w:pBdr>
        <w:rPr>
          <w:szCs w:val="22"/>
        </w:rPr>
      </w:pPr>
      <w:r w:rsidRPr="002B1317">
        <w:rPr>
          <w:szCs w:val="22"/>
        </w:rPr>
        <w:t>9.</w:t>
      </w:r>
      <w:r w:rsidRPr="002B1317">
        <w:rPr>
          <w:szCs w:val="22"/>
        </w:rPr>
        <w:tab/>
        <w:t>SPECIALIOS LAIKYMO SĄLYGOS</w:t>
      </w:r>
    </w:p>
    <w:p w14:paraId="60DE8E6D" w14:textId="77777777" w:rsidR="002B1317" w:rsidRPr="002B1317" w:rsidRDefault="002B1317" w:rsidP="002B1317">
      <w:pPr>
        <w:pStyle w:val="BodyText"/>
        <w:spacing w:after="0"/>
        <w:rPr>
          <w:szCs w:val="22"/>
        </w:rPr>
      </w:pPr>
    </w:p>
    <w:p w14:paraId="550AD878" w14:textId="6ADE4F3C" w:rsidR="002B1317" w:rsidRDefault="002B1317" w:rsidP="0034741F">
      <w:pPr>
        <w:pStyle w:val="BodyText"/>
        <w:spacing w:after="0"/>
        <w:jc w:val="both"/>
        <w:rPr>
          <w:szCs w:val="22"/>
        </w:rPr>
      </w:pPr>
      <w:r w:rsidRPr="002B1317">
        <w:rPr>
          <w:szCs w:val="22"/>
        </w:rPr>
        <w:t>Laikyti gamintojo pakuotėje, kad preparatas būtų apsaugotas nuo šviesos.</w:t>
      </w:r>
      <w:r w:rsidR="00FA0814">
        <w:rPr>
          <w:szCs w:val="22"/>
        </w:rPr>
        <w:t xml:space="preserve"> Laikyti ne aukštesnėje kaip 30</w:t>
      </w:r>
      <w:r w:rsidR="00FA0814" w:rsidRPr="00DE2807">
        <w:rPr>
          <w:szCs w:val="22"/>
          <w:vertAlign w:val="superscript"/>
        </w:rPr>
        <w:t>o</w:t>
      </w:r>
      <w:r w:rsidR="00FA0814">
        <w:rPr>
          <w:szCs w:val="22"/>
        </w:rPr>
        <w:t xml:space="preserve"> C temperatūroje.</w:t>
      </w:r>
    </w:p>
    <w:p w14:paraId="600A34DB" w14:textId="77777777" w:rsidR="002B1317" w:rsidRPr="002B1317" w:rsidRDefault="002B1317" w:rsidP="002B1317">
      <w:pPr>
        <w:pStyle w:val="BodyText"/>
        <w:spacing w:after="0"/>
        <w:rPr>
          <w:szCs w:val="22"/>
        </w:rPr>
      </w:pPr>
    </w:p>
    <w:p w14:paraId="777A5209" w14:textId="77777777" w:rsidR="002B1317" w:rsidRPr="002B1317" w:rsidRDefault="002B1317" w:rsidP="002B1317">
      <w:pPr>
        <w:pStyle w:val="BodyText"/>
        <w:spacing w:after="0"/>
        <w:rPr>
          <w:szCs w:val="22"/>
        </w:rPr>
      </w:pPr>
    </w:p>
    <w:p w14:paraId="2AAA2A4B" w14:textId="77777777" w:rsidR="002B1317" w:rsidRPr="002B1317" w:rsidRDefault="002B1317" w:rsidP="002B1317">
      <w:pPr>
        <w:pBdr>
          <w:top w:val="single" w:sz="4" w:space="1" w:color="auto"/>
          <w:left w:val="single" w:sz="4" w:space="4" w:color="auto"/>
          <w:bottom w:val="single" w:sz="4" w:space="1" w:color="auto"/>
          <w:right w:val="single" w:sz="4" w:space="4" w:color="auto"/>
        </w:pBdr>
        <w:outlineLvl w:val="0"/>
        <w:rPr>
          <w:b/>
          <w:szCs w:val="22"/>
        </w:rPr>
      </w:pPr>
      <w:r w:rsidRPr="002B1317">
        <w:rPr>
          <w:b/>
          <w:szCs w:val="22"/>
        </w:rPr>
        <w:lastRenderedPageBreak/>
        <w:t>10.</w:t>
      </w:r>
      <w:r w:rsidRPr="002B1317">
        <w:rPr>
          <w:b/>
          <w:szCs w:val="22"/>
        </w:rPr>
        <w:tab/>
        <w:t>SPECIALIOS ATSARGUMO PRIEMONĖS DĖL NESUVARTOTO VAISTINIO PREPARATO AR JO ATLIEKŲ TVARKYMO (JEI REIKIA)</w:t>
      </w:r>
    </w:p>
    <w:p w14:paraId="5D253F02" w14:textId="77777777" w:rsidR="002B1317" w:rsidRPr="002B1317" w:rsidRDefault="002B1317" w:rsidP="002B1317">
      <w:pPr>
        <w:pStyle w:val="BodyText"/>
        <w:spacing w:after="0"/>
        <w:rPr>
          <w:szCs w:val="22"/>
        </w:rPr>
      </w:pPr>
    </w:p>
    <w:p w14:paraId="089ECB33" w14:textId="6385362D" w:rsidR="002B1317" w:rsidRPr="002B1317" w:rsidRDefault="002B1317" w:rsidP="002B1317">
      <w:pPr>
        <w:pStyle w:val="BodyText"/>
        <w:spacing w:after="0"/>
        <w:rPr>
          <w:szCs w:val="22"/>
        </w:rPr>
      </w:pPr>
      <w:r w:rsidRPr="002B1317">
        <w:rPr>
          <w:szCs w:val="22"/>
        </w:rPr>
        <w:t>Tik vienkartiniam vartojimui.</w:t>
      </w:r>
      <w:r w:rsidR="00EF6ADD">
        <w:rPr>
          <w:szCs w:val="22"/>
        </w:rPr>
        <w:t xml:space="preserve"> </w:t>
      </w:r>
      <w:r w:rsidRPr="002B1317">
        <w:rPr>
          <w:szCs w:val="22"/>
        </w:rPr>
        <w:t>Nesuvartotą gelį reikia sunaikinti.</w:t>
      </w:r>
    </w:p>
    <w:p w14:paraId="6DC7FF1E" w14:textId="77777777" w:rsidR="002B1317" w:rsidRPr="002B1317" w:rsidRDefault="002B1317" w:rsidP="002B1317">
      <w:pPr>
        <w:pStyle w:val="BodyText"/>
        <w:spacing w:after="0"/>
        <w:rPr>
          <w:szCs w:val="22"/>
        </w:rPr>
      </w:pPr>
    </w:p>
    <w:p w14:paraId="2C930CD3" w14:textId="77777777" w:rsidR="002B1317" w:rsidRPr="002B1317" w:rsidRDefault="002B1317" w:rsidP="002B1317">
      <w:pPr>
        <w:pStyle w:val="Heading3"/>
        <w:pBdr>
          <w:top w:val="single" w:sz="4" w:space="1" w:color="auto"/>
          <w:left w:val="single" w:sz="4" w:space="4" w:color="auto"/>
          <w:bottom w:val="single" w:sz="4" w:space="1" w:color="auto"/>
          <w:right w:val="single" w:sz="4" w:space="4" w:color="auto"/>
        </w:pBdr>
        <w:rPr>
          <w:szCs w:val="22"/>
        </w:rPr>
      </w:pPr>
      <w:r w:rsidRPr="002B1317">
        <w:rPr>
          <w:szCs w:val="22"/>
        </w:rPr>
        <w:t>11.</w:t>
      </w:r>
      <w:r w:rsidRPr="002B1317">
        <w:rPr>
          <w:szCs w:val="22"/>
        </w:rPr>
        <w:tab/>
        <w:t>LYGIAGRETUS IMPORTUOTOJAS</w:t>
      </w:r>
    </w:p>
    <w:p w14:paraId="205FB5EC" w14:textId="77777777" w:rsidR="002B1317" w:rsidRPr="002B1317" w:rsidRDefault="002B1317" w:rsidP="002B1317">
      <w:pPr>
        <w:pStyle w:val="BodyText"/>
        <w:spacing w:after="0"/>
        <w:rPr>
          <w:szCs w:val="22"/>
        </w:rPr>
      </w:pPr>
    </w:p>
    <w:p w14:paraId="12D2EC37" w14:textId="67C5F95F" w:rsidR="002B1317" w:rsidRPr="002B1317" w:rsidRDefault="002B1317" w:rsidP="002B1317">
      <w:pPr>
        <w:pStyle w:val="BodyText"/>
        <w:spacing w:after="0"/>
        <w:rPr>
          <w:szCs w:val="22"/>
        </w:rPr>
      </w:pPr>
      <w:r w:rsidRPr="002B1317">
        <w:rPr>
          <w:szCs w:val="22"/>
        </w:rPr>
        <w:t>Lygiagretus importuotojas UAB „Lex ano“</w:t>
      </w:r>
    </w:p>
    <w:p w14:paraId="2048FF56" w14:textId="77777777" w:rsidR="002B1317" w:rsidRPr="002B1317" w:rsidRDefault="002B1317" w:rsidP="002B1317">
      <w:pPr>
        <w:pStyle w:val="BodyText"/>
        <w:spacing w:after="0"/>
        <w:rPr>
          <w:szCs w:val="22"/>
        </w:rPr>
      </w:pPr>
    </w:p>
    <w:p w14:paraId="2B783D04" w14:textId="77777777" w:rsidR="002B1317" w:rsidRPr="002B1317" w:rsidRDefault="002B1317" w:rsidP="002B1317">
      <w:pPr>
        <w:pBdr>
          <w:top w:val="single" w:sz="4" w:space="1" w:color="auto"/>
          <w:left w:val="single" w:sz="4" w:space="4" w:color="auto"/>
          <w:bottom w:val="single" w:sz="4" w:space="1" w:color="auto"/>
          <w:right w:val="single" w:sz="4" w:space="4" w:color="auto"/>
        </w:pBdr>
        <w:outlineLvl w:val="0"/>
        <w:rPr>
          <w:szCs w:val="22"/>
        </w:rPr>
      </w:pPr>
      <w:r w:rsidRPr="002B1317">
        <w:rPr>
          <w:b/>
          <w:szCs w:val="22"/>
        </w:rPr>
        <w:t>12.</w:t>
      </w:r>
      <w:r w:rsidRPr="002B1317">
        <w:rPr>
          <w:b/>
          <w:szCs w:val="22"/>
        </w:rPr>
        <w:tab/>
        <w:t xml:space="preserve">LYGIAGRETAUS IMPORTO LEIDIMO  NUMERIS (-IAI) </w:t>
      </w:r>
    </w:p>
    <w:p w14:paraId="3EC993D3" w14:textId="77777777" w:rsidR="002B1317" w:rsidRPr="002B1317" w:rsidRDefault="002B1317" w:rsidP="002B1317">
      <w:pPr>
        <w:pStyle w:val="BodyText"/>
        <w:spacing w:after="0"/>
        <w:rPr>
          <w:szCs w:val="22"/>
        </w:rPr>
      </w:pPr>
    </w:p>
    <w:p w14:paraId="5638E988" w14:textId="30FCA20E" w:rsidR="002B1317" w:rsidRPr="002B1317" w:rsidRDefault="00EF6ADD" w:rsidP="002B1317">
      <w:pPr>
        <w:tabs>
          <w:tab w:val="left" w:pos="567"/>
        </w:tabs>
        <w:rPr>
          <w:szCs w:val="22"/>
        </w:rPr>
      </w:pPr>
      <w:r w:rsidRPr="005E0616">
        <w:rPr>
          <w:szCs w:val="22"/>
          <w:highlight w:val="lightGray"/>
        </w:rPr>
        <w:t xml:space="preserve">N5 – </w:t>
      </w:r>
      <w:r w:rsidR="002B1317" w:rsidRPr="005E0616">
        <w:rPr>
          <w:szCs w:val="22"/>
          <w:highlight w:val="lightGray"/>
        </w:rPr>
        <w:t>Lyg. imp. Nr.: LT/L/14/0197/001</w:t>
      </w:r>
    </w:p>
    <w:p w14:paraId="73597A26" w14:textId="66E1C62E" w:rsidR="002B1317" w:rsidRPr="002B1317" w:rsidRDefault="00EF6ADD" w:rsidP="002B1317">
      <w:pPr>
        <w:tabs>
          <w:tab w:val="left" w:pos="567"/>
        </w:tabs>
        <w:rPr>
          <w:szCs w:val="22"/>
        </w:rPr>
      </w:pPr>
      <w:r w:rsidRPr="005E0616">
        <w:rPr>
          <w:szCs w:val="22"/>
        </w:rPr>
        <w:t xml:space="preserve">N25 – </w:t>
      </w:r>
      <w:r w:rsidR="002B1317" w:rsidRPr="005E0616">
        <w:rPr>
          <w:szCs w:val="22"/>
        </w:rPr>
        <w:t>Lyg. imp. Nr.: LT/L/14/0197/002</w:t>
      </w:r>
    </w:p>
    <w:p w14:paraId="4AB0043B" w14:textId="77777777" w:rsidR="002B1317" w:rsidRPr="002B1317" w:rsidRDefault="002B1317" w:rsidP="002B1317">
      <w:pPr>
        <w:pStyle w:val="BodyText"/>
        <w:spacing w:after="0"/>
        <w:rPr>
          <w:szCs w:val="22"/>
        </w:rPr>
      </w:pPr>
    </w:p>
    <w:p w14:paraId="5D9F3229" w14:textId="77777777" w:rsidR="002B1317" w:rsidRPr="002B1317" w:rsidRDefault="002B1317" w:rsidP="002B1317">
      <w:pPr>
        <w:pStyle w:val="Heading3"/>
        <w:pBdr>
          <w:top w:val="single" w:sz="4" w:space="1" w:color="auto"/>
          <w:left w:val="single" w:sz="4" w:space="4" w:color="auto"/>
          <w:bottom w:val="single" w:sz="4" w:space="1" w:color="auto"/>
          <w:right w:val="single" w:sz="4" w:space="4" w:color="auto"/>
        </w:pBdr>
        <w:rPr>
          <w:szCs w:val="22"/>
        </w:rPr>
      </w:pPr>
      <w:r w:rsidRPr="002B1317">
        <w:rPr>
          <w:szCs w:val="22"/>
        </w:rPr>
        <w:t>13.</w:t>
      </w:r>
      <w:r w:rsidRPr="002B1317">
        <w:rPr>
          <w:szCs w:val="22"/>
        </w:rPr>
        <w:tab/>
        <w:t>SERIJOS NUMERIS</w:t>
      </w:r>
    </w:p>
    <w:p w14:paraId="3F5429DC" w14:textId="77777777" w:rsidR="002B1317" w:rsidRPr="002B1317" w:rsidRDefault="002B1317" w:rsidP="002B1317">
      <w:pPr>
        <w:pStyle w:val="BodyText"/>
        <w:spacing w:after="0"/>
        <w:rPr>
          <w:szCs w:val="22"/>
        </w:rPr>
      </w:pPr>
    </w:p>
    <w:p w14:paraId="1AD6A408" w14:textId="77AD33A7" w:rsidR="002B1317" w:rsidRPr="002B1317" w:rsidRDefault="002B1317" w:rsidP="002B1317">
      <w:pPr>
        <w:pStyle w:val="BodyText"/>
        <w:spacing w:after="0"/>
        <w:rPr>
          <w:szCs w:val="22"/>
        </w:rPr>
      </w:pPr>
      <w:r w:rsidRPr="002B1317">
        <w:rPr>
          <w:szCs w:val="22"/>
        </w:rPr>
        <w:t>Serija</w:t>
      </w:r>
      <w:r w:rsidRPr="0034741F">
        <w:rPr>
          <w:szCs w:val="22"/>
          <w:highlight w:val="lightGray"/>
        </w:rPr>
        <w:t>/Lot</w:t>
      </w:r>
      <w:r w:rsidRPr="002B1317">
        <w:rPr>
          <w:szCs w:val="22"/>
        </w:rPr>
        <w:t>:</w:t>
      </w:r>
    </w:p>
    <w:p w14:paraId="67119A50" w14:textId="77777777" w:rsidR="002B1317" w:rsidRPr="002B1317" w:rsidRDefault="002B1317" w:rsidP="002B1317">
      <w:pPr>
        <w:pStyle w:val="BodyText"/>
        <w:spacing w:after="0"/>
        <w:rPr>
          <w:szCs w:val="22"/>
        </w:rPr>
      </w:pPr>
    </w:p>
    <w:p w14:paraId="2959D2B8" w14:textId="77777777" w:rsidR="002B1317" w:rsidRPr="002B1317" w:rsidRDefault="002B1317" w:rsidP="002B1317">
      <w:pPr>
        <w:pStyle w:val="Heading3"/>
        <w:pBdr>
          <w:top w:val="single" w:sz="4" w:space="1" w:color="auto"/>
          <w:left w:val="single" w:sz="4" w:space="4" w:color="auto"/>
          <w:bottom w:val="single" w:sz="4" w:space="1" w:color="auto"/>
          <w:right w:val="single" w:sz="4" w:space="4" w:color="auto"/>
        </w:pBdr>
        <w:rPr>
          <w:szCs w:val="22"/>
        </w:rPr>
      </w:pPr>
      <w:r w:rsidRPr="002B1317">
        <w:rPr>
          <w:szCs w:val="22"/>
        </w:rPr>
        <w:t>14.</w:t>
      </w:r>
      <w:r w:rsidRPr="002B1317">
        <w:rPr>
          <w:szCs w:val="22"/>
        </w:rPr>
        <w:tab/>
        <w:t>PARDAVIMO (IŠDAVIMO) TVARKA</w:t>
      </w:r>
    </w:p>
    <w:p w14:paraId="75F5A6A5" w14:textId="77777777" w:rsidR="002B1317" w:rsidRPr="002B1317" w:rsidRDefault="002B1317" w:rsidP="002B1317">
      <w:pPr>
        <w:pStyle w:val="BodyText"/>
        <w:spacing w:after="0"/>
        <w:rPr>
          <w:szCs w:val="22"/>
        </w:rPr>
      </w:pPr>
    </w:p>
    <w:p w14:paraId="6C0704EB" w14:textId="7E7CBD68" w:rsidR="002B1317" w:rsidRPr="002B1317" w:rsidRDefault="002B1317" w:rsidP="002B1317">
      <w:pPr>
        <w:pStyle w:val="BodyText"/>
        <w:spacing w:after="0"/>
        <w:rPr>
          <w:szCs w:val="22"/>
        </w:rPr>
      </w:pPr>
      <w:r w:rsidRPr="002B1317">
        <w:rPr>
          <w:szCs w:val="22"/>
        </w:rPr>
        <w:t>Receptinis vaist</w:t>
      </w:r>
      <w:r>
        <w:rPr>
          <w:szCs w:val="22"/>
        </w:rPr>
        <w:t>as</w:t>
      </w:r>
      <w:r w:rsidRPr="002B1317">
        <w:rPr>
          <w:szCs w:val="22"/>
        </w:rPr>
        <w:t>.</w:t>
      </w:r>
    </w:p>
    <w:p w14:paraId="1F2479B4" w14:textId="77777777" w:rsidR="002B1317" w:rsidRPr="002B1317" w:rsidRDefault="002B1317" w:rsidP="002B1317">
      <w:pPr>
        <w:pStyle w:val="BodyText"/>
        <w:spacing w:after="0"/>
        <w:rPr>
          <w:szCs w:val="22"/>
        </w:rPr>
      </w:pPr>
    </w:p>
    <w:p w14:paraId="555DB379" w14:textId="77777777" w:rsidR="002B1317" w:rsidRPr="002B1317" w:rsidRDefault="002B1317" w:rsidP="002B1317">
      <w:pPr>
        <w:pBdr>
          <w:top w:val="single" w:sz="4" w:space="2" w:color="auto"/>
          <w:left w:val="single" w:sz="4" w:space="4" w:color="auto"/>
          <w:bottom w:val="single" w:sz="4" w:space="1" w:color="auto"/>
          <w:right w:val="single" w:sz="4" w:space="4" w:color="auto"/>
        </w:pBdr>
        <w:outlineLvl w:val="0"/>
        <w:rPr>
          <w:szCs w:val="22"/>
        </w:rPr>
      </w:pPr>
      <w:r w:rsidRPr="002B1317">
        <w:rPr>
          <w:b/>
          <w:szCs w:val="22"/>
        </w:rPr>
        <w:t>15.</w:t>
      </w:r>
      <w:r w:rsidRPr="002B1317">
        <w:rPr>
          <w:b/>
          <w:szCs w:val="22"/>
        </w:rPr>
        <w:tab/>
        <w:t>VARTOJIMO INSTRUKCIJA</w:t>
      </w:r>
    </w:p>
    <w:p w14:paraId="521EBE7C" w14:textId="77777777" w:rsidR="002B1317" w:rsidRPr="002B1317" w:rsidRDefault="002B1317" w:rsidP="002B1317">
      <w:pPr>
        <w:rPr>
          <w:szCs w:val="22"/>
        </w:rPr>
      </w:pPr>
    </w:p>
    <w:p w14:paraId="007E7497" w14:textId="77777777" w:rsidR="002B1317" w:rsidRPr="002B1317" w:rsidRDefault="002B1317" w:rsidP="002B1317">
      <w:pPr>
        <w:rPr>
          <w:szCs w:val="22"/>
        </w:rPr>
      </w:pPr>
    </w:p>
    <w:p w14:paraId="0E4B7AA8" w14:textId="77777777" w:rsidR="002B1317" w:rsidRPr="002B1317" w:rsidRDefault="002B1317" w:rsidP="002B1317">
      <w:pPr>
        <w:pBdr>
          <w:top w:val="single" w:sz="4" w:space="1" w:color="auto"/>
          <w:left w:val="single" w:sz="4" w:space="4" w:color="auto"/>
          <w:bottom w:val="single" w:sz="4" w:space="0" w:color="auto"/>
          <w:right w:val="single" w:sz="4" w:space="4" w:color="auto"/>
        </w:pBdr>
        <w:rPr>
          <w:color w:val="008000"/>
          <w:szCs w:val="22"/>
        </w:rPr>
      </w:pPr>
      <w:r w:rsidRPr="002B1317">
        <w:rPr>
          <w:b/>
          <w:szCs w:val="22"/>
        </w:rPr>
        <w:t>16.</w:t>
      </w:r>
      <w:r w:rsidRPr="002B1317">
        <w:rPr>
          <w:b/>
          <w:szCs w:val="22"/>
        </w:rPr>
        <w:tab/>
        <w:t>INFORMACIJA BRAILIO RAŠTU</w:t>
      </w:r>
    </w:p>
    <w:p w14:paraId="00AD428C" w14:textId="77777777" w:rsidR="002B1317" w:rsidRPr="002B1317" w:rsidRDefault="002B1317" w:rsidP="002B1317">
      <w:pPr>
        <w:rPr>
          <w:szCs w:val="22"/>
        </w:rPr>
      </w:pPr>
    </w:p>
    <w:p w14:paraId="11DEA6BA" w14:textId="77777777" w:rsidR="002B1317" w:rsidRPr="002B1317" w:rsidRDefault="002B1317" w:rsidP="002B1317">
      <w:r w:rsidRPr="002B1317">
        <w:t>cathejell</w:t>
      </w:r>
    </w:p>
    <w:p w14:paraId="01AD1C32" w14:textId="77777777" w:rsidR="002B1317" w:rsidRPr="001304B3" w:rsidRDefault="002B1317" w:rsidP="002B1317">
      <w:pPr>
        <w:tabs>
          <w:tab w:val="center" w:pos="4535"/>
        </w:tabs>
        <w:rPr>
          <w:szCs w:val="22"/>
        </w:rPr>
      </w:pPr>
    </w:p>
    <w:p w14:paraId="691F5A6A" w14:textId="77777777" w:rsidR="002B1317" w:rsidRPr="001304B3" w:rsidRDefault="002B1317" w:rsidP="002B1317">
      <w:pPr>
        <w:pStyle w:val="ListParagraph"/>
        <w:keepNext/>
        <w:numPr>
          <w:ilvl w:val="0"/>
          <w:numId w:val="3"/>
        </w:numPr>
        <w:pBdr>
          <w:top w:val="single" w:sz="4" w:space="1" w:color="auto"/>
          <w:left w:val="single" w:sz="4" w:space="4" w:color="auto"/>
          <w:bottom w:val="single" w:sz="4" w:space="1" w:color="auto"/>
          <w:right w:val="single" w:sz="4" w:space="4" w:color="auto"/>
        </w:pBdr>
        <w:tabs>
          <w:tab w:val="left" w:pos="66"/>
        </w:tabs>
        <w:ind w:left="426" w:hanging="426"/>
        <w:outlineLvl w:val="0"/>
        <w:rPr>
          <w:rFonts w:ascii="Times New Roman" w:hAnsi="Times New Roman"/>
          <w:i/>
        </w:rPr>
      </w:pPr>
      <w:r w:rsidRPr="001304B3">
        <w:rPr>
          <w:rFonts w:ascii="Times New Roman" w:hAnsi="Times New Roman"/>
          <w:b/>
        </w:rPr>
        <w:t>UNIKALUS IDENTIFIKATORIUS – 2D BRŪKŠNINIS KODAS</w:t>
      </w:r>
    </w:p>
    <w:p w14:paraId="72DC93CF" w14:textId="77777777" w:rsidR="002B1317" w:rsidRPr="001304B3" w:rsidRDefault="002B1317" w:rsidP="002B1317">
      <w:pPr>
        <w:rPr>
          <w:szCs w:val="22"/>
          <w:shd w:val="clear" w:color="auto" w:fill="CCCCCC"/>
        </w:rPr>
      </w:pPr>
      <w:r w:rsidRPr="001304B3">
        <w:rPr>
          <w:szCs w:val="22"/>
          <w:highlight w:val="lightGray"/>
        </w:rPr>
        <w:t>2D brūkšninis kodas su nurodytu unikaliu identifikatoriumi.</w:t>
      </w:r>
    </w:p>
    <w:p w14:paraId="131F7459" w14:textId="77777777" w:rsidR="002B1317" w:rsidRPr="001304B3" w:rsidRDefault="002B1317" w:rsidP="002B1317">
      <w:pPr>
        <w:rPr>
          <w:szCs w:val="22"/>
        </w:rPr>
      </w:pPr>
    </w:p>
    <w:p w14:paraId="38BF2F75" w14:textId="77777777" w:rsidR="002B1317" w:rsidRPr="001304B3" w:rsidRDefault="002B1317" w:rsidP="002B1317">
      <w:pPr>
        <w:pStyle w:val="ListParagraph"/>
        <w:keepNext/>
        <w:numPr>
          <w:ilvl w:val="0"/>
          <w:numId w:val="3"/>
        </w:numPr>
        <w:pBdr>
          <w:top w:val="single" w:sz="4" w:space="1" w:color="auto"/>
          <w:left w:val="single" w:sz="4" w:space="4" w:color="auto"/>
          <w:bottom w:val="single" w:sz="4" w:space="1" w:color="auto"/>
          <w:right w:val="single" w:sz="4" w:space="4" w:color="auto"/>
        </w:pBdr>
        <w:tabs>
          <w:tab w:val="left" w:pos="142"/>
        </w:tabs>
        <w:ind w:left="284" w:hanging="284"/>
        <w:outlineLvl w:val="0"/>
        <w:rPr>
          <w:rFonts w:ascii="Times New Roman" w:hAnsi="Times New Roman"/>
          <w:i/>
        </w:rPr>
      </w:pPr>
      <w:r w:rsidRPr="001304B3">
        <w:rPr>
          <w:rFonts w:ascii="Times New Roman" w:hAnsi="Times New Roman"/>
          <w:b/>
        </w:rPr>
        <w:t>UNIKALUS IDENTIFIKATORIUS – ŽMONĖMS SUPRANTAMI DUOMENYS</w:t>
      </w:r>
    </w:p>
    <w:p w14:paraId="198C6D07" w14:textId="77777777" w:rsidR="002B1317" w:rsidRPr="001304B3" w:rsidRDefault="002B1317" w:rsidP="002B1317">
      <w:pPr>
        <w:rPr>
          <w:color w:val="008000"/>
          <w:szCs w:val="22"/>
        </w:rPr>
      </w:pPr>
      <w:r w:rsidRPr="001304B3">
        <w:rPr>
          <w:szCs w:val="22"/>
        </w:rPr>
        <w:t xml:space="preserve">PC: </w:t>
      </w:r>
    </w:p>
    <w:p w14:paraId="3B3F70FF" w14:textId="77777777" w:rsidR="002B1317" w:rsidRPr="001304B3" w:rsidRDefault="002B1317" w:rsidP="002B1317">
      <w:pPr>
        <w:rPr>
          <w:szCs w:val="22"/>
        </w:rPr>
      </w:pPr>
      <w:r w:rsidRPr="001304B3">
        <w:rPr>
          <w:szCs w:val="22"/>
        </w:rPr>
        <w:t>SN:</w:t>
      </w:r>
    </w:p>
    <w:p w14:paraId="25AEEFB3" w14:textId="032DBE14" w:rsidR="002B1317" w:rsidRPr="00EF6ADD" w:rsidRDefault="002B1317" w:rsidP="002B1317">
      <w:pPr>
        <w:rPr>
          <w:szCs w:val="22"/>
        </w:rPr>
      </w:pPr>
      <w:r w:rsidRPr="001304B3">
        <w:rPr>
          <w:szCs w:val="22"/>
          <w:highlight w:val="lightGray"/>
        </w:rPr>
        <w:t>NN:</w:t>
      </w:r>
      <w:r w:rsidRPr="001304B3">
        <w:rPr>
          <w:szCs w:val="22"/>
        </w:rPr>
        <w:t xml:space="preserve"> </w:t>
      </w:r>
    </w:p>
    <w:p w14:paraId="432E5D40" w14:textId="0532A7DD" w:rsidR="002B1317" w:rsidRPr="002B1317" w:rsidRDefault="002B1317" w:rsidP="002B1317">
      <w:r w:rsidRPr="002B1317">
        <w:rPr>
          <w:noProof/>
          <w:lang w:eastAsia="en-US"/>
        </w:rPr>
        <mc:AlternateContent>
          <mc:Choice Requires="wps">
            <w:drawing>
              <wp:anchor distT="0" distB="0" distL="114300" distR="114300" simplePos="0" relativeHeight="251659264" behindDoc="0" locked="0" layoutInCell="1" allowOverlap="1" wp14:anchorId="1B95DB5A" wp14:editId="6D3AD60D">
                <wp:simplePos x="0" y="0"/>
                <wp:positionH relativeFrom="column">
                  <wp:posOffset>-22860</wp:posOffset>
                </wp:positionH>
                <wp:positionV relativeFrom="paragraph">
                  <wp:posOffset>39370</wp:posOffset>
                </wp:positionV>
                <wp:extent cx="6296025" cy="0"/>
                <wp:effectExtent l="9525" t="9525" r="9525" b="9525"/>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C872C8" id="_x0000_t32" coordsize="21600,21600" o:spt="32" o:oned="t" path="m,l21600,21600e" filled="f">
                <v:path arrowok="t" fillok="f" o:connecttype="none"/>
                <o:lock v:ext="edit" shapetype="t"/>
              </v:shapetype>
              <v:shape id="Tiesioji rodyklės jungtis 1" o:spid="_x0000_s1026" type="#_x0000_t32" style="position:absolute;margin-left:-1.8pt;margin-top:3.1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EpPQIAAGQEAAAOAAAAZHJzL2Uyb0RvYy54bWysVM2O0zAQviPxDpbv3SQlW9po0xVKWi4L&#10;VNryAK7tJN51bMt2m1aI5+CFeDDGTltYuCBEDs5MZuabv8+5uz/2Eh24dUKrEmc3KUZcUc2Eakv8&#10;ebuezDFynihGpFa8xCfu8P3y9au7wRR8qjstGbcIQJQrBlPizntTJImjHe+Ju9GGKzA22vbEg2rb&#10;hFkyAHovk2mazpJBW2asptw5+FqPRryM+E3Dqf/UNI57JEsMtfl42njuwpks70jRWmI6Qc9lkH+o&#10;oidCQdIrVE08QXsr/oDqBbXa6cbfUN0numkE5bEH6CZLf+vmsSOGx15gOM5cx+T+Hyz9eNhYJBjs&#10;DiNFeljRVnDY5pNAVrPTs/z+zaGnvWq9cCgL8xqMKyCsUhsbOqZH9WgeNH12SOmqI6rlse7tyQBY&#10;jEhehATFGci6Gz5oBj5k73Uc3rGxfYCEsaBj3NHpuiN+9IjCx9l0MUuntxjRiy0hxSXQWOffc92j&#10;IJTYeUtE2/lKKwVM0DaLacjhwXloBAIvASGr0mshZSSEVGgo8eIW8gSL01KwYIyKbXeVtOhAAqXi&#10;E6YCYC/cAnJNXDf6MZBGrlm9Vywm6Thhq7PsiZCjDDhShTzQMJR5lkYufVmki9V8Nc8n+XS2muRp&#10;XU/erat8Mltnb2/rN3VV1dnXUHKWF51gjKtQ9YXXWf53vDnfsJGRV2Zfx5O8RI+tQ7GXdyw6bjws&#10;eaTLDpi0sWFKYflA5eh8vnbhrvyqR6+fP4flDwAAAP//AwBQSwMEFAAGAAgAAAAhAOvZEi7cAAAA&#10;BgEAAA8AAABkcnMvZG93bnJldi54bWxMjlFPwjAUhd9N/A/NNfENOqcZMNcRojFG4UGGkdeyXtaF&#10;9XZpC8x/b+VFH0/OyXe+Yj6Yjp3Q+daSgLtxAgyptqqlRsDn5mU0BeaDJCU7SyjgGz3My+urQubK&#10;nmmNpyo0LELI51KADqHPOfe1RiP92PZIsdtbZ2SI0TVcOXmOcNPxNEkybmRL8UHLHp801ofqaAQ8&#10;fOwrt31b8eVz9p66V/211RMjxO3NsHgEFnAIf2P41Y/qUEannT2S8qwTMLrP4lJAlgKL9Ww6mQHb&#10;XTIvC/5fv/wBAAD//wMAUEsBAi0AFAAGAAgAAAAhALaDOJL+AAAA4QEAABMAAAAAAAAAAAAAAAAA&#10;AAAAAFtDb250ZW50X1R5cGVzXS54bWxQSwECLQAUAAYACAAAACEAOP0h/9YAAACUAQAACwAAAAAA&#10;AAAAAAAAAAAvAQAAX3JlbHMvLnJlbHNQSwECLQAUAAYACAAAACEA1q3hKT0CAABkBAAADgAAAAAA&#10;AAAAAAAAAAAuAgAAZHJzL2Uyb0RvYy54bWxQSwECLQAUAAYACAAAACEA69kSLtwAAAAGAQAADwAA&#10;AAAAAAAAAAAAAACXBAAAZHJzL2Rvd25yZXYueG1sUEsFBgAAAAAEAAQA8wAAAKAFAAAAAA==&#10;">
                <v:stroke dashstyle="dash"/>
              </v:shape>
            </w:pict>
          </mc:Fallback>
        </mc:AlternateContent>
      </w:r>
    </w:p>
    <w:p w14:paraId="64BC3511" w14:textId="1B32320F" w:rsidR="002B1317" w:rsidRPr="002B1317" w:rsidRDefault="002B1317" w:rsidP="002B1317">
      <w:pPr>
        <w:rPr>
          <w:rFonts w:eastAsia="Times New Roman"/>
          <w:sz w:val="20"/>
        </w:rPr>
      </w:pPr>
      <w:r w:rsidRPr="002B1317">
        <w:t xml:space="preserve">Gamintojas: </w:t>
      </w:r>
      <w:r w:rsidRPr="002B1317">
        <w:rPr>
          <w:szCs w:val="22"/>
        </w:rPr>
        <w:t>Pharmazeutische Fabrik Montavit Ges.m.b.H., AT-6067 Absam</w:t>
      </w:r>
      <w:r w:rsidR="002C7290">
        <w:rPr>
          <w:szCs w:val="22"/>
        </w:rPr>
        <w:t>/Tirol</w:t>
      </w:r>
      <w:r w:rsidRPr="002B1317">
        <w:rPr>
          <w:szCs w:val="22"/>
        </w:rPr>
        <w:t>, Austrija</w:t>
      </w:r>
    </w:p>
    <w:p w14:paraId="53A69EC0" w14:textId="77777777" w:rsidR="002B1317" w:rsidRPr="002B1317" w:rsidRDefault="002B1317" w:rsidP="002B1317">
      <w:pPr>
        <w:rPr>
          <w:szCs w:val="22"/>
        </w:rPr>
      </w:pPr>
    </w:p>
    <w:p w14:paraId="3A251D91" w14:textId="602C059A" w:rsidR="002B1317" w:rsidRPr="002B1317" w:rsidRDefault="002B1317" w:rsidP="002B1317">
      <w:pPr>
        <w:rPr>
          <w:szCs w:val="22"/>
        </w:rPr>
      </w:pPr>
      <w:r w:rsidRPr="002B1317">
        <w:rPr>
          <w:szCs w:val="22"/>
        </w:rPr>
        <w:t>Perpak</w:t>
      </w:r>
      <w:r>
        <w:rPr>
          <w:szCs w:val="22"/>
        </w:rPr>
        <w:t>avo (žr. šalia 2D kodo)</w:t>
      </w:r>
      <w:r w:rsidR="00992BD7">
        <w:rPr>
          <w:szCs w:val="22"/>
        </w:rPr>
        <w:t xml:space="preserve">. </w:t>
      </w:r>
    </w:p>
    <w:p w14:paraId="0F63C7EC" w14:textId="77777777" w:rsidR="002B1317" w:rsidRDefault="002B1317" w:rsidP="00EF6ADD">
      <w:pPr>
        <w:rPr>
          <w:b/>
          <w:szCs w:val="22"/>
        </w:rPr>
      </w:pPr>
      <w:bookmarkStart w:id="0" w:name="_Toc129243138"/>
      <w:bookmarkStart w:id="1" w:name="_Toc129243263"/>
    </w:p>
    <w:p w14:paraId="69DD4336" w14:textId="46ACE4B0" w:rsidR="002B1317" w:rsidRPr="0034741F" w:rsidRDefault="00EF6ADD" w:rsidP="0034741F">
      <w:pPr>
        <w:jc w:val="both"/>
        <w:rPr>
          <w:bCs/>
          <w:i/>
          <w:iCs/>
          <w:szCs w:val="22"/>
        </w:rPr>
      </w:pPr>
      <w:r w:rsidRPr="0034741F">
        <w:rPr>
          <w:bCs/>
          <w:i/>
          <w:iCs/>
          <w:szCs w:val="22"/>
        </w:rPr>
        <w:t>Lygiagrečiai importuojamas vaistas skiriasi nuo referencinio vaisto skiriasi: laikymo sąlygomis (lyg. imp. vaistą papildomai laikyti ne aukštesnėje kaip 30</w:t>
      </w:r>
      <w:r w:rsidRPr="0034741F">
        <w:rPr>
          <w:bCs/>
          <w:i/>
          <w:iCs/>
          <w:szCs w:val="22"/>
          <w:vertAlign w:val="superscript"/>
        </w:rPr>
        <w:t>o</w:t>
      </w:r>
      <w:r w:rsidRPr="0034741F">
        <w:rPr>
          <w:bCs/>
          <w:i/>
          <w:iCs/>
          <w:szCs w:val="22"/>
        </w:rPr>
        <w:t xml:space="preserve"> C temperatūroje);</w:t>
      </w:r>
      <w:r>
        <w:rPr>
          <w:bCs/>
          <w:i/>
          <w:iCs/>
          <w:szCs w:val="22"/>
        </w:rPr>
        <w:t xml:space="preserve"> pagalbinėmis medžiagomis (lyg. imp. vaisto sudėtyje papildomai yra</w:t>
      </w:r>
      <w:r w:rsidRPr="0034741F">
        <w:rPr>
          <w:bCs/>
          <w:i/>
          <w:iCs/>
          <w:szCs w:val="22"/>
        </w:rPr>
        <w:t xml:space="preserve"> </w:t>
      </w:r>
      <w:r w:rsidRPr="0034741F">
        <w:rPr>
          <w:i/>
          <w:iCs/>
          <w:szCs w:val="22"/>
        </w:rPr>
        <w:t>natrio hidroksido ir druskos rūgšties tirpalas, skirtas pH sureguliuoti</w:t>
      </w:r>
      <w:r>
        <w:rPr>
          <w:i/>
          <w:iCs/>
          <w:szCs w:val="22"/>
        </w:rPr>
        <w:t>)</w:t>
      </w:r>
      <w:r w:rsidR="0034741F">
        <w:rPr>
          <w:i/>
          <w:iCs/>
          <w:szCs w:val="22"/>
        </w:rPr>
        <w:t>.</w:t>
      </w:r>
    </w:p>
    <w:p w14:paraId="0975FFB5" w14:textId="77777777" w:rsidR="002B1317" w:rsidRDefault="002B1317" w:rsidP="002B1317">
      <w:pPr>
        <w:jc w:val="center"/>
        <w:rPr>
          <w:b/>
          <w:szCs w:val="22"/>
        </w:rPr>
      </w:pPr>
    </w:p>
    <w:p w14:paraId="2C7A161C" w14:textId="77777777" w:rsidR="002B1317" w:rsidRDefault="002B1317" w:rsidP="002B1317">
      <w:pPr>
        <w:jc w:val="center"/>
        <w:rPr>
          <w:b/>
          <w:szCs w:val="22"/>
        </w:rPr>
      </w:pPr>
    </w:p>
    <w:p w14:paraId="6CF54B3B" w14:textId="77777777" w:rsidR="002B1317" w:rsidRDefault="002B1317" w:rsidP="002B1317">
      <w:pPr>
        <w:jc w:val="center"/>
        <w:rPr>
          <w:b/>
          <w:szCs w:val="22"/>
        </w:rPr>
      </w:pPr>
    </w:p>
    <w:p w14:paraId="45D36C8E" w14:textId="77777777" w:rsidR="002B1317" w:rsidRDefault="002B1317" w:rsidP="002B1317">
      <w:pPr>
        <w:jc w:val="center"/>
        <w:rPr>
          <w:b/>
          <w:szCs w:val="22"/>
        </w:rPr>
      </w:pPr>
    </w:p>
    <w:p w14:paraId="036D240F" w14:textId="13595899" w:rsidR="002B1317" w:rsidRDefault="002B1317" w:rsidP="002B1317">
      <w:pPr>
        <w:jc w:val="center"/>
        <w:rPr>
          <w:b/>
          <w:szCs w:val="22"/>
        </w:rPr>
      </w:pPr>
    </w:p>
    <w:p w14:paraId="65A89FA6" w14:textId="11019ABE" w:rsidR="00C03488" w:rsidRDefault="00C03488" w:rsidP="002B1317">
      <w:pPr>
        <w:jc w:val="center"/>
        <w:rPr>
          <w:b/>
          <w:szCs w:val="22"/>
        </w:rPr>
      </w:pPr>
    </w:p>
    <w:p w14:paraId="059A3309" w14:textId="07A482BE" w:rsidR="00C03488" w:rsidRDefault="00C03488" w:rsidP="002B1317">
      <w:pPr>
        <w:jc w:val="center"/>
        <w:rPr>
          <w:b/>
          <w:szCs w:val="22"/>
        </w:rPr>
      </w:pPr>
    </w:p>
    <w:p w14:paraId="4D38556A" w14:textId="0531ABA9" w:rsidR="00C03488" w:rsidRDefault="00C03488" w:rsidP="002B1317">
      <w:pPr>
        <w:jc w:val="center"/>
        <w:rPr>
          <w:b/>
          <w:szCs w:val="22"/>
        </w:rPr>
      </w:pPr>
    </w:p>
    <w:p w14:paraId="5D93384D" w14:textId="73E3CDDE" w:rsidR="00C03488" w:rsidRDefault="00C03488" w:rsidP="002B1317">
      <w:pPr>
        <w:jc w:val="center"/>
        <w:rPr>
          <w:b/>
          <w:szCs w:val="22"/>
        </w:rPr>
      </w:pPr>
    </w:p>
    <w:p w14:paraId="055DAD12" w14:textId="75C542E8" w:rsidR="00C03488" w:rsidRDefault="00C03488" w:rsidP="002B1317">
      <w:pPr>
        <w:jc w:val="center"/>
        <w:rPr>
          <w:b/>
          <w:szCs w:val="22"/>
        </w:rPr>
      </w:pPr>
    </w:p>
    <w:p w14:paraId="2BA4C767" w14:textId="6B827D7A" w:rsidR="00C03488" w:rsidRDefault="00C03488" w:rsidP="002B1317">
      <w:pPr>
        <w:jc w:val="center"/>
        <w:rPr>
          <w:b/>
          <w:szCs w:val="22"/>
        </w:rPr>
      </w:pPr>
    </w:p>
    <w:p w14:paraId="0814A0F8" w14:textId="1A6FF016" w:rsidR="00C03488" w:rsidRDefault="00C03488" w:rsidP="002B1317">
      <w:pPr>
        <w:jc w:val="center"/>
        <w:rPr>
          <w:b/>
          <w:szCs w:val="22"/>
        </w:rPr>
      </w:pPr>
    </w:p>
    <w:p w14:paraId="535A32FD" w14:textId="4662FA30" w:rsidR="00C03488" w:rsidRDefault="00C03488" w:rsidP="002B1317">
      <w:pPr>
        <w:jc w:val="center"/>
        <w:rPr>
          <w:b/>
          <w:szCs w:val="22"/>
        </w:rPr>
      </w:pPr>
    </w:p>
    <w:p w14:paraId="5E24DAF4" w14:textId="46F0A279" w:rsidR="00C03488" w:rsidRDefault="00C03488" w:rsidP="002B1317">
      <w:pPr>
        <w:jc w:val="center"/>
        <w:rPr>
          <w:b/>
          <w:szCs w:val="22"/>
        </w:rPr>
      </w:pPr>
    </w:p>
    <w:p w14:paraId="01044F62" w14:textId="77777777" w:rsidR="002B1317" w:rsidRDefault="002B1317" w:rsidP="0034741F">
      <w:pPr>
        <w:rPr>
          <w:b/>
          <w:szCs w:val="22"/>
        </w:rPr>
      </w:pPr>
    </w:p>
    <w:p w14:paraId="6D2DF42F" w14:textId="77777777" w:rsidR="002B1317" w:rsidRDefault="002B1317" w:rsidP="002B1317">
      <w:pPr>
        <w:jc w:val="center"/>
        <w:rPr>
          <w:b/>
          <w:szCs w:val="22"/>
        </w:rPr>
      </w:pPr>
    </w:p>
    <w:p w14:paraId="18C64BDC" w14:textId="77777777" w:rsidR="002B1317" w:rsidRDefault="002B1317" w:rsidP="002B1317">
      <w:pPr>
        <w:jc w:val="center"/>
        <w:rPr>
          <w:b/>
          <w:szCs w:val="22"/>
        </w:rPr>
      </w:pPr>
    </w:p>
    <w:p w14:paraId="0F4D866E" w14:textId="77777777" w:rsidR="002B1317" w:rsidRDefault="002B1317" w:rsidP="002B1317">
      <w:pPr>
        <w:jc w:val="center"/>
        <w:rPr>
          <w:b/>
          <w:szCs w:val="22"/>
        </w:rPr>
      </w:pPr>
    </w:p>
    <w:p w14:paraId="659FD786" w14:textId="0A58E4C8" w:rsidR="002B1317" w:rsidRPr="001304B3" w:rsidRDefault="002B1317" w:rsidP="002B1317">
      <w:pPr>
        <w:jc w:val="center"/>
        <w:rPr>
          <w:b/>
          <w:szCs w:val="22"/>
        </w:rPr>
      </w:pPr>
      <w:r w:rsidRPr="001304B3">
        <w:rPr>
          <w:b/>
          <w:szCs w:val="22"/>
        </w:rPr>
        <w:t>B. PAKUOTĖS LAPELIS</w:t>
      </w:r>
    </w:p>
    <w:p w14:paraId="55E1CD22" w14:textId="77777777" w:rsidR="002B1317" w:rsidRDefault="002B1317" w:rsidP="002B1317">
      <w:pPr>
        <w:pStyle w:val="TTEMEASMCA"/>
        <w:rPr>
          <w:caps w:val="0"/>
          <w:lang w:val="lt-LT"/>
        </w:rPr>
      </w:pPr>
    </w:p>
    <w:p w14:paraId="3283AD51" w14:textId="77777777" w:rsidR="002B1317" w:rsidRDefault="002B1317" w:rsidP="002B1317">
      <w:pPr>
        <w:pStyle w:val="TTEMEASMCA"/>
        <w:rPr>
          <w:caps w:val="0"/>
          <w:lang w:val="lt-LT"/>
        </w:rPr>
      </w:pPr>
    </w:p>
    <w:p w14:paraId="188D6624" w14:textId="77777777" w:rsidR="002B1317" w:rsidRDefault="002B1317" w:rsidP="002B1317">
      <w:pPr>
        <w:pStyle w:val="TTEMEASMCA"/>
        <w:rPr>
          <w:caps w:val="0"/>
          <w:lang w:val="lt-LT"/>
        </w:rPr>
      </w:pPr>
    </w:p>
    <w:p w14:paraId="67A31B38" w14:textId="2C2ADF29" w:rsidR="002B1317" w:rsidRDefault="002B1317" w:rsidP="002B1317">
      <w:pPr>
        <w:pStyle w:val="TTEMEASMCA"/>
        <w:rPr>
          <w:caps w:val="0"/>
          <w:lang w:val="lt-LT"/>
        </w:rPr>
      </w:pPr>
    </w:p>
    <w:p w14:paraId="03C00064" w14:textId="77DB9D4B" w:rsidR="002B1317" w:rsidRDefault="002B1317" w:rsidP="002B1317">
      <w:pPr>
        <w:pStyle w:val="TTEMEASMCA"/>
        <w:rPr>
          <w:caps w:val="0"/>
          <w:lang w:val="lt-LT"/>
        </w:rPr>
      </w:pPr>
    </w:p>
    <w:p w14:paraId="3F2E4374" w14:textId="6CDE80B2" w:rsidR="002B1317" w:rsidRDefault="002B1317" w:rsidP="002B1317">
      <w:pPr>
        <w:pStyle w:val="TTEMEASMCA"/>
        <w:rPr>
          <w:caps w:val="0"/>
          <w:lang w:val="lt-LT"/>
        </w:rPr>
      </w:pPr>
    </w:p>
    <w:p w14:paraId="2EFC186A" w14:textId="184155C7" w:rsidR="002B1317" w:rsidRDefault="002B1317" w:rsidP="002B1317">
      <w:pPr>
        <w:pStyle w:val="TTEMEASMCA"/>
        <w:rPr>
          <w:caps w:val="0"/>
          <w:lang w:val="lt-LT"/>
        </w:rPr>
      </w:pPr>
    </w:p>
    <w:p w14:paraId="1D8480C5" w14:textId="7F4CD85C" w:rsidR="002B1317" w:rsidRDefault="002B1317" w:rsidP="002B1317">
      <w:pPr>
        <w:pStyle w:val="TTEMEASMCA"/>
        <w:rPr>
          <w:caps w:val="0"/>
          <w:lang w:val="lt-LT"/>
        </w:rPr>
      </w:pPr>
    </w:p>
    <w:p w14:paraId="4215369C" w14:textId="42DCDBCF" w:rsidR="002B1317" w:rsidRDefault="002B1317" w:rsidP="002B1317">
      <w:pPr>
        <w:pStyle w:val="TTEMEASMCA"/>
        <w:rPr>
          <w:caps w:val="0"/>
          <w:lang w:val="lt-LT"/>
        </w:rPr>
      </w:pPr>
    </w:p>
    <w:p w14:paraId="2DE96593" w14:textId="6DEA75EA" w:rsidR="002B1317" w:rsidRDefault="002B1317" w:rsidP="002B1317">
      <w:pPr>
        <w:pStyle w:val="TTEMEASMCA"/>
        <w:rPr>
          <w:caps w:val="0"/>
          <w:lang w:val="lt-LT"/>
        </w:rPr>
      </w:pPr>
    </w:p>
    <w:p w14:paraId="56BA9714" w14:textId="4F42CAE2" w:rsidR="002B1317" w:rsidRDefault="002B1317" w:rsidP="002B1317">
      <w:pPr>
        <w:pStyle w:val="TTEMEASMCA"/>
        <w:rPr>
          <w:caps w:val="0"/>
          <w:lang w:val="lt-LT"/>
        </w:rPr>
      </w:pPr>
    </w:p>
    <w:p w14:paraId="506E1A2A" w14:textId="2AEEA3D6" w:rsidR="002B1317" w:rsidRDefault="002B1317" w:rsidP="002B1317">
      <w:pPr>
        <w:pStyle w:val="TTEMEASMCA"/>
        <w:rPr>
          <w:caps w:val="0"/>
          <w:lang w:val="lt-LT"/>
        </w:rPr>
      </w:pPr>
    </w:p>
    <w:p w14:paraId="201015C5" w14:textId="241FF5EB" w:rsidR="002B1317" w:rsidRDefault="002B1317" w:rsidP="002B1317">
      <w:pPr>
        <w:pStyle w:val="TTEMEASMCA"/>
        <w:rPr>
          <w:caps w:val="0"/>
          <w:lang w:val="lt-LT"/>
        </w:rPr>
      </w:pPr>
    </w:p>
    <w:p w14:paraId="7929F98E" w14:textId="5A57BDD6" w:rsidR="002B1317" w:rsidRDefault="002B1317" w:rsidP="002B1317">
      <w:pPr>
        <w:pStyle w:val="TTEMEASMCA"/>
        <w:rPr>
          <w:caps w:val="0"/>
          <w:lang w:val="lt-LT"/>
        </w:rPr>
      </w:pPr>
    </w:p>
    <w:p w14:paraId="731AA151" w14:textId="5FAB93D0" w:rsidR="002B1317" w:rsidRDefault="002B1317" w:rsidP="002B1317">
      <w:pPr>
        <w:pStyle w:val="TTEMEASMCA"/>
        <w:rPr>
          <w:caps w:val="0"/>
          <w:lang w:val="lt-LT"/>
        </w:rPr>
      </w:pPr>
    </w:p>
    <w:p w14:paraId="54528846" w14:textId="7D42CCFA" w:rsidR="002B1317" w:rsidRDefault="002B1317" w:rsidP="002B1317">
      <w:pPr>
        <w:pStyle w:val="TTEMEASMCA"/>
        <w:rPr>
          <w:caps w:val="0"/>
          <w:lang w:val="lt-LT"/>
        </w:rPr>
      </w:pPr>
    </w:p>
    <w:p w14:paraId="06BE9413" w14:textId="58435D1D" w:rsidR="002B1317" w:rsidRDefault="002B1317" w:rsidP="002B1317">
      <w:pPr>
        <w:pStyle w:val="TTEMEASMCA"/>
        <w:rPr>
          <w:caps w:val="0"/>
          <w:lang w:val="lt-LT"/>
        </w:rPr>
      </w:pPr>
    </w:p>
    <w:p w14:paraId="2B5814ED" w14:textId="6D279772" w:rsidR="002B1317" w:rsidRDefault="002B1317" w:rsidP="002B1317">
      <w:pPr>
        <w:pStyle w:val="TTEMEASMCA"/>
        <w:rPr>
          <w:caps w:val="0"/>
          <w:lang w:val="lt-LT"/>
        </w:rPr>
      </w:pPr>
    </w:p>
    <w:p w14:paraId="22E9D7F8" w14:textId="000EF9C6" w:rsidR="002B1317" w:rsidRDefault="002B1317" w:rsidP="002B1317">
      <w:pPr>
        <w:pStyle w:val="TTEMEASMCA"/>
        <w:rPr>
          <w:caps w:val="0"/>
          <w:lang w:val="lt-LT"/>
        </w:rPr>
      </w:pPr>
    </w:p>
    <w:p w14:paraId="5990C8A4" w14:textId="226E1FC3" w:rsidR="002B1317" w:rsidRDefault="002B1317" w:rsidP="002B1317">
      <w:pPr>
        <w:pStyle w:val="TTEMEASMCA"/>
        <w:rPr>
          <w:caps w:val="0"/>
          <w:lang w:val="lt-LT"/>
        </w:rPr>
      </w:pPr>
    </w:p>
    <w:p w14:paraId="75C53754" w14:textId="29E89A43" w:rsidR="002B1317" w:rsidRDefault="002B1317" w:rsidP="002B1317">
      <w:pPr>
        <w:pStyle w:val="TTEMEASMCA"/>
        <w:rPr>
          <w:caps w:val="0"/>
          <w:lang w:val="lt-LT"/>
        </w:rPr>
      </w:pPr>
    </w:p>
    <w:p w14:paraId="5B72C2D9" w14:textId="5CA9D5BF" w:rsidR="002B1317" w:rsidRDefault="002B1317" w:rsidP="002B1317">
      <w:pPr>
        <w:pStyle w:val="TTEMEASMCA"/>
        <w:rPr>
          <w:caps w:val="0"/>
          <w:lang w:val="lt-LT"/>
        </w:rPr>
      </w:pPr>
    </w:p>
    <w:p w14:paraId="7A79F532" w14:textId="33C08630" w:rsidR="002B1317" w:rsidRDefault="002B1317" w:rsidP="002B1317">
      <w:pPr>
        <w:pStyle w:val="TTEMEASMCA"/>
        <w:rPr>
          <w:caps w:val="0"/>
          <w:lang w:val="lt-LT"/>
        </w:rPr>
      </w:pPr>
    </w:p>
    <w:p w14:paraId="7BE89F33" w14:textId="26305779" w:rsidR="002B1317" w:rsidRDefault="002B1317" w:rsidP="002B1317">
      <w:pPr>
        <w:pStyle w:val="TTEMEASMCA"/>
        <w:rPr>
          <w:caps w:val="0"/>
          <w:lang w:val="lt-LT"/>
        </w:rPr>
      </w:pPr>
    </w:p>
    <w:p w14:paraId="27987ED2" w14:textId="20460B2B" w:rsidR="002B1317" w:rsidRDefault="002B1317" w:rsidP="002B1317">
      <w:pPr>
        <w:pStyle w:val="TTEMEASMCA"/>
        <w:rPr>
          <w:caps w:val="0"/>
          <w:lang w:val="lt-LT"/>
        </w:rPr>
      </w:pPr>
    </w:p>
    <w:p w14:paraId="3A273209" w14:textId="0CB74CB4" w:rsidR="002B1317" w:rsidRDefault="002B1317" w:rsidP="002B1317">
      <w:pPr>
        <w:pStyle w:val="TTEMEASMCA"/>
        <w:rPr>
          <w:caps w:val="0"/>
          <w:lang w:val="lt-LT"/>
        </w:rPr>
      </w:pPr>
    </w:p>
    <w:p w14:paraId="6F06492A" w14:textId="2BC858BB" w:rsidR="002B1317" w:rsidRDefault="002B1317" w:rsidP="002B1317">
      <w:pPr>
        <w:pStyle w:val="TTEMEASMCA"/>
        <w:rPr>
          <w:caps w:val="0"/>
          <w:lang w:val="lt-LT"/>
        </w:rPr>
      </w:pPr>
    </w:p>
    <w:p w14:paraId="4000B9F4" w14:textId="76EA8C12" w:rsidR="00C03488" w:rsidRDefault="00C03488" w:rsidP="002B1317">
      <w:pPr>
        <w:pStyle w:val="TTEMEASMCA"/>
        <w:rPr>
          <w:caps w:val="0"/>
          <w:lang w:val="lt-LT"/>
        </w:rPr>
      </w:pPr>
    </w:p>
    <w:p w14:paraId="1F0C84DA" w14:textId="3E5171D7" w:rsidR="00C03488" w:rsidRDefault="00C03488" w:rsidP="002B1317">
      <w:pPr>
        <w:pStyle w:val="TTEMEASMCA"/>
        <w:rPr>
          <w:caps w:val="0"/>
          <w:lang w:val="lt-LT"/>
        </w:rPr>
      </w:pPr>
    </w:p>
    <w:p w14:paraId="55892C5B" w14:textId="0A778471" w:rsidR="00C03488" w:rsidRDefault="00C03488" w:rsidP="002B1317">
      <w:pPr>
        <w:pStyle w:val="TTEMEASMCA"/>
        <w:rPr>
          <w:caps w:val="0"/>
          <w:lang w:val="lt-LT"/>
        </w:rPr>
      </w:pPr>
    </w:p>
    <w:p w14:paraId="26208D50" w14:textId="18C4689C" w:rsidR="00C03488" w:rsidRDefault="00C03488" w:rsidP="002B1317">
      <w:pPr>
        <w:pStyle w:val="TTEMEASMCA"/>
        <w:rPr>
          <w:caps w:val="0"/>
          <w:lang w:val="lt-LT"/>
        </w:rPr>
      </w:pPr>
    </w:p>
    <w:p w14:paraId="41EDE643" w14:textId="5EA77E04" w:rsidR="001225D4" w:rsidRDefault="001225D4" w:rsidP="002B1317">
      <w:pPr>
        <w:pStyle w:val="TTEMEASMCA"/>
        <w:rPr>
          <w:caps w:val="0"/>
          <w:lang w:val="lt-LT"/>
        </w:rPr>
      </w:pPr>
    </w:p>
    <w:p w14:paraId="5A9A4BF3" w14:textId="6C6083B7" w:rsidR="001225D4" w:rsidRDefault="001225D4" w:rsidP="002B1317">
      <w:pPr>
        <w:pStyle w:val="TTEMEASMCA"/>
        <w:rPr>
          <w:caps w:val="0"/>
          <w:lang w:val="lt-LT"/>
        </w:rPr>
      </w:pPr>
    </w:p>
    <w:p w14:paraId="4DA9E689" w14:textId="77777777" w:rsidR="001225D4" w:rsidRDefault="001225D4" w:rsidP="002B1317">
      <w:pPr>
        <w:pStyle w:val="TTEMEASMCA"/>
        <w:rPr>
          <w:caps w:val="0"/>
          <w:lang w:val="lt-LT"/>
        </w:rPr>
      </w:pPr>
    </w:p>
    <w:p w14:paraId="0CB46F89" w14:textId="77777777" w:rsidR="002B1317" w:rsidRDefault="002B1317" w:rsidP="002B1317">
      <w:pPr>
        <w:pStyle w:val="TTEMEASMCA"/>
        <w:rPr>
          <w:caps w:val="0"/>
          <w:lang w:val="lt-LT"/>
        </w:rPr>
      </w:pPr>
    </w:p>
    <w:p w14:paraId="67E2ECBC" w14:textId="77582C9D" w:rsidR="002B1317" w:rsidRPr="002B1317" w:rsidRDefault="002B1317" w:rsidP="002B1317">
      <w:pPr>
        <w:pStyle w:val="TTEMEASMCA"/>
        <w:rPr>
          <w:lang w:val="lt-LT"/>
        </w:rPr>
      </w:pPr>
      <w:r w:rsidRPr="002B1317">
        <w:rPr>
          <w:caps w:val="0"/>
          <w:lang w:val="lt-LT"/>
        </w:rPr>
        <w:lastRenderedPageBreak/>
        <w:t>Pakuotės lapelis: informacija vartotojui</w:t>
      </w:r>
      <w:bookmarkEnd w:id="0"/>
      <w:bookmarkEnd w:id="1"/>
    </w:p>
    <w:p w14:paraId="07A0C463" w14:textId="77777777" w:rsidR="002B1317" w:rsidRPr="002B1317" w:rsidRDefault="002B1317" w:rsidP="002B1317">
      <w:pPr>
        <w:tabs>
          <w:tab w:val="left" w:pos="567"/>
        </w:tabs>
        <w:jc w:val="center"/>
        <w:rPr>
          <w:szCs w:val="22"/>
        </w:rPr>
      </w:pPr>
    </w:p>
    <w:p w14:paraId="3D9AC682" w14:textId="24BD6971" w:rsidR="002B1317" w:rsidRPr="002B1317" w:rsidRDefault="002B1317" w:rsidP="002B1317">
      <w:pPr>
        <w:suppressAutoHyphens/>
        <w:ind w:left="142" w:hanging="142"/>
        <w:jc w:val="center"/>
        <w:rPr>
          <w:b/>
          <w:szCs w:val="24"/>
        </w:rPr>
      </w:pPr>
      <w:r w:rsidRPr="002B1317">
        <w:rPr>
          <w:b/>
          <w:szCs w:val="24"/>
        </w:rPr>
        <w:t xml:space="preserve">Cathejell  20/0,5 mg/g </w:t>
      </w:r>
      <w:r>
        <w:rPr>
          <w:b/>
          <w:szCs w:val="24"/>
        </w:rPr>
        <w:t xml:space="preserve">šlaplės </w:t>
      </w:r>
      <w:r w:rsidRPr="002B1317">
        <w:rPr>
          <w:b/>
          <w:szCs w:val="24"/>
        </w:rPr>
        <w:t>gelis</w:t>
      </w:r>
    </w:p>
    <w:p w14:paraId="75BE3A12" w14:textId="77777777" w:rsidR="002B1317" w:rsidRPr="002B1317" w:rsidRDefault="002B1317" w:rsidP="002B1317">
      <w:pPr>
        <w:tabs>
          <w:tab w:val="left" w:pos="567"/>
        </w:tabs>
        <w:jc w:val="center"/>
        <w:rPr>
          <w:szCs w:val="22"/>
        </w:rPr>
      </w:pPr>
      <w:r w:rsidRPr="002B1317">
        <w:rPr>
          <w:szCs w:val="22"/>
        </w:rPr>
        <w:t>Lidokaino hidrochloridas/Chlorheksidino dihidrochloridas</w:t>
      </w:r>
    </w:p>
    <w:p w14:paraId="1DC6C45F" w14:textId="77777777" w:rsidR="002B1317" w:rsidRPr="002B1317" w:rsidRDefault="002B1317" w:rsidP="002B1317">
      <w:pPr>
        <w:tabs>
          <w:tab w:val="left" w:pos="567"/>
        </w:tabs>
        <w:jc w:val="center"/>
        <w:rPr>
          <w:szCs w:val="22"/>
        </w:rPr>
      </w:pPr>
    </w:p>
    <w:p w14:paraId="6D681F7D" w14:textId="77777777" w:rsidR="002B1317" w:rsidRPr="002B1317" w:rsidRDefault="002B1317" w:rsidP="002B1317">
      <w:pPr>
        <w:tabs>
          <w:tab w:val="left" w:pos="567"/>
        </w:tabs>
        <w:jc w:val="center"/>
        <w:rPr>
          <w:szCs w:val="22"/>
        </w:rPr>
      </w:pPr>
    </w:p>
    <w:p w14:paraId="4E8CFA57" w14:textId="77777777" w:rsidR="002B1317" w:rsidRPr="002B1317" w:rsidRDefault="002B1317" w:rsidP="002B1317">
      <w:pPr>
        <w:suppressAutoHyphens/>
        <w:ind w:left="142" w:hanging="142"/>
        <w:rPr>
          <w:szCs w:val="24"/>
        </w:rPr>
      </w:pPr>
      <w:r w:rsidRPr="002B1317">
        <w:rPr>
          <w:b/>
          <w:szCs w:val="24"/>
        </w:rPr>
        <w:t>Atidžiai perskaitykite visą šį lapelį, prieš pradėdami vartoti vaistą, nes jame pateikiama Jums svarbi informacija.</w:t>
      </w:r>
    </w:p>
    <w:p w14:paraId="116CC63B" w14:textId="77777777" w:rsidR="002B1317" w:rsidRPr="002B1317" w:rsidRDefault="002B1317" w:rsidP="002B1317">
      <w:pPr>
        <w:numPr>
          <w:ilvl w:val="0"/>
          <w:numId w:val="2"/>
        </w:numPr>
        <w:ind w:left="567" w:right="-2" w:hanging="567"/>
        <w:rPr>
          <w:szCs w:val="24"/>
        </w:rPr>
      </w:pPr>
      <w:r w:rsidRPr="002B1317">
        <w:rPr>
          <w:szCs w:val="24"/>
        </w:rPr>
        <w:t xml:space="preserve">Neišmeskite šio lapelio, nes vėl gali prireikti jį perskaityti. </w:t>
      </w:r>
    </w:p>
    <w:p w14:paraId="14FD8B1F" w14:textId="77777777" w:rsidR="002B1317" w:rsidRPr="002B1317" w:rsidRDefault="002B1317" w:rsidP="002B1317">
      <w:pPr>
        <w:numPr>
          <w:ilvl w:val="0"/>
          <w:numId w:val="2"/>
        </w:numPr>
        <w:ind w:left="567" w:right="-2" w:hanging="567"/>
        <w:rPr>
          <w:szCs w:val="24"/>
        </w:rPr>
      </w:pPr>
      <w:r w:rsidRPr="002B1317">
        <w:rPr>
          <w:szCs w:val="24"/>
        </w:rPr>
        <w:t>Jeigu kiltų daugiau klausimų, kreipkitės į gydytoją arba vaistininką.</w:t>
      </w:r>
    </w:p>
    <w:p w14:paraId="5DCED4E4" w14:textId="77777777" w:rsidR="002B1317" w:rsidRPr="002B1317" w:rsidRDefault="002B1317" w:rsidP="002B1317">
      <w:pPr>
        <w:ind w:left="567" w:right="-2" w:hanging="567"/>
        <w:rPr>
          <w:szCs w:val="24"/>
        </w:rPr>
      </w:pPr>
      <w:r w:rsidRPr="002B1317">
        <w:rPr>
          <w:szCs w:val="24"/>
        </w:rPr>
        <w:t>-</w:t>
      </w:r>
      <w:r w:rsidRPr="002B1317">
        <w:rPr>
          <w:szCs w:val="24"/>
        </w:rPr>
        <w:tab/>
        <w:t>Šis vaistas skirtas tik Jums, todėl kitiems žmonėms jo duoti negalima. Vaistas gali jiems pakenkti (net tiems, kurių ligos požymiai yra tokie patys kaip Jūsų).</w:t>
      </w:r>
    </w:p>
    <w:p w14:paraId="62CA043F" w14:textId="77777777" w:rsidR="002B1317" w:rsidRPr="002B1317" w:rsidRDefault="002B1317" w:rsidP="002B1317">
      <w:pPr>
        <w:numPr>
          <w:ilvl w:val="0"/>
          <w:numId w:val="2"/>
        </w:numPr>
        <w:tabs>
          <w:tab w:val="left" w:pos="567"/>
        </w:tabs>
        <w:ind w:left="567" w:hanging="567"/>
        <w:rPr>
          <w:szCs w:val="24"/>
        </w:rPr>
      </w:pPr>
      <w:r w:rsidRPr="002B1317">
        <w:rPr>
          <w:szCs w:val="24"/>
        </w:rPr>
        <w:t>Jeigu pasireiškė šalutinis poveikis (net jeigu jis šiame lapelyje nenurodytas), kreipkitės į gydytoją arba vaistininką. Žr. 4 skyrių.</w:t>
      </w:r>
    </w:p>
    <w:p w14:paraId="7B11C16B" w14:textId="77777777" w:rsidR="002B1317" w:rsidRPr="002B1317" w:rsidRDefault="002B1317" w:rsidP="002B1317">
      <w:pPr>
        <w:tabs>
          <w:tab w:val="left" w:pos="567"/>
        </w:tabs>
        <w:rPr>
          <w:szCs w:val="22"/>
        </w:rPr>
      </w:pPr>
    </w:p>
    <w:p w14:paraId="73363295" w14:textId="77777777" w:rsidR="002B1317" w:rsidRPr="002B1317" w:rsidRDefault="002B1317" w:rsidP="002B1317">
      <w:pPr>
        <w:tabs>
          <w:tab w:val="left" w:pos="567"/>
        </w:tabs>
        <w:rPr>
          <w:b/>
          <w:szCs w:val="22"/>
        </w:rPr>
      </w:pPr>
      <w:r w:rsidRPr="002B1317">
        <w:rPr>
          <w:b/>
          <w:szCs w:val="22"/>
        </w:rPr>
        <w:t>Apie ką rašoma šiame lapelyje?</w:t>
      </w:r>
    </w:p>
    <w:p w14:paraId="013F8321" w14:textId="77777777" w:rsidR="002B1317" w:rsidRPr="002B1317" w:rsidRDefault="002B1317" w:rsidP="002B1317">
      <w:pPr>
        <w:tabs>
          <w:tab w:val="left" w:pos="567"/>
        </w:tabs>
        <w:rPr>
          <w:b/>
          <w:szCs w:val="22"/>
        </w:rPr>
      </w:pPr>
    </w:p>
    <w:p w14:paraId="7C964C58" w14:textId="77777777" w:rsidR="002B1317" w:rsidRPr="002B1317" w:rsidRDefault="002B1317" w:rsidP="002B1317">
      <w:pPr>
        <w:tabs>
          <w:tab w:val="left" w:pos="567"/>
        </w:tabs>
        <w:rPr>
          <w:szCs w:val="22"/>
        </w:rPr>
      </w:pPr>
      <w:r w:rsidRPr="002B1317">
        <w:rPr>
          <w:szCs w:val="22"/>
        </w:rPr>
        <w:t>1.</w:t>
      </w:r>
      <w:r w:rsidRPr="002B1317">
        <w:rPr>
          <w:szCs w:val="22"/>
        </w:rPr>
        <w:tab/>
        <w:t>Kas yra Cathejell ir kam jis vartojamas</w:t>
      </w:r>
    </w:p>
    <w:p w14:paraId="2CFBD77D" w14:textId="77777777" w:rsidR="002B1317" w:rsidRPr="002B1317" w:rsidRDefault="002B1317" w:rsidP="002B1317">
      <w:pPr>
        <w:tabs>
          <w:tab w:val="left" w:pos="567"/>
        </w:tabs>
        <w:rPr>
          <w:szCs w:val="22"/>
        </w:rPr>
      </w:pPr>
      <w:r w:rsidRPr="002B1317">
        <w:rPr>
          <w:szCs w:val="22"/>
        </w:rPr>
        <w:t>2.</w:t>
      </w:r>
      <w:r w:rsidRPr="002B1317">
        <w:rPr>
          <w:szCs w:val="22"/>
        </w:rPr>
        <w:tab/>
        <w:t>Kas žinotina prieš vartojant Cathejell </w:t>
      </w:r>
    </w:p>
    <w:p w14:paraId="54869DAB" w14:textId="77777777" w:rsidR="002B1317" w:rsidRPr="002B1317" w:rsidRDefault="002B1317" w:rsidP="002B1317">
      <w:pPr>
        <w:tabs>
          <w:tab w:val="left" w:pos="567"/>
        </w:tabs>
        <w:rPr>
          <w:szCs w:val="22"/>
        </w:rPr>
      </w:pPr>
      <w:r w:rsidRPr="002B1317">
        <w:rPr>
          <w:szCs w:val="22"/>
        </w:rPr>
        <w:t>3.</w:t>
      </w:r>
      <w:r w:rsidRPr="002B1317">
        <w:rPr>
          <w:szCs w:val="22"/>
        </w:rPr>
        <w:tab/>
        <w:t>Kaip vartoti Cathejell</w:t>
      </w:r>
    </w:p>
    <w:p w14:paraId="4B5B78FF" w14:textId="77777777" w:rsidR="002B1317" w:rsidRPr="002B1317" w:rsidRDefault="002B1317" w:rsidP="002B1317">
      <w:pPr>
        <w:tabs>
          <w:tab w:val="left" w:pos="567"/>
        </w:tabs>
        <w:rPr>
          <w:szCs w:val="22"/>
        </w:rPr>
      </w:pPr>
      <w:r w:rsidRPr="002B1317">
        <w:rPr>
          <w:szCs w:val="22"/>
        </w:rPr>
        <w:t>4.</w:t>
      </w:r>
      <w:r w:rsidRPr="002B1317">
        <w:rPr>
          <w:szCs w:val="22"/>
        </w:rPr>
        <w:tab/>
        <w:t>Galimas šalutinis poveikis</w:t>
      </w:r>
    </w:p>
    <w:p w14:paraId="0F3D9A3E" w14:textId="77777777" w:rsidR="002B1317" w:rsidRPr="002B1317" w:rsidRDefault="002B1317" w:rsidP="002B1317">
      <w:pPr>
        <w:tabs>
          <w:tab w:val="left" w:pos="567"/>
        </w:tabs>
        <w:rPr>
          <w:szCs w:val="22"/>
        </w:rPr>
      </w:pPr>
      <w:r w:rsidRPr="002B1317">
        <w:rPr>
          <w:szCs w:val="22"/>
        </w:rPr>
        <w:t>5.</w:t>
      </w:r>
      <w:r w:rsidRPr="002B1317">
        <w:rPr>
          <w:szCs w:val="22"/>
        </w:rPr>
        <w:tab/>
        <w:t>Kaip laikyti Cathejell</w:t>
      </w:r>
    </w:p>
    <w:p w14:paraId="4952FA90" w14:textId="77777777" w:rsidR="002B1317" w:rsidRPr="002B1317" w:rsidRDefault="002B1317" w:rsidP="002B1317">
      <w:pPr>
        <w:tabs>
          <w:tab w:val="left" w:pos="567"/>
        </w:tabs>
        <w:rPr>
          <w:szCs w:val="22"/>
        </w:rPr>
      </w:pPr>
      <w:r w:rsidRPr="002B1317">
        <w:rPr>
          <w:szCs w:val="22"/>
        </w:rPr>
        <w:t>6.</w:t>
      </w:r>
      <w:r w:rsidRPr="002B1317">
        <w:rPr>
          <w:szCs w:val="22"/>
        </w:rPr>
        <w:tab/>
        <w:t>Pakuotės turinys ir kita informacija</w:t>
      </w:r>
    </w:p>
    <w:p w14:paraId="0F634F71" w14:textId="77777777" w:rsidR="002B1317" w:rsidRPr="002B1317" w:rsidRDefault="002B1317" w:rsidP="002B1317">
      <w:pPr>
        <w:tabs>
          <w:tab w:val="left" w:pos="567"/>
        </w:tabs>
        <w:rPr>
          <w:szCs w:val="22"/>
        </w:rPr>
      </w:pPr>
    </w:p>
    <w:p w14:paraId="6FEB4F74" w14:textId="77777777" w:rsidR="002B1317" w:rsidRPr="002B1317" w:rsidRDefault="002B1317" w:rsidP="002B1317">
      <w:pPr>
        <w:tabs>
          <w:tab w:val="left" w:pos="567"/>
        </w:tabs>
        <w:rPr>
          <w:szCs w:val="22"/>
        </w:rPr>
      </w:pPr>
    </w:p>
    <w:p w14:paraId="31541831" w14:textId="77777777" w:rsidR="002B1317" w:rsidRPr="002B1317" w:rsidRDefault="002B1317" w:rsidP="002B1317">
      <w:pPr>
        <w:tabs>
          <w:tab w:val="left" w:pos="567"/>
        </w:tabs>
        <w:ind w:left="567" w:hanging="567"/>
        <w:rPr>
          <w:b/>
          <w:szCs w:val="22"/>
        </w:rPr>
      </w:pPr>
      <w:r w:rsidRPr="002B1317">
        <w:rPr>
          <w:b/>
          <w:szCs w:val="22"/>
        </w:rPr>
        <w:t>1.</w:t>
      </w:r>
      <w:r w:rsidRPr="002B1317">
        <w:rPr>
          <w:b/>
          <w:szCs w:val="22"/>
        </w:rPr>
        <w:tab/>
        <w:t>Kas yra Cathejell ir kam jis vartojamas</w:t>
      </w:r>
    </w:p>
    <w:p w14:paraId="0230DDCE" w14:textId="77777777" w:rsidR="002B1317" w:rsidRPr="002B1317" w:rsidRDefault="002B1317" w:rsidP="002B1317">
      <w:pPr>
        <w:tabs>
          <w:tab w:val="left" w:pos="567"/>
        </w:tabs>
        <w:rPr>
          <w:szCs w:val="22"/>
        </w:rPr>
      </w:pPr>
    </w:p>
    <w:p w14:paraId="27B9DEAF" w14:textId="1B743790" w:rsidR="002B1317" w:rsidRPr="002B1317" w:rsidRDefault="002B1317" w:rsidP="002B1317">
      <w:pPr>
        <w:tabs>
          <w:tab w:val="left" w:pos="567"/>
        </w:tabs>
        <w:rPr>
          <w:szCs w:val="22"/>
        </w:rPr>
      </w:pPr>
      <w:r w:rsidRPr="002B1317">
        <w:rPr>
          <w:szCs w:val="22"/>
        </w:rPr>
        <w:t>Cathejell sudėtyje yra dvi veikliosios medžiagos</w:t>
      </w:r>
      <w:r>
        <w:rPr>
          <w:szCs w:val="22"/>
        </w:rPr>
        <w:t xml:space="preserve"> –</w:t>
      </w:r>
      <w:r w:rsidRPr="002B1317">
        <w:rPr>
          <w:szCs w:val="22"/>
        </w:rPr>
        <w:t xml:space="preserve"> lidokaino hidrochloridas (vietinis amidų grupės anestetikas) ir chlorheksidino dihidrochloridas (antimikrobinis vaistas). </w:t>
      </w:r>
    </w:p>
    <w:p w14:paraId="20A0B7EB" w14:textId="77777777" w:rsidR="002B1317" w:rsidRPr="002B1317" w:rsidRDefault="002B1317" w:rsidP="002B1317">
      <w:pPr>
        <w:tabs>
          <w:tab w:val="left" w:pos="567"/>
        </w:tabs>
        <w:rPr>
          <w:szCs w:val="22"/>
        </w:rPr>
      </w:pPr>
    </w:p>
    <w:p w14:paraId="50BC82C5" w14:textId="77777777" w:rsidR="002B1317" w:rsidRPr="002B1317" w:rsidRDefault="002B1317" w:rsidP="002B1317">
      <w:pPr>
        <w:tabs>
          <w:tab w:val="left" w:pos="567"/>
        </w:tabs>
        <w:rPr>
          <w:szCs w:val="22"/>
        </w:rPr>
      </w:pPr>
      <w:r w:rsidRPr="002B1317">
        <w:rPr>
          <w:szCs w:val="22"/>
        </w:rPr>
        <w:t>Cathejell vartojamas vietiniam skausmo, sukelto kateterio ar kitokio instrumento, pvz., cistoskopo, įvedimo į šlaplę ar manipuliacijos juo metu, malšimui ir su šia manipuliacija susijusios infekcijos profilaktikai.</w:t>
      </w:r>
    </w:p>
    <w:p w14:paraId="6AF19595" w14:textId="77777777" w:rsidR="002B1317" w:rsidRPr="002B1317" w:rsidRDefault="002B1317" w:rsidP="002B1317">
      <w:pPr>
        <w:tabs>
          <w:tab w:val="left" w:pos="567"/>
        </w:tabs>
        <w:rPr>
          <w:szCs w:val="22"/>
        </w:rPr>
      </w:pPr>
    </w:p>
    <w:p w14:paraId="5104630C" w14:textId="77777777" w:rsidR="002B1317" w:rsidRPr="002B1317" w:rsidRDefault="002B1317" w:rsidP="002B1317">
      <w:pPr>
        <w:tabs>
          <w:tab w:val="left" w:pos="567"/>
        </w:tabs>
        <w:rPr>
          <w:szCs w:val="22"/>
        </w:rPr>
      </w:pPr>
    </w:p>
    <w:p w14:paraId="3058AF2F" w14:textId="77777777" w:rsidR="002B1317" w:rsidRPr="002B1317" w:rsidRDefault="002B1317" w:rsidP="002B1317">
      <w:pPr>
        <w:tabs>
          <w:tab w:val="left" w:pos="567"/>
        </w:tabs>
        <w:ind w:left="567" w:hanging="567"/>
        <w:rPr>
          <w:b/>
          <w:szCs w:val="22"/>
        </w:rPr>
      </w:pPr>
      <w:r w:rsidRPr="002B1317">
        <w:rPr>
          <w:b/>
          <w:szCs w:val="22"/>
        </w:rPr>
        <w:t>2.</w:t>
      </w:r>
      <w:r w:rsidRPr="002B1317">
        <w:rPr>
          <w:b/>
          <w:szCs w:val="22"/>
        </w:rPr>
        <w:tab/>
        <w:t>Kas žinotina prieš vartojant</w:t>
      </w:r>
      <w:r w:rsidRPr="002B1317">
        <w:rPr>
          <w:szCs w:val="22"/>
        </w:rPr>
        <w:t xml:space="preserve"> </w:t>
      </w:r>
      <w:r w:rsidRPr="002B1317">
        <w:rPr>
          <w:b/>
          <w:szCs w:val="22"/>
        </w:rPr>
        <w:t>Cathejell</w:t>
      </w:r>
    </w:p>
    <w:p w14:paraId="55456029" w14:textId="77777777" w:rsidR="002B1317" w:rsidRPr="002B1317" w:rsidRDefault="002B1317" w:rsidP="002B1317">
      <w:pPr>
        <w:tabs>
          <w:tab w:val="left" w:pos="567"/>
        </w:tabs>
        <w:ind w:left="567" w:hanging="567"/>
        <w:rPr>
          <w:b/>
          <w:szCs w:val="22"/>
        </w:rPr>
      </w:pPr>
    </w:p>
    <w:p w14:paraId="6186E6AD" w14:textId="77777777" w:rsidR="002B1317" w:rsidRPr="002B1317" w:rsidRDefault="002B1317" w:rsidP="002B1317">
      <w:pPr>
        <w:pStyle w:val="PI-3EMEASMCA"/>
      </w:pPr>
      <w:r w:rsidRPr="002B1317">
        <w:t>Cathejell vartoti negalima:</w:t>
      </w:r>
    </w:p>
    <w:p w14:paraId="0F4C5643" w14:textId="77777777" w:rsidR="002B1317" w:rsidRPr="002B1317" w:rsidRDefault="002B1317" w:rsidP="002B1317">
      <w:pPr>
        <w:pStyle w:val="BT-EMEASMCA"/>
        <w:rPr>
          <w:noProof w:val="0"/>
        </w:rPr>
      </w:pPr>
      <w:r w:rsidRPr="002B1317">
        <w:rPr>
          <w:noProof w:val="0"/>
        </w:rPr>
        <w:t>jeigu yra alergija lidokainui, bet kuriam amidų grupės vietiniam anestetikui ar chlorheksidinui arba bet kuriai pagalbinei šio vaisto medžiagai (jos išvardytos 6 skyriuje);</w:t>
      </w:r>
    </w:p>
    <w:p w14:paraId="7E9612E4" w14:textId="77777777" w:rsidR="002B1317" w:rsidRPr="002B1317" w:rsidRDefault="002B1317" w:rsidP="002B1317">
      <w:pPr>
        <w:pStyle w:val="BT-EMEASMCA"/>
        <w:rPr>
          <w:noProof w:val="0"/>
        </w:rPr>
      </w:pPr>
      <w:r w:rsidRPr="002B1317">
        <w:rPr>
          <w:noProof w:val="0"/>
        </w:rPr>
        <w:t>vaikams iki 2 metų amžiaus;</w:t>
      </w:r>
    </w:p>
    <w:p w14:paraId="5E5FAAC4" w14:textId="77777777" w:rsidR="002B1317" w:rsidRPr="002B1317" w:rsidRDefault="002B1317" w:rsidP="002B1317">
      <w:pPr>
        <w:pStyle w:val="BT-EMEASMCA"/>
        <w:rPr>
          <w:noProof w:val="0"/>
        </w:rPr>
      </w:pPr>
      <w:r w:rsidRPr="002B1317">
        <w:rPr>
          <w:noProof w:val="0"/>
        </w:rPr>
        <w:t>jeigu Jums gydytojas yra pasakęs, kad sergate bulbokaveroziniu refliuksu;</w:t>
      </w:r>
    </w:p>
    <w:p w14:paraId="1726F773" w14:textId="6A2EFFDC" w:rsidR="002B1317" w:rsidRPr="002B1317" w:rsidRDefault="002B1317" w:rsidP="002B1317">
      <w:pPr>
        <w:pStyle w:val="BT-EMEASMCA"/>
        <w:rPr>
          <w:noProof w:val="0"/>
        </w:rPr>
      </w:pPr>
      <w:r w:rsidRPr="002B1317">
        <w:rPr>
          <w:noProof w:val="0"/>
        </w:rPr>
        <w:t>jeigu Jums gydytojas yra pasakęs, kad sergate sunkiu širdies nepakankamumu, ryški</w:t>
      </w:r>
      <w:r>
        <w:rPr>
          <w:noProof w:val="0"/>
        </w:rPr>
        <w:t>a</w:t>
      </w:r>
      <w:r w:rsidRPr="002B1317">
        <w:rPr>
          <w:noProof w:val="0"/>
        </w:rPr>
        <w:t xml:space="preserve"> bradikardija (širdies ritmo sulėtėjimu), atrioventrikulin</w:t>
      </w:r>
      <w:r>
        <w:rPr>
          <w:noProof w:val="0"/>
        </w:rPr>
        <w:t>e</w:t>
      </w:r>
      <w:r w:rsidRPr="002B1317">
        <w:rPr>
          <w:noProof w:val="0"/>
        </w:rPr>
        <w:t xml:space="preserve"> blokada, arba Jums nustatė kardiogeninį ar hipovoleminį šoką.</w:t>
      </w:r>
    </w:p>
    <w:p w14:paraId="4CEFACE0" w14:textId="77777777" w:rsidR="002B1317" w:rsidRPr="002B1317" w:rsidRDefault="002B1317" w:rsidP="002B1317">
      <w:pPr>
        <w:tabs>
          <w:tab w:val="left" w:pos="567"/>
        </w:tabs>
        <w:ind w:left="567" w:hanging="567"/>
        <w:rPr>
          <w:b/>
          <w:szCs w:val="22"/>
        </w:rPr>
      </w:pPr>
    </w:p>
    <w:p w14:paraId="21C7ECC3" w14:textId="77777777" w:rsidR="002B1317" w:rsidRPr="002B1317" w:rsidRDefault="002B1317" w:rsidP="002B1317">
      <w:pPr>
        <w:pStyle w:val="PI-3EMEASMCA"/>
      </w:pPr>
      <w:r w:rsidRPr="002B1317">
        <w:t>Įspėjimai ir atsargumo priemonės</w:t>
      </w:r>
    </w:p>
    <w:p w14:paraId="0DD2B116" w14:textId="77777777" w:rsidR="002B1317" w:rsidRPr="002B1317" w:rsidRDefault="002B1317" w:rsidP="002B1317">
      <w:pPr>
        <w:numPr>
          <w:ilvl w:val="12"/>
          <w:numId w:val="0"/>
        </w:numPr>
        <w:ind w:right="-2"/>
        <w:rPr>
          <w:szCs w:val="22"/>
        </w:rPr>
      </w:pPr>
      <w:r w:rsidRPr="002B1317">
        <w:rPr>
          <w:szCs w:val="22"/>
        </w:rPr>
        <w:t>Pasitarkite su gydytoju arba slaugytoju, prieš pradėdami vartoti Cathejell:</w:t>
      </w:r>
    </w:p>
    <w:p w14:paraId="66E04DF7" w14:textId="043AF472" w:rsidR="002B1317" w:rsidRPr="002B1317" w:rsidRDefault="002B1317" w:rsidP="002B1317">
      <w:pPr>
        <w:pStyle w:val="BT-EMEASMCA"/>
        <w:rPr>
          <w:noProof w:val="0"/>
        </w:rPr>
      </w:pPr>
      <w:r w:rsidRPr="002B1317">
        <w:rPr>
          <w:noProof w:val="0"/>
        </w:rPr>
        <w:t>jeigu gydytojas Jums yra pasakęs, kad sergate sunkiu kepenų ar inkstų funkcijos sutrikimu;</w:t>
      </w:r>
    </w:p>
    <w:p w14:paraId="461BE6AE" w14:textId="77777777" w:rsidR="002B1317" w:rsidRPr="002B1317" w:rsidRDefault="002B1317" w:rsidP="002B1317">
      <w:pPr>
        <w:pStyle w:val="BT-EMEASMCA"/>
        <w:rPr>
          <w:noProof w:val="0"/>
        </w:rPr>
      </w:pPr>
      <w:r w:rsidRPr="002B1317">
        <w:rPr>
          <w:noProof w:val="0"/>
        </w:rPr>
        <w:t>jeigu gydytojas Jums yra pasakęs, kad sergate širdies ar kvėpavimo funkcijos nepakankamumu;</w:t>
      </w:r>
    </w:p>
    <w:p w14:paraId="376D74E8" w14:textId="77777777" w:rsidR="002B1317" w:rsidRPr="002B1317" w:rsidRDefault="002B1317" w:rsidP="002B1317">
      <w:pPr>
        <w:pStyle w:val="BT-EMEASMCA"/>
        <w:rPr>
          <w:noProof w:val="0"/>
        </w:rPr>
      </w:pPr>
      <w:r w:rsidRPr="002B1317">
        <w:rPr>
          <w:noProof w:val="0"/>
        </w:rPr>
        <w:t>jeigu Jūs esate vyresnio amžiaus arba jaučiatės nusilpęs;</w:t>
      </w:r>
    </w:p>
    <w:p w14:paraId="7D2ABDFF" w14:textId="77777777" w:rsidR="002B1317" w:rsidRPr="002B1317" w:rsidRDefault="002B1317" w:rsidP="002B1317">
      <w:pPr>
        <w:pStyle w:val="BT-EMEASMCA"/>
        <w:rPr>
          <w:noProof w:val="0"/>
        </w:rPr>
      </w:pPr>
      <w:r w:rsidRPr="002B1317">
        <w:rPr>
          <w:noProof w:val="0"/>
        </w:rPr>
        <w:t>jeigu Jūs sunkiai sergate skyrelyje „Cathejell vartoti negalima“ nepaminėtomis ligomis;</w:t>
      </w:r>
    </w:p>
    <w:p w14:paraId="6BC7D80B" w14:textId="77777777" w:rsidR="002B1317" w:rsidRPr="002B1317" w:rsidRDefault="002B1317" w:rsidP="002B1317">
      <w:pPr>
        <w:pStyle w:val="BT-EMEASMCA"/>
        <w:rPr>
          <w:noProof w:val="0"/>
        </w:rPr>
      </w:pPr>
      <w:r w:rsidRPr="002B1317">
        <w:rPr>
          <w:noProof w:val="0"/>
        </w:rPr>
        <w:lastRenderedPageBreak/>
        <w:t>jeigu Jums neretai atsiranda traukulių;</w:t>
      </w:r>
    </w:p>
    <w:p w14:paraId="6CB81A4D" w14:textId="1EAFB875" w:rsidR="002B1317" w:rsidRPr="002B1317" w:rsidRDefault="002B1317" w:rsidP="002B1317">
      <w:pPr>
        <w:pStyle w:val="BT-EMEASMCA"/>
        <w:rPr>
          <w:noProof w:val="0"/>
        </w:rPr>
      </w:pPr>
      <w:r w:rsidRPr="002B1317">
        <w:rPr>
          <w:noProof w:val="0"/>
        </w:rPr>
        <w:t xml:space="preserve">jeigu Jums gydytojas nustatė sunkią nervų ir raumenų ligą </w:t>
      </w:r>
      <w:r>
        <w:rPr>
          <w:noProof w:val="0"/>
        </w:rPr>
        <w:t>–</w:t>
      </w:r>
      <w:r w:rsidRPr="002B1317">
        <w:rPr>
          <w:noProof w:val="0"/>
        </w:rPr>
        <w:t xml:space="preserve"> generalizuotą miastenij</w:t>
      </w:r>
      <w:r>
        <w:rPr>
          <w:noProof w:val="0"/>
        </w:rPr>
        <w:t>ą</w:t>
      </w:r>
      <w:r w:rsidRPr="002B1317">
        <w:rPr>
          <w:noProof w:val="0"/>
        </w:rPr>
        <w:t xml:space="preserve"> (</w:t>
      </w:r>
      <w:r w:rsidRPr="0034741F">
        <w:rPr>
          <w:i/>
          <w:iCs/>
          <w:noProof w:val="0"/>
        </w:rPr>
        <w:t>mysatenia gravis</w:t>
      </w:r>
      <w:r w:rsidRPr="002B1317">
        <w:rPr>
          <w:noProof w:val="0"/>
        </w:rPr>
        <w:t>).</w:t>
      </w:r>
    </w:p>
    <w:p w14:paraId="6DD5E2FF" w14:textId="77777777" w:rsidR="002B1317" w:rsidRPr="002B1317" w:rsidRDefault="002B1317" w:rsidP="002B1317">
      <w:pPr>
        <w:tabs>
          <w:tab w:val="left" w:pos="567"/>
        </w:tabs>
        <w:rPr>
          <w:szCs w:val="22"/>
        </w:rPr>
      </w:pPr>
    </w:p>
    <w:p w14:paraId="4172478C" w14:textId="77777777" w:rsidR="002B1317" w:rsidRPr="002B1317" w:rsidRDefault="002B1317" w:rsidP="002B1317">
      <w:pPr>
        <w:tabs>
          <w:tab w:val="left" w:pos="567"/>
        </w:tabs>
        <w:rPr>
          <w:szCs w:val="22"/>
        </w:rPr>
      </w:pPr>
      <w:r w:rsidRPr="002B1317">
        <w:rPr>
          <w:szCs w:val="22"/>
        </w:rPr>
        <w:t>Cathejell nerekomenduojam vartoti pacientams, kuriems šlaplės gleivinė pažeista, prasidėjo uždegimas arba atsirado opų, nes gali atsirasti perdozavimo simptomų.</w:t>
      </w:r>
    </w:p>
    <w:p w14:paraId="582FA9E3" w14:textId="77777777" w:rsidR="002B1317" w:rsidRPr="002B1317" w:rsidRDefault="002B1317" w:rsidP="002B1317">
      <w:pPr>
        <w:tabs>
          <w:tab w:val="left" w:pos="567"/>
        </w:tabs>
        <w:rPr>
          <w:szCs w:val="22"/>
        </w:rPr>
      </w:pPr>
    </w:p>
    <w:p w14:paraId="3795561D" w14:textId="77777777" w:rsidR="002B1317" w:rsidRPr="002B1317" w:rsidRDefault="002B1317" w:rsidP="002B1317">
      <w:pPr>
        <w:tabs>
          <w:tab w:val="left" w:pos="567"/>
        </w:tabs>
        <w:rPr>
          <w:szCs w:val="22"/>
        </w:rPr>
      </w:pPr>
      <w:r w:rsidRPr="002B1317">
        <w:rPr>
          <w:szCs w:val="22"/>
        </w:rPr>
        <w:t>Vengti Cathejell kontakto su akimis, išopėjusiais audiniais ar žaizdomis.</w:t>
      </w:r>
    </w:p>
    <w:p w14:paraId="7715588B" w14:textId="77777777" w:rsidR="002B1317" w:rsidRPr="002B1317" w:rsidRDefault="002B1317" w:rsidP="002B1317">
      <w:pPr>
        <w:tabs>
          <w:tab w:val="left" w:pos="567"/>
        </w:tabs>
        <w:rPr>
          <w:szCs w:val="22"/>
        </w:rPr>
      </w:pPr>
    </w:p>
    <w:p w14:paraId="08F2CDAD" w14:textId="77777777" w:rsidR="002B1317" w:rsidRPr="002B1317" w:rsidRDefault="002B1317" w:rsidP="002B1317">
      <w:pPr>
        <w:tabs>
          <w:tab w:val="left" w:pos="567"/>
        </w:tabs>
        <w:rPr>
          <w:szCs w:val="22"/>
        </w:rPr>
      </w:pPr>
      <w:r w:rsidRPr="002B1317">
        <w:rPr>
          <w:szCs w:val="22"/>
        </w:rPr>
        <w:t>Anestezijos metu vartojamas lubrikantas turėtų būti be lidokaino.</w:t>
      </w:r>
    </w:p>
    <w:p w14:paraId="65C91F04" w14:textId="77777777" w:rsidR="002B1317" w:rsidRPr="002B1317" w:rsidRDefault="002B1317" w:rsidP="002B1317">
      <w:pPr>
        <w:tabs>
          <w:tab w:val="left" w:pos="567"/>
        </w:tabs>
        <w:rPr>
          <w:szCs w:val="22"/>
        </w:rPr>
      </w:pPr>
      <w:r w:rsidRPr="002B1317">
        <w:rPr>
          <w:szCs w:val="22"/>
        </w:rPr>
        <w:t>Vaisto instiliuoti gali tik gydytojas arba kitoks kvalifikuotas medicinos darbuotojas.</w:t>
      </w:r>
    </w:p>
    <w:p w14:paraId="6FB7CCFE" w14:textId="77777777" w:rsidR="002B1317" w:rsidRPr="002B1317" w:rsidRDefault="002B1317" w:rsidP="002B1317">
      <w:pPr>
        <w:tabs>
          <w:tab w:val="left" w:pos="567"/>
        </w:tabs>
        <w:rPr>
          <w:szCs w:val="22"/>
        </w:rPr>
      </w:pPr>
    </w:p>
    <w:p w14:paraId="794025BB" w14:textId="77777777" w:rsidR="002B1317" w:rsidRPr="002B1317" w:rsidRDefault="002B1317" w:rsidP="002B1317">
      <w:pPr>
        <w:pStyle w:val="PI-3EMEASMCA"/>
      </w:pPr>
      <w:r w:rsidRPr="002B1317">
        <w:t>Kiti vaistai ir Cathejell</w:t>
      </w:r>
    </w:p>
    <w:p w14:paraId="2CF461B5" w14:textId="77777777" w:rsidR="002B1317" w:rsidRPr="002B1317" w:rsidRDefault="002B1317" w:rsidP="002B1317">
      <w:pPr>
        <w:tabs>
          <w:tab w:val="left" w:pos="567"/>
        </w:tabs>
        <w:rPr>
          <w:szCs w:val="22"/>
        </w:rPr>
      </w:pPr>
      <w:r w:rsidRPr="002B1317">
        <w:rPr>
          <w:szCs w:val="22"/>
        </w:rPr>
        <w:t>Jeigu vartojate ar neseniai vartojote kitų vaistų arba dėl to nesate tikri, apie tai pasakykite gydytojui arba vaistininkui.</w:t>
      </w:r>
    </w:p>
    <w:p w14:paraId="36553073" w14:textId="77777777" w:rsidR="002B1317" w:rsidRPr="002B1317" w:rsidRDefault="002B1317" w:rsidP="002B1317">
      <w:pPr>
        <w:tabs>
          <w:tab w:val="left" w:pos="567"/>
        </w:tabs>
        <w:rPr>
          <w:szCs w:val="22"/>
        </w:rPr>
      </w:pPr>
      <w:r w:rsidRPr="002B1317">
        <w:rPr>
          <w:szCs w:val="22"/>
        </w:rPr>
        <w:t>Tyrimų, vaistų sąveikai ištirti, nėra atlikta.</w:t>
      </w:r>
    </w:p>
    <w:p w14:paraId="7D30817E" w14:textId="77777777" w:rsidR="002B1317" w:rsidRPr="002B1317" w:rsidRDefault="002B1317" w:rsidP="002B1317">
      <w:pPr>
        <w:tabs>
          <w:tab w:val="left" w:pos="567"/>
        </w:tabs>
        <w:rPr>
          <w:szCs w:val="22"/>
        </w:rPr>
      </w:pPr>
    </w:p>
    <w:p w14:paraId="48E4B72F" w14:textId="56441747" w:rsidR="002B1317" w:rsidRPr="002B1317" w:rsidRDefault="002B1317" w:rsidP="002B1317">
      <w:pPr>
        <w:tabs>
          <w:tab w:val="left" w:pos="567"/>
        </w:tabs>
        <w:rPr>
          <w:szCs w:val="22"/>
        </w:rPr>
      </w:pPr>
      <w:r w:rsidRPr="002B1317">
        <w:rPr>
          <w:szCs w:val="22"/>
        </w:rPr>
        <w:t>Cathejell negalima vartoti kartu su kitais lidokaino hidrochlorido ar kitokių amidų grupės vietiškai veikiančiais anestetikais (jutimus slopinančiais vaistais).</w:t>
      </w:r>
    </w:p>
    <w:p w14:paraId="09545C05" w14:textId="77777777" w:rsidR="002B1317" w:rsidRPr="002B1317" w:rsidRDefault="002B1317" w:rsidP="002B1317">
      <w:pPr>
        <w:tabs>
          <w:tab w:val="left" w:pos="567"/>
        </w:tabs>
        <w:rPr>
          <w:szCs w:val="22"/>
        </w:rPr>
      </w:pPr>
      <w:r w:rsidRPr="002B1317">
        <w:rPr>
          <w:szCs w:val="22"/>
        </w:rPr>
        <w:t>Lidokaino būtina atsargiai vartoti pacientams, vartojantiems vaistų nuo širdies ritmo sutrikimų, beta adrenoreceptorių blokatorių arba kalcio jonų kanalų blokatorių dėl galimo toksinio poveikio širdžiai.</w:t>
      </w:r>
    </w:p>
    <w:p w14:paraId="045AEC69" w14:textId="77777777" w:rsidR="002B1317" w:rsidRPr="002B1317" w:rsidRDefault="002B1317" w:rsidP="002B1317">
      <w:pPr>
        <w:tabs>
          <w:tab w:val="left" w:pos="567"/>
        </w:tabs>
        <w:rPr>
          <w:szCs w:val="22"/>
        </w:rPr>
      </w:pPr>
    </w:p>
    <w:p w14:paraId="2F2C1B4A" w14:textId="77777777" w:rsidR="002B1317" w:rsidRPr="002B1317" w:rsidRDefault="002B1317" w:rsidP="002B1317">
      <w:pPr>
        <w:tabs>
          <w:tab w:val="left" w:pos="567"/>
        </w:tabs>
        <w:rPr>
          <w:b/>
          <w:szCs w:val="22"/>
        </w:rPr>
      </w:pPr>
      <w:r w:rsidRPr="002B1317">
        <w:rPr>
          <w:b/>
          <w:szCs w:val="22"/>
        </w:rPr>
        <w:t xml:space="preserve">Nėštumo ir žindymo laikotarpis </w:t>
      </w:r>
    </w:p>
    <w:p w14:paraId="4A1FA0A0" w14:textId="7720262E" w:rsidR="002B1317" w:rsidRPr="002B1317" w:rsidRDefault="002B1317" w:rsidP="002B1317">
      <w:pPr>
        <w:tabs>
          <w:tab w:val="left" w:pos="567"/>
        </w:tabs>
        <w:rPr>
          <w:szCs w:val="22"/>
        </w:rPr>
      </w:pPr>
      <w:r w:rsidRPr="002B1317">
        <w:rPr>
          <w:szCs w:val="22"/>
        </w:rPr>
        <w:t>Jeigu esate nėščia, žindote kūdikį, manote, kad galbūt esate nėščia, arba planuojate pastoti, tai prieš vartodama šį vaistą, pasitarkite su gydytoju arba</w:t>
      </w:r>
      <w:r w:rsidR="00862EDC">
        <w:rPr>
          <w:szCs w:val="22"/>
        </w:rPr>
        <w:t xml:space="preserve"> </w:t>
      </w:r>
      <w:r w:rsidRPr="002B1317">
        <w:rPr>
          <w:szCs w:val="22"/>
        </w:rPr>
        <w:t>vaistininku.</w:t>
      </w:r>
    </w:p>
    <w:p w14:paraId="3A62038D" w14:textId="77777777" w:rsidR="002B1317" w:rsidRPr="002B1317" w:rsidRDefault="002B1317" w:rsidP="002B1317">
      <w:pPr>
        <w:tabs>
          <w:tab w:val="left" w:pos="567"/>
        </w:tabs>
        <w:rPr>
          <w:szCs w:val="22"/>
        </w:rPr>
      </w:pPr>
      <w:r w:rsidRPr="002B1317">
        <w:rPr>
          <w:szCs w:val="22"/>
        </w:rPr>
        <w:t>Nėštumo ir žindymo laikotarpiu vaisto vartoti nerekomenduojama.</w:t>
      </w:r>
    </w:p>
    <w:p w14:paraId="5D2F0180" w14:textId="77777777" w:rsidR="002B1317" w:rsidRPr="002B1317" w:rsidRDefault="002B1317" w:rsidP="002B1317">
      <w:pPr>
        <w:tabs>
          <w:tab w:val="left" w:pos="567"/>
        </w:tabs>
        <w:rPr>
          <w:szCs w:val="22"/>
        </w:rPr>
      </w:pPr>
    </w:p>
    <w:p w14:paraId="6F597E10" w14:textId="77777777" w:rsidR="002B1317" w:rsidRPr="002B1317" w:rsidRDefault="002B1317" w:rsidP="002B1317">
      <w:pPr>
        <w:pStyle w:val="PI-3EMEASMCA"/>
      </w:pPr>
      <w:r w:rsidRPr="002B1317">
        <w:t>Vairavimas ir mechanizmų valdymas</w:t>
      </w:r>
    </w:p>
    <w:p w14:paraId="57462199" w14:textId="77777777" w:rsidR="002B1317" w:rsidRPr="002B1317" w:rsidRDefault="002B1317" w:rsidP="002B1317">
      <w:pPr>
        <w:tabs>
          <w:tab w:val="left" w:pos="567"/>
        </w:tabs>
        <w:rPr>
          <w:szCs w:val="22"/>
        </w:rPr>
      </w:pPr>
      <w:r w:rsidRPr="002B1317">
        <w:rPr>
          <w:szCs w:val="22"/>
        </w:rPr>
        <w:t>Cathejell gebėjimo vairuoti ir valdyti mechanizmus neveikia, tačiau šios galimybės visiškai atmesti negalima, nes pacientui galima individuali padidėjusio jautrumo reakcija.</w:t>
      </w:r>
    </w:p>
    <w:p w14:paraId="3883D91A" w14:textId="77777777" w:rsidR="002B1317" w:rsidRPr="002B1317" w:rsidRDefault="002B1317" w:rsidP="002B1317">
      <w:pPr>
        <w:tabs>
          <w:tab w:val="left" w:pos="567"/>
        </w:tabs>
        <w:rPr>
          <w:szCs w:val="22"/>
        </w:rPr>
      </w:pPr>
    </w:p>
    <w:p w14:paraId="352C9137" w14:textId="77777777" w:rsidR="002B1317" w:rsidRPr="002B1317" w:rsidRDefault="002B1317" w:rsidP="002B1317">
      <w:pPr>
        <w:tabs>
          <w:tab w:val="left" w:pos="567"/>
        </w:tabs>
        <w:rPr>
          <w:szCs w:val="22"/>
        </w:rPr>
      </w:pPr>
    </w:p>
    <w:p w14:paraId="09CBAB7F" w14:textId="77777777" w:rsidR="002B1317" w:rsidRPr="002B1317" w:rsidRDefault="002B1317" w:rsidP="002B1317">
      <w:pPr>
        <w:tabs>
          <w:tab w:val="left" w:pos="567"/>
        </w:tabs>
        <w:rPr>
          <w:b/>
          <w:szCs w:val="22"/>
        </w:rPr>
      </w:pPr>
      <w:r w:rsidRPr="002B1317">
        <w:rPr>
          <w:b/>
          <w:szCs w:val="22"/>
        </w:rPr>
        <w:t>3.</w:t>
      </w:r>
      <w:r w:rsidRPr="002B1317">
        <w:rPr>
          <w:b/>
          <w:szCs w:val="22"/>
        </w:rPr>
        <w:tab/>
        <w:t>Kaip vartoti Cathejell</w:t>
      </w:r>
    </w:p>
    <w:p w14:paraId="657EE9AC" w14:textId="77777777" w:rsidR="002B1317" w:rsidRPr="002B1317" w:rsidRDefault="002B1317" w:rsidP="002B1317">
      <w:pPr>
        <w:tabs>
          <w:tab w:val="left" w:pos="567"/>
        </w:tabs>
        <w:rPr>
          <w:b/>
          <w:szCs w:val="22"/>
        </w:rPr>
      </w:pPr>
    </w:p>
    <w:p w14:paraId="50D750B6" w14:textId="77777777" w:rsidR="002B1317" w:rsidRPr="002B1317" w:rsidRDefault="002B1317" w:rsidP="002B1317">
      <w:pPr>
        <w:tabs>
          <w:tab w:val="left" w:pos="567"/>
        </w:tabs>
        <w:rPr>
          <w:b/>
          <w:szCs w:val="22"/>
        </w:rPr>
      </w:pPr>
      <w:r w:rsidRPr="002B1317">
        <w:rPr>
          <w:szCs w:val="22"/>
        </w:rPr>
        <w:t>Visada vartokite šį vaistą tiksliai kaip nurodė gydytojas. Jeigu abejojate, kreipkitės į gydytoją.</w:t>
      </w:r>
    </w:p>
    <w:p w14:paraId="6F403F2A" w14:textId="77777777" w:rsidR="002B1317" w:rsidRPr="002B1317" w:rsidRDefault="002B1317" w:rsidP="002B1317">
      <w:pPr>
        <w:tabs>
          <w:tab w:val="left" w:pos="567"/>
        </w:tabs>
        <w:rPr>
          <w:szCs w:val="22"/>
        </w:rPr>
      </w:pPr>
      <w:r w:rsidRPr="002B1317">
        <w:rPr>
          <w:szCs w:val="22"/>
        </w:rPr>
        <w:t xml:space="preserve">Prieš kateterio ar kitokio instrumento kišimą į šlaplę Cathejell instiliuojama į šlaplę arba juo patepamas kateteris ar kitoks instrumentas. </w:t>
      </w:r>
    </w:p>
    <w:p w14:paraId="0EC4216D" w14:textId="77777777" w:rsidR="002B1317" w:rsidRPr="002B1317" w:rsidRDefault="002B1317" w:rsidP="002B1317">
      <w:pPr>
        <w:tabs>
          <w:tab w:val="left" w:pos="567"/>
        </w:tabs>
        <w:rPr>
          <w:szCs w:val="22"/>
        </w:rPr>
      </w:pPr>
      <w:r w:rsidRPr="002B1317">
        <w:rPr>
          <w:szCs w:val="22"/>
        </w:rPr>
        <w:t>Šlaplei užpildyti pakanka vienos vienadozės talpyklės turinio.</w:t>
      </w:r>
    </w:p>
    <w:p w14:paraId="15430D1F" w14:textId="77777777" w:rsidR="002B1317" w:rsidRPr="002B1317" w:rsidRDefault="002B1317" w:rsidP="002B1317">
      <w:pPr>
        <w:tabs>
          <w:tab w:val="left" w:pos="567"/>
        </w:tabs>
        <w:rPr>
          <w:szCs w:val="22"/>
        </w:rPr>
      </w:pPr>
      <w:r w:rsidRPr="002B1317">
        <w:rPr>
          <w:szCs w:val="22"/>
        </w:rPr>
        <w:t>Instiliuoti daugiau kaip vieną vienadozę talpyklę draudžiama.</w:t>
      </w:r>
    </w:p>
    <w:p w14:paraId="485B0C6B" w14:textId="77777777" w:rsidR="002B1317" w:rsidRPr="002B1317" w:rsidRDefault="002B1317" w:rsidP="002B1317">
      <w:pPr>
        <w:tabs>
          <w:tab w:val="left" w:pos="567"/>
        </w:tabs>
        <w:rPr>
          <w:szCs w:val="22"/>
        </w:rPr>
      </w:pPr>
    </w:p>
    <w:p w14:paraId="67F83A83" w14:textId="77777777" w:rsidR="002B1317" w:rsidRPr="002B1317" w:rsidRDefault="002B1317" w:rsidP="002B1317">
      <w:pPr>
        <w:tabs>
          <w:tab w:val="left" w:pos="567"/>
        </w:tabs>
        <w:rPr>
          <w:szCs w:val="22"/>
        </w:rPr>
      </w:pPr>
      <w:r w:rsidRPr="002B1317">
        <w:rPr>
          <w:szCs w:val="22"/>
        </w:rPr>
        <w:t>Vienadozėje talpyklėje yra 12,5 g vaisto, į šlaplę jo instiliuojama 10 g.</w:t>
      </w:r>
    </w:p>
    <w:p w14:paraId="38E9A508" w14:textId="77777777" w:rsidR="002B1317" w:rsidRPr="002B1317" w:rsidRDefault="002B1317" w:rsidP="002B1317">
      <w:pPr>
        <w:tabs>
          <w:tab w:val="left" w:pos="567"/>
        </w:tabs>
        <w:rPr>
          <w:szCs w:val="22"/>
        </w:rPr>
      </w:pPr>
    </w:p>
    <w:p w14:paraId="766CFDE4" w14:textId="77777777" w:rsidR="002B1317" w:rsidRPr="002B1317" w:rsidRDefault="002B1317" w:rsidP="002B1317">
      <w:pPr>
        <w:tabs>
          <w:tab w:val="left" w:pos="567"/>
        </w:tabs>
        <w:rPr>
          <w:szCs w:val="22"/>
        </w:rPr>
      </w:pPr>
      <w:r w:rsidRPr="002B1317">
        <w:rPr>
          <w:szCs w:val="22"/>
        </w:rPr>
        <w:t>Dozavimas</w:t>
      </w:r>
    </w:p>
    <w:p w14:paraId="4E5519CD" w14:textId="1767BF24" w:rsidR="002B1317" w:rsidRPr="002B1317" w:rsidRDefault="002B1317" w:rsidP="0034741F">
      <w:pPr>
        <w:tabs>
          <w:tab w:val="left" w:pos="567"/>
        </w:tabs>
        <w:jc w:val="both"/>
        <w:rPr>
          <w:szCs w:val="22"/>
        </w:rPr>
      </w:pPr>
      <w:r w:rsidRPr="002B1317">
        <w:rPr>
          <w:i/>
          <w:iCs/>
          <w:szCs w:val="22"/>
        </w:rPr>
        <w:t>Suaugusiems vyrams.</w:t>
      </w:r>
      <w:r w:rsidRPr="002B1317">
        <w:rPr>
          <w:szCs w:val="22"/>
        </w:rPr>
        <w:t xml:space="preserve"> Įprastai vyrų šlaplei užpildyti vartojama viena 12,5 mg vienadozė talpyklė. Šlaplei užpildyti pakanka vienos vienadozės talpyklės turinio, reikia vengti instiliuoti daugiau kaip vieną vienadozę talpyklę. Užpildžius šlaplę anestezuojantis poveikis prasideda po 5</w:t>
      </w:r>
      <w:r w:rsidR="000151B6">
        <w:rPr>
          <w:szCs w:val="22"/>
        </w:rPr>
        <w:t xml:space="preserve"> – </w:t>
      </w:r>
      <w:r w:rsidRPr="002B1317">
        <w:rPr>
          <w:szCs w:val="22"/>
        </w:rPr>
        <w:t>10 minučių ir tęsiasi apie 20</w:t>
      </w:r>
      <w:r w:rsidR="000151B6">
        <w:rPr>
          <w:szCs w:val="22"/>
        </w:rPr>
        <w:t xml:space="preserve"> – </w:t>
      </w:r>
      <w:r w:rsidRPr="002B1317">
        <w:rPr>
          <w:szCs w:val="22"/>
        </w:rPr>
        <w:t>30 minučių.</w:t>
      </w:r>
    </w:p>
    <w:p w14:paraId="31CB9E9F" w14:textId="77777777" w:rsidR="002B1317" w:rsidRPr="002B1317" w:rsidRDefault="002B1317" w:rsidP="002B1317">
      <w:pPr>
        <w:tabs>
          <w:tab w:val="left" w:pos="567"/>
        </w:tabs>
        <w:rPr>
          <w:szCs w:val="22"/>
        </w:rPr>
      </w:pPr>
    </w:p>
    <w:p w14:paraId="6B9108BC" w14:textId="1A779FDB" w:rsidR="002B1317" w:rsidRPr="002B1317" w:rsidRDefault="002B1317" w:rsidP="002B1317">
      <w:pPr>
        <w:tabs>
          <w:tab w:val="left" w:pos="567"/>
        </w:tabs>
        <w:rPr>
          <w:szCs w:val="22"/>
        </w:rPr>
      </w:pPr>
      <w:r w:rsidRPr="002B1317">
        <w:rPr>
          <w:i/>
          <w:iCs/>
          <w:szCs w:val="22"/>
        </w:rPr>
        <w:t>Moterims, vaikams (2</w:t>
      </w:r>
      <w:r w:rsidR="000151B6">
        <w:rPr>
          <w:i/>
          <w:iCs/>
          <w:szCs w:val="22"/>
        </w:rPr>
        <w:t xml:space="preserve"> – </w:t>
      </w:r>
      <w:r w:rsidRPr="002B1317">
        <w:rPr>
          <w:i/>
          <w:iCs/>
          <w:szCs w:val="22"/>
        </w:rPr>
        <w:t>11 metų amžiaus) ir paaugliams (jaunesniems nei 18 metų).</w:t>
      </w:r>
      <w:r w:rsidRPr="002B1317">
        <w:rPr>
          <w:szCs w:val="22"/>
        </w:rPr>
        <w:t xml:space="preserve"> Cathejell vartojimas nėra pakankamai gerai įvertintas, todėl dėl jo vartojimo turi nuspręsti gydytojas. Šioms pacientų grupėms specifinių dozavimo rekomendacijų nėra, bet įprastai instiliuojamo gelio kiekis turi atitikti anatomin</w:t>
      </w:r>
      <w:r w:rsidR="000151B6">
        <w:rPr>
          <w:szCs w:val="22"/>
        </w:rPr>
        <w:t>ės</w:t>
      </w:r>
      <w:r w:rsidRPr="002B1317">
        <w:rPr>
          <w:szCs w:val="22"/>
        </w:rPr>
        <w:t xml:space="preserve"> šlaplės būklę.</w:t>
      </w:r>
    </w:p>
    <w:p w14:paraId="3608FF5F" w14:textId="26A5EAC2" w:rsidR="002B1317" w:rsidRPr="002B1317" w:rsidRDefault="002B1317" w:rsidP="002B1317">
      <w:pPr>
        <w:tabs>
          <w:tab w:val="left" w:pos="567"/>
        </w:tabs>
        <w:rPr>
          <w:szCs w:val="22"/>
        </w:rPr>
      </w:pPr>
      <w:r w:rsidRPr="002B1317">
        <w:rPr>
          <w:szCs w:val="22"/>
        </w:rPr>
        <w:lastRenderedPageBreak/>
        <w:t>Vartojant vaikams</w:t>
      </w:r>
      <w:r w:rsidR="000151B6">
        <w:rPr>
          <w:szCs w:val="22"/>
        </w:rPr>
        <w:t>,</w:t>
      </w:r>
      <w:r w:rsidRPr="002B1317">
        <w:rPr>
          <w:szCs w:val="22"/>
        </w:rPr>
        <w:t xml:space="preserve"> daugiau lidokaino gali patekti į sisteminę kraujotaką, todėl reikia imtis atitinkamų atsargumo priemonių. Apskritai, didžiausios rekomenduojamos 2,9 mg/kg lidokaino hidrochlorido dozės vaikams nuo 2 iki 11 metų viršyti negalima.</w:t>
      </w:r>
    </w:p>
    <w:p w14:paraId="1239A8B8" w14:textId="77777777" w:rsidR="002B1317" w:rsidRPr="002B1317" w:rsidRDefault="002B1317" w:rsidP="002B1317">
      <w:pPr>
        <w:tabs>
          <w:tab w:val="left" w:pos="567"/>
        </w:tabs>
        <w:rPr>
          <w:szCs w:val="22"/>
        </w:rPr>
      </w:pPr>
    </w:p>
    <w:p w14:paraId="490A6014" w14:textId="77777777" w:rsidR="002B1317" w:rsidRPr="002B1317" w:rsidRDefault="002B1317" w:rsidP="002B1317">
      <w:pPr>
        <w:tabs>
          <w:tab w:val="left" w:pos="567"/>
        </w:tabs>
        <w:rPr>
          <w:szCs w:val="22"/>
        </w:rPr>
      </w:pPr>
      <w:r w:rsidRPr="002B1317">
        <w:rPr>
          <w:i/>
          <w:iCs/>
          <w:szCs w:val="22"/>
        </w:rPr>
        <w:t>Jaunesniems nei 2 metų vaikams</w:t>
      </w:r>
      <w:r w:rsidRPr="002B1317">
        <w:rPr>
          <w:szCs w:val="22"/>
        </w:rPr>
        <w:t xml:space="preserve"> Cathejell vartoti negalima (žr. 2 skyrių).</w:t>
      </w:r>
    </w:p>
    <w:p w14:paraId="2E14B2D0" w14:textId="77777777" w:rsidR="002B1317" w:rsidRPr="002B1317" w:rsidRDefault="002B1317" w:rsidP="002B1317">
      <w:pPr>
        <w:tabs>
          <w:tab w:val="left" w:pos="567"/>
        </w:tabs>
        <w:rPr>
          <w:szCs w:val="22"/>
        </w:rPr>
      </w:pPr>
    </w:p>
    <w:p w14:paraId="6B1C9D57" w14:textId="77777777" w:rsidR="002B1317" w:rsidRPr="002B1317" w:rsidRDefault="002B1317" w:rsidP="002B1317">
      <w:pPr>
        <w:tabs>
          <w:tab w:val="left" w:pos="567"/>
        </w:tabs>
        <w:rPr>
          <w:szCs w:val="22"/>
        </w:rPr>
      </w:pPr>
      <w:r w:rsidRPr="002B1317">
        <w:rPr>
          <w:szCs w:val="22"/>
        </w:rPr>
        <w:t xml:space="preserve">Prieš instrumento naudojimą gydytojas arba kitoks kvalifikuotas medicinos darbuotojas, laikydamasis toliau nurodytos tvarkos, į šlaplę turi lėtai instiliuoti gelio. </w:t>
      </w:r>
    </w:p>
    <w:p w14:paraId="43CD1342" w14:textId="77777777" w:rsidR="002B1317" w:rsidRPr="002B1317" w:rsidRDefault="002B1317" w:rsidP="002B1317">
      <w:pPr>
        <w:tabs>
          <w:tab w:val="left" w:pos="567"/>
        </w:tabs>
        <w:rPr>
          <w:szCs w:val="22"/>
        </w:rPr>
      </w:pPr>
    </w:p>
    <w:p w14:paraId="2D68A02C" w14:textId="77777777" w:rsidR="002B1317" w:rsidRPr="002B1317" w:rsidRDefault="002B1317" w:rsidP="002B1317">
      <w:pPr>
        <w:tabs>
          <w:tab w:val="left" w:pos="567"/>
        </w:tabs>
        <w:rPr>
          <w:szCs w:val="22"/>
        </w:rPr>
      </w:pPr>
      <w:r w:rsidRPr="002B1317">
        <w:rPr>
          <w:szCs w:val="22"/>
        </w:rPr>
        <w:t>1.</w:t>
      </w:r>
      <w:r w:rsidRPr="002B1317">
        <w:rPr>
          <w:szCs w:val="22"/>
        </w:rPr>
        <w:tab/>
        <w:t>Nuvalyti ir dezinfekuoti išorines šlaplės žiotis.</w:t>
      </w:r>
    </w:p>
    <w:p w14:paraId="21D57F9E" w14:textId="77777777" w:rsidR="002B1317" w:rsidRPr="002B1317" w:rsidRDefault="002B1317" w:rsidP="002B1317">
      <w:pPr>
        <w:tabs>
          <w:tab w:val="left" w:pos="567"/>
        </w:tabs>
        <w:ind w:left="567" w:hanging="567"/>
        <w:rPr>
          <w:szCs w:val="22"/>
        </w:rPr>
      </w:pPr>
      <w:r w:rsidRPr="002B1317">
        <w:rPr>
          <w:szCs w:val="22"/>
        </w:rPr>
        <w:t>2.</w:t>
      </w:r>
      <w:r w:rsidRPr="002B1317">
        <w:rPr>
          <w:szCs w:val="22"/>
        </w:rPr>
        <w:tab/>
        <w:t>Nuo lizdinės plokštelės nuplėšti popierinį dangalą, kuriuo plokštelė apjuosta. Praplėšti plokštelę ir ištraukti aplikatorių iš pakuotės.</w:t>
      </w:r>
    </w:p>
    <w:p w14:paraId="168D9CC1" w14:textId="77777777" w:rsidR="002B1317" w:rsidRPr="002B1317" w:rsidRDefault="002B1317" w:rsidP="002B1317">
      <w:pPr>
        <w:tabs>
          <w:tab w:val="left" w:pos="567"/>
        </w:tabs>
        <w:ind w:left="567" w:hanging="567"/>
        <w:rPr>
          <w:szCs w:val="22"/>
        </w:rPr>
      </w:pPr>
      <w:r w:rsidRPr="002B1317">
        <w:rPr>
          <w:szCs w:val="22"/>
        </w:rPr>
        <w:t>3.</w:t>
      </w:r>
      <w:r w:rsidRPr="002B1317">
        <w:rPr>
          <w:szCs w:val="22"/>
        </w:rPr>
        <w:tab/>
        <w:t>Nulaužti aplikatoriaus galiuką (jei būtina, tai reikia padaryti plokštelėje). Kad aplikatoriaus galiukas neliktų šlaplėje, jį reikia nutraukti visiškai.</w:t>
      </w:r>
    </w:p>
    <w:p w14:paraId="51C34F1C" w14:textId="77777777" w:rsidR="002B1317" w:rsidRPr="002B1317" w:rsidRDefault="002B1317" w:rsidP="002B1317">
      <w:pPr>
        <w:tabs>
          <w:tab w:val="left" w:pos="567"/>
        </w:tabs>
        <w:rPr>
          <w:szCs w:val="22"/>
        </w:rPr>
      </w:pPr>
      <w:r w:rsidRPr="002B1317">
        <w:rPr>
          <w:szCs w:val="22"/>
        </w:rPr>
        <w:t>4.</w:t>
      </w:r>
      <w:r w:rsidRPr="002B1317">
        <w:rPr>
          <w:szCs w:val="22"/>
        </w:rPr>
        <w:tab/>
        <w:t>Išspausti vieną gelio lašą, kad aplikatorių būtų galima lengviau įkišti į šlaplę.</w:t>
      </w:r>
    </w:p>
    <w:p w14:paraId="4CBECB73" w14:textId="7409D526" w:rsidR="002B1317" w:rsidRPr="002B1317" w:rsidRDefault="002B1317" w:rsidP="002B1317">
      <w:pPr>
        <w:tabs>
          <w:tab w:val="left" w:pos="567"/>
        </w:tabs>
        <w:ind w:left="567" w:hanging="567"/>
        <w:rPr>
          <w:szCs w:val="22"/>
        </w:rPr>
      </w:pPr>
      <w:r w:rsidRPr="002B1317">
        <w:rPr>
          <w:szCs w:val="22"/>
        </w:rPr>
        <w:t xml:space="preserve">5. </w:t>
      </w:r>
      <w:r w:rsidRPr="002B1317">
        <w:rPr>
          <w:szCs w:val="22"/>
        </w:rPr>
        <w:tab/>
        <w:t xml:space="preserve">Gelį stumti vienodai, lengvai spaudžiant gofruotą vienadozę talpyklę </w:t>
      </w:r>
      <w:r w:rsidR="00DA5ED6">
        <w:rPr>
          <w:szCs w:val="22"/>
        </w:rPr>
        <w:t>(</w:t>
      </w:r>
      <w:r w:rsidRPr="002B1317">
        <w:rPr>
          <w:szCs w:val="22"/>
        </w:rPr>
        <w:t xml:space="preserve">veiksmą atlikus, instiliacija laikoma baigta). </w:t>
      </w:r>
    </w:p>
    <w:p w14:paraId="4E8FD24B" w14:textId="77777777" w:rsidR="002B1317" w:rsidRPr="002B1317" w:rsidRDefault="002B1317" w:rsidP="002B1317">
      <w:pPr>
        <w:tabs>
          <w:tab w:val="left" w:pos="567"/>
        </w:tabs>
        <w:ind w:left="567" w:hanging="567"/>
        <w:rPr>
          <w:szCs w:val="22"/>
        </w:rPr>
      </w:pPr>
    </w:p>
    <w:p w14:paraId="7E836713" w14:textId="77777777" w:rsidR="002B1317" w:rsidRPr="002B1317" w:rsidRDefault="002B1317" w:rsidP="002B1317">
      <w:pPr>
        <w:tabs>
          <w:tab w:val="left" w:pos="567"/>
        </w:tabs>
        <w:rPr>
          <w:szCs w:val="22"/>
        </w:rPr>
      </w:pPr>
      <w:r w:rsidRPr="002B1317">
        <w:rPr>
          <w:szCs w:val="22"/>
        </w:rPr>
        <w:t>Cathejell vienadozės talpyklės yra vienkartinės, gelio likutį reikia išmesti.</w:t>
      </w:r>
    </w:p>
    <w:p w14:paraId="12165052" w14:textId="77777777" w:rsidR="002B1317" w:rsidRPr="002B1317" w:rsidRDefault="002B1317" w:rsidP="002B1317">
      <w:pPr>
        <w:tabs>
          <w:tab w:val="left" w:pos="567"/>
        </w:tabs>
        <w:rPr>
          <w:szCs w:val="22"/>
        </w:rPr>
      </w:pPr>
    </w:p>
    <w:p w14:paraId="7D141C8C" w14:textId="77777777" w:rsidR="002B1317" w:rsidRPr="002B1317" w:rsidRDefault="002B1317" w:rsidP="002B1317">
      <w:pPr>
        <w:pStyle w:val="PI-3EMEASMCA"/>
      </w:pPr>
      <w:r w:rsidRPr="002B1317">
        <w:t>Ką daryti pavartojus per didelę Cathejell dozę?</w:t>
      </w:r>
    </w:p>
    <w:p w14:paraId="079820FF" w14:textId="089890E9" w:rsidR="002B1317" w:rsidRPr="002B1317" w:rsidRDefault="002B1317" w:rsidP="002B1317">
      <w:pPr>
        <w:tabs>
          <w:tab w:val="left" w:pos="567"/>
        </w:tabs>
        <w:rPr>
          <w:szCs w:val="22"/>
        </w:rPr>
      </w:pPr>
      <w:r w:rsidRPr="002B1317">
        <w:rPr>
          <w:szCs w:val="22"/>
        </w:rPr>
        <w:t>Jei į šlapimo pūslę instiliuojama daugiau kaip vienos pakuotės turinys arba yra sunkus šlaplės uždegimas, lidokaino rezorbcija šlaplėje padidėja</w:t>
      </w:r>
      <w:r w:rsidR="006B1F42">
        <w:rPr>
          <w:szCs w:val="22"/>
        </w:rPr>
        <w:t xml:space="preserve"> </w:t>
      </w:r>
      <w:r w:rsidRPr="002B1317">
        <w:rPr>
          <w:szCs w:val="22"/>
        </w:rPr>
        <w:t xml:space="preserve">(kraujyje jo koncentracija būna  </w:t>
      </w:r>
      <w:r w:rsidRPr="002B1317">
        <w:rPr>
          <w:szCs w:val="22"/>
        </w:rPr>
        <w:sym w:font="Symbol" w:char="F03E"/>
      </w:r>
      <w:r w:rsidRPr="002B1317">
        <w:rPr>
          <w:szCs w:val="22"/>
        </w:rPr>
        <w:t xml:space="preserve"> 5 </w:t>
      </w:r>
      <w:r w:rsidRPr="002B1317">
        <w:rPr>
          <w:szCs w:val="22"/>
        </w:rPr>
        <w:sym w:font="Symbol" w:char="F06D"/>
      </w:r>
      <w:r w:rsidRPr="002B1317">
        <w:rPr>
          <w:szCs w:val="22"/>
        </w:rPr>
        <w:t>g/ml), gali atsirasti perdozavimo bei sisteminių CNS ir širdies bei kraujagyslių sistemos reakcijų.</w:t>
      </w:r>
      <w:r w:rsidR="00904A85">
        <w:rPr>
          <w:szCs w:val="22"/>
        </w:rPr>
        <w:t xml:space="preserve"> </w:t>
      </w:r>
      <w:r w:rsidRPr="002B1317">
        <w:rPr>
          <w:szCs w:val="22"/>
        </w:rPr>
        <w:t xml:space="preserve">Ji prasideda prodromo simptomais: atsiranda nervingumas, galvos svaigimas ir sukimasis, mieguistumas, sunkesniais atvejais netenkama sąmonės, slopinamas kvėpavimas, sustoja širdis. Gali atsirasti ir kitokių simptomų: regos sutrikimas, zvimbimas ausyse, vėmimas. Tik tuo atveju, jei kraujyje lidokaino koncentracija būna labai didelė, pasireiškia poveikis širdies ir kraujagyslių sistemai: bradikardija, miokardo funkcijos slopinimas, pailgėja skilvelių aktyvacijos laikas. </w:t>
      </w:r>
    </w:p>
    <w:p w14:paraId="72368D1B" w14:textId="77777777" w:rsidR="002B1317" w:rsidRPr="002B1317" w:rsidRDefault="002B1317" w:rsidP="002B1317">
      <w:pPr>
        <w:tabs>
          <w:tab w:val="left" w:pos="567"/>
        </w:tabs>
        <w:rPr>
          <w:szCs w:val="22"/>
        </w:rPr>
      </w:pPr>
    </w:p>
    <w:p w14:paraId="31D04709" w14:textId="77777777" w:rsidR="002B1317" w:rsidRPr="002B1317" w:rsidRDefault="002B1317" w:rsidP="002B1317">
      <w:pPr>
        <w:tabs>
          <w:tab w:val="left" w:pos="567"/>
        </w:tabs>
        <w:rPr>
          <w:i/>
          <w:szCs w:val="22"/>
        </w:rPr>
      </w:pPr>
      <w:r w:rsidRPr="002B1317">
        <w:rPr>
          <w:i/>
          <w:szCs w:val="22"/>
        </w:rPr>
        <w:t>Gydymas</w:t>
      </w:r>
    </w:p>
    <w:p w14:paraId="1E41F26C" w14:textId="77777777" w:rsidR="002B1317" w:rsidRPr="002B1317" w:rsidRDefault="002B1317" w:rsidP="002B1317">
      <w:pPr>
        <w:tabs>
          <w:tab w:val="left" w:pos="567"/>
        </w:tabs>
        <w:rPr>
          <w:szCs w:val="22"/>
        </w:rPr>
      </w:pPr>
      <w:r w:rsidRPr="002B1317">
        <w:rPr>
          <w:szCs w:val="22"/>
        </w:rPr>
        <w:t xml:space="preserve">Nutraukus vaisto vartojimą, perdozavimo simptomai paprastai greitai susilpnėja. </w:t>
      </w:r>
    </w:p>
    <w:p w14:paraId="62FDDE04" w14:textId="5C614A29" w:rsidR="002B1317" w:rsidRPr="002B1317" w:rsidRDefault="002B1317" w:rsidP="002B1317">
      <w:pPr>
        <w:tabs>
          <w:tab w:val="left" w:pos="567"/>
        </w:tabs>
        <w:rPr>
          <w:szCs w:val="22"/>
        </w:rPr>
      </w:pPr>
      <w:r w:rsidRPr="002B1317">
        <w:rPr>
          <w:szCs w:val="22"/>
        </w:rPr>
        <w:t>Apskritai pasireiškus vaisto, kaip ir kitokio anestezuojamojo ir antiseptinio poveikio gelio, sisteminiam toksiniam poveikiui, reikia duoti kvėpuoti deguonimi, jei būtina, prijungti pagalbinį arba kontroliuojamą dirbtinio kvėpavimo aparatą. Prasidėjusius traukulius reikia greitai slopinti, t.</w:t>
      </w:r>
      <w:r w:rsidR="00904A85">
        <w:rPr>
          <w:szCs w:val="22"/>
        </w:rPr>
        <w:t xml:space="preserve"> </w:t>
      </w:r>
      <w:r w:rsidRPr="002B1317">
        <w:rPr>
          <w:szCs w:val="22"/>
        </w:rPr>
        <w:t>y.</w:t>
      </w:r>
      <w:r w:rsidR="00904A85">
        <w:rPr>
          <w:szCs w:val="22"/>
        </w:rPr>
        <w:t>,</w:t>
      </w:r>
      <w:r w:rsidRPr="002B1317">
        <w:rPr>
          <w:szCs w:val="22"/>
        </w:rPr>
        <w:t xml:space="preserve"> leisti į veną 5 – 15 mg diazepamo.</w:t>
      </w:r>
    </w:p>
    <w:p w14:paraId="403B35EA" w14:textId="77777777" w:rsidR="002B1317" w:rsidRPr="002B1317" w:rsidRDefault="002B1317" w:rsidP="002B1317">
      <w:pPr>
        <w:tabs>
          <w:tab w:val="left" w:pos="567"/>
        </w:tabs>
        <w:rPr>
          <w:szCs w:val="22"/>
        </w:rPr>
      </w:pPr>
      <w:r w:rsidRPr="002B1317">
        <w:rPr>
          <w:szCs w:val="22"/>
        </w:rPr>
        <w:t>Kraujotakos sutrikimo gydymas priklauso nuo klinikinių simptomų.</w:t>
      </w:r>
    </w:p>
    <w:p w14:paraId="3A903284" w14:textId="77777777" w:rsidR="002B1317" w:rsidRPr="002B1317" w:rsidRDefault="002B1317" w:rsidP="002B1317">
      <w:pPr>
        <w:tabs>
          <w:tab w:val="left" w:pos="567"/>
        </w:tabs>
        <w:rPr>
          <w:szCs w:val="22"/>
        </w:rPr>
      </w:pPr>
      <w:r w:rsidRPr="002B1317">
        <w:rPr>
          <w:szCs w:val="22"/>
        </w:rPr>
        <w:t xml:space="preserve">Jei pasireiškia bradikardija arba sustoja širdis, kiek įmanoma greičiau reikia į veną suleisti atropino arba simpatikomimetikų, pvz., adrenalino, bei ligonį gaivinti. </w:t>
      </w:r>
    </w:p>
    <w:p w14:paraId="48EEC9FE" w14:textId="77777777" w:rsidR="002B1317" w:rsidRPr="002B1317" w:rsidRDefault="002B1317" w:rsidP="002B1317">
      <w:pPr>
        <w:tabs>
          <w:tab w:val="left" w:pos="567"/>
        </w:tabs>
        <w:rPr>
          <w:szCs w:val="22"/>
        </w:rPr>
      </w:pPr>
    </w:p>
    <w:p w14:paraId="0BC7FF86" w14:textId="77777777" w:rsidR="002B1317" w:rsidRPr="002B1317" w:rsidRDefault="002B1317" w:rsidP="002B1317">
      <w:pPr>
        <w:tabs>
          <w:tab w:val="left" w:pos="567"/>
        </w:tabs>
        <w:rPr>
          <w:szCs w:val="22"/>
        </w:rPr>
      </w:pPr>
    </w:p>
    <w:p w14:paraId="12A280E3" w14:textId="77777777" w:rsidR="002B1317" w:rsidRPr="002B1317" w:rsidRDefault="002B1317" w:rsidP="002B1317">
      <w:pPr>
        <w:tabs>
          <w:tab w:val="left" w:pos="567"/>
        </w:tabs>
        <w:rPr>
          <w:b/>
          <w:szCs w:val="22"/>
        </w:rPr>
      </w:pPr>
      <w:r w:rsidRPr="002B1317">
        <w:rPr>
          <w:b/>
          <w:szCs w:val="22"/>
        </w:rPr>
        <w:t>4.</w:t>
      </w:r>
      <w:r w:rsidRPr="002B1317">
        <w:rPr>
          <w:b/>
          <w:szCs w:val="22"/>
        </w:rPr>
        <w:tab/>
        <w:t>Galimas šalutinis poveikis</w:t>
      </w:r>
    </w:p>
    <w:p w14:paraId="7F3749B2" w14:textId="77777777" w:rsidR="002B1317" w:rsidRPr="002B1317" w:rsidRDefault="002B1317" w:rsidP="002B1317">
      <w:pPr>
        <w:tabs>
          <w:tab w:val="left" w:pos="567"/>
        </w:tabs>
        <w:rPr>
          <w:b/>
          <w:szCs w:val="22"/>
        </w:rPr>
      </w:pPr>
    </w:p>
    <w:p w14:paraId="07132B94" w14:textId="77777777" w:rsidR="002B1317" w:rsidRPr="002B1317" w:rsidRDefault="002B1317" w:rsidP="002B1317">
      <w:pPr>
        <w:pStyle w:val="BTEMEASMCA"/>
        <w:rPr>
          <w:noProof w:val="0"/>
        </w:rPr>
      </w:pPr>
      <w:r w:rsidRPr="002B1317">
        <w:rPr>
          <w:noProof w:val="0"/>
        </w:rPr>
        <w:t>Šis vaistas, kaip ir visi kiti, gali sukelti šalutinį poveikį, nors jis pasireiškia ne visiems žmonėms.</w:t>
      </w:r>
    </w:p>
    <w:p w14:paraId="057B6E43" w14:textId="4D63D66A" w:rsidR="002B1317" w:rsidRPr="002B1317" w:rsidRDefault="002B1317" w:rsidP="002B1317">
      <w:pPr>
        <w:tabs>
          <w:tab w:val="left" w:pos="567"/>
        </w:tabs>
        <w:rPr>
          <w:szCs w:val="22"/>
        </w:rPr>
      </w:pPr>
      <w:r w:rsidRPr="002B1317">
        <w:rPr>
          <w:szCs w:val="22"/>
        </w:rPr>
        <w:t xml:space="preserve">Atsargiai vartojant </w:t>
      </w:r>
      <w:r w:rsidR="004057B0">
        <w:rPr>
          <w:szCs w:val="22"/>
        </w:rPr>
        <w:t>į</w:t>
      </w:r>
      <w:r w:rsidRPr="002B1317">
        <w:rPr>
          <w:szCs w:val="22"/>
        </w:rPr>
        <w:t>prastines vaisto dozes ir laikantis rekomendacijų, Cathejell nepageidaujamas poveikis atsiranda retai.</w:t>
      </w:r>
    </w:p>
    <w:p w14:paraId="6B41BB3B" w14:textId="77777777" w:rsidR="002B1317" w:rsidRPr="002B1317" w:rsidRDefault="002B1317" w:rsidP="002B1317">
      <w:pPr>
        <w:tabs>
          <w:tab w:val="left" w:pos="567"/>
        </w:tabs>
        <w:rPr>
          <w:b/>
          <w:szCs w:val="22"/>
        </w:rPr>
      </w:pPr>
    </w:p>
    <w:p w14:paraId="53B8BDCB" w14:textId="77777777" w:rsidR="002B1317" w:rsidRPr="002B1317" w:rsidRDefault="002B1317" w:rsidP="002B1317">
      <w:pPr>
        <w:pStyle w:val="Title"/>
        <w:jc w:val="left"/>
        <w:rPr>
          <w:b w:val="0"/>
          <w:i/>
          <w:iCs/>
          <w:szCs w:val="22"/>
        </w:rPr>
      </w:pPr>
      <w:r w:rsidRPr="002B1317">
        <w:rPr>
          <w:b w:val="0"/>
          <w:i/>
          <w:iCs/>
          <w:szCs w:val="22"/>
        </w:rPr>
        <w:t>Imuninės sistemos sutrikimai</w:t>
      </w:r>
    </w:p>
    <w:p w14:paraId="7155FC38" w14:textId="77777777" w:rsidR="002B1317" w:rsidRPr="002B1317" w:rsidRDefault="002B1317" w:rsidP="002B1317">
      <w:pPr>
        <w:tabs>
          <w:tab w:val="left" w:pos="567"/>
        </w:tabs>
        <w:rPr>
          <w:szCs w:val="22"/>
        </w:rPr>
      </w:pPr>
      <w:r w:rsidRPr="002B1317">
        <w:rPr>
          <w:szCs w:val="22"/>
        </w:rPr>
        <w:t>retai (&gt; 1/10 000, &lt; 1/1 000): sisteminės ir vietinės padidėjusio jautrumo reakcijos.</w:t>
      </w:r>
    </w:p>
    <w:p w14:paraId="0AB9EAA1" w14:textId="77777777" w:rsidR="002B1317" w:rsidRPr="002B1317" w:rsidRDefault="002B1317" w:rsidP="002B1317">
      <w:pPr>
        <w:tabs>
          <w:tab w:val="left" w:pos="567"/>
        </w:tabs>
        <w:rPr>
          <w:szCs w:val="22"/>
        </w:rPr>
      </w:pPr>
      <w:r w:rsidRPr="002B1317">
        <w:rPr>
          <w:szCs w:val="22"/>
        </w:rPr>
        <w:t>labai retai (&lt;1/10 000), dažnis nežinomas (negali būti įvertintas pagal turimus duomenis): anafilaksinis šokas (greito tipo alerginė reakcija).</w:t>
      </w:r>
    </w:p>
    <w:p w14:paraId="196AE6C0" w14:textId="77777777" w:rsidR="002B1317" w:rsidRPr="002B1317" w:rsidRDefault="002B1317" w:rsidP="002B1317">
      <w:pPr>
        <w:tabs>
          <w:tab w:val="left" w:pos="567"/>
        </w:tabs>
        <w:rPr>
          <w:szCs w:val="22"/>
        </w:rPr>
      </w:pPr>
    </w:p>
    <w:p w14:paraId="3523196F" w14:textId="77777777" w:rsidR="002B1317" w:rsidRPr="002B1317" w:rsidRDefault="002B1317" w:rsidP="002B1317">
      <w:pPr>
        <w:pStyle w:val="Title"/>
        <w:jc w:val="left"/>
        <w:rPr>
          <w:b w:val="0"/>
          <w:i/>
          <w:iCs/>
          <w:szCs w:val="22"/>
        </w:rPr>
      </w:pPr>
      <w:r w:rsidRPr="002B1317">
        <w:rPr>
          <w:b w:val="0"/>
          <w:i/>
          <w:iCs/>
          <w:szCs w:val="22"/>
        </w:rPr>
        <w:lastRenderedPageBreak/>
        <w:t>Inkstų ir šlapimo takų sutrikimai</w:t>
      </w:r>
    </w:p>
    <w:p w14:paraId="1E938E51" w14:textId="77777777" w:rsidR="002B1317" w:rsidRPr="002B1317" w:rsidRDefault="002B1317" w:rsidP="002B1317">
      <w:pPr>
        <w:tabs>
          <w:tab w:val="left" w:pos="567"/>
        </w:tabs>
        <w:rPr>
          <w:szCs w:val="22"/>
        </w:rPr>
      </w:pPr>
      <w:r w:rsidRPr="002B1317">
        <w:rPr>
          <w:szCs w:val="22"/>
        </w:rPr>
        <w:t>labai retai (&lt;1/10 000), dažnis nežinomas (negali būti įvertintas pagal turimus duomenis): šlaplės edema, kraujavimas iš šlaplės.</w:t>
      </w:r>
    </w:p>
    <w:p w14:paraId="1DC78ED9" w14:textId="77777777" w:rsidR="002B1317" w:rsidRPr="002B1317" w:rsidRDefault="002B1317" w:rsidP="002B1317">
      <w:pPr>
        <w:tabs>
          <w:tab w:val="left" w:pos="567"/>
        </w:tabs>
        <w:rPr>
          <w:szCs w:val="22"/>
        </w:rPr>
      </w:pPr>
    </w:p>
    <w:p w14:paraId="0BBFD102" w14:textId="77777777" w:rsidR="002B1317" w:rsidRPr="002B1317" w:rsidRDefault="002B1317" w:rsidP="002B1317">
      <w:pPr>
        <w:tabs>
          <w:tab w:val="left" w:pos="567"/>
        </w:tabs>
        <w:rPr>
          <w:szCs w:val="22"/>
        </w:rPr>
      </w:pPr>
      <w:r w:rsidRPr="002B1317">
        <w:rPr>
          <w:szCs w:val="22"/>
        </w:rPr>
        <w:t>Nepastebėta, kad medikamento vartojimo technika, aplikacijos trukmė ir lidokaino koncentracija sukeltų šalutinį sisteminį poveikį.</w:t>
      </w:r>
    </w:p>
    <w:p w14:paraId="58C1F9B7" w14:textId="77777777" w:rsidR="002B1317" w:rsidRPr="002B1317" w:rsidRDefault="002B1317" w:rsidP="002B1317">
      <w:pPr>
        <w:tabs>
          <w:tab w:val="left" w:pos="567"/>
        </w:tabs>
        <w:rPr>
          <w:szCs w:val="22"/>
        </w:rPr>
      </w:pPr>
    </w:p>
    <w:p w14:paraId="2495BFF8" w14:textId="77777777" w:rsidR="002B1317" w:rsidRPr="002B1317" w:rsidRDefault="002B1317" w:rsidP="002B1317">
      <w:pPr>
        <w:rPr>
          <w:b/>
          <w:szCs w:val="22"/>
        </w:rPr>
      </w:pPr>
      <w:r w:rsidRPr="002B1317">
        <w:rPr>
          <w:b/>
          <w:szCs w:val="22"/>
        </w:rPr>
        <w:t>Pranešimas apie šalutinį poveikį</w:t>
      </w:r>
    </w:p>
    <w:p w14:paraId="2BEBCF7B" w14:textId="66887287" w:rsidR="002B1317" w:rsidRPr="002B1317" w:rsidRDefault="004057B0" w:rsidP="002B1317">
      <w:pPr>
        <w:tabs>
          <w:tab w:val="left" w:pos="567"/>
        </w:tabs>
        <w:rPr>
          <w:szCs w:val="22"/>
        </w:rPr>
      </w:pPr>
      <w:r w:rsidRPr="0036377A">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5" w:history="1">
        <w:r w:rsidRPr="0036377A">
          <w:rPr>
            <w:rStyle w:val="Hyperlink"/>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6" w:history="1">
        <w:r w:rsidRPr="0036377A">
          <w:rPr>
            <w:rStyle w:val="Hyperlink"/>
            <w:rFonts w:eastAsia="SimSun"/>
          </w:rPr>
          <w:t>NepageidaujamaR@vvkt.lt</w:t>
        </w:r>
      </w:hyperlink>
      <w:r w:rsidRPr="0036377A">
        <w:t xml:space="preserve">, taip pat per Valstybinės vaistų kontrolės tarnybos prie Lietuvos Respublikos sveikatos apsaugos ministerijos interneto svetainę (adresu </w:t>
      </w:r>
      <w:hyperlink r:id="rId7" w:history="1">
        <w:r w:rsidRPr="0036377A">
          <w:rPr>
            <w:rStyle w:val="Hyperlink"/>
            <w:rFonts w:eastAsia="SimSun"/>
          </w:rPr>
          <w:t>http://www.vvkt.lt</w:t>
        </w:r>
      </w:hyperlink>
      <w:r w:rsidRPr="0036377A">
        <w:t>). Pranešdami apie šalutinį poveikį galite mums padėti gauti daugiau informacijos apie šio vaisto saugumą.</w:t>
      </w:r>
    </w:p>
    <w:p w14:paraId="108360C7" w14:textId="77777777" w:rsidR="002B1317" w:rsidRPr="002B1317" w:rsidRDefault="002B1317" w:rsidP="002B1317">
      <w:pPr>
        <w:tabs>
          <w:tab w:val="left" w:pos="567"/>
        </w:tabs>
        <w:rPr>
          <w:szCs w:val="22"/>
        </w:rPr>
      </w:pPr>
    </w:p>
    <w:p w14:paraId="1B246386" w14:textId="77777777" w:rsidR="002B1317" w:rsidRPr="002B1317" w:rsidRDefault="002B1317" w:rsidP="002B1317">
      <w:pPr>
        <w:tabs>
          <w:tab w:val="left" w:pos="567"/>
        </w:tabs>
        <w:rPr>
          <w:b/>
          <w:szCs w:val="22"/>
        </w:rPr>
      </w:pPr>
      <w:r w:rsidRPr="002B1317">
        <w:rPr>
          <w:b/>
          <w:szCs w:val="22"/>
        </w:rPr>
        <w:t>5.</w:t>
      </w:r>
      <w:r w:rsidRPr="002B1317">
        <w:rPr>
          <w:b/>
          <w:szCs w:val="22"/>
        </w:rPr>
        <w:tab/>
        <w:t xml:space="preserve">Kaip laikyti Cathejell </w:t>
      </w:r>
    </w:p>
    <w:p w14:paraId="5E0ACC1E" w14:textId="77777777" w:rsidR="002B1317" w:rsidRPr="002B1317" w:rsidRDefault="002B1317" w:rsidP="002B1317">
      <w:pPr>
        <w:tabs>
          <w:tab w:val="left" w:pos="567"/>
        </w:tabs>
        <w:rPr>
          <w:szCs w:val="22"/>
        </w:rPr>
      </w:pPr>
    </w:p>
    <w:p w14:paraId="5F457CD4" w14:textId="77777777" w:rsidR="002B1317" w:rsidRPr="002B1317" w:rsidRDefault="002B1317" w:rsidP="002B1317">
      <w:pPr>
        <w:pStyle w:val="BTEMEASMCA"/>
        <w:rPr>
          <w:noProof w:val="0"/>
        </w:rPr>
      </w:pPr>
      <w:r w:rsidRPr="002B1317">
        <w:rPr>
          <w:noProof w:val="0"/>
        </w:rPr>
        <w:t>Šį vaistą laikykite vaikams nepastebimoje ir nepasiekiamoje vietoje.</w:t>
      </w:r>
    </w:p>
    <w:p w14:paraId="07D2BA5E" w14:textId="77777777" w:rsidR="002B1317" w:rsidRPr="002B1317" w:rsidRDefault="002B1317" w:rsidP="002B1317">
      <w:pPr>
        <w:tabs>
          <w:tab w:val="left" w:pos="567"/>
        </w:tabs>
        <w:rPr>
          <w:szCs w:val="22"/>
        </w:rPr>
      </w:pPr>
    </w:p>
    <w:p w14:paraId="3A446A76" w14:textId="1B9E992F" w:rsidR="002B1317" w:rsidRPr="002B1317" w:rsidRDefault="002B1317" w:rsidP="002B1317">
      <w:pPr>
        <w:tabs>
          <w:tab w:val="left" w:pos="567"/>
        </w:tabs>
        <w:rPr>
          <w:szCs w:val="22"/>
        </w:rPr>
      </w:pPr>
      <w:r w:rsidRPr="002B1317">
        <w:rPr>
          <w:szCs w:val="22"/>
        </w:rPr>
        <w:t xml:space="preserve">Laikyti gamintojo pakuotėje, kad </w:t>
      </w:r>
      <w:r w:rsidR="002A2EE0">
        <w:rPr>
          <w:szCs w:val="22"/>
        </w:rPr>
        <w:t>vaistas</w:t>
      </w:r>
      <w:r w:rsidRPr="002B1317">
        <w:rPr>
          <w:szCs w:val="22"/>
        </w:rPr>
        <w:t xml:space="preserve"> būtų apsaugotas nuo šviesos.</w:t>
      </w:r>
      <w:r w:rsidR="00FA0814">
        <w:rPr>
          <w:szCs w:val="22"/>
        </w:rPr>
        <w:t xml:space="preserve"> Laikyti ne aukštesnėje kaip 30</w:t>
      </w:r>
      <w:r w:rsidR="00FA0814" w:rsidRPr="0034741F">
        <w:rPr>
          <w:szCs w:val="22"/>
          <w:vertAlign w:val="superscript"/>
        </w:rPr>
        <w:t>o</w:t>
      </w:r>
      <w:r w:rsidR="00FA0814">
        <w:rPr>
          <w:szCs w:val="22"/>
        </w:rPr>
        <w:t xml:space="preserve"> C temperatūroje.</w:t>
      </w:r>
    </w:p>
    <w:p w14:paraId="6DB50130" w14:textId="77777777" w:rsidR="002B1317" w:rsidRPr="002B1317" w:rsidRDefault="002B1317" w:rsidP="002B1317">
      <w:pPr>
        <w:tabs>
          <w:tab w:val="left" w:pos="567"/>
        </w:tabs>
        <w:rPr>
          <w:szCs w:val="22"/>
        </w:rPr>
      </w:pPr>
      <w:r w:rsidRPr="002B1317">
        <w:rPr>
          <w:szCs w:val="22"/>
        </w:rPr>
        <w:t>Tik vienkartiniam vartojimui. Nesuvartotą gelį reikia sunaikinti.</w:t>
      </w:r>
    </w:p>
    <w:p w14:paraId="53FB83D9" w14:textId="286D5C28" w:rsidR="002B1317" w:rsidRPr="002B1317" w:rsidRDefault="002B1317" w:rsidP="002B1317">
      <w:pPr>
        <w:tabs>
          <w:tab w:val="left" w:pos="567"/>
        </w:tabs>
        <w:rPr>
          <w:szCs w:val="22"/>
        </w:rPr>
      </w:pPr>
      <w:r w:rsidRPr="002B1317">
        <w:rPr>
          <w:szCs w:val="22"/>
        </w:rPr>
        <w:t>Ant dėžutės ir lizdinės plokštelės po „Tinka iki“</w:t>
      </w:r>
      <w:r w:rsidR="002A2EE0">
        <w:rPr>
          <w:szCs w:val="22"/>
        </w:rPr>
        <w:t>/</w:t>
      </w:r>
      <w:r w:rsidR="002A2EE0" w:rsidRPr="002B1317">
        <w:rPr>
          <w:szCs w:val="22"/>
        </w:rPr>
        <w:t>„</w:t>
      </w:r>
      <w:r w:rsidR="002A2EE0">
        <w:rPr>
          <w:szCs w:val="22"/>
        </w:rPr>
        <w:t>EXP“</w:t>
      </w:r>
      <w:r w:rsidRPr="002B1317">
        <w:rPr>
          <w:szCs w:val="22"/>
        </w:rPr>
        <w:t xml:space="preserve"> nurodytam tinkamumo laikui pasibaigus, šio vaisto vartoti negalima. Vaistas tinkamas vartoti iki paskutinės nurodyto mėnesio dienos.</w:t>
      </w:r>
    </w:p>
    <w:p w14:paraId="72FE0DF2" w14:textId="77777777" w:rsidR="002B1317" w:rsidRPr="002B1317" w:rsidRDefault="002B1317" w:rsidP="002B1317">
      <w:pPr>
        <w:tabs>
          <w:tab w:val="left" w:pos="567"/>
        </w:tabs>
        <w:rPr>
          <w:szCs w:val="22"/>
        </w:rPr>
      </w:pPr>
    </w:p>
    <w:p w14:paraId="1769EF42" w14:textId="77777777" w:rsidR="002B1317" w:rsidRPr="002B1317" w:rsidRDefault="002B1317" w:rsidP="002B1317">
      <w:pPr>
        <w:pStyle w:val="BTEMEASMCA"/>
        <w:rPr>
          <w:noProof w:val="0"/>
        </w:rPr>
      </w:pPr>
      <w:r w:rsidRPr="002B1317">
        <w:rPr>
          <w:noProof w:val="0"/>
        </w:rPr>
        <w:t>Vaistų negalima išmesti į kanalizaciją arba su buitinėmis atliekomis. Kaip išmesti nereikalingus vaistus, klauskite vaistininko. Šios priemonės padės apsaugoti aplinką.</w:t>
      </w:r>
    </w:p>
    <w:p w14:paraId="560C71A5" w14:textId="77777777" w:rsidR="002B1317" w:rsidRPr="002B1317" w:rsidRDefault="002B1317" w:rsidP="002B1317">
      <w:pPr>
        <w:tabs>
          <w:tab w:val="left" w:pos="567"/>
        </w:tabs>
        <w:rPr>
          <w:szCs w:val="22"/>
        </w:rPr>
      </w:pPr>
    </w:p>
    <w:p w14:paraId="3670A966" w14:textId="77777777" w:rsidR="002B1317" w:rsidRPr="002B1317" w:rsidRDefault="002B1317" w:rsidP="002B1317">
      <w:pPr>
        <w:tabs>
          <w:tab w:val="left" w:pos="567"/>
        </w:tabs>
        <w:rPr>
          <w:szCs w:val="22"/>
        </w:rPr>
      </w:pPr>
    </w:p>
    <w:p w14:paraId="1B1F7B75" w14:textId="77777777" w:rsidR="002B1317" w:rsidRPr="002B1317" w:rsidRDefault="002B1317" w:rsidP="002B1317">
      <w:pPr>
        <w:tabs>
          <w:tab w:val="left" w:pos="567"/>
        </w:tabs>
        <w:rPr>
          <w:b/>
          <w:szCs w:val="22"/>
        </w:rPr>
      </w:pPr>
      <w:r w:rsidRPr="002B1317">
        <w:rPr>
          <w:b/>
          <w:szCs w:val="22"/>
        </w:rPr>
        <w:t>6.</w:t>
      </w:r>
      <w:r w:rsidRPr="002B1317">
        <w:rPr>
          <w:b/>
          <w:szCs w:val="22"/>
        </w:rPr>
        <w:tab/>
        <w:t>Pakuotės turinys ir kita informacija</w:t>
      </w:r>
    </w:p>
    <w:p w14:paraId="21D00355" w14:textId="77777777" w:rsidR="002B1317" w:rsidRPr="002B1317" w:rsidRDefault="002B1317" w:rsidP="002B1317">
      <w:pPr>
        <w:tabs>
          <w:tab w:val="left" w:pos="567"/>
        </w:tabs>
        <w:rPr>
          <w:szCs w:val="22"/>
        </w:rPr>
      </w:pPr>
    </w:p>
    <w:p w14:paraId="441CA6D3" w14:textId="77777777" w:rsidR="002B1317" w:rsidRPr="002B1317" w:rsidRDefault="002B1317" w:rsidP="002B1317">
      <w:pPr>
        <w:pStyle w:val="PI-3EMEASMCA"/>
      </w:pPr>
      <w:r w:rsidRPr="002B1317">
        <w:t>Cathejell sudėtis</w:t>
      </w:r>
    </w:p>
    <w:p w14:paraId="1A38C96B" w14:textId="77777777" w:rsidR="002B1317" w:rsidRPr="002B1317" w:rsidRDefault="002B1317" w:rsidP="002B1317">
      <w:pPr>
        <w:tabs>
          <w:tab w:val="left" w:pos="567"/>
        </w:tabs>
        <w:rPr>
          <w:szCs w:val="22"/>
        </w:rPr>
      </w:pPr>
      <w:r w:rsidRPr="002B1317">
        <w:rPr>
          <w:szCs w:val="22"/>
        </w:rPr>
        <w:t>-</w:t>
      </w:r>
      <w:r w:rsidRPr="002B1317">
        <w:rPr>
          <w:szCs w:val="22"/>
        </w:rPr>
        <w:tab/>
        <w:t>Veikliosios medžiagos yra lidokaino hidrochloridas ir chlorheksidino dihidrochloridas. Viename švirkšte (12,5 g gelio) yra 250 mg lidokaino hidrochlorido ir 6,25 mg chlorheksidino dihidrochlorido.</w:t>
      </w:r>
    </w:p>
    <w:p w14:paraId="0F93BC68" w14:textId="77777777" w:rsidR="002B1317" w:rsidRPr="002B1317" w:rsidRDefault="002B1317" w:rsidP="002B1317">
      <w:pPr>
        <w:pStyle w:val="BT-EMEASMCA"/>
        <w:numPr>
          <w:ilvl w:val="0"/>
          <w:numId w:val="0"/>
        </w:numPr>
        <w:ind w:left="720" w:hanging="720"/>
        <w:rPr>
          <w:noProof w:val="0"/>
        </w:rPr>
      </w:pPr>
      <w:r w:rsidRPr="002B1317">
        <w:rPr>
          <w:noProof w:val="0"/>
        </w:rPr>
        <w:t>1 g gelio yra 20 mg lidokaino hidrochlorido ir 0,5 mg chlorheksidino dihidrochlorido.</w:t>
      </w:r>
    </w:p>
    <w:p w14:paraId="31AF8D8A" w14:textId="1EEA81F4" w:rsidR="002B1317" w:rsidRPr="002B1317" w:rsidRDefault="002B1317" w:rsidP="002B1317">
      <w:pPr>
        <w:pStyle w:val="BT-EMEASMCA"/>
        <w:tabs>
          <w:tab w:val="left" w:pos="630"/>
        </w:tabs>
        <w:rPr>
          <w:noProof w:val="0"/>
        </w:rPr>
      </w:pPr>
      <w:r w:rsidRPr="002B1317">
        <w:rPr>
          <w:noProof w:val="0"/>
        </w:rPr>
        <w:t>Pagalbinės medžiagos yra hidroksietilceliuliozė, glicerolis, natrio laktatas, injekcinis vanduo</w:t>
      </w:r>
      <w:r w:rsidR="00A74DCA">
        <w:rPr>
          <w:noProof w:val="0"/>
        </w:rPr>
        <w:t>, natrio hidroksido ir druskos rūgšties tirpalas, skirtas pH sureguliuoti</w:t>
      </w:r>
      <w:r w:rsidRPr="002B1317">
        <w:rPr>
          <w:noProof w:val="0"/>
        </w:rPr>
        <w:t>.</w:t>
      </w:r>
    </w:p>
    <w:p w14:paraId="36D5C3F8" w14:textId="77777777" w:rsidR="002B1317" w:rsidRPr="002B1317" w:rsidRDefault="002B1317" w:rsidP="002B1317">
      <w:pPr>
        <w:pStyle w:val="BTEMEASMCA"/>
        <w:rPr>
          <w:noProof w:val="0"/>
        </w:rPr>
      </w:pPr>
    </w:p>
    <w:p w14:paraId="41CBDCF5" w14:textId="77777777" w:rsidR="002B1317" w:rsidRPr="002B1317" w:rsidRDefault="002B1317" w:rsidP="002B1317">
      <w:pPr>
        <w:pStyle w:val="PI-3EMEASMCA"/>
      </w:pPr>
      <w:r w:rsidRPr="002B1317">
        <w:t>Cathejell išvaizda ir kiekis pakuotėje</w:t>
      </w:r>
    </w:p>
    <w:p w14:paraId="44E87101" w14:textId="77777777" w:rsidR="002B1317" w:rsidRPr="002B1317" w:rsidRDefault="002B1317" w:rsidP="002B1317">
      <w:pPr>
        <w:pStyle w:val="BTEMEASMCA"/>
        <w:rPr>
          <w:noProof w:val="0"/>
          <w:u w:val="single"/>
        </w:rPr>
      </w:pPr>
    </w:p>
    <w:p w14:paraId="24441093" w14:textId="77777777" w:rsidR="002B1317" w:rsidRPr="002B1317" w:rsidRDefault="002B1317" w:rsidP="002B1317">
      <w:pPr>
        <w:tabs>
          <w:tab w:val="left" w:pos="567"/>
        </w:tabs>
        <w:rPr>
          <w:szCs w:val="22"/>
        </w:rPr>
      </w:pPr>
      <w:r w:rsidRPr="002B1317">
        <w:rPr>
          <w:szCs w:val="22"/>
        </w:rPr>
        <w:t xml:space="preserve">Cathejell gelis yra skaidrus, bespalvis, tirpstantis vandenyje. Jis tiekiamas vienadozėmis talpyklėmis (užpildytais gofruotais švirkštais), kuriose yra 12,5 g gelio. Vienadozė talpyklė supakuota į lizdinę plokštelę. Dėžutėje yra 5 arba 25 vienadozės talpyklės po 5 viename lakšte. </w:t>
      </w:r>
    </w:p>
    <w:p w14:paraId="623CAFBE" w14:textId="77777777" w:rsidR="002B1317" w:rsidRPr="002B1317" w:rsidRDefault="002B1317" w:rsidP="002B1317">
      <w:pPr>
        <w:pStyle w:val="PI-3EMEASMCA"/>
        <w:rPr>
          <w:b w:val="0"/>
          <w:bCs w:val="0"/>
        </w:rPr>
      </w:pPr>
    </w:p>
    <w:p w14:paraId="4D2EEBC8" w14:textId="501C35F1" w:rsidR="002B1317" w:rsidRPr="002B1317" w:rsidRDefault="00477E9C" w:rsidP="002B1317">
      <w:pPr>
        <w:pStyle w:val="PI-3EMEASMCA"/>
      </w:pPr>
      <w:r>
        <w:t>G</w:t>
      </w:r>
      <w:r w:rsidR="002B1317" w:rsidRPr="002B1317">
        <w:t>amintojas</w:t>
      </w:r>
    </w:p>
    <w:p w14:paraId="1C1836BE" w14:textId="77777777" w:rsidR="002B1317" w:rsidRPr="002B1317" w:rsidRDefault="002B1317" w:rsidP="002B1317">
      <w:pPr>
        <w:tabs>
          <w:tab w:val="left" w:pos="567"/>
        </w:tabs>
        <w:rPr>
          <w:szCs w:val="22"/>
        </w:rPr>
      </w:pPr>
      <w:r w:rsidRPr="002B1317">
        <w:rPr>
          <w:szCs w:val="22"/>
        </w:rPr>
        <w:t>Pharmazeutische Fabrik Montavit Ges.m.b.H.</w:t>
      </w:r>
    </w:p>
    <w:p w14:paraId="67F8DDC1" w14:textId="5F48672D" w:rsidR="002B1317" w:rsidRPr="002B1317" w:rsidRDefault="002B1317" w:rsidP="002B1317">
      <w:pPr>
        <w:tabs>
          <w:tab w:val="left" w:pos="567"/>
        </w:tabs>
        <w:rPr>
          <w:szCs w:val="22"/>
        </w:rPr>
      </w:pPr>
      <w:r w:rsidRPr="002B1317">
        <w:rPr>
          <w:szCs w:val="22"/>
        </w:rPr>
        <w:t>AT-6067 Absam</w:t>
      </w:r>
      <w:r w:rsidR="00477E9C">
        <w:rPr>
          <w:szCs w:val="22"/>
        </w:rPr>
        <w:t>/Tirol</w:t>
      </w:r>
    </w:p>
    <w:p w14:paraId="516020EF" w14:textId="77777777" w:rsidR="002B1317" w:rsidRPr="002B1317" w:rsidRDefault="002B1317" w:rsidP="002B1317">
      <w:pPr>
        <w:tabs>
          <w:tab w:val="left" w:pos="567"/>
        </w:tabs>
        <w:rPr>
          <w:szCs w:val="22"/>
        </w:rPr>
      </w:pPr>
      <w:r w:rsidRPr="002B1317">
        <w:rPr>
          <w:szCs w:val="22"/>
        </w:rPr>
        <w:t>Austrija</w:t>
      </w:r>
    </w:p>
    <w:p w14:paraId="6FDC5946" w14:textId="77777777" w:rsidR="002B1317" w:rsidRPr="002B1317" w:rsidRDefault="002B1317" w:rsidP="002B1317">
      <w:pPr>
        <w:tabs>
          <w:tab w:val="left" w:pos="567"/>
        </w:tabs>
        <w:rPr>
          <w:szCs w:val="22"/>
        </w:rPr>
      </w:pPr>
    </w:p>
    <w:p w14:paraId="7359B435" w14:textId="77777777" w:rsidR="002B1317" w:rsidRPr="002B1317" w:rsidRDefault="002B1317" w:rsidP="002B1317">
      <w:pPr>
        <w:pStyle w:val="BodyText"/>
        <w:spacing w:after="0"/>
        <w:jc w:val="both"/>
        <w:rPr>
          <w:b/>
        </w:rPr>
      </w:pPr>
      <w:r w:rsidRPr="002B1317">
        <w:rPr>
          <w:b/>
        </w:rPr>
        <w:t xml:space="preserve">Lygiagretus importuotojas </w:t>
      </w:r>
    </w:p>
    <w:p w14:paraId="5363571B" w14:textId="058E1DBA" w:rsidR="002B1317" w:rsidRPr="002B1317" w:rsidRDefault="002B1317" w:rsidP="002B1317">
      <w:pPr>
        <w:pStyle w:val="BodyText"/>
        <w:spacing w:after="0"/>
        <w:jc w:val="both"/>
      </w:pPr>
      <w:r w:rsidRPr="002B1317">
        <w:t xml:space="preserve">UAB </w:t>
      </w:r>
      <w:r w:rsidR="00477E9C">
        <w:t>„</w:t>
      </w:r>
      <w:r w:rsidRPr="002B1317">
        <w:t>Lex ano</w:t>
      </w:r>
      <w:r w:rsidR="00477E9C">
        <w:t>“</w:t>
      </w:r>
    </w:p>
    <w:p w14:paraId="25117868" w14:textId="77777777" w:rsidR="002B1317" w:rsidRPr="002B1317" w:rsidRDefault="002B1317" w:rsidP="002B1317">
      <w:pPr>
        <w:pStyle w:val="BodyText"/>
        <w:spacing w:after="0"/>
        <w:jc w:val="both"/>
      </w:pPr>
      <w:r w:rsidRPr="002B1317">
        <w:t>Naugarduko g. 3, Vilnius</w:t>
      </w:r>
    </w:p>
    <w:p w14:paraId="2A450034" w14:textId="77777777" w:rsidR="002B1317" w:rsidRPr="002B1317" w:rsidRDefault="002B1317" w:rsidP="002B1317">
      <w:pPr>
        <w:pStyle w:val="BodyText"/>
        <w:spacing w:after="0"/>
        <w:jc w:val="both"/>
      </w:pPr>
      <w:r w:rsidRPr="002B1317">
        <w:t>Lietuva</w:t>
      </w:r>
    </w:p>
    <w:p w14:paraId="34259D3D" w14:textId="77777777" w:rsidR="002B1317" w:rsidRPr="002B1317" w:rsidRDefault="002B1317" w:rsidP="002B1317">
      <w:pPr>
        <w:pStyle w:val="BodyText"/>
        <w:spacing w:after="0"/>
        <w:jc w:val="both"/>
      </w:pPr>
    </w:p>
    <w:p w14:paraId="220DF88A" w14:textId="77777777" w:rsidR="002B1317" w:rsidRPr="002B1317" w:rsidRDefault="002B1317" w:rsidP="002B1317">
      <w:pPr>
        <w:pStyle w:val="BodyText"/>
        <w:spacing w:after="0"/>
        <w:jc w:val="both"/>
        <w:rPr>
          <w:b/>
        </w:rPr>
      </w:pPr>
      <w:r w:rsidRPr="002B1317">
        <w:rPr>
          <w:b/>
        </w:rPr>
        <w:t xml:space="preserve">Perpakavo </w:t>
      </w:r>
    </w:p>
    <w:p w14:paraId="0D0495A3" w14:textId="6A428287" w:rsidR="002B1317" w:rsidRPr="002B1317" w:rsidRDefault="002B1317" w:rsidP="002B1317">
      <w:pPr>
        <w:pStyle w:val="BodyText"/>
        <w:spacing w:after="0"/>
        <w:jc w:val="both"/>
      </w:pPr>
      <w:r w:rsidRPr="002B1317">
        <w:t xml:space="preserve">BĮ UAB </w:t>
      </w:r>
      <w:r w:rsidR="00477E9C">
        <w:t>„</w:t>
      </w:r>
      <w:r w:rsidRPr="002B1317">
        <w:t>Norfachema</w:t>
      </w:r>
      <w:r w:rsidR="00477E9C">
        <w:t>“</w:t>
      </w:r>
    </w:p>
    <w:p w14:paraId="03ED36FB" w14:textId="77777777" w:rsidR="002B1317" w:rsidRPr="002B1317" w:rsidRDefault="002B1317" w:rsidP="002B1317">
      <w:pPr>
        <w:pStyle w:val="BodyText"/>
        <w:spacing w:after="0"/>
        <w:jc w:val="both"/>
      </w:pPr>
      <w:r w:rsidRPr="002B1317">
        <w:t>Vytauto g. 6, Jonava</w:t>
      </w:r>
    </w:p>
    <w:p w14:paraId="3E62E777" w14:textId="77777777" w:rsidR="002B1317" w:rsidRPr="002B1317" w:rsidRDefault="002B1317" w:rsidP="002B1317">
      <w:pPr>
        <w:pStyle w:val="BodyText"/>
        <w:spacing w:after="0"/>
        <w:jc w:val="both"/>
      </w:pPr>
      <w:r w:rsidRPr="002B1317">
        <w:t>Lietuva</w:t>
      </w:r>
    </w:p>
    <w:p w14:paraId="7356A77B" w14:textId="77777777" w:rsidR="002B1317" w:rsidRPr="002B1317" w:rsidRDefault="002B1317" w:rsidP="002B1317">
      <w:pPr>
        <w:pStyle w:val="BodyText"/>
        <w:spacing w:after="0"/>
        <w:jc w:val="both"/>
      </w:pPr>
    </w:p>
    <w:p w14:paraId="5E63FF0F" w14:textId="77777777" w:rsidR="002B1317" w:rsidRPr="002B1317" w:rsidRDefault="002B1317" w:rsidP="002B1317">
      <w:pPr>
        <w:pStyle w:val="BodyText"/>
        <w:spacing w:after="0"/>
        <w:jc w:val="both"/>
      </w:pPr>
      <w:r w:rsidRPr="002B1317">
        <w:t>arba</w:t>
      </w:r>
    </w:p>
    <w:p w14:paraId="3D3CD983" w14:textId="77777777" w:rsidR="002B1317" w:rsidRPr="002B1317" w:rsidRDefault="002B1317" w:rsidP="002B1317">
      <w:pPr>
        <w:pStyle w:val="BodyText"/>
        <w:spacing w:after="0"/>
        <w:jc w:val="both"/>
      </w:pPr>
    </w:p>
    <w:p w14:paraId="6271421E" w14:textId="77777777" w:rsidR="002B1317" w:rsidRPr="002B1317" w:rsidRDefault="002B1317" w:rsidP="002B1317">
      <w:pPr>
        <w:pStyle w:val="BodyText"/>
        <w:spacing w:after="0"/>
        <w:jc w:val="both"/>
      </w:pPr>
      <w:r w:rsidRPr="002B1317">
        <w:t>UAB „Entafarma“</w:t>
      </w:r>
    </w:p>
    <w:p w14:paraId="2E025656" w14:textId="77777777" w:rsidR="002B1317" w:rsidRPr="002B1317" w:rsidRDefault="002B1317" w:rsidP="002B1317">
      <w:pPr>
        <w:pStyle w:val="BodyText"/>
        <w:spacing w:after="0"/>
        <w:jc w:val="both"/>
      </w:pPr>
      <w:r w:rsidRPr="002B1317">
        <w:t xml:space="preserve">Klonėnų vs. 1, </w:t>
      </w:r>
    </w:p>
    <w:p w14:paraId="2AB6E820" w14:textId="77777777" w:rsidR="002B1317" w:rsidRPr="002B1317" w:rsidRDefault="002B1317" w:rsidP="002B1317">
      <w:pPr>
        <w:pStyle w:val="BodyText"/>
        <w:spacing w:after="0"/>
        <w:jc w:val="both"/>
      </w:pPr>
      <w:r w:rsidRPr="002B1317">
        <w:t>Širvintų r. sav.</w:t>
      </w:r>
    </w:p>
    <w:p w14:paraId="45F3E705" w14:textId="77777777" w:rsidR="002B1317" w:rsidRPr="002B1317" w:rsidRDefault="002B1317" w:rsidP="002B1317">
      <w:pPr>
        <w:pStyle w:val="BodyText"/>
        <w:spacing w:after="0"/>
        <w:jc w:val="both"/>
      </w:pPr>
      <w:r w:rsidRPr="002B1317">
        <w:t>Lietuva</w:t>
      </w:r>
    </w:p>
    <w:p w14:paraId="38F28B06" w14:textId="1C91B0FB" w:rsidR="002B1317" w:rsidRDefault="002B1317" w:rsidP="002B1317">
      <w:pPr>
        <w:tabs>
          <w:tab w:val="left" w:pos="567"/>
        </w:tabs>
        <w:rPr>
          <w:szCs w:val="22"/>
        </w:rPr>
      </w:pPr>
    </w:p>
    <w:p w14:paraId="1C3F50D9" w14:textId="5A1CEEEC" w:rsidR="00477E9C" w:rsidRDefault="00477E9C" w:rsidP="0034741F">
      <w:pPr>
        <w:tabs>
          <w:tab w:val="left" w:pos="567"/>
        </w:tabs>
        <w:jc w:val="both"/>
        <w:rPr>
          <w:szCs w:val="22"/>
        </w:rPr>
      </w:pPr>
      <w:r>
        <w:rPr>
          <w:szCs w:val="22"/>
        </w:rPr>
        <w:t xml:space="preserve">Registruotojas eksportuojančioje valstybėje yra </w:t>
      </w:r>
      <w:r w:rsidRPr="002B1317">
        <w:rPr>
          <w:szCs w:val="22"/>
        </w:rPr>
        <w:t>Pharmazeutische Fabrik Montavit Ges.m.b.H.</w:t>
      </w:r>
      <w:r>
        <w:rPr>
          <w:szCs w:val="22"/>
        </w:rPr>
        <w:t xml:space="preserve">, </w:t>
      </w:r>
      <w:r w:rsidRPr="002B1317">
        <w:rPr>
          <w:szCs w:val="22"/>
        </w:rPr>
        <w:t>AT-6067</w:t>
      </w:r>
      <w:r>
        <w:rPr>
          <w:szCs w:val="22"/>
        </w:rPr>
        <w:t xml:space="preserve">, </w:t>
      </w:r>
      <w:r w:rsidRPr="002B1317">
        <w:rPr>
          <w:szCs w:val="22"/>
        </w:rPr>
        <w:t>Absam</w:t>
      </w:r>
      <w:r>
        <w:rPr>
          <w:szCs w:val="22"/>
        </w:rPr>
        <w:t xml:space="preserve">/Tirol, </w:t>
      </w:r>
      <w:r w:rsidRPr="002B1317">
        <w:rPr>
          <w:szCs w:val="22"/>
        </w:rPr>
        <w:t>Austrija</w:t>
      </w:r>
      <w:r>
        <w:rPr>
          <w:szCs w:val="22"/>
        </w:rPr>
        <w:t>.</w:t>
      </w:r>
    </w:p>
    <w:p w14:paraId="4CBB6EF3" w14:textId="77777777" w:rsidR="00477E9C" w:rsidRPr="002B1317" w:rsidRDefault="00477E9C" w:rsidP="002B1317">
      <w:pPr>
        <w:tabs>
          <w:tab w:val="left" w:pos="567"/>
        </w:tabs>
        <w:rPr>
          <w:szCs w:val="22"/>
        </w:rPr>
      </w:pPr>
    </w:p>
    <w:p w14:paraId="4BCC47B6" w14:textId="7429811E" w:rsidR="002B1317" w:rsidRPr="002B1317" w:rsidRDefault="002B1317" w:rsidP="002B1317">
      <w:pPr>
        <w:pStyle w:val="BTbEMEASMCA"/>
        <w:rPr>
          <w:noProof w:val="0"/>
        </w:rPr>
      </w:pPr>
      <w:r w:rsidRPr="002B1317">
        <w:rPr>
          <w:bCs/>
          <w:noProof w:val="0"/>
        </w:rPr>
        <w:t xml:space="preserve">Šis pakuotės lapelis paskutinį kartą peržiūrėtas </w:t>
      </w:r>
      <w:r w:rsidR="007A4C42">
        <w:rPr>
          <w:bCs/>
          <w:noProof w:val="0"/>
        </w:rPr>
        <w:t>2019-10-01</w:t>
      </w:r>
      <w:bookmarkStart w:id="2" w:name="_GoBack"/>
      <w:bookmarkEnd w:id="2"/>
    </w:p>
    <w:p w14:paraId="76E7E57C" w14:textId="77777777" w:rsidR="002B1317" w:rsidRPr="002B1317" w:rsidRDefault="002B1317" w:rsidP="002B1317">
      <w:pPr>
        <w:pStyle w:val="BTbEMEASMCA"/>
        <w:rPr>
          <w:noProof w:val="0"/>
        </w:rPr>
      </w:pPr>
    </w:p>
    <w:p w14:paraId="395BB41E" w14:textId="77777777" w:rsidR="002B1317" w:rsidRPr="002B1317" w:rsidRDefault="002B1317" w:rsidP="002B1317">
      <w:pPr>
        <w:tabs>
          <w:tab w:val="left" w:pos="567"/>
        </w:tabs>
        <w:rPr>
          <w:szCs w:val="22"/>
        </w:rPr>
      </w:pPr>
    </w:p>
    <w:p w14:paraId="0E19B64C" w14:textId="77777777" w:rsidR="002B1317" w:rsidRPr="002B1317" w:rsidRDefault="002B1317" w:rsidP="002B1317">
      <w:pPr>
        <w:pStyle w:val="BTEMEASMCA"/>
        <w:rPr>
          <w:noProof w:val="0"/>
        </w:rPr>
      </w:pPr>
      <w:r w:rsidRPr="002B1317">
        <w:rPr>
          <w:noProof w:val="0"/>
        </w:rPr>
        <w:t>Išsami informacija apie šį vaistą pateikiama Valstybinės vaistų kontrolės tarnybos prie Lietuvos Respublikos sveikatos apsaugos ministerijos tinklalapyje</w:t>
      </w:r>
      <w:r w:rsidRPr="002B1317">
        <w:rPr>
          <w:i/>
          <w:noProof w:val="0"/>
        </w:rPr>
        <w:t xml:space="preserve"> </w:t>
      </w:r>
      <w:hyperlink r:id="rId8" w:history="1">
        <w:r w:rsidRPr="002B1317">
          <w:rPr>
            <w:rStyle w:val="Hyperlink"/>
            <w:rFonts w:eastAsia="SimSun"/>
            <w:noProof w:val="0"/>
          </w:rPr>
          <w:t>http://www.vvkt.lt/</w:t>
        </w:r>
      </w:hyperlink>
    </w:p>
    <w:p w14:paraId="331BDE2F" w14:textId="756CE7A2" w:rsidR="0017696A" w:rsidRDefault="0017696A"/>
    <w:p w14:paraId="6DE6063C" w14:textId="77777777" w:rsidR="003E7B32" w:rsidRPr="00DE2807" w:rsidRDefault="003E7B32" w:rsidP="003E7B32">
      <w:pPr>
        <w:jc w:val="both"/>
        <w:rPr>
          <w:bCs/>
          <w:i/>
          <w:iCs/>
          <w:szCs w:val="22"/>
        </w:rPr>
      </w:pPr>
      <w:r w:rsidRPr="00DE2807">
        <w:rPr>
          <w:bCs/>
          <w:i/>
          <w:iCs/>
          <w:szCs w:val="22"/>
        </w:rPr>
        <w:t>Lygiagrečiai importuojamas vaistas skiriasi nuo referencinio vaisto skiriasi: laikymo sąlygomis (lyg. imp. vaistą papildomai laikyti ne aukštesnėje kaip 30</w:t>
      </w:r>
      <w:r w:rsidRPr="00DE2807">
        <w:rPr>
          <w:bCs/>
          <w:i/>
          <w:iCs/>
          <w:szCs w:val="22"/>
          <w:vertAlign w:val="superscript"/>
        </w:rPr>
        <w:t>o</w:t>
      </w:r>
      <w:r w:rsidRPr="00DE2807">
        <w:rPr>
          <w:bCs/>
          <w:i/>
          <w:iCs/>
          <w:szCs w:val="22"/>
        </w:rPr>
        <w:t xml:space="preserve"> C temperatūroje);</w:t>
      </w:r>
      <w:r>
        <w:rPr>
          <w:bCs/>
          <w:i/>
          <w:iCs/>
          <w:szCs w:val="22"/>
        </w:rPr>
        <w:t xml:space="preserve"> pagalbinėmis medžiagomis (lyg. imp. vaisto sudėtyje papildomai yra</w:t>
      </w:r>
      <w:r w:rsidRPr="00DE2807">
        <w:rPr>
          <w:bCs/>
          <w:i/>
          <w:iCs/>
          <w:szCs w:val="22"/>
        </w:rPr>
        <w:t xml:space="preserve"> </w:t>
      </w:r>
      <w:r w:rsidRPr="00DE2807">
        <w:rPr>
          <w:i/>
          <w:iCs/>
          <w:szCs w:val="22"/>
        </w:rPr>
        <w:t>natrio hidroksido ir druskos rūgšties tirpalas, skirtas pH sureguliuoti</w:t>
      </w:r>
      <w:r>
        <w:rPr>
          <w:i/>
          <w:iCs/>
          <w:szCs w:val="22"/>
        </w:rPr>
        <w:t>)</w:t>
      </w:r>
      <w:r w:rsidRPr="00DE2807">
        <w:rPr>
          <w:i/>
          <w:iCs/>
          <w:szCs w:val="22"/>
        </w:rPr>
        <w:t>.</w:t>
      </w:r>
    </w:p>
    <w:p w14:paraId="6DFF156E" w14:textId="77777777" w:rsidR="003E7B32" w:rsidRPr="002B1317" w:rsidRDefault="003E7B32"/>
    <w:sectPr w:rsidR="003E7B32" w:rsidRPr="002B1317" w:rsidSect="001244D2">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45B9C"/>
    <w:multiLevelType w:val="hybridMultilevel"/>
    <w:tmpl w:val="1DC6AB42"/>
    <w:lvl w:ilvl="0" w:tplc="E37A6E9E">
      <w:start w:val="17"/>
      <w:numFmt w:val="decimal"/>
      <w:lvlText w:val="%1."/>
      <w:lvlJc w:val="left"/>
      <w:pPr>
        <w:ind w:left="1440" w:hanging="360"/>
      </w:pPr>
      <w:rPr>
        <w:rFonts w:hint="default"/>
        <w:b/>
        <w:i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30F02CEA"/>
    <w:multiLevelType w:val="hybridMultilevel"/>
    <w:tmpl w:val="14BE417A"/>
    <w:lvl w:ilvl="0" w:tplc="30688944">
      <w:start w:val="1"/>
      <w:numFmt w:val="bullet"/>
      <w:lvlRestart w:val="0"/>
      <w:pStyle w:val="BT-EMEASMCA"/>
      <w:lvlText w:val="-"/>
      <w:lvlJc w:val="left"/>
      <w:pPr>
        <w:tabs>
          <w:tab w:val="num" w:pos="363"/>
        </w:tabs>
        <w:ind w:left="36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53"/>
    <w:rsid w:val="000151B6"/>
    <w:rsid w:val="001225D4"/>
    <w:rsid w:val="0017696A"/>
    <w:rsid w:val="00263B53"/>
    <w:rsid w:val="002A2EE0"/>
    <w:rsid w:val="002B1317"/>
    <w:rsid w:val="002C7290"/>
    <w:rsid w:val="002E1554"/>
    <w:rsid w:val="0034741F"/>
    <w:rsid w:val="003E7B32"/>
    <w:rsid w:val="004057B0"/>
    <w:rsid w:val="00477E9C"/>
    <w:rsid w:val="005E0616"/>
    <w:rsid w:val="0068214D"/>
    <w:rsid w:val="006B1F42"/>
    <w:rsid w:val="00745363"/>
    <w:rsid w:val="007A4C42"/>
    <w:rsid w:val="00862EDC"/>
    <w:rsid w:val="00904A85"/>
    <w:rsid w:val="00992BD7"/>
    <w:rsid w:val="00A74DCA"/>
    <w:rsid w:val="00C03488"/>
    <w:rsid w:val="00DA5ED6"/>
    <w:rsid w:val="00E904C7"/>
    <w:rsid w:val="00EF6ADD"/>
    <w:rsid w:val="00FA0814"/>
    <w:rsid w:val="00FA7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3B75"/>
  <w15:chartTrackingRefBased/>
  <w15:docId w15:val="{322BEC27-1158-4534-8E36-D4192C01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1317"/>
    <w:pPr>
      <w:spacing w:after="0" w:line="240" w:lineRule="auto"/>
    </w:pPr>
    <w:rPr>
      <w:rFonts w:ascii="Times New Roman" w:eastAsia="Calibri" w:hAnsi="Times New Roman" w:cs="Times New Roman"/>
      <w:szCs w:val="20"/>
      <w:lang w:eastAsia="lt-LT"/>
    </w:rPr>
  </w:style>
  <w:style w:type="paragraph" w:styleId="Heading1">
    <w:name w:val="heading 1"/>
    <w:basedOn w:val="Normal"/>
    <w:next w:val="Normal"/>
    <w:link w:val="Heading1Char"/>
    <w:uiPriority w:val="9"/>
    <w:qFormat/>
    <w:rsid w:val="002B13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qFormat/>
    <w:rsid w:val="002B1317"/>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B1317"/>
    <w:rPr>
      <w:rFonts w:ascii="Times New Roman" w:eastAsia="Calibri" w:hAnsi="Times New Roman" w:cs="Times New Roman"/>
      <w:b/>
      <w:szCs w:val="20"/>
      <w:lang w:eastAsia="lt-LT"/>
    </w:rPr>
  </w:style>
  <w:style w:type="paragraph" w:styleId="BodyText">
    <w:name w:val="Body Text"/>
    <w:basedOn w:val="Normal"/>
    <w:link w:val="BodyTextChar"/>
    <w:rsid w:val="002B1317"/>
    <w:pPr>
      <w:spacing w:after="120"/>
    </w:pPr>
  </w:style>
  <w:style w:type="character" w:customStyle="1" w:styleId="BodyTextChar">
    <w:name w:val="Body Text Char"/>
    <w:basedOn w:val="DefaultParagraphFont"/>
    <w:link w:val="BodyText"/>
    <w:rsid w:val="002B1317"/>
    <w:rPr>
      <w:rFonts w:ascii="Times New Roman" w:eastAsia="Calibri" w:hAnsi="Times New Roman" w:cs="Times New Roman"/>
      <w:szCs w:val="20"/>
      <w:lang w:eastAsia="lt-LT"/>
    </w:rPr>
  </w:style>
  <w:style w:type="paragraph" w:styleId="Title">
    <w:name w:val="Title"/>
    <w:basedOn w:val="Normal"/>
    <w:link w:val="TitleChar"/>
    <w:autoRedefine/>
    <w:qFormat/>
    <w:rsid w:val="002B1317"/>
    <w:pPr>
      <w:jc w:val="center"/>
      <w:outlineLvl w:val="0"/>
    </w:pPr>
    <w:rPr>
      <w:b/>
      <w:kern w:val="28"/>
    </w:rPr>
  </w:style>
  <w:style w:type="character" w:customStyle="1" w:styleId="TitleChar">
    <w:name w:val="Title Char"/>
    <w:basedOn w:val="DefaultParagraphFont"/>
    <w:link w:val="Title"/>
    <w:rsid w:val="002B1317"/>
    <w:rPr>
      <w:rFonts w:ascii="Times New Roman" w:eastAsia="Calibri" w:hAnsi="Times New Roman" w:cs="Times New Roman"/>
      <w:b/>
      <w:kern w:val="28"/>
      <w:szCs w:val="20"/>
      <w:lang w:eastAsia="lt-LT"/>
    </w:rPr>
  </w:style>
  <w:style w:type="character" w:styleId="Hyperlink">
    <w:name w:val="Hyperlink"/>
    <w:rsid w:val="002B1317"/>
    <w:rPr>
      <w:rFonts w:cs="Times New Roman"/>
      <w:color w:val="0000FF"/>
      <w:u w:val="single"/>
    </w:rPr>
  </w:style>
  <w:style w:type="paragraph" w:customStyle="1" w:styleId="BTEMEASMCA">
    <w:name w:val="BT EMEA_SMCA"/>
    <w:basedOn w:val="Normal"/>
    <w:link w:val="BTEMEASMCAChar"/>
    <w:autoRedefine/>
    <w:rsid w:val="002B1317"/>
    <w:rPr>
      <w:noProof/>
      <w:szCs w:val="22"/>
      <w:lang w:eastAsia="en-US"/>
    </w:rPr>
  </w:style>
  <w:style w:type="character" w:customStyle="1" w:styleId="BTEMEASMCAChar">
    <w:name w:val="BT EMEA_SMCA Char"/>
    <w:link w:val="BTEMEASMCA"/>
    <w:locked/>
    <w:rsid w:val="002B1317"/>
    <w:rPr>
      <w:rFonts w:ascii="Times New Roman" w:eastAsia="Calibri" w:hAnsi="Times New Roman" w:cs="Times New Roman"/>
      <w:noProof/>
    </w:rPr>
  </w:style>
  <w:style w:type="paragraph" w:customStyle="1" w:styleId="BT-EMEASMCA">
    <w:name w:val="BT- EMEA_SMCA"/>
    <w:basedOn w:val="BTEMEASMCA"/>
    <w:autoRedefine/>
    <w:rsid w:val="002B1317"/>
    <w:pPr>
      <w:numPr>
        <w:numId w:val="1"/>
      </w:numPr>
      <w:tabs>
        <w:tab w:val="clear" w:pos="363"/>
        <w:tab w:val="num" w:pos="720"/>
      </w:tabs>
      <w:ind w:left="720" w:hanging="720"/>
    </w:pPr>
  </w:style>
  <w:style w:type="paragraph" w:customStyle="1" w:styleId="PI-3EMEASMCA">
    <w:name w:val="PI-3 EMEA_SMCA"/>
    <w:basedOn w:val="Normal"/>
    <w:autoRedefine/>
    <w:rsid w:val="002B1317"/>
    <w:pPr>
      <w:spacing w:line="220" w:lineRule="exact"/>
    </w:pPr>
    <w:rPr>
      <w:b/>
      <w:bCs/>
      <w:szCs w:val="22"/>
      <w:lang w:eastAsia="en-US"/>
    </w:rPr>
  </w:style>
  <w:style w:type="paragraph" w:customStyle="1" w:styleId="TTEMEASMCA">
    <w:name w:val="TT EMEA_SMCA"/>
    <w:basedOn w:val="Heading1"/>
    <w:link w:val="TTEMEASMCAChar"/>
    <w:autoRedefine/>
    <w:rsid w:val="002B1317"/>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en-US" w:eastAsia="en-US"/>
    </w:rPr>
  </w:style>
  <w:style w:type="character" w:customStyle="1" w:styleId="TTEMEASMCAChar">
    <w:name w:val="TT EMEA_SMCA Char"/>
    <w:link w:val="TTEMEASMCA"/>
    <w:locked/>
    <w:rsid w:val="002B1317"/>
    <w:rPr>
      <w:rFonts w:ascii="Times New Roman" w:eastAsia="Calibri" w:hAnsi="Times New Roman" w:cs="Times New Roman"/>
      <w:b/>
      <w:caps/>
      <w:lang w:val="en-US"/>
    </w:rPr>
  </w:style>
  <w:style w:type="paragraph" w:customStyle="1" w:styleId="BTbEMEASMCA">
    <w:name w:val="BT(b) EMEA_SMCA"/>
    <w:basedOn w:val="BTEMEASMCA"/>
    <w:autoRedefine/>
    <w:rsid w:val="002B1317"/>
    <w:rPr>
      <w:b/>
    </w:rPr>
  </w:style>
  <w:style w:type="character" w:customStyle="1" w:styleId="Heading1Char">
    <w:name w:val="Heading 1 Char"/>
    <w:basedOn w:val="DefaultParagraphFont"/>
    <w:link w:val="Heading1"/>
    <w:uiPriority w:val="9"/>
    <w:rsid w:val="002B1317"/>
    <w:rPr>
      <w:rFonts w:asciiTheme="majorHAnsi" w:eastAsiaTheme="majorEastAsia" w:hAnsiTheme="majorHAnsi" w:cstheme="majorBidi"/>
      <w:color w:val="2F5496" w:themeColor="accent1" w:themeShade="BF"/>
      <w:sz w:val="32"/>
      <w:szCs w:val="32"/>
      <w:lang w:eastAsia="lt-LT"/>
    </w:rPr>
  </w:style>
  <w:style w:type="paragraph" w:styleId="ListParagraph">
    <w:name w:val="List Paragraph"/>
    <w:basedOn w:val="Normal"/>
    <w:uiPriority w:val="34"/>
    <w:qFormat/>
    <w:rsid w:val="002B1317"/>
    <w:pPr>
      <w:spacing w:after="200" w:line="276" w:lineRule="auto"/>
      <w:ind w:left="720"/>
      <w:contextualSpacing/>
    </w:pPr>
    <w:rPr>
      <w:rFonts w:ascii="Calibri" w:hAnsi="Calibri"/>
      <w:szCs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9250</Words>
  <Characters>5274</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Gediminas Ruša</cp:lastModifiedBy>
  <cp:revision>23</cp:revision>
  <dcterms:created xsi:type="dcterms:W3CDTF">2019-08-26T07:02:00Z</dcterms:created>
  <dcterms:modified xsi:type="dcterms:W3CDTF">2019-10-02T06:49:00Z</dcterms:modified>
</cp:coreProperties>
</file>