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3D" w:rsidRPr="00673200" w:rsidRDefault="00847E3D" w:rsidP="00847E3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73200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673200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673200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847E3D" w:rsidRPr="00673200" w:rsidRDefault="00847E3D" w:rsidP="00847E3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jc w:val="center"/>
        <w:rPr>
          <w:b/>
          <w:szCs w:val="22"/>
          <w:lang w:val="lt-LT"/>
        </w:rPr>
      </w:pPr>
      <w:proofErr w:type="spellStart"/>
      <w:r w:rsidRPr="00673200">
        <w:rPr>
          <w:b/>
          <w:szCs w:val="22"/>
          <w:lang w:val="lt-LT"/>
        </w:rPr>
        <w:t>oktiseptas</w:t>
      </w:r>
      <w:proofErr w:type="spellEnd"/>
      <w:r w:rsidRPr="00673200">
        <w:rPr>
          <w:b/>
          <w:szCs w:val="22"/>
          <w:lang w:val="lt-LT"/>
        </w:rPr>
        <w:t xml:space="preserve"> 1 mg/20 mg/ml odos tirpalas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>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</w:t>
      </w:r>
      <w:r w:rsidRPr="00673200">
        <w:rPr>
          <w:szCs w:val="22"/>
          <w:lang w:val="lt-LT"/>
        </w:rPr>
        <w:t>enoksietanolis</w:t>
      </w:r>
      <w:proofErr w:type="spellEnd"/>
    </w:p>
    <w:p w:rsidR="00847E3D" w:rsidRPr="00673200" w:rsidRDefault="00847E3D" w:rsidP="00847E3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847E3D" w:rsidRPr="00673200" w:rsidRDefault="00847E3D" w:rsidP="00847E3D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Neišmeskite šio lapelio, nes vėl gali prireikti jį perskaityti.</w:t>
      </w:r>
    </w:p>
    <w:p w:rsidR="00847E3D" w:rsidRPr="00673200" w:rsidRDefault="00847E3D" w:rsidP="00847E3D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Jeigu norite sužinoti daugiau arba pasitarti, kreipkitės į vaistininką.</w:t>
      </w:r>
    </w:p>
    <w:p w:rsidR="00847E3D" w:rsidRPr="00673200" w:rsidRDefault="00847E3D" w:rsidP="00847E3D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847E3D" w:rsidRPr="00673200" w:rsidRDefault="00847E3D" w:rsidP="00847E3D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Jeigu per 5 dienas Jūsų savijauta nepagerėjo arba net pablogėjo, kreipkitės į gydytoją.</w:t>
      </w:r>
    </w:p>
    <w:p w:rsidR="00847E3D" w:rsidRPr="00673200" w:rsidRDefault="00847E3D" w:rsidP="00847E3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1.</w:t>
      </w:r>
      <w:r w:rsidRPr="00673200">
        <w:rPr>
          <w:szCs w:val="22"/>
          <w:lang w:val="lt-LT"/>
        </w:rPr>
        <w:tab/>
        <w:t xml:space="preserve">Kas yra </w:t>
      </w:r>
      <w:proofErr w:type="spellStart"/>
      <w:r w:rsidRPr="00673200">
        <w:rPr>
          <w:szCs w:val="22"/>
          <w:lang w:val="lt-LT"/>
        </w:rPr>
        <w:t>oktiseptas</w:t>
      </w:r>
      <w:proofErr w:type="spellEnd"/>
      <w:r w:rsidRPr="00673200">
        <w:rPr>
          <w:szCs w:val="22"/>
          <w:lang w:val="lt-LT"/>
        </w:rPr>
        <w:t xml:space="preserve"> ir kam jis vartojamas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2.</w:t>
      </w:r>
      <w:r w:rsidRPr="00673200">
        <w:rPr>
          <w:szCs w:val="22"/>
          <w:lang w:val="lt-LT"/>
        </w:rPr>
        <w:tab/>
        <w:t xml:space="preserve">Kas žinotina prieš vartojant </w:t>
      </w:r>
      <w:proofErr w:type="spellStart"/>
      <w:r w:rsidRPr="00673200">
        <w:rPr>
          <w:szCs w:val="22"/>
          <w:lang w:val="lt-LT"/>
        </w:rPr>
        <w:t>oktiseptas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3.</w:t>
      </w:r>
      <w:r w:rsidRPr="00673200">
        <w:rPr>
          <w:szCs w:val="22"/>
          <w:lang w:val="lt-LT"/>
        </w:rPr>
        <w:tab/>
        <w:t xml:space="preserve">Kaip vartoti </w:t>
      </w:r>
      <w:proofErr w:type="spellStart"/>
      <w:r w:rsidRPr="00673200">
        <w:rPr>
          <w:szCs w:val="22"/>
          <w:lang w:val="lt-LT"/>
        </w:rPr>
        <w:t>oktiseptas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4.</w:t>
      </w:r>
      <w:r w:rsidRPr="00673200">
        <w:rPr>
          <w:szCs w:val="22"/>
          <w:lang w:val="lt-LT"/>
        </w:rPr>
        <w:tab/>
        <w:t>Galimas šalutinis poveikis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5.</w:t>
      </w:r>
      <w:r w:rsidRPr="00673200">
        <w:rPr>
          <w:szCs w:val="22"/>
          <w:lang w:val="lt-LT"/>
        </w:rPr>
        <w:tab/>
        <w:t xml:space="preserve">Kaip laikyti </w:t>
      </w:r>
      <w:proofErr w:type="spellStart"/>
      <w:r w:rsidRPr="00673200">
        <w:rPr>
          <w:szCs w:val="22"/>
          <w:lang w:val="lt-LT"/>
        </w:rPr>
        <w:t>oktiseptas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6.</w:t>
      </w:r>
      <w:r w:rsidRPr="00673200">
        <w:rPr>
          <w:szCs w:val="22"/>
          <w:lang w:val="lt-LT"/>
        </w:rPr>
        <w:tab/>
        <w:t>Pakuotės turinys ir kita informacija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1.</w:t>
      </w:r>
      <w:r w:rsidRPr="00673200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oktiseptas</w:t>
      </w:r>
      <w:proofErr w:type="spellEnd"/>
      <w:r w:rsidRPr="00673200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847E3D" w:rsidRPr="00673200" w:rsidRDefault="00847E3D" w:rsidP="00847E3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>ktiseptas</w:t>
      </w:r>
      <w:proofErr w:type="spellEnd"/>
      <w:r w:rsidRPr="00673200">
        <w:rPr>
          <w:szCs w:val="22"/>
          <w:lang w:val="lt-LT"/>
        </w:rPr>
        <w:t xml:space="preserve"> yra antiseptikas (bakterijų augimą stabdantis medžiaga), kurio sudėtyje yra veikliųjų medžiagų </w:t>
      </w:r>
      <w:proofErr w:type="spellStart"/>
      <w:r w:rsidRPr="00673200">
        <w:rPr>
          <w:szCs w:val="22"/>
          <w:lang w:val="lt-LT"/>
        </w:rPr>
        <w:t>oktenidino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dihidrochlorido</w:t>
      </w:r>
      <w:proofErr w:type="spellEnd"/>
      <w:r w:rsidRPr="00673200">
        <w:rPr>
          <w:szCs w:val="22"/>
          <w:lang w:val="lt-LT"/>
        </w:rPr>
        <w:t xml:space="preserve"> ir </w:t>
      </w:r>
      <w:proofErr w:type="spellStart"/>
      <w:r w:rsidRPr="00673200">
        <w:rPr>
          <w:szCs w:val="22"/>
          <w:lang w:val="lt-LT"/>
        </w:rPr>
        <w:t>fenoksietanolio</w:t>
      </w:r>
      <w:proofErr w:type="spellEnd"/>
      <w:r w:rsidRPr="00673200">
        <w:rPr>
          <w:szCs w:val="22"/>
          <w:lang w:val="lt-LT"/>
        </w:rPr>
        <w:t xml:space="preserve">. Veikliosios medžiagos </w:t>
      </w:r>
      <w:proofErr w:type="spellStart"/>
      <w:r w:rsidRPr="00673200">
        <w:rPr>
          <w:szCs w:val="22"/>
          <w:lang w:val="lt-LT"/>
        </w:rPr>
        <w:t>oktenidino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dihidrochloridas</w:t>
      </w:r>
      <w:proofErr w:type="spellEnd"/>
      <w:r w:rsidRPr="00673200">
        <w:rPr>
          <w:szCs w:val="22"/>
          <w:lang w:val="lt-LT"/>
        </w:rPr>
        <w:t xml:space="preserve"> ir </w:t>
      </w:r>
      <w:proofErr w:type="spellStart"/>
      <w:r w:rsidRPr="00673200">
        <w:rPr>
          <w:szCs w:val="22"/>
          <w:lang w:val="lt-LT"/>
        </w:rPr>
        <w:t>fenoksietanolis</w:t>
      </w:r>
      <w:proofErr w:type="spellEnd"/>
      <w:r w:rsidRPr="00673200">
        <w:rPr>
          <w:szCs w:val="22"/>
          <w:lang w:val="lt-LT"/>
        </w:rPr>
        <w:t xml:space="preserve"> reaguodamos su bakterijų ir grybelių ląstelių sienele bei </w:t>
      </w:r>
      <w:r>
        <w:rPr>
          <w:szCs w:val="22"/>
          <w:lang w:val="lt-LT"/>
        </w:rPr>
        <w:t>jos</w:t>
      </w:r>
      <w:r w:rsidRPr="00673200">
        <w:rPr>
          <w:szCs w:val="22"/>
          <w:lang w:val="lt-LT"/>
        </w:rPr>
        <w:t xml:space="preserve"> sudedamosiomis dalimis ir sutrikdo </w:t>
      </w:r>
      <w:r>
        <w:rPr>
          <w:szCs w:val="22"/>
          <w:lang w:val="lt-LT"/>
        </w:rPr>
        <w:t>ląstelių</w:t>
      </w:r>
      <w:r w:rsidRPr="00673200">
        <w:rPr>
          <w:szCs w:val="22"/>
          <w:lang w:val="lt-LT"/>
        </w:rPr>
        <w:t xml:space="preserve"> funkcijas ir sukelia antimikrobinį poveikį bakterijoms ir grybeliams.</w:t>
      </w:r>
    </w:p>
    <w:p w:rsidR="00847E3D" w:rsidRPr="00673200" w:rsidRDefault="00847E3D" w:rsidP="00847E3D">
      <w:pPr>
        <w:spacing w:line="240" w:lineRule="auto"/>
        <w:ind w:right="140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ind w:right="14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>ktiseptas</w:t>
      </w:r>
      <w:proofErr w:type="spellEnd"/>
      <w:r w:rsidRPr="00673200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skirtas</w:t>
      </w:r>
      <w:r w:rsidRPr="00673200">
        <w:rPr>
          <w:szCs w:val="22"/>
          <w:lang w:val="lt-LT"/>
        </w:rPr>
        <w:t>:</w:t>
      </w:r>
    </w:p>
    <w:p w:rsidR="00847E3D" w:rsidRPr="00673200" w:rsidRDefault="00847E3D" w:rsidP="00847E3D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140" w:hanging="567"/>
        <w:jc w:val="both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antiseptiniam odos paruošimui prieš diagnostines ir chirurgines procedūras lyties organų ir išangės srityse; </w:t>
      </w:r>
    </w:p>
    <w:p w:rsidR="00847E3D" w:rsidRPr="00673200" w:rsidRDefault="00847E3D" w:rsidP="00847E3D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140" w:hanging="567"/>
        <w:jc w:val="both"/>
        <w:rPr>
          <w:szCs w:val="22"/>
          <w:lang w:val="lt-LT"/>
        </w:rPr>
      </w:pPr>
      <w:r w:rsidRPr="00673200">
        <w:rPr>
          <w:szCs w:val="22"/>
          <w:lang w:val="lt-LT"/>
        </w:rPr>
        <w:t>trumpalaikiam antiseptiniam žaizdų gydymui.</w:t>
      </w:r>
    </w:p>
    <w:p w:rsidR="00847E3D" w:rsidRPr="00673200" w:rsidRDefault="00847E3D" w:rsidP="00847E3D">
      <w:pPr>
        <w:spacing w:line="240" w:lineRule="auto"/>
        <w:ind w:right="140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Jeigu per 5 dienas Jūsų savijauta nepagerėjo arba net pablogėjo, kreipkitės į gydytoją.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2.</w:t>
      </w:r>
      <w:r w:rsidRPr="00673200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673200">
        <w:rPr>
          <w:rFonts w:ascii="Times New Roman" w:hAnsi="Times New Roman"/>
          <w:bCs w:val="0"/>
          <w:sz w:val="22"/>
          <w:szCs w:val="22"/>
          <w:lang w:val="lt-LT"/>
        </w:rPr>
        <w:t>oktiseptas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oktiseptas</w:t>
      </w:r>
      <w:proofErr w:type="spellEnd"/>
      <w:r w:rsidRPr="00673200">
        <w:rPr>
          <w:rFonts w:ascii="Times New Roman" w:hAnsi="Times New Roman"/>
          <w:sz w:val="22"/>
          <w:szCs w:val="22"/>
          <w:lang w:val="lt-LT"/>
        </w:rPr>
        <w:t xml:space="preserve"> vartoti </w:t>
      </w:r>
      <w:r>
        <w:rPr>
          <w:rFonts w:ascii="Times New Roman" w:hAnsi="Times New Roman"/>
          <w:sz w:val="22"/>
          <w:szCs w:val="22"/>
          <w:lang w:val="lt-LT"/>
        </w:rPr>
        <w:t>draudžiama</w:t>
      </w:r>
      <w:r w:rsidRPr="00673200">
        <w:rPr>
          <w:rFonts w:ascii="Times New Roman" w:hAnsi="Times New Roman"/>
          <w:sz w:val="22"/>
          <w:szCs w:val="22"/>
          <w:lang w:val="lt-LT"/>
        </w:rPr>
        <w:t>:</w:t>
      </w: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-</w:t>
      </w:r>
      <w:r w:rsidRPr="00673200">
        <w:rPr>
          <w:szCs w:val="22"/>
          <w:lang w:val="lt-LT"/>
        </w:rPr>
        <w:tab/>
        <w:t>jeigu yra alergija veikliosioms medžiagoms arba bet kuriai pagalbinei šio vaisto medžiagai (jos išvardytos 6 skyriuje);</w:t>
      </w:r>
    </w:p>
    <w:p w:rsidR="00847E3D" w:rsidRDefault="00847E3D" w:rsidP="00847E3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-</w:t>
      </w:r>
      <w:r w:rsidRPr="00673200">
        <w:rPr>
          <w:szCs w:val="22"/>
          <w:lang w:val="lt-LT"/>
        </w:rPr>
        <w:tab/>
      </w:r>
      <w:r>
        <w:rPr>
          <w:szCs w:val="22"/>
          <w:lang w:val="lt-LT"/>
        </w:rPr>
        <w:t xml:space="preserve">į </w:t>
      </w:r>
      <w:r w:rsidRPr="00673200">
        <w:rPr>
          <w:szCs w:val="22"/>
          <w:lang w:val="lt-LT"/>
        </w:rPr>
        <w:t>pilvo ertm</w:t>
      </w:r>
      <w:r>
        <w:rPr>
          <w:szCs w:val="22"/>
          <w:lang w:val="lt-LT"/>
        </w:rPr>
        <w:t>ę</w:t>
      </w:r>
      <w:r w:rsidRPr="00673200">
        <w:rPr>
          <w:szCs w:val="22"/>
          <w:lang w:val="lt-LT"/>
        </w:rPr>
        <w:t xml:space="preserve"> (pvz., operacijos metu)</w:t>
      </w:r>
      <w:r>
        <w:rPr>
          <w:szCs w:val="22"/>
          <w:lang w:val="lt-LT"/>
        </w:rPr>
        <w:t>;</w:t>
      </w:r>
    </w:p>
    <w:p w:rsidR="00847E3D" w:rsidRPr="00D04D96" w:rsidRDefault="00847E3D" w:rsidP="00847E3D">
      <w:pPr>
        <w:pStyle w:val="Sraopastraipa"/>
        <w:numPr>
          <w:ilvl w:val="0"/>
          <w:numId w:val="4"/>
        </w:numPr>
        <w:spacing w:line="240" w:lineRule="auto"/>
        <w:ind w:left="567" w:hanging="567"/>
        <w:rPr>
          <w:szCs w:val="22"/>
          <w:lang w:val="lt-LT"/>
        </w:rPr>
      </w:pPr>
      <w:r w:rsidRPr="00D04D96">
        <w:rPr>
          <w:szCs w:val="22"/>
          <w:lang w:val="lt-LT"/>
        </w:rPr>
        <w:t>šlapimo pūslės plovimui;</w:t>
      </w: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>-</w:t>
      </w:r>
      <w:r w:rsidRPr="00673200">
        <w:rPr>
          <w:szCs w:val="22"/>
          <w:lang w:val="lt-LT"/>
        </w:rPr>
        <w:tab/>
        <w:t>į vidurinę ausį.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Pasitarkite su gydytoju arba vaistininku, prieš pradėdami vartoti </w:t>
      </w:r>
      <w:r>
        <w:rPr>
          <w:szCs w:val="22"/>
          <w:lang w:val="lt-LT"/>
        </w:rPr>
        <w:t>šio vaisto</w:t>
      </w:r>
      <w:r w:rsidRPr="00673200">
        <w:rPr>
          <w:szCs w:val="22"/>
          <w:lang w:val="lt-LT"/>
        </w:rPr>
        <w:t>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lastRenderedPageBreak/>
        <w:t>Kad būtų išvengta audinių sužalojimo, vaisto negalima leisti į audinius arba plauti žaizdas naudojant slėgį (plaunant švirkštu). Reikia numatyti tinkamą vaisto išleidimą iš žaizdų ertmių.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Reikia </w:t>
      </w:r>
      <w:r>
        <w:rPr>
          <w:szCs w:val="22"/>
          <w:lang w:val="lt-LT"/>
        </w:rPr>
        <w:t>saugoti, kad vaisto nepatektų</w:t>
      </w:r>
      <w:r w:rsidRPr="00673200">
        <w:rPr>
          <w:szCs w:val="22"/>
          <w:lang w:val="lt-LT"/>
        </w:rPr>
        <w:t xml:space="preserve"> į ak</w:t>
      </w:r>
      <w:r>
        <w:rPr>
          <w:szCs w:val="22"/>
          <w:lang w:val="lt-LT"/>
        </w:rPr>
        <w:t>is</w:t>
      </w:r>
      <w:r w:rsidRPr="00673200">
        <w:rPr>
          <w:szCs w:val="22"/>
          <w:lang w:val="lt-LT"/>
        </w:rPr>
        <w:t>. Patekus į ak</w:t>
      </w:r>
      <w:r>
        <w:rPr>
          <w:szCs w:val="22"/>
          <w:lang w:val="lt-LT"/>
        </w:rPr>
        <w:t>is</w:t>
      </w:r>
      <w:r w:rsidRPr="00673200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jas reikia </w:t>
      </w:r>
      <w:r w:rsidRPr="00673200">
        <w:rPr>
          <w:szCs w:val="22"/>
          <w:lang w:val="lt-LT"/>
        </w:rPr>
        <w:t>nedels</w:t>
      </w:r>
      <w:r>
        <w:rPr>
          <w:szCs w:val="22"/>
          <w:lang w:val="lt-LT"/>
        </w:rPr>
        <w:t>iant</w:t>
      </w:r>
      <w:r w:rsidRPr="00673200">
        <w:rPr>
          <w:szCs w:val="22"/>
          <w:lang w:val="lt-LT"/>
        </w:rPr>
        <w:t xml:space="preserve"> gerai praskalau</w:t>
      </w:r>
      <w:r>
        <w:rPr>
          <w:szCs w:val="22"/>
          <w:lang w:val="lt-LT"/>
        </w:rPr>
        <w:t>ti</w:t>
      </w:r>
      <w:r w:rsidRPr="00673200">
        <w:rPr>
          <w:szCs w:val="22"/>
          <w:lang w:val="lt-LT"/>
        </w:rPr>
        <w:t xml:space="preserve"> vandeniu.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417B6E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Vaikams ir paaugliams</w:t>
      </w:r>
    </w:p>
    <w:p w:rsidR="00847E3D" w:rsidRPr="00646E37" w:rsidRDefault="00847E3D" w:rsidP="00847E3D">
      <w:pPr>
        <w:rPr>
          <w:lang w:val="lt-LT"/>
        </w:rPr>
      </w:pPr>
      <w:r w:rsidRPr="00646E37">
        <w:rPr>
          <w:lang w:val="lt-LT"/>
        </w:rPr>
        <w:t xml:space="preserve">Naujagimiams, ypač neišnešiotiems, vartokite atsargiai. </w:t>
      </w:r>
      <w:r>
        <w:rPr>
          <w:lang w:val="lt-LT"/>
        </w:rPr>
        <w:t>Vaistas</w:t>
      </w:r>
      <w:r w:rsidRPr="00646E37">
        <w:rPr>
          <w:lang w:val="lt-LT"/>
        </w:rPr>
        <w:t xml:space="preserve"> gali sukelti sunkių odos pažeidimų. Pašalinkite </w:t>
      </w:r>
      <w:r>
        <w:rPr>
          <w:lang w:val="lt-LT"/>
        </w:rPr>
        <w:t>j</w:t>
      </w:r>
      <w:r w:rsidRPr="00646E37">
        <w:rPr>
          <w:lang w:val="lt-LT"/>
        </w:rPr>
        <w:t xml:space="preserve">o perteklių ir užtikrinkite, kad tirpalo neliktų ant odos ilgiau nei reikia (įskaitant medžiagas, tiesiogiai besiliečiančias su pacientu, ant kurių </w:t>
      </w:r>
      <w:r>
        <w:rPr>
          <w:lang w:val="lt-LT"/>
        </w:rPr>
        <w:t>pateko tirpalo</w:t>
      </w:r>
      <w:r w:rsidRPr="00646E37">
        <w:rPr>
          <w:lang w:val="lt-LT"/>
        </w:rPr>
        <w:t>).</w:t>
      </w:r>
    </w:p>
    <w:p w:rsidR="00847E3D" w:rsidRPr="00673200" w:rsidRDefault="00847E3D" w:rsidP="00847E3D">
      <w:pPr>
        <w:rPr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Nevartokite </w:t>
      </w:r>
      <w:r>
        <w:rPr>
          <w:szCs w:val="22"/>
          <w:lang w:val="lt-LT"/>
        </w:rPr>
        <w:t xml:space="preserve">šio vaisto </w:t>
      </w:r>
      <w:r w:rsidRPr="00673200">
        <w:rPr>
          <w:szCs w:val="22"/>
          <w:lang w:val="lt-LT"/>
        </w:rPr>
        <w:t>greta odos sričių, gydomų antiseptikais (dezinfek</w:t>
      </w:r>
      <w:r>
        <w:rPr>
          <w:szCs w:val="22"/>
          <w:lang w:val="lt-LT"/>
        </w:rPr>
        <w:t>uojančiomis medžiagomis</w:t>
      </w:r>
      <w:r w:rsidRPr="00673200">
        <w:rPr>
          <w:szCs w:val="22"/>
          <w:lang w:val="lt-LT"/>
        </w:rPr>
        <w:t xml:space="preserve">), kurių sudėtyje yra </w:t>
      </w:r>
      <w:proofErr w:type="spellStart"/>
      <w:r w:rsidRPr="00673200">
        <w:rPr>
          <w:szCs w:val="22"/>
          <w:lang w:val="lt-LT"/>
        </w:rPr>
        <w:t>joduoto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povidono</w:t>
      </w:r>
      <w:proofErr w:type="spellEnd"/>
      <w:r w:rsidRPr="00673200">
        <w:rPr>
          <w:szCs w:val="22"/>
          <w:lang w:val="lt-LT"/>
        </w:rPr>
        <w:t>, nes besiribojančios odos sritys gali nusidažyti tamsiai ruda arba violetine spalva.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Nevartokite </w:t>
      </w:r>
      <w:r>
        <w:rPr>
          <w:szCs w:val="22"/>
          <w:lang w:val="lt-LT"/>
        </w:rPr>
        <w:t xml:space="preserve">šio vaisto </w:t>
      </w:r>
      <w:r w:rsidRPr="00673200">
        <w:rPr>
          <w:szCs w:val="22"/>
          <w:lang w:val="lt-LT"/>
        </w:rPr>
        <w:t>kartu su anijoninėmis paviršinio aktyvumo medžiagomis (muilais, plovikliais), nes jos gali sumažinti arba panaikinti vaisto aktyvumą.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Nėštumas</w:t>
      </w:r>
      <w:r w:rsidRPr="00673200">
        <w:rPr>
          <w:rFonts w:ascii="Times New Roman" w:hAnsi="Times New Roman"/>
          <w:bCs w:val="0"/>
          <w:sz w:val="22"/>
          <w:szCs w:val="22"/>
          <w:lang w:val="lt-LT"/>
        </w:rPr>
        <w:t xml:space="preserve">, </w:t>
      </w:r>
      <w:r w:rsidRPr="00673200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Esama patirtis su moterimis, vartoj</w:t>
      </w:r>
      <w:r>
        <w:rPr>
          <w:szCs w:val="22"/>
          <w:lang w:val="lt-LT"/>
        </w:rPr>
        <w:t>usioms</w:t>
      </w:r>
      <w:r w:rsidRPr="00673200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šio vaisto veikliųjų medžiagų </w:t>
      </w:r>
      <w:r w:rsidRPr="00673200">
        <w:rPr>
          <w:szCs w:val="22"/>
          <w:lang w:val="lt-LT"/>
        </w:rPr>
        <w:t>nėštumo metu, kenksmingo poveikio nerodo.</w:t>
      </w:r>
    </w:p>
    <w:p w:rsidR="00847E3D" w:rsidRPr="00673200" w:rsidRDefault="00847E3D" w:rsidP="00847E3D">
      <w:pPr>
        <w:spacing w:line="240" w:lineRule="auto"/>
        <w:rPr>
          <w:color w:val="000000"/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Duomenų apie </w:t>
      </w:r>
      <w:r>
        <w:rPr>
          <w:szCs w:val="22"/>
          <w:lang w:val="lt-LT"/>
        </w:rPr>
        <w:t xml:space="preserve">vaisto </w:t>
      </w:r>
      <w:r w:rsidRPr="00673200">
        <w:rPr>
          <w:szCs w:val="22"/>
          <w:lang w:val="lt-LT"/>
        </w:rPr>
        <w:t>vartojimą žindymo metu nėra.</w:t>
      </w:r>
      <w:r>
        <w:rPr>
          <w:szCs w:val="22"/>
          <w:lang w:val="lt-LT"/>
        </w:rPr>
        <w:t xml:space="preserve"> </w:t>
      </w:r>
      <w:r w:rsidRPr="00673200">
        <w:rPr>
          <w:szCs w:val="22"/>
          <w:lang w:val="lt-LT"/>
        </w:rPr>
        <w:t xml:space="preserve">Kadangi </w:t>
      </w:r>
      <w:r>
        <w:rPr>
          <w:szCs w:val="22"/>
          <w:lang w:val="lt-LT"/>
        </w:rPr>
        <w:t xml:space="preserve">per odą į organizmą patenka </w:t>
      </w:r>
      <w:r w:rsidRPr="00673200">
        <w:rPr>
          <w:szCs w:val="22"/>
          <w:lang w:val="lt-LT"/>
        </w:rPr>
        <w:t>tik labai maž</w:t>
      </w:r>
      <w:r>
        <w:rPr>
          <w:szCs w:val="22"/>
          <w:lang w:val="lt-LT"/>
        </w:rPr>
        <w:t>i vaisto veikliųjų medžiagų kiekiai</w:t>
      </w:r>
      <w:r w:rsidRPr="00673200">
        <w:rPr>
          <w:szCs w:val="22"/>
          <w:lang w:val="lt-LT"/>
        </w:rPr>
        <w:t xml:space="preserve"> arba</w:t>
      </w:r>
      <w:r>
        <w:rPr>
          <w:szCs w:val="22"/>
          <w:lang w:val="lt-LT"/>
        </w:rPr>
        <w:t xml:space="preserve"> jos greitai suskaidomos organizme</w:t>
      </w:r>
      <w:r w:rsidRPr="00673200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manoma</w:t>
      </w:r>
      <w:r w:rsidRPr="00673200">
        <w:rPr>
          <w:szCs w:val="22"/>
          <w:lang w:val="lt-LT"/>
        </w:rPr>
        <w:t xml:space="preserve">, kad </w:t>
      </w:r>
      <w:proofErr w:type="spellStart"/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>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</w:t>
      </w:r>
      <w:r w:rsidRPr="00673200">
        <w:rPr>
          <w:szCs w:val="22"/>
          <w:lang w:val="lt-LT"/>
        </w:rPr>
        <w:t>enoksietanoli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 į </w:t>
      </w:r>
      <w:r w:rsidRPr="00673200">
        <w:rPr>
          <w:color w:val="000000"/>
          <w:szCs w:val="22"/>
          <w:lang w:val="lt-LT"/>
        </w:rPr>
        <w:t xml:space="preserve">motinos pieną </w:t>
      </w:r>
      <w:r>
        <w:rPr>
          <w:color w:val="000000"/>
          <w:szCs w:val="22"/>
          <w:lang w:val="lt-LT"/>
        </w:rPr>
        <w:t>nepatenka</w:t>
      </w:r>
      <w:r w:rsidRPr="00673200">
        <w:rPr>
          <w:color w:val="000000"/>
          <w:szCs w:val="22"/>
          <w:lang w:val="lt-LT"/>
        </w:rPr>
        <w:t>.</w:t>
      </w:r>
      <w:r>
        <w:rPr>
          <w:color w:val="000000"/>
          <w:szCs w:val="22"/>
          <w:lang w:val="lt-LT"/>
        </w:rPr>
        <w:t xml:space="preserve"> 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Duomenų apie </w:t>
      </w:r>
      <w:r>
        <w:rPr>
          <w:szCs w:val="22"/>
          <w:lang w:val="lt-LT"/>
        </w:rPr>
        <w:t>šio vaisto</w:t>
      </w:r>
      <w:r w:rsidRPr="00673200">
        <w:rPr>
          <w:szCs w:val="22"/>
          <w:lang w:val="lt-LT"/>
        </w:rPr>
        <w:t xml:space="preserve"> poveikį vaisingumui nėra.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Šio</w:t>
      </w:r>
      <w:r w:rsidRPr="00A66A00">
        <w:rPr>
          <w:szCs w:val="22"/>
          <w:lang w:val="lt-LT"/>
        </w:rPr>
        <w:t xml:space="preserve"> vaisto veikli</w:t>
      </w:r>
      <w:r>
        <w:rPr>
          <w:szCs w:val="22"/>
          <w:lang w:val="lt-LT"/>
        </w:rPr>
        <w:t>osios medžiagos</w:t>
      </w:r>
      <w:r w:rsidRPr="00673200">
        <w:rPr>
          <w:szCs w:val="22"/>
          <w:lang w:val="lt-LT"/>
        </w:rPr>
        <w:t xml:space="preserve"> gebėjimo vairuoti transporto priemonę ar valdyti mechanizmus neveikia.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3.</w:t>
      </w:r>
      <w:r w:rsidRPr="00673200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</w:t>
      </w:r>
      <w:r>
        <w:rPr>
          <w:rFonts w:ascii="Times New Roman" w:hAnsi="Times New Roman"/>
          <w:sz w:val="22"/>
          <w:szCs w:val="22"/>
          <w:lang w:val="lt-LT"/>
        </w:rPr>
        <w:t>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60619" w:rsidRDefault="00847E3D" w:rsidP="00847E3D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660619">
        <w:rPr>
          <w:szCs w:val="22"/>
          <w:lang w:val="lt-LT"/>
        </w:rPr>
        <w:t>Vaisto reikia vartoti vieną kartą per parą.</w:t>
      </w:r>
    </w:p>
    <w:p w:rsidR="00847E3D" w:rsidRDefault="00847E3D" w:rsidP="00847E3D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lt-LT"/>
        </w:rPr>
      </w:pPr>
    </w:p>
    <w:p w:rsidR="00847E3D" w:rsidRPr="00673200" w:rsidRDefault="00847E3D" w:rsidP="00847E3D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lt-LT"/>
        </w:rPr>
      </w:pPr>
      <w:r w:rsidRPr="00673200">
        <w:rPr>
          <w:szCs w:val="22"/>
          <w:u w:val="single"/>
          <w:lang w:val="lt-LT"/>
        </w:rPr>
        <w:t>Vartojimo metodas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Vartoti ant odos.</w:t>
      </w:r>
    </w:p>
    <w:p w:rsidR="00847E3D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Vartoti ant pažeistos vietos.</w:t>
      </w:r>
    </w:p>
    <w:p w:rsidR="00847E3D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Šis vaistas</w:t>
      </w:r>
      <w:r w:rsidRPr="00673200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vartojamas </w:t>
      </w:r>
      <w:r w:rsidRPr="00673200">
        <w:rPr>
          <w:szCs w:val="22"/>
          <w:lang w:val="lt-LT"/>
        </w:rPr>
        <w:t>sudrėkin</w:t>
      </w:r>
      <w:r>
        <w:rPr>
          <w:szCs w:val="22"/>
          <w:lang w:val="lt-LT"/>
        </w:rPr>
        <w:t>an</w:t>
      </w:r>
      <w:r w:rsidRPr="00673200">
        <w:rPr>
          <w:szCs w:val="22"/>
          <w:lang w:val="lt-LT"/>
        </w:rPr>
        <w:t>t</w:t>
      </w:r>
      <w:r>
        <w:rPr>
          <w:szCs w:val="22"/>
          <w:lang w:val="lt-LT"/>
        </w:rPr>
        <w:t xml:space="preserve"> juo</w:t>
      </w:r>
      <w:r w:rsidRPr="00673200">
        <w:rPr>
          <w:szCs w:val="22"/>
          <w:lang w:val="lt-LT"/>
        </w:rPr>
        <w:t xml:space="preserve"> vis</w:t>
      </w:r>
      <w:r>
        <w:rPr>
          <w:szCs w:val="22"/>
          <w:lang w:val="lt-LT"/>
        </w:rPr>
        <w:t>ą</w:t>
      </w:r>
      <w:r w:rsidRPr="00673200">
        <w:rPr>
          <w:szCs w:val="22"/>
          <w:lang w:val="lt-LT"/>
        </w:rPr>
        <w:t xml:space="preserve"> reikiam</w:t>
      </w:r>
      <w:r>
        <w:rPr>
          <w:szCs w:val="22"/>
          <w:lang w:val="lt-LT"/>
        </w:rPr>
        <w:t>ą</w:t>
      </w:r>
      <w:r w:rsidRPr="00673200">
        <w:rPr>
          <w:szCs w:val="22"/>
          <w:lang w:val="lt-LT"/>
        </w:rPr>
        <w:t xml:space="preserve"> plot</w:t>
      </w:r>
      <w:r>
        <w:rPr>
          <w:szCs w:val="22"/>
          <w:lang w:val="lt-LT"/>
        </w:rPr>
        <w:t xml:space="preserve">ą, naudojant  </w:t>
      </w:r>
      <w:r w:rsidRPr="00673200">
        <w:rPr>
          <w:szCs w:val="22"/>
          <w:lang w:val="lt-LT"/>
        </w:rPr>
        <w:t>mažiausiai d</w:t>
      </w:r>
      <w:r>
        <w:rPr>
          <w:szCs w:val="22"/>
          <w:lang w:val="lt-LT"/>
        </w:rPr>
        <w:t xml:space="preserve">u </w:t>
      </w:r>
      <w:r w:rsidRPr="00673200">
        <w:rPr>
          <w:szCs w:val="22"/>
          <w:lang w:val="lt-LT"/>
        </w:rPr>
        <w:t>vaist</w:t>
      </w:r>
      <w:r>
        <w:rPr>
          <w:szCs w:val="22"/>
          <w:lang w:val="lt-LT"/>
        </w:rPr>
        <w:t>u</w:t>
      </w:r>
      <w:r w:rsidRPr="00673200">
        <w:rPr>
          <w:szCs w:val="22"/>
          <w:lang w:val="lt-LT"/>
        </w:rPr>
        <w:t xml:space="preserve"> sumirkyt</w:t>
      </w:r>
      <w:r>
        <w:rPr>
          <w:szCs w:val="22"/>
          <w:lang w:val="lt-LT"/>
        </w:rPr>
        <w:t>us</w:t>
      </w:r>
      <w:r w:rsidRPr="00673200">
        <w:rPr>
          <w:szCs w:val="22"/>
          <w:lang w:val="lt-LT"/>
        </w:rPr>
        <w:t xml:space="preserve"> tampon</w:t>
      </w:r>
      <w:r>
        <w:rPr>
          <w:szCs w:val="22"/>
          <w:lang w:val="lt-LT"/>
        </w:rPr>
        <w:t>us</w:t>
      </w:r>
      <w:r w:rsidRPr="00673200">
        <w:rPr>
          <w:szCs w:val="22"/>
          <w:lang w:val="lt-LT"/>
        </w:rPr>
        <w:t xml:space="preserve"> (iš pradžių vien</w:t>
      </w:r>
      <w:r>
        <w:rPr>
          <w:szCs w:val="22"/>
          <w:lang w:val="lt-LT"/>
        </w:rPr>
        <w:t>ą</w:t>
      </w:r>
      <w:r w:rsidRPr="00673200">
        <w:rPr>
          <w:szCs w:val="22"/>
          <w:lang w:val="lt-LT"/>
        </w:rPr>
        <w:t>, po to kit</w:t>
      </w:r>
      <w:r>
        <w:rPr>
          <w:szCs w:val="22"/>
          <w:lang w:val="lt-LT"/>
        </w:rPr>
        <w:t>ą</w:t>
      </w:r>
      <w:r w:rsidRPr="00673200">
        <w:rPr>
          <w:szCs w:val="22"/>
          <w:lang w:val="lt-LT"/>
        </w:rPr>
        <w:t xml:space="preserve">). Ant žaizdų, sunkiai pasiekiamų odos vietų </w:t>
      </w:r>
      <w:r>
        <w:rPr>
          <w:szCs w:val="22"/>
          <w:lang w:val="lt-LT"/>
        </w:rPr>
        <w:t>šį vaistą</w:t>
      </w:r>
      <w:r w:rsidRPr="00673200">
        <w:rPr>
          <w:szCs w:val="22"/>
          <w:lang w:val="lt-LT"/>
        </w:rPr>
        <w:t xml:space="preserve"> taip pat galima purkšti.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>Reikia palaukti 1-2 minutes tam, kad pasireikštų vaisto poveikis ir tik tada sutvarstyti žaizdą ar atlikti kitas procedūras.</w:t>
      </w:r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</w:p>
    <w:p w:rsidR="00847E3D" w:rsidRPr="00660619" w:rsidRDefault="00847E3D" w:rsidP="00847E3D">
      <w:pPr>
        <w:tabs>
          <w:tab w:val="clear" w:pos="567"/>
        </w:tabs>
        <w:spacing w:line="240" w:lineRule="auto"/>
        <w:jc w:val="both"/>
        <w:rPr>
          <w:i/>
          <w:szCs w:val="22"/>
          <w:lang w:val="lt-LT"/>
        </w:rPr>
      </w:pPr>
      <w:r w:rsidRPr="00660619">
        <w:rPr>
          <w:i/>
          <w:szCs w:val="22"/>
          <w:lang w:val="lt-LT"/>
        </w:rPr>
        <w:t>Gydymo trukmė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Vaisto</w:t>
      </w:r>
      <w:r w:rsidRPr="00673200">
        <w:rPr>
          <w:szCs w:val="22"/>
          <w:lang w:val="lt-LT"/>
        </w:rPr>
        <w:t xml:space="preserve"> reikia vartoti </w:t>
      </w:r>
      <w:r w:rsidRPr="00673200">
        <w:rPr>
          <w:b/>
          <w:szCs w:val="22"/>
          <w:lang w:val="lt-LT"/>
        </w:rPr>
        <w:t xml:space="preserve">tik ribotą </w:t>
      </w:r>
      <w:r>
        <w:rPr>
          <w:b/>
          <w:szCs w:val="22"/>
          <w:lang w:val="lt-LT"/>
        </w:rPr>
        <w:t>laiką</w:t>
      </w:r>
      <w:r w:rsidRPr="00673200">
        <w:rPr>
          <w:szCs w:val="22"/>
          <w:lang w:val="lt-LT"/>
        </w:rPr>
        <w:t xml:space="preserve">, nes kol kas tyrimų duomenų </w:t>
      </w:r>
      <w:r>
        <w:rPr>
          <w:szCs w:val="22"/>
          <w:lang w:val="lt-LT"/>
        </w:rPr>
        <w:t xml:space="preserve">yra tik apie ne ilgesnį kaip </w:t>
      </w:r>
      <w:r w:rsidRPr="00673200">
        <w:rPr>
          <w:szCs w:val="22"/>
          <w:lang w:val="lt-LT"/>
        </w:rPr>
        <w:t>14 </w:t>
      </w:r>
      <w:r>
        <w:rPr>
          <w:szCs w:val="22"/>
          <w:lang w:val="lt-LT"/>
        </w:rPr>
        <w:t>parų</w:t>
      </w:r>
      <w:r w:rsidRPr="00673200">
        <w:rPr>
          <w:szCs w:val="22"/>
          <w:lang w:val="lt-LT"/>
        </w:rPr>
        <w:t xml:space="preserve"> nepertraukiamą vartojimą</w:t>
      </w:r>
      <w:r>
        <w:rPr>
          <w:szCs w:val="22"/>
          <w:lang w:val="lt-LT"/>
        </w:rPr>
        <w:t>.</w:t>
      </w:r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</w:p>
    <w:p w:rsidR="00847E3D" w:rsidRPr="00673200" w:rsidRDefault="00847E3D" w:rsidP="00847E3D">
      <w:pPr>
        <w:tabs>
          <w:tab w:val="clear" w:pos="567"/>
        </w:tabs>
        <w:spacing w:line="240" w:lineRule="auto"/>
        <w:jc w:val="both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Vartojimas vaikams ir paaugliams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Dozavimas toks pats kaip </w:t>
      </w:r>
      <w:r w:rsidRPr="00673200">
        <w:rPr>
          <w:szCs w:val="22"/>
          <w:lang w:val="lt-LT"/>
        </w:rPr>
        <w:t>suaugusiesiems</w:t>
      </w:r>
      <w:r>
        <w:rPr>
          <w:szCs w:val="22"/>
          <w:lang w:val="lt-LT"/>
        </w:rPr>
        <w:t>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</w:t>
      </w:r>
      <w:r>
        <w:rPr>
          <w:rFonts w:ascii="Times New Roman" w:hAnsi="Times New Roman"/>
          <w:sz w:val="22"/>
          <w:szCs w:val="22"/>
          <w:lang w:val="lt-LT"/>
        </w:rPr>
        <w:t>as</w:t>
      </w:r>
      <w:proofErr w:type="spellEnd"/>
      <w:r w:rsidRPr="00673200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Duomenų apie perdozavimą nėra.</w:t>
      </w:r>
      <w:r w:rsidRPr="00673200">
        <w:rPr>
          <w:color w:val="000000"/>
          <w:szCs w:val="22"/>
          <w:lang w:val="lt-LT"/>
        </w:rPr>
        <w:t xml:space="preserve"> </w:t>
      </w:r>
      <w:r w:rsidRPr="00673200">
        <w:rPr>
          <w:szCs w:val="22"/>
          <w:lang w:val="lt-LT"/>
        </w:rPr>
        <w:t>Vartojant vaist</w:t>
      </w:r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 xml:space="preserve"> kaip nurodyta, perdozavimo tikimybė yra labai maža.</w:t>
      </w:r>
    </w:p>
    <w:p w:rsidR="00847E3D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Atsitiktinai nurijus vaisto, gali pasireikšti skrandžio ar žarnyno gleivinės sudirginimas.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73200">
        <w:rPr>
          <w:szCs w:val="22"/>
          <w:lang w:val="lt-LT"/>
        </w:rPr>
        <w:t>Jeigu kiltų daugiau klausimų dėl šio vaisto vartojimo, kreipkitės į gydytoją arba vaistininką.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4.</w:t>
      </w:r>
      <w:r w:rsidRPr="00673200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73200">
        <w:rPr>
          <w:szCs w:val="22"/>
          <w:lang w:val="lt-LT"/>
        </w:rPr>
        <w:t>Šis vaistas, kaip ir visi kiti, gali sukelti šalutinį poveikį, nors jis pasireiškia ne visiems žmonėms.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847E3D" w:rsidRPr="00660619" w:rsidRDefault="00847E3D" w:rsidP="00847E3D">
      <w:pPr>
        <w:spacing w:line="240" w:lineRule="auto"/>
        <w:rPr>
          <w:i/>
          <w:szCs w:val="22"/>
          <w:lang w:val="lt-LT"/>
        </w:rPr>
      </w:pPr>
      <w:r w:rsidRPr="006810E7">
        <w:rPr>
          <w:b/>
          <w:bCs/>
          <w:noProof/>
          <w:szCs w:val="22"/>
          <w:lang w:val="lt-LT"/>
        </w:rPr>
        <w:t>Reti šalutinio poveikio reiškiniai (gali pasireikšti rečiau kaip 1 iš 1 000 asmenų):</w:t>
      </w:r>
    </w:p>
    <w:p w:rsidR="00847E3D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d</w:t>
      </w:r>
      <w:r w:rsidRPr="00673200">
        <w:rPr>
          <w:szCs w:val="22"/>
          <w:lang w:val="lt-LT"/>
        </w:rPr>
        <w:t>eginimo pojūtis, paraudimas, niežulys ir karščio pojūtis gydomose vietose</w:t>
      </w:r>
      <w:r>
        <w:rPr>
          <w:szCs w:val="22"/>
          <w:lang w:val="lt-LT"/>
        </w:rPr>
        <w:t>.</w:t>
      </w:r>
      <w:r w:rsidRPr="00673200" w:rsidDel="00414F3E">
        <w:rPr>
          <w:szCs w:val="22"/>
          <w:lang w:val="lt-LT"/>
        </w:rPr>
        <w:t xml:space="preserve"> </w:t>
      </w:r>
    </w:p>
    <w:p w:rsidR="00847E3D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847E3D" w:rsidRPr="006810E7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iCs/>
          <w:szCs w:val="22"/>
          <w:lang w:val="lt-LT"/>
        </w:rPr>
      </w:pPr>
      <w:r w:rsidRPr="006810E7">
        <w:rPr>
          <w:b/>
          <w:bCs/>
          <w:noProof/>
          <w:szCs w:val="22"/>
          <w:lang w:val="lt-LT"/>
        </w:rPr>
        <w:t>Labai reti šalutinio poveikio reiškiniai (gali pasireikšti rečiau kaip 1 iš 10 000 asmenų</w:t>
      </w:r>
      <w:r w:rsidRPr="006810E7">
        <w:rPr>
          <w:b/>
          <w:bCs/>
          <w:iCs/>
          <w:szCs w:val="22"/>
          <w:lang w:val="lt-LT"/>
        </w:rPr>
        <w:t>):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kontaktinis alerginis odos uždegimas.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25004C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 w:rsidRPr="0025004C">
        <w:rPr>
          <w:rFonts w:ascii="Times New Roman" w:hAnsi="Times New Roman"/>
          <w:sz w:val="22"/>
          <w:lang w:val="lt-LT"/>
        </w:rPr>
        <w:t>Kitas šalutinis poveikis, kuris gali pasireikšti vaikams ir paaugliams</w:t>
      </w:r>
    </w:p>
    <w:p w:rsidR="00847E3D" w:rsidRPr="00417B6E" w:rsidRDefault="00847E3D" w:rsidP="00847E3D">
      <w:pPr>
        <w:spacing w:line="240" w:lineRule="auto"/>
        <w:rPr>
          <w:szCs w:val="22"/>
          <w:lang w:val="lt-LT"/>
        </w:rPr>
      </w:pPr>
      <w:r w:rsidRPr="00417B6E">
        <w:rPr>
          <w:szCs w:val="22"/>
          <w:lang w:val="lt-LT"/>
        </w:rPr>
        <w:t>Nepageidaujamų reakcijų dažnis, tipas ir sunkumas vaikams yra toks pat kaip suaugusiesiems.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Pranešimas apie šalutinį poveikį</w:t>
      </w:r>
    </w:p>
    <w:p w:rsidR="00847E3D" w:rsidRPr="00673200" w:rsidRDefault="00847E3D" w:rsidP="00847E3D">
      <w:pPr>
        <w:spacing w:line="240" w:lineRule="auto"/>
        <w:ind w:right="-449"/>
        <w:rPr>
          <w:noProof/>
          <w:szCs w:val="22"/>
          <w:lang w:val="lt-LT"/>
        </w:rPr>
      </w:pPr>
      <w:r w:rsidRPr="00673200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6810E7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6810E7">
          <w:rPr>
            <w:color w:val="0000FF"/>
            <w:u w:val="single"/>
            <w:lang w:val="lt-LT"/>
          </w:rPr>
          <w:t>https://vapris.vvkt.lt/vvkt-web/public/nrv</w:t>
        </w:r>
      </w:hyperlink>
      <w:r w:rsidRPr="006810E7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6810E7">
          <w:rPr>
            <w:color w:val="0000FF"/>
            <w:u w:val="single"/>
            <w:lang w:val="lt-LT"/>
          </w:rPr>
          <w:t>https://www.vvkt.lt/index.php?4004286486</w:t>
        </w:r>
      </w:hyperlink>
      <w:r w:rsidRPr="006810E7">
        <w:rPr>
          <w:lang w:val="lt-LT"/>
        </w:rPr>
        <w:t xml:space="preserve">, ir atsiunčiant elektroniniu paštu (adresu </w:t>
      </w:r>
      <w:hyperlink r:id="rId7" w:history="1">
        <w:r w:rsidRPr="006810E7">
          <w:rPr>
            <w:color w:val="0000FF"/>
            <w:u w:val="single"/>
            <w:lang w:val="lt-LT"/>
          </w:rPr>
          <w:t>NepageidaujamaR@vvkt.lt</w:t>
        </w:r>
      </w:hyperlink>
      <w:r w:rsidRPr="006810E7">
        <w:rPr>
          <w:lang w:val="lt-LT"/>
        </w:rPr>
        <w:t>) arba nemokamu telefonu 8 800 73 568. Pranešdami apie šalutinį poveikį galite mums padėti gauti daugiau informacijos apie šio vaisto saugumą.</w:t>
      </w:r>
      <w:r w:rsidRPr="00417B6E">
        <w:rPr>
          <w:szCs w:val="22"/>
          <w:lang w:val="lt-LT"/>
        </w:rPr>
        <w:t>.</w:t>
      </w:r>
    </w:p>
    <w:p w:rsidR="00847E3D" w:rsidRPr="00673200" w:rsidRDefault="00847E3D" w:rsidP="00847E3D">
      <w:pPr>
        <w:spacing w:line="240" w:lineRule="auto"/>
        <w:ind w:right="-449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ind w:right="-449"/>
        <w:rPr>
          <w:szCs w:val="22"/>
          <w:lang w:val="lt-LT"/>
        </w:rPr>
      </w:pPr>
    </w:p>
    <w:p w:rsidR="00847E3D" w:rsidRPr="00673200" w:rsidRDefault="00847E3D" w:rsidP="00847E3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5.</w:t>
      </w:r>
      <w:r w:rsidRPr="00673200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Pr="00673200">
        <w:rPr>
          <w:rFonts w:ascii="Times New Roman" w:hAnsi="Times New Roman"/>
          <w:sz w:val="22"/>
          <w:szCs w:val="22"/>
          <w:lang w:val="lt-LT"/>
        </w:rPr>
        <w:t>oktisept</w:t>
      </w:r>
      <w:r>
        <w:rPr>
          <w:rFonts w:ascii="Times New Roman" w:hAnsi="Times New Roman"/>
          <w:sz w:val="22"/>
          <w:szCs w:val="22"/>
          <w:lang w:val="lt-LT"/>
        </w:rPr>
        <w:t>as</w:t>
      </w:r>
      <w:proofErr w:type="spellEnd"/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Šį vaistą laikykite vaikams nepastebimoje ir nepasiekiamoje vietoje.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Negalima užšaldyti.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Ant dėžutės ir buteliuko po „Tinka iki“ nurodytam tinkamumo laikui pasibaigus, šio vaisto vartoti negalima. Vaistas tinkamas vartoti iki paskutinės nurodyto mėnesio dienos.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Atidarius buteliuką, </w:t>
      </w:r>
      <w:r>
        <w:rPr>
          <w:szCs w:val="22"/>
          <w:lang w:val="lt-LT"/>
        </w:rPr>
        <w:t>vaisto</w:t>
      </w:r>
      <w:r w:rsidRPr="00673200">
        <w:rPr>
          <w:szCs w:val="22"/>
          <w:lang w:val="lt-LT"/>
        </w:rPr>
        <w:t xml:space="preserve"> galima vartoti 3 metus, tačiau ne ilgiau kaip iki tinkamumo laiko pabaigos.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73200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6.</w:t>
      </w:r>
      <w:r w:rsidRPr="00673200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673200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o</w:t>
      </w:r>
      <w:r w:rsidRPr="00673200">
        <w:rPr>
          <w:rFonts w:ascii="Times New Roman" w:hAnsi="Times New Roman"/>
          <w:sz w:val="22"/>
          <w:szCs w:val="22"/>
          <w:lang w:val="lt-LT"/>
        </w:rPr>
        <w:t>ktisept</w:t>
      </w:r>
      <w:r>
        <w:rPr>
          <w:rFonts w:ascii="Times New Roman" w:hAnsi="Times New Roman"/>
          <w:sz w:val="22"/>
          <w:szCs w:val="22"/>
          <w:lang w:val="lt-LT"/>
        </w:rPr>
        <w:t>as</w:t>
      </w:r>
      <w:proofErr w:type="spellEnd"/>
      <w:r w:rsidRPr="00673200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:rsidR="00847E3D" w:rsidRPr="00673200" w:rsidRDefault="00847E3D" w:rsidP="00847E3D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Veikliosios medžiagos yra: </w:t>
      </w:r>
      <w:proofErr w:type="spellStart"/>
      <w:r w:rsidRPr="00673200">
        <w:rPr>
          <w:szCs w:val="22"/>
          <w:lang w:val="lt-LT"/>
        </w:rPr>
        <w:t>oktenidino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dihidrochloridas</w:t>
      </w:r>
      <w:proofErr w:type="spellEnd"/>
      <w:r w:rsidRPr="00673200">
        <w:rPr>
          <w:szCs w:val="22"/>
          <w:lang w:val="lt-LT"/>
        </w:rPr>
        <w:t xml:space="preserve"> ir </w:t>
      </w:r>
      <w:proofErr w:type="spellStart"/>
      <w:r w:rsidRPr="00673200">
        <w:rPr>
          <w:szCs w:val="22"/>
          <w:lang w:val="lt-LT"/>
        </w:rPr>
        <w:t>fenoksietanolis</w:t>
      </w:r>
      <w:proofErr w:type="spellEnd"/>
      <w:r w:rsidRPr="00673200">
        <w:rPr>
          <w:szCs w:val="22"/>
          <w:lang w:val="lt-LT"/>
        </w:rPr>
        <w:t xml:space="preserve">. 1 ml odos tirpalo yra 1 mg </w:t>
      </w:r>
      <w:proofErr w:type="spellStart"/>
      <w:r w:rsidRPr="00673200">
        <w:rPr>
          <w:szCs w:val="22"/>
          <w:lang w:val="lt-LT"/>
        </w:rPr>
        <w:t>oktenidino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dihidrochlorido</w:t>
      </w:r>
      <w:proofErr w:type="spellEnd"/>
      <w:r w:rsidRPr="00673200">
        <w:rPr>
          <w:szCs w:val="22"/>
          <w:lang w:val="lt-LT"/>
        </w:rPr>
        <w:t xml:space="preserve"> ir 20 mg </w:t>
      </w:r>
      <w:proofErr w:type="spellStart"/>
      <w:r w:rsidRPr="00673200">
        <w:rPr>
          <w:szCs w:val="22"/>
          <w:lang w:val="lt-LT"/>
        </w:rPr>
        <w:t>fenoksietanolio</w:t>
      </w:r>
      <w:proofErr w:type="spellEnd"/>
      <w:r w:rsidRPr="00673200">
        <w:rPr>
          <w:szCs w:val="22"/>
          <w:lang w:val="lt-LT"/>
        </w:rPr>
        <w:t>.</w:t>
      </w:r>
    </w:p>
    <w:p w:rsidR="00847E3D" w:rsidRPr="00673200" w:rsidRDefault="00847E3D" w:rsidP="00847E3D">
      <w:pPr>
        <w:spacing w:line="240" w:lineRule="auto"/>
        <w:ind w:left="567" w:right="-2" w:hanging="567"/>
        <w:rPr>
          <w:szCs w:val="22"/>
          <w:lang w:val="lt-LT"/>
        </w:rPr>
      </w:pPr>
      <w:r w:rsidRPr="00673200">
        <w:rPr>
          <w:szCs w:val="22"/>
          <w:lang w:val="lt-LT"/>
        </w:rPr>
        <w:t>-</w:t>
      </w:r>
      <w:r w:rsidRPr="00673200">
        <w:rPr>
          <w:szCs w:val="22"/>
          <w:lang w:val="lt-LT"/>
        </w:rPr>
        <w:tab/>
        <w:t>Pagalbinės medžiagos</w:t>
      </w:r>
      <w:r>
        <w:rPr>
          <w:szCs w:val="22"/>
          <w:lang w:val="lt-LT"/>
        </w:rPr>
        <w:t>:</w:t>
      </w:r>
      <w:r w:rsidRPr="00673200">
        <w:rPr>
          <w:i/>
          <w:color w:val="008000"/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kokamidopropilbetaino</w:t>
      </w:r>
      <w:proofErr w:type="spellEnd"/>
      <w:r w:rsidRPr="00673200">
        <w:rPr>
          <w:szCs w:val="22"/>
          <w:lang w:val="lt-LT"/>
        </w:rPr>
        <w:t xml:space="preserve"> tirpalas, natrio </w:t>
      </w:r>
      <w:proofErr w:type="spellStart"/>
      <w:r w:rsidRPr="00673200">
        <w:rPr>
          <w:szCs w:val="22"/>
          <w:lang w:val="lt-LT"/>
        </w:rPr>
        <w:t>gliukonatas</w:t>
      </w:r>
      <w:proofErr w:type="spellEnd"/>
      <w:r w:rsidRPr="00673200">
        <w:rPr>
          <w:szCs w:val="22"/>
          <w:lang w:val="lt-LT"/>
        </w:rPr>
        <w:t>, 85</w:t>
      </w:r>
      <w:r>
        <w:rPr>
          <w:szCs w:val="22"/>
          <w:lang w:val="lt-LT"/>
        </w:rPr>
        <w:t> </w:t>
      </w:r>
      <w:r w:rsidRPr="00673200">
        <w:rPr>
          <w:szCs w:val="22"/>
          <w:lang w:val="lt-LT"/>
        </w:rPr>
        <w:t>% </w:t>
      </w:r>
      <w:proofErr w:type="spellStart"/>
      <w:r w:rsidRPr="00673200">
        <w:rPr>
          <w:szCs w:val="22"/>
          <w:lang w:val="lt-LT"/>
        </w:rPr>
        <w:t>glicerolis</w:t>
      </w:r>
      <w:proofErr w:type="spellEnd"/>
      <w:r w:rsidRPr="00673200">
        <w:rPr>
          <w:szCs w:val="22"/>
          <w:lang w:val="lt-LT"/>
        </w:rPr>
        <w:t xml:space="preserve">, natrio </w:t>
      </w:r>
      <w:proofErr w:type="spellStart"/>
      <w:r w:rsidRPr="00673200">
        <w:rPr>
          <w:szCs w:val="22"/>
          <w:lang w:val="lt-LT"/>
        </w:rPr>
        <w:t>hidroksidas</w:t>
      </w:r>
      <w:proofErr w:type="spellEnd"/>
      <w:r w:rsidRPr="00673200">
        <w:rPr>
          <w:szCs w:val="22"/>
          <w:lang w:val="lt-LT"/>
        </w:rPr>
        <w:t>, išgrynintas vanduo.</w:t>
      </w: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o</w:t>
      </w:r>
      <w:r w:rsidRPr="00673200">
        <w:rPr>
          <w:rFonts w:ascii="Times New Roman" w:hAnsi="Times New Roman"/>
          <w:sz w:val="22"/>
          <w:szCs w:val="22"/>
          <w:lang w:val="lt-LT"/>
        </w:rPr>
        <w:t>ktisept</w:t>
      </w:r>
      <w:r>
        <w:rPr>
          <w:rFonts w:ascii="Times New Roman" w:hAnsi="Times New Roman"/>
          <w:sz w:val="22"/>
          <w:szCs w:val="22"/>
          <w:lang w:val="lt-LT"/>
        </w:rPr>
        <w:t>as</w:t>
      </w:r>
      <w:proofErr w:type="spellEnd"/>
      <w:r w:rsidRPr="00673200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</w:t>
      </w:r>
      <w:r w:rsidRPr="00673200">
        <w:rPr>
          <w:szCs w:val="22"/>
          <w:lang w:val="lt-LT"/>
        </w:rPr>
        <w:t>ktiseptas</w:t>
      </w:r>
      <w:proofErr w:type="spellEnd"/>
      <w:r w:rsidRPr="00673200">
        <w:rPr>
          <w:szCs w:val="22"/>
          <w:lang w:val="lt-LT"/>
        </w:rPr>
        <w:t xml:space="preserve"> yra skaidrus ar beveik skaidrus, bespalvis, beveik bekvapis </w:t>
      </w:r>
      <w:r>
        <w:rPr>
          <w:szCs w:val="22"/>
          <w:lang w:val="lt-LT"/>
        </w:rPr>
        <w:t>odos tirpalas</w:t>
      </w:r>
      <w:r w:rsidRPr="00673200">
        <w:rPr>
          <w:szCs w:val="22"/>
          <w:lang w:val="lt-LT"/>
        </w:rPr>
        <w:t>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u w:val="single"/>
          <w:lang w:val="lt-LT"/>
        </w:rPr>
        <w:t>50 ml</w:t>
      </w:r>
      <w:r w:rsidRPr="00673200">
        <w:rPr>
          <w:szCs w:val="22"/>
          <w:lang w:val="lt-LT"/>
        </w:rPr>
        <w:t>: Baltas formuotas DTPE buteliukas su balta purškalo pompa, supakuotas kartono dėžutėje.</w:t>
      </w:r>
    </w:p>
    <w:p w:rsidR="00847E3D" w:rsidRPr="00673200" w:rsidRDefault="00847E3D" w:rsidP="00847E3D">
      <w:pPr>
        <w:spacing w:line="240" w:lineRule="auto"/>
        <w:rPr>
          <w:szCs w:val="22"/>
          <w:u w:val="single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u w:val="single"/>
          <w:lang w:val="lt-LT"/>
        </w:rPr>
        <w:t>250 ml</w:t>
      </w:r>
      <w:r w:rsidRPr="00673200">
        <w:rPr>
          <w:szCs w:val="22"/>
          <w:lang w:val="lt-LT"/>
        </w:rPr>
        <w:t>: Baltas apvalus DTPE buteliukas su balta purškalo pompa arba su baltu užsukamu viršuje užspaudžiamu PP dangteliu.</w:t>
      </w:r>
    </w:p>
    <w:p w:rsidR="00847E3D" w:rsidRPr="00673200" w:rsidRDefault="00847E3D" w:rsidP="00847E3D">
      <w:pPr>
        <w:spacing w:line="240" w:lineRule="auto"/>
        <w:rPr>
          <w:szCs w:val="22"/>
          <w:u w:val="single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u w:val="single"/>
          <w:lang w:val="lt-LT"/>
        </w:rPr>
        <w:t>500 ml ir 1000 ml</w:t>
      </w:r>
      <w:r w:rsidRPr="00673200">
        <w:rPr>
          <w:szCs w:val="22"/>
          <w:lang w:val="lt-LT"/>
        </w:rPr>
        <w:t>: Bespalvis, skaidrus keturkampis DTPE buteliukas užapvalintu priekiniu paviršiumi su baltu užsukamu, viršuje užspaudžiamu PP dangteliu.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Gali būti tiekiamos ne visų dydžių pakuotės.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73200">
        <w:rPr>
          <w:rFonts w:ascii="Times New Roman" w:hAnsi="Times New Roman"/>
          <w:sz w:val="22"/>
          <w:szCs w:val="22"/>
          <w:lang w:val="lt-LT"/>
        </w:rPr>
        <w:t>Registruotojas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„</w:t>
      </w:r>
      <w:proofErr w:type="spellStart"/>
      <w:r>
        <w:rPr>
          <w:szCs w:val="22"/>
          <w:lang w:val="lt-LT"/>
        </w:rPr>
        <w:t>Sanovus</w:t>
      </w:r>
      <w:proofErr w:type="spellEnd"/>
      <w:r>
        <w:rPr>
          <w:szCs w:val="22"/>
          <w:lang w:val="lt-LT"/>
        </w:rPr>
        <w:t xml:space="preserve">“, </w:t>
      </w:r>
      <w:r w:rsidRPr="00673200">
        <w:rPr>
          <w:szCs w:val="22"/>
          <w:lang w:val="lt-LT"/>
        </w:rPr>
        <w:t xml:space="preserve">UAB 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Daugėliškio g. 32-301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LT-09300 Vilnius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Lietuva</w:t>
      </w:r>
    </w:p>
    <w:p w:rsidR="00847E3D" w:rsidRPr="00673200" w:rsidRDefault="00847E3D" w:rsidP="00847E3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Gamintojas</w:t>
      </w:r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  <w:proofErr w:type="spellStart"/>
      <w:r w:rsidRPr="00673200">
        <w:rPr>
          <w:szCs w:val="22"/>
          <w:lang w:val="lt-LT"/>
        </w:rPr>
        <w:t>Schülke</w:t>
      </w:r>
      <w:proofErr w:type="spellEnd"/>
      <w:r w:rsidRPr="00673200">
        <w:rPr>
          <w:szCs w:val="22"/>
          <w:lang w:val="lt-LT"/>
        </w:rPr>
        <w:t xml:space="preserve"> &amp; </w:t>
      </w:r>
      <w:proofErr w:type="spellStart"/>
      <w:r w:rsidRPr="00673200">
        <w:rPr>
          <w:szCs w:val="22"/>
          <w:lang w:val="lt-LT"/>
        </w:rPr>
        <w:t>Mayr</w:t>
      </w:r>
      <w:proofErr w:type="spellEnd"/>
      <w:r w:rsidRPr="00673200">
        <w:rPr>
          <w:szCs w:val="22"/>
          <w:lang w:val="lt-LT"/>
        </w:rPr>
        <w:t xml:space="preserve"> </w:t>
      </w:r>
      <w:proofErr w:type="spellStart"/>
      <w:r w:rsidRPr="00673200">
        <w:rPr>
          <w:szCs w:val="22"/>
          <w:lang w:val="lt-LT"/>
        </w:rPr>
        <w:t>GmbH</w:t>
      </w:r>
      <w:proofErr w:type="spellEnd"/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  <w:proofErr w:type="spellStart"/>
      <w:r w:rsidRPr="00673200">
        <w:rPr>
          <w:szCs w:val="22"/>
          <w:lang w:val="lt-LT"/>
        </w:rPr>
        <w:t>Robert</w:t>
      </w:r>
      <w:proofErr w:type="spellEnd"/>
      <w:r w:rsidRPr="00673200">
        <w:rPr>
          <w:szCs w:val="22"/>
          <w:lang w:val="lt-LT"/>
        </w:rPr>
        <w:t>-</w:t>
      </w:r>
      <w:proofErr w:type="spellStart"/>
      <w:r w:rsidRPr="00673200">
        <w:rPr>
          <w:szCs w:val="22"/>
          <w:lang w:val="lt-LT"/>
        </w:rPr>
        <w:t>Koch</w:t>
      </w:r>
      <w:proofErr w:type="spellEnd"/>
      <w:r w:rsidRPr="00673200">
        <w:rPr>
          <w:szCs w:val="22"/>
          <w:lang w:val="lt-LT"/>
        </w:rPr>
        <w:t>-Str. 2</w:t>
      </w:r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D-22851 </w:t>
      </w:r>
      <w:proofErr w:type="spellStart"/>
      <w:r w:rsidRPr="00673200">
        <w:rPr>
          <w:szCs w:val="22"/>
          <w:lang w:val="lt-LT"/>
        </w:rPr>
        <w:t>Norderstedt</w:t>
      </w:r>
      <w:proofErr w:type="spellEnd"/>
    </w:p>
    <w:p w:rsidR="00847E3D" w:rsidRPr="00673200" w:rsidRDefault="00847E3D" w:rsidP="00847E3D">
      <w:pPr>
        <w:spacing w:line="240" w:lineRule="auto"/>
        <w:ind w:left="709" w:hanging="709"/>
        <w:rPr>
          <w:szCs w:val="22"/>
          <w:lang w:val="lt-LT"/>
        </w:rPr>
      </w:pPr>
      <w:r w:rsidRPr="00673200">
        <w:rPr>
          <w:szCs w:val="22"/>
          <w:lang w:val="lt-LT"/>
        </w:rPr>
        <w:t>Vokietija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Jeigu apie šį vaistą norite sužinoti daugiau, kreipkitės į vietinį registruotojo atstovą: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„</w:t>
      </w:r>
      <w:proofErr w:type="spellStart"/>
      <w:r>
        <w:rPr>
          <w:szCs w:val="22"/>
          <w:lang w:val="lt-LT"/>
        </w:rPr>
        <w:t>Sanovus</w:t>
      </w:r>
      <w:proofErr w:type="spellEnd"/>
      <w:r>
        <w:rPr>
          <w:szCs w:val="22"/>
          <w:lang w:val="lt-LT"/>
        </w:rPr>
        <w:t xml:space="preserve">“, </w:t>
      </w:r>
      <w:r w:rsidRPr="00673200">
        <w:rPr>
          <w:szCs w:val="22"/>
          <w:lang w:val="lt-LT"/>
        </w:rPr>
        <w:t xml:space="preserve">UAB 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Daugėliškio g. 32-301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LT-09300 Vilnius, Lietuva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Tel.: +370 5 2450 415</w:t>
      </w:r>
    </w:p>
    <w:p w:rsidR="00847E3D" w:rsidRPr="00673200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>Faksas: + 370 5 2706 201</w:t>
      </w:r>
    </w:p>
    <w:p w:rsidR="00847E3D" w:rsidRPr="00417B6E" w:rsidRDefault="00847E3D" w:rsidP="00847E3D">
      <w:pPr>
        <w:spacing w:line="240" w:lineRule="auto"/>
        <w:rPr>
          <w:szCs w:val="22"/>
          <w:lang w:val="lt-LT"/>
        </w:rPr>
      </w:pPr>
      <w:r w:rsidRPr="00673200">
        <w:rPr>
          <w:szCs w:val="22"/>
          <w:lang w:val="lt-LT"/>
        </w:rPr>
        <w:t xml:space="preserve">El. paštas: </w:t>
      </w:r>
      <w:hyperlink r:id="rId8" w:history="1">
        <w:r w:rsidRPr="0040227D">
          <w:rPr>
            <w:rStyle w:val="Hipersaitas"/>
            <w:szCs w:val="22"/>
            <w:lang w:val="lt-LT"/>
          </w:rPr>
          <w:t>info@sanovus.lt</w:t>
        </w:r>
      </w:hyperlink>
      <w:r w:rsidRPr="00417B6E">
        <w:rPr>
          <w:szCs w:val="22"/>
          <w:lang w:val="lt-LT"/>
        </w:rPr>
        <w:t xml:space="preserve"> </w:t>
      </w: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847E3D" w:rsidRPr="00673200" w:rsidRDefault="00847E3D" w:rsidP="00847E3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73200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2022-06-27.</w:t>
      </w:r>
    </w:p>
    <w:p w:rsidR="00847E3D" w:rsidRPr="00673200" w:rsidRDefault="00847E3D" w:rsidP="00847E3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847E3D" w:rsidRPr="00417B6E" w:rsidRDefault="00847E3D" w:rsidP="00847E3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73200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73200">
        <w:rPr>
          <w:i/>
          <w:szCs w:val="22"/>
          <w:lang w:val="lt-LT"/>
        </w:rPr>
        <w:t xml:space="preserve"> </w:t>
      </w:r>
      <w:hyperlink r:id="rId9" w:history="1">
        <w:r w:rsidRPr="00417B6E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417B6E">
        <w:rPr>
          <w:szCs w:val="22"/>
          <w:lang w:val="lt-LT"/>
        </w:rPr>
        <w:t>.</w:t>
      </w:r>
    </w:p>
    <w:p w:rsidR="00847E3D" w:rsidRPr="00673200" w:rsidRDefault="00847E3D" w:rsidP="00847E3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C360AC"/>
    <w:multiLevelType w:val="hybridMultilevel"/>
    <w:tmpl w:val="0C3E2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2335"/>
    <w:multiLevelType w:val="hybridMultilevel"/>
    <w:tmpl w:val="D11CA72E"/>
    <w:lvl w:ilvl="0" w:tplc="03E47A94">
      <w:numFmt w:val="bullet"/>
      <w:lvlText w:val="-"/>
      <w:lvlJc w:val="left"/>
      <w:pPr>
        <w:ind w:left="775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3D"/>
    <w:rsid w:val="00234094"/>
    <w:rsid w:val="002A211A"/>
    <w:rsid w:val="00847E3D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12239-440B-4C61-8EBE-C6380E01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7E3D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47E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47E3D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47E3D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47E3D"/>
    <w:rPr>
      <w:rFonts w:ascii="Cambria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47E3D"/>
    <w:rPr>
      <w:rFonts w:ascii="Cambria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47E3D"/>
    <w:rPr>
      <w:rFonts w:ascii="Calibri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rsid w:val="00847E3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4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nov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5668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2022-06-29T08:20:00Z</dcterms:created>
  <dcterms:modified xsi:type="dcterms:W3CDTF">2022-06-29T08:21:00Z</dcterms:modified>
</cp:coreProperties>
</file>