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AEF" w:rsidRPr="00353EE7" w:rsidRDefault="00385AEF" w:rsidP="00E767B2">
      <w:pPr>
        <w:pStyle w:val="Antrat2"/>
      </w:pPr>
      <w:r w:rsidRPr="00353EE7">
        <w:t xml:space="preserve">  </w:t>
      </w:r>
      <w:bookmarkStart w:id="0" w:name="_Toc129243096"/>
      <w:bookmarkStart w:id="1" w:name="_Toc129243221"/>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r w:rsidRPr="00353EE7">
        <w:rPr>
          <w:rFonts w:ascii="Times New Roman" w:hAnsi="Times New Roman"/>
          <w:b/>
          <w:caps/>
        </w:rPr>
        <w:t>I PRIEDAS</w:t>
      </w:r>
      <w:bookmarkEnd w:id="0"/>
      <w:bookmarkEnd w:id="1"/>
    </w:p>
    <w:p w:rsidR="00385AEF" w:rsidRPr="00900317" w:rsidRDefault="00385AEF" w:rsidP="00385AEF">
      <w:pPr>
        <w:spacing w:after="0" w:line="240" w:lineRule="auto"/>
      </w:pPr>
    </w:p>
    <w:p w:rsidR="00385AEF" w:rsidRPr="00353EE7" w:rsidRDefault="00385AEF" w:rsidP="00385AEF">
      <w:pPr>
        <w:tabs>
          <w:tab w:val="left" w:pos="567"/>
        </w:tabs>
        <w:spacing w:after="0" w:line="240" w:lineRule="auto"/>
        <w:ind w:left="567" w:hanging="567"/>
        <w:jc w:val="center"/>
        <w:outlineLvl w:val="0"/>
      </w:pPr>
      <w:bookmarkStart w:id="2" w:name="_Toc129243097"/>
      <w:bookmarkStart w:id="3" w:name="_Toc129243222"/>
      <w:r w:rsidRPr="00353EE7">
        <w:rPr>
          <w:rFonts w:ascii="Times New Roman" w:hAnsi="Times New Roman"/>
          <w:b/>
          <w:caps/>
        </w:rPr>
        <w:t>PREPARATO CHARAKTERISTIKŲ SANTRAUKA</w:t>
      </w:r>
      <w:bookmarkEnd w:id="2"/>
      <w:bookmarkEnd w:id="3"/>
    </w:p>
    <w:p w:rsidR="00385AEF" w:rsidRPr="00353EE7" w:rsidRDefault="00385AEF" w:rsidP="00385AEF">
      <w:pPr>
        <w:keepNext/>
        <w:tabs>
          <w:tab w:val="left" w:pos="567"/>
        </w:tabs>
        <w:spacing w:after="0" w:line="240" w:lineRule="auto"/>
        <w:ind w:left="567" w:hanging="567"/>
        <w:outlineLvl w:val="1"/>
      </w:pPr>
      <w:r w:rsidRPr="00353EE7">
        <w:rPr>
          <w:rFonts w:ascii="Times New Roman" w:hAnsi="Times New Roman"/>
          <w:b/>
        </w:rPr>
        <w:br w:type="page"/>
      </w:r>
    </w:p>
    <w:p w:rsidR="00385AEF" w:rsidRPr="00353EE7" w:rsidRDefault="00385AEF" w:rsidP="00385AEF">
      <w:pPr>
        <w:spacing w:after="0" w:line="240" w:lineRule="auto"/>
        <w:ind w:left="567" w:hanging="567"/>
        <w:rPr>
          <w:rFonts w:ascii="Times New Roman" w:hAnsi="Times New Roman"/>
          <w:b/>
        </w:rPr>
      </w:pPr>
      <w:bookmarkStart w:id="4" w:name="_Toc129243098"/>
      <w:bookmarkStart w:id="5" w:name="_Toc129243223"/>
      <w:r w:rsidRPr="00353EE7">
        <w:rPr>
          <w:rFonts w:ascii="Times New Roman" w:hAnsi="Times New Roman"/>
          <w:b/>
        </w:rPr>
        <w:lastRenderedPageBreak/>
        <w:t>1.</w:t>
      </w:r>
      <w:r w:rsidRPr="00353EE7">
        <w:rPr>
          <w:rFonts w:ascii="Times New Roman" w:hAnsi="Times New Roman"/>
          <w:b/>
        </w:rPr>
        <w:tab/>
        <w:t>VAISTINIO PREPARATO PAVADINIMAS</w:t>
      </w:r>
      <w:bookmarkEnd w:id="4"/>
      <w:bookmarkEnd w:id="5"/>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2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25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50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100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200 mg kramtomosios ar disperguojamosios tabletės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2.</w:t>
      </w:r>
      <w:r w:rsidRPr="00353EE7">
        <w:rPr>
          <w:rFonts w:ascii="Times New Roman" w:hAnsi="Times New Roman"/>
          <w:b/>
          <w:caps/>
        </w:rPr>
        <w:tab/>
        <w:t>kokybinė ir kiekybinė sudėtis</w:t>
      </w:r>
    </w:p>
    <w:p w:rsidR="00385AEF" w:rsidRPr="00353EE7" w:rsidRDefault="00385AEF" w:rsidP="00385AEF">
      <w:pPr>
        <w:spacing w:after="0" w:line="240" w:lineRule="auto"/>
        <w:rPr>
          <w:rFonts w:ascii="Times New Roman" w:hAnsi="Times New Roman"/>
        </w:rPr>
      </w:pPr>
    </w:p>
    <w:p w:rsidR="000818F9" w:rsidRPr="00353EE7" w:rsidRDefault="00385AEF" w:rsidP="00385AEF">
      <w:pPr>
        <w:spacing w:after="0" w:line="240" w:lineRule="auto"/>
        <w:rPr>
          <w:rFonts w:ascii="Times New Roman" w:hAnsi="Times New Roman"/>
        </w:rPr>
      </w:pPr>
      <w:r w:rsidRPr="00353EE7">
        <w:rPr>
          <w:rFonts w:ascii="Times New Roman" w:hAnsi="Times New Roman"/>
        </w:rPr>
        <w:t>Kiekvienoje Lamictal 2 mg kramtomojoje ar disperguojamojoje tabletėje yra 2 mg lamotrigino.</w:t>
      </w:r>
    </w:p>
    <w:p w:rsidR="00385AEF" w:rsidRPr="00E767B2" w:rsidRDefault="00385AEF" w:rsidP="00385AEF">
      <w:pPr>
        <w:spacing w:after="0" w:line="240" w:lineRule="auto"/>
        <w:rPr>
          <w:rFonts w:ascii="Times New Roman" w:hAnsi="Times New Roman"/>
          <w:highlight w:val="lightGray"/>
        </w:rPr>
      </w:pPr>
      <w:bookmarkStart w:id="6" w:name="_Hlk13689674"/>
      <w:r w:rsidRPr="00E767B2">
        <w:rPr>
          <w:rFonts w:ascii="Times New Roman" w:hAnsi="Times New Roman"/>
          <w:highlight w:val="lightGray"/>
        </w:rPr>
        <w:t>Kiekvienoje Lamictal 5 mg kramtomojoje ar disperguojamojoje tabletėje yra 5 mg lamotrigino.</w:t>
      </w:r>
    </w:p>
    <w:p w:rsidR="00385AEF" w:rsidRPr="00E767B2" w:rsidRDefault="00385AEF" w:rsidP="00385AEF">
      <w:pPr>
        <w:spacing w:after="0" w:line="240" w:lineRule="auto"/>
        <w:rPr>
          <w:rFonts w:ascii="Times New Roman" w:hAnsi="Times New Roman"/>
          <w:highlight w:val="lightGray"/>
        </w:rPr>
      </w:pPr>
      <w:r w:rsidRPr="00E767B2">
        <w:rPr>
          <w:rFonts w:ascii="Times New Roman" w:hAnsi="Times New Roman"/>
          <w:highlight w:val="lightGray"/>
        </w:rPr>
        <w:t>Kiekvienoje Lamictal 25 mg kramtomojoje ar disperguojamojoje tabletėje yra 25 mg lamotrigino.</w:t>
      </w:r>
    </w:p>
    <w:p w:rsidR="00385AEF" w:rsidRPr="00E767B2" w:rsidRDefault="00385AEF" w:rsidP="00385AEF">
      <w:pPr>
        <w:spacing w:after="0" w:line="240" w:lineRule="auto"/>
        <w:rPr>
          <w:rFonts w:ascii="Times New Roman" w:hAnsi="Times New Roman"/>
          <w:highlight w:val="lightGray"/>
        </w:rPr>
      </w:pPr>
      <w:r w:rsidRPr="00E767B2">
        <w:rPr>
          <w:rFonts w:ascii="Times New Roman" w:hAnsi="Times New Roman"/>
          <w:highlight w:val="lightGray"/>
        </w:rPr>
        <w:t>Kiekvienoje Lamictal 50 mg kramtomojoje ar disperguojamojoje tabletėje yra 50 mg lamotrigino.</w:t>
      </w:r>
    </w:p>
    <w:p w:rsidR="00385AEF" w:rsidRPr="00E767B2" w:rsidRDefault="00385AEF" w:rsidP="00385AEF">
      <w:pPr>
        <w:spacing w:after="0" w:line="240" w:lineRule="auto"/>
        <w:rPr>
          <w:rFonts w:ascii="Times New Roman" w:hAnsi="Times New Roman"/>
          <w:highlight w:val="lightGray"/>
        </w:rPr>
      </w:pPr>
      <w:r w:rsidRPr="00E767B2">
        <w:rPr>
          <w:rFonts w:ascii="Times New Roman" w:hAnsi="Times New Roman"/>
          <w:highlight w:val="lightGray"/>
        </w:rPr>
        <w:t>Kiekvienoje Lamictal 100 mg kramtomojoje ar disperguojamojoje tabletėje yra 100 mg lamotrigino.</w:t>
      </w:r>
    </w:p>
    <w:p w:rsidR="00385AEF" w:rsidRPr="00353EE7" w:rsidRDefault="00385AEF" w:rsidP="00385AEF">
      <w:pPr>
        <w:spacing w:after="0" w:line="240" w:lineRule="auto"/>
        <w:rPr>
          <w:rFonts w:ascii="Times New Roman" w:hAnsi="Times New Roman"/>
        </w:rPr>
      </w:pPr>
      <w:r w:rsidRPr="00E767B2">
        <w:rPr>
          <w:rFonts w:ascii="Times New Roman" w:hAnsi="Times New Roman"/>
          <w:highlight w:val="lightGray"/>
        </w:rPr>
        <w:t>Kiekvienoje Lamictal 200 mg kramtomojoje ar disperguojamojoje tabletėje yra 200 mg lamotrigino.</w:t>
      </w:r>
    </w:p>
    <w:p w:rsidR="00AC3D4A" w:rsidRPr="00523B59" w:rsidRDefault="00AC3D4A" w:rsidP="00AC3D4A">
      <w:pPr>
        <w:spacing w:after="0" w:line="240" w:lineRule="auto"/>
        <w:rPr>
          <w:rFonts w:ascii="Times New Roman" w:hAnsi="Times New Roman"/>
          <w:highlight w:val="lightGray"/>
        </w:rPr>
      </w:pPr>
    </w:p>
    <w:bookmarkEnd w:id="6"/>
    <w:p w:rsidR="00385AEF" w:rsidRPr="00353EE7" w:rsidRDefault="00385AEF" w:rsidP="00385AEF">
      <w:pPr>
        <w:spacing w:after="0" w:line="240" w:lineRule="auto"/>
        <w:rPr>
          <w:rFonts w:ascii="Times New Roman" w:hAnsi="Times New Roman"/>
        </w:rPr>
      </w:pPr>
      <w:r w:rsidRPr="00353EE7">
        <w:rPr>
          <w:rFonts w:ascii="Times New Roman" w:hAnsi="Times New Roman"/>
        </w:rPr>
        <w:t>Visos pagalbinės medžiagos išvardytos 6.1 skyriuje.</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3.</w:t>
      </w:r>
      <w:r w:rsidRPr="00353EE7">
        <w:rPr>
          <w:rFonts w:ascii="Times New Roman" w:hAnsi="Times New Roman"/>
          <w:b/>
          <w:caps/>
        </w:rPr>
        <w:tab/>
        <w:t>FARMACINĖ forma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Kramtomoji</w:t>
      </w:r>
      <w:r>
        <w:rPr>
          <w:rFonts w:ascii="Times New Roman" w:hAnsi="Times New Roman"/>
        </w:rPr>
        <w:t xml:space="preserve"> ar </w:t>
      </w:r>
      <w:r w:rsidRPr="00353EE7">
        <w:rPr>
          <w:rFonts w:ascii="Times New Roman" w:hAnsi="Times New Roman"/>
        </w:rPr>
        <w:t>disperguojamoji tabletė.</w:t>
      </w:r>
    </w:p>
    <w:p w:rsidR="00385AEF" w:rsidRPr="00353EE7" w:rsidRDefault="00385AEF" w:rsidP="00385AEF">
      <w:pPr>
        <w:spacing w:after="0" w:line="240" w:lineRule="auto"/>
        <w:rPr>
          <w:rFonts w:ascii="Times New Roman" w:hAnsi="Times New Roman"/>
          <w:shd w:val="clear" w:color="auto" w:fill="C0C0C0"/>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Balta arba beveik balta, apvali, 4,8 mm skersmens, juodųjų serbentų kvapo tabletė. Vienos tabletės pusės kraštai nuožulnūs ir yra užrašas ,,LTG” virš ,,2“. Kitoje pusėje nupieštos statmenai persidengiančios taisyklingo ovalo formos. Tabletės gali būti šiek tiek taškuotos. </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pailga, abipus išgaubta (didysis skersmuo – 8,0 mm, mažasis skersmuo – 4,0 mm), juodųjų serbentų kvapo tabletė, kurios vienoje pusėje yra užrašas ,,GS CL2”, o kitoje ,,5”. Tabletės gali būti šiek tiek taškuotos.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daugiabriaunė, taisyklingo ovalo formos, 5,2 mm skersmens, juodųjų serbentų kvapo tabletė, kurios vienoje pusėje yra užrašas ,,GS CL5”, o kitoje ,,25”. Tabletės gali būti šiek tiek taškuotos.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daugiabriaunė, taisyklingo ovalo formos, 6,6 mm skersmens, juodųjų serbentų kvapo tabletė, kurios vienoje pusėje yra užrašas ,,GS CX7”, o kitoje ,,50”. Tabletės gali būti šiek tiek taškuotos.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100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daugiabriaunė, taisyklingo ovalo formos, 8,3 mm skersmens, juodųjų serbentų kvapo tabletė, kurios vienoje pusėje yra užrašas ,,GS CL7”, o kitoje ,,100”. Tabletės gali būti šiek tiek taškuotos.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200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Balta arba beveik balta, daugiabriaunė, taisyklingo ovalo formos, 10,4 mm juodųjų serbentų kvapo tabletė, kurios vienoje pusėje yra užrašas ,,GS EC5”, o kitoje ,,200”. Tabletės gali būti šiek tiek taškuotos.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b/>
          <w:caps/>
        </w:rPr>
      </w:pPr>
      <w:r w:rsidRPr="00353EE7">
        <w:rPr>
          <w:rFonts w:ascii="Times New Roman" w:hAnsi="Times New Roman"/>
          <w:b/>
          <w:caps/>
        </w:rPr>
        <w:lastRenderedPageBreak/>
        <w:t>4.</w:t>
      </w:r>
      <w:r w:rsidRPr="00353EE7">
        <w:rPr>
          <w:rFonts w:ascii="Times New Roman" w:hAnsi="Times New Roman"/>
          <w:b/>
          <w:caps/>
        </w:rPr>
        <w:tab/>
        <w:t>klinikinĖ informacija</w:t>
      </w:r>
    </w:p>
    <w:p w:rsidR="00385AEF" w:rsidRPr="00353EE7" w:rsidRDefault="00385AEF" w:rsidP="00385AEF">
      <w:pPr>
        <w:keepNext/>
        <w:spacing w:after="0" w:line="240" w:lineRule="auto"/>
        <w:ind w:left="567" w:hanging="567"/>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4.1</w:t>
      </w:r>
      <w:r w:rsidRPr="00353EE7">
        <w:rPr>
          <w:rFonts w:ascii="Times New Roman" w:hAnsi="Times New Roman"/>
          <w:b/>
        </w:rPr>
        <w:tab/>
        <w:t>Terapinės indikacijos</w:t>
      </w:r>
    </w:p>
    <w:p w:rsidR="00385AEF" w:rsidRPr="00353EE7" w:rsidRDefault="00385AEF" w:rsidP="00385AEF">
      <w:pPr>
        <w:keepNext/>
        <w:spacing w:after="0" w:line="240" w:lineRule="auto"/>
        <w:ind w:left="567" w:hanging="567"/>
        <w:rPr>
          <w:rFonts w:ascii="Times New Roman" w:hAnsi="Times New Roman"/>
        </w:rPr>
      </w:pPr>
    </w:p>
    <w:p w:rsidR="00385AEF" w:rsidRPr="00353EE7" w:rsidRDefault="00385AEF" w:rsidP="00385AEF">
      <w:pPr>
        <w:keepNext/>
        <w:spacing w:after="0" w:line="240" w:lineRule="auto"/>
        <w:rPr>
          <w:rFonts w:ascii="Times New Roman" w:hAnsi="Times New Roman"/>
        </w:rPr>
      </w:pPr>
      <w:r w:rsidRPr="00353EE7">
        <w:rPr>
          <w:rFonts w:ascii="Times New Roman" w:hAnsi="Times New Roman"/>
          <w:u w:val="single"/>
        </w:rPr>
        <w:t>Epilepsija</w:t>
      </w:r>
    </w:p>
    <w:p w:rsidR="00385AEF" w:rsidRPr="00353EE7" w:rsidRDefault="00385AEF" w:rsidP="00385AEF">
      <w:pPr>
        <w:keepNext/>
        <w:spacing w:after="0" w:line="240" w:lineRule="auto"/>
        <w:rPr>
          <w:rFonts w:ascii="Times New Roman" w:hAnsi="Times New Roman"/>
          <w:i/>
        </w:rPr>
      </w:pPr>
    </w:p>
    <w:p w:rsidR="00385AEF" w:rsidRPr="00353EE7" w:rsidRDefault="00385AEF" w:rsidP="00385AEF">
      <w:pPr>
        <w:keepNext/>
        <w:spacing w:after="0" w:line="240" w:lineRule="auto"/>
        <w:rPr>
          <w:rFonts w:ascii="Times New Roman" w:hAnsi="Times New Roman"/>
          <w:i/>
          <w:u w:val="single"/>
        </w:rPr>
      </w:pPr>
      <w:r w:rsidRPr="00353EE7">
        <w:rPr>
          <w:rFonts w:ascii="Times New Roman" w:hAnsi="Times New Roman"/>
          <w:i/>
          <w:u w:val="single"/>
        </w:rPr>
        <w:t>Suaugusieji bei 13 metų ir vyresni paaugliai</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Židininių ir generalizuotų priepuolių, įskaitant toninius kloninius</w:t>
      </w:r>
      <w:r>
        <w:rPr>
          <w:rFonts w:ascii="Times New Roman" w:hAnsi="Times New Roman"/>
        </w:rPr>
        <w:t xml:space="preserve"> priepuolius</w:t>
      </w:r>
      <w:r w:rsidRPr="00353EE7">
        <w:rPr>
          <w:rFonts w:ascii="Times New Roman" w:hAnsi="Times New Roman"/>
        </w:rPr>
        <w:t>, papildomas gydymas arba monoterapija.</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 xml:space="preserve">Priepuolių, susijusių su Lenokso-Gasto </w:t>
      </w:r>
      <w:r w:rsidRPr="00353EE7">
        <w:rPr>
          <w:rFonts w:ascii="Times New Roman" w:hAnsi="Times New Roman"/>
          <w:i/>
        </w:rPr>
        <w:t>(Lennox-Gastaut)</w:t>
      </w:r>
      <w:r w:rsidRPr="00353EE7">
        <w:rPr>
          <w:rFonts w:ascii="Times New Roman" w:hAnsi="Times New Roman"/>
        </w:rPr>
        <w:t xml:space="preserve"> sindromu, gydymas. </w:t>
      </w:r>
      <w:r w:rsidRPr="00353EE7">
        <w:rPr>
          <w:rFonts w:ascii="Times New Roman" w:hAnsi="Times New Roman"/>
          <w:i/>
        </w:rPr>
        <w:t>Lennox-Gastaut</w:t>
      </w:r>
      <w:r w:rsidRPr="00353EE7">
        <w:rPr>
          <w:rFonts w:ascii="Times New Roman" w:hAnsi="Times New Roman"/>
        </w:rPr>
        <w:t xml:space="preserve"> sindromo atveju Lamictal skiriamas kaip papildomas gydymas, bet gali būti skiriamas ir kaip pradinis antiepilepsinis vaistinis preparatas (AEVP).</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2</w:t>
      </w:r>
      <w:r w:rsidRPr="00353EE7">
        <w:rPr>
          <w:rFonts w:ascii="Times New Roman" w:hAnsi="Times New Roman"/>
          <w:i/>
          <w:u w:val="single"/>
        </w:rPr>
        <w:noBreakHyphen/>
        <w:t>12 metų vaikai ir paaugliai</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 xml:space="preserve">Židininių ir generalizuotų priepuolių, įskaitant toninius kloninius ir priepuolius, susijusius su </w:t>
      </w:r>
      <w:r w:rsidRPr="00353EE7">
        <w:rPr>
          <w:rFonts w:ascii="Times New Roman" w:hAnsi="Times New Roman"/>
          <w:i/>
        </w:rPr>
        <w:t>Lennox-Gastaut</w:t>
      </w:r>
      <w:r w:rsidRPr="00353EE7">
        <w:rPr>
          <w:rFonts w:ascii="Times New Roman" w:hAnsi="Times New Roman"/>
        </w:rPr>
        <w:t xml:space="preserve"> sindromu, papildomas gydymas.</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 xml:space="preserve">Įprastinių </w:t>
      </w:r>
      <w:r w:rsidRPr="00E95F2E">
        <w:rPr>
          <w:rFonts w:ascii="Times New Roman" w:hAnsi="Times New Roman"/>
        </w:rPr>
        <w:t>absanso</w:t>
      </w:r>
      <w:r w:rsidRPr="00353EE7">
        <w:rPr>
          <w:rFonts w:ascii="Times New Roman" w:hAnsi="Times New Roman"/>
        </w:rPr>
        <w:t xml:space="preserve"> priepuolių monoterapija.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Bipolinis sutrikimas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18 metų ir vyresni suaugusieji</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Depresijos epizodų profilaktika pacientams, sergantiems bipoliniu I tipo sutrikimu, kuriems vyrauja depresijos epizodai (žr. 5.1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Ūminių manijos ar depresijos epizodų gydyti Lamictal negalima.</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4.2</w:t>
      </w:r>
      <w:r w:rsidRPr="00353EE7">
        <w:rPr>
          <w:rFonts w:ascii="Times New Roman" w:hAnsi="Times New Roman"/>
          <w:b/>
        </w:rPr>
        <w:tab/>
        <w:t>Dozavimas ir vartojimo metodas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kramtomąsias ar disperguojamąsias tabletes galima kramtyti, tirpinti mažame vandens kiekyje (tokiame, kurio pakanka visai tabletei apsemti) arba nuryti visą užgeriant nedideliu vandens kiekiu.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apskaičiuotoji lamotrigino dozė (pvz., gydant epilepsija sergančius vaikus ar pacientus, kurie serga kepenų funkcijos sutrikimu) neatitinka </w:t>
      </w:r>
      <w:r>
        <w:rPr>
          <w:rFonts w:ascii="Times New Roman" w:hAnsi="Times New Roman"/>
        </w:rPr>
        <w:t>sveikojo pilnų</w:t>
      </w:r>
      <w:r w:rsidRPr="00353EE7">
        <w:rPr>
          <w:rFonts w:ascii="Times New Roman" w:hAnsi="Times New Roman"/>
        </w:rPr>
        <w:t xml:space="preserve"> table</w:t>
      </w:r>
      <w:r>
        <w:rPr>
          <w:rFonts w:ascii="Times New Roman" w:hAnsi="Times New Roman"/>
        </w:rPr>
        <w:t>čių skaičiaus</w:t>
      </w:r>
      <w:r w:rsidRPr="00353EE7">
        <w:rPr>
          <w:rFonts w:ascii="Times New Roman" w:hAnsi="Times New Roman"/>
        </w:rPr>
        <w:t xml:space="preserve">, reikia skirti vartoti tokią dozę, kuri atitinka mažesnį </w:t>
      </w:r>
      <w:r>
        <w:rPr>
          <w:rFonts w:ascii="Times New Roman" w:hAnsi="Times New Roman"/>
        </w:rPr>
        <w:t>pilnų</w:t>
      </w:r>
      <w:r w:rsidRPr="00353EE7">
        <w:rPr>
          <w:rFonts w:ascii="Times New Roman" w:hAnsi="Times New Roman"/>
        </w:rPr>
        <w:t xml:space="preserve"> tablečių</w:t>
      </w:r>
      <w:r>
        <w:rPr>
          <w:rFonts w:ascii="Times New Roman" w:hAnsi="Times New Roman"/>
        </w:rPr>
        <w:t xml:space="preserve"> skaičių</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Gydymo atnaujinimas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Atnaujindamas gydymą Lamictal, kuris dėl bet kurių priežasčių buvo nutrauktas, vaistinį preparatą skiriantis gydytojas turi įvertinti, ar būtinas laipsniškas dozės didinimas iki palaikomosios dozės, nes vartojant dideles pradines dozes arba lamotrigino dozę didinant greičiau nei rekomenduojama, kyla sunkaus išbėrimo rizika (žr. 4.4 skyrių). Kuo didesnė pertrauka, tuo labiau būtina apsvarstyti laipsnišką dozės didinimą iki palaikomosios dozės. Jeigu pertrauka po lamotrigino vartojimo pabaigos ilgesnė nei penki pusinės eliminacijos periodai (žr. 5.2 skyrių), Lamictal dozę reikia palaipsniui didinti iki palaikomosios dozės pagal atitinkamą schemą.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Nerekomenduojama atnaujinti gydymą Lamictal pacientams, kurie jį nutraukė dėl išbėrimo, susijusio su ankstesniu gydymu lamotriginu, išskyrus tuos atvejus, kai laukiama nauda aiškiai persveria riziką.</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Epilepsija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Rekomenduojamas dozės didinimas ir palaikomosios dozės suaugusiesiems, 13 metų ir vyresniems paaugliams (1 lentelė) bei 2</w:t>
      </w:r>
      <w:r w:rsidRPr="00353EE7">
        <w:rPr>
          <w:rFonts w:ascii="Times New Roman" w:hAnsi="Times New Roman"/>
        </w:rPr>
        <w:noBreakHyphen/>
        <w:t>12 metų vaikams ir paaugliams (2 lentelė) pateikiamos toliau. Vartoti didesnių pradinės ir palaikomosios dozių negalima, nes atsiranda išbėrimo pavojus (žr. 4.4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Jeigu nutraukiamas kartu vartojamų AEVP vartojimas arba pradedama kartu vartoti kitų AEVP ar vaistinių preparatų pagal gydymo schemas, pagal kurias vartojama lamotrigino, reikia įvertinti, kokią įtaką tai turės lamotrigino farmakokinetikai (žr. 4.5 skyrių).</w:t>
      </w:r>
    </w:p>
    <w:p w:rsidR="00385AEF" w:rsidRPr="00353EE7" w:rsidRDefault="00385AEF" w:rsidP="00385AEF">
      <w:pPr>
        <w:spacing w:after="0" w:line="240" w:lineRule="auto"/>
        <w:rPr>
          <w:rFonts w:ascii="Times New Roman" w:hAnsi="Times New Roman"/>
          <w:i/>
          <w:u w:val="single"/>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1 lentelė. Rekomenduojamos epilepsijos gydymo schemos suaugusiesiems ir 13 metų bei vyresniems paaugliams</w:t>
      </w:r>
    </w:p>
    <w:p w:rsidR="00385AEF" w:rsidRPr="00353EE7" w:rsidRDefault="00385AEF" w:rsidP="00385AEF">
      <w:pPr>
        <w:spacing w:after="0" w:line="240" w:lineRule="auto"/>
        <w:rPr>
          <w:rFonts w:ascii="Times New Roman" w:hAnsi="Times New Roman"/>
        </w:rPr>
      </w:pPr>
    </w:p>
    <w:tbl>
      <w:tblPr>
        <w:tblW w:w="0" w:type="auto"/>
        <w:tblInd w:w="-106" w:type="dxa"/>
        <w:tblLayout w:type="fixed"/>
        <w:tblLook w:val="0000" w:firstRow="0" w:lastRow="0" w:firstColumn="0" w:lastColumn="0" w:noHBand="0" w:noVBand="0"/>
      </w:tblPr>
      <w:tblGrid>
        <w:gridCol w:w="2694"/>
        <w:gridCol w:w="1701"/>
        <w:gridCol w:w="1559"/>
        <w:gridCol w:w="3827"/>
      </w:tblGrid>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ir 2-oji savaitės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3-oji ir 4-oji savaitės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Įprasta palaikomoji dozė</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t>Monoterapija</w:t>
            </w:r>
          </w:p>
          <w:p w:rsidR="00385AEF" w:rsidRPr="00353EE7" w:rsidRDefault="00385AEF" w:rsidP="00385AEF">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50 mg per parą </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w:t>
            </w:r>
            <w:r w:rsidRPr="00353EE7">
              <w:rPr>
                <w:rFonts w:ascii="Times New Roman" w:hAnsi="Times New Roman"/>
              </w:rPr>
              <w:noBreakHyphen/>
              <w:t xml:space="preserve">200 mg per parą </w:t>
            </w:r>
          </w:p>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50</w:t>
            </w:r>
            <w:r w:rsidRPr="00353EE7">
              <w:rPr>
                <w:rFonts w:ascii="Times New Roman" w:hAnsi="Times New Roman"/>
              </w:rPr>
              <w:noBreakHyphen/>
              <w:t>100 mg, kol pasireiškia optimalus atsakas į gydymą.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Kai kuriems pacientams numatytam atsakui sukelti gali prireikti vartoti 500 mg paros dozę.</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b/>
              </w:rPr>
              <w:t>Papildomas gydymas kartu su valproatu</w:t>
            </w:r>
            <w:r w:rsidRPr="00353EE7">
              <w:rPr>
                <w:rFonts w:ascii="Times New Roman" w:hAnsi="Times New Roman"/>
              </w:rPr>
              <w:t xml:space="preserve"> (lamotrigino gliukuronizacijos inhibitorius [žr. 4.5 skyrių]).</w:t>
            </w:r>
          </w:p>
        </w:tc>
      </w:tr>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gydymo schemą galima taikyti kartu su valproatu, neatsižvelgiant į kitus kartu vartojamus vaistinius preparatus.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12,5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(vartoti po 25 mg kas antrą parą).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w:t>
            </w:r>
            <w:r w:rsidRPr="00353EE7">
              <w:rPr>
                <w:rFonts w:ascii="Times New Roman" w:hAnsi="Times New Roman"/>
              </w:rPr>
              <w:noBreakHyphen/>
              <w:t xml:space="preserve">200 mg per parą </w:t>
            </w:r>
          </w:p>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25</w:t>
            </w:r>
            <w:r w:rsidRPr="00353EE7">
              <w:rPr>
                <w:rFonts w:ascii="Times New Roman" w:hAnsi="Times New Roman"/>
              </w:rPr>
              <w:noBreakHyphen/>
              <w:t>50 mg, kol pasireiškia optimalus atsakas į gydymą.</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E767B2">
            <w:pPr>
              <w:keepNext/>
              <w:spacing w:after="0" w:line="240" w:lineRule="auto"/>
              <w:rPr>
                <w:rFonts w:ascii="Times New Roman" w:hAnsi="Times New Roman"/>
              </w:rPr>
            </w:pPr>
            <w:r w:rsidRPr="00353EE7">
              <w:rPr>
                <w:rFonts w:ascii="Times New Roman" w:hAnsi="Times New Roman"/>
                <w:b/>
              </w:rPr>
              <w:t xml:space="preserve">Papildomas gydymas be valproato, kartu su lamotrigino gliukuronizaciją sužadinančiais vaistiniais preparatais </w:t>
            </w:r>
            <w:r w:rsidRPr="00353EE7">
              <w:rPr>
                <w:rFonts w:ascii="Times New Roman" w:hAnsi="Times New Roman"/>
              </w:rPr>
              <w:t>(žr. 4.5 skyrių).</w:t>
            </w:r>
          </w:p>
        </w:tc>
      </w:tr>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be valproato, bet kartu su: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fenitoinu,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karbamazepinu,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fenobarbitaliu,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primidonu,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rifampicinu,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lopinaviru/ritonaviru.</w:t>
            </w:r>
          </w:p>
          <w:p w:rsidR="00385AEF" w:rsidRPr="00353EE7" w:rsidRDefault="00385AEF" w:rsidP="00385AEF">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50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w:t>
            </w:r>
            <w:r w:rsidRPr="00353EE7">
              <w:rPr>
                <w:rFonts w:ascii="Times New Roman" w:hAnsi="Times New Roman"/>
              </w:rPr>
              <w:noBreakHyphen/>
              <w:t>400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100 mg, kol pasireiškia optimalus atsakas į gydymą.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Kai kuriems pacientams numatytam atsakui sukelti gali prireikti vartoti 700 mg paros dozę.</w:t>
            </w: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keepNext/>
              <w:spacing w:after="0" w:line="240" w:lineRule="auto"/>
              <w:rPr>
                <w:rFonts w:ascii="Times New Roman" w:hAnsi="Times New Roman"/>
              </w:rPr>
            </w:pPr>
            <w:r w:rsidRPr="00353EE7">
              <w:rPr>
                <w:rFonts w:ascii="Times New Roman" w:hAnsi="Times New Roman"/>
                <w:b/>
              </w:rPr>
              <w:t>Papildomas gydymas be valproato ir be lamotrigino gliukuronizaciją sužadinančių vaistinių preparatų</w:t>
            </w:r>
            <w:r w:rsidRPr="00353EE7">
              <w:rPr>
                <w:rFonts w:ascii="Times New Roman" w:hAnsi="Times New Roman"/>
              </w:rPr>
              <w:t xml:space="preserve"> (žr. 4.5 skyrių).</w:t>
            </w:r>
          </w:p>
        </w:tc>
      </w:tr>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Šią dozavimo schemą reikia taikyti kartu su kitais vaistiniais preparatais, kurie reikšmingai neslopina ar nesužadina </w:t>
            </w:r>
            <w:bookmarkStart w:id="7" w:name="OLE_LINK2"/>
            <w:r w:rsidRPr="00353EE7">
              <w:rPr>
                <w:rFonts w:ascii="Times New Roman" w:hAnsi="Times New Roman"/>
              </w:rPr>
              <w:t>lamotrigino gliukuroni</w:t>
            </w:r>
            <w:bookmarkEnd w:id="7"/>
            <w:r w:rsidRPr="00353EE7">
              <w:rPr>
                <w:rFonts w:ascii="Times New Roman" w:hAnsi="Times New Roman"/>
              </w:rPr>
              <w:t>zacijos.</w:t>
            </w:r>
          </w:p>
          <w:p w:rsidR="00385AEF" w:rsidRPr="00353EE7" w:rsidRDefault="00385AEF" w:rsidP="00385AEF">
            <w:pPr>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50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w:t>
            </w:r>
            <w:r w:rsidRPr="00353EE7">
              <w:rPr>
                <w:rFonts w:ascii="Times New Roman" w:hAnsi="Times New Roman"/>
              </w:rPr>
              <w:noBreakHyphen/>
              <w:t>200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50</w:t>
            </w:r>
            <w:r w:rsidRPr="00353EE7">
              <w:rPr>
                <w:rFonts w:ascii="Times New Roman" w:hAnsi="Times New Roman"/>
              </w:rPr>
              <w:noBreakHyphen/>
              <w:t>100 mg, kol pasireiškia optimalus atsakas į gydymą.</w:t>
            </w: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Pacientams, kurie vartoja vaistinių preparatų, kurių farmakokinetinė sąveika su lamotriginu iki šiol nežinoma (žr. 4.5 skyrių), reikia taikyti gydymo schemą, rekomenduojamą skiriant lamotriginą kartu su valproatu.</w:t>
            </w:r>
          </w:p>
        </w:tc>
      </w:tr>
    </w:tbl>
    <w:p w:rsidR="00385AEF" w:rsidRPr="00353EE7" w:rsidRDefault="00385AEF" w:rsidP="00385AEF">
      <w:pPr>
        <w:spacing w:after="0" w:line="240" w:lineRule="auto"/>
        <w:rPr>
          <w:rFonts w:ascii="Times New Roman" w:hAnsi="Times New Roman"/>
          <w:i/>
          <w:u w:val="single"/>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2 lentelė. Rekomenduojamos epilepsijos gydymo schemos 2</w:t>
      </w:r>
      <w:r w:rsidRPr="00353EE7">
        <w:rPr>
          <w:rFonts w:ascii="Times New Roman" w:hAnsi="Times New Roman"/>
          <w:i/>
          <w:u w:val="single"/>
        </w:rPr>
        <w:noBreakHyphen/>
        <w:t>12 metų vaikams ir paaugliams (visa paros dozė mg/kg kūno svorio per parą)</w:t>
      </w:r>
    </w:p>
    <w:p w:rsidR="00385AEF" w:rsidRPr="00353EE7" w:rsidRDefault="00385AEF" w:rsidP="00385AEF">
      <w:pPr>
        <w:spacing w:after="0" w:line="240" w:lineRule="auto"/>
        <w:rPr>
          <w:rFonts w:ascii="Times New Roman" w:hAnsi="Times New Roman"/>
        </w:rPr>
      </w:pPr>
    </w:p>
    <w:tbl>
      <w:tblPr>
        <w:tblW w:w="9781" w:type="dxa"/>
        <w:tblInd w:w="-106" w:type="dxa"/>
        <w:tblLayout w:type="fixed"/>
        <w:tblLook w:val="0000" w:firstRow="0" w:lastRow="0" w:firstColumn="0" w:lastColumn="0" w:noHBand="0" w:noVBand="0"/>
      </w:tblPr>
      <w:tblGrid>
        <w:gridCol w:w="2694"/>
        <w:gridCol w:w="1701"/>
        <w:gridCol w:w="1559"/>
        <w:gridCol w:w="3827"/>
      </w:tblGrid>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ir 2-oji savaitės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3-oji ir 4-oji savaitės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Įprasta palaikomoji dozė</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t>Įprastų absanso priepuolių monoterapija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0,3 mg/kg per parą (vieną kartą per parą arba padalyti į dvi lygias dozes ir suvartoti per du kartus).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0,6 mg/kg per parą (vieną kartą per parą arba padalyti į dvi lygias dozes ir suvartoti per du kartus).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w:t>
            </w:r>
            <w:r w:rsidRPr="00353EE7">
              <w:rPr>
                <w:rFonts w:ascii="Times New Roman" w:hAnsi="Times New Roman"/>
              </w:rPr>
              <w:noBreakHyphen/>
              <w:t>15 mg/kg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0,6 mg/kg per parą, kol pasireiškia optimalus atsakas į gydymą. Didžiausia palaikomoji paros dozė yra 200 mg.</w:t>
            </w: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b/>
              </w:rPr>
              <w:t>Papildomas gydymas kartu su valproatu</w:t>
            </w:r>
            <w:r w:rsidRPr="00353EE7">
              <w:rPr>
                <w:rFonts w:ascii="Times New Roman" w:hAnsi="Times New Roman"/>
              </w:rPr>
              <w:t xml:space="preserve"> (lamotrigino gliukuronizacijos inhibitorius [žr. 4.5 skyrių]).</w:t>
            </w:r>
          </w:p>
        </w:tc>
      </w:tr>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gydymo schemą galima taikyti kartu su valproatu, neatsižvelgiant į kitus kartu vartojamus vaistinius preparatus.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0,15 mg/kg per parą * (vieną kartą per parą).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0,3 mg/kg per parą (vieną kartą per parą).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w:t>
            </w:r>
            <w:r w:rsidRPr="00353EE7">
              <w:rPr>
                <w:rFonts w:ascii="Times New Roman" w:hAnsi="Times New Roman"/>
              </w:rPr>
              <w:noBreakHyphen/>
              <w:t>5 mg/kg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0,3 mg/kg per parą, kol pasireiškia optimalus atsakas į gydymą. Didžiausia palaikomoji paros dozė yra 200 mg.</w:t>
            </w: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E767B2">
            <w:pPr>
              <w:keepNext/>
              <w:spacing w:after="0" w:line="240" w:lineRule="auto"/>
              <w:rPr>
                <w:rFonts w:ascii="Times New Roman" w:hAnsi="Times New Roman"/>
              </w:rPr>
            </w:pPr>
            <w:r w:rsidRPr="00353EE7">
              <w:rPr>
                <w:rFonts w:ascii="Times New Roman" w:hAnsi="Times New Roman"/>
                <w:b/>
              </w:rPr>
              <w:t>Papildomas gydymas be valproato, kartu su lamotrigino gliukuronizaciją sužadinančiais vaistiniais preparatais</w:t>
            </w:r>
            <w:r w:rsidRPr="00353EE7">
              <w:rPr>
                <w:rFonts w:ascii="Times New Roman" w:hAnsi="Times New Roman"/>
              </w:rPr>
              <w:t xml:space="preserve"> (žr. 4.5 skyrių).</w:t>
            </w:r>
          </w:p>
        </w:tc>
      </w:tr>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tabs>
                <w:tab w:val="left" w:pos="0"/>
              </w:tabs>
              <w:spacing w:after="0" w:line="240" w:lineRule="auto"/>
              <w:rPr>
                <w:rFonts w:ascii="Times New Roman" w:hAnsi="Times New Roman"/>
              </w:rPr>
            </w:pPr>
            <w:r w:rsidRPr="00353EE7">
              <w:rPr>
                <w:rFonts w:ascii="Times New Roman" w:hAnsi="Times New Roman"/>
              </w:rPr>
              <w:t>Šią dozavimo schemą galima taikyti be valproato, bet kartu su:</w:t>
            </w:r>
          </w:p>
          <w:p w:rsidR="00385AEF" w:rsidRPr="00353EE7" w:rsidRDefault="00385AEF" w:rsidP="00385AEF">
            <w:pPr>
              <w:tabs>
                <w:tab w:val="left" w:pos="0"/>
              </w:tabs>
              <w:spacing w:after="0" w:line="240" w:lineRule="auto"/>
              <w:rPr>
                <w:rFonts w:ascii="Times New Roman" w:hAnsi="Times New Roman"/>
              </w:rPr>
            </w:pPr>
          </w:p>
          <w:p w:rsidR="00385AEF" w:rsidRPr="00353EE7" w:rsidRDefault="00385AEF" w:rsidP="00385AEF">
            <w:pPr>
              <w:tabs>
                <w:tab w:val="left" w:pos="0"/>
              </w:tabs>
              <w:spacing w:after="0" w:line="240" w:lineRule="auto"/>
              <w:ind w:right="-89"/>
              <w:rPr>
                <w:rFonts w:ascii="Times New Roman" w:hAnsi="Times New Roman"/>
              </w:rPr>
            </w:pPr>
            <w:r w:rsidRPr="00353EE7">
              <w:rPr>
                <w:rFonts w:ascii="Times New Roman" w:hAnsi="Times New Roman"/>
              </w:rPr>
              <w:t>fenitoinu,</w:t>
            </w:r>
          </w:p>
          <w:p w:rsidR="00385AEF" w:rsidRPr="00353EE7" w:rsidRDefault="00385AEF" w:rsidP="00385AEF">
            <w:pPr>
              <w:tabs>
                <w:tab w:val="left" w:pos="0"/>
              </w:tabs>
              <w:spacing w:after="0" w:line="240" w:lineRule="auto"/>
              <w:ind w:right="-89"/>
              <w:rPr>
                <w:rFonts w:ascii="Times New Roman" w:hAnsi="Times New Roman"/>
              </w:rPr>
            </w:pPr>
            <w:r w:rsidRPr="00353EE7">
              <w:rPr>
                <w:rFonts w:ascii="Times New Roman" w:hAnsi="Times New Roman"/>
              </w:rPr>
              <w:t>karbamazepinu,</w:t>
            </w:r>
          </w:p>
          <w:p w:rsidR="00385AEF" w:rsidRPr="00353EE7" w:rsidRDefault="00385AEF" w:rsidP="00385AEF">
            <w:pPr>
              <w:tabs>
                <w:tab w:val="left" w:pos="0"/>
              </w:tabs>
              <w:spacing w:after="0" w:line="240" w:lineRule="auto"/>
              <w:ind w:right="-89"/>
              <w:rPr>
                <w:rFonts w:ascii="Times New Roman" w:hAnsi="Times New Roman"/>
              </w:rPr>
            </w:pPr>
            <w:r w:rsidRPr="00353EE7">
              <w:rPr>
                <w:rFonts w:ascii="Times New Roman" w:hAnsi="Times New Roman"/>
              </w:rPr>
              <w:t>fenobarbitaliu,</w:t>
            </w:r>
          </w:p>
          <w:p w:rsidR="00385AEF" w:rsidRPr="00353EE7" w:rsidRDefault="00385AEF" w:rsidP="00385AEF">
            <w:pPr>
              <w:tabs>
                <w:tab w:val="left" w:pos="0"/>
              </w:tabs>
              <w:spacing w:after="0" w:line="240" w:lineRule="auto"/>
              <w:ind w:right="-89"/>
              <w:rPr>
                <w:rFonts w:ascii="Times New Roman" w:hAnsi="Times New Roman"/>
              </w:rPr>
            </w:pPr>
            <w:r w:rsidRPr="00353EE7">
              <w:rPr>
                <w:rFonts w:ascii="Times New Roman" w:hAnsi="Times New Roman"/>
              </w:rPr>
              <w:t>primidonu,</w:t>
            </w:r>
          </w:p>
          <w:p w:rsidR="00385AEF" w:rsidRPr="00353EE7" w:rsidRDefault="00385AEF" w:rsidP="00385AEF">
            <w:pPr>
              <w:tabs>
                <w:tab w:val="left" w:pos="0"/>
              </w:tabs>
              <w:spacing w:after="0" w:line="240" w:lineRule="auto"/>
              <w:ind w:right="-89"/>
              <w:rPr>
                <w:rFonts w:ascii="Times New Roman" w:hAnsi="Times New Roman"/>
              </w:rPr>
            </w:pPr>
            <w:r w:rsidRPr="00353EE7">
              <w:rPr>
                <w:rFonts w:ascii="Times New Roman" w:hAnsi="Times New Roman"/>
              </w:rPr>
              <w:t>rifampicinu,</w:t>
            </w:r>
          </w:p>
          <w:p w:rsidR="00385AEF" w:rsidRPr="00353EE7" w:rsidRDefault="00385AEF" w:rsidP="00385AEF">
            <w:pPr>
              <w:tabs>
                <w:tab w:val="left" w:pos="0"/>
              </w:tabs>
              <w:spacing w:after="0" w:line="240" w:lineRule="auto"/>
              <w:ind w:right="-89"/>
              <w:rPr>
                <w:rFonts w:ascii="Times New Roman" w:hAnsi="Times New Roman"/>
              </w:rPr>
            </w:pPr>
            <w:r w:rsidRPr="00353EE7">
              <w:rPr>
                <w:rFonts w:ascii="Times New Roman" w:hAnsi="Times New Roman"/>
              </w:rPr>
              <w:t>lopinaviru/ritonaviru.</w:t>
            </w:r>
          </w:p>
          <w:p w:rsidR="00385AEF" w:rsidRPr="00353EE7" w:rsidRDefault="00385AEF" w:rsidP="00385AEF">
            <w:pPr>
              <w:tabs>
                <w:tab w:val="left" w:pos="0"/>
              </w:tabs>
              <w:spacing w:after="0" w:line="240" w:lineRule="auto"/>
              <w:ind w:right="-89"/>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0,6 mg/kg per parą (padalyti į dvi lygias dozes ir suvartoti per du kartus).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1,2 mg/kg per parą (padalyti į dvi lygias dozes ir suvartoti per du kartus).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5</w:t>
            </w:r>
            <w:r w:rsidRPr="00353EE7">
              <w:rPr>
                <w:rFonts w:ascii="Times New Roman" w:hAnsi="Times New Roman"/>
              </w:rPr>
              <w:noBreakHyphen/>
              <w:t>15 mg/kg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1,2 mg/kg per parą, kol pasireiškia optimalus atsakas į gydymą. Didžiausia palaikomoji paros dozė yra 400 mg.</w:t>
            </w: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keepNext/>
              <w:tabs>
                <w:tab w:val="left" w:pos="0"/>
              </w:tabs>
              <w:spacing w:after="0" w:line="240" w:lineRule="auto"/>
              <w:outlineLvl w:val="1"/>
              <w:rPr>
                <w:rFonts w:ascii="Times New Roman" w:hAnsi="Times New Roman"/>
              </w:rPr>
            </w:pPr>
            <w:r w:rsidRPr="00353EE7">
              <w:rPr>
                <w:rFonts w:ascii="Times New Roman" w:hAnsi="Times New Roman"/>
                <w:b/>
              </w:rPr>
              <w:t>Papildomas gydymas be valproato ir be lamotrigino gliukuronizaciją sužadinančių vaistinių preparatų</w:t>
            </w:r>
            <w:r w:rsidRPr="00353EE7">
              <w:rPr>
                <w:rFonts w:ascii="Times New Roman" w:hAnsi="Times New Roman"/>
              </w:rPr>
              <w:t xml:space="preserve"> (žr. 4.5 skyrių).</w:t>
            </w:r>
          </w:p>
        </w:tc>
      </w:tr>
      <w:tr w:rsidR="00385AEF" w:rsidRPr="00591E78" w:rsidTr="00385AEF">
        <w:trPr>
          <w:cantSplit/>
        </w:trPr>
        <w:tc>
          <w:tcPr>
            <w:tcW w:w="269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kartu su kitais vaistiniais preparatais, kurie reikšmingai neslopina ar nesužadina lamotrigino gliukuronizacijos.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0,3 mg/kg per parą (vieną kartą per parą arba padalyti į dvi lygias dozes ir suvartoti per du kartus).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0,6 mg/kg per parą (vieną kartą per parą arba padalyti į dvi lygias dozes ir suvartoti per du kartus).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w:t>
            </w:r>
            <w:r w:rsidRPr="00353EE7">
              <w:rPr>
                <w:rFonts w:ascii="Times New Roman" w:hAnsi="Times New Roman"/>
              </w:rPr>
              <w:noBreakHyphen/>
              <w:t>10 mg/kg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Nustatant palaikomąją dozę, dozę galima kas vieną ar dvi savaites didinti ne daugiau kaip po 0,6 mg/kg per parą, kol pasireiškia optimalus atsakas į gydymą. Didžiausia palaikomoji paros dozė yra 200 mg.</w:t>
            </w: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Pacientams, kurie vartoja vaistinių preparatų, kurių farmakokinetinė sąveika su lamotriginu iki šiol nežinoma (žr. 4.5 skyrių), reikia taikyti gydymo schemą,</w:t>
            </w:r>
            <w:r>
              <w:rPr>
                <w:rFonts w:ascii="Times New Roman" w:hAnsi="Times New Roman"/>
              </w:rPr>
              <w:t xml:space="preserve"> </w:t>
            </w:r>
            <w:r w:rsidRPr="00353EE7">
              <w:rPr>
                <w:rFonts w:ascii="Times New Roman" w:hAnsi="Times New Roman"/>
              </w:rPr>
              <w:t>rekomenduojamą skiriant lamotriginą kartu su valproatu.</w:t>
            </w: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527E7E">
              <w:rPr>
                <w:rFonts w:ascii="Times New Roman" w:hAnsi="Times New Roman"/>
              </w:rPr>
              <w:t>*</w:t>
            </w:r>
            <w:r w:rsidRPr="00353EE7">
              <w:rPr>
                <w:rFonts w:ascii="Times New Roman" w:hAnsi="Times New Roman"/>
              </w:rPr>
              <w:t>Jeigu valproatą vartojančiam pacientui apskaičiuotoji dozė yra 1 mg ar didesnė, bet mažesnė kaip 2 mg, Lamictal 2 mg kramtomąsias ar disperguojamąsias tabletes pirmas dvi savaites galima vartoti kas antrą parą. Jeigu valproatą vartojančiam pacientui apskaičiuotoji dozė yra mažesnė kaip 1 mg, Lamictal skirti negalima.</w:t>
            </w:r>
          </w:p>
        </w:tc>
      </w:tr>
      <w:tr w:rsidR="00385AEF" w:rsidRPr="00591E78" w:rsidTr="00385AEF">
        <w:trPr>
          <w:cantSplit/>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Kad būtų pastoviai palaikoma gydomoji dozė, reikia stebėti vaiko svorį ir, jam pakitus, koreguoti dozę. Tikėtina, kad 2</w:t>
      </w:r>
      <w:r w:rsidRPr="00353EE7">
        <w:rPr>
          <w:rFonts w:ascii="Times New Roman" w:hAnsi="Times New Roman"/>
        </w:rPr>
        <w:noBreakHyphen/>
        <w:t>6 metų vaikams prireiks palaikomosios dozės, kuri artima didžiausiai rekomenduojamai.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Jeigu taikant papildomą gydymą, pasiekiama epilepsijos kontrolė, kartu vartojamų AEVP vartojimą galima nutraukti ir pacientams toliau taikyti Lamictal monoterapiją.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Jaunesni kaip 2 metų vaikai</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Kūdikių ir vaikų nuo 1 mėnesio iki 2 metų amžiaus židininių priepuolių papildomo gydymo lamotriginu saugumo ir veiksmingumo duomenys riboti (žr. 4.4 skyrių). Duomenų apie jaunesnius kaip 1 mėnesio kūdikius nėra. Taigi Lamictal nerekomenduojama vartoti jaunesniems kaip 2 metų </w:t>
      </w:r>
      <w:r>
        <w:rPr>
          <w:rFonts w:ascii="Times New Roman" w:hAnsi="Times New Roman"/>
        </w:rPr>
        <w:t>vaikams</w:t>
      </w:r>
      <w:r w:rsidRPr="00353EE7">
        <w:rPr>
          <w:rFonts w:ascii="Times New Roman" w:hAnsi="Times New Roman"/>
        </w:rPr>
        <w:t xml:space="preserve">. Jeigu atsižvelgiant į </w:t>
      </w:r>
      <w:r>
        <w:rPr>
          <w:rFonts w:ascii="Times New Roman" w:hAnsi="Times New Roman"/>
        </w:rPr>
        <w:t>klinikinę situaciją</w:t>
      </w:r>
      <w:r w:rsidRPr="00353EE7">
        <w:rPr>
          <w:rFonts w:ascii="Times New Roman" w:hAnsi="Times New Roman"/>
        </w:rPr>
        <w:t>, vis dėlto nusprendžiama gydyti šiuo vaistiniu preparatu, žr. 4.4, 5.1 ir 5.2 skyrius.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Bipolinis sutrikimas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Rekomenduojamas dozės didinimas ir palaikomosios dozės 18 metų ir vyresniems suaugusiesiems pateikiamos toliau esančiose lentelėse. Pereinamojo laikotarpio schemose pateikiamas lamotrigino dozės didinimas per šešias savaites iki palaikomosios stabilizuojamosios dozės (3 lentelė), vėliau kitų psichotropinių vaistinių preparatų ir (arba) AEVP vartojimą atsižvelgiant į </w:t>
      </w:r>
      <w:r>
        <w:rPr>
          <w:rFonts w:ascii="Times New Roman" w:hAnsi="Times New Roman"/>
        </w:rPr>
        <w:t>klinikinę situaciją</w:t>
      </w:r>
      <w:r w:rsidRPr="00353EE7">
        <w:rPr>
          <w:rFonts w:ascii="Times New Roman" w:hAnsi="Times New Roman"/>
        </w:rPr>
        <w:t xml:space="preserve"> galima nutraukti (4 lentelė). Dozės keitimas, pradėjus vartoti kartu kitų psichotropinių vaistinių preparatų ir (arba) AEVP irgi pateikiamas toliau (5 lentelė). Vartoti didesn</w:t>
      </w:r>
      <w:r>
        <w:rPr>
          <w:rFonts w:ascii="Times New Roman" w:hAnsi="Times New Roman"/>
        </w:rPr>
        <w:t>ės</w:t>
      </w:r>
      <w:r w:rsidRPr="00353EE7">
        <w:rPr>
          <w:rFonts w:ascii="Times New Roman" w:hAnsi="Times New Roman"/>
        </w:rPr>
        <w:t xml:space="preserve"> pradinės </w:t>
      </w:r>
      <w:r>
        <w:rPr>
          <w:rFonts w:ascii="Times New Roman" w:hAnsi="Times New Roman"/>
        </w:rPr>
        <w:t>dozės a</w:t>
      </w:r>
      <w:r w:rsidRPr="00353EE7">
        <w:rPr>
          <w:rFonts w:ascii="Times New Roman" w:hAnsi="Times New Roman"/>
        </w:rPr>
        <w:t xml:space="preserve">r </w:t>
      </w:r>
      <w:r>
        <w:rPr>
          <w:rFonts w:ascii="Times New Roman" w:hAnsi="Times New Roman"/>
        </w:rPr>
        <w:t>dozę didinti greičiau ar intensyviau</w:t>
      </w:r>
      <w:r w:rsidRPr="00353EE7">
        <w:rPr>
          <w:rFonts w:ascii="Times New Roman" w:hAnsi="Times New Roman"/>
        </w:rPr>
        <w:t xml:space="preserve"> negalima, nes atsiranda išbėrimo pavojus (žr. 4.4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3 lentelė. Rekomenduojamas dozės didinimas ir suminė palaikomoji stabilizuojamoji paros dozė 18 metų ir vyresniems suaugusiesiems, kuriems diagnozuotas bipolinis sutrikimas</w:t>
      </w:r>
    </w:p>
    <w:p w:rsidR="00385AEF" w:rsidRPr="00353EE7" w:rsidRDefault="00385AEF" w:rsidP="00385AEF">
      <w:pPr>
        <w:spacing w:after="0" w:line="240" w:lineRule="auto"/>
        <w:rPr>
          <w:rFonts w:ascii="Times New Roman" w:hAnsi="Times New Roman"/>
        </w:rPr>
      </w:pPr>
    </w:p>
    <w:tbl>
      <w:tblPr>
        <w:tblW w:w="9781" w:type="dxa"/>
        <w:tblInd w:w="-106" w:type="dxa"/>
        <w:tblLayout w:type="fixed"/>
        <w:tblLook w:val="0000" w:firstRow="0" w:lastRow="0" w:firstColumn="0" w:lastColumn="0" w:noHBand="0" w:noVBand="0"/>
      </w:tblPr>
      <w:tblGrid>
        <w:gridCol w:w="2836"/>
        <w:gridCol w:w="1559"/>
        <w:gridCol w:w="1417"/>
        <w:gridCol w:w="1418"/>
        <w:gridCol w:w="2551"/>
      </w:tblGrid>
      <w:tr w:rsidR="00385AEF" w:rsidRPr="00591E78" w:rsidTr="00385AEF">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ir 2-oji savaitės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3-oji ir 4-oji savaitės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5-oji savaitė</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Numatyta stabilizuojamoji dozė (6-oji savaitė) *</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b/>
              </w:rPr>
              <w:t>Monoterapija lamotriginu arba papildomas gydymas be valproato ir be lamotrigino gliukuronizaciją sužadinančių vaistinių preparatų</w:t>
            </w:r>
            <w:r w:rsidRPr="00353EE7">
              <w:rPr>
                <w:rFonts w:ascii="Times New Roman" w:hAnsi="Times New Roman"/>
              </w:rPr>
              <w:t xml:space="preserve"> (žr. 4.5 skyrių).</w:t>
            </w:r>
          </w:p>
        </w:tc>
      </w:tr>
      <w:tr w:rsidR="00385AEF" w:rsidRPr="00591E78" w:rsidTr="00385AEF">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kartu su kitais vaistiniais preparatais, kurie reikšmingai neslopina ar nesužadina lamotrigino gliukuronizacijos.</w:t>
            </w:r>
          </w:p>
          <w:p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50 mg per parą</w:t>
            </w:r>
          </w:p>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 – įprasta numatyta dozė, kuri sukelia optimalų atsaką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Klinikinių tyrimų metu buvo vartojamos 100</w:t>
            </w:r>
            <w:r w:rsidRPr="00353EE7">
              <w:rPr>
                <w:rFonts w:ascii="Times New Roman" w:hAnsi="Times New Roman"/>
              </w:rPr>
              <w:noBreakHyphen/>
              <w:t>400 mg paros dozės.</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keepNext/>
              <w:tabs>
                <w:tab w:val="left" w:pos="0"/>
              </w:tabs>
              <w:spacing w:after="0" w:line="240" w:lineRule="auto"/>
              <w:outlineLvl w:val="1"/>
              <w:rPr>
                <w:rFonts w:ascii="Times New Roman" w:hAnsi="Times New Roman"/>
                <w:strike/>
              </w:rPr>
            </w:pPr>
            <w:r w:rsidRPr="00353EE7">
              <w:rPr>
                <w:rFonts w:ascii="Times New Roman" w:hAnsi="Times New Roman"/>
                <w:b/>
              </w:rPr>
              <w:lastRenderedPageBreak/>
              <w:t>Papildomas gydymas kartu su valproatu</w:t>
            </w:r>
            <w:r w:rsidRPr="00353EE7">
              <w:rPr>
                <w:rFonts w:ascii="Times New Roman" w:hAnsi="Times New Roman"/>
              </w:rPr>
              <w:t xml:space="preserve"> (lamotrigino gliukuronizacijos inhibitorius [žr. 4.5 skyrių]).</w:t>
            </w:r>
          </w:p>
        </w:tc>
      </w:tr>
      <w:tr w:rsidR="00385AEF" w:rsidRPr="00591E78" w:rsidTr="00385AEF">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gydymo schemą galima taikyti kartu su valproatu, neatsižvelgiant į kitus kartu vartojamus vaistinius preparatus.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12,5 mg per parą</w:t>
            </w:r>
          </w:p>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(vartoti po 25 mg kas antrą parą).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25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50 mg per parą</w:t>
            </w:r>
          </w:p>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(vieną kartą per parą arba padalyti į dvi lygias dozes ir suvartoti per du kartus).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 – įprasta numatyta dozė, kuri sukelia optimalų atsaką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 arba padalyti į dvi lygias dozes ir suvartoti per du kartus).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Atsižvelgiant į klinikinį atsaką, galima vartoti didžiausią 200 mg paros dozę.</w:t>
            </w:r>
          </w:p>
          <w:p w:rsidR="00385AEF" w:rsidRPr="00353EE7" w:rsidRDefault="00385AEF" w:rsidP="00385AEF">
            <w:pPr>
              <w:spacing w:after="0" w:line="240" w:lineRule="auto"/>
              <w:ind w:right="-108"/>
              <w:rPr>
                <w:rFonts w:ascii="Times New Roman" w:hAnsi="Times New Roman"/>
              </w:rPr>
            </w:pPr>
          </w:p>
        </w:tc>
      </w:tr>
      <w:tr w:rsidR="00385AEF" w:rsidRPr="00591E78" w:rsidTr="00385AEF">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b/>
              </w:rPr>
              <w:t>Papildomas gydymas be valproato, kartu su lamotrigino gliukuronizaciją sužadinančiais vaistiniais preparatais</w:t>
            </w:r>
            <w:r w:rsidRPr="00353EE7">
              <w:rPr>
                <w:rFonts w:ascii="Times New Roman" w:hAnsi="Times New Roman"/>
              </w:rPr>
              <w:t xml:space="preserve"> (žr. 4.5 skyrių).</w:t>
            </w:r>
          </w:p>
        </w:tc>
      </w:tr>
      <w:tr w:rsidR="00385AEF" w:rsidRPr="00591E78" w:rsidTr="00385AEF">
        <w:trPr>
          <w:cantSplit/>
        </w:trPr>
        <w:tc>
          <w:tcPr>
            <w:tcW w:w="283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be valproato, bet kartu su: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fenitoinu,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karbamazepinu,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fenobarbitaliu,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primidonu,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rifampicinu,</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lopinaviru/ritonaviru.</w:t>
            </w:r>
          </w:p>
          <w:p w:rsidR="00385AEF" w:rsidRPr="00353EE7" w:rsidRDefault="00385AEF" w:rsidP="00385AEF">
            <w:pPr>
              <w:spacing w:after="0" w:line="240" w:lineRule="auto"/>
              <w:ind w:right="-89"/>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50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(vieną kartą per parą).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6-tą savaitę vartoti 300 mg per parą, jeigu reikia, optimaliam atsakui pasiekti 7-tą savaitę dozę galima padidinti iki įprastos numatytos 400 mg paros dozės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tc>
      </w:tr>
      <w:tr w:rsidR="00385AEF" w:rsidRPr="00591E78" w:rsidTr="00385AEF">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Pacientams, kurie vartoja vaistinių preparatų, kurių farmakokinetinė sąveika su lamotriginu iki šiol nežinoma (žr. 4.5 skyrių), reikia taikyti gydymo schemą, rekomenduojamą skiriant lamotriginą kartu su valproatu.</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Numatyta stabilizuojamoji dozė kinta priklausomai nuo klinikinio atsako.</w:t>
      </w: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rPr>
        <w:br w:type="page"/>
      </w:r>
      <w:r w:rsidRPr="00353EE7">
        <w:rPr>
          <w:rFonts w:ascii="Times New Roman" w:hAnsi="Times New Roman"/>
          <w:i/>
          <w:u w:val="single"/>
        </w:rPr>
        <w:lastRenderedPageBreak/>
        <w:t>4 lentelė. Suminė palaikomoji stabilizuojamoji paros dozė, nutraukus kartu vartojamų vaistinių preparatų vartojimą, 18 metų ir vyresniems suaugusiesiems, kuriems diagnozuotas bipolinis sutrikimas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Kai tik pasiekiama numatyta palaikomoji stabilizuojamoji paros dozė, kitų vaistinių preparatų vartojimą </w:t>
      </w:r>
      <w:r>
        <w:rPr>
          <w:rFonts w:ascii="Times New Roman" w:hAnsi="Times New Roman"/>
        </w:rPr>
        <w:t>galima</w:t>
      </w:r>
      <w:r w:rsidRPr="00353EE7">
        <w:rPr>
          <w:rFonts w:ascii="Times New Roman" w:hAnsi="Times New Roman"/>
        </w:rPr>
        <w:t xml:space="preserve"> nutraukti taip, kaip nurodyta toliau.</w:t>
      </w:r>
    </w:p>
    <w:p w:rsidR="00385AEF" w:rsidRPr="00353EE7" w:rsidRDefault="00385AEF" w:rsidP="00385AEF">
      <w:pPr>
        <w:spacing w:after="0" w:line="240" w:lineRule="auto"/>
        <w:rPr>
          <w:rFonts w:ascii="Times New Roman" w:hAnsi="Times New Roman"/>
          <w:i/>
          <w:u w:val="single"/>
        </w:rPr>
      </w:pPr>
    </w:p>
    <w:tbl>
      <w:tblPr>
        <w:tblW w:w="0" w:type="auto"/>
        <w:tblInd w:w="-106" w:type="dxa"/>
        <w:tblLayout w:type="fixed"/>
        <w:tblLook w:val="0000" w:firstRow="0" w:lastRow="0" w:firstColumn="0" w:lastColumn="0" w:noHBand="0" w:noVBand="0"/>
      </w:tblPr>
      <w:tblGrid>
        <w:gridCol w:w="3403"/>
        <w:gridCol w:w="1984"/>
        <w:gridCol w:w="1559"/>
        <w:gridCol w:w="1418"/>
        <w:gridCol w:w="1418"/>
      </w:tblGrid>
      <w:tr w:rsidR="00385AEF" w:rsidRPr="00591E78" w:rsidTr="00385AEF">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Šiuo metu vartojama stabilizuojamoji lamotrigino dozė (prieš nutraukimą)</w:t>
            </w:r>
          </w:p>
          <w:p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savaitė (po nutraukimo)</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2-oji savaitė</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7"/>
              <w:rPr>
                <w:rFonts w:ascii="Times New Roman" w:hAnsi="Times New Roman"/>
              </w:rPr>
            </w:pPr>
            <w:r w:rsidRPr="00353EE7">
              <w:rPr>
                <w:rFonts w:ascii="Times New Roman" w:hAnsi="Times New Roman"/>
              </w:rPr>
              <w:t>Nuo 3-os savaitės*</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9782" w:type="dxa"/>
            <w:gridSpan w:val="5"/>
            <w:tcBorders>
              <w:top w:val="single" w:sz="4" w:space="0" w:color="auto"/>
              <w:left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b/>
              </w:rPr>
              <w:t>Nutraukus valproato vartojimą</w:t>
            </w:r>
            <w:r w:rsidRPr="00353EE7">
              <w:rPr>
                <w:rFonts w:ascii="Times New Roman" w:hAnsi="Times New Roman"/>
              </w:rPr>
              <w:t xml:space="preserve"> (lamotrigino gliukuronizacijos inhibitorius [žr. 4.5 skyrių]), atsižvelgiant į pradinę lamotrigino dozę.</w:t>
            </w:r>
          </w:p>
        </w:tc>
      </w:tr>
      <w:tr w:rsidR="00385AEF" w:rsidRPr="00591E78" w:rsidTr="00385AEF">
        <w:trPr>
          <w:cantSplit/>
          <w:trHeight w:val="893"/>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strike/>
              </w:rPr>
            </w:pPr>
            <w:r w:rsidRPr="00353EE7">
              <w:rPr>
                <w:rFonts w:ascii="Times New Roman" w:hAnsi="Times New Roman"/>
              </w:rPr>
              <w:t>Nutraukus valproato vartojimą, stabilizuojamąją dozę reikia padvigubinti, bet didinti daugiau kaip po 100 mg per savaitę negalima.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p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rsidR="00385AEF" w:rsidRPr="00353EE7" w:rsidRDefault="00385AEF" w:rsidP="00385AEF">
            <w:pPr>
              <w:spacing w:after="0" w:line="240" w:lineRule="auto"/>
              <w:rPr>
                <w:rFonts w:ascii="Times New Roman" w:hAnsi="Times New Roman"/>
              </w:rPr>
            </w:pP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Vartoti tą pačią dozę (200 mg per parą)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(padalyti į dvi lygias dozes ir suvartoti per du kartus).</w:t>
            </w:r>
          </w:p>
          <w:p w:rsidR="00385AEF" w:rsidRPr="00353EE7" w:rsidRDefault="00385AEF" w:rsidP="00385AEF">
            <w:pPr>
              <w:spacing w:after="0" w:line="240" w:lineRule="auto"/>
              <w:rPr>
                <w:rFonts w:ascii="Times New Roman" w:hAnsi="Times New Roman"/>
              </w:rPr>
            </w:pPr>
          </w:p>
        </w:tc>
      </w:tr>
      <w:tr w:rsidR="00385AEF" w:rsidRPr="00591E78" w:rsidTr="00385AEF">
        <w:trPr>
          <w:cantSplit/>
          <w:trHeight w:val="892"/>
        </w:trPr>
        <w:tc>
          <w:tcPr>
            <w:tcW w:w="3403" w:type="dxa"/>
            <w:vMerge/>
            <w:tcBorders>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p w:rsidR="00385AEF" w:rsidRPr="00353EE7" w:rsidRDefault="00385AEF" w:rsidP="00385AEF">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p w:rsidR="00385AEF" w:rsidRPr="00353EE7" w:rsidRDefault="00385AEF" w:rsidP="00385AEF">
            <w:pPr>
              <w:spacing w:after="0" w:line="240" w:lineRule="auto"/>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7"/>
              <w:rPr>
                <w:rFonts w:ascii="Times New Roman" w:hAnsi="Times New Roman"/>
              </w:rPr>
            </w:pPr>
            <w:r w:rsidRPr="00353EE7">
              <w:rPr>
                <w:rFonts w:ascii="Times New Roman" w:hAnsi="Times New Roman"/>
              </w:rPr>
              <w:t>Vartoti tą pačią dozę (400 mg per parą)</w:t>
            </w:r>
          </w:p>
          <w:p w:rsidR="00385AEF" w:rsidRPr="00353EE7" w:rsidRDefault="00385AEF" w:rsidP="00385AEF">
            <w:pPr>
              <w:spacing w:after="0" w:line="240" w:lineRule="auto"/>
              <w:ind w:right="-107"/>
              <w:rPr>
                <w:rFonts w:ascii="Times New Roman" w:hAnsi="Times New Roman"/>
              </w:rPr>
            </w:pPr>
          </w:p>
        </w:tc>
      </w:tr>
      <w:tr w:rsidR="00385AEF" w:rsidRPr="00591E78" w:rsidTr="00385AEF">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b/>
              </w:rPr>
              <w:t>Nutraukus lamotrigino gliukuronizaciją sužadinančių vaistinių preparatų vartojimą</w:t>
            </w:r>
            <w:r w:rsidRPr="00353EE7">
              <w:rPr>
                <w:rFonts w:ascii="Times New Roman" w:hAnsi="Times New Roman"/>
              </w:rPr>
              <w:t xml:space="preserve"> (žr. 4.5 skyrių), atsižvelgiant į pradinę lamotrigino dozę.</w:t>
            </w:r>
          </w:p>
        </w:tc>
      </w:tr>
      <w:tr w:rsidR="00385AEF" w:rsidRPr="00591E78" w:rsidTr="00385AEF">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nutraukus šių vaistinių preparatų vartojimą: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fenitoino,</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karbamazepino,</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fenobarbitalio,</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primidono,</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rifampicino,</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lopinaviro/ritonaviro.</w:t>
            </w:r>
          </w:p>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p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r>
      <w:tr w:rsidR="00385AEF" w:rsidRPr="00591E78" w:rsidTr="00385AEF">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p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225 mg per parą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r>
      <w:tr w:rsidR="00385AEF" w:rsidRPr="00591E78" w:rsidTr="00385AEF">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200 mg per parą </w:t>
            </w:r>
          </w:p>
          <w:p w:rsidR="00385AEF" w:rsidRPr="00353EE7" w:rsidRDefault="00385AEF" w:rsidP="00385AEF">
            <w:pPr>
              <w:spacing w:after="0" w:line="240" w:lineRule="auto"/>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tc>
      </w:tr>
      <w:tr w:rsidR="00385AEF" w:rsidRPr="00591E78" w:rsidTr="00385AEF">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b/>
              </w:rPr>
              <w:t>Nutraukus vaistinių preparatų, kurie reikšmingai neslopina ar nesužadina lamotrigino gliukuronizacijos, vartojimą</w:t>
            </w:r>
            <w:r w:rsidRPr="00353EE7">
              <w:rPr>
                <w:rFonts w:ascii="Times New Roman" w:hAnsi="Times New Roman"/>
              </w:rPr>
              <w:t xml:space="preserve"> (žr. 4.5 skyrių).</w:t>
            </w:r>
          </w:p>
        </w:tc>
      </w:tr>
      <w:tr w:rsidR="00385AEF" w:rsidRPr="00591E78" w:rsidTr="00385AEF">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nutraukus kitų vaistinių preparatų, kurie reikšmingai neslopina ar nesužadina lamotrigino gliukuronizacijos, vartojimą.</w:t>
            </w:r>
          </w:p>
          <w:p w:rsidR="00385AEF" w:rsidRPr="00353EE7" w:rsidRDefault="00385AEF" w:rsidP="00385AEF">
            <w:pPr>
              <w:spacing w:after="0" w:line="240" w:lineRule="auto"/>
              <w:rPr>
                <w:rFonts w:ascii="Times New Roman" w:hAnsi="Times New Roman"/>
              </w:rPr>
            </w:pP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Vartoti numatytą dozę, kuri buvo pasiekta, didinant dozę (200 mg per parą padalyti į dvi lygias dozes ir suvartoti per du kartus)</w:t>
            </w:r>
          </w:p>
          <w:p w:rsidR="00385AEF" w:rsidRPr="00353EE7" w:rsidRDefault="00385AEF" w:rsidP="00385AEF">
            <w:pPr>
              <w:spacing w:after="0" w:line="240" w:lineRule="auto"/>
              <w:rPr>
                <w:rFonts w:ascii="Times New Roman" w:hAnsi="Times New Roman"/>
              </w:rPr>
            </w:pPr>
            <w:r w:rsidRPr="00353EE7">
              <w:rPr>
                <w:rFonts w:ascii="Times New Roman" w:hAnsi="Times New Roman"/>
              </w:rPr>
              <w:t>(dozės ribos nuo 100 iki 400 mg per parą).</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9782"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Pacientams, kurie vartoja vaistinių preparatų, kurių farmakokinetinė sąveika su lamotriginu iki šiol nežinoma (žr. 4.5 skyrių), rekomenduojama taikyti gydymo lamotriginu schemą, pagal kurią iš pradžių reikia išlaikyti iki tol vartotą dozę ir lamotrigino dozę keisti, atsižvelgiant į klinikinį atsaką.</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Jeigu reikia, dozę galima didinti iki 400 mg paros dozės.</w:t>
      </w: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rPr>
        <w:br w:type="page"/>
      </w:r>
      <w:r w:rsidRPr="00353EE7">
        <w:rPr>
          <w:rFonts w:ascii="Times New Roman" w:hAnsi="Times New Roman"/>
          <w:i/>
          <w:u w:val="single"/>
        </w:rPr>
        <w:lastRenderedPageBreak/>
        <w:t>5 lentelė. Lamotrigino paros dozės keitimas 18 metų ir vyresniems suaugusiesiems, kuriems diagnozuotas bipolinis sutrikimas, pradėjus kartu vartoti kitų vaistinių preparatų.</w:t>
      </w:r>
    </w:p>
    <w:p w:rsidR="00385AEF" w:rsidRPr="00353EE7" w:rsidRDefault="00385AEF" w:rsidP="00385AEF">
      <w:pPr>
        <w:spacing w:after="0" w:line="240" w:lineRule="auto"/>
        <w:rPr>
          <w:rFonts w:ascii="Times New Roman" w:hAnsi="Times New Roman"/>
          <w:i/>
          <w:u w:val="single"/>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Lamotrigino paros dozės keitimo, pradėjus kartu vartoti kitų vaistinių preparatų, patirties nėra. Tačiau, remiantis sąveikos su kitais vaistiniais preparatais tyrimų duomenimis, galima pateikti toliau išvardytas rekomendacijas.</w:t>
      </w:r>
    </w:p>
    <w:p w:rsidR="00385AEF" w:rsidRPr="00353EE7" w:rsidRDefault="00385AEF" w:rsidP="00385AEF">
      <w:pPr>
        <w:spacing w:after="0" w:line="240" w:lineRule="auto"/>
        <w:rPr>
          <w:rFonts w:ascii="Times New Roman" w:hAnsi="Times New Roman"/>
        </w:rPr>
      </w:pPr>
    </w:p>
    <w:tbl>
      <w:tblPr>
        <w:tblW w:w="0" w:type="auto"/>
        <w:tblInd w:w="-106" w:type="dxa"/>
        <w:tblLayout w:type="fixed"/>
        <w:tblLook w:val="0000" w:firstRow="0" w:lastRow="0" w:firstColumn="0" w:lastColumn="0" w:noHBand="0" w:noVBand="0"/>
      </w:tblPr>
      <w:tblGrid>
        <w:gridCol w:w="3403"/>
        <w:gridCol w:w="1984"/>
        <w:gridCol w:w="1276"/>
        <w:gridCol w:w="1417"/>
        <w:gridCol w:w="1701"/>
      </w:tblGrid>
      <w:tr w:rsidR="00385AEF" w:rsidRPr="00591E78" w:rsidTr="00385AEF">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Gydymo schema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Vartojama stabilizuojamoji lamotrigino dozė (prieš pradedant vartoti kartu)</w:t>
            </w:r>
          </w:p>
          <w:p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1-oji savaitė (pradėjus vartoti kartu)</w:t>
            </w:r>
          </w:p>
          <w:p w:rsidR="00385AEF" w:rsidRPr="00353EE7" w:rsidRDefault="00385AEF" w:rsidP="00385AEF">
            <w:pPr>
              <w:spacing w:after="0" w:line="240" w:lineRule="auto"/>
              <w:ind w:right="-108"/>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2-oji savaitė</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Nuo 3-os savaitės</w:t>
            </w:r>
          </w:p>
          <w:p w:rsidR="00385AEF" w:rsidRPr="00353EE7" w:rsidRDefault="00385AEF" w:rsidP="00385AEF">
            <w:pPr>
              <w:spacing w:after="0" w:line="240" w:lineRule="auto"/>
              <w:rPr>
                <w:rFonts w:ascii="Times New Roman" w:hAnsi="Times New Roman"/>
              </w:rPr>
            </w:pPr>
          </w:p>
        </w:tc>
      </w:tr>
      <w:tr w:rsidR="00385AEF" w:rsidRPr="00591E78" w:rsidTr="00385AEF">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b/>
              </w:rPr>
              <w:t>Pradėjus kartu vartoti valproatą</w:t>
            </w:r>
            <w:r w:rsidRPr="00353EE7">
              <w:rPr>
                <w:rFonts w:ascii="Times New Roman" w:hAnsi="Times New Roman"/>
              </w:rPr>
              <w:t xml:space="preserve"> (lamotrigino gliukuronizacijos inhibitorius [žr. 4.5 skyrių]), atsižvelgiant į pradinę lamotrigino dozę.</w:t>
            </w:r>
          </w:p>
        </w:tc>
      </w:tr>
      <w:tr w:rsidR="00385AEF" w:rsidRPr="00591E78" w:rsidTr="00385AEF">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gydymo schemą galima taikyti pradėjus vartoti kartu valproatą, neatsižvelgiant į kitus kartu vartojamus vaistinius preparatus.</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100 mg per parą</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ind w:right="-108"/>
              <w:rPr>
                <w:rFonts w:ascii="Times New Roman" w:hAnsi="Times New Roman"/>
              </w:rPr>
            </w:pPr>
            <w:r w:rsidRPr="00353EE7">
              <w:rPr>
                <w:rFonts w:ascii="Times New Roman" w:hAnsi="Times New Roman"/>
              </w:rPr>
              <w:t>Vartoti tą pačią dozę (100 mg per parą)</w:t>
            </w:r>
          </w:p>
        </w:tc>
      </w:tr>
      <w:tr w:rsidR="00385AEF" w:rsidRPr="00591E78" w:rsidTr="00385AEF">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p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Vartoti tą pačią dozę (150 mg per parą)</w:t>
            </w:r>
          </w:p>
        </w:tc>
      </w:tr>
      <w:tr w:rsidR="00385AEF" w:rsidRPr="00591E78" w:rsidTr="00385AEF">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p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Vartoti tą pačią dozę (200 mg per parą)</w:t>
            </w:r>
          </w:p>
        </w:tc>
      </w:tr>
      <w:tr w:rsidR="00385AEF" w:rsidRPr="00591E78" w:rsidTr="00385AEF">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b/>
              </w:rPr>
              <w:t>Pradėjus kartu vartoti lamotrigino gliukuronizaciją sužadinančių vaistinių preparatų pacientams, kurie nevartoja valproato</w:t>
            </w:r>
            <w:r w:rsidRPr="00353EE7">
              <w:rPr>
                <w:rFonts w:ascii="Times New Roman" w:hAnsi="Times New Roman"/>
              </w:rPr>
              <w:t xml:space="preserve"> (žr. 4.5 skyrių), atsižvelgiant į pradinę lamotrigino dozę.</w:t>
            </w:r>
          </w:p>
        </w:tc>
      </w:tr>
      <w:tr w:rsidR="00385AEF" w:rsidRPr="00591E78" w:rsidTr="00385AEF">
        <w:trPr>
          <w:cantSplit/>
        </w:trPr>
        <w:tc>
          <w:tcPr>
            <w:tcW w:w="3403" w:type="dxa"/>
            <w:vMerge w:val="restart"/>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nevartojant valproato, pradėjus kartu vartoti: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fenitoiną,</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karbamazepiną,</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fenobarbitalį,</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primidoną,</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rifampiciną,</w:t>
            </w:r>
          </w:p>
          <w:p w:rsidR="00385AEF" w:rsidRPr="00353EE7" w:rsidRDefault="00385AEF" w:rsidP="00385AEF">
            <w:pPr>
              <w:spacing w:after="0" w:line="240" w:lineRule="auto"/>
              <w:ind w:right="-89"/>
              <w:rPr>
                <w:rFonts w:ascii="Times New Roman" w:hAnsi="Times New Roman"/>
              </w:rPr>
            </w:pPr>
            <w:r w:rsidRPr="00353EE7">
              <w:rPr>
                <w:rFonts w:ascii="Times New Roman" w:hAnsi="Times New Roman"/>
              </w:rPr>
              <w:t>lopinavirą/ritonavirą.</w:t>
            </w:r>
          </w:p>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p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400 mg per parą</w:t>
            </w:r>
          </w:p>
        </w:tc>
      </w:tr>
      <w:tr w:rsidR="00385AEF" w:rsidRPr="00591E78" w:rsidTr="00385AEF">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p w:rsidR="00385AEF" w:rsidRPr="00353EE7" w:rsidRDefault="00385AEF" w:rsidP="00385AEF">
            <w:pPr>
              <w:spacing w:after="0" w:line="240" w:lineRule="auto"/>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225 mg per parą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300 mg per parą</w:t>
            </w:r>
          </w:p>
        </w:tc>
      </w:tr>
      <w:tr w:rsidR="00385AEF" w:rsidRPr="00591E78" w:rsidTr="00385AEF">
        <w:trPr>
          <w:cantSplit/>
        </w:trPr>
        <w:tc>
          <w:tcPr>
            <w:tcW w:w="3403" w:type="dxa"/>
            <w:vMerge/>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100 mg per parą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150 mg per parą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200 mg per parą</w:t>
            </w:r>
          </w:p>
        </w:tc>
      </w:tr>
      <w:tr w:rsidR="00385AEF" w:rsidRPr="00591E78" w:rsidTr="00385AEF">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b/>
              </w:rPr>
              <w:t>Pradėjus kartu vartoti vaistinių preparatų, kurie reikšmingai neslopina ar nesužadina lamotrigino gliukuronizacijos</w:t>
            </w:r>
            <w:r w:rsidRPr="00353EE7">
              <w:rPr>
                <w:rFonts w:ascii="Times New Roman" w:hAnsi="Times New Roman"/>
              </w:rPr>
              <w:t xml:space="preserve"> (žr. 4.5 skyrių).</w:t>
            </w:r>
          </w:p>
        </w:tc>
      </w:tr>
      <w:tr w:rsidR="00385AEF" w:rsidRPr="00591E78" w:rsidTr="00385AEF">
        <w:trPr>
          <w:cantSplit/>
        </w:trPr>
        <w:tc>
          <w:tcPr>
            <w:tcW w:w="3403" w:type="dxa"/>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Šią dozavimo schemą galima taikyti, pradėjus kartu vartoti kitų vaistinių preparatų, kurie reikšmingai neslopina ar nesužadina lamotrigino gliukuronizacijos.</w:t>
            </w:r>
          </w:p>
          <w:p w:rsidR="00385AEF" w:rsidRPr="00353EE7" w:rsidRDefault="00385AEF" w:rsidP="00385AEF">
            <w:pPr>
              <w:spacing w:after="0" w:line="240" w:lineRule="auto"/>
              <w:rPr>
                <w:rFonts w:ascii="Times New Roman" w:hAnsi="Times New Roman"/>
              </w:rPr>
            </w:pPr>
          </w:p>
        </w:tc>
        <w:tc>
          <w:tcPr>
            <w:tcW w:w="6378" w:type="dxa"/>
            <w:gridSpan w:val="4"/>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Vartoti numatytą dozę, kuri buvo pasiekta, didinant dozę (200 mg per parą, dozės ribos nuo 100 iki 400 mg per parą).</w:t>
            </w:r>
          </w:p>
        </w:tc>
      </w:tr>
      <w:tr w:rsidR="00385AEF" w:rsidRPr="00591E78" w:rsidTr="00385AEF">
        <w:trPr>
          <w:cantSplit/>
        </w:trPr>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385AEF" w:rsidRPr="00353EE7" w:rsidRDefault="00385AEF" w:rsidP="00385AEF">
            <w:pPr>
              <w:spacing w:after="0" w:line="240" w:lineRule="auto"/>
              <w:rPr>
                <w:rFonts w:ascii="Times New Roman" w:hAnsi="Times New Roman"/>
              </w:rPr>
            </w:pPr>
            <w:r w:rsidRPr="00353EE7">
              <w:rPr>
                <w:rFonts w:ascii="Times New Roman" w:hAnsi="Times New Roman"/>
              </w:rPr>
              <w:t>Pacientams, kurie vartoja vaistinių preparatų, kurių farmakokinetinė sąveika su lamotriginu iki šiol nežinoma (žr. 4.5 skyrių), reikia taikyti gydymo schemą, rekomenduojamą lamotriginą skiriant kartu su valproatu.</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Lamictal vartojimo nutraukimas pacientams, kuriems diagnozuotas bipolinis sutrikimas</w:t>
      </w:r>
    </w:p>
    <w:p w:rsidR="00385AEF" w:rsidRPr="00353EE7" w:rsidRDefault="00385AEF" w:rsidP="00385AEF">
      <w:pPr>
        <w:spacing w:after="0" w:line="240" w:lineRule="auto"/>
        <w:rPr>
          <w:rFonts w:ascii="Times New Roman" w:hAnsi="Times New Roman"/>
        </w:rPr>
      </w:pPr>
      <w:r w:rsidRPr="00353EE7">
        <w:rPr>
          <w:rFonts w:ascii="Times New Roman" w:hAnsi="Times New Roman"/>
        </w:rPr>
        <w:t>Klinikinių tyrimų duomenimis, staigiai nutraukus lamotrigino vartojimą, palyginti su placebu, nepageidaujamų reakcijų nepadažnėjo, jos nepasunkėjo ir nenustatyta kitokio tipo nepageidaujamų reakcijų. Dėl to pacientai gali gydymą Lamictal baigti laipsniškai nemažindami dozės.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Vaikai ir jaunesni kaip 18 metų paaugliai</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nerekomenduojama vartoti vaikams ir jaunesniems kaip 18 metų paaugliams, nes atsitiktinių imčių vartojimo nutraukimo tyrimas neparodė reikšmingo veiksmingumo, bet parodė, kad daugėja pranešimų apie polinkį į savižudybę (žr. 4.4 ir 5.1 skyrius).</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tabs>
          <w:tab w:val="left" w:pos="0"/>
        </w:tabs>
        <w:spacing w:after="0" w:line="240" w:lineRule="auto"/>
        <w:outlineLvl w:val="1"/>
        <w:rPr>
          <w:rFonts w:ascii="Times New Roman" w:hAnsi="Times New Roman"/>
          <w:u w:val="single"/>
        </w:rPr>
      </w:pPr>
      <w:r w:rsidRPr="00353EE7">
        <w:rPr>
          <w:rFonts w:ascii="Times New Roman" w:hAnsi="Times New Roman"/>
          <w:u w:val="single"/>
        </w:rPr>
        <w:lastRenderedPageBreak/>
        <w:t>Bendrosios Lamictal dozavimo rekomendacijos specialių grupių pacientams</w:t>
      </w:r>
    </w:p>
    <w:p w:rsidR="00385AEF" w:rsidRPr="00353EE7" w:rsidRDefault="00385AEF" w:rsidP="00385AEF">
      <w:pPr>
        <w:spacing w:after="0" w:line="240" w:lineRule="auto"/>
        <w:rPr>
          <w:rFonts w:ascii="Times New Roman" w:hAnsi="Times New Roman"/>
          <w:i/>
          <w:u w:val="single"/>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Moterys, kurios vartoja hormoninių kontraceptikų</w:t>
      </w:r>
    </w:p>
    <w:p w:rsidR="00385AEF" w:rsidRPr="00353EE7" w:rsidRDefault="00385AEF" w:rsidP="00385AEF">
      <w:pPr>
        <w:spacing w:after="0" w:line="240" w:lineRule="auto"/>
        <w:rPr>
          <w:rFonts w:ascii="Times New Roman" w:hAnsi="Times New Roman"/>
          <w:i/>
          <w:u w:val="single"/>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Vartojant kartu etinilestradiolio/levonorgestrelio (30 mikrogramų/150 mikrogramų) derinį, lamotrigino klirensas būna maždaug du kartus greitesnis, dėl to sumažėja lamotrigino koncentracijos. Padidinus dozę, geriausiam gydomajam poveikiui sukelti gali prireikti vartoti didesnę (beveik du kartus) palaikomąją lamotrigino dozę. Nustatyta, kad per savaitę, kurios metu kontraceptinių tablečių negeriama, lamotrigino koncentracija padidėja du kartus. Negalima atmesti, kad nepasireikš nuo dozės priklausomų nepageidaujamų reiškinių. Dėl to reikia </w:t>
      </w:r>
      <w:r>
        <w:rPr>
          <w:rFonts w:ascii="Times New Roman" w:hAnsi="Times New Roman"/>
        </w:rPr>
        <w:t>apsvarstyti</w:t>
      </w:r>
      <w:r w:rsidRPr="00353EE7">
        <w:rPr>
          <w:rFonts w:ascii="Times New Roman" w:hAnsi="Times New Roman"/>
        </w:rPr>
        <w:t xml:space="preserve"> </w:t>
      </w:r>
      <w:r>
        <w:rPr>
          <w:rFonts w:ascii="Times New Roman" w:hAnsi="Times New Roman"/>
        </w:rPr>
        <w:t xml:space="preserve">galimybę skirti </w:t>
      </w:r>
      <w:r w:rsidRPr="00353EE7">
        <w:rPr>
          <w:rFonts w:ascii="Times New Roman" w:hAnsi="Times New Roman"/>
        </w:rPr>
        <w:t>pirmaeilę kontracepciją be pertraukų, kurių metu kontraceptinių tablečių negeriama (pavyzdžiui, nepertraukiamą hormoninę kontracepciją ar nehormoninius kontracepcijos metodus, žr. 4.4 ir 4.5 skyrius).</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i/>
        </w:rPr>
      </w:pPr>
      <w:r w:rsidRPr="00353EE7">
        <w:rPr>
          <w:rFonts w:ascii="Times New Roman" w:hAnsi="Times New Roman"/>
          <w:i/>
        </w:rPr>
        <w:t>Kaip pradėti vartoti hormoninius kontraceptikus pacientėms, kurios jau vartoja palaikomąją lamotrigino dozę, bet nevartoja lamotrigino gliukuronizaciją sužadinančių vaistinių preparatų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Daugeliu atvejų lamotrigino palaikomąją dozę reikia padidinti iki dviejų kartų (žr. 4.4 ir 4.5 skyrius). Pradėjus vartoti hormoninius kontraceptikus, atsižvelgiant į individualų atsaką, lamotrigino paros dozę kas savaitę rekomenduojama didinti po 50</w:t>
      </w:r>
      <w:r w:rsidRPr="00353EE7">
        <w:rPr>
          <w:rFonts w:ascii="Times New Roman" w:hAnsi="Times New Roman"/>
        </w:rPr>
        <w:noBreakHyphen/>
        <w:t xml:space="preserve">100 mg. Dozės didinti greičiau nei rekomenduojama negalima, išskyrus atvejus, kai </w:t>
      </w:r>
      <w:r>
        <w:rPr>
          <w:rFonts w:ascii="Times New Roman" w:hAnsi="Times New Roman"/>
        </w:rPr>
        <w:t>dozę labiau padidinti</w:t>
      </w:r>
      <w:r w:rsidRPr="00353EE7">
        <w:rPr>
          <w:rFonts w:ascii="Times New Roman" w:hAnsi="Times New Roman"/>
        </w:rPr>
        <w:t xml:space="preserve"> būtina atsižvelgiant į </w:t>
      </w:r>
      <w:r>
        <w:rPr>
          <w:rFonts w:ascii="Times New Roman" w:hAnsi="Times New Roman"/>
        </w:rPr>
        <w:t>klinikinį atsaką</w:t>
      </w:r>
      <w:r w:rsidRPr="00353EE7">
        <w:rPr>
          <w:rFonts w:ascii="Times New Roman" w:hAnsi="Times New Roman"/>
        </w:rPr>
        <w:t xml:space="preserve">. Prieš pradedant vartoti ir pradėjus vartoti hormoninius kontraceptikus, </w:t>
      </w:r>
      <w:r>
        <w:rPr>
          <w:rFonts w:ascii="Times New Roman" w:hAnsi="Times New Roman"/>
        </w:rPr>
        <w:t xml:space="preserve">gali </w:t>
      </w:r>
      <w:r w:rsidRPr="00353EE7">
        <w:rPr>
          <w:rFonts w:ascii="Times New Roman" w:hAnsi="Times New Roman"/>
        </w:rPr>
        <w:t>reik</w:t>
      </w:r>
      <w:r>
        <w:rPr>
          <w:rFonts w:ascii="Times New Roman" w:hAnsi="Times New Roman"/>
        </w:rPr>
        <w:t>ėti</w:t>
      </w:r>
      <w:r w:rsidRPr="00353EE7">
        <w:rPr>
          <w:rFonts w:ascii="Times New Roman" w:hAnsi="Times New Roman"/>
        </w:rPr>
        <w:t xml:space="preserve"> ištirti lamotrigino koncentraciją </w:t>
      </w:r>
      <w:r>
        <w:rPr>
          <w:rFonts w:ascii="Times New Roman" w:hAnsi="Times New Roman"/>
        </w:rPr>
        <w:t xml:space="preserve">kraujo </w:t>
      </w:r>
      <w:r w:rsidRPr="00353EE7">
        <w:rPr>
          <w:rFonts w:ascii="Times New Roman" w:hAnsi="Times New Roman"/>
        </w:rPr>
        <w:t xml:space="preserve">serume, kad būtų patvirtinta, jog išlieka ankstesnė lamotrigino koncentracija. Jeigu būtina, dozę reikia keisti. Moterims, kurios vartoja hormoninių kontraceptikų, kuriuos vartojant, daroma vienos savaitės pertrauka (tablečių negeriama), tikrinti lamotrigino koncentraciją </w:t>
      </w:r>
      <w:r>
        <w:rPr>
          <w:rFonts w:ascii="Times New Roman" w:hAnsi="Times New Roman"/>
        </w:rPr>
        <w:t xml:space="preserve">kraujo </w:t>
      </w:r>
      <w:r w:rsidRPr="00353EE7">
        <w:rPr>
          <w:rFonts w:ascii="Times New Roman" w:hAnsi="Times New Roman"/>
        </w:rPr>
        <w:t>serume</w:t>
      </w:r>
      <w:r>
        <w:rPr>
          <w:rFonts w:ascii="Times New Roman" w:hAnsi="Times New Roman"/>
        </w:rPr>
        <w:t xml:space="preserve"> reikia </w:t>
      </w:r>
      <w:r w:rsidRPr="00353EE7">
        <w:rPr>
          <w:rFonts w:ascii="Times New Roman" w:hAnsi="Times New Roman"/>
        </w:rPr>
        <w:t xml:space="preserve">3-čią aktyvaus gydymo savaitę, t. y. nuo 15-tos iki 21-os tablečių gėrimo ciklo dienos. Taigi reikia </w:t>
      </w:r>
      <w:r>
        <w:rPr>
          <w:rFonts w:ascii="Times New Roman" w:hAnsi="Times New Roman"/>
        </w:rPr>
        <w:t>apsvarstyti</w:t>
      </w:r>
      <w:r w:rsidRPr="00353EE7">
        <w:rPr>
          <w:rFonts w:ascii="Times New Roman" w:hAnsi="Times New Roman"/>
        </w:rPr>
        <w:t xml:space="preserve"> </w:t>
      </w:r>
      <w:r>
        <w:rPr>
          <w:rFonts w:ascii="Times New Roman" w:hAnsi="Times New Roman"/>
        </w:rPr>
        <w:t xml:space="preserve">galimybę skirti </w:t>
      </w:r>
      <w:r w:rsidRPr="00353EE7">
        <w:rPr>
          <w:rFonts w:ascii="Times New Roman" w:hAnsi="Times New Roman"/>
        </w:rPr>
        <w:t>pirmaeil</w:t>
      </w:r>
      <w:r>
        <w:rPr>
          <w:rFonts w:ascii="Times New Roman" w:hAnsi="Times New Roman"/>
        </w:rPr>
        <w:t>ę</w:t>
      </w:r>
      <w:r w:rsidRPr="00353EE7">
        <w:rPr>
          <w:rFonts w:ascii="Times New Roman" w:hAnsi="Times New Roman"/>
        </w:rPr>
        <w:t xml:space="preserve"> kontracepcij</w:t>
      </w:r>
      <w:r>
        <w:rPr>
          <w:rFonts w:ascii="Times New Roman" w:hAnsi="Times New Roman"/>
        </w:rPr>
        <w:t>ą</w:t>
      </w:r>
      <w:r w:rsidRPr="00353EE7">
        <w:rPr>
          <w:rFonts w:ascii="Times New Roman" w:hAnsi="Times New Roman"/>
        </w:rPr>
        <w:t xml:space="preserve"> be </w:t>
      </w:r>
      <w:r>
        <w:rPr>
          <w:rFonts w:ascii="Times New Roman" w:hAnsi="Times New Roman"/>
        </w:rPr>
        <w:t>pertraukų</w:t>
      </w:r>
      <w:r w:rsidRPr="00353EE7">
        <w:rPr>
          <w:rFonts w:ascii="Times New Roman" w:hAnsi="Times New Roman"/>
        </w:rPr>
        <w:t xml:space="preserve">, </w:t>
      </w:r>
      <w:r>
        <w:rPr>
          <w:rFonts w:ascii="Times New Roman" w:hAnsi="Times New Roman"/>
        </w:rPr>
        <w:t>kurių metu</w:t>
      </w:r>
      <w:r w:rsidRPr="00353EE7">
        <w:rPr>
          <w:rFonts w:ascii="Times New Roman" w:hAnsi="Times New Roman"/>
        </w:rPr>
        <w:t xml:space="preserve"> kontraceptinių tablečių ne</w:t>
      </w:r>
      <w:r>
        <w:rPr>
          <w:rFonts w:ascii="Times New Roman" w:hAnsi="Times New Roman"/>
        </w:rPr>
        <w:t>geriama</w:t>
      </w:r>
      <w:r w:rsidRPr="00353EE7">
        <w:rPr>
          <w:rFonts w:ascii="Times New Roman" w:hAnsi="Times New Roman"/>
        </w:rPr>
        <w:t>,  (p</w:t>
      </w:r>
      <w:r>
        <w:rPr>
          <w:rFonts w:ascii="Times New Roman" w:hAnsi="Times New Roman"/>
        </w:rPr>
        <w:t>avyzdžiui</w:t>
      </w:r>
      <w:r w:rsidRPr="00353EE7">
        <w:rPr>
          <w:rFonts w:ascii="Times New Roman" w:hAnsi="Times New Roman"/>
        </w:rPr>
        <w:t xml:space="preserve">, </w:t>
      </w:r>
      <w:r>
        <w:rPr>
          <w:rFonts w:ascii="Times New Roman" w:hAnsi="Times New Roman"/>
        </w:rPr>
        <w:t xml:space="preserve">nepertraukiamą </w:t>
      </w:r>
      <w:r w:rsidRPr="00353EE7">
        <w:rPr>
          <w:rFonts w:ascii="Times New Roman" w:hAnsi="Times New Roman"/>
        </w:rPr>
        <w:t>hormonin</w:t>
      </w:r>
      <w:r>
        <w:rPr>
          <w:rFonts w:ascii="Times New Roman" w:hAnsi="Times New Roman"/>
        </w:rPr>
        <w:t>ę</w:t>
      </w:r>
      <w:r w:rsidRPr="00353EE7">
        <w:rPr>
          <w:rFonts w:ascii="Times New Roman" w:hAnsi="Times New Roman"/>
        </w:rPr>
        <w:t xml:space="preserve"> kontracep</w:t>
      </w:r>
      <w:r>
        <w:rPr>
          <w:rFonts w:ascii="Times New Roman" w:hAnsi="Times New Roman"/>
        </w:rPr>
        <w:t>ciją</w:t>
      </w:r>
      <w:r w:rsidRPr="00353EE7">
        <w:rPr>
          <w:rFonts w:ascii="Times New Roman" w:hAnsi="Times New Roman"/>
        </w:rPr>
        <w:t xml:space="preserve"> arba nehormonin</w:t>
      </w:r>
      <w:r>
        <w:rPr>
          <w:rFonts w:ascii="Times New Roman" w:hAnsi="Times New Roman"/>
        </w:rPr>
        <w:t>ius</w:t>
      </w:r>
      <w:r w:rsidRPr="00353EE7">
        <w:rPr>
          <w:rFonts w:ascii="Times New Roman" w:hAnsi="Times New Roman"/>
        </w:rPr>
        <w:t xml:space="preserve"> kontracepcijos metod</w:t>
      </w:r>
      <w:r>
        <w:rPr>
          <w:rFonts w:ascii="Times New Roman" w:hAnsi="Times New Roman"/>
        </w:rPr>
        <w:t>us</w:t>
      </w:r>
      <w:r w:rsidRPr="00353EE7">
        <w:rPr>
          <w:rFonts w:ascii="Times New Roman" w:hAnsi="Times New Roman"/>
        </w:rPr>
        <w:t>, žr. 4.4 ir 4.5 skyrius).</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i/>
        </w:rPr>
      </w:pPr>
      <w:r w:rsidRPr="00353EE7">
        <w:rPr>
          <w:rFonts w:ascii="Times New Roman" w:hAnsi="Times New Roman"/>
          <w:i/>
        </w:rPr>
        <w:t>Kaip nutraukti hormoninių kontraceptikų vartojimą pacientėms, kurios jau vartoja palaikomąją lamotrigino dozę, bet nevartoja lamotrigino gliukuronizaciją sužadinančių vaistinių preparatų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Daugeliu atvejų lamotrigino palaikomąją dozę reikia sumažinti iki 50 % (žr. 4.4 ir 4.5 skyrius). Per tris savaites lamotrigino paros dozę rekomenduojama palaipsniui sumažinti po 50</w:t>
      </w:r>
      <w:r w:rsidRPr="00353EE7">
        <w:rPr>
          <w:rFonts w:ascii="Times New Roman" w:hAnsi="Times New Roman"/>
        </w:rPr>
        <w:noBreakHyphen/>
        <w:t>100 mg kiekvieną savaitę (negalima mažinti daugiau kaip po 25 % visos paros dozės per savaitę), išskyrus atvejus, kai dėl klinikinio atsako reikia kitaip. Prieš nutraukiant ir nutraukus hormoninių kontraceptikų vartojimą, galima ištirti lamotrigino koncentraciją</w:t>
      </w:r>
      <w:r>
        <w:rPr>
          <w:rFonts w:ascii="Times New Roman" w:hAnsi="Times New Roman"/>
        </w:rPr>
        <w:t xml:space="preserve"> kraujo </w:t>
      </w:r>
      <w:r w:rsidRPr="00353EE7">
        <w:rPr>
          <w:rFonts w:ascii="Times New Roman" w:hAnsi="Times New Roman"/>
        </w:rPr>
        <w:t>serume, norint įsitikinti, jog išlieka ankstesnė lamotrigino koncentracija. Moterims, kurios nori nutraukti hormoninių kontraceptikų, kuriuos vartojant, vieną savaitę tablečių negeriama, vartojimą, tikrinti lamotrigino koncentraciją</w:t>
      </w:r>
      <w:r>
        <w:rPr>
          <w:rFonts w:ascii="Times New Roman" w:hAnsi="Times New Roman"/>
        </w:rPr>
        <w:t xml:space="preserve"> kraujo</w:t>
      </w:r>
      <w:r w:rsidRPr="00353EE7">
        <w:rPr>
          <w:rFonts w:ascii="Times New Roman" w:hAnsi="Times New Roman"/>
        </w:rPr>
        <w:t xml:space="preserve"> serume</w:t>
      </w:r>
      <w:r>
        <w:rPr>
          <w:rFonts w:ascii="Times New Roman" w:hAnsi="Times New Roman"/>
        </w:rPr>
        <w:t xml:space="preserve"> reikia </w:t>
      </w:r>
      <w:r w:rsidRPr="00353EE7">
        <w:rPr>
          <w:rFonts w:ascii="Times New Roman" w:hAnsi="Times New Roman"/>
        </w:rPr>
        <w:t xml:space="preserve">3-čią aktyvaus gydymo savaitę, t. y. nuo 15-tos iki 21-os tablečių gėrimo ciklo dienos. </w:t>
      </w:r>
      <w:r>
        <w:rPr>
          <w:rFonts w:ascii="Times New Roman" w:hAnsi="Times New Roman"/>
        </w:rPr>
        <w:t>M</w:t>
      </w:r>
      <w:r w:rsidRPr="00353EE7">
        <w:rPr>
          <w:rFonts w:ascii="Times New Roman" w:hAnsi="Times New Roman"/>
        </w:rPr>
        <w:t>ėginių lamotrigino koncentracijos po kontraceptinių tablečių vartojimo pabaigos nustatymui nereik</w:t>
      </w:r>
      <w:r>
        <w:rPr>
          <w:rFonts w:ascii="Times New Roman" w:hAnsi="Times New Roman"/>
        </w:rPr>
        <w:t>ėtų imti pirmąją savaitę baigus vartoti kontraceptines tabletes</w:t>
      </w:r>
      <w:r w:rsidRPr="00353EE7">
        <w:rPr>
          <w:rFonts w:ascii="Times New Roman" w:hAnsi="Times New Roman"/>
        </w:rPr>
        <w:t xml:space="preserv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rPr>
      </w:pPr>
      <w:r w:rsidRPr="00353EE7">
        <w:rPr>
          <w:rFonts w:ascii="Times New Roman" w:hAnsi="Times New Roman"/>
          <w:i/>
        </w:rPr>
        <w:t>Kaip pradėti vartoti lamotriginą pacientėms, kurios jau vartoja hormoninių kontraceptikų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Dozę didinti reikia pagal normalias lentelėse pateikiamas dozavimo rekomendacijas.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rPr>
      </w:pPr>
      <w:r w:rsidRPr="00353EE7">
        <w:rPr>
          <w:rFonts w:ascii="Times New Roman" w:hAnsi="Times New Roman"/>
          <w:i/>
        </w:rPr>
        <w:t>Kaip pradėti arba nutraukti hormoninių kontraceptikų vartojimą pacientėms, kurios jau vartoja palaikomąją lamotrigino dozę ir vartoja lamotrigino gliukuronizaciją sužadinančių vaistinių preparatų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Pr>
          <w:rFonts w:ascii="Times New Roman" w:hAnsi="Times New Roman"/>
        </w:rPr>
        <w:t>K</w:t>
      </w:r>
      <w:r w:rsidRPr="00353EE7">
        <w:rPr>
          <w:rFonts w:ascii="Times New Roman" w:hAnsi="Times New Roman"/>
        </w:rPr>
        <w:t>eisti rekomenduojam</w:t>
      </w:r>
      <w:r>
        <w:rPr>
          <w:rFonts w:ascii="Times New Roman" w:hAnsi="Times New Roman"/>
        </w:rPr>
        <w:t>os</w:t>
      </w:r>
      <w:r w:rsidRPr="00353EE7">
        <w:rPr>
          <w:rFonts w:ascii="Times New Roman" w:hAnsi="Times New Roman"/>
        </w:rPr>
        <w:t xml:space="preserve"> palaikom</w:t>
      </w:r>
      <w:r>
        <w:rPr>
          <w:rFonts w:ascii="Times New Roman" w:hAnsi="Times New Roman"/>
        </w:rPr>
        <w:t>osios</w:t>
      </w:r>
      <w:r w:rsidRPr="00353EE7">
        <w:rPr>
          <w:rFonts w:ascii="Times New Roman" w:hAnsi="Times New Roman"/>
        </w:rPr>
        <w:t xml:space="preserve"> lamotrigino doz</w:t>
      </w:r>
      <w:r>
        <w:rPr>
          <w:rFonts w:ascii="Times New Roman" w:hAnsi="Times New Roman"/>
        </w:rPr>
        <w:t>ės gali ir neprireikti</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Vartojimas kartu su atazanaviru/ritonaviru</w:t>
      </w:r>
    </w:p>
    <w:p w:rsidR="00385AEF" w:rsidRPr="00353EE7" w:rsidRDefault="00385AEF" w:rsidP="00385AEF">
      <w:pPr>
        <w:spacing w:after="0" w:line="240" w:lineRule="auto"/>
        <w:rPr>
          <w:rFonts w:ascii="Times New Roman" w:hAnsi="Times New Roman"/>
          <w:color w:val="000000"/>
        </w:rPr>
      </w:pPr>
    </w:p>
    <w:p w:rsidR="00385AEF" w:rsidRPr="00353EE7" w:rsidRDefault="00385AEF" w:rsidP="00385AEF">
      <w:pPr>
        <w:spacing w:after="0" w:line="240" w:lineRule="auto"/>
        <w:rPr>
          <w:rFonts w:ascii="Times New Roman" w:hAnsi="Times New Roman"/>
          <w:color w:val="000000"/>
        </w:rPr>
      </w:pPr>
      <w:r w:rsidRPr="00353EE7">
        <w:rPr>
          <w:rFonts w:ascii="Times New Roman" w:hAnsi="Times New Roman"/>
          <w:color w:val="000000"/>
        </w:rPr>
        <w:t>Pradėjus papildomai vartoti lamotriginą jau taikant gydymą atazanaviru/ritonaviru, rekomenduojamo lamotrigino dozės didinimo plano keisti nebūtina.</w:t>
      </w:r>
    </w:p>
    <w:p w:rsidR="00385AEF" w:rsidRPr="00353EE7" w:rsidRDefault="00385AEF" w:rsidP="00385AEF">
      <w:pPr>
        <w:spacing w:after="0" w:line="240" w:lineRule="auto"/>
        <w:rPr>
          <w:rFonts w:ascii="Times New Roman" w:hAnsi="Times New Roman"/>
          <w:color w:val="000000"/>
        </w:rPr>
      </w:pPr>
    </w:p>
    <w:p w:rsidR="00385AEF" w:rsidRPr="00353EE7" w:rsidRDefault="00385AEF" w:rsidP="00385AEF">
      <w:pPr>
        <w:spacing w:after="0" w:line="240" w:lineRule="auto"/>
        <w:rPr>
          <w:rFonts w:ascii="Times New Roman" w:hAnsi="Times New Roman"/>
          <w:color w:val="000000"/>
        </w:rPr>
      </w:pPr>
      <w:r w:rsidRPr="00353EE7">
        <w:rPr>
          <w:rFonts w:ascii="Times New Roman" w:hAnsi="Times New Roman"/>
          <w:color w:val="000000"/>
        </w:rPr>
        <w:t xml:space="preserve">Pacientams, jau vartojantiems palaikomąsias lamotrigino dozes ir nevartojantiems lamotrigino gliukuronizaciją sužadinančių vaistinių preparatų, lamotrigino dozę gali tekti padidinti, jeigu kartu pradedama papildomai vartoti atazanaviro/ritonaviro, arba sumažinti, jeigu atazanaviro/ritonaviro vartojamas nutraukiamas. Reikia stebėti lamotrigino koncentraciją </w:t>
      </w:r>
      <w:r>
        <w:rPr>
          <w:rFonts w:ascii="Times New Roman" w:hAnsi="Times New Roman"/>
          <w:color w:val="000000"/>
        </w:rPr>
        <w:t xml:space="preserve">kraujo </w:t>
      </w:r>
      <w:r w:rsidRPr="00353EE7">
        <w:rPr>
          <w:rFonts w:ascii="Times New Roman" w:hAnsi="Times New Roman"/>
          <w:color w:val="000000"/>
        </w:rPr>
        <w:t>plazmoje prieš pradedant arba nutraukiant atazanaviro/ritonaviro vartojimą bei 2 savaites pradėjus arba nutraukus atazanaviro/ritonaviro vartojimą, kad būtų galima pastebėti, jeigu reikėtų keisti lamotrigino dozę (žr. 4.5 skyrių).</w:t>
      </w:r>
    </w:p>
    <w:p w:rsidR="00385AEF" w:rsidRPr="00353EE7" w:rsidRDefault="00385AEF" w:rsidP="00385AEF">
      <w:pPr>
        <w:spacing w:after="0" w:line="240" w:lineRule="auto"/>
        <w:rPr>
          <w:rFonts w:ascii="Times New Roman" w:hAnsi="Times New Roman"/>
          <w:color w:val="000000"/>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Vartojimas kartu su lopinaviru/ritonaviru</w:t>
      </w:r>
    </w:p>
    <w:p w:rsidR="00385AEF" w:rsidRPr="00353EE7" w:rsidRDefault="00385AEF" w:rsidP="00385AEF">
      <w:pPr>
        <w:spacing w:after="0" w:line="240" w:lineRule="auto"/>
        <w:rPr>
          <w:rFonts w:ascii="Times New Roman" w:hAnsi="Times New Roman"/>
          <w:i/>
          <w:u w:val="single"/>
        </w:rPr>
      </w:pPr>
    </w:p>
    <w:p w:rsidR="00385AEF" w:rsidRPr="00353EE7" w:rsidRDefault="00385AEF" w:rsidP="00385AEF">
      <w:pPr>
        <w:spacing w:after="0" w:line="240" w:lineRule="auto"/>
        <w:rPr>
          <w:rFonts w:ascii="Times New Roman" w:hAnsi="Times New Roman"/>
          <w:color w:val="000000"/>
        </w:rPr>
      </w:pPr>
      <w:r w:rsidRPr="00353EE7">
        <w:rPr>
          <w:rFonts w:ascii="Times New Roman" w:hAnsi="Times New Roman"/>
          <w:color w:val="000000"/>
        </w:rPr>
        <w:t>Pradėjus papildomai vartoti lamotriginą jau taikant gydymą lopinaviru/ritonaviru, rekomenduojamo lamotrigino dozės didinimo plano keisti nebūtina.</w:t>
      </w:r>
    </w:p>
    <w:p w:rsidR="00385AEF" w:rsidRPr="00353EE7" w:rsidRDefault="00385AEF" w:rsidP="00385AEF">
      <w:pPr>
        <w:spacing w:after="0" w:line="240" w:lineRule="auto"/>
        <w:rPr>
          <w:rFonts w:ascii="Times New Roman" w:hAnsi="Times New Roman"/>
          <w:color w:val="000000"/>
        </w:rPr>
      </w:pPr>
    </w:p>
    <w:p w:rsidR="00385AEF" w:rsidRPr="00353EE7" w:rsidRDefault="00385AEF" w:rsidP="00385AEF">
      <w:pPr>
        <w:spacing w:after="0" w:line="240" w:lineRule="auto"/>
        <w:rPr>
          <w:rFonts w:ascii="Times New Roman" w:hAnsi="Times New Roman"/>
          <w:color w:val="000000"/>
        </w:rPr>
      </w:pPr>
      <w:r w:rsidRPr="00353EE7">
        <w:rPr>
          <w:rFonts w:ascii="Times New Roman" w:hAnsi="Times New Roman"/>
          <w:color w:val="000000"/>
        </w:rPr>
        <w:t xml:space="preserve">Pacientams, jau vartojantiems palaikomąsias lamotrigino dozes ir nevartojantiems lamotrigino gliukuronizaciją sužadinančių vaistinių preparatų, lamotrigino dozę gali tekti padidinti, jeigu kartu pradedama papildomai vartoti lopinaviro/ritonaviro, arba sumažinti, jeigu lopinaviro/ritonaviro vartojamas nutraukiamas. Reikia stebėti lamotrigino koncentraciją </w:t>
      </w:r>
      <w:r>
        <w:rPr>
          <w:rFonts w:ascii="Times New Roman" w:hAnsi="Times New Roman"/>
          <w:color w:val="000000"/>
        </w:rPr>
        <w:t xml:space="preserve">kraujo </w:t>
      </w:r>
      <w:r w:rsidRPr="00353EE7">
        <w:rPr>
          <w:rFonts w:ascii="Times New Roman" w:hAnsi="Times New Roman"/>
          <w:color w:val="000000"/>
        </w:rPr>
        <w:t>plazmoje prieš pradedant arba nutraukiant lopinaviro/ritonaviro vartojimą bei 2 savaites pradėjus arba nutraukus lopinaviro/ritonaviro vartojimą, kad būtų galima pastebėti, jeigu reikėtų keisti lamotrigino dozę (žr. 4.5 skyrių).</w:t>
      </w:r>
    </w:p>
    <w:p w:rsidR="00385AEF" w:rsidRPr="00353EE7" w:rsidRDefault="00385AEF" w:rsidP="00385AEF">
      <w:pPr>
        <w:spacing w:after="0" w:line="240" w:lineRule="auto"/>
        <w:rPr>
          <w:rFonts w:ascii="Times New Roman" w:hAnsi="Times New Roman"/>
          <w:color w:val="000000"/>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Senyviems pacientams(vyresni</w:t>
      </w:r>
      <w:r>
        <w:rPr>
          <w:rFonts w:ascii="Times New Roman" w:hAnsi="Times New Roman"/>
          <w:i/>
          <w:u w:val="single"/>
        </w:rPr>
        <w:t>ems</w:t>
      </w:r>
      <w:r w:rsidRPr="00353EE7">
        <w:rPr>
          <w:rFonts w:ascii="Times New Roman" w:hAnsi="Times New Roman"/>
          <w:i/>
          <w:u w:val="single"/>
        </w:rPr>
        <w:t xml:space="preserve"> kaip 65 metų)</w:t>
      </w:r>
    </w:p>
    <w:p w:rsidR="00385AEF" w:rsidRPr="00353EE7" w:rsidRDefault="00385AEF" w:rsidP="00385AEF">
      <w:pPr>
        <w:spacing w:after="0" w:line="240" w:lineRule="auto"/>
        <w:rPr>
          <w:rFonts w:ascii="Times New Roman" w:hAnsi="Times New Roman"/>
        </w:rPr>
      </w:pPr>
      <w:r w:rsidRPr="00353EE7">
        <w:rPr>
          <w:rFonts w:ascii="Times New Roman" w:hAnsi="Times New Roman"/>
        </w:rPr>
        <w:t>Rekomenduojamos dozavimo schemos keisti nereikia. Lamotrigino farmakokinetika šios amžiaus grupės pacientų organizme reikšmingai nesiskyrė nuo jaunesnių suaugusiųjų (žr. 5.2 skyrių).</w:t>
      </w:r>
    </w:p>
    <w:p w:rsidR="00385AEF" w:rsidRPr="00353EE7" w:rsidRDefault="00385AEF" w:rsidP="00385AEF">
      <w:pPr>
        <w:spacing w:after="0" w:line="240" w:lineRule="auto"/>
        <w:rPr>
          <w:rFonts w:ascii="Times New Roman" w:hAnsi="Times New Roman"/>
        </w:rPr>
      </w:pPr>
    </w:p>
    <w:p w:rsidR="00385AEF" w:rsidRDefault="00385AEF" w:rsidP="00385AEF">
      <w:pPr>
        <w:spacing w:after="0" w:line="240" w:lineRule="auto"/>
        <w:rPr>
          <w:rFonts w:ascii="Times New Roman" w:hAnsi="Times New Roman"/>
          <w:i/>
          <w:u w:val="single"/>
        </w:rPr>
      </w:pPr>
      <w:r w:rsidRPr="00353EE7">
        <w:rPr>
          <w:rFonts w:ascii="Times New Roman" w:hAnsi="Times New Roman"/>
          <w:i/>
          <w:u w:val="single"/>
        </w:rPr>
        <w:t xml:space="preserve">Pacientams, kurių inkstų funkcija sutrikusi </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Lamictal </w:t>
      </w:r>
      <w:r>
        <w:rPr>
          <w:rFonts w:ascii="Times New Roman" w:hAnsi="Times New Roman"/>
        </w:rPr>
        <w:t>skirti</w:t>
      </w:r>
      <w:r w:rsidRPr="00353EE7">
        <w:rPr>
          <w:rFonts w:ascii="Times New Roman" w:hAnsi="Times New Roman"/>
        </w:rPr>
        <w:t xml:space="preserve"> pacientams, kurie serga inkstų funkcijos nepakankamumu, reikia atsargiai. Pacientams, kuriems yra galutinė</w:t>
      </w:r>
      <w:r>
        <w:rPr>
          <w:rFonts w:ascii="Times New Roman" w:hAnsi="Times New Roman"/>
        </w:rPr>
        <w:t xml:space="preserve">s stadijos </w:t>
      </w:r>
      <w:r w:rsidRPr="00353EE7">
        <w:rPr>
          <w:rFonts w:ascii="Times New Roman" w:hAnsi="Times New Roman"/>
        </w:rPr>
        <w:t xml:space="preserve"> inkstų </w:t>
      </w:r>
      <w:r>
        <w:rPr>
          <w:rFonts w:ascii="Times New Roman" w:hAnsi="Times New Roman"/>
        </w:rPr>
        <w:t>liga</w:t>
      </w:r>
      <w:r w:rsidRPr="00353EE7">
        <w:rPr>
          <w:rFonts w:ascii="Times New Roman" w:hAnsi="Times New Roman"/>
        </w:rPr>
        <w:t xml:space="preserve">, pradinę lamotrigino dozę reikia skirti, atsižvelgiant į kitus kartu vartojamus vaistinius preparatus. </w:t>
      </w:r>
      <w:r>
        <w:rPr>
          <w:rFonts w:ascii="Times New Roman" w:hAnsi="Times New Roman"/>
        </w:rPr>
        <w:t>P</w:t>
      </w:r>
      <w:r w:rsidRPr="00353EE7">
        <w:rPr>
          <w:rFonts w:ascii="Times New Roman" w:hAnsi="Times New Roman"/>
        </w:rPr>
        <w:t>acienta</w:t>
      </w:r>
      <w:r>
        <w:rPr>
          <w:rFonts w:ascii="Times New Roman" w:hAnsi="Times New Roman"/>
        </w:rPr>
        <w:t>m</w:t>
      </w:r>
      <w:r w:rsidRPr="00353EE7">
        <w:rPr>
          <w:rFonts w:ascii="Times New Roman" w:hAnsi="Times New Roman"/>
        </w:rPr>
        <w:t>s</w:t>
      </w:r>
      <w:r>
        <w:rPr>
          <w:rFonts w:ascii="Times New Roman" w:hAnsi="Times New Roman"/>
        </w:rPr>
        <w:t>, kurių</w:t>
      </w:r>
      <w:r w:rsidRPr="00353EE7">
        <w:rPr>
          <w:rFonts w:ascii="Times New Roman" w:hAnsi="Times New Roman"/>
        </w:rPr>
        <w:t xml:space="preserve"> inkstų funkcij</w:t>
      </w:r>
      <w:r>
        <w:rPr>
          <w:rFonts w:ascii="Times New Roman" w:hAnsi="Times New Roman"/>
        </w:rPr>
        <w:t>a</w:t>
      </w:r>
      <w:r w:rsidRPr="00353EE7">
        <w:rPr>
          <w:rFonts w:ascii="Times New Roman" w:hAnsi="Times New Roman"/>
        </w:rPr>
        <w:t xml:space="preserve"> </w:t>
      </w:r>
      <w:r>
        <w:rPr>
          <w:rFonts w:ascii="Times New Roman" w:hAnsi="Times New Roman"/>
        </w:rPr>
        <w:t xml:space="preserve">reikšmingai </w:t>
      </w:r>
      <w:r w:rsidRPr="00353EE7">
        <w:rPr>
          <w:rFonts w:ascii="Times New Roman" w:hAnsi="Times New Roman"/>
        </w:rPr>
        <w:t>sutrik</w:t>
      </w:r>
      <w:r>
        <w:rPr>
          <w:rFonts w:ascii="Times New Roman" w:hAnsi="Times New Roman"/>
        </w:rPr>
        <w:t>usi</w:t>
      </w:r>
      <w:r w:rsidRPr="00353EE7">
        <w:rPr>
          <w:rFonts w:ascii="Times New Roman" w:hAnsi="Times New Roman"/>
        </w:rPr>
        <w:t>, gali būti veiksminga sumažinti palaikomąją vaistinio preparato dozę (žr. 4.4 ir 5.2 skyrius).</w:t>
      </w:r>
    </w:p>
    <w:p w:rsidR="00385AEF" w:rsidRPr="00353EE7" w:rsidRDefault="00385AEF" w:rsidP="00385AEF">
      <w:pPr>
        <w:spacing w:after="0" w:line="240" w:lineRule="auto"/>
        <w:rPr>
          <w:rFonts w:ascii="Times New Roman" w:hAnsi="Times New Roman"/>
        </w:rPr>
      </w:pPr>
    </w:p>
    <w:p w:rsidR="00385AEF" w:rsidRDefault="00385AEF" w:rsidP="00385AEF">
      <w:pPr>
        <w:spacing w:after="0" w:line="240" w:lineRule="auto"/>
        <w:rPr>
          <w:rFonts w:ascii="Times New Roman" w:hAnsi="Times New Roman"/>
          <w:i/>
          <w:u w:val="single"/>
        </w:rPr>
      </w:pPr>
      <w:r w:rsidRPr="00353EE7">
        <w:rPr>
          <w:rFonts w:ascii="Times New Roman" w:hAnsi="Times New Roman"/>
          <w:i/>
          <w:u w:val="single"/>
        </w:rPr>
        <w:t xml:space="preserve">Pacientams, kurių kepenų funkcija sutrikusi </w:t>
      </w:r>
    </w:p>
    <w:p w:rsidR="00385AEF" w:rsidRPr="00353EE7" w:rsidRDefault="00385AEF" w:rsidP="00385AEF">
      <w:pPr>
        <w:spacing w:after="0" w:line="240" w:lineRule="auto"/>
        <w:rPr>
          <w:rFonts w:ascii="Times New Roman" w:hAnsi="Times New Roman"/>
        </w:rPr>
      </w:pPr>
      <w:r w:rsidRPr="00353EE7">
        <w:rPr>
          <w:rFonts w:ascii="Times New Roman" w:hAnsi="Times New Roman"/>
        </w:rPr>
        <w:t>Pacientams, kurie serga vidutinio sunkumo kepenų funkcijos sutrikimu (B klasės pagal</w:t>
      </w:r>
      <w:r w:rsidRPr="00353EE7">
        <w:rPr>
          <w:rFonts w:ascii="Times New Roman" w:hAnsi="Times New Roman"/>
          <w:i/>
        </w:rPr>
        <w:t xml:space="preserve"> Child-Pugh</w:t>
      </w:r>
      <w:r w:rsidRPr="00353EE7">
        <w:rPr>
          <w:rFonts w:ascii="Times New Roman" w:hAnsi="Times New Roman"/>
        </w:rPr>
        <w:t>), pradinę, didinimo ir palaikomąsias dozes paprastai reikia sumažinti maždaug 50 %, o pacientams, kurie serga sunkiu kepenų funkcijos sutrikimu (C klasės pagal</w:t>
      </w:r>
      <w:r w:rsidRPr="00353EE7">
        <w:rPr>
          <w:rFonts w:ascii="Times New Roman" w:hAnsi="Times New Roman"/>
          <w:i/>
        </w:rPr>
        <w:t xml:space="preserve"> Child-Pugh</w:t>
      </w:r>
      <w:r w:rsidRPr="00353EE7">
        <w:rPr>
          <w:rFonts w:ascii="Times New Roman" w:hAnsi="Times New Roman"/>
        </w:rPr>
        <w:t>) – 75 %. Didinimo ir palaikomąją dozes reikia koreguoti, atsižvelgiant į klinikinį atsaką (žr. 5.2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4.3</w:t>
      </w:r>
      <w:r w:rsidRPr="00353EE7">
        <w:rPr>
          <w:rFonts w:ascii="Times New Roman" w:hAnsi="Times New Roman"/>
          <w:b/>
        </w:rPr>
        <w:tab/>
        <w:t>Kontraindikacijos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Padidėjęs jautrumas veikliajai arba bet kuriai 6.1 skyriuje nurodytai pagalbinei medžiagai.</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4.4</w:t>
      </w:r>
      <w:r w:rsidRPr="00353EE7">
        <w:rPr>
          <w:rFonts w:ascii="Times New Roman" w:hAnsi="Times New Roman"/>
          <w:b/>
        </w:rPr>
        <w:tab/>
        <w:t>Specialūs įspėjimai ir atsargumo priemonės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Odos išbėrimas</w:t>
      </w:r>
    </w:p>
    <w:p w:rsidR="00385AEF" w:rsidRPr="00353EE7" w:rsidRDefault="00385AEF" w:rsidP="00385AEF">
      <w:pPr>
        <w:spacing w:after="0" w:line="240" w:lineRule="auto"/>
        <w:rPr>
          <w:rFonts w:ascii="Times New Roman" w:hAnsi="Times New Roman"/>
        </w:rPr>
      </w:pPr>
      <w:bookmarkStart w:id="8" w:name="_DV_M108"/>
      <w:bookmarkEnd w:id="8"/>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Pranešama apie nepageidaujamas odos reakcijas, kurių dažniausiai atsiranda per pirmąsias 8 savaites, pradėjus gydyti lamotriginu. Išbėrimas dažniausiai būna lengvas ir išnyksta savaime, bet gauta pranešimų ir apie sunkų išbėrimą, dėl kurio pacientus teko gydyti ligoninėje ir nutraukti lamotrigino vartojimą. Tarp jų buvo gyvybei pavojingo išbėrimo atvejų, pavyzdžiui, Stivenso – Džonsono </w:t>
      </w:r>
      <w:r w:rsidRPr="00353EE7">
        <w:rPr>
          <w:rFonts w:ascii="Times New Roman" w:hAnsi="Times New Roman"/>
          <w:i/>
        </w:rPr>
        <w:t>(Stevens-Johnson)</w:t>
      </w:r>
      <w:r w:rsidRPr="00353EE7">
        <w:rPr>
          <w:rFonts w:ascii="Times New Roman" w:hAnsi="Times New Roman"/>
        </w:rPr>
        <w:t xml:space="preserve"> sindromas (SJS), toksinė epidermio nekrolizė (TEN) ir reakcija į vaistinį preparatą, pasireiškianti kartu su eozinofilija ir sisteminiais simptomais (RVESS), dar vadinama padidėjusio jautrumo sindromu (PJS) (žr. 4.8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bookmarkStart w:id="9" w:name="_DV_M109"/>
      <w:bookmarkEnd w:id="9"/>
      <w:r w:rsidRPr="00353EE7">
        <w:rPr>
          <w:rFonts w:ascii="Times New Roman" w:hAnsi="Times New Roman"/>
        </w:rPr>
        <w:t xml:space="preserve">Tyrimuose dalyvavusiems suaugusiesiems, kurie vartojo lamotriginą pagal dabartines dozavimo rekomendacijas, sunkus odos išbėrimas pasireiškė maždaug 1 iš 500 epilepsija sergančių ligonių. Maždaug pusė šių atvejų buvo </w:t>
      </w:r>
      <w:r>
        <w:rPr>
          <w:rFonts w:ascii="Times New Roman" w:hAnsi="Times New Roman"/>
        </w:rPr>
        <w:t>Stivenso-Džonsono (</w:t>
      </w:r>
      <w:r w:rsidRPr="00353EE7">
        <w:rPr>
          <w:rFonts w:ascii="Times New Roman" w:hAnsi="Times New Roman"/>
          <w:i/>
        </w:rPr>
        <w:t>Stevens-Johnson</w:t>
      </w:r>
      <w:r>
        <w:rPr>
          <w:rFonts w:ascii="Times New Roman" w:hAnsi="Times New Roman"/>
        </w:rPr>
        <w:t>)</w:t>
      </w:r>
      <w:r w:rsidRPr="00353EE7">
        <w:rPr>
          <w:rFonts w:ascii="Times New Roman" w:hAnsi="Times New Roman"/>
        </w:rPr>
        <w:t xml:space="preserve"> sindromas (1 iš 1000).</w:t>
      </w:r>
      <w:bookmarkStart w:id="10" w:name="_DV_M110"/>
      <w:bookmarkEnd w:id="10"/>
      <w:r w:rsidRPr="00353EE7">
        <w:rPr>
          <w:rFonts w:ascii="Times New Roman" w:hAnsi="Times New Roman"/>
        </w:rPr>
        <w:t xml:space="preserve"> </w:t>
      </w:r>
      <w:r w:rsidRPr="00353EE7">
        <w:rPr>
          <w:rFonts w:ascii="Times New Roman" w:hAnsi="Times New Roman"/>
        </w:rPr>
        <w:lastRenderedPageBreak/>
        <w:t>Klinikinių tyrimų su bipoliniu sutrikimu sergančiais pacientais duomenimis, sunkaus odos išbėrimo dažnis yra maždaug 1 iš 1000.</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bookmarkStart w:id="11" w:name="_DV_M111"/>
      <w:bookmarkEnd w:id="11"/>
      <w:r w:rsidRPr="00353EE7">
        <w:rPr>
          <w:rFonts w:ascii="Times New Roman" w:hAnsi="Times New Roman"/>
        </w:rPr>
        <w:t>Vaikams sunkaus odos išbėrimo rizika yra didesnė nei suaugusiesiems. Turimi tyrimų duomenys rodo, kad vaikų gydymo ligoninėje dėl išbėrimų dažnis yra nuo 1 iš 300 iki 1 iš 100.</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bookmarkStart w:id="12" w:name="_DV_M112"/>
      <w:bookmarkStart w:id="13" w:name="_DV_M113"/>
      <w:bookmarkEnd w:id="12"/>
      <w:bookmarkEnd w:id="13"/>
      <w:r w:rsidRPr="00353EE7">
        <w:rPr>
          <w:rFonts w:ascii="Times New Roman" w:hAnsi="Times New Roman"/>
        </w:rPr>
        <w:t>Vaikams išbėrimas iš pradžių gali būti klaidingai palaikytas infekcija, dėl to, jeigu per pirmas aštuonias gydymo lamotriginu savaites atsiranda išbėrimo ir karščiavimo simptomų, gydytojai turi pagalvoti, kad tai gali būti reakcija į gydymą lamotriginu.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Pr>
          <w:rFonts w:ascii="Times New Roman" w:hAnsi="Times New Roman"/>
        </w:rPr>
        <w:t>Taip pat a</w:t>
      </w:r>
      <w:r w:rsidRPr="00353EE7">
        <w:rPr>
          <w:rFonts w:ascii="Times New Roman" w:hAnsi="Times New Roman"/>
        </w:rPr>
        <w:t xml:space="preserve">trodo, kad bendrosios išbėrimo rizikos padidėjimas labai </w:t>
      </w:r>
      <w:r>
        <w:rPr>
          <w:rFonts w:ascii="Times New Roman" w:hAnsi="Times New Roman"/>
        </w:rPr>
        <w:t>susijęs su</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bookmarkStart w:id="14" w:name="_DV_M115"/>
      <w:bookmarkEnd w:id="14"/>
    </w:p>
    <w:p w:rsidR="00385AEF" w:rsidRPr="00353EE7" w:rsidRDefault="00385AEF" w:rsidP="00385AEF">
      <w:pPr>
        <w:numPr>
          <w:ilvl w:val="0"/>
          <w:numId w:val="1"/>
        </w:numPr>
        <w:tabs>
          <w:tab w:val="num" w:pos="540"/>
        </w:tabs>
        <w:spacing w:after="0" w:line="260" w:lineRule="exact"/>
        <w:ind w:left="540" w:hanging="540"/>
        <w:rPr>
          <w:rFonts w:ascii="Times New Roman" w:hAnsi="Times New Roman"/>
        </w:rPr>
      </w:pPr>
      <w:r w:rsidRPr="00353EE7">
        <w:rPr>
          <w:rFonts w:ascii="Times New Roman" w:hAnsi="Times New Roman"/>
        </w:rPr>
        <w:t>didel</w:t>
      </w:r>
      <w:r>
        <w:rPr>
          <w:rFonts w:ascii="Times New Roman" w:hAnsi="Times New Roman"/>
        </w:rPr>
        <w:t>e</w:t>
      </w:r>
      <w:r w:rsidRPr="00353EE7">
        <w:rPr>
          <w:rFonts w:ascii="Times New Roman" w:hAnsi="Times New Roman"/>
        </w:rPr>
        <w:t xml:space="preserve"> pradin</w:t>
      </w:r>
      <w:r>
        <w:rPr>
          <w:rFonts w:ascii="Times New Roman" w:hAnsi="Times New Roman"/>
        </w:rPr>
        <w:t>e</w:t>
      </w:r>
      <w:r w:rsidRPr="00353EE7">
        <w:rPr>
          <w:rFonts w:ascii="Times New Roman" w:hAnsi="Times New Roman"/>
        </w:rPr>
        <w:t xml:space="preserve"> lamotrigino doz</w:t>
      </w:r>
      <w:r>
        <w:rPr>
          <w:rFonts w:ascii="Times New Roman" w:hAnsi="Times New Roman"/>
        </w:rPr>
        <w:t>e</w:t>
      </w:r>
      <w:r w:rsidRPr="00353EE7">
        <w:rPr>
          <w:rFonts w:ascii="Times New Roman" w:hAnsi="Times New Roman"/>
        </w:rPr>
        <w:t xml:space="preserve"> ir greitesni</w:t>
      </w:r>
      <w:r>
        <w:rPr>
          <w:rFonts w:ascii="Times New Roman" w:hAnsi="Times New Roman"/>
        </w:rPr>
        <w:t>u</w:t>
      </w:r>
      <w:r w:rsidRPr="00353EE7">
        <w:rPr>
          <w:rFonts w:ascii="Times New Roman" w:hAnsi="Times New Roman"/>
        </w:rPr>
        <w:t xml:space="preserve"> nei rekomenduojamas lamotrigino dozės didinim</w:t>
      </w:r>
      <w:r>
        <w:rPr>
          <w:rFonts w:ascii="Times New Roman" w:hAnsi="Times New Roman"/>
        </w:rPr>
        <w:t>u</w:t>
      </w:r>
      <w:r w:rsidRPr="00353EE7">
        <w:rPr>
          <w:rFonts w:ascii="Times New Roman" w:hAnsi="Times New Roman"/>
        </w:rPr>
        <w:t xml:space="preserve"> (žr. 4.2 skyrių);</w:t>
      </w:r>
    </w:p>
    <w:p w:rsidR="00385AEF" w:rsidRPr="00353EE7" w:rsidRDefault="00385AEF" w:rsidP="00385AEF">
      <w:pPr>
        <w:numPr>
          <w:ilvl w:val="0"/>
          <w:numId w:val="1"/>
        </w:numPr>
        <w:tabs>
          <w:tab w:val="num" w:pos="540"/>
        </w:tabs>
        <w:spacing w:after="0" w:line="260" w:lineRule="exact"/>
        <w:ind w:left="540" w:hanging="540"/>
        <w:rPr>
          <w:rFonts w:ascii="Times New Roman" w:hAnsi="Times New Roman"/>
        </w:rPr>
      </w:pPr>
      <w:bookmarkStart w:id="15" w:name="_DV_M116"/>
      <w:bookmarkEnd w:id="15"/>
      <w:r>
        <w:rPr>
          <w:rFonts w:ascii="Times New Roman" w:hAnsi="Times New Roman"/>
        </w:rPr>
        <w:t xml:space="preserve">kartu vartojamu </w:t>
      </w:r>
      <w:r w:rsidRPr="00353EE7">
        <w:rPr>
          <w:rFonts w:ascii="Times New Roman" w:hAnsi="Times New Roman"/>
        </w:rPr>
        <w:t>valproat</w:t>
      </w:r>
      <w:r>
        <w:rPr>
          <w:rFonts w:ascii="Times New Roman" w:hAnsi="Times New Roman"/>
        </w:rPr>
        <w:t>u</w:t>
      </w:r>
      <w:r w:rsidRPr="00353EE7">
        <w:rPr>
          <w:rFonts w:ascii="Times New Roman" w:hAnsi="Times New Roman"/>
        </w:rPr>
        <w:t xml:space="preserve">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bookmarkStart w:id="16" w:name="_DV_C7"/>
      <w:r w:rsidRPr="00353EE7">
        <w:rPr>
          <w:rFonts w:ascii="Times New Roman" w:hAnsi="Times New Roman"/>
        </w:rPr>
        <w:t>Pacientus, kuriems anksčiau vartojant kitų AEVP pasireiškė alergija ar išbėrimas, reikia gydyti atsargiai, nes tokiems pacientams vartojant lamotriginą maždaug tris kartus dažniau atsiranda nesunkus išbėrimas nei pacientams, kuriems anksčiau tokių reiškinių nebuvo.</w:t>
      </w:r>
    </w:p>
    <w:bookmarkEnd w:id="16"/>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bookmarkStart w:id="17" w:name="_DV_M117"/>
      <w:bookmarkEnd w:id="17"/>
      <w:r w:rsidRPr="00353EE7">
        <w:rPr>
          <w:rFonts w:ascii="Times New Roman" w:hAnsi="Times New Roman"/>
        </w:rPr>
        <w:t>Visus išbertus pacientus (suaugusiuosius ir vaikus) reikia tuojau pat ištirti ir nedelsiant nutraukti Lamictal vartojimą, išskyrus atvejus, kai neabejojama, kad išbėrimas nesusijęs su gydymu lamotriginu. Pacientams, kuriems gydymas buvo nutrauktas dėl išbėrimo, susijusio su ankstesniu lamotrigino vartojimu, Lamictal vartojimo atnaujinti nerekomenduojama, išskyrus atvejus, kai laukiama nauda neabejotinai persveria riziką. Jeigu vartojant lamotriginą pacientams pasireiškia SJS, TEN arba RVESS, gydymo lamotriginu atnaujinti šiam pacientui negalima jokiomis aplinkybėmis.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bookmarkStart w:id="18" w:name="_DV_M118"/>
      <w:bookmarkEnd w:id="18"/>
      <w:r w:rsidRPr="00353EE7">
        <w:rPr>
          <w:rFonts w:ascii="Times New Roman" w:hAnsi="Times New Roman"/>
        </w:rPr>
        <w:t xml:space="preserve">Be to, nustatyta, kad išbėrimu pasireiškė </w:t>
      </w:r>
      <w:r w:rsidR="0025273C">
        <w:rPr>
          <w:rFonts w:ascii="Times New Roman" w:hAnsi="Times New Roman"/>
        </w:rPr>
        <w:t>RV</w:t>
      </w:r>
      <w:r w:rsidR="00F349B3" w:rsidRPr="00F349B3">
        <w:rPr>
          <w:rFonts w:ascii="Times New Roman" w:hAnsi="Times New Roman"/>
        </w:rPr>
        <w:t xml:space="preserve">ESS, taip pat vadinama </w:t>
      </w:r>
      <w:r w:rsidRPr="00353EE7">
        <w:rPr>
          <w:rFonts w:ascii="Times New Roman" w:hAnsi="Times New Roman"/>
        </w:rPr>
        <w:t>padidėjusio jautrumo sindrom</w:t>
      </w:r>
      <w:r w:rsidR="000818F9">
        <w:rPr>
          <w:rFonts w:ascii="Times New Roman" w:hAnsi="Times New Roman"/>
        </w:rPr>
        <w:t>u</w:t>
      </w:r>
      <w:r w:rsidRPr="00353EE7">
        <w:rPr>
          <w:rFonts w:ascii="Times New Roman" w:hAnsi="Times New Roman"/>
        </w:rPr>
        <w:t>, kuriam būdingi įvairūs sisteminiai simptomai, įskaitant karščiavimą, limfmazgių padidėjimą, veido edemą, pakitimus kraujyje, kepenų</w:t>
      </w:r>
      <w:r w:rsidR="00F349B3">
        <w:rPr>
          <w:rFonts w:ascii="Times New Roman" w:hAnsi="Times New Roman"/>
        </w:rPr>
        <w:t>,</w:t>
      </w:r>
      <w:r w:rsidR="001624A3">
        <w:rPr>
          <w:rFonts w:ascii="Times New Roman" w:hAnsi="Times New Roman"/>
        </w:rPr>
        <w:t xml:space="preserve"> inkst</w:t>
      </w:r>
      <w:r w:rsidR="00D663CB">
        <w:rPr>
          <w:rFonts w:ascii="Times New Roman" w:hAnsi="Times New Roman"/>
        </w:rPr>
        <w:t>ų</w:t>
      </w:r>
      <w:r w:rsidRPr="00353EE7">
        <w:rPr>
          <w:rFonts w:ascii="Times New Roman" w:hAnsi="Times New Roman"/>
        </w:rPr>
        <w:t xml:space="preserve"> sutrikimus ir aseptinį meningitą (žr. 4.8</w:t>
      </w:r>
      <w:r w:rsidR="001624A3">
        <w:rPr>
          <w:rFonts w:ascii="Times New Roman" w:hAnsi="Times New Roman"/>
        </w:rPr>
        <w:t> </w:t>
      </w:r>
      <w:r w:rsidRPr="00353EE7">
        <w:rPr>
          <w:rFonts w:ascii="Times New Roman" w:hAnsi="Times New Roman"/>
        </w:rPr>
        <w:t>skyrių). Šis sindromas būna įvairaus sunkumo ir retais atvejais gali sukelti diseminuotąją intravaskulinę koaguliaciją (DIK) bei daugelio organų nepakankamumą. Svarbu, kad ankstyvieji jautrumo padidėjimo simptomai (pvz.: karščiavimas, limfmazgių padidėjimas) gali pasireikšti net be išbėrimo. Jeigu atsiranda tokių požymių ar simptomų, pacientą reikia nedelsiant ištirti ir, jeigu nenustatoma kitokios jų atsiradimo priežasties, Lamictal vartojimą nutraukti.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Aseptinis meningitas dauguma atvejų buvo grįžtamas nutraukus vaistinio preparato vartojimą, bet daugeliu atvejų pasikartojo vėl pavartojus lamotrigino. Vėl pavartojus vaistinio preparato, simptomai greitai atsinaujindavo ir dažnai būdavo sunkesni. Pacientams, kuriems gydymas buvo nutrauktas dėl aseptinio meningito, susijusio su gydymu lamotriginu, lamotrigino vartojimo atnaujinti negalima.</w:t>
      </w:r>
    </w:p>
    <w:p w:rsidR="00385AEF" w:rsidRPr="00C22934" w:rsidRDefault="00385AEF" w:rsidP="00385AEF">
      <w:pPr>
        <w:spacing w:after="0" w:line="240" w:lineRule="auto"/>
        <w:rPr>
          <w:rFonts w:ascii="Times New Roman" w:hAnsi="Times New Roman"/>
          <w:u w:val="single"/>
        </w:rPr>
      </w:pPr>
    </w:p>
    <w:p w:rsidR="00385AEF" w:rsidRPr="00EA7523" w:rsidRDefault="00385AEF" w:rsidP="00385AEF">
      <w:pPr>
        <w:spacing w:after="0" w:line="240" w:lineRule="auto"/>
        <w:rPr>
          <w:rFonts w:ascii="Times New Roman" w:hAnsi="Times New Roman"/>
          <w:u w:val="single"/>
        </w:rPr>
      </w:pPr>
      <w:r w:rsidRPr="00EA7523">
        <w:rPr>
          <w:rFonts w:ascii="Times New Roman" w:hAnsi="Times New Roman"/>
          <w:u w:val="single"/>
        </w:rPr>
        <w:t>Hemofagocitinė limfohistiocitozė (HLH)</w:t>
      </w:r>
    </w:p>
    <w:p w:rsidR="00385AEF" w:rsidRPr="002012FE" w:rsidRDefault="00385AEF" w:rsidP="00385AEF">
      <w:pPr>
        <w:spacing w:after="0" w:line="240" w:lineRule="auto"/>
        <w:rPr>
          <w:rFonts w:ascii="Times New Roman" w:hAnsi="Times New Roman"/>
        </w:rPr>
      </w:pPr>
      <w:r w:rsidRPr="002012FE">
        <w:rPr>
          <w:rFonts w:ascii="Times New Roman" w:hAnsi="Times New Roman"/>
        </w:rPr>
        <w:t>Gauta pranešimų, kad lamotriginą vartojantiems pacientams pasireiškė HLH (žr. 4.8 skyrių). HLH yra būdingi tokie požymiai ir simptomai, kaip pavyzdžiui: karščiavimas, bėrimas, neurologiniai simptomai, hepatosplenomegalija, limfadenopatija, citopenijos, didelė feritino koncentracija serume, hipertrigliceridemija bei kepenų funkcijos ir krešėjimo sutrikimai. Simptomų paprastai atsiranda per 4 savaites nuo gydymo pradžios. HLH gali kelti pavojų gyvybei.</w:t>
      </w:r>
    </w:p>
    <w:p w:rsidR="00385AEF" w:rsidRPr="002012FE" w:rsidRDefault="00385AEF" w:rsidP="00385AEF">
      <w:pPr>
        <w:spacing w:after="0" w:line="240" w:lineRule="auto"/>
        <w:rPr>
          <w:rFonts w:ascii="Times New Roman" w:hAnsi="Times New Roman"/>
        </w:rPr>
      </w:pPr>
    </w:p>
    <w:p w:rsidR="00385AEF" w:rsidRPr="002012FE" w:rsidRDefault="00385AEF" w:rsidP="00385AEF">
      <w:pPr>
        <w:spacing w:after="0" w:line="240" w:lineRule="auto"/>
        <w:rPr>
          <w:rFonts w:ascii="Times New Roman" w:hAnsi="Times New Roman"/>
        </w:rPr>
      </w:pPr>
      <w:r w:rsidRPr="002012FE">
        <w:rPr>
          <w:rFonts w:ascii="Times New Roman" w:hAnsi="Times New Roman"/>
        </w:rPr>
        <w:t>Pacientams reikia pasakyti apie su HLH susijusius simptomus ir patarti, kad tokiems simptomams pasireiškus gydymo lamotriginu metu, nedelsdami kreiptųsi medicininės pagalbos.</w:t>
      </w:r>
    </w:p>
    <w:p w:rsidR="00385AEF" w:rsidRPr="002012FE"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2012FE">
        <w:rPr>
          <w:rFonts w:ascii="Times New Roman" w:hAnsi="Times New Roman"/>
        </w:rPr>
        <w:t>Pacientus, kuriems pasireiškia tokie požymiai ir simptomai, reikia nedelsiant ištirti ir apsvarstyti HLH diagnozę. Reikia iš karto nutraukti lamotrigino vartojimą, išskyrus atvejus, kai galima nustatyti kitokią sutrikimo etiologiją.</w:t>
      </w:r>
    </w:p>
    <w:p w:rsidR="00385AEF" w:rsidRPr="00353EE7" w:rsidRDefault="00385AEF" w:rsidP="00385AEF">
      <w:pPr>
        <w:spacing w:after="0" w:line="240" w:lineRule="auto"/>
        <w:rPr>
          <w:rFonts w:ascii="Times New Roman" w:hAnsi="Times New Roman"/>
        </w:rPr>
      </w:pPr>
    </w:p>
    <w:p w:rsidR="00385AEF" w:rsidRPr="00353EE7" w:rsidRDefault="00385AEF" w:rsidP="00E767B2">
      <w:pPr>
        <w:keepNext/>
        <w:spacing w:after="0" w:line="240" w:lineRule="auto"/>
        <w:rPr>
          <w:rFonts w:ascii="Times New Roman" w:hAnsi="Times New Roman"/>
          <w:u w:val="single"/>
        </w:rPr>
      </w:pPr>
      <w:r w:rsidRPr="00353EE7">
        <w:rPr>
          <w:rFonts w:ascii="Times New Roman" w:hAnsi="Times New Roman"/>
          <w:u w:val="single"/>
        </w:rPr>
        <w:lastRenderedPageBreak/>
        <w:t>Būklės pasunkėjimas ir savižudybės rizika</w:t>
      </w:r>
    </w:p>
    <w:p w:rsidR="00385AEF" w:rsidRPr="00353EE7" w:rsidRDefault="00385AEF" w:rsidP="00E767B2">
      <w:pPr>
        <w:keepNext/>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Pagal įvairias indikacijas AEVP gydytiems pacientams pasireiškė mintys apie savižudybę ir savižudiškas elgesys. Placebu kontroliuojamųjų AEVP atsitiktinių imčių tyrimų duomenų metaanalizė taip pat parodė minčių apie savižudybę ir savižudiško elgesio rizikos nežymų padidėjimą. Šios rizikos mechanizmas nežinomas, ir turimi duomenys nepaneigia su lamotrigino vartojimu susijusio rizikos padidėjimo.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Taigi reikia stebėti, ar pacientams neatsiranda minčių apie savižudybę ir su savižudybe siejamo elgesio apraiškų, ir apsvarstyti tinkamą gydymą. Pacientams (ir jų globėjams) reikia patarti, kad kreiptųsi medicininės pagalbos, jeigu atsiranda minčių apie savižudybę ir savižudiško elgesio apraiškų.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Bipoliniu sutrikimu sergančių pacientų depresijos simptomai gali pasunkėti ir (arba) tokiems pacientams </w:t>
      </w:r>
      <w:r>
        <w:rPr>
          <w:rFonts w:ascii="Times New Roman" w:hAnsi="Times New Roman"/>
        </w:rPr>
        <w:t xml:space="preserve">gali </w:t>
      </w:r>
      <w:r w:rsidRPr="00353EE7">
        <w:rPr>
          <w:rFonts w:ascii="Times New Roman" w:hAnsi="Times New Roman"/>
        </w:rPr>
        <w:t>atsirasti savižudiško elgesio apraiškų, ne</w:t>
      </w:r>
      <w:r>
        <w:rPr>
          <w:rFonts w:ascii="Times New Roman" w:hAnsi="Times New Roman"/>
        </w:rPr>
        <w:t>priklausomai nuo to</w:t>
      </w:r>
      <w:r w:rsidRPr="00353EE7">
        <w:rPr>
          <w:rFonts w:ascii="Times New Roman" w:hAnsi="Times New Roman"/>
        </w:rPr>
        <w:t xml:space="preserve">, </w:t>
      </w:r>
      <w:r>
        <w:rPr>
          <w:rFonts w:ascii="Times New Roman" w:hAnsi="Times New Roman"/>
        </w:rPr>
        <w:t xml:space="preserve">ar jie </w:t>
      </w:r>
      <w:r w:rsidRPr="00353EE7">
        <w:rPr>
          <w:rFonts w:ascii="Times New Roman" w:hAnsi="Times New Roman"/>
        </w:rPr>
        <w:t xml:space="preserve">vartoja vaistinių preparatų nuo bipolinio sutrikimo, įskaitant Lamictal. Taigi reikia atidžiai stebėti, ar pacientų, kurie </w:t>
      </w:r>
      <w:r w:rsidRPr="004D4771">
        <w:rPr>
          <w:rFonts w:ascii="Times New Roman" w:hAnsi="Times New Roman"/>
        </w:rPr>
        <w:t>gydomi Lamictal dėl bipolinio sutrikimo, būklė nesunkėja (įskaitant naujų simptomų atsiradimą) ir ar jiems nepasireiškia polinkis į savižudybę, ypač gydymo pradžioje</w:t>
      </w:r>
      <w:r w:rsidRPr="0007072B">
        <w:rPr>
          <w:rFonts w:ascii="Times New Roman" w:hAnsi="Times New Roman"/>
        </w:rPr>
        <w:t xml:space="preserve"> arba pakeitus dozę. Kai kuriems pacientams, pavyzdžiui, tiems, kuriems anksčiau buvo savižudiško elgesio arba minčių apie savižudybę apraiškų, jauniems suaugusiesiems ir pacientams, kurie prieš pradedant gydymą daug mąstė apie savižudybę, minčių apie savižudybę ir bandymo žudytis rizi</w:t>
      </w:r>
      <w:r w:rsidRPr="004D4771">
        <w:rPr>
          <w:rFonts w:ascii="Times New Roman" w:hAnsi="Times New Roman"/>
        </w:rPr>
        <w:t>ka yra didesnė, taigi juos gydymo metu reikia atidžiai stebėti.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Jeigu paciento būklė pasunkėja (įskaitant naujų simptomų atsiradimą) ir (arba) pasireiškia mintys apie savižudybę ar savižudiškas elgesys, ypač tais atvejais, kai simptomai sunkūs, atsiranda staiga arba anksčiau pacientui tokių simptomų nebuvo, reikia apsvarstyti galimybę keisti gydymo schemą, įskaitant vaistinio preparato vartojimo nutraukimą.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Hormoniniai kontraceptikai</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Hormoninių kontraceptikų vartojimo įtaka lamotrigino veiksmingumui</w:t>
      </w:r>
    </w:p>
    <w:p w:rsidR="00385AEF" w:rsidRPr="00353EE7" w:rsidRDefault="00385AEF" w:rsidP="00385AEF">
      <w:pPr>
        <w:spacing w:after="0" w:line="240" w:lineRule="auto"/>
        <w:rPr>
          <w:rFonts w:ascii="Times New Roman" w:hAnsi="Times New Roman"/>
        </w:rPr>
      </w:pPr>
      <w:r w:rsidRPr="00353EE7">
        <w:rPr>
          <w:rFonts w:ascii="Times New Roman" w:hAnsi="Times New Roman"/>
        </w:rPr>
        <w:t>Vartojant kartu etinilestradiolio/levonorgestrelio (30 mikrogramų/150 mikrogramų) derinį, lamotrigino klirensas būna maždaug du kartus greitesnis, dėl to sumažėja lamotrigino koncentracijos (žr. 4.5 skyrių). Sumažėjus lamotrigino koncentracijai sutrinka priepuolių kontrolė. Palaipsniui padidinus dozę, geriausiam gydomajam poveikiui sukelti daugeliu atvejų gali prireikti vartoti didesnę (beveik du kartus) palaikomąją lamotrigino dozę. Nutraukus hormoninių kontraceptikų vartojimą, lamotrigino klirensas gali perpus sulėtėti. Lamotrigino koncentracijos padidėjimas gali būti susijęs su nuo dozės priklausomais nepageidaujamais reiškiniais. Atsižvelgiant į tai, pacientes reikia stebėti.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Moterims, kurios nevartoja lamotrigino gliukuronizaciją sužadinančių vaistinių preparatų ir vartoja hormoninių kontraceptikų, kuriuos vartojant vieną savaitę daroma pertrauka, kurios metu kontraceptinių tablečių negeriama, per šią savaitę gali palaipsniui laikinai padidėti lamotrigino koncentracijos (žr. 4.2 skyrių). Tokie lamotrigino koncentracijos pokyčiai gali būti susiję su nepageidaujamu poveikiu. Dėl to reikia apsvarstyti galimybę skirti pirmaeilę kontracepciją be pertraukų, kurių metu kontraceptinių tablečių negeriama (pavyzdžiui, nepertraukiamą hormoninę kontracepciją ar nehormoninius kontracepcijos metodus).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Kitokių geriamųjų kontraceptikų ar pakaitinės hormonų terapijos (PHT) sąveikos su lamotriginu tyrimų neatlikta, bet jie gali panašiai veikti lamotrigino farmakokinetikos rodmenis.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Lamotrigino įtaka hormoninių kontraceptikų veiksmingumui</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Sąveikos tyrimas, kuriame dalyvavo 16 sveikų savanorių, parodė, kad lamotriginą vartojant kartu su hormoniniu kontraceptiku (etinilestradiolio ir levonorgestrelio deriniu), vidutiniškai pagreitėjo levonorgestrelio klirensas bei pakito FSH ir LH koncentracijos </w:t>
      </w:r>
      <w:r>
        <w:rPr>
          <w:rFonts w:ascii="Times New Roman" w:hAnsi="Times New Roman"/>
        </w:rPr>
        <w:t xml:space="preserve">kraujo </w:t>
      </w:r>
      <w:r w:rsidRPr="00353EE7">
        <w:rPr>
          <w:rFonts w:ascii="Times New Roman" w:hAnsi="Times New Roman"/>
        </w:rPr>
        <w:t>serume (žr. 4.5 skyrių). Šių pokyčių įtaka kiaušidžių ovuliaciniam aktyvumui nežinoma. Tačiau tikimybės, kad dėl tokių pokyčių kontracepcijos veiksmingumas kai kuri</w:t>
      </w:r>
      <w:r>
        <w:rPr>
          <w:rFonts w:ascii="Times New Roman" w:hAnsi="Times New Roman"/>
        </w:rPr>
        <w:t>oms</w:t>
      </w:r>
      <w:r w:rsidRPr="00353EE7">
        <w:rPr>
          <w:rFonts w:ascii="Times New Roman" w:hAnsi="Times New Roman"/>
        </w:rPr>
        <w:t xml:space="preserve"> pacien</w:t>
      </w:r>
      <w:r>
        <w:rPr>
          <w:rFonts w:ascii="Times New Roman" w:hAnsi="Times New Roman"/>
        </w:rPr>
        <w:t>tėms</w:t>
      </w:r>
      <w:r w:rsidRPr="00353EE7">
        <w:rPr>
          <w:rFonts w:ascii="Times New Roman" w:hAnsi="Times New Roman"/>
        </w:rPr>
        <w:t>, vartojanči</w:t>
      </w:r>
      <w:r>
        <w:rPr>
          <w:rFonts w:ascii="Times New Roman" w:hAnsi="Times New Roman"/>
        </w:rPr>
        <w:t>oms</w:t>
      </w:r>
      <w:r w:rsidRPr="00353EE7">
        <w:rPr>
          <w:rFonts w:ascii="Times New Roman" w:hAnsi="Times New Roman"/>
        </w:rPr>
        <w:t xml:space="preserve"> hormoninių vaistinių preparatų kartu su lamotriginu, gali sumažėti, paneigti negalima. Dėl to reikia perspėti pacientes, kad tuojau pat pasakytų apie visus menstruacijų ciklo pokyčius, pavyzdžiui, nereguliarų kraujavimą.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Dihidrofolatų reduktazė</w:t>
      </w:r>
    </w:p>
    <w:p w:rsidR="00385AEF" w:rsidRPr="00353EE7" w:rsidRDefault="00385AEF" w:rsidP="00385AEF">
      <w:pPr>
        <w:spacing w:after="0" w:line="240" w:lineRule="auto"/>
        <w:rPr>
          <w:rFonts w:ascii="Times New Roman" w:hAnsi="Times New Roman"/>
          <w:u w:val="single"/>
        </w:rPr>
      </w:pPr>
      <w:bookmarkStart w:id="19" w:name="_DV_M127"/>
      <w:bookmarkEnd w:id="19"/>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Lamotriginas šiek tiek slopina dihidrofolio rūgšties reduktazę, taigi, taikant ilgalaikį gydymą, gali pasireikšti </w:t>
      </w:r>
      <w:r>
        <w:rPr>
          <w:rFonts w:ascii="Times New Roman" w:hAnsi="Times New Roman"/>
        </w:rPr>
        <w:t>įtaka</w:t>
      </w:r>
      <w:r w:rsidRPr="00353EE7">
        <w:rPr>
          <w:rFonts w:ascii="Times New Roman" w:hAnsi="Times New Roman"/>
        </w:rPr>
        <w:t xml:space="preserve"> folatų metabolizmu</w:t>
      </w:r>
      <w:r>
        <w:rPr>
          <w:rFonts w:ascii="Times New Roman" w:hAnsi="Times New Roman"/>
        </w:rPr>
        <w:t>i</w:t>
      </w:r>
      <w:r w:rsidRPr="00353EE7">
        <w:rPr>
          <w:rFonts w:ascii="Times New Roman" w:hAnsi="Times New Roman"/>
        </w:rPr>
        <w:t xml:space="preserve"> (žr. 4.6 skyrių). Tačiau ilgą laiką lamotriginą vartojusių žmonių hemoglobino koncentracija, vidutinis eritrocitų tūris bei folatų koncentracija </w:t>
      </w:r>
      <w:r>
        <w:rPr>
          <w:rFonts w:ascii="Times New Roman" w:hAnsi="Times New Roman"/>
        </w:rPr>
        <w:t xml:space="preserve">kraujo </w:t>
      </w:r>
      <w:r w:rsidRPr="00353EE7">
        <w:rPr>
          <w:rFonts w:ascii="Times New Roman" w:hAnsi="Times New Roman"/>
        </w:rPr>
        <w:t>serume ir eritrocituose (vartojant ne ilgiau kaip vienerius metus) ar folatų koncentracija eritrocituose (vartojant ne ilgiau kaip 5 metus) reikšmingai nepakito.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Inkstų nepakankamumas</w:t>
      </w:r>
    </w:p>
    <w:p w:rsidR="00385AEF" w:rsidRPr="00353EE7" w:rsidRDefault="00385AEF" w:rsidP="00385AEF">
      <w:pPr>
        <w:spacing w:after="0" w:line="240" w:lineRule="auto"/>
        <w:rPr>
          <w:rFonts w:ascii="Times New Roman" w:hAnsi="Times New Roman"/>
          <w:u w:val="single"/>
        </w:rPr>
      </w:pPr>
      <w:bookmarkStart w:id="20" w:name="_DV_M129"/>
      <w:bookmarkEnd w:id="20"/>
    </w:p>
    <w:p w:rsidR="00385AEF" w:rsidRPr="00353EE7" w:rsidRDefault="00385AEF" w:rsidP="00385AEF">
      <w:pPr>
        <w:spacing w:after="0" w:line="240" w:lineRule="auto"/>
        <w:rPr>
          <w:rFonts w:ascii="Times New Roman" w:hAnsi="Times New Roman"/>
        </w:rPr>
      </w:pPr>
      <w:r w:rsidRPr="00353EE7">
        <w:rPr>
          <w:rFonts w:ascii="Times New Roman" w:hAnsi="Times New Roman"/>
        </w:rPr>
        <w:t>Vienkartinės dozės tyrimų su žmonėmis, kuriems diagnozuota galutinė</w:t>
      </w:r>
      <w:r>
        <w:rPr>
          <w:rFonts w:ascii="Times New Roman" w:hAnsi="Times New Roman"/>
        </w:rPr>
        <w:t xml:space="preserve">s stadijos </w:t>
      </w:r>
      <w:r w:rsidRPr="00353EE7">
        <w:rPr>
          <w:rFonts w:ascii="Times New Roman" w:hAnsi="Times New Roman"/>
        </w:rPr>
        <w:t xml:space="preserve"> inkstų </w:t>
      </w:r>
      <w:r>
        <w:rPr>
          <w:rFonts w:ascii="Times New Roman" w:hAnsi="Times New Roman"/>
        </w:rPr>
        <w:t>liga</w:t>
      </w:r>
      <w:r w:rsidRPr="00353EE7">
        <w:rPr>
          <w:rFonts w:ascii="Times New Roman" w:hAnsi="Times New Roman"/>
        </w:rPr>
        <w:t xml:space="preserve">, duomenimis, lamotrigino koncentracija </w:t>
      </w:r>
      <w:r>
        <w:rPr>
          <w:rFonts w:ascii="Times New Roman" w:hAnsi="Times New Roman"/>
        </w:rPr>
        <w:t xml:space="preserve">kraujo </w:t>
      </w:r>
      <w:r w:rsidRPr="00353EE7">
        <w:rPr>
          <w:rFonts w:ascii="Times New Roman" w:hAnsi="Times New Roman"/>
        </w:rPr>
        <w:t>plazmoje reikšmingai nepakito. Tačiau tikėtinas didesnis gliukuronidų metabolitų kaupimasis. Dėl to ligonius, sergančius inkstų nepakankamumu, reikia gydyti atsargiai.</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Pacientai, kurie vartoja kitokių vaistinių preparatų, kurių sudėtyje yra lamotrigino</w:t>
      </w:r>
    </w:p>
    <w:p w:rsidR="00385AEF" w:rsidRPr="00353EE7" w:rsidRDefault="00385AEF" w:rsidP="00385AEF">
      <w:pPr>
        <w:keepNext/>
        <w:spacing w:after="0" w:line="240" w:lineRule="auto"/>
        <w:rPr>
          <w:rFonts w:ascii="Times New Roman" w:hAnsi="Times New Roman"/>
          <w:u w:val="single"/>
        </w:rPr>
      </w:pPr>
      <w:bookmarkStart w:id="21" w:name="_DV_M131"/>
      <w:bookmarkEnd w:id="21"/>
    </w:p>
    <w:p w:rsidR="00385AEF" w:rsidRDefault="00385AEF" w:rsidP="00385AEF">
      <w:pPr>
        <w:spacing w:after="0" w:line="240" w:lineRule="auto"/>
        <w:rPr>
          <w:rFonts w:ascii="Times New Roman" w:hAnsi="Times New Roman"/>
        </w:rPr>
      </w:pPr>
      <w:r w:rsidRPr="00353EE7">
        <w:rPr>
          <w:rFonts w:ascii="Times New Roman" w:hAnsi="Times New Roman"/>
        </w:rPr>
        <w:t>Pacientams, kurie jau vartoja bet kurių kitų vaistinių preparatų, kurių sudėtyje yra lamotrigino, Lamictal vartoti nepasitarus su gydytoju negalima.</w:t>
      </w:r>
    </w:p>
    <w:p w:rsidR="00385AEF" w:rsidRDefault="00385AEF" w:rsidP="00385AEF">
      <w:pPr>
        <w:spacing w:after="0" w:line="240" w:lineRule="auto"/>
        <w:rPr>
          <w:rFonts w:ascii="Times New Roman" w:hAnsi="Times New Roman"/>
        </w:rPr>
      </w:pPr>
    </w:p>
    <w:p w:rsidR="00385AEF" w:rsidRPr="00EA7523" w:rsidRDefault="00385AEF" w:rsidP="00385AEF">
      <w:pPr>
        <w:spacing w:after="0" w:line="240" w:lineRule="auto"/>
        <w:rPr>
          <w:rFonts w:ascii="Times New Roman" w:hAnsi="Times New Roman"/>
          <w:u w:val="single"/>
        </w:rPr>
      </w:pPr>
      <w:r w:rsidRPr="00EA7523">
        <w:rPr>
          <w:rFonts w:ascii="Times New Roman" w:hAnsi="Times New Roman"/>
          <w:u w:val="single"/>
        </w:rPr>
        <w:t>Brugada tipo EKG</w:t>
      </w:r>
    </w:p>
    <w:p w:rsidR="00385AEF" w:rsidRPr="003B293E" w:rsidRDefault="00385AEF" w:rsidP="00385AEF">
      <w:pPr>
        <w:spacing w:after="0" w:line="240" w:lineRule="auto"/>
        <w:rPr>
          <w:rFonts w:ascii="Times New Roman" w:hAnsi="Times New Roman"/>
        </w:rPr>
      </w:pPr>
    </w:p>
    <w:p w:rsidR="00385AEF" w:rsidRDefault="00385AEF" w:rsidP="00385AEF">
      <w:pPr>
        <w:spacing w:after="0" w:line="240" w:lineRule="auto"/>
        <w:rPr>
          <w:rFonts w:ascii="Times New Roman" w:hAnsi="Times New Roman"/>
        </w:rPr>
      </w:pPr>
      <w:r w:rsidRPr="003B293E">
        <w:rPr>
          <w:rFonts w:ascii="Times New Roman" w:hAnsi="Times New Roman"/>
        </w:rPr>
        <w:t>Lamotriginu gydytiems pacientams pasireiškė aritmogeninis ST-T sutrikimas ir buvo užrašoma Brugado sindromui būdinga EKG. Lamotriginą skirti pacientams, kuriems pasireiškia Brugada sindromas, reikia atsargiai apsvarsčius.</w:t>
      </w:r>
    </w:p>
    <w:p w:rsidR="00385AEF" w:rsidRPr="00353EE7" w:rsidRDefault="00385AEF" w:rsidP="00385AEF">
      <w:pPr>
        <w:spacing w:after="0" w:line="240" w:lineRule="auto"/>
        <w:rPr>
          <w:rFonts w:ascii="Times New Roman" w:hAnsi="Times New Roman"/>
        </w:rPr>
      </w:pPr>
    </w:p>
    <w:p w:rsidR="000307C5" w:rsidRDefault="000307C5" w:rsidP="00385AEF">
      <w:pPr>
        <w:keepNext/>
        <w:spacing w:after="0" w:line="240" w:lineRule="auto"/>
        <w:rPr>
          <w:rFonts w:ascii="Times New Roman" w:hAnsi="Times New Roman"/>
          <w:u w:val="single"/>
        </w:rPr>
      </w:pPr>
      <w:r>
        <w:rPr>
          <w:rFonts w:ascii="Times New Roman" w:hAnsi="Times New Roman"/>
          <w:u w:val="single"/>
        </w:rPr>
        <w:t>Pagalbinės medžiagos</w:t>
      </w:r>
    </w:p>
    <w:p w:rsidR="004631B9" w:rsidRDefault="004631B9" w:rsidP="00385AEF">
      <w:pPr>
        <w:keepNext/>
        <w:spacing w:after="0" w:line="240" w:lineRule="auto"/>
        <w:rPr>
          <w:rFonts w:ascii="Times New Roman" w:hAnsi="Times New Roman"/>
          <w:u w:val="single"/>
        </w:rPr>
      </w:pPr>
    </w:p>
    <w:p w:rsidR="000307C5" w:rsidRPr="00353EE7" w:rsidRDefault="000307C5" w:rsidP="000307C5">
      <w:pPr>
        <w:numPr>
          <w:ilvl w:val="12"/>
          <w:numId w:val="0"/>
        </w:numPr>
        <w:spacing w:after="0" w:line="240" w:lineRule="auto"/>
        <w:ind w:right="-2"/>
        <w:rPr>
          <w:rFonts w:ascii="Times New Roman" w:hAnsi="Times New Roman"/>
        </w:rPr>
      </w:pPr>
      <w:r>
        <w:rPr>
          <w:rFonts w:ascii="Times New Roman" w:hAnsi="Times New Roman"/>
        </w:rPr>
        <w:t xml:space="preserve">Vienoje Lamictal </w:t>
      </w:r>
      <w:r w:rsidRPr="00353EE7">
        <w:rPr>
          <w:rFonts w:ascii="Times New Roman" w:hAnsi="Times New Roman"/>
        </w:rPr>
        <w:t>kramtomo</w:t>
      </w:r>
      <w:r>
        <w:rPr>
          <w:rFonts w:ascii="Times New Roman" w:hAnsi="Times New Roman"/>
        </w:rPr>
        <w:t>joje</w:t>
      </w:r>
      <w:r w:rsidRPr="00353EE7">
        <w:rPr>
          <w:rFonts w:ascii="Times New Roman" w:hAnsi="Times New Roman"/>
        </w:rPr>
        <w:t xml:space="preserve"> ar disperguojamo</w:t>
      </w:r>
      <w:r>
        <w:rPr>
          <w:rFonts w:ascii="Times New Roman" w:hAnsi="Times New Roman"/>
        </w:rPr>
        <w:t xml:space="preserve">joje tabletėje yra mažiau kaip 1 mmol (23 mg) natrio, </w:t>
      </w:r>
      <w:r w:rsidRPr="00077C8F">
        <w:rPr>
          <w:rFonts w:ascii="Times New Roman" w:hAnsi="Times New Roman"/>
        </w:rPr>
        <w:t>t. y. jis beveik neturi reikšmės.</w:t>
      </w:r>
    </w:p>
    <w:p w:rsidR="000307C5" w:rsidRDefault="000307C5" w:rsidP="00385AEF">
      <w:pPr>
        <w:keepNext/>
        <w:spacing w:after="0" w:line="240" w:lineRule="auto"/>
        <w:rPr>
          <w:rFonts w:ascii="Times New Roman" w:hAnsi="Times New Roman"/>
          <w:u w:val="single"/>
        </w:rPr>
      </w:pPr>
    </w:p>
    <w:p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Vaikų raida</w:t>
      </w:r>
    </w:p>
    <w:p w:rsidR="00385AEF" w:rsidRPr="00353EE7" w:rsidRDefault="00385AEF" w:rsidP="00385AEF">
      <w:pPr>
        <w:keepNext/>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Duomenų apie lamotrigino įtaką vaikų augimui, lytiniam brendimui ir pažinimo, emocijų bei elgsenos raidai nėra.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Atsargumo priemonės, susijusios su epilepsija</w:t>
      </w:r>
    </w:p>
    <w:p w:rsidR="00385AEF" w:rsidRPr="00353EE7" w:rsidRDefault="00385AEF" w:rsidP="00385AEF">
      <w:pPr>
        <w:spacing w:after="0" w:line="240" w:lineRule="auto"/>
        <w:rPr>
          <w:rFonts w:ascii="Times New Roman" w:hAnsi="Times New Roman"/>
          <w:u w:val="single"/>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Staigus lamotrigino, kaip ir kitų AEVP, vartojimo nutraukimas gali skatinti atoveiksmio priepuolius. Lamictal dozę reikia mažinti palaipsniui per dvi savaites, išskyrus atvejus, kai dėl saugumo vaistinio preparato vartojimą reikia nutraukti staigiai (pvz., dėl išbėrimo).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Literatūroje yra pranešimų, kad sunkūs traukulių priepuoliai, įskaitant epilepsinę būklę, gali sukelti rabdomiolizę, dauginius organų funkcijos sutrikimus ir diseminuotąją intravaskulinę koaguliaciją, </w:t>
      </w:r>
      <w:r>
        <w:rPr>
          <w:rFonts w:ascii="Times New Roman" w:hAnsi="Times New Roman"/>
        </w:rPr>
        <w:t>šie sutrikimai kartais gali būti</w:t>
      </w:r>
      <w:r w:rsidRPr="00353EE7">
        <w:rPr>
          <w:rFonts w:ascii="Times New Roman" w:hAnsi="Times New Roman"/>
        </w:rPr>
        <w:t xml:space="preserve"> net mirtin</w:t>
      </w:r>
      <w:r>
        <w:rPr>
          <w:rFonts w:ascii="Times New Roman" w:hAnsi="Times New Roman"/>
        </w:rPr>
        <w:t>i</w:t>
      </w:r>
      <w:r w:rsidRPr="00353EE7">
        <w:rPr>
          <w:rFonts w:ascii="Times New Roman" w:hAnsi="Times New Roman"/>
        </w:rPr>
        <w:t>. Nustatyta panašių atvejų, susijusių su lamotrigino vartojimu.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bookmarkStart w:id="22" w:name="_DV_M134"/>
      <w:bookmarkEnd w:id="22"/>
      <w:r w:rsidRPr="00353EE7">
        <w:rPr>
          <w:rFonts w:ascii="Times New Roman" w:hAnsi="Times New Roman"/>
        </w:rPr>
        <w:t xml:space="preserve">Vietoj būklės pagerėjimo gali pasireikšti kliniškai reikšmingas priepuolių padažnėjimas. Pacientams, kuriems pasireiškia daugiau nei vieno tipo priepuolių, vieno tipo priepuolių sureguliavimo nauda </w:t>
      </w:r>
      <w:r>
        <w:rPr>
          <w:rFonts w:ascii="Times New Roman" w:hAnsi="Times New Roman"/>
        </w:rPr>
        <w:t>turėtų būti įvertinta atsižvelgiant į</w:t>
      </w:r>
      <w:r w:rsidRPr="00353EE7">
        <w:rPr>
          <w:rFonts w:ascii="Times New Roman" w:hAnsi="Times New Roman"/>
        </w:rPr>
        <w:t xml:space="preserve">  kito tipo priepuolių pasunkėjimą.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Lamotriginas gali sunkinti miokloninius priepuolius.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Duomenys rodo, kad vartojant kartu su izofermentus sužadinančiais vaistiniais preparatais pasireiškęs atsakas yra silpnesnis nei vartojant kartu su izoferment</w:t>
      </w:r>
      <w:r>
        <w:rPr>
          <w:rFonts w:ascii="Times New Roman" w:hAnsi="Times New Roman"/>
        </w:rPr>
        <w:t>ų</w:t>
      </w:r>
      <w:r w:rsidRPr="00353EE7">
        <w:rPr>
          <w:rFonts w:ascii="Times New Roman" w:hAnsi="Times New Roman"/>
        </w:rPr>
        <w:t xml:space="preserve"> nesužadinančiais antiepilepsiniais vaistiniais preparatais. Šio reiškinio </w:t>
      </w:r>
      <w:r>
        <w:rPr>
          <w:rFonts w:ascii="Times New Roman" w:hAnsi="Times New Roman"/>
        </w:rPr>
        <w:t>priežastis</w:t>
      </w:r>
      <w:r w:rsidRPr="00353EE7">
        <w:rPr>
          <w:rFonts w:ascii="Times New Roman" w:hAnsi="Times New Roman"/>
        </w:rPr>
        <w:t xml:space="preserve"> neaiški.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Lamotriginu gydant įprastus absansų priepuolius vaikams, veiksmingumas gali būti palaikomas ne visiems pacientams.</w:t>
      </w:r>
    </w:p>
    <w:p w:rsidR="00385AEF" w:rsidRPr="00353EE7" w:rsidRDefault="00385AEF" w:rsidP="00385AEF">
      <w:pPr>
        <w:spacing w:after="0" w:line="240" w:lineRule="auto"/>
        <w:rPr>
          <w:rFonts w:ascii="Times New Roman" w:hAnsi="Times New Roman"/>
          <w:u w:val="single"/>
        </w:rPr>
      </w:pPr>
    </w:p>
    <w:p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Atsargumo priemonės, susijusios su bipoliniu sutrikimu</w:t>
      </w:r>
    </w:p>
    <w:p w:rsidR="00385AEF" w:rsidRPr="00353EE7" w:rsidRDefault="00385AEF" w:rsidP="00385AEF">
      <w:pPr>
        <w:keepNext/>
        <w:spacing w:after="0" w:line="240" w:lineRule="auto"/>
        <w:rPr>
          <w:rFonts w:ascii="Times New Roman" w:hAnsi="Times New Roman"/>
          <w:u w:val="single"/>
        </w:rPr>
      </w:pPr>
    </w:p>
    <w:p w:rsidR="00385AEF" w:rsidRPr="00353EE7" w:rsidRDefault="00385AEF" w:rsidP="00385AEF">
      <w:pPr>
        <w:keepNext/>
        <w:spacing w:after="0" w:line="240" w:lineRule="auto"/>
        <w:rPr>
          <w:rFonts w:ascii="Times New Roman" w:hAnsi="Times New Roman"/>
          <w:i/>
          <w:u w:val="single"/>
        </w:rPr>
      </w:pPr>
      <w:r w:rsidRPr="00353EE7">
        <w:rPr>
          <w:rFonts w:ascii="Times New Roman" w:hAnsi="Times New Roman"/>
          <w:i/>
          <w:u w:val="single"/>
        </w:rPr>
        <w:t>Vaikai ir jaunesni kaip 18 metų paaugliai</w:t>
      </w:r>
      <w:bookmarkStart w:id="23" w:name="_DV_M137"/>
      <w:bookmarkEnd w:id="23"/>
    </w:p>
    <w:p w:rsidR="00385AEF" w:rsidRPr="00353EE7" w:rsidRDefault="00385AEF" w:rsidP="00385AEF">
      <w:pPr>
        <w:spacing w:after="0" w:line="240" w:lineRule="auto"/>
        <w:rPr>
          <w:rFonts w:ascii="Times New Roman" w:hAnsi="Times New Roman"/>
        </w:rPr>
      </w:pPr>
      <w:r w:rsidRPr="00353EE7">
        <w:rPr>
          <w:rFonts w:ascii="Times New Roman" w:hAnsi="Times New Roman"/>
        </w:rPr>
        <w:t>Vaikų ir paauglių, sergančių didžiąja depresija ir kitais psichikos sutrikimais, gydymas antidepresantais susijęs su minčių apie savižudybę ir savižudiško elgesio apraiškomis.</w:t>
      </w:r>
    </w:p>
    <w:p w:rsidR="00385AEF" w:rsidRPr="00353EE7" w:rsidRDefault="00385AEF" w:rsidP="00385AEF">
      <w:pPr>
        <w:spacing w:after="0" w:line="240" w:lineRule="auto"/>
        <w:ind w:left="567" w:hanging="567"/>
        <w:rPr>
          <w:rFonts w:ascii="Times New Roman" w:hAnsi="Times New Roman"/>
        </w:rPr>
      </w:pPr>
      <w:bookmarkStart w:id="24" w:name="_DV_M138"/>
      <w:bookmarkStart w:id="25" w:name="_DV_M139"/>
      <w:bookmarkStart w:id="26" w:name="_DV_M140"/>
      <w:bookmarkStart w:id="27" w:name="_DV_M141"/>
      <w:bookmarkStart w:id="28" w:name="_DV_M142"/>
      <w:bookmarkStart w:id="29" w:name="_DV_M143"/>
      <w:bookmarkEnd w:id="24"/>
      <w:bookmarkEnd w:id="25"/>
      <w:bookmarkEnd w:id="26"/>
      <w:bookmarkEnd w:id="27"/>
      <w:bookmarkEnd w:id="28"/>
      <w:bookmarkEnd w:id="29"/>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4.5</w:t>
      </w:r>
      <w:r w:rsidRPr="00353EE7">
        <w:rPr>
          <w:rFonts w:ascii="Times New Roman" w:hAnsi="Times New Roman"/>
          <w:b/>
        </w:rPr>
        <w:tab/>
        <w:t>Sąveika su kitais vaistiniais preparatais ir kitokia sąveika</w:t>
      </w:r>
    </w:p>
    <w:p w:rsidR="00385AEF" w:rsidRPr="00353EE7" w:rsidRDefault="00385AEF" w:rsidP="00385AEF">
      <w:pPr>
        <w:spacing w:after="0" w:line="240" w:lineRule="auto"/>
        <w:ind w:left="567" w:hanging="567"/>
        <w:rPr>
          <w:rFonts w:ascii="Times New Roman" w:hAnsi="Times New Roman"/>
          <w:b/>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Sąveikos tyrimai atlikti tik suaugusiesiems.</w:t>
      </w:r>
    </w:p>
    <w:p w:rsidR="00385AEF" w:rsidRPr="00353EE7" w:rsidRDefault="00385AEF" w:rsidP="00385AEF">
      <w:pPr>
        <w:spacing w:after="0" w:line="240" w:lineRule="auto"/>
        <w:rPr>
          <w:rFonts w:ascii="Times New Roman" w:hAnsi="Times New Roman"/>
        </w:rPr>
      </w:pPr>
    </w:p>
    <w:p w:rsidR="00385AEF" w:rsidRPr="006428EF" w:rsidRDefault="00385AEF" w:rsidP="00385AEF">
      <w:pPr>
        <w:spacing w:after="0" w:line="240" w:lineRule="auto"/>
        <w:rPr>
          <w:rFonts w:ascii="Times New Roman" w:eastAsia="Times New Roman" w:hAnsi="Times New Roman"/>
        </w:rPr>
      </w:pPr>
      <w:r w:rsidRPr="006428EF">
        <w:rPr>
          <w:rFonts w:ascii="Times New Roman" w:eastAsia="Times New Roman" w:hAnsi="Times New Roman"/>
        </w:rPr>
        <w:t>Nustatyta, kad lamotrigino</w:t>
      </w:r>
      <w:r w:rsidRPr="006428EF">
        <w:rPr>
          <w:rFonts w:ascii="Times New Roman" w:hAnsi="Times New Roman"/>
        </w:rPr>
        <w:t xml:space="preserve"> metabolizmą veikia uridino 5ʼ-difosfo (UDF)</w:t>
      </w:r>
      <w:r w:rsidRPr="006428EF">
        <w:rPr>
          <w:rFonts w:ascii="Times New Roman" w:hAnsi="Times New Roman"/>
        </w:rPr>
        <w:noBreakHyphen/>
        <w:t>gliukuroniltransferazės (UGT) fermentai. Todėl vaistiniai preparatai, kurie sužadina arba slopina gliukuronizaciją, veikia tariamąjį lamotrigino klirensą. Stipriai ar vidutiniškai citochromo P450 3A4 (CYP3A4) fermentus sužadinantys vaistiniai preparatai, kurie, kaip žinoma, sužadina ir UGT, taip pat gali skatinti lamotrigino metabolizmą.</w:t>
      </w:r>
    </w:p>
    <w:p w:rsidR="00385AEF" w:rsidRPr="00D55660" w:rsidRDefault="00385AEF" w:rsidP="00385AEF">
      <w:pPr>
        <w:spacing w:after="0" w:line="240" w:lineRule="auto"/>
        <w:rPr>
          <w:rFonts w:ascii="Times New Roman" w:eastAsia="Times New Roman" w:hAnsi="Times New Roman"/>
        </w:rPr>
      </w:pPr>
    </w:p>
    <w:p w:rsidR="00385AEF" w:rsidRPr="00D55660" w:rsidRDefault="00385AEF" w:rsidP="00385AEF">
      <w:pPr>
        <w:spacing w:after="0" w:line="240" w:lineRule="auto"/>
        <w:rPr>
          <w:rFonts w:ascii="Times New Roman" w:eastAsia="Times New Roman" w:hAnsi="Times New Roman"/>
        </w:rPr>
      </w:pPr>
      <w:r>
        <w:rPr>
          <w:rFonts w:ascii="Times New Roman" w:eastAsia="Times New Roman" w:hAnsi="Times New Roman"/>
        </w:rPr>
        <w:t>Vaistiniai preparatai, kuriuos vartojant buvo nustatytas k</w:t>
      </w:r>
      <w:r w:rsidRPr="00D55660">
        <w:rPr>
          <w:rFonts w:ascii="Times New Roman" w:eastAsia="Times New Roman" w:hAnsi="Times New Roman"/>
        </w:rPr>
        <w:t>lini</w:t>
      </w:r>
      <w:r>
        <w:rPr>
          <w:rFonts w:ascii="Times New Roman" w:eastAsia="Times New Roman" w:hAnsi="Times New Roman"/>
        </w:rPr>
        <w:t>škai reikšmingas poveikis</w:t>
      </w:r>
      <w:r w:rsidRPr="00D55660">
        <w:rPr>
          <w:rFonts w:ascii="Times New Roman" w:eastAsia="Times New Roman" w:hAnsi="Times New Roman"/>
        </w:rPr>
        <w:t xml:space="preserve"> lamotrigin</w:t>
      </w:r>
      <w:r>
        <w:rPr>
          <w:rFonts w:ascii="Times New Roman" w:eastAsia="Times New Roman" w:hAnsi="Times New Roman"/>
        </w:rPr>
        <w:t>o</w:t>
      </w:r>
      <w:r w:rsidRPr="00D55660">
        <w:rPr>
          <w:rFonts w:ascii="Times New Roman" w:eastAsia="Times New Roman" w:hAnsi="Times New Roman"/>
        </w:rPr>
        <w:t xml:space="preserve"> metaboli</w:t>
      </w:r>
      <w:r>
        <w:rPr>
          <w:rFonts w:ascii="Times New Roman" w:eastAsia="Times New Roman" w:hAnsi="Times New Roman"/>
        </w:rPr>
        <w:t>z</w:t>
      </w:r>
      <w:r w:rsidRPr="00D55660">
        <w:rPr>
          <w:rFonts w:ascii="Times New Roman" w:eastAsia="Times New Roman" w:hAnsi="Times New Roman"/>
        </w:rPr>
        <w:t>m</w:t>
      </w:r>
      <w:r>
        <w:rPr>
          <w:rFonts w:ascii="Times New Roman" w:eastAsia="Times New Roman" w:hAnsi="Times New Roman"/>
        </w:rPr>
        <w:t xml:space="preserve">ui, nurodyti </w:t>
      </w:r>
      <w:r w:rsidRPr="00D55660">
        <w:rPr>
          <w:rFonts w:ascii="Times New Roman" w:eastAsia="Times New Roman" w:hAnsi="Times New Roman"/>
        </w:rPr>
        <w:t>6</w:t>
      </w:r>
      <w:r>
        <w:rPr>
          <w:rFonts w:ascii="Times New Roman" w:eastAsia="Times New Roman" w:hAnsi="Times New Roman"/>
        </w:rPr>
        <w:t> lentelėje</w:t>
      </w:r>
      <w:r w:rsidRPr="00D55660">
        <w:rPr>
          <w:rFonts w:ascii="Times New Roman" w:eastAsia="Times New Roman" w:hAnsi="Times New Roman"/>
        </w:rPr>
        <w:t xml:space="preserve">. </w:t>
      </w:r>
      <w:r w:rsidRPr="00AE0861">
        <w:rPr>
          <w:rFonts w:ascii="Times New Roman" w:eastAsia="Times New Roman" w:hAnsi="Times New Roman"/>
        </w:rPr>
        <w:t xml:space="preserve">Konkrečios </w:t>
      </w:r>
      <w:r>
        <w:rPr>
          <w:rFonts w:ascii="Times New Roman" w:eastAsia="Times New Roman" w:hAnsi="Times New Roman"/>
        </w:rPr>
        <w:t>tok</w:t>
      </w:r>
      <w:r w:rsidRPr="00AE0861">
        <w:rPr>
          <w:rFonts w:ascii="Times New Roman" w:eastAsia="Times New Roman" w:hAnsi="Times New Roman"/>
        </w:rPr>
        <w:t>ių vaist</w:t>
      </w:r>
      <w:r>
        <w:rPr>
          <w:rFonts w:ascii="Times New Roman" w:eastAsia="Times New Roman" w:hAnsi="Times New Roman"/>
        </w:rPr>
        <w:t>ini</w:t>
      </w:r>
      <w:r w:rsidRPr="00AE0861">
        <w:rPr>
          <w:rFonts w:ascii="Times New Roman" w:eastAsia="Times New Roman" w:hAnsi="Times New Roman"/>
        </w:rPr>
        <w:t xml:space="preserve">ų </w:t>
      </w:r>
      <w:r>
        <w:rPr>
          <w:rFonts w:ascii="Times New Roman" w:eastAsia="Times New Roman" w:hAnsi="Times New Roman"/>
        </w:rPr>
        <w:t xml:space="preserve">preparatų </w:t>
      </w:r>
      <w:r w:rsidRPr="00AE0861">
        <w:rPr>
          <w:rFonts w:ascii="Times New Roman" w:eastAsia="Times New Roman" w:hAnsi="Times New Roman"/>
        </w:rPr>
        <w:t>dozavimo rekomendacijos pateikiamos 4</w:t>
      </w:r>
      <w:r>
        <w:rPr>
          <w:rFonts w:ascii="Times New Roman" w:eastAsia="Times New Roman" w:hAnsi="Times New Roman"/>
        </w:rPr>
        <w:t>.</w:t>
      </w:r>
      <w:r w:rsidRPr="00E60CF0">
        <w:rPr>
          <w:rFonts w:ascii="Times New Roman" w:eastAsia="Times New Roman" w:hAnsi="Times New Roman"/>
        </w:rPr>
        <w:t>2</w:t>
      </w:r>
      <w:r w:rsidRPr="00AE0861">
        <w:rPr>
          <w:rFonts w:ascii="Times New Roman" w:eastAsia="Times New Roman" w:hAnsi="Times New Roman"/>
        </w:rPr>
        <w:t xml:space="preserve"> skyriuje</w:t>
      </w:r>
      <w:r>
        <w:rPr>
          <w:rFonts w:ascii="Times New Roman" w:eastAsia="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i/>
          <w:u w:val="single"/>
        </w:rPr>
      </w:pPr>
      <w:r w:rsidRPr="00353EE7">
        <w:rPr>
          <w:rFonts w:ascii="Times New Roman" w:hAnsi="Times New Roman"/>
          <w:i/>
          <w:u w:val="single"/>
        </w:rPr>
        <w:t>6 lentelė. Kitų vaistinių preparatų įtaka lamotrigino gliukuronizacijai</w:t>
      </w:r>
    </w:p>
    <w:p w:rsidR="00385AEF" w:rsidRPr="00353EE7" w:rsidRDefault="00385AEF" w:rsidP="00385AEF">
      <w:pPr>
        <w:keepNext/>
        <w:spacing w:after="0" w:line="240" w:lineRule="auto"/>
        <w:rPr>
          <w:rFonts w:ascii="Times New Roman" w:hAnsi="Times New Roman"/>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3260"/>
        <w:gridCol w:w="3261"/>
      </w:tblGrid>
      <w:tr w:rsidR="00385AEF" w:rsidRPr="00591E78" w:rsidTr="00385AEF">
        <w:trPr>
          <w:cantSplit/>
        </w:trPr>
        <w:tc>
          <w:tcPr>
            <w:tcW w:w="3260" w:type="dxa"/>
          </w:tcPr>
          <w:p w:rsidR="00385AEF" w:rsidRPr="00353EE7" w:rsidRDefault="00385AEF" w:rsidP="00385AEF">
            <w:pPr>
              <w:keepNext/>
              <w:spacing w:after="0" w:line="240" w:lineRule="auto"/>
              <w:rPr>
                <w:rFonts w:ascii="Times New Roman" w:hAnsi="Times New Roman"/>
                <w:b/>
              </w:rPr>
            </w:pPr>
            <w:r w:rsidRPr="00353EE7">
              <w:rPr>
                <w:rFonts w:ascii="Times New Roman" w:hAnsi="Times New Roman"/>
                <w:b/>
              </w:rPr>
              <w:t xml:space="preserve">Vaistiniai preparatai, kurie reikšmingai </w:t>
            </w:r>
            <w:bookmarkStart w:id="30" w:name="OLE_LINK1"/>
            <w:bookmarkStart w:id="31" w:name="OLE_LINK3"/>
            <w:r w:rsidRPr="00353EE7">
              <w:rPr>
                <w:rFonts w:ascii="Times New Roman" w:hAnsi="Times New Roman"/>
                <w:b/>
              </w:rPr>
              <w:t>slopina</w:t>
            </w:r>
            <w:bookmarkEnd w:id="30"/>
            <w:bookmarkEnd w:id="31"/>
            <w:r w:rsidRPr="00353EE7">
              <w:rPr>
                <w:rFonts w:ascii="Times New Roman" w:hAnsi="Times New Roman"/>
                <w:b/>
              </w:rPr>
              <w:t xml:space="preserve"> lamotrigino gliukuronizaciją</w:t>
            </w:r>
          </w:p>
        </w:tc>
        <w:tc>
          <w:tcPr>
            <w:tcW w:w="32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t>Vaistiniai preparatai, kurie reikšmingai sužadina lamotrigino gliukuronizaciją</w:t>
            </w:r>
          </w:p>
        </w:tc>
        <w:tc>
          <w:tcPr>
            <w:tcW w:w="3261"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t>Vaistiniai preparatai, kurie reikšmingai neslopina ar nesužadina lamotrigino gliukuronizacijos</w:t>
            </w:r>
          </w:p>
        </w:tc>
      </w:tr>
      <w:tr w:rsidR="00385AEF" w:rsidRPr="00591E78" w:rsidTr="00385AEF">
        <w:trPr>
          <w:cantSplit/>
        </w:trPr>
        <w:tc>
          <w:tcPr>
            <w:tcW w:w="3260" w:type="dxa"/>
          </w:tcPr>
          <w:p w:rsidR="00385AEF" w:rsidRPr="00353EE7" w:rsidRDefault="00385AEF" w:rsidP="00385AEF">
            <w:pPr>
              <w:keepNext/>
              <w:spacing w:after="0" w:line="240" w:lineRule="auto"/>
              <w:rPr>
                <w:rFonts w:ascii="Times New Roman" w:hAnsi="Times New Roman"/>
              </w:rPr>
            </w:pPr>
            <w:r w:rsidRPr="00353EE7">
              <w:rPr>
                <w:rFonts w:ascii="Times New Roman" w:hAnsi="Times New Roman"/>
              </w:rPr>
              <w:t>Valproatas</w:t>
            </w:r>
          </w:p>
        </w:tc>
        <w:tc>
          <w:tcPr>
            <w:tcW w:w="326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Fenitoinas</w:t>
            </w: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Okskarbazepinas</w:t>
            </w:r>
          </w:p>
        </w:tc>
      </w:tr>
      <w:tr w:rsidR="00385AEF" w:rsidRPr="00591E78" w:rsidTr="00385AEF">
        <w:trPr>
          <w:cantSplit/>
        </w:trPr>
        <w:tc>
          <w:tcPr>
            <w:tcW w:w="3260" w:type="dxa"/>
          </w:tcPr>
          <w:p w:rsidR="00385AEF" w:rsidRPr="00353EE7" w:rsidRDefault="00385AEF" w:rsidP="00385AEF">
            <w:pPr>
              <w:keepNext/>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Karbamazepinas</w:t>
            </w: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Felbamatas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Fenobarbitalis</w:t>
            </w: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Gabapentinas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Primidonas</w:t>
            </w: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Levetiracetamas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Rifampicinas</w:t>
            </w: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Pregabalinas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Lopinaviras/ritonaviras</w:t>
            </w: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Topiramatas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Etinilestradiolio/levonorgestrelio derinys **</w:t>
            </w: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Zonizamidas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Atazanaviras/ritonaviras *</w:t>
            </w: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Litis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Bupropionas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Olanzapinas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p>
        </w:tc>
        <w:tc>
          <w:tcPr>
            <w:tcW w:w="3261"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Aripiprazolas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p>
        </w:tc>
        <w:tc>
          <w:tcPr>
            <w:tcW w:w="3261" w:type="dxa"/>
          </w:tcPr>
          <w:p w:rsidR="00385AEF" w:rsidRPr="00CD723E" w:rsidRDefault="00385AEF" w:rsidP="00385AEF">
            <w:pPr>
              <w:spacing w:after="0" w:line="240" w:lineRule="auto"/>
              <w:rPr>
                <w:rFonts w:ascii="Times New Roman" w:hAnsi="Times New Roman"/>
              </w:rPr>
            </w:pPr>
            <w:r w:rsidRPr="00CD723E">
              <w:rPr>
                <w:rFonts w:ascii="Times New Roman" w:hAnsi="Times New Roman"/>
              </w:rPr>
              <w:t>Lakozamidas</w:t>
            </w:r>
          </w:p>
        </w:tc>
      </w:tr>
      <w:tr w:rsidR="00385AEF" w:rsidRPr="00591E78" w:rsidTr="00385AEF">
        <w:trPr>
          <w:cantSplit/>
        </w:trPr>
        <w:tc>
          <w:tcPr>
            <w:tcW w:w="3260" w:type="dxa"/>
          </w:tcPr>
          <w:p w:rsidR="00385AEF" w:rsidRPr="00353EE7" w:rsidRDefault="00385AEF" w:rsidP="00385AEF">
            <w:pPr>
              <w:spacing w:after="0" w:line="240" w:lineRule="auto"/>
              <w:rPr>
                <w:rFonts w:ascii="Times New Roman" w:hAnsi="Times New Roman"/>
              </w:rPr>
            </w:pPr>
          </w:p>
        </w:tc>
        <w:tc>
          <w:tcPr>
            <w:tcW w:w="3260" w:type="dxa"/>
          </w:tcPr>
          <w:p w:rsidR="00385AEF" w:rsidRPr="00353EE7" w:rsidRDefault="00385AEF" w:rsidP="00385AEF">
            <w:pPr>
              <w:spacing w:after="0" w:line="240" w:lineRule="auto"/>
              <w:rPr>
                <w:rFonts w:ascii="Times New Roman" w:hAnsi="Times New Roman"/>
              </w:rPr>
            </w:pPr>
          </w:p>
        </w:tc>
        <w:tc>
          <w:tcPr>
            <w:tcW w:w="3261" w:type="dxa"/>
          </w:tcPr>
          <w:p w:rsidR="00385AEF" w:rsidRPr="00CD723E" w:rsidRDefault="00385AEF" w:rsidP="00385AEF">
            <w:pPr>
              <w:spacing w:after="0" w:line="240" w:lineRule="auto"/>
              <w:rPr>
                <w:rFonts w:ascii="Times New Roman" w:hAnsi="Times New Roman"/>
              </w:rPr>
            </w:pPr>
            <w:r w:rsidRPr="00CD723E">
              <w:rPr>
                <w:rFonts w:ascii="Times New Roman" w:hAnsi="Times New Roman"/>
              </w:rPr>
              <w:t>Perampanelis</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Dozavimo rekomendacijas žr. 4.2 skyriuje.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Kitokių geriamųjų kontraceptikų ar PHT sąveikos su lamotriginu tyrimų neatlikta, bet jie gali panašiai veikti lamotrigino farmakokinetikos rodmenis (žr. 4.2 ir 4.4 skyrius).</w:t>
      </w:r>
    </w:p>
    <w:p w:rsidR="00385AEF" w:rsidRDefault="00385AEF" w:rsidP="00385AEF">
      <w:pPr>
        <w:spacing w:after="0" w:line="240" w:lineRule="auto"/>
        <w:rPr>
          <w:rFonts w:ascii="Times New Roman" w:hAnsi="Times New Roman"/>
        </w:rPr>
      </w:pPr>
    </w:p>
    <w:p w:rsidR="00385AEF" w:rsidRDefault="00385AEF" w:rsidP="00385AEF">
      <w:pPr>
        <w:spacing w:after="0" w:line="240" w:lineRule="auto"/>
        <w:rPr>
          <w:rFonts w:ascii="Times New Roman" w:hAnsi="Times New Roman"/>
        </w:rPr>
      </w:pPr>
      <w:r w:rsidRPr="004D4771">
        <w:rPr>
          <w:rFonts w:ascii="Times New Roman" w:hAnsi="Times New Roman"/>
        </w:rPr>
        <w:t xml:space="preserve">Kad lamotriginas kliniškai reikšmingai sužadintų ar slopintų </w:t>
      </w:r>
      <w:r w:rsidRPr="004D4771">
        <w:rPr>
          <w:rFonts w:ascii="Times New Roman" w:eastAsia="Times New Roman" w:hAnsi="Times New Roman"/>
        </w:rPr>
        <w:t>citochromo P450 fermentus</w:t>
      </w:r>
      <w:r w:rsidRPr="004D4771">
        <w:rPr>
          <w:rFonts w:ascii="Times New Roman" w:hAnsi="Times New Roman"/>
        </w:rPr>
        <w:t>, neįrodyta. Lamotriginas gali vidutiniškai sužadinti savo paties metabolizmą, bet kliniškai reikšmingų padarinių nesitikima.</w:t>
      </w:r>
    </w:p>
    <w:p w:rsidR="00385AEF" w:rsidRPr="00353EE7" w:rsidRDefault="00385AEF" w:rsidP="00385AEF">
      <w:pPr>
        <w:spacing w:after="0" w:line="240" w:lineRule="auto"/>
        <w:rPr>
          <w:rFonts w:ascii="Times New Roman" w:hAnsi="Times New Roman"/>
        </w:rPr>
      </w:pPr>
    </w:p>
    <w:p w:rsidR="00385AEF" w:rsidRPr="00353EE7" w:rsidRDefault="00385AEF" w:rsidP="005212C6">
      <w:pPr>
        <w:keepNext/>
        <w:spacing w:after="0" w:line="240" w:lineRule="auto"/>
        <w:rPr>
          <w:rFonts w:ascii="Times New Roman" w:hAnsi="Times New Roman"/>
          <w:u w:val="single"/>
        </w:rPr>
      </w:pPr>
      <w:r w:rsidRPr="00353EE7">
        <w:rPr>
          <w:rFonts w:ascii="Times New Roman" w:hAnsi="Times New Roman"/>
          <w:u w:val="single"/>
        </w:rPr>
        <w:lastRenderedPageBreak/>
        <w:t>Sąveika su antiepilepsiniais vaistiniais preparatais</w:t>
      </w:r>
    </w:p>
    <w:p w:rsidR="00385AEF" w:rsidRPr="00353EE7" w:rsidRDefault="00385AEF" w:rsidP="005212C6">
      <w:pPr>
        <w:keepNext/>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Valproatas, kuris slopina lamotrigino gliukuronizaciją, slopina lamotrigino metabolizmą ir beveik du kartus pailgina vidutinį lamotrigino pusinės eliminacijos periodą. Pacientams, kurie vartoja kartu valproatą, reikia taikyti tinkamą gydymo schemą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Tam tikri AEVP (pvz., </w:t>
      </w:r>
      <w:bookmarkStart w:id="32" w:name="OLE_LINK4"/>
      <w:r w:rsidRPr="00353EE7">
        <w:rPr>
          <w:rFonts w:ascii="Times New Roman" w:hAnsi="Times New Roman"/>
        </w:rPr>
        <w:t>fenitoinas, karbamazepinas, fenobarbitalis, primidonas</w:t>
      </w:r>
      <w:bookmarkEnd w:id="32"/>
      <w:r w:rsidRPr="00353EE7">
        <w:rPr>
          <w:rFonts w:ascii="Times New Roman" w:hAnsi="Times New Roman"/>
        </w:rPr>
        <w:t xml:space="preserve">), kurie sužadina </w:t>
      </w:r>
      <w:r w:rsidRPr="007C7F30">
        <w:rPr>
          <w:rFonts w:ascii="Times New Roman" w:eastAsia="Times New Roman" w:hAnsi="Times New Roman"/>
        </w:rPr>
        <w:t>citochromo P450</w:t>
      </w:r>
      <w:r w:rsidRPr="00900317">
        <w:rPr>
          <w:rFonts w:ascii="Times New Roman" w:eastAsia="Times New Roman" w:hAnsi="Times New Roman"/>
        </w:rPr>
        <w:t>, sužadina</w:t>
      </w:r>
      <w:r w:rsidRPr="00353EE7">
        <w:rPr>
          <w:rFonts w:ascii="Times New Roman" w:hAnsi="Times New Roman"/>
        </w:rPr>
        <w:t xml:space="preserve"> ir </w:t>
      </w:r>
      <w:r>
        <w:rPr>
          <w:rFonts w:ascii="Times New Roman" w:eastAsia="Times New Roman" w:hAnsi="Times New Roman"/>
        </w:rPr>
        <w:t>UGT, todėl</w:t>
      </w:r>
      <w:r w:rsidRPr="00900317">
        <w:rPr>
          <w:rFonts w:ascii="Times New Roman" w:eastAsia="Times New Roman" w:hAnsi="Times New Roman"/>
        </w:rPr>
        <w:t xml:space="preserve"> </w:t>
      </w:r>
      <w:r w:rsidRPr="00353EE7">
        <w:rPr>
          <w:rFonts w:ascii="Times New Roman" w:hAnsi="Times New Roman"/>
        </w:rPr>
        <w:t>paspartina lamotrigino metabolizmą. Pacientams kurie vartoja kartu fenitoiną, karbamazepiną, fenobarbital</w:t>
      </w:r>
      <w:r>
        <w:rPr>
          <w:rFonts w:ascii="Times New Roman" w:hAnsi="Times New Roman"/>
        </w:rPr>
        <w:t>io</w:t>
      </w:r>
      <w:r w:rsidRPr="00353EE7">
        <w:rPr>
          <w:rFonts w:ascii="Times New Roman" w:hAnsi="Times New Roman"/>
        </w:rPr>
        <w:t>į ar primidoną, reikia taikyti tinkamą gydymo schemą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Pacientams, kurie vartoja karbamazepiną, pradėjus vartoti lamotriginą, nustatyta centrinės nervų sistemos sutrikimų, įskaitant, </w:t>
      </w:r>
      <w:r>
        <w:rPr>
          <w:rFonts w:ascii="Times New Roman" w:hAnsi="Times New Roman"/>
        </w:rPr>
        <w:t>svaigulį</w:t>
      </w:r>
      <w:r w:rsidRPr="00353EE7">
        <w:rPr>
          <w:rFonts w:ascii="Times New Roman" w:hAnsi="Times New Roman"/>
        </w:rPr>
        <w:t>, ataksiją, dvejinimąsi akyse, miglotą matymą ir pykinimą. Šie reiškiniai dažniausiai išnyko, sumažinus karbamazepino dozę. Panašus poveikis nustatytas lamotrigino ir okskarbamazepino tyrimų su sveikais savanoriais metu, bet dozės sumažinimas netirtas.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Literatūroje yra duomenų apie lamotrigino koncentracijos sumažėjimą, kai lamotriginas buvo vartojamas kartu su okskarbazepinu. Tačiau perspektyviųjų tyrimų su sveikais suaugusiais savanoriais, kurie vartojo 200 mg lamotrigino ir 1200 mg okskarbazepino dozes, duomenimis okskarbazepinas neveikė lamotrigino metabolizmo, o lamotriginas neveikė okskarbazepino metabolizmo. Taigi pacientams kurie kartu vartoja okskarbazepiną, reikia taikyti gydymą pagal papildomo gydymo lamotriginu be valproato ir be lamotrigino gliukuronizaciją sužadinančių vaistinių preparatų schemas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Tyrimų su sveikais savanoriais duomenimis, felbamato (1200 mg du kartus per parą) vartojimas kartu su lamotriginu (100 mg du kartus per parą 10 dienų) kliniškai reikšmingos įtakos lamotrigino farmakokinetikai nedarė.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Remiantis retrospektyvios analizės duomenimis, tiriant koncentracijas </w:t>
      </w:r>
      <w:r>
        <w:rPr>
          <w:rFonts w:ascii="Times New Roman" w:hAnsi="Times New Roman"/>
        </w:rPr>
        <w:t xml:space="preserve">kraujo </w:t>
      </w:r>
      <w:r w:rsidRPr="00353EE7">
        <w:rPr>
          <w:rFonts w:ascii="Times New Roman" w:hAnsi="Times New Roman"/>
        </w:rPr>
        <w:t>plazmoje, pacientų, kurie vartojo lamotriginą kartu su gabapentinu arba be gabapentino, nustatyta, kad gabapentinas įtakos lamotrigino tariamajam klirensui neturėjo.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Klinikinių placebu kontroliuojamųjų tyrimų metu tirta galima levetiracetamo ir lamotrigino sąveika, nustatant abiejų vaistinių preparatų koncentracijas </w:t>
      </w:r>
      <w:r>
        <w:rPr>
          <w:rFonts w:ascii="Times New Roman" w:hAnsi="Times New Roman"/>
        </w:rPr>
        <w:t xml:space="preserve">kraujo </w:t>
      </w:r>
      <w:r w:rsidRPr="00353EE7">
        <w:rPr>
          <w:rFonts w:ascii="Times New Roman" w:hAnsi="Times New Roman"/>
        </w:rPr>
        <w:t>serume. Šie duomenys rodo, kad lamotriginas neveikia levetiracetamo farmakokinetikos, o levetiracetamas neturi įtakos lamotrigino farmakokinetikai.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Kartu vartojamas pregabalinas (po 200 mg 3 kartus per parą) neveikė lamotrigino </w:t>
      </w:r>
      <w:r w:rsidRPr="00353EE7">
        <w:rPr>
          <w:rFonts w:ascii="Times New Roman" w:hAnsi="Times New Roman"/>
          <w:color w:val="000000"/>
        </w:rPr>
        <w:t>pusiausvyros</w:t>
      </w:r>
      <w:r w:rsidRPr="00353EE7" w:rsidDel="00557C5F">
        <w:rPr>
          <w:rFonts w:ascii="Times New Roman" w:hAnsi="Times New Roman"/>
        </w:rPr>
        <w:t xml:space="preserve"> </w:t>
      </w:r>
      <w:r w:rsidRPr="00353EE7">
        <w:rPr>
          <w:rFonts w:ascii="Times New Roman" w:hAnsi="Times New Roman"/>
        </w:rPr>
        <w:t xml:space="preserve">koncentracijos </w:t>
      </w:r>
      <w:r>
        <w:rPr>
          <w:rFonts w:ascii="Times New Roman" w:hAnsi="Times New Roman"/>
        </w:rPr>
        <w:t xml:space="preserve">kraujo </w:t>
      </w:r>
      <w:r w:rsidRPr="00353EE7">
        <w:rPr>
          <w:rFonts w:ascii="Times New Roman" w:hAnsi="Times New Roman"/>
        </w:rPr>
        <w:t>plazmoje. Farmakokinetinė lamotrigino sąveika su pregabalinu nepasireiškia.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Topiramatas nekeičia lamotrigino koncentracijų </w:t>
      </w:r>
      <w:r>
        <w:rPr>
          <w:rFonts w:ascii="Times New Roman" w:hAnsi="Times New Roman"/>
        </w:rPr>
        <w:t xml:space="preserve">kraujo </w:t>
      </w:r>
      <w:r w:rsidRPr="00353EE7">
        <w:rPr>
          <w:rFonts w:ascii="Times New Roman" w:hAnsi="Times New Roman"/>
        </w:rPr>
        <w:t>plazmoje. Vartojant lamotriginą, topiramato koncentracijos padidėjo 15 %.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Tyrimo su epilepsija sergančiais pacientais duomenimis, 35 dienas zonizamidą (200</w:t>
      </w:r>
      <w:r w:rsidRPr="00353EE7">
        <w:rPr>
          <w:rFonts w:ascii="Times New Roman" w:hAnsi="Times New Roman"/>
        </w:rPr>
        <w:noBreakHyphen/>
        <w:t>400 mg per parą) vartojant kartu su lamotriginu (150</w:t>
      </w:r>
      <w:r w:rsidRPr="00353EE7">
        <w:rPr>
          <w:rFonts w:ascii="Times New Roman" w:hAnsi="Times New Roman"/>
        </w:rPr>
        <w:noBreakHyphen/>
        <w:t>500 mg per parą), reikšmingo poveikio lamotrigino farmakokinetikai nebuvo.</w:t>
      </w:r>
    </w:p>
    <w:p w:rsidR="00385AEF" w:rsidRDefault="00385AEF" w:rsidP="00385AEF">
      <w:pPr>
        <w:spacing w:after="0" w:line="240" w:lineRule="auto"/>
        <w:rPr>
          <w:rFonts w:ascii="Times New Roman" w:hAnsi="Times New Roman"/>
        </w:rPr>
      </w:pPr>
    </w:p>
    <w:p w:rsidR="00385AEF" w:rsidRPr="004D4771" w:rsidRDefault="00385AEF" w:rsidP="00385AEF">
      <w:pPr>
        <w:spacing w:after="0" w:line="240" w:lineRule="auto"/>
        <w:rPr>
          <w:rFonts w:ascii="Times New Roman" w:hAnsi="Times New Roman"/>
        </w:rPr>
      </w:pPr>
      <w:r w:rsidRPr="004D4771">
        <w:rPr>
          <w:rFonts w:ascii="Times New Roman" w:hAnsi="Times New Roman"/>
        </w:rPr>
        <w:t xml:space="preserve">Placebu kontroliuojamojo klinikinio tyrimo, kuriame dalyvavo pacientai, kuriems pasireiškia iš pradžių židininiai priepuoliai, duomenimis, kartu su lakozamidu (200, 400 ar 600 mg per parą) vartojamo lamotrigino koncentracijos </w:t>
      </w:r>
      <w:r>
        <w:rPr>
          <w:rFonts w:ascii="Times New Roman" w:hAnsi="Times New Roman"/>
        </w:rPr>
        <w:t xml:space="preserve">kraujo </w:t>
      </w:r>
      <w:r w:rsidRPr="004D4771">
        <w:rPr>
          <w:rFonts w:ascii="Times New Roman" w:hAnsi="Times New Roman"/>
        </w:rPr>
        <w:t>plazmoje nepakito.</w:t>
      </w:r>
    </w:p>
    <w:p w:rsidR="00385AEF" w:rsidRPr="004D4771" w:rsidRDefault="00385AEF" w:rsidP="00385AEF">
      <w:pPr>
        <w:spacing w:after="0" w:line="240" w:lineRule="auto"/>
        <w:rPr>
          <w:rFonts w:ascii="Times New Roman" w:hAnsi="Times New Roman"/>
        </w:rPr>
      </w:pPr>
    </w:p>
    <w:p w:rsidR="00385AEF" w:rsidRPr="004D4771" w:rsidRDefault="00385AEF" w:rsidP="00385AEF">
      <w:pPr>
        <w:spacing w:after="0" w:line="240" w:lineRule="auto"/>
        <w:rPr>
          <w:rFonts w:ascii="Times New Roman" w:hAnsi="Times New Roman"/>
        </w:rPr>
      </w:pPr>
      <w:r w:rsidRPr="004D4771">
        <w:rPr>
          <w:rFonts w:ascii="Times New Roman" w:hAnsi="Times New Roman"/>
        </w:rPr>
        <w:t>Remiantis bendra trijų placebu kontroliuojamų klinikinių tyrimų, kuriuose buvo tirtas papildomas pacientų, kuriems pasireiškia iš pradžių židininiai ir nuo pradžių generalizuoti toninių-kloninių priepuoliai, gydymas perampaneliu, metu gautų visų duomenų analize, didžiausia tirta perampanelio dozė (12 mg per parą) padidi</w:t>
      </w:r>
      <w:r w:rsidRPr="0007072B">
        <w:rPr>
          <w:rFonts w:ascii="Times New Roman" w:hAnsi="Times New Roman"/>
        </w:rPr>
        <w:t xml:space="preserve">no lamotrigino klirensą mažiau kaip 10 %. Tokio dydžio poveikis </w:t>
      </w:r>
      <w:r w:rsidRPr="006D33C3">
        <w:rPr>
          <w:rFonts w:ascii="Times New Roman" w:hAnsi="Times New Roman"/>
        </w:rPr>
        <w:t>nelaikomas kliniškai reikšmingu.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 xml:space="preserve">Nustatyta kitų AEVP koncentracijų </w:t>
      </w:r>
      <w:r>
        <w:rPr>
          <w:rFonts w:ascii="Times New Roman" w:hAnsi="Times New Roman"/>
        </w:rPr>
        <w:t xml:space="preserve">kraujo </w:t>
      </w:r>
      <w:r w:rsidRPr="00353EE7">
        <w:rPr>
          <w:rFonts w:ascii="Times New Roman" w:hAnsi="Times New Roman"/>
        </w:rPr>
        <w:t xml:space="preserve">plazmoje pokyčių, tačiau kontroliuojamieji tyrimai lamotrigino poveikio kitų kartu vartojamų AEVP koncentracijai </w:t>
      </w:r>
      <w:r>
        <w:rPr>
          <w:rFonts w:ascii="Times New Roman" w:hAnsi="Times New Roman"/>
        </w:rPr>
        <w:t xml:space="preserve">kraujo </w:t>
      </w:r>
      <w:r w:rsidRPr="00353EE7">
        <w:rPr>
          <w:rFonts w:ascii="Times New Roman" w:hAnsi="Times New Roman"/>
        </w:rPr>
        <w:t xml:space="preserve">plazmoje neparodė. Tyrimų </w:t>
      </w:r>
      <w:r w:rsidRPr="00353EE7">
        <w:rPr>
          <w:rFonts w:ascii="Times New Roman" w:hAnsi="Times New Roman"/>
          <w:i/>
        </w:rPr>
        <w:t>in vitro</w:t>
      </w:r>
      <w:r w:rsidRPr="00353EE7">
        <w:rPr>
          <w:rFonts w:ascii="Times New Roman" w:hAnsi="Times New Roman"/>
        </w:rPr>
        <w:t xml:space="preserve"> duomenys rodo, kad lamotriginas kitų AEVP iš prisijungimo prie baltymų vietų neišstumia.</w:t>
      </w:r>
    </w:p>
    <w:p w:rsidR="00385AEF" w:rsidRPr="00353EE7" w:rsidRDefault="00385AEF" w:rsidP="00385AEF">
      <w:pPr>
        <w:spacing w:after="0" w:line="240" w:lineRule="auto"/>
        <w:rPr>
          <w:rFonts w:ascii="Times New Roman" w:hAnsi="Times New Roman"/>
        </w:rPr>
      </w:pPr>
    </w:p>
    <w:p w:rsidR="00385AEF" w:rsidRPr="00353EE7" w:rsidRDefault="00385AEF" w:rsidP="00E767B2">
      <w:pPr>
        <w:keepNext/>
        <w:spacing w:after="0" w:line="240" w:lineRule="auto"/>
        <w:rPr>
          <w:rFonts w:ascii="Times New Roman" w:hAnsi="Times New Roman"/>
          <w:u w:val="single"/>
        </w:rPr>
      </w:pPr>
      <w:r w:rsidRPr="00353EE7">
        <w:rPr>
          <w:rFonts w:ascii="Times New Roman" w:hAnsi="Times New Roman"/>
          <w:u w:val="single"/>
        </w:rPr>
        <w:t>Sąveika su kitais psichiką veikiančiais vaistiniais preparatais</w:t>
      </w:r>
    </w:p>
    <w:p w:rsidR="00385AEF" w:rsidRPr="00353EE7" w:rsidRDefault="00385AEF" w:rsidP="00E767B2">
      <w:pPr>
        <w:keepNext/>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Pavartojus kartu 100 mg lamotrigino paros dozę, ličio farmakokinetika sveikų asmenų, 6 dienas du kartus per parą vartojusių po 2 g bevandenio ličio gliukonato, organizme nepakito.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Išgertos kartotinės bupropiono dozės statistiškai reikšmingai neveikė vienkartinės lamotrigino dozės farmakokinetikos 12 asmenų organizme, tik šiek tiek padidėjo lamotrigino gliukuronido AUC.</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Tyrimų su sveikais suaugusiais savanoriais duomenimis, 15 mg olanzapino dozė sumažino lamotrigino AUC ir C</w:t>
      </w:r>
      <w:r w:rsidRPr="00353EE7">
        <w:rPr>
          <w:rFonts w:ascii="Times New Roman" w:hAnsi="Times New Roman"/>
          <w:vertAlign w:val="subscript"/>
        </w:rPr>
        <w:t>max</w:t>
      </w:r>
      <w:r w:rsidRPr="00353EE7">
        <w:rPr>
          <w:rFonts w:ascii="Times New Roman" w:hAnsi="Times New Roman"/>
        </w:rPr>
        <w:t xml:space="preserve"> atitinkami vidutiniškai 24 % ir 20 %. Kad tokio dydžio pokyčiai bus kliniškai reikšmingi, dažniausiai nesitikima. 200 mg lamotrigino dozė olanzapino farmakokinetikai poveikio nedarė.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rPr>
        <w:t>Išgertos kartotinės 400 mg lamotrigino paros dozės kliniškai reikšmingo poveikio vienkartinės 2 mg risperidono dozės farmakokinetikai 14 sveikų suaugusių savanorių organizme nedarė. Vartojant 2 mg risperidono dozę kartu su lamotriginu, 12 iš 14 savanorių pranešė apie somnolenciją, palyginti su 1 iš 20 vieną risperidoną vartojusių pacientų ir nei vieno, vartojusių vieną lamotriginą.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Tyrimo, kuriame dalyvavo 18 suaugusių pacientų, sergančių bipoliniu I tipo sutrikimu, kuriems buvo taikytas nustatytas gydymo lamotriginu planas (100-400 mg per parą), metu aripiprazolo dozės buvo per 7 paras padidintos nuo 10 mg per parą iki numatytosios 30 mg paros dozės ir toliau tokia dozė vartota vieną kartą per parą dar 7 paras. Buvo nustatytas lamotrigino C</w:t>
      </w:r>
      <w:r w:rsidRPr="00353EE7">
        <w:rPr>
          <w:rFonts w:ascii="Times New Roman" w:hAnsi="Times New Roman"/>
          <w:vertAlign w:val="subscript"/>
        </w:rPr>
        <w:t>max</w:t>
      </w:r>
      <w:r w:rsidRPr="00353EE7">
        <w:rPr>
          <w:rFonts w:ascii="Times New Roman" w:hAnsi="Times New Roman"/>
        </w:rPr>
        <w:t xml:space="preserve"> ir AUC sumažėjimas vidutiniškai maždaug 10 %. Manoma, kad tokio dydžio poveikis nėra kliniškai reikšmingas.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Tyrimai </w:t>
      </w:r>
      <w:r w:rsidRPr="00353EE7">
        <w:rPr>
          <w:rFonts w:ascii="Times New Roman" w:hAnsi="Times New Roman"/>
          <w:i/>
        </w:rPr>
        <w:t>in vitro</w:t>
      </w:r>
      <w:r w:rsidRPr="00353EE7">
        <w:rPr>
          <w:rFonts w:ascii="Times New Roman" w:hAnsi="Times New Roman"/>
        </w:rPr>
        <w:t xml:space="preserve"> rodo, kad vartojant kartu amitriptiliną, bupropioną, klonazepamą, haloperidolį ar lorazepamą, šiek tiek slopinamas svarbiausio lamotrigino metabolito 2</w:t>
      </w:r>
      <w:r w:rsidRPr="00353EE7">
        <w:rPr>
          <w:rFonts w:ascii="Times New Roman" w:hAnsi="Times New Roman"/>
        </w:rPr>
        <w:noBreakHyphen/>
        <w:t>N</w:t>
      </w:r>
      <w:r w:rsidRPr="00353EE7">
        <w:rPr>
          <w:rFonts w:ascii="Times New Roman" w:hAnsi="Times New Roman"/>
        </w:rPr>
        <w:noBreakHyphen/>
        <w:t>gliukuronido susidarymas. Šie tyrimai taip pat parodė, kad klozapinas, fluoksetinas, fenelzinas, risperidonas, sertralinas ar trazodonas greičiausiai neslopina lamotrigino metabolizmo. Be to, bufuralolio metabolizmo tyrimai su žmogaus kepenų mikrosomų preparatais rodo, kad lamotriginas nemažina vaistinių preparatų, kurių metabolizmą daugiausia veikia CYP2D6, klirenso.</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Sąveika su hormoniniais kontraceptikais</w:t>
      </w:r>
    </w:p>
    <w:p w:rsidR="00385AEF" w:rsidRPr="00353EE7" w:rsidRDefault="00385AEF" w:rsidP="00385AEF">
      <w:pPr>
        <w:keepNext/>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i/>
          <w:u w:val="single"/>
        </w:rPr>
      </w:pPr>
      <w:r w:rsidRPr="00353EE7">
        <w:rPr>
          <w:rFonts w:ascii="Times New Roman" w:hAnsi="Times New Roman"/>
          <w:i/>
          <w:u w:val="single"/>
        </w:rPr>
        <w:t>Hormoninių kontraceptikų įtaka lamotrigino farmakokinetikai</w:t>
      </w:r>
    </w:p>
    <w:p w:rsidR="00385AEF" w:rsidRPr="00353EE7" w:rsidRDefault="00385AEF" w:rsidP="00385AEF">
      <w:pPr>
        <w:spacing w:after="0" w:line="240" w:lineRule="auto"/>
        <w:rPr>
          <w:rFonts w:ascii="Times New Roman" w:hAnsi="Times New Roman"/>
        </w:rPr>
      </w:pPr>
      <w:r w:rsidRPr="00353EE7">
        <w:rPr>
          <w:rFonts w:ascii="Times New Roman" w:hAnsi="Times New Roman"/>
        </w:rPr>
        <w:t>Tyrimo su 16 savanorių moterų duomenimis, vartojant 30 mikrogramų etinilestradiolio/ 150 mikrogramų levonorgestrelio dozes turinčių sudėtinių kontraceptinių tablečių, maždaug du kartus padidėjo išgerto lamotrigino klirensas, dėl to vidutiniškai 52 % sumažėjo lamotrigino AUC ir 39 % – C</w:t>
      </w:r>
      <w:r w:rsidRPr="00353EE7">
        <w:rPr>
          <w:rFonts w:ascii="Times New Roman" w:hAnsi="Times New Roman"/>
          <w:vertAlign w:val="subscript"/>
        </w:rPr>
        <w:t>max</w:t>
      </w:r>
      <w:r w:rsidRPr="00353EE7">
        <w:rPr>
          <w:rFonts w:ascii="Times New Roman" w:hAnsi="Times New Roman"/>
        </w:rPr>
        <w:t>. Per savaitę, kurios metu daroma pertrauka ir kontraceptinių tablečių negeriama, lamotrigino koncentracij</w:t>
      </w:r>
      <w:r>
        <w:rPr>
          <w:rFonts w:ascii="Times New Roman" w:hAnsi="Times New Roman"/>
        </w:rPr>
        <w:t>a</w:t>
      </w:r>
      <w:r w:rsidRPr="00353EE7">
        <w:rPr>
          <w:rFonts w:ascii="Times New Roman" w:hAnsi="Times New Roman"/>
        </w:rPr>
        <w:t xml:space="preserve"> </w:t>
      </w:r>
      <w:r>
        <w:rPr>
          <w:rFonts w:ascii="Times New Roman" w:hAnsi="Times New Roman"/>
        </w:rPr>
        <w:t xml:space="preserve">kraujo </w:t>
      </w:r>
      <w:r w:rsidRPr="00353EE7">
        <w:rPr>
          <w:rFonts w:ascii="Times New Roman" w:hAnsi="Times New Roman"/>
        </w:rPr>
        <w:t>serume padidėjo ir šios savaitės pabaigoje tapo tokia, kokia buvo prieš pradedant vartoti kontraceptiką ir vidutiniškai du kartus didesnė, nei vartojant vaistinius preparatus kartu (žr. 4.4 skyrių). Vien dėl hormoninių kontraceptikų vartojimo rekomenduojamos lamotrigino dozės didinimo schemos keisti nebūtina, tačiau daugeliu atvejų, pradedant vartoti hormoninių kontraceptikų arba baigus jų vartojimą, palaikomą lamotrigino dozę gali prireikti padidinti arba sumažinti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Lamotrigino įtaka hormoninių kontraceptikų farmakokinetikai</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su 16 savanorių moterų duomenimis, nusistovėjus </w:t>
      </w:r>
      <w:r>
        <w:rPr>
          <w:rFonts w:ascii="Times New Roman" w:hAnsi="Times New Roman"/>
        </w:rPr>
        <w:t xml:space="preserve">pusiausvyros </w:t>
      </w:r>
      <w:r w:rsidRPr="00353EE7">
        <w:rPr>
          <w:rFonts w:ascii="Times New Roman" w:hAnsi="Times New Roman"/>
        </w:rPr>
        <w:t xml:space="preserve">koncentracijai 300 mg lamotrigino dozė neveikė sudėtinių kontraceptinių tablečių sudėtyje esančio etinilestradiolio farmakokinetikos. Išgerto </w:t>
      </w:r>
      <w:r>
        <w:rPr>
          <w:rFonts w:ascii="Times New Roman" w:hAnsi="Times New Roman"/>
        </w:rPr>
        <w:t xml:space="preserve">vaistinio </w:t>
      </w:r>
      <w:r w:rsidRPr="00353EE7">
        <w:rPr>
          <w:rFonts w:ascii="Times New Roman" w:hAnsi="Times New Roman"/>
        </w:rPr>
        <w:t>preparato sudėtyje esančio levonorgestrelio klirensas šie tiek padidėjo, dėl to vidutiniškai 19 % sumažėjo levonorgestrelio AUC ir 12 % – C</w:t>
      </w:r>
      <w:r w:rsidRPr="00353EE7">
        <w:rPr>
          <w:rFonts w:ascii="Times New Roman" w:hAnsi="Times New Roman"/>
          <w:vertAlign w:val="subscript"/>
        </w:rPr>
        <w:t>max</w:t>
      </w:r>
      <w:r w:rsidRPr="00353EE7">
        <w:rPr>
          <w:rFonts w:ascii="Times New Roman" w:hAnsi="Times New Roman"/>
        </w:rPr>
        <w:t>. FSH, LH ir estradiolio</w:t>
      </w:r>
      <w:r>
        <w:rPr>
          <w:rFonts w:ascii="Times New Roman" w:hAnsi="Times New Roman"/>
        </w:rPr>
        <w:t xml:space="preserve"> kraujo </w:t>
      </w:r>
      <w:r w:rsidRPr="00353EE7">
        <w:rPr>
          <w:rFonts w:ascii="Times New Roman" w:hAnsi="Times New Roman"/>
        </w:rPr>
        <w:t xml:space="preserve">serume matavimai šio tyrimo metu parodė, kad kiaušidžių hormoninio aktyvumo slopinimas kai kurių moterų organizme šiek tiek susilpnėjo, nors progesterono koncentracijos </w:t>
      </w:r>
      <w:r>
        <w:rPr>
          <w:rFonts w:ascii="Times New Roman" w:hAnsi="Times New Roman"/>
        </w:rPr>
        <w:t xml:space="preserve">kraujo </w:t>
      </w:r>
      <w:r w:rsidRPr="00353EE7">
        <w:rPr>
          <w:rFonts w:ascii="Times New Roman" w:hAnsi="Times New Roman"/>
        </w:rPr>
        <w:t xml:space="preserve">serume matavimai nei vienos iš 16 tiriamųjų organizme ovuliaciją rodančių hormoninių pokyčių neparodė. Šiek tiek padidėjusio levonorgestrelio klirenso ir FSH bei LH pokyčių </w:t>
      </w:r>
      <w:r>
        <w:rPr>
          <w:rFonts w:ascii="Times New Roman" w:hAnsi="Times New Roman"/>
        </w:rPr>
        <w:t xml:space="preserve">kraujo </w:t>
      </w:r>
      <w:r w:rsidRPr="00353EE7">
        <w:rPr>
          <w:rFonts w:ascii="Times New Roman" w:hAnsi="Times New Roman"/>
        </w:rPr>
        <w:t xml:space="preserve">serume įtaka </w:t>
      </w:r>
      <w:r w:rsidRPr="00353EE7">
        <w:rPr>
          <w:rFonts w:ascii="Times New Roman" w:hAnsi="Times New Roman"/>
        </w:rPr>
        <w:lastRenderedPageBreak/>
        <w:t xml:space="preserve">kiaušidžių ovuliaciniam aktyvumui nežinoma (žr. 4.4 skyrių). </w:t>
      </w:r>
      <w:r>
        <w:rPr>
          <w:rFonts w:ascii="Times New Roman" w:hAnsi="Times New Roman"/>
        </w:rPr>
        <w:t>Kitokių nei</w:t>
      </w:r>
      <w:r w:rsidRPr="00353EE7">
        <w:rPr>
          <w:rFonts w:ascii="Times New Roman" w:hAnsi="Times New Roman"/>
        </w:rPr>
        <w:t xml:space="preserve"> 300 mg lamotrigino paros dozių poveikio tyrimų ir tyrimų su kitokiais moteriškų lytinių hormonų preparatais neatlikta.</w:t>
      </w:r>
    </w:p>
    <w:p w:rsidR="00385AEF" w:rsidRPr="00353EE7" w:rsidRDefault="00385AEF" w:rsidP="00385AEF">
      <w:pPr>
        <w:spacing w:after="0" w:line="240" w:lineRule="auto"/>
        <w:rPr>
          <w:rFonts w:ascii="Times New Roman" w:hAnsi="Times New Roman"/>
        </w:rPr>
      </w:pPr>
    </w:p>
    <w:p w:rsidR="00385AEF" w:rsidRPr="00353EE7" w:rsidRDefault="00385AEF" w:rsidP="00E767B2">
      <w:pPr>
        <w:keepNext/>
        <w:spacing w:after="0" w:line="240" w:lineRule="auto"/>
        <w:rPr>
          <w:rFonts w:ascii="Times New Roman" w:hAnsi="Times New Roman"/>
          <w:u w:val="single"/>
        </w:rPr>
      </w:pPr>
      <w:r w:rsidRPr="00353EE7">
        <w:rPr>
          <w:rFonts w:ascii="Times New Roman" w:hAnsi="Times New Roman"/>
          <w:u w:val="single"/>
        </w:rPr>
        <w:t>Sąveika su kitais vaistiniais preparatais</w:t>
      </w:r>
    </w:p>
    <w:p w:rsidR="00385AEF" w:rsidRPr="00353EE7" w:rsidRDefault="00385AEF" w:rsidP="00E767B2">
      <w:pPr>
        <w:keepNext/>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Tyrimo, kuriame dalyvavo 10 savanorių vyrų, duomenimis, rifampicinas didino lamotrigino klirensą ir mažino lamotrigino pusinės eliminacijos periodą, nes sužadino gliukuronizaciją veikiančius kepenų fermentus. Pacientams, kurie kartu vartoja rifampiciną, reikia taikyti tinkamą gydymo schemą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su sveikais savanoriais duomenimis, lopinaviras/ritonaviras greičiausiai dėl gliukuronizacijos sužadinimo maždaug dvigubai sumažino lamotrigino koncentracijas </w:t>
      </w:r>
      <w:r>
        <w:rPr>
          <w:rFonts w:ascii="Times New Roman" w:hAnsi="Times New Roman"/>
        </w:rPr>
        <w:t xml:space="preserve">kraujo </w:t>
      </w:r>
      <w:r w:rsidRPr="00353EE7">
        <w:rPr>
          <w:rFonts w:ascii="Times New Roman" w:hAnsi="Times New Roman"/>
        </w:rPr>
        <w:t>plazmoje. Pacientams, kurie kartu vartoja lopinavirą/ritonavirą, reikia taikyti tinkamą gydymo schemą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Tyrimo su sveikais suaugusiais savanoriais duomenimis, 9 paras vartotas atazanaviras/ritonaviras (300 mg/100 mg) sumažino lamotrigino (vienkartinė</w:t>
      </w:r>
      <w:r>
        <w:rPr>
          <w:rFonts w:ascii="Times New Roman" w:hAnsi="Times New Roman"/>
        </w:rPr>
        <w:t>s</w:t>
      </w:r>
      <w:r w:rsidRPr="00353EE7">
        <w:rPr>
          <w:rFonts w:ascii="Times New Roman" w:hAnsi="Times New Roman"/>
        </w:rPr>
        <w:t xml:space="preserve"> 100 mg dozė</w:t>
      </w:r>
      <w:r>
        <w:rPr>
          <w:rFonts w:ascii="Times New Roman" w:hAnsi="Times New Roman"/>
        </w:rPr>
        <w:t>s</w:t>
      </w:r>
      <w:r w:rsidRPr="00353EE7">
        <w:rPr>
          <w:rFonts w:ascii="Times New Roman" w:hAnsi="Times New Roman"/>
        </w:rPr>
        <w:t>) AUC ir C</w:t>
      </w:r>
      <w:r w:rsidRPr="00353EE7">
        <w:rPr>
          <w:rFonts w:ascii="Times New Roman" w:hAnsi="Times New Roman"/>
          <w:vertAlign w:val="subscript"/>
        </w:rPr>
        <w:t>max</w:t>
      </w:r>
      <w:r w:rsidRPr="00353EE7">
        <w:rPr>
          <w:rFonts w:ascii="Times New Roman" w:hAnsi="Times New Roman"/>
        </w:rPr>
        <w:t xml:space="preserve"> </w:t>
      </w:r>
      <w:r>
        <w:rPr>
          <w:rFonts w:ascii="Times New Roman" w:hAnsi="Times New Roman"/>
        </w:rPr>
        <w:t xml:space="preserve">kraujo </w:t>
      </w:r>
      <w:r w:rsidRPr="00353EE7">
        <w:rPr>
          <w:rFonts w:ascii="Times New Roman" w:hAnsi="Times New Roman"/>
        </w:rPr>
        <w:t>plazmoje atitinkamai vidutiniškai 32 % ir 6 %. Pacientams, kurie kartu vartoja atazanavirą/ritonavirą, reikia taikyti tinkam</w:t>
      </w:r>
      <w:r>
        <w:rPr>
          <w:rFonts w:ascii="Times New Roman" w:hAnsi="Times New Roman"/>
        </w:rPr>
        <w:t>ą</w:t>
      </w:r>
      <w:r w:rsidRPr="00353EE7">
        <w:rPr>
          <w:rFonts w:ascii="Times New Roman" w:hAnsi="Times New Roman"/>
        </w:rPr>
        <w:t xml:space="preserve"> gydymo </w:t>
      </w:r>
      <w:r>
        <w:rPr>
          <w:rFonts w:ascii="Times New Roman" w:hAnsi="Times New Roman"/>
        </w:rPr>
        <w:t>schemą</w:t>
      </w:r>
      <w:r w:rsidRPr="00353EE7">
        <w:rPr>
          <w:rFonts w:ascii="Times New Roman" w:hAnsi="Times New Roman"/>
        </w:rPr>
        <w:t xml:space="preserve">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Tyrimo </w:t>
      </w:r>
      <w:r w:rsidRPr="00353EE7">
        <w:rPr>
          <w:rFonts w:ascii="Times New Roman" w:hAnsi="Times New Roman"/>
          <w:i/>
        </w:rPr>
        <w:t xml:space="preserve">in vitro </w:t>
      </w:r>
      <w:r w:rsidRPr="00353EE7">
        <w:rPr>
          <w:rFonts w:ascii="Times New Roman" w:hAnsi="Times New Roman"/>
        </w:rPr>
        <w:t>duomenys rodo, kad esant kliniškai reikšmingoms vaistinio preparato koncentracijoms, lamotriginas, bet ne metabolitas N(2)-gliukuronidas, yra organinių katijonų nešiklio 2 (OKN 2) inhibitorius. Šie duomenys rodo, kad lamotriginas yra</w:t>
      </w:r>
      <w:r w:rsidRPr="00353EE7">
        <w:rPr>
          <w:rFonts w:ascii="Times New Roman" w:hAnsi="Times New Roman"/>
          <w:i/>
        </w:rPr>
        <w:t xml:space="preserve"> </w:t>
      </w:r>
      <w:r w:rsidRPr="00353EE7">
        <w:rPr>
          <w:rFonts w:ascii="Times New Roman" w:hAnsi="Times New Roman"/>
        </w:rPr>
        <w:t xml:space="preserve">OKN 2 inhibitorius, jo IC50 koncentracija yra 53,8 µmol. Lamotrigino vartojimas kartu su per inkstus šalinamais vaistiniais preparatais, kurie yra OKN 2 substratai (pvz., metforminas, gabapentinas, vareniklinas), gali padidinti šių vaistinių preparatų koncentraciją </w:t>
      </w:r>
      <w:r>
        <w:rPr>
          <w:rFonts w:ascii="Times New Roman" w:hAnsi="Times New Roman"/>
        </w:rPr>
        <w:t xml:space="preserve">kraujo </w:t>
      </w:r>
      <w:r w:rsidRPr="00353EE7">
        <w:rPr>
          <w:rFonts w:ascii="Times New Roman" w:hAnsi="Times New Roman"/>
        </w:rPr>
        <w:t>plazmoje.</w:t>
      </w:r>
    </w:p>
    <w:p w:rsidR="00385AEF" w:rsidRPr="00353EE7" w:rsidRDefault="00385AEF" w:rsidP="00385AEF">
      <w:pPr>
        <w:spacing w:after="0" w:line="240" w:lineRule="auto"/>
        <w:rPr>
          <w:rFonts w:ascii="Times New Roman" w:hAnsi="Times New Roman"/>
          <w:color w:val="000000"/>
        </w:rPr>
      </w:pPr>
    </w:p>
    <w:p w:rsidR="00385AEF" w:rsidRPr="00353EE7" w:rsidRDefault="00385AEF" w:rsidP="00385AEF">
      <w:pPr>
        <w:spacing w:after="0" w:line="240" w:lineRule="auto"/>
        <w:rPr>
          <w:rFonts w:ascii="Times New Roman" w:hAnsi="Times New Roman"/>
        </w:rPr>
      </w:pPr>
      <w:r w:rsidRPr="00353EE7">
        <w:rPr>
          <w:rFonts w:ascii="Times New Roman" w:hAnsi="Times New Roman"/>
          <w:color w:val="000000"/>
        </w:rPr>
        <w:t>Šios sąveikos klinikinė svarba nėra aiškiai nustatyta, tačiau būtina imtis saugumo priemonių, jei pacientai kartu vartoja šiuos vaistinius preparatus.</w:t>
      </w:r>
    </w:p>
    <w:p w:rsidR="00385AEF" w:rsidRPr="00353EE7" w:rsidRDefault="00385AEF" w:rsidP="00385AEF">
      <w:pPr>
        <w:spacing w:after="0" w:line="240" w:lineRule="auto"/>
        <w:ind w:left="567" w:hanging="567"/>
        <w:rPr>
          <w:rFonts w:ascii="Times New Roman" w:hAnsi="Times New Roman"/>
          <w:b/>
        </w:rPr>
      </w:pPr>
    </w:p>
    <w:p w:rsidR="00385AEF" w:rsidRPr="00353EE7" w:rsidRDefault="00385AEF" w:rsidP="00385AEF">
      <w:pPr>
        <w:keepNext/>
        <w:spacing w:after="0" w:line="240" w:lineRule="auto"/>
        <w:ind w:left="550" w:hanging="550"/>
        <w:rPr>
          <w:rFonts w:ascii="Times New Roman" w:hAnsi="Times New Roman"/>
          <w:b/>
        </w:rPr>
      </w:pPr>
      <w:r w:rsidRPr="00353EE7">
        <w:rPr>
          <w:rFonts w:ascii="Times New Roman" w:hAnsi="Times New Roman"/>
          <w:b/>
        </w:rPr>
        <w:t>4.6</w:t>
      </w:r>
      <w:r w:rsidRPr="00353EE7">
        <w:rPr>
          <w:rFonts w:ascii="Times New Roman" w:hAnsi="Times New Roman"/>
          <w:b/>
        </w:rPr>
        <w:tab/>
        <w:t>Vaisingumas, nėštumo ir žindymo laikotarpis</w:t>
      </w:r>
      <w:r w:rsidRPr="00353EE7">
        <w:rPr>
          <w:rFonts w:ascii="Times New Roman" w:hAnsi="Times New Roman"/>
        </w:rPr>
        <w:t xml:space="preserve"> </w:t>
      </w:r>
    </w:p>
    <w:p w:rsidR="00385AEF" w:rsidRPr="00353EE7" w:rsidRDefault="00385AEF" w:rsidP="00385AEF">
      <w:pPr>
        <w:keepNext/>
        <w:spacing w:after="0" w:line="240" w:lineRule="auto"/>
        <w:ind w:left="567" w:hanging="567"/>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u w:val="single"/>
        </w:rPr>
      </w:pPr>
      <w:r w:rsidRPr="00353EE7">
        <w:rPr>
          <w:rFonts w:ascii="Times New Roman" w:hAnsi="Times New Roman"/>
          <w:u w:val="single"/>
        </w:rPr>
        <w:t>Bendra rizika,</w:t>
      </w:r>
      <w:r w:rsidRPr="00353EE7" w:rsidDel="001052EC">
        <w:rPr>
          <w:rFonts w:ascii="Times New Roman" w:hAnsi="Times New Roman"/>
          <w:u w:val="single"/>
        </w:rPr>
        <w:t xml:space="preserve"> </w:t>
      </w:r>
      <w:r w:rsidRPr="00353EE7">
        <w:rPr>
          <w:rFonts w:ascii="Times New Roman" w:hAnsi="Times New Roman"/>
          <w:u w:val="single"/>
        </w:rPr>
        <w:t>susijusi su antiepilepsinių vaistinių preparatų vartojimu</w:t>
      </w:r>
    </w:p>
    <w:p w:rsidR="00385AEF" w:rsidRPr="00353EE7" w:rsidRDefault="00385AEF" w:rsidP="00385AEF">
      <w:pPr>
        <w:keepNext/>
        <w:spacing w:after="0" w:line="240" w:lineRule="auto"/>
        <w:ind w:left="567" w:hanging="567"/>
        <w:rPr>
          <w:rFonts w:ascii="Times New Roman" w:hAnsi="Times New Roman"/>
          <w:u w:val="single"/>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Vaisingoms moterims būtina specialisto konsultacija. Moterims, kurios planuoja pastoti, gydymą antiepilepsiniais vaistiniais preparatais reikia peržiūrėti. Nuo epilepsijos gydomoms moterims AEVP vartojimo staigiai nutraukti negalima, nes tai gali sukelti nutraukimo priepuolių ir turėti sunkių pasekmių moteriai ir vaisiui. Jeigu įmanoma, geriausia skirti monoterapiją, nes, priklausomai nuo vartojamų antiepilepsinių vaistinių preparatų, gydymas keliais AEVP gali būti susijęs su didesne apsigimimų rizika nei taikant monoterapiją.</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Rizika, susijusi su lamotriginu</w:t>
      </w:r>
    </w:p>
    <w:p w:rsidR="00385AEF" w:rsidRPr="00353EE7" w:rsidRDefault="00385AEF" w:rsidP="00385AEF">
      <w:pPr>
        <w:spacing w:after="0" w:line="240" w:lineRule="auto"/>
        <w:rPr>
          <w:rFonts w:ascii="Times New Roman" w:hAnsi="Times New Roman"/>
          <w:u w:val="single"/>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Nėštumas</w:t>
      </w:r>
    </w:p>
    <w:p w:rsidR="00385AEF" w:rsidRPr="00353EE7" w:rsidRDefault="00385AEF" w:rsidP="00385AEF">
      <w:pPr>
        <w:spacing w:after="0" w:line="240" w:lineRule="auto"/>
        <w:rPr>
          <w:rFonts w:ascii="Times New Roman" w:hAnsi="Times New Roman"/>
        </w:rPr>
      </w:pPr>
      <w:r w:rsidRPr="00353EE7">
        <w:rPr>
          <w:rFonts w:ascii="Times New Roman" w:hAnsi="Times New Roman"/>
        </w:rPr>
        <w:t>Didelės apimties duomenys apie nėščiąsias moteris (daugiau kaip 8700), pirmąjį nėštumo trimestrą gydytas lamotrigino monoterapija, nerodo žymaus didžiųjų apsigimimų, įskaitant burnos nesuaugimus, rizikos padidėjimo. Tyrimai su gyvūnais parodė toksinį poveikį vystymuisi (žr. 5.3 skyrių).</w:t>
      </w:r>
      <w:r w:rsidRPr="00353EE7" w:rsidDel="00461EC2">
        <w:rPr>
          <w:rFonts w:ascii="Times New Roman" w:hAnsi="Times New Roman"/>
        </w:rPr>
        <w:t xml:space="preserve"> </w:t>
      </w:r>
    </w:p>
    <w:p w:rsidR="00385AEF" w:rsidRPr="00353EE7" w:rsidRDefault="00385AEF" w:rsidP="00385AEF">
      <w:pPr>
        <w:spacing w:after="0" w:line="240" w:lineRule="auto"/>
        <w:rPr>
          <w:rFonts w:ascii="Times New Roman" w:hAnsi="Times New Roman"/>
        </w:rPr>
      </w:pPr>
      <w:r w:rsidRPr="00353EE7">
        <w:rPr>
          <w:rFonts w:ascii="Times New Roman" w:hAnsi="Times New Roman"/>
        </w:rPr>
        <w:t>Jeigu nusprendžiama, kad nėštumo metu gydyti Lamictal būtina, rekomenduojama vartoti mažiausią galimą vaistinio preparato dozę.</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Lamotriginas šiek tiek slopina dihidrofolatų reduktazę, taigi dėl folio rūgšties sumažėjimo organizme teoriškai gali didėti embriono ir vaisiaus pažaidos rizika. Planuojant nėštumą ir ankstyvuoju nėštumo laikotarpiu galima vartoti folio rūgštį.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Fiziologiniai pokyčiai nėštumo metu gali veikti lamotrigino koncentracijas ir (arba) gydomąjį poveikį. Nustatyta, kad nėštumo metu lamotrigino koncentracijos</w:t>
      </w:r>
      <w:r>
        <w:rPr>
          <w:rFonts w:ascii="Times New Roman" w:hAnsi="Times New Roman"/>
        </w:rPr>
        <w:t xml:space="preserve"> kraujo </w:t>
      </w:r>
      <w:r w:rsidRPr="00353EE7">
        <w:rPr>
          <w:rFonts w:ascii="Times New Roman" w:hAnsi="Times New Roman"/>
        </w:rPr>
        <w:t xml:space="preserve">plazmoje būna mažesnės, dėl to gali sutrikti priepuolių kontrolė. Po gimdymo lamotrigino koncentracijos </w:t>
      </w:r>
      <w:r>
        <w:rPr>
          <w:rFonts w:ascii="Times New Roman" w:hAnsi="Times New Roman"/>
        </w:rPr>
        <w:t xml:space="preserve">kraujo </w:t>
      </w:r>
      <w:r w:rsidRPr="00353EE7">
        <w:rPr>
          <w:rFonts w:ascii="Times New Roman" w:hAnsi="Times New Roman"/>
        </w:rPr>
        <w:t xml:space="preserve">serume gali greitai padidėti, dėl to kilti nuo dozės priklausomų nepageidaujamų reiškinių rizika. Taigi prieš pastojant, </w:t>
      </w:r>
      <w:r w:rsidRPr="00353EE7">
        <w:rPr>
          <w:rFonts w:ascii="Times New Roman" w:hAnsi="Times New Roman"/>
        </w:rPr>
        <w:lastRenderedPageBreak/>
        <w:t xml:space="preserve">nėštumo metu ir po gimdymo (iš karto po gimdymo ir vėliau) reikia stebėti lamotrigino koncentracijas </w:t>
      </w:r>
      <w:r>
        <w:rPr>
          <w:rFonts w:ascii="Times New Roman" w:hAnsi="Times New Roman"/>
        </w:rPr>
        <w:t xml:space="preserve">kraujo </w:t>
      </w:r>
      <w:r w:rsidRPr="00353EE7">
        <w:rPr>
          <w:rFonts w:ascii="Times New Roman" w:hAnsi="Times New Roman"/>
        </w:rPr>
        <w:t xml:space="preserve">serume. Jeigu būtina, dozę reikia keisti, kad lamotrigino koncentracija </w:t>
      </w:r>
      <w:r>
        <w:rPr>
          <w:rFonts w:ascii="Times New Roman" w:hAnsi="Times New Roman"/>
        </w:rPr>
        <w:t xml:space="preserve">kraujo </w:t>
      </w:r>
      <w:r w:rsidRPr="00353EE7">
        <w:rPr>
          <w:rFonts w:ascii="Times New Roman" w:hAnsi="Times New Roman"/>
        </w:rPr>
        <w:t xml:space="preserve">serume būtų tokia pat, kokia buvo prieš pastojant, arba keisti atsižvelgiant į </w:t>
      </w:r>
      <w:r>
        <w:rPr>
          <w:rFonts w:ascii="Times New Roman" w:hAnsi="Times New Roman"/>
        </w:rPr>
        <w:t>klinikinį</w:t>
      </w:r>
      <w:r w:rsidRPr="00353EE7">
        <w:rPr>
          <w:rFonts w:ascii="Times New Roman" w:hAnsi="Times New Roman"/>
        </w:rPr>
        <w:t xml:space="preserve"> atsaką. Be to, po gimdymo reikia stebėti, ar neatsiranda nuo dozės priklausomo nepageidaujamo poveikio.</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ind w:left="550" w:hanging="550"/>
        <w:rPr>
          <w:rFonts w:ascii="Times New Roman" w:hAnsi="Times New Roman"/>
          <w:i/>
          <w:u w:val="single"/>
        </w:rPr>
      </w:pPr>
      <w:r w:rsidRPr="00353EE7">
        <w:rPr>
          <w:rFonts w:ascii="Times New Roman" w:hAnsi="Times New Roman"/>
          <w:i/>
          <w:u w:val="single"/>
        </w:rPr>
        <w:t>Žindymas</w:t>
      </w:r>
    </w:p>
    <w:p w:rsidR="00385AEF" w:rsidRDefault="00385AEF" w:rsidP="00385AEF">
      <w:pPr>
        <w:spacing w:after="0" w:line="240" w:lineRule="auto"/>
        <w:rPr>
          <w:rFonts w:ascii="Times New Roman" w:hAnsi="Times New Roman"/>
        </w:rPr>
      </w:pPr>
      <w:r w:rsidRPr="00353EE7">
        <w:rPr>
          <w:rFonts w:ascii="Times New Roman" w:hAnsi="Times New Roman"/>
        </w:rPr>
        <w:t xml:space="preserve">Nustatyta, kad lamotrigino prasiskverbia į motinos pieną ir jame atsiranda labai įvairios lamotrigino koncentracijos, dėl kurių bendroji lamotrigino koncentracija kūdikio organizme gali siekti maždaug 50 % koncentracijos motinos organizme. Todėl kai kurių žindomų kūdikių </w:t>
      </w:r>
      <w:r>
        <w:rPr>
          <w:rFonts w:ascii="Times New Roman" w:hAnsi="Times New Roman"/>
        </w:rPr>
        <w:t xml:space="preserve">kraujo </w:t>
      </w:r>
      <w:r w:rsidRPr="00353EE7">
        <w:rPr>
          <w:rFonts w:ascii="Times New Roman" w:hAnsi="Times New Roman"/>
        </w:rPr>
        <w:t xml:space="preserve">serume lamotrigino koncentracija gali būti tokia, kuri sukelia farmakologinį poveikį.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Reikia įvertinti, ar laukiama žindymo nauda persveria galimą nepageidaujamo poveikio kūdikiui riziką. Jeigu lamotriginu gydoma motina nusprendžia žindyti kūdikį, reikia stebėti, ar kūdikiui nepasireiškia nepageidaujamas poveikis</w:t>
      </w:r>
      <w:r w:rsidRPr="002E6C79">
        <w:rPr>
          <w:rFonts w:ascii="Times New Roman" w:hAnsi="Times New Roman"/>
        </w:rPr>
        <w:t>, pavyzdžiui: sedacija, bėrimas ir per mažas kūno masės didėjimas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Vaisingumas</w:t>
      </w:r>
    </w:p>
    <w:p w:rsidR="00385AEF" w:rsidRPr="00353EE7" w:rsidRDefault="00385AEF" w:rsidP="00385AEF">
      <w:pPr>
        <w:spacing w:after="0" w:line="240" w:lineRule="auto"/>
        <w:rPr>
          <w:rFonts w:ascii="Times New Roman" w:hAnsi="Times New Roman"/>
        </w:rPr>
      </w:pPr>
      <w:r w:rsidRPr="00353EE7">
        <w:rPr>
          <w:rFonts w:ascii="Times New Roman" w:hAnsi="Times New Roman"/>
        </w:rPr>
        <w:t>Tyrimai su gyvūnais vaisingumo sutrikimo vartojant lamotriginą neparodė (žr. 5.3 skyrių).</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4.7</w:t>
      </w:r>
      <w:r w:rsidRPr="00353EE7">
        <w:rPr>
          <w:rFonts w:ascii="Times New Roman" w:hAnsi="Times New Roman"/>
          <w:b/>
        </w:rPr>
        <w:tab/>
        <w:t>Poveikis gebėjimui vairuoti ir valdyti mechanizmus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Atsakas į gydymą visais AEVP yra individualus, taigi su pacientais, kurie dėl epilepsijos gydomi Lamictal, gydytojas turi aptarti specifines problemas, susijusias su vairavimu ir epilepsija.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Poveikio gebėjimui vairuoti ir valdyti mechanizmus tyrimų neatlikta. Du tyrimai su savanoriais parodė, kad lamotrigino poveikis tiksliai okulomotorinei koordinacijai, akių judesiams, kūno pusiausvyrai ir subjektyviam sedaciniam poveikiui nesiskyrė nuo placebo. Klinikinių lamotrigino tyrimų metu nustatyta neurologinių nepageidaujamų reakcijų, pavyzdžiui, svaigulys ir dvejinimasis akyse. Taigi prieš pradėdami vairuoti ar valdyti mechanizmus, pacientai turi įvertinti, kaip gydymas Lamictal veikia juos.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keepNext/>
        <w:spacing w:after="0" w:line="240" w:lineRule="auto"/>
        <w:ind w:left="550" w:hanging="550"/>
        <w:rPr>
          <w:rFonts w:ascii="Times New Roman" w:hAnsi="Times New Roman"/>
          <w:b/>
        </w:rPr>
      </w:pPr>
      <w:r w:rsidRPr="00353EE7">
        <w:rPr>
          <w:rFonts w:ascii="Times New Roman" w:hAnsi="Times New Roman"/>
          <w:b/>
        </w:rPr>
        <w:t>4.8</w:t>
      </w:r>
      <w:r w:rsidRPr="00353EE7">
        <w:rPr>
          <w:rFonts w:ascii="Times New Roman" w:hAnsi="Times New Roman"/>
          <w:b/>
        </w:rPr>
        <w:tab/>
        <w:t>Nepageidaujamas poveikis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Toliau lentelėje išvardyti duomenys apie nepageidaujamą poveikį epilepsijos ir bipolinio sutrikimo indikacijų atveju remiasi kontroliuojamųjų klinikinių tyrimų duomenimis ir kita klinikine patirtimi. Dažnio kategorijos nurodytos, remiantis kontroliuojamųjų klinikinių tyrimų duomenimis (epilepsijos monoterapijos (pažymėtos </w:t>
      </w:r>
      <w:r w:rsidRPr="00353EE7">
        <w:rPr>
          <w:rFonts w:ascii="Times New Roman" w:hAnsi="Times New Roman"/>
          <w:vertAlign w:val="superscript"/>
        </w:rPr>
        <w:t>†</w:t>
      </w:r>
      <w:r w:rsidRPr="00353EE7">
        <w:rPr>
          <w:rFonts w:ascii="Times New Roman" w:hAnsi="Times New Roman"/>
        </w:rPr>
        <w:t xml:space="preserve">) ir bipolinio sutrikimo (pažymėtos </w:t>
      </w:r>
      <w:r w:rsidRPr="00353EE7">
        <w:rPr>
          <w:rFonts w:ascii="Times New Roman" w:hAnsi="Times New Roman"/>
          <w:vertAlign w:val="superscript"/>
        </w:rPr>
        <w:t>§</w:t>
      </w:r>
      <w:r w:rsidRPr="00353EE7">
        <w:rPr>
          <w:rFonts w:ascii="Times New Roman" w:hAnsi="Times New Roman"/>
        </w:rPr>
        <w:t>)). Jeigu dažnio kategorijos klinikinių epilepsijos ir bipolinio sutrikimo tyrimų duomenimis skiriasi, nurodytas konservatyviausias dažnis. Vis dėlto tais atvejais, kai kontroliuojamųjų klinikinių tyrimų duomenų nėra, dažnio kategorijos nurodytos remiantis kita klinikine patirtimi.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65550C">
        <w:rPr>
          <w:rFonts w:ascii="Times New Roman" w:hAnsi="Times New Roman"/>
        </w:rPr>
        <w:t>Nepageidaujamo poveikio dažnis apibūdinamas taip: labai dažnas (≥ 1/10), dažnas (nuo ≥ 1/100 iki &lt; 1/10), nedažnas (nuo ≥ 1/1</w:t>
      </w:r>
      <w:r w:rsidR="00F349B3">
        <w:rPr>
          <w:rFonts w:ascii="Times New Roman" w:hAnsi="Times New Roman"/>
        </w:rPr>
        <w:t> </w:t>
      </w:r>
      <w:r w:rsidRPr="0065550C">
        <w:rPr>
          <w:rFonts w:ascii="Times New Roman" w:hAnsi="Times New Roman"/>
        </w:rPr>
        <w:t>000 iki &lt; 1/100), retas (nuo ≥ 1/10000 iki &lt; 1/1</w:t>
      </w:r>
      <w:r w:rsidR="00F349B3">
        <w:rPr>
          <w:rFonts w:ascii="Times New Roman" w:hAnsi="Times New Roman"/>
        </w:rPr>
        <w:t> </w:t>
      </w:r>
      <w:r w:rsidRPr="0065550C">
        <w:rPr>
          <w:rFonts w:ascii="Times New Roman" w:hAnsi="Times New Roman"/>
        </w:rPr>
        <w:t>000), labai retas (&lt; 1/10</w:t>
      </w:r>
      <w:r w:rsidR="00F349B3">
        <w:rPr>
          <w:rFonts w:ascii="Times New Roman" w:hAnsi="Times New Roman"/>
        </w:rPr>
        <w:t> </w:t>
      </w:r>
      <w:r w:rsidRPr="0065550C">
        <w:rPr>
          <w:rFonts w:ascii="Times New Roman" w:hAnsi="Times New Roman"/>
        </w:rPr>
        <w:t>000) ir nežinomas (negali būti apskaičiuotas pagal turimus duomenis).</w:t>
      </w:r>
    </w:p>
    <w:p w:rsidR="00385AEF" w:rsidRPr="00353EE7" w:rsidRDefault="00385AEF" w:rsidP="00385AEF">
      <w:pPr>
        <w:spacing w:after="0" w:line="240" w:lineRule="auto"/>
        <w:rPr>
          <w:rFonts w:ascii="Times New Roman" w:hAnsi="Times New Roman"/>
        </w:rPr>
      </w:pPr>
    </w:p>
    <w:tbl>
      <w:tblPr>
        <w:tblpPr w:leftFromText="180" w:rightFromText="180" w:vertAnchor="text" w:horzAnchor="margin" w:tblpY="5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009"/>
      </w:tblGrid>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Organų sistemų klasės</w:t>
            </w:r>
          </w:p>
        </w:tc>
        <w:tc>
          <w:tcPr>
            <w:tcW w:w="504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t>Nepageidaujamas reiškinys</w:t>
            </w:r>
          </w:p>
        </w:tc>
        <w:tc>
          <w:tcPr>
            <w:tcW w:w="2009" w:type="dxa"/>
          </w:tcPr>
          <w:p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b/>
              </w:rPr>
              <w:t>Dažnis</w:t>
            </w: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Kraujo ir limfinės sistemos sutrikimai</w:t>
            </w:r>
          </w:p>
        </w:tc>
        <w:tc>
          <w:tcPr>
            <w:tcW w:w="504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Kraujo sutrikimai </w:t>
            </w:r>
            <w:r w:rsidRPr="00353EE7">
              <w:rPr>
                <w:rFonts w:ascii="Times New Roman" w:hAnsi="Times New Roman"/>
                <w:vertAlign w:val="superscript"/>
              </w:rPr>
              <w:t>1</w:t>
            </w:r>
            <w:r w:rsidRPr="00353EE7">
              <w:rPr>
                <w:rFonts w:ascii="Times New Roman" w:hAnsi="Times New Roman"/>
              </w:rPr>
              <w:t>, įskaitant neutropeniją, leukopeniją, anemiją, trombocitopeniją, pancitopeniją, aplazinę anemiją, agranuliocitozę</w:t>
            </w:r>
          </w:p>
          <w:p w:rsidR="00385AEF"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Pr>
                <w:rFonts w:ascii="Times New Roman" w:hAnsi="Times New Roman"/>
              </w:rPr>
              <w:t>H</w:t>
            </w:r>
            <w:r w:rsidRPr="00052D9B">
              <w:rPr>
                <w:rFonts w:ascii="Times New Roman" w:hAnsi="Times New Roman"/>
              </w:rPr>
              <w:t>emofagocitinė limfohistiocitozė (HLH)</w:t>
            </w:r>
            <w:r>
              <w:rPr>
                <w:rFonts w:ascii="Times New Roman" w:hAnsi="Times New Roman"/>
              </w:rPr>
              <w:t xml:space="preserve"> </w:t>
            </w:r>
            <w:r w:rsidRPr="002012FE">
              <w:rPr>
                <w:rFonts w:ascii="Times New Roman" w:hAnsi="Times New Roman"/>
              </w:rPr>
              <w:t>(žr. 4.</w:t>
            </w:r>
            <w:r>
              <w:rPr>
                <w:rFonts w:ascii="Times New Roman" w:hAnsi="Times New Roman"/>
              </w:rPr>
              <w:t>4</w:t>
            </w:r>
            <w:r w:rsidR="00F349B3">
              <w:rPr>
                <w:rFonts w:ascii="Times New Roman" w:hAnsi="Times New Roman"/>
              </w:rPr>
              <w:t> </w:t>
            </w:r>
            <w:r w:rsidRPr="002012FE">
              <w:rPr>
                <w:rFonts w:ascii="Times New Roman" w:hAnsi="Times New Roman"/>
              </w:rPr>
              <w:t>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Limfadenopatija</w:t>
            </w:r>
            <w:r w:rsidRPr="00353EE7">
              <w:rPr>
                <w:rFonts w:ascii="Times New Roman" w:hAnsi="Times New Roman"/>
                <w:vertAlign w:val="superscript"/>
              </w:rPr>
              <w:t xml:space="preserve"> 1</w:t>
            </w:r>
          </w:p>
        </w:tc>
        <w:tc>
          <w:tcPr>
            <w:tcW w:w="2009" w:type="dxa"/>
          </w:tcPr>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p>
          <w:p w:rsidR="00385AEF" w:rsidRDefault="00385AEF" w:rsidP="00385AEF">
            <w:pPr>
              <w:spacing w:after="0" w:line="240" w:lineRule="auto"/>
              <w:ind w:left="-18" w:firstLine="18"/>
              <w:rPr>
                <w:rFonts w:ascii="Times New Roman" w:hAnsi="Times New Roman"/>
              </w:rPr>
            </w:pPr>
            <w:r w:rsidRPr="00353EE7">
              <w:rPr>
                <w:rFonts w:ascii="Times New Roman" w:hAnsi="Times New Roman"/>
              </w:rPr>
              <w:t>Labai reti</w:t>
            </w:r>
          </w:p>
          <w:p w:rsidR="00385AEF" w:rsidRDefault="00385AEF" w:rsidP="00385AEF">
            <w:pPr>
              <w:spacing w:after="0" w:line="240" w:lineRule="auto"/>
              <w:ind w:left="-18" w:firstLine="18"/>
              <w:rPr>
                <w:rFonts w:ascii="Times New Roman" w:hAnsi="Times New Roman"/>
              </w:rPr>
            </w:pPr>
          </w:p>
          <w:p w:rsidR="00385AEF" w:rsidRDefault="00385AEF" w:rsidP="00385AEF">
            <w:pPr>
              <w:spacing w:after="0" w:line="240" w:lineRule="auto"/>
              <w:ind w:left="-18" w:firstLine="18"/>
              <w:rPr>
                <w:rFonts w:ascii="Times New Roman" w:hAnsi="Times New Roman"/>
              </w:rPr>
            </w:pPr>
            <w:r>
              <w:rPr>
                <w:rFonts w:ascii="Times New Roman" w:hAnsi="Times New Roman"/>
              </w:rPr>
              <w:t>Labai reti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p>
          <w:p w:rsidR="00385AEF" w:rsidRDefault="00385AEF" w:rsidP="00385AEF">
            <w:pPr>
              <w:spacing w:after="0" w:line="240" w:lineRule="auto"/>
              <w:ind w:left="-18" w:firstLine="18"/>
              <w:rPr>
                <w:rFonts w:ascii="Times New Roman" w:hAnsi="Times New Roman"/>
              </w:rPr>
            </w:pPr>
            <w:r w:rsidRPr="00353EE7">
              <w:rPr>
                <w:rFonts w:ascii="Times New Roman" w:hAnsi="Times New Roman"/>
              </w:rPr>
              <w:t>Dažnis nežinomas</w:t>
            </w:r>
          </w:p>
          <w:p w:rsidR="00F349B3" w:rsidRPr="00353EE7" w:rsidRDefault="00F349B3" w:rsidP="00385AEF">
            <w:pPr>
              <w:spacing w:after="0" w:line="240" w:lineRule="auto"/>
              <w:ind w:left="-18" w:firstLine="18"/>
              <w:rPr>
                <w:rFonts w:ascii="Times New Roman" w:hAnsi="Times New Roman"/>
                <w:b/>
              </w:rPr>
            </w:pP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Imuninės sistemos sutrikimai</w:t>
            </w:r>
          </w:p>
        </w:tc>
        <w:tc>
          <w:tcPr>
            <w:tcW w:w="5040" w:type="dxa"/>
          </w:tcPr>
          <w:p w:rsidR="00385AEF" w:rsidRDefault="00385AEF" w:rsidP="00385AEF">
            <w:pPr>
              <w:spacing w:after="0" w:line="240" w:lineRule="auto"/>
              <w:rPr>
                <w:rFonts w:ascii="Times New Roman" w:hAnsi="Times New Roman"/>
              </w:rPr>
            </w:pPr>
            <w:bookmarkStart w:id="33" w:name="_Hlk54714823"/>
            <w:r w:rsidRPr="00353EE7">
              <w:rPr>
                <w:rFonts w:ascii="Times New Roman" w:hAnsi="Times New Roman"/>
              </w:rPr>
              <w:t xml:space="preserve">Padidėjusio jautrumo sindromas </w:t>
            </w:r>
            <w:r w:rsidRPr="00353EE7">
              <w:rPr>
                <w:rFonts w:ascii="Times New Roman" w:hAnsi="Times New Roman"/>
                <w:vertAlign w:val="superscript"/>
              </w:rPr>
              <w:t>2</w:t>
            </w:r>
            <w:r w:rsidRPr="00353EE7">
              <w:rPr>
                <w:rFonts w:ascii="Times New Roman" w:hAnsi="Times New Roman"/>
              </w:rPr>
              <w:t xml:space="preserve"> </w:t>
            </w:r>
          </w:p>
          <w:p w:rsidR="00385AEF" w:rsidRDefault="00385AEF" w:rsidP="00385AEF">
            <w:pPr>
              <w:spacing w:after="0" w:line="240" w:lineRule="auto"/>
              <w:rPr>
                <w:rFonts w:ascii="Times New Roman" w:hAnsi="Times New Roman"/>
              </w:rPr>
            </w:pPr>
          </w:p>
          <w:p w:rsidR="00385AEF" w:rsidRPr="00F349B3" w:rsidRDefault="00385AEF" w:rsidP="00385AEF">
            <w:pPr>
              <w:spacing w:after="0" w:line="240" w:lineRule="auto"/>
              <w:rPr>
                <w:rFonts w:ascii="Times New Roman" w:hAnsi="Times New Roman"/>
                <w:b/>
              </w:rPr>
            </w:pPr>
            <w:r w:rsidRPr="005212C6">
              <w:rPr>
                <w:rFonts w:ascii="Times New Roman" w:hAnsi="Times New Roman"/>
              </w:rPr>
              <w:t>Hipogamaglobulinemija</w:t>
            </w:r>
            <w:bookmarkEnd w:id="33"/>
          </w:p>
        </w:tc>
        <w:tc>
          <w:tcPr>
            <w:tcW w:w="2009" w:type="dxa"/>
          </w:tcPr>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p>
          <w:p w:rsidR="00385AEF" w:rsidRDefault="00385AEF" w:rsidP="00385AEF">
            <w:pPr>
              <w:spacing w:after="0" w:line="240" w:lineRule="auto"/>
              <w:ind w:left="-18" w:firstLine="18"/>
              <w:rPr>
                <w:rFonts w:ascii="Times New Roman" w:hAnsi="Times New Roman"/>
              </w:rPr>
            </w:pPr>
            <w:r w:rsidRPr="00353EE7">
              <w:rPr>
                <w:rFonts w:ascii="Times New Roman" w:hAnsi="Times New Roman"/>
              </w:rPr>
              <w:t>Labai reti</w:t>
            </w:r>
          </w:p>
          <w:p w:rsidR="00385AEF" w:rsidRDefault="00385AEF" w:rsidP="00385AEF">
            <w:pPr>
              <w:spacing w:after="0" w:line="240" w:lineRule="auto"/>
              <w:ind w:left="-18" w:firstLine="18"/>
              <w:rPr>
                <w:rFonts w:ascii="Times New Roman" w:hAnsi="Times New Roman"/>
              </w:rPr>
            </w:pPr>
          </w:p>
          <w:p w:rsidR="00385AEF" w:rsidRDefault="00385AEF" w:rsidP="00385AEF">
            <w:pPr>
              <w:spacing w:after="0" w:line="240" w:lineRule="auto"/>
              <w:ind w:left="-18" w:firstLine="18"/>
              <w:rPr>
                <w:rFonts w:ascii="Times New Roman" w:hAnsi="Times New Roman"/>
              </w:rPr>
            </w:pPr>
            <w:r>
              <w:rPr>
                <w:rFonts w:ascii="Times New Roman" w:hAnsi="Times New Roman"/>
              </w:rPr>
              <w:t>Dažnis nežinomas</w:t>
            </w:r>
          </w:p>
          <w:p w:rsidR="00F349B3" w:rsidRPr="00353EE7" w:rsidRDefault="00F349B3" w:rsidP="00385AEF">
            <w:pPr>
              <w:spacing w:after="0" w:line="240" w:lineRule="auto"/>
              <w:ind w:left="-18" w:firstLine="18"/>
              <w:rPr>
                <w:rFonts w:ascii="Times New Roman" w:hAnsi="Times New Roman"/>
                <w:b/>
              </w:rPr>
            </w:pP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Psichikos sutrikimai</w:t>
            </w:r>
          </w:p>
        </w:tc>
        <w:tc>
          <w:tcPr>
            <w:tcW w:w="504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Agresyvumas, dirglumas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Konfūzija, haliucinacijos, tikai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Košmarai</w:t>
            </w:r>
          </w:p>
        </w:tc>
        <w:tc>
          <w:tcPr>
            <w:tcW w:w="2009" w:type="dxa"/>
          </w:tcPr>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Dažni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Labai reti</w:t>
            </w:r>
          </w:p>
          <w:p w:rsidR="00385AEF" w:rsidRPr="00353EE7" w:rsidRDefault="00385AEF" w:rsidP="00385AEF">
            <w:pPr>
              <w:spacing w:after="0" w:line="240" w:lineRule="auto"/>
              <w:ind w:left="-18" w:firstLine="18"/>
              <w:rPr>
                <w:rFonts w:ascii="Times New Roman" w:hAnsi="Times New Roman"/>
              </w:rPr>
            </w:pPr>
          </w:p>
          <w:p w:rsidR="00385AEF" w:rsidRDefault="00385AEF" w:rsidP="00385AEF">
            <w:pPr>
              <w:spacing w:after="0" w:line="240" w:lineRule="auto"/>
              <w:ind w:left="-18" w:firstLine="18"/>
              <w:rPr>
                <w:rFonts w:ascii="Times New Roman" w:hAnsi="Times New Roman"/>
              </w:rPr>
            </w:pPr>
            <w:r w:rsidRPr="00353EE7">
              <w:rPr>
                <w:rFonts w:ascii="Times New Roman" w:hAnsi="Times New Roman"/>
              </w:rPr>
              <w:t>Dažnis nežinomas</w:t>
            </w:r>
          </w:p>
          <w:p w:rsidR="00F349B3" w:rsidRPr="00353EE7" w:rsidRDefault="00F349B3" w:rsidP="00385AEF">
            <w:pPr>
              <w:spacing w:after="0" w:line="240" w:lineRule="auto"/>
              <w:ind w:left="-18" w:firstLine="18"/>
              <w:rPr>
                <w:rFonts w:ascii="Times New Roman" w:hAnsi="Times New Roman"/>
                <w:b/>
              </w:rPr>
            </w:pP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Nervų sistemos sutrikimai</w:t>
            </w:r>
          </w:p>
        </w:tc>
        <w:tc>
          <w:tcPr>
            <w:tcW w:w="504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Galvos skausmas</w:t>
            </w:r>
            <w:r w:rsidRPr="00353EE7">
              <w:rPr>
                <w:rFonts w:ascii="Times New Roman" w:hAnsi="Times New Roman"/>
                <w:vertAlign w:val="superscript"/>
              </w:rPr>
              <w:t xml:space="preserv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vertAlign w:val="superscript"/>
              </w:rPr>
            </w:pPr>
            <w:r w:rsidRPr="00353EE7">
              <w:rPr>
                <w:rFonts w:ascii="Times New Roman" w:hAnsi="Times New Roman"/>
              </w:rPr>
              <w:t xml:space="preserve">Somnolencija </w:t>
            </w:r>
            <w:r w:rsidRPr="00353EE7">
              <w:rPr>
                <w:rFonts w:ascii="Times New Roman" w:hAnsi="Times New Roman"/>
                <w:vertAlign w:val="superscript"/>
              </w:rPr>
              <w:t>†§</w:t>
            </w:r>
            <w:r w:rsidRPr="00353EE7">
              <w:rPr>
                <w:rFonts w:ascii="Times New Roman" w:hAnsi="Times New Roman"/>
              </w:rPr>
              <w:t xml:space="preserve">, svaigulys </w:t>
            </w:r>
            <w:r w:rsidRPr="00353EE7">
              <w:rPr>
                <w:rFonts w:ascii="Times New Roman" w:hAnsi="Times New Roman"/>
                <w:vertAlign w:val="superscript"/>
              </w:rPr>
              <w:t>†§</w:t>
            </w:r>
            <w:r w:rsidRPr="00353EE7">
              <w:rPr>
                <w:rFonts w:ascii="Times New Roman" w:hAnsi="Times New Roman"/>
              </w:rPr>
              <w:t xml:space="preserve">, drebulys </w:t>
            </w:r>
            <w:r w:rsidRPr="00353EE7">
              <w:rPr>
                <w:rFonts w:ascii="Times New Roman" w:hAnsi="Times New Roman"/>
                <w:vertAlign w:val="superscript"/>
              </w:rPr>
              <w:t>†</w:t>
            </w:r>
            <w:r w:rsidRPr="00353EE7">
              <w:rPr>
                <w:rFonts w:ascii="Times New Roman" w:hAnsi="Times New Roman"/>
              </w:rPr>
              <w:t xml:space="preserve">, nemiga </w:t>
            </w:r>
            <w:r w:rsidRPr="00353EE7">
              <w:rPr>
                <w:rFonts w:ascii="Times New Roman" w:hAnsi="Times New Roman"/>
                <w:vertAlign w:val="superscript"/>
              </w:rPr>
              <w:t>†</w:t>
            </w:r>
            <w:r w:rsidRPr="00353EE7">
              <w:rPr>
                <w:rFonts w:ascii="Times New Roman" w:hAnsi="Times New Roman"/>
              </w:rPr>
              <w:t xml:space="preserve">, susijaudinimas </w:t>
            </w:r>
            <w:r w:rsidRPr="00353EE7">
              <w:rPr>
                <w:rFonts w:ascii="Times New Roman" w:hAnsi="Times New Roman"/>
                <w:vertAlign w:val="superscript"/>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Ataksija </w:t>
            </w:r>
            <w:r w:rsidRPr="00353EE7">
              <w:rPr>
                <w:rFonts w:ascii="Times New Roman" w:hAnsi="Times New Roman"/>
                <w:vertAlign w:val="superscript"/>
              </w:rPr>
              <w:t>†</w:t>
            </w:r>
          </w:p>
          <w:p w:rsidR="00385AEF" w:rsidRPr="00353EE7" w:rsidRDefault="00385AEF" w:rsidP="00385AEF">
            <w:pPr>
              <w:spacing w:after="0" w:line="240" w:lineRule="auto"/>
              <w:rPr>
                <w:rFonts w:ascii="Times New Roman" w:hAnsi="Times New Roman"/>
              </w:rPr>
            </w:pPr>
          </w:p>
          <w:p w:rsidR="00385AEF" w:rsidRPr="00F349B3" w:rsidRDefault="00385AEF" w:rsidP="00385AEF">
            <w:pPr>
              <w:spacing w:after="0" w:line="240" w:lineRule="auto"/>
              <w:rPr>
                <w:rFonts w:ascii="Times New Roman" w:hAnsi="Times New Roman"/>
              </w:rPr>
            </w:pPr>
            <w:r w:rsidRPr="00353EE7">
              <w:rPr>
                <w:rFonts w:ascii="Times New Roman" w:hAnsi="Times New Roman"/>
              </w:rPr>
              <w:t xml:space="preserve">Nistagmas </w:t>
            </w:r>
            <w:r w:rsidRPr="00353EE7">
              <w:rPr>
                <w:rFonts w:ascii="Times New Roman" w:hAnsi="Times New Roman"/>
                <w:vertAlign w:val="superscript"/>
              </w:rPr>
              <w:t>†</w:t>
            </w:r>
            <w:r w:rsidR="00F349B3">
              <w:rPr>
                <w:rFonts w:ascii="Times New Roman" w:hAnsi="Times New Roman"/>
              </w:rPr>
              <w:t>, a</w:t>
            </w:r>
            <w:r w:rsidR="00F349B3" w:rsidRPr="00353EE7">
              <w:rPr>
                <w:rFonts w:ascii="Times New Roman" w:hAnsi="Times New Roman"/>
              </w:rPr>
              <w:t>septinis meningitas</w:t>
            </w:r>
            <w:r w:rsidR="00F349B3" w:rsidRPr="00353EE7">
              <w:rPr>
                <w:rFonts w:ascii="Times New Roman" w:hAnsi="Times New Roman"/>
                <w:vertAlign w:val="superscript"/>
              </w:rPr>
              <w:t xml:space="preserve"> </w:t>
            </w:r>
            <w:r w:rsidR="00F349B3" w:rsidRPr="00353EE7">
              <w:rPr>
                <w:rFonts w:ascii="Times New Roman" w:hAnsi="Times New Roman"/>
              </w:rPr>
              <w:t>(žr. 4.4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Pusiausvyros sutrikimas, judėjimo sutrikimai, Parkinsono</w:t>
            </w:r>
            <w:r>
              <w:rPr>
                <w:rFonts w:ascii="Times New Roman" w:hAnsi="Times New Roman"/>
              </w:rPr>
              <w:t xml:space="preserve"> (</w:t>
            </w:r>
            <w:r>
              <w:rPr>
                <w:rFonts w:ascii="Times New Roman" w:hAnsi="Times New Roman"/>
                <w:i/>
              </w:rPr>
              <w:t>Parkinson</w:t>
            </w:r>
            <w:r>
              <w:rPr>
                <w:rFonts w:ascii="Times New Roman" w:hAnsi="Times New Roman"/>
              </w:rPr>
              <w:t>)</w:t>
            </w:r>
            <w:r w:rsidRPr="00353EE7">
              <w:rPr>
                <w:rFonts w:ascii="Times New Roman" w:hAnsi="Times New Roman"/>
              </w:rPr>
              <w:t xml:space="preserve"> ligos pasunkėjimas </w:t>
            </w:r>
            <w:r w:rsidRPr="00353EE7">
              <w:rPr>
                <w:rFonts w:ascii="Times New Roman" w:hAnsi="Times New Roman"/>
                <w:vertAlign w:val="superscript"/>
              </w:rPr>
              <w:t>3</w:t>
            </w:r>
            <w:r w:rsidRPr="00353EE7">
              <w:rPr>
                <w:rFonts w:ascii="Times New Roman" w:hAnsi="Times New Roman"/>
              </w:rPr>
              <w:t xml:space="preserve">, ekstrapiramidinis poveikis, choreoatetozė </w:t>
            </w:r>
            <w:r w:rsidRPr="00353EE7">
              <w:rPr>
                <w:rFonts w:ascii="Times New Roman" w:hAnsi="Times New Roman"/>
                <w:vertAlign w:val="superscript"/>
              </w:rPr>
              <w:t>†</w:t>
            </w:r>
            <w:r w:rsidRPr="00353EE7">
              <w:rPr>
                <w:rFonts w:ascii="Times New Roman" w:hAnsi="Times New Roman"/>
              </w:rPr>
              <w:t xml:space="preserve">, priepuolių padažnėjimas </w:t>
            </w:r>
          </w:p>
          <w:p w:rsidR="00385AEF" w:rsidRPr="00353EE7" w:rsidRDefault="00385AEF" w:rsidP="00385AEF">
            <w:pPr>
              <w:spacing w:after="0" w:line="240" w:lineRule="auto"/>
              <w:rPr>
                <w:rFonts w:ascii="Times New Roman" w:hAnsi="Times New Roman"/>
                <w:b/>
              </w:rPr>
            </w:pPr>
          </w:p>
        </w:tc>
        <w:tc>
          <w:tcPr>
            <w:tcW w:w="2009" w:type="dxa"/>
          </w:tcPr>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Labai dažni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Dažni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Nedažni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Reti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Labai reti</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Akių sutrikimai</w:t>
            </w:r>
          </w:p>
        </w:tc>
        <w:tc>
          <w:tcPr>
            <w:tcW w:w="504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Dvejinimasis akyse </w:t>
            </w:r>
            <w:r w:rsidRPr="00353EE7">
              <w:rPr>
                <w:rFonts w:ascii="Times New Roman" w:hAnsi="Times New Roman"/>
                <w:vertAlign w:val="superscript"/>
              </w:rPr>
              <w:t>†</w:t>
            </w:r>
            <w:r w:rsidRPr="00353EE7">
              <w:rPr>
                <w:rFonts w:ascii="Times New Roman" w:hAnsi="Times New Roman"/>
              </w:rPr>
              <w:t xml:space="preserve">, miglotas matymas </w:t>
            </w:r>
            <w:r w:rsidRPr="00353EE7">
              <w:rPr>
                <w:rFonts w:ascii="Times New Roman" w:hAnsi="Times New Roman"/>
                <w:vertAlign w:val="superscript"/>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Konjunktyvitas</w:t>
            </w:r>
          </w:p>
        </w:tc>
        <w:tc>
          <w:tcPr>
            <w:tcW w:w="2009" w:type="dxa"/>
          </w:tcPr>
          <w:p w:rsidR="00385AEF" w:rsidRPr="00353EE7" w:rsidRDefault="00385AEF" w:rsidP="00385AEF">
            <w:pPr>
              <w:spacing w:after="0" w:line="240" w:lineRule="auto"/>
              <w:ind w:left="-17" w:firstLine="17"/>
              <w:rPr>
                <w:rFonts w:ascii="Times New Roman" w:hAnsi="Times New Roman"/>
              </w:rPr>
            </w:pPr>
            <w:r w:rsidRPr="00353EE7">
              <w:rPr>
                <w:rFonts w:ascii="Times New Roman" w:hAnsi="Times New Roman"/>
              </w:rPr>
              <w:t>Nedažni</w:t>
            </w:r>
          </w:p>
          <w:p w:rsidR="00385AEF" w:rsidRPr="00353EE7" w:rsidRDefault="00385AEF" w:rsidP="00385AEF">
            <w:pPr>
              <w:spacing w:after="0" w:line="240" w:lineRule="auto"/>
              <w:ind w:left="-17" w:firstLine="17"/>
              <w:rPr>
                <w:rFonts w:ascii="Times New Roman" w:hAnsi="Times New Roman"/>
              </w:rPr>
            </w:pPr>
          </w:p>
          <w:p w:rsidR="00385AEF" w:rsidRDefault="00385AEF" w:rsidP="00385AEF">
            <w:pPr>
              <w:spacing w:after="0" w:line="240" w:lineRule="auto"/>
              <w:ind w:left="-18" w:firstLine="18"/>
              <w:rPr>
                <w:rFonts w:ascii="Times New Roman" w:hAnsi="Times New Roman"/>
              </w:rPr>
            </w:pPr>
            <w:r w:rsidRPr="00353EE7">
              <w:rPr>
                <w:rFonts w:ascii="Times New Roman" w:hAnsi="Times New Roman"/>
              </w:rPr>
              <w:t>Reti</w:t>
            </w:r>
          </w:p>
          <w:p w:rsidR="00E557F3" w:rsidRPr="00353EE7" w:rsidRDefault="00E557F3" w:rsidP="00385AEF">
            <w:pPr>
              <w:spacing w:after="0" w:line="240" w:lineRule="auto"/>
              <w:ind w:left="-18" w:firstLine="18"/>
              <w:rPr>
                <w:rFonts w:ascii="Times New Roman" w:hAnsi="Times New Roman"/>
                <w:b/>
              </w:rPr>
            </w:pP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Virškinimo trakto sutrikimai</w:t>
            </w:r>
          </w:p>
        </w:tc>
        <w:tc>
          <w:tcPr>
            <w:tcW w:w="5040" w:type="dxa"/>
          </w:tcPr>
          <w:p w:rsidR="00385AEF" w:rsidRDefault="00385AEF" w:rsidP="00385AEF">
            <w:pPr>
              <w:spacing w:after="0" w:line="240" w:lineRule="auto"/>
              <w:rPr>
                <w:rFonts w:ascii="Times New Roman" w:hAnsi="Times New Roman"/>
              </w:rPr>
            </w:pPr>
            <w:r w:rsidRPr="00353EE7">
              <w:rPr>
                <w:rFonts w:ascii="Times New Roman" w:hAnsi="Times New Roman"/>
              </w:rPr>
              <w:t xml:space="preserve">Pykinimas </w:t>
            </w:r>
            <w:r w:rsidRPr="00353EE7">
              <w:rPr>
                <w:rFonts w:ascii="Times New Roman" w:hAnsi="Times New Roman"/>
                <w:vertAlign w:val="superscript"/>
              </w:rPr>
              <w:t>†</w:t>
            </w:r>
            <w:r w:rsidRPr="00353EE7">
              <w:rPr>
                <w:rFonts w:ascii="Times New Roman" w:hAnsi="Times New Roman"/>
              </w:rPr>
              <w:t xml:space="preserve">, vėmimas </w:t>
            </w:r>
            <w:r w:rsidRPr="00353EE7">
              <w:rPr>
                <w:rFonts w:ascii="Times New Roman" w:hAnsi="Times New Roman"/>
                <w:vertAlign w:val="superscript"/>
              </w:rPr>
              <w:t>†</w:t>
            </w:r>
            <w:r w:rsidRPr="00353EE7">
              <w:rPr>
                <w:rFonts w:ascii="Times New Roman" w:hAnsi="Times New Roman"/>
              </w:rPr>
              <w:t xml:space="preserve">, viduriavimas </w:t>
            </w:r>
            <w:r w:rsidRPr="00353EE7">
              <w:rPr>
                <w:rFonts w:ascii="Times New Roman" w:hAnsi="Times New Roman"/>
                <w:vertAlign w:val="superscript"/>
              </w:rPr>
              <w:t>†</w:t>
            </w:r>
            <w:r w:rsidRPr="00353EE7">
              <w:rPr>
                <w:rFonts w:ascii="Times New Roman" w:hAnsi="Times New Roman"/>
              </w:rPr>
              <w:t xml:space="preserve">, burnos džiūvimas </w:t>
            </w:r>
            <w:r w:rsidRPr="00353EE7">
              <w:rPr>
                <w:rFonts w:ascii="Times New Roman" w:hAnsi="Times New Roman"/>
                <w:vertAlign w:val="superscript"/>
              </w:rPr>
              <w:t>§</w:t>
            </w:r>
          </w:p>
          <w:p w:rsidR="00E557F3" w:rsidRPr="005212C6" w:rsidRDefault="00E557F3" w:rsidP="00385AEF">
            <w:pPr>
              <w:spacing w:after="0" w:line="240" w:lineRule="auto"/>
              <w:rPr>
                <w:rFonts w:ascii="Times New Roman" w:hAnsi="Times New Roman"/>
              </w:rPr>
            </w:pPr>
          </w:p>
        </w:tc>
        <w:tc>
          <w:tcPr>
            <w:tcW w:w="2009" w:type="dxa"/>
          </w:tcPr>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Dažni</w:t>
            </w: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Kepenų, tulžies pūslės ir latakų sutrikimai</w:t>
            </w:r>
          </w:p>
        </w:tc>
        <w:tc>
          <w:tcPr>
            <w:tcW w:w="504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 xml:space="preserve">Kepenų nepakankamumas, kepenų funkcijos sutrikimas </w:t>
            </w:r>
            <w:r w:rsidRPr="00353EE7">
              <w:rPr>
                <w:rFonts w:ascii="Times New Roman" w:hAnsi="Times New Roman"/>
                <w:vertAlign w:val="superscript"/>
              </w:rPr>
              <w:t>4</w:t>
            </w:r>
            <w:r w:rsidRPr="00353EE7">
              <w:rPr>
                <w:rFonts w:ascii="Times New Roman" w:hAnsi="Times New Roman"/>
              </w:rPr>
              <w:t>, kepenų funkcijos rodmenų padidėjimas</w:t>
            </w:r>
          </w:p>
        </w:tc>
        <w:tc>
          <w:tcPr>
            <w:tcW w:w="2009" w:type="dxa"/>
          </w:tcPr>
          <w:p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rPr>
              <w:t>Labai reti</w:t>
            </w: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Odos ir poodinio audinio sutrikimai</w:t>
            </w:r>
          </w:p>
        </w:tc>
        <w:tc>
          <w:tcPr>
            <w:tcW w:w="5040" w:type="dxa"/>
          </w:tcPr>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Odos išbėrimas </w:t>
            </w:r>
            <w:r w:rsidRPr="00353EE7">
              <w:rPr>
                <w:rFonts w:ascii="Times New Roman" w:hAnsi="Times New Roman"/>
                <w:vertAlign w:val="superscript"/>
              </w:rPr>
              <w:t>5†§</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Alopecija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vertAlign w:val="superscript"/>
              </w:rPr>
            </w:pPr>
            <w:r>
              <w:rPr>
                <w:rFonts w:ascii="Times New Roman" w:hAnsi="Times New Roman"/>
              </w:rPr>
              <w:t>Stivenso-Džonsono (</w:t>
            </w:r>
            <w:r w:rsidRPr="00353EE7">
              <w:rPr>
                <w:rFonts w:ascii="Times New Roman" w:hAnsi="Times New Roman"/>
                <w:i/>
              </w:rPr>
              <w:t>Stevens–Johnson</w:t>
            </w:r>
            <w:r>
              <w:rPr>
                <w:rFonts w:ascii="Times New Roman" w:hAnsi="Times New Roman"/>
              </w:rPr>
              <w:t>)</w:t>
            </w:r>
            <w:r w:rsidRPr="00353EE7">
              <w:rPr>
                <w:rFonts w:ascii="Times New Roman" w:hAnsi="Times New Roman"/>
                <w:i/>
              </w:rPr>
              <w:t xml:space="preserve"> </w:t>
            </w:r>
            <w:r w:rsidRPr="00353EE7">
              <w:rPr>
                <w:rFonts w:ascii="Times New Roman" w:hAnsi="Times New Roman"/>
              </w:rPr>
              <w:t xml:space="preserve">sindromas </w:t>
            </w:r>
            <w:r w:rsidRPr="00353EE7">
              <w:rPr>
                <w:rFonts w:ascii="Times New Roman" w:hAnsi="Times New Roman"/>
                <w:vertAlign w:val="superscript"/>
              </w:rPr>
              <w:t>§</w:t>
            </w:r>
          </w:p>
          <w:p w:rsidR="00385AEF" w:rsidRPr="00353EE7" w:rsidRDefault="00385AEF" w:rsidP="00385AEF">
            <w:pPr>
              <w:spacing w:after="0" w:line="240" w:lineRule="auto"/>
              <w:rPr>
                <w:rFonts w:ascii="Times New Roman" w:hAnsi="Times New Roman"/>
              </w:rPr>
            </w:pPr>
          </w:p>
          <w:p w:rsidR="00385AEF" w:rsidRPr="0065550C" w:rsidRDefault="00385AEF" w:rsidP="00385AEF">
            <w:pPr>
              <w:spacing w:after="0" w:line="240" w:lineRule="auto"/>
              <w:rPr>
                <w:rFonts w:ascii="Times New Roman" w:hAnsi="Times New Roman"/>
              </w:rPr>
            </w:pPr>
            <w:r w:rsidRPr="00353EE7">
              <w:rPr>
                <w:rFonts w:ascii="Times New Roman" w:hAnsi="Times New Roman"/>
              </w:rPr>
              <w:t>Toksinė epidermio nekrolizė</w:t>
            </w:r>
          </w:p>
          <w:p w:rsidR="00385AEF" w:rsidRPr="00353EE7" w:rsidRDefault="00385AEF" w:rsidP="00385AEF">
            <w:pPr>
              <w:spacing w:after="0" w:line="240" w:lineRule="auto"/>
              <w:rPr>
                <w:rFonts w:ascii="Times New Roman" w:hAnsi="Times New Roman"/>
              </w:rPr>
            </w:pPr>
          </w:p>
          <w:p w:rsidR="00385AEF" w:rsidRDefault="00385AEF" w:rsidP="00385AEF">
            <w:pPr>
              <w:spacing w:after="0" w:line="240" w:lineRule="auto"/>
              <w:rPr>
                <w:rFonts w:ascii="Times New Roman" w:hAnsi="Times New Roman"/>
              </w:rPr>
            </w:pPr>
            <w:r w:rsidRPr="00353EE7">
              <w:rPr>
                <w:rFonts w:ascii="Times New Roman" w:hAnsi="Times New Roman"/>
              </w:rPr>
              <w:t>Reakcija į vaistinį preparatą, pasireiškianti kartu su eozinofilija ir sisteminiais simptomais</w:t>
            </w:r>
            <w:r w:rsidR="00D77262" w:rsidRPr="00202951">
              <w:rPr>
                <w:vertAlign w:val="superscript"/>
                <w:lang w:val="en-US"/>
              </w:rPr>
              <w:t>2</w:t>
            </w:r>
          </w:p>
          <w:p w:rsidR="00E557F3" w:rsidRPr="00353EE7" w:rsidRDefault="00E557F3" w:rsidP="00385AEF">
            <w:pPr>
              <w:spacing w:after="0" w:line="240" w:lineRule="auto"/>
              <w:rPr>
                <w:rFonts w:ascii="Times New Roman" w:hAnsi="Times New Roman"/>
                <w:b/>
              </w:rPr>
            </w:pPr>
          </w:p>
        </w:tc>
        <w:tc>
          <w:tcPr>
            <w:tcW w:w="2009" w:type="dxa"/>
          </w:tcPr>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lastRenderedPageBreak/>
              <w:t>Labai dažni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7" w:firstLine="17"/>
              <w:rPr>
                <w:rFonts w:ascii="Times New Roman" w:hAnsi="Times New Roman"/>
              </w:rPr>
            </w:pPr>
            <w:r w:rsidRPr="00353EE7">
              <w:rPr>
                <w:rFonts w:ascii="Times New Roman" w:hAnsi="Times New Roman"/>
              </w:rPr>
              <w:t>Nedažni</w:t>
            </w:r>
          </w:p>
          <w:p w:rsidR="00385AEF" w:rsidRPr="00353EE7" w:rsidRDefault="00385AEF" w:rsidP="00385AEF">
            <w:pPr>
              <w:spacing w:after="0" w:line="240" w:lineRule="auto"/>
              <w:ind w:left="-17" w:firstLine="17"/>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Reti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Labai reti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rPr>
              <w:t>Labai reti</w:t>
            </w:r>
          </w:p>
        </w:tc>
      </w:tr>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lastRenderedPageBreak/>
              <w:t>Skeleto, raumenų ir jungiamojo audinio sutrikimai</w:t>
            </w:r>
          </w:p>
        </w:tc>
        <w:tc>
          <w:tcPr>
            <w:tcW w:w="5040" w:type="dxa"/>
          </w:tcPr>
          <w:p w:rsidR="00385AEF" w:rsidRPr="00353EE7" w:rsidRDefault="00385AEF" w:rsidP="00385AEF">
            <w:pPr>
              <w:spacing w:after="0" w:line="240" w:lineRule="auto"/>
              <w:rPr>
                <w:rFonts w:ascii="Times New Roman" w:hAnsi="Times New Roman"/>
                <w:vertAlign w:val="superscript"/>
              </w:rPr>
            </w:pPr>
            <w:r w:rsidRPr="00353EE7">
              <w:rPr>
                <w:rFonts w:ascii="Times New Roman" w:hAnsi="Times New Roman"/>
              </w:rPr>
              <w:t xml:space="preserve">Artralgija </w:t>
            </w:r>
            <w:r w:rsidRPr="00353EE7">
              <w:rPr>
                <w:rFonts w:ascii="Times New Roman" w:hAnsi="Times New Roman"/>
                <w:vertAlign w:val="superscript"/>
              </w:rPr>
              <w:t>§</w:t>
            </w:r>
          </w:p>
          <w:p w:rsidR="00385AEF" w:rsidRPr="00353EE7" w:rsidRDefault="00385AEF" w:rsidP="00385AEF">
            <w:pPr>
              <w:spacing w:after="0" w:line="240" w:lineRule="auto"/>
              <w:rPr>
                <w:rFonts w:ascii="Times New Roman" w:hAnsi="Times New Roman"/>
              </w:rPr>
            </w:pPr>
          </w:p>
          <w:p w:rsidR="00385AEF" w:rsidRDefault="00385AEF" w:rsidP="00385AEF">
            <w:pPr>
              <w:spacing w:after="0" w:line="240" w:lineRule="auto"/>
              <w:rPr>
                <w:rFonts w:ascii="Times New Roman" w:hAnsi="Times New Roman"/>
              </w:rPr>
            </w:pPr>
            <w:r w:rsidRPr="00353EE7">
              <w:rPr>
                <w:rFonts w:ascii="Times New Roman" w:hAnsi="Times New Roman"/>
              </w:rPr>
              <w:t>Į raudonąją vilkligę panašios reakcijos</w:t>
            </w:r>
          </w:p>
          <w:p w:rsidR="00E557F3" w:rsidRPr="00353EE7" w:rsidRDefault="00E557F3" w:rsidP="00385AEF">
            <w:pPr>
              <w:spacing w:after="0" w:line="240" w:lineRule="auto"/>
              <w:rPr>
                <w:rFonts w:ascii="Times New Roman" w:hAnsi="Times New Roman"/>
                <w:b/>
              </w:rPr>
            </w:pPr>
          </w:p>
        </w:tc>
        <w:tc>
          <w:tcPr>
            <w:tcW w:w="2009" w:type="dxa"/>
          </w:tcPr>
          <w:p w:rsidR="00385AEF" w:rsidRPr="00353EE7" w:rsidRDefault="00385AEF" w:rsidP="00385AEF">
            <w:pPr>
              <w:spacing w:after="0" w:line="240" w:lineRule="auto"/>
              <w:ind w:left="-18" w:firstLine="18"/>
              <w:rPr>
                <w:rFonts w:ascii="Times New Roman" w:hAnsi="Times New Roman"/>
              </w:rPr>
            </w:pPr>
            <w:r w:rsidRPr="00353EE7">
              <w:rPr>
                <w:rFonts w:ascii="Times New Roman" w:hAnsi="Times New Roman"/>
              </w:rPr>
              <w:t>Dažni</w:t>
            </w:r>
          </w:p>
          <w:p w:rsidR="00385AEF" w:rsidRPr="00353EE7" w:rsidRDefault="00385AEF" w:rsidP="00385AEF">
            <w:pPr>
              <w:spacing w:after="0" w:line="240" w:lineRule="auto"/>
              <w:ind w:left="-18" w:firstLine="18"/>
              <w:rPr>
                <w:rFonts w:ascii="Times New Roman" w:hAnsi="Times New Roman"/>
              </w:rPr>
            </w:pPr>
          </w:p>
          <w:p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rPr>
              <w:t>Labai reti</w:t>
            </w:r>
          </w:p>
        </w:tc>
      </w:tr>
      <w:tr w:rsidR="00E557F3" w:rsidRPr="00591E78" w:rsidTr="00385AEF">
        <w:trPr>
          <w:tblHeader/>
        </w:trPr>
        <w:tc>
          <w:tcPr>
            <w:tcW w:w="2160" w:type="dxa"/>
          </w:tcPr>
          <w:p w:rsidR="00E557F3" w:rsidRPr="00353EE7" w:rsidRDefault="00E557F3" w:rsidP="00385AEF">
            <w:pPr>
              <w:spacing w:after="0" w:line="240" w:lineRule="auto"/>
              <w:rPr>
                <w:rFonts w:ascii="Times New Roman" w:hAnsi="Times New Roman"/>
              </w:rPr>
            </w:pPr>
            <w:bookmarkStart w:id="34" w:name="_Hlk54715166"/>
            <w:r w:rsidRPr="00362450">
              <w:rPr>
                <w:rFonts w:ascii="Times New Roman" w:hAnsi="Times New Roman"/>
              </w:rPr>
              <w:t>Inkstų ir šlapimo takų sutrikimai</w:t>
            </w:r>
          </w:p>
        </w:tc>
        <w:tc>
          <w:tcPr>
            <w:tcW w:w="5040" w:type="dxa"/>
          </w:tcPr>
          <w:p w:rsidR="00E557F3" w:rsidRDefault="00E557F3" w:rsidP="00385AEF">
            <w:pPr>
              <w:spacing w:after="0" w:line="240" w:lineRule="auto"/>
              <w:rPr>
                <w:rFonts w:ascii="Times New Roman" w:hAnsi="Times New Roman"/>
              </w:rPr>
            </w:pPr>
            <w:r w:rsidRPr="00E557F3">
              <w:rPr>
                <w:rFonts w:ascii="Times New Roman" w:hAnsi="Times New Roman"/>
              </w:rPr>
              <w:t>Tubulointersticinis nefritas, tubulointersticini</w:t>
            </w:r>
            <w:r>
              <w:rPr>
                <w:rFonts w:ascii="Times New Roman" w:hAnsi="Times New Roman"/>
              </w:rPr>
              <w:t>o</w:t>
            </w:r>
            <w:r w:rsidRPr="00E557F3">
              <w:rPr>
                <w:rFonts w:ascii="Times New Roman" w:hAnsi="Times New Roman"/>
              </w:rPr>
              <w:t xml:space="preserve"> nefrit</w:t>
            </w:r>
            <w:r>
              <w:rPr>
                <w:rFonts w:ascii="Times New Roman" w:hAnsi="Times New Roman"/>
              </w:rPr>
              <w:t>o</w:t>
            </w:r>
            <w:r w:rsidRPr="00E557F3">
              <w:rPr>
                <w:rFonts w:ascii="Times New Roman" w:hAnsi="Times New Roman"/>
              </w:rPr>
              <w:t xml:space="preserve"> ir uveito sindromas</w:t>
            </w:r>
          </w:p>
          <w:p w:rsidR="00E557F3" w:rsidRPr="00353EE7" w:rsidRDefault="00E557F3" w:rsidP="00385AEF">
            <w:pPr>
              <w:spacing w:after="0" w:line="240" w:lineRule="auto"/>
              <w:rPr>
                <w:rFonts w:ascii="Times New Roman" w:hAnsi="Times New Roman"/>
              </w:rPr>
            </w:pPr>
          </w:p>
        </w:tc>
        <w:tc>
          <w:tcPr>
            <w:tcW w:w="2009" w:type="dxa"/>
          </w:tcPr>
          <w:p w:rsidR="00E557F3" w:rsidRDefault="00E557F3" w:rsidP="00E557F3">
            <w:pPr>
              <w:spacing w:after="0" w:line="240" w:lineRule="auto"/>
              <w:ind w:left="-18" w:firstLine="18"/>
              <w:rPr>
                <w:rFonts w:ascii="Times New Roman" w:hAnsi="Times New Roman"/>
              </w:rPr>
            </w:pPr>
            <w:r w:rsidRPr="00353EE7">
              <w:rPr>
                <w:rFonts w:ascii="Times New Roman" w:hAnsi="Times New Roman"/>
              </w:rPr>
              <w:t>Dažnis nežinomas</w:t>
            </w:r>
          </w:p>
          <w:p w:rsidR="00E557F3" w:rsidRPr="00353EE7" w:rsidRDefault="00E557F3" w:rsidP="00385AEF">
            <w:pPr>
              <w:spacing w:after="0" w:line="240" w:lineRule="auto"/>
              <w:ind w:left="-18" w:firstLine="18"/>
              <w:rPr>
                <w:rFonts w:ascii="Times New Roman" w:hAnsi="Times New Roman"/>
              </w:rPr>
            </w:pPr>
          </w:p>
        </w:tc>
      </w:tr>
      <w:bookmarkEnd w:id="34"/>
      <w:tr w:rsidR="00385AEF" w:rsidRPr="00591E78" w:rsidTr="00385AEF">
        <w:trPr>
          <w:tblHeader/>
        </w:trPr>
        <w:tc>
          <w:tcPr>
            <w:tcW w:w="216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Bendrieji sutrikimai ir vartojimo vietos pažeidimai</w:t>
            </w:r>
          </w:p>
        </w:tc>
        <w:tc>
          <w:tcPr>
            <w:tcW w:w="5040" w:type="dxa"/>
          </w:tcPr>
          <w:p w:rsidR="00385AEF" w:rsidRPr="00353EE7" w:rsidRDefault="00385AEF" w:rsidP="00385AEF">
            <w:pPr>
              <w:spacing w:after="0" w:line="240" w:lineRule="auto"/>
              <w:rPr>
                <w:rFonts w:ascii="Times New Roman" w:hAnsi="Times New Roman"/>
                <w:b/>
              </w:rPr>
            </w:pPr>
            <w:r w:rsidRPr="00353EE7">
              <w:rPr>
                <w:rFonts w:ascii="Times New Roman" w:hAnsi="Times New Roman"/>
              </w:rPr>
              <w:t xml:space="preserve">Nuovargis </w:t>
            </w:r>
            <w:r w:rsidRPr="00353EE7">
              <w:rPr>
                <w:rFonts w:ascii="Times New Roman" w:hAnsi="Times New Roman"/>
                <w:vertAlign w:val="superscript"/>
              </w:rPr>
              <w:t>†</w:t>
            </w:r>
            <w:r w:rsidRPr="00353EE7">
              <w:rPr>
                <w:rFonts w:ascii="Times New Roman" w:hAnsi="Times New Roman"/>
              </w:rPr>
              <w:t>, skausmas</w:t>
            </w:r>
            <w:r w:rsidRPr="00353EE7">
              <w:rPr>
                <w:rFonts w:ascii="Times New Roman" w:hAnsi="Times New Roman"/>
                <w:vertAlign w:val="superscript"/>
              </w:rPr>
              <w:t xml:space="preserve"> §</w:t>
            </w:r>
            <w:r w:rsidRPr="00353EE7">
              <w:rPr>
                <w:rFonts w:ascii="Times New Roman" w:hAnsi="Times New Roman"/>
              </w:rPr>
              <w:t>, nugaros skausmas</w:t>
            </w:r>
            <w:r w:rsidRPr="00353EE7">
              <w:rPr>
                <w:rFonts w:ascii="Times New Roman" w:hAnsi="Times New Roman"/>
                <w:vertAlign w:val="superscript"/>
              </w:rPr>
              <w:t xml:space="preserve"> §</w:t>
            </w:r>
          </w:p>
        </w:tc>
        <w:tc>
          <w:tcPr>
            <w:tcW w:w="2009" w:type="dxa"/>
          </w:tcPr>
          <w:p w:rsidR="00385AEF" w:rsidRPr="00353EE7" w:rsidRDefault="00385AEF" w:rsidP="00385AEF">
            <w:pPr>
              <w:spacing w:after="0" w:line="240" w:lineRule="auto"/>
              <w:ind w:left="-18" w:firstLine="18"/>
              <w:rPr>
                <w:rFonts w:ascii="Times New Roman" w:hAnsi="Times New Roman"/>
                <w:b/>
              </w:rPr>
            </w:pPr>
            <w:r w:rsidRPr="00353EE7">
              <w:rPr>
                <w:rFonts w:ascii="Times New Roman" w:hAnsi="Times New Roman"/>
              </w:rPr>
              <w:t>Dažni</w:t>
            </w:r>
          </w:p>
        </w:tc>
      </w:tr>
    </w:tbl>
    <w:p w:rsidR="0001403A" w:rsidRDefault="0001403A" w:rsidP="00385AEF">
      <w:pPr>
        <w:spacing w:after="0" w:line="240" w:lineRule="auto"/>
        <w:rPr>
          <w:rFonts w:ascii="Times New Roman" w:hAnsi="Times New Roman"/>
          <w:u w:val="single"/>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Atrinktų nepageidaujamų reakcijų apibūdinimas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bookmarkStart w:id="35" w:name="_Hlk54715777"/>
      <w:r w:rsidRPr="00353EE7">
        <w:rPr>
          <w:rFonts w:ascii="Times New Roman" w:hAnsi="Times New Roman"/>
          <w:vertAlign w:val="superscript"/>
        </w:rPr>
        <w:t>1</w:t>
      </w:r>
      <w:r w:rsidRPr="00353EE7">
        <w:rPr>
          <w:rFonts w:ascii="Times New Roman" w:hAnsi="Times New Roman"/>
        </w:rPr>
        <w:t xml:space="preserve"> Kraujo sutrikimai ir limfadenopatija gali būti susiję arba nesusiję su </w:t>
      </w:r>
      <w:r w:rsidR="0001403A" w:rsidRPr="00F349B3">
        <w:rPr>
          <w:rFonts w:ascii="Times New Roman" w:hAnsi="Times New Roman"/>
        </w:rPr>
        <w:t xml:space="preserve">reakcija </w:t>
      </w:r>
      <w:r w:rsidR="0025273C">
        <w:rPr>
          <w:rFonts w:ascii="Times New Roman" w:hAnsi="Times New Roman"/>
        </w:rPr>
        <w:t xml:space="preserve">į vaistinį preparatą, </w:t>
      </w:r>
      <w:r w:rsidR="0025273C" w:rsidRPr="00353EE7">
        <w:rPr>
          <w:rFonts w:ascii="Times New Roman" w:hAnsi="Times New Roman"/>
        </w:rPr>
        <w:t>pasireiškian</w:t>
      </w:r>
      <w:r w:rsidR="0025273C">
        <w:rPr>
          <w:rFonts w:ascii="Times New Roman" w:hAnsi="Times New Roman"/>
        </w:rPr>
        <w:t>čią</w:t>
      </w:r>
      <w:r w:rsidR="0025273C" w:rsidRPr="00353EE7">
        <w:rPr>
          <w:rFonts w:ascii="Times New Roman" w:hAnsi="Times New Roman"/>
        </w:rPr>
        <w:t xml:space="preserve"> kartu su eozinofilija ir sisteminiais simptomais (RVESS)</w:t>
      </w:r>
      <w:r w:rsidR="0025273C">
        <w:rPr>
          <w:rFonts w:ascii="Times New Roman" w:hAnsi="Times New Roman"/>
        </w:rPr>
        <w:t>,</w:t>
      </w:r>
      <w:r w:rsidR="0001403A">
        <w:rPr>
          <w:rFonts w:ascii="Times New Roman" w:hAnsi="Times New Roman"/>
        </w:rPr>
        <w:t xml:space="preserve"> arba</w:t>
      </w:r>
      <w:r w:rsidR="0001403A" w:rsidRPr="00F349B3">
        <w:rPr>
          <w:rFonts w:ascii="Times New Roman" w:hAnsi="Times New Roman"/>
        </w:rPr>
        <w:t xml:space="preserve"> </w:t>
      </w:r>
      <w:r w:rsidRPr="00353EE7">
        <w:rPr>
          <w:rFonts w:ascii="Times New Roman" w:hAnsi="Times New Roman"/>
        </w:rPr>
        <w:t xml:space="preserve">padidėjusio jautrumo sindromu (žr. </w:t>
      </w:r>
      <w:r w:rsidR="007931FB">
        <w:rPr>
          <w:rFonts w:ascii="Times New Roman" w:hAnsi="Times New Roman"/>
        </w:rPr>
        <w:t xml:space="preserve">4.4 skyrių ir </w:t>
      </w:r>
      <w:r w:rsidRPr="00353EE7">
        <w:rPr>
          <w:rFonts w:ascii="Times New Roman" w:hAnsi="Times New Roman"/>
        </w:rPr>
        <w:t>Imuninės sistemos sutrikimai).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vertAlign w:val="superscript"/>
        </w:rPr>
        <w:t>2</w:t>
      </w:r>
      <w:r w:rsidRPr="00353EE7">
        <w:rPr>
          <w:rFonts w:ascii="Times New Roman" w:hAnsi="Times New Roman"/>
        </w:rPr>
        <w:t xml:space="preserve"> </w:t>
      </w:r>
      <w:r w:rsidR="007931FB">
        <w:rPr>
          <w:rFonts w:ascii="Times New Roman" w:hAnsi="Times New Roman"/>
        </w:rPr>
        <w:t>Šis sindromas, kuris</w:t>
      </w:r>
      <w:r w:rsidR="007931FB" w:rsidRPr="007931FB">
        <w:rPr>
          <w:rFonts w:ascii="Times New Roman" w:hAnsi="Times New Roman"/>
        </w:rPr>
        <w:t xml:space="preserve"> </w:t>
      </w:r>
      <w:r w:rsidR="007931FB">
        <w:rPr>
          <w:rFonts w:ascii="Times New Roman" w:hAnsi="Times New Roman"/>
        </w:rPr>
        <w:t xml:space="preserve">dar vadinamas </w:t>
      </w:r>
      <w:r w:rsidR="0025273C">
        <w:rPr>
          <w:rFonts w:ascii="Times New Roman" w:hAnsi="Times New Roman"/>
        </w:rPr>
        <w:t>RV</w:t>
      </w:r>
      <w:r w:rsidR="007931FB" w:rsidRPr="00F349B3">
        <w:rPr>
          <w:rFonts w:ascii="Times New Roman" w:hAnsi="Times New Roman"/>
        </w:rPr>
        <w:t>ESS</w:t>
      </w:r>
      <w:r w:rsidR="007931FB">
        <w:rPr>
          <w:rFonts w:ascii="Times New Roman" w:hAnsi="Times New Roman"/>
        </w:rPr>
        <w:t>,</w:t>
      </w:r>
      <w:r w:rsidR="007931FB" w:rsidRPr="007931FB">
        <w:rPr>
          <w:rFonts w:ascii="Times New Roman" w:hAnsi="Times New Roman"/>
        </w:rPr>
        <w:t xml:space="preserve"> </w:t>
      </w:r>
      <w:r w:rsidR="007931FB" w:rsidRPr="00353EE7">
        <w:rPr>
          <w:rFonts w:ascii="Times New Roman" w:hAnsi="Times New Roman"/>
        </w:rPr>
        <w:t>be kitų simptomų gali pasireikšti išbėrimu</w:t>
      </w:r>
      <w:r w:rsidR="007931FB">
        <w:rPr>
          <w:rFonts w:ascii="Times New Roman" w:hAnsi="Times New Roman"/>
        </w:rPr>
        <w:t>.</w:t>
      </w:r>
      <w:r w:rsidR="007931FB" w:rsidRPr="00353EE7">
        <w:rPr>
          <w:rFonts w:ascii="Times New Roman" w:hAnsi="Times New Roman"/>
        </w:rPr>
        <w:t xml:space="preserve"> </w:t>
      </w:r>
      <w:r w:rsidR="00D663CB">
        <w:rPr>
          <w:rFonts w:ascii="Times New Roman" w:hAnsi="Times New Roman"/>
        </w:rPr>
        <w:t>Ši būklė yra</w:t>
      </w:r>
      <w:r w:rsidRPr="00353EE7">
        <w:rPr>
          <w:rFonts w:ascii="Times New Roman" w:hAnsi="Times New Roman"/>
        </w:rPr>
        <w:t xml:space="preserve"> susij</w:t>
      </w:r>
      <w:r w:rsidR="00D663CB">
        <w:rPr>
          <w:rFonts w:ascii="Times New Roman" w:hAnsi="Times New Roman"/>
        </w:rPr>
        <w:t>usi</w:t>
      </w:r>
      <w:r w:rsidRPr="00353EE7">
        <w:rPr>
          <w:rFonts w:ascii="Times New Roman" w:hAnsi="Times New Roman"/>
        </w:rPr>
        <w:t xml:space="preserve"> su įvairiais sisteminiais simptomais, pavyzdžiui, karščiavimu, limfadenopatija, veido edema, kraujo</w:t>
      </w:r>
      <w:r w:rsidR="00D663CB">
        <w:rPr>
          <w:rFonts w:ascii="Times New Roman" w:hAnsi="Times New Roman"/>
        </w:rPr>
        <w:t>,</w:t>
      </w:r>
      <w:r w:rsidRPr="00353EE7">
        <w:rPr>
          <w:rFonts w:ascii="Times New Roman" w:hAnsi="Times New Roman"/>
        </w:rPr>
        <w:t xml:space="preserve"> kepenų </w:t>
      </w:r>
      <w:r w:rsidR="00D663CB">
        <w:rPr>
          <w:rFonts w:ascii="Times New Roman" w:hAnsi="Times New Roman"/>
        </w:rPr>
        <w:t xml:space="preserve">ir inkstų </w:t>
      </w:r>
      <w:r w:rsidRPr="00353EE7">
        <w:rPr>
          <w:rFonts w:ascii="Times New Roman" w:hAnsi="Times New Roman"/>
        </w:rPr>
        <w:t xml:space="preserve">sutrikimais. </w:t>
      </w:r>
      <w:bookmarkEnd w:id="35"/>
      <w:r w:rsidRPr="00353EE7">
        <w:rPr>
          <w:rFonts w:ascii="Times New Roman" w:hAnsi="Times New Roman"/>
        </w:rPr>
        <w:t xml:space="preserve">Sindromas gali būti įvairaus sunkumo ir retais atvejais sukelti diseminuotąją intravaskulinę koaguliaciją bei daugybinį organų nepakankamumą. Svarbu prisiminti, kad pasireiškus pirmiesiems jautrumo padidėjimo požymiams (pvz., karščiavimui, limfadenopatija), iš pradžių išbėrimų gali ir nebūti. </w:t>
      </w:r>
      <w:bookmarkStart w:id="36" w:name="_Hlk54715919"/>
      <w:r w:rsidRPr="00353EE7">
        <w:rPr>
          <w:rFonts w:ascii="Times New Roman" w:hAnsi="Times New Roman"/>
        </w:rPr>
        <w:t>Jeigu atsirado tokių požymių ar simptomų, pacientą reikia nedelsiant ištirti ir, jeigu negalima nustatyti kitokios jų atsiradimo priežasties, nutraukti Lamictal vartojimą</w:t>
      </w:r>
      <w:r w:rsidR="002F5898">
        <w:rPr>
          <w:rFonts w:ascii="Times New Roman" w:hAnsi="Times New Roman"/>
        </w:rPr>
        <w:t xml:space="preserve"> </w:t>
      </w:r>
      <w:r w:rsidR="002F5898" w:rsidRPr="00353EE7">
        <w:rPr>
          <w:rFonts w:ascii="Times New Roman" w:hAnsi="Times New Roman"/>
        </w:rPr>
        <w:t>(žr. 4.4</w:t>
      </w:r>
      <w:r w:rsidR="002F5898">
        <w:rPr>
          <w:rFonts w:ascii="Times New Roman" w:hAnsi="Times New Roman"/>
        </w:rPr>
        <w:t> </w:t>
      </w:r>
      <w:r w:rsidR="002F5898" w:rsidRPr="00353EE7">
        <w:rPr>
          <w:rFonts w:ascii="Times New Roman" w:hAnsi="Times New Roman"/>
        </w:rPr>
        <w:t>skyrių)</w:t>
      </w:r>
      <w:r w:rsidRPr="00353EE7">
        <w:rPr>
          <w:rFonts w:ascii="Times New Roman" w:hAnsi="Times New Roman"/>
        </w:rPr>
        <w:t>.</w:t>
      </w:r>
    </w:p>
    <w:bookmarkEnd w:id="36"/>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vertAlign w:val="superscript"/>
        </w:rPr>
        <w:t>3</w:t>
      </w:r>
      <w:r w:rsidRPr="00353EE7">
        <w:rPr>
          <w:rFonts w:ascii="Times New Roman" w:hAnsi="Times New Roman"/>
        </w:rPr>
        <w:t xml:space="preserve"> Apie šį poveikį buvo pranešta remiantis kita klinikine patirtimi. Gauta pranešimų, kad lamotriginas gali sunkinti parkinsoninius simptomus pacientams, kurie prieš pradedant gydymą, sirgo Parkinsono </w:t>
      </w:r>
      <w:r>
        <w:rPr>
          <w:rFonts w:ascii="Times New Roman" w:hAnsi="Times New Roman"/>
        </w:rPr>
        <w:t>(</w:t>
      </w:r>
      <w:r>
        <w:rPr>
          <w:rFonts w:ascii="Times New Roman" w:hAnsi="Times New Roman"/>
          <w:i/>
        </w:rPr>
        <w:t>Parkinson</w:t>
      </w:r>
      <w:r>
        <w:rPr>
          <w:rFonts w:ascii="Times New Roman" w:hAnsi="Times New Roman"/>
        </w:rPr>
        <w:t xml:space="preserve">) </w:t>
      </w:r>
      <w:r w:rsidRPr="00353EE7">
        <w:rPr>
          <w:rFonts w:ascii="Times New Roman" w:hAnsi="Times New Roman"/>
        </w:rPr>
        <w:t>liga. Pavieniais atvejais nustatytas ekstrapiramidinis poveikis ir choreoatetozė pacientams, kuriems anksčiau šios būklės nebuvo.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vertAlign w:val="superscript"/>
        </w:rPr>
        <w:t>4</w:t>
      </w:r>
      <w:r w:rsidRPr="00353EE7">
        <w:rPr>
          <w:rFonts w:ascii="Times New Roman" w:hAnsi="Times New Roman"/>
        </w:rPr>
        <w:t xml:space="preserve"> Kepenų funkcijos sutrikimas paprastai būna susijęs su padidėjusio jautrumo reakcijomis, bet pavieniais atvejais pasireiškė be jautrumo padidėjimo požymių.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vertAlign w:val="superscript"/>
        </w:rPr>
        <w:t>5</w:t>
      </w:r>
      <w:r w:rsidRPr="00353EE7">
        <w:rPr>
          <w:rFonts w:ascii="Times New Roman" w:hAnsi="Times New Roman"/>
        </w:rPr>
        <w:t xml:space="preserve"> Klinikinių tyrimų, kuriuose dalyvavo suaugusieji, duomenimis, odos išbėrimas pasireiškė iki 8</w:t>
      </w:r>
      <w:r w:rsidRPr="00353EE7">
        <w:rPr>
          <w:rFonts w:ascii="Times New Roman" w:hAnsi="Times New Roman"/>
        </w:rPr>
        <w:noBreakHyphen/>
        <w:t>12 % pacientų, vartojusių lamotriginą, ir 5</w:t>
      </w:r>
      <w:r w:rsidRPr="00353EE7">
        <w:rPr>
          <w:rFonts w:ascii="Times New Roman" w:hAnsi="Times New Roman"/>
        </w:rPr>
        <w:noBreakHyphen/>
        <w:t>6 % pacientų, vartojusių placebą. Dėl odos išbėrimo gydymą lamotriginu nutraukė 2 % pacientų. Išbėrimas, paprastai makulopapulinis, dažniausiai atsirado per aštuonias savaites nuo gydymo pradžios ir išnyko, nutraukus Lamictal vartojimą (žr. 4.4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Pr>
          <w:rFonts w:ascii="Times New Roman" w:hAnsi="Times New Roman"/>
        </w:rPr>
        <w:t xml:space="preserve">Yra pranešta apie </w:t>
      </w:r>
      <w:r w:rsidRPr="00353EE7">
        <w:rPr>
          <w:rFonts w:ascii="Times New Roman" w:hAnsi="Times New Roman"/>
        </w:rPr>
        <w:t>sunk</w:t>
      </w:r>
      <w:r>
        <w:rPr>
          <w:rFonts w:ascii="Times New Roman" w:hAnsi="Times New Roman"/>
        </w:rPr>
        <w:t>i</w:t>
      </w:r>
      <w:r w:rsidRPr="00353EE7">
        <w:rPr>
          <w:rFonts w:ascii="Times New Roman" w:hAnsi="Times New Roman"/>
        </w:rPr>
        <w:t>us, gyvybei pavojingas odos išbėrim</w:t>
      </w:r>
      <w:r>
        <w:rPr>
          <w:rFonts w:ascii="Times New Roman" w:hAnsi="Times New Roman"/>
        </w:rPr>
        <w:t>u</w:t>
      </w:r>
      <w:r w:rsidRPr="00353EE7">
        <w:rPr>
          <w:rFonts w:ascii="Times New Roman" w:hAnsi="Times New Roman"/>
        </w:rPr>
        <w:t xml:space="preserve">s, įskaitant </w:t>
      </w:r>
      <w:r>
        <w:rPr>
          <w:rFonts w:ascii="Times New Roman" w:hAnsi="Times New Roman"/>
        </w:rPr>
        <w:t>Stivenso-Džonsono (</w:t>
      </w:r>
      <w:r w:rsidRPr="00353EE7">
        <w:rPr>
          <w:rFonts w:ascii="Times New Roman" w:hAnsi="Times New Roman"/>
          <w:i/>
        </w:rPr>
        <w:t>Stevens-Johnson</w:t>
      </w:r>
      <w:r>
        <w:rPr>
          <w:rFonts w:ascii="Times New Roman" w:hAnsi="Times New Roman"/>
        </w:rPr>
        <w:t>)</w:t>
      </w:r>
      <w:r w:rsidRPr="00353EE7">
        <w:rPr>
          <w:rFonts w:ascii="Times New Roman" w:hAnsi="Times New Roman"/>
        </w:rPr>
        <w:t xml:space="preserve"> sindromą bei toksinę epidermio nekrolizę</w:t>
      </w:r>
      <w:r>
        <w:rPr>
          <w:rFonts w:ascii="Times New Roman" w:hAnsi="Times New Roman"/>
        </w:rPr>
        <w:t xml:space="preserve"> </w:t>
      </w:r>
      <w:r w:rsidRPr="00353EE7">
        <w:rPr>
          <w:rFonts w:ascii="Times New Roman" w:hAnsi="Times New Roman"/>
        </w:rPr>
        <w:t>[Lajelio</w:t>
      </w:r>
      <w:r w:rsidRPr="00353EE7">
        <w:rPr>
          <w:rFonts w:ascii="Times New Roman" w:hAnsi="Times New Roman"/>
          <w:i/>
        </w:rPr>
        <w:t xml:space="preserve"> (Lyell) </w:t>
      </w:r>
      <w:r w:rsidRPr="00353EE7">
        <w:rPr>
          <w:rFonts w:ascii="Times New Roman" w:hAnsi="Times New Roman"/>
        </w:rPr>
        <w:t>sindromą]</w:t>
      </w:r>
      <w:r>
        <w:rPr>
          <w:rFonts w:ascii="Times New Roman" w:hAnsi="Times New Roman"/>
        </w:rPr>
        <w:t>,</w:t>
      </w:r>
      <w:r w:rsidRPr="00353EE7">
        <w:rPr>
          <w:rFonts w:ascii="Times New Roman" w:hAnsi="Times New Roman"/>
        </w:rPr>
        <w:t xml:space="preserve"> bei reakcij</w:t>
      </w:r>
      <w:r>
        <w:rPr>
          <w:rFonts w:ascii="Times New Roman" w:hAnsi="Times New Roman"/>
        </w:rPr>
        <w:t>ą</w:t>
      </w:r>
      <w:r w:rsidRPr="00353EE7">
        <w:rPr>
          <w:rFonts w:ascii="Times New Roman" w:hAnsi="Times New Roman"/>
        </w:rPr>
        <w:t xml:space="preserve"> į vaistinį preparatą, pasireiškian</w:t>
      </w:r>
      <w:r>
        <w:rPr>
          <w:rFonts w:ascii="Times New Roman" w:hAnsi="Times New Roman"/>
        </w:rPr>
        <w:t>čią</w:t>
      </w:r>
      <w:r w:rsidRPr="00353EE7">
        <w:rPr>
          <w:rFonts w:ascii="Times New Roman" w:hAnsi="Times New Roman"/>
        </w:rPr>
        <w:t xml:space="preserve"> kartu su eozinofilija ir sisteminiais simptomais (RVESS). Nutraukus gydymą lamotriginu, daugeliu atvejų </w:t>
      </w:r>
      <w:r>
        <w:rPr>
          <w:rFonts w:ascii="Times New Roman" w:hAnsi="Times New Roman"/>
        </w:rPr>
        <w:t>simptomai</w:t>
      </w:r>
      <w:r w:rsidRPr="00353EE7">
        <w:rPr>
          <w:rFonts w:ascii="Times New Roman" w:hAnsi="Times New Roman"/>
        </w:rPr>
        <w:t xml:space="preserve"> išnyko, tačiau kai kuriems pacientams liko neišnykstančių randų ir retais atvejais tokie sutrikimai baigėsi paciento mirtimi (žr. 4.4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Bendra išbėrimo rizika labai </w:t>
      </w:r>
      <w:r>
        <w:rPr>
          <w:rFonts w:ascii="Times New Roman" w:hAnsi="Times New Roman"/>
        </w:rPr>
        <w:t>susijusi su</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numPr>
          <w:ilvl w:val="0"/>
          <w:numId w:val="2"/>
        </w:numPr>
        <w:tabs>
          <w:tab w:val="left" w:pos="540"/>
        </w:tabs>
        <w:spacing w:after="0" w:line="260" w:lineRule="exact"/>
        <w:ind w:left="540" w:hanging="540"/>
        <w:rPr>
          <w:rFonts w:ascii="Times New Roman" w:hAnsi="Times New Roman"/>
        </w:rPr>
      </w:pPr>
      <w:r w:rsidRPr="00353EE7">
        <w:rPr>
          <w:rFonts w:ascii="Times New Roman" w:hAnsi="Times New Roman"/>
        </w:rPr>
        <w:t>didel</w:t>
      </w:r>
      <w:r>
        <w:rPr>
          <w:rFonts w:ascii="Times New Roman" w:hAnsi="Times New Roman"/>
        </w:rPr>
        <w:t>e</w:t>
      </w:r>
      <w:r w:rsidRPr="00353EE7">
        <w:rPr>
          <w:rFonts w:ascii="Times New Roman" w:hAnsi="Times New Roman"/>
        </w:rPr>
        <w:t xml:space="preserve"> pradin</w:t>
      </w:r>
      <w:r>
        <w:rPr>
          <w:rFonts w:ascii="Times New Roman" w:hAnsi="Times New Roman"/>
        </w:rPr>
        <w:t>e</w:t>
      </w:r>
      <w:r w:rsidRPr="00353EE7">
        <w:rPr>
          <w:rFonts w:ascii="Times New Roman" w:hAnsi="Times New Roman"/>
        </w:rPr>
        <w:t xml:space="preserve"> lamotrigino doz</w:t>
      </w:r>
      <w:r>
        <w:rPr>
          <w:rFonts w:ascii="Times New Roman" w:hAnsi="Times New Roman"/>
        </w:rPr>
        <w:t>e</w:t>
      </w:r>
      <w:r w:rsidRPr="00353EE7">
        <w:rPr>
          <w:rFonts w:ascii="Times New Roman" w:hAnsi="Times New Roman"/>
        </w:rPr>
        <w:t xml:space="preserve"> ir spartesni</w:t>
      </w:r>
      <w:r>
        <w:rPr>
          <w:rFonts w:ascii="Times New Roman" w:hAnsi="Times New Roman"/>
        </w:rPr>
        <w:t>u</w:t>
      </w:r>
      <w:r w:rsidRPr="00353EE7">
        <w:rPr>
          <w:rFonts w:ascii="Times New Roman" w:hAnsi="Times New Roman"/>
        </w:rPr>
        <w:t xml:space="preserve"> nei rekomenduojam</w:t>
      </w:r>
      <w:r>
        <w:rPr>
          <w:rFonts w:ascii="Times New Roman" w:hAnsi="Times New Roman"/>
        </w:rPr>
        <w:t>a</w:t>
      </w:r>
      <w:r w:rsidRPr="00353EE7">
        <w:rPr>
          <w:rFonts w:ascii="Times New Roman" w:hAnsi="Times New Roman"/>
        </w:rPr>
        <w:t xml:space="preserve"> lamotrigino dozės didinim</w:t>
      </w:r>
      <w:r>
        <w:rPr>
          <w:rFonts w:ascii="Times New Roman" w:hAnsi="Times New Roman"/>
        </w:rPr>
        <w:t>u</w:t>
      </w:r>
      <w:r w:rsidRPr="00353EE7">
        <w:rPr>
          <w:rFonts w:ascii="Times New Roman" w:hAnsi="Times New Roman"/>
        </w:rPr>
        <w:t xml:space="preserve"> (žr. 4.2 skyrių);</w:t>
      </w:r>
    </w:p>
    <w:p w:rsidR="00385AEF" w:rsidRPr="00353EE7" w:rsidRDefault="00385AEF" w:rsidP="00385AEF">
      <w:pPr>
        <w:numPr>
          <w:ilvl w:val="0"/>
          <w:numId w:val="2"/>
        </w:numPr>
        <w:tabs>
          <w:tab w:val="left" w:pos="540"/>
        </w:tabs>
        <w:spacing w:after="0" w:line="260" w:lineRule="exact"/>
        <w:ind w:left="540" w:hanging="540"/>
        <w:rPr>
          <w:rFonts w:ascii="Times New Roman" w:hAnsi="Times New Roman"/>
        </w:rPr>
      </w:pPr>
      <w:r>
        <w:rPr>
          <w:rFonts w:ascii="Times New Roman" w:hAnsi="Times New Roman"/>
        </w:rPr>
        <w:t xml:space="preserve">kartu vartojamu </w:t>
      </w:r>
      <w:r w:rsidRPr="00353EE7">
        <w:rPr>
          <w:rFonts w:ascii="Times New Roman" w:hAnsi="Times New Roman"/>
        </w:rPr>
        <w:t>valproat</w:t>
      </w:r>
      <w:r>
        <w:rPr>
          <w:rFonts w:ascii="Times New Roman" w:hAnsi="Times New Roman"/>
        </w:rPr>
        <w:t>u</w:t>
      </w:r>
      <w:r w:rsidRPr="00353EE7">
        <w:rPr>
          <w:rFonts w:ascii="Times New Roman" w:hAnsi="Times New Roman"/>
        </w:rPr>
        <w:t xml:space="preserve">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Gauta pranešimų apie ilgą laiką lamotriginu gydytų pacientų kaulų mineralinio tankio sumažėjimą, osteopeniją, osteoporozę ir lūžius. Mechanizmas, kuriuo lamotriginas veikia kaulų metabolizmą, neištirtas.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Pranešimas apie įtariamas nepageidaujamas reakcijas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20131), elektroniniu paštu (adresu </w:t>
      </w:r>
      <w:hyperlink r:id="rId7" w:history="1">
        <w:r w:rsidRPr="00353EE7">
          <w:rPr>
            <w:rFonts w:ascii="Times New Roman" w:hAnsi="Times New Roman"/>
          </w:rPr>
          <w:t>NepageidaujamaR@vvkt.lt</w:t>
        </w:r>
      </w:hyperlink>
      <w:r w:rsidRPr="00353EE7">
        <w:rPr>
          <w:rFonts w:ascii="Times New Roman" w:hAnsi="Times New Roman"/>
        </w:rPr>
        <w:t>), per interneto svetainę (adresu http://www.vvkt.lt).</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keepNext/>
        <w:spacing w:after="0" w:line="240" w:lineRule="auto"/>
        <w:ind w:left="550" w:hanging="550"/>
        <w:rPr>
          <w:rFonts w:ascii="Times New Roman" w:hAnsi="Times New Roman"/>
          <w:b/>
        </w:rPr>
      </w:pPr>
      <w:r w:rsidRPr="00353EE7">
        <w:rPr>
          <w:rFonts w:ascii="Times New Roman" w:hAnsi="Times New Roman"/>
          <w:b/>
        </w:rPr>
        <w:t>4.9</w:t>
      </w:r>
      <w:r w:rsidRPr="00353EE7">
        <w:rPr>
          <w:rFonts w:ascii="Times New Roman" w:hAnsi="Times New Roman"/>
          <w:b/>
        </w:rPr>
        <w:tab/>
        <w:t>Perdozavimas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Simptomai ir požymiai</w:t>
      </w:r>
    </w:p>
    <w:p w:rsidR="00385AEF" w:rsidRPr="00353EE7" w:rsidRDefault="00385AEF" w:rsidP="00385AEF">
      <w:pPr>
        <w:spacing w:after="0" w:line="240" w:lineRule="auto"/>
        <w:rPr>
          <w:rFonts w:ascii="Times New Roman" w:hAnsi="Times New Roman"/>
        </w:rPr>
      </w:pPr>
    </w:p>
    <w:p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t>Pranešta apie ūminį apsinuodijimą, pavartojus 10</w:t>
      </w:r>
      <w:r w:rsidRPr="00353EE7">
        <w:rPr>
          <w:rFonts w:ascii="Times New Roman" w:hAnsi="Times New Roman"/>
        </w:rPr>
        <w:noBreakHyphen/>
        <w:t>20 kartų didesnę už didžiausią gydomąją vaistinio preparato dozę, įskaitant mirties atvejus. Vaistinio preparato perdozavimas sukėlė tokius simptomus: nistagmą, ataksiją, sąmonės sutrikimą, didžiuosius epilepsinius priepuolius (toninius - kloninius traukulius) ir komą. Taip pat vaistinio preparato perdozavus buvo stebėtas QRS komplekso praplatėjimas (intraskilvelinio laidumo sutrikimas). QRS praplatėjimas daugiau nei 100 msek gali būti siejamas su sunkesniu toksiniu poveikiu.</w:t>
      </w:r>
    </w:p>
    <w:p w:rsidR="00385AEF" w:rsidRPr="00353EE7" w:rsidRDefault="00385AEF" w:rsidP="00385AEF">
      <w:pPr>
        <w:shd w:val="clear" w:color="auto" w:fill="FFFFFF"/>
        <w:spacing w:after="0" w:line="240" w:lineRule="auto"/>
        <w:rPr>
          <w:rFonts w:ascii="Times New Roman" w:hAnsi="Times New Roman"/>
        </w:rPr>
      </w:pPr>
    </w:p>
    <w:p w:rsidR="00385AEF" w:rsidRPr="00353EE7" w:rsidRDefault="00385AEF" w:rsidP="00385AEF">
      <w:pPr>
        <w:keepNext/>
        <w:spacing w:after="0" w:line="240" w:lineRule="auto"/>
        <w:ind w:left="1701" w:hanging="1701"/>
        <w:rPr>
          <w:rFonts w:ascii="Times New Roman" w:hAnsi="Times New Roman"/>
          <w:u w:val="single"/>
        </w:rPr>
      </w:pPr>
      <w:r w:rsidRPr="00353EE7">
        <w:rPr>
          <w:rFonts w:ascii="Times New Roman" w:hAnsi="Times New Roman"/>
          <w:u w:val="single"/>
        </w:rPr>
        <w:t>Gydymas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Perdozavus vaistinio preparato, pacientą reikia stacionarizuoti ir taikyti tinkamą palaikomąjį gydymą. Jeigu yra indikacijų, turi būti taikomas absorbciją mažinantis gydymas (aktyvintoji anglis). Kitas gydymas priklauso nuo klinikinių indikacijų. Perdozavimo gydymo hemodialize patirties nėra. Iš šešių savanorių, sergančių inkstų nepakankamumu</w:t>
      </w:r>
      <w:r>
        <w:rPr>
          <w:rFonts w:ascii="Times New Roman" w:hAnsi="Times New Roman"/>
        </w:rPr>
        <w:t>,</w:t>
      </w:r>
      <w:r w:rsidRPr="00353EE7">
        <w:rPr>
          <w:rFonts w:ascii="Times New Roman" w:hAnsi="Times New Roman"/>
        </w:rPr>
        <w:t xml:space="preserve"> organizmo per 4 hemodializės valandas pasišalino 20 % lamotrigino (žr. 5.2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keepNext/>
        <w:spacing w:after="0" w:line="240" w:lineRule="auto"/>
        <w:ind w:left="550" w:hanging="550"/>
        <w:rPr>
          <w:rFonts w:ascii="Times New Roman" w:hAnsi="Times New Roman"/>
          <w:b/>
          <w:caps/>
        </w:rPr>
      </w:pPr>
      <w:r w:rsidRPr="00353EE7">
        <w:rPr>
          <w:rFonts w:ascii="Times New Roman" w:hAnsi="Times New Roman"/>
          <w:b/>
          <w:caps/>
        </w:rPr>
        <w:t>5.</w:t>
      </w:r>
      <w:r w:rsidRPr="00353EE7">
        <w:rPr>
          <w:rFonts w:ascii="Times New Roman" w:hAnsi="Times New Roman"/>
          <w:b/>
          <w:caps/>
        </w:rPr>
        <w:tab/>
      </w:r>
      <w:r w:rsidRPr="00353EE7">
        <w:rPr>
          <w:rFonts w:ascii="Times New Roman" w:hAnsi="Times New Roman"/>
          <w:b/>
        </w:rPr>
        <w:t xml:space="preserve">FARMAKOLOGINĖS </w:t>
      </w:r>
      <w:r w:rsidRPr="00353EE7">
        <w:rPr>
          <w:rFonts w:ascii="Times New Roman" w:hAnsi="Times New Roman"/>
          <w:b/>
          <w:caps/>
        </w:rPr>
        <w:t>savybės</w:t>
      </w:r>
    </w:p>
    <w:p w:rsidR="00385AEF" w:rsidRPr="00353EE7" w:rsidRDefault="00385AEF" w:rsidP="00385AEF">
      <w:pPr>
        <w:keepNext/>
        <w:spacing w:after="0" w:line="240" w:lineRule="auto"/>
        <w:ind w:left="567" w:hanging="567"/>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5.1</w:t>
      </w:r>
      <w:r w:rsidRPr="00353EE7">
        <w:rPr>
          <w:rFonts w:ascii="Times New Roman" w:hAnsi="Times New Roman"/>
          <w:b/>
        </w:rPr>
        <w:tab/>
        <w:t xml:space="preserve">Farmakodinaminės savybės </w:t>
      </w:r>
    </w:p>
    <w:p w:rsidR="00385AEF" w:rsidRPr="00353EE7" w:rsidRDefault="00385AEF" w:rsidP="00385AEF">
      <w:pPr>
        <w:keepNext/>
        <w:spacing w:after="0" w:line="240" w:lineRule="auto"/>
        <w:ind w:left="567" w:hanging="567"/>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rPr>
      </w:pPr>
      <w:r w:rsidRPr="00353EE7">
        <w:rPr>
          <w:rFonts w:ascii="Times New Roman" w:hAnsi="Times New Roman"/>
        </w:rPr>
        <w:t>Farmakoterapinė grupė – kiti antiepilepsiniai vaistiniai preparatai, ATC kodas – N03AX09.</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Veikimo mechanizmas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Farmakologinių tyrimų duomenys rodo, kad lamotriginas yra grįžtamojo poveikio natrio kanalų blokatorius, kurio poveikis priklauso nuo potencialų skirtumo. Jis blokuoja nepertraukiamą kartotinį veikimo potencialų atsiradimą neuronuose ir slopina gliutamato (nervinio impulso pernešėjo, kuris turi svarbiausią reikšmę epilepsijos priepuolių atsiradimui) atsipalaidavimą. Manoma, kad toks poveikis padeda lamotriginui slopinti traukulius.</w:t>
      </w:r>
    </w:p>
    <w:p w:rsidR="00385AEF" w:rsidRPr="00353EE7" w:rsidRDefault="00385AEF" w:rsidP="00385AEF">
      <w:pPr>
        <w:spacing w:after="0" w:line="240" w:lineRule="auto"/>
        <w:rPr>
          <w:rFonts w:ascii="Times New Roman" w:hAnsi="Times New Roman"/>
        </w:rPr>
      </w:pPr>
    </w:p>
    <w:p w:rsidR="00385AEF" w:rsidRPr="00353EE7" w:rsidRDefault="00385AEF" w:rsidP="00385AEF">
      <w:pPr>
        <w:tabs>
          <w:tab w:val="left" w:pos="720"/>
        </w:tabs>
        <w:spacing w:after="0" w:line="240" w:lineRule="auto"/>
        <w:rPr>
          <w:rFonts w:ascii="Times New Roman" w:hAnsi="Times New Roman"/>
        </w:rPr>
      </w:pPr>
      <w:r w:rsidRPr="00353EE7">
        <w:rPr>
          <w:rFonts w:ascii="Times New Roman" w:hAnsi="Times New Roman"/>
        </w:rPr>
        <w:t>Priešingai, veikimo būdas, dėl kurio lamotriginas sukelia gydomąjį poveikį bipolinio sutrikimo atveju, nenustatytas. Tačiau manoma, kad ir šiuo atveju svarbus jo poveikis nuo potencialų skirtumo priklausomiems natrio kanalams.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Farmakodinaminis poveikis</w:t>
      </w:r>
    </w:p>
    <w:p w:rsidR="00385AEF" w:rsidRPr="00353EE7" w:rsidRDefault="00385AEF" w:rsidP="00385AEF">
      <w:pPr>
        <w:tabs>
          <w:tab w:val="left" w:pos="720"/>
        </w:tabs>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Tyrimų, kuriais siekta išaiškinti vaistinių preparatų poveikį centrinei nervų sistemai, duomenimis, 240 mg lamotrigino dozės poveikis sveikiems savanoriams nesiskyrė nuo placebo poveikio, o 1 000 mg fenitoino ir 10 mg diazepamo dozės labai pablogino tikslią okulomotorinę koordinaciją bei akių judesius, sutrikdė kūno pusiausvyrą ir sukėlė subjektyvų sedacinį poveikį.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Kito tyrimo duomenimis, išgėrus vienkartinę 600 mg karbamazepino dozę, labai sutriko tiksli okulomotorinė koordinacija, akių judesiai ir kūno pusiausvyra bei padažnėjo širdies plakimas, o tuo tarpu 150 mg ir 300 mg lamotrigino dozių poveikis nesiskyrė nuo placebo.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Klinikinis veiksmingumas ir saugumas 1</w:t>
      </w:r>
      <w:r w:rsidRPr="00353EE7">
        <w:rPr>
          <w:rFonts w:ascii="Times New Roman" w:hAnsi="Times New Roman"/>
          <w:u w:val="single"/>
        </w:rPr>
        <w:noBreakHyphen/>
        <w:t>24 mėnesių kūdikiams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Papildomo židininių priepuolių gydymo 1</w:t>
      </w:r>
      <w:r w:rsidRPr="00353EE7">
        <w:rPr>
          <w:rFonts w:ascii="Times New Roman" w:hAnsi="Times New Roman"/>
        </w:rPr>
        <w:noBreakHyphen/>
        <w:t>24 mėnesių kūdikiams veiksmingumas ir saugumas įvertintas dvigubai aklu būdu atlikus mažą placebu kontroliuojamąjį gydymo nutraukimo tyrimą. Gydymas buvo pradėtas 177 asmenims, taikant panašią dozės didinimo schemą kaip 2</w:t>
      </w:r>
      <w:r w:rsidRPr="00353EE7">
        <w:rPr>
          <w:rFonts w:ascii="Times New Roman" w:hAnsi="Times New Roman"/>
        </w:rPr>
        <w:noBreakHyphen/>
        <w:t xml:space="preserve">12 metų vaikams. 2 mg lamotrigino tabletės yra mažiausias tiekiamas vaistinio preparato stiprumas, taigi įprasta dozavimo schema kai kuriais atvejais buvo adaptuojama titravimo fazės metu (pvz., skiriant vartoti 2 mg tabletę kas antrą dieną, jeigu apskaičiuotoji dozė buvo mažesnė kaip 2 mg). Dviejų titravimo savaičių pabaigoje buvo matuojamos koncentracijos serume ir, jeigu koncentracija viršijo 0,41 µg/ml (numatoma koncentracija suaugusiam žmogui šiuo laikotarpiu), toliau dozė arba mažinama, arba nedidinama. Kai kuriems pacientams antros savaitės pabaigoje dozę prireikė mažinti iki 90 %. 38 asmenys, kuriems pasireiškė atsakas (priepuolių dažnis sumažėjo &gt; 40 %), atsitiktinės atrankos būdu buvo suskirstyti į grupes ir vartojo placebą arba toliau </w:t>
      </w:r>
      <w:r>
        <w:rPr>
          <w:rFonts w:ascii="Times New Roman" w:hAnsi="Times New Roman"/>
        </w:rPr>
        <w:t xml:space="preserve">buvo </w:t>
      </w:r>
      <w:r w:rsidRPr="00353EE7">
        <w:rPr>
          <w:rFonts w:ascii="Times New Roman" w:hAnsi="Times New Roman"/>
        </w:rPr>
        <w:t>gyd</w:t>
      </w:r>
      <w:r>
        <w:rPr>
          <w:rFonts w:ascii="Times New Roman" w:hAnsi="Times New Roman"/>
        </w:rPr>
        <w:t>omi</w:t>
      </w:r>
      <w:r w:rsidRPr="00353EE7">
        <w:rPr>
          <w:rFonts w:ascii="Times New Roman" w:hAnsi="Times New Roman"/>
        </w:rPr>
        <w:t xml:space="preserve"> lamotriginu. Pacientų dalis, kuriems gydymas buvo nepakankamas, placebo grupėje buvo 84 % (16 iš 19 asmenų), o lamotrigino grupėje 58 % (11 iš 19 asmenų). Skirtumas buvo statistiškai nereikšmingas: 26,3 %, PI 95 % -2,6 % -50,2 %, p = 0,07.</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Iš viso 256 nuo 1 iki 24 mėnesių amžiaus asmenys iki 72 savaičių vartojo nuo 1 iki 15 mg/kg lamotrigino paros dozes. Lamotrigino saugumas kūdikiams ir vaikams (nuo 1 iki 24 mėnesių) panašus kaip vyresniems vaikams, išskyrus kliniškai reikšmingą priepuolių pasunkėjimą (&gt; 50 %), kuris dažniau pasireiškė jaunesniems kaip 2 metų pacientams (26 %), palyginti su vyresniais vaikais (14 %).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Pr>
          <w:rFonts w:ascii="Times New Roman" w:hAnsi="Times New Roman"/>
          <w:u w:val="single"/>
        </w:rPr>
        <w:t>Lenokso-Gasto (</w:t>
      </w:r>
      <w:r w:rsidRPr="00353EE7">
        <w:rPr>
          <w:rFonts w:ascii="Times New Roman" w:hAnsi="Times New Roman"/>
          <w:i/>
          <w:u w:val="single"/>
        </w:rPr>
        <w:t>Lennox</w:t>
      </w:r>
      <w:r w:rsidRPr="00353EE7">
        <w:rPr>
          <w:rFonts w:ascii="Times New Roman" w:hAnsi="Times New Roman"/>
          <w:i/>
          <w:u w:val="single"/>
        </w:rPr>
        <w:noBreakHyphen/>
        <w:t>Gastaut</w:t>
      </w:r>
      <w:r>
        <w:rPr>
          <w:rFonts w:ascii="Times New Roman" w:hAnsi="Times New Roman"/>
          <w:u w:val="single"/>
        </w:rPr>
        <w:t>)</w:t>
      </w:r>
      <w:r w:rsidRPr="00353EE7">
        <w:rPr>
          <w:rFonts w:ascii="Times New Roman" w:hAnsi="Times New Roman"/>
          <w:u w:val="single"/>
        </w:rPr>
        <w:t xml:space="preserve"> sindromo gydymo klinikinis veiksmingumas ir saugumas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Duomenų apie priepuolių, susijusių su </w:t>
      </w:r>
      <w:r w:rsidRPr="00AF24D9">
        <w:rPr>
          <w:rFonts w:ascii="Times New Roman" w:hAnsi="Times New Roman"/>
        </w:rPr>
        <w:t xml:space="preserve">Lenokso-Gasto </w:t>
      </w:r>
      <w:r>
        <w:rPr>
          <w:rFonts w:ascii="Times New Roman" w:hAnsi="Times New Roman"/>
        </w:rPr>
        <w:t>(</w:t>
      </w:r>
      <w:r w:rsidRPr="00353EE7">
        <w:rPr>
          <w:rFonts w:ascii="Times New Roman" w:hAnsi="Times New Roman"/>
          <w:i/>
        </w:rPr>
        <w:t>Lennox</w:t>
      </w:r>
      <w:r w:rsidRPr="00353EE7">
        <w:rPr>
          <w:rFonts w:ascii="Times New Roman" w:hAnsi="Times New Roman"/>
          <w:i/>
        </w:rPr>
        <w:noBreakHyphen/>
        <w:t>Gastaut</w:t>
      </w:r>
      <w:r>
        <w:rPr>
          <w:rFonts w:ascii="Times New Roman" w:hAnsi="Times New Roman"/>
        </w:rPr>
        <w:t>)</w:t>
      </w:r>
      <w:r w:rsidRPr="00353EE7">
        <w:rPr>
          <w:rFonts w:ascii="Times New Roman" w:hAnsi="Times New Roman"/>
        </w:rPr>
        <w:t xml:space="preserve"> sindromu, monoterapiją lamotriginu nėra.</w:t>
      </w:r>
    </w:p>
    <w:p w:rsidR="00385AEF" w:rsidRPr="00353EE7" w:rsidRDefault="00385AEF" w:rsidP="00385AEF">
      <w:pPr>
        <w:tabs>
          <w:tab w:val="left" w:pos="720"/>
        </w:tabs>
        <w:spacing w:after="0" w:line="240" w:lineRule="auto"/>
        <w:rPr>
          <w:rFonts w:ascii="Times New Roman" w:hAnsi="Times New Roman"/>
        </w:rPr>
      </w:pPr>
    </w:p>
    <w:p w:rsidR="00385AEF" w:rsidRPr="00353EE7" w:rsidRDefault="00385AEF" w:rsidP="00385AEF">
      <w:pPr>
        <w:keepNext/>
        <w:spacing w:after="0" w:line="240" w:lineRule="auto"/>
        <w:ind w:left="550" w:hanging="550"/>
        <w:rPr>
          <w:rFonts w:ascii="Times New Roman" w:hAnsi="Times New Roman"/>
          <w:u w:val="single"/>
        </w:rPr>
      </w:pPr>
      <w:r w:rsidRPr="00353EE7">
        <w:rPr>
          <w:rFonts w:ascii="Times New Roman" w:hAnsi="Times New Roman"/>
          <w:u w:val="single"/>
        </w:rPr>
        <w:t>Nuotaikos sutrikimo epizodų profilaktika pacientams, kurie serga bipoliniu sutrikimu</w:t>
      </w:r>
    </w:p>
    <w:p w:rsidR="00385AEF" w:rsidRPr="00353EE7" w:rsidRDefault="00385AEF" w:rsidP="00385AEF">
      <w:pPr>
        <w:keepNext/>
        <w:spacing w:after="0" w:line="240" w:lineRule="auto"/>
        <w:ind w:left="550" w:hanging="550"/>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Atlikti du lamotrigino veiksmingumo nuotaikos sutrikimo epizodų profilaktikos tyrimai su pacientais, kurie serga bipoliniu I tipo sutrikimu.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Dvigubai aklu būdu atliktas daugiacentris, dvigubai aklas, placebu ir ličiu kontroliuojamas atsitiktinių imčių fiksuotos dozės vartojimo depresijos ir (arba) manijos atkryčio ar pasikartojimo profilaktikai SCAB2003 tyrimas, kuriame dalyvavo pacientai, sergantys bipoliniu I tipo sutrikimu, kurie neseniai arba einamuoju metu patyrė didžiosios depresijos epizodą. Kai tik ligonio būklė buvo stabilizuota taikant monoterapiją arba papildomą gydymą lamotriginu, pacientai atsitiktiniu būdu buvo paskirti į vieną iš penkių gydymo grupių (lamotrigino [50, 200, 400 mg per parą], ličio [koncentracijos </w:t>
      </w:r>
      <w:r>
        <w:rPr>
          <w:rFonts w:ascii="Times New Roman" w:hAnsi="Times New Roman"/>
        </w:rPr>
        <w:t xml:space="preserve">kraujo </w:t>
      </w:r>
      <w:r w:rsidRPr="00353EE7">
        <w:rPr>
          <w:rFonts w:ascii="Times New Roman" w:hAnsi="Times New Roman"/>
        </w:rPr>
        <w:t>serume nuo 0,8 iki 1,1 mmol/l] arba placebo) ir gydomi ne ilgiau kaip 76 savaites (18 mėnesių). Pirminė vertinamoji baigtis buvo laikas, per kurį pasireiškė nuotaikos sutrikimo epizodas, dėl kurio prireikė kitokio gydymo (angl.</w:t>
      </w:r>
      <w:r w:rsidRPr="00353EE7">
        <w:rPr>
          <w:rFonts w:ascii="Times New Roman" w:hAnsi="Times New Roman"/>
          <w:i/>
        </w:rPr>
        <w:t xml:space="preserve"> Time to Intervention for a Mood Episode [TIME]</w:t>
      </w:r>
      <w:r w:rsidRPr="00353EE7">
        <w:rPr>
          <w:rFonts w:ascii="Times New Roman" w:hAnsi="Times New Roman"/>
        </w:rPr>
        <w:t>), t. y. papildomų vaistinių preparatų arba elektros traukulių terapijos (ETT). SCAB2006 tyrimo planas buvo panašus į SCAB2003, bet skyrėsi nuo SCAB2003 tuo, kad buvo tiriamos lanksčios lamotrigino dozės (nuo 100 iki 400 mg per parą) ir dalyvavo pacientai, sergantys bipoliniu I tipo sutrikimu, kurie neseniai arba einamuoju metu patyrė manijos epizodą. Duomenys pateikti 7 lentelėje.</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tabs>
          <w:tab w:val="left" w:pos="0"/>
        </w:tabs>
        <w:spacing w:after="0" w:line="240" w:lineRule="auto"/>
        <w:outlineLvl w:val="1"/>
        <w:rPr>
          <w:rFonts w:ascii="Times New Roman" w:hAnsi="Times New Roman"/>
          <w:i/>
        </w:rPr>
      </w:pPr>
      <w:r w:rsidRPr="00353EE7">
        <w:rPr>
          <w:rFonts w:ascii="Times New Roman" w:hAnsi="Times New Roman"/>
          <w:i/>
        </w:rPr>
        <w:lastRenderedPageBreak/>
        <w:t>7 lentelė. Tyrimų, kurių metu buvo tiriamas lamotrigino veiksmingumas nuotaikos epizodų profilaktikai pacientams, kurie serga bipoliniu I tipo sutrikimu</w:t>
      </w:r>
    </w:p>
    <w:p w:rsidR="00385AEF" w:rsidRPr="00353EE7" w:rsidRDefault="00385AEF" w:rsidP="00385AEF">
      <w:pPr>
        <w:keepNext/>
        <w:tabs>
          <w:tab w:val="left" w:pos="0"/>
        </w:tabs>
        <w:spacing w:after="0" w:line="240" w:lineRule="auto"/>
        <w:outlineLvl w:val="1"/>
        <w:rPr>
          <w:rFonts w:ascii="Times New Roman" w:hAnsi="Times New Roman"/>
        </w:rPr>
      </w:pPr>
    </w:p>
    <w:tbl>
      <w:tblPr>
        <w:tblW w:w="0" w:type="auto"/>
        <w:tblInd w:w="-106" w:type="dxa"/>
        <w:tblLook w:val="01E0" w:firstRow="1" w:lastRow="1" w:firstColumn="1" w:lastColumn="1" w:noHBand="0" w:noVBand="0"/>
      </w:tblPr>
      <w:tblGrid>
        <w:gridCol w:w="2155"/>
        <w:gridCol w:w="1074"/>
        <w:gridCol w:w="366"/>
        <w:gridCol w:w="758"/>
        <w:gridCol w:w="37"/>
        <w:gridCol w:w="1361"/>
        <w:gridCol w:w="1098"/>
        <w:gridCol w:w="342"/>
        <w:gridCol w:w="817"/>
        <w:gridCol w:w="10"/>
        <w:gridCol w:w="1148"/>
      </w:tblGrid>
      <w:tr w:rsidR="00385AEF" w:rsidRPr="00591E78" w:rsidTr="00385AEF">
        <w:tc>
          <w:tcPr>
            <w:tcW w:w="9178" w:type="dxa"/>
            <w:gridSpan w:val="11"/>
            <w:tcBorders>
              <w:top w:val="single" w:sz="4" w:space="0" w:color="auto"/>
              <w:left w:val="single" w:sz="4" w:space="0" w:color="auto"/>
              <w:bottom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b/>
              </w:rPr>
            </w:pPr>
            <w:r w:rsidRPr="00353EE7">
              <w:rPr>
                <w:rFonts w:ascii="Times New Roman" w:hAnsi="Times New Roman"/>
                <w:b/>
              </w:rPr>
              <w:t>Pacientų, kuriems nebuvo reiškinių 76-tą savaitę, dalis</w:t>
            </w:r>
          </w:p>
        </w:tc>
      </w:tr>
      <w:tr w:rsidR="00385AEF" w:rsidRPr="00591E78" w:rsidTr="00385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tcPr>
          <w:p w:rsidR="00385AEF" w:rsidRPr="00353EE7" w:rsidRDefault="00385AEF" w:rsidP="00385AEF">
            <w:pPr>
              <w:keepNext/>
              <w:tabs>
                <w:tab w:val="left" w:pos="567"/>
              </w:tabs>
              <w:spacing w:after="0" w:line="240" w:lineRule="auto"/>
              <w:ind w:left="567" w:hanging="567"/>
              <w:outlineLvl w:val="1"/>
              <w:rPr>
                <w:rFonts w:ascii="Times New Roman" w:hAnsi="Times New Roman"/>
                <w:b/>
              </w:rPr>
            </w:pPr>
          </w:p>
        </w:tc>
        <w:tc>
          <w:tcPr>
            <w:tcW w:w="3600" w:type="dxa"/>
            <w:gridSpan w:val="5"/>
          </w:tcPr>
          <w:p w:rsidR="00385AEF" w:rsidRPr="00353EE7" w:rsidRDefault="00385AEF" w:rsidP="00385AEF">
            <w:pPr>
              <w:tabs>
                <w:tab w:val="left" w:pos="567"/>
              </w:tabs>
              <w:spacing w:after="0" w:line="260" w:lineRule="exact"/>
              <w:jc w:val="center"/>
              <w:rPr>
                <w:rFonts w:ascii="Times New Roman" w:hAnsi="Times New Roman"/>
                <w:b/>
              </w:rPr>
            </w:pPr>
            <w:r w:rsidRPr="00353EE7">
              <w:rPr>
                <w:rFonts w:ascii="Times New Roman" w:hAnsi="Times New Roman"/>
                <w:b/>
              </w:rPr>
              <w:t>SCAB2003 tyrimas</w:t>
            </w:r>
          </w:p>
          <w:p w:rsidR="00385AEF" w:rsidRPr="00353EE7" w:rsidRDefault="00385AEF" w:rsidP="00385AEF">
            <w:pPr>
              <w:tabs>
                <w:tab w:val="left" w:pos="567"/>
              </w:tabs>
              <w:spacing w:after="0" w:line="260" w:lineRule="exact"/>
              <w:jc w:val="center"/>
              <w:rPr>
                <w:rFonts w:ascii="Times New Roman" w:hAnsi="Times New Roman"/>
                <w:b/>
              </w:rPr>
            </w:pPr>
            <w:r w:rsidRPr="00353EE7">
              <w:rPr>
                <w:rFonts w:ascii="Times New Roman" w:hAnsi="Times New Roman"/>
                <w:b/>
              </w:rPr>
              <w:t>Bipolinis I tipo sutrikimas</w:t>
            </w:r>
          </w:p>
        </w:tc>
        <w:tc>
          <w:tcPr>
            <w:tcW w:w="3418" w:type="dxa"/>
            <w:gridSpan w:val="5"/>
          </w:tcPr>
          <w:p w:rsidR="00385AEF" w:rsidRPr="00353EE7" w:rsidRDefault="00385AEF" w:rsidP="00385AEF">
            <w:pPr>
              <w:tabs>
                <w:tab w:val="left" w:pos="567"/>
              </w:tabs>
              <w:spacing w:after="0" w:line="260" w:lineRule="exact"/>
              <w:jc w:val="center"/>
              <w:rPr>
                <w:rFonts w:ascii="Times New Roman" w:hAnsi="Times New Roman"/>
                <w:b/>
              </w:rPr>
            </w:pPr>
            <w:r w:rsidRPr="00353EE7">
              <w:rPr>
                <w:rFonts w:ascii="Times New Roman" w:hAnsi="Times New Roman"/>
                <w:b/>
              </w:rPr>
              <w:t>SCAB2006 tyrimas</w:t>
            </w:r>
          </w:p>
          <w:p w:rsidR="00385AEF" w:rsidRPr="00353EE7" w:rsidRDefault="00385AEF" w:rsidP="00385AEF">
            <w:pPr>
              <w:tabs>
                <w:tab w:val="left" w:pos="567"/>
              </w:tabs>
              <w:spacing w:after="0" w:line="260" w:lineRule="exact"/>
              <w:jc w:val="center"/>
              <w:rPr>
                <w:rFonts w:ascii="Times New Roman" w:hAnsi="Times New Roman"/>
                <w:b/>
              </w:rPr>
            </w:pPr>
            <w:r w:rsidRPr="00353EE7">
              <w:rPr>
                <w:rFonts w:ascii="Times New Roman" w:hAnsi="Times New Roman"/>
                <w:b/>
              </w:rPr>
              <w:t>Bipolinis I tipo sutrikimas</w:t>
            </w:r>
          </w:p>
        </w:tc>
      </w:tr>
      <w:tr w:rsidR="00385AEF" w:rsidRPr="00591E78" w:rsidTr="00385AEF">
        <w:tc>
          <w:tcPr>
            <w:tcW w:w="2160" w:type="dxa"/>
            <w:tcBorders>
              <w:top w:val="single" w:sz="4" w:space="0" w:color="auto"/>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 xml:space="preserve">Įtraukimo kriterijai </w:t>
            </w:r>
          </w:p>
        </w:tc>
        <w:tc>
          <w:tcPr>
            <w:tcW w:w="3600" w:type="dxa"/>
            <w:gridSpan w:val="5"/>
            <w:tcBorders>
              <w:top w:val="single" w:sz="4" w:space="0" w:color="auto"/>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Didžiosios depresijos epizodas</w:t>
            </w:r>
          </w:p>
        </w:tc>
        <w:tc>
          <w:tcPr>
            <w:tcW w:w="3418" w:type="dxa"/>
            <w:gridSpan w:val="5"/>
            <w:tcBorders>
              <w:top w:val="single" w:sz="4" w:space="0" w:color="auto"/>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Didžiosios manijos epizodas</w:t>
            </w:r>
          </w:p>
        </w:tc>
      </w:tr>
      <w:tr w:rsidR="00385AEF" w:rsidRPr="00591E78" w:rsidTr="00385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60" w:type="dxa"/>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p>
        </w:tc>
        <w:tc>
          <w:tcPr>
            <w:tcW w:w="1440" w:type="dxa"/>
            <w:gridSpan w:val="2"/>
          </w:tcPr>
          <w:p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Lamotriginas</w:t>
            </w:r>
          </w:p>
        </w:tc>
        <w:tc>
          <w:tcPr>
            <w:tcW w:w="759" w:type="dxa"/>
          </w:tcPr>
          <w:p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Litis</w:t>
            </w:r>
          </w:p>
        </w:tc>
        <w:tc>
          <w:tcPr>
            <w:tcW w:w="1401" w:type="dxa"/>
            <w:gridSpan w:val="2"/>
          </w:tcPr>
          <w:p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Placebas</w:t>
            </w:r>
          </w:p>
        </w:tc>
        <w:tc>
          <w:tcPr>
            <w:tcW w:w="1440" w:type="dxa"/>
            <w:gridSpan w:val="2"/>
          </w:tcPr>
          <w:p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Lamotriginas</w:t>
            </w:r>
          </w:p>
        </w:tc>
        <w:tc>
          <w:tcPr>
            <w:tcW w:w="829" w:type="dxa"/>
            <w:gridSpan w:val="2"/>
          </w:tcPr>
          <w:p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Litis</w:t>
            </w:r>
          </w:p>
        </w:tc>
        <w:tc>
          <w:tcPr>
            <w:tcW w:w="1149" w:type="dxa"/>
          </w:tcPr>
          <w:p w:rsidR="00385AEF" w:rsidRPr="00353EE7" w:rsidRDefault="00385AEF" w:rsidP="00385AEF">
            <w:pPr>
              <w:tabs>
                <w:tab w:val="left" w:pos="567"/>
              </w:tabs>
              <w:spacing w:after="0" w:line="260" w:lineRule="exact"/>
              <w:rPr>
                <w:rFonts w:ascii="Times New Roman" w:hAnsi="Times New Roman"/>
              </w:rPr>
            </w:pPr>
            <w:r w:rsidRPr="00353EE7">
              <w:rPr>
                <w:rFonts w:ascii="Times New Roman" w:hAnsi="Times New Roman"/>
              </w:rPr>
              <w:t>Placebas</w:t>
            </w:r>
          </w:p>
        </w:tc>
      </w:tr>
      <w:tr w:rsidR="00385AEF" w:rsidRPr="00591E78" w:rsidTr="00385AEF">
        <w:tc>
          <w:tcPr>
            <w:tcW w:w="2160" w:type="dxa"/>
            <w:tcBorders>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 xml:space="preserve">Laikas, kurį neprireikė kitokio gydymo </w:t>
            </w:r>
          </w:p>
        </w:tc>
        <w:tc>
          <w:tcPr>
            <w:tcW w:w="1074"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0,22</w:t>
            </w:r>
          </w:p>
        </w:tc>
        <w:tc>
          <w:tcPr>
            <w:tcW w:w="1162" w:type="dxa"/>
            <w:gridSpan w:val="3"/>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0,21</w:t>
            </w:r>
          </w:p>
        </w:tc>
        <w:tc>
          <w:tcPr>
            <w:tcW w:w="1364" w:type="dxa"/>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0,12</w:t>
            </w:r>
          </w:p>
        </w:tc>
        <w:tc>
          <w:tcPr>
            <w:tcW w:w="1098"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0,17</w:t>
            </w:r>
          </w:p>
        </w:tc>
        <w:tc>
          <w:tcPr>
            <w:tcW w:w="1161" w:type="dxa"/>
            <w:gridSpan w:val="2"/>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0,24</w:t>
            </w:r>
          </w:p>
        </w:tc>
        <w:tc>
          <w:tcPr>
            <w:tcW w:w="1159" w:type="dxa"/>
            <w:gridSpan w:val="2"/>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0,04</w:t>
            </w:r>
          </w:p>
        </w:tc>
      </w:tr>
      <w:tr w:rsidR="00385AEF" w:rsidRPr="00591E78" w:rsidTr="00385AEF">
        <w:tc>
          <w:tcPr>
            <w:tcW w:w="2160" w:type="dxa"/>
            <w:tcBorders>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 xml:space="preserve">p-reikšmė </w:t>
            </w:r>
            <w:r w:rsidRPr="00353EE7">
              <w:rPr>
                <w:rFonts w:ascii="Times New Roman" w:hAnsi="Times New Roman"/>
                <w:i/>
              </w:rPr>
              <w:t>Log rank</w:t>
            </w:r>
            <w:r w:rsidRPr="00353EE7">
              <w:rPr>
                <w:rFonts w:ascii="Times New Roman" w:hAnsi="Times New Roman"/>
              </w:rPr>
              <w:t xml:space="preserve"> testas</w:t>
            </w:r>
          </w:p>
        </w:tc>
        <w:tc>
          <w:tcPr>
            <w:tcW w:w="1074"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0,004</w:t>
            </w:r>
          </w:p>
        </w:tc>
        <w:tc>
          <w:tcPr>
            <w:tcW w:w="1162" w:type="dxa"/>
            <w:gridSpan w:val="3"/>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0,006</w:t>
            </w:r>
          </w:p>
        </w:tc>
        <w:tc>
          <w:tcPr>
            <w:tcW w:w="1364" w:type="dxa"/>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p>
        </w:tc>
        <w:tc>
          <w:tcPr>
            <w:tcW w:w="1098"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0,023</w:t>
            </w:r>
          </w:p>
        </w:tc>
        <w:tc>
          <w:tcPr>
            <w:tcW w:w="1161" w:type="dxa"/>
            <w:gridSpan w:val="2"/>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0,006</w:t>
            </w:r>
          </w:p>
        </w:tc>
        <w:tc>
          <w:tcPr>
            <w:tcW w:w="1159" w:type="dxa"/>
            <w:gridSpan w:val="2"/>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p>
        </w:tc>
      </w:tr>
      <w:tr w:rsidR="00385AEF" w:rsidRPr="00591E78" w:rsidTr="00385AEF">
        <w:tc>
          <w:tcPr>
            <w:tcW w:w="2160" w:type="dxa"/>
            <w:tcBorders>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p>
        </w:tc>
        <w:tc>
          <w:tcPr>
            <w:tcW w:w="1074"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162" w:type="dxa"/>
            <w:gridSpan w:val="3"/>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364" w:type="dxa"/>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098"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161" w:type="dxa"/>
            <w:gridSpan w:val="2"/>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159" w:type="dxa"/>
            <w:gridSpan w:val="2"/>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r>
      <w:tr w:rsidR="00385AEF" w:rsidRPr="00591E78" w:rsidTr="00385AEF">
        <w:tc>
          <w:tcPr>
            <w:tcW w:w="2160" w:type="dxa"/>
            <w:tcBorders>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Laikas, per kurį nebuvo depresijos</w:t>
            </w:r>
          </w:p>
        </w:tc>
        <w:tc>
          <w:tcPr>
            <w:tcW w:w="1074"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0,51</w:t>
            </w:r>
          </w:p>
        </w:tc>
        <w:tc>
          <w:tcPr>
            <w:tcW w:w="1162" w:type="dxa"/>
            <w:gridSpan w:val="3"/>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0,46</w:t>
            </w:r>
          </w:p>
        </w:tc>
        <w:tc>
          <w:tcPr>
            <w:tcW w:w="1364" w:type="dxa"/>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0,41</w:t>
            </w:r>
          </w:p>
        </w:tc>
        <w:tc>
          <w:tcPr>
            <w:tcW w:w="1098"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0,82</w:t>
            </w:r>
          </w:p>
        </w:tc>
        <w:tc>
          <w:tcPr>
            <w:tcW w:w="1161" w:type="dxa"/>
            <w:gridSpan w:val="2"/>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0,71</w:t>
            </w:r>
          </w:p>
        </w:tc>
        <w:tc>
          <w:tcPr>
            <w:tcW w:w="1159" w:type="dxa"/>
            <w:gridSpan w:val="2"/>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0,40</w:t>
            </w:r>
          </w:p>
        </w:tc>
      </w:tr>
      <w:tr w:rsidR="00385AEF" w:rsidRPr="00591E78" w:rsidTr="00385AEF">
        <w:tc>
          <w:tcPr>
            <w:tcW w:w="2160" w:type="dxa"/>
            <w:tcBorders>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 xml:space="preserve">p- reikšmė </w:t>
            </w:r>
            <w:r w:rsidRPr="00353EE7">
              <w:rPr>
                <w:rFonts w:ascii="Times New Roman" w:hAnsi="Times New Roman"/>
                <w:i/>
              </w:rPr>
              <w:t>Log rank</w:t>
            </w:r>
            <w:r w:rsidRPr="00353EE7">
              <w:rPr>
                <w:rFonts w:ascii="Times New Roman" w:hAnsi="Times New Roman"/>
              </w:rPr>
              <w:t xml:space="preserve"> testas</w:t>
            </w:r>
          </w:p>
        </w:tc>
        <w:tc>
          <w:tcPr>
            <w:tcW w:w="1074"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0,047</w:t>
            </w:r>
          </w:p>
        </w:tc>
        <w:tc>
          <w:tcPr>
            <w:tcW w:w="1162" w:type="dxa"/>
            <w:gridSpan w:val="3"/>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0,209</w:t>
            </w:r>
          </w:p>
        </w:tc>
        <w:tc>
          <w:tcPr>
            <w:tcW w:w="1364" w:type="dxa"/>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p>
        </w:tc>
        <w:tc>
          <w:tcPr>
            <w:tcW w:w="1098"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0,015</w:t>
            </w:r>
          </w:p>
        </w:tc>
        <w:tc>
          <w:tcPr>
            <w:tcW w:w="1161" w:type="dxa"/>
            <w:gridSpan w:val="2"/>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0,167</w:t>
            </w:r>
          </w:p>
        </w:tc>
        <w:tc>
          <w:tcPr>
            <w:tcW w:w="1159" w:type="dxa"/>
            <w:gridSpan w:val="2"/>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p>
        </w:tc>
      </w:tr>
      <w:tr w:rsidR="00385AEF" w:rsidRPr="00591E78" w:rsidTr="00385AEF">
        <w:trPr>
          <w:trHeight w:val="80"/>
        </w:trPr>
        <w:tc>
          <w:tcPr>
            <w:tcW w:w="2160" w:type="dxa"/>
            <w:tcBorders>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p>
        </w:tc>
        <w:tc>
          <w:tcPr>
            <w:tcW w:w="1074"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162" w:type="dxa"/>
            <w:gridSpan w:val="3"/>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364" w:type="dxa"/>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098"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161" w:type="dxa"/>
            <w:gridSpan w:val="2"/>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c>
          <w:tcPr>
            <w:tcW w:w="1159" w:type="dxa"/>
            <w:gridSpan w:val="2"/>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p>
        </w:tc>
      </w:tr>
      <w:tr w:rsidR="00385AEF" w:rsidRPr="00591E78" w:rsidTr="00385AEF">
        <w:tc>
          <w:tcPr>
            <w:tcW w:w="2160" w:type="dxa"/>
            <w:tcBorders>
              <w:left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Laikas, per kurį nebuvo manijos</w:t>
            </w:r>
          </w:p>
        </w:tc>
        <w:tc>
          <w:tcPr>
            <w:tcW w:w="1074"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0,70</w:t>
            </w:r>
          </w:p>
        </w:tc>
        <w:tc>
          <w:tcPr>
            <w:tcW w:w="1162" w:type="dxa"/>
            <w:gridSpan w:val="3"/>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0,86</w:t>
            </w:r>
          </w:p>
        </w:tc>
        <w:tc>
          <w:tcPr>
            <w:tcW w:w="1364" w:type="dxa"/>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0,67</w:t>
            </w:r>
          </w:p>
        </w:tc>
        <w:tc>
          <w:tcPr>
            <w:tcW w:w="1098" w:type="dxa"/>
            <w:tcBorders>
              <w:lef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0,53</w:t>
            </w:r>
          </w:p>
        </w:tc>
        <w:tc>
          <w:tcPr>
            <w:tcW w:w="1161" w:type="dxa"/>
            <w:gridSpan w:val="2"/>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0,64</w:t>
            </w:r>
          </w:p>
        </w:tc>
        <w:tc>
          <w:tcPr>
            <w:tcW w:w="1159" w:type="dxa"/>
            <w:gridSpan w:val="2"/>
            <w:tcBorders>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0,37</w:t>
            </w:r>
          </w:p>
        </w:tc>
      </w:tr>
      <w:tr w:rsidR="00385AEF" w:rsidRPr="00591E78" w:rsidTr="00385AEF">
        <w:tc>
          <w:tcPr>
            <w:tcW w:w="2160" w:type="dxa"/>
            <w:tcBorders>
              <w:left w:val="single" w:sz="4" w:space="0" w:color="auto"/>
              <w:bottom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outlineLvl w:val="1"/>
              <w:rPr>
                <w:rFonts w:ascii="Times New Roman" w:hAnsi="Times New Roman"/>
              </w:rPr>
            </w:pPr>
            <w:r w:rsidRPr="00353EE7">
              <w:rPr>
                <w:rFonts w:ascii="Times New Roman" w:hAnsi="Times New Roman"/>
              </w:rPr>
              <w:t xml:space="preserve">p- reikšmė </w:t>
            </w:r>
            <w:r w:rsidRPr="00353EE7">
              <w:rPr>
                <w:rFonts w:ascii="Times New Roman" w:hAnsi="Times New Roman"/>
                <w:i/>
              </w:rPr>
              <w:t>Log rank</w:t>
            </w:r>
            <w:r w:rsidRPr="00353EE7">
              <w:rPr>
                <w:rFonts w:ascii="Times New Roman" w:hAnsi="Times New Roman"/>
              </w:rPr>
              <w:t xml:space="preserve"> testas</w:t>
            </w:r>
          </w:p>
        </w:tc>
        <w:tc>
          <w:tcPr>
            <w:tcW w:w="1074" w:type="dxa"/>
            <w:tcBorders>
              <w:left w:val="single" w:sz="4" w:space="0" w:color="auto"/>
              <w:bottom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0,339</w:t>
            </w:r>
          </w:p>
        </w:tc>
        <w:tc>
          <w:tcPr>
            <w:tcW w:w="1162" w:type="dxa"/>
            <w:gridSpan w:val="3"/>
            <w:tcBorders>
              <w:bottom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0,026</w:t>
            </w:r>
          </w:p>
        </w:tc>
        <w:tc>
          <w:tcPr>
            <w:tcW w:w="1364" w:type="dxa"/>
            <w:tcBorders>
              <w:bottom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p>
        </w:tc>
        <w:tc>
          <w:tcPr>
            <w:tcW w:w="1098" w:type="dxa"/>
            <w:tcBorders>
              <w:left w:val="single" w:sz="4" w:space="0" w:color="auto"/>
              <w:bottom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0,280</w:t>
            </w:r>
          </w:p>
        </w:tc>
        <w:tc>
          <w:tcPr>
            <w:tcW w:w="1161" w:type="dxa"/>
            <w:gridSpan w:val="2"/>
            <w:tcBorders>
              <w:bottom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0,006</w:t>
            </w:r>
          </w:p>
        </w:tc>
        <w:tc>
          <w:tcPr>
            <w:tcW w:w="1159" w:type="dxa"/>
            <w:gridSpan w:val="2"/>
            <w:tcBorders>
              <w:bottom w:val="single" w:sz="4" w:space="0" w:color="auto"/>
              <w:right w:val="single" w:sz="4" w:space="0" w:color="auto"/>
            </w:tcBorders>
          </w:tcPr>
          <w:p w:rsidR="00385AEF" w:rsidRPr="00353EE7" w:rsidRDefault="00385AEF" w:rsidP="00385AEF">
            <w:pPr>
              <w:keepNext/>
              <w:tabs>
                <w:tab w:val="left" w:pos="567"/>
              </w:tabs>
              <w:spacing w:after="0" w:line="240" w:lineRule="auto"/>
              <w:ind w:left="567" w:hanging="567"/>
              <w:jc w:val="center"/>
              <w:outlineLvl w:val="1"/>
              <w:rPr>
                <w:rFonts w:ascii="Times New Roman" w:hAnsi="Times New Roman"/>
              </w:rPr>
            </w:pPr>
            <w:r w:rsidRPr="00353EE7">
              <w:rPr>
                <w:rFonts w:ascii="Times New Roman" w:hAnsi="Times New Roman"/>
              </w:rPr>
              <w:t>-</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Papildomos laiko, per kurį pasireiškė pirmasis depresijos epizodas, ir laiko, per kurį pasireiškė pirmasis manijos ar hipomanijos arba mišrus epizodas, analizės duomenimis, lamotriginu gydytiems pacientams laikas, per kurį pasireiškė pirmasis depresijos epizodas, buvo reikšmingai ilgesnis nei placebą vartojusiems pacientams, o laiko, per kurį pasireiškė pirmasis manijos ar hipomanijos arba mišrus epizodas, skirtumas buvo statistiškai nereikšmingas.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Gydymo lamotriginu kartu su nuotaiką stabilizuojančiais preparatais veiksmingumas tinkamai neištirtas.</w:t>
      </w:r>
    </w:p>
    <w:p w:rsidR="00385AEF"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Pr>
          <w:rFonts w:ascii="Times New Roman" w:hAnsi="Times New Roman"/>
        </w:rPr>
        <w:t>Vaikų populiacija</w:t>
      </w: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Vaikai (10</w:t>
      </w:r>
      <w:r w:rsidRPr="00353EE7">
        <w:rPr>
          <w:rFonts w:ascii="Times New Roman" w:hAnsi="Times New Roman"/>
          <w:u w:val="single"/>
        </w:rPr>
        <w:noBreakHyphen/>
        <w:t>12 metų) ir paaugliai (13</w:t>
      </w:r>
      <w:r w:rsidRPr="00353EE7">
        <w:rPr>
          <w:rFonts w:ascii="Times New Roman" w:hAnsi="Times New Roman"/>
          <w:u w:val="single"/>
        </w:rPr>
        <w:noBreakHyphen/>
        <w:t>17 metų)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Daugiacentrio, lygiagrečių grupių, placebu kontroliuojamojo, dvigubai koduoto, atsitiktinių imčių vartojimo nutraukimo tyrimo metu buvo tirtas greito atpalaidavimo lamotrigino, skiriamo vartoti papildomam palaikomajam gydymui, siekiant atitolinti nuotaikos sutrikimų epizodus, veiksmingumas ir saugumas vyriškos ir moteriškos lyties vaikams bei paaugliams (10</w:t>
      </w:r>
      <w:r w:rsidRPr="00353EE7">
        <w:rPr>
          <w:rFonts w:ascii="Times New Roman" w:hAnsi="Times New Roman"/>
        </w:rPr>
        <w:noBreakHyphen/>
        <w:t xml:space="preserve">17 metų amžiaus), kuriems buvo diagnozuotas I tipo bipolinis sutrikimas ir pasireiškė remisija arba kurių būklė bipolinio sutrikimo epizodo metu pagerėjo gydant lamotrigino deriniais su kitais antipsichoziniais ar kitokiais nuotaiką stabilizuojančiaisiais vaistiniais preparatais. Pirmaeilio veiksmingumo rodmenų (laikotarpis iki bipolinio reiškinio pasireiškimo – angl., </w:t>
      </w:r>
      <w:r w:rsidRPr="00353EE7">
        <w:rPr>
          <w:rFonts w:ascii="Times New Roman" w:hAnsi="Times New Roman"/>
          <w:i/>
        </w:rPr>
        <w:t>time to occurrence of a bipolar event [TOBE]</w:t>
      </w:r>
      <w:r w:rsidRPr="00353EE7">
        <w:rPr>
          <w:rFonts w:ascii="Times New Roman" w:hAnsi="Times New Roman"/>
        </w:rPr>
        <w:t>) analizės duomenys nepasiekė statistinio reikšmingumo (p = 0,0717), todėl veiksmingumas neįrodytas. Be to, saugumo duomenys parodė, kad padaugėjo pranešimų apie savižudišką elgesį lamotriginu gydytų pacientų grupėje: 5 % (4 pacientai) lamotrigino grupėje, palyginti su 0 placebo grupėje (žr. 4.2 skyrių).</w:t>
      </w:r>
    </w:p>
    <w:p w:rsidR="00385AEF" w:rsidRPr="00353EE7" w:rsidRDefault="00385AEF" w:rsidP="00385AEF">
      <w:pPr>
        <w:spacing w:after="0" w:line="240" w:lineRule="auto"/>
        <w:rPr>
          <w:rFonts w:ascii="Times New Roman" w:hAnsi="Times New Roman"/>
          <w:u w:val="single"/>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Lamotrigino poveikio širdies laidumui tyrimai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Atliktas kartotinių lamotrigino dozių (ne didesnių kaip 400 mg paros dozių) poveikio širdies laidumui, kuris buvo vertinamas, užrašant 12 derivacijų EKG, tyrimas su sveikais suaugusiais savanoriais. Kliniškai reikšmingo poveikio lamotrigino QT intervalui, palyginti su placebu, nenustatyta.</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lastRenderedPageBreak/>
        <w:t>5.2</w:t>
      </w:r>
      <w:r w:rsidRPr="00353EE7">
        <w:rPr>
          <w:rFonts w:ascii="Times New Roman" w:hAnsi="Times New Roman"/>
          <w:b/>
        </w:rPr>
        <w:tab/>
        <w:t xml:space="preserve">Farmakokinetinės savybės </w:t>
      </w:r>
    </w:p>
    <w:p w:rsidR="00385AEF" w:rsidRPr="00353EE7" w:rsidRDefault="00385AEF" w:rsidP="00385AEF">
      <w:pPr>
        <w:keepNext/>
        <w:spacing w:after="0" w:line="240" w:lineRule="auto"/>
        <w:ind w:left="567" w:hanging="567"/>
        <w:rPr>
          <w:rFonts w:ascii="Times New Roman" w:hAnsi="Times New Roman"/>
        </w:rPr>
      </w:pPr>
    </w:p>
    <w:p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Absorbcija</w:t>
      </w:r>
    </w:p>
    <w:p w:rsidR="00385AEF" w:rsidRPr="00353EE7" w:rsidRDefault="00385AEF" w:rsidP="00385AEF">
      <w:pPr>
        <w:keepNext/>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rPr>
      </w:pPr>
      <w:r w:rsidRPr="00353EE7">
        <w:rPr>
          <w:rFonts w:ascii="Times New Roman" w:hAnsi="Times New Roman"/>
        </w:rPr>
        <w:t xml:space="preserve">Visas lamotriginas greitai absorbuojamas iš žarnyno, ir tik nežymus jo kiekis metabolizuojamas pirmojo prasiskverbimo pro kepenis metu. Išgerto lamotrigino didžiausia koncentracija </w:t>
      </w:r>
      <w:r>
        <w:rPr>
          <w:rFonts w:ascii="Times New Roman" w:hAnsi="Times New Roman"/>
        </w:rPr>
        <w:t xml:space="preserve">kraujo </w:t>
      </w:r>
      <w:r w:rsidRPr="00353EE7">
        <w:rPr>
          <w:rFonts w:ascii="Times New Roman" w:hAnsi="Times New Roman"/>
        </w:rPr>
        <w:t>plazmoje atsiranda maždaug po 2,5 val. Po valgio vartojamo lamotrigino didžiausia koncentracija atsiranda šiek tiek vėliau, bet absorbcijos dydis nepakinta. Atskirų žmonių organizme didžiausios nusistovėjusios koncentracijos labai skiriasi, bet to paties žmogaus organizme ji kinta labai retai.</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u w:val="single"/>
        </w:rPr>
      </w:pPr>
      <w:r w:rsidRPr="00353EE7">
        <w:rPr>
          <w:rFonts w:ascii="Times New Roman" w:hAnsi="Times New Roman"/>
          <w:u w:val="single"/>
        </w:rPr>
        <w:t>Pasiskirstymas</w:t>
      </w:r>
    </w:p>
    <w:p w:rsidR="00385AEF" w:rsidRPr="00353EE7" w:rsidRDefault="00385AEF" w:rsidP="00385AEF">
      <w:pPr>
        <w:keepNext/>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Maždaug 55 % vaistinio preparato prisijungia prie </w:t>
      </w:r>
      <w:r>
        <w:rPr>
          <w:rFonts w:ascii="Times New Roman" w:hAnsi="Times New Roman"/>
        </w:rPr>
        <w:t xml:space="preserve">kraujo </w:t>
      </w:r>
      <w:r w:rsidRPr="00353EE7">
        <w:rPr>
          <w:rFonts w:ascii="Times New Roman" w:hAnsi="Times New Roman"/>
        </w:rPr>
        <w:t xml:space="preserve">plazmos baltymų. Tikimybė, kad dėl išstūmimo iš jungties su </w:t>
      </w:r>
      <w:r>
        <w:rPr>
          <w:rFonts w:ascii="Times New Roman" w:hAnsi="Times New Roman"/>
        </w:rPr>
        <w:t xml:space="preserve">kraujo </w:t>
      </w:r>
      <w:r w:rsidRPr="00353EE7">
        <w:rPr>
          <w:rFonts w:ascii="Times New Roman" w:hAnsi="Times New Roman"/>
        </w:rPr>
        <w:t>plazmos baltymais pasireikš toksinis poveikis, labai maža.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Pasiskirstymo tūris yra 0,92</w:t>
      </w:r>
      <w:r w:rsidRPr="00353EE7">
        <w:rPr>
          <w:rFonts w:ascii="Times New Roman" w:hAnsi="Times New Roman"/>
        </w:rPr>
        <w:noBreakHyphen/>
        <w:t>1,22 l/kg.</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Biotransformacija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Nustatyta, kad lamotrigino metabolizmą veikia fermentai UDF</w:t>
      </w:r>
      <w:r w:rsidRPr="00353EE7">
        <w:rPr>
          <w:rFonts w:ascii="Times New Roman" w:hAnsi="Times New Roman"/>
        </w:rPr>
        <w:noBreakHyphen/>
        <w:t>gliukuroniltransferazės.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Priklausomai nuo dozės, lamotriginas gali vidutiniškai sužadinti savo paties metabolizmą. Vis dėlto duomenų, kad lamotriginas veiktų kitų AEVP farmakokinetiką, negauta. Duomenys rodo, kad lamotrigino sąveikos su kitais vaistiniais preparatais, kurių metabolizmą veikia citochromo P450 izofermentai, pasireikšti neturėtų.</w:t>
      </w:r>
    </w:p>
    <w:p w:rsidR="00385AEF" w:rsidRPr="00353EE7" w:rsidRDefault="00385AEF" w:rsidP="00385AEF">
      <w:pPr>
        <w:spacing w:after="0" w:line="240" w:lineRule="auto"/>
        <w:rPr>
          <w:rFonts w:ascii="Times New Roman" w:hAnsi="Times New Roman"/>
        </w:rPr>
      </w:pPr>
    </w:p>
    <w:p w:rsidR="00385AEF" w:rsidRPr="00353EE7" w:rsidRDefault="00385AEF" w:rsidP="00E767B2">
      <w:pPr>
        <w:keepNext/>
        <w:spacing w:after="0" w:line="240" w:lineRule="auto"/>
        <w:rPr>
          <w:rFonts w:ascii="Times New Roman" w:hAnsi="Times New Roman"/>
          <w:u w:val="single"/>
        </w:rPr>
      </w:pPr>
      <w:r w:rsidRPr="00353EE7">
        <w:rPr>
          <w:rFonts w:ascii="Times New Roman" w:hAnsi="Times New Roman"/>
          <w:u w:val="single"/>
        </w:rPr>
        <w:t>Eliminacija</w:t>
      </w:r>
    </w:p>
    <w:p w:rsidR="00385AEF" w:rsidRPr="00353EE7" w:rsidRDefault="00385AEF" w:rsidP="00E767B2">
      <w:pPr>
        <w:keepNext/>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Tariamasis klirensas iš sveikų asmenų plazmos yra maždaug 30 ml/min. Didelė dalis lamotrigino metabolizuojama ir vėliau su šlapimu šalinami jo gliukuronidai. Su šlapimu šalinama mažiau kaip 10 % nepakitusio vaistinio preparato. Tik maždaug 2 % su lamotriginu susijusių medžiagų šalinama su išmatomis. Tariamasis klirensas ir pusinės eliminacijos periodas nuo dozės nepriklauso. Pusinės eliminacijos periodas iš sveikų asmenų plazmos trunka maždaug 33 val. (nuo 14 iki 103 valandų). Tyrimo su Žilberto (</w:t>
      </w:r>
      <w:r w:rsidRPr="00353EE7">
        <w:rPr>
          <w:rFonts w:ascii="Times New Roman" w:hAnsi="Times New Roman"/>
          <w:i/>
        </w:rPr>
        <w:t>Gilbert)</w:t>
      </w:r>
      <w:r w:rsidRPr="00353EE7">
        <w:rPr>
          <w:rFonts w:ascii="Times New Roman" w:hAnsi="Times New Roman"/>
        </w:rPr>
        <w:t xml:space="preserve"> sindromu sergančiais asmenimis duomenimis, vidutinis tariamas klirensas sumažėja 32 %, palyginti su sveikų kontrolinės grupės pacientų, bet rodmenys atitinka visos populiacijos normos ribas.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Lamotrigino pusinės eliminacijos periodą labai veikia kartu vartojami vaistiniai preparatai. Vidutinis pusinės eliminacijos periodas sutrumpėja ir trunka maždaug 14 val., kartu vartojant gliukuronizaciją sužadinančių vaistinių preparatų (pvz., karbamazepiną, fenitoiną), o kartu vartojant vieną valproatą, pailgėja ir trunka maždaug 70 val.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spacing w:after="0" w:line="240" w:lineRule="auto"/>
        <w:ind w:left="1701" w:hanging="1701"/>
        <w:rPr>
          <w:rFonts w:ascii="Times New Roman" w:hAnsi="Times New Roman"/>
          <w:u w:val="single"/>
        </w:rPr>
      </w:pPr>
      <w:r w:rsidRPr="00353EE7">
        <w:rPr>
          <w:rFonts w:ascii="Times New Roman" w:hAnsi="Times New Roman"/>
          <w:u w:val="single"/>
        </w:rPr>
        <w:t>Tiesinis / netiesinis pobūdis</w:t>
      </w:r>
    </w:p>
    <w:p w:rsidR="00385AEF" w:rsidRPr="00353EE7" w:rsidRDefault="00385AEF" w:rsidP="00385AEF">
      <w:pPr>
        <w:keepNext/>
        <w:spacing w:after="0" w:line="240" w:lineRule="auto"/>
        <w:ind w:left="1701" w:hanging="1701"/>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Vartojant ne didesnes kaip 450 mg dozes (didžiausia tirta vienkartinė dozė), lamotrigino farmakokinetika yra linijinė.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u w:val="single"/>
        </w:rPr>
      </w:pPr>
      <w:r w:rsidRPr="00353EE7">
        <w:rPr>
          <w:rFonts w:ascii="Times New Roman" w:hAnsi="Times New Roman"/>
          <w:u w:val="single"/>
        </w:rPr>
        <w:t>Ypatingos populiacijos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Vaikai</w:t>
      </w:r>
    </w:p>
    <w:p w:rsidR="00385AEF" w:rsidRPr="00353EE7" w:rsidRDefault="00385AEF" w:rsidP="00385AEF">
      <w:pPr>
        <w:spacing w:after="0" w:line="240" w:lineRule="auto"/>
        <w:rPr>
          <w:rFonts w:ascii="Times New Roman" w:hAnsi="Times New Roman"/>
        </w:rPr>
      </w:pPr>
      <w:r w:rsidRPr="00353EE7">
        <w:rPr>
          <w:rFonts w:ascii="Times New Roman" w:hAnsi="Times New Roman"/>
        </w:rPr>
        <w:t>Klirensas iš vaikų organizmo, skaičiuojant pagal kūno svorį, yra didesnis negu iš suaugusiųjų, didžiausias – iš jaunesnių nei penkerių metų vaikų organizmo. Lamotrigino pusinės eliminacijos periodas vaikų organizme paprastai yra trumpesnis nei suaugusiųjų, o vartojant kartu su fermentus sužadinančiais vaistiniais preparatais (pvz., karbamazepinu, fenitoinu), vidutinis pusinės eliminacijos periodas trunka maždaug 7 val. Kartu vartojant vieną valproatą, šio periodo vidutinė trukmė pailgėja ir būna 45–50 val. (žr. 4.2 skyrių).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lastRenderedPageBreak/>
        <w:t>Kūdikiai ir vaikai nuo 2 iki 26 mėnesių</w:t>
      </w:r>
    </w:p>
    <w:p w:rsidR="00385AEF" w:rsidRPr="00353EE7" w:rsidRDefault="00385AEF" w:rsidP="00385AEF">
      <w:pPr>
        <w:spacing w:after="0" w:line="240" w:lineRule="auto"/>
        <w:rPr>
          <w:rFonts w:ascii="Times New Roman" w:hAnsi="Times New Roman"/>
        </w:rPr>
      </w:pPr>
      <w:r w:rsidRPr="00353EE7">
        <w:rPr>
          <w:rFonts w:ascii="Times New Roman" w:hAnsi="Times New Roman"/>
        </w:rPr>
        <w:t>143 kūdikių ir vaikų (2</w:t>
      </w:r>
      <w:r w:rsidRPr="00353EE7">
        <w:rPr>
          <w:rFonts w:ascii="Times New Roman" w:hAnsi="Times New Roman"/>
        </w:rPr>
        <w:noBreakHyphen/>
        <w:t>26 mėnesių, svoris 3</w:t>
      </w:r>
      <w:r w:rsidRPr="00353EE7">
        <w:rPr>
          <w:rFonts w:ascii="Times New Roman" w:hAnsi="Times New Roman"/>
        </w:rPr>
        <w:noBreakHyphen/>
        <w:t xml:space="preserve">16 kg) organizme klirensas sumažėjo, palyginti su to paties svorio vyresniais kaip 2 metų vaikais, kurie gėrė panašią dozę, apskaičiuotą kilogramui kūno svorio. </w:t>
      </w:r>
      <w:r>
        <w:rPr>
          <w:rFonts w:ascii="Times New Roman" w:hAnsi="Times New Roman"/>
        </w:rPr>
        <w:t>Buvo apskaičiuota, kad v</w:t>
      </w:r>
      <w:r w:rsidRPr="00353EE7">
        <w:rPr>
          <w:rFonts w:ascii="Times New Roman" w:hAnsi="Times New Roman"/>
        </w:rPr>
        <w:t>idutinis pusinės eliminacijos periodas</w:t>
      </w:r>
      <w:r>
        <w:rPr>
          <w:rFonts w:ascii="Times New Roman" w:hAnsi="Times New Roman"/>
        </w:rPr>
        <w:t xml:space="preserve"> </w:t>
      </w:r>
      <w:r w:rsidRPr="00353EE7">
        <w:rPr>
          <w:rFonts w:ascii="Times New Roman" w:hAnsi="Times New Roman"/>
        </w:rPr>
        <w:t>jaunesniems nei 26 mėnesių kūdikiams</w:t>
      </w:r>
      <w:r>
        <w:rPr>
          <w:rFonts w:ascii="Times New Roman" w:hAnsi="Times New Roman"/>
        </w:rPr>
        <w:t xml:space="preserve">, gydomiems </w:t>
      </w:r>
      <w:r w:rsidRPr="00353EE7">
        <w:rPr>
          <w:rFonts w:ascii="Times New Roman" w:hAnsi="Times New Roman"/>
        </w:rPr>
        <w:t>izofermentus sužadinan</w:t>
      </w:r>
      <w:r>
        <w:rPr>
          <w:rFonts w:ascii="Times New Roman" w:hAnsi="Times New Roman"/>
        </w:rPr>
        <w:t>čiais vaistiniais preparatais, yra</w:t>
      </w:r>
      <w:r w:rsidRPr="00353EE7">
        <w:rPr>
          <w:rFonts w:ascii="Times New Roman" w:hAnsi="Times New Roman"/>
        </w:rPr>
        <w:t xml:space="preserve"> 23 valand</w:t>
      </w:r>
      <w:r>
        <w:rPr>
          <w:rFonts w:ascii="Times New Roman" w:hAnsi="Times New Roman"/>
        </w:rPr>
        <w:t>os</w:t>
      </w:r>
      <w:r w:rsidRPr="00353EE7">
        <w:rPr>
          <w:rFonts w:ascii="Times New Roman" w:hAnsi="Times New Roman"/>
        </w:rPr>
        <w:t xml:space="preserve">, kartu vartojant valproatą </w:t>
      </w:r>
      <w:r>
        <w:rPr>
          <w:rFonts w:ascii="Times New Roman" w:hAnsi="Times New Roman"/>
        </w:rPr>
        <w:sym w:font="Symbol" w:char="F02D"/>
      </w:r>
      <w:r>
        <w:rPr>
          <w:rFonts w:ascii="Times New Roman" w:hAnsi="Times New Roman"/>
        </w:rPr>
        <w:t xml:space="preserve"> </w:t>
      </w:r>
      <w:r w:rsidRPr="00353EE7">
        <w:rPr>
          <w:rFonts w:ascii="Times New Roman" w:hAnsi="Times New Roman"/>
        </w:rPr>
        <w:t>136 valand</w:t>
      </w:r>
      <w:r>
        <w:rPr>
          <w:rFonts w:ascii="Times New Roman" w:hAnsi="Times New Roman"/>
        </w:rPr>
        <w:t xml:space="preserve">os, o </w:t>
      </w:r>
      <w:r w:rsidRPr="00353EE7">
        <w:rPr>
          <w:rFonts w:ascii="Times New Roman" w:hAnsi="Times New Roman"/>
        </w:rPr>
        <w:t>asmenims, kurie gydomi be izofermentus sužadinančių ar slopinančių vaistinių preparatų</w:t>
      </w:r>
      <w:r>
        <w:rPr>
          <w:rFonts w:ascii="Times New Roman" w:hAnsi="Times New Roman"/>
        </w:rPr>
        <w:t xml:space="preserve"> </w:t>
      </w:r>
      <w:r>
        <w:rPr>
          <w:rFonts w:ascii="Times New Roman" w:hAnsi="Times New Roman"/>
        </w:rPr>
        <w:sym w:font="Symbol" w:char="F02D"/>
      </w:r>
      <w:r>
        <w:rPr>
          <w:rFonts w:ascii="Times New Roman" w:hAnsi="Times New Roman"/>
        </w:rPr>
        <w:t xml:space="preserve"> </w:t>
      </w:r>
      <w:r w:rsidRPr="00353EE7">
        <w:rPr>
          <w:rFonts w:ascii="Times New Roman" w:hAnsi="Times New Roman"/>
        </w:rPr>
        <w:t>38 valand</w:t>
      </w:r>
      <w:r>
        <w:rPr>
          <w:rFonts w:ascii="Times New Roman" w:hAnsi="Times New Roman"/>
        </w:rPr>
        <w:t xml:space="preserve">os. </w:t>
      </w:r>
      <w:r w:rsidRPr="00353EE7">
        <w:rPr>
          <w:rFonts w:ascii="Times New Roman" w:hAnsi="Times New Roman"/>
        </w:rPr>
        <w:t>Skirtingų 2</w:t>
      </w:r>
      <w:r w:rsidRPr="00353EE7">
        <w:rPr>
          <w:rFonts w:ascii="Times New Roman" w:hAnsi="Times New Roman"/>
        </w:rPr>
        <w:noBreakHyphen/>
        <w:t>26 mėnesių kūdikių ir vaikų organizme išgerto vaistinio preparato klirenso kintamumas buvo labai didelis (47 %). Numatytos koncentracijos 2</w:t>
      </w:r>
      <w:r w:rsidRPr="00353EE7">
        <w:rPr>
          <w:rFonts w:ascii="Times New Roman" w:hAnsi="Times New Roman"/>
        </w:rPr>
        <w:noBreakHyphen/>
        <w:t xml:space="preserve">26 mėnesių kūdikių ir vaikų </w:t>
      </w:r>
      <w:r>
        <w:rPr>
          <w:rFonts w:ascii="Times New Roman" w:hAnsi="Times New Roman"/>
        </w:rPr>
        <w:t xml:space="preserve">kraujo </w:t>
      </w:r>
      <w:r w:rsidRPr="00353EE7">
        <w:rPr>
          <w:rFonts w:ascii="Times New Roman" w:hAnsi="Times New Roman"/>
        </w:rPr>
        <w:t xml:space="preserve">serume dažniausiai buvo tokiose pačiose ribose, kaip vyresnių vaikų, bet kai kurių vaikų, sveriančių mažiau kaip 10 kg, organizme gali būti didesnis </w:t>
      </w:r>
      <w:r w:rsidRPr="00353EE7">
        <w:rPr>
          <w:rFonts w:ascii="Times New Roman" w:hAnsi="Times New Roman"/>
          <w:i/>
        </w:rPr>
        <w:t>C</w:t>
      </w:r>
      <w:r w:rsidRPr="00353EE7">
        <w:rPr>
          <w:rFonts w:ascii="Times New Roman" w:hAnsi="Times New Roman"/>
          <w:i/>
          <w:vertAlign w:val="subscript"/>
        </w:rPr>
        <w:t>max</w:t>
      </w:r>
      <w:r w:rsidRPr="00353EE7">
        <w:rPr>
          <w:rFonts w:ascii="Times New Roman" w:hAnsi="Times New Roman"/>
        </w:rPr>
        <w:t>.</w:t>
      </w:r>
    </w:p>
    <w:p w:rsidR="00385AEF" w:rsidRPr="00353EE7" w:rsidRDefault="00385AEF" w:rsidP="00385AEF">
      <w:pPr>
        <w:spacing w:after="0" w:line="240" w:lineRule="auto"/>
        <w:rPr>
          <w:rFonts w:ascii="Times New Roman" w:hAnsi="Times New Roman"/>
          <w:i/>
          <w:u w:val="single"/>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Senyvi pacientai</w:t>
      </w:r>
    </w:p>
    <w:p w:rsidR="00385AEF" w:rsidRPr="00353EE7" w:rsidRDefault="00385AEF" w:rsidP="00385AEF">
      <w:pPr>
        <w:spacing w:after="0" w:line="240" w:lineRule="auto"/>
        <w:rPr>
          <w:rFonts w:ascii="Times New Roman" w:hAnsi="Times New Roman"/>
        </w:rPr>
      </w:pPr>
      <w:r w:rsidRPr="00353EE7">
        <w:rPr>
          <w:rFonts w:ascii="Times New Roman" w:hAnsi="Times New Roman"/>
        </w:rPr>
        <w:t>Jaunų ir senyvų epilepsija sergančių pacientų, dalyvavusių tuose pačiuose klinikiniuose tyrimuose, farmakokinetikos analizės duomenimis, lamotrigino klirensas kliniškai reikšmingai nesiskiria. Pavartojus vienkartinę dozę, klirensas sumažėjo 12 %: nuo 35 ml/min. 20 metų pacientams iki 31 ml/min. 70 metų ligoniams. Po 48 gydymo savaičių klirensas sumažėjo 10 %: nuo 41 ml/min. jaunų tiriamųjų iki 37 ml/min. senyvų asmenų. Be to, buvo tirta lamotrigino farmakokinetika 12 sveikų senyvų asmenų, pavartojusių vienkartinę 150 mg dozę, organizme. Vidutinis klirensas (0,39 ml/min./kg) iš senyvų žmonių organizmo atitiko vidutinius klirenso rodmenis (0,31</w:t>
      </w:r>
      <w:r w:rsidRPr="00353EE7">
        <w:rPr>
          <w:rFonts w:ascii="Times New Roman" w:hAnsi="Times New Roman"/>
        </w:rPr>
        <w:noBreakHyphen/>
        <w:t>0,65 ml/min./kg), kurie nustatyti 9 tyrimų metu suaugusiems, bet nesenyviems žmonėms, pavartojusiems vienkartines 30–450 mg dozes.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Inkstų funkcijos sutrikimas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Dvylikai lėtiniu inkstų funkcijos nepakankamumu sergančių savanorių ir kitiems šešiems asmenims, kuriems taikomos hemodializės, buvo duodama vienkartinė 100 mg lamotrigino dozė. Vidutinis klirensas buvo 0,42 ml/min./kg (lėtinis inkstų funkcijos nepakankamumas), 0,33 ml/min./kg (tarp hemodializių) ir 1,57 ml/min./kg (hemodializės metu), palyginti su 0,58 ml/min./kg sveikų savanorių. Vidutinis pusinės eliminacijos periodas iš </w:t>
      </w:r>
      <w:r>
        <w:rPr>
          <w:rFonts w:ascii="Times New Roman" w:hAnsi="Times New Roman"/>
        </w:rPr>
        <w:t xml:space="preserve">kraujo </w:t>
      </w:r>
      <w:r w:rsidRPr="00353EE7">
        <w:rPr>
          <w:rFonts w:ascii="Times New Roman" w:hAnsi="Times New Roman"/>
        </w:rPr>
        <w:t>plazmos truko 42,9 valandos (lėtinis inkstų funkcijos nepakankamumas), 57,4 valandos (tarp hemodializių) ir 13,0 valandų (hemodializės metu), palyginti su 26,2 valandos sveikų savanorių. Apskirtai per 4 hemodializės valandas iš organizmo pašalinta maždaug 20 % (ribos = nuo 5,6 iki 35,1) lamotrigino. Pradinę lamotrigino dozę šios grupės pacientams reikia nustatyti, atsižvelgiant į tai, kokius vaistinius preparatus pacientas vartoja kartu. Pacientams, kurie serga reikšmingu inkstų funkcijos sutrikimu, gali būti veiksmingos mažesnės palaikomosios dozės (žr. 4.2 ir 4.4 skyrius).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i/>
          <w:u w:val="single"/>
        </w:rPr>
      </w:pPr>
      <w:r w:rsidRPr="00353EE7">
        <w:rPr>
          <w:rFonts w:ascii="Times New Roman" w:hAnsi="Times New Roman"/>
          <w:i/>
          <w:u w:val="single"/>
        </w:rPr>
        <w:t>Kepenų funkcijos sutrikimas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Atlikti vienkartinės dozės farmakokinetikos tyrimai, kuriuose dalyvavo 24 asmenys, sergantys įvairaus sunkumo kepenų funkcijos sutrikimu, ir 12 sveikų kontrolinės grupės asmenų. Vidutinis lamotrigino klirensas iš A, B ar C (pagal </w:t>
      </w:r>
      <w:r w:rsidRPr="00353EE7">
        <w:rPr>
          <w:rFonts w:ascii="Times New Roman" w:hAnsi="Times New Roman"/>
          <w:i/>
        </w:rPr>
        <w:t>Child-Pugh</w:t>
      </w:r>
      <w:r w:rsidRPr="00353EE7">
        <w:rPr>
          <w:rFonts w:ascii="Times New Roman" w:hAnsi="Times New Roman"/>
        </w:rPr>
        <w:t xml:space="preserve"> klasifikaciją) klasės kepenų funkcijos sutrikimu sergančių pacientų organizmo buvo atitinkamai 0,31, 0,24 ar 0,10 ml/min/kg, palyginti su 0,34 ml/min/kg iš sveikų kontrolinės grupės asmenų organizmo. Pacientams, kurie serga vidutinio sunkumo ar sunkiu kepenų funkcijos sutrikimu, reikia sumažinti pradinę, didinimo ir palaikomąją dozes (žr. 4.2 skyrių).</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5.3</w:t>
      </w:r>
      <w:r w:rsidRPr="00353EE7">
        <w:rPr>
          <w:rFonts w:ascii="Times New Roman" w:hAnsi="Times New Roman"/>
          <w:b/>
        </w:rPr>
        <w:tab/>
        <w:t>Ikiklinikinių saugumo tyrimų duomenys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Įprastų farmakologinio saugumo, kartotinių dozių toksiškumo, genotoksiškumo ir galimo kancerogeniškumo ikiklinikinių tyrimų duomenys specifinio pavojaus žmogui nerodo.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Toksinio poveikio reprodukcijai ir vystymuisi tyrimai su graužikais ir triušiais teratogeninio poveikio neparodė, bet nustatytas vaisiaus svorio sumažėjimas bei griaučių kaulėjimo vėlavimas, esant mažesnei ar panašiai į numatytą klinikinę ekspozicijai. Didesnės ekspozicijos su gyvūnais tirti neįmanoma, nes pasireiškia sunkus toksinis poveikis patelėms, taigi, kokį teratogeninį poveikį gali sukelti didesnės už klinikinę ekspozicijos, nenustatyta.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Nustatytas didesnis vaisiaus ir postnatalinis mirtingumas žiurkėms, gavusioms lamotrigino vėlyvuoju vaikavimosi laikotarpiu ir ankstyvuoju postnataliniu laikotarpiu. Toks poveikis pasireiškė, esant panašiai į numatytą klinikinę ekspozicijai.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Tyrimų su jaunomis žiurkėmis duomenimis, kai ekspozicija buvo maždaug du kartus didesnė už tą, kuri būna gydomąją dozę vartojančio suaugusio žmogaus organizme, atliekant </w:t>
      </w:r>
      <w:r w:rsidRPr="00353EE7">
        <w:rPr>
          <w:rFonts w:ascii="Times New Roman" w:hAnsi="Times New Roman"/>
          <w:i/>
        </w:rPr>
        <w:t>Biel</w:t>
      </w:r>
      <w:r w:rsidRPr="00353EE7">
        <w:rPr>
          <w:rFonts w:ascii="Times New Roman" w:hAnsi="Times New Roman"/>
        </w:rPr>
        <w:t xml:space="preserve"> labirinto mėginį, nustatytas poveikis jaunų žiurkių mokymuisi, nedidelis varpos ir apyvarpės atsiskyrimo bei makšties formavimosi vėlavimas, sumažėjo F1 gyvūnų postnatalinis svorio prieaugis.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Tyrimai su gyvūnais vaisingumo sutrikimo vartojant lamotriginą neparodė. Lamotriginas mažino folio rūgšties kiekį žiurkių vaisiuje. Folio rūgšties stoka siejama su gyvūnų ir žmogaus apsigimimų rizikos padidėjimu.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Lamotriginas sukelia nuo dozės priklausomą žmogaus embriono inkstų ląstelių hERG kanalų slopinimą. Vidutinė slopinamoji koncentracija maždaug devynis kartus viršijo didžiausią gydomąją laisvo lamotrigino koncentraciją. Lamotriginas neilgino gyvūnų QT intervalo, esant maždaug dvigubai didesnei koncentracijai už didžiausią gydomąją laisvo lamotrigino koncentraciją. Klinikinių tyrimų duomenimis, kliniškai reikšmingo lamotrigino poveikio sveikų suaugusių savanorių QT intervalui nenustatyta (žr. 5.1 skyrių).</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6.</w:t>
      </w:r>
      <w:r w:rsidRPr="00353EE7">
        <w:rPr>
          <w:rFonts w:ascii="Times New Roman" w:hAnsi="Times New Roman"/>
          <w:b/>
          <w:caps/>
        </w:rPr>
        <w:tab/>
        <w:t>farmacinė informacija</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6.1</w:t>
      </w:r>
      <w:r w:rsidRPr="00353EE7">
        <w:rPr>
          <w:rFonts w:ascii="Times New Roman" w:hAnsi="Times New Roman"/>
          <w:b/>
        </w:rPr>
        <w:tab/>
        <w:t>Pagalbinių medžiagų sąrašas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Kalcio karbonatas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Hidroksipropilceliuliozė (mažai pakeista)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Aliuminio-magnio silikatas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Karboksimetilkrakmolo A natrio druska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Povidonas K30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Sacharino natrio druska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Magnio stearatas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Juodųjų serbentų aromatinė medžiaga</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6.2</w:t>
      </w:r>
      <w:r w:rsidRPr="00353EE7">
        <w:rPr>
          <w:rFonts w:ascii="Times New Roman" w:hAnsi="Times New Roman"/>
          <w:b/>
        </w:rPr>
        <w:tab/>
        <w:t>Nesuderinamumas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Duomenys nebūtini.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6.3</w:t>
      </w:r>
      <w:r w:rsidRPr="00353EE7">
        <w:rPr>
          <w:rFonts w:ascii="Times New Roman" w:hAnsi="Times New Roman"/>
          <w:b/>
        </w:rPr>
        <w:tab/>
        <w:t>Tinkamumo laikas</w:t>
      </w:r>
    </w:p>
    <w:p w:rsidR="00385AEF" w:rsidRPr="00353EE7" w:rsidRDefault="00385AEF" w:rsidP="00385AEF">
      <w:pPr>
        <w:spacing w:after="0" w:line="240" w:lineRule="auto"/>
        <w:ind w:left="567" w:hanging="567"/>
        <w:rPr>
          <w:rFonts w:ascii="Times New Roman" w:hAnsi="Times New Roman"/>
        </w:rPr>
      </w:pPr>
    </w:p>
    <w:p w:rsidR="00385AEF" w:rsidRDefault="00385AEF" w:rsidP="00385AEF">
      <w:pPr>
        <w:spacing w:after="0" w:line="240" w:lineRule="auto"/>
        <w:rPr>
          <w:rFonts w:ascii="Times New Roman" w:hAnsi="Times New Roman"/>
        </w:rPr>
      </w:pPr>
      <w:r w:rsidRPr="00353EE7">
        <w:rPr>
          <w:rFonts w:ascii="Times New Roman" w:hAnsi="Times New Roman"/>
        </w:rPr>
        <w:t>Lizdinės plokštelės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5 mg, 25 mg, 50 mg, 100 mg ir 200</w:t>
      </w:r>
      <w:r>
        <w:rPr>
          <w:rFonts w:ascii="Times New Roman" w:hAnsi="Times New Roman"/>
        </w:rPr>
        <w:t> </w:t>
      </w:r>
      <w:r w:rsidRPr="00353EE7">
        <w:rPr>
          <w:rFonts w:ascii="Times New Roman" w:hAnsi="Times New Roman"/>
        </w:rPr>
        <w:t>mg kramtomosios ar disperguojamosios tabletės</w:t>
      </w:r>
    </w:p>
    <w:p w:rsidR="00385AEF" w:rsidRPr="00353EE7" w:rsidRDefault="00385AEF" w:rsidP="00385AEF">
      <w:pPr>
        <w:spacing w:after="0" w:line="240" w:lineRule="auto"/>
        <w:ind w:left="567" w:hanging="567"/>
        <w:rPr>
          <w:rFonts w:ascii="Times New Roman" w:hAnsi="Times New Roman"/>
        </w:rPr>
      </w:pPr>
      <w:r>
        <w:rPr>
          <w:rFonts w:ascii="Times New Roman" w:hAnsi="Times New Roman"/>
        </w:rPr>
        <w:t>3 </w:t>
      </w:r>
      <w:r w:rsidRPr="00353EE7">
        <w:rPr>
          <w:rFonts w:ascii="Times New Roman" w:hAnsi="Times New Roman"/>
        </w:rPr>
        <w:t>metai.</w:t>
      </w:r>
    </w:p>
    <w:p w:rsidR="00385AEF" w:rsidRPr="00353EE7" w:rsidRDefault="00385AEF" w:rsidP="00385AEF">
      <w:pPr>
        <w:spacing w:after="0" w:line="240" w:lineRule="auto"/>
        <w:ind w:left="567" w:hanging="567"/>
        <w:rPr>
          <w:rFonts w:ascii="Times New Roman" w:hAnsi="Times New Roman"/>
        </w:rPr>
      </w:pPr>
    </w:p>
    <w:p w:rsidR="00385AEF" w:rsidRDefault="00385AEF" w:rsidP="00385AEF">
      <w:pPr>
        <w:spacing w:after="0" w:line="240" w:lineRule="auto"/>
        <w:ind w:left="567" w:hanging="567"/>
        <w:rPr>
          <w:rFonts w:ascii="Times New Roman" w:hAnsi="Times New Roman"/>
        </w:rPr>
      </w:pPr>
      <w:r w:rsidRPr="00353EE7">
        <w:rPr>
          <w:rFonts w:ascii="Times New Roman" w:hAnsi="Times New Roman"/>
        </w:rPr>
        <w:t>Buteliukas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 mg kramtomosios ar disperguojamosios tabletės</w:t>
      </w:r>
    </w:p>
    <w:p w:rsidR="00385AEF" w:rsidRPr="00353EE7" w:rsidRDefault="00385AEF" w:rsidP="00385AEF">
      <w:pPr>
        <w:spacing w:after="0" w:line="240" w:lineRule="auto"/>
        <w:ind w:left="567" w:hanging="567"/>
        <w:rPr>
          <w:rFonts w:ascii="Times New Roman" w:hAnsi="Times New Roman"/>
        </w:rPr>
      </w:pPr>
      <w:r>
        <w:rPr>
          <w:rFonts w:ascii="Times New Roman" w:hAnsi="Times New Roman"/>
        </w:rPr>
        <w:t>3 </w:t>
      </w:r>
      <w:r w:rsidRPr="00353EE7">
        <w:rPr>
          <w:rFonts w:ascii="Times New Roman" w:hAnsi="Times New Roman"/>
        </w:rPr>
        <w:t>metai.</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w:t>
      </w:r>
      <w:r>
        <w:rPr>
          <w:rFonts w:ascii="Times New Roman" w:hAnsi="Times New Roman"/>
        </w:rPr>
        <w:t> </w:t>
      </w:r>
      <w:r w:rsidRPr="00353EE7">
        <w:rPr>
          <w:rFonts w:ascii="Times New Roman" w:hAnsi="Times New Roman"/>
        </w:rPr>
        <w:t>mg kramtomosios ar disperguojamosios tabletės</w:t>
      </w:r>
    </w:p>
    <w:p w:rsidR="00385AEF" w:rsidRPr="00353EE7" w:rsidRDefault="00385AEF" w:rsidP="00385AEF">
      <w:pPr>
        <w:spacing w:after="0" w:line="240" w:lineRule="auto"/>
        <w:ind w:left="567" w:hanging="567"/>
        <w:rPr>
          <w:rFonts w:ascii="Times New Roman" w:hAnsi="Times New Roman"/>
        </w:rPr>
      </w:pPr>
      <w:r>
        <w:rPr>
          <w:rFonts w:ascii="Times New Roman" w:hAnsi="Times New Roman"/>
        </w:rPr>
        <w:t>2 </w:t>
      </w:r>
      <w:r w:rsidRPr="00353EE7">
        <w:rPr>
          <w:rFonts w:ascii="Times New Roman" w:hAnsi="Times New Roman"/>
        </w:rPr>
        <w:t>metai.</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6.4</w:t>
      </w:r>
      <w:r w:rsidRPr="00353EE7">
        <w:rPr>
          <w:rFonts w:ascii="Times New Roman" w:hAnsi="Times New Roman"/>
          <w:b/>
        </w:rPr>
        <w:tab/>
        <w:t>Specialios laikymo sąlygos</w:t>
      </w:r>
    </w:p>
    <w:p w:rsidR="00385AEF" w:rsidRPr="00353EE7" w:rsidRDefault="00385AEF" w:rsidP="00385AEF">
      <w:pPr>
        <w:keepNext/>
        <w:spacing w:after="0" w:line="240" w:lineRule="auto"/>
        <w:rPr>
          <w:rFonts w:ascii="Times New Roman" w:hAnsi="Times New Roman"/>
          <w:i/>
        </w:rPr>
      </w:pPr>
    </w:p>
    <w:p w:rsidR="00385AEF" w:rsidRPr="00353EE7" w:rsidRDefault="00385AEF" w:rsidP="00385AEF">
      <w:pPr>
        <w:keepNext/>
        <w:spacing w:after="0" w:line="240" w:lineRule="auto"/>
        <w:rPr>
          <w:rFonts w:ascii="Times New Roman" w:hAnsi="Times New Roman"/>
          <w:i/>
        </w:rPr>
      </w:pPr>
      <w:r w:rsidRPr="00353EE7">
        <w:rPr>
          <w:rFonts w:ascii="Times New Roman" w:hAnsi="Times New Roman"/>
        </w:rPr>
        <w:t>Šiam vaistiniam preparatui specialių laikymo sąlygų nereikia.</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6.5</w:t>
      </w:r>
      <w:r w:rsidRPr="00353EE7">
        <w:rPr>
          <w:rFonts w:ascii="Times New Roman" w:hAnsi="Times New Roman"/>
          <w:b/>
        </w:rPr>
        <w:tab/>
        <w:t>Talpyklės pobūdis</w:t>
      </w:r>
      <w:r w:rsidRPr="00353EE7" w:rsidDel="00237185">
        <w:rPr>
          <w:rFonts w:ascii="Times New Roman" w:hAnsi="Times New Roman"/>
          <w:b/>
        </w:rPr>
        <w:t xml:space="preserve"> </w:t>
      </w:r>
      <w:r w:rsidRPr="00353EE7">
        <w:rPr>
          <w:rFonts w:ascii="Times New Roman" w:hAnsi="Times New Roman"/>
          <w:b/>
        </w:rPr>
        <w:t>ir jos</w:t>
      </w:r>
      <w:r w:rsidRPr="00353EE7">
        <w:rPr>
          <w:rFonts w:ascii="Times New Roman" w:hAnsi="Times New Roman"/>
        </w:rPr>
        <w:t xml:space="preserve"> </w:t>
      </w:r>
      <w:r w:rsidRPr="00353EE7">
        <w:rPr>
          <w:rFonts w:ascii="Times New Roman" w:hAnsi="Times New Roman"/>
          <w:b/>
        </w:rPr>
        <w:t>turinys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2 mg kramtomosios ar disperguojamosios tabletės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DTPE buteliukai su vaikų sunkiai atidaromu uždoriu, nustatančiu pirmąjį atidarymą.</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lastRenderedPageBreak/>
        <w:t>30 kramtomųjų ar disperguojamųjų tablečių pakuotės.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 mg kramtomosios ar disperguojamosios tabletės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PVC/PVdC/aliuminio folijos lizdinės plokštelės.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10, 14, 28, 30, 42, 50 ar 56 kramtomųjų ar disperguojamųjų tablečių pakuotės. </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 mg kramtomosios ar disperguojamosios tabletės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DTPE buteliukai su vaikų sunkiai atidaromu uždoriu, nustatančiu pirmąjį atidarymą.</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A00E4C">
        <w:rPr>
          <w:rFonts w:ascii="Times New Roman" w:hAnsi="Times New Roman"/>
          <w:shd w:val="clear" w:color="auto" w:fill="FFFFFF"/>
        </w:rPr>
        <w:t>14, 28, 30, 42, 56 ar 60</w:t>
      </w:r>
      <w:r w:rsidRPr="00353EE7">
        <w:rPr>
          <w:rFonts w:ascii="Times New Roman" w:hAnsi="Times New Roman"/>
        </w:rPr>
        <w:t xml:space="preserve"> kramtomųjų ar disperguojamųjų tablečių pakuotės.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25 mg kramtomosios ar disperguojamosios tabletės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PVC/PVdC/aliuminio folijos lizdinės plokštelės.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10, 14, 21, 28, 30, 42, 50, 56 ar 60 kramtomųjų ar disperguojamųjų tablečių pakuotės.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21 ar 42 disperguojamųjų</w:t>
      </w:r>
      <w:r>
        <w:rPr>
          <w:rFonts w:ascii="Times New Roman" w:hAnsi="Times New Roman"/>
        </w:rPr>
        <w:t xml:space="preserve"> ar </w:t>
      </w:r>
      <w:r w:rsidRPr="00353EE7">
        <w:rPr>
          <w:rFonts w:ascii="Times New Roman" w:hAnsi="Times New Roman"/>
        </w:rPr>
        <w:t>kramtomųjų tablečių pakuotės gydymui pradėti.</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keepNext/>
        <w:spacing w:after="0" w:line="240" w:lineRule="auto"/>
        <w:rPr>
          <w:rFonts w:ascii="Times New Roman" w:hAnsi="Times New Roman"/>
        </w:rPr>
      </w:pPr>
      <w:r w:rsidRPr="00353EE7">
        <w:rPr>
          <w:rFonts w:ascii="Times New Roman" w:hAnsi="Times New Roman"/>
        </w:rPr>
        <w:t>50 mg kramtomosios ar disperguojamosios tabletės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PVC/PVdC/aliuminio folijos lizdinės plokštelės.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10, 14, 28, 30, 42, 50, 56, 60, 90, 98, 100, 196 ar 200 kramtomųjų ar disperguojamųjų tablečių pakuotės.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42 kramtomųjų ar disperguojamųjų tablečių pakuotės gydymui pradėti.</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100 mg kramtomosios ar disperguojamosios tabletės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PVC/PVdC/aliuminio folijos lizdinės plokštelės.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10, 14, 28, 30, 42, 50, 56, 60, 90, 98, 100, 196 ar 200 kramtomųjų ar disperguojamųjų tablečių pakuotės. </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200 mg kramtomosios ar disperguojamosios tabletės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PVC/PVdC/aliuminio folijos lizdinės plokštelės.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10, 14, 28, 30, 42, 50, 56, 60, 90, 98, 100, 196 ar 200 kramtomųjų ar disperguojamųjų tablečių pakuotės.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Gali būti tiekiamos ne visų dydžių pakuotės.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outlineLvl w:val="0"/>
        <w:rPr>
          <w:rFonts w:ascii="Times New Roman" w:hAnsi="Times New Roman"/>
        </w:rPr>
      </w:pPr>
      <w:r w:rsidRPr="00353EE7">
        <w:rPr>
          <w:rFonts w:ascii="Times New Roman" w:hAnsi="Times New Roman"/>
          <w:b/>
        </w:rPr>
        <w:t>6.6</w:t>
      </w:r>
      <w:r w:rsidRPr="00353EE7">
        <w:rPr>
          <w:rFonts w:ascii="Times New Roman" w:hAnsi="Times New Roman"/>
          <w:b/>
        </w:rPr>
        <w:tab/>
      </w:r>
      <w:r w:rsidRPr="00CD723E">
        <w:rPr>
          <w:rFonts w:ascii="Times New Roman" w:hAnsi="Times New Roman"/>
          <w:b/>
        </w:rPr>
        <w:t>Specialūs reikalavimai atliekoms tvarkyti</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Specialių reikalavimų atliekoms tvarkyti nėra.</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7.</w:t>
      </w:r>
      <w:r w:rsidRPr="00353EE7">
        <w:rPr>
          <w:rFonts w:ascii="Times New Roman" w:hAnsi="Times New Roman"/>
          <w:b/>
          <w:caps/>
        </w:rPr>
        <w:tab/>
      </w:r>
      <w:r w:rsidRPr="00353EE7">
        <w:rPr>
          <w:rFonts w:ascii="Times New Roman" w:hAnsi="Times New Roman"/>
          <w:b/>
        </w:rPr>
        <w:t>REGISTRUOTOJAS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Lietuva</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8.</w:t>
      </w:r>
      <w:r w:rsidRPr="00353EE7">
        <w:rPr>
          <w:rFonts w:ascii="Times New Roman" w:hAnsi="Times New Roman"/>
          <w:b/>
          <w:caps/>
        </w:rPr>
        <w:tab/>
      </w:r>
      <w:r w:rsidRPr="00353EE7">
        <w:rPr>
          <w:rFonts w:ascii="Times New Roman" w:hAnsi="Times New Roman"/>
          <w:b/>
        </w:rPr>
        <w:t>REGISTRACIJOS</w:t>
      </w:r>
      <w:r w:rsidRPr="00353EE7">
        <w:rPr>
          <w:rFonts w:ascii="Times New Roman" w:hAnsi="Times New Roman"/>
          <w:b/>
          <w:caps/>
        </w:rPr>
        <w:t xml:space="preserve"> PAŽYMĖJIMO numeris (-IAI)</w:t>
      </w:r>
    </w:p>
    <w:p w:rsidR="00385AEF" w:rsidRPr="00353EE7" w:rsidRDefault="00385AEF" w:rsidP="00385AEF">
      <w:pPr>
        <w:spacing w:after="0" w:line="240" w:lineRule="auto"/>
        <w:rPr>
          <w:rFonts w:ascii="Times New Roman" w:hAnsi="Times New Roman"/>
          <w:i/>
        </w:rPr>
      </w:pPr>
    </w:p>
    <w:tbl>
      <w:tblPr>
        <w:tblW w:w="0" w:type="auto"/>
        <w:tblLook w:val="04A0" w:firstRow="1" w:lastRow="0" w:firstColumn="1" w:lastColumn="0" w:noHBand="0" w:noVBand="1"/>
      </w:tblPr>
      <w:tblGrid>
        <w:gridCol w:w="4530"/>
        <w:gridCol w:w="4530"/>
      </w:tblGrid>
      <w:tr w:rsidR="00385AEF" w:rsidTr="00A00E4C">
        <w:tc>
          <w:tcPr>
            <w:tcW w:w="4530" w:type="dxa"/>
            <w:shd w:val="clear" w:color="auto" w:fill="auto"/>
          </w:tcPr>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 xml:space="preserve">Lamictal 2 mg: </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LT/1/97/1271/060</w:t>
            </w:r>
          </w:p>
          <w:p w:rsidR="00385AEF" w:rsidRPr="00A00E4C" w:rsidRDefault="00385AEF" w:rsidP="00A00E4C">
            <w:pPr>
              <w:tabs>
                <w:tab w:val="left" w:pos="567"/>
                <w:tab w:val="left" w:pos="6000"/>
              </w:tabs>
              <w:spacing w:after="0" w:line="240" w:lineRule="auto"/>
              <w:rPr>
                <w:rFonts w:ascii="Times New Roman" w:hAnsi="Times New Roman"/>
                <w:lang w:eastAsia="en-GB"/>
              </w:rPr>
            </w:pPr>
          </w:p>
        </w:tc>
        <w:tc>
          <w:tcPr>
            <w:tcW w:w="4530" w:type="dxa"/>
            <w:shd w:val="clear" w:color="auto" w:fill="auto"/>
          </w:tcPr>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Lamictal 5 mg:</w:t>
            </w:r>
          </w:p>
          <w:p w:rsidR="00385AEF" w:rsidRPr="00A00E4C" w:rsidRDefault="00385AEF" w:rsidP="00A00E4C">
            <w:pPr>
              <w:tabs>
                <w:tab w:val="left" w:pos="567"/>
                <w:tab w:val="left" w:pos="6000"/>
              </w:tabs>
              <w:spacing w:after="0" w:line="240" w:lineRule="auto"/>
              <w:rPr>
                <w:rFonts w:ascii="Times New Roman" w:hAnsi="Times New Roman"/>
                <w:u w:val="single"/>
                <w:lang w:eastAsia="en-GB"/>
              </w:rPr>
            </w:pPr>
            <w:r w:rsidRPr="00A00E4C">
              <w:rPr>
                <w:rFonts w:ascii="Times New Roman" w:hAnsi="Times New Roman"/>
                <w:u w:val="single"/>
                <w:lang w:eastAsia="en-GB"/>
              </w:rPr>
              <w:t>Lizdinė plokštelė</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LT/1/97/1271/009 – N10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lastRenderedPageBreak/>
              <w:t>LT/1/97/1271/010 – N14</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LT/1/97/1271/011 – N28</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LT/1/97/1271/002 – N30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LT/1/97/1271/043 – N42</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LT/1/97/1271/012 – N50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LT/1/97/1271/013 – N56</w:t>
            </w:r>
          </w:p>
          <w:p w:rsidR="00385AEF" w:rsidRPr="00A00E4C" w:rsidRDefault="00385AEF" w:rsidP="00A00E4C">
            <w:pPr>
              <w:tabs>
                <w:tab w:val="left" w:pos="567"/>
              </w:tabs>
              <w:spacing w:after="0" w:line="240" w:lineRule="auto"/>
              <w:rPr>
                <w:rFonts w:ascii="Times New Roman" w:eastAsia="Times New Roman" w:hAnsi="Times New Roman"/>
                <w:bCs/>
                <w:u w:val="single"/>
                <w:lang w:eastAsia="en-GB"/>
              </w:rPr>
            </w:pPr>
            <w:r w:rsidRPr="00A00E4C">
              <w:rPr>
                <w:rFonts w:ascii="Times New Roman" w:hAnsi="Times New Roman"/>
                <w:u w:val="single"/>
                <w:lang w:eastAsia="en-GB"/>
              </w:rPr>
              <w:t>Buteliukas</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LT/1/97/1271/061 – N14</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LT/1/97/1271/062 – N28</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LT/1/97/1271/063 – N30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LT/1/97/1271/064 – N42</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LT/1/97/1271/065 – N56</w:t>
            </w:r>
          </w:p>
          <w:p w:rsidR="00385AEF" w:rsidRPr="00A00E4C" w:rsidRDefault="00385AEF" w:rsidP="00A00E4C">
            <w:pPr>
              <w:tabs>
                <w:tab w:val="left" w:pos="567"/>
              </w:tabs>
              <w:spacing w:after="120" w:line="240" w:lineRule="auto"/>
              <w:rPr>
                <w:rFonts w:ascii="Times New Roman" w:hAnsi="Times New Roman"/>
                <w:lang w:eastAsia="en-GB"/>
              </w:rPr>
            </w:pPr>
            <w:r w:rsidRPr="00A00E4C">
              <w:rPr>
                <w:rFonts w:ascii="Times New Roman" w:eastAsia="Times New Roman" w:hAnsi="Times New Roman"/>
                <w:bCs/>
                <w:lang w:eastAsia="en-GB"/>
              </w:rPr>
              <w:t>LT/1/97/1271/066 – N60</w:t>
            </w:r>
          </w:p>
        </w:tc>
      </w:tr>
      <w:tr w:rsidR="00385AEF" w:rsidTr="00A00E4C">
        <w:tc>
          <w:tcPr>
            <w:tcW w:w="4530" w:type="dxa"/>
            <w:shd w:val="clear" w:color="auto" w:fill="auto"/>
          </w:tcPr>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lastRenderedPageBreak/>
              <w:t>Lamictal 25 mg:</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LT/1/97/1271/014 – N10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LT/1/97/1271/015 – N14</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LT/1/97/1271/003 – N21</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LT/1/97/1271/016 – N28</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LT/1/97/1271/004 – N30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LT/1/97/1271/005 – N42</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LT/1/97/1271/017 – N50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LT/1/97/1271/018 – N56</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LT/1/97/1271/019 – N60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LT/1/97/1271/057 – N21 (gydymui pradėti)</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LT/1/97/1271/058 – N42 (gydymui pradėti)</w:t>
            </w:r>
          </w:p>
          <w:p w:rsidR="00385AEF" w:rsidRPr="00A00E4C" w:rsidRDefault="00385AEF" w:rsidP="00A00E4C">
            <w:pPr>
              <w:tabs>
                <w:tab w:val="left" w:pos="567"/>
                <w:tab w:val="left" w:pos="6000"/>
              </w:tabs>
              <w:spacing w:after="0" w:line="240" w:lineRule="auto"/>
              <w:jc w:val="center"/>
              <w:rPr>
                <w:rFonts w:ascii="Times New Roman" w:hAnsi="Times New Roman"/>
                <w:sz w:val="20"/>
                <w:szCs w:val="20"/>
                <w:lang w:eastAsia="en-GB"/>
              </w:rPr>
            </w:pPr>
          </w:p>
        </w:tc>
        <w:tc>
          <w:tcPr>
            <w:tcW w:w="4530" w:type="dxa"/>
            <w:shd w:val="clear" w:color="auto" w:fill="auto"/>
          </w:tcPr>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Lamictal 50 mg:</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LT/1/97/1271/020 – N10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LT/1/97/1271/021 – N14</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LT/1/97/1271/044 – N28</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LT/1/97/1271/006 – N30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LT/1/97/1271/022 – N42</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LT/1/97/1271/023 – N50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LT/1/97/1271/024 – N56</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LT/1/97/1271/025 – N60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LT/1/97/1271/026 – N90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LT/1/97/1271/045 – N98</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LT/1/97/1271/027 – N100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LT/1/97/1271/046 – N196</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LT/1/97/1271/028 – N200</w:t>
            </w:r>
          </w:p>
          <w:p w:rsidR="00385AEF" w:rsidRPr="00A00E4C" w:rsidRDefault="00385AEF" w:rsidP="00A00E4C">
            <w:pPr>
              <w:tabs>
                <w:tab w:val="left" w:pos="567"/>
                <w:tab w:val="left" w:pos="6000"/>
              </w:tabs>
              <w:spacing w:after="120" w:line="240" w:lineRule="auto"/>
              <w:rPr>
                <w:rFonts w:ascii="Times New Roman" w:hAnsi="Times New Roman"/>
                <w:sz w:val="20"/>
                <w:szCs w:val="20"/>
                <w:lang w:eastAsia="en-GB"/>
              </w:rPr>
            </w:pPr>
            <w:r w:rsidRPr="00A00E4C">
              <w:rPr>
                <w:rFonts w:ascii="Times New Roman" w:hAnsi="Times New Roman"/>
                <w:lang w:eastAsia="en-GB"/>
              </w:rPr>
              <w:t>LT/1/97/1271/059 – N42 (gydymui pradėti)</w:t>
            </w:r>
          </w:p>
        </w:tc>
      </w:tr>
      <w:tr w:rsidR="00385AEF" w:rsidTr="00A00E4C">
        <w:tc>
          <w:tcPr>
            <w:tcW w:w="4530" w:type="dxa"/>
            <w:shd w:val="clear" w:color="auto" w:fill="auto"/>
          </w:tcPr>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Lamictal 100 mg:</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LT/1/97/1271/029 – N10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LT/1/97/1271/047 – N14</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LT/1/97/1271/048 – N28</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LT/1/97/1271/007 – N30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LT/1/97/1271/049 – N42</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LT/1/97/1271/030 – N50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LT/1/97/1271/031 – N56</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LT/1/97/1271/032 – N60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LT/1/97/1271/033 – N90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LT/1/97/1271/050 – N98</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LT/1/97/1271/034 – N100</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LT/1/97/1271/051 – N196</w:t>
            </w:r>
          </w:p>
          <w:p w:rsidR="00385AEF" w:rsidRPr="00A00E4C" w:rsidRDefault="00385AEF" w:rsidP="00A00E4C">
            <w:pPr>
              <w:tabs>
                <w:tab w:val="left" w:pos="567"/>
              </w:tabs>
              <w:spacing w:after="0" w:line="240" w:lineRule="auto"/>
              <w:rPr>
                <w:rFonts w:ascii="Times New Roman" w:eastAsia="Times New Roman" w:hAnsi="Times New Roman"/>
                <w:bCs/>
                <w:lang w:eastAsia="en-GB"/>
              </w:rPr>
            </w:pPr>
            <w:r w:rsidRPr="00A00E4C">
              <w:rPr>
                <w:rFonts w:ascii="Times New Roman" w:eastAsia="Times New Roman" w:hAnsi="Times New Roman"/>
                <w:bCs/>
                <w:lang w:eastAsia="en-GB"/>
              </w:rPr>
              <w:t>LT/1/97/1271/035 – N200</w:t>
            </w:r>
          </w:p>
        </w:tc>
        <w:tc>
          <w:tcPr>
            <w:tcW w:w="4530" w:type="dxa"/>
            <w:shd w:val="clear" w:color="auto" w:fill="auto"/>
          </w:tcPr>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Lamictal 200 mg:</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LT/1/97/1271/036 – N10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LT/1/97/1271/052 – N14</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LT/1/97/1271/053  – N28</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LT/1/97/1271/008 – N30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LT/1/97/1271/054 – N42</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LT/1/97/1271/037 – N50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LT/1/97/1271/038 – N56</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LT/1/97/1271/039 – N60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LT/1/97/1271/040 – N90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LT/1/97/1271/055 – N98</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LT/1/97/1271/041 – N100</w:t>
            </w:r>
          </w:p>
          <w:p w:rsidR="00385AEF" w:rsidRPr="00A00E4C" w:rsidRDefault="00385AEF" w:rsidP="00A00E4C">
            <w:pPr>
              <w:tabs>
                <w:tab w:val="left" w:pos="567"/>
                <w:tab w:val="left" w:pos="6000"/>
              </w:tabs>
              <w:spacing w:after="0" w:line="240" w:lineRule="auto"/>
              <w:rPr>
                <w:rFonts w:ascii="Times New Roman" w:hAnsi="Times New Roman"/>
                <w:lang w:eastAsia="en-GB"/>
              </w:rPr>
            </w:pPr>
            <w:r w:rsidRPr="00A00E4C">
              <w:rPr>
                <w:rFonts w:ascii="Times New Roman" w:hAnsi="Times New Roman"/>
                <w:lang w:eastAsia="en-GB"/>
              </w:rPr>
              <w:t>LT/1/97/1271/056 – N196</w:t>
            </w:r>
          </w:p>
          <w:p w:rsidR="00385AEF" w:rsidRPr="00A00E4C" w:rsidRDefault="00385AEF" w:rsidP="00A00E4C">
            <w:pPr>
              <w:tabs>
                <w:tab w:val="left" w:pos="567"/>
                <w:tab w:val="left" w:pos="6000"/>
              </w:tabs>
              <w:spacing w:after="120" w:line="240" w:lineRule="auto"/>
              <w:rPr>
                <w:rFonts w:ascii="Times New Roman" w:hAnsi="Times New Roman"/>
                <w:sz w:val="20"/>
                <w:szCs w:val="20"/>
                <w:lang w:eastAsia="en-GB"/>
              </w:rPr>
            </w:pPr>
            <w:r w:rsidRPr="00A00E4C">
              <w:rPr>
                <w:rFonts w:ascii="Times New Roman" w:hAnsi="Times New Roman"/>
                <w:lang w:eastAsia="en-GB"/>
              </w:rPr>
              <w:t>LT/1/97/1271/042 – N200</w:t>
            </w:r>
          </w:p>
        </w:tc>
      </w:tr>
    </w:tbl>
    <w:p w:rsidR="00385AEF" w:rsidRPr="00353EE7" w:rsidRDefault="00385AEF" w:rsidP="00385AEF">
      <w:pPr>
        <w:tabs>
          <w:tab w:val="left" w:pos="6000"/>
        </w:tabs>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caps/>
        </w:rPr>
      </w:pPr>
      <w:r w:rsidRPr="00353EE7">
        <w:rPr>
          <w:rFonts w:ascii="Times New Roman" w:hAnsi="Times New Roman"/>
          <w:b/>
          <w:caps/>
        </w:rPr>
        <w:t>9.</w:t>
      </w:r>
      <w:r w:rsidRPr="00353EE7">
        <w:rPr>
          <w:rFonts w:ascii="Times New Roman" w:hAnsi="Times New Roman"/>
          <w:b/>
          <w:caps/>
        </w:rPr>
        <w:tab/>
      </w:r>
      <w:r w:rsidRPr="00353EE7">
        <w:rPr>
          <w:rFonts w:ascii="Times New Roman" w:hAnsi="Times New Roman"/>
          <w:b/>
        </w:rPr>
        <w:t>REGISTRAVIMO</w:t>
      </w:r>
      <w:r w:rsidRPr="00353EE7">
        <w:rPr>
          <w:rFonts w:ascii="Times New Roman" w:hAnsi="Times New Roman"/>
          <w:b/>
          <w:caps/>
        </w:rPr>
        <w:t>/ PER</w:t>
      </w:r>
      <w:r w:rsidRPr="00353EE7">
        <w:rPr>
          <w:rFonts w:ascii="Times New Roman" w:hAnsi="Times New Roman"/>
          <w:b/>
        </w:rPr>
        <w:t>REGISTRAVIMO</w:t>
      </w:r>
      <w:r w:rsidRPr="00353EE7">
        <w:rPr>
          <w:rFonts w:ascii="Times New Roman" w:hAnsi="Times New Roman"/>
          <w:b/>
          <w:caps/>
        </w:rPr>
        <w:t xml:space="preserve"> data</w:t>
      </w:r>
    </w:p>
    <w:p w:rsidR="00385AEF" w:rsidRPr="00353EE7" w:rsidRDefault="00385AEF" w:rsidP="00385AEF">
      <w:pPr>
        <w:spacing w:after="0" w:line="240" w:lineRule="auto"/>
        <w:ind w:left="567" w:hanging="567"/>
        <w:rPr>
          <w:rFonts w:ascii="Times New Roman" w:hAnsi="Times New Roman"/>
          <w:b/>
          <w:caps/>
        </w:rPr>
      </w:pPr>
    </w:p>
    <w:p w:rsidR="00385AEF" w:rsidRDefault="00385AEF" w:rsidP="00385AEF">
      <w:pPr>
        <w:spacing w:after="0" w:line="240" w:lineRule="auto"/>
        <w:rPr>
          <w:rFonts w:ascii="Times New Roman" w:hAnsi="Times New Roman"/>
        </w:rPr>
      </w:pPr>
      <w:r w:rsidRPr="00353EE7">
        <w:rPr>
          <w:rFonts w:ascii="Times New Roman" w:hAnsi="Times New Roman"/>
        </w:rPr>
        <w:t>Registravimo data 2014 m. balandžio 9 d.</w:t>
      </w:r>
    </w:p>
    <w:p w:rsidR="00385AEF" w:rsidRPr="00353EE7" w:rsidRDefault="00385AEF" w:rsidP="00385AEF">
      <w:pPr>
        <w:spacing w:after="0" w:line="240" w:lineRule="auto"/>
        <w:rPr>
          <w:rFonts w:ascii="Times New Roman" w:hAnsi="Times New Roman"/>
        </w:rPr>
      </w:pPr>
      <w:r>
        <w:rPr>
          <w:rFonts w:ascii="Times New Roman" w:hAnsi="Times New Roman"/>
        </w:rPr>
        <w:t>Paskutinio p</w:t>
      </w:r>
      <w:r w:rsidRPr="00353EE7">
        <w:rPr>
          <w:rFonts w:ascii="Times New Roman" w:hAnsi="Times New Roman"/>
        </w:rPr>
        <w:t>erregistravimo data</w:t>
      </w:r>
      <w:r>
        <w:rPr>
          <w:rFonts w:ascii="Times New Roman" w:hAnsi="Times New Roman"/>
        </w:rPr>
        <w:t xml:space="preserve"> 2018 m. spalio 8 d.</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2 mg kramtomosios ar disperguojamosios tabletės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Registravimo data</w:t>
      </w:r>
      <w:r>
        <w:rPr>
          <w:rFonts w:ascii="Times New Roman" w:hAnsi="Times New Roman"/>
        </w:rPr>
        <w:t xml:space="preserve"> </w:t>
      </w:r>
      <w:r w:rsidRPr="00353EE7">
        <w:rPr>
          <w:rFonts w:ascii="Times New Roman" w:hAnsi="Times New Roman"/>
        </w:rPr>
        <w:t>1997 m. gegužės 8 d.</w:t>
      </w:r>
    </w:p>
    <w:p w:rsidR="00385AEF" w:rsidRPr="00353EE7" w:rsidRDefault="00385AEF" w:rsidP="00385AEF">
      <w:pPr>
        <w:spacing w:after="0" w:line="240" w:lineRule="auto"/>
        <w:rPr>
          <w:rFonts w:ascii="Times New Roman" w:hAnsi="Times New Roman"/>
        </w:rPr>
      </w:pPr>
      <w:r>
        <w:rPr>
          <w:rFonts w:ascii="Times New Roman" w:hAnsi="Times New Roman"/>
        </w:rPr>
        <w:t>Paskutinio p</w:t>
      </w:r>
      <w:r w:rsidRPr="00353EE7">
        <w:rPr>
          <w:rFonts w:ascii="Times New Roman" w:hAnsi="Times New Roman"/>
        </w:rPr>
        <w:t>erregistravimo data 2009 m. rugsėjo 8 d.</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5 mg</w:t>
      </w:r>
      <w:r>
        <w:rPr>
          <w:rFonts w:ascii="Times New Roman" w:hAnsi="Times New Roman"/>
        </w:rPr>
        <w:t>; 25 mg; 50 mg; 100 mg; 200 mg</w:t>
      </w:r>
      <w:r w:rsidRPr="00353EE7">
        <w:rPr>
          <w:rFonts w:ascii="Times New Roman" w:hAnsi="Times New Roman"/>
        </w:rPr>
        <w:t xml:space="preserve"> kramtomosios ar disperguojamosios tabletės</w:t>
      </w:r>
    </w:p>
    <w:p w:rsidR="00385AEF"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5212C6">
      <w:pPr>
        <w:keepNext/>
        <w:spacing w:after="0" w:line="240" w:lineRule="auto"/>
        <w:ind w:left="567" w:hanging="567"/>
        <w:rPr>
          <w:rFonts w:ascii="Times New Roman" w:hAnsi="Times New Roman"/>
          <w:b/>
          <w:caps/>
        </w:rPr>
      </w:pPr>
      <w:r w:rsidRPr="00353EE7">
        <w:rPr>
          <w:rFonts w:ascii="Times New Roman" w:hAnsi="Times New Roman"/>
          <w:b/>
          <w:caps/>
        </w:rPr>
        <w:lastRenderedPageBreak/>
        <w:t>10.</w:t>
      </w:r>
      <w:r w:rsidRPr="00353EE7">
        <w:rPr>
          <w:rFonts w:ascii="Times New Roman" w:hAnsi="Times New Roman"/>
          <w:b/>
          <w:caps/>
        </w:rPr>
        <w:tab/>
        <w:t>teksto peržiūros data</w:t>
      </w:r>
    </w:p>
    <w:p w:rsidR="00385AEF" w:rsidRDefault="00385AEF" w:rsidP="00385AEF">
      <w:pPr>
        <w:spacing w:after="0" w:line="240" w:lineRule="auto"/>
        <w:ind w:left="567" w:hanging="567"/>
        <w:rPr>
          <w:rFonts w:ascii="Times New Roman" w:hAnsi="Times New Roman"/>
          <w:b/>
          <w:caps/>
        </w:rPr>
      </w:pPr>
    </w:p>
    <w:p w:rsidR="00EA30A6" w:rsidRPr="00EA30A6" w:rsidRDefault="00EA30A6" w:rsidP="00385AEF">
      <w:pPr>
        <w:spacing w:after="0" w:line="240" w:lineRule="auto"/>
        <w:ind w:left="567" w:hanging="567"/>
        <w:rPr>
          <w:rFonts w:ascii="Times New Roman" w:hAnsi="Times New Roman"/>
          <w:caps/>
        </w:rPr>
      </w:pPr>
      <w:r w:rsidRPr="00EA30A6">
        <w:rPr>
          <w:rFonts w:ascii="Times New Roman" w:hAnsi="Times New Roman"/>
        </w:rPr>
        <w:t xml:space="preserve">2020 m. </w:t>
      </w:r>
      <w:r w:rsidR="00037932">
        <w:rPr>
          <w:rFonts w:ascii="Times New Roman" w:hAnsi="Times New Roman"/>
        </w:rPr>
        <w:t>lapkričio</w:t>
      </w:r>
      <w:r w:rsidRPr="00EA30A6">
        <w:rPr>
          <w:rFonts w:ascii="Times New Roman" w:hAnsi="Times New Roman"/>
        </w:rPr>
        <w:t xml:space="preserve"> 26 d.</w:t>
      </w:r>
    </w:p>
    <w:p w:rsidR="00385AEF" w:rsidRPr="00353EE7" w:rsidRDefault="00385AEF" w:rsidP="00385AEF">
      <w:pPr>
        <w:tabs>
          <w:tab w:val="left" w:pos="0"/>
        </w:tabs>
        <w:spacing w:after="0" w:line="240" w:lineRule="auto"/>
        <w:rPr>
          <w:rFonts w:ascii="Times New Roman" w:hAnsi="Times New Roman"/>
        </w:rPr>
      </w:pPr>
    </w:p>
    <w:p w:rsidR="00385AEF" w:rsidRPr="00353EE7" w:rsidRDefault="00385AEF" w:rsidP="00385AEF">
      <w:pPr>
        <w:tabs>
          <w:tab w:val="left" w:pos="0"/>
        </w:tabs>
        <w:spacing w:after="0" w:line="240" w:lineRule="auto"/>
        <w:rPr>
          <w:rFonts w:ascii="Times New Roman" w:hAnsi="Times New Roman"/>
        </w:rPr>
      </w:pPr>
      <w:r w:rsidRPr="00353EE7">
        <w:rPr>
          <w:rFonts w:ascii="Times New Roman" w:hAnsi="Times New Roman"/>
        </w:rPr>
        <w:t>Išsami informacija apie šį vaistinį preparatą pateikiama Valstybinės vaistų kontrolės tarnybos prie Lietuvos Respublikos sveikatos apsaugos ministerijos tinklalapyje</w:t>
      </w:r>
      <w:r w:rsidRPr="00353EE7">
        <w:rPr>
          <w:rFonts w:ascii="Times New Roman" w:hAnsi="Times New Roman"/>
          <w:i/>
        </w:rPr>
        <w:t xml:space="preserve"> </w:t>
      </w:r>
      <w:hyperlink r:id="rId8" w:history="1">
        <w:r w:rsidRPr="00353EE7">
          <w:rPr>
            <w:rFonts w:ascii="Times New Roman" w:hAnsi="Times New Roman"/>
          </w:rPr>
          <w:t>http://www.vvkt.lt/</w:t>
        </w:r>
      </w:hyperlink>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r w:rsidRPr="00900317">
        <w:rPr>
          <w:rFonts w:ascii="Times New Roman" w:hAnsi="Times New Roman"/>
        </w:rPr>
        <w:br w:type="page"/>
      </w: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r w:rsidRPr="00353EE7">
        <w:rPr>
          <w:rFonts w:ascii="Times New Roman" w:hAnsi="Times New Roman"/>
          <w:b/>
          <w:caps/>
        </w:rPr>
        <w:t>II PRIEDAS</w:t>
      </w:r>
    </w:p>
    <w:p w:rsidR="00385AEF" w:rsidRPr="00353EE7" w:rsidRDefault="00385AEF" w:rsidP="00385AEF">
      <w:pPr>
        <w:tabs>
          <w:tab w:val="left" w:pos="567"/>
        </w:tabs>
        <w:spacing w:after="0" w:line="240" w:lineRule="auto"/>
        <w:ind w:left="567" w:hanging="567"/>
        <w:jc w:val="center"/>
        <w:outlineLvl w:val="0"/>
      </w:pPr>
    </w:p>
    <w:p w:rsidR="00385AEF" w:rsidRPr="00353EE7" w:rsidRDefault="00385AEF" w:rsidP="00385AEF">
      <w:pPr>
        <w:tabs>
          <w:tab w:val="left" w:pos="567"/>
        </w:tabs>
        <w:spacing w:after="0" w:line="240" w:lineRule="auto"/>
        <w:ind w:left="567" w:hanging="567"/>
        <w:jc w:val="center"/>
        <w:outlineLvl w:val="0"/>
      </w:pPr>
      <w:r w:rsidRPr="00353EE7">
        <w:rPr>
          <w:rFonts w:ascii="Times New Roman" w:hAnsi="Times New Roman"/>
          <w:b/>
          <w:caps/>
        </w:rPr>
        <w:t>REGISTRACIJOS SĄLYGOS</w:t>
      </w:r>
    </w:p>
    <w:p w:rsidR="00385AEF" w:rsidRPr="00353EE7" w:rsidRDefault="00385AEF" w:rsidP="00385AEF">
      <w:pPr>
        <w:tabs>
          <w:tab w:val="left" w:pos="1701"/>
        </w:tabs>
        <w:spacing w:after="0" w:line="260" w:lineRule="exact"/>
        <w:ind w:left="1701" w:right="567" w:hanging="567"/>
        <w:rPr>
          <w:rFonts w:ascii="Times New Roman" w:hAnsi="Times New Roman"/>
          <w:b/>
        </w:rPr>
      </w:pPr>
    </w:p>
    <w:p w:rsidR="00385AEF" w:rsidRPr="00353EE7" w:rsidRDefault="00385AEF" w:rsidP="00385AEF">
      <w:pPr>
        <w:tabs>
          <w:tab w:val="left" w:pos="1701"/>
        </w:tabs>
        <w:spacing w:after="0" w:line="260" w:lineRule="exact"/>
        <w:ind w:left="1701" w:right="567" w:hanging="567"/>
        <w:rPr>
          <w:rFonts w:ascii="Times New Roman" w:hAnsi="Times New Roman"/>
          <w:b/>
        </w:rPr>
      </w:pPr>
      <w:r w:rsidRPr="00353EE7">
        <w:rPr>
          <w:rFonts w:ascii="Times New Roman" w:hAnsi="Times New Roman"/>
          <w:b/>
        </w:rPr>
        <w:t>A.</w:t>
      </w:r>
      <w:r w:rsidRPr="00353EE7">
        <w:rPr>
          <w:rFonts w:ascii="Times New Roman" w:hAnsi="Times New Roman"/>
          <w:b/>
        </w:rPr>
        <w:tab/>
        <w:t>GAMINTOJAS (-AI), ATSAKINGAS (-I) UŽ SERIJŲ IŠLEIDIMĄ</w:t>
      </w:r>
    </w:p>
    <w:p w:rsidR="00385AEF" w:rsidRPr="00353EE7" w:rsidRDefault="00385AEF" w:rsidP="00385AEF">
      <w:pPr>
        <w:tabs>
          <w:tab w:val="left" w:pos="1701"/>
        </w:tabs>
        <w:spacing w:after="0" w:line="260" w:lineRule="exact"/>
        <w:ind w:left="567" w:right="567" w:hanging="567"/>
        <w:rPr>
          <w:rFonts w:ascii="Times New Roman" w:hAnsi="Times New Roman"/>
        </w:rPr>
      </w:pPr>
    </w:p>
    <w:p w:rsidR="00385AEF" w:rsidRPr="00353EE7" w:rsidRDefault="00385AEF" w:rsidP="00385AEF">
      <w:pPr>
        <w:tabs>
          <w:tab w:val="left" w:pos="1701"/>
        </w:tabs>
        <w:spacing w:after="0" w:line="260" w:lineRule="exact"/>
        <w:ind w:left="1701" w:right="567" w:hanging="567"/>
        <w:rPr>
          <w:rFonts w:ascii="Times New Roman" w:hAnsi="Times New Roman"/>
          <w:b/>
        </w:rPr>
      </w:pPr>
      <w:r w:rsidRPr="00353EE7">
        <w:rPr>
          <w:rFonts w:ascii="Times New Roman" w:hAnsi="Times New Roman"/>
          <w:b/>
        </w:rPr>
        <w:t>B.</w:t>
      </w:r>
      <w:r w:rsidRPr="00353EE7">
        <w:rPr>
          <w:rFonts w:ascii="Times New Roman" w:hAnsi="Times New Roman"/>
          <w:b/>
        </w:rPr>
        <w:tab/>
        <w:t>TIEKIMO IR VARTOJIMO SĄLYGOS AR APRIBOJIMAI</w:t>
      </w:r>
    </w:p>
    <w:p w:rsidR="00385AEF" w:rsidRPr="00353EE7" w:rsidRDefault="00385AEF" w:rsidP="00385AEF">
      <w:pPr>
        <w:keepNext/>
        <w:tabs>
          <w:tab w:val="left" w:pos="567"/>
        </w:tabs>
        <w:spacing w:after="0" w:line="240" w:lineRule="auto"/>
        <w:ind w:left="567" w:hanging="567"/>
        <w:outlineLvl w:val="1"/>
      </w:pPr>
    </w:p>
    <w:p w:rsidR="00385AEF" w:rsidRPr="00353EE7" w:rsidRDefault="00385AEF" w:rsidP="00385AEF">
      <w:pPr>
        <w:keepNext/>
        <w:tabs>
          <w:tab w:val="left" w:pos="567"/>
        </w:tabs>
        <w:spacing w:after="0" w:line="240" w:lineRule="auto"/>
        <w:ind w:left="567" w:hanging="567"/>
        <w:outlineLvl w:val="1"/>
      </w:pPr>
      <w:r w:rsidRPr="00353EE7">
        <w:rPr>
          <w:rFonts w:ascii="Times New Roman" w:hAnsi="Times New Roman"/>
          <w:b/>
        </w:rPr>
        <w:br w:type="page"/>
      </w:r>
      <w:r w:rsidRPr="00353EE7">
        <w:rPr>
          <w:rFonts w:ascii="Times New Roman" w:hAnsi="Times New Roman"/>
          <w:b/>
        </w:rPr>
        <w:lastRenderedPageBreak/>
        <w:t>A.</w:t>
      </w:r>
      <w:r w:rsidRPr="00353EE7">
        <w:rPr>
          <w:rFonts w:ascii="Times New Roman" w:hAnsi="Times New Roman"/>
          <w:b/>
        </w:rPr>
        <w:tab/>
        <w:t>GAMINTOJAS (-AI), ATSAKINGAS (-I) UŽ SERIJŲ IŠLEIDIMĄ</w:t>
      </w:r>
    </w:p>
    <w:p w:rsidR="00385AEF" w:rsidRPr="00CD723E"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r w:rsidRPr="008C6E9A">
        <w:rPr>
          <w:rFonts w:ascii="Times New Roman" w:hAnsi="Times New Roman"/>
          <w:u w:val="single"/>
        </w:rPr>
        <w:t>Gamintojo (-ų), atsakingo (-ų) už serijų išleidimą, pavadinimas (-ai) ir adresas (-ai)</w:t>
      </w:r>
    </w:p>
    <w:p w:rsidR="00385AEF" w:rsidRPr="00CD723E" w:rsidRDefault="00385AEF" w:rsidP="00385AEF">
      <w:pPr>
        <w:spacing w:after="0" w:line="240" w:lineRule="auto"/>
        <w:rPr>
          <w:rFonts w:ascii="Times New Roman" w:hAnsi="Times New Roman"/>
        </w:rPr>
      </w:pPr>
    </w:p>
    <w:p w:rsidR="00385AEF" w:rsidRPr="008C6E9A" w:rsidRDefault="00385AEF" w:rsidP="00385AEF">
      <w:pPr>
        <w:autoSpaceDE w:val="0"/>
        <w:autoSpaceDN w:val="0"/>
        <w:adjustRightInd w:val="0"/>
        <w:spacing w:after="0" w:line="240" w:lineRule="auto"/>
        <w:rPr>
          <w:rFonts w:ascii="Times New Roman" w:hAnsi="Times New Roman"/>
        </w:rPr>
      </w:pPr>
      <w:r w:rsidRPr="008C6E9A">
        <w:rPr>
          <w:rFonts w:ascii="Times New Roman" w:hAnsi="Times New Roman"/>
        </w:rPr>
        <w:t>GlaxoSmithKline Pharmaceuticals S.A.</w:t>
      </w:r>
    </w:p>
    <w:p w:rsidR="00385AEF" w:rsidRPr="008C6E9A" w:rsidRDefault="00385AEF" w:rsidP="00385AEF">
      <w:pPr>
        <w:autoSpaceDE w:val="0"/>
        <w:autoSpaceDN w:val="0"/>
        <w:adjustRightInd w:val="0"/>
        <w:spacing w:after="0" w:line="240" w:lineRule="auto"/>
        <w:rPr>
          <w:rFonts w:ascii="Times New Roman" w:hAnsi="Times New Roman"/>
        </w:rPr>
      </w:pPr>
      <w:r w:rsidRPr="008C6E9A">
        <w:rPr>
          <w:rFonts w:ascii="Times New Roman" w:hAnsi="Times New Roman"/>
        </w:rPr>
        <w:t>Ul. Grunwaldzka 189</w:t>
      </w:r>
    </w:p>
    <w:p w:rsidR="00385AEF" w:rsidRPr="008C6E9A" w:rsidRDefault="00385AEF" w:rsidP="00385AEF">
      <w:pPr>
        <w:autoSpaceDE w:val="0"/>
        <w:autoSpaceDN w:val="0"/>
        <w:adjustRightInd w:val="0"/>
        <w:spacing w:after="0" w:line="240" w:lineRule="auto"/>
        <w:rPr>
          <w:rFonts w:ascii="Times New Roman" w:hAnsi="Times New Roman"/>
        </w:rPr>
      </w:pPr>
      <w:r w:rsidRPr="008C6E9A">
        <w:rPr>
          <w:rFonts w:ascii="Times New Roman" w:hAnsi="Times New Roman"/>
        </w:rPr>
        <w:t>60-322 Poznań</w:t>
      </w:r>
    </w:p>
    <w:p w:rsidR="00385AEF" w:rsidRPr="008C6E9A" w:rsidRDefault="00385AEF" w:rsidP="00385AEF">
      <w:pPr>
        <w:autoSpaceDE w:val="0"/>
        <w:autoSpaceDN w:val="0"/>
        <w:adjustRightInd w:val="0"/>
        <w:spacing w:after="0" w:line="240" w:lineRule="auto"/>
        <w:rPr>
          <w:rFonts w:ascii="Times New Roman" w:hAnsi="Times New Roman"/>
        </w:rPr>
      </w:pPr>
      <w:r w:rsidRPr="008C6E9A">
        <w:rPr>
          <w:rFonts w:ascii="Times New Roman" w:hAnsi="Times New Roman"/>
        </w:rPr>
        <w:t>Lenkija</w:t>
      </w:r>
    </w:p>
    <w:p w:rsidR="00385AEF" w:rsidRPr="00CD723E"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p>
    <w:p w:rsidR="00385AEF" w:rsidRPr="00CD723E" w:rsidRDefault="00385AEF" w:rsidP="00385AEF">
      <w:pPr>
        <w:keepNext/>
        <w:tabs>
          <w:tab w:val="left" w:pos="567"/>
        </w:tabs>
        <w:spacing w:after="0" w:line="240" w:lineRule="auto"/>
        <w:ind w:left="567" w:hanging="567"/>
        <w:outlineLvl w:val="1"/>
        <w:rPr>
          <w:rFonts w:ascii="Times New Roman" w:hAnsi="Times New Roman"/>
        </w:rPr>
      </w:pPr>
      <w:bookmarkStart w:id="37" w:name="_Toc129243129"/>
      <w:bookmarkStart w:id="38" w:name="_Toc129243254"/>
      <w:r w:rsidRPr="008C6E9A">
        <w:rPr>
          <w:rFonts w:ascii="Times New Roman" w:hAnsi="Times New Roman"/>
          <w:b/>
        </w:rPr>
        <w:t>B.</w:t>
      </w:r>
      <w:r w:rsidRPr="008C6E9A">
        <w:rPr>
          <w:rFonts w:ascii="Times New Roman" w:hAnsi="Times New Roman"/>
          <w:b/>
        </w:rPr>
        <w:tab/>
        <w:t xml:space="preserve">TIEKIMO IR VARTOJIMO SĄLYGOS AR APRIBOJIMAI </w:t>
      </w:r>
      <w:bookmarkEnd w:id="37"/>
      <w:bookmarkEnd w:id="38"/>
    </w:p>
    <w:p w:rsidR="00385AEF" w:rsidRPr="00CD723E"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r w:rsidRPr="008C6E9A">
        <w:rPr>
          <w:rFonts w:ascii="Times New Roman" w:hAnsi="Times New Roman"/>
        </w:rPr>
        <w:t>Receptinis vaistinis preparatas.</w:t>
      </w:r>
    </w:p>
    <w:p w:rsidR="00385AEF" w:rsidRPr="00CD723E"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p>
    <w:p w:rsidR="00385AEF" w:rsidRPr="00900317" w:rsidRDefault="00385AEF" w:rsidP="00385AEF">
      <w:pPr>
        <w:spacing w:after="0" w:line="240" w:lineRule="auto"/>
      </w:pPr>
      <w:r w:rsidRPr="00900317">
        <w:rPr>
          <w:rFonts w:ascii="Times New Roman" w:hAnsi="Times New Roman"/>
        </w:rPr>
        <w:br w:type="page"/>
      </w: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353EE7" w:rsidRDefault="00385AEF" w:rsidP="00385AEF">
      <w:pPr>
        <w:tabs>
          <w:tab w:val="left" w:pos="567"/>
        </w:tabs>
        <w:spacing w:after="0" w:line="240" w:lineRule="auto"/>
        <w:outlineLvl w:val="0"/>
      </w:pPr>
      <w:bookmarkStart w:id="39" w:name="_Toc129243134"/>
      <w:bookmarkStart w:id="40" w:name="_Toc129243259"/>
    </w:p>
    <w:p w:rsidR="00385AEF" w:rsidRPr="00353EE7" w:rsidRDefault="00385AEF" w:rsidP="00385AEF">
      <w:pPr>
        <w:tabs>
          <w:tab w:val="left" w:pos="567"/>
        </w:tabs>
        <w:spacing w:after="0" w:line="240" w:lineRule="auto"/>
        <w:ind w:left="567" w:hanging="567"/>
        <w:jc w:val="center"/>
        <w:outlineLvl w:val="0"/>
      </w:pPr>
      <w:r w:rsidRPr="00353EE7">
        <w:rPr>
          <w:rFonts w:ascii="Times New Roman" w:hAnsi="Times New Roman"/>
          <w:b/>
          <w:caps/>
        </w:rPr>
        <w:t>III PRIEDAS</w:t>
      </w:r>
      <w:bookmarkEnd w:id="39"/>
      <w:bookmarkEnd w:id="40"/>
    </w:p>
    <w:p w:rsidR="00385AEF" w:rsidRPr="00900317" w:rsidRDefault="00385AEF" w:rsidP="00385AEF">
      <w:pPr>
        <w:spacing w:after="0" w:line="240" w:lineRule="auto"/>
      </w:pPr>
    </w:p>
    <w:p w:rsidR="00385AEF" w:rsidRPr="00353EE7" w:rsidRDefault="00385AEF" w:rsidP="00385AEF">
      <w:pPr>
        <w:tabs>
          <w:tab w:val="left" w:pos="567"/>
        </w:tabs>
        <w:spacing w:after="0" w:line="240" w:lineRule="auto"/>
        <w:ind w:left="567" w:hanging="567"/>
        <w:jc w:val="center"/>
        <w:outlineLvl w:val="0"/>
      </w:pPr>
      <w:bookmarkStart w:id="41" w:name="_Toc129243135"/>
      <w:bookmarkStart w:id="42" w:name="_Toc129243260"/>
      <w:r w:rsidRPr="00353EE7">
        <w:rPr>
          <w:rFonts w:ascii="Times New Roman" w:hAnsi="Times New Roman"/>
          <w:b/>
          <w:caps/>
        </w:rPr>
        <w:t>ŽENKLINIMAS IR PAKUOTĖS LAPELIS</w:t>
      </w:r>
      <w:bookmarkEnd w:id="41"/>
      <w:bookmarkEnd w:id="42"/>
    </w:p>
    <w:p w:rsidR="00385AEF" w:rsidRPr="00900317" w:rsidRDefault="00385AEF" w:rsidP="00385AEF">
      <w:pPr>
        <w:spacing w:after="0" w:line="240" w:lineRule="auto"/>
      </w:pPr>
    </w:p>
    <w:p w:rsidR="00385AEF" w:rsidRPr="00900317" w:rsidRDefault="00385AEF" w:rsidP="00385AEF">
      <w:pPr>
        <w:spacing w:after="0" w:line="240" w:lineRule="auto"/>
      </w:pPr>
    </w:p>
    <w:p w:rsidR="00385AEF" w:rsidRPr="00353EE7" w:rsidRDefault="00385AEF" w:rsidP="00385AEF">
      <w:pPr>
        <w:spacing w:after="0" w:line="240" w:lineRule="auto"/>
        <w:jc w:val="center"/>
        <w:rPr>
          <w:rFonts w:ascii="Times New Roman" w:hAnsi="Times New Roman"/>
        </w:rPr>
      </w:pPr>
      <w:r w:rsidRPr="00353EE7">
        <w:rPr>
          <w:rFonts w:ascii="Times New Roman" w:hAnsi="Times New Roman"/>
        </w:rPr>
        <w:br w:type="page"/>
      </w: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A. ŽENKLINIMAS</w:t>
      </w:r>
    </w:p>
    <w:p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br w:type="page"/>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IR VIDINĖS PAKUOTĖS</w:t>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 IR BUTELIUKO ETIKETĖ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2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Kiekvienoje kramtomojoje ar disperguojamojoje tabletėje yra 2 mg lamotrigino.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30 kramtomųjų ar disperguojamųjų tablečių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br w:type="page"/>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lastRenderedPageBreak/>
        <w:t>11.</w:t>
      </w:r>
      <w:r w:rsidRPr="00353EE7">
        <w:rPr>
          <w:rFonts w:ascii="Times New Roman" w:hAnsi="Times New Roman"/>
          <w:b/>
        </w:rPr>
        <w:tab/>
      </w:r>
      <w:r w:rsidRPr="00353EE7">
        <w:rPr>
          <w:rFonts w:ascii="Times New Roman" w:hAnsi="Times New Roman"/>
          <w:b/>
          <w:caps/>
        </w:rPr>
        <w:t>REGISTRUOTOJO pavadinimas ir adresas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Pr="00353EE7" w:rsidRDefault="00385AEF" w:rsidP="00385AEF">
      <w:pPr>
        <w:spacing w:after="0" w:line="240" w:lineRule="auto"/>
        <w:rPr>
          <w:rFonts w:ascii="Times New Roman" w:hAnsi="Times New Roman"/>
        </w:rPr>
      </w:pPr>
      <w:r w:rsidRPr="00353EE7">
        <w:rPr>
          <w:rFonts w:ascii="Times New Roman" w:hAnsi="Times New Roman"/>
        </w:rPr>
        <w:t>Lietuva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LT/1/97/1271/060</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p>
    <w:p w:rsidR="00385AEF" w:rsidRPr="00353EE7" w:rsidRDefault="00385AEF" w:rsidP="00385AEF">
      <w:pPr>
        <w:spacing w:after="0" w:line="240" w:lineRule="auto"/>
        <w:rPr>
          <w:rFonts w:ascii="Times New Roman" w:hAnsi="Times New Roman"/>
        </w:rPr>
      </w:pPr>
    </w:p>
    <w:p w:rsidR="00385AEF" w:rsidRPr="00A00E4C" w:rsidRDefault="00385AEF" w:rsidP="00A00E4C">
      <w:pPr>
        <w:shd w:val="clear" w:color="auto" w:fill="FFFFFF"/>
        <w:spacing w:after="0" w:line="240" w:lineRule="auto"/>
        <w:rPr>
          <w:rFonts w:ascii="Times New Roman" w:hAnsi="Times New Roman"/>
          <w:shd w:val="clear" w:color="auto" w:fill="FFFFFF"/>
        </w:rPr>
      </w:pPr>
      <w:r w:rsidRPr="00A00E4C">
        <w:rPr>
          <w:rFonts w:ascii="Times New Roman" w:hAnsi="Times New Roman"/>
          <w:shd w:val="clear" w:color="auto" w:fill="FFFFFF"/>
        </w:rPr>
        <w:t>lamictal 2 mg</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p>
    <w:p w:rsidR="00385AEF" w:rsidRPr="00353EE7" w:rsidRDefault="00385AEF" w:rsidP="00385AEF">
      <w:pPr>
        <w:keepNext/>
        <w:numPr>
          <w:ilvl w:val="0"/>
          <w:numId w:val="11"/>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i/>
        </w:rPr>
      </w:pPr>
      <w:r w:rsidRPr="00353EE7">
        <w:rPr>
          <w:rFonts w:ascii="Times New Roman" w:hAnsi="Times New Roman"/>
          <w:b/>
        </w:rPr>
        <w:t>UNIKALUS IDENTIFIKATORIUS – 2D BRŪKŠNINIS KODAS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rsidR="00385AEF" w:rsidRPr="00353EE7" w:rsidRDefault="00385AEF" w:rsidP="00385AEF">
      <w:pPr>
        <w:spacing w:after="0" w:line="240" w:lineRule="auto"/>
        <w:rPr>
          <w:rFonts w:ascii="Times New Roman" w:hAnsi="Times New Roman"/>
          <w:lang w:val="en-US"/>
        </w:rPr>
      </w:pP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lang w:val="en-US"/>
        </w:rPr>
        <w:t xml:space="preserve">PASTABA: 17 skyriaus </w:t>
      </w:r>
      <w:r w:rsidRPr="00A00E4C">
        <w:rPr>
          <w:rFonts w:ascii="Times New Roman" w:hAnsi="Times New Roman"/>
          <w:highlight w:val="lightGray"/>
        </w:rPr>
        <w:t>tekstas bus nurodytas tik ant išorinės pakuotės.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color w:val="008000"/>
        </w:rPr>
      </w:pPr>
      <w:r w:rsidRPr="00353EE7">
        <w:rPr>
          <w:rFonts w:ascii="Times New Roman" w:hAnsi="Times New Roman"/>
        </w:rPr>
        <w:t xml:space="preserve">PC: </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SN: </w:t>
      </w:r>
    </w:p>
    <w:p w:rsidR="00385AEF" w:rsidRPr="00353EE7" w:rsidRDefault="00385AEF" w:rsidP="00385AEF">
      <w:pPr>
        <w:spacing w:after="0" w:line="240" w:lineRule="auto"/>
        <w:rPr>
          <w:rFonts w:ascii="Times New Roman" w:hAnsi="Times New Roman"/>
          <w:b/>
          <w:u w:val="single"/>
        </w:rPr>
      </w:pPr>
      <w:r w:rsidRPr="00A00E4C">
        <w:rPr>
          <w:rFonts w:ascii="Times New Roman" w:hAnsi="Times New Roman"/>
          <w:highlight w:val="lightGray"/>
        </w:rPr>
        <w:t>NN:</w:t>
      </w:r>
      <w:r w:rsidRPr="00353EE7">
        <w:rPr>
          <w:rFonts w:ascii="Times New Roman" w:hAnsi="Times New Roman"/>
        </w:rPr>
        <w:t xml:space="preserve"> </w:t>
      </w:r>
    </w:p>
    <w:p w:rsidR="00385AEF" w:rsidRPr="00353EE7" w:rsidRDefault="00385AEF" w:rsidP="00385AEF">
      <w:pPr>
        <w:spacing w:after="0" w:line="240" w:lineRule="auto"/>
        <w:rPr>
          <w:rFonts w:ascii="Times New Roman" w:hAnsi="Times New Roman"/>
          <w:vanish/>
        </w:rPr>
      </w:pPr>
    </w:p>
    <w:p w:rsidR="00385AEF" w:rsidRPr="00353EE7" w:rsidRDefault="00385AEF" w:rsidP="00385AEF">
      <w:pPr>
        <w:spacing w:after="0" w:line="240" w:lineRule="auto"/>
        <w:rPr>
          <w:rFonts w:ascii="Times New Roman" w:hAnsi="Times New Roman"/>
          <w:shd w:val="clear" w:color="auto" w:fill="CCCCCC"/>
        </w:rPr>
      </w:pP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lang w:val="en-US"/>
        </w:rPr>
        <w:t xml:space="preserve">PASTABA: 18 skyriaus </w:t>
      </w:r>
      <w:r w:rsidRPr="00A00E4C">
        <w:rPr>
          <w:rFonts w:ascii="Times New Roman" w:hAnsi="Times New Roman"/>
          <w:highlight w:val="lightGray"/>
        </w:rPr>
        <w:t>tekstas bus nurodytas tik ant išorinės pakuotės.</w:t>
      </w:r>
    </w:p>
    <w:p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b/>
        </w:rPr>
        <w:br w:type="page"/>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LIZDINĖS PLOKŠTELĖS KARTONO DĖŽUTĖ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Kiekvienoje kramtomojoje ar disperguojamojoje tabletėje yra 5 mg lamotrigino.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56 kramtomosios ar disperguojamosios tabletės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lastRenderedPageBreak/>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Pr="00353EE7" w:rsidRDefault="00385AEF" w:rsidP="00385AEF">
      <w:pPr>
        <w:spacing w:after="0" w:line="240" w:lineRule="auto"/>
        <w:rPr>
          <w:rFonts w:ascii="Times New Roman" w:hAnsi="Times New Roman"/>
        </w:rPr>
      </w:pPr>
      <w:r w:rsidRPr="00353EE7">
        <w:rPr>
          <w:rFonts w:ascii="Times New Roman" w:hAnsi="Times New Roman"/>
        </w:rPr>
        <w:t>Lietuva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Pr>
          <w:rFonts w:ascii="Times New Roman" w:hAnsi="Times New Roman"/>
          <w:b/>
          <w:caps/>
        </w:rPr>
        <w:t xml:space="preserve"> (-IAI)</w:t>
      </w:r>
    </w:p>
    <w:p w:rsidR="00385AEF" w:rsidRPr="00353EE7" w:rsidRDefault="00385AEF" w:rsidP="00385AEF">
      <w:pPr>
        <w:spacing w:after="0" w:line="240" w:lineRule="auto"/>
        <w:rPr>
          <w:rFonts w:ascii="Times New Roman" w:hAnsi="Times New Roman"/>
        </w:rPr>
      </w:pPr>
    </w:p>
    <w:p w:rsidR="00385AEF" w:rsidRPr="00A00E4C" w:rsidRDefault="00385AEF" w:rsidP="00385AEF">
      <w:pPr>
        <w:spacing w:after="0" w:line="240" w:lineRule="auto"/>
        <w:rPr>
          <w:rFonts w:ascii="Times New Roman" w:hAnsi="Times New Roman"/>
          <w:highlight w:val="lightGray"/>
        </w:rPr>
      </w:pPr>
      <w:r w:rsidRPr="003E2A54">
        <w:rPr>
          <w:rFonts w:ascii="Times New Roman" w:hAnsi="Times New Roman"/>
        </w:rPr>
        <w:t xml:space="preserve">LT/1/97/1271/009 </w:t>
      </w:r>
      <w:r w:rsidRPr="00A00E4C">
        <w:rPr>
          <w:rFonts w:ascii="Times New Roman" w:hAnsi="Times New Roman"/>
          <w:highlight w:val="lightGray"/>
        </w:rPr>
        <w:t>– N10</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LT/1/97/1271/010 – N14</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LT/1/97/1271/011 – N28</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LT/1/97/1271/002 – N30</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LT/1/97/1271/043 – N42</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LT/1/97/1271/012 – N50</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LT/1/97/1271/013 – N56</w:t>
      </w:r>
    </w:p>
    <w:p w:rsidR="00385AEF" w:rsidRPr="00803D27" w:rsidRDefault="00385AEF" w:rsidP="00385AEF">
      <w:pPr>
        <w:tabs>
          <w:tab w:val="left" w:pos="6000"/>
        </w:tabs>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5</w:t>
      </w:r>
      <w:r>
        <w:t> </w:t>
      </w:r>
      <w:r w:rsidRPr="00353EE7">
        <w:rPr>
          <w:rFonts w:ascii="Times New Roman" w:hAnsi="Times New Roman"/>
        </w:rPr>
        <w:t>mg</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p>
    <w:p w:rsidR="00385AEF" w:rsidRPr="00353EE7" w:rsidRDefault="00385AEF" w:rsidP="00385AEF">
      <w:pPr>
        <w:keepNext/>
        <w:numPr>
          <w:ilvl w:val="0"/>
          <w:numId w:val="12"/>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i/>
        </w:rPr>
      </w:pPr>
      <w:r w:rsidRPr="00353EE7">
        <w:rPr>
          <w:rFonts w:ascii="Times New Roman" w:hAnsi="Times New Roman"/>
          <w:b/>
        </w:rPr>
        <w:t>UNIKALUS IDENTIFIKATORIUS – 2D BRŪKŠNINIS KODAS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color w:val="008000"/>
        </w:rPr>
      </w:pPr>
      <w:r w:rsidRPr="00353EE7">
        <w:rPr>
          <w:rFonts w:ascii="Times New Roman" w:hAnsi="Times New Roman"/>
        </w:rPr>
        <w:t xml:space="preserve">PC: </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SN: </w:t>
      </w:r>
    </w:p>
    <w:p w:rsidR="00385AEF" w:rsidRPr="00353EE7" w:rsidRDefault="00385AEF" w:rsidP="00385AEF">
      <w:pPr>
        <w:spacing w:after="0" w:line="240" w:lineRule="auto"/>
        <w:rPr>
          <w:rFonts w:ascii="Times New Roman" w:hAnsi="Times New Roman"/>
          <w:b/>
          <w:u w:val="single"/>
        </w:rPr>
      </w:pPr>
      <w:r w:rsidRPr="00A00E4C">
        <w:rPr>
          <w:rFonts w:ascii="Times New Roman" w:hAnsi="Times New Roman"/>
          <w:highlight w:val="lightGray"/>
        </w:rPr>
        <w:t>NN:</w:t>
      </w:r>
      <w:r w:rsidRPr="00353EE7">
        <w:rPr>
          <w:rFonts w:ascii="Times New Roman" w:hAnsi="Times New Roman"/>
        </w:rPr>
        <w:t xml:space="preserve"> </w:t>
      </w:r>
    </w:p>
    <w:p w:rsidR="00385AEF" w:rsidRPr="00353EE7" w:rsidRDefault="00385AEF" w:rsidP="00385AEF">
      <w:pPr>
        <w:spacing w:after="0" w:line="240" w:lineRule="auto"/>
        <w:rPr>
          <w:rFonts w:ascii="Times New Roman" w:hAnsi="Times New Roman"/>
          <w:b/>
        </w:rPr>
      </w:pPr>
    </w:p>
    <w:p w:rsidR="00385AEF" w:rsidRDefault="00385AEF" w:rsidP="00385AEF">
      <w:pPr>
        <w:spacing w:after="0" w:line="240" w:lineRule="auto"/>
        <w:rPr>
          <w:rFonts w:ascii="Times New Roman" w:hAnsi="Times New Roman"/>
          <w:b/>
        </w:rPr>
      </w:pPr>
      <w:r>
        <w:rPr>
          <w:rFonts w:ascii="Times New Roman" w:hAnsi="Times New Roman"/>
          <w:b/>
        </w:rPr>
        <w:br w:type="page"/>
      </w: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rPr>
          <w:trHeight w:val="785"/>
        </w:trPr>
        <w:tc>
          <w:tcPr>
            <w:tcW w:w="9287" w:type="dxa"/>
            <w:tcBorders>
              <w:bottom w:val="single" w:sz="4" w:space="0" w:color="auto"/>
            </w:tcBorders>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GlaxoSmithKline</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rPr>
        <w:br w:type="page"/>
      </w:r>
      <w:r w:rsidRPr="00353EE7">
        <w:rPr>
          <w:rFonts w:ascii="Times New Roman" w:hAnsi="Times New Roman"/>
          <w:b/>
        </w:rPr>
        <w:lastRenderedPageBreak/>
        <w:t xml:space="preserve">INFORMACIJA ANT IŠORINĖS </w:t>
      </w:r>
      <w:r>
        <w:rPr>
          <w:rFonts w:ascii="Times New Roman" w:hAnsi="Times New Roman"/>
          <w:b/>
        </w:rPr>
        <w:t xml:space="preserve">IR VIDINĖS </w:t>
      </w:r>
      <w:r w:rsidRPr="00353EE7">
        <w:rPr>
          <w:rFonts w:ascii="Times New Roman" w:hAnsi="Times New Roman"/>
          <w:b/>
        </w:rPr>
        <w:t>PAKUOTĖS</w:t>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BUTELIUKO KARTONO DĖŽUTĖ IR BUTELIUKO ETIKETĖ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Kiekvienoje kramtomojoje ar disperguojamojoje tabletėje yra 5 mg lamotrigino.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14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kramtomųjų ar disperguojamųjų tablečių</w:t>
      </w: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60 kramtomosios ar disperguojamosios tabletės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Default="00385AEF" w:rsidP="00385AEF">
      <w:pPr>
        <w:spacing w:after="0" w:line="240" w:lineRule="auto"/>
        <w:rPr>
          <w:rFonts w:ascii="Times New Roman" w:hAnsi="Times New Roman"/>
        </w:rPr>
      </w:pPr>
      <w:r w:rsidRPr="00353EE7">
        <w:rPr>
          <w:rFonts w:ascii="Times New Roman" w:hAnsi="Times New Roman"/>
        </w:rPr>
        <w:t>Lietuva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p>
    <w:p w:rsidR="00385AEF" w:rsidRPr="00353EE7" w:rsidRDefault="00385AEF" w:rsidP="00385AEF">
      <w:pPr>
        <w:spacing w:after="0" w:line="240" w:lineRule="auto"/>
        <w:rPr>
          <w:rFonts w:ascii="Times New Roman" w:hAnsi="Times New Roman"/>
        </w:rPr>
      </w:pPr>
    </w:p>
    <w:p w:rsidR="00385AEF" w:rsidRPr="00A00E4C" w:rsidRDefault="00385AEF" w:rsidP="00385AEF">
      <w:pPr>
        <w:spacing w:after="0" w:line="240" w:lineRule="auto"/>
        <w:rPr>
          <w:rFonts w:ascii="Times New Roman" w:eastAsia="Times New Roman" w:hAnsi="Times New Roman"/>
          <w:highlight w:val="lightGray"/>
        </w:rPr>
      </w:pPr>
      <w:r w:rsidRPr="00C56700">
        <w:rPr>
          <w:rFonts w:ascii="Times New Roman" w:hAnsi="Times New Roman"/>
        </w:rPr>
        <w:t xml:space="preserve">LT/1/97/1271/061 </w:t>
      </w:r>
      <w:r w:rsidRPr="00A00E4C">
        <w:rPr>
          <w:rFonts w:ascii="Times New Roman" w:eastAsia="Times New Roman" w:hAnsi="Times New Roman"/>
          <w:highlight w:val="lightGray"/>
        </w:rPr>
        <w:t>– N14</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LT/1/97/1271/062 – N28</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LT/1/97/1271/063 – N30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LT/1/97/1271/064 – N42</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LT/1/97/1271/065 – N56</w:t>
      </w:r>
    </w:p>
    <w:p w:rsidR="00385AEF" w:rsidRPr="00353EE7" w:rsidRDefault="00385AEF" w:rsidP="00385AEF">
      <w:pPr>
        <w:spacing w:after="0" w:line="240" w:lineRule="auto"/>
        <w:rPr>
          <w:rFonts w:ascii="Times New Roman" w:hAnsi="Times New Roman"/>
        </w:rPr>
      </w:pPr>
      <w:r w:rsidRPr="00A00E4C">
        <w:rPr>
          <w:rFonts w:ascii="Times New Roman" w:eastAsia="Times New Roman" w:hAnsi="Times New Roman"/>
          <w:highlight w:val="lightGray"/>
        </w:rPr>
        <w:t>LT/1/97/1271/066 – N60</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p>
    <w:p w:rsidR="00385AEF" w:rsidRPr="00353EE7" w:rsidRDefault="00385AEF" w:rsidP="00385AEF">
      <w:pPr>
        <w:spacing w:after="0" w:line="240" w:lineRule="auto"/>
        <w:rPr>
          <w:rFonts w:ascii="Times New Roman" w:hAnsi="Times New Roman"/>
        </w:rPr>
      </w:pPr>
    </w:p>
    <w:p w:rsidR="00385AEF" w:rsidRDefault="00385AEF" w:rsidP="00385AEF">
      <w:pPr>
        <w:spacing w:after="0" w:line="240" w:lineRule="auto"/>
        <w:rPr>
          <w:rFonts w:ascii="Times New Roman" w:hAnsi="Times New Roman"/>
        </w:rPr>
      </w:pPr>
      <w:r w:rsidRPr="00A00E4C">
        <w:rPr>
          <w:rFonts w:ascii="Times New Roman" w:hAnsi="Times New Roman"/>
          <w:highlight w:val="lightGray"/>
        </w:rPr>
        <w:t>Lamictal 5 mg</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p>
    <w:p w:rsidR="00385AEF" w:rsidRPr="00353EE7" w:rsidRDefault="00385AEF" w:rsidP="00385AEF">
      <w:pPr>
        <w:keepNext/>
        <w:numPr>
          <w:ilvl w:val="0"/>
          <w:numId w:val="13"/>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i/>
        </w:rPr>
      </w:pPr>
      <w:r w:rsidRPr="00353EE7">
        <w:rPr>
          <w:rFonts w:ascii="Times New Roman" w:hAnsi="Times New Roman"/>
          <w:b/>
        </w:rPr>
        <w:t>UNIKALUS IDENTIFIKATORIUS – 2D BRŪKŠNINIS KODAS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PASTABA: 17 punkto tekstas bus nurodytas tik ant išorinės dėžutės.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numPr>
          <w:ilvl w:val="0"/>
          <w:numId w:val="13"/>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p>
    <w:p w:rsidR="00385AEF" w:rsidRPr="00353EE7"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r w:rsidRPr="00D607BB">
        <w:rPr>
          <w:rFonts w:ascii="Times New Roman" w:hAnsi="Times New Roman"/>
        </w:rPr>
        <w:t xml:space="preserve">PC: </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SN: </w:t>
      </w:r>
    </w:p>
    <w:p w:rsidR="00385AEF" w:rsidRPr="00353EE7" w:rsidRDefault="00385AEF" w:rsidP="00385AEF">
      <w:pPr>
        <w:spacing w:after="0" w:line="240" w:lineRule="auto"/>
        <w:rPr>
          <w:rFonts w:ascii="Times New Roman" w:hAnsi="Times New Roman"/>
          <w:b/>
          <w:u w:val="single"/>
        </w:rPr>
      </w:pPr>
      <w:r w:rsidRPr="00A00E4C">
        <w:rPr>
          <w:rFonts w:ascii="Times New Roman" w:hAnsi="Times New Roman"/>
          <w:highlight w:val="lightGray"/>
        </w:rPr>
        <w:t>NN:</w:t>
      </w:r>
      <w:r w:rsidRPr="00353EE7">
        <w:rPr>
          <w:rFonts w:ascii="Times New Roman" w:hAnsi="Times New Roman"/>
        </w:rPr>
        <w:t xml:space="preserv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PASTABA: 18 punkto tekstas bus nurodytas tik ant išorinės dėžutės.</w:t>
      </w:r>
    </w:p>
    <w:p w:rsidR="00385AEF" w:rsidRPr="00353EE7" w:rsidRDefault="00385AEF" w:rsidP="00385AEF">
      <w:pPr>
        <w:spacing w:after="0" w:line="240" w:lineRule="auto"/>
        <w:rPr>
          <w:rFonts w:ascii="Times New Roman" w:hAnsi="Times New Roman"/>
        </w:rPr>
      </w:pPr>
    </w:p>
    <w:p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br w:type="page"/>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25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Kiekvienoje kramtomojoje ar disperguojamojoje tabletėje yra 25 mg lamotrigino.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21 kramtomoji ar disperguojamoji tabletė</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60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21 kramtomosios ar disperguojamosios tabletės pakuotė papildomam gydymui kartu su valproatu pradėti</w:t>
      </w: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42 kramtomųjų ar disperguojamųjų tablečių pakuotė monoterapijai pradėti</w:t>
      </w:r>
      <w:r w:rsidRPr="00353EE7" w:rsidDel="00026D4D">
        <w:rPr>
          <w:rFonts w:ascii="Times New Roman" w:hAnsi="Times New Roman"/>
        </w:rPr>
        <w:t xml:space="preserv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Pr="00353EE7" w:rsidRDefault="00385AEF" w:rsidP="00385AEF">
      <w:pPr>
        <w:spacing w:after="0" w:line="240" w:lineRule="auto"/>
        <w:rPr>
          <w:rFonts w:ascii="Times New Roman" w:hAnsi="Times New Roman"/>
        </w:rPr>
      </w:pPr>
      <w:r w:rsidRPr="00353EE7">
        <w:rPr>
          <w:rFonts w:ascii="Times New Roman" w:hAnsi="Times New Roman"/>
        </w:rPr>
        <w:t>Lietuva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p>
    <w:p w:rsidR="00385AEF" w:rsidRPr="00353EE7" w:rsidRDefault="00385AEF" w:rsidP="00385AEF">
      <w:pPr>
        <w:spacing w:after="0" w:line="240" w:lineRule="auto"/>
        <w:rPr>
          <w:rFonts w:ascii="Times New Roman" w:hAnsi="Times New Roman"/>
        </w:rPr>
      </w:pPr>
    </w:p>
    <w:p w:rsidR="00385AEF" w:rsidRPr="00A00E4C" w:rsidRDefault="00385AEF" w:rsidP="00385AEF">
      <w:pPr>
        <w:spacing w:after="0" w:line="240" w:lineRule="auto"/>
        <w:rPr>
          <w:rFonts w:ascii="Times New Roman" w:eastAsia="Times New Roman" w:hAnsi="Times New Roman"/>
          <w:highlight w:val="lightGray"/>
        </w:rPr>
      </w:pPr>
      <w:r w:rsidRPr="0043156C">
        <w:rPr>
          <w:rFonts w:ascii="Times New Roman" w:hAnsi="Times New Roman"/>
        </w:rPr>
        <w:t xml:space="preserve">LT/1/97/1271/014 </w:t>
      </w:r>
      <w:r w:rsidRPr="00A00E4C">
        <w:rPr>
          <w:rFonts w:ascii="Times New Roman" w:eastAsia="Times New Roman" w:hAnsi="Times New Roman"/>
          <w:highlight w:val="lightGray"/>
        </w:rPr>
        <w:t>– N10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LT/1/97/1271/015 – N14</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LT/1/97/1271/003 – N21</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LT/1/97/1271/016 – N28</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LT/1/97/1271/004 – N30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LT/1/97/1271/005 – N42</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LT/1/97/1271/017 – N50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LT/1/97/1271/018 – N56</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LT/1/97/1271/019 – N60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LT/1/97/1271/057 – N21 (pakuotė gydymui pradėti)</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LT/1/97/1271/058 – N42 (pakuotė gydymui pradėti)</w:t>
      </w:r>
    </w:p>
    <w:p w:rsidR="00385AEF" w:rsidRPr="00353EE7" w:rsidRDefault="00385AEF" w:rsidP="00385AEF">
      <w:pPr>
        <w:tabs>
          <w:tab w:val="left" w:pos="6000"/>
        </w:tabs>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25 mg</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p>
    <w:p w:rsidR="00385AEF" w:rsidRPr="00353EE7" w:rsidRDefault="00385AEF" w:rsidP="00385AEF">
      <w:pPr>
        <w:keepNext/>
        <w:numPr>
          <w:ilvl w:val="0"/>
          <w:numId w:val="14"/>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i/>
        </w:rPr>
      </w:pPr>
      <w:r w:rsidRPr="00353EE7">
        <w:rPr>
          <w:rFonts w:ascii="Times New Roman" w:hAnsi="Times New Roman"/>
          <w:b/>
        </w:rPr>
        <w:t>UNIKALUS IDENTIFIKATORIUS – 2D BRŪKŠNINIS KODAS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lastRenderedPageBreak/>
        <w:t>UNIKALUS IDENTIFIKATORIUS – ŽMONĖMS SUPRANTAMI DUOMENYS</w:t>
      </w:r>
    </w:p>
    <w:p w:rsidR="00385AEF" w:rsidRPr="00353EE7"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r w:rsidRPr="0028558F">
        <w:rPr>
          <w:rFonts w:ascii="Times New Roman" w:hAnsi="Times New Roman"/>
        </w:rPr>
        <w:t xml:space="preserve">PC: </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SN: </w:t>
      </w:r>
    </w:p>
    <w:p w:rsidR="00385AEF" w:rsidRPr="00353EE7" w:rsidRDefault="00385AEF" w:rsidP="00385AEF">
      <w:pPr>
        <w:spacing w:after="0" w:line="240" w:lineRule="auto"/>
        <w:rPr>
          <w:rFonts w:ascii="Times New Roman" w:hAnsi="Times New Roman"/>
          <w:b/>
          <w:u w:val="single"/>
        </w:rPr>
      </w:pPr>
      <w:r w:rsidRPr="00A00E4C">
        <w:rPr>
          <w:rFonts w:ascii="Times New Roman" w:hAnsi="Times New Roman"/>
          <w:highlight w:val="lightGray"/>
        </w:rPr>
        <w:t>NN:</w:t>
      </w:r>
      <w:r w:rsidRPr="00353EE7">
        <w:rPr>
          <w:rFonts w:ascii="Times New Roman" w:hAnsi="Times New Roman"/>
        </w:rPr>
        <w:t xml:space="preserv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rPr>
          <w:trHeight w:val="785"/>
        </w:trPr>
        <w:tc>
          <w:tcPr>
            <w:tcW w:w="9287" w:type="dxa"/>
            <w:tcBorders>
              <w:bottom w:val="single" w:sz="4" w:space="0" w:color="auto"/>
            </w:tcBorders>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25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GlaxoSmithKline</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rsidR="00385AEF" w:rsidRPr="00353EE7" w:rsidRDefault="00385AEF" w:rsidP="00385AEF">
      <w:pPr>
        <w:spacing w:after="0" w:line="240" w:lineRule="auto"/>
        <w:ind w:right="113"/>
        <w:rPr>
          <w:rFonts w:ascii="Times New Roman" w:hAnsi="Times New Roman"/>
        </w:rPr>
      </w:pP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(21 tabletės pakuotė papildomam gydymui kartu su valproatu pradėti – kalendorinė pakuotė, kurioje nurodytos dienos):</w:t>
      </w: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1   3   5   7   9   11   13 (viena dėtuvė)</w:t>
      </w: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2   4   6   8   10   12   14 (dėtuvės nėra)</w:t>
      </w: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15   17   19   21   23   25   27 (viena dėtuvė)</w:t>
      </w: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16   18   20   22   24   26   28 (viena dėtuvė)</w:t>
      </w:r>
    </w:p>
    <w:p w:rsidR="00385AEF" w:rsidRPr="00A00E4C" w:rsidRDefault="00385AEF" w:rsidP="00385AEF">
      <w:pPr>
        <w:keepNext/>
        <w:spacing w:after="0" w:line="240" w:lineRule="auto"/>
        <w:rPr>
          <w:rFonts w:ascii="Times New Roman" w:hAnsi="Times New Roman"/>
          <w:highlight w:val="lightGray"/>
        </w:rPr>
      </w:pP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(42 tablečių pakuotė monoterapijai pradėti – kalendorinė pakuotė, kurioje nurodytos dienos):</w:t>
      </w: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1   2   3   4   5   6   7 (viena dėtuvė)</w:t>
      </w: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8   9   10   11   12   13   14 (viena dėtuvė)</w:t>
      </w:r>
    </w:p>
    <w:p w:rsidR="00385AEF" w:rsidRPr="00A00E4C" w:rsidRDefault="00385AEF" w:rsidP="00385AEF">
      <w:pPr>
        <w:keepNext/>
        <w:spacing w:after="0" w:line="240" w:lineRule="auto"/>
        <w:rPr>
          <w:rFonts w:ascii="Times New Roman" w:hAnsi="Times New Roman"/>
          <w:highlight w:val="lightGray"/>
        </w:rPr>
      </w:pPr>
      <w:r w:rsidRPr="00A00E4C">
        <w:rPr>
          <w:rFonts w:ascii="Times New Roman" w:hAnsi="Times New Roman"/>
          <w:highlight w:val="lightGray"/>
        </w:rPr>
        <w:t>15   16   17   18   19   20   21 (dvi dėtuvės)</w:t>
      </w:r>
    </w:p>
    <w:p w:rsidR="00385AEF" w:rsidRPr="00353EE7" w:rsidRDefault="00385AEF" w:rsidP="00385AEF">
      <w:pPr>
        <w:keepNext/>
        <w:spacing w:after="0" w:line="240" w:lineRule="auto"/>
        <w:rPr>
          <w:rFonts w:ascii="Times New Roman" w:hAnsi="Times New Roman"/>
        </w:rPr>
      </w:pPr>
      <w:r w:rsidRPr="00A00E4C">
        <w:rPr>
          <w:rFonts w:ascii="Times New Roman" w:hAnsi="Times New Roman"/>
          <w:highlight w:val="lightGray"/>
        </w:rPr>
        <w:t>22   23   24   25   26   27   28 (dvi dėtuvės)</w:t>
      </w:r>
    </w:p>
    <w:p w:rsidR="00385AEF" w:rsidRPr="00353EE7" w:rsidRDefault="00385AEF" w:rsidP="00385AEF">
      <w:pPr>
        <w:keepNext/>
        <w:spacing w:after="0" w:line="240" w:lineRule="auto"/>
        <w:rPr>
          <w:rFonts w:ascii="Times New Roman" w:hAnsi="Times New Roman"/>
        </w:rPr>
      </w:pPr>
    </w:p>
    <w:p w:rsidR="00385AEF" w:rsidRPr="00353EE7" w:rsidRDefault="00385AEF" w:rsidP="00385AEF">
      <w:pPr>
        <w:keepNext/>
        <w:spacing w:after="0" w:line="240" w:lineRule="auto"/>
        <w:rPr>
          <w:rFonts w:ascii="Times New Roman" w:hAnsi="Times New Roman"/>
        </w:rPr>
      </w:pPr>
      <w:r w:rsidRPr="00353EE7">
        <w:rPr>
          <w:rFonts w:ascii="Times New Roman" w:hAnsi="Times New Roman"/>
        </w:rPr>
        <w:br w:type="page"/>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50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Kiekvienoje kramtomojoje ar disperguojamojoje tabletėje yra 50 mg lamotrigino.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60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100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196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200 kramtomųjų ar disperguojamųjų tablečių</w:t>
      </w: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42 kramtomųjų ar disperguojamųjų tablečių pakuotė papildomam gydymui be valproato pradėti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lastRenderedPageBreak/>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Pr="00353EE7" w:rsidRDefault="00385AEF" w:rsidP="00385AEF">
      <w:pPr>
        <w:spacing w:after="0" w:line="240" w:lineRule="auto"/>
        <w:rPr>
          <w:rFonts w:ascii="Times New Roman" w:hAnsi="Times New Roman"/>
        </w:rPr>
      </w:pPr>
      <w:r w:rsidRPr="00353EE7">
        <w:rPr>
          <w:rFonts w:ascii="Times New Roman" w:hAnsi="Times New Roman"/>
        </w:rPr>
        <w:t>Lietuva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p>
    <w:p w:rsidR="00385AEF" w:rsidRPr="00353EE7" w:rsidRDefault="00385AEF" w:rsidP="00385AEF">
      <w:pPr>
        <w:spacing w:after="0" w:line="240" w:lineRule="auto"/>
        <w:rPr>
          <w:rFonts w:ascii="Times New Roman" w:hAnsi="Times New Roman"/>
        </w:rPr>
      </w:pPr>
    </w:p>
    <w:p w:rsidR="00385AEF" w:rsidRPr="00A00E4C" w:rsidRDefault="00385AEF" w:rsidP="00385AEF">
      <w:pPr>
        <w:spacing w:after="0" w:line="240" w:lineRule="auto"/>
        <w:rPr>
          <w:rFonts w:ascii="Times New Roman" w:eastAsia="Times New Roman" w:hAnsi="Times New Roman"/>
          <w:highlight w:val="lightGray"/>
        </w:rPr>
      </w:pPr>
      <w:r>
        <w:rPr>
          <w:rFonts w:ascii="Times New Roman" w:hAnsi="Times New Roman"/>
        </w:rPr>
        <w:t xml:space="preserve">LT/1/97/1271/020 </w:t>
      </w:r>
      <w:r w:rsidRPr="00A00E4C">
        <w:rPr>
          <w:rFonts w:ascii="Times New Roman" w:eastAsia="Times New Roman" w:hAnsi="Times New Roman"/>
          <w:highlight w:val="lightGray"/>
        </w:rPr>
        <w:t>– N10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LT/1/97/1271/021 – N14</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LT/1/97/1271/044 – N28</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LT/1/97/1271/006 – N30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LT/1/97/1271/022 – N42</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LT/1/97/1271/023 – N50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LT/1/97/1271/024 – N56</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LT/1/97/1271/025 – N60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LT/1/97/1271/026 – N90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LT/1/97/1271/045 – N98</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LT/1/97/1271/027 – N100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LT/1/97/1271/046 – N196</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LT/1/97/1271/028 – N200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LT/1/97/1271/059 – N42 (pakuotė gydymui pradėti)</w:t>
      </w:r>
    </w:p>
    <w:p w:rsidR="00385AEF"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50</w:t>
      </w:r>
      <w:r>
        <w:rPr>
          <w:rFonts w:ascii="Times New Roman" w:hAnsi="Times New Roman"/>
        </w:rPr>
        <w:t> </w:t>
      </w:r>
      <w:r w:rsidRPr="00353EE7">
        <w:rPr>
          <w:rFonts w:ascii="Times New Roman" w:hAnsi="Times New Roman"/>
        </w:rPr>
        <w:t>mg</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p>
    <w:p w:rsidR="00385AEF" w:rsidRPr="00353EE7" w:rsidRDefault="00385AEF" w:rsidP="00385AEF">
      <w:pPr>
        <w:keepNext/>
        <w:numPr>
          <w:ilvl w:val="0"/>
          <w:numId w:val="15"/>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i/>
        </w:rPr>
      </w:pPr>
      <w:r w:rsidRPr="00353EE7">
        <w:rPr>
          <w:rFonts w:ascii="Times New Roman" w:hAnsi="Times New Roman"/>
          <w:b/>
        </w:rPr>
        <w:t>UNIKALUS IDENTIFIKATORIUS – 2D BRŪKŠNINIS KODAS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numPr>
          <w:ilvl w:val="0"/>
          <w:numId w:val="15"/>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p>
    <w:p w:rsidR="00385AEF" w:rsidRPr="00353EE7"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r w:rsidRPr="0028558F">
        <w:rPr>
          <w:rFonts w:ascii="Times New Roman" w:hAnsi="Times New Roman"/>
        </w:rPr>
        <w:t xml:space="preserve">PC: </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SN: </w:t>
      </w:r>
    </w:p>
    <w:p w:rsidR="00385AEF" w:rsidRPr="00353EE7" w:rsidRDefault="00385AEF" w:rsidP="00385AEF">
      <w:pPr>
        <w:spacing w:after="0" w:line="240" w:lineRule="auto"/>
        <w:rPr>
          <w:rFonts w:ascii="Times New Roman" w:hAnsi="Times New Roman"/>
          <w:b/>
          <w:u w:val="single"/>
        </w:rPr>
      </w:pPr>
      <w:r w:rsidRPr="00A00E4C">
        <w:rPr>
          <w:rFonts w:ascii="Times New Roman" w:hAnsi="Times New Roman"/>
          <w:highlight w:val="lightGray"/>
        </w:rPr>
        <w:t>NN:</w:t>
      </w:r>
      <w:r w:rsidRPr="00353EE7">
        <w:rPr>
          <w:rFonts w:ascii="Times New Roman" w:hAnsi="Times New Roman"/>
        </w:rPr>
        <w:t xml:space="preserv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rPr>
          <w:trHeight w:val="785"/>
        </w:trPr>
        <w:tc>
          <w:tcPr>
            <w:tcW w:w="9287" w:type="dxa"/>
            <w:tcBorders>
              <w:bottom w:val="single" w:sz="4" w:space="0" w:color="auto"/>
            </w:tcBorders>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50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GlaxoSmithKline</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rsidR="00385AEF" w:rsidRPr="00353EE7" w:rsidRDefault="00385AEF" w:rsidP="00385AEF">
      <w:pPr>
        <w:spacing w:after="0" w:line="240" w:lineRule="auto"/>
        <w:ind w:right="113"/>
        <w:rPr>
          <w:rFonts w:ascii="Times New Roman" w:hAnsi="Times New Roman"/>
        </w:rPr>
      </w:pPr>
    </w:p>
    <w:p w:rsidR="00385AEF" w:rsidRPr="00A00E4C" w:rsidRDefault="00385AEF" w:rsidP="00385AEF">
      <w:pPr>
        <w:spacing w:after="0" w:line="240" w:lineRule="auto"/>
        <w:ind w:right="113"/>
        <w:rPr>
          <w:rFonts w:ascii="Times New Roman" w:hAnsi="Times New Roman"/>
          <w:highlight w:val="lightGray"/>
        </w:rPr>
      </w:pPr>
      <w:r w:rsidRPr="00A00E4C">
        <w:rPr>
          <w:rFonts w:ascii="Times New Roman" w:hAnsi="Times New Roman"/>
          <w:highlight w:val="lightGray"/>
        </w:rPr>
        <w:t>(42 tablečių pakuotė papildomam gydymui be valproato pradėti – kalendorinė pakuotė, kurioje nurodytos dienos):</w:t>
      </w:r>
    </w:p>
    <w:p w:rsidR="00385AEF" w:rsidRPr="00A00E4C" w:rsidRDefault="00385AEF" w:rsidP="00385AEF">
      <w:pPr>
        <w:spacing w:after="0" w:line="240" w:lineRule="auto"/>
        <w:ind w:right="113"/>
        <w:rPr>
          <w:rFonts w:ascii="Times New Roman" w:hAnsi="Times New Roman"/>
          <w:highlight w:val="lightGray"/>
        </w:rPr>
      </w:pPr>
      <w:r w:rsidRPr="00A00E4C">
        <w:rPr>
          <w:rFonts w:ascii="Times New Roman" w:hAnsi="Times New Roman"/>
          <w:highlight w:val="lightGray"/>
        </w:rPr>
        <w:t>1   2   3   4   5   6   7 (viena dėtuvė)</w:t>
      </w:r>
    </w:p>
    <w:p w:rsidR="00385AEF" w:rsidRPr="00A00E4C" w:rsidRDefault="00385AEF" w:rsidP="00385AEF">
      <w:pPr>
        <w:spacing w:after="0" w:line="240" w:lineRule="auto"/>
        <w:ind w:right="113"/>
        <w:rPr>
          <w:rFonts w:ascii="Times New Roman" w:hAnsi="Times New Roman"/>
          <w:highlight w:val="lightGray"/>
        </w:rPr>
      </w:pPr>
      <w:r w:rsidRPr="00A00E4C">
        <w:rPr>
          <w:rFonts w:ascii="Times New Roman" w:hAnsi="Times New Roman"/>
          <w:highlight w:val="lightGray"/>
        </w:rPr>
        <w:t>8   9   10   11   12   13   14 (viena dėtuvė)</w:t>
      </w:r>
    </w:p>
    <w:p w:rsidR="00385AEF" w:rsidRPr="00A00E4C" w:rsidRDefault="00385AEF" w:rsidP="00385AEF">
      <w:pPr>
        <w:spacing w:after="0" w:line="240" w:lineRule="auto"/>
        <w:ind w:right="113"/>
        <w:rPr>
          <w:rFonts w:ascii="Times New Roman" w:hAnsi="Times New Roman"/>
          <w:highlight w:val="lightGray"/>
        </w:rPr>
      </w:pPr>
      <w:r w:rsidRPr="00A00E4C">
        <w:rPr>
          <w:rFonts w:ascii="Times New Roman" w:hAnsi="Times New Roman"/>
          <w:highlight w:val="lightGray"/>
        </w:rPr>
        <w:t>15   16   17   18   19   20   21 (dvi dėtuvės)</w:t>
      </w:r>
    </w:p>
    <w:p w:rsidR="00385AEF" w:rsidRPr="00353EE7" w:rsidRDefault="00385AEF" w:rsidP="00385AEF">
      <w:pPr>
        <w:spacing w:after="0" w:line="240" w:lineRule="auto"/>
        <w:ind w:right="113"/>
        <w:rPr>
          <w:rFonts w:ascii="Times New Roman" w:hAnsi="Times New Roman"/>
        </w:rPr>
      </w:pPr>
      <w:r w:rsidRPr="00A00E4C">
        <w:rPr>
          <w:rFonts w:ascii="Times New Roman" w:hAnsi="Times New Roman"/>
          <w:highlight w:val="lightGray"/>
        </w:rPr>
        <w:t>22   23   24   25   26   27   28 (dvi dėtuvės)</w:t>
      </w:r>
    </w:p>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br w:type="page"/>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100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Kiekvienoje kramtomojoje ar disperguojamojoje tabletėje yra 100 mg lamotrigino.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60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100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196 kramtomosios ar disperguojamosios tabletės</w:t>
      </w: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200 kramtomųjų ar disperguojamųjų tablečių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rsidR="00385AEF" w:rsidRPr="00900317" w:rsidRDefault="00385AEF" w:rsidP="00385AEF">
      <w:pPr>
        <w:spacing w:after="0" w:line="240" w:lineRule="auto"/>
        <w:rPr>
          <w:rFonts w:ascii="Times New Roman" w:eastAsia="Times New Roman" w:hAnsi="Times New Roman"/>
        </w:rPr>
      </w:pPr>
      <w:r>
        <w:rPr>
          <w:rFonts w:ascii="Times New Roman" w:eastAsia="Times New Roman" w:hAnsi="Times New Roman"/>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Pr="00353EE7" w:rsidRDefault="00385AEF" w:rsidP="00385AEF">
      <w:pPr>
        <w:spacing w:after="0" w:line="240" w:lineRule="auto"/>
        <w:rPr>
          <w:rFonts w:ascii="Times New Roman" w:hAnsi="Times New Roman"/>
        </w:rPr>
      </w:pPr>
      <w:r w:rsidRPr="00353EE7">
        <w:rPr>
          <w:rFonts w:ascii="Times New Roman" w:hAnsi="Times New Roman"/>
        </w:rPr>
        <w:t>Lietuva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p>
    <w:p w:rsidR="00385AEF" w:rsidRPr="00353EE7" w:rsidRDefault="00385AEF" w:rsidP="00385AEF">
      <w:pPr>
        <w:spacing w:after="0" w:line="240" w:lineRule="auto"/>
        <w:rPr>
          <w:rFonts w:ascii="Times New Roman" w:hAnsi="Times New Roman"/>
        </w:rPr>
      </w:pPr>
    </w:p>
    <w:p w:rsidR="00385AEF" w:rsidRPr="00A00E4C" w:rsidRDefault="00385AEF" w:rsidP="00385AEF">
      <w:pPr>
        <w:spacing w:after="0" w:line="240" w:lineRule="auto"/>
        <w:rPr>
          <w:rFonts w:ascii="Times New Roman" w:eastAsia="Times New Roman" w:hAnsi="Times New Roman"/>
          <w:highlight w:val="lightGray"/>
        </w:rPr>
      </w:pPr>
      <w:r>
        <w:rPr>
          <w:rFonts w:ascii="Times New Roman" w:eastAsia="Times New Roman" w:hAnsi="Times New Roman"/>
          <w:bCs/>
        </w:rPr>
        <w:t xml:space="preserve">LT/1/97/1271/029 </w:t>
      </w:r>
      <w:r w:rsidRPr="00A00E4C">
        <w:rPr>
          <w:rFonts w:ascii="Times New Roman" w:eastAsia="Times New Roman" w:hAnsi="Times New Roman"/>
          <w:highlight w:val="lightGray"/>
        </w:rPr>
        <w:t>– N10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LT/1/97/1271/047 – N14</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LT/1/97/1271/048 – N28</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LT/1/97/1271/007 – N30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LT/1/97/1271/049 – N42</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LT/1/97/1271/030 – N50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LT/1/97/1271/031 – N56</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LT/1/97/1271/032 – N60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LT/1/97/1271/033 – N90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LT/1/97/1271/050 – N98</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LT/1/97/1271/034 – N100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LT/1/97/1271/051 – N196</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LT/1/97/1271/035 – N200</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100</w:t>
      </w:r>
      <w:r>
        <w:rPr>
          <w:rFonts w:ascii="Times New Roman" w:hAnsi="Times New Roman"/>
        </w:rPr>
        <w:t> </w:t>
      </w:r>
      <w:r w:rsidRPr="00353EE7">
        <w:rPr>
          <w:rFonts w:ascii="Times New Roman" w:hAnsi="Times New Roman"/>
        </w:rPr>
        <w:t>mg</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p>
    <w:p w:rsidR="00385AEF" w:rsidRPr="00353EE7" w:rsidRDefault="00385AEF" w:rsidP="00385AEF">
      <w:pPr>
        <w:keepNext/>
        <w:numPr>
          <w:ilvl w:val="0"/>
          <w:numId w:val="16"/>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i/>
        </w:rPr>
      </w:pPr>
      <w:r w:rsidRPr="00353EE7">
        <w:rPr>
          <w:rFonts w:ascii="Times New Roman" w:hAnsi="Times New Roman"/>
          <w:b/>
        </w:rPr>
        <w:lastRenderedPageBreak/>
        <w:t>UNIKALUS IDENTIFIKATORIUS – 2D BRŪKŠNINIS KODAS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p>
    <w:p w:rsidR="00385AEF" w:rsidRPr="00353EE7"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r w:rsidRPr="0028558F">
        <w:rPr>
          <w:rFonts w:ascii="Times New Roman" w:hAnsi="Times New Roman"/>
        </w:rPr>
        <w:t xml:space="preserve">PC: </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SN: </w:t>
      </w:r>
    </w:p>
    <w:p w:rsidR="00385AEF" w:rsidRPr="00353EE7" w:rsidRDefault="00385AEF" w:rsidP="00385AEF">
      <w:pPr>
        <w:spacing w:after="0" w:line="240" w:lineRule="auto"/>
        <w:rPr>
          <w:rFonts w:ascii="Times New Roman" w:hAnsi="Times New Roman"/>
          <w:b/>
          <w:u w:val="single"/>
        </w:rPr>
      </w:pPr>
      <w:r w:rsidRPr="00A00E4C">
        <w:rPr>
          <w:rFonts w:ascii="Times New Roman" w:hAnsi="Times New Roman"/>
          <w:highlight w:val="lightGray"/>
        </w:rPr>
        <w:t>NN:</w:t>
      </w:r>
      <w:r w:rsidRPr="00353EE7">
        <w:rPr>
          <w:rFonts w:ascii="Times New Roman" w:hAnsi="Times New Roman"/>
        </w:rPr>
        <w:t xml:space="preserv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rPr>
          <w:trHeight w:val="785"/>
        </w:trPr>
        <w:tc>
          <w:tcPr>
            <w:tcW w:w="9287" w:type="dxa"/>
            <w:tcBorders>
              <w:bottom w:val="single" w:sz="4" w:space="0" w:color="auto"/>
            </w:tcBorders>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100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GlaxoSmithKline</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br w:type="page"/>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p>
    <w:p w:rsidR="00385AEF" w:rsidRPr="00353EE7" w:rsidRDefault="00385AEF" w:rsidP="00385AEF">
      <w:pPr>
        <w:spacing w:after="0" w:line="240" w:lineRule="auto"/>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200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Kiekvienoje kramtomojoje ar disperguojamojoje tabletėje yra 200 mg lamotrigino.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10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14</w:t>
      </w:r>
      <w:r w:rsidRPr="00A00E4C" w:rsidDel="0058636E">
        <w:rPr>
          <w:rFonts w:ascii="Times New Roman" w:hAnsi="Times New Roman"/>
          <w:highlight w:val="lightGray"/>
        </w:rPr>
        <w:t xml:space="preserve"> </w:t>
      </w:r>
      <w:r w:rsidRPr="00A00E4C">
        <w:rPr>
          <w:rFonts w:ascii="Times New Roman" w:hAnsi="Times New Roman"/>
          <w:highlight w:val="lightGray"/>
        </w:rPr>
        <w:t>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28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30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42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56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60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98 kramtomosios ar disperguojamosios tabletės</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100 kramtomųjų ar disperguojamųjų tablečių</w:t>
      </w:r>
    </w:p>
    <w:p w:rsidR="00385AEF" w:rsidRPr="00A00E4C" w:rsidRDefault="00385AEF" w:rsidP="00385AEF">
      <w:pPr>
        <w:spacing w:after="0" w:line="240" w:lineRule="auto"/>
        <w:rPr>
          <w:rFonts w:ascii="Times New Roman" w:hAnsi="Times New Roman"/>
          <w:highlight w:val="lightGray"/>
        </w:rPr>
      </w:pPr>
      <w:r w:rsidRPr="00A00E4C">
        <w:rPr>
          <w:rFonts w:ascii="Times New Roman" w:hAnsi="Times New Roman"/>
          <w:highlight w:val="lightGray"/>
        </w:rPr>
        <w:t>196 kramtomosios ar disperguojamosios tabletės</w:t>
      </w:r>
    </w:p>
    <w:p w:rsidR="00385AEF" w:rsidRPr="00353EE7" w:rsidRDefault="00385AEF" w:rsidP="00385AEF">
      <w:pPr>
        <w:spacing w:after="0" w:line="240" w:lineRule="auto"/>
        <w:rPr>
          <w:rFonts w:ascii="Times New Roman" w:hAnsi="Times New Roman"/>
        </w:rPr>
      </w:pPr>
      <w:r w:rsidRPr="00A00E4C">
        <w:rPr>
          <w:rFonts w:ascii="Times New Roman" w:hAnsi="Times New Roman"/>
          <w:highlight w:val="lightGray"/>
        </w:rPr>
        <w:t>200 kramtomųjų ar disperguojamųjų tablečių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p>
    <w:p w:rsidR="00385AEF" w:rsidRPr="00353EE7" w:rsidRDefault="00385AEF" w:rsidP="00385AEF">
      <w:pPr>
        <w:spacing w:after="0" w:line="240" w:lineRule="auto"/>
        <w:rPr>
          <w:rFonts w:ascii="Times New Roman" w:hAnsi="Times New Roman"/>
          <w:i/>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Tinka iki {mm MMMM}</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Pr="00353EE7">
        <w:rPr>
          <w:rFonts w:ascii="Times New Roman" w:hAnsi="Times New Roman"/>
          <w:b/>
          <w:caps/>
        </w:rPr>
        <w:t>REGISTRUOTOJO pavadinimas ir adresas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Pr="00353EE7" w:rsidRDefault="00385AEF" w:rsidP="00385AEF">
      <w:pPr>
        <w:spacing w:after="0" w:line="240" w:lineRule="auto"/>
        <w:rPr>
          <w:rFonts w:ascii="Times New Roman" w:hAnsi="Times New Roman"/>
        </w:rPr>
      </w:pPr>
      <w:r w:rsidRPr="00353EE7">
        <w:rPr>
          <w:rFonts w:ascii="Times New Roman" w:hAnsi="Times New Roman"/>
        </w:rPr>
        <w:t>Lietuva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Pr="00353EE7">
        <w:rPr>
          <w:rFonts w:ascii="Times New Roman" w:hAnsi="Times New Roman"/>
          <w:b/>
          <w:caps/>
        </w:rPr>
        <w:t>REGISTRACIJOS PAŽYMĖJIMO numeris</w:t>
      </w:r>
      <w:r w:rsidRPr="00353EE7">
        <w:rPr>
          <w:rFonts w:ascii="Times New Roman" w:hAnsi="Times New Roman"/>
          <w:b/>
        </w:rPr>
        <w:t xml:space="preserve"> </w:t>
      </w:r>
      <w:r>
        <w:rPr>
          <w:rFonts w:ascii="Times New Roman" w:hAnsi="Times New Roman"/>
          <w:b/>
        </w:rPr>
        <w:t>(-IAI)</w:t>
      </w:r>
    </w:p>
    <w:p w:rsidR="00385AEF" w:rsidRPr="00353EE7" w:rsidRDefault="00385AEF" w:rsidP="00385AEF">
      <w:pPr>
        <w:spacing w:after="0" w:line="240" w:lineRule="auto"/>
        <w:rPr>
          <w:rFonts w:ascii="Times New Roman" w:hAnsi="Times New Roman"/>
        </w:rPr>
      </w:pPr>
    </w:p>
    <w:p w:rsidR="00385AEF" w:rsidRPr="00A00E4C" w:rsidRDefault="00385AEF" w:rsidP="00385AEF">
      <w:pPr>
        <w:spacing w:after="0" w:line="240" w:lineRule="auto"/>
        <w:rPr>
          <w:rFonts w:ascii="Times New Roman" w:eastAsia="Times New Roman" w:hAnsi="Times New Roman"/>
          <w:highlight w:val="lightGray"/>
        </w:rPr>
      </w:pPr>
      <w:r>
        <w:rPr>
          <w:rFonts w:ascii="Times New Roman" w:hAnsi="Times New Roman"/>
        </w:rPr>
        <w:t xml:space="preserve">LT/1/97/1271/036 </w:t>
      </w:r>
      <w:r w:rsidRPr="00A00E4C">
        <w:rPr>
          <w:rFonts w:ascii="Times New Roman" w:eastAsia="Times New Roman" w:hAnsi="Times New Roman"/>
          <w:highlight w:val="lightGray"/>
        </w:rPr>
        <w:t>– N10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LT/1/97/1271/052 – N14</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LT/1/97/1271/053 – N28</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LT/1/97/1271/008 – N30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LT/1/97/1271/054 – N42</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LT/1/97/1271/037 – N50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LT/1/97/1271/038 – N56</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LT/1/97/1271/039 – N60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LT/1/97/1271/040 – N90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LT/1/97/1271/055 – N98</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LT/1/97/1271/041 – N100</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LT/1/97/1271/056 – N196</w:t>
      </w:r>
    </w:p>
    <w:p w:rsidR="00385AEF" w:rsidRPr="00A00E4C" w:rsidRDefault="00385AEF" w:rsidP="00385AEF">
      <w:pPr>
        <w:spacing w:after="0" w:line="240" w:lineRule="auto"/>
        <w:rPr>
          <w:rFonts w:ascii="Times New Roman" w:eastAsia="Times New Roman" w:hAnsi="Times New Roman"/>
          <w:highlight w:val="lightGray"/>
        </w:rPr>
      </w:pPr>
      <w:r w:rsidRPr="00A00E4C">
        <w:rPr>
          <w:rFonts w:ascii="Times New Roman" w:eastAsia="Times New Roman" w:hAnsi="Times New Roman"/>
          <w:highlight w:val="lightGray"/>
        </w:rPr>
        <w:t>LT/1/97/1271/042 – N200</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Serija</w:t>
      </w:r>
    </w:p>
    <w:p w:rsidR="00385AEF" w:rsidRPr="00900317" w:rsidRDefault="00385AEF" w:rsidP="00385AEF">
      <w:pPr>
        <w:spacing w:after="0" w:line="240" w:lineRule="auto"/>
        <w:rPr>
          <w:rFonts w:ascii="Times New Roman" w:eastAsia="Times New Roman" w:hAnsi="Times New Roman"/>
        </w:rPr>
      </w:pPr>
      <w:r w:rsidRPr="00A00E4C">
        <w:rPr>
          <w:rFonts w:ascii="Times New Roman" w:eastAsia="Times New Roman" w:hAnsi="Times New Roman"/>
          <w:highlight w:val="lightGray"/>
        </w:rPr>
        <w:t>Lot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200</w:t>
      </w:r>
      <w:r>
        <w:rPr>
          <w:rFonts w:ascii="Times New Roman" w:hAnsi="Times New Roman"/>
        </w:rPr>
        <w:t> </w:t>
      </w:r>
      <w:r w:rsidRPr="00353EE7">
        <w:rPr>
          <w:rFonts w:ascii="Times New Roman" w:hAnsi="Times New Roman"/>
        </w:rPr>
        <w:t>mg</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p>
    <w:p w:rsidR="00385AEF" w:rsidRPr="00353EE7" w:rsidRDefault="00385AEF" w:rsidP="00385AEF">
      <w:pPr>
        <w:keepNext/>
        <w:numPr>
          <w:ilvl w:val="0"/>
          <w:numId w:val="17"/>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i/>
        </w:rPr>
      </w:pPr>
      <w:r w:rsidRPr="00353EE7">
        <w:rPr>
          <w:rFonts w:ascii="Times New Roman" w:hAnsi="Times New Roman"/>
          <w:b/>
        </w:rPr>
        <w:lastRenderedPageBreak/>
        <w:t>UNIKALUS IDENTIFIKATORIUS – 2D BRŪKŠNINIS KODAS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keepNext/>
        <w:numPr>
          <w:ilvl w:val="0"/>
          <w:numId w:val="17"/>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p>
    <w:p w:rsidR="00385AEF" w:rsidRPr="00353EE7" w:rsidRDefault="00385AEF" w:rsidP="00385AEF">
      <w:pPr>
        <w:spacing w:after="0" w:line="240" w:lineRule="auto"/>
        <w:rPr>
          <w:rFonts w:ascii="Times New Roman" w:hAnsi="Times New Roman"/>
        </w:rPr>
      </w:pPr>
    </w:p>
    <w:p w:rsidR="00385AEF" w:rsidRPr="00CD723E" w:rsidRDefault="00385AEF" w:rsidP="00385AEF">
      <w:pPr>
        <w:spacing w:after="0" w:line="240" w:lineRule="auto"/>
        <w:rPr>
          <w:rFonts w:ascii="Times New Roman" w:hAnsi="Times New Roman"/>
        </w:rPr>
      </w:pPr>
      <w:r w:rsidRPr="0028558F">
        <w:rPr>
          <w:rFonts w:ascii="Times New Roman" w:hAnsi="Times New Roman"/>
        </w:rPr>
        <w:t xml:space="preserve">PC: </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SN: </w:t>
      </w:r>
    </w:p>
    <w:p w:rsidR="00385AEF" w:rsidRPr="00353EE7" w:rsidRDefault="00385AEF" w:rsidP="00385AEF">
      <w:pPr>
        <w:spacing w:after="0" w:line="240" w:lineRule="auto"/>
        <w:rPr>
          <w:rFonts w:ascii="Times New Roman" w:hAnsi="Times New Roman"/>
          <w:b/>
          <w:u w:val="single"/>
        </w:rPr>
      </w:pPr>
      <w:r w:rsidRPr="00A00E4C">
        <w:rPr>
          <w:rFonts w:ascii="Times New Roman" w:hAnsi="Times New Roman"/>
          <w:highlight w:val="lightGray"/>
        </w:rPr>
        <w:t>NN:</w:t>
      </w:r>
      <w:r w:rsidRPr="00353EE7">
        <w:rPr>
          <w:rFonts w:ascii="Times New Roman" w:hAnsi="Times New Roman"/>
        </w:rPr>
        <w:t xml:space="preserv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rPr>
          <w:trHeight w:val="785"/>
        </w:trPr>
        <w:tc>
          <w:tcPr>
            <w:tcW w:w="9287" w:type="dxa"/>
            <w:tcBorders>
              <w:bottom w:val="single" w:sz="4" w:space="0" w:color="auto"/>
            </w:tcBorders>
          </w:tcPr>
          <w:p w:rsidR="00385AEF" w:rsidRPr="00353EE7" w:rsidRDefault="00385AEF" w:rsidP="00385AEF">
            <w:pPr>
              <w:spacing w:after="0" w:line="240" w:lineRule="auto"/>
              <w:rPr>
                <w:rFonts w:ascii="Times New Roman" w:hAnsi="Times New Roman"/>
                <w:b/>
              </w:rPr>
            </w:pPr>
            <w:r w:rsidRPr="00353EE7">
              <w:rPr>
                <w:rFonts w:ascii="Times New Roman" w:hAnsi="Times New Roman"/>
                <w:b/>
              </w:rPr>
              <w:lastRenderedPageBreak/>
              <w:t xml:space="preserve">MINIMALI </w:t>
            </w:r>
            <w:r w:rsidRPr="00353EE7">
              <w:rPr>
                <w:rFonts w:ascii="Times New Roman" w:hAnsi="Times New Roman"/>
                <w:b/>
                <w:caps/>
              </w:rPr>
              <w:t xml:space="preserve">informacija ant </w:t>
            </w:r>
            <w:r w:rsidRPr="00353EE7">
              <w:rPr>
                <w:rFonts w:ascii="Times New Roman" w:hAnsi="Times New Roman"/>
                <w:b/>
              </w:rPr>
              <w:t>LIZDINIŲ PLOKŠTELIŲ ARBA DVISLUOKSNIŲ JUOSTELIŲ</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LIZDINĖS PLOKŠTELĖS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1.</w:t>
            </w:r>
            <w:r w:rsidRPr="00353EE7">
              <w:rPr>
                <w:rFonts w:ascii="Times New Roman" w:hAnsi="Times New Roman"/>
                <w:b/>
              </w:rPr>
              <w:tab/>
            </w:r>
            <w:r w:rsidRPr="00353EE7">
              <w:rPr>
                <w:rFonts w:ascii="Times New Roman" w:hAnsi="Times New Roman"/>
                <w:b/>
                <w:caps/>
              </w:rPr>
              <w:t>Vaistinio preparato pavadinimas</w:t>
            </w:r>
          </w:p>
        </w:tc>
      </w:tr>
    </w:tbl>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Lamictal 200 mg kramtomosios ar disperguojamosios tabletės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Lamotriginum</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2.</w:t>
            </w:r>
            <w:r w:rsidRPr="00353EE7">
              <w:rPr>
                <w:rFonts w:ascii="Times New Roman" w:hAnsi="Times New Roman"/>
                <w:b/>
              </w:rPr>
              <w:tab/>
            </w:r>
            <w:r w:rsidRPr="00353EE7">
              <w:rPr>
                <w:rFonts w:ascii="Times New Roman" w:hAnsi="Times New Roman"/>
                <w:b/>
                <w:caps/>
              </w:rPr>
              <w:t>REGISTRUOTOJO pavadinimas</w:t>
            </w:r>
          </w:p>
        </w:tc>
      </w:tr>
    </w:tbl>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rPr>
        <w:t>GlaxoSmithKline</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3.</w:t>
            </w:r>
            <w:r w:rsidRPr="00353EE7">
              <w:rPr>
                <w:rFonts w:ascii="Times New Roman" w:hAnsi="Times New Roman"/>
                <w:b/>
              </w:rPr>
              <w:tab/>
            </w:r>
            <w:r w:rsidRPr="00353EE7">
              <w:rPr>
                <w:rFonts w:ascii="Times New Roman" w:hAnsi="Times New Roman"/>
                <w:b/>
                <w:caps/>
              </w:rPr>
              <w:t>tinkamumo laikas</w:t>
            </w: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EXP {mm MMMM}</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4.</w:t>
            </w:r>
            <w:r w:rsidRPr="00353EE7">
              <w:rPr>
                <w:rFonts w:ascii="Times New Roman" w:hAnsi="Times New Roman"/>
                <w:b/>
              </w:rPr>
              <w:tab/>
            </w:r>
            <w:r w:rsidRPr="00353EE7">
              <w:rPr>
                <w:rFonts w:ascii="Times New Roman" w:hAnsi="Times New Roman"/>
                <w:b/>
                <w:caps/>
              </w:rPr>
              <w:t>serijos numeris</w:t>
            </w:r>
          </w:p>
        </w:tc>
      </w:tr>
    </w:tbl>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r w:rsidRPr="00353EE7">
        <w:rPr>
          <w:rFonts w:ascii="Times New Roman" w:hAnsi="Times New Roman"/>
        </w:rPr>
        <w:t>Lot</w:t>
      </w:r>
    </w:p>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85AEF" w:rsidRPr="00591E78" w:rsidTr="00385AEF">
        <w:tc>
          <w:tcPr>
            <w:tcW w:w="9287" w:type="dxa"/>
          </w:tcPr>
          <w:p w:rsidR="00385AEF" w:rsidRPr="00353EE7" w:rsidRDefault="00385AEF" w:rsidP="00385AEF">
            <w:pPr>
              <w:tabs>
                <w:tab w:val="left" w:pos="142"/>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KITA</w:t>
            </w:r>
          </w:p>
        </w:tc>
      </w:tr>
    </w:tbl>
    <w:p w:rsidR="00385AEF" w:rsidRPr="00353EE7" w:rsidRDefault="00385AEF" w:rsidP="00385AEF">
      <w:pPr>
        <w:spacing w:after="0" w:line="240" w:lineRule="auto"/>
        <w:ind w:right="113"/>
        <w:rPr>
          <w:rFonts w:ascii="Times New Roman" w:hAnsi="Times New Roman"/>
        </w:rPr>
      </w:pPr>
    </w:p>
    <w:p w:rsidR="00385AEF" w:rsidRPr="00353EE7" w:rsidRDefault="00385AEF" w:rsidP="00385AEF">
      <w:pPr>
        <w:spacing w:after="0" w:line="240" w:lineRule="auto"/>
        <w:ind w:right="113"/>
        <w:rPr>
          <w:rFonts w:ascii="Times New Roman" w:hAnsi="Times New Roman"/>
        </w:rPr>
      </w:pPr>
    </w:p>
    <w:p w:rsidR="00385AEF" w:rsidRPr="00900317" w:rsidRDefault="00385AEF" w:rsidP="00385AEF">
      <w:pPr>
        <w:spacing w:after="0" w:line="240" w:lineRule="auto"/>
      </w:pPr>
    </w:p>
    <w:p w:rsidR="00385AEF" w:rsidRPr="00353EE7" w:rsidRDefault="00385AEF" w:rsidP="00385AEF">
      <w:pPr>
        <w:spacing w:after="0" w:line="240" w:lineRule="auto"/>
        <w:jc w:val="center"/>
        <w:outlineLvl w:val="0"/>
        <w:rPr>
          <w:rFonts w:ascii="Times New Roman" w:hAnsi="Times New Roman"/>
          <w:b/>
        </w:rPr>
      </w:pPr>
      <w:bookmarkStart w:id="43" w:name="_Toc129243128"/>
      <w:bookmarkStart w:id="44" w:name="_Toc129243253"/>
      <w:r w:rsidRPr="00353EE7">
        <w:rPr>
          <w:rFonts w:ascii="Times New Roman" w:hAnsi="Times New Roman"/>
        </w:rPr>
        <w:br w:type="page"/>
      </w:r>
      <w:bookmarkEnd w:id="43"/>
      <w:bookmarkEnd w:id="44"/>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B. PAKUOTĖS LAPELIS</w:t>
      </w:r>
    </w:p>
    <w:p w:rsidR="00385AEF" w:rsidRPr="00353EE7" w:rsidRDefault="00385AEF" w:rsidP="00385AEF">
      <w:pPr>
        <w:spacing w:after="0" w:line="240" w:lineRule="auto"/>
        <w:jc w:val="center"/>
        <w:outlineLvl w:val="0"/>
        <w:rPr>
          <w:rFonts w:ascii="Times New Roman" w:hAnsi="Times New Roman"/>
          <w:b/>
        </w:rPr>
      </w:pPr>
      <w:r w:rsidRPr="00353EE7">
        <w:rPr>
          <w:rFonts w:ascii="Times New Roman" w:hAnsi="Times New Roman"/>
          <w:b/>
        </w:rPr>
        <w:br w:type="page"/>
      </w:r>
      <w:r w:rsidRPr="00353EE7">
        <w:rPr>
          <w:rFonts w:ascii="Times New Roman" w:hAnsi="Times New Roman"/>
          <w:b/>
        </w:rPr>
        <w:lastRenderedPageBreak/>
        <w:t>Pakuotės lapelis: informacija vartotojui</w:t>
      </w:r>
    </w:p>
    <w:p w:rsidR="00385AEF" w:rsidRPr="00353EE7" w:rsidRDefault="00385AEF" w:rsidP="00385AEF">
      <w:pPr>
        <w:spacing w:after="0" w:line="240" w:lineRule="auto"/>
        <w:jc w:val="center"/>
        <w:outlineLvl w:val="0"/>
        <w:rPr>
          <w:rFonts w:ascii="Times New Roman" w:hAnsi="Times New Roman"/>
          <w:b/>
        </w:rPr>
      </w:pPr>
    </w:p>
    <w:p w:rsidR="00385AEF" w:rsidRPr="00353EE7" w:rsidRDefault="00385AEF" w:rsidP="00385AEF">
      <w:pPr>
        <w:autoSpaceDE w:val="0"/>
        <w:autoSpaceDN w:val="0"/>
        <w:adjustRightInd w:val="0"/>
        <w:spacing w:after="0" w:line="240" w:lineRule="auto"/>
        <w:jc w:val="center"/>
        <w:rPr>
          <w:rFonts w:ascii="Times New Roman" w:hAnsi="Times New Roman"/>
          <w:b/>
        </w:rPr>
      </w:pPr>
      <w:r w:rsidRPr="00353EE7">
        <w:rPr>
          <w:rFonts w:ascii="Times New Roman" w:hAnsi="Times New Roman"/>
          <w:b/>
        </w:rPr>
        <w:t>Lamictal 2 mg kramtomosios ar disperguojamosios tabletės</w:t>
      </w:r>
    </w:p>
    <w:p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5</w:t>
      </w:r>
      <w:r>
        <w:rPr>
          <w:rFonts w:ascii="Times New Roman" w:hAnsi="Times New Roman"/>
          <w:b/>
        </w:rPr>
        <w:t> </w:t>
      </w:r>
      <w:r w:rsidRPr="00353EE7">
        <w:rPr>
          <w:rFonts w:ascii="Times New Roman" w:hAnsi="Times New Roman"/>
          <w:b/>
        </w:rPr>
        <w:t>mg kramtomosios ar disperguojamosios tabletės</w:t>
      </w:r>
    </w:p>
    <w:p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25</w:t>
      </w:r>
      <w:r>
        <w:rPr>
          <w:rFonts w:ascii="Times New Roman" w:hAnsi="Times New Roman"/>
          <w:b/>
        </w:rPr>
        <w:t> </w:t>
      </w:r>
      <w:r w:rsidRPr="00353EE7">
        <w:rPr>
          <w:rFonts w:ascii="Times New Roman" w:hAnsi="Times New Roman"/>
          <w:b/>
        </w:rPr>
        <w:t>mg kramtomosios ar disperguojamosios tabletės</w:t>
      </w:r>
    </w:p>
    <w:p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50</w:t>
      </w:r>
      <w:r>
        <w:rPr>
          <w:rFonts w:ascii="Times New Roman" w:hAnsi="Times New Roman"/>
          <w:b/>
        </w:rPr>
        <w:t> </w:t>
      </w:r>
      <w:r w:rsidRPr="00353EE7">
        <w:rPr>
          <w:rFonts w:ascii="Times New Roman" w:hAnsi="Times New Roman"/>
          <w:b/>
        </w:rPr>
        <w:t>mg kramtomosios ar disperguojamosios tabletės</w:t>
      </w:r>
    </w:p>
    <w:p w:rsidR="00385AEF" w:rsidRPr="00353EE7" w:rsidRDefault="00385AEF" w:rsidP="00385AEF">
      <w:pPr>
        <w:spacing w:after="0" w:line="240" w:lineRule="auto"/>
        <w:jc w:val="center"/>
        <w:rPr>
          <w:rFonts w:ascii="Times New Roman" w:hAnsi="Times New Roman"/>
          <w:b/>
        </w:rPr>
      </w:pPr>
      <w:r w:rsidRPr="00353EE7">
        <w:rPr>
          <w:rFonts w:ascii="Times New Roman" w:hAnsi="Times New Roman"/>
          <w:b/>
        </w:rPr>
        <w:t>Lamictal 100</w:t>
      </w:r>
      <w:r>
        <w:rPr>
          <w:rFonts w:ascii="Times New Roman" w:hAnsi="Times New Roman"/>
          <w:b/>
        </w:rPr>
        <w:t> </w:t>
      </w:r>
      <w:r w:rsidRPr="00353EE7">
        <w:rPr>
          <w:rFonts w:ascii="Times New Roman" w:hAnsi="Times New Roman"/>
          <w:b/>
        </w:rPr>
        <w:t>mg kramtomosios ar disperguojamosios tabletės</w:t>
      </w:r>
    </w:p>
    <w:p w:rsidR="00385AEF" w:rsidRPr="00353EE7" w:rsidRDefault="00385AEF" w:rsidP="00385AEF">
      <w:pPr>
        <w:spacing w:after="0" w:line="240" w:lineRule="auto"/>
        <w:jc w:val="center"/>
        <w:rPr>
          <w:rFonts w:ascii="Times New Roman" w:hAnsi="Times New Roman"/>
        </w:rPr>
      </w:pPr>
      <w:r w:rsidRPr="00353EE7">
        <w:rPr>
          <w:rFonts w:ascii="Times New Roman" w:hAnsi="Times New Roman"/>
          <w:b/>
        </w:rPr>
        <w:t>Lamictal 200</w:t>
      </w:r>
      <w:r>
        <w:rPr>
          <w:rFonts w:ascii="Times New Roman" w:hAnsi="Times New Roman"/>
          <w:b/>
        </w:rPr>
        <w:t> </w:t>
      </w:r>
      <w:r w:rsidRPr="00353EE7">
        <w:rPr>
          <w:rFonts w:ascii="Times New Roman" w:hAnsi="Times New Roman"/>
          <w:b/>
        </w:rPr>
        <w:t>mg kramtomosios ar disperguojamosios tabletės</w:t>
      </w:r>
    </w:p>
    <w:p w:rsidR="00385AEF" w:rsidRPr="00353EE7" w:rsidRDefault="00385AEF" w:rsidP="00385AEF">
      <w:pPr>
        <w:numPr>
          <w:ilvl w:val="12"/>
          <w:numId w:val="0"/>
        </w:numPr>
        <w:spacing w:after="0" w:line="240" w:lineRule="auto"/>
        <w:jc w:val="center"/>
        <w:rPr>
          <w:rFonts w:ascii="Times New Roman" w:hAnsi="Times New Roman"/>
        </w:rPr>
      </w:pPr>
    </w:p>
    <w:p w:rsidR="00385AEF" w:rsidRPr="00353EE7" w:rsidRDefault="00385AEF" w:rsidP="00385AEF">
      <w:pPr>
        <w:numPr>
          <w:ilvl w:val="12"/>
          <w:numId w:val="0"/>
        </w:numPr>
        <w:spacing w:after="0" w:line="240" w:lineRule="auto"/>
        <w:jc w:val="center"/>
        <w:rPr>
          <w:rFonts w:ascii="Times New Roman" w:hAnsi="Times New Roman"/>
        </w:rPr>
      </w:pPr>
      <w:r w:rsidRPr="00353EE7">
        <w:rPr>
          <w:rFonts w:ascii="Times New Roman" w:hAnsi="Times New Roman"/>
        </w:rPr>
        <w:t>Lamotriginas</w:t>
      </w:r>
    </w:p>
    <w:p w:rsidR="00385AEF" w:rsidRPr="00353EE7" w:rsidRDefault="00385AEF" w:rsidP="00385AEF">
      <w:pPr>
        <w:spacing w:after="0" w:line="240" w:lineRule="auto"/>
        <w:jc w:val="center"/>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Atidžiai perskaitykite visą šį lapelį, prieš pradėdami vartoti vaistą, nes jame pateikiama Jums svarbi informacija.</w:t>
      </w:r>
    </w:p>
    <w:p w:rsidR="00385AEF" w:rsidRPr="00900317" w:rsidRDefault="00385AEF" w:rsidP="00385AEF">
      <w:pPr>
        <w:numPr>
          <w:ilvl w:val="0"/>
          <w:numId w:val="9"/>
        </w:numPr>
        <w:spacing w:after="0" w:line="240" w:lineRule="auto"/>
        <w:ind w:left="567" w:hanging="567"/>
        <w:contextualSpacing/>
      </w:pPr>
      <w:r w:rsidRPr="00900317">
        <w:rPr>
          <w:rFonts w:ascii="Times New Roman" w:hAnsi="Times New Roman"/>
        </w:rPr>
        <w:t>Neišmeskite šio lapelio, nes vėl gali prireikti jį perskaityti.</w:t>
      </w:r>
    </w:p>
    <w:p w:rsidR="00385AEF" w:rsidRPr="00900317" w:rsidRDefault="00385AEF" w:rsidP="00385AEF">
      <w:pPr>
        <w:numPr>
          <w:ilvl w:val="0"/>
          <w:numId w:val="9"/>
        </w:numPr>
        <w:spacing w:after="0" w:line="240" w:lineRule="auto"/>
        <w:ind w:left="567" w:hanging="567"/>
        <w:contextualSpacing/>
      </w:pPr>
      <w:r w:rsidRPr="00900317">
        <w:rPr>
          <w:rFonts w:ascii="Times New Roman" w:hAnsi="Times New Roman"/>
        </w:rPr>
        <w:t>Jeigu kiltų daugiau klausimų, kreipkitės į gydytoją arba vaistininką.</w:t>
      </w:r>
    </w:p>
    <w:p w:rsidR="00385AEF" w:rsidRPr="00900317" w:rsidRDefault="00385AEF" w:rsidP="00385AEF">
      <w:pPr>
        <w:numPr>
          <w:ilvl w:val="0"/>
          <w:numId w:val="9"/>
        </w:numPr>
        <w:spacing w:after="0" w:line="240" w:lineRule="auto"/>
        <w:ind w:left="567" w:hanging="567"/>
        <w:contextualSpacing/>
      </w:pPr>
      <w:r w:rsidRPr="00900317">
        <w:rPr>
          <w:rFonts w:ascii="Times New Roman" w:hAnsi="Times New Roman"/>
        </w:rPr>
        <w:t>Šis vaistas skirtas tik Jums, todėl kitiems žmonėms jo duoti negalima. Vaistas gali jiems pakenkti (net tiems, kurių ligos požymiai yra tokie patys kaip Jūsų).</w:t>
      </w:r>
    </w:p>
    <w:p w:rsidR="00385AEF" w:rsidRPr="00900317" w:rsidDel="00C940D3" w:rsidRDefault="00385AEF" w:rsidP="00385AEF">
      <w:pPr>
        <w:numPr>
          <w:ilvl w:val="0"/>
          <w:numId w:val="9"/>
        </w:numPr>
        <w:spacing w:after="0" w:line="240" w:lineRule="auto"/>
        <w:ind w:left="567" w:hanging="567"/>
        <w:contextualSpacing/>
      </w:pPr>
      <w:r w:rsidRPr="00900317">
        <w:rPr>
          <w:rFonts w:ascii="Times New Roman" w:hAnsi="Times New Roman"/>
        </w:rPr>
        <w:t>Jeigu pasireiškė šalutinis poveikis (net jeigu jis šiame lapelyje nenurodytas), kreipkitės į gydytoją arba vaistininką. Žr. 4 skyrių.</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Apie ką rašoma šiame lapelyje?</w:t>
      </w:r>
    </w:p>
    <w:p w:rsidR="00385AEF" w:rsidRPr="00353EE7" w:rsidRDefault="00385AEF" w:rsidP="00385AEF">
      <w:pPr>
        <w:spacing w:after="0" w:line="240" w:lineRule="auto"/>
        <w:ind w:left="567" w:hanging="567"/>
        <w:rPr>
          <w:rFonts w:ascii="Times New Roman" w:hAnsi="Times New Roman"/>
          <w:b/>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w:t>
      </w:r>
      <w:r w:rsidRPr="00353EE7">
        <w:rPr>
          <w:rFonts w:ascii="Times New Roman" w:hAnsi="Times New Roman"/>
        </w:rPr>
        <w:tab/>
        <w:t>Kas yra Lamictal ir kam jis vartojamas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w:t>
      </w:r>
      <w:r w:rsidRPr="00353EE7">
        <w:rPr>
          <w:rFonts w:ascii="Times New Roman" w:hAnsi="Times New Roman"/>
        </w:rPr>
        <w:tab/>
        <w:t>Kas žinotina prieš vartojant Lamictal</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3.</w:t>
      </w:r>
      <w:r w:rsidRPr="00353EE7">
        <w:rPr>
          <w:rFonts w:ascii="Times New Roman" w:hAnsi="Times New Roman"/>
        </w:rPr>
        <w:tab/>
        <w:t>Kaip vartoti Lamictal</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4.</w:t>
      </w:r>
      <w:r w:rsidRPr="00353EE7">
        <w:rPr>
          <w:rFonts w:ascii="Times New Roman" w:hAnsi="Times New Roman"/>
        </w:rPr>
        <w:tab/>
        <w:t>Galimas šalutinis poveikis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w:t>
      </w:r>
      <w:r w:rsidRPr="00353EE7">
        <w:rPr>
          <w:rFonts w:ascii="Times New Roman" w:hAnsi="Times New Roman"/>
        </w:rPr>
        <w:tab/>
        <w:t>Kaip laikyti Lamictal</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6.</w:t>
      </w:r>
      <w:r w:rsidRPr="00353EE7">
        <w:rPr>
          <w:rFonts w:ascii="Times New Roman" w:hAnsi="Times New Roman"/>
        </w:rPr>
        <w:tab/>
        <w:t>Pakuotės turinys ir kita informacija</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1.</w:t>
      </w:r>
      <w:r w:rsidRPr="00353EE7">
        <w:rPr>
          <w:rFonts w:ascii="Times New Roman" w:hAnsi="Times New Roman"/>
          <w:b/>
        </w:rPr>
        <w:tab/>
        <w:t>Kas yra Lamictal ir kam jis vartojamas</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Lamictal priklauso vaistų, vadinamų </w:t>
      </w:r>
      <w:r w:rsidRPr="00353EE7">
        <w:rPr>
          <w:rFonts w:ascii="Times New Roman" w:hAnsi="Times New Roman"/>
          <w:i/>
        </w:rPr>
        <w:t>antiepilepsiniais preparatais</w:t>
      </w:r>
      <w:r w:rsidRPr="00353EE7">
        <w:rPr>
          <w:rFonts w:ascii="Times New Roman" w:hAnsi="Times New Roman"/>
        </w:rPr>
        <w:t xml:space="preserve">, grupei. Šiuo vaistu gydomos dvi ligos: </w:t>
      </w:r>
      <w:r w:rsidRPr="00353EE7">
        <w:rPr>
          <w:rFonts w:ascii="Times New Roman" w:hAnsi="Times New Roman"/>
          <w:b/>
        </w:rPr>
        <w:t>epilepsija</w:t>
      </w:r>
      <w:r w:rsidRPr="00353EE7">
        <w:rPr>
          <w:rFonts w:ascii="Times New Roman" w:hAnsi="Times New Roman"/>
        </w:rPr>
        <w:t xml:space="preserve"> ir </w:t>
      </w:r>
      <w:r w:rsidRPr="00353EE7">
        <w:rPr>
          <w:rFonts w:ascii="Times New Roman" w:hAnsi="Times New Roman"/>
          <w:b/>
        </w:rPr>
        <w:t>bipolinis sutrikimas</w:t>
      </w:r>
      <w:r w:rsidRPr="00353EE7">
        <w:rPr>
          <w:rFonts w:ascii="Times New Roman" w:hAnsi="Times New Roman"/>
        </w:rPr>
        <w:t>.</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b/>
        </w:rPr>
        <w:t>Lamictal gydoma epilepsija</w:t>
      </w:r>
      <w:r w:rsidRPr="00353EE7">
        <w:rPr>
          <w:rFonts w:ascii="Times New Roman" w:hAnsi="Times New Roman"/>
        </w:rPr>
        <w:t xml:space="preserve"> (smegenyse blokuojami impulsai, dėl kurių pasireiškia epilepsijos priepuoliai (traukuliai)).</w:t>
      </w:r>
    </w:p>
    <w:p w:rsidR="00385AEF" w:rsidRPr="00353EE7" w:rsidRDefault="00385AEF" w:rsidP="00385AEF">
      <w:pPr>
        <w:numPr>
          <w:ilvl w:val="0"/>
          <w:numId w:val="8"/>
        </w:numPr>
        <w:spacing w:after="0" w:line="240" w:lineRule="auto"/>
        <w:rPr>
          <w:rFonts w:ascii="Times New Roman" w:hAnsi="Times New Roman"/>
        </w:rPr>
      </w:pPr>
      <w:r w:rsidRPr="00353EE7">
        <w:rPr>
          <w:rFonts w:ascii="Times New Roman" w:hAnsi="Times New Roman"/>
        </w:rPr>
        <w:t>Suaugusiuosius bei 13 metų ir vyresnius paauglius galima gydyti vienu Lamictal arba šį vaistą vartoti kartu su kitais vaistais nuo epilepsijos. Lamictal galima vartoti kartu su kitais vaistais priepuoliams, kuriuos sukelia sutrikimas, vadinamas Lenokso-Gasto (</w:t>
      </w:r>
      <w:r w:rsidRPr="00353EE7">
        <w:rPr>
          <w:rFonts w:ascii="Times New Roman" w:hAnsi="Times New Roman"/>
          <w:i/>
        </w:rPr>
        <w:t>Lennox-Gastaut</w:t>
      </w:r>
      <w:r w:rsidRPr="00353EE7">
        <w:rPr>
          <w:rFonts w:ascii="Times New Roman" w:hAnsi="Times New Roman"/>
        </w:rPr>
        <w:t>) sindromu, gydyti.</w:t>
      </w:r>
    </w:p>
    <w:p w:rsidR="00385AEF" w:rsidRPr="00353EE7" w:rsidRDefault="00385AEF" w:rsidP="00385AEF">
      <w:pPr>
        <w:numPr>
          <w:ilvl w:val="0"/>
          <w:numId w:val="8"/>
        </w:numPr>
        <w:tabs>
          <w:tab w:val="num" w:pos="540"/>
        </w:tabs>
        <w:spacing w:after="0" w:line="240" w:lineRule="auto"/>
        <w:ind w:left="540" w:hanging="540"/>
        <w:rPr>
          <w:rFonts w:ascii="Times New Roman" w:hAnsi="Times New Roman"/>
        </w:rPr>
      </w:pPr>
      <w:r w:rsidRPr="00353EE7">
        <w:rPr>
          <w:rFonts w:ascii="Times New Roman" w:hAnsi="Times New Roman"/>
        </w:rPr>
        <w:t>2</w:t>
      </w:r>
      <w:r w:rsidRPr="00353EE7">
        <w:rPr>
          <w:rFonts w:ascii="Times New Roman" w:hAnsi="Times New Roman"/>
        </w:rPr>
        <w:noBreakHyphen/>
        <w:t>12 metų vaikams Lamictal galima vartoti kartu su kitais vaistais šiems sutrikimams gydyti. Vien šiuo vaistu galima gydyti epilepsiją, kuriai būdingi absansų tipo priepuoliai.</w:t>
      </w:r>
    </w:p>
    <w:p w:rsidR="00385AEF" w:rsidRPr="00353EE7" w:rsidRDefault="00385AEF" w:rsidP="00385AEF">
      <w:pPr>
        <w:numPr>
          <w:ilvl w:val="12"/>
          <w:numId w:val="0"/>
        </w:numPr>
        <w:tabs>
          <w:tab w:val="num" w:pos="540"/>
        </w:tabs>
        <w:spacing w:after="0" w:line="240" w:lineRule="auto"/>
        <w:rPr>
          <w:rFonts w:ascii="Times New Roman" w:hAnsi="Times New Roman"/>
          <w:b/>
        </w:rPr>
      </w:pPr>
    </w:p>
    <w:p w:rsidR="00385AEF" w:rsidRPr="00353EE7" w:rsidRDefault="00385AEF" w:rsidP="00385AEF">
      <w:pPr>
        <w:numPr>
          <w:ilvl w:val="12"/>
          <w:numId w:val="0"/>
        </w:numPr>
        <w:tabs>
          <w:tab w:val="num" w:pos="540"/>
        </w:tabs>
        <w:spacing w:after="0" w:line="240" w:lineRule="auto"/>
        <w:rPr>
          <w:rFonts w:ascii="Times New Roman" w:hAnsi="Times New Roman"/>
          <w:b/>
        </w:rPr>
      </w:pPr>
      <w:r w:rsidRPr="00353EE7">
        <w:rPr>
          <w:rFonts w:ascii="Times New Roman" w:hAnsi="Times New Roman"/>
          <w:b/>
        </w:rPr>
        <w:t>Lamictal gydomas ir bipolinis sutrikimas.</w:t>
      </w:r>
    </w:p>
    <w:p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Žmonėms, kurie serga bipoliniu sutrikimu (kartais vadinamu </w:t>
      </w:r>
      <w:r w:rsidRPr="00353EE7">
        <w:rPr>
          <w:rFonts w:ascii="Times New Roman" w:hAnsi="Times New Roman"/>
          <w:i/>
        </w:rPr>
        <w:t>maniakine depresija</w:t>
      </w:r>
      <w:r w:rsidRPr="00353EE7">
        <w:rPr>
          <w:rFonts w:ascii="Times New Roman" w:hAnsi="Times New Roman"/>
        </w:rPr>
        <w:t>), pasireiškia didelė nuotaikų kaita, kai manijos (susijaudinimo ar pernelyg pakilios nuotaikos) epizodus keičia depresijos (gilaus liūdesio ar sielvarto) epizodai. 18 metų ir vyresnius suaugusiuosius galima gydyti vienu Lamictal arba šį vaistą vartoti kartu su kitais vaistais depresijos epizodų, kurie pasireiškia sergant bipoliniu sutrikimu, profilaktikai. Kaip Lamictal smegenyse sukelia šį poveikį, iki šiol nenustatyta.</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keepNext/>
        <w:numPr>
          <w:ilvl w:val="12"/>
          <w:numId w:val="0"/>
        </w:numPr>
        <w:spacing w:after="0" w:line="240" w:lineRule="auto"/>
        <w:ind w:left="567" w:hanging="567"/>
        <w:outlineLvl w:val="0"/>
        <w:rPr>
          <w:rFonts w:ascii="Times New Roman" w:hAnsi="Times New Roman"/>
          <w:b/>
          <w:caps/>
        </w:rPr>
      </w:pPr>
      <w:r w:rsidRPr="00353EE7">
        <w:rPr>
          <w:rFonts w:ascii="Times New Roman" w:hAnsi="Times New Roman"/>
          <w:b/>
        </w:rPr>
        <w:lastRenderedPageBreak/>
        <w:t>2.</w:t>
      </w:r>
      <w:r w:rsidRPr="00353EE7">
        <w:rPr>
          <w:rFonts w:ascii="Times New Roman" w:hAnsi="Times New Roman"/>
          <w:b/>
        </w:rPr>
        <w:tab/>
        <w:t>Kas žinotina prieš vartojant Lamictal</w:t>
      </w:r>
    </w:p>
    <w:p w:rsidR="00385AEF" w:rsidRPr="00353EE7" w:rsidRDefault="00385AEF" w:rsidP="00385AEF">
      <w:pPr>
        <w:keepNext/>
        <w:spacing w:after="0" w:line="240" w:lineRule="auto"/>
        <w:ind w:left="567" w:hanging="567"/>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b/>
          <w:caps/>
        </w:rPr>
      </w:pPr>
      <w:r w:rsidRPr="00353EE7">
        <w:rPr>
          <w:rFonts w:ascii="Times New Roman" w:hAnsi="Times New Roman"/>
          <w:b/>
        </w:rPr>
        <w:t>Lamictal vartoti negalima</w:t>
      </w:r>
    </w:p>
    <w:p w:rsidR="00385AEF" w:rsidRPr="00353EE7" w:rsidRDefault="00385AEF" w:rsidP="00385AEF">
      <w:pPr>
        <w:keepNext/>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yra alergija</w:t>
      </w:r>
      <w:r w:rsidRPr="00353EE7">
        <w:rPr>
          <w:rFonts w:ascii="Times New Roman" w:hAnsi="Times New Roman"/>
        </w:rPr>
        <w:t xml:space="preserve"> (</w:t>
      </w:r>
      <w:r w:rsidRPr="00353EE7">
        <w:rPr>
          <w:rFonts w:ascii="Times New Roman" w:hAnsi="Times New Roman"/>
          <w:i/>
        </w:rPr>
        <w:t>padidėjęs jautrumas</w:t>
      </w:r>
      <w:r w:rsidRPr="00353EE7">
        <w:rPr>
          <w:rFonts w:ascii="Times New Roman" w:hAnsi="Times New Roman"/>
        </w:rPr>
        <w:t>) lamotriginui arba bet kuriai pagalbinei Lamictal medžiagai (jos išvardytos 6 skyriuje).</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Jeigu Jums yra toks padidėjęs jautrumas,</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ir nevartokite Lamictal.</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CA62FB">
        <w:rPr>
          <w:rFonts w:ascii="Times New Roman" w:hAnsi="Times New Roman"/>
          <w:b/>
        </w:rPr>
        <w:t>Įspėjimai ir atsargumo priemonės</w:t>
      </w: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Pasitarkite su gydytoju prieš pradėdami vartoti Lamictal:</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jeigu yra sutrikusi inkstų funkcija;</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anksčiau </w:t>
      </w:r>
      <w:r w:rsidRPr="00353EE7">
        <w:rPr>
          <w:rFonts w:ascii="Times New Roman" w:hAnsi="Times New Roman"/>
        </w:rPr>
        <w:t xml:space="preserve">pavartojus lamotrigino arba kitokių vaistų nuo bipolinio sutrikimo ar epilepsijos, </w:t>
      </w:r>
      <w:r w:rsidRPr="00353EE7">
        <w:rPr>
          <w:rFonts w:ascii="Times New Roman" w:hAnsi="Times New Roman"/>
          <w:b/>
        </w:rPr>
        <w:t>atsirado išbėrimas;</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kada nors po lamotrigino pavartojimo buvo pasireiškęs meningitas </w:t>
      </w:r>
      <w:r w:rsidRPr="00353EE7">
        <w:rPr>
          <w:rFonts w:ascii="Times New Roman" w:hAnsi="Times New Roman"/>
          <w:i/>
        </w:rPr>
        <w:t>(simptomų aprašymą žr. 4 šio lapelio skyriuje skyrelyje ,,Retas šalutinis poveikis“)</w:t>
      </w:r>
      <w:r w:rsidRPr="00353EE7">
        <w:rPr>
          <w:rFonts w:ascii="Times New Roman" w:hAnsi="Times New Roman"/>
        </w:rPr>
        <w:t>;</w:t>
      </w:r>
    </w:p>
    <w:p w:rsidR="00385AEF"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vartojate vaistų, kurių sudėtyje yra lamotrigino</w:t>
      </w:r>
      <w:r>
        <w:rPr>
          <w:rFonts w:ascii="Times New Roman" w:hAnsi="Times New Roman"/>
          <w:b/>
        </w:rPr>
        <w:t>;</w:t>
      </w:r>
    </w:p>
    <w:p w:rsidR="00385AEF" w:rsidRPr="00A87710" w:rsidRDefault="00385AEF" w:rsidP="00385AEF">
      <w:pPr>
        <w:numPr>
          <w:ilvl w:val="0"/>
          <w:numId w:val="3"/>
        </w:numPr>
        <w:tabs>
          <w:tab w:val="num" w:pos="540"/>
        </w:tabs>
        <w:spacing w:after="0" w:line="240" w:lineRule="auto"/>
        <w:ind w:left="540" w:hanging="540"/>
        <w:rPr>
          <w:rFonts w:ascii="Times New Roman" w:hAnsi="Times New Roman"/>
        </w:rPr>
      </w:pPr>
      <w:r w:rsidRPr="00EA7523">
        <w:rPr>
          <w:rFonts w:ascii="Times New Roman" w:hAnsi="Times New Roman"/>
          <w:b/>
        </w:rPr>
        <w:t>jeigu Jums diagnozuotas sutrikimas, vadinamas Brugada sindromu</w:t>
      </w:r>
      <w:r>
        <w:rPr>
          <w:rFonts w:ascii="Times New Roman" w:hAnsi="Times New Roman"/>
        </w:rPr>
        <w:t xml:space="preserve">. </w:t>
      </w:r>
      <w:r w:rsidRPr="00A87710">
        <w:rPr>
          <w:rFonts w:ascii="Times New Roman" w:hAnsi="Times New Roman"/>
        </w:rPr>
        <w:t xml:space="preserve">Brugada sindromas yra genetinė liga, dėl kurios pasireiškia elektrinio aktyvumo širdyje sutrikimas. Lamotrigino vartojimas gali sukelti EKG sutrikimą, susijusį su širdies aritmijomis (širdies plakimo sutrikimu).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Jeigu tai, kas išvardyta</w:t>
      </w:r>
      <w:r>
        <w:rPr>
          <w:rFonts w:ascii="Times New Roman" w:hAnsi="Times New Roman"/>
        </w:rPr>
        <w:t>,</w:t>
      </w:r>
      <w:r w:rsidRPr="00353EE7">
        <w:rPr>
          <w:rFonts w:ascii="Times New Roman" w:hAnsi="Times New Roman"/>
        </w:rPr>
        <w:t xml:space="preserve"> tinka Jums,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gali skirti vartoti mažesnę dozę arba nuspręsti, kad Lamictal Jums netinka.</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Svarbi informacija apie galimas gyvybei pavojingas reakcijas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Mažai daliai Lamictal vartojančių žmonių pasireiškė alerginė reakcija arba odos reakcija, kuri gali būti pavojinga gyvybei ir kurios negydant, gali atsirasti dar sunkesnių sutrikimų. Tokios reakcijos yra Stivenso – Džonsono </w:t>
      </w:r>
      <w:r w:rsidRPr="00353EE7">
        <w:rPr>
          <w:rFonts w:ascii="Times New Roman" w:hAnsi="Times New Roman"/>
          <w:i/>
        </w:rPr>
        <w:t>(Stevens-Johnson)</w:t>
      </w:r>
      <w:r w:rsidRPr="00353EE7">
        <w:rPr>
          <w:rFonts w:ascii="Times New Roman" w:hAnsi="Times New Roman"/>
        </w:rPr>
        <w:t xml:space="preserve"> sindromas (SJS), toksinė epidermio nekrolizė (TEN) ir reakcija į vaistą, pasireiškianti kartu su eozinofilija ir sisteminiais simptomais (RVESS). Turite žinoti simptomus, į kuriuos reikia atkreipti dėmesį, vartojant Lamictal.</w:t>
      </w:r>
    </w:p>
    <w:p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 xml:space="preserve">Perskaitykite šių simptomų aprašymą 4 šio lapelio skyriuje </w:t>
      </w:r>
      <w:r w:rsidRPr="00353EE7">
        <w:rPr>
          <w:rFonts w:ascii="Times New Roman" w:hAnsi="Times New Roman"/>
        </w:rPr>
        <w:t>skyrelyje ,,</w:t>
      </w:r>
      <w:r w:rsidRPr="00353EE7">
        <w:rPr>
          <w:rFonts w:ascii="Times New Roman" w:hAnsi="Times New Roman"/>
          <w:i/>
        </w:rPr>
        <w:t>Reakcijos, kurios gali būti pavojingos gyvybei: iš karto kreipkitės pagalbos į gydytoją</w:t>
      </w:r>
      <w:r w:rsidRPr="00353EE7">
        <w:rPr>
          <w:rFonts w:ascii="Times New Roman" w:hAnsi="Times New Roman"/>
        </w:rPr>
        <w:t>“.</w:t>
      </w:r>
    </w:p>
    <w:p w:rsidR="00385AEF" w:rsidRPr="00C22934" w:rsidRDefault="00385AEF" w:rsidP="00385AEF">
      <w:pPr>
        <w:spacing w:after="0" w:line="240" w:lineRule="auto"/>
        <w:jc w:val="both"/>
        <w:rPr>
          <w:rFonts w:ascii="Times New Roman" w:hAnsi="Times New Roman"/>
          <w:b/>
        </w:rPr>
      </w:pPr>
    </w:p>
    <w:p w:rsidR="00385AEF" w:rsidRPr="00EA7523" w:rsidRDefault="00385AEF" w:rsidP="00385AEF">
      <w:pPr>
        <w:spacing w:after="0" w:line="240" w:lineRule="auto"/>
        <w:jc w:val="both"/>
        <w:rPr>
          <w:rFonts w:ascii="Times New Roman" w:hAnsi="Times New Roman"/>
          <w:b/>
        </w:rPr>
      </w:pPr>
      <w:r w:rsidRPr="00EA7523">
        <w:rPr>
          <w:rFonts w:ascii="Times New Roman" w:hAnsi="Times New Roman"/>
          <w:b/>
        </w:rPr>
        <w:t>Hemofagocitinė limfohistiocitozė (HLH)</w:t>
      </w:r>
    </w:p>
    <w:p w:rsidR="00385AEF" w:rsidRDefault="00385AEF" w:rsidP="00385AEF">
      <w:pPr>
        <w:spacing w:after="0" w:line="240" w:lineRule="auto"/>
        <w:jc w:val="both"/>
        <w:rPr>
          <w:rFonts w:ascii="Times New Roman" w:hAnsi="Times New Roman"/>
        </w:rPr>
      </w:pPr>
      <w:r w:rsidRPr="003A2C2E">
        <w:rPr>
          <w:rFonts w:ascii="Times New Roman" w:hAnsi="Times New Roman"/>
        </w:rPr>
        <w:t xml:space="preserve">Gauta pranešimų apie retą, bet labai sunkią imuninės sistemos reakciją, pasireiškusią lamotriginą vartojantiems pacientams. </w:t>
      </w:r>
    </w:p>
    <w:p w:rsidR="00385AEF" w:rsidRPr="003A2C2E" w:rsidRDefault="00385AEF" w:rsidP="00385AEF">
      <w:pPr>
        <w:pStyle w:val="Sraopastraipa"/>
        <w:numPr>
          <w:ilvl w:val="0"/>
          <w:numId w:val="18"/>
        </w:numPr>
        <w:ind w:hanging="720"/>
        <w:jc w:val="both"/>
      </w:pPr>
      <w:r w:rsidRPr="003A2C2E">
        <w:t xml:space="preserve">Jeigu vartojant lamotriginą, Jums pasireiškia bet kuris iš toliau nurodytų simptomų, </w:t>
      </w:r>
      <w:r w:rsidRPr="00EA7523">
        <w:rPr>
          <w:b/>
        </w:rPr>
        <w:t>nedelsdami kreipkitės į gydytoją arba vaistininką</w:t>
      </w:r>
      <w:r w:rsidRPr="003A2C2E">
        <w:t>: karščiavimas, bėrimas, neurologiniai simptomai (pvz.: drebėjimas ar tremoras, sumišimo būsena, galvos smegenų veiklos sutrikimai).</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spacing w:after="0" w:line="240" w:lineRule="auto"/>
        <w:jc w:val="both"/>
        <w:rPr>
          <w:rFonts w:ascii="Times New Roman" w:hAnsi="Times New Roman"/>
          <w:b/>
        </w:rPr>
      </w:pPr>
      <w:r w:rsidRPr="00353EE7">
        <w:rPr>
          <w:rFonts w:ascii="Times New Roman" w:hAnsi="Times New Roman"/>
          <w:b/>
        </w:rPr>
        <w:t>Mintys apie savęs žalojimą ar savižudybę</w:t>
      </w:r>
    </w:p>
    <w:p w:rsidR="00385AEF" w:rsidRPr="00353EE7" w:rsidRDefault="00385AEF" w:rsidP="00385AEF">
      <w:pPr>
        <w:spacing w:after="0" w:line="240" w:lineRule="auto"/>
        <w:rPr>
          <w:rFonts w:ascii="Times New Roman" w:hAnsi="Times New Roman"/>
        </w:rPr>
      </w:pPr>
      <w:r w:rsidRPr="00353EE7">
        <w:rPr>
          <w:rFonts w:ascii="Times New Roman" w:hAnsi="Times New Roman"/>
        </w:rPr>
        <w:t>Antiepilepsiniai vaistai vartojami kelioms būklėms gydyti, įskaitant epilepsiją ir bipolinį sutrikimą. Žmonės, kurie serga bipoliniu sutrikimu, kartais gali mąstyti apie savęs žalojimą ar savižudybę. Jeigu sergate bipoliniu sutrikimu, tokių minčių tikimybė yra didesnė šiais atvejais:</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gydymo pradžioje;</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anksčiau buvo kilę minčių apie savęs žalojimą arba savižudybę;</w:t>
      </w:r>
    </w:p>
    <w:p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esate jaunesnis kaip 25 metų.</w:t>
      </w:r>
    </w:p>
    <w:p w:rsidR="00385AEF" w:rsidRPr="00353EE7" w:rsidRDefault="00385AEF" w:rsidP="00385AEF">
      <w:pPr>
        <w:spacing w:after="0" w:line="240" w:lineRule="auto"/>
        <w:rPr>
          <w:rFonts w:ascii="Times New Roman" w:hAnsi="Times New Roman"/>
        </w:rPr>
      </w:pPr>
      <w:r w:rsidRPr="00353EE7">
        <w:rPr>
          <w:rFonts w:ascii="Times New Roman" w:hAnsi="Times New Roman"/>
        </w:rPr>
        <w:t>Jeigu kyla kankinančių minčių ar išgyvenimų, arba pastebėjote, kad vartojant Lamictal, Jūsų būklė pasunkėjo arba atsirado naujų simptomų,</w:t>
      </w:r>
    </w:p>
    <w:p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pagalbos į gydytoją arba vykite į artimiausią ligoninę</w:t>
      </w:r>
      <w:r w:rsidRPr="00353EE7">
        <w:rPr>
          <w:rFonts w:ascii="Times New Roman" w:hAnsi="Times New Roman"/>
        </w:rPr>
        <w:t>.</w:t>
      </w:r>
    </w:p>
    <w:p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Jums gali būti naudinga pasakyti šeimos nariams, Jus prižiūrintiems asmenims arba draugams, kad Jus gali apimti depresija arba gali reikšmingai pakisti Jūsų nuotaika, ir paprašyti jų, kad perskaitytų šį pakuotės lapelį. Galite paprašyti jų, kad Jus perspėtų, jeigu sunerimtų dėl Jus apėmusios depresijos ar kitokių Jūsų elgesio pokyčių.</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lastRenderedPageBreak/>
        <w:t xml:space="preserve">Mažai daliai žmonių, gydytų antiepilepsiniais vaistais, pvz., Lamictal, taip pat buvo kilę minčių apie savęs žalojimą arba savižudybę. Jeigu bet kuriuo metu Jums kilo tokių minčių, nedelsdami kreipkitės į gydytoją. </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Jeigu vartojate Lamictal nuo epilepsijos</w:t>
      </w:r>
    </w:p>
    <w:p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Vartojant Lamictal, pavieniais atvejais kai kurios rūšies epilepsijos priepuoliai gali pasunkėti arba pasireikšti dažniau. Kai kuriems pacientams gali pasireikšti sunkių priepuolių ir dėl to kilti sunkių sveikatos sutrikimų. Jeigu vartojant Lamictal, priepuoliai padažnėja arba patiriate sunkų priepuolį,</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į gydytoją</w:t>
      </w:r>
      <w:r w:rsidRPr="00353EE7">
        <w:rPr>
          <w:rFonts w:ascii="Times New Roman" w:hAnsi="Times New Roman"/>
        </w:rPr>
        <w:t>.</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b/>
        </w:rPr>
        <w:t>Jaunesniems kaip 18 metų pacientams, sergantiems bipoliniu sutrikimu, vartoti Lamictal negalima</w:t>
      </w:r>
      <w:r w:rsidRPr="00353EE7">
        <w:rPr>
          <w:rFonts w:ascii="Times New Roman" w:hAnsi="Times New Roman"/>
        </w:rPr>
        <w:t>. Vaistai nuo depresijos ir kitų psichikos sutrikimų didina minčių apie savižudybę ir savižudiško elgesio riziką vaikams ir jaunesniems kaip 18 metų paaugliams.</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 xml:space="preserve">Kiti vaistai ir Lamictal </w:t>
      </w:r>
    </w:p>
    <w:p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Jeigu vartojate ar neseniai vartojote kitų vaistų, ar ketinate pradėti vartoti kitų vaistų, </w:t>
      </w:r>
      <w:r w:rsidRPr="00353EE7">
        <w:rPr>
          <w:rFonts w:ascii="Times New Roman" w:hAnsi="Times New Roman"/>
        </w:rPr>
        <w:t>įskaitant įsigytus be recepto</w:t>
      </w:r>
      <w:r w:rsidRPr="00353EE7">
        <w:rPr>
          <w:rFonts w:ascii="Times New Roman" w:hAnsi="Times New Roman"/>
          <w:b/>
        </w:rPr>
        <w:t xml:space="preserve"> </w:t>
      </w:r>
      <w:r w:rsidRPr="00353EE7">
        <w:rPr>
          <w:rFonts w:ascii="Times New Roman" w:hAnsi="Times New Roman"/>
        </w:rPr>
        <w:t>ir vaistažolių preparatus,</w:t>
      </w:r>
      <w:r w:rsidRPr="00353EE7">
        <w:rPr>
          <w:rFonts w:ascii="Times New Roman" w:hAnsi="Times New Roman"/>
          <w:b/>
        </w:rPr>
        <w:t xml:space="preserve"> pasakykite gydytojui arba vaistininkui.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Gydytojas turi žinoti, jeigu vartojate kitų vaistų epilepsijai ar psichinės sveikatos sutrikimams gydyti. Tai padaryti reikia dėl to, kad būtų nustatyta, ar vartojate tinkamą Lamictal dozę. Tokie vaistai yra:</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okskarbazepinas, felbamatas, gabapentinas, levetiracetamas, pregabalinas, topiramatas </w:t>
      </w:r>
      <w:r w:rsidRPr="00353EE7">
        <w:rPr>
          <w:rFonts w:ascii="Times New Roman" w:hAnsi="Times New Roman"/>
        </w:rPr>
        <w:t xml:space="preserve">ar </w:t>
      </w:r>
      <w:r w:rsidRPr="00353EE7">
        <w:rPr>
          <w:rFonts w:ascii="Times New Roman" w:hAnsi="Times New Roman"/>
          <w:b/>
        </w:rPr>
        <w:t xml:space="preserve">zonizamidas,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ličio preparatai,</w:t>
      </w:r>
      <w:r w:rsidRPr="00353EE7">
        <w:rPr>
          <w:rFonts w:ascii="Times New Roman" w:hAnsi="Times New Roman"/>
        </w:rPr>
        <w:t xml:space="preserve"> </w:t>
      </w:r>
      <w:r w:rsidRPr="00353EE7">
        <w:rPr>
          <w:rFonts w:ascii="Times New Roman" w:hAnsi="Times New Roman"/>
          <w:b/>
        </w:rPr>
        <w:t xml:space="preserve">olanzapinas </w:t>
      </w:r>
      <w:r w:rsidRPr="00353EE7">
        <w:rPr>
          <w:rFonts w:ascii="Times New Roman" w:hAnsi="Times New Roman"/>
        </w:rPr>
        <w:t xml:space="preserve">ar </w:t>
      </w:r>
      <w:r w:rsidRPr="00353EE7">
        <w:rPr>
          <w:rFonts w:ascii="Times New Roman" w:hAnsi="Times New Roman"/>
          <w:b/>
        </w:rPr>
        <w:t xml:space="preserve">aripiprazolas, </w:t>
      </w:r>
      <w:r w:rsidRPr="00353EE7">
        <w:rPr>
          <w:rFonts w:ascii="Times New Roman" w:hAnsi="Times New Roman"/>
        </w:rPr>
        <w:t xml:space="preserve">kuriais gydomi </w:t>
      </w:r>
      <w:r w:rsidRPr="00353EE7">
        <w:rPr>
          <w:rFonts w:ascii="Times New Roman" w:hAnsi="Times New Roman"/>
          <w:b/>
        </w:rPr>
        <w:t>psichikos sutrikimai</w:t>
      </w:r>
      <w:r w:rsidRPr="00353EE7">
        <w:rPr>
          <w:rFonts w:ascii="Times New Roman" w:hAnsi="Times New Roman"/>
        </w:rPr>
        <w:t>;</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bupropionas, </w:t>
      </w:r>
      <w:r w:rsidRPr="00353EE7">
        <w:rPr>
          <w:rFonts w:ascii="Times New Roman" w:hAnsi="Times New Roman"/>
        </w:rPr>
        <w:t xml:space="preserve">kuriuo gydomi </w:t>
      </w:r>
      <w:r w:rsidRPr="00353EE7">
        <w:rPr>
          <w:rFonts w:ascii="Times New Roman" w:hAnsi="Times New Roman"/>
          <w:b/>
        </w:rPr>
        <w:t xml:space="preserve">psichikos sutrikimai </w:t>
      </w:r>
      <w:r w:rsidRPr="00353EE7">
        <w:rPr>
          <w:rFonts w:ascii="Times New Roman" w:hAnsi="Times New Roman"/>
        </w:rPr>
        <w:t>ar</w:t>
      </w:r>
      <w:r w:rsidRPr="00353EE7">
        <w:rPr>
          <w:rFonts w:ascii="Times New Roman" w:hAnsi="Times New Roman"/>
          <w:b/>
        </w:rPr>
        <w:t xml:space="preserve"> vartojamas metant rūkyti.</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jeigu vartojate bet kurį iš išvardytų vaistų.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Kai kurie vaistai sąveikauja su Lamictal arba dažnina šio vaisto šalutinį poveikį. Tokie vaistai yra:</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valproatas,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karbamazepinas,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fenitoinas, primidonas </w:t>
      </w:r>
      <w:r w:rsidRPr="00353EE7">
        <w:rPr>
          <w:rFonts w:ascii="Times New Roman" w:hAnsi="Times New Roman"/>
        </w:rPr>
        <w:t>ar</w:t>
      </w:r>
      <w:r w:rsidRPr="00353EE7">
        <w:rPr>
          <w:rFonts w:ascii="Times New Roman" w:hAnsi="Times New Roman"/>
          <w:b/>
        </w:rPr>
        <w:t xml:space="preserve"> fenobarbitalis,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risperidonas, </w:t>
      </w:r>
      <w:r w:rsidRPr="00353EE7">
        <w:rPr>
          <w:rFonts w:ascii="Times New Roman" w:hAnsi="Times New Roman"/>
        </w:rPr>
        <w:t>kuriuo gydomi</w:t>
      </w:r>
      <w:r w:rsidRPr="00353EE7">
        <w:rPr>
          <w:rFonts w:ascii="Times New Roman" w:hAnsi="Times New Roman"/>
          <w:b/>
        </w:rPr>
        <w:t xml:space="preserve"> psichikos sutrikimai</w:t>
      </w:r>
      <w:r w:rsidRPr="00353EE7">
        <w:rPr>
          <w:rFonts w:ascii="Times New Roman" w:hAnsi="Times New Roman"/>
        </w:rPr>
        <w:t>;</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antibiotikas rifampicinas</w:t>
      </w:r>
      <w:r w:rsidRPr="00353EE7">
        <w:rPr>
          <w:rFonts w:ascii="Times New Roman" w:hAnsi="Times New Roman"/>
        </w:rPr>
        <w:t>;</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rPr>
        <w:t xml:space="preserve">vaistai, kuriais gydoma </w:t>
      </w:r>
      <w:r w:rsidRPr="00353EE7">
        <w:rPr>
          <w:rFonts w:ascii="Times New Roman" w:hAnsi="Times New Roman"/>
          <w:b/>
        </w:rPr>
        <w:t>žmogaus imunodeficito virusų (ŽIV) infekcija</w:t>
      </w:r>
      <w:r w:rsidRPr="00353EE7">
        <w:rPr>
          <w:rFonts w:ascii="Times New Roman" w:hAnsi="Times New Roman"/>
        </w:rPr>
        <w:t xml:space="preserve"> (lopinaviro ir ritonaviro arba atazanaviro ir ritonaviro deriniai);</w:t>
      </w:r>
    </w:p>
    <w:p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hormoniniai kontraceptikai</w:t>
      </w:r>
      <w:r w:rsidRPr="00353EE7">
        <w:rPr>
          <w:rFonts w:ascii="Times New Roman" w:hAnsi="Times New Roman"/>
        </w:rPr>
        <w:t>,</w:t>
      </w:r>
      <w:r w:rsidRPr="00353EE7">
        <w:rPr>
          <w:rFonts w:ascii="Times New Roman" w:hAnsi="Times New Roman"/>
          <w:b/>
        </w:rPr>
        <w:t xml:space="preserve"> </w:t>
      </w:r>
      <w:r w:rsidRPr="00353EE7">
        <w:rPr>
          <w:rFonts w:ascii="Times New Roman" w:hAnsi="Times New Roman"/>
        </w:rPr>
        <w:t xml:space="preserve">pavyzdžiui, </w:t>
      </w:r>
      <w:r w:rsidRPr="00353EE7">
        <w:rPr>
          <w:rFonts w:ascii="Times New Roman" w:hAnsi="Times New Roman"/>
          <w:b/>
        </w:rPr>
        <w:t xml:space="preserve">sudėtinės kontraceptinės tabletės </w:t>
      </w:r>
      <w:r w:rsidRPr="00353EE7">
        <w:rPr>
          <w:rFonts w:ascii="Times New Roman" w:hAnsi="Times New Roman"/>
        </w:rPr>
        <w:t>(žr. toliau).</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jeigu vartojate, ketinate pradėti vartoti arba baigiate gydytis kuriuo nors iš šių vaistų.</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Hormoniniai kontraceptikai (pvz., sudėtinės kontraceptinės tabletės) gali turėti įtakos Lamictal poveikiui</w:t>
      </w:r>
    </w:p>
    <w:p w:rsidR="00385AEF" w:rsidRPr="00353EE7" w:rsidRDefault="00385AEF" w:rsidP="00385AEF">
      <w:pPr>
        <w:spacing w:after="0" w:line="240" w:lineRule="auto"/>
        <w:rPr>
          <w:rFonts w:ascii="Times New Roman" w:hAnsi="Times New Roman"/>
        </w:rPr>
      </w:pPr>
      <w:r w:rsidRPr="00353EE7">
        <w:rPr>
          <w:rFonts w:ascii="Times New Roman" w:hAnsi="Times New Roman"/>
        </w:rPr>
        <w:t>Gydytojas gali rekomenduoti tam tikro tipo hormoninių kontraceptikų arba kitokį kontracepcijos metodą, pavyzdžiui, prezervatyvus, kempinėles ar spiralę. Jeigu vartojate hormoninių kontraceptikų, pavyzdžiui, sudėtines kontraceptines tabletes, gydytojas paims kraujo mėginius Lamictal koncentracijai nustatyti. Jeigu vartojate arba planuojate pradėti vartoti hormoninių kontraceptikų,</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aptars su Jumis tinkamus kontracepcijos metodus.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irgi gali daryti įtaką hormoninių kontraceptikų poveikiui, nors jų veiksmingumo sumažėjimo nesitikima. Jeigu vartojate hormoninių kontraceptikų ir pastebėjote, kad pakito menstruacijų pobūdis, pavyzdžiui, atsirado nereguliarus kraujavimas ar tepių išskyrų tarp mėnesinių,</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Taip gali pasireikšti Lamictal įtaka kontraceptiko veikimui.</w:t>
      </w:r>
    </w:p>
    <w:p w:rsidR="00385AEF" w:rsidRPr="00353EE7" w:rsidRDefault="00385AEF" w:rsidP="00385AEF">
      <w:pPr>
        <w:numPr>
          <w:ilvl w:val="12"/>
          <w:numId w:val="0"/>
        </w:num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Nėštumas ir žindymo laikotarpis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Jeigu esate</w:t>
      </w:r>
      <w:r w:rsidRPr="00353EE7">
        <w:rPr>
          <w:rFonts w:ascii="Times New Roman" w:hAnsi="Times New Roman"/>
        </w:rPr>
        <w:t xml:space="preserve"> </w:t>
      </w:r>
      <w:r w:rsidRPr="00353EE7">
        <w:rPr>
          <w:rFonts w:ascii="Times New Roman" w:hAnsi="Times New Roman"/>
          <w:b/>
        </w:rPr>
        <w:t>nėščia</w:t>
      </w:r>
      <w:r w:rsidRPr="00353EE7">
        <w:rPr>
          <w:rFonts w:ascii="Times New Roman" w:hAnsi="Times New Roman"/>
        </w:rPr>
        <w:t xml:space="preserve"> </w:t>
      </w:r>
      <w:r w:rsidRPr="00353EE7">
        <w:rPr>
          <w:rFonts w:ascii="Times New Roman" w:hAnsi="Times New Roman"/>
          <w:b/>
        </w:rPr>
        <w:t xml:space="preserve">ar manote, kad galbūt esate nėščia, arba planuojate pastoti, tai prieš vartodama šį vaistą pasitarkite su gydytoju. </w:t>
      </w:r>
    </w:p>
    <w:p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b/>
        </w:rPr>
        <w:lastRenderedPageBreak/>
        <w:t xml:space="preserve">Nepasitarus su gydytoju, gydymo nutraukti negalima. </w:t>
      </w:r>
      <w:r w:rsidRPr="00353EE7">
        <w:rPr>
          <w:rFonts w:ascii="Times New Roman" w:hAnsi="Times New Roman"/>
        </w:rPr>
        <w:t>Tai labai svarbu, jeigu sergate epilepsija.</w:t>
      </w:r>
    </w:p>
    <w:p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Nėštumas gali paveikti Lamictal veiksmingumą, taigi gali prireikti atlikti kraujo mėginius ir gali tekti keisti Lamictal dozę.</w:t>
      </w:r>
    </w:p>
    <w:p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Naujagimiams motinų, kurios per pirmuosius 3 nėštumo mėnesius vartojo Lamictal, gali nedaug padidėti apsigimimų rizika.</w:t>
      </w:r>
    </w:p>
    <w:p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Jeigu planuojate pastoti arba nėštumo metu, gydytojas gali rekomenduoti papildomai vartoti </w:t>
      </w:r>
      <w:r w:rsidRPr="00353EE7">
        <w:rPr>
          <w:rFonts w:ascii="Times New Roman" w:hAnsi="Times New Roman"/>
          <w:b/>
        </w:rPr>
        <w:t>folio rūgštį</w:t>
      </w:r>
      <w:r w:rsidRPr="00353EE7">
        <w:rPr>
          <w:rFonts w:ascii="Times New Roman" w:hAnsi="Times New Roman"/>
        </w:rPr>
        <w:t>.</w:t>
      </w:r>
    </w:p>
    <w:p w:rsidR="00385AEF" w:rsidRPr="00353EE7" w:rsidRDefault="00385AEF" w:rsidP="00385AEF">
      <w:pPr>
        <w:tabs>
          <w:tab w:val="left" w:pos="1203"/>
        </w:tabs>
        <w:spacing w:after="0" w:line="240" w:lineRule="auto"/>
        <w:rPr>
          <w:rFonts w:ascii="Times New Roman" w:hAnsi="Times New Roman"/>
        </w:rPr>
      </w:pPr>
      <w:r w:rsidRPr="00353EE7">
        <w:rPr>
          <w:rFonts w:ascii="Times New Roman" w:hAnsi="Times New Roman"/>
        </w:rPr>
        <w:tab/>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EA7523">
        <w:rPr>
          <w:rFonts w:ascii="Times New Roman" w:hAnsi="Times New Roman"/>
          <w:b/>
        </w:rPr>
        <w:t>Jeigu žindote arba planuojate žindyti kūdikį, tai prieš vartodama šį vaistą pasitarkite su gydytoju arba vaistininku</w:t>
      </w:r>
      <w:r w:rsidRPr="00E03356">
        <w:rPr>
          <w:rFonts w:ascii="Times New Roman" w:hAnsi="Times New Roman"/>
        </w:rPr>
        <w:t>. Lamictal veiklioji medžiaga patenka į motinos pieną ir gali paveikti Jūsų kūdikį. Jūsų gydytojas aptars su Jumis pavojus ir žindymo naudą vartojant lamotrginą ir, jei nuspręsite žindyti, gydytojas reguliariai patikrins, ar Jūsų kūdikiui nepasireiškia mieguistumas, bėrimas arba per mažas kūno masės prieaugis. Jeigu pastebėjote, kad Jūsų kūdikiui pasireiškė kuris nors iš šių simptomų, apie tai pasakykite gydytojui.</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Vairavimas ir mechanizmų valdymas</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gali sukelti svaigulį ir dvejinimąsi akyse.</w:t>
      </w: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sym w:font="Wingdings" w:char="F0E8"/>
      </w:r>
      <w:r w:rsidRPr="00353EE7">
        <w:rPr>
          <w:rFonts w:ascii="Times New Roman" w:hAnsi="Times New Roman"/>
          <w:b/>
        </w:rPr>
        <w:tab/>
        <w:t>Vairuoti ar mechanizmų valdyti negalima, išskyrus atvejus, kai esate įsitikinę, kad tokio poveikio nėra.</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rPr>
      </w:pPr>
      <w:r w:rsidRPr="00353EE7">
        <w:rPr>
          <w:rFonts w:ascii="Times New Roman" w:hAnsi="Times New Roman"/>
          <w:b/>
        </w:rPr>
        <w:t>Jeigu sergate epilepsija, pasikalbėkite su gydytoju apie vairavimą ir mechanizmų valdymą</w:t>
      </w:r>
      <w:r w:rsidRPr="00353EE7">
        <w:rPr>
          <w:rFonts w:ascii="Times New Roman" w:hAnsi="Times New Roman"/>
        </w:rPr>
        <w:t>.</w:t>
      </w:r>
    </w:p>
    <w:p w:rsidR="00385AEF" w:rsidRPr="00353EE7" w:rsidRDefault="00385AEF" w:rsidP="00385AEF">
      <w:pPr>
        <w:numPr>
          <w:ilvl w:val="12"/>
          <w:numId w:val="0"/>
        </w:numPr>
        <w:spacing w:after="0" w:line="240" w:lineRule="auto"/>
        <w:ind w:right="-2"/>
        <w:rPr>
          <w:rFonts w:ascii="Times New Roman" w:hAnsi="Times New Roman"/>
        </w:rPr>
      </w:pPr>
    </w:p>
    <w:p w:rsidR="008212B9" w:rsidRPr="00353EE7" w:rsidRDefault="008212B9" w:rsidP="008212B9">
      <w:pPr>
        <w:numPr>
          <w:ilvl w:val="12"/>
          <w:numId w:val="0"/>
        </w:numPr>
        <w:spacing w:after="0" w:line="240" w:lineRule="auto"/>
        <w:ind w:right="-2"/>
        <w:rPr>
          <w:rFonts w:ascii="Times New Roman" w:hAnsi="Times New Roman"/>
        </w:rPr>
      </w:pPr>
      <w:r w:rsidRPr="00E767B2">
        <w:rPr>
          <w:rFonts w:ascii="Times New Roman" w:hAnsi="Times New Roman"/>
          <w:b/>
        </w:rPr>
        <w:t>Vienoje Lamictal kramtomojoje ar disperguojamojoje tabletėje yra mažiau kaip 1 mmol (23 mg) natrio</w:t>
      </w:r>
      <w:r>
        <w:rPr>
          <w:rFonts w:ascii="Times New Roman" w:hAnsi="Times New Roman"/>
        </w:rPr>
        <w:t xml:space="preserve">, </w:t>
      </w:r>
      <w:r w:rsidRPr="00077C8F">
        <w:rPr>
          <w:rFonts w:ascii="Times New Roman" w:hAnsi="Times New Roman"/>
        </w:rPr>
        <w:t>t. y. jis beveik neturi reikšmės.</w:t>
      </w:r>
    </w:p>
    <w:p w:rsidR="00385AEF" w:rsidRPr="00353EE7" w:rsidRDefault="00385AEF" w:rsidP="00385AEF">
      <w:pPr>
        <w:numPr>
          <w:ilvl w:val="12"/>
          <w:numId w:val="0"/>
        </w:numPr>
        <w:spacing w:after="0" w:line="240" w:lineRule="auto"/>
        <w:ind w:right="-2"/>
        <w:rPr>
          <w:rFonts w:ascii="Times New Roman" w:hAnsi="Times New Roman"/>
          <w:b/>
          <w:caps/>
        </w:rPr>
      </w:pPr>
    </w:p>
    <w:p w:rsidR="00385AEF" w:rsidRPr="00353EE7" w:rsidRDefault="00385AEF" w:rsidP="00385AEF">
      <w:pPr>
        <w:keepNext/>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3.</w:t>
      </w:r>
      <w:r w:rsidRPr="00353EE7">
        <w:rPr>
          <w:rFonts w:ascii="Times New Roman" w:hAnsi="Times New Roman"/>
          <w:b/>
        </w:rPr>
        <w:tab/>
        <w:t>Kaip vartoti Lamictal</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b/>
        </w:rPr>
        <w:t>Visada vartokite šį vaistą</w:t>
      </w:r>
      <w:r w:rsidRPr="00353EE7">
        <w:rPr>
          <w:rFonts w:ascii="Times New Roman" w:hAnsi="Times New Roman"/>
        </w:rPr>
        <w:t xml:space="preserve"> </w:t>
      </w:r>
      <w:r w:rsidRPr="00353EE7">
        <w:rPr>
          <w:rFonts w:ascii="Times New Roman" w:hAnsi="Times New Roman"/>
          <w:b/>
        </w:rPr>
        <w:t>tiksliai kaip nurodė gydytojas.</w:t>
      </w:r>
      <w:r w:rsidRPr="00353EE7">
        <w:rPr>
          <w:rFonts w:ascii="Times New Roman" w:hAnsi="Times New Roman"/>
        </w:rPr>
        <w:t xml:space="preserve"> Jeigu abejojate, kreipkitės į gydytoją arba vaistininką.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Kiek Lamictal tablečių vartoti?</w:t>
      </w:r>
    </w:p>
    <w:p w:rsidR="00385AEF" w:rsidRPr="00353EE7" w:rsidRDefault="00385AEF" w:rsidP="00385AEF">
      <w:pPr>
        <w:spacing w:after="0" w:line="240" w:lineRule="auto"/>
        <w:rPr>
          <w:rFonts w:ascii="Times New Roman" w:hAnsi="Times New Roman"/>
        </w:rPr>
      </w:pPr>
      <w:r w:rsidRPr="00353EE7">
        <w:rPr>
          <w:rFonts w:ascii="Times New Roman" w:hAnsi="Times New Roman"/>
        </w:rPr>
        <w:t>Gali prireikti laiko, kol bus nustatyta geriausiai Jums tinkanti Lamictal dozė. Dozė priklauso:</w:t>
      </w:r>
    </w:p>
    <w:p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nuo Jūsų amžiaus;</w:t>
      </w:r>
    </w:p>
    <w:p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vartojate Lamictal kartu su kitais vaistais;</w:t>
      </w:r>
    </w:p>
    <w:p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sergate kokiu nors inkstų arba kepenų funkcijos sutrikimu.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skirs vartoti mažą pradinę dozę ir ją palaipsniui per keletą savaičių padidins iki geriausią poveikį sukeliančios dozės (vadinamos </w:t>
      </w:r>
      <w:r w:rsidRPr="00353EE7">
        <w:rPr>
          <w:rFonts w:ascii="Times New Roman" w:hAnsi="Times New Roman"/>
          <w:i/>
        </w:rPr>
        <w:t>veiksmingos dozės</w:t>
      </w:r>
      <w:r w:rsidRPr="00353EE7">
        <w:rPr>
          <w:rFonts w:ascii="Times New Roman" w:hAnsi="Times New Roman"/>
        </w:rPr>
        <w:t xml:space="preserve">). </w:t>
      </w:r>
      <w:r w:rsidRPr="00353EE7">
        <w:rPr>
          <w:rFonts w:ascii="Times New Roman" w:hAnsi="Times New Roman"/>
          <w:b/>
        </w:rPr>
        <w:t>Gerti daugiau Lamictal nei nurodė gydytojas, negalima</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Įprasta veiksminga Lamictal dozė suaugusiesiems ir 13 metų bei vyresniems paaugliams yra nuo 100 mg iki 400 mg per parą.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Veiksminga dozė 2</w:t>
      </w:r>
      <w:r w:rsidRPr="00353EE7">
        <w:rPr>
          <w:rFonts w:ascii="Times New Roman" w:hAnsi="Times New Roman"/>
        </w:rPr>
        <w:noBreakHyphen/>
        <w:t>12 metų vaikams priklauso nuo kūno svorio (dažniausiai ji yra nuo 1 mg iki 15 mg kilogramui vaiko svorio). Didžiausia palaikomoji dozė yra 200 mg per parą.</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nerekomenduojama vartoti jaunesniems kaip 2 metų kūdikiams.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Kaip vartoti Lamictal dozę?</w:t>
      </w: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Kramtomosios ar disperguojamosios tabletės</w:t>
      </w:r>
      <w:r>
        <w:rPr>
          <w:rFonts w:ascii="Times New Roman" w:hAnsi="Times New Roman"/>
        </w:rPr>
        <w:t>:</w:t>
      </w:r>
      <w:r w:rsidRPr="00353EE7" w:rsidDel="006B6A67">
        <w:rPr>
          <w:rFonts w:ascii="Times New Roman" w:hAnsi="Times New Roman"/>
        </w:rPr>
        <w:t xml:space="preserve"> </w:t>
      </w:r>
    </w:p>
    <w:p w:rsidR="00385AEF" w:rsidRPr="00353EE7" w:rsidRDefault="00385AEF" w:rsidP="00385AEF">
      <w:pPr>
        <w:spacing w:after="0" w:line="240" w:lineRule="auto"/>
        <w:rPr>
          <w:rFonts w:ascii="Times New Roman" w:hAnsi="Times New Roman"/>
        </w:rPr>
      </w:pPr>
      <w:r w:rsidRPr="00353EE7">
        <w:rPr>
          <w:rFonts w:ascii="Times New Roman" w:hAnsi="Times New Roman"/>
        </w:rPr>
        <w:t>Gerkite po vieną Lamictal dozę vieną arba du kartus per parą, kaip nurodė gydytojas. Dozę galima gerti valgant ar nevalgius.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b/>
        </w:rPr>
        <w:t>•</w:t>
      </w:r>
      <w:r w:rsidRPr="00353EE7">
        <w:rPr>
          <w:rFonts w:ascii="Times New Roman" w:hAnsi="Times New Roman"/>
          <w:b/>
        </w:rPr>
        <w:tab/>
        <w:t>Visada išgerkite visą gydytojo paskirtą dozę.</w:t>
      </w:r>
      <w:r w:rsidRPr="00353EE7">
        <w:rPr>
          <w:rFonts w:ascii="Times New Roman" w:hAnsi="Times New Roman"/>
        </w:rPr>
        <w:t xml:space="preserve"> Gerti tik dalį tabletės negalima.</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Gydytojas gali patarti, kaip pradėti ar nutraukti gydymą, atsižvelgdamas į sutrikimą, dėl kurio esate gydomas, ir kaip organizmas reaguoja į gydymą.</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Galima nuryti visą Lamictal kramtomąją ar disperguojamąją tabletę arba ją sukramtyti ir nuryti užgeriant nedideliu vandens kiekiu, arba tabletę ištirpinti vandenyje ir paruošti tirpalą.</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Jeigu tabletę sukramtote</w:t>
      </w:r>
    </w:p>
    <w:p w:rsidR="00385AEF" w:rsidRPr="00353EE7" w:rsidRDefault="00385AEF" w:rsidP="00385AEF">
      <w:pPr>
        <w:spacing w:after="0" w:line="240" w:lineRule="auto"/>
        <w:rPr>
          <w:rFonts w:ascii="Times New Roman" w:hAnsi="Times New Roman"/>
        </w:rPr>
      </w:pPr>
      <w:r w:rsidRPr="00353EE7">
        <w:rPr>
          <w:rFonts w:ascii="Times New Roman" w:hAnsi="Times New Roman"/>
        </w:rPr>
        <w:t>Gali prireikti tuo pačiu metu išgerti šiek tiek vandens, kad tabletė lengviau ištirptų burnoje. Po to dar išgerkite šiek tiek vandens, kad įsitikintumėte, jog nurijote visą vaistą.</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Kaip paruošti vaisto tirpalą?</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Tabletę įdėkite į stiklinę ir įpilkite bent tiek vandens, kad apsemtų visą tabletę.</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Maišykite, kol ištirps, arba palaukite, kol visa tabletė ištirps.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Išgerkite visą gautą tirpalą.</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Į stiklinę įpilkite dar šiek tiek vandens ir jį išgerkite, kad įsitikintumėte, jog stiklinėje neliko vaisto.</w:t>
      </w:r>
    </w:p>
    <w:p w:rsidR="00385AEF" w:rsidRPr="00353EE7" w:rsidRDefault="00385AEF" w:rsidP="00385AEF">
      <w:pPr>
        <w:spacing w:after="0" w:line="240" w:lineRule="auto"/>
        <w:ind w:left="567" w:hanging="567"/>
        <w:rPr>
          <w:rFonts w:ascii="Times New Roman" w:hAnsi="Times New Roman"/>
          <w:b/>
        </w:rPr>
      </w:pPr>
    </w:p>
    <w:p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Ką daryti</w:t>
      </w:r>
      <w:r w:rsidRPr="00353EE7">
        <w:rPr>
          <w:rFonts w:ascii="Times New Roman" w:hAnsi="Times New Roman"/>
        </w:rPr>
        <w:t xml:space="preserve"> </w:t>
      </w:r>
      <w:r w:rsidRPr="00353EE7">
        <w:rPr>
          <w:rFonts w:ascii="Times New Roman" w:hAnsi="Times New Roman"/>
          <w:b/>
        </w:rPr>
        <w:t>pavartojus per didelę Lamictal dozę?</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 arba artimiausią skubios pagalbos skyrių</w:t>
      </w:r>
      <w:r w:rsidRPr="00353EE7">
        <w:rPr>
          <w:rFonts w:ascii="Times New Roman" w:hAnsi="Times New Roman"/>
        </w:rPr>
        <w:t>. Jeigu galite, parodykite Lamictal pakuotę.</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pavartojote per daug Lamictal, yra </w:t>
      </w:r>
      <w:r w:rsidRPr="00353EE7">
        <w:rPr>
          <w:rFonts w:ascii="Times New Roman" w:hAnsi="Times New Roman"/>
          <w:b/>
        </w:rPr>
        <w:t>didesnė tikimybė, kad jums pasireikš sunkaus šalutinio poveikio reiškiniai, kai kurie iš jų – mirtini.</w:t>
      </w:r>
      <w:r w:rsidRPr="00353EE7">
        <w:rPr>
          <w:rFonts w:ascii="Times New Roman" w:hAnsi="Times New Roman"/>
        </w:rPr>
        <w:t xml:space="preserve"> Išgėrus per daug Lamictal, gali pasireikšti tokių simptomų:</w:t>
      </w:r>
    </w:p>
    <w:p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(nistagmas)</w:t>
      </w:r>
      <w:r w:rsidRPr="00353EE7">
        <w:rPr>
          <w:rFonts w:ascii="Times New Roman" w:hAnsi="Times New Roman"/>
        </w:rPr>
        <w:t>;</w:t>
      </w:r>
    </w:p>
    <w:p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nevikrumas ar koordinacijos stoka, sutrikdantys pusiausvyrą </w:t>
      </w:r>
      <w:r w:rsidRPr="00353EE7">
        <w:rPr>
          <w:rFonts w:ascii="Times New Roman" w:hAnsi="Times New Roman"/>
          <w:i/>
        </w:rPr>
        <w:t>(ataksija)</w:t>
      </w:r>
      <w:r w:rsidRPr="00353EE7">
        <w:rPr>
          <w:rFonts w:ascii="Times New Roman" w:hAnsi="Times New Roman"/>
        </w:rPr>
        <w:t>;</w:t>
      </w:r>
    </w:p>
    <w:p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širdies ritmo pokyčiai (įprastai nustatomi elektrokardiograma (EKG));</w:t>
      </w:r>
    </w:p>
    <w:p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sąmonės netekimas, traukuliai (konvulsijos) ar koma.</w:t>
      </w:r>
    </w:p>
    <w:p w:rsidR="00385AEF" w:rsidRPr="00353EE7" w:rsidRDefault="00385AEF" w:rsidP="00385AEF">
      <w:pPr>
        <w:spacing w:after="0" w:line="240" w:lineRule="auto"/>
        <w:ind w:left="567" w:hanging="567"/>
        <w:rPr>
          <w:rFonts w:ascii="Times New Roman" w:hAnsi="Times New Roman"/>
          <w:b/>
        </w:rPr>
      </w:pP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Pamiršus pavartoti vieną Lamictal dozę</w:t>
      </w: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Negalima vartoti dvigubos dozės norint kompensuoti praleistą dozę. Sekančią dozę vartokite įprastu laiku.</w:t>
      </w:r>
    </w:p>
    <w:p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Pamiršus pavartoti keletą Lamictal dozių</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Kaip vėl pradėti vartoti vaistą, klauskite gydytojo</w:t>
      </w:r>
      <w:r w:rsidRPr="00353EE7">
        <w:rPr>
          <w:rFonts w:ascii="Times New Roman" w:hAnsi="Times New Roman"/>
        </w:rPr>
        <w:t>. Tai labai svarbu.</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Lamictal vartojimo nutraukti nepasitarus su gydytoju negalima</w:t>
      </w:r>
    </w:p>
    <w:p w:rsidR="00385AEF" w:rsidRPr="00353EE7" w:rsidRDefault="00385AEF" w:rsidP="00385AEF">
      <w:pPr>
        <w:spacing w:after="0" w:line="240" w:lineRule="auto"/>
        <w:rPr>
          <w:rFonts w:ascii="Times New Roman" w:hAnsi="Times New Roman"/>
        </w:rPr>
      </w:pPr>
      <w:r w:rsidRPr="00353EE7">
        <w:rPr>
          <w:rFonts w:ascii="Times New Roman" w:hAnsi="Times New Roman"/>
        </w:rPr>
        <w:t>Lamictal turite vartoti tiek laiko, kiek rekomendavo gydytojas. Gydymo nutraukti negalima, išskyrus atvejus, kai tai padaryti nurodo gydytojas.</w:t>
      </w:r>
    </w:p>
    <w:p w:rsidR="00385AEF" w:rsidRPr="00353EE7" w:rsidRDefault="00385AEF" w:rsidP="00385AEF">
      <w:pPr>
        <w:spacing w:after="0" w:line="240" w:lineRule="auto"/>
        <w:rPr>
          <w:rFonts w:ascii="Times New Roman" w:hAnsi="Times New Roman"/>
          <w:b/>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Jeigu vartojate Lamictal epilepsijai gydyti</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Baigiant gydymą Lamictal, </w:t>
      </w:r>
      <w:r w:rsidRPr="00353EE7">
        <w:rPr>
          <w:rFonts w:ascii="Times New Roman" w:hAnsi="Times New Roman"/>
          <w:b/>
        </w:rPr>
        <w:t>svarbu dozę mažinti palaipsniui</w:t>
      </w:r>
      <w:r w:rsidRPr="00353EE7">
        <w:rPr>
          <w:rFonts w:ascii="Times New Roman" w:hAnsi="Times New Roman"/>
        </w:rPr>
        <w:t>, maždaug per 2 savaites. Staigiai nutraukus Lamictal vartojimą, epilepsija gali atsinaujinti arba pasunkėti.</w:t>
      </w:r>
    </w:p>
    <w:p w:rsidR="00385AEF" w:rsidRPr="00353EE7" w:rsidRDefault="00385AEF" w:rsidP="00385AEF">
      <w:pPr>
        <w:spacing w:after="0" w:line="240" w:lineRule="auto"/>
        <w:rPr>
          <w:rFonts w:ascii="Times New Roman" w:hAnsi="Times New Roman"/>
          <w:b/>
        </w:rPr>
      </w:pPr>
    </w:p>
    <w:p w:rsidR="00385AEF" w:rsidRPr="00353EE7" w:rsidRDefault="00385AEF" w:rsidP="00385AEF">
      <w:pPr>
        <w:keepNext/>
        <w:tabs>
          <w:tab w:val="left" w:pos="567"/>
        </w:tabs>
        <w:spacing w:after="0" w:line="240" w:lineRule="auto"/>
        <w:rPr>
          <w:rFonts w:ascii="Times New Roman" w:hAnsi="Times New Roman"/>
          <w:b/>
        </w:rPr>
      </w:pPr>
      <w:r w:rsidRPr="00353EE7">
        <w:rPr>
          <w:rFonts w:ascii="Times New Roman" w:hAnsi="Times New Roman"/>
          <w:b/>
        </w:rPr>
        <w:t>Jeigu vartojate Lamictal bipoliniam sutrikimui gydyti</w:t>
      </w:r>
    </w:p>
    <w:p w:rsidR="00385AEF" w:rsidRPr="00353EE7" w:rsidRDefault="00385AEF" w:rsidP="00385AEF">
      <w:pPr>
        <w:spacing w:after="0" w:line="240" w:lineRule="auto"/>
        <w:rPr>
          <w:rFonts w:ascii="Times New Roman" w:hAnsi="Times New Roman"/>
        </w:rPr>
      </w:pPr>
      <w:r w:rsidRPr="00353EE7">
        <w:rPr>
          <w:rFonts w:ascii="Times New Roman" w:hAnsi="Times New Roman"/>
        </w:rPr>
        <w:t>Gali praeiti šiek tiek laiko, kol pasireikš Lamictal poveikis, taigi nesitikėkite, kad iš karto pradėsite jaustis geriau. Baigiant gydymą Lamictal, dozės mažinti palaipsniui nebūtina. Tačiau, jeigu norite nutraukti Lamictal vartojimą, pirmiausia pasitarkite su gydytoju.</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4.</w:t>
      </w:r>
      <w:r w:rsidRPr="00353EE7">
        <w:rPr>
          <w:rFonts w:ascii="Times New Roman" w:hAnsi="Times New Roman"/>
          <w:b/>
        </w:rPr>
        <w:tab/>
        <w:t>Galimas šalutinis poveikis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Šis vaistas, kaip ir visi kiti, gali sukelti šalutinį poveikį, nors jis pasireiškia ne visiems žmonėms.</w:t>
      </w:r>
    </w:p>
    <w:p w:rsidR="00385AEF" w:rsidRPr="00353EE7" w:rsidRDefault="00385AEF" w:rsidP="00385AEF">
      <w:pPr>
        <w:spacing w:after="0" w:line="240" w:lineRule="auto"/>
        <w:ind w:left="567" w:hanging="567"/>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Reakcijos, kurios gali būti pavojingos gyvybei: iš karto kreipkitės pagalbos į gydytoją</w:t>
      </w:r>
    </w:p>
    <w:p w:rsidR="00385AEF" w:rsidRPr="00353EE7" w:rsidRDefault="00385AEF" w:rsidP="00385AEF">
      <w:pPr>
        <w:spacing w:after="0" w:line="240" w:lineRule="auto"/>
        <w:rPr>
          <w:rFonts w:ascii="Times New Roman" w:hAnsi="Times New Roman"/>
        </w:rPr>
      </w:pPr>
      <w:r w:rsidRPr="00353EE7">
        <w:rPr>
          <w:rFonts w:ascii="Times New Roman" w:hAnsi="Times New Roman"/>
        </w:rPr>
        <w:t>Mažai daliai Lamictal vartojančių žmonių pasireiškia alerginė reakcija arba odos reakcija, kuri gali būti pavojinga gyvybei ir kurios negydant, gali atsirasti dar sunkesnių sutrikimų.</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Tokių simptomų tikimybė didesnė pirmus kelis gydymo Lamictal mėnesius, ypač vartojant per didelę pradinę dozę arba dozę didinant per greitai, arba jeigu Lamictal vartojamas kartu su kitu vaistu, kuris </w:t>
      </w:r>
      <w:r w:rsidRPr="00353EE7">
        <w:rPr>
          <w:rFonts w:ascii="Times New Roman" w:hAnsi="Times New Roman"/>
        </w:rPr>
        <w:lastRenderedPageBreak/>
        <w:t>vadinasi</w:t>
      </w:r>
      <w:r w:rsidRPr="00353EE7">
        <w:rPr>
          <w:rFonts w:ascii="Times New Roman" w:hAnsi="Times New Roman"/>
          <w:i/>
        </w:rPr>
        <w:t xml:space="preserve"> valproatu</w:t>
      </w:r>
      <w:r w:rsidRPr="00353EE7">
        <w:rPr>
          <w:rFonts w:ascii="Times New Roman" w:hAnsi="Times New Roman"/>
        </w:rPr>
        <w:t>. Kai kurie simptomai dažniau pasireiškia vaikams, taigi tėvai labai atidžiai turi stebėti, ar jų neatsiranda.</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Tokios reakcijos gali pasireikšti šiais simptomais:</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odos išbėrimas ar paraudimas</w:t>
      </w:r>
      <w:r w:rsidRPr="00353EE7">
        <w:rPr>
          <w:rFonts w:ascii="Times New Roman" w:hAnsi="Times New Roman"/>
        </w:rPr>
        <w:t>, kuriam progresuojant, gali pasireikšti pavojinga gyvybei odos reakcija, įskaitant plačiai išplitusį išbėrimą, pasireiškiantį su pūslėmis ir odos lupimusi, ypač aplink burną, nosį, akis ir lytinius organus (</w:t>
      </w:r>
      <w:r w:rsidRPr="00CD723E">
        <w:rPr>
          <w:rFonts w:ascii="Times New Roman" w:hAnsi="Times New Roman"/>
        </w:rPr>
        <w:t>Stivenso – Džonsono</w:t>
      </w:r>
      <w:r>
        <w:rPr>
          <w:rFonts w:ascii="Times New Roman" w:hAnsi="Times New Roman"/>
        </w:rPr>
        <w:t xml:space="preserve"> (</w:t>
      </w:r>
      <w:r>
        <w:rPr>
          <w:rFonts w:ascii="Times New Roman" w:hAnsi="Times New Roman"/>
          <w:i/>
        </w:rPr>
        <w:t>Stevens-Johnson</w:t>
      </w:r>
      <w:r>
        <w:rPr>
          <w:rFonts w:ascii="Times New Roman" w:hAnsi="Times New Roman"/>
        </w:rPr>
        <w:t>)</w:t>
      </w:r>
      <w:r w:rsidRPr="00B400BB">
        <w:rPr>
          <w:rFonts w:ascii="Times New Roman" w:hAnsi="Times New Roman"/>
        </w:rPr>
        <w:t xml:space="preserve"> </w:t>
      </w:r>
      <w:r w:rsidRPr="00CD723E">
        <w:rPr>
          <w:rFonts w:ascii="Times New Roman" w:hAnsi="Times New Roman"/>
        </w:rPr>
        <w:t>sindromas</w:t>
      </w:r>
      <w:r w:rsidRPr="00353EE7">
        <w:rPr>
          <w:rFonts w:ascii="Times New Roman" w:hAnsi="Times New Roman"/>
        </w:rPr>
        <w:t xml:space="preserve">), išplitusį odos lupimąsi (apima daugiau kaip 30 % kūno paviršiaus – </w:t>
      </w:r>
      <w:r w:rsidRPr="00CD723E">
        <w:rPr>
          <w:rFonts w:ascii="Times New Roman" w:hAnsi="Times New Roman"/>
        </w:rPr>
        <w:t>toksinė epidermio nekrolizė</w:t>
      </w:r>
      <w:r w:rsidRPr="00353EE7">
        <w:rPr>
          <w:rFonts w:ascii="Times New Roman" w:hAnsi="Times New Roman"/>
        </w:rPr>
        <w:t>) arba išplitusį odos išbėrimą, pasireiškiantį kartu su kepenų, kraujo ir kitų organizmo organų pažaida (reakcija į vaistą, pasireiškianti kartu su eozinofilija ir sisteminiais simptomais, dar vadinama padidėjusio jautrumo sindromu RVESS)</w:t>
      </w:r>
      <w:r w:rsidRPr="00CD723E">
        <w:rPr>
          <w:rFonts w:ascii="Times New Roman" w:hAnsi="Times New Roman"/>
        </w:rPr>
        <w:t>;</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burnos, gerklės, nosies ir lytinių organų opos</w:t>
      </w:r>
      <w:r w:rsidRPr="00CD723E">
        <w:rPr>
          <w:rFonts w:ascii="Times New Roman" w:hAnsi="Times New Roman"/>
        </w:rPr>
        <w:t>;</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burnos ar akių skausmas, paraudimas ar patinimas </w:t>
      </w:r>
      <w:r w:rsidRPr="00353EE7">
        <w:rPr>
          <w:rFonts w:ascii="Times New Roman" w:hAnsi="Times New Roman"/>
          <w:i/>
        </w:rPr>
        <w:t>(konjunktyvitas)</w:t>
      </w:r>
      <w:r w:rsidRPr="00CD723E">
        <w:rPr>
          <w:rFonts w:ascii="Times New Roman" w:hAnsi="Times New Roman"/>
        </w:rPr>
        <w:t>;</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temperatūros padidėjimas</w:t>
      </w:r>
      <w:r w:rsidRPr="00353EE7">
        <w:rPr>
          <w:rFonts w:ascii="Times New Roman" w:hAnsi="Times New Roman"/>
        </w:rPr>
        <w:t xml:space="preserve"> (karščiavimas), į gripą panašūs simptomai ar mieguistumas;</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veido patinimas</w:t>
      </w:r>
      <w:r w:rsidRPr="00353EE7">
        <w:rPr>
          <w:rFonts w:ascii="Times New Roman" w:hAnsi="Times New Roman"/>
        </w:rPr>
        <w:t xml:space="preserve"> ar kaklo, pažastų bei kirkšnių </w:t>
      </w:r>
      <w:r w:rsidRPr="00353EE7">
        <w:rPr>
          <w:rFonts w:ascii="Times New Roman" w:hAnsi="Times New Roman"/>
          <w:b/>
        </w:rPr>
        <w:t>limfmazgių padidėjimas</w:t>
      </w:r>
      <w:r w:rsidRPr="00353EE7">
        <w:rPr>
          <w:rFonts w:ascii="Times New Roman" w:hAnsi="Times New Roman"/>
        </w:rPr>
        <w:t>;</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netikėtas kraujavimas arba mėlynių atsiradimas</w:t>
      </w:r>
      <w:r w:rsidRPr="00353EE7">
        <w:rPr>
          <w:rFonts w:ascii="Times New Roman" w:hAnsi="Times New Roman"/>
        </w:rPr>
        <w:t>, arba rankų pirštų pamėlynavimas;</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gerklės skausmas</w:t>
      </w:r>
      <w:r w:rsidRPr="00353EE7">
        <w:rPr>
          <w:rFonts w:ascii="Times New Roman" w:hAnsi="Times New Roman"/>
        </w:rPr>
        <w:t xml:space="preserve"> arba dažnesnės nei įprastai infekcijos (pvz., peršalimas);</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kepenų fermentų suaktyvėjimas, kurį rodo kraujo tyrimų duomenys;</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tam tikros rūšies baltųjų kraujo ląstelių (eozinofilų) kiekio padidėjimas;</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limfmazgių padidėjimas;</w:t>
      </w:r>
    </w:p>
    <w:p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kūno organų, įskaitant kepenis ir inkstus, pa</w:t>
      </w:r>
      <w:r>
        <w:rPr>
          <w:rFonts w:ascii="Times New Roman" w:hAnsi="Times New Roman"/>
        </w:rPr>
        <w:t>žeidimas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Daugeliu atvejų tokie simptomai gali būti ne tokio sunkaus šalutinio poveikio požymiai. </w:t>
      </w:r>
      <w:r w:rsidRPr="00353EE7">
        <w:rPr>
          <w:rFonts w:ascii="Times New Roman" w:hAnsi="Times New Roman"/>
          <w:b/>
        </w:rPr>
        <w:t>Tačiau turite žinoti, kad tokie simptomai gali būti pavojingi gyvybei</w:t>
      </w:r>
      <w:r w:rsidRPr="00353EE7">
        <w:rPr>
          <w:rFonts w:ascii="Times New Roman" w:hAnsi="Times New Roman"/>
        </w:rPr>
        <w:t xml:space="preserve"> ir jų negydant, </w:t>
      </w:r>
      <w:r w:rsidRPr="00353EE7">
        <w:rPr>
          <w:rFonts w:ascii="Times New Roman" w:hAnsi="Times New Roman"/>
          <w:b/>
        </w:rPr>
        <w:t>gali atsirasti dar sunkesnių sutrikimų</w:t>
      </w:r>
      <w:r w:rsidRPr="00353EE7">
        <w:rPr>
          <w:rFonts w:ascii="Times New Roman" w:hAnsi="Times New Roman"/>
        </w:rPr>
        <w:t>, pavyzdžiui, organų funkcijos nepakankamumas. Jeigu pastebėjote bet kurį iš šių simptomų:</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w:t>
      </w:r>
      <w:r w:rsidRPr="00353EE7">
        <w:rPr>
          <w:rFonts w:ascii="Times New Roman" w:hAnsi="Times New Roman"/>
        </w:rPr>
        <w:t>. Gydytojas gali skirti atlikti kepenų ir inkstų funkcijos bei kraujo tyrimus ir nurodyti nutraukti Lamictal vartojimą. Jeigu Jums pasireiškė Stivenso - Džonsono (</w:t>
      </w:r>
      <w:r w:rsidRPr="00353EE7">
        <w:rPr>
          <w:rFonts w:ascii="Times New Roman" w:hAnsi="Times New Roman"/>
          <w:i/>
        </w:rPr>
        <w:t>Stevens-Johnson)</w:t>
      </w:r>
      <w:r w:rsidRPr="00353EE7">
        <w:rPr>
          <w:rFonts w:ascii="Times New Roman" w:hAnsi="Times New Roman"/>
        </w:rPr>
        <w:t xml:space="preserve"> sindromas arba toksinė epidermio nekrolizė, Jūsų gydytojas nurodys Jums, kad daugiau niekada nevartotumėte lamotrigino.</w:t>
      </w:r>
    </w:p>
    <w:p w:rsidR="00385AEF" w:rsidRPr="00C22934" w:rsidRDefault="00385AEF" w:rsidP="00385AEF">
      <w:pPr>
        <w:spacing w:after="0" w:line="240" w:lineRule="auto"/>
        <w:rPr>
          <w:rFonts w:ascii="Times New Roman" w:hAnsi="Times New Roman"/>
          <w:b/>
        </w:rPr>
      </w:pPr>
    </w:p>
    <w:p w:rsidR="00385AEF" w:rsidRDefault="00385AEF" w:rsidP="00385AEF">
      <w:pPr>
        <w:spacing w:after="0" w:line="240" w:lineRule="auto"/>
        <w:rPr>
          <w:rFonts w:ascii="Times New Roman" w:hAnsi="Times New Roman"/>
        </w:rPr>
      </w:pPr>
      <w:r w:rsidRPr="00EA7523">
        <w:rPr>
          <w:rFonts w:ascii="Times New Roman" w:hAnsi="Times New Roman"/>
          <w:b/>
        </w:rPr>
        <w:t>Hemofagocitinė limfohistiocitozė (HLH)</w:t>
      </w:r>
      <w:r w:rsidRPr="0095182A">
        <w:rPr>
          <w:rFonts w:ascii="Times New Roman" w:hAnsi="Times New Roman"/>
        </w:rPr>
        <w:t xml:space="preserve"> (žr. 2 skyriuje „Kas žinotina prieš vartojant </w:t>
      </w:r>
      <w:r>
        <w:rPr>
          <w:rFonts w:ascii="Times New Roman" w:hAnsi="Times New Roman"/>
        </w:rPr>
        <w:t>Lamictal</w:t>
      </w:r>
      <w:r w:rsidRPr="0095182A">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Labai dažnas šalutinis poveikis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Toks poveikis gali pasireikšti </w:t>
      </w:r>
      <w:r w:rsidRPr="00353EE7">
        <w:rPr>
          <w:rFonts w:ascii="Times New Roman" w:hAnsi="Times New Roman"/>
          <w:b/>
        </w:rPr>
        <w:t>dažniau kaip 1 iš 10</w:t>
      </w:r>
      <w:r w:rsidRPr="00353EE7">
        <w:rPr>
          <w:rFonts w:ascii="Times New Roman" w:hAnsi="Times New Roman"/>
        </w:rPr>
        <w:t xml:space="preserve"> žmonių:</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galvos skausmas;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odos išbėrimas.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Dažnas šalutinis poveikis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Toks poveikis gali pasireikšti </w:t>
      </w:r>
      <w:r>
        <w:rPr>
          <w:rFonts w:ascii="Times New Roman" w:hAnsi="Times New Roman"/>
          <w:b/>
        </w:rPr>
        <w:t xml:space="preserve">rečiau </w:t>
      </w:r>
      <w:r w:rsidRPr="00353EE7">
        <w:rPr>
          <w:rFonts w:ascii="Times New Roman" w:hAnsi="Times New Roman"/>
          <w:b/>
        </w:rPr>
        <w:t>kaip 1 iš 10</w:t>
      </w:r>
      <w:r w:rsidRPr="00353EE7">
        <w:rPr>
          <w:rFonts w:ascii="Times New Roman" w:hAnsi="Times New Roman"/>
        </w:rPr>
        <w:t xml:space="preserve"> žmonių:</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agresyvumas ar dirglumas;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mieguistumas ar apsnūdimas;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svaigulys;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virpėjimas ar drebulys;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negalėjimas miegoti (nemiga);</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viduriavimas;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burnos džiūvimas;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pykinimas (šleikštulys) ar vėmimas;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nuovargis;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nugaros, sąnarių ar kitos vietos skausmas.</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Nedažnas šalutinis poveikis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Toks poveikis gali pasireikšti </w:t>
      </w:r>
      <w:r>
        <w:rPr>
          <w:rFonts w:ascii="Times New Roman" w:hAnsi="Times New Roman"/>
          <w:b/>
        </w:rPr>
        <w:t xml:space="preserve">rečiau </w:t>
      </w:r>
      <w:r w:rsidRPr="00353EE7">
        <w:rPr>
          <w:rFonts w:ascii="Times New Roman" w:hAnsi="Times New Roman"/>
          <w:b/>
        </w:rPr>
        <w:t xml:space="preserve">kaip 1 iš 100 </w:t>
      </w:r>
      <w:r w:rsidRPr="00353EE7">
        <w:rPr>
          <w:rFonts w:ascii="Times New Roman" w:hAnsi="Times New Roman"/>
        </w:rPr>
        <w:t>žmonių</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nevikrumas ar koordinacijos stoka </w:t>
      </w:r>
      <w:r w:rsidRPr="00353EE7">
        <w:rPr>
          <w:rFonts w:ascii="Times New Roman" w:hAnsi="Times New Roman"/>
          <w:i/>
        </w:rPr>
        <w:t>(ataksija)</w:t>
      </w:r>
      <w:r w:rsidRPr="00353EE7">
        <w:rPr>
          <w:rFonts w:ascii="Times New Roman" w:hAnsi="Times New Roman"/>
        </w:rPr>
        <w: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dvejinimasis akyse ar miglotas matymas;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lastRenderedPageBreak/>
        <w:t>neįprastas plaukų slinkimas (</w:t>
      </w:r>
      <w:r w:rsidRPr="00353EE7">
        <w:rPr>
          <w:rFonts w:ascii="Times New Roman" w:hAnsi="Times New Roman"/>
          <w:i/>
        </w:rPr>
        <w:t>alopecija</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Retas šalutinis poveikis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Toks poveikis gali pasireikšti </w:t>
      </w:r>
      <w:r>
        <w:rPr>
          <w:rFonts w:ascii="Times New Roman" w:hAnsi="Times New Roman"/>
          <w:b/>
        </w:rPr>
        <w:t xml:space="preserve">rečiau </w:t>
      </w:r>
      <w:r w:rsidRPr="00353EE7">
        <w:rPr>
          <w:rFonts w:ascii="Times New Roman" w:hAnsi="Times New Roman"/>
          <w:b/>
        </w:rPr>
        <w:t>kaip 1 iš 1000</w:t>
      </w:r>
      <w:r w:rsidRPr="00353EE7">
        <w:rPr>
          <w:rFonts w:ascii="Times New Roman" w:hAnsi="Times New Roman"/>
        </w:rPr>
        <w:t xml:space="preserve"> žmonių:</w:t>
      </w:r>
    </w:p>
    <w:p w:rsidR="00385AEF" w:rsidRPr="00353EE7" w:rsidRDefault="00385AEF" w:rsidP="00385AEF">
      <w:pPr>
        <w:spacing w:after="0" w:line="240" w:lineRule="auto"/>
        <w:ind w:left="540"/>
        <w:rPr>
          <w:rFonts w:ascii="Times New Roman" w:hAnsi="Times New Roman"/>
        </w:rPr>
      </w:pP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gyvybei pavojinga odos reakcija Stivenso – Džonsono </w:t>
      </w:r>
      <w:r w:rsidRPr="00353EE7">
        <w:rPr>
          <w:rFonts w:ascii="Times New Roman" w:hAnsi="Times New Roman"/>
          <w:i/>
        </w:rPr>
        <w:t xml:space="preserve">(Stevens - Johnson) </w:t>
      </w:r>
      <w:r w:rsidRPr="00353EE7">
        <w:rPr>
          <w:rFonts w:ascii="Times New Roman" w:hAnsi="Times New Roman"/>
        </w:rPr>
        <w:t>sindromas (</w:t>
      </w:r>
      <w:r w:rsidRPr="00353EE7">
        <w:rPr>
          <w:rFonts w:ascii="Times New Roman" w:hAnsi="Times New Roman"/>
          <w:i/>
        </w:rPr>
        <w:t>taip pat žr. informaciją 4 skyriaus pradžioje</w:t>
      </w:r>
      <w:r w:rsidRPr="00353EE7">
        <w:rPr>
          <w:rFonts w:ascii="Times New Roman" w:hAnsi="Times New Roman"/>
        </w:rPr>
        <w: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grupė požymių, pasireiškiančių kartu, įskaitant:</w:t>
      </w:r>
    </w:p>
    <w:p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t xml:space="preserve">karščiavimą, pykinimą, vėmimą, galvos skausmą, kaklo sustingimą ir labai didelį jautrumą šviesai. </w:t>
      </w:r>
    </w:p>
    <w:p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t>Šie požymiai gali būti sukelti smegenų žievės ir stuburo nervų uždegimo (</w:t>
      </w:r>
      <w:r w:rsidRPr="00353EE7">
        <w:rPr>
          <w:rFonts w:ascii="Times New Roman" w:hAnsi="Times New Roman"/>
          <w:i/>
        </w:rPr>
        <w:t>meningito</w:t>
      </w:r>
      <w:r w:rsidRPr="00353EE7">
        <w:rPr>
          <w:rFonts w:ascii="Times New Roman" w:hAnsi="Times New Roman"/>
        </w:rPr>
        <w:t>). Įprastai šie požymiai išnyksta nutraukus gydymą, tačiau jeigu jie neišnyksta ar pablogėja kreipkitės į gydytoją.</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(nistagmas)</w:t>
      </w:r>
      <w:r w:rsidRPr="00353EE7">
        <w:rPr>
          <w:rFonts w:ascii="Times New Roman" w:hAnsi="Times New Roman"/>
        </w:rPr>
        <w: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akių niežulys, pasireiškiantis kartu su išskyromis ir akies vokų apnašomis </w:t>
      </w:r>
      <w:r w:rsidRPr="00353EE7">
        <w:rPr>
          <w:rFonts w:ascii="Times New Roman" w:hAnsi="Times New Roman"/>
          <w:i/>
        </w:rPr>
        <w:t>(konjunktyvitas)</w:t>
      </w:r>
      <w:r w:rsidRPr="00353EE7">
        <w:rPr>
          <w:rFonts w:ascii="Times New Roman" w:hAnsi="Times New Roman"/>
        </w:rPr>
        <w:t>.</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Labai retas šalutinis poveikis</w:t>
      </w:r>
    </w:p>
    <w:p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Toks poveikis gali pasireikšti </w:t>
      </w:r>
      <w:r>
        <w:rPr>
          <w:rFonts w:ascii="Times New Roman" w:hAnsi="Times New Roman"/>
          <w:b/>
        </w:rPr>
        <w:t xml:space="preserve">rečiau </w:t>
      </w:r>
      <w:r w:rsidRPr="00353EE7">
        <w:rPr>
          <w:rFonts w:ascii="Times New Roman" w:hAnsi="Times New Roman"/>
          <w:b/>
        </w:rPr>
        <w:t>kaip 1 iš 10000</w:t>
      </w:r>
      <w:r w:rsidRPr="00353EE7">
        <w:rPr>
          <w:rFonts w:ascii="Times New Roman" w:hAnsi="Times New Roman"/>
        </w:rPr>
        <w:t xml:space="preserve"> žmonių:</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gyvybei pavojinga odos reakcija (</w:t>
      </w:r>
      <w:r w:rsidRPr="00353EE7">
        <w:rPr>
          <w:rFonts w:ascii="Times New Roman" w:hAnsi="Times New Roman"/>
          <w:i/>
        </w:rPr>
        <w:t>toksinė epidermio nekrolizė</w:t>
      </w:r>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reakcija į vaistą, pasireiškianti kartu su eozinofilija ir sisteminiais simptomais (RVESS) (</w:t>
      </w:r>
      <w:r w:rsidRPr="00353EE7">
        <w:rPr>
          <w:rFonts w:ascii="Times New Roman" w:hAnsi="Times New Roman"/>
          <w:i/>
        </w:rPr>
        <w:t>taip pat žr. informaciją 4 skyriaus pradžioje</w:t>
      </w:r>
      <w:r w:rsidRPr="00353EE7">
        <w:rPr>
          <w:rFonts w:ascii="Times New Roman" w:hAnsi="Times New Roman"/>
        </w:rPr>
        <w: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temperatūros padidėjimas (karščiavimas) (</w:t>
      </w:r>
      <w:r w:rsidRPr="00353EE7">
        <w:rPr>
          <w:rFonts w:ascii="Times New Roman" w:hAnsi="Times New Roman"/>
          <w:i/>
        </w:rPr>
        <w:t>taip pat žr. informaciją 4 skyriaus pradžioje</w:t>
      </w:r>
      <w:r w:rsidRPr="00353EE7">
        <w:rPr>
          <w:rFonts w:ascii="Times New Roman" w:hAnsi="Times New Roman"/>
        </w:rPr>
        <w: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veido patinimas (</w:t>
      </w:r>
      <w:r w:rsidRPr="00353EE7">
        <w:rPr>
          <w:rFonts w:ascii="Times New Roman" w:hAnsi="Times New Roman"/>
          <w:i/>
        </w:rPr>
        <w:t>edema</w:t>
      </w:r>
      <w:r w:rsidRPr="00353EE7">
        <w:rPr>
          <w:rFonts w:ascii="Times New Roman" w:hAnsi="Times New Roman"/>
        </w:rPr>
        <w:t>) ar kaklo, pažastų bei kirkšnių limfmazgių padidėjimas (</w:t>
      </w:r>
      <w:r w:rsidRPr="00353EE7">
        <w:rPr>
          <w:rFonts w:ascii="Times New Roman" w:hAnsi="Times New Roman"/>
          <w:i/>
        </w:rPr>
        <w:t>limfadenopatija</w:t>
      </w:r>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kepenų funkcijos pokyčiai, kurie nustatomi atlikus kraujo tyrimus, arba kepenų nepakankamumas;</w:t>
      </w:r>
    </w:p>
    <w:p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sunkus kraujo krešėjimo sutrikimas, dėl kurio gali pasireikšti netikėtas kraujavimas arba formuotis mėlynės (</w:t>
      </w:r>
      <w:r w:rsidRPr="00353EE7">
        <w:rPr>
          <w:rFonts w:ascii="Times New Roman" w:hAnsi="Times New Roman"/>
          <w:i/>
        </w:rPr>
        <w:t>diseminuota intravaskulinė koaguliacija</w:t>
      </w:r>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rsidR="00243C11" w:rsidRPr="00353EE7" w:rsidRDefault="00243C11" w:rsidP="00385AEF">
      <w:pPr>
        <w:numPr>
          <w:ilvl w:val="0"/>
          <w:numId w:val="7"/>
        </w:numPr>
        <w:tabs>
          <w:tab w:val="num" w:pos="540"/>
        </w:tabs>
        <w:spacing w:after="0" w:line="240" w:lineRule="auto"/>
        <w:ind w:left="540" w:hanging="540"/>
        <w:rPr>
          <w:rFonts w:ascii="Times New Roman" w:hAnsi="Times New Roman"/>
        </w:rPr>
      </w:pPr>
      <w:bookmarkStart w:id="45" w:name="_Hlk54716394"/>
      <w:r w:rsidRPr="00243C11">
        <w:rPr>
          <w:rFonts w:ascii="Times New Roman" w:hAnsi="Times New Roman"/>
        </w:rPr>
        <w:t>hemofagocitinė limfohistiocitozė</w:t>
      </w:r>
      <w:r>
        <w:rPr>
          <w:rFonts w:ascii="Times New Roman" w:hAnsi="Times New Roman"/>
        </w:rPr>
        <w:t xml:space="preserve"> (HLH) (žr. 2 skyriuje „Kas žinotina prieš vartojant Lamictal“);</w:t>
      </w:r>
    </w:p>
    <w:bookmarkEnd w:id="45"/>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kraujo pokyčiai, įskaitant raudonųjų kraujo ląstelių (eritrocitų) kiekio kraujyje sumažėjimą (</w:t>
      </w:r>
      <w:r w:rsidRPr="00353EE7">
        <w:rPr>
          <w:rFonts w:ascii="Times New Roman" w:hAnsi="Times New Roman"/>
          <w:i/>
        </w:rPr>
        <w:t>anemija</w:t>
      </w:r>
      <w:r w:rsidRPr="00353EE7">
        <w:rPr>
          <w:rFonts w:ascii="Times New Roman" w:hAnsi="Times New Roman"/>
        </w:rPr>
        <w:t>), baltųjų kraujo ląstelių (leukocitų) kiekio kraujyje sumažėjimą (</w:t>
      </w:r>
      <w:r w:rsidRPr="00353EE7">
        <w:rPr>
          <w:rFonts w:ascii="Times New Roman" w:hAnsi="Times New Roman"/>
          <w:i/>
        </w:rPr>
        <w:t>leukopenija, neutropenija, agranuliocitozė</w:t>
      </w:r>
      <w:r w:rsidRPr="00353EE7">
        <w:rPr>
          <w:rFonts w:ascii="Times New Roman" w:hAnsi="Times New Roman"/>
        </w:rPr>
        <w:t>), kraujo plokštelių (trombocitų) kiekio kraujyje sumažėjimą (</w:t>
      </w:r>
      <w:r w:rsidRPr="00353EE7">
        <w:rPr>
          <w:rFonts w:ascii="Times New Roman" w:hAnsi="Times New Roman"/>
          <w:i/>
        </w:rPr>
        <w:t>trombocitopenija</w:t>
      </w:r>
      <w:r w:rsidRPr="00353EE7">
        <w:rPr>
          <w:rFonts w:ascii="Times New Roman" w:hAnsi="Times New Roman"/>
        </w:rPr>
        <w:t>), visų kraujo ląstelių kiekio kraujyje sumažėjimą (</w:t>
      </w:r>
      <w:r w:rsidRPr="00353EE7">
        <w:rPr>
          <w:rFonts w:ascii="Times New Roman" w:hAnsi="Times New Roman"/>
          <w:i/>
        </w:rPr>
        <w:t>pancitopenija</w:t>
      </w:r>
      <w:r w:rsidRPr="00353EE7">
        <w:rPr>
          <w:rFonts w:ascii="Times New Roman" w:hAnsi="Times New Roman"/>
        </w:rPr>
        <w:t xml:space="preserve">) ir kaulų čiulpų funkcijos sutrikimą, vadinamą </w:t>
      </w:r>
      <w:r w:rsidRPr="00353EE7">
        <w:rPr>
          <w:rFonts w:ascii="Times New Roman" w:hAnsi="Times New Roman"/>
          <w:i/>
        </w:rPr>
        <w:t>aplazine anemija</w:t>
      </w:r>
      <w:r w:rsidRPr="00353EE7">
        <w:rPr>
          <w:rFonts w:ascii="Times New Roman" w:hAnsi="Times New Roman"/>
        </w:rPr>
        <w: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haliucinacijos (matomi daiktai ar girdimi balsai, kurių nėra);</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minčių susipainiojimas;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svirduliavimas ir nestabilumas vaikštant;</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nekontroliuojami kūno judesiai (</w:t>
      </w:r>
      <w:r w:rsidRPr="00353EE7">
        <w:rPr>
          <w:rFonts w:ascii="Times New Roman" w:hAnsi="Times New Roman"/>
          <w:i/>
        </w:rPr>
        <w:t>tikai</w:t>
      </w:r>
      <w:r w:rsidRPr="00353EE7">
        <w:rPr>
          <w:rFonts w:ascii="Times New Roman" w:hAnsi="Times New Roman"/>
        </w:rPr>
        <w:t>), nekontroliuojami akių, galvos ar liemens raumenų spazmai (</w:t>
      </w:r>
      <w:r w:rsidRPr="00353EE7">
        <w:rPr>
          <w:rFonts w:ascii="Times New Roman" w:hAnsi="Times New Roman"/>
          <w:i/>
        </w:rPr>
        <w:t>choreoatetozė</w:t>
      </w:r>
      <w:r w:rsidRPr="00353EE7">
        <w:rPr>
          <w:rFonts w:ascii="Times New Roman" w:hAnsi="Times New Roman"/>
        </w:rPr>
        <w:t>) ar kiti neįprasti kūno judesiai, pavyzdžiui, trūkčiojimai, drebulys ar sąstingis;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priepuolių padažnėjimas epilepsija jau sergantiems žmonėms;</w:t>
      </w:r>
    </w:p>
    <w:p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žmonėms, kurie serga Parkinsono</w:t>
      </w:r>
      <w:r>
        <w:rPr>
          <w:rFonts w:ascii="Times New Roman" w:hAnsi="Times New Roman"/>
        </w:rPr>
        <w:t xml:space="preserve"> (</w:t>
      </w:r>
      <w:r>
        <w:rPr>
          <w:rFonts w:ascii="Times New Roman" w:hAnsi="Times New Roman"/>
          <w:i/>
        </w:rPr>
        <w:t>Parkinson</w:t>
      </w:r>
      <w:r>
        <w:rPr>
          <w:rFonts w:ascii="Times New Roman" w:hAnsi="Times New Roman"/>
        </w:rPr>
        <w:t>)</w:t>
      </w:r>
      <w:r w:rsidRPr="00353EE7">
        <w:rPr>
          <w:rFonts w:ascii="Times New Roman" w:hAnsi="Times New Roman"/>
        </w:rPr>
        <w:t xml:space="preserve"> liga, simptomai gali pasunkėti;</w:t>
      </w:r>
    </w:p>
    <w:p w:rsidR="00385AEF" w:rsidRPr="00243C11" w:rsidRDefault="00385AEF" w:rsidP="00243C11">
      <w:pPr>
        <w:numPr>
          <w:ilvl w:val="0"/>
          <w:numId w:val="7"/>
        </w:numPr>
        <w:tabs>
          <w:tab w:val="num" w:pos="540"/>
        </w:tabs>
        <w:spacing w:after="0" w:line="240" w:lineRule="auto"/>
        <w:ind w:left="540" w:hanging="540"/>
        <w:rPr>
          <w:rFonts w:ascii="Times New Roman" w:hAnsi="Times New Roman"/>
        </w:rPr>
      </w:pPr>
      <w:r w:rsidRPr="00243C11">
        <w:rPr>
          <w:rFonts w:ascii="Times New Roman" w:hAnsi="Times New Roman"/>
        </w:rPr>
        <w:t>į raudonąją vilkligę panaši reakcija (galimi jos požymiai: nugaros ar sąnarių skausmas, kurie kartais gali būti lydimi karščiavimo ir (arba) bendro negalavimo).</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Kitas šalutinis poveikis</w:t>
      </w:r>
    </w:p>
    <w:p w:rsidR="00385AEF" w:rsidRPr="00353EE7" w:rsidRDefault="00385AEF" w:rsidP="00385AEF">
      <w:pPr>
        <w:spacing w:after="0" w:line="240" w:lineRule="auto"/>
        <w:rPr>
          <w:rFonts w:ascii="Times New Roman" w:hAnsi="Times New Roman"/>
        </w:rPr>
      </w:pPr>
      <w:r w:rsidRPr="00353EE7">
        <w:rPr>
          <w:rFonts w:ascii="Times New Roman" w:hAnsi="Times New Roman"/>
        </w:rPr>
        <w:t>Mažai daliai žmonių pasireiškė kitas šalutinis poveikis, bet tikslus tokio poveikio dažnis nežinomas:</w:t>
      </w:r>
    </w:p>
    <w:p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Būta pranešimų apie kaulų sutrikimus, įskaitant osteopeniją ir osteoporozę (kaulų išretėjimą), bei kaulų lūžius. Pasitarkite su gydytoju, jeigu jūs ilgai vartojate antiepilepsinių preparatų, esate sirgę osteoporoze ar vartojate steroidinius vaistus.</w:t>
      </w:r>
    </w:p>
    <w:p w:rsidR="002B325B" w:rsidRPr="00353EE7" w:rsidRDefault="002B325B" w:rsidP="00385AEF">
      <w:pPr>
        <w:numPr>
          <w:ilvl w:val="0"/>
          <w:numId w:val="7"/>
        </w:numPr>
        <w:tabs>
          <w:tab w:val="num" w:pos="540"/>
        </w:tabs>
        <w:spacing w:after="0" w:line="240" w:lineRule="auto"/>
        <w:ind w:left="540" w:hanging="540"/>
        <w:rPr>
          <w:rFonts w:ascii="Times New Roman" w:hAnsi="Times New Roman"/>
        </w:rPr>
      </w:pPr>
      <w:bookmarkStart w:id="46" w:name="_Hlk54716577"/>
      <w:r>
        <w:rPr>
          <w:rFonts w:ascii="Times New Roman" w:hAnsi="Times New Roman"/>
        </w:rPr>
        <w:t>Inkstų uždegimas (</w:t>
      </w:r>
      <w:r w:rsidRPr="00362450">
        <w:rPr>
          <w:rFonts w:ascii="Times New Roman" w:hAnsi="Times New Roman"/>
          <w:i/>
        </w:rPr>
        <w:t>tubulointersti</w:t>
      </w:r>
      <w:r>
        <w:rPr>
          <w:rFonts w:ascii="Times New Roman" w:hAnsi="Times New Roman"/>
          <w:i/>
        </w:rPr>
        <w:t>cinis</w:t>
      </w:r>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a</w:t>
      </w:r>
      <w:r w:rsidRPr="00362450">
        <w:rPr>
          <w:rFonts w:ascii="Times New Roman" w:hAnsi="Times New Roman"/>
          <w:i/>
          <w:iCs/>
        </w:rPr>
        <w:t>s</w:t>
      </w:r>
      <w:r w:rsidRPr="00362450">
        <w:rPr>
          <w:rFonts w:ascii="Times New Roman" w:hAnsi="Times New Roman"/>
        </w:rPr>
        <w:t>)</w:t>
      </w:r>
      <w:r>
        <w:rPr>
          <w:rFonts w:ascii="Times New Roman" w:hAnsi="Times New Roman"/>
        </w:rPr>
        <w:t xml:space="preserve"> arba inkstų ir akies</w:t>
      </w:r>
      <w:r w:rsidRPr="00362450">
        <w:rPr>
          <w:rFonts w:ascii="Times New Roman" w:hAnsi="Times New Roman"/>
        </w:rPr>
        <w:t xml:space="preserve"> </w:t>
      </w:r>
      <w:r>
        <w:rPr>
          <w:rFonts w:ascii="Times New Roman" w:hAnsi="Times New Roman"/>
        </w:rPr>
        <w:t>uždegimas</w:t>
      </w:r>
      <w:r w:rsidRPr="00362450">
        <w:rPr>
          <w:rFonts w:ascii="Times New Roman" w:hAnsi="Times New Roman"/>
        </w:rPr>
        <w:t xml:space="preserve"> (</w:t>
      </w:r>
      <w:r w:rsidRPr="00362450">
        <w:rPr>
          <w:rFonts w:ascii="Times New Roman" w:hAnsi="Times New Roman"/>
          <w:i/>
        </w:rPr>
        <w:t>tubulointersti</w:t>
      </w:r>
      <w:r>
        <w:rPr>
          <w:rFonts w:ascii="Times New Roman" w:hAnsi="Times New Roman"/>
          <w:i/>
        </w:rPr>
        <w:t>cinio</w:t>
      </w:r>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o ir</w:t>
      </w:r>
      <w:r w:rsidRPr="00362450">
        <w:rPr>
          <w:rFonts w:ascii="Times New Roman" w:hAnsi="Times New Roman"/>
          <w:i/>
        </w:rPr>
        <w:t xml:space="preserve"> uveit</w:t>
      </w:r>
      <w:r>
        <w:rPr>
          <w:rFonts w:ascii="Times New Roman" w:hAnsi="Times New Roman"/>
          <w:i/>
        </w:rPr>
        <w:t>o</w:t>
      </w:r>
      <w:r w:rsidRPr="00362450">
        <w:rPr>
          <w:rFonts w:ascii="Times New Roman" w:hAnsi="Times New Roman"/>
          <w:i/>
        </w:rPr>
        <w:t xml:space="preserve"> </w:t>
      </w:r>
      <w:r w:rsidRPr="00362450">
        <w:rPr>
          <w:rFonts w:ascii="Times New Roman" w:hAnsi="Times New Roman"/>
          <w:i/>
          <w:iCs/>
        </w:rPr>
        <w:t>s</w:t>
      </w:r>
      <w:r>
        <w:rPr>
          <w:rFonts w:ascii="Times New Roman" w:hAnsi="Times New Roman"/>
          <w:i/>
          <w:iCs/>
        </w:rPr>
        <w:t>i</w:t>
      </w:r>
      <w:r w:rsidRPr="00362450">
        <w:rPr>
          <w:rFonts w:ascii="Times New Roman" w:hAnsi="Times New Roman"/>
          <w:i/>
          <w:iCs/>
        </w:rPr>
        <w:t>ndrom</w:t>
      </w:r>
      <w:r>
        <w:rPr>
          <w:rFonts w:ascii="Times New Roman" w:hAnsi="Times New Roman"/>
          <w:i/>
          <w:iCs/>
        </w:rPr>
        <w:t>as</w:t>
      </w:r>
      <w:r w:rsidRPr="00362450">
        <w:rPr>
          <w:rFonts w:ascii="Times New Roman" w:hAnsi="Times New Roman"/>
        </w:rPr>
        <w:t>)</w:t>
      </w:r>
      <w:r>
        <w:rPr>
          <w:rFonts w:ascii="Times New Roman" w:hAnsi="Times New Roman"/>
        </w:rPr>
        <w:t>.</w:t>
      </w:r>
    </w:p>
    <w:bookmarkEnd w:id="46"/>
    <w:p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Košmarai. </w:t>
      </w:r>
    </w:p>
    <w:p w:rsidR="00385AEF" w:rsidRPr="00F70A88" w:rsidRDefault="00385AEF" w:rsidP="00385AEF">
      <w:pPr>
        <w:numPr>
          <w:ilvl w:val="0"/>
          <w:numId w:val="7"/>
        </w:numPr>
        <w:tabs>
          <w:tab w:val="num" w:pos="540"/>
        </w:tabs>
        <w:spacing w:after="0" w:line="240" w:lineRule="auto"/>
        <w:ind w:left="540" w:hanging="540"/>
        <w:rPr>
          <w:rFonts w:ascii="Times New Roman" w:hAnsi="Times New Roman"/>
        </w:rPr>
      </w:pPr>
      <w:r w:rsidRPr="00F70A88">
        <w:rPr>
          <w:rFonts w:ascii="Times New Roman" w:hAnsi="Times New Roman"/>
        </w:rPr>
        <w:lastRenderedPageBreak/>
        <w:t xml:space="preserve">Imuniteto susilpnėjimas dėl sumažėjusios antikūnų, vadinamų imunoglobulinais, kurie padeda apsisaugoti nuo infekcijos, koncentracijos kraujyje. </w:t>
      </w: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Pranešimas apie šalutinį poveikį</w:t>
      </w:r>
    </w:p>
    <w:p w:rsidR="00385AEF" w:rsidRPr="00353EE7" w:rsidRDefault="00385AEF" w:rsidP="00385AEF">
      <w:pPr>
        <w:spacing w:after="0" w:line="240" w:lineRule="auto"/>
        <w:ind w:right="-449"/>
        <w:rPr>
          <w:rFonts w:ascii="Times New Roman" w:hAnsi="Times New Roman"/>
        </w:rPr>
      </w:pPr>
      <w:r w:rsidRPr="00353EE7">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DE235D">
          <w:rPr>
            <w:rStyle w:val="Hipersaitas"/>
            <w:rFonts w:ascii="Times New Roman" w:hAnsi="Times New Roman"/>
          </w:rPr>
          <w:t>www.vvkt.lt</w:t>
        </w:r>
      </w:hyperlink>
      <w:r>
        <w:rPr>
          <w:rFonts w:ascii="Times New Roman" w:hAnsi="Times New Roman"/>
        </w:rPr>
        <w:t xml:space="preserve"> </w:t>
      </w:r>
      <w:r w:rsidRPr="00353EE7">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DE235D">
          <w:rPr>
            <w:rStyle w:val="Hipersaitas"/>
            <w:rFonts w:ascii="Times New Roman" w:hAnsi="Times New Roman"/>
          </w:rPr>
          <w:t>NepageidaujamaR@vvkt.lt</w:t>
        </w:r>
      </w:hyperlink>
      <w:r>
        <w:rPr>
          <w:rFonts w:ascii="Times New Roman" w:hAnsi="Times New Roman"/>
        </w:rPr>
        <w:t xml:space="preserve"> </w:t>
      </w:r>
      <w:r w:rsidRPr="00353EE7">
        <w:rPr>
          <w:rFonts w:ascii="Times New Roman" w:hAnsi="Times New Roman"/>
        </w:rPr>
        <w:t xml:space="preserve">, taip pat per Valstybinės vaistų kontrolės tarnybos prie Lietuvos Respublikos sveikatos apsaugos ministerijos interneto svetainę (adresu </w:t>
      </w:r>
      <w:hyperlink r:id="rId11" w:history="1">
        <w:r w:rsidRPr="00DE235D">
          <w:rPr>
            <w:rStyle w:val="Hipersaitas"/>
            <w:rFonts w:ascii="Times New Roman" w:hAnsi="Times New Roman"/>
          </w:rPr>
          <w:t>http://www.vvkt.lt</w:t>
        </w:r>
      </w:hyperlink>
      <w:r>
        <w:rPr>
          <w:rFonts w:ascii="Times New Roman" w:hAnsi="Times New Roman"/>
        </w:rPr>
        <w:t xml:space="preserve"> </w:t>
      </w:r>
      <w:r w:rsidRPr="00353EE7">
        <w:rPr>
          <w:rFonts w:ascii="Times New Roman" w:hAnsi="Times New Roman"/>
        </w:rPr>
        <w:t>). Pranešdami apie šalutinį poveikį galite mums padėti gauti daugiau informacijos apie šio vaisto saugumą.</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Kaip laikyti Lamictal</w:t>
      </w:r>
    </w:p>
    <w:p w:rsidR="00385AEF" w:rsidRPr="00353EE7" w:rsidRDefault="00385AEF" w:rsidP="00385AEF">
      <w:pPr>
        <w:keepNext/>
        <w:tabs>
          <w:tab w:val="left" w:pos="0"/>
        </w:tabs>
        <w:spacing w:after="0" w:line="240" w:lineRule="auto"/>
        <w:ind w:left="567" w:hanging="567"/>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Šį vaistą laikykite vaikams nepastebimoje ir nepasiekiamoje vietoje.</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spacing w:after="0" w:line="240" w:lineRule="auto"/>
        <w:rPr>
          <w:i/>
        </w:rPr>
      </w:pPr>
      <w:r w:rsidRPr="00353EE7">
        <w:rPr>
          <w:rFonts w:ascii="Times New Roman" w:hAnsi="Times New Roman"/>
        </w:rPr>
        <w:t>Ant lizdinės plokštelės, kartono dėžutės ar buteliuko po „Tinka iki“ arba „EXP“ nurodytam tinkamumo laikui pasibaigus, šio vaisto</w:t>
      </w:r>
      <w:r w:rsidRPr="00353EE7">
        <w:rPr>
          <w:rFonts w:ascii="Times New Roman" w:hAnsi="Times New Roman"/>
          <w:i/>
        </w:rPr>
        <w:t xml:space="preserve"> </w:t>
      </w:r>
      <w:r w:rsidRPr="00353EE7">
        <w:rPr>
          <w:rFonts w:ascii="Times New Roman" w:hAnsi="Times New Roman"/>
        </w:rPr>
        <w:t>vartoti negalima. Vaistas tinkamas vartoti iki paskutinės nurodyto mėnesio dienos.</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spacing w:after="0" w:line="240" w:lineRule="auto"/>
        <w:rPr>
          <w:i/>
        </w:rPr>
      </w:pPr>
      <w:r w:rsidRPr="00353EE7">
        <w:rPr>
          <w:rFonts w:ascii="Times New Roman" w:hAnsi="Times New Roman"/>
        </w:rPr>
        <w:t>Lamictal specialių laikymo sąlygų nereikia.</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Vaistų negalima išmesti</w:t>
      </w:r>
      <w:r w:rsidRPr="00353EE7" w:rsidDel="002D32ED">
        <w:rPr>
          <w:rFonts w:ascii="Times New Roman" w:hAnsi="Times New Roman"/>
        </w:rPr>
        <w:t xml:space="preserve"> </w:t>
      </w:r>
      <w:r w:rsidRPr="00353EE7">
        <w:rPr>
          <w:rFonts w:ascii="Times New Roman" w:hAnsi="Times New Roman"/>
        </w:rPr>
        <w:t>į kanalizaciją arba su buitinėmis atliekomis. Kaip išmesti</w:t>
      </w:r>
      <w:r w:rsidRPr="00353EE7" w:rsidDel="002D32ED">
        <w:rPr>
          <w:rFonts w:ascii="Times New Roman" w:hAnsi="Times New Roman"/>
        </w:rPr>
        <w:t xml:space="preserve"> </w:t>
      </w:r>
      <w:r w:rsidRPr="00353EE7">
        <w:rPr>
          <w:rFonts w:ascii="Times New Roman" w:hAnsi="Times New Roman"/>
        </w:rPr>
        <w:t>nereikalingus vaistus, klauskite vaistininko. Šios priemonės padės apsaugoti aplinką.</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keepNext/>
        <w:numPr>
          <w:ilvl w:val="12"/>
          <w:numId w:val="0"/>
        </w:numPr>
        <w:spacing w:after="0" w:line="240" w:lineRule="auto"/>
        <w:ind w:left="567" w:right="-2" w:hanging="567"/>
        <w:rPr>
          <w:rFonts w:ascii="Times New Roman" w:hAnsi="Times New Roman"/>
          <w:b/>
        </w:rPr>
      </w:pPr>
      <w:r w:rsidRPr="00353EE7">
        <w:rPr>
          <w:rFonts w:ascii="Times New Roman" w:hAnsi="Times New Roman"/>
          <w:b/>
        </w:rPr>
        <w:t>6.</w:t>
      </w:r>
      <w:r w:rsidRPr="00353EE7">
        <w:rPr>
          <w:rFonts w:ascii="Times New Roman" w:hAnsi="Times New Roman"/>
          <w:b/>
        </w:rPr>
        <w:tab/>
        <w:t>Pakuotės turinys ir kita informacija</w:t>
      </w:r>
    </w:p>
    <w:p w:rsidR="00385AEF" w:rsidRPr="00353EE7" w:rsidRDefault="00385AEF" w:rsidP="00385AEF">
      <w:pPr>
        <w:keepNext/>
        <w:numPr>
          <w:ilvl w:val="12"/>
          <w:numId w:val="0"/>
        </w:numPr>
        <w:spacing w:after="0" w:line="240" w:lineRule="auto"/>
        <w:ind w:right="-2"/>
        <w:rPr>
          <w:rFonts w:ascii="Times New Roman" w:hAnsi="Times New Roman"/>
        </w:rPr>
      </w:pPr>
    </w:p>
    <w:p w:rsidR="00385AEF" w:rsidRPr="00353EE7" w:rsidRDefault="00385AEF" w:rsidP="00385AEF">
      <w:pPr>
        <w:keepNext/>
        <w:numPr>
          <w:ilvl w:val="12"/>
          <w:numId w:val="0"/>
        </w:numPr>
        <w:spacing w:after="0" w:line="240" w:lineRule="auto"/>
        <w:ind w:right="-2"/>
        <w:rPr>
          <w:rFonts w:ascii="Times New Roman" w:hAnsi="Times New Roman"/>
          <w:b/>
        </w:rPr>
      </w:pPr>
      <w:r w:rsidRPr="00353EE7">
        <w:rPr>
          <w:rFonts w:ascii="Times New Roman" w:hAnsi="Times New Roman"/>
          <w:b/>
        </w:rPr>
        <w:t>Lamictal kramtomųjų ar disperguojamųjų tablečių sudėtis</w:t>
      </w: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Veiklioji medžiaga yra lamotriginas. Kiekvienoje kramtomojoje ar disperguojamojoje tabletėje yra 2 mg, 5 mg, 25 mg, 50 mg, 100 mg ar 200 mg lamotrigino.</w:t>
      </w:r>
    </w:p>
    <w:p w:rsidR="00385AEF" w:rsidRPr="00353EE7" w:rsidRDefault="00385AEF" w:rsidP="00385AEF">
      <w:pPr>
        <w:numPr>
          <w:ilvl w:val="12"/>
          <w:numId w:val="0"/>
        </w:numPr>
        <w:spacing w:after="0" w:line="240" w:lineRule="auto"/>
        <w:ind w:right="-2"/>
        <w:rPr>
          <w:rFonts w:ascii="Times New Roman" w:hAnsi="Times New Roman"/>
        </w:rPr>
      </w:pPr>
    </w:p>
    <w:p w:rsidR="00385AEF"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Pagalbinės medžiagos yra kalcio karbonatas, hidroksipropilceliuliozė (mažai pakeista), aliuminio-magnio silikatas, karboksimetilkrakmolo A natrio druska, povidonas K30, sacharino natrio druska, magnio stearatas, juodųjų serbentų aromatinė medžiaga.</w:t>
      </w:r>
      <w:r w:rsidR="00342875">
        <w:rPr>
          <w:rFonts w:ascii="Times New Roman" w:hAnsi="Times New Roman"/>
        </w:rPr>
        <w:t xml:space="preserve"> </w:t>
      </w:r>
    </w:p>
    <w:p w:rsidR="008212B9" w:rsidRPr="00353EE7" w:rsidRDefault="008212B9" w:rsidP="00385AEF">
      <w:pPr>
        <w:numPr>
          <w:ilvl w:val="12"/>
          <w:numId w:val="0"/>
        </w:numPr>
        <w:spacing w:after="0" w:line="240" w:lineRule="auto"/>
        <w:ind w:right="-2"/>
        <w:rPr>
          <w:rFonts w:ascii="Times New Roman" w:hAnsi="Times New Roman"/>
        </w:rPr>
      </w:pPr>
    </w:p>
    <w:p w:rsidR="00385AEF" w:rsidRPr="00353EE7" w:rsidRDefault="00385AEF" w:rsidP="00385AEF">
      <w:pPr>
        <w:spacing w:after="0" w:line="240" w:lineRule="auto"/>
        <w:rPr>
          <w:rFonts w:ascii="Times New Roman" w:hAnsi="Times New Roman"/>
          <w:b/>
        </w:rPr>
      </w:pPr>
      <w:r w:rsidRPr="00353EE7">
        <w:rPr>
          <w:rFonts w:ascii="Times New Roman" w:hAnsi="Times New Roman"/>
          <w:b/>
        </w:rPr>
        <w:t>Lamictal kramtomųjų ar disperguojamųjų tablečių išvaizda ir kiekis pakuotėje</w:t>
      </w: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Lamictal kramtomosios ar disperguojamosios tabletės (visų stiprumų) yra baltos arba beveik baltos, gali būti šiek tiek taškuotos. Jos kvepia juodaisiais serbentais. Gali būti tiekiamos ne visų dydžių pakuotės.</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Lamictal 2</w:t>
      </w:r>
      <w:r>
        <w:rPr>
          <w:rFonts w:ascii="Times New Roman" w:hAnsi="Times New Roman"/>
        </w:rPr>
        <w:t> </w:t>
      </w:r>
      <w:r w:rsidRPr="00353EE7">
        <w:rPr>
          <w:rFonts w:ascii="Times New Roman" w:hAnsi="Times New Roman"/>
        </w:rPr>
        <w:t>mg kramtomosios ar disperguojamosios tabletės yra apvalios. Vienoje tablečių pusėje yra užrašas ,,LTG“ virš ,,2“, kitoje pusėje nupiešti du statmenai persidengiantys ovalai. Kiekviename buteliuke yra 30 tablečių.</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Lamictal 5 mg kramtomosios ar disperguojamosios tabletės yra pailgos, abipus išgaubtos. Vienoje tablečių pusėje yra užrašas ,,GS CL2”, o kitoje – ,,5”. Kiekvienoje lizdinių plokštelių pakuotėje yra 10, 14, 28, 30, 42, 50 ar 56 tabletės arba buteliuke yra 14, 28, 30, 42, 56 ar 60 tablečių.</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Lamictal 25 mg kramtomosios ar disperguojamosios tabletės yra kvadratinės užapvalintais kampais. Vienoje tablečių pusėje yra užrašas ,,GS CL5”, o kitoje – ,,25“. Kiekvienoje lizdinių plokštelių pakuotėje yra 10, 14, 21, 28, 30, 42, 50, 56 ar 60 tablečių. Tiekiamos 21 ar 42 tablečių pakuotės gydymui pradėti, iš kurių tabletės vartojamos pirmas kelias gydymo savaites lėtai didinant dozę.</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lastRenderedPageBreak/>
        <w:t>Lamictal 50 mg kramtomosios ar disperguojamosios tabletės yra kvadratinės užapvalintais kampais. Vienoje tablečių pusėje yra užrašas ,,GS CX7”, o kitoje – ,,50“. Kiekvienoje lizdinių plokštelių pakuotėje yra 10, 14, 28, 30, 42, 50, 56, 60, 90, 98, 100, 196 ar 200 tablečių. Tiekiamos 42 tablečių pakuotės gydymui pradėti, iš kurių tabletės vartojamos pirmas kelias gydymo savaites lėtai didinant dozę.</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Lamictal 100 mg kramtomosios ar disperguojamosios tabletės yra kvadratinės užapvalintais kampais. Vienoje tablečių pusėje yra užrašas ,,GS CL7”, o kitoje – ,,100“. Kiekvienoje lizdinių plokštelių pakuotėje yra 10, 14, 28, 30, 42, 50, 56, 60, 90, 98, 100, 196 ar 200 tablečių.</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Lamictal 200 mg kramtomosios ar disperguojamosios tabletės yra kvadratinės užapvalintais kampais. Vienoje tablečių pusėje yra užrašas ,,GS EC5”, o kitoje – ,,200“. Kiekvienoje lizdinių plokštelių pakuotėje yra 10, 14, 28, 30, 42, 50, 56, 60, 90, 98, 100, 196 ar 200 tablečių.</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Registruotojas ir gamintojas</w:t>
      </w:r>
    </w:p>
    <w:p w:rsidR="00385AEF" w:rsidRPr="00353EE7" w:rsidRDefault="00385AEF" w:rsidP="00385AEF">
      <w:pPr>
        <w:keepNext/>
        <w:tabs>
          <w:tab w:val="left" w:pos="0"/>
        </w:tabs>
        <w:spacing w:after="0" w:line="240" w:lineRule="auto"/>
        <w:ind w:left="567" w:hanging="567"/>
        <w:rPr>
          <w:rFonts w:ascii="Times New Roman" w:hAnsi="Times New Roman"/>
        </w:rPr>
      </w:pP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b/>
        </w:rPr>
        <w:t>Registruotojas: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UAB „GlaxoSmithKline Lietuva“</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LT-08105 Vilnius</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Lietuva </w:t>
      </w:r>
    </w:p>
    <w:p w:rsidR="00385AEF" w:rsidRPr="00353EE7" w:rsidRDefault="00385AEF" w:rsidP="00385AEF">
      <w:pPr>
        <w:numPr>
          <w:ilvl w:val="12"/>
          <w:numId w:val="0"/>
        </w:numPr>
        <w:spacing w:after="0" w:line="240" w:lineRule="auto"/>
        <w:ind w:right="-2"/>
        <w:rPr>
          <w:rFonts w:ascii="Times New Roman" w:hAnsi="Times New Roman"/>
        </w:rPr>
      </w:pPr>
    </w:p>
    <w:p w:rsidR="00385AEF" w:rsidRPr="00353EE7" w:rsidRDefault="00385AEF" w:rsidP="00385AEF">
      <w:pPr>
        <w:keepNext/>
        <w:numPr>
          <w:ilvl w:val="12"/>
          <w:numId w:val="0"/>
        </w:numPr>
        <w:spacing w:after="0" w:line="240" w:lineRule="auto"/>
        <w:ind w:right="-2"/>
        <w:rPr>
          <w:rFonts w:ascii="Times New Roman" w:hAnsi="Times New Roman"/>
        </w:rPr>
      </w:pPr>
      <w:r w:rsidRPr="00353EE7">
        <w:rPr>
          <w:rFonts w:ascii="Times New Roman" w:hAnsi="Times New Roman"/>
          <w:b/>
        </w:rPr>
        <w:t>Gamintojas</w:t>
      </w:r>
      <w:r w:rsidRPr="00353EE7">
        <w:rPr>
          <w:rFonts w:ascii="Times New Roman" w:hAnsi="Times New Roman"/>
        </w:rPr>
        <w:t xml:space="preserve">: </w:t>
      </w:r>
    </w:p>
    <w:p w:rsidR="00385AEF" w:rsidRPr="00353EE7" w:rsidRDefault="00385AEF" w:rsidP="00385AEF">
      <w:pPr>
        <w:keepNext/>
        <w:numPr>
          <w:ilvl w:val="12"/>
          <w:numId w:val="0"/>
        </w:numPr>
        <w:spacing w:after="0" w:line="240" w:lineRule="auto"/>
        <w:ind w:right="-2"/>
        <w:rPr>
          <w:rFonts w:ascii="Times New Roman" w:hAnsi="Times New Roman"/>
        </w:rPr>
      </w:pPr>
      <w:r w:rsidRPr="00353EE7">
        <w:rPr>
          <w:rFonts w:ascii="Times New Roman" w:hAnsi="Times New Roman"/>
        </w:rPr>
        <w:t>GlaxoSmithKline Pharmaceuticals S.A.</w:t>
      </w: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Ul. Grunwaldzka 189</w:t>
      </w: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60</w:t>
      </w:r>
      <w:r w:rsidRPr="00353EE7">
        <w:rPr>
          <w:rFonts w:ascii="Times New Roman" w:hAnsi="Times New Roman"/>
        </w:rPr>
        <w:noBreakHyphen/>
        <w:t>322 Poznan</w:t>
      </w:r>
    </w:p>
    <w:p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Lenkija</w:t>
      </w:r>
    </w:p>
    <w:p w:rsidR="00385AEF" w:rsidRPr="00353EE7" w:rsidRDefault="00385AEF" w:rsidP="00385AEF">
      <w:pPr>
        <w:numPr>
          <w:ilvl w:val="12"/>
          <w:numId w:val="0"/>
        </w:numPr>
        <w:spacing w:after="0" w:line="240" w:lineRule="auto"/>
        <w:ind w:right="-2"/>
        <w:outlineLvl w:val="0"/>
        <w:rPr>
          <w:rFonts w:ascii="Times New Roman" w:hAnsi="Times New Roman"/>
        </w:rPr>
      </w:pPr>
    </w:p>
    <w:p w:rsidR="00385AEF" w:rsidRPr="00900317" w:rsidRDefault="00385AEF" w:rsidP="00385AEF">
      <w:pPr>
        <w:spacing w:after="0" w:line="240" w:lineRule="auto"/>
      </w:pPr>
      <w:r w:rsidRPr="00900317">
        <w:rPr>
          <w:rFonts w:ascii="Times New Roman" w:hAnsi="Times New Roman"/>
        </w:rPr>
        <w:t>Jeigu apie šį vaistą norite sužinoti daugiau, kreipkitės į vietinį registruotojo atstovą.</w:t>
      </w:r>
    </w:p>
    <w:p w:rsidR="00385AEF" w:rsidRPr="00353EE7" w:rsidRDefault="00385AEF" w:rsidP="00385AEF">
      <w:pPr>
        <w:spacing w:after="0" w:line="240" w:lineRule="auto"/>
        <w:rPr>
          <w:rFonts w:ascii="Times New Roman" w:hAnsi="Times New Roman"/>
        </w:rPr>
      </w:pPr>
    </w:p>
    <w:tbl>
      <w:tblPr>
        <w:tblW w:w="4678" w:type="dxa"/>
        <w:tblInd w:w="-106" w:type="dxa"/>
        <w:tblLayout w:type="fixed"/>
        <w:tblLook w:val="0000" w:firstRow="0" w:lastRow="0" w:firstColumn="0" w:lastColumn="0" w:noHBand="0" w:noVBand="0"/>
      </w:tblPr>
      <w:tblGrid>
        <w:gridCol w:w="4678"/>
      </w:tblGrid>
      <w:tr w:rsidR="00385AEF" w:rsidRPr="00591E78" w:rsidTr="00385AEF">
        <w:tc>
          <w:tcPr>
            <w:tcW w:w="4678" w:type="dxa"/>
          </w:tcPr>
          <w:p w:rsidR="00385AEF" w:rsidRPr="00900317" w:rsidRDefault="00385AEF" w:rsidP="00385AEF">
            <w:pPr>
              <w:spacing w:after="0" w:line="240" w:lineRule="auto"/>
            </w:pPr>
            <w:r w:rsidRPr="00900317">
              <w:rPr>
                <w:rFonts w:ascii="Times New Roman" w:hAnsi="Times New Roman"/>
              </w:rPr>
              <w:t xml:space="preserve">UAB „GlaxoSmithKline Lietuva“ </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Ukmergės g. 120</w:t>
            </w:r>
          </w:p>
          <w:p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LT-08105 Vilnius </w:t>
            </w:r>
          </w:p>
          <w:p w:rsidR="00385AEF" w:rsidRPr="00900317" w:rsidRDefault="00385AEF" w:rsidP="00385AEF">
            <w:pPr>
              <w:spacing w:after="0" w:line="240" w:lineRule="auto"/>
            </w:pPr>
            <w:r w:rsidRPr="00900317">
              <w:rPr>
                <w:rFonts w:ascii="Times New Roman" w:hAnsi="Times New Roman"/>
              </w:rPr>
              <w:t>Tel. +370 5 264 90 00</w:t>
            </w:r>
          </w:p>
          <w:p w:rsidR="00385AEF" w:rsidRPr="00900317" w:rsidRDefault="00385AEF" w:rsidP="00385AEF">
            <w:pPr>
              <w:spacing w:after="0" w:line="240" w:lineRule="auto"/>
            </w:pPr>
          </w:p>
        </w:tc>
      </w:tr>
    </w:tbl>
    <w:p w:rsidR="00385AEF" w:rsidRPr="00900317" w:rsidRDefault="00385AEF" w:rsidP="00385AEF">
      <w:pPr>
        <w:spacing w:after="0" w:line="240" w:lineRule="auto"/>
      </w:pPr>
    </w:p>
    <w:p w:rsidR="00385AEF" w:rsidRPr="00353EE7" w:rsidRDefault="00385AEF" w:rsidP="00385AEF">
      <w:pPr>
        <w:numPr>
          <w:ilvl w:val="12"/>
          <w:numId w:val="0"/>
        </w:numPr>
        <w:tabs>
          <w:tab w:val="left" w:pos="567"/>
        </w:tabs>
        <w:spacing w:after="0" w:line="260" w:lineRule="exact"/>
        <w:ind w:right="-2"/>
        <w:rPr>
          <w:rFonts w:ascii="Times New Roman" w:hAnsi="Times New Roman"/>
        </w:rPr>
      </w:pPr>
      <w:r w:rsidRPr="00353EE7">
        <w:rPr>
          <w:rFonts w:ascii="Times New Roman" w:hAnsi="Times New Roman"/>
          <w:b/>
        </w:rPr>
        <w:t>Šis vaistas EEE valstybėse narėse registruotas tokiais pavadinimais</w:t>
      </w:r>
      <w:r w:rsidRPr="00353EE7">
        <w:rPr>
          <w:rFonts w:ascii="Times New Roman" w:hAnsi="Times New Roman"/>
        </w:rPr>
        <w:t>:</w:t>
      </w:r>
    </w:p>
    <w:p w:rsidR="00385AEF" w:rsidRPr="00353EE7" w:rsidRDefault="00385AEF" w:rsidP="00385AEF">
      <w:pPr>
        <w:keepNext/>
        <w:spacing w:after="0" w:line="240" w:lineRule="auto"/>
        <w:rPr>
          <w:rFonts w:ascii="Times New Roman" w:hAnsi="Times New Roman"/>
        </w:rPr>
      </w:pPr>
    </w:p>
    <w:tbl>
      <w:tblPr>
        <w:tblW w:w="9214" w:type="dxa"/>
        <w:tblInd w:w="-106" w:type="dxa"/>
        <w:tblLook w:val="01E0" w:firstRow="1" w:lastRow="1" w:firstColumn="1" w:lastColumn="1" w:noHBand="0" w:noVBand="0"/>
      </w:tblPr>
      <w:tblGrid>
        <w:gridCol w:w="3071"/>
        <w:gridCol w:w="3071"/>
        <w:gridCol w:w="3072"/>
      </w:tblGrid>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Austrija</w:t>
            </w:r>
            <w:r w:rsidRPr="00353EE7">
              <w:rPr>
                <w:rFonts w:ascii="Times New Roman" w:hAnsi="Times New Roman"/>
              </w:rPr>
              <w:tab/>
              <w:t>Lamictal</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Belgija</w:t>
            </w:r>
            <w:r w:rsidRPr="00353EE7">
              <w:rPr>
                <w:rFonts w:ascii="Times New Roman" w:hAnsi="Times New Roman"/>
              </w:rPr>
              <w:tab/>
              <w:t>Lamictal</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Bulgarija</w:t>
            </w:r>
            <w:r w:rsidRPr="00353EE7">
              <w:rPr>
                <w:rFonts w:ascii="Times New Roman" w:hAnsi="Times New Roman"/>
              </w:rPr>
              <w:tab/>
              <w:t>Lamictal</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 xml:space="preserve">Kroatija </w:t>
            </w:r>
            <w:r w:rsidRPr="00353EE7">
              <w:rPr>
                <w:rFonts w:ascii="Times New Roman" w:hAnsi="Times New Roman"/>
              </w:rPr>
              <w:tab/>
              <w:t>Lamictal</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Kipras</w:t>
            </w:r>
            <w:r w:rsidRPr="00353EE7">
              <w:rPr>
                <w:rFonts w:ascii="Times New Roman" w:hAnsi="Times New Roman"/>
              </w:rPr>
              <w:tab/>
              <w:t>Lamictal</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Čekija</w:t>
            </w:r>
            <w:r w:rsidRPr="00353EE7">
              <w:rPr>
                <w:rFonts w:ascii="Times New Roman" w:hAnsi="Times New Roman"/>
              </w:rPr>
              <w:tab/>
              <w:t>Lamictal</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Danija</w:t>
            </w:r>
            <w:r w:rsidRPr="00353EE7">
              <w:rPr>
                <w:rFonts w:ascii="Times New Roman" w:hAnsi="Times New Roman"/>
              </w:rPr>
              <w:tab/>
              <w:t>Lamictal</w:t>
            </w:r>
            <w:r w:rsidRPr="00353EE7" w:rsidDel="003C1BD7">
              <w:rPr>
                <w:rFonts w:ascii="Times New Roman" w:hAnsi="Times New Roman"/>
              </w:rPr>
              <w:t xml:space="preserve"> </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Estija  </w:t>
            </w:r>
            <w:r w:rsidRPr="00353EE7">
              <w:rPr>
                <w:rFonts w:ascii="Times New Roman" w:hAnsi="Times New Roman"/>
              </w:rPr>
              <w:tab/>
              <w:t>Lamictal</w:t>
            </w:r>
            <w:r w:rsidRPr="00353EE7" w:rsidDel="003C1BD7">
              <w:rPr>
                <w:rFonts w:ascii="Times New Roman" w:hAnsi="Times New Roman"/>
              </w:rPr>
              <w:t xml:space="preserve"> </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Suomija</w:t>
            </w:r>
            <w:r w:rsidRPr="00353EE7">
              <w:rPr>
                <w:rFonts w:ascii="Times New Roman" w:hAnsi="Times New Roman"/>
              </w:rPr>
              <w:tab/>
              <w:t>Lamictal</w:t>
            </w:r>
            <w:r w:rsidRPr="00353EE7" w:rsidDel="003C1BD7">
              <w:rPr>
                <w:rFonts w:ascii="Times New Roman" w:hAnsi="Times New Roman"/>
              </w:rPr>
              <w:t xml:space="preserve"> </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Prancūzija</w:t>
            </w:r>
            <w:r w:rsidRPr="00353EE7">
              <w:rPr>
                <w:rFonts w:ascii="Times New Roman" w:hAnsi="Times New Roman"/>
              </w:rPr>
              <w:tab/>
              <w:t>Lamictal</w:t>
            </w:r>
            <w:r w:rsidRPr="00353EE7" w:rsidDel="003C1BD7">
              <w:rPr>
                <w:rFonts w:ascii="Times New Roman" w:hAnsi="Times New Roman"/>
              </w:rPr>
              <w:t xml:space="preserve"> </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Vokietija</w:t>
            </w:r>
            <w:r w:rsidRPr="00353EE7">
              <w:rPr>
                <w:rFonts w:ascii="Times New Roman" w:hAnsi="Times New Roman"/>
              </w:rPr>
              <w:tab/>
              <w:t>Lamictal</w:t>
            </w:r>
            <w:r w:rsidRPr="00353EE7" w:rsidDel="003C1BD7">
              <w:rPr>
                <w:rFonts w:ascii="Times New Roman" w:hAnsi="Times New Roman"/>
              </w:rPr>
              <w:t xml:space="preserve"> </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Graikija</w:t>
            </w:r>
            <w:r w:rsidRPr="00353EE7">
              <w:rPr>
                <w:rFonts w:ascii="Times New Roman" w:hAnsi="Times New Roman"/>
              </w:rPr>
              <w:tab/>
              <w:t>Lamictal</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Vengrija</w:t>
            </w:r>
            <w:r w:rsidRPr="00353EE7">
              <w:rPr>
                <w:rFonts w:ascii="Times New Roman" w:hAnsi="Times New Roman"/>
              </w:rPr>
              <w:tab/>
              <w:t>Lamictal</w:t>
            </w:r>
            <w:r w:rsidRPr="00353EE7" w:rsidDel="003C1BD7">
              <w:rPr>
                <w:rFonts w:ascii="Times New Roman" w:hAnsi="Times New Roman"/>
              </w:rPr>
              <w:t xml:space="preserve"> </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Islandija</w:t>
            </w:r>
            <w:r w:rsidRPr="00353EE7">
              <w:rPr>
                <w:rFonts w:ascii="Times New Roman" w:hAnsi="Times New Roman"/>
              </w:rPr>
              <w:tab/>
              <w:t>Lamictal</w:t>
            </w:r>
            <w:r w:rsidRPr="00353EE7" w:rsidDel="003C1BD7">
              <w:rPr>
                <w:rFonts w:ascii="Times New Roman" w:hAnsi="Times New Roman"/>
              </w:rPr>
              <w:t xml:space="preserve"> </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 xml:space="preserve">Airija </w:t>
            </w:r>
            <w:r w:rsidRPr="00353EE7">
              <w:rPr>
                <w:rFonts w:ascii="Times New Roman" w:hAnsi="Times New Roman"/>
              </w:rPr>
              <w:tab/>
              <w:t>Lamictal</w:t>
            </w:r>
            <w:r w:rsidRPr="00353EE7" w:rsidDel="003C1BD7">
              <w:rPr>
                <w:rFonts w:ascii="Times New Roman" w:hAnsi="Times New Roman"/>
              </w:rPr>
              <w:t xml:space="preserve"> </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Italija</w:t>
            </w:r>
            <w:r w:rsidRPr="00353EE7">
              <w:rPr>
                <w:rFonts w:ascii="Times New Roman" w:hAnsi="Times New Roman"/>
              </w:rPr>
              <w:tab/>
              <w:t xml:space="preserve">                       Lamictal</w:t>
            </w:r>
            <w:r w:rsidRPr="00353EE7" w:rsidDel="003C1BD7">
              <w:rPr>
                <w:rFonts w:ascii="Times New Roman" w:hAnsi="Times New Roman"/>
              </w:rPr>
              <w:t xml:space="preserve"> </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Latvija</w:t>
            </w:r>
            <w:r w:rsidRPr="00353EE7">
              <w:rPr>
                <w:rFonts w:ascii="Times New Roman" w:hAnsi="Times New Roman"/>
              </w:rPr>
              <w:tab/>
              <w:t>Lamictal</w:t>
            </w:r>
            <w:r w:rsidRPr="00353EE7" w:rsidDel="003C1BD7">
              <w:rPr>
                <w:rFonts w:ascii="Times New Roman" w:hAnsi="Times New Roman"/>
              </w:rPr>
              <w:t xml:space="preserve"> </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Lietuva</w:t>
            </w:r>
            <w:r w:rsidRPr="00353EE7">
              <w:rPr>
                <w:rFonts w:ascii="Times New Roman" w:hAnsi="Times New Roman"/>
              </w:rPr>
              <w:tab/>
              <w:t>Lamictal</w:t>
            </w:r>
            <w:r w:rsidRPr="00353EE7" w:rsidDel="003C1BD7">
              <w:rPr>
                <w:rFonts w:ascii="Times New Roman" w:hAnsi="Times New Roman"/>
              </w:rPr>
              <w:t xml:space="preserve"> </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Liuksemburgas</w:t>
            </w:r>
            <w:r w:rsidRPr="00353EE7">
              <w:rPr>
                <w:rFonts w:ascii="Times New Roman" w:hAnsi="Times New Roman"/>
              </w:rPr>
              <w:tab/>
              <w:t>Lamictal</w:t>
            </w:r>
            <w:r w:rsidRPr="00353EE7" w:rsidDel="003C1BD7">
              <w:rPr>
                <w:rFonts w:ascii="Times New Roman" w:hAnsi="Times New Roman"/>
              </w:rPr>
              <w:t xml:space="preserve"> </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Malta </w:t>
            </w:r>
            <w:r w:rsidRPr="00353EE7">
              <w:rPr>
                <w:rFonts w:ascii="Times New Roman" w:hAnsi="Times New Roman"/>
              </w:rPr>
              <w:tab/>
              <w:t>Lamictal</w:t>
            </w:r>
            <w:r w:rsidRPr="00353EE7" w:rsidDel="003C1BD7">
              <w:rPr>
                <w:rFonts w:ascii="Times New Roman" w:hAnsi="Times New Roman"/>
              </w:rPr>
              <w:t xml:space="preserve"> </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Nyderlandai</w:t>
            </w:r>
            <w:r w:rsidRPr="00353EE7">
              <w:rPr>
                <w:rFonts w:ascii="Times New Roman" w:hAnsi="Times New Roman"/>
              </w:rPr>
              <w:tab/>
              <w:t>Lamictal</w:t>
            </w:r>
            <w:r w:rsidRPr="00353EE7" w:rsidDel="003C1BD7">
              <w:rPr>
                <w:rFonts w:ascii="Times New Roman" w:hAnsi="Times New Roman"/>
              </w:rPr>
              <w:t xml:space="preserve"> </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Norvegija</w:t>
            </w:r>
            <w:r w:rsidRPr="00353EE7">
              <w:rPr>
                <w:rFonts w:ascii="Times New Roman" w:hAnsi="Times New Roman"/>
              </w:rPr>
              <w:tab/>
              <w:t>Lamictal</w:t>
            </w:r>
            <w:r w:rsidRPr="00353EE7" w:rsidDel="003C1BD7">
              <w:rPr>
                <w:rFonts w:ascii="Times New Roman" w:hAnsi="Times New Roman"/>
              </w:rPr>
              <w:t xml:space="preserve"> </w:t>
            </w:r>
          </w:p>
        </w:tc>
        <w:tc>
          <w:tcPr>
            <w:tcW w:w="3071" w:type="dxa"/>
          </w:tcPr>
          <w:p w:rsidR="00385AEF" w:rsidRPr="00353EE7" w:rsidRDefault="00385AEF" w:rsidP="00385AEF">
            <w:pPr>
              <w:keepNext/>
              <w:tabs>
                <w:tab w:val="left" w:pos="1713"/>
              </w:tabs>
              <w:spacing w:after="0" w:line="240" w:lineRule="auto"/>
              <w:ind w:left="567" w:hanging="567"/>
              <w:outlineLvl w:val="1"/>
              <w:rPr>
                <w:rFonts w:ascii="Times New Roman" w:hAnsi="Times New Roman"/>
              </w:rPr>
            </w:pPr>
            <w:r w:rsidRPr="00353EE7">
              <w:rPr>
                <w:rFonts w:ascii="Times New Roman" w:hAnsi="Times New Roman"/>
              </w:rPr>
              <w:t>Lenkija</w:t>
            </w:r>
            <w:r w:rsidRPr="00353EE7">
              <w:rPr>
                <w:rFonts w:ascii="Times New Roman" w:hAnsi="Times New Roman"/>
              </w:rPr>
              <w:tab/>
              <w:t xml:space="preserve"> Lamitrin</w:t>
            </w:r>
          </w:p>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ab/>
              <w:t xml:space="preserve">                      Lamitrin S</w:t>
            </w:r>
            <w:r w:rsidRPr="00353EE7" w:rsidDel="003C1BD7">
              <w:rPr>
                <w:rFonts w:ascii="Times New Roman" w:hAnsi="Times New Roman"/>
              </w:rPr>
              <w:t xml:space="preserve"> </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Portugalija</w:t>
            </w:r>
            <w:r w:rsidRPr="00353EE7">
              <w:rPr>
                <w:rFonts w:ascii="Times New Roman" w:hAnsi="Times New Roman"/>
              </w:rPr>
              <w:tab/>
              <w:t xml:space="preserve">Lamictal </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Rumunija</w:t>
            </w:r>
            <w:r w:rsidRPr="00353EE7">
              <w:rPr>
                <w:rFonts w:ascii="Times New Roman" w:hAnsi="Times New Roman"/>
              </w:rPr>
              <w:tab/>
              <w:t>Lamictal</w:t>
            </w:r>
            <w:r w:rsidRPr="00353EE7" w:rsidDel="003C1BD7">
              <w:rPr>
                <w:rFonts w:ascii="Times New Roman" w:hAnsi="Times New Roman"/>
              </w:rPr>
              <w:t xml:space="preserve"> </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Slovakija</w:t>
            </w:r>
            <w:r w:rsidRPr="00353EE7">
              <w:rPr>
                <w:rFonts w:ascii="Times New Roman" w:hAnsi="Times New Roman"/>
              </w:rPr>
              <w:tab/>
              <w:t>Lamictal</w:t>
            </w:r>
            <w:r w:rsidRPr="00353EE7" w:rsidDel="00606F15">
              <w:rPr>
                <w:rFonts w:ascii="Times New Roman" w:hAnsi="Times New Roman"/>
              </w:rPr>
              <w:t xml:space="preserve"> </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Slovėnija</w:t>
            </w:r>
            <w:r w:rsidRPr="00353EE7">
              <w:rPr>
                <w:rFonts w:ascii="Times New Roman" w:hAnsi="Times New Roman"/>
              </w:rPr>
              <w:tab/>
              <w:t>Lamictal</w:t>
            </w:r>
            <w:r w:rsidRPr="00353EE7" w:rsidDel="00606F15">
              <w:rPr>
                <w:rFonts w:ascii="Times New Roman" w:hAnsi="Times New Roman"/>
              </w:rPr>
              <w:t xml:space="preserve"> </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Ispanija</w:t>
            </w:r>
            <w:r w:rsidRPr="00353EE7">
              <w:rPr>
                <w:rFonts w:ascii="Times New Roman" w:hAnsi="Times New Roman"/>
              </w:rPr>
              <w:tab/>
              <w:t>Lamictal</w:t>
            </w:r>
            <w:r w:rsidRPr="00353EE7" w:rsidDel="00606F15">
              <w:rPr>
                <w:rFonts w:ascii="Times New Roman" w:hAnsi="Times New Roman"/>
              </w:rPr>
              <w:t xml:space="preserve"> </w:t>
            </w: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Švedija</w:t>
            </w:r>
            <w:r w:rsidRPr="00353EE7">
              <w:rPr>
                <w:rFonts w:ascii="Times New Roman" w:hAnsi="Times New Roman"/>
              </w:rPr>
              <w:tab/>
              <w:t>Lamictal</w:t>
            </w:r>
            <w:r w:rsidRPr="00353EE7" w:rsidDel="00606F15">
              <w:rPr>
                <w:rFonts w:ascii="Times New Roman" w:hAnsi="Times New Roman"/>
              </w:rPr>
              <w:t xml:space="preserve"> </w:t>
            </w: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Jungtinė Karalystė</w:t>
            </w:r>
            <w:r w:rsidRPr="00353EE7">
              <w:rPr>
                <w:rFonts w:ascii="Times New Roman" w:hAnsi="Times New Roman"/>
              </w:rPr>
              <w:tab/>
              <w:t>Lamictal</w:t>
            </w:r>
            <w:r w:rsidRPr="00353EE7" w:rsidDel="00606F15">
              <w:rPr>
                <w:rFonts w:ascii="Times New Roman" w:hAnsi="Times New Roman"/>
              </w:rPr>
              <w:t xml:space="preserve"> </w:t>
            </w:r>
          </w:p>
        </w:tc>
      </w:tr>
      <w:tr w:rsidR="00385AEF" w:rsidRPr="00591E78" w:rsidTr="00385AEF">
        <w:tc>
          <w:tcPr>
            <w:tcW w:w="3071" w:type="dxa"/>
          </w:tcPr>
          <w:p w:rsidR="00385AEF" w:rsidRPr="00353EE7" w:rsidRDefault="00385AEF" w:rsidP="00385AEF">
            <w:pPr>
              <w:keepNext/>
              <w:tabs>
                <w:tab w:val="left" w:pos="1877"/>
              </w:tabs>
              <w:spacing w:after="0" w:line="240" w:lineRule="auto"/>
              <w:ind w:left="567" w:hanging="567"/>
              <w:outlineLvl w:val="1"/>
              <w:rPr>
                <w:rFonts w:ascii="Times New Roman" w:hAnsi="Times New Roman"/>
              </w:rPr>
            </w:pPr>
          </w:p>
        </w:tc>
        <w:tc>
          <w:tcPr>
            <w:tcW w:w="3071" w:type="dxa"/>
          </w:tcPr>
          <w:p w:rsidR="00385AEF" w:rsidRPr="00353EE7" w:rsidRDefault="00385AEF" w:rsidP="00385AEF">
            <w:pPr>
              <w:keepNext/>
              <w:tabs>
                <w:tab w:val="left" w:pos="1783"/>
              </w:tabs>
              <w:spacing w:after="0" w:line="240" w:lineRule="auto"/>
              <w:ind w:left="567" w:hanging="567"/>
              <w:outlineLvl w:val="1"/>
              <w:rPr>
                <w:rFonts w:ascii="Times New Roman" w:hAnsi="Times New Roman"/>
              </w:rPr>
            </w:pPr>
          </w:p>
        </w:tc>
        <w:tc>
          <w:tcPr>
            <w:tcW w:w="3072" w:type="dxa"/>
          </w:tcPr>
          <w:p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bl>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rPr>
          <w:rFonts w:ascii="Times New Roman" w:hAnsi="Times New Roman"/>
        </w:rPr>
      </w:pPr>
    </w:p>
    <w:p w:rsidR="00385AEF" w:rsidRPr="00353EE7" w:rsidRDefault="00385AEF" w:rsidP="00385AEF">
      <w:pPr>
        <w:spacing w:after="0" w:line="240" w:lineRule="auto"/>
      </w:pPr>
      <w:r w:rsidRPr="00353EE7">
        <w:rPr>
          <w:rFonts w:ascii="Times New Roman" w:hAnsi="Times New Roman"/>
          <w:b/>
        </w:rPr>
        <w:t>Šis pakuotės lapelis paskutinį kartą peržiūrėtas</w:t>
      </w:r>
      <w:r>
        <w:rPr>
          <w:rFonts w:ascii="Times New Roman" w:hAnsi="Times New Roman"/>
          <w:b/>
        </w:rPr>
        <w:t xml:space="preserve"> </w:t>
      </w:r>
      <w:r w:rsidR="00EA30A6">
        <w:rPr>
          <w:rFonts w:ascii="Times New Roman" w:hAnsi="Times New Roman"/>
          <w:b/>
        </w:rPr>
        <w:t>2020-1</w:t>
      </w:r>
      <w:r w:rsidR="00037932">
        <w:rPr>
          <w:rFonts w:ascii="Times New Roman" w:hAnsi="Times New Roman"/>
          <w:b/>
        </w:rPr>
        <w:t>1</w:t>
      </w:r>
      <w:r w:rsidR="00EA30A6">
        <w:rPr>
          <w:rFonts w:ascii="Times New Roman" w:hAnsi="Times New Roman"/>
          <w:b/>
        </w:rPr>
        <w:t>-26.</w:t>
      </w:r>
    </w:p>
    <w:p w:rsidR="00385AEF" w:rsidRPr="00353EE7" w:rsidRDefault="00385AEF" w:rsidP="00385AEF">
      <w:pPr>
        <w:spacing w:after="0" w:line="240" w:lineRule="auto"/>
        <w:rPr>
          <w:rFonts w:ascii="Times New Roman" w:hAnsi="Times New Roman"/>
        </w:rPr>
      </w:pPr>
    </w:p>
    <w:p w:rsidR="00385AEF" w:rsidRDefault="00385AEF" w:rsidP="005212C6">
      <w:pPr>
        <w:numPr>
          <w:ilvl w:val="12"/>
          <w:numId w:val="0"/>
        </w:numPr>
        <w:tabs>
          <w:tab w:val="left" w:pos="567"/>
        </w:tabs>
        <w:spacing w:after="0" w:line="240" w:lineRule="auto"/>
        <w:ind w:right="-2"/>
      </w:pPr>
      <w:r w:rsidRPr="00353EE7">
        <w:rPr>
          <w:rFonts w:ascii="Times New Roman" w:hAnsi="Times New Roman"/>
        </w:rPr>
        <w:t>Išsami informacija apie šį vaistą pateikiama Valstybinės vaistų kontrolės tarnybos prie Lietuvos Respublikos sveikatos apsaugos ministerijos tinklalapyje</w:t>
      </w:r>
      <w:r w:rsidRPr="00353EE7">
        <w:rPr>
          <w:rFonts w:ascii="Times New Roman" w:hAnsi="Times New Roman"/>
          <w:i/>
        </w:rPr>
        <w:t xml:space="preserve"> </w:t>
      </w:r>
      <w:r w:rsidR="00E767B2" w:rsidRPr="00353EE7">
        <w:rPr>
          <w:rFonts w:ascii="Times New Roman" w:hAnsi="Times New Roman"/>
          <w:color w:val="0000FF"/>
          <w:u w:val="single"/>
        </w:rPr>
        <w:t>http://www.vvkt.lt/</w:t>
      </w:r>
      <w:r w:rsidRPr="00353EE7">
        <w:rPr>
          <w:rFonts w:ascii="Times New Roman" w:hAnsi="Times New Roman"/>
        </w:rPr>
        <w:t>.</w:t>
      </w:r>
    </w:p>
    <w:p w:rsidR="00D52DDD" w:rsidRDefault="00D52DDD">
      <w:bookmarkStart w:id="47" w:name="_GoBack"/>
      <w:bookmarkEnd w:id="47"/>
    </w:p>
    <w:sectPr w:rsidR="00D52DDD" w:rsidSect="00385AEF">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B24" w:rsidRDefault="00CE0B24">
      <w:pPr>
        <w:spacing w:after="0" w:line="240" w:lineRule="auto"/>
      </w:pPr>
      <w:r>
        <w:separator/>
      </w:r>
    </w:p>
  </w:endnote>
  <w:endnote w:type="continuationSeparator" w:id="0">
    <w:p w:rsidR="00CE0B24" w:rsidRDefault="00CE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546" w:rsidRDefault="00876546">
    <w:pPr>
      <w:pStyle w:val="Porat"/>
      <w:jc w:val="center"/>
    </w:pPr>
    <w:r w:rsidRPr="004F52CE">
      <w:rPr>
        <w:rFonts w:ascii="Times New Roman" w:hAnsi="Times New Roman"/>
        <w:sz w:val="20"/>
        <w:szCs w:val="20"/>
      </w:rPr>
      <w:fldChar w:fldCharType="begin"/>
    </w:r>
    <w:r w:rsidRPr="004F52CE">
      <w:rPr>
        <w:rFonts w:ascii="Times New Roman" w:hAnsi="Times New Roman"/>
        <w:sz w:val="20"/>
        <w:szCs w:val="20"/>
      </w:rPr>
      <w:instrText>PAGE   \* MERGEFORMAT</w:instrText>
    </w:r>
    <w:r w:rsidRPr="004F52CE">
      <w:rPr>
        <w:rFonts w:ascii="Times New Roman" w:hAnsi="Times New Roman"/>
        <w:sz w:val="20"/>
        <w:szCs w:val="20"/>
      </w:rPr>
      <w:fldChar w:fldCharType="separate"/>
    </w:r>
    <w:r w:rsidR="00475D35" w:rsidRPr="00475D35">
      <w:rPr>
        <w:rFonts w:ascii="Times New Roman" w:hAnsi="Times New Roman"/>
        <w:noProof/>
        <w:sz w:val="20"/>
        <w:szCs w:val="20"/>
        <w:lang w:val="lt-LT"/>
      </w:rPr>
      <w:t>67</w:t>
    </w:r>
    <w:r w:rsidRPr="004F52CE">
      <w:rPr>
        <w:rFonts w:ascii="Times New Roman" w:hAnsi="Times New Roman"/>
        <w:sz w:val="20"/>
        <w:szCs w:val="20"/>
      </w:rPr>
      <w:fldChar w:fldCharType="end"/>
    </w:r>
  </w:p>
  <w:p w:rsidR="00876546" w:rsidRDefault="008765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B24" w:rsidRDefault="00CE0B24">
      <w:pPr>
        <w:spacing w:after="0" w:line="240" w:lineRule="auto"/>
      </w:pPr>
      <w:r>
        <w:separator/>
      </w:r>
    </w:p>
  </w:footnote>
  <w:footnote w:type="continuationSeparator" w:id="0">
    <w:p w:rsidR="00CE0B24" w:rsidRDefault="00CE0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FD3"/>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202052"/>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F044244"/>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30601EA"/>
    <w:multiLevelType w:val="hybridMultilevel"/>
    <w:tmpl w:val="0F627C3A"/>
    <w:lvl w:ilvl="0" w:tplc="4ECE91AC">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0D38AD"/>
    <w:multiLevelType w:val="hybridMultilevel"/>
    <w:tmpl w:val="25688BFA"/>
    <w:lvl w:ilvl="0" w:tplc="EDF0A17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93B40"/>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484040C"/>
    <w:multiLevelType w:val="hybridMultilevel"/>
    <w:tmpl w:val="DAF8EE5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DB4FD5"/>
    <w:multiLevelType w:val="hybridMultilevel"/>
    <w:tmpl w:val="BEFA219E"/>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97B650C"/>
    <w:multiLevelType w:val="hybridMultilevel"/>
    <w:tmpl w:val="9D5087B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0165FA5"/>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DC0798B"/>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DD079ED"/>
    <w:multiLevelType w:val="hybridMultilevel"/>
    <w:tmpl w:val="7172BA4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0F570F"/>
    <w:multiLevelType w:val="hybridMultilevel"/>
    <w:tmpl w:val="24A2CB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94601"/>
    <w:multiLevelType w:val="hybridMultilevel"/>
    <w:tmpl w:val="F1F297BA"/>
    <w:lvl w:ilvl="0" w:tplc="08090001">
      <w:start w:val="1"/>
      <w:numFmt w:val="bullet"/>
      <w:lvlText w:val=""/>
      <w:lvlJc w:val="left"/>
      <w:pPr>
        <w:tabs>
          <w:tab w:val="num" w:pos="720"/>
        </w:tabs>
        <w:ind w:left="720" w:hanging="360"/>
      </w:pPr>
      <w:rPr>
        <w:rFonts w:ascii="Symbol" w:hAnsi="Symbol" w:cs="Symbol" w:hint="default"/>
      </w:rPr>
    </w:lvl>
    <w:lvl w:ilvl="1" w:tplc="CC16F184">
      <w:numFmt w:val="bullet"/>
      <w:lvlText w:val="-"/>
      <w:lvlJc w:val="left"/>
      <w:pPr>
        <w:tabs>
          <w:tab w:val="num" w:pos="1440"/>
        </w:tabs>
        <w:ind w:left="1287" w:hanging="207"/>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BE70A4"/>
    <w:multiLevelType w:val="hybridMultilevel"/>
    <w:tmpl w:val="2FD09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A44A31"/>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8"/>
  </w:num>
  <w:num w:numId="3">
    <w:abstractNumId w:val="9"/>
  </w:num>
  <w:num w:numId="4">
    <w:abstractNumId w:val="7"/>
  </w:num>
  <w:num w:numId="5">
    <w:abstractNumId w:val="13"/>
  </w:num>
  <w:num w:numId="6">
    <w:abstractNumId w:val="15"/>
  </w:num>
  <w:num w:numId="7">
    <w:abstractNumId w:val="11"/>
  </w:num>
  <w:num w:numId="8">
    <w:abstractNumId w:val="5"/>
  </w:num>
  <w:num w:numId="9">
    <w:abstractNumId w:val="14"/>
  </w:num>
  <w:num w:numId="10">
    <w:abstractNumId w:val="16"/>
  </w:num>
  <w:num w:numId="11">
    <w:abstractNumId w:val="10"/>
  </w:num>
  <w:num w:numId="12">
    <w:abstractNumId w:val="0"/>
  </w:num>
  <w:num w:numId="13">
    <w:abstractNumId w:val="6"/>
  </w:num>
  <w:num w:numId="14">
    <w:abstractNumId w:val="12"/>
  </w:num>
  <w:num w:numId="15">
    <w:abstractNumId w:val="2"/>
  </w:num>
  <w:num w:numId="16">
    <w:abstractNumId w:val="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EF"/>
    <w:rsid w:val="0001403A"/>
    <w:rsid w:val="000307C5"/>
    <w:rsid w:val="00037932"/>
    <w:rsid w:val="000818F9"/>
    <w:rsid w:val="0011505D"/>
    <w:rsid w:val="001624A3"/>
    <w:rsid w:val="001D5BA5"/>
    <w:rsid w:val="0023683F"/>
    <w:rsid w:val="00243C11"/>
    <w:rsid w:val="0025273C"/>
    <w:rsid w:val="002B325B"/>
    <w:rsid w:val="002C4C44"/>
    <w:rsid w:val="002F5898"/>
    <w:rsid w:val="00342875"/>
    <w:rsid w:val="0037122C"/>
    <w:rsid w:val="00385AEF"/>
    <w:rsid w:val="003D2969"/>
    <w:rsid w:val="004427B7"/>
    <w:rsid w:val="004631B9"/>
    <w:rsid w:val="00466F35"/>
    <w:rsid w:val="00475D35"/>
    <w:rsid w:val="00485557"/>
    <w:rsid w:val="00506BCE"/>
    <w:rsid w:val="005212C6"/>
    <w:rsid w:val="0067560B"/>
    <w:rsid w:val="00736CCC"/>
    <w:rsid w:val="007931FB"/>
    <w:rsid w:val="00820B29"/>
    <w:rsid w:val="008212B9"/>
    <w:rsid w:val="00876546"/>
    <w:rsid w:val="009472E6"/>
    <w:rsid w:val="009B3CF4"/>
    <w:rsid w:val="00A00E4C"/>
    <w:rsid w:val="00A158CC"/>
    <w:rsid w:val="00AC3D4A"/>
    <w:rsid w:val="00AF0363"/>
    <w:rsid w:val="00B44D1E"/>
    <w:rsid w:val="00B963DF"/>
    <w:rsid w:val="00C343E1"/>
    <w:rsid w:val="00CB7A46"/>
    <w:rsid w:val="00CE0B24"/>
    <w:rsid w:val="00D52DDD"/>
    <w:rsid w:val="00D566D8"/>
    <w:rsid w:val="00D663CB"/>
    <w:rsid w:val="00D77262"/>
    <w:rsid w:val="00E557F3"/>
    <w:rsid w:val="00E767B2"/>
    <w:rsid w:val="00EA30A6"/>
    <w:rsid w:val="00F34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1085AC-539D-45FE-BE0E-6407F153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5AEF"/>
    <w:pPr>
      <w:spacing w:after="160" w:line="259" w:lineRule="auto"/>
    </w:pPr>
    <w:rPr>
      <w:sz w:val="22"/>
      <w:szCs w:val="22"/>
      <w:lang w:eastAsia="en-US"/>
    </w:rPr>
  </w:style>
  <w:style w:type="paragraph" w:styleId="Antrat1">
    <w:name w:val="heading 1"/>
    <w:basedOn w:val="prastasis"/>
    <w:next w:val="prastasis"/>
    <w:link w:val="Antrat1Diagrama"/>
    <w:qFormat/>
    <w:rsid w:val="00385AEF"/>
    <w:pPr>
      <w:tabs>
        <w:tab w:val="left" w:pos="567"/>
      </w:tabs>
      <w:spacing w:before="240" w:after="120" w:line="260" w:lineRule="exact"/>
      <w:ind w:left="357" w:hanging="357"/>
      <w:outlineLvl w:val="0"/>
    </w:pPr>
    <w:rPr>
      <w:rFonts w:ascii="Times New Roman" w:eastAsia="Times New Roman" w:hAnsi="Times New Roman"/>
      <w:b/>
      <w:bCs/>
      <w:caps/>
      <w:sz w:val="26"/>
      <w:szCs w:val="26"/>
      <w:lang w:val="en-US"/>
    </w:rPr>
  </w:style>
  <w:style w:type="paragraph" w:styleId="Antrat2">
    <w:name w:val="heading 2"/>
    <w:basedOn w:val="prastasis"/>
    <w:next w:val="prastasis"/>
    <w:link w:val="Antrat2Diagrama"/>
    <w:qFormat/>
    <w:rsid w:val="00385AEF"/>
    <w:pPr>
      <w:keepNext/>
      <w:tabs>
        <w:tab w:val="left" w:pos="567"/>
      </w:tabs>
      <w:spacing w:before="240" w:after="60" w:line="260" w:lineRule="exact"/>
      <w:outlineLvl w:val="1"/>
    </w:pPr>
    <w:rPr>
      <w:rFonts w:ascii="Helvetica" w:eastAsia="Times New Roman" w:hAnsi="Helvetica"/>
      <w:b/>
      <w:bCs/>
      <w:i/>
      <w:iCs/>
      <w:sz w:val="20"/>
      <w:szCs w:val="20"/>
      <w:lang w:val="cs-CZ"/>
    </w:rPr>
  </w:style>
  <w:style w:type="paragraph" w:styleId="Antrat3">
    <w:name w:val="heading 3"/>
    <w:basedOn w:val="prastasis"/>
    <w:next w:val="prastasis"/>
    <w:link w:val="Antrat3Diagrama"/>
    <w:qFormat/>
    <w:rsid w:val="00385AEF"/>
    <w:pPr>
      <w:keepNext/>
      <w:keepLines/>
      <w:tabs>
        <w:tab w:val="left" w:pos="567"/>
      </w:tabs>
      <w:spacing w:before="120" w:after="80" w:line="260" w:lineRule="exact"/>
      <w:outlineLvl w:val="2"/>
    </w:pPr>
    <w:rPr>
      <w:rFonts w:ascii="Times New Roman" w:eastAsia="Times New Roman" w:hAnsi="Times New Roman"/>
      <w:b/>
      <w:bCs/>
      <w:kern w:val="28"/>
      <w:sz w:val="20"/>
      <w:szCs w:val="20"/>
      <w:lang w:val="en-US"/>
    </w:rPr>
  </w:style>
  <w:style w:type="paragraph" w:styleId="Antrat4">
    <w:name w:val="heading 4"/>
    <w:basedOn w:val="prastasis"/>
    <w:next w:val="prastasis"/>
    <w:link w:val="Antrat4Diagrama"/>
    <w:qFormat/>
    <w:rsid w:val="00385AEF"/>
    <w:pPr>
      <w:keepNext/>
      <w:tabs>
        <w:tab w:val="left" w:pos="567"/>
      </w:tabs>
      <w:spacing w:after="0" w:line="260" w:lineRule="exact"/>
      <w:jc w:val="both"/>
      <w:outlineLvl w:val="3"/>
    </w:pPr>
    <w:rPr>
      <w:rFonts w:ascii="Times New Roman" w:eastAsia="Times New Roman" w:hAnsi="Times New Roman"/>
      <w:b/>
      <w:bCs/>
      <w:noProof/>
      <w:sz w:val="20"/>
      <w:szCs w:val="20"/>
      <w:lang w:val="cs-CZ"/>
    </w:rPr>
  </w:style>
  <w:style w:type="paragraph" w:styleId="Antrat5">
    <w:name w:val="heading 5"/>
    <w:basedOn w:val="prastasis"/>
    <w:next w:val="prastasis"/>
    <w:link w:val="Antrat5Diagrama"/>
    <w:qFormat/>
    <w:rsid w:val="00385AEF"/>
    <w:pPr>
      <w:keepNext/>
      <w:tabs>
        <w:tab w:val="left" w:pos="567"/>
      </w:tabs>
      <w:spacing w:after="0" w:line="260" w:lineRule="exact"/>
      <w:jc w:val="both"/>
      <w:outlineLvl w:val="4"/>
    </w:pPr>
    <w:rPr>
      <w:rFonts w:ascii="Times New Roman" w:eastAsia="Times New Roman" w:hAnsi="Times New Roman"/>
      <w:noProof/>
      <w:sz w:val="20"/>
      <w:szCs w:val="20"/>
      <w:lang w:val="cs-CZ"/>
    </w:rPr>
  </w:style>
  <w:style w:type="paragraph" w:styleId="Antrat6">
    <w:name w:val="heading 6"/>
    <w:basedOn w:val="prastasis"/>
    <w:next w:val="prastasis"/>
    <w:link w:val="Antrat6Diagrama"/>
    <w:qFormat/>
    <w:rsid w:val="00385AEF"/>
    <w:pPr>
      <w:keepNext/>
      <w:tabs>
        <w:tab w:val="left" w:pos="-720"/>
        <w:tab w:val="left" w:pos="567"/>
        <w:tab w:val="left" w:pos="4536"/>
      </w:tabs>
      <w:suppressAutoHyphens/>
      <w:spacing w:after="0" w:line="260" w:lineRule="exact"/>
      <w:outlineLvl w:val="5"/>
    </w:pPr>
    <w:rPr>
      <w:rFonts w:ascii="Times New Roman" w:eastAsia="Times New Roman" w:hAnsi="Times New Roman"/>
      <w:i/>
      <w:iCs/>
      <w:sz w:val="20"/>
      <w:szCs w:val="20"/>
      <w:lang w:val="cs-CZ"/>
    </w:rPr>
  </w:style>
  <w:style w:type="paragraph" w:styleId="Antrat7">
    <w:name w:val="heading 7"/>
    <w:basedOn w:val="prastasis"/>
    <w:next w:val="prastasis"/>
    <w:link w:val="Antrat7Diagrama"/>
    <w:qFormat/>
    <w:rsid w:val="00385AE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iCs/>
      <w:sz w:val="20"/>
      <w:szCs w:val="20"/>
      <w:lang w:val="cs-CZ"/>
    </w:rPr>
  </w:style>
  <w:style w:type="paragraph" w:styleId="Antrat8">
    <w:name w:val="heading 8"/>
    <w:basedOn w:val="prastasis"/>
    <w:next w:val="prastasis"/>
    <w:link w:val="Antrat8Diagrama"/>
    <w:qFormat/>
    <w:rsid w:val="00385AEF"/>
    <w:pPr>
      <w:keepNext/>
      <w:tabs>
        <w:tab w:val="left" w:pos="567"/>
      </w:tabs>
      <w:spacing w:after="0" w:line="260" w:lineRule="exact"/>
      <w:ind w:left="567" w:hanging="567"/>
      <w:jc w:val="both"/>
      <w:outlineLvl w:val="7"/>
    </w:pPr>
    <w:rPr>
      <w:rFonts w:ascii="Times New Roman" w:eastAsia="Times New Roman" w:hAnsi="Times New Roman"/>
      <w:b/>
      <w:bCs/>
      <w:i/>
      <w:iCs/>
      <w:sz w:val="20"/>
      <w:szCs w:val="20"/>
      <w:lang w:val="cs-CZ"/>
    </w:rPr>
  </w:style>
  <w:style w:type="paragraph" w:styleId="Antrat9">
    <w:name w:val="heading 9"/>
    <w:basedOn w:val="prastasis"/>
    <w:next w:val="prastasis"/>
    <w:link w:val="Antrat9Diagrama"/>
    <w:qFormat/>
    <w:rsid w:val="00385AEF"/>
    <w:pPr>
      <w:keepNext/>
      <w:tabs>
        <w:tab w:val="left" w:pos="567"/>
      </w:tabs>
      <w:spacing w:after="0" w:line="260" w:lineRule="exact"/>
      <w:jc w:val="both"/>
      <w:outlineLvl w:val="8"/>
    </w:pPr>
    <w:rPr>
      <w:rFonts w:ascii="Times New Roman" w:eastAsia="Times New Roman" w:hAnsi="Times New Roman"/>
      <w:b/>
      <w:bCs/>
      <w:i/>
      <w:iCs/>
      <w:sz w:val="2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5AEF"/>
    <w:rPr>
      <w:rFonts w:ascii="Times New Roman" w:eastAsia="Times New Roman" w:hAnsi="Times New Roman" w:cs="Times New Roman"/>
      <w:b/>
      <w:bCs/>
      <w:caps/>
      <w:sz w:val="26"/>
      <w:szCs w:val="26"/>
      <w:lang w:val="en-US"/>
    </w:rPr>
  </w:style>
  <w:style w:type="character" w:customStyle="1" w:styleId="Antrat2Diagrama">
    <w:name w:val="Antraštė 2 Diagrama"/>
    <w:link w:val="Antrat2"/>
    <w:rsid w:val="00385AEF"/>
    <w:rPr>
      <w:rFonts w:ascii="Helvetica" w:eastAsia="Times New Roman" w:hAnsi="Helvetica" w:cs="Times New Roman"/>
      <w:b/>
      <w:bCs/>
      <w:i/>
      <w:iCs/>
      <w:sz w:val="20"/>
      <w:szCs w:val="20"/>
      <w:lang w:val="cs-CZ"/>
    </w:rPr>
  </w:style>
  <w:style w:type="character" w:customStyle="1" w:styleId="Antrat3Diagrama">
    <w:name w:val="Antraštė 3 Diagrama"/>
    <w:link w:val="Antrat3"/>
    <w:rsid w:val="00385AEF"/>
    <w:rPr>
      <w:rFonts w:ascii="Times New Roman" w:eastAsia="Times New Roman" w:hAnsi="Times New Roman" w:cs="Times New Roman"/>
      <w:b/>
      <w:bCs/>
      <w:kern w:val="28"/>
      <w:sz w:val="20"/>
      <w:szCs w:val="20"/>
      <w:lang w:val="en-US"/>
    </w:rPr>
  </w:style>
  <w:style w:type="character" w:customStyle="1" w:styleId="Antrat4Diagrama">
    <w:name w:val="Antraštė 4 Diagrama"/>
    <w:link w:val="Antrat4"/>
    <w:rsid w:val="00385AEF"/>
    <w:rPr>
      <w:rFonts w:ascii="Times New Roman" w:eastAsia="Times New Roman" w:hAnsi="Times New Roman" w:cs="Times New Roman"/>
      <w:b/>
      <w:bCs/>
      <w:noProof/>
      <w:sz w:val="20"/>
      <w:szCs w:val="20"/>
      <w:lang w:val="cs-CZ"/>
    </w:rPr>
  </w:style>
  <w:style w:type="character" w:customStyle="1" w:styleId="Antrat5Diagrama">
    <w:name w:val="Antraštė 5 Diagrama"/>
    <w:link w:val="Antrat5"/>
    <w:rsid w:val="00385AEF"/>
    <w:rPr>
      <w:rFonts w:ascii="Times New Roman" w:eastAsia="Times New Roman" w:hAnsi="Times New Roman" w:cs="Times New Roman"/>
      <w:noProof/>
      <w:sz w:val="20"/>
      <w:szCs w:val="20"/>
      <w:lang w:val="cs-CZ"/>
    </w:rPr>
  </w:style>
  <w:style w:type="character" w:customStyle="1" w:styleId="Antrat6Diagrama">
    <w:name w:val="Antraštė 6 Diagrama"/>
    <w:link w:val="Antrat6"/>
    <w:rsid w:val="00385AEF"/>
    <w:rPr>
      <w:rFonts w:ascii="Times New Roman" w:eastAsia="Times New Roman" w:hAnsi="Times New Roman" w:cs="Times New Roman"/>
      <w:i/>
      <w:iCs/>
      <w:sz w:val="20"/>
      <w:szCs w:val="20"/>
      <w:lang w:val="cs-CZ"/>
    </w:rPr>
  </w:style>
  <w:style w:type="character" w:customStyle="1" w:styleId="Antrat7Diagrama">
    <w:name w:val="Antraštė 7 Diagrama"/>
    <w:link w:val="Antrat7"/>
    <w:rsid w:val="00385AEF"/>
    <w:rPr>
      <w:rFonts w:ascii="Times New Roman" w:eastAsia="Times New Roman" w:hAnsi="Times New Roman" w:cs="Times New Roman"/>
      <w:i/>
      <w:iCs/>
      <w:sz w:val="20"/>
      <w:szCs w:val="20"/>
      <w:lang w:val="cs-CZ"/>
    </w:rPr>
  </w:style>
  <w:style w:type="character" w:customStyle="1" w:styleId="Antrat8Diagrama">
    <w:name w:val="Antraštė 8 Diagrama"/>
    <w:link w:val="Antrat8"/>
    <w:rsid w:val="00385AEF"/>
    <w:rPr>
      <w:rFonts w:ascii="Times New Roman" w:eastAsia="Times New Roman" w:hAnsi="Times New Roman" w:cs="Times New Roman"/>
      <w:b/>
      <w:bCs/>
      <w:i/>
      <w:iCs/>
      <w:sz w:val="20"/>
      <w:szCs w:val="20"/>
      <w:lang w:val="cs-CZ"/>
    </w:rPr>
  </w:style>
  <w:style w:type="character" w:customStyle="1" w:styleId="Antrat9Diagrama">
    <w:name w:val="Antraštė 9 Diagrama"/>
    <w:link w:val="Antrat9"/>
    <w:rsid w:val="00385AEF"/>
    <w:rPr>
      <w:rFonts w:ascii="Times New Roman" w:eastAsia="Times New Roman" w:hAnsi="Times New Roman" w:cs="Times New Roman"/>
      <w:b/>
      <w:bCs/>
      <w:i/>
      <w:iCs/>
      <w:sz w:val="20"/>
      <w:szCs w:val="20"/>
      <w:lang w:val="cs-CZ"/>
    </w:rPr>
  </w:style>
  <w:style w:type="numbering" w:customStyle="1" w:styleId="NoList1">
    <w:name w:val="No List1"/>
    <w:next w:val="Sraonra"/>
    <w:semiHidden/>
    <w:unhideWhenUsed/>
    <w:rsid w:val="00385AEF"/>
  </w:style>
  <w:style w:type="paragraph" w:styleId="Porat">
    <w:name w:val="footer"/>
    <w:basedOn w:val="prastasis"/>
    <w:link w:val="PoratDiagrama"/>
    <w:uiPriority w:val="99"/>
    <w:rsid w:val="00385AEF"/>
    <w:pPr>
      <w:tabs>
        <w:tab w:val="left" w:pos="567"/>
        <w:tab w:val="center" w:pos="4536"/>
        <w:tab w:val="center" w:pos="8930"/>
      </w:tabs>
      <w:spacing w:after="0" w:line="240" w:lineRule="auto"/>
    </w:pPr>
    <w:rPr>
      <w:rFonts w:ascii="Helvetica" w:eastAsia="Times New Roman" w:hAnsi="Helvetica"/>
      <w:sz w:val="16"/>
      <w:szCs w:val="16"/>
      <w:lang w:val="cs-CZ"/>
    </w:rPr>
  </w:style>
  <w:style w:type="character" w:customStyle="1" w:styleId="PoratDiagrama">
    <w:name w:val="Poraštė Diagrama"/>
    <w:link w:val="Porat"/>
    <w:uiPriority w:val="99"/>
    <w:rsid w:val="00385AEF"/>
    <w:rPr>
      <w:rFonts w:ascii="Helvetica" w:eastAsia="Times New Roman" w:hAnsi="Helvetica" w:cs="Times New Roman"/>
      <w:sz w:val="16"/>
      <w:szCs w:val="16"/>
      <w:lang w:val="cs-CZ"/>
    </w:rPr>
  </w:style>
  <w:style w:type="character" w:styleId="Puslapionumeris">
    <w:name w:val="page number"/>
    <w:basedOn w:val="Numatytasispastraiposriftas"/>
    <w:rsid w:val="00385AEF"/>
  </w:style>
  <w:style w:type="paragraph" w:styleId="Antrats">
    <w:name w:val="header"/>
    <w:basedOn w:val="prastasis"/>
    <w:link w:val="AntratsDiagrama"/>
    <w:rsid w:val="00385AEF"/>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rsid w:val="00385AEF"/>
    <w:rPr>
      <w:rFonts w:ascii="Helvetica" w:eastAsia="Times New Roman" w:hAnsi="Helvetica" w:cs="Times New Roman"/>
      <w:sz w:val="20"/>
      <w:szCs w:val="20"/>
      <w:lang w:val="cs-CZ"/>
    </w:rPr>
  </w:style>
  <w:style w:type="paragraph" w:customStyle="1" w:styleId="EMEAEnBodyText">
    <w:name w:val="EMEA En Body Text"/>
    <w:basedOn w:val="prastasis"/>
    <w:rsid w:val="00385AEF"/>
    <w:pPr>
      <w:spacing w:before="120" w:after="120" w:line="240" w:lineRule="auto"/>
      <w:jc w:val="both"/>
    </w:pPr>
    <w:rPr>
      <w:rFonts w:ascii="Times New Roman" w:eastAsia="Times New Roman" w:hAnsi="Times New Roman"/>
      <w:lang w:val="en-US"/>
    </w:rPr>
  </w:style>
  <w:style w:type="paragraph" w:customStyle="1" w:styleId="AHeader1">
    <w:name w:val="AHeader 1"/>
    <w:basedOn w:val="prastasis"/>
    <w:rsid w:val="00385AEF"/>
    <w:pPr>
      <w:tabs>
        <w:tab w:val="num" w:pos="720"/>
      </w:tabs>
      <w:spacing w:after="120" w:line="240" w:lineRule="auto"/>
      <w:ind w:left="720" w:hanging="360"/>
    </w:pPr>
    <w:rPr>
      <w:rFonts w:ascii="Arial" w:eastAsia="Times New Roman" w:hAnsi="Arial" w:cs="Arial"/>
      <w:b/>
      <w:bCs/>
      <w:sz w:val="24"/>
      <w:szCs w:val="24"/>
      <w:lang w:val="en-GB"/>
    </w:rPr>
  </w:style>
  <w:style w:type="paragraph" w:customStyle="1" w:styleId="AHeader2">
    <w:name w:val="AHeader 2"/>
    <w:basedOn w:val="AHeader1"/>
    <w:rsid w:val="00385AEF"/>
    <w:pPr>
      <w:numPr>
        <w:ilvl w:val="1"/>
      </w:numPr>
      <w:tabs>
        <w:tab w:val="num" w:pos="360"/>
        <w:tab w:val="num" w:pos="720"/>
      </w:tabs>
      <w:ind w:left="360" w:hanging="360"/>
    </w:pPr>
    <w:rPr>
      <w:sz w:val="22"/>
      <w:szCs w:val="22"/>
    </w:rPr>
  </w:style>
  <w:style w:type="paragraph" w:customStyle="1" w:styleId="AHeader3">
    <w:name w:val="AHeader 3"/>
    <w:basedOn w:val="AHeader2"/>
    <w:rsid w:val="00385AEF"/>
    <w:pPr>
      <w:numPr>
        <w:ilvl w:val="2"/>
      </w:numPr>
      <w:tabs>
        <w:tab w:val="num" w:pos="360"/>
        <w:tab w:val="num" w:pos="1440"/>
      </w:tabs>
      <w:ind w:left="360" w:hanging="360"/>
    </w:pPr>
  </w:style>
  <w:style w:type="paragraph" w:customStyle="1" w:styleId="AHeader2abc">
    <w:name w:val="AHeader 2 abc"/>
    <w:basedOn w:val="AHeader3"/>
    <w:rsid w:val="00385AEF"/>
    <w:pPr>
      <w:numPr>
        <w:ilvl w:val="3"/>
      </w:numPr>
      <w:tabs>
        <w:tab w:val="num" w:pos="360"/>
      </w:tabs>
      <w:ind w:left="360" w:hanging="360"/>
      <w:jc w:val="both"/>
    </w:pPr>
    <w:rPr>
      <w:b w:val="0"/>
      <w:bCs w:val="0"/>
    </w:rPr>
  </w:style>
  <w:style w:type="paragraph" w:customStyle="1" w:styleId="AHeader3abc">
    <w:name w:val="AHeader 3 abc"/>
    <w:basedOn w:val="AHeader2abc"/>
    <w:rsid w:val="00385AEF"/>
    <w:pPr>
      <w:numPr>
        <w:ilvl w:val="4"/>
      </w:numPr>
      <w:tabs>
        <w:tab w:val="num" w:pos="360"/>
      </w:tabs>
      <w:ind w:left="360" w:hanging="360"/>
    </w:pPr>
  </w:style>
  <w:style w:type="paragraph" w:styleId="Pagrindinistekstas2">
    <w:name w:val="Body Text 2"/>
    <w:basedOn w:val="prastasis"/>
    <w:link w:val="Pagrindinistekstas2Diagrama"/>
    <w:rsid w:val="00385AEF"/>
    <w:pPr>
      <w:numPr>
        <w:ilvl w:val="12"/>
      </w:numPr>
      <w:spacing w:after="0" w:line="240" w:lineRule="auto"/>
      <w:ind w:right="-2"/>
    </w:pPr>
    <w:rPr>
      <w:rFonts w:ascii="Times New Roman" w:eastAsia="Times New Roman" w:hAnsi="Times New Roman"/>
      <w:b/>
      <w:bCs/>
      <w:sz w:val="20"/>
      <w:szCs w:val="20"/>
    </w:rPr>
  </w:style>
  <w:style w:type="character" w:customStyle="1" w:styleId="Pagrindinistekstas2Diagrama">
    <w:name w:val="Pagrindinis tekstas 2 Diagrama"/>
    <w:link w:val="Pagrindinistekstas2"/>
    <w:rsid w:val="00385AEF"/>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385AEF"/>
    <w:pPr>
      <w:spacing w:after="0" w:line="240" w:lineRule="auto"/>
    </w:pPr>
    <w:rPr>
      <w:rFonts w:ascii="Times New Roman" w:eastAsia="Times New Roman" w:hAnsi="Times New Roman"/>
      <w:i/>
      <w:iCs/>
      <w:color w:val="008000"/>
      <w:sz w:val="20"/>
      <w:szCs w:val="20"/>
      <w:lang w:val="en-GB"/>
    </w:rPr>
  </w:style>
  <w:style w:type="character" w:customStyle="1" w:styleId="PagrindinistekstasDiagrama">
    <w:name w:val="Pagrindinis tekstas Diagrama"/>
    <w:link w:val="Pagrindinistekstas"/>
    <w:rsid w:val="00385AEF"/>
    <w:rPr>
      <w:rFonts w:ascii="Times New Roman" w:eastAsia="Times New Roman" w:hAnsi="Times New Roman" w:cs="Times New Roman"/>
      <w:i/>
      <w:iCs/>
      <w:color w:val="008000"/>
      <w:sz w:val="20"/>
      <w:szCs w:val="20"/>
      <w:lang w:val="en-GB"/>
    </w:rPr>
  </w:style>
  <w:style w:type="character" w:styleId="Hipersaitas">
    <w:name w:val="Hyperlink"/>
    <w:uiPriority w:val="99"/>
    <w:rsid w:val="00385AEF"/>
    <w:rPr>
      <w:color w:val="0000FF"/>
      <w:u w:val="single"/>
    </w:rPr>
  </w:style>
  <w:style w:type="character" w:styleId="Grietas">
    <w:name w:val="Strong"/>
    <w:qFormat/>
    <w:rsid w:val="00385AEF"/>
    <w:rPr>
      <w:b/>
      <w:bCs/>
    </w:rPr>
  </w:style>
  <w:style w:type="paragraph" w:styleId="Debesliotekstas">
    <w:name w:val="Balloon Text"/>
    <w:basedOn w:val="prastasis"/>
    <w:link w:val="DebesliotekstasDiagrama"/>
    <w:semiHidden/>
    <w:rsid w:val="00385AEF"/>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semiHidden/>
    <w:rsid w:val="00385AEF"/>
    <w:rPr>
      <w:rFonts w:ascii="Tahoma" w:eastAsia="Times New Roman" w:hAnsi="Tahoma" w:cs="Times New Roman"/>
      <w:sz w:val="16"/>
      <w:szCs w:val="16"/>
    </w:rPr>
  </w:style>
  <w:style w:type="character" w:customStyle="1" w:styleId="ltcm">
    <w:name w:val="ltcm"/>
    <w:rsid w:val="00385AEF"/>
    <w:rPr>
      <w:rFonts w:ascii="Times New Roman" w:hAnsi="Times New Roman" w:cs="Times New Roman"/>
      <w:i/>
      <w:iCs/>
      <w:color w:val="808080"/>
    </w:rPr>
  </w:style>
  <w:style w:type="table" w:styleId="Lentelstinklelis">
    <w:name w:val="Table Grid"/>
    <w:basedOn w:val="prastojilentel"/>
    <w:rsid w:val="00385AEF"/>
    <w:pPr>
      <w:tabs>
        <w:tab w:val="left" w:pos="567"/>
      </w:tabs>
      <w:spacing w:line="260" w:lineRule="exact"/>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385AEF"/>
    <w:rPr>
      <w:rFonts w:ascii="Times New Roman" w:eastAsia="SimSun" w:hAnsi="Times New Roman"/>
    </w:rPr>
    <w:tblPr>
      <w:tblCellMar>
        <w:top w:w="0" w:type="dxa"/>
        <w:left w:w="108" w:type="dxa"/>
        <w:bottom w:w="0" w:type="dxa"/>
        <w:right w:w="108" w:type="dxa"/>
      </w:tblCellMar>
    </w:tblPr>
  </w:style>
  <w:style w:type="character" w:styleId="Komentaronuoroda">
    <w:name w:val="annotation reference"/>
    <w:semiHidden/>
    <w:rsid w:val="00385AEF"/>
    <w:rPr>
      <w:sz w:val="16"/>
      <w:szCs w:val="16"/>
    </w:rPr>
  </w:style>
  <w:style w:type="paragraph" w:styleId="Komentarotekstas">
    <w:name w:val="annotation text"/>
    <w:basedOn w:val="prastasis"/>
    <w:link w:val="KomentarotekstasDiagrama"/>
    <w:semiHidden/>
    <w:rsid w:val="00385AE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385A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85AEF"/>
    <w:rPr>
      <w:b/>
      <w:bCs/>
    </w:rPr>
  </w:style>
  <w:style w:type="character" w:customStyle="1" w:styleId="KomentarotemaDiagrama">
    <w:name w:val="Komentaro tema Diagrama"/>
    <w:link w:val="Komentarotema"/>
    <w:semiHidden/>
    <w:rsid w:val="00385AEF"/>
    <w:rPr>
      <w:rFonts w:ascii="Times New Roman" w:eastAsia="Times New Roman" w:hAnsi="Times New Roman" w:cs="Times New Roman"/>
      <w:b/>
      <w:bCs/>
      <w:sz w:val="20"/>
      <w:szCs w:val="20"/>
    </w:rPr>
  </w:style>
  <w:style w:type="paragraph" w:customStyle="1" w:styleId="PI-1EMEASMCA">
    <w:name w:val="PI-1 EMEA_SMCA"/>
    <w:basedOn w:val="Antrat2"/>
    <w:autoRedefine/>
    <w:rsid w:val="00385AEF"/>
    <w:pPr>
      <w:spacing w:before="0" w:after="0" w:line="240" w:lineRule="auto"/>
      <w:ind w:left="567" w:hanging="567"/>
    </w:pPr>
    <w:rPr>
      <w:rFonts w:ascii="Times New Roman" w:hAnsi="Times New Roman"/>
      <w:i w:val="0"/>
      <w:iCs w:val="0"/>
      <w:lang w:val="lt-LT"/>
    </w:rPr>
  </w:style>
  <w:style w:type="paragraph" w:customStyle="1" w:styleId="BTEMEASMCA">
    <w:name w:val="BT EMEA_SMCA"/>
    <w:basedOn w:val="prastasis"/>
    <w:autoRedefine/>
    <w:rsid w:val="00385AEF"/>
    <w:pPr>
      <w:spacing w:after="0" w:line="240" w:lineRule="auto"/>
    </w:pPr>
    <w:rPr>
      <w:rFonts w:ascii="Times New Roman" w:hAnsi="Times New Roman"/>
    </w:rPr>
  </w:style>
  <w:style w:type="paragraph" w:customStyle="1" w:styleId="TTEMEASMCA">
    <w:name w:val="TT EMEA_SMCA"/>
    <w:basedOn w:val="Antrat1"/>
    <w:autoRedefine/>
    <w:rsid w:val="00385AEF"/>
    <w:pPr>
      <w:spacing w:before="0" w:after="0" w:line="240" w:lineRule="auto"/>
      <w:ind w:left="567" w:hanging="567"/>
      <w:jc w:val="center"/>
    </w:pPr>
    <w:rPr>
      <w:sz w:val="22"/>
      <w:szCs w:val="22"/>
    </w:rPr>
  </w:style>
  <w:style w:type="paragraph" w:customStyle="1" w:styleId="PI-2EMEASMCA">
    <w:name w:val="PI-2 EMEA_SMCA"/>
    <w:basedOn w:val="Antrat3"/>
    <w:autoRedefine/>
    <w:rsid w:val="00385AEF"/>
    <w:pPr>
      <w:spacing w:before="0" w:after="0" w:line="240" w:lineRule="auto"/>
      <w:ind w:left="567" w:hanging="567"/>
    </w:pPr>
    <w:rPr>
      <w:lang w:val="lt-LT"/>
    </w:rPr>
  </w:style>
  <w:style w:type="paragraph" w:customStyle="1" w:styleId="BTAnIIEMEASMCA">
    <w:name w:val="BT(AnII) EMEA_SMCA"/>
    <w:basedOn w:val="prastasis"/>
    <w:autoRedefine/>
    <w:rsid w:val="00385AEF"/>
    <w:pPr>
      <w:tabs>
        <w:tab w:val="left" w:pos="1701"/>
      </w:tabs>
      <w:spacing w:after="0" w:line="240" w:lineRule="auto"/>
      <w:ind w:left="1701" w:hanging="567"/>
    </w:pPr>
    <w:rPr>
      <w:rFonts w:ascii="Times New Roman" w:eastAsia="Times New Roman" w:hAnsi="Times New Roman"/>
      <w:b/>
      <w:bCs/>
      <w:lang w:val="en-GB"/>
    </w:rPr>
  </w:style>
  <w:style w:type="paragraph" w:customStyle="1" w:styleId="BTgEMEASMCA">
    <w:name w:val="BT(g) EMEA_SMCA"/>
    <w:basedOn w:val="BTEMEASMCA"/>
    <w:autoRedefine/>
    <w:rsid w:val="00385AEF"/>
    <w:rPr>
      <w:i/>
      <w:iCs/>
      <w:color w:val="008000"/>
    </w:rPr>
  </w:style>
  <w:style w:type="paragraph" w:customStyle="1" w:styleId="BTuEMEASMCA">
    <w:name w:val="BT(u) EMEA_SMCA"/>
    <w:basedOn w:val="BTEMEASMCA"/>
    <w:autoRedefine/>
    <w:rsid w:val="00385AEF"/>
    <w:rPr>
      <w:u w:val="single"/>
    </w:rPr>
  </w:style>
  <w:style w:type="paragraph" w:customStyle="1" w:styleId="BTbEMEASMCA">
    <w:name w:val="BT(b) EMEA_SMCA"/>
    <w:basedOn w:val="BTEMEASMCA"/>
    <w:autoRedefine/>
    <w:rsid w:val="00385AEF"/>
    <w:rPr>
      <w:b/>
      <w:bCs/>
      <w:noProof/>
    </w:rPr>
  </w:style>
  <w:style w:type="paragraph" w:customStyle="1" w:styleId="Pataisymai1">
    <w:name w:val="Pataisymai1"/>
    <w:hidden/>
    <w:uiPriority w:val="99"/>
    <w:semiHidden/>
    <w:rsid w:val="00385AEF"/>
    <w:rPr>
      <w:rFonts w:ascii="Times New Roman" w:eastAsia="Times New Roman" w:hAnsi="Times New Roman"/>
      <w:sz w:val="22"/>
      <w:szCs w:val="22"/>
      <w:lang w:eastAsia="en-US"/>
    </w:rPr>
  </w:style>
  <w:style w:type="numbering" w:customStyle="1" w:styleId="NoList11">
    <w:name w:val="No List11"/>
    <w:next w:val="Sraonra"/>
    <w:semiHidden/>
    <w:rsid w:val="00385AEF"/>
  </w:style>
  <w:style w:type="paragraph" w:customStyle="1" w:styleId="Sraopastraipa1">
    <w:name w:val="Sąrašo pastraipa1"/>
    <w:basedOn w:val="prastasis"/>
    <w:uiPriority w:val="34"/>
    <w:qFormat/>
    <w:rsid w:val="00385AEF"/>
    <w:pPr>
      <w:spacing w:after="0" w:line="240" w:lineRule="auto"/>
      <w:ind w:left="720"/>
      <w:contextualSpacing/>
    </w:pPr>
    <w:rPr>
      <w:rFonts w:ascii="Times New Roman" w:hAnsi="Times New Roman"/>
      <w:lang w:val="en-GB"/>
    </w:rPr>
  </w:style>
  <w:style w:type="paragraph" w:customStyle="1" w:styleId="Pataisymai2">
    <w:name w:val="Pataisymai2"/>
    <w:hidden/>
    <w:uiPriority w:val="99"/>
    <w:semiHidden/>
    <w:rsid w:val="00385AEF"/>
    <w:rPr>
      <w:rFonts w:ascii="Times New Roman" w:eastAsia="Times New Roman" w:hAnsi="Times New Roman"/>
      <w:sz w:val="22"/>
      <w:szCs w:val="22"/>
      <w:lang w:eastAsia="en-US"/>
    </w:rPr>
  </w:style>
  <w:style w:type="paragraph" w:styleId="Pataisymai">
    <w:name w:val="Revision"/>
    <w:hidden/>
    <w:uiPriority w:val="99"/>
    <w:semiHidden/>
    <w:rsid w:val="00385AEF"/>
    <w:rPr>
      <w:rFonts w:ascii="Times New Roman" w:eastAsia="Times New Roman" w:hAnsi="Times New Roman"/>
      <w:sz w:val="22"/>
      <w:szCs w:val="22"/>
      <w:lang w:eastAsia="en-US"/>
    </w:rPr>
  </w:style>
  <w:style w:type="character" w:customStyle="1" w:styleId="hps">
    <w:name w:val="hps"/>
    <w:basedOn w:val="Numatytasispastraiposriftas"/>
    <w:rsid w:val="00385AEF"/>
  </w:style>
  <w:style w:type="paragraph" w:styleId="Sraopastraipa">
    <w:name w:val="List Paragraph"/>
    <w:basedOn w:val="prastasis"/>
    <w:uiPriority w:val="34"/>
    <w:qFormat/>
    <w:rsid w:val="00385AEF"/>
    <w:pPr>
      <w:spacing w:after="0" w:line="240" w:lineRule="auto"/>
      <w:ind w:left="720"/>
      <w:contextualSpacing/>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82024</Words>
  <Characters>46755</Characters>
  <Application>Microsoft Office Word</Application>
  <DocSecurity>4</DocSecurity>
  <Lines>389</Lines>
  <Paragraphs>257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128522</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Bogdevic</dc:creator>
  <cp:keywords/>
  <dc:description/>
  <cp:lastModifiedBy>Albina Burkauskaitė</cp:lastModifiedBy>
  <cp:revision>2</cp:revision>
  <dcterms:created xsi:type="dcterms:W3CDTF">2020-11-27T13:15:00Z</dcterms:created>
  <dcterms:modified xsi:type="dcterms:W3CDTF">2020-11-27T13:15:00Z</dcterms:modified>
</cp:coreProperties>
</file>