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1C8" w:rsidRDefault="002201C8" w:rsidP="002201C8">
      <w:pPr>
        <w:tabs>
          <w:tab w:val="clear" w:pos="567"/>
        </w:tabs>
        <w:snapToGrid/>
        <w:spacing w:line="240" w:lineRule="auto"/>
        <w:jc w:val="center"/>
        <w:rPr>
          <w:lang w:val="lt-LT"/>
        </w:rPr>
      </w:pPr>
      <w:r>
        <w:rPr>
          <w:b/>
          <w:lang w:val="lt-LT"/>
        </w:rPr>
        <w:t>Pakuotės lapelis: informacija vartotojui</w:t>
      </w:r>
    </w:p>
    <w:p w:rsidR="002201C8" w:rsidRDefault="002201C8" w:rsidP="002201C8">
      <w:pPr>
        <w:numPr>
          <w:ilvl w:val="12"/>
          <w:numId w:val="0"/>
        </w:numPr>
        <w:shd w:val="clear" w:color="auto" w:fill="FFFFFF"/>
        <w:tabs>
          <w:tab w:val="clear" w:pos="567"/>
          <w:tab w:val="left" w:pos="720"/>
        </w:tabs>
        <w:spacing w:line="240" w:lineRule="auto"/>
        <w:jc w:val="center"/>
        <w:rPr>
          <w:lang w:val="lt-LT"/>
        </w:rPr>
      </w:pPr>
    </w:p>
    <w:p w:rsidR="002201C8" w:rsidRDefault="002201C8" w:rsidP="002201C8">
      <w:pPr>
        <w:numPr>
          <w:ilvl w:val="12"/>
          <w:numId w:val="0"/>
        </w:numPr>
        <w:shd w:val="clear" w:color="auto" w:fill="FFFFFF"/>
        <w:tabs>
          <w:tab w:val="clear" w:pos="567"/>
          <w:tab w:val="left" w:pos="720"/>
        </w:tabs>
        <w:spacing w:line="240" w:lineRule="auto"/>
        <w:jc w:val="center"/>
        <w:rPr>
          <w:b/>
          <w:lang w:val="lt-LT"/>
        </w:rPr>
      </w:pPr>
      <w:proofErr w:type="spellStart"/>
      <w:r>
        <w:rPr>
          <w:b/>
          <w:lang w:val="lt-LT"/>
        </w:rPr>
        <w:t>Biphozyl</w:t>
      </w:r>
      <w:proofErr w:type="spellEnd"/>
      <w:r>
        <w:rPr>
          <w:b/>
          <w:lang w:val="lt-LT"/>
        </w:rPr>
        <w:t xml:space="preserve"> hemodializės ar </w:t>
      </w:r>
      <w:proofErr w:type="spellStart"/>
      <w:r>
        <w:rPr>
          <w:b/>
          <w:lang w:val="lt-LT"/>
        </w:rPr>
        <w:t>hemofiltracijos</w:t>
      </w:r>
      <w:proofErr w:type="spellEnd"/>
      <w:r>
        <w:rPr>
          <w:b/>
          <w:lang w:val="lt-LT"/>
        </w:rPr>
        <w:t xml:space="preserve"> tirpalas</w:t>
      </w:r>
      <w:r>
        <w:rPr>
          <w:lang w:val="lt-LT"/>
        </w:rPr>
        <w:t xml:space="preserve"> </w:t>
      </w:r>
    </w:p>
    <w:p w:rsidR="002201C8" w:rsidRDefault="002201C8" w:rsidP="002201C8">
      <w:pPr>
        <w:tabs>
          <w:tab w:val="clear" w:pos="567"/>
          <w:tab w:val="left" w:pos="720"/>
        </w:tabs>
        <w:spacing w:line="240" w:lineRule="auto"/>
        <w:jc w:val="center"/>
        <w:rPr>
          <w:lang w:val="lt-LT"/>
        </w:rPr>
      </w:pPr>
    </w:p>
    <w:p w:rsidR="002201C8" w:rsidRDefault="002201C8" w:rsidP="002201C8">
      <w:pPr>
        <w:tabs>
          <w:tab w:val="clear" w:pos="567"/>
          <w:tab w:val="left" w:pos="720"/>
        </w:tabs>
        <w:spacing w:line="240" w:lineRule="auto"/>
        <w:jc w:val="center"/>
        <w:rPr>
          <w:sz w:val="16"/>
          <w:szCs w:val="16"/>
          <w:highlight w:val="lightGray"/>
          <w:lang w:val="lt-LT"/>
        </w:rPr>
      </w:pPr>
      <w:r>
        <w:rPr>
          <w:lang w:val="lt-LT"/>
        </w:rPr>
        <w:t xml:space="preserve">Magnio chloridas </w:t>
      </w:r>
      <w:proofErr w:type="spellStart"/>
      <w:r>
        <w:rPr>
          <w:lang w:val="lt-LT"/>
        </w:rPr>
        <w:t>heksahidratas</w:t>
      </w:r>
      <w:proofErr w:type="spellEnd"/>
      <w:r>
        <w:rPr>
          <w:lang w:val="lt-LT"/>
        </w:rPr>
        <w:t xml:space="preserve">, natrio chloridas, natrio-vandenilio karbonatas, kalio chloridas, </w:t>
      </w:r>
      <w:proofErr w:type="spellStart"/>
      <w:r>
        <w:rPr>
          <w:lang w:val="lt-LT"/>
        </w:rPr>
        <w:t>dinatrio</w:t>
      </w:r>
      <w:proofErr w:type="spellEnd"/>
      <w:r>
        <w:rPr>
          <w:lang w:val="lt-LT"/>
        </w:rPr>
        <w:t xml:space="preserve"> fosfatas </w:t>
      </w:r>
      <w:proofErr w:type="spellStart"/>
      <w:r>
        <w:rPr>
          <w:lang w:val="lt-LT"/>
        </w:rPr>
        <w:t>dihidratas</w:t>
      </w:r>
      <w:proofErr w:type="spellEnd"/>
    </w:p>
    <w:p w:rsidR="002201C8" w:rsidRDefault="002201C8" w:rsidP="002201C8">
      <w:pPr>
        <w:tabs>
          <w:tab w:val="clear" w:pos="567"/>
          <w:tab w:val="left" w:pos="720"/>
        </w:tabs>
        <w:spacing w:line="240" w:lineRule="auto"/>
        <w:rPr>
          <w:lang w:val="lt-LT"/>
        </w:rPr>
      </w:pPr>
    </w:p>
    <w:p w:rsidR="002201C8" w:rsidRDefault="002201C8" w:rsidP="002201C8">
      <w:pPr>
        <w:tabs>
          <w:tab w:val="clear" w:pos="567"/>
          <w:tab w:val="left" w:pos="720"/>
        </w:tabs>
        <w:spacing w:line="240" w:lineRule="auto"/>
        <w:rPr>
          <w:lang w:val="lt-LT"/>
        </w:rPr>
      </w:pPr>
    </w:p>
    <w:p w:rsidR="002201C8" w:rsidRDefault="002201C8" w:rsidP="002201C8">
      <w:pPr>
        <w:tabs>
          <w:tab w:val="clear" w:pos="567"/>
          <w:tab w:val="left" w:pos="720"/>
        </w:tabs>
        <w:suppressAutoHyphens/>
        <w:spacing w:line="240" w:lineRule="auto"/>
        <w:rPr>
          <w:lang w:val="lt-LT"/>
        </w:rPr>
      </w:pPr>
      <w:r>
        <w:rPr>
          <w:b/>
          <w:lang w:val="lt-LT"/>
        </w:rPr>
        <w:t>Atidžiai perskaitykite visą šį lapelį, prieš pradėdami vartoti vaistą, nes jame pateikiama Jums svarbi informacija.</w:t>
      </w:r>
    </w:p>
    <w:p w:rsidR="002201C8" w:rsidRDefault="002201C8" w:rsidP="002201C8">
      <w:pPr>
        <w:numPr>
          <w:ilvl w:val="0"/>
          <w:numId w:val="2"/>
        </w:numPr>
        <w:tabs>
          <w:tab w:val="clear" w:pos="567"/>
          <w:tab w:val="left" w:pos="720"/>
        </w:tabs>
        <w:spacing w:line="240" w:lineRule="auto"/>
        <w:ind w:left="567" w:right="-2" w:hanging="567"/>
        <w:rPr>
          <w:lang w:val="lt-LT"/>
        </w:rPr>
      </w:pPr>
      <w:r>
        <w:rPr>
          <w:lang w:val="lt-LT"/>
        </w:rPr>
        <w:t xml:space="preserve">Neišmeskite šio lapelio, nes vėl gali prireikti jį perskaityti. </w:t>
      </w:r>
    </w:p>
    <w:p w:rsidR="002201C8" w:rsidRDefault="002201C8" w:rsidP="002201C8">
      <w:pPr>
        <w:numPr>
          <w:ilvl w:val="0"/>
          <w:numId w:val="2"/>
        </w:numPr>
        <w:tabs>
          <w:tab w:val="clear" w:pos="567"/>
          <w:tab w:val="left" w:pos="720"/>
        </w:tabs>
        <w:spacing w:line="240" w:lineRule="auto"/>
        <w:ind w:left="567" w:right="-2" w:hanging="567"/>
        <w:rPr>
          <w:lang w:val="lt-LT"/>
        </w:rPr>
      </w:pPr>
      <w:r>
        <w:rPr>
          <w:lang w:val="lt-LT"/>
        </w:rPr>
        <w:t>Jeigu kiltų daugiau klausimų, kreipkitės į gydytoją, vaistininką arba slaugytoją.</w:t>
      </w:r>
    </w:p>
    <w:p w:rsidR="002201C8" w:rsidRDefault="002201C8" w:rsidP="002201C8">
      <w:pPr>
        <w:numPr>
          <w:ilvl w:val="0"/>
          <w:numId w:val="2"/>
        </w:numPr>
        <w:ind w:left="567" w:hanging="567"/>
        <w:rPr>
          <w:lang w:val="lt-LT"/>
        </w:rPr>
      </w:pPr>
      <w:r>
        <w:rPr>
          <w:lang w:val="lt-LT"/>
        </w:rPr>
        <w:t>Jeigu pasireiškė šalutinis poveikis (net jeigu jis šiame lapelyje nenurodytas), kreipkitės į gydytoją, vaistininką arba slaugytoją. Žr. 4 skyrių.</w:t>
      </w:r>
    </w:p>
    <w:p w:rsidR="002201C8" w:rsidRDefault="002201C8" w:rsidP="002201C8">
      <w:pPr>
        <w:tabs>
          <w:tab w:val="clear" w:pos="567"/>
          <w:tab w:val="left" w:pos="720"/>
        </w:tabs>
        <w:spacing w:line="240" w:lineRule="auto"/>
        <w:ind w:right="-2"/>
        <w:rPr>
          <w:lang w:val="lt-LT"/>
        </w:rPr>
      </w:pPr>
    </w:p>
    <w:p w:rsidR="002201C8" w:rsidRDefault="002201C8" w:rsidP="002201C8">
      <w:pPr>
        <w:keepNext/>
        <w:numPr>
          <w:ilvl w:val="12"/>
          <w:numId w:val="0"/>
        </w:numPr>
        <w:tabs>
          <w:tab w:val="clear" w:pos="567"/>
          <w:tab w:val="left" w:pos="720"/>
        </w:tabs>
        <w:spacing w:line="240" w:lineRule="auto"/>
        <w:ind w:right="-2"/>
        <w:outlineLvl w:val="0"/>
        <w:rPr>
          <w:lang w:val="lt-LT"/>
        </w:rPr>
      </w:pPr>
      <w:r>
        <w:rPr>
          <w:b/>
          <w:lang w:val="lt-LT"/>
        </w:rPr>
        <w:t>Apie ką rašoma šiame lapelyje?</w:t>
      </w:r>
    </w:p>
    <w:p w:rsidR="002201C8" w:rsidRDefault="002201C8" w:rsidP="002201C8">
      <w:pPr>
        <w:numPr>
          <w:ilvl w:val="12"/>
          <w:numId w:val="0"/>
        </w:numPr>
        <w:tabs>
          <w:tab w:val="left" w:pos="426"/>
        </w:tabs>
        <w:spacing w:line="240" w:lineRule="auto"/>
        <w:ind w:right="-29"/>
        <w:rPr>
          <w:lang w:val="lt-LT"/>
        </w:rPr>
      </w:pPr>
      <w:r>
        <w:rPr>
          <w:lang w:val="lt-LT"/>
        </w:rPr>
        <w:t>1.</w:t>
      </w:r>
      <w:r>
        <w:rPr>
          <w:lang w:val="lt-LT"/>
        </w:rPr>
        <w:tab/>
        <w:t xml:space="preserve">Kas yra </w:t>
      </w:r>
      <w:proofErr w:type="spellStart"/>
      <w:r>
        <w:rPr>
          <w:lang w:val="lt-LT"/>
        </w:rPr>
        <w:t>Biphozyl</w:t>
      </w:r>
      <w:proofErr w:type="spellEnd"/>
      <w:r>
        <w:rPr>
          <w:lang w:val="lt-LT"/>
        </w:rPr>
        <w:t xml:space="preserve"> ir kam jis vartojamas </w:t>
      </w:r>
    </w:p>
    <w:p w:rsidR="002201C8" w:rsidRDefault="002201C8" w:rsidP="002201C8">
      <w:pPr>
        <w:numPr>
          <w:ilvl w:val="12"/>
          <w:numId w:val="0"/>
        </w:numPr>
        <w:tabs>
          <w:tab w:val="left" w:pos="426"/>
        </w:tabs>
        <w:spacing w:line="240" w:lineRule="auto"/>
        <w:ind w:right="-29"/>
        <w:rPr>
          <w:lang w:val="lt-LT"/>
        </w:rPr>
      </w:pPr>
      <w:r>
        <w:rPr>
          <w:lang w:val="lt-LT"/>
        </w:rPr>
        <w:t>2.</w:t>
      </w:r>
      <w:r>
        <w:rPr>
          <w:lang w:val="lt-LT"/>
        </w:rPr>
        <w:tab/>
        <w:t xml:space="preserve">Kas žinotina prieš vartojant </w:t>
      </w:r>
      <w:proofErr w:type="spellStart"/>
      <w:r>
        <w:rPr>
          <w:lang w:val="lt-LT"/>
        </w:rPr>
        <w:t>Biphozyl</w:t>
      </w:r>
      <w:proofErr w:type="spellEnd"/>
    </w:p>
    <w:p w:rsidR="002201C8" w:rsidRDefault="002201C8" w:rsidP="002201C8">
      <w:pPr>
        <w:numPr>
          <w:ilvl w:val="12"/>
          <w:numId w:val="0"/>
        </w:numPr>
        <w:tabs>
          <w:tab w:val="left" w:pos="426"/>
        </w:tabs>
        <w:spacing w:line="240" w:lineRule="auto"/>
        <w:ind w:right="-29"/>
        <w:rPr>
          <w:lang w:val="lt-LT"/>
        </w:rPr>
      </w:pPr>
      <w:r>
        <w:rPr>
          <w:lang w:val="lt-LT"/>
        </w:rPr>
        <w:t>3.</w:t>
      </w:r>
      <w:r>
        <w:rPr>
          <w:lang w:val="lt-LT"/>
        </w:rPr>
        <w:tab/>
        <w:t xml:space="preserve">Kaip vartoti </w:t>
      </w:r>
      <w:proofErr w:type="spellStart"/>
      <w:r>
        <w:rPr>
          <w:lang w:val="lt-LT"/>
        </w:rPr>
        <w:t>Biphozyl</w:t>
      </w:r>
      <w:proofErr w:type="spellEnd"/>
      <w:r>
        <w:rPr>
          <w:lang w:val="lt-LT"/>
        </w:rPr>
        <w:t xml:space="preserve"> </w:t>
      </w:r>
    </w:p>
    <w:p w:rsidR="002201C8" w:rsidRDefault="002201C8" w:rsidP="002201C8">
      <w:pPr>
        <w:numPr>
          <w:ilvl w:val="12"/>
          <w:numId w:val="0"/>
        </w:numPr>
        <w:tabs>
          <w:tab w:val="left" w:pos="426"/>
        </w:tabs>
        <w:spacing w:line="240" w:lineRule="auto"/>
        <w:ind w:right="-29"/>
        <w:rPr>
          <w:lang w:val="lt-LT"/>
        </w:rPr>
      </w:pPr>
      <w:r>
        <w:rPr>
          <w:lang w:val="lt-LT"/>
        </w:rPr>
        <w:t>4.</w:t>
      </w:r>
      <w:r>
        <w:rPr>
          <w:lang w:val="lt-LT"/>
        </w:rPr>
        <w:tab/>
        <w:t xml:space="preserve">Galimas šalutinis poveikis </w:t>
      </w:r>
    </w:p>
    <w:p w:rsidR="002201C8" w:rsidRDefault="002201C8" w:rsidP="002201C8">
      <w:pPr>
        <w:tabs>
          <w:tab w:val="left" w:pos="426"/>
        </w:tabs>
        <w:spacing w:line="240" w:lineRule="auto"/>
        <w:ind w:right="-29"/>
        <w:rPr>
          <w:lang w:val="lt-LT"/>
        </w:rPr>
      </w:pPr>
      <w:r>
        <w:rPr>
          <w:lang w:val="lt-LT"/>
        </w:rPr>
        <w:t>5.</w:t>
      </w:r>
      <w:r>
        <w:rPr>
          <w:lang w:val="lt-LT"/>
        </w:rPr>
        <w:tab/>
        <w:t xml:space="preserve">Kaip laikyti </w:t>
      </w:r>
      <w:proofErr w:type="spellStart"/>
      <w:r>
        <w:rPr>
          <w:lang w:val="lt-LT"/>
        </w:rPr>
        <w:t>Biphozyl</w:t>
      </w:r>
      <w:proofErr w:type="spellEnd"/>
      <w:r>
        <w:rPr>
          <w:lang w:val="lt-LT"/>
        </w:rPr>
        <w:t xml:space="preserve"> </w:t>
      </w:r>
    </w:p>
    <w:p w:rsidR="002201C8" w:rsidRDefault="002201C8" w:rsidP="002201C8">
      <w:pPr>
        <w:tabs>
          <w:tab w:val="left" w:pos="426"/>
        </w:tabs>
        <w:spacing w:line="240" w:lineRule="auto"/>
        <w:ind w:right="-29"/>
        <w:rPr>
          <w:lang w:val="lt-LT"/>
        </w:rPr>
      </w:pPr>
      <w:r>
        <w:rPr>
          <w:lang w:val="lt-LT"/>
        </w:rPr>
        <w:t>6.</w:t>
      </w:r>
      <w:r>
        <w:rPr>
          <w:lang w:val="lt-LT"/>
        </w:rPr>
        <w:tab/>
        <w:t>Pakuotės turinys ir kita informacija</w:t>
      </w:r>
    </w:p>
    <w:p w:rsidR="002201C8" w:rsidRDefault="002201C8" w:rsidP="002201C8">
      <w:pPr>
        <w:numPr>
          <w:ilvl w:val="12"/>
          <w:numId w:val="0"/>
        </w:numPr>
        <w:tabs>
          <w:tab w:val="clear" w:pos="567"/>
          <w:tab w:val="left" w:pos="720"/>
        </w:tabs>
        <w:spacing w:line="240" w:lineRule="auto"/>
        <w:ind w:right="-2"/>
        <w:rPr>
          <w:lang w:val="lt-LT"/>
        </w:rPr>
      </w:pPr>
    </w:p>
    <w:p w:rsidR="002201C8" w:rsidRDefault="002201C8" w:rsidP="002201C8">
      <w:pPr>
        <w:numPr>
          <w:ilvl w:val="12"/>
          <w:numId w:val="0"/>
        </w:numPr>
        <w:tabs>
          <w:tab w:val="clear" w:pos="567"/>
          <w:tab w:val="left" w:pos="720"/>
        </w:tabs>
        <w:spacing w:line="240" w:lineRule="auto"/>
        <w:rPr>
          <w:lang w:val="lt-LT"/>
        </w:rPr>
      </w:pPr>
    </w:p>
    <w:p w:rsidR="002201C8" w:rsidRDefault="002201C8" w:rsidP="002201C8">
      <w:pPr>
        <w:spacing w:line="240" w:lineRule="auto"/>
        <w:ind w:right="-2"/>
        <w:rPr>
          <w:b/>
          <w:lang w:val="lt-LT"/>
        </w:rPr>
      </w:pPr>
      <w:r>
        <w:rPr>
          <w:b/>
          <w:lang w:val="lt-LT"/>
        </w:rPr>
        <w:t>1.</w:t>
      </w:r>
      <w:r>
        <w:rPr>
          <w:b/>
          <w:lang w:val="lt-LT"/>
        </w:rPr>
        <w:tab/>
        <w:t xml:space="preserve">Kas yra </w:t>
      </w:r>
      <w:proofErr w:type="spellStart"/>
      <w:r>
        <w:rPr>
          <w:b/>
          <w:lang w:val="lt-LT"/>
        </w:rPr>
        <w:t>Biphozyl</w:t>
      </w:r>
      <w:proofErr w:type="spellEnd"/>
      <w:r>
        <w:rPr>
          <w:b/>
          <w:lang w:val="lt-LT"/>
        </w:rPr>
        <w:t xml:space="preserve"> ir kam jis vartojamas</w:t>
      </w:r>
    </w:p>
    <w:p w:rsidR="002201C8" w:rsidRDefault="002201C8" w:rsidP="002201C8">
      <w:pPr>
        <w:tabs>
          <w:tab w:val="clear" w:pos="567"/>
          <w:tab w:val="left" w:pos="720"/>
        </w:tabs>
        <w:spacing w:line="240" w:lineRule="auto"/>
        <w:ind w:right="-2"/>
        <w:rPr>
          <w:szCs w:val="22"/>
          <w:lang w:val="lt-LT"/>
        </w:rPr>
      </w:pPr>
    </w:p>
    <w:p w:rsidR="002201C8" w:rsidRDefault="002201C8" w:rsidP="002201C8">
      <w:pPr>
        <w:tabs>
          <w:tab w:val="clear" w:pos="567"/>
          <w:tab w:val="left" w:pos="720"/>
        </w:tabs>
        <w:spacing w:line="240" w:lineRule="auto"/>
        <w:ind w:right="-2"/>
        <w:rPr>
          <w:szCs w:val="22"/>
          <w:lang w:val="lt-LT"/>
        </w:rPr>
      </w:pPr>
      <w:r>
        <w:rPr>
          <w:szCs w:val="22"/>
          <w:lang w:val="lt-LT"/>
        </w:rPr>
        <w:t>Šis vaistas – tai tirpalas dializei (</w:t>
      </w:r>
      <w:proofErr w:type="spellStart"/>
      <w:r>
        <w:rPr>
          <w:szCs w:val="22"/>
          <w:lang w:val="lt-LT"/>
        </w:rPr>
        <w:t>hemofiltracijai</w:t>
      </w:r>
      <w:proofErr w:type="spellEnd"/>
      <w:r>
        <w:rPr>
          <w:szCs w:val="22"/>
          <w:lang w:val="lt-LT"/>
        </w:rPr>
        <w:t xml:space="preserve">, hemodializei ir </w:t>
      </w:r>
      <w:proofErr w:type="spellStart"/>
      <w:r>
        <w:rPr>
          <w:szCs w:val="22"/>
          <w:lang w:val="lt-LT"/>
        </w:rPr>
        <w:t>hemodiafiltracijai</w:t>
      </w:r>
      <w:proofErr w:type="spellEnd"/>
      <w:r>
        <w:rPr>
          <w:szCs w:val="22"/>
          <w:lang w:val="lt-LT"/>
        </w:rPr>
        <w:t>) atlikti. Jis vartotinas nereikalingoms medžiagoms iš kraujo pašalinti, kai sutrikusi inkstų funkcija.</w:t>
      </w:r>
      <w:r>
        <w:rPr>
          <w:lang w:val="lt-LT"/>
        </w:rPr>
        <w:t xml:space="preserve"> Šis vaistas skirtas vartoti ligoninėse vykdant intensyviąją terapiją, kai atliekama nuolatinė ilgalaikė inkstų pakaitinė terapija (IIPT ). Jis ypač tinka vartoti gydant ypač sunkios būklės ligonius, kuriems nustatytas ūminis inkstų pažeidimas ir:</w:t>
      </w:r>
    </w:p>
    <w:p w:rsidR="002201C8" w:rsidRDefault="002201C8" w:rsidP="002201C8">
      <w:pPr>
        <w:numPr>
          <w:ilvl w:val="0"/>
          <w:numId w:val="3"/>
        </w:numPr>
        <w:tabs>
          <w:tab w:val="clear" w:pos="567"/>
        </w:tabs>
        <w:spacing w:line="240" w:lineRule="auto"/>
        <w:ind w:right="-2"/>
        <w:rPr>
          <w:szCs w:val="22"/>
          <w:lang w:val="lt-LT"/>
        </w:rPr>
      </w:pPr>
      <w:r>
        <w:rPr>
          <w:lang w:val="lt-LT"/>
        </w:rPr>
        <w:t>įprastas kalio kiekis kraujyje (</w:t>
      </w:r>
      <w:proofErr w:type="spellStart"/>
      <w:r>
        <w:rPr>
          <w:lang w:val="lt-LT"/>
        </w:rPr>
        <w:t>normokalemija</w:t>
      </w:r>
      <w:proofErr w:type="spellEnd"/>
      <w:r>
        <w:rPr>
          <w:lang w:val="lt-LT"/>
        </w:rPr>
        <w:t>);</w:t>
      </w:r>
    </w:p>
    <w:p w:rsidR="002201C8" w:rsidRDefault="002201C8" w:rsidP="002201C8">
      <w:pPr>
        <w:numPr>
          <w:ilvl w:val="0"/>
          <w:numId w:val="3"/>
        </w:numPr>
        <w:tabs>
          <w:tab w:val="clear" w:pos="567"/>
        </w:tabs>
        <w:spacing w:line="240" w:lineRule="auto"/>
        <w:ind w:right="-2"/>
        <w:rPr>
          <w:lang w:val="lt-LT"/>
        </w:rPr>
      </w:pPr>
      <w:r>
        <w:rPr>
          <w:szCs w:val="22"/>
          <w:lang w:val="lt-LT"/>
        </w:rPr>
        <w:t>įprastas kraujo pH;</w:t>
      </w:r>
    </w:p>
    <w:p w:rsidR="002201C8" w:rsidRDefault="002201C8" w:rsidP="002201C8">
      <w:pPr>
        <w:numPr>
          <w:ilvl w:val="0"/>
          <w:numId w:val="3"/>
        </w:numPr>
        <w:tabs>
          <w:tab w:val="clear" w:pos="567"/>
        </w:tabs>
        <w:spacing w:line="240" w:lineRule="auto"/>
        <w:ind w:right="-2"/>
        <w:rPr>
          <w:lang w:val="lt-LT"/>
        </w:rPr>
      </w:pPr>
      <w:r>
        <w:rPr>
          <w:lang w:val="lt-LT"/>
        </w:rPr>
        <w:t>įprastas fosfato kiekis kraujyje (</w:t>
      </w:r>
      <w:proofErr w:type="spellStart"/>
      <w:r>
        <w:rPr>
          <w:lang w:val="lt-LT"/>
        </w:rPr>
        <w:t>normofosfatemija</w:t>
      </w:r>
      <w:proofErr w:type="spellEnd"/>
      <w:r>
        <w:rPr>
          <w:lang w:val="lt-LT"/>
        </w:rPr>
        <w:t>);</w:t>
      </w:r>
    </w:p>
    <w:p w:rsidR="002201C8" w:rsidRDefault="002201C8" w:rsidP="002201C8">
      <w:pPr>
        <w:numPr>
          <w:ilvl w:val="0"/>
          <w:numId w:val="3"/>
        </w:numPr>
        <w:tabs>
          <w:tab w:val="clear" w:pos="567"/>
        </w:tabs>
        <w:spacing w:line="240" w:lineRule="auto"/>
        <w:ind w:right="-2"/>
        <w:rPr>
          <w:lang w:val="lt-LT"/>
        </w:rPr>
      </w:pPr>
      <w:r>
        <w:rPr>
          <w:lang w:val="lt-LT"/>
        </w:rPr>
        <w:t>didelis kalcio kiekis kraujyje (</w:t>
      </w:r>
      <w:proofErr w:type="spellStart"/>
      <w:r>
        <w:rPr>
          <w:lang w:val="lt-LT"/>
        </w:rPr>
        <w:t>hiperkalcemija</w:t>
      </w:r>
      <w:proofErr w:type="spellEnd"/>
      <w:r>
        <w:rPr>
          <w:lang w:val="lt-LT"/>
        </w:rPr>
        <w:t>).</w:t>
      </w:r>
    </w:p>
    <w:p w:rsidR="002201C8" w:rsidRDefault="002201C8" w:rsidP="002201C8">
      <w:pPr>
        <w:tabs>
          <w:tab w:val="clear" w:pos="567"/>
        </w:tabs>
        <w:spacing w:line="240" w:lineRule="auto"/>
        <w:ind w:right="-2"/>
        <w:rPr>
          <w:noProof/>
          <w:szCs w:val="22"/>
        </w:rPr>
      </w:pPr>
    </w:p>
    <w:p w:rsidR="002201C8" w:rsidRDefault="002201C8" w:rsidP="002201C8">
      <w:pPr>
        <w:tabs>
          <w:tab w:val="clear" w:pos="567"/>
        </w:tabs>
        <w:spacing w:line="240" w:lineRule="auto"/>
        <w:ind w:right="-2"/>
        <w:rPr>
          <w:noProof/>
          <w:szCs w:val="22"/>
        </w:rPr>
      </w:pPr>
      <w:r>
        <w:rPr>
          <w:noProof/>
          <w:szCs w:val="22"/>
        </w:rPr>
        <w:t xml:space="preserve">Šis vaistas taip pat gali būti vartojamas: </w:t>
      </w:r>
    </w:p>
    <w:p w:rsidR="002201C8" w:rsidRDefault="002201C8" w:rsidP="002201C8">
      <w:pPr>
        <w:numPr>
          <w:ilvl w:val="0"/>
          <w:numId w:val="3"/>
        </w:numPr>
        <w:tabs>
          <w:tab w:val="clear" w:pos="567"/>
        </w:tabs>
        <w:snapToGrid/>
        <w:spacing w:line="240" w:lineRule="auto"/>
        <w:ind w:right="-2"/>
        <w:rPr>
          <w:noProof/>
          <w:szCs w:val="22"/>
        </w:rPr>
      </w:pPr>
      <w:r>
        <w:rPr>
          <w:noProof/>
          <w:szCs w:val="22"/>
        </w:rPr>
        <w:t>kai yra galimi kiti vandenilio karbonato šaltiniai arba kai citratinis antikoaguliantas taikomas ekstrakorporinėje apytakoje;</w:t>
      </w:r>
    </w:p>
    <w:p w:rsidR="002201C8" w:rsidRPr="00224DBD" w:rsidRDefault="002201C8" w:rsidP="002201C8">
      <w:pPr>
        <w:numPr>
          <w:ilvl w:val="0"/>
          <w:numId w:val="3"/>
        </w:numPr>
        <w:tabs>
          <w:tab w:val="clear" w:pos="567"/>
        </w:tabs>
        <w:snapToGrid/>
        <w:spacing w:line="240" w:lineRule="auto"/>
        <w:ind w:right="-2"/>
        <w:rPr>
          <w:noProof/>
          <w:szCs w:val="22"/>
        </w:rPr>
      </w:pPr>
      <w:r>
        <w:rPr>
          <w:noProof/>
          <w:szCs w:val="22"/>
        </w:rPr>
        <w:t>a</w:t>
      </w:r>
      <w:r w:rsidRPr="00224DBD">
        <w:rPr>
          <w:noProof/>
          <w:szCs w:val="22"/>
        </w:rPr>
        <w:t xml:space="preserve">psinuodijimo vaistais </w:t>
      </w:r>
      <w:r>
        <w:rPr>
          <w:noProof/>
          <w:szCs w:val="22"/>
        </w:rPr>
        <w:t xml:space="preserve">atveju </w:t>
      </w:r>
      <w:r w:rsidRPr="00224DBD">
        <w:rPr>
          <w:noProof/>
          <w:szCs w:val="22"/>
        </w:rPr>
        <w:t xml:space="preserve">arba </w:t>
      </w:r>
      <w:r>
        <w:rPr>
          <w:noProof/>
          <w:szCs w:val="22"/>
        </w:rPr>
        <w:t xml:space="preserve">intoksikacija </w:t>
      </w:r>
      <w:r w:rsidRPr="00224DBD">
        <w:rPr>
          <w:noProof/>
          <w:szCs w:val="22"/>
        </w:rPr>
        <w:t>kitomis medžiagomis, kurias galima pašalinti dializės arba filtracijos būdu</w:t>
      </w:r>
      <w:r>
        <w:rPr>
          <w:noProof/>
          <w:szCs w:val="22"/>
        </w:rPr>
        <w:t>.</w:t>
      </w:r>
    </w:p>
    <w:p w:rsidR="002201C8" w:rsidRDefault="002201C8" w:rsidP="002201C8">
      <w:pPr>
        <w:tabs>
          <w:tab w:val="clear" w:pos="567"/>
          <w:tab w:val="left" w:pos="720"/>
        </w:tabs>
        <w:spacing w:line="240" w:lineRule="auto"/>
        <w:ind w:right="-2"/>
        <w:rPr>
          <w:lang w:val="lt-LT"/>
        </w:rPr>
      </w:pPr>
    </w:p>
    <w:p w:rsidR="002201C8" w:rsidRDefault="002201C8" w:rsidP="002201C8">
      <w:pPr>
        <w:tabs>
          <w:tab w:val="clear" w:pos="567"/>
          <w:tab w:val="left" w:pos="720"/>
        </w:tabs>
        <w:spacing w:line="240" w:lineRule="auto"/>
        <w:ind w:right="-2"/>
        <w:rPr>
          <w:lang w:val="lt-LT"/>
        </w:rPr>
      </w:pPr>
    </w:p>
    <w:p w:rsidR="002201C8" w:rsidRDefault="002201C8" w:rsidP="002201C8">
      <w:pPr>
        <w:spacing w:line="240" w:lineRule="auto"/>
        <w:ind w:right="-2"/>
        <w:rPr>
          <w:b/>
          <w:lang w:val="lt-LT"/>
        </w:rPr>
      </w:pPr>
      <w:r>
        <w:rPr>
          <w:b/>
          <w:lang w:val="lt-LT"/>
        </w:rPr>
        <w:t>2.</w:t>
      </w:r>
      <w:r>
        <w:rPr>
          <w:b/>
          <w:lang w:val="lt-LT"/>
        </w:rPr>
        <w:tab/>
        <w:t xml:space="preserve">Kas žinotina prieš vartojant </w:t>
      </w:r>
      <w:proofErr w:type="spellStart"/>
      <w:r>
        <w:rPr>
          <w:b/>
          <w:lang w:val="lt-LT"/>
        </w:rPr>
        <w:t>Biphozyl</w:t>
      </w:r>
      <w:proofErr w:type="spellEnd"/>
      <w:r>
        <w:rPr>
          <w:lang w:val="lt-LT"/>
        </w:rPr>
        <w:t xml:space="preserve"> </w:t>
      </w:r>
    </w:p>
    <w:p w:rsidR="002201C8" w:rsidRDefault="002201C8" w:rsidP="002201C8">
      <w:pPr>
        <w:numPr>
          <w:ilvl w:val="12"/>
          <w:numId w:val="0"/>
        </w:numPr>
        <w:tabs>
          <w:tab w:val="clear" w:pos="567"/>
          <w:tab w:val="left" w:pos="720"/>
        </w:tabs>
        <w:spacing w:line="240" w:lineRule="auto"/>
        <w:outlineLvl w:val="0"/>
        <w:rPr>
          <w:i/>
          <w:lang w:val="lt-LT"/>
        </w:rPr>
      </w:pPr>
    </w:p>
    <w:p w:rsidR="002201C8" w:rsidRDefault="002201C8" w:rsidP="002201C8">
      <w:pPr>
        <w:numPr>
          <w:ilvl w:val="12"/>
          <w:numId w:val="0"/>
        </w:numPr>
        <w:tabs>
          <w:tab w:val="clear" w:pos="567"/>
          <w:tab w:val="left" w:pos="720"/>
        </w:tabs>
        <w:spacing w:line="240" w:lineRule="auto"/>
        <w:outlineLvl w:val="0"/>
        <w:rPr>
          <w:lang w:val="lt-LT"/>
        </w:rPr>
      </w:pPr>
      <w:proofErr w:type="spellStart"/>
      <w:r>
        <w:rPr>
          <w:b/>
          <w:lang w:val="lt-LT"/>
        </w:rPr>
        <w:t>Biphozyl</w:t>
      </w:r>
      <w:proofErr w:type="spellEnd"/>
      <w:r>
        <w:rPr>
          <w:b/>
          <w:lang w:val="lt-LT"/>
        </w:rPr>
        <w:t xml:space="preserve"> vartoti negalima, jei:</w:t>
      </w:r>
    </w:p>
    <w:p w:rsidR="002201C8" w:rsidRDefault="002201C8" w:rsidP="002201C8">
      <w:pPr>
        <w:numPr>
          <w:ilvl w:val="0"/>
          <w:numId w:val="4"/>
        </w:numPr>
        <w:tabs>
          <w:tab w:val="clear" w:pos="567"/>
        </w:tabs>
        <w:spacing w:line="240" w:lineRule="auto"/>
        <w:rPr>
          <w:lang w:val="lt-LT"/>
        </w:rPr>
      </w:pPr>
      <w:r>
        <w:rPr>
          <w:szCs w:val="22"/>
          <w:lang w:val="lt-LT"/>
        </w:rPr>
        <w:t>yra alergija vienai iš veikliųjų medžiagų arba bet kuriai pagalbinei medžiagai (jos išvardytos 6 skyriuje);</w:t>
      </w:r>
    </w:p>
    <w:p w:rsidR="002201C8" w:rsidRDefault="002201C8" w:rsidP="002201C8">
      <w:pPr>
        <w:numPr>
          <w:ilvl w:val="0"/>
          <w:numId w:val="4"/>
        </w:numPr>
        <w:tabs>
          <w:tab w:val="clear" w:pos="567"/>
        </w:tabs>
        <w:spacing w:line="240" w:lineRule="auto"/>
        <w:rPr>
          <w:lang w:val="lt-LT"/>
        </w:rPr>
      </w:pPr>
      <w:r>
        <w:rPr>
          <w:szCs w:val="22"/>
          <w:lang w:val="lt-LT"/>
        </w:rPr>
        <w:t>mažas kalcio kiekis kraujyje (</w:t>
      </w:r>
      <w:proofErr w:type="spellStart"/>
      <w:r>
        <w:rPr>
          <w:szCs w:val="22"/>
          <w:lang w:val="lt-LT"/>
        </w:rPr>
        <w:t>hipokalcemija</w:t>
      </w:r>
      <w:proofErr w:type="spellEnd"/>
      <w:r>
        <w:rPr>
          <w:szCs w:val="22"/>
          <w:lang w:val="lt-LT"/>
        </w:rPr>
        <w:t>);</w:t>
      </w:r>
    </w:p>
    <w:p w:rsidR="002201C8" w:rsidRDefault="002201C8" w:rsidP="002201C8">
      <w:pPr>
        <w:numPr>
          <w:ilvl w:val="0"/>
          <w:numId w:val="4"/>
        </w:numPr>
        <w:tabs>
          <w:tab w:val="clear" w:pos="567"/>
        </w:tabs>
        <w:spacing w:line="240" w:lineRule="auto"/>
        <w:rPr>
          <w:lang w:val="lt-LT"/>
        </w:rPr>
      </w:pPr>
      <w:r>
        <w:rPr>
          <w:lang w:val="lt-LT"/>
        </w:rPr>
        <w:t>didelis kalio kiekis kraujyje (</w:t>
      </w:r>
      <w:proofErr w:type="spellStart"/>
      <w:r>
        <w:rPr>
          <w:lang w:val="lt-LT"/>
        </w:rPr>
        <w:t>hiperkalemija</w:t>
      </w:r>
      <w:proofErr w:type="spellEnd"/>
      <w:r>
        <w:rPr>
          <w:lang w:val="lt-LT"/>
        </w:rPr>
        <w:t>);</w:t>
      </w:r>
    </w:p>
    <w:p w:rsidR="002201C8" w:rsidRDefault="002201C8" w:rsidP="002201C8">
      <w:pPr>
        <w:numPr>
          <w:ilvl w:val="0"/>
          <w:numId w:val="4"/>
        </w:numPr>
        <w:tabs>
          <w:tab w:val="clear" w:pos="567"/>
        </w:tabs>
        <w:spacing w:line="240" w:lineRule="auto"/>
        <w:rPr>
          <w:lang w:val="lt-LT"/>
        </w:rPr>
      </w:pPr>
      <w:r>
        <w:rPr>
          <w:lang w:val="lt-LT"/>
        </w:rPr>
        <w:t>didelis fosfato kiekis kraujyje (</w:t>
      </w:r>
      <w:proofErr w:type="spellStart"/>
      <w:r>
        <w:rPr>
          <w:lang w:val="lt-LT"/>
        </w:rPr>
        <w:t>hiperfosfatemija</w:t>
      </w:r>
      <w:proofErr w:type="spellEnd"/>
      <w:r>
        <w:rPr>
          <w:lang w:val="lt-LT"/>
        </w:rPr>
        <w:t>).</w:t>
      </w:r>
    </w:p>
    <w:p w:rsidR="002201C8" w:rsidRDefault="002201C8" w:rsidP="002201C8">
      <w:pPr>
        <w:tabs>
          <w:tab w:val="clear" w:pos="567"/>
          <w:tab w:val="left" w:pos="720"/>
        </w:tabs>
        <w:spacing w:line="240" w:lineRule="auto"/>
        <w:rPr>
          <w:lang w:val="lt-LT"/>
        </w:rPr>
      </w:pPr>
    </w:p>
    <w:p w:rsidR="002201C8" w:rsidRDefault="002201C8" w:rsidP="002201C8">
      <w:pPr>
        <w:spacing w:line="240" w:lineRule="auto"/>
        <w:ind w:right="-2"/>
        <w:rPr>
          <w:b/>
          <w:lang w:val="lt-LT"/>
        </w:rPr>
      </w:pPr>
      <w:r>
        <w:rPr>
          <w:b/>
          <w:szCs w:val="22"/>
          <w:lang w:val="lt-LT"/>
        </w:rPr>
        <w:t>Įspėjimai ir atsargumo priemonės</w:t>
      </w:r>
    </w:p>
    <w:p w:rsidR="002201C8" w:rsidRDefault="002201C8" w:rsidP="002201C8">
      <w:pPr>
        <w:spacing w:line="240" w:lineRule="auto"/>
        <w:ind w:right="-2"/>
        <w:rPr>
          <w:lang w:val="lt-LT"/>
        </w:rPr>
      </w:pPr>
    </w:p>
    <w:p w:rsidR="002201C8" w:rsidRDefault="002201C8" w:rsidP="002201C8">
      <w:pPr>
        <w:spacing w:line="240" w:lineRule="auto"/>
        <w:ind w:right="-2"/>
        <w:rPr>
          <w:b/>
          <w:lang w:val="lt-LT"/>
        </w:rPr>
      </w:pPr>
      <w:r>
        <w:rPr>
          <w:b/>
          <w:szCs w:val="22"/>
          <w:lang w:val="lt-LT"/>
        </w:rPr>
        <w:t>Įspėjimai</w:t>
      </w:r>
    </w:p>
    <w:p w:rsidR="002201C8" w:rsidRDefault="002201C8" w:rsidP="002201C8">
      <w:pPr>
        <w:spacing w:before="120" w:after="120" w:line="240" w:lineRule="auto"/>
        <w:rPr>
          <w:lang w:val="lt-LT"/>
        </w:rPr>
      </w:pPr>
      <w:r>
        <w:rPr>
          <w:lang w:val="lt-LT"/>
        </w:rPr>
        <w:t xml:space="preserve">Pasitarkite su gydytoju, vaistininku arba slaugytoja, prieš pradėdami vartoti </w:t>
      </w:r>
      <w:proofErr w:type="spellStart"/>
      <w:r>
        <w:rPr>
          <w:lang w:val="lt-LT"/>
        </w:rPr>
        <w:t>Biphozyl</w:t>
      </w:r>
      <w:proofErr w:type="spellEnd"/>
      <w:r>
        <w:rPr>
          <w:lang w:val="lt-LT"/>
        </w:rPr>
        <w:t>.</w:t>
      </w:r>
    </w:p>
    <w:p w:rsidR="002201C8" w:rsidRDefault="002201C8" w:rsidP="002201C8">
      <w:pPr>
        <w:autoSpaceDE w:val="0"/>
        <w:autoSpaceDN w:val="0"/>
        <w:adjustRightInd w:val="0"/>
        <w:spacing w:line="240" w:lineRule="auto"/>
        <w:rPr>
          <w:rFonts w:eastAsia="Calibri"/>
          <w:szCs w:val="24"/>
          <w:lang w:val="en-US"/>
        </w:rPr>
      </w:pPr>
      <w:r>
        <w:rPr>
          <w:noProof/>
          <w:szCs w:val="22"/>
        </w:rPr>
        <w:t>Biphozyl negalima vartoti pacientams, kuriems nustatyta didelė kalio koncentracija kraujyje. Jūsų kalio koncentracija kraujyje bus reguliariai stebima prieš gydymą ir gydymo laikotarpiu.</w:t>
      </w:r>
    </w:p>
    <w:p w:rsidR="002201C8" w:rsidRDefault="002201C8" w:rsidP="002201C8">
      <w:pPr>
        <w:spacing w:before="120" w:after="120" w:line="240" w:lineRule="auto"/>
        <w:rPr>
          <w:szCs w:val="22"/>
          <w:lang w:val="lt-LT"/>
        </w:rPr>
      </w:pPr>
      <w:r>
        <w:rPr>
          <w:szCs w:val="22"/>
          <w:lang w:val="lt-LT"/>
        </w:rPr>
        <w:t xml:space="preserve">Kadangi </w:t>
      </w:r>
      <w:proofErr w:type="spellStart"/>
      <w:r>
        <w:rPr>
          <w:lang w:val="lt-LT"/>
        </w:rPr>
        <w:t>Biphozyl</w:t>
      </w:r>
      <w:proofErr w:type="spellEnd"/>
      <w:r>
        <w:rPr>
          <w:lang w:val="lt-LT"/>
        </w:rPr>
        <w:t xml:space="preserve"> </w:t>
      </w:r>
      <w:r>
        <w:rPr>
          <w:szCs w:val="22"/>
          <w:lang w:val="lt-LT"/>
        </w:rPr>
        <w:t xml:space="preserve">tirpalo sudėtyje yra </w:t>
      </w:r>
      <w:r>
        <w:rPr>
          <w:lang w:val="lt-LT"/>
        </w:rPr>
        <w:t xml:space="preserve">kalio, </w:t>
      </w:r>
      <w:r>
        <w:rPr>
          <w:szCs w:val="22"/>
          <w:lang w:val="lt-LT"/>
        </w:rPr>
        <w:t xml:space="preserve">pradėjus gydymą gali laikinai atsirasti </w:t>
      </w:r>
      <w:proofErr w:type="spellStart"/>
      <w:r>
        <w:rPr>
          <w:szCs w:val="22"/>
          <w:lang w:val="lt-LT"/>
        </w:rPr>
        <w:t>hiperkalemija</w:t>
      </w:r>
      <w:proofErr w:type="spellEnd"/>
      <w:r>
        <w:rPr>
          <w:szCs w:val="22"/>
          <w:lang w:val="lt-LT"/>
        </w:rPr>
        <w:t>. Jūsų gydytojas sumažins infuzijos greitį, kol bus pasiekta norima kalio koncentracija. Jei būklė neišnyksta, gydytojas turi nedelsdamas nutraukti vaistinio preparato vartojimą.</w:t>
      </w:r>
      <w:r>
        <w:rPr>
          <w:noProof/>
          <w:szCs w:val="22"/>
        </w:rPr>
        <w:t xml:space="preserve"> Trumpą laiką gali būti skiriama tirpalo, kurio sudėtyje nėra kalio, kad būtų atkurta jūsų kalio koncentracija kraujyje.</w:t>
      </w:r>
    </w:p>
    <w:p w:rsidR="002201C8" w:rsidRDefault="002201C8" w:rsidP="002201C8">
      <w:pPr>
        <w:spacing w:before="120" w:line="240" w:lineRule="auto"/>
        <w:rPr>
          <w:lang w:val="lt-LT"/>
        </w:rPr>
      </w:pPr>
      <w:r>
        <w:rPr>
          <w:szCs w:val="22"/>
          <w:lang w:val="lt-LT"/>
        </w:rPr>
        <w:t xml:space="preserve">Kadangi </w:t>
      </w:r>
      <w:proofErr w:type="spellStart"/>
      <w:r>
        <w:rPr>
          <w:lang w:val="lt-LT"/>
        </w:rPr>
        <w:t>Biphozyl</w:t>
      </w:r>
      <w:proofErr w:type="spellEnd"/>
      <w:r>
        <w:rPr>
          <w:lang w:val="lt-LT"/>
        </w:rPr>
        <w:t xml:space="preserve"> </w:t>
      </w:r>
      <w:r>
        <w:rPr>
          <w:szCs w:val="22"/>
          <w:lang w:val="lt-LT"/>
        </w:rPr>
        <w:t xml:space="preserve">tirpalo sudėtyje yra fosfato, pradėjus gydymą gali laikinai atsirasti </w:t>
      </w:r>
      <w:proofErr w:type="spellStart"/>
      <w:r>
        <w:rPr>
          <w:szCs w:val="22"/>
          <w:lang w:val="lt-LT"/>
        </w:rPr>
        <w:t>hiperfosfatemija</w:t>
      </w:r>
      <w:proofErr w:type="spellEnd"/>
      <w:r>
        <w:rPr>
          <w:szCs w:val="22"/>
          <w:lang w:val="lt-LT"/>
        </w:rPr>
        <w:t>. Jūsų gydytojas sumažins infuzijos greitį, kol bus pasiekta norima fosfato koncentracija. Jei būklė neišnyksta, gydytojas turi nedelsdamas nutraukti vaistinio preparato vartojimą.</w:t>
      </w:r>
    </w:p>
    <w:p w:rsidR="002201C8" w:rsidRDefault="002201C8" w:rsidP="002201C8">
      <w:pPr>
        <w:autoSpaceDE w:val="0"/>
        <w:autoSpaceDN w:val="0"/>
        <w:adjustRightInd w:val="0"/>
        <w:spacing w:before="120" w:after="120"/>
        <w:jc w:val="both"/>
        <w:rPr>
          <w:rFonts w:eastAsia="TimesNewRoman"/>
          <w:bCs/>
          <w:szCs w:val="22"/>
          <w:lang w:val="lt-LT" w:eastAsia="fr-FR"/>
        </w:rPr>
      </w:pPr>
      <w:r>
        <w:rPr>
          <w:rFonts w:eastAsia="TimesNewRoman"/>
          <w:bCs/>
          <w:szCs w:val="22"/>
          <w:lang w:val="lt-LT" w:eastAsia="fr-FR"/>
        </w:rPr>
        <w:t xml:space="preserve">Kadangi </w:t>
      </w:r>
      <w:proofErr w:type="spellStart"/>
      <w:r>
        <w:rPr>
          <w:rFonts w:eastAsia="TimesNewRoman"/>
          <w:bCs/>
          <w:szCs w:val="22"/>
          <w:lang w:val="lt-LT" w:eastAsia="fr-FR"/>
        </w:rPr>
        <w:t>Biphozyl</w:t>
      </w:r>
      <w:proofErr w:type="spellEnd"/>
      <w:r>
        <w:rPr>
          <w:rFonts w:eastAsia="TimesNewRoman"/>
          <w:bCs/>
          <w:szCs w:val="22"/>
          <w:lang w:val="lt-LT" w:eastAsia="fr-FR"/>
        </w:rPr>
        <w:t xml:space="preserve"> sudėtyje nėra gliukozės, jį vartojant gali sumažėti gliukozės koncentracija kraujyje. Gliukozės koncentracija kraujyje bus reguliariai stebima. Jei gliukozės koncentracija kraujyje sumažėja, jūsų gydytojas gali skirti tirpalo, kurio sudėtyje yra gliukozės. Norint išlaikyti pageidaujamą gliukozės koncentraciją kraujyje, gali prireikti taikyti kitas koreguojamąsias priemones.</w:t>
      </w:r>
    </w:p>
    <w:p w:rsidR="002201C8" w:rsidRDefault="002201C8" w:rsidP="002201C8">
      <w:pPr>
        <w:spacing w:before="120" w:after="120" w:line="240" w:lineRule="auto"/>
        <w:rPr>
          <w:lang w:val="lt-LT"/>
        </w:rPr>
      </w:pPr>
      <w:r>
        <w:rPr>
          <w:lang w:val="lt-LT"/>
        </w:rPr>
        <w:t xml:space="preserve">Gydytojas turi reguliariai stebėti </w:t>
      </w:r>
      <w:proofErr w:type="spellStart"/>
      <w:r>
        <w:rPr>
          <w:lang w:val="lt-LT"/>
        </w:rPr>
        <w:t>Biphozyl</w:t>
      </w:r>
      <w:proofErr w:type="spellEnd"/>
      <w:r>
        <w:rPr>
          <w:lang w:val="lt-LT"/>
        </w:rPr>
        <w:t xml:space="preserve"> vartojančių pacientų elektrolitų bei rūgščių ir šarmų pusiausvyrą kraujyje. </w:t>
      </w:r>
      <w:proofErr w:type="spellStart"/>
      <w:r>
        <w:rPr>
          <w:lang w:val="lt-LT"/>
        </w:rPr>
        <w:t>Biphozyl</w:t>
      </w:r>
      <w:proofErr w:type="spellEnd"/>
      <w:r>
        <w:rPr>
          <w:lang w:val="lt-LT"/>
        </w:rPr>
        <w:t xml:space="preserve"> </w:t>
      </w:r>
      <w:r>
        <w:rPr>
          <w:szCs w:val="22"/>
          <w:lang w:val="lt-LT" w:eastAsia="zh-CN"/>
        </w:rPr>
        <w:t xml:space="preserve">sudėtyje yra vandenilio fosfato, silpnos rūgšties, galinčios paveikti paciento rūgščių–šarmų pusiausvyrą. Jei gydymo </w:t>
      </w:r>
      <w:proofErr w:type="spellStart"/>
      <w:r>
        <w:rPr>
          <w:lang w:val="lt-LT"/>
        </w:rPr>
        <w:t>Biphozyl</w:t>
      </w:r>
      <w:proofErr w:type="spellEnd"/>
      <w:r>
        <w:rPr>
          <w:lang w:val="lt-LT"/>
        </w:rPr>
        <w:t xml:space="preserve"> </w:t>
      </w:r>
      <w:r>
        <w:rPr>
          <w:szCs w:val="22"/>
          <w:lang w:val="lt-LT" w:eastAsia="zh-CN"/>
        </w:rPr>
        <w:t xml:space="preserve">metu mažėja </w:t>
      </w:r>
      <w:r>
        <w:rPr>
          <w:lang w:val="lt-LT"/>
        </w:rPr>
        <w:t>vandenilio karbonato koncentracija plazmoje</w:t>
      </w:r>
      <w:r>
        <w:rPr>
          <w:szCs w:val="22"/>
          <w:lang w:val="lt-LT" w:eastAsia="zh-CN"/>
        </w:rPr>
        <w:t>, gydytojas sumažins infuzijos greitį. Jei būklė neišnyksta, gydytojas turi nedelsdamas nutraukti vaistinio preparato vartojimą.</w:t>
      </w:r>
      <w:r>
        <w:rPr>
          <w:lang w:val="lt-LT"/>
        </w:rPr>
        <w:t xml:space="preserve"> </w:t>
      </w:r>
    </w:p>
    <w:p w:rsidR="002201C8" w:rsidRDefault="002201C8" w:rsidP="002201C8">
      <w:pPr>
        <w:spacing w:before="120" w:after="120" w:line="240" w:lineRule="auto"/>
        <w:rPr>
          <w:lang w:val="lt-LT"/>
        </w:rPr>
      </w:pPr>
      <w:r>
        <w:rPr>
          <w:bCs/>
          <w:szCs w:val="22"/>
          <w:lang w:val="lt-LT"/>
        </w:rPr>
        <w:t>Būtina griežtai laikytis naudojimo instrukcijoje pateikiamų reikalavimų.</w:t>
      </w:r>
    </w:p>
    <w:p w:rsidR="002201C8" w:rsidRDefault="002201C8" w:rsidP="002201C8">
      <w:pPr>
        <w:spacing w:before="120" w:after="120" w:line="240" w:lineRule="auto"/>
        <w:rPr>
          <w:lang w:val="lt-LT"/>
        </w:rPr>
      </w:pPr>
      <w:r>
        <w:rPr>
          <w:bCs/>
          <w:szCs w:val="22"/>
          <w:lang w:val="lt-LT"/>
        </w:rPr>
        <w:t>Prieš vartojant reikia sumaišyti abiejuose skyriuose esančius tirpalus.</w:t>
      </w:r>
    </w:p>
    <w:p w:rsidR="002201C8" w:rsidRDefault="002201C8" w:rsidP="002201C8">
      <w:pPr>
        <w:spacing w:before="120" w:after="120" w:line="240" w:lineRule="auto"/>
        <w:rPr>
          <w:lang w:val="lt-LT"/>
        </w:rPr>
      </w:pPr>
      <w:r>
        <w:rPr>
          <w:lang w:val="lt-LT"/>
        </w:rPr>
        <w:t xml:space="preserve">Vartoti tik kartu su dializės aparatu, skirtu IIPT  atlikti. </w:t>
      </w:r>
    </w:p>
    <w:p w:rsidR="002201C8" w:rsidRDefault="002201C8" w:rsidP="002201C8">
      <w:pPr>
        <w:spacing w:before="120" w:after="120" w:line="240" w:lineRule="auto"/>
        <w:rPr>
          <w:i/>
          <w:lang w:val="lt-LT"/>
        </w:rPr>
      </w:pPr>
      <w:r>
        <w:rPr>
          <w:szCs w:val="22"/>
          <w:lang w:val="lt-LT"/>
        </w:rPr>
        <w:t>Vartoti tik jei pakuotės plėvelė ir tirpalo maišelis nepažeisti.</w:t>
      </w:r>
      <w:r>
        <w:rPr>
          <w:lang w:val="lt-LT"/>
        </w:rPr>
        <w:t xml:space="preserve"> </w:t>
      </w:r>
      <w:r>
        <w:rPr>
          <w:szCs w:val="22"/>
          <w:lang w:val="lt-LT"/>
        </w:rPr>
        <w:t>Negali būti pažeista nė viena izoliacinė juostelė.</w:t>
      </w:r>
      <w:r>
        <w:rPr>
          <w:lang w:val="lt-LT"/>
        </w:rPr>
        <w:t xml:space="preserve"> Vartojant užterštą tirpalą, gali būti užkrėstas kraujas arba įvykti šokas.</w:t>
      </w:r>
    </w:p>
    <w:p w:rsidR="002201C8" w:rsidRDefault="002201C8" w:rsidP="002201C8">
      <w:pPr>
        <w:spacing w:line="240" w:lineRule="auto"/>
        <w:ind w:right="-2"/>
        <w:rPr>
          <w:lang w:val="lt-LT"/>
        </w:rPr>
      </w:pPr>
      <w:r>
        <w:rPr>
          <w:lang w:val="lt-LT"/>
        </w:rPr>
        <w:t xml:space="preserve">Tirpalas skirtas naudoti tik kartu su tinkama </w:t>
      </w:r>
      <w:proofErr w:type="spellStart"/>
      <w:r>
        <w:rPr>
          <w:lang w:val="lt-LT"/>
        </w:rPr>
        <w:t>ekstrakorporaline</w:t>
      </w:r>
      <w:proofErr w:type="spellEnd"/>
      <w:r>
        <w:rPr>
          <w:lang w:val="lt-LT"/>
        </w:rPr>
        <w:t xml:space="preserve"> </w:t>
      </w:r>
      <w:r>
        <w:rPr>
          <w:rFonts w:eastAsia="SimSun"/>
          <w:lang w:val="lt-LT"/>
        </w:rPr>
        <w:t>inkstų pakeičiamosios terapijos įranga.</w:t>
      </w:r>
    </w:p>
    <w:p w:rsidR="002201C8" w:rsidRDefault="002201C8" w:rsidP="002201C8">
      <w:pPr>
        <w:spacing w:line="240" w:lineRule="auto"/>
        <w:ind w:right="-2"/>
        <w:rPr>
          <w:lang w:val="lt-LT"/>
        </w:rPr>
      </w:pPr>
    </w:p>
    <w:p w:rsidR="002201C8" w:rsidRDefault="002201C8" w:rsidP="002201C8">
      <w:pPr>
        <w:spacing w:line="240" w:lineRule="auto"/>
        <w:ind w:right="-2"/>
        <w:rPr>
          <w:b/>
          <w:lang w:val="lt-LT"/>
        </w:rPr>
      </w:pPr>
      <w:r>
        <w:rPr>
          <w:b/>
          <w:szCs w:val="22"/>
          <w:lang w:val="lt-LT"/>
        </w:rPr>
        <w:t>Atsargumo priemonės</w:t>
      </w:r>
      <w:r>
        <w:rPr>
          <w:b/>
          <w:lang w:val="lt-LT"/>
        </w:rPr>
        <w:t xml:space="preserve"> </w:t>
      </w:r>
    </w:p>
    <w:p w:rsidR="002201C8" w:rsidRDefault="002201C8" w:rsidP="002201C8">
      <w:pPr>
        <w:spacing w:before="120" w:after="120" w:line="240" w:lineRule="auto"/>
        <w:rPr>
          <w:szCs w:val="22"/>
          <w:lang w:val="lt-LT"/>
        </w:rPr>
      </w:pPr>
      <w:r>
        <w:rPr>
          <w:szCs w:val="22"/>
          <w:lang w:val="lt-LT"/>
        </w:rPr>
        <w:t xml:space="preserve">Šio vaisto sudėtyje nėra kalcio, tad jį vartojant gali atsirasti </w:t>
      </w:r>
      <w:proofErr w:type="spellStart"/>
      <w:r>
        <w:rPr>
          <w:szCs w:val="22"/>
          <w:lang w:val="lt-LT"/>
        </w:rPr>
        <w:t>hipokalcemija</w:t>
      </w:r>
      <w:proofErr w:type="spellEnd"/>
      <w:r>
        <w:rPr>
          <w:szCs w:val="22"/>
          <w:lang w:val="lt-LT"/>
        </w:rPr>
        <w:t>.</w:t>
      </w:r>
      <w:r>
        <w:rPr>
          <w:lang w:val="lt-LT"/>
        </w:rPr>
        <w:t xml:space="preserve"> </w:t>
      </w:r>
      <w:r>
        <w:rPr>
          <w:szCs w:val="22"/>
          <w:lang w:val="lt-LT"/>
        </w:rPr>
        <w:t>Gali reikėti atlikti kalcio infuziją.</w:t>
      </w:r>
    </w:p>
    <w:p w:rsidR="002201C8" w:rsidRDefault="002201C8" w:rsidP="002201C8">
      <w:pPr>
        <w:spacing w:before="120" w:after="120" w:line="240" w:lineRule="auto"/>
        <w:rPr>
          <w:bCs/>
          <w:szCs w:val="22"/>
          <w:lang w:val="lt-LT"/>
        </w:rPr>
      </w:pPr>
      <w:proofErr w:type="spellStart"/>
      <w:r>
        <w:rPr>
          <w:bCs/>
          <w:szCs w:val="22"/>
          <w:lang w:val="lt-LT"/>
        </w:rPr>
        <w:t>Biphozyl</w:t>
      </w:r>
      <w:proofErr w:type="spellEnd"/>
      <w:r>
        <w:rPr>
          <w:bCs/>
          <w:szCs w:val="22"/>
          <w:lang w:val="lt-LT"/>
        </w:rPr>
        <w:t xml:space="preserve"> tirpalą galima pašildyti iki 37 °C, kad leidžiant jį pacientas jaustųsi komfortiškai. Prieš naudojimą tirpalą reikia pašildyti prieš ruošiant</w:t>
      </w:r>
      <w:r>
        <w:rPr>
          <w:lang w:val="lt-LT"/>
        </w:rPr>
        <w:t xml:space="preserve"> tik naudojant šiltą orą</w:t>
      </w:r>
      <w:r>
        <w:rPr>
          <w:bCs/>
          <w:szCs w:val="22"/>
          <w:lang w:val="lt-LT"/>
        </w:rPr>
        <w:t xml:space="preserve">. Tirpalas negali būti šildomas vandenyje ar mikrobangų krosnelėje. </w:t>
      </w:r>
      <w:r>
        <w:rPr>
          <w:lang w:val="lt-LT"/>
        </w:rPr>
        <w:t xml:space="preserve">Prieš pradedant leisti </w:t>
      </w:r>
      <w:proofErr w:type="spellStart"/>
      <w:r>
        <w:rPr>
          <w:lang w:val="lt-LT"/>
        </w:rPr>
        <w:t>Biphozyl</w:t>
      </w:r>
      <w:proofErr w:type="spellEnd"/>
      <w:r>
        <w:rPr>
          <w:lang w:val="lt-LT"/>
        </w:rPr>
        <w:t xml:space="preserve">, reikia vizualiai patikrinti, ar nepakitusi jo spalva ir ar jame nėra dalelių. Nevartoti, jei tirpalas neskaidrus ar pažeistas </w:t>
      </w:r>
      <w:proofErr w:type="spellStart"/>
      <w:r>
        <w:rPr>
          <w:lang w:val="lt-LT"/>
        </w:rPr>
        <w:t>sandariklis</w:t>
      </w:r>
      <w:proofErr w:type="spellEnd"/>
      <w:r>
        <w:rPr>
          <w:lang w:val="lt-LT"/>
        </w:rPr>
        <w:t>.</w:t>
      </w:r>
    </w:p>
    <w:p w:rsidR="002201C8" w:rsidRDefault="002201C8" w:rsidP="002201C8">
      <w:pPr>
        <w:spacing w:before="120" w:after="120" w:line="240" w:lineRule="auto"/>
        <w:rPr>
          <w:lang w:val="lt-LT"/>
        </w:rPr>
      </w:pPr>
      <w:r>
        <w:rPr>
          <w:lang w:val="lt-LT"/>
        </w:rPr>
        <w:t xml:space="preserve">Per visą procedūrą jūsų gydytojas atidžiai stebės </w:t>
      </w:r>
      <w:proofErr w:type="spellStart"/>
      <w:r>
        <w:rPr>
          <w:lang w:val="lt-LT"/>
        </w:rPr>
        <w:t>hemodinaminę</w:t>
      </w:r>
      <w:proofErr w:type="spellEnd"/>
      <w:r>
        <w:rPr>
          <w:lang w:val="lt-LT"/>
        </w:rPr>
        <w:t xml:space="preserve"> būklę, skysčių pusiausvyrą, elektrolitų ir rūgščių ir šarmų pusiausvyrą</w:t>
      </w:r>
      <w:r>
        <w:rPr>
          <w:lang w:val="lt-LT" w:eastAsia="zh-CN"/>
        </w:rPr>
        <w:t xml:space="preserve">, įskaitant visus įeinančius skysčius </w:t>
      </w:r>
      <w:r>
        <w:rPr>
          <w:bCs/>
          <w:lang w:val="lt-LT"/>
        </w:rPr>
        <w:t xml:space="preserve">(infuzijas į veną) ir išeinančius skysčius (šlapimą), net jei jie tiesiogiai nėra susiję su </w:t>
      </w:r>
      <w:r>
        <w:rPr>
          <w:lang w:val="lt-LT"/>
        </w:rPr>
        <w:t>IIPT.</w:t>
      </w:r>
    </w:p>
    <w:p w:rsidR="002201C8" w:rsidRPr="001520AA" w:rsidRDefault="002201C8" w:rsidP="002201C8">
      <w:pPr>
        <w:spacing w:before="120" w:after="120" w:line="240" w:lineRule="auto"/>
        <w:rPr>
          <w:szCs w:val="22"/>
          <w:lang w:val="lt-LT"/>
        </w:rPr>
      </w:pPr>
      <w:r>
        <w:rPr>
          <w:lang w:val="lt-LT"/>
        </w:rPr>
        <w:t xml:space="preserve">Šio vaisto sudėtyje yra vandenilio karbonato, kurio kiekis yra mažojoje įprasto jo koncentracijos kraujyje intervalo pusėje. Taip turi būti, jei taikomas </w:t>
      </w:r>
      <w:proofErr w:type="spellStart"/>
      <w:r>
        <w:rPr>
          <w:lang w:val="lt-LT"/>
        </w:rPr>
        <w:t>citratinės</w:t>
      </w:r>
      <w:proofErr w:type="spellEnd"/>
      <w:r>
        <w:rPr>
          <w:lang w:val="lt-LT"/>
        </w:rPr>
        <w:t xml:space="preserve"> </w:t>
      </w:r>
      <w:proofErr w:type="spellStart"/>
      <w:r>
        <w:rPr>
          <w:lang w:val="lt-LT"/>
        </w:rPr>
        <w:t>antikoaguliacijos</w:t>
      </w:r>
      <w:proofErr w:type="spellEnd"/>
      <w:r>
        <w:rPr>
          <w:lang w:val="lt-LT"/>
        </w:rPr>
        <w:t xml:space="preserve"> metodas, nes </w:t>
      </w:r>
      <w:proofErr w:type="spellStart"/>
      <w:r>
        <w:rPr>
          <w:lang w:val="lt-LT"/>
        </w:rPr>
        <w:t>metabolizuojamas</w:t>
      </w:r>
      <w:proofErr w:type="spellEnd"/>
      <w:r>
        <w:rPr>
          <w:lang w:val="lt-LT"/>
        </w:rPr>
        <w:t xml:space="preserve"> citratas virsta vandenilio karbonatu, arba kai atkuriamos įprastos pH vertės. Privaloma įvertinti būtinybę </w:t>
      </w:r>
      <w:r w:rsidRPr="001520AA">
        <w:rPr>
          <w:szCs w:val="22"/>
          <w:lang w:val="lt-LT"/>
        </w:rPr>
        <w:t xml:space="preserve">vartoti buferį ir dėl to pakartotinai atlikti kraujo rūgščių–šarmų pusiausvyros </w:t>
      </w:r>
      <w:proofErr w:type="spellStart"/>
      <w:r w:rsidRPr="001520AA">
        <w:rPr>
          <w:szCs w:val="22"/>
          <w:lang w:val="lt-LT"/>
        </w:rPr>
        <w:t>matavimus</w:t>
      </w:r>
      <w:proofErr w:type="spellEnd"/>
      <w:r w:rsidRPr="001520AA">
        <w:rPr>
          <w:szCs w:val="22"/>
          <w:lang w:val="lt-LT"/>
        </w:rPr>
        <w:t xml:space="preserve"> ir apžvelgti visą terapiją. Gali reikėti vartoti tirpalą, kurio vandenilio karbonato kiekis yra didesnis.</w:t>
      </w:r>
    </w:p>
    <w:p w:rsidR="002201C8" w:rsidRPr="00AB382A" w:rsidRDefault="002201C8" w:rsidP="002201C8">
      <w:pPr>
        <w:pStyle w:val="Pagrindinistekstas"/>
        <w:spacing w:after="120"/>
        <w:rPr>
          <w:i w:val="0"/>
          <w:color w:val="auto"/>
          <w:sz w:val="22"/>
          <w:szCs w:val="22"/>
          <w:lang w:val="lt-LT"/>
        </w:rPr>
      </w:pPr>
      <w:r w:rsidRPr="00AB382A">
        <w:rPr>
          <w:i w:val="0"/>
          <w:color w:val="auto"/>
          <w:sz w:val="22"/>
          <w:szCs w:val="22"/>
          <w:lang w:val="lt-LT"/>
        </w:rPr>
        <w:t>Jeigu organizme yra labai daug skysčių (</w:t>
      </w:r>
      <w:proofErr w:type="spellStart"/>
      <w:r w:rsidRPr="00AB382A">
        <w:rPr>
          <w:i w:val="0"/>
          <w:color w:val="auto"/>
          <w:sz w:val="22"/>
          <w:szCs w:val="22"/>
          <w:lang w:val="lt-LT"/>
        </w:rPr>
        <w:t>hipervolemija</w:t>
      </w:r>
      <w:proofErr w:type="spellEnd"/>
      <w:r w:rsidRPr="00AB382A">
        <w:rPr>
          <w:i w:val="0"/>
          <w:color w:val="auto"/>
          <w:sz w:val="22"/>
          <w:szCs w:val="22"/>
          <w:lang w:val="lt-LT"/>
        </w:rPr>
        <w:t xml:space="preserve">), galima padidinti IIPT įrenginyje nustatytą bendrosios </w:t>
      </w:r>
      <w:proofErr w:type="spellStart"/>
      <w:r w:rsidRPr="00AB382A">
        <w:rPr>
          <w:i w:val="0"/>
          <w:color w:val="auto"/>
          <w:sz w:val="22"/>
          <w:szCs w:val="22"/>
          <w:lang w:val="lt-LT"/>
        </w:rPr>
        <w:t>ultrafiltracijos</w:t>
      </w:r>
      <w:proofErr w:type="spellEnd"/>
      <w:r w:rsidRPr="00AB382A">
        <w:rPr>
          <w:i w:val="0"/>
          <w:color w:val="auto"/>
          <w:sz w:val="22"/>
          <w:szCs w:val="22"/>
          <w:lang w:val="lt-LT"/>
        </w:rPr>
        <w:t xml:space="preserve"> greitį ir (arba) sumažinti kitų tirpalų, ne pakaitinio skysčio, ir (arba) </w:t>
      </w:r>
      <w:proofErr w:type="spellStart"/>
      <w:r w:rsidRPr="00AB382A">
        <w:rPr>
          <w:i w:val="0"/>
          <w:color w:val="auto"/>
          <w:sz w:val="22"/>
          <w:szCs w:val="22"/>
          <w:lang w:val="lt-LT"/>
        </w:rPr>
        <w:t>dializato</w:t>
      </w:r>
      <w:proofErr w:type="spellEnd"/>
      <w:r w:rsidRPr="00AB382A">
        <w:rPr>
          <w:i w:val="0"/>
          <w:color w:val="auto"/>
          <w:sz w:val="22"/>
          <w:szCs w:val="22"/>
          <w:lang w:val="lt-LT"/>
        </w:rPr>
        <w:t xml:space="preserve"> leidimo greitį.</w:t>
      </w:r>
    </w:p>
    <w:p w:rsidR="002201C8" w:rsidRPr="001520AA" w:rsidRDefault="002201C8" w:rsidP="002201C8">
      <w:pPr>
        <w:spacing w:line="240" w:lineRule="auto"/>
        <w:ind w:right="-2"/>
        <w:rPr>
          <w:szCs w:val="22"/>
          <w:lang w:val="lt-LT"/>
        </w:rPr>
      </w:pPr>
      <w:r w:rsidRPr="001520AA">
        <w:rPr>
          <w:szCs w:val="22"/>
          <w:lang w:val="lt-LT"/>
        </w:rPr>
        <w:t>Jeigu organizme yra labai mažai skysčių (</w:t>
      </w:r>
      <w:proofErr w:type="spellStart"/>
      <w:r w:rsidRPr="001520AA">
        <w:rPr>
          <w:szCs w:val="22"/>
          <w:lang w:val="lt-LT"/>
        </w:rPr>
        <w:t>hipovolemija</w:t>
      </w:r>
      <w:proofErr w:type="spellEnd"/>
      <w:r w:rsidRPr="001520AA">
        <w:rPr>
          <w:szCs w:val="22"/>
          <w:lang w:val="lt-LT"/>
        </w:rPr>
        <w:t xml:space="preserve">), galima sumažinti IIPT  įrenginyje nustatytą bendrosios </w:t>
      </w:r>
      <w:proofErr w:type="spellStart"/>
      <w:r w:rsidRPr="001520AA">
        <w:rPr>
          <w:szCs w:val="22"/>
          <w:lang w:val="lt-LT"/>
        </w:rPr>
        <w:t>ultrafiltracijos</w:t>
      </w:r>
      <w:proofErr w:type="spellEnd"/>
      <w:r w:rsidRPr="001520AA">
        <w:rPr>
          <w:szCs w:val="22"/>
          <w:lang w:val="lt-LT"/>
        </w:rPr>
        <w:t xml:space="preserve"> greitį ir (arba) padidinti kitų tirpalų, ne pakaitinio skysčio, ir (arba) </w:t>
      </w:r>
      <w:proofErr w:type="spellStart"/>
      <w:r w:rsidRPr="001520AA">
        <w:rPr>
          <w:szCs w:val="22"/>
          <w:lang w:val="lt-LT"/>
        </w:rPr>
        <w:t>dializato</w:t>
      </w:r>
      <w:proofErr w:type="spellEnd"/>
      <w:r w:rsidRPr="001520AA">
        <w:rPr>
          <w:szCs w:val="22"/>
          <w:lang w:val="lt-LT"/>
        </w:rPr>
        <w:t xml:space="preserve"> leidimo greitį.</w:t>
      </w:r>
    </w:p>
    <w:p w:rsidR="002201C8" w:rsidRDefault="002201C8" w:rsidP="002201C8">
      <w:pPr>
        <w:spacing w:line="240" w:lineRule="auto"/>
        <w:ind w:right="-2"/>
        <w:rPr>
          <w:lang w:val="lt-LT"/>
        </w:rPr>
      </w:pPr>
    </w:p>
    <w:p w:rsidR="002201C8" w:rsidRDefault="002201C8" w:rsidP="002201C8">
      <w:pPr>
        <w:spacing w:line="240" w:lineRule="auto"/>
        <w:ind w:right="-2"/>
        <w:rPr>
          <w:b/>
          <w:lang w:val="lt-LT"/>
        </w:rPr>
      </w:pPr>
      <w:r>
        <w:rPr>
          <w:b/>
          <w:szCs w:val="22"/>
          <w:lang w:val="lt-LT"/>
        </w:rPr>
        <w:t>Vaikams</w:t>
      </w:r>
    </w:p>
    <w:p w:rsidR="002201C8" w:rsidRDefault="002201C8" w:rsidP="002201C8">
      <w:pPr>
        <w:numPr>
          <w:ilvl w:val="12"/>
          <w:numId w:val="0"/>
        </w:numPr>
        <w:tabs>
          <w:tab w:val="clear" w:pos="567"/>
          <w:tab w:val="left" w:pos="720"/>
        </w:tabs>
        <w:spacing w:line="240" w:lineRule="auto"/>
        <w:rPr>
          <w:lang w:val="lt-LT"/>
        </w:rPr>
      </w:pPr>
      <w:r>
        <w:rPr>
          <w:lang w:val="lt-LT"/>
        </w:rPr>
        <w:t>Vaikams vartojant šį vaistą, joks konkretus nepageidaujamas poveikis nėra tikėtinas.</w:t>
      </w:r>
    </w:p>
    <w:p w:rsidR="002201C8" w:rsidRDefault="002201C8" w:rsidP="002201C8">
      <w:pPr>
        <w:numPr>
          <w:ilvl w:val="12"/>
          <w:numId w:val="0"/>
        </w:numPr>
        <w:tabs>
          <w:tab w:val="clear" w:pos="567"/>
          <w:tab w:val="left" w:pos="720"/>
        </w:tabs>
        <w:spacing w:line="240" w:lineRule="auto"/>
        <w:rPr>
          <w:b/>
          <w:lang w:val="lt-LT"/>
        </w:rPr>
      </w:pPr>
    </w:p>
    <w:p w:rsidR="002201C8" w:rsidRDefault="002201C8" w:rsidP="002201C8">
      <w:pPr>
        <w:numPr>
          <w:ilvl w:val="12"/>
          <w:numId w:val="0"/>
        </w:numPr>
        <w:tabs>
          <w:tab w:val="clear" w:pos="567"/>
          <w:tab w:val="left" w:pos="720"/>
        </w:tabs>
        <w:spacing w:line="240" w:lineRule="auto"/>
        <w:rPr>
          <w:b/>
          <w:lang w:val="lt-LT"/>
        </w:rPr>
      </w:pPr>
      <w:r>
        <w:rPr>
          <w:b/>
          <w:bCs/>
          <w:lang w:val="lt-LT"/>
        </w:rPr>
        <w:t>Senyvi pacientai</w:t>
      </w:r>
    </w:p>
    <w:p w:rsidR="002201C8" w:rsidRDefault="002201C8" w:rsidP="002201C8">
      <w:pPr>
        <w:numPr>
          <w:ilvl w:val="12"/>
          <w:numId w:val="0"/>
        </w:numPr>
        <w:tabs>
          <w:tab w:val="clear" w:pos="567"/>
          <w:tab w:val="left" w:pos="720"/>
        </w:tabs>
        <w:spacing w:line="240" w:lineRule="auto"/>
        <w:rPr>
          <w:lang w:val="lt-LT"/>
        </w:rPr>
      </w:pPr>
      <w:r>
        <w:rPr>
          <w:lang w:val="lt-LT"/>
        </w:rPr>
        <w:t>Senyviems pacientams vartojant šį vaistą, joks konkretus nepageidaujamas poveikis nėra tikėtinas.</w:t>
      </w:r>
    </w:p>
    <w:p w:rsidR="002201C8" w:rsidRDefault="002201C8" w:rsidP="002201C8">
      <w:pPr>
        <w:numPr>
          <w:ilvl w:val="12"/>
          <w:numId w:val="0"/>
        </w:numPr>
        <w:tabs>
          <w:tab w:val="clear" w:pos="567"/>
          <w:tab w:val="left" w:pos="720"/>
        </w:tabs>
        <w:spacing w:line="240" w:lineRule="auto"/>
        <w:rPr>
          <w:b/>
          <w:lang w:val="lt-LT"/>
        </w:rPr>
      </w:pPr>
    </w:p>
    <w:p w:rsidR="002201C8" w:rsidRDefault="002201C8" w:rsidP="002201C8">
      <w:pPr>
        <w:numPr>
          <w:ilvl w:val="12"/>
          <w:numId w:val="0"/>
        </w:numPr>
        <w:tabs>
          <w:tab w:val="clear" w:pos="567"/>
          <w:tab w:val="left" w:pos="720"/>
        </w:tabs>
        <w:spacing w:line="240" w:lineRule="auto"/>
        <w:ind w:right="-2"/>
        <w:rPr>
          <w:lang w:val="lt-LT"/>
        </w:rPr>
      </w:pPr>
      <w:r>
        <w:rPr>
          <w:b/>
          <w:lang w:val="lt-LT"/>
        </w:rPr>
        <w:t xml:space="preserve">Kiti vaistai ir </w:t>
      </w:r>
      <w:proofErr w:type="spellStart"/>
      <w:r>
        <w:rPr>
          <w:b/>
          <w:lang w:val="lt-LT"/>
        </w:rPr>
        <w:t>Biphozyl</w:t>
      </w:r>
      <w:proofErr w:type="spellEnd"/>
    </w:p>
    <w:p w:rsidR="002201C8" w:rsidRDefault="002201C8" w:rsidP="002201C8">
      <w:pPr>
        <w:numPr>
          <w:ilvl w:val="12"/>
          <w:numId w:val="0"/>
        </w:numPr>
        <w:tabs>
          <w:tab w:val="clear" w:pos="567"/>
          <w:tab w:val="left" w:pos="720"/>
        </w:tabs>
        <w:spacing w:line="240" w:lineRule="auto"/>
        <w:ind w:right="-2"/>
        <w:rPr>
          <w:lang w:val="lt-LT"/>
        </w:rPr>
      </w:pPr>
      <w:r>
        <w:rPr>
          <w:szCs w:val="22"/>
          <w:lang w:val="lt-LT"/>
        </w:rPr>
        <w:t>Jeigu vartojate, neseniai vartojote arba kitų vaistų, įskaitant nereceptinius vaistus, arba dėl to nesate tikri, apie tai pasakykite gydytojui, vaistininkui arba slaugytojai.</w:t>
      </w:r>
      <w:r>
        <w:rPr>
          <w:lang w:val="lt-LT"/>
        </w:rPr>
        <w:t xml:space="preserve"> Tai svarbu, nes atliekant dializę gali sumažėti kitų vaistų kiekis kraujyje. Jūsų gydytojas nuspręs, ar reikia keisti Jūsų vartojamų vaistų dozę. </w:t>
      </w:r>
    </w:p>
    <w:p w:rsidR="002201C8" w:rsidRDefault="002201C8" w:rsidP="002201C8">
      <w:pPr>
        <w:autoSpaceDE w:val="0"/>
        <w:autoSpaceDN w:val="0"/>
        <w:adjustRightInd w:val="0"/>
        <w:rPr>
          <w:lang w:val="lt-LT"/>
        </w:rPr>
      </w:pPr>
    </w:p>
    <w:p w:rsidR="002201C8" w:rsidRDefault="002201C8" w:rsidP="002201C8">
      <w:pPr>
        <w:autoSpaceDE w:val="0"/>
        <w:autoSpaceDN w:val="0"/>
        <w:adjustRightInd w:val="0"/>
        <w:rPr>
          <w:lang w:val="lt-LT"/>
        </w:rPr>
      </w:pPr>
      <w:r>
        <w:rPr>
          <w:lang w:val="lt-LT"/>
        </w:rPr>
        <w:t>Būtinai pasakykite gydytojui, jei vartojate kuriuos nors iš šių preparatų:</w:t>
      </w:r>
    </w:p>
    <w:p w:rsidR="002201C8" w:rsidRDefault="002201C8" w:rsidP="002201C8">
      <w:pPr>
        <w:autoSpaceDE w:val="0"/>
        <w:autoSpaceDN w:val="0"/>
        <w:adjustRightInd w:val="0"/>
        <w:rPr>
          <w:lang w:val="lt-LT" w:eastAsia="zh-CN"/>
        </w:rPr>
      </w:pPr>
      <w:r>
        <w:rPr>
          <w:lang w:val="lt-LT"/>
        </w:rPr>
        <w:t>• papildomus fosfato šaltinius (pvz., maistinius skysčius), nes jie gali padidinti didelės fosfato koncentracijos kraujyje riziką (</w:t>
      </w:r>
      <w:proofErr w:type="spellStart"/>
      <w:r>
        <w:rPr>
          <w:i/>
          <w:lang w:val="lt-LT"/>
        </w:rPr>
        <w:t>hiperfosfatemija</w:t>
      </w:r>
      <w:proofErr w:type="spellEnd"/>
      <w:r>
        <w:rPr>
          <w:lang w:val="lt-LT"/>
        </w:rPr>
        <w:t>);</w:t>
      </w:r>
    </w:p>
    <w:p w:rsidR="002201C8" w:rsidRDefault="002201C8" w:rsidP="002201C8">
      <w:pPr>
        <w:autoSpaceDE w:val="0"/>
        <w:autoSpaceDN w:val="0"/>
        <w:adjustRightInd w:val="0"/>
        <w:rPr>
          <w:b/>
          <w:i/>
          <w:lang w:val="lt-LT"/>
        </w:rPr>
      </w:pPr>
      <w:r>
        <w:rPr>
          <w:lang w:val="lt-LT"/>
        </w:rPr>
        <w:t>•</w:t>
      </w:r>
      <w:r>
        <w:rPr>
          <w:lang w:val="lt-LT" w:eastAsia="zh-CN"/>
        </w:rPr>
        <w:t xml:space="preserve"> </w:t>
      </w:r>
      <w:r>
        <w:rPr>
          <w:lang w:val="lt-LT"/>
        </w:rPr>
        <w:t>natrio-vandenilio karbonatą, nes tai gali padidinti vandenilio karbonato pertekliaus kraujyje riziką (</w:t>
      </w:r>
      <w:proofErr w:type="spellStart"/>
      <w:r>
        <w:rPr>
          <w:i/>
          <w:lang w:val="lt-LT"/>
        </w:rPr>
        <w:t>metabolinė</w:t>
      </w:r>
      <w:proofErr w:type="spellEnd"/>
      <w:r>
        <w:rPr>
          <w:i/>
          <w:lang w:val="lt-LT"/>
        </w:rPr>
        <w:t xml:space="preserve"> </w:t>
      </w:r>
      <w:proofErr w:type="spellStart"/>
      <w:r>
        <w:rPr>
          <w:i/>
          <w:lang w:val="lt-LT"/>
        </w:rPr>
        <w:t>alkalozė</w:t>
      </w:r>
      <w:proofErr w:type="spellEnd"/>
      <w:r>
        <w:rPr>
          <w:lang w:val="lt-LT"/>
        </w:rPr>
        <w:t>);</w:t>
      </w:r>
    </w:p>
    <w:p w:rsidR="002201C8" w:rsidRDefault="002201C8" w:rsidP="002201C8">
      <w:pPr>
        <w:tabs>
          <w:tab w:val="clear" w:pos="567"/>
          <w:tab w:val="left" w:pos="1296"/>
        </w:tabs>
        <w:spacing w:line="240" w:lineRule="auto"/>
        <w:rPr>
          <w:szCs w:val="22"/>
        </w:rPr>
      </w:pPr>
      <w:r>
        <w:t>•</w:t>
      </w:r>
      <w:r>
        <w:rPr>
          <w:lang w:eastAsia="zh-CN"/>
        </w:rPr>
        <w:t xml:space="preserve"> </w:t>
      </w:r>
      <w:proofErr w:type="gramStart"/>
      <w:r>
        <w:rPr>
          <w:lang w:eastAsia="zh-CN"/>
        </w:rPr>
        <w:t>j</w:t>
      </w:r>
      <w:proofErr w:type="spellStart"/>
      <w:r>
        <w:rPr>
          <w:bCs/>
          <w:szCs w:val="22"/>
          <w:lang w:val="en-US" w:eastAsia="fr-FR"/>
        </w:rPr>
        <w:t>ei</w:t>
      </w:r>
      <w:proofErr w:type="spellEnd"/>
      <w:proofErr w:type="gramEnd"/>
      <w:r>
        <w:rPr>
          <w:bCs/>
          <w:szCs w:val="22"/>
          <w:lang w:val="en-US" w:eastAsia="fr-FR"/>
        </w:rPr>
        <w:t xml:space="preserve"> </w:t>
      </w:r>
      <w:proofErr w:type="spellStart"/>
      <w:r>
        <w:rPr>
          <w:bCs/>
          <w:szCs w:val="22"/>
          <w:lang w:val="en-US" w:eastAsia="fr-FR"/>
        </w:rPr>
        <w:t>citratas</w:t>
      </w:r>
      <w:proofErr w:type="spellEnd"/>
      <w:r>
        <w:rPr>
          <w:bCs/>
          <w:szCs w:val="22"/>
          <w:lang w:val="en-US" w:eastAsia="fr-FR"/>
        </w:rPr>
        <w:t xml:space="preserve"> </w:t>
      </w:r>
      <w:proofErr w:type="spellStart"/>
      <w:r>
        <w:rPr>
          <w:bCs/>
          <w:szCs w:val="22"/>
          <w:lang w:val="en-US" w:eastAsia="fr-FR"/>
        </w:rPr>
        <w:t>vartojamas</w:t>
      </w:r>
      <w:proofErr w:type="spellEnd"/>
      <w:r>
        <w:rPr>
          <w:bCs/>
          <w:szCs w:val="22"/>
          <w:lang w:val="en-US" w:eastAsia="fr-FR"/>
        </w:rPr>
        <w:t xml:space="preserve"> </w:t>
      </w:r>
      <w:proofErr w:type="spellStart"/>
      <w:r>
        <w:rPr>
          <w:bCs/>
          <w:szCs w:val="22"/>
          <w:lang w:val="en-US" w:eastAsia="fr-FR"/>
        </w:rPr>
        <w:t>kaip</w:t>
      </w:r>
      <w:proofErr w:type="spellEnd"/>
      <w:r>
        <w:rPr>
          <w:bCs/>
          <w:szCs w:val="22"/>
          <w:lang w:val="en-US" w:eastAsia="fr-FR"/>
        </w:rPr>
        <w:t xml:space="preserve"> </w:t>
      </w:r>
      <w:proofErr w:type="spellStart"/>
      <w:r>
        <w:rPr>
          <w:bCs/>
          <w:szCs w:val="22"/>
          <w:lang w:val="en-US" w:eastAsia="fr-FR"/>
        </w:rPr>
        <w:t>antikoaguliantas</w:t>
      </w:r>
      <w:proofErr w:type="spellEnd"/>
      <w:r>
        <w:rPr>
          <w:bCs/>
          <w:szCs w:val="22"/>
          <w:lang w:val="en-US" w:eastAsia="fr-FR"/>
        </w:rPr>
        <w:t xml:space="preserve">, </w:t>
      </w:r>
      <w:proofErr w:type="spellStart"/>
      <w:r>
        <w:rPr>
          <w:bCs/>
          <w:szCs w:val="22"/>
          <w:lang w:val="en-US" w:eastAsia="fr-FR"/>
        </w:rPr>
        <w:t>nes</w:t>
      </w:r>
      <w:proofErr w:type="spellEnd"/>
      <w:r>
        <w:rPr>
          <w:bCs/>
          <w:szCs w:val="22"/>
          <w:lang w:val="en-US" w:eastAsia="fr-FR"/>
        </w:rPr>
        <w:t xml:space="preserve"> </w:t>
      </w:r>
      <w:proofErr w:type="spellStart"/>
      <w:r>
        <w:rPr>
          <w:bCs/>
          <w:szCs w:val="22"/>
          <w:lang w:val="en-US" w:eastAsia="fr-FR"/>
        </w:rPr>
        <w:t>jis</w:t>
      </w:r>
      <w:proofErr w:type="spellEnd"/>
      <w:r>
        <w:rPr>
          <w:bCs/>
          <w:szCs w:val="22"/>
          <w:lang w:val="en-US" w:eastAsia="fr-FR"/>
        </w:rPr>
        <w:t xml:space="preserve"> </w:t>
      </w:r>
      <w:proofErr w:type="spellStart"/>
      <w:r>
        <w:rPr>
          <w:bCs/>
          <w:szCs w:val="22"/>
          <w:lang w:val="en-US" w:eastAsia="fr-FR"/>
        </w:rPr>
        <w:t>gali</w:t>
      </w:r>
      <w:proofErr w:type="spellEnd"/>
      <w:r>
        <w:rPr>
          <w:bCs/>
          <w:szCs w:val="22"/>
          <w:lang w:val="en-US" w:eastAsia="fr-FR"/>
        </w:rPr>
        <w:t xml:space="preserve"> </w:t>
      </w:r>
      <w:proofErr w:type="spellStart"/>
      <w:r>
        <w:rPr>
          <w:bCs/>
          <w:szCs w:val="22"/>
          <w:lang w:val="en-US" w:eastAsia="fr-FR"/>
        </w:rPr>
        <w:t>sumažinti</w:t>
      </w:r>
      <w:proofErr w:type="spellEnd"/>
      <w:r>
        <w:rPr>
          <w:bCs/>
          <w:szCs w:val="22"/>
          <w:lang w:val="en-US" w:eastAsia="fr-FR"/>
        </w:rPr>
        <w:t xml:space="preserve"> </w:t>
      </w:r>
      <w:proofErr w:type="spellStart"/>
      <w:r>
        <w:rPr>
          <w:bCs/>
          <w:szCs w:val="22"/>
          <w:lang w:val="en-US" w:eastAsia="fr-FR"/>
        </w:rPr>
        <w:t>kalcio</w:t>
      </w:r>
      <w:proofErr w:type="spellEnd"/>
      <w:r>
        <w:rPr>
          <w:bCs/>
          <w:szCs w:val="22"/>
          <w:lang w:val="en-US" w:eastAsia="fr-FR"/>
        </w:rPr>
        <w:t xml:space="preserve"> </w:t>
      </w:r>
      <w:proofErr w:type="spellStart"/>
      <w:r>
        <w:rPr>
          <w:bCs/>
          <w:szCs w:val="22"/>
          <w:lang w:val="en-US" w:eastAsia="fr-FR"/>
        </w:rPr>
        <w:t>koncentraciją</w:t>
      </w:r>
      <w:proofErr w:type="spellEnd"/>
      <w:r>
        <w:rPr>
          <w:bCs/>
          <w:szCs w:val="22"/>
          <w:lang w:val="en-US" w:eastAsia="fr-FR"/>
        </w:rPr>
        <w:t xml:space="preserve"> </w:t>
      </w:r>
      <w:proofErr w:type="spellStart"/>
      <w:r>
        <w:rPr>
          <w:bCs/>
          <w:szCs w:val="22"/>
          <w:lang w:val="en-US" w:eastAsia="fr-FR"/>
        </w:rPr>
        <w:t>plazmoje</w:t>
      </w:r>
      <w:proofErr w:type="spellEnd"/>
      <w:r>
        <w:rPr>
          <w:bCs/>
          <w:szCs w:val="22"/>
          <w:lang w:val="en-US" w:eastAsia="fr-FR"/>
        </w:rPr>
        <w:t>.</w:t>
      </w:r>
    </w:p>
    <w:p w:rsidR="002201C8" w:rsidRDefault="002201C8" w:rsidP="002201C8">
      <w:pPr>
        <w:autoSpaceDE w:val="0"/>
        <w:autoSpaceDN w:val="0"/>
        <w:adjustRightInd w:val="0"/>
        <w:rPr>
          <w:lang w:val="lt-LT"/>
        </w:rPr>
      </w:pPr>
    </w:p>
    <w:p w:rsidR="002201C8" w:rsidRDefault="002201C8" w:rsidP="002201C8">
      <w:pPr>
        <w:tabs>
          <w:tab w:val="clear" w:pos="567"/>
          <w:tab w:val="left" w:pos="720"/>
        </w:tabs>
        <w:spacing w:line="240" w:lineRule="auto"/>
        <w:ind w:right="-2"/>
        <w:rPr>
          <w:lang w:val="lt-LT"/>
        </w:rPr>
      </w:pPr>
    </w:p>
    <w:p w:rsidR="002201C8" w:rsidRDefault="002201C8" w:rsidP="002201C8">
      <w:pPr>
        <w:numPr>
          <w:ilvl w:val="12"/>
          <w:numId w:val="0"/>
        </w:numPr>
        <w:tabs>
          <w:tab w:val="clear" w:pos="567"/>
          <w:tab w:val="left" w:pos="720"/>
        </w:tabs>
        <w:spacing w:line="240" w:lineRule="auto"/>
        <w:ind w:right="-2"/>
        <w:outlineLvl w:val="0"/>
        <w:rPr>
          <w:b/>
          <w:lang w:val="lt-LT"/>
        </w:rPr>
      </w:pPr>
      <w:r>
        <w:rPr>
          <w:b/>
          <w:lang w:val="lt-LT"/>
        </w:rPr>
        <w:t>Nėštumas, žindymo laikotarpis ir vaisingumas</w:t>
      </w:r>
    </w:p>
    <w:p w:rsidR="002201C8" w:rsidRDefault="002201C8" w:rsidP="002201C8">
      <w:pPr>
        <w:spacing w:line="240" w:lineRule="auto"/>
        <w:ind w:right="-2"/>
        <w:rPr>
          <w:lang w:val="lt-LT"/>
        </w:rPr>
      </w:pPr>
      <w:r>
        <w:rPr>
          <w:lang w:val="lt-LT"/>
        </w:rPr>
        <w:t>Nėštumas ir žindymo laikotarpis:</w:t>
      </w:r>
    </w:p>
    <w:p w:rsidR="002201C8" w:rsidRDefault="002201C8" w:rsidP="002201C8">
      <w:pPr>
        <w:spacing w:line="240" w:lineRule="auto"/>
        <w:ind w:right="-2"/>
        <w:rPr>
          <w:lang w:val="lt-LT"/>
        </w:rPr>
      </w:pPr>
      <w:r>
        <w:rPr>
          <w:lang w:val="lt-LT"/>
        </w:rPr>
        <w:t>Klinikinių duomenų apie šio vaisto vartojimą nėštumo ar žindymo laikotarpiu nėra. Nėščiosioms ir žindyvėms šį vaistą galima skirti tik esant aiškiam poreikiui.</w:t>
      </w:r>
    </w:p>
    <w:p w:rsidR="002201C8" w:rsidRDefault="002201C8" w:rsidP="002201C8">
      <w:pPr>
        <w:spacing w:line="240" w:lineRule="auto"/>
        <w:ind w:right="-2"/>
        <w:rPr>
          <w:lang w:val="lt-LT"/>
        </w:rPr>
      </w:pPr>
    </w:p>
    <w:p w:rsidR="002201C8" w:rsidRDefault="002201C8" w:rsidP="002201C8">
      <w:pPr>
        <w:spacing w:line="240" w:lineRule="auto"/>
        <w:ind w:right="-2"/>
        <w:rPr>
          <w:lang w:val="lt-LT"/>
        </w:rPr>
      </w:pPr>
      <w:r>
        <w:rPr>
          <w:lang w:val="lt-LT"/>
        </w:rPr>
        <w:t>Vaisingumas:</w:t>
      </w:r>
    </w:p>
    <w:p w:rsidR="002201C8" w:rsidRDefault="002201C8" w:rsidP="002201C8">
      <w:pPr>
        <w:spacing w:line="240" w:lineRule="auto"/>
        <w:ind w:right="-2"/>
        <w:rPr>
          <w:lang w:val="lt-LT"/>
        </w:rPr>
      </w:pPr>
      <w:r>
        <w:rPr>
          <w:lang w:val="lt-LT"/>
        </w:rPr>
        <w:t>Poveikis vaisingumui nėra tikėtinas, nes natris, kalis, magnis, chloridas, vandenilio fosfatas ir vandenilio karbonatas yra natūralios organizmo medžiagos.</w:t>
      </w:r>
    </w:p>
    <w:p w:rsidR="002201C8" w:rsidRDefault="002201C8" w:rsidP="002201C8">
      <w:pPr>
        <w:spacing w:line="240" w:lineRule="auto"/>
        <w:ind w:right="-2"/>
        <w:rPr>
          <w:b/>
          <w:lang w:val="lt-LT"/>
        </w:rPr>
      </w:pPr>
    </w:p>
    <w:p w:rsidR="002201C8" w:rsidRDefault="002201C8" w:rsidP="002201C8">
      <w:pPr>
        <w:numPr>
          <w:ilvl w:val="12"/>
          <w:numId w:val="0"/>
        </w:numPr>
        <w:tabs>
          <w:tab w:val="clear" w:pos="567"/>
          <w:tab w:val="left" w:pos="720"/>
        </w:tabs>
        <w:spacing w:line="240" w:lineRule="auto"/>
        <w:ind w:right="-2"/>
        <w:outlineLvl w:val="0"/>
        <w:rPr>
          <w:b/>
          <w:lang w:val="lt-LT"/>
        </w:rPr>
      </w:pPr>
      <w:r>
        <w:rPr>
          <w:b/>
          <w:szCs w:val="22"/>
          <w:lang w:val="lt-LT"/>
        </w:rPr>
        <w:t>Vairavimas ir mechanizmų valdymas</w:t>
      </w:r>
    </w:p>
    <w:p w:rsidR="002201C8" w:rsidRDefault="002201C8" w:rsidP="002201C8">
      <w:pPr>
        <w:widowControl w:val="0"/>
        <w:numPr>
          <w:ilvl w:val="12"/>
          <w:numId w:val="0"/>
        </w:numPr>
        <w:jc w:val="both"/>
        <w:rPr>
          <w:lang w:val="lt-LT"/>
        </w:rPr>
      </w:pPr>
      <w:r>
        <w:rPr>
          <w:szCs w:val="22"/>
          <w:lang w:val="lt-LT"/>
        </w:rPr>
        <w:t>Šio vaisto poveikis gebėjimui vairuoti ar valdyti mechanizmus nežinomas.</w:t>
      </w:r>
    </w:p>
    <w:p w:rsidR="002201C8" w:rsidRDefault="002201C8" w:rsidP="002201C8">
      <w:pPr>
        <w:spacing w:line="240" w:lineRule="auto"/>
        <w:ind w:right="-2"/>
        <w:rPr>
          <w:b/>
          <w:lang w:val="lt-LT"/>
        </w:rPr>
      </w:pPr>
    </w:p>
    <w:p w:rsidR="002201C8" w:rsidRDefault="002201C8" w:rsidP="002201C8">
      <w:pPr>
        <w:spacing w:line="240" w:lineRule="auto"/>
        <w:ind w:right="-2"/>
        <w:rPr>
          <w:b/>
          <w:lang w:val="lt-LT"/>
        </w:rPr>
      </w:pPr>
    </w:p>
    <w:p w:rsidR="002201C8" w:rsidRDefault="002201C8" w:rsidP="002201C8">
      <w:pPr>
        <w:spacing w:line="240" w:lineRule="auto"/>
        <w:ind w:right="-2"/>
        <w:rPr>
          <w:b/>
          <w:lang w:val="lt-LT"/>
        </w:rPr>
      </w:pPr>
      <w:r>
        <w:rPr>
          <w:b/>
          <w:lang w:val="lt-LT"/>
        </w:rPr>
        <w:t>3.</w:t>
      </w:r>
      <w:r>
        <w:rPr>
          <w:b/>
          <w:lang w:val="lt-LT"/>
        </w:rPr>
        <w:tab/>
        <w:t xml:space="preserve">Kaip vartoti </w:t>
      </w:r>
      <w:proofErr w:type="spellStart"/>
      <w:r>
        <w:rPr>
          <w:b/>
          <w:lang w:val="lt-LT"/>
        </w:rPr>
        <w:t>Biphozyl</w:t>
      </w:r>
      <w:proofErr w:type="spellEnd"/>
      <w:r>
        <w:rPr>
          <w:lang w:val="lt-LT"/>
        </w:rPr>
        <w:t xml:space="preserve"> </w:t>
      </w:r>
    </w:p>
    <w:p w:rsidR="002201C8" w:rsidRDefault="002201C8" w:rsidP="002201C8">
      <w:pPr>
        <w:spacing w:line="240" w:lineRule="auto"/>
        <w:ind w:right="-2"/>
        <w:rPr>
          <w:lang w:val="lt-LT"/>
        </w:rPr>
      </w:pPr>
    </w:p>
    <w:p w:rsidR="002201C8" w:rsidRDefault="002201C8" w:rsidP="002201C8">
      <w:pPr>
        <w:spacing w:line="240" w:lineRule="auto"/>
        <w:ind w:right="-2"/>
        <w:rPr>
          <w:lang w:val="lt-LT"/>
        </w:rPr>
      </w:pPr>
      <w:r>
        <w:rPr>
          <w:lang w:val="lt-LT"/>
        </w:rPr>
        <w:t xml:space="preserve">Šis vaistas skirtas leisti į veną ir vartoti atliekant hemodializę. Jis turi būti vartojamas ligoninėse, jį leisti gali tik medicinos specialistai. Naudojamas kiekis, taigi ir vaisto dozė, priklausys nuo Jūsų būklės. Dozę nustatys Jūsų gydytojas. </w:t>
      </w:r>
    </w:p>
    <w:p w:rsidR="002201C8" w:rsidRDefault="002201C8" w:rsidP="002201C8">
      <w:pPr>
        <w:suppressLineNumbers/>
        <w:rPr>
          <w:rFonts w:ascii="Times New Roman Bold" w:hAnsi="Times New Roman Bold"/>
          <w:lang w:val="lt-LT"/>
        </w:rPr>
      </w:pPr>
    </w:p>
    <w:p w:rsidR="002201C8" w:rsidRDefault="002201C8" w:rsidP="002201C8">
      <w:pPr>
        <w:numPr>
          <w:ilvl w:val="12"/>
          <w:numId w:val="0"/>
        </w:numPr>
        <w:tabs>
          <w:tab w:val="clear" w:pos="567"/>
          <w:tab w:val="left" w:pos="720"/>
        </w:tabs>
        <w:spacing w:line="240" w:lineRule="auto"/>
        <w:ind w:right="-2"/>
        <w:rPr>
          <w:lang w:val="lt-LT"/>
        </w:rPr>
      </w:pPr>
      <w:r>
        <w:rPr>
          <w:lang w:val="lt-LT"/>
        </w:rPr>
        <w:t>Visada vartokite šį vaistą tiksliai, kaip nurodė gydytojas, vaistininkas arba slaugytoja. Jeigu abejojate, kreipkitės į gydytoją, vaistininką arba slaugytoją.</w:t>
      </w:r>
    </w:p>
    <w:p w:rsidR="002201C8" w:rsidRDefault="002201C8" w:rsidP="002201C8">
      <w:pPr>
        <w:spacing w:before="120" w:after="120" w:line="240" w:lineRule="auto"/>
        <w:rPr>
          <w:lang w:val="lt-LT"/>
        </w:rPr>
      </w:pPr>
      <w:r>
        <w:rPr>
          <w:szCs w:val="22"/>
          <w:lang w:val="lt-LT"/>
        </w:rPr>
        <w:t>Gydytojas privalo nustatyti bet kurių kitų papildomai skiriamų vaistų suderinamumą su šiuo vaistu, t. y. patikrinti, ar nepakito spalva ir (arba) nesusidarė nuosėdų.</w:t>
      </w:r>
      <w:r>
        <w:rPr>
          <w:lang w:val="lt-LT"/>
        </w:rPr>
        <w:t xml:space="preserve"> </w:t>
      </w:r>
      <w:r>
        <w:rPr>
          <w:szCs w:val="22"/>
          <w:lang w:val="lt-LT"/>
        </w:rPr>
        <w:t>Prieš skirdamas papildomų vaistų, jis turi patikrinti, ar jie tirpsta ir išlieka stabilūs šiame vaiste.</w:t>
      </w:r>
    </w:p>
    <w:p w:rsidR="002201C8" w:rsidRDefault="002201C8" w:rsidP="002201C8">
      <w:pPr>
        <w:numPr>
          <w:ilvl w:val="12"/>
          <w:numId w:val="0"/>
        </w:numPr>
        <w:tabs>
          <w:tab w:val="clear" w:pos="567"/>
          <w:tab w:val="left" w:pos="720"/>
        </w:tabs>
        <w:spacing w:line="240" w:lineRule="auto"/>
        <w:ind w:right="-2"/>
        <w:rPr>
          <w:lang w:val="lt-LT"/>
        </w:rPr>
      </w:pPr>
    </w:p>
    <w:p w:rsidR="002201C8" w:rsidRDefault="002201C8" w:rsidP="002201C8">
      <w:pPr>
        <w:numPr>
          <w:ilvl w:val="12"/>
          <w:numId w:val="0"/>
        </w:numPr>
        <w:tabs>
          <w:tab w:val="clear" w:pos="567"/>
          <w:tab w:val="left" w:pos="720"/>
        </w:tabs>
        <w:spacing w:line="240" w:lineRule="auto"/>
        <w:rPr>
          <w:b/>
          <w:lang w:val="lt-LT"/>
        </w:rPr>
      </w:pPr>
      <w:r>
        <w:rPr>
          <w:b/>
          <w:lang w:val="lt-LT"/>
        </w:rPr>
        <w:t>Dozavimas</w:t>
      </w:r>
    </w:p>
    <w:p w:rsidR="002201C8" w:rsidRDefault="002201C8" w:rsidP="002201C8">
      <w:pPr>
        <w:numPr>
          <w:ilvl w:val="12"/>
          <w:numId w:val="0"/>
        </w:numPr>
        <w:tabs>
          <w:tab w:val="clear" w:pos="567"/>
          <w:tab w:val="left" w:pos="720"/>
        </w:tabs>
        <w:spacing w:line="240" w:lineRule="auto"/>
        <w:rPr>
          <w:lang w:val="lt-LT"/>
        </w:rPr>
      </w:pPr>
    </w:p>
    <w:p w:rsidR="002201C8" w:rsidRDefault="002201C8" w:rsidP="002201C8">
      <w:pPr>
        <w:pStyle w:val="Pagrindinistekstas"/>
        <w:rPr>
          <w:i w:val="0"/>
          <w:color w:val="auto"/>
          <w:sz w:val="22"/>
          <w:lang w:val="lt-LT"/>
        </w:rPr>
      </w:pPr>
      <w:r>
        <w:rPr>
          <w:i w:val="0"/>
          <w:color w:val="auto"/>
          <w:sz w:val="22"/>
          <w:szCs w:val="22"/>
          <w:lang w:val="lt-LT"/>
        </w:rPr>
        <w:t xml:space="preserve">Tėkmės greičio intervalas, kai tirpalas skiriamas kaip pakaitinis </w:t>
      </w:r>
      <w:proofErr w:type="spellStart"/>
      <w:r>
        <w:rPr>
          <w:i w:val="0"/>
          <w:color w:val="auto"/>
          <w:sz w:val="22"/>
          <w:szCs w:val="22"/>
          <w:lang w:val="lt-LT"/>
        </w:rPr>
        <w:t>hemofiltracijai</w:t>
      </w:r>
      <w:proofErr w:type="spellEnd"/>
      <w:r>
        <w:rPr>
          <w:i w:val="0"/>
          <w:color w:val="auto"/>
          <w:sz w:val="22"/>
          <w:szCs w:val="22"/>
          <w:lang w:val="lt-LT"/>
        </w:rPr>
        <w:t xml:space="preserve"> ar </w:t>
      </w:r>
      <w:proofErr w:type="spellStart"/>
      <w:r>
        <w:rPr>
          <w:i w:val="0"/>
          <w:color w:val="auto"/>
          <w:sz w:val="22"/>
          <w:szCs w:val="22"/>
          <w:lang w:val="lt-LT"/>
        </w:rPr>
        <w:t>hemodiafiltracijai</w:t>
      </w:r>
      <w:proofErr w:type="spellEnd"/>
      <w:r>
        <w:rPr>
          <w:i w:val="0"/>
          <w:color w:val="auto"/>
          <w:sz w:val="22"/>
          <w:szCs w:val="22"/>
          <w:lang w:val="lt-LT"/>
        </w:rPr>
        <w:t xml:space="preserve"> atlikti:</w:t>
      </w:r>
    </w:p>
    <w:p w:rsidR="002201C8" w:rsidRDefault="002201C8" w:rsidP="002201C8">
      <w:pPr>
        <w:pStyle w:val="Pagrindinistekstas"/>
        <w:rPr>
          <w:i w:val="0"/>
          <w:color w:val="auto"/>
          <w:sz w:val="22"/>
          <w:lang w:val="lt-LT"/>
        </w:rPr>
      </w:pPr>
      <w:r>
        <w:rPr>
          <w:bCs/>
          <w:i w:val="0"/>
          <w:color w:val="auto"/>
          <w:sz w:val="22"/>
          <w:szCs w:val="22"/>
          <w:lang w:val="lt-LT"/>
        </w:rPr>
        <w:t>suaugusiesiems:</w:t>
      </w:r>
      <w:r>
        <w:rPr>
          <w:bCs/>
          <w:i w:val="0"/>
          <w:color w:val="auto"/>
          <w:sz w:val="22"/>
          <w:szCs w:val="22"/>
          <w:lang w:val="lt-LT"/>
        </w:rPr>
        <w:tab/>
      </w:r>
      <w:r>
        <w:rPr>
          <w:bCs/>
          <w:i w:val="0"/>
          <w:color w:val="auto"/>
          <w:sz w:val="22"/>
          <w:szCs w:val="22"/>
          <w:lang w:val="lt-LT"/>
        </w:rPr>
        <w:tab/>
      </w:r>
      <w:r>
        <w:rPr>
          <w:i w:val="0"/>
          <w:color w:val="auto"/>
          <w:sz w:val="22"/>
          <w:lang w:val="lt-LT"/>
        </w:rPr>
        <w:tab/>
      </w:r>
      <w:r>
        <w:rPr>
          <w:bCs/>
          <w:i w:val="0"/>
          <w:color w:val="auto"/>
          <w:sz w:val="22"/>
          <w:szCs w:val="22"/>
          <w:lang w:val="lt-LT"/>
        </w:rPr>
        <w:t>500–3000 ml/val.,</w:t>
      </w:r>
    </w:p>
    <w:p w:rsidR="002201C8" w:rsidRDefault="002201C8" w:rsidP="002201C8">
      <w:pPr>
        <w:suppressLineNumbers/>
        <w:spacing w:line="240" w:lineRule="auto"/>
        <w:rPr>
          <w:vertAlign w:val="superscript"/>
        </w:rPr>
      </w:pPr>
      <w:r>
        <w:rPr>
          <w:bCs/>
          <w:szCs w:val="24"/>
        </w:rPr>
        <w:t>&lt; 18 </w:t>
      </w:r>
      <w:proofErr w:type="spellStart"/>
      <w:r>
        <w:rPr>
          <w:bCs/>
          <w:szCs w:val="24"/>
        </w:rPr>
        <w:t>metų</w:t>
      </w:r>
      <w:proofErr w:type="spellEnd"/>
      <w:r>
        <w:rPr>
          <w:bCs/>
          <w:szCs w:val="24"/>
        </w:rPr>
        <w:t xml:space="preserve"> </w:t>
      </w:r>
      <w:proofErr w:type="spellStart"/>
      <w:r>
        <w:rPr>
          <w:bCs/>
          <w:szCs w:val="24"/>
        </w:rPr>
        <w:t>amžiaus</w:t>
      </w:r>
      <w:proofErr w:type="spellEnd"/>
      <w:r>
        <w:rPr>
          <w:bCs/>
          <w:szCs w:val="22"/>
          <w:lang w:val="lt-LT"/>
        </w:rPr>
        <w:t xml:space="preserve"> vaikams</w:t>
      </w:r>
      <w:r>
        <w:t>:</w:t>
      </w:r>
      <w:r>
        <w:rPr>
          <w:bCs/>
          <w:szCs w:val="24"/>
        </w:rPr>
        <w:tab/>
      </w:r>
      <w:r>
        <w:t>1000–4000 ml/val./1,73 m</w:t>
      </w:r>
      <w:r>
        <w:rPr>
          <w:vertAlign w:val="superscript"/>
        </w:rPr>
        <w:t>2</w:t>
      </w:r>
    </w:p>
    <w:p w:rsidR="002201C8" w:rsidRDefault="002201C8" w:rsidP="002201C8">
      <w:pPr>
        <w:suppressLineNumbers/>
        <w:spacing w:line="240" w:lineRule="auto"/>
        <w:rPr>
          <w:bCs/>
          <w:szCs w:val="22"/>
          <w:lang w:val="lt-LT"/>
        </w:rPr>
      </w:pPr>
      <w:r>
        <w:rPr>
          <w:bCs/>
          <w:szCs w:val="22"/>
          <w:lang w:val="lt-LT"/>
        </w:rPr>
        <w:tab/>
      </w:r>
      <w:r>
        <w:rPr>
          <w:bCs/>
          <w:szCs w:val="22"/>
          <w:lang w:val="lt-LT"/>
        </w:rPr>
        <w:tab/>
      </w:r>
      <w:r>
        <w:rPr>
          <w:bCs/>
          <w:szCs w:val="22"/>
          <w:lang w:val="lt-LT"/>
        </w:rPr>
        <w:tab/>
      </w:r>
    </w:p>
    <w:p w:rsidR="002201C8" w:rsidRDefault="002201C8" w:rsidP="002201C8">
      <w:pPr>
        <w:pStyle w:val="Pagrindinistekstas"/>
        <w:rPr>
          <w:i w:val="0"/>
          <w:color w:val="auto"/>
          <w:sz w:val="22"/>
          <w:lang w:val="lt-LT"/>
        </w:rPr>
      </w:pPr>
      <w:r>
        <w:rPr>
          <w:i w:val="0"/>
          <w:color w:val="auto"/>
          <w:sz w:val="22"/>
          <w:szCs w:val="22"/>
          <w:lang w:val="lt-LT"/>
        </w:rPr>
        <w:t xml:space="preserve">Tėkmės greičio intervalas, kai tirpalas skiriamas kaip </w:t>
      </w:r>
      <w:proofErr w:type="spellStart"/>
      <w:r>
        <w:rPr>
          <w:i w:val="0"/>
          <w:color w:val="auto"/>
          <w:sz w:val="22"/>
          <w:szCs w:val="22"/>
          <w:lang w:val="lt-LT"/>
        </w:rPr>
        <w:t>dializatas</w:t>
      </w:r>
      <w:proofErr w:type="spellEnd"/>
      <w:r>
        <w:rPr>
          <w:i w:val="0"/>
          <w:color w:val="auto"/>
          <w:sz w:val="22"/>
          <w:szCs w:val="22"/>
          <w:lang w:val="lt-LT"/>
        </w:rPr>
        <w:t xml:space="preserve"> nuolatinei hemodializei ar </w:t>
      </w:r>
      <w:proofErr w:type="spellStart"/>
      <w:r>
        <w:rPr>
          <w:i w:val="0"/>
          <w:color w:val="auto"/>
          <w:sz w:val="22"/>
          <w:szCs w:val="22"/>
          <w:lang w:val="lt-LT"/>
        </w:rPr>
        <w:t>hemodiafiltracijai</w:t>
      </w:r>
      <w:proofErr w:type="spellEnd"/>
      <w:r>
        <w:rPr>
          <w:i w:val="0"/>
          <w:color w:val="auto"/>
          <w:sz w:val="22"/>
          <w:szCs w:val="22"/>
          <w:lang w:val="lt-LT"/>
        </w:rPr>
        <w:t xml:space="preserve"> atlikti:</w:t>
      </w:r>
    </w:p>
    <w:p w:rsidR="002201C8" w:rsidRDefault="002201C8" w:rsidP="002201C8">
      <w:pPr>
        <w:pStyle w:val="Pagrindinistekstas"/>
        <w:rPr>
          <w:i w:val="0"/>
          <w:color w:val="auto"/>
          <w:sz w:val="22"/>
          <w:lang w:val="lt-LT"/>
        </w:rPr>
      </w:pPr>
      <w:r>
        <w:rPr>
          <w:bCs/>
          <w:i w:val="0"/>
          <w:color w:val="auto"/>
          <w:sz w:val="22"/>
          <w:szCs w:val="22"/>
          <w:lang w:val="lt-LT"/>
        </w:rPr>
        <w:t>suaugusiesiems:</w:t>
      </w:r>
      <w:r>
        <w:rPr>
          <w:bCs/>
          <w:i w:val="0"/>
          <w:color w:val="auto"/>
          <w:sz w:val="22"/>
          <w:szCs w:val="22"/>
          <w:lang w:val="lt-LT"/>
        </w:rPr>
        <w:tab/>
      </w:r>
      <w:r>
        <w:rPr>
          <w:bCs/>
          <w:i w:val="0"/>
          <w:color w:val="auto"/>
          <w:sz w:val="22"/>
          <w:szCs w:val="22"/>
          <w:lang w:val="lt-LT"/>
        </w:rPr>
        <w:tab/>
      </w:r>
      <w:r>
        <w:rPr>
          <w:i w:val="0"/>
          <w:color w:val="auto"/>
          <w:sz w:val="22"/>
          <w:lang w:val="lt-LT"/>
        </w:rPr>
        <w:tab/>
      </w:r>
      <w:r>
        <w:rPr>
          <w:bCs/>
          <w:i w:val="0"/>
          <w:color w:val="auto"/>
          <w:sz w:val="22"/>
          <w:szCs w:val="22"/>
          <w:lang w:val="lt-LT"/>
        </w:rPr>
        <w:t>500–2500 ml/val.,</w:t>
      </w:r>
    </w:p>
    <w:p w:rsidR="002201C8" w:rsidRDefault="002201C8" w:rsidP="002201C8">
      <w:pPr>
        <w:pStyle w:val="Pagrindinistekstas"/>
        <w:rPr>
          <w:i w:val="0"/>
          <w:color w:val="auto"/>
          <w:sz w:val="22"/>
          <w:lang w:val="lt-LT"/>
        </w:rPr>
      </w:pPr>
      <w:r>
        <w:rPr>
          <w:bCs/>
          <w:i w:val="0"/>
          <w:color w:val="auto"/>
          <w:sz w:val="22"/>
          <w:szCs w:val="22"/>
        </w:rPr>
        <w:t>&lt; 18 </w:t>
      </w:r>
      <w:proofErr w:type="spellStart"/>
      <w:r>
        <w:rPr>
          <w:bCs/>
          <w:i w:val="0"/>
          <w:color w:val="auto"/>
          <w:sz w:val="22"/>
          <w:szCs w:val="22"/>
        </w:rPr>
        <w:t>metų</w:t>
      </w:r>
      <w:proofErr w:type="spellEnd"/>
      <w:r>
        <w:rPr>
          <w:bCs/>
          <w:i w:val="0"/>
          <w:color w:val="auto"/>
          <w:sz w:val="22"/>
          <w:szCs w:val="22"/>
        </w:rPr>
        <w:t xml:space="preserve"> </w:t>
      </w:r>
      <w:proofErr w:type="spellStart"/>
      <w:r>
        <w:rPr>
          <w:bCs/>
          <w:i w:val="0"/>
          <w:color w:val="auto"/>
          <w:sz w:val="22"/>
          <w:szCs w:val="22"/>
        </w:rPr>
        <w:t>amžiaus</w:t>
      </w:r>
      <w:proofErr w:type="spellEnd"/>
      <w:r>
        <w:rPr>
          <w:bCs/>
          <w:i w:val="0"/>
          <w:color w:val="auto"/>
          <w:sz w:val="22"/>
          <w:szCs w:val="22"/>
          <w:lang w:val="lt-LT"/>
        </w:rPr>
        <w:t xml:space="preserve"> vaikams</w:t>
      </w:r>
      <w:r>
        <w:rPr>
          <w:i w:val="0"/>
          <w:color w:val="auto"/>
          <w:sz w:val="22"/>
        </w:rPr>
        <w:t>:</w:t>
      </w:r>
      <w:r>
        <w:rPr>
          <w:bCs/>
          <w:i w:val="0"/>
          <w:color w:val="auto"/>
          <w:sz w:val="22"/>
          <w:szCs w:val="22"/>
        </w:rPr>
        <w:tab/>
      </w:r>
      <w:r>
        <w:rPr>
          <w:i w:val="0"/>
          <w:color w:val="auto"/>
          <w:sz w:val="22"/>
          <w:szCs w:val="22"/>
        </w:rPr>
        <w:t>1000–4000</w:t>
      </w:r>
      <w:r>
        <w:rPr>
          <w:i w:val="0"/>
          <w:color w:val="auto"/>
          <w:sz w:val="22"/>
        </w:rPr>
        <w:t> ml/val</w:t>
      </w:r>
      <w:r>
        <w:rPr>
          <w:i w:val="0"/>
          <w:color w:val="auto"/>
          <w:sz w:val="22"/>
          <w:szCs w:val="22"/>
        </w:rPr>
        <w:t>./1,73 m</w:t>
      </w:r>
      <w:r>
        <w:rPr>
          <w:i w:val="0"/>
          <w:color w:val="auto"/>
          <w:sz w:val="22"/>
          <w:szCs w:val="22"/>
          <w:vertAlign w:val="superscript"/>
        </w:rPr>
        <w:t>2</w:t>
      </w:r>
    </w:p>
    <w:p w:rsidR="002201C8" w:rsidRDefault="002201C8" w:rsidP="002201C8">
      <w:pPr>
        <w:numPr>
          <w:ilvl w:val="12"/>
          <w:numId w:val="0"/>
        </w:numPr>
        <w:tabs>
          <w:tab w:val="clear" w:pos="567"/>
          <w:tab w:val="left" w:pos="720"/>
        </w:tabs>
        <w:spacing w:line="240" w:lineRule="auto"/>
        <w:rPr>
          <w:szCs w:val="22"/>
          <w:lang w:val="lt-LT"/>
        </w:rPr>
      </w:pPr>
    </w:p>
    <w:p w:rsidR="002201C8" w:rsidRDefault="002201C8" w:rsidP="002201C8">
      <w:pPr>
        <w:ind w:right="-143"/>
        <w:rPr>
          <w:bCs/>
          <w:szCs w:val="22"/>
          <w:lang w:val="lt-LT"/>
        </w:rPr>
      </w:pPr>
      <w:r>
        <w:rPr>
          <w:bCs/>
          <w:szCs w:val="22"/>
          <w:lang w:val="lt-LT"/>
        </w:rPr>
        <w:t>Paaugliams (12–18 metų amžiaus) taikoma rekomenduojama suaugusiųjų dozė, jei apskaičiuota vaikų dozė viršija didžiausią suaugusiųjų dozę.</w:t>
      </w:r>
    </w:p>
    <w:p w:rsidR="002201C8" w:rsidRDefault="002201C8" w:rsidP="002201C8">
      <w:pPr>
        <w:numPr>
          <w:ilvl w:val="12"/>
          <w:numId w:val="0"/>
        </w:numPr>
        <w:tabs>
          <w:tab w:val="clear" w:pos="567"/>
          <w:tab w:val="left" w:pos="720"/>
        </w:tabs>
        <w:spacing w:line="240" w:lineRule="auto"/>
        <w:ind w:right="-2"/>
        <w:rPr>
          <w:lang w:val="lt-LT"/>
        </w:rPr>
      </w:pPr>
    </w:p>
    <w:p w:rsidR="002201C8" w:rsidRDefault="002201C8" w:rsidP="002201C8">
      <w:pPr>
        <w:numPr>
          <w:ilvl w:val="12"/>
          <w:numId w:val="0"/>
        </w:numPr>
        <w:tabs>
          <w:tab w:val="clear" w:pos="567"/>
          <w:tab w:val="left" w:pos="720"/>
        </w:tabs>
        <w:spacing w:line="240" w:lineRule="auto"/>
        <w:rPr>
          <w:b/>
          <w:lang w:val="lt-LT"/>
        </w:rPr>
      </w:pPr>
      <w:r>
        <w:rPr>
          <w:b/>
          <w:lang w:val="lt-LT"/>
        </w:rPr>
        <w:t>Naudojimo nurodymai</w:t>
      </w:r>
    </w:p>
    <w:p w:rsidR="002201C8" w:rsidRDefault="002201C8" w:rsidP="002201C8">
      <w:pPr>
        <w:numPr>
          <w:ilvl w:val="12"/>
          <w:numId w:val="0"/>
        </w:numPr>
        <w:tabs>
          <w:tab w:val="clear" w:pos="567"/>
          <w:tab w:val="left" w:pos="720"/>
        </w:tabs>
        <w:spacing w:line="240" w:lineRule="auto"/>
        <w:rPr>
          <w:lang w:val="lt-LT"/>
        </w:rPr>
      </w:pPr>
    </w:p>
    <w:p w:rsidR="002201C8" w:rsidRDefault="002201C8" w:rsidP="002201C8">
      <w:pPr>
        <w:numPr>
          <w:ilvl w:val="12"/>
          <w:numId w:val="0"/>
        </w:numPr>
        <w:tabs>
          <w:tab w:val="clear" w:pos="567"/>
          <w:tab w:val="left" w:pos="720"/>
        </w:tabs>
        <w:spacing w:line="240" w:lineRule="auto"/>
        <w:rPr>
          <w:lang w:val="lt-LT"/>
        </w:rPr>
      </w:pPr>
      <w:r>
        <w:rPr>
          <w:lang w:val="lt-LT"/>
        </w:rPr>
        <w:t>Šis vaistas Jums bus skirtas ligoninėje. Jūsų gydytojas žinos, kaip jį vartoti.</w:t>
      </w:r>
    </w:p>
    <w:p w:rsidR="002201C8" w:rsidRDefault="002201C8" w:rsidP="002201C8">
      <w:pPr>
        <w:numPr>
          <w:ilvl w:val="12"/>
          <w:numId w:val="0"/>
        </w:numPr>
        <w:tabs>
          <w:tab w:val="clear" w:pos="567"/>
          <w:tab w:val="left" w:pos="720"/>
        </w:tabs>
        <w:spacing w:line="240" w:lineRule="auto"/>
        <w:rPr>
          <w:lang w:val="lt-LT"/>
        </w:rPr>
      </w:pPr>
      <w:r>
        <w:rPr>
          <w:lang w:val="lt-LT"/>
        </w:rPr>
        <w:t>Naudojimo nurodymai pateikti šio pakuotės lapelio pabaigoje.</w:t>
      </w:r>
    </w:p>
    <w:p w:rsidR="002201C8" w:rsidRDefault="002201C8" w:rsidP="002201C8">
      <w:pPr>
        <w:numPr>
          <w:ilvl w:val="12"/>
          <w:numId w:val="0"/>
        </w:numPr>
        <w:tabs>
          <w:tab w:val="clear" w:pos="567"/>
          <w:tab w:val="left" w:pos="720"/>
        </w:tabs>
        <w:spacing w:line="240" w:lineRule="auto"/>
        <w:rPr>
          <w:lang w:val="lt-LT"/>
        </w:rPr>
      </w:pPr>
    </w:p>
    <w:p w:rsidR="002201C8" w:rsidRDefault="002201C8" w:rsidP="002201C8">
      <w:pPr>
        <w:keepNext/>
        <w:spacing w:line="240" w:lineRule="auto"/>
        <w:rPr>
          <w:b/>
          <w:szCs w:val="22"/>
          <w:lang w:val="lt-LT"/>
        </w:rPr>
      </w:pPr>
      <w:r>
        <w:rPr>
          <w:b/>
          <w:lang w:val="lt-LT"/>
        </w:rPr>
        <w:t xml:space="preserve">Ką daryti pavartojus per didelę </w:t>
      </w:r>
      <w:proofErr w:type="spellStart"/>
      <w:r>
        <w:rPr>
          <w:b/>
          <w:lang w:val="lt-LT"/>
        </w:rPr>
        <w:t>Biphozyl</w:t>
      </w:r>
      <w:proofErr w:type="spellEnd"/>
      <w:r>
        <w:rPr>
          <w:b/>
          <w:lang w:val="lt-LT"/>
        </w:rPr>
        <w:t xml:space="preserve"> dozę?</w:t>
      </w:r>
    </w:p>
    <w:p w:rsidR="002201C8" w:rsidRDefault="002201C8" w:rsidP="002201C8">
      <w:pPr>
        <w:spacing w:line="240" w:lineRule="auto"/>
        <w:rPr>
          <w:lang w:val="lt-LT"/>
        </w:rPr>
      </w:pPr>
      <w:r>
        <w:rPr>
          <w:lang w:val="lt-LT"/>
        </w:rPr>
        <w:t>Jeigu šio vaisto pavartojote daugiau, negu rekomenduojama šiame pakuotės lapelyje arba negu skyrė gydytojas, ir jaučiatės negerai, nedelsdami kreipkitės į gydytoją arba slaugytoją.</w:t>
      </w:r>
    </w:p>
    <w:p w:rsidR="002201C8" w:rsidRDefault="002201C8" w:rsidP="002201C8">
      <w:pPr>
        <w:numPr>
          <w:ilvl w:val="12"/>
          <w:numId w:val="0"/>
        </w:numPr>
        <w:tabs>
          <w:tab w:val="clear" w:pos="567"/>
          <w:tab w:val="left" w:pos="720"/>
        </w:tabs>
        <w:spacing w:line="240" w:lineRule="auto"/>
        <w:ind w:left="567" w:right="-2" w:hanging="567"/>
        <w:rPr>
          <w:lang w:val="lt-LT"/>
        </w:rPr>
      </w:pPr>
      <w:r>
        <w:rPr>
          <w:lang w:val="lt-LT"/>
        </w:rPr>
        <w:t>Perdozavimo požymiai: nuovargis, edema arba dusulys.</w:t>
      </w:r>
    </w:p>
    <w:p w:rsidR="002201C8" w:rsidRDefault="002201C8" w:rsidP="002201C8">
      <w:pPr>
        <w:numPr>
          <w:ilvl w:val="12"/>
          <w:numId w:val="0"/>
        </w:numPr>
        <w:tabs>
          <w:tab w:val="clear" w:pos="567"/>
          <w:tab w:val="left" w:pos="720"/>
        </w:tabs>
        <w:spacing w:line="240" w:lineRule="auto"/>
        <w:ind w:left="567" w:right="-2" w:hanging="567"/>
        <w:rPr>
          <w:lang w:val="lt-LT"/>
        </w:rPr>
      </w:pPr>
    </w:p>
    <w:p w:rsidR="002201C8" w:rsidRDefault="002201C8" w:rsidP="002201C8">
      <w:pPr>
        <w:numPr>
          <w:ilvl w:val="12"/>
          <w:numId w:val="0"/>
        </w:numPr>
        <w:tabs>
          <w:tab w:val="clear" w:pos="567"/>
          <w:tab w:val="left" w:pos="720"/>
        </w:tabs>
        <w:spacing w:line="240" w:lineRule="auto"/>
        <w:ind w:left="567" w:right="-2" w:hanging="567"/>
        <w:rPr>
          <w:lang w:val="lt-LT"/>
        </w:rPr>
      </w:pPr>
    </w:p>
    <w:p w:rsidR="002201C8" w:rsidRDefault="002201C8" w:rsidP="002201C8">
      <w:pPr>
        <w:numPr>
          <w:ilvl w:val="12"/>
          <w:numId w:val="0"/>
        </w:numPr>
        <w:tabs>
          <w:tab w:val="clear" w:pos="567"/>
          <w:tab w:val="left" w:pos="720"/>
        </w:tabs>
        <w:spacing w:line="240" w:lineRule="auto"/>
        <w:ind w:left="567" w:right="-2" w:hanging="567"/>
        <w:rPr>
          <w:szCs w:val="22"/>
          <w:lang w:val="lt-LT"/>
        </w:rPr>
      </w:pPr>
      <w:r>
        <w:rPr>
          <w:b/>
          <w:szCs w:val="22"/>
          <w:lang w:val="lt-LT"/>
        </w:rPr>
        <w:t>4.</w:t>
      </w:r>
      <w:r>
        <w:rPr>
          <w:b/>
          <w:szCs w:val="22"/>
          <w:lang w:val="lt-LT"/>
        </w:rPr>
        <w:tab/>
      </w:r>
      <w:r>
        <w:rPr>
          <w:b/>
          <w:lang w:val="lt-LT"/>
        </w:rPr>
        <w:t>Galimas šalutinis poveikis</w:t>
      </w:r>
    </w:p>
    <w:p w:rsidR="002201C8" w:rsidRDefault="002201C8" w:rsidP="002201C8">
      <w:pPr>
        <w:numPr>
          <w:ilvl w:val="12"/>
          <w:numId w:val="0"/>
        </w:numPr>
        <w:tabs>
          <w:tab w:val="clear" w:pos="567"/>
          <w:tab w:val="left" w:pos="720"/>
        </w:tabs>
        <w:spacing w:line="240" w:lineRule="auto"/>
        <w:rPr>
          <w:szCs w:val="22"/>
          <w:lang w:val="lt-LT"/>
        </w:rPr>
      </w:pPr>
    </w:p>
    <w:p w:rsidR="002201C8" w:rsidRDefault="002201C8" w:rsidP="002201C8">
      <w:pPr>
        <w:numPr>
          <w:ilvl w:val="12"/>
          <w:numId w:val="0"/>
        </w:numPr>
        <w:tabs>
          <w:tab w:val="clear" w:pos="567"/>
          <w:tab w:val="left" w:pos="720"/>
        </w:tabs>
        <w:spacing w:line="240" w:lineRule="auto"/>
        <w:rPr>
          <w:szCs w:val="22"/>
          <w:lang w:val="lt-LT"/>
        </w:rPr>
      </w:pPr>
      <w:r>
        <w:rPr>
          <w:szCs w:val="22"/>
          <w:lang w:val="lt-LT"/>
        </w:rPr>
        <w:t>Šis vaistas, kaip ir visi kiti, gali sukelti šalutinį poveikį, nors jis pasireiškia ne visiems žmonėms.</w:t>
      </w:r>
      <w:r>
        <w:rPr>
          <w:lang w:val="lt-LT"/>
        </w:rPr>
        <w:t xml:space="preserve"> Kad pastebėtų galimą šalutinį poveikį, Jūsų kraujo ir sveikatos būklę reguliariai stebės gydytojas arba slaugytoja. Vartojant šį tirpalą, gali pasireikšti toks šalutinis poveikis:</w:t>
      </w:r>
    </w:p>
    <w:p w:rsidR="002201C8" w:rsidRDefault="002201C8" w:rsidP="002201C8">
      <w:pPr>
        <w:numPr>
          <w:ilvl w:val="12"/>
          <w:numId w:val="0"/>
        </w:numPr>
        <w:tabs>
          <w:tab w:val="clear" w:pos="567"/>
          <w:tab w:val="left" w:pos="720"/>
        </w:tabs>
        <w:spacing w:line="240" w:lineRule="auto"/>
        <w:rPr>
          <w:szCs w:val="22"/>
          <w:lang w:val="lt-LT"/>
        </w:rPr>
      </w:pPr>
      <w:r>
        <w:rPr>
          <w:lang w:val="lt-LT"/>
        </w:rPr>
        <w:t>• pakitęs druskų kiekis kraujyje (sutrikti elektrolitų pusiausvyra), pavyzdžiui, sumažėjęs kalcio kiekis (</w:t>
      </w:r>
      <w:proofErr w:type="spellStart"/>
      <w:r>
        <w:rPr>
          <w:lang w:val="lt-LT"/>
        </w:rPr>
        <w:t>hipokalcemija</w:t>
      </w:r>
      <w:proofErr w:type="spellEnd"/>
      <w:r>
        <w:rPr>
          <w:lang w:val="lt-LT"/>
        </w:rPr>
        <w:t>), padidėjęs kalio kiekis (</w:t>
      </w:r>
      <w:proofErr w:type="spellStart"/>
      <w:r>
        <w:rPr>
          <w:lang w:val="lt-LT"/>
        </w:rPr>
        <w:t>hiperkalemija</w:t>
      </w:r>
      <w:proofErr w:type="spellEnd"/>
      <w:r>
        <w:rPr>
          <w:lang w:val="lt-LT"/>
        </w:rPr>
        <w:t>) arba fosfato kiekis (</w:t>
      </w:r>
      <w:proofErr w:type="spellStart"/>
      <w:r>
        <w:rPr>
          <w:lang w:val="lt-LT"/>
        </w:rPr>
        <w:t>hiperfosfatemija</w:t>
      </w:r>
      <w:proofErr w:type="spellEnd"/>
      <w:r>
        <w:rPr>
          <w:lang w:val="lt-LT"/>
        </w:rPr>
        <w:t>);</w:t>
      </w:r>
    </w:p>
    <w:p w:rsidR="002201C8" w:rsidRDefault="002201C8" w:rsidP="002201C8">
      <w:pPr>
        <w:numPr>
          <w:ilvl w:val="12"/>
          <w:numId w:val="0"/>
        </w:numPr>
        <w:tabs>
          <w:tab w:val="clear" w:pos="567"/>
          <w:tab w:val="left" w:pos="720"/>
        </w:tabs>
        <w:spacing w:line="240" w:lineRule="auto"/>
        <w:rPr>
          <w:szCs w:val="22"/>
          <w:lang w:val="lt-LT"/>
        </w:rPr>
      </w:pPr>
      <w:r>
        <w:rPr>
          <w:rFonts w:eastAsia="SimSun"/>
          <w:lang w:val="lt-LT"/>
        </w:rPr>
        <w:t>• sumažėjusi vandenilio karbonato koncentracija plazmoje (</w:t>
      </w:r>
      <w:proofErr w:type="spellStart"/>
      <w:r>
        <w:rPr>
          <w:rFonts w:eastAsia="SimSun"/>
          <w:lang w:val="lt-LT"/>
        </w:rPr>
        <w:t>metabolinė</w:t>
      </w:r>
      <w:proofErr w:type="spellEnd"/>
      <w:r>
        <w:rPr>
          <w:rFonts w:eastAsia="SimSun"/>
          <w:lang w:val="lt-LT"/>
        </w:rPr>
        <w:t xml:space="preserve"> </w:t>
      </w:r>
      <w:proofErr w:type="spellStart"/>
      <w:r>
        <w:rPr>
          <w:rFonts w:eastAsia="SimSun"/>
          <w:lang w:val="lt-LT"/>
        </w:rPr>
        <w:t>acidozė</w:t>
      </w:r>
      <w:proofErr w:type="spellEnd"/>
      <w:r>
        <w:rPr>
          <w:rFonts w:eastAsia="SimSun"/>
          <w:lang w:val="lt-LT"/>
        </w:rPr>
        <w:t>).</w:t>
      </w:r>
    </w:p>
    <w:p w:rsidR="002201C8" w:rsidRDefault="002201C8" w:rsidP="002201C8">
      <w:pPr>
        <w:numPr>
          <w:ilvl w:val="12"/>
          <w:numId w:val="0"/>
        </w:numPr>
        <w:tabs>
          <w:tab w:val="clear" w:pos="567"/>
          <w:tab w:val="left" w:pos="720"/>
        </w:tabs>
        <w:spacing w:line="240" w:lineRule="auto"/>
        <w:rPr>
          <w:szCs w:val="22"/>
          <w:lang w:val="lt-LT"/>
        </w:rPr>
      </w:pPr>
    </w:p>
    <w:p w:rsidR="002201C8" w:rsidRDefault="002201C8" w:rsidP="002201C8">
      <w:pPr>
        <w:numPr>
          <w:ilvl w:val="12"/>
          <w:numId w:val="0"/>
        </w:numPr>
        <w:tabs>
          <w:tab w:val="clear" w:pos="567"/>
          <w:tab w:val="left" w:pos="720"/>
        </w:tabs>
        <w:spacing w:line="240" w:lineRule="auto"/>
        <w:rPr>
          <w:szCs w:val="22"/>
          <w:lang w:val="lt-LT"/>
        </w:rPr>
      </w:pPr>
      <w:r>
        <w:rPr>
          <w:szCs w:val="22"/>
          <w:lang w:val="lt-LT"/>
        </w:rPr>
        <w:t>Atliekant gydymą dialize gali pasireikšti ir toks šalutinis poveikis:</w:t>
      </w:r>
    </w:p>
    <w:p w:rsidR="002201C8" w:rsidRDefault="002201C8" w:rsidP="002201C8">
      <w:pPr>
        <w:numPr>
          <w:ilvl w:val="12"/>
          <w:numId w:val="0"/>
        </w:numPr>
        <w:tabs>
          <w:tab w:val="clear" w:pos="567"/>
          <w:tab w:val="left" w:pos="720"/>
        </w:tabs>
        <w:spacing w:line="240" w:lineRule="auto"/>
        <w:rPr>
          <w:szCs w:val="22"/>
          <w:lang w:val="lt-LT"/>
        </w:rPr>
      </w:pPr>
      <w:r>
        <w:rPr>
          <w:lang w:val="lt-LT"/>
        </w:rPr>
        <w:t xml:space="preserve">• labai smarkiai padidėjęs arba sumažėjęs skysčių kiekis organizme (atitinkamai, </w:t>
      </w:r>
      <w:proofErr w:type="spellStart"/>
      <w:r>
        <w:rPr>
          <w:lang w:val="lt-LT"/>
        </w:rPr>
        <w:t>hipervolemija</w:t>
      </w:r>
      <w:proofErr w:type="spellEnd"/>
      <w:r>
        <w:rPr>
          <w:lang w:val="lt-LT"/>
        </w:rPr>
        <w:t xml:space="preserve"> arba </w:t>
      </w:r>
      <w:proofErr w:type="spellStart"/>
      <w:r>
        <w:rPr>
          <w:lang w:val="lt-LT"/>
        </w:rPr>
        <w:t>hipovolemija</w:t>
      </w:r>
      <w:proofErr w:type="spellEnd"/>
      <w:r>
        <w:rPr>
          <w:lang w:val="lt-LT"/>
        </w:rPr>
        <w:t xml:space="preserve">); </w:t>
      </w:r>
    </w:p>
    <w:p w:rsidR="002201C8" w:rsidRDefault="002201C8" w:rsidP="002201C8">
      <w:pPr>
        <w:numPr>
          <w:ilvl w:val="12"/>
          <w:numId w:val="0"/>
        </w:numPr>
        <w:tabs>
          <w:tab w:val="clear" w:pos="567"/>
          <w:tab w:val="left" w:pos="720"/>
        </w:tabs>
        <w:spacing w:line="240" w:lineRule="auto"/>
        <w:rPr>
          <w:szCs w:val="22"/>
          <w:lang w:val="lt-LT"/>
        </w:rPr>
      </w:pPr>
      <w:r>
        <w:rPr>
          <w:szCs w:val="22"/>
          <w:lang w:val="lt-LT"/>
        </w:rPr>
        <w:t xml:space="preserve">• sumažėjęs kraujospūdis; </w:t>
      </w:r>
    </w:p>
    <w:p w:rsidR="002201C8" w:rsidRDefault="002201C8" w:rsidP="002201C8">
      <w:pPr>
        <w:numPr>
          <w:ilvl w:val="12"/>
          <w:numId w:val="0"/>
        </w:numPr>
        <w:tabs>
          <w:tab w:val="clear" w:pos="567"/>
          <w:tab w:val="left" w:pos="720"/>
        </w:tabs>
        <w:spacing w:line="240" w:lineRule="auto"/>
        <w:rPr>
          <w:szCs w:val="22"/>
          <w:lang w:val="lt-LT"/>
        </w:rPr>
      </w:pPr>
      <w:r>
        <w:rPr>
          <w:szCs w:val="22"/>
          <w:lang w:val="lt-LT"/>
        </w:rPr>
        <w:t>• pykinimas, vėmimas;</w:t>
      </w:r>
    </w:p>
    <w:p w:rsidR="002201C8" w:rsidRDefault="002201C8" w:rsidP="002201C8">
      <w:pPr>
        <w:numPr>
          <w:ilvl w:val="12"/>
          <w:numId w:val="0"/>
        </w:numPr>
        <w:tabs>
          <w:tab w:val="clear" w:pos="567"/>
          <w:tab w:val="left" w:pos="720"/>
        </w:tabs>
        <w:spacing w:line="240" w:lineRule="auto"/>
        <w:rPr>
          <w:szCs w:val="22"/>
          <w:lang w:val="lt-LT"/>
        </w:rPr>
      </w:pPr>
      <w:r>
        <w:rPr>
          <w:lang w:val="lt-LT"/>
        </w:rPr>
        <w:t xml:space="preserve">• raumenų mėšlungis. </w:t>
      </w:r>
    </w:p>
    <w:p w:rsidR="002201C8" w:rsidRDefault="002201C8" w:rsidP="002201C8">
      <w:pPr>
        <w:suppressLineNumbers/>
        <w:autoSpaceDE w:val="0"/>
        <w:autoSpaceDN w:val="0"/>
        <w:adjustRightInd w:val="0"/>
        <w:spacing w:after="120"/>
        <w:jc w:val="both"/>
        <w:rPr>
          <w:szCs w:val="22"/>
          <w:lang w:val="lt-LT"/>
        </w:rPr>
      </w:pPr>
    </w:p>
    <w:p w:rsidR="002201C8" w:rsidRDefault="002201C8" w:rsidP="002201C8">
      <w:pPr>
        <w:numPr>
          <w:ilvl w:val="12"/>
          <w:numId w:val="0"/>
        </w:numPr>
        <w:tabs>
          <w:tab w:val="clear" w:pos="567"/>
          <w:tab w:val="left" w:pos="720"/>
        </w:tabs>
        <w:spacing w:line="240" w:lineRule="auto"/>
        <w:rPr>
          <w:b/>
          <w:szCs w:val="22"/>
          <w:lang w:val="lt-LT"/>
        </w:rPr>
      </w:pPr>
      <w:r>
        <w:rPr>
          <w:b/>
          <w:lang w:val="lt-LT"/>
        </w:rPr>
        <w:t>Pranešimas apie šalutinį poveikį</w:t>
      </w:r>
    </w:p>
    <w:p w:rsidR="002201C8" w:rsidRDefault="002201C8" w:rsidP="002201C8">
      <w:pPr>
        <w:numPr>
          <w:ilvl w:val="12"/>
          <w:numId w:val="0"/>
        </w:numPr>
        <w:tabs>
          <w:tab w:val="clear" w:pos="567"/>
          <w:tab w:val="left" w:pos="720"/>
        </w:tabs>
        <w:spacing w:line="240" w:lineRule="auto"/>
        <w:ind w:right="-2"/>
        <w:rPr>
          <w:szCs w:val="22"/>
          <w:lang w:val="lt-LT"/>
        </w:rPr>
      </w:pPr>
      <w:r>
        <w:rPr>
          <w:lang w:val="lt-LT"/>
        </w:rPr>
        <w:t>Jeigu pasireiškė šalutinis poveikis, įskaitant šiame lapelyje nenurodytą, pasakykite gydytojui, vaistininkui arba slaugytojai.</w:t>
      </w:r>
      <w:r>
        <w:rPr>
          <w:szCs w:val="24"/>
          <w:lang w:val="lt-LT"/>
        </w:rPr>
        <w:t xml:space="preserve"> </w:t>
      </w:r>
      <w:r w:rsidRPr="00D36318">
        <w:rPr>
          <w:szCs w:val="24"/>
          <w:lang w:val="lt-LT"/>
        </w:rPr>
        <w:t xml:space="preserve">Pranešimą apie šalutinį poveikį galite užpildyti ir pateikti Valstybinės vaistų kontrolės tarnybos prie Lietuvos Respublikos sveikatos apsaugos ministerijos tinklalapyje </w:t>
      </w:r>
      <w:r w:rsidRPr="00D36318">
        <w:rPr>
          <w:szCs w:val="24"/>
          <w:u w:val="single"/>
          <w:lang w:val="lt-LT"/>
        </w:rPr>
        <w:t>https://vvkt.lrv.lt/lt/</w:t>
      </w:r>
      <w:r w:rsidRPr="00D36318">
        <w:rPr>
          <w:szCs w:val="24"/>
          <w:lang w:val="lt-LT"/>
        </w:rPr>
        <w:t xml:space="preserve"> nurodytais būdais arba paskambinti nemokamu telefonu 8 800 73 568. Pranešdami apie šalutinį poveikį galite mums padėti gauti daugiau informacijos apie šio vaisto saugumą.</w:t>
      </w:r>
    </w:p>
    <w:p w:rsidR="002201C8" w:rsidRDefault="002201C8" w:rsidP="002201C8">
      <w:pPr>
        <w:numPr>
          <w:ilvl w:val="12"/>
          <w:numId w:val="0"/>
        </w:numPr>
        <w:tabs>
          <w:tab w:val="clear" w:pos="567"/>
          <w:tab w:val="left" w:pos="720"/>
        </w:tabs>
        <w:spacing w:line="240" w:lineRule="auto"/>
        <w:ind w:right="-2"/>
        <w:rPr>
          <w:szCs w:val="22"/>
          <w:lang w:val="lt-LT"/>
        </w:rPr>
      </w:pPr>
    </w:p>
    <w:p w:rsidR="002201C8" w:rsidRDefault="002201C8" w:rsidP="002201C8">
      <w:pPr>
        <w:numPr>
          <w:ilvl w:val="12"/>
          <w:numId w:val="0"/>
        </w:numPr>
        <w:tabs>
          <w:tab w:val="clear" w:pos="567"/>
          <w:tab w:val="left" w:pos="720"/>
        </w:tabs>
        <w:spacing w:line="240" w:lineRule="auto"/>
        <w:ind w:left="567" w:right="-2" w:hanging="567"/>
        <w:rPr>
          <w:b/>
          <w:szCs w:val="22"/>
          <w:lang w:val="lt-LT"/>
        </w:rPr>
      </w:pPr>
      <w:r>
        <w:rPr>
          <w:b/>
          <w:szCs w:val="22"/>
          <w:lang w:val="lt-LT"/>
        </w:rPr>
        <w:t>5.</w:t>
      </w:r>
      <w:r>
        <w:rPr>
          <w:b/>
          <w:szCs w:val="22"/>
          <w:lang w:val="lt-LT"/>
        </w:rPr>
        <w:tab/>
      </w:r>
      <w:r>
        <w:rPr>
          <w:b/>
          <w:lang w:val="lt-LT"/>
        </w:rPr>
        <w:t xml:space="preserve">Kaip laikyti </w:t>
      </w:r>
      <w:proofErr w:type="spellStart"/>
      <w:r>
        <w:rPr>
          <w:b/>
          <w:lang w:val="lt-LT"/>
        </w:rPr>
        <w:t>Biphozyl</w:t>
      </w:r>
      <w:proofErr w:type="spellEnd"/>
      <w:r>
        <w:rPr>
          <w:lang w:val="lt-LT"/>
        </w:rPr>
        <w:t xml:space="preserve"> </w:t>
      </w:r>
    </w:p>
    <w:p w:rsidR="002201C8" w:rsidRDefault="002201C8" w:rsidP="002201C8">
      <w:pPr>
        <w:numPr>
          <w:ilvl w:val="12"/>
          <w:numId w:val="0"/>
        </w:numPr>
        <w:tabs>
          <w:tab w:val="clear" w:pos="567"/>
          <w:tab w:val="left" w:pos="720"/>
        </w:tabs>
        <w:spacing w:line="240" w:lineRule="auto"/>
        <w:ind w:right="-2"/>
        <w:rPr>
          <w:szCs w:val="22"/>
          <w:lang w:val="lt-LT"/>
        </w:rPr>
      </w:pPr>
    </w:p>
    <w:p w:rsidR="002201C8" w:rsidRDefault="002201C8" w:rsidP="002201C8">
      <w:pPr>
        <w:suppressLineNumbers/>
        <w:tabs>
          <w:tab w:val="left" w:pos="0"/>
        </w:tabs>
        <w:outlineLvl w:val="0"/>
        <w:rPr>
          <w:szCs w:val="22"/>
          <w:lang w:val="lt-LT"/>
        </w:rPr>
      </w:pPr>
      <w:r>
        <w:rPr>
          <w:szCs w:val="22"/>
          <w:lang w:val="lt-LT"/>
        </w:rPr>
        <w:t>Šį vaistą laikykite vaikams nepastebimoje ir nepasiekiamoje vietoje.</w:t>
      </w:r>
    </w:p>
    <w:p w:rsidR="002201C8" w:rsidRDefault="002201C8" w:rsidP="002201C8">
      <w:pPr>
        <w:suppressLineNumbers/>
        <w:tabs>
          <w:tab w:val="left" w:pos="0"/>
        </w:tabs>
        <w:outlineLvl w:val="0"/>
        <w:rPr>
          <w:szCs w:val="22"/>
          <w:lang w:val="lt-LT"/>
        </w:rPr>
      </w:pPr>
    </w:p>
    <w:p w:rsidR="002201C8" w:rsidRDefault="002201C8" w:rsidP="002201C8">
      <w:pPr>
        <w:suppressLineNumbers/>
        <w:tabs>
          <w:tab w:val="left" w:pos="0"/>
        </w:tabs>
        <w:outlineLvl w:val="0"/>
        <w:rPr>
          <w:szCs w:val="22"/>
          <w:lang w:val="lt-LT"/>
        </w:rPr>
      </w:pPr>
      <w:r>
        <w:rPr>
          <w:szCs w:val="22"/>
          <w:lang w:val="lt-LT"/>
        </w:rPr>
        <w:t>Ant etiketės ir pakuotės po „Tinka iki/EXP“ nurodytam tinkamumo laikui pasibaigus, šio vaisto vartoti negalima. Vaistas tinkamas vartoti iki paskutinės nurodyto mėnesio dienos.</w:t>
      </w:r>
    </w:p>
    <w:p w:rsidR="002201C8" w:rsidRDefault="002201C8" w:rsidP="002201C8">
      <w:pPr>
        <w:suppressLineNumbers/>
        <w:tabs>
          <w:tab w:val="left" w:pos="0"/>
        </w:tabs>
        <w:outlineLvl w:val="0"/>
        <w:rPr>
          <w:szCs w:val="22"/>
          <w:lang w:val="lt-LT"/>
        </w:rPr>
      </w:pPr>
    </w:p>
    <w:p w:rsidR="002201C8" w:rsidRDefault="002201C8" w:rsidP="002201C8">
      <w:pPr>
        <w:suppressLineNumbers/>
        <w:tabs>
          <w:tab w:val="left" w:pos="0"/>
        </w:tabs>
        <w:outlineLvl w:val="0"/>
        <w:rPr>
          <w:lang w:val="lt-LT"/>
        </w:rPr>
      </w:pPr>
      <w:r>
        <w:rPr>
          <w:lang w:val="lt-LT"/>
        </w:rPr>
        <w:t>Šiam vaistui specialių laikymo sąlygų nereikia.</w:t>
      </w:r>
      <w:r>
        <w:rPr>
          <w:lang w:val="lt-LT"/>
        </w:rPr>
        <w:br/>
        <w:t>Negalima užšaldyti.</w:t>
      </w:r>
    </w:p>
    <w:p w:rsidR="002201C8" w:rsidRDefault="002201C8" w:rsidP="002201C8">
      <w:pPr>
        <w:suppressLineNumbers/>
        <w:tabs>
          <w:tab w:val="left" w:pos="0"/>
        </w:tabs>
        <w:outlineLvl w:val="0"/>
        <w:rPr>
          <w:szCs w:val="22"/>
          <w:lang w:val="lt-LT"/>
        </w:rPr>
      </w:pPr>
    </w:p>
    <w:p w:rsidR="002201C8" w:rsidRDefault="002201C8" w:rsidP="002201C8">
      <w:pPr>
        <w:spacing w:line="240" w:lineRule="auto"/>
        <w:rPr>
          <w:bCs/>
          <w:szCs w:val="22"/>
          <w:lang w:val="lt-LT"/>
        </w:rPr>
      </w:pPr>
      <w:r>
        <w:rPr>
          <w:bCs/>
          <w:szCs w:val="22"/>
          <w:lang w:val="lt-LT"/>
        </w:rPr>
        <w:t>Paruošto tirpalo cheminės ir fizikinės savybės išlieka stabilios 24 valandas, esant +22 °C temperatūrai.</w:t>
      </w:r>
      <w:r>
        <w:rPr>
          <w:lang w:val="lt-LT"/>
        </w:rPr>
        <w:t xml:space="preserve"> Jeigu paruoštas tirpalas vartojamas ne iš karto, už jo laikymo trukmę ir sąlygas atsako vartotojas, tačiau negalima laikyti ilgiau nei 24 valandas (įskaitant gydymo trukmę).</w:t>
      </w:r>
    </w:p>
    <w:p w:rsidR="002201C8" w:rsidRDefault="002201C8" w:rsidP="002201C8">
      <w:pPr>
        <w:spacing w:line="240" w:lineRule="auto"/>
        <w:rPr>
          <w:lang w:val="lt-LT"/>
        </w:rPr>
      </w:pPr>
    </w:p>
    <w:p w:rsidR="002201C8" w:rsidRDefault="002201C8" w:rsidP="002201C8">
      <w:pPr>
        <w:spacing w:line="240" w:lineRule="auto"/>
        <w:rPr>
          <w:lang w:val="lt-LT"/>
        </w:rPr>
      </w:pPr>
      <w:r>
        <w:rPr>
          <w:lang w:val="lt-LT"/>
        </w:rPr>
        <w:t>Tirpalą be žalos aplinkai galima išpilti į kanalizaciją.</w:t>
      </w:r>
    </w:p>
    <w:p w:rsidR="002201C8" w:rsidRDefault="002201C8" w:rsidP="002201C8">
      <w:pPr>
        <w:suppressLineNumbers/>
        <w:tabs>
          <w:tab w:val="left" w:pos="0"/>
        </w:tabs>
        <w:outlineLvl w:val="0"/>
        <w:rPr>
          <w:lang w:val="lt-LT"/>
        </w:rPr>
      </w:pPr>
    </w:p>
    <w:p w:rsidR="002201C8" w:rsidRDefault="002201C8" w:rsidP="002201C8">
      <w:pPr>
        <w:suppressLineNumbers/>
        <w:tabs>
          <w:tab w:val="left" w:pos="0"/>
        </w:tabs>
        <w:outlineLvl w:val="0"/>
        <w:rPr>
          <w:szCs w:val="22"/>
          <w:lang w:val="lt-LT"/>
        </w:rPr>
      </w:pPr>
      <w:r>
        <w:rPr>
          <w:szCs w:val="22"/>
          <w:lang w:val="lt-LT"/>
        </w:rPr>
        <w:t>Pastebėjus, kad pakuotė pažeista arba jei tirpale yra matomų dalelių, šio vaisto vartoti negalima.</w:t>
      </w:r>
      <w:r>
        <w:rPr>
          <w:lang w:val="lt-LT"/>
        </w:rPr>
        <w:t xml:space="preserve"> Negali būti pažeistas nė vienas </w:t>
      </w:r>
      <w:proofErr w:type="spellStart"/>
      <w:r>
        <w:rPr>
          <w:lang w:val="lt-LT"/>
        </w:rPr>
        <w:t>sandariklis</w:t>
      </w:r>
      <w:proofErr w:type="spellEnd"/>
      <w:r>
        <w:rPr>
          <w:lang w:val="lt-LT"/>
        </w:rPr>
        <w:t>.</w:t>
      </w:r>
    </w:p>
    <w:p w:rsidR="002201C8" w:rsidRDefault="002201C8" w:rsidP="002201C8">
      <w:pPr>
        <w:numPr>
          <w:ilvl w:val="12"/>
          <w:numId w:val="0"/>
        </w:numPr>
        <w:tabs>
          <w:tab w:val="clear" w:pos="567"/>
          <w:tab w:val="left" w:pos="720"/>
        </w:tabs>
        <w:spacing w:line="240" w:lineRule="auto"/>
        <w:ind w:right="-2"/>
        <w:rPr>
          <w:szCs w:val="22"/>
          <w:lang w:val="lt-LT"/>
        </w:rPr>
      </w:pPr>
    </w:p>
    <w:p w:rsidR="002201C8" w:rsidRDefault="002201C8" w:rsidP="002201C8">
      <w:pPr>
        <w:numPr>
          <w:ilvl w:val="12"/>
          <w:numId w:val="0"/>
        </w:numPr>
        <w:tabs>
          <w:tab w:val="clear" w:pos="567"/>
          <w:tab w:val="left" w:pos="720"/>
        </w:tabs>
        <w:spacing w:line="240" w:lineRule="auto"/>
        <w:ind w:right="-2"/>
        <w:rPr>
          <w:szCs w:val="22"/>
          <w:lang w:val="lt-LT"/>
        </w:rPr>
      </w:pPr>
    </w:p>
    <w:p w:rsidR="002201C8" w:rsidRDefault="002201C8" w:rsidP="002201C8">
      <w:pPr>
        <w:numPr>
          <w:ilvl w:val="12"/>
          <w:numId w:val="0"/>
        </w:numPr>
        <w:tabs>
          <w:tab w:val="clear" w:pos="567"/>
          <w:tab w:val="left" w:pos="720"/>
        </w:tabs>
        <w:spacing w:line="240" w:lineRule="auto"/>
        <w:ind w:left="567" w:right="-2" w:hanging="567"/>
        <w:rPr>
          <w:b/>
          <w:szCs w:val="22"/>
          <w:lang w:val="lt-LT"/>
        </w:rPr>
      </w:pPr>
      <w:r>
        <w:rPr>
          <w:b/>
          <w:szCs w:val="22"/>
          <w:lang w:val="lt-LT"/>
        </w:rPr>
        <w:t>6.</w:t>
      </w:r>
      <w:r>
        <w:rPr>
          <w:b/>
          <w:szCs w:val="22"/>
          <w:lang w:val="lt-LT"/>
        </w:rPr>
        <w:tab/>
        <w:t>Pakuotės turinys ir kita informacija</w:t>
      </w:r>
    </w:p>
    <w:p w:rsidR="002201C8" w:rsidRDefault="002201C8" w:rsidP="002201C8">
      <w:pPr>
        <w:numPr>
          <w:ilvl w:val="12"/>
          <w:numId w:val="0"/>
        </w:numPr>
        <w:tabs>
          <w:tab w:val="clear" w:pos="567"/>
          <w:tab w:val="left" w:pos="720"/>
        </w:tabs>
        <w:spacing w:line="240" w:lineRule="auto"/>
        <w:ind w:left="567" w:right="-2" w:hanging="567"/>
        <w:rPr>
          <w:b/>
          <w:szCs w:val="22"/>
          <w:lang w:val="lt-LT"/>
        </w:rPr>
      </w:pPr>
    </w:p>
    <w:p w:rsidR="002201C8" w:rsidRDefault="002201C8" w:rsidP="002201C8">
      <w:pPr>
        <w:numPr>
          <w:ilvl w:val="12"/>
          <w:numId w:val="0"/>
        </w:numPr>
        <w:tabs>
          <w:tab w:val="clear" w:pos="567"/>
          <w:tab w:val="left" w:pos="720"/>
        </w:tabs>
        <w:spacing w:line="240" w:lineRule="auto"/>
        <w:ind w:right="-2"/>
        <w:rPr>
          <w:b/>
          <w:bCs/>
          <w:szCs w:val="22"/>
          <w:lang w:val="lt-LT"/>
        </w:rPr>
      </w:pPr>
      <w:proofErr w:type="spellStart"/>
      <w:r>
        <w:rPr>
          <w:b/>
          <w:lang w:val="lt-LT"/>
        </w:rPr>
        <w:t>Biphozyl</w:t>
      </w:r>
      <w:proofErr w:type="spellEnd"/>
      <w:r>
        <w:rPr>
          <w:b/>
          <w:lang w:val="lt-LT"/>
        </w:rPr>
        <w:t xml:space="preserve"> sudėtis</w:t>
      </w:r>
    </w:p>
    <w:p w:rsidR="002201C8" w:rsidRDefault="002201C8" w:rsidP="002201C8">
      <w:pPr>
        <w:widowControl w:val="0"/>
        <w:suppressLineNumbers/>
        <w:rPr>
          <w:b/>
          <w:bCs/>
          <w:szCs w:val="22"/>
          <w:lang w:val="lt-LT"/>
        </w:rPr>
      </w:pPr>
      <w:r>
        <w:rPr>
          <w:b/>
          <w:bCs/>
          <w:szCs w:val="22"/>
          <w:lang w:val="lt-LT"/>
        </w:rPr>
        <w:t>Prieš ruošiant</w:t>
      </w:r>
    </w:p>
    <w:p w:rsidR="002201C8" w:rsidRDefault="002201C8" w:rsidP="002201C8">
      <w:pPr>
        <w:widowControl w:val="0"/>
        <w:suppressLineNumbers/>
        <w:rPr>
          <w:bCs/>
          <w:szCs w:val="22"/>
          <w:lang w:val="lt-LT"/>
        </w:rPr>
      </w:pPr>
      <w:r>
        <w:rPr>
          <w:lang w:val="lt-LT"/>
        </w:rPr>
        <w:t>Mažasis skyrius, A (250 ml)</w:t>
      </w:r>
    </w:p>
    <w:p w:rsidR="002201C8" w:rsidRDefault="002201C8" w:rsidP="002201C8">
      <w:pPr>
        <w:widowControl w:val="0"/>
        <w:suppressLineNumbers/>
        <w:rPr>
          <w:bCs/>
          <w:szCs w:val="22"/>
          <w:lang w:val="lt-LT"/>
        </w:rPr>
      </w:pPr>
      <w:r>
        <w:rPr>
          <w:bCs/>
          <w:szCs w:val="22"/>
          <w:lang w:val="lt-LT"/>
        </w:rPr>
        <w:t xml:space="preserve">Magnio chloridas </w:t>
      </w:r>
      <w:proofErr w:type="spellStart"/>
      <w:r>
        <w:rPr>
          <w:bCs/>
          <w:szCs w:val="22"/>
          <w:lang w:val="lt-LT"/>
        </w:rPr>
        <w:t>heksahidratas</w:t>
      </w:r>
      <w:proofErr w:type="spellEnd"/>
      <w:r>
        <w:rPr>
          <w:bCs/>
          <w:szCs w:val="22"/>
          <w:lang w:val="lt-LT"/>
        </w:rPr>
        <w:tab/>
      </w:r>
      <w:r>
        <w:rPr>
          <w:bCs/>
          <w:szCs w:val="22"/>
          <w:lang w:val="lt-LT"/>
        </w:rPr>
        <w:tab/>
        <w:t>3,05 g/l</w:t>
      </w:r>
    </w:p>
    <w:p w:rsidR="002201C8" w:rsidRDefault="002201C8" w:rsidP="002201C8">
      <w:pPr>
        <w:widowControl w:val="0"/>
        <w:suppressLineNumbers/>
        <w:rPr>
          <w:bCs/>
          <w:szCs w:val="22"/>
          <w:lang w:val="lt-LT"/>
        </w:rPr>
      </w:pPr>
    </w:p>
    <w:p w:rsidR="002201C8" w:rsidRDefault="002201C8" w:rsidP="002201C8">
      <w:pPr>
        <w:widowControl w:val="0"/>
        <w:suppressLineNumbers/>
        <w:rPr>
          <w:bCs/>
          <w:szCs w:val="22"/>
          <w:lang w:val="lt-LT"/>
        </w:rPr>
      </w:pPr>
      <w:r>
        <w:rPr>
          <w:lang w:val="lt-LT"/>
        </w:rPr>
        <w:t>Didysis skyrius, B (4 750 ml)</w:t>
      </w:r>
    </w:p>
    <w:p w:rsidR="002201C8" w:rsidRDefault="002201C8" w:rsidP="002201C8">
      <w:pPr>
        <w:widowControl w:val="0"/>
        <w:suppressLineNumbers/>
        <w:rPr>
          <w:bCs/>
          <w:szCs w:val="22"/>
          <w:lang w:val="lt-LT"/>
        </w:rPr>
      </w:pPr>
      <w:r>
        <w:rPr>
          <w:bCs/>
          <w:szCs w:val="22"/>
          <w:lang w:val="lt-LT"/>
        </w:rPr>
        <w:t>Natrio chloridas</w:t>
      </w:r>
      <w:r>
        <w:rPr>
          <w:bCs/>
          <w:szCs w:val="22"/>
          <w:lang w:val="lt-LT"/>
        </w:rPr>
        <w:tab/>
      </w:r>
      <w:r>
        <w:rPr>
          <w:bCs/>
          <w:szCs w:val="22"/>
          <w:lang w:val="lt-LT"/>
        </w:rPr>
        <w:tab/>
      </w:r>
      <w:r>
        <w:rPr>
          <w:bCs/>
          <w:szCs w:val="22"/>
          <w:lang w:val="lt-LT"/>
        </w:rPr>
        <w:tab/>
      </w:r>
      <w:r>
        <w:rPr>
          <w:bCs/>
          <w:szCs w:val="22"/>
          <w:lang w:val="lt-LT"/>
        </w:rPr>
        <w:tab/>
        <w:t>7,01 g/l</w:t>
      </w:r>
    </w:p>
    <w:p w:rsidR="002201C8" w:rsidRDefault="002201C8" w:rsidP="002201C8">
      <w:pPr>
        <w:widowControl w:val="0"/>
        <w:suppressLineNumbers/>
        <w:rPr>
          <w:bCs/>
          <w:szCs w:val="22"/>
          <w:lang w:val="lt-LT"/>
        </w:rPr>
      </w:pPr>
      <w:r>
        <w:rPr>
          <w:bCs/>
          <w:szCs w:val="22"/>
          <w:lang w:val="lt-LT"/>
        </w:rPr>
        <w:t>Natrio-vandenilio karbonatas</w:t>
      </w:r>
      <w:r>
        <w:rPr>
          <w:bCs/>
          <w:szCs w:val="22"/>
          <w:lang w:val="lt-LT"/>
        </w:rPr>
        <w:tab/>
      </w:r>
      <w:r>
        <w:rPr>
          <w:bCs/>
          <w:szCs w:val="22"/>
          <w:lang w:val="lt-LT"/>
        </w:rPr>
        <w:tab/>
        <w:t>2,12 g/l</w:t>
      </w:r>
    </w:p>
    <w:p w:rsidR="002201C8" w:rsidRDefault="002201C8" w:rsidP="002201C8">
      <w:pPr>
        <w:widowControl w:val="0"/>
        <w:suppressLineNumbers/>
        <w:rPr>
          <w:bCs/>
          <w:szCs w:val="22"/>
          <w:lang w:val="lt-LT"/>
        </w:rPr>
      </w:pPr>
      <w:r>
        <w:rPr>
          <w:bCs/>
          <w:szCs w:val="22"/>
          <w:lang w:val="lt-LT"/>
        </w:rPr>
        <w:t>Kalio chloridas</w:t>
      </w:r>
      <w:r>
        <w:rPr>
          <w:bCs/>
          <w:szCs w:val="22"/>
          <w:lang w:val="lt-LT"/>
        </w:rPr>
        <w:tab/>
      </w:r>
      <w:r>
        <w:rPr>
          <w:bCs/>
          <w:szCs w:val="22"/>
          <w:lang w:val="lt-LT"/>
        </w:rPr>
        <w:tab/>
      </w:r>
      <w:r>
        <w:rPr>
          <w:bCs/>
          <w:szCs w:val="22"/>
          <w:lang w:val="lt-LT"/>
        </w:rPr>
        <w:tab/>
      </w:r>
      <w:r>
        <w:rPr>
          <w:bCs/>
          <w:szCs w:val="22"/>
          <w:lang w:val="lt-LT"/>
        </w:rPr>
        <w:tab/>
        <w:t>0,314 </w:t>
      </w:r>
    </w:p>
    <w:p w:rsidR="002201C8" w:rsidRDefault="002201C8" w:rsidP="002201C8">
      <w:pPr>
        <w:widowControl w:val="0"/>
        <w:suppressLineNumbers/>
        <w:rPr>
          <w:bCs/>
          <w:szCs w:val="22"/>
          <w:lang w:val="lt-LT"/>
        </w:rPr>
      </w:pPr>
      <w:proofErr w:type="spellStart"/>
      <w:r>
        <w:rPr>
          <w:bCs/>
          <w:szCs w:val="22"/>
          <w:lang w:val="lt-LT"/>
        </w:rPr>
        <w:t>Dinatrio</w:t>
      </w:r>
      <w:proofErr w:type="spellEnd"/>
      <w:r>
        <w:rPr>
          <w:bCs/>
          <w:szCs w:val="22"/>
          <w:lang w:val="lt-LT"/>
        </w:rPr>
        <w:t xml:space="preserve"> fosfatas </w:t>
      </w:r>
      <w:proofErr w:type="spellStart"/>
      <w:r>
        <w:rPr>
          <w:bCs/>
          <w:szCs w:val="22"/>
          <w:lang w:val="lt-LT"/>
        </w:rPr>
        <w:t>dihidratas</w:t>
      </w:r>
      <w:proofErr w:type="spellEnd"/>
      <w:r>
        <w:rPr>
          <w:bCs/>
          <w:szCs w:val="22"/>
          <w:lang w:val="lt-LT"/>
        </w:rPr>
        <w:tab/>
      </w:r>
      <w:r>
        <w:rPr>
          <w:bCs/>
          <w:szCs w:val="22"/>
          <w:lang w:val="lt-LT"/>
        </w:rPr>
        <w:tab/>
        <w:t>0,187 g/l</w:t>
      </w:r>
    </w:p>
    <w:p w:rsidR="002201C8" w:rsidRDefault="002201C8" w:rsidP="002201C8">
      <w:pPr>
        <w:widowControl w:val="0"/>
        <w:suppressLineNumbers/>
        <w:rPr>
          <w:bCs/>
          <w:szCs w:val="22"/>
          <w:lang w:val="lt-LT"/>
        </w:rPr>
      </w:pPr>
    </w:p>
    <w:p w:rsidR="002201C8" w:rsidRDefault="002201C8" w:rsidP="002201C8">
      <w:pPr>
        <w:keepNext/>
        <w:widowControl w:val="0"/>
        <w:suppressLineNumbers/>
        <w:rPr>
          <w:b/>
          <w:lang w:val="lt-LT"/>
        </w:rPr>
      </w:pPr>
      <w:r>
        <w:rPr>
          <w:b/>
          <w:bCs/>
          <w:szCs w:val="22"/>
          <w:lang w:val="lt-LT"/>
        </w:rPr>
        <w:t>Paruošus</w:t>
      </w:r>
    </w:p>
    <w:p w:rsidR="002201C8" w:rsidRDefault="002201C8" w:rsidP="002201C8">
      <w:pPr>
        <w:widowControl w:val="0"/>
        <w:suppressLineNumbers/>
        <w:rPr>
          <w:lang w:val="lt-LT"/>
        </w:rPr>
      </w:pPr>
      <w:r>
        <w:rPr>
          <w:lang w:val="lt-LT"/>
        </w:rPr>
        <w:t>Paruoštas tirpalas, A + B</w:t>
      </w:r>
    </w:p>
    <w:p w:rsidR="002201C8" w:rsidRDefault="002201C8" w:rsidP="002201C8">
      <w:pPr>
        <w:widowControl w:val="0"/>
        <w:suppressLineNumbers/>
        <w:rPr>
          <w:lang w:val="lt-LT"/>
        </w:rPr>
      </w:pPr>
      <w:r>
        <w:rPr>
          <w:bCs/>
          <w:szCs w:val="22"/>
          <w:lang w:val="lt-LT"/>
        </w:rPr>
        <w:t>Veikliosios medžiagos</w:t>
      </w:r>
      <w:r>
        <w:rPr>
          <w:bCs/>
          <w:szCs w:val="22"/>
          <w:lang w:val="lt-LT"/>
        </w:rPr>
        <w:tab/>
      </w:r>
      <w:r>
        <w:rPr>
          <w:bCs/>
          <w:szCs w:val="22"/>
          <w:lang w:val="lt-LT"/>
        </w:rPr>
        <w:tab/>
      </w:r>
      <w:r>
        <w:rPr>
          <w:bCs/>
          <w:szCs w:val="22"/>
          <w:lang w:val="lt-LT"/>
        </w:rPr>
        <w:tab/>
      </w:r>
      <w:proofErr w:type="spellStart"/>
      <w:r>
        <w:rPr>
          <w:lang w:val="lt-LT"/>
        </w:rPr>
        <w:t>mmol</w:t>
      </w:r>
      <w:proofErr w:type="spellEnd"/>
      <w:r>
        <w:rPr>
          <w:lang w:val="lt-LT"/>
        </w:rPr>
        <w:t xml:space="preserve">/l                                       </w:t>
      </w:r>
      <w:proofErr w:type="spellStart"/>
      <w:r>
        <w:rPr>
          <w:lang w:val="lt-LT"/>
        </w:rPr>
        <w:t>mEq</w:t>
      </w:r>
      <w:proofErr w:type="spellEnd"/>
      <w:r>
        <w:rPr>
          <w:lang w:val="lt-LT"/>
        </w:rPr>
        <w:t>/l</w:t>
      </w:r>
    </w:p>
    <w:p w:rsidR="002201C8" w:rsidRDefault="002201C8" w:rsidP="002201C8">
      <w:pPr>
        <w:widowControl w:val="0"/>
        <w:suppressLineNumbers/>
        <w:rPr>
          <w:lang w:val="lt-LT"/>
        </w:rPr>
      </w:pPr>
      <w:r>
        <w:rPr>
          <w:lang w:val="lt-LT"/>
        </w:rPr>
        <w:t>Natris, Na</w:t>
      </w:r>
      <w:r>
        <w:rPr>
          <w:vertAlign w:val="superscript"/>
          <w:lang w:val="lt-LT"/>
        </w:rPr>
        <w:t>+</w:t>
      </w:r>
      <w:r>
        <w:rPr>
          <w:lang w:val="lt-LT"/>
        </w:rPr>
        <w:tab/>
      </w:r>
      <w:r>
        <w:rPr>
          <w:lang w:val="lt-LT"/>
        </w:rPr>
        <w:tab/>
      </w:r>
      <w:r>
        <w:rPr>
          <w:lang w:val="lt-LT"/>
        </w:rPr>
        <w:tab/>
      </w:r>
      <w:r>
        <w:rPr>
          <w:lang w:val="lt-LT"/>
        </w:rPr>
        <w:tab/>
        <w:t>140</w:t>
      </w:r>
      <w:r>
        <w:rPr>
          <w:lang w:val="lt-LT"/>
        </w:rPr>
        <w:tab/>
      </w:r>
      <w:r>
        <w:rPr>
          <w:lang w:val="lt-LT"/>
        </w:rPr>
        <w:tab/>
      </w:r>
      <w:r>
        <w:rPr>
          <w:lang w:val="lt-LT"/>
        </w:rPr>
        <w:tab/>
      </w:r>
      <w:r>
        <w:rPr>
          <w:lang w:val="lt-LT"/>
        </w:rPr>
        <w:tab/>
        <w:t>140 </w:t>
      </w:r>
    </w:p>
    <w:p w:rsidR="002201C8" w:rsidRDefault="002201C8" w:rsidP="002201C8">
      <w:pPr>
        <w:widowControl w:val="0"/>
        <w:suppressLineNumbers/>
        <w:rPr>
          <w:lang w:val="lt-LT"/>
        </w:rPr>
      </w:pPr>
      <w:r>
        <w:rPr>
          <w:lang w:val="lt-LT"/>
        </w:rPr>
        <w:t>Kalis, K</w:t>
      </w:r>
      <w:r>
        <w:rPr>
          <w:vertAlign w:val="superscript"/>
          <w:lang w:val="lt-LT"/>
        </w:rPr>
        <w:t>+</w:t>
      </w:r>
      <w:r>
        <w:rPr>
          <w:lang w:val="lt-LT"/>
        </w:rPr>
        <w:tab/>
      </w:r>
      <w:r>
        <w:rPr>
          <w:lang w:val="lt-LT"/>
        </w:rPr>
        <w:tab/>
      </w:r>
      <w:r>
        <w:rPr>
          <w:lang w:val="lt-LT"/>
        </w:rPr>
        <w:tab/>
        <w:t xml:space="preserve">   </w:t>
      </w:r>
      <w:r>
        <w:rPr>
          <w:lang w:val="lt-LT"/>
        </w:rPr>
        <w:tab/>
        <w:t xml:space="preserve">  4 </w:t>
      </w:r>
      <w:r>
        <w:rPr>
          <w:lang w:val="lt-LT"/>
        </w:rPr>
        <w:tab/>
      </w:r>
      <w:r>
        <w:rPr>
          <w:lang w:val="lt-LT"/>
        </w:rPr>
        <w:tab/>
      </w:r>
      <w:r>
        <w:rPr>
          <w:lang w:val="lt-LT"/>
        </w:rPr>
        <w:tab/>
      </w:r>
      <w:r>
        <w:rPr>
          <w:lang w:val="lt-LT"/>
        </w:rPr>
        <w:tab/>
        <w:t xml:space="preserve">  4 </w:t>
      </w:r>
    </w:p>
    <w:p w:rsidR="002201C8" w:rsidRDefault="002201C8" w:rsidP="002201C8">
      <w:pPr>
        <w:widowControl w:val="0"/>
        <w:suppressLineNumbers/>
        <w:rPr>
          <w:lang w:val="lt-LT"/>
        </w:rPr>
      </w:pPr>
      <w:r>
        <w:rPr>
          <w:lang w:val="lt-LT"/>
        </w:rPr>
        <w:t>Magnis, Mg</w:t>
      </w:r>
      <w:r>
        <w:rPr>
          <w:vertAlign w:val="superscript"/>
          <w:lang w:val="lt-LT"/>
        </w:rPr>
        <w:t>2+</w:t>
      </w:r>
      <w:r>
        <w:rPr>
          <w:lang w:val="lt-LT"/>
        </w:rPr>
        <w:tab/>
      </w:r>
      <w:r>
        <w:rPr>
          <w:lang w:val="lt-LT"/>
        </w:rPr>
        <w:tab/>
      </w:r>
      <w:r>
        <w:rPr>
          <w:lang w:val="lt-LT"/>
        </w:rPr>
        <w:tab/>
        <w:t xml:space="preserve">   </w:t>
      </w:r>
      <w:r>
        <w:rPr>
          <w:lang w:val="lt-LT"/>
        </w:rPr>
        <w:tab/>
        <w:t>0,75 </w:t>
      </w:r>
      <w:r>
        <w:rPr>
          <w:lang w:val="lt-LT"/>
        </w:rPr>
        <w:tab/>
      </w:r>
      <w:r>
        <w:rPr>
          <w:lang w:val="lt-LT"/>
        </w:rPr>
        <w:tab/>
        <w:t xml:space="preserve">    </w:t>
      </w:r>
      <w:r>
        <w:rPr>
          <w:lang w:val="lt-LT"/>
        </w:rPr>
        <w:tab/>
      </w:r>
      <w:r>
        <w:rPr>
          <w:lang w:val="lt-LT"/>
        </w:rPr>
        <w:tab/>
      </w:r>
      <w:r>
        <w:rPr>
          <w:bCs/>
          <w:szCs w:val="22"/>
          <w:lang w:val="lt-LT"/>
        </w:rPr>
        <w:t>1,5 </w:t>
      </w:r>
      <w:r>
        <w:rPr>
          <w:lang w:val="lt-LT"/>
        </w:rPr>
        <w:tab/>
      </w:r>
    </w:p>
    <w:p w:rsidR="002201C8" w:rsidRDefault="002201C8" w:rsidP="002201C8">
      <w:pPr>
        <w:widowControl w:val="0"/>
        <w:suppressLineNumbers/>
        <w:rPr>
          <w:lang w:val="lt-LT"/>
        </w:rPr>
      </w:pPr>
      <w:r>
        <w:rPr>
          <w:lang w:val="lt-LT"/>
        </w:rPr>
        <w:t>Chloridas, Cl</w:t>
      </w:r>
      <w:r>
        <w:rPr>
          <w:vertAlign w:val="superscript"/>
          <w:lang w:val="lt-LT"/>
        </w:rPr>
        <w:t>-</w:t>
      </w:r>
      <w:r>
        <w:rPr>
          <w:lang w:val="lt-LT"/>
        </w:rPr>
        <w:tab/>
      </w:r>
      <w:r>
        <w:rPr>
          <w:lang w:val="lt-LT"/>
        </w:rPr>
        <w:tab/>
      </w:r>
      <w:r>
        <w:rPr>
          <w:lang w:val="lt-LT"/>
        </w:rPr>
        <w:tab/>
      </w:r>
      <w:r>
        <w:rPr>
          <w:lang w:val="lt-LT"/>
        </w:rPr>
        <w:tab/>
        <w:t>122 </w:t>
      </w:r>
      <w:r>
        <w:rPr>
          <w:lang w:val="lt-LT"/>
        </w:rPr>
        <w:tab/>
      </w:r>
      <w:r>
        <w:rPr>
          <w:lang w:val="lt-LT"/>
        </w:rPr>
        <w:tab/>
      </w:r>
      <w:r>
        <w:rPr>
          <w:lang w:val="lt-LT"/>
        </w:rPr>
        <w:tab/>
      </w:r>
      <w:r>
        <w:rPr>
          <w:lang w:val="lt-LT"/>
        </w:rPr>
        <w:tab/>
      </w:r>
      <w:r>
        <w:rPr>
          <w:bCs/>
          <w:szCs w:val="22"/>
          <w:lang w:val="lt-LT"/>
        </w:rPr>
        <w:t>122 </w:t>
      </w:r>
      <w:r>
        <w:rPr>
          <w:lang w:val="lt-LT"/>
        </w:rPr>
        <w:tab/>
      </w:r>
    </w:p>
    <w:p w:rsidR="002201C8" w:rsidRDefault="002201C8" w:rsidP="002201C8">
      <w:pPr>
        <w:widowControl w:val="0"/>
        <w:suppressLineNumbers/>
        <w:rPr>
          <w:lang w:val="lt-LT"/>
        </w:rPr>
      </w:pPr>
      <w:r>
        <w:rPr>
          <w:lang w:val="lt-LT"/>
        </w:rPr>
        <w:t>Vandenilio fosfatas, HPO</w:t>
      </w:r>
      <w:r>
        <w:rPr>
          <w:vertAlign w:val="subscript"/>
          <w:lang w:val="lt-LT"/>
        </w:rPr>
        <w:t>4</w:t>
      </w:r>
      <w:r>
        <w:rPr>
          <w:vertAlign w:val="superscript"/>
          <w:lang w:val="lt-LT"/>
        </w:rPr>
        <w:t>2-</w:t>
      </w:r>
      <w:r>
        <w:rPr>
          <w:lang w:val="lt-LT"/>
        </w:rPr>
        <w:tab/>
      </w:r>
      <w:r>
        <w:rPr>
          <w:lang w:val="lt-LT"/>
        </w:rPr>
        <w:tab/>
        <w:t xml:space="preserve">   1 </w:t>
      </w:r>
      <w:r>
        <w:rPr>
          <w:lang w:val="lt-LT"/>
        </w:rPr>
        <w:tab/>
      </w:r>
      <w:r>
        <w:rPr>
          <w:lang w:val="lt-LT"/>
        </w:rPr>
        <w:tab/>
        <w:t xml:space="preserve">   </w:t>
      </w:r>
      <w:r>
        <w:rPr>
          <w:lang w:val="lt-LT"/>
        </w:rPr>
        <w:tab/>
      </w:r>
      <w:r>
        <w:rPr>
          <w:lang w:val="lt-LT"/>
        </w:rPr>
        <w:tab/>
        <w:t xml:space="preserve"> 2 </w:t>
      </w:r>
    </w:p>
    <w:p w:rsidR="002201C8" w:rsidRDefault="002201C8" w:rsidP="002201C8">
      <w:pPr>
        <w:widowControl w:val="0"/>
        <w:suppressLineNumbers/>
        <w:rPr>
          <w:lang w:val="lt-LT"/>
        </w:rPr>
      </w:pPr>
      <w:r>
        <w:rPr>
          <w:lang w:val="lt-LT"/>
        </w:rPr>
        <w:t>Vandenilio karbonatas, HCO</w:t>
      </w:r>
      <w:r>
        <w:rPr>
          <w:vertAlign w:val="subscript"/>
          <w:lang w:val="lt-LT"/>
        </w:rPr>
        <w:t>3</w:t>
      </w:r>
      <w:r>
        <w:rPr>
          <w:vertAlign w:val="superscript"/>
          <w:lang w:val="lt-LT"/>
        </w:rPr>
        <w:t>-</w:t>
      </w:r>
      <w:r>
        <w:rPr>
          <w:lang w:val="lt-LT"/>
        </w:rPr>
        <w:tab/>
      </w:r>
      <w:r>
        <w:rPr>
          <w:lang w:val="lt-LT"/>
        </w:rPr>
        <w:tab/>
        <w:t xml:space="preserve"> 22 </w:t>
      </w:r>
      <w:r>
        <w:rPr>
          <w:lang w:val="lt-LT"/>
        </w:rPr>
        <w:tab/>
      </w:r>
      <w:r>
        <w:rPr>
          <w:lang w:val="lt-LT"/>
        </w:rPr>
        <w:tab/>
        <w:t xml:space="preserve">  </w:t>
      </w:r>
      <w:r>
        <w:rPr>
          <w:lang w:val="lt-LT"/>
        </w:rPr>
        <w:tab/>
      </w:r>
      <w:r>
        <w:rPr>
          <w:lang w:val="lt-LT"/>
        </w:rPr>
        <w:tab/>
        <w:t>22 </w:t>
      </w:r>
    </w:p>
    <w:p w:rsidR="002201C8" w:rsidRDefault="002201C8" w:rsidP="002201C8">
      <w:pPr>
        <w:numPr>
          <w:ilvl w:val="12"/>
          <w:numId w:val="0"/>
        </w:numPr>
        <w:tabs>
          <w:tab w:val="clear" w:pos="567"/>
          <w:tab w:val="left" w:pos="720"/>
        </w:tabs>
        <w:spacing w:after="60" w:line="240" w:lineRule="auto"/>
        <w:rPr>
          <w:lang w:val="lt-LT"/>
        </w:rPr>
      </w:pPr>
    </w:p>
    <w:p w:rsidR="002201C8" w:rsidRDefault="002201C8" w:rsidP="002201C8">
      <w:pPr>
        <w:widowControl w:val="0"/>
        <w:suppressLineNumbers/>
        <w:rPr>
          <w:lang w:val="lt-LT"/>
        </w:rPr>
      </w:pPr>
      <w:r>
        <w:rPr>
          <w:lang w:val="lt-LT"/>
        </w:rPr>
        <w:t xml:space="preserve">Teorinis </w:t>
      </w:r>
      <w:proofErr w:type="spellStart"/>
      <w:r>
        <w:rPr>
          <w:lang w:val="lt-LT"/>
        </w:rPr>
        <w:t>osmoliariškumas</w:t>
      </w:r>
      <w:proofErr w:type="spellEnd"/>
      <w:r>
        <w:rPr>
          <w:lang w:val="lt-LT"/>
        </w:rPr>
        <w:t>: 290 </w:t>
      </w:r>
      <w:proofErr w:type="spellStart"/>
      <w:r>
        <w:rPr>
          <w:lang w:val="lt-LT"/>
        </w:rPr>
        <w:t>mOsm</w:t>
      </w:r>
      <w:proofErr w:type="spellEnd"/>
      <w:r>
        <w:rPr>
          <w:lang w:val="lt-LT"/>
        </w:rPr>
        <w:t>/l</w:t>
      </w:r>
    </w:p>
    <w:p w:rsidR="002201C8" w:rsidRDefault="002201C8" w:rsidP="002201C8">
      <w:pPr>
        <w:widowControl w:val="0"/>
        <w:suppressLineNumbers/>
        <w:rPr>
          <w:lang w:val="lt-LT"/>
        </w:rPr>
      </w:pPr>
      <w:r>
        <w:rPr>
          <w:bCs/>
          <w:szCs w:val="22"/>
          <w:lang w:val="lt-LT"/>
        </w:rPr>
        <w:t>pH = 7,0–8,0</w:t>
      </w:r>
    </w:p>
    <w:p w:rsidR="002201C8" w:rsidRDefault="002201C8" w:rsidP="002201C8">
      <w:pPr>
        <w:numPr>
          <w:ilvl w:val="12"/>
          <w:numId w:val="0"/>
        </w:numPr>
        <w:tabs>
          <w:tab w:val="clear" w:pos="567"/>
          <w:tab w:val="left" w:pos="720"/>
        </w:tabs>
        <w:spacing w:line="240" w:lineRule="auto"/>
        <w:rPr>
          <w:lang w:val="lt-LT"/>
        </w:rPr>
      </w:pPr>
    </w:p>
    <w:p w:rsidR="002201C8" w:rsidRDefault="002201C8" w:rsidP="002201C8">
      <w:pPr>
        <w:tabs>
          <w:tab w:val="clear" w:pos="567"/>
          <w:tab w:val="left" w:pos="720"/>
        </w:tabs>
        <w:autoSpaceDE w:val="0"/>
        <w:autoSpaceDN w:val="0"/>
        <w:adjustRightInd w:val="0"/>
        <w:spacing w:line="240" w:lineRule="auto"/>
        <w:rPr>
          <w:lang w:val="lt-LT"/>
        </w:rPr>
      </w:pPr>
      <w:r>
        <w:rPr>
          <w:lang w:val="lt-LT"/>
        </w:rPr>
        <w:t>Pagalbinės medžiagos</w:t>
      </w:r>
    </w:p>
    <w:p w:rsidR="002201C8" w:rsidRDefault="002201C8" w:rsidP="002201C8">
      <w:pPr>
        <w:tabs>
          <w:tab w:val="clear" w:pos="567"/>
          <w:tab w:val="left" w:pos="720"/>
        </w:tabs>
        <w:autoSpaceDE w:val="0"/>
        <w:autoSpaceDN w:val="0"/>
        <w:adjustRightInd w:val="0"/>
        <w:spacing w:line="240" w:lineRule="auto"/>
        <w:rPr>
          <w:lang w:val="lt-LT"/>
        </w:rPr>
      </w:pPr>
      <w:r>
        <w:rPr>
          <w:lang w:val="lt-LT"/>
        </w:rPr>
        <w:t>Praskiesta vandenilio chlorido rūgštis (pH reguliuoti) E 507</w:t>
      </w:r>
    </w:p>
    <w:p w:rsidR="002201C8" w:rsidRDefault="002201C8" w:rsidP="002201C8">
      <w:pPr>
        <w:tabs>
          <w:tab w:val="clear" w:pos="567"/>
          <w:tab w:val="left" w:pos="720"/>
        </w:tabs>
        <w:autoSpaceDE w:val="0"/>
        <w:autoSpaceDN w:val="0"/>
        <w:adjustRightInd w:val="0"/>
        <w:spacing w:line="240" w:lineRule="auto"/>
        <w:rPr>
          <w:lang w:val="lt-LT"/>
        </w:rPr>
      </w:pPr>
      <w:r>
        <w:rPr>
          <w:lang w:val="lt-LT"/>
        </w:rPr>
        <w:t>Injekcinis vanduo</w:t>
      </w:r>
    </w:p>
    <w:p w:rsidR="002201C8" w:rsidRDefault="002201C8" w:rsidP="002201C8">
      <w:pPr>
        <w:tabs>
          <w:tab w:val="clear" w:pos="567"/>
          <w:tab w:val="left" w:pos="720"/>
        </w:tabs>
        <w:autoSpaceDE w:val="0"/>
        <w:autoSpaceDN w:val="0"/>
        <w:adjustRightInd w:val="0"/>
        <w:spacing w:line="240" w:lineRule="auto"/>
        <w:rPr>
          <w:lang w:val="lt-LT"/>
        </w:rPr>
      </w:pPr>
      <w:r>
        <w:rPr>
          <w:lang w:val="lt-LT"/>
        </w:rPr>
        <w:t>Anglies dioksidas (pH reguliuoti) E 290</w:t>
      </w:r>
    </w:p>
    <w:p w:rsidR="002201C8" w:rsidRDefault="002201C8" w:rsidP="002201C8">
      <w:pPr>
        <w:numPr>
          <w:ilvl w:val="12"/>
          <w:numId w:val="0"/>
        </w:numPr>
        <w:tabs>
          <w:tab w:val="clear" w:pos="567"/>
          <w:tab w:val="left" w:pos="720"/>
        </w:tabs>
        <w:spacing w:line="240" w:lineRule="auto"/>
        <w:ind w:left="567" w:right="-2" w:hanging="567"/>
        <w:rPr>
          <w:b/>
          <w:lang w:val="lt-LT"/>
        </w:rPr>
      </w:pPr>
    </w:p>
    <w:p w:rsidR="002201C8" w:rsidRDefault="002201C8" w:rsidP="002201C8">
      <w:pPr>
        <w:numPr>
          <w:ilvl w:val="12"/>
          <w:numId w:val="0"/>
        </w:numPr>
        <w:tabs>
          <w:tab w:val="clear" w:pos="567"/>
          <w:tab w:val="left" w:pos="720"/>
        </w:tabs>
        <w:spacing w:line="240" w:lineRule="auto"/>
        <w:ind w:right="-2"/>
        <w:rPr>
          <w:b/>
          <w:lang w:val="lt-LT"/>
        </w:rPr>
      </w:pPr>
      <w:proofErr w:type="spellStart"/>
      <w:r>
        <w:rPr>
          <w:b/>
          <w:lang w:val="lt-LT"/>
        </w:rPr>
        <w:t>Biphozyl</w:t>
      </w:r>
      <w:proofErr w:type="spellEnd"/>
      <w:r>
        <w:rPr>
          <w:b/>
          <w:lang w:val="lt-LT"/>
        </w:rPr>
        <w:t xml:space="preserve"> išvaizda ir kiekis pakuotėje</w:t>
      </w:r>
    </w:p>
    <w:p w:rsidR="002201C8" w:rsidRDefault="002201C8" w:rsidP="002201C8">
      <w:pPr>
        <w:numPr>
          <w:ilvl w:val="12"/>
          <w:numId w:val="0"/>
        </w:numPr>
        <w:tabs>
          <w:tab w:val="clear" w:pos="567"/>
          <w:tab w:val="left" w:pos="720"/>
        </w:tabs>
        <w:spacing w:line="240" w:lineRule="auto"/>
        <w:rPr>
          <w:szCs w:val="22"/>
          <w:lang w:val="lt-LT"/>
        </w:rPr>
      </w:pPr>
      <w:r>
        <w:rPr>
          <w:lang w:val="lt-LT"/>
        </w:rPr>
        <w:t xml:space="preserve">Šis vaistas – tai hemodializės ar </w:t>
      </w:r>
      <w:proofErr w:type="spellStart"/>
      <w:r>
        <w:rPr>
          <w:lang w:val="lt-LT"/>
        </w:rPr>
        <w:t>hemofiltracijos</w:t>
      </w:r>
      <w:proofErr w:type="spellEnd"/>
      <w:r>
        <w:rPr>
          <w:lang w:val="lt-LT"/>
        </w:rPr>
        <w:t xml:space="preserve"> tirpalas. Jis tiekiamas dviejų skyrių maišelyje, pagamintame iš daugiasluoksnės plėvelės, kurios sudėtyje yra </w:t>
      </w:r>
      <w:proofErr w:type="spellStart"/>
      <w:r>
        <w:rPr>
          <w:lang w:val="lt-LT"/>
        </w:rPr>
        <w:t>poliolefinų</w:t>
      </w:r>
      <w:proofErr w:type="spellEnd"/>
      <w:r>
        <w:rPr>
          <w:lang w:val="lt-LT"/>
        </w:rPr>
        <w:t xml:space="preserve"> ir </w:t>
      </w:r>
      <w:proofErr w:type="spellStart"/>
      <w:r>
        <w:rPr>
          <w:lang w:val="lt-LT"/>
        </w:rPr>
        <w:t>elastomerų</w:t>
      </w:r>
      <w:proofErr w:type="spellEnd"/>
      <w:r>
        <w:rPr>
          <w:lang w:val="lt-LT"/>
        </w:rPr>
        <w:t xml:space="preserve">. Galutinis tirpalas paruošiamas atidarius perplėšiamąjį </w:t>
      </w:r>
      <w:proofErr w:type="spellStart"/>
      <w:r>
        <w:rPr>
          <w:lang w:val="lt-LT"/>
        </w:rPr>
        <w:t>sandariklį</w:t>
      </w:r>
      <w:proofErr w:type="spellEnd"/>
      <w:r>
        <w:rPr>
          <w:lang w:val="lt-LT"/>
        </w:rPr>
        <w:t xml:space="preserve"> ir sumaišius tirpalus, esančius mažajame ir didžiajame skyriuose. Tirpalas yra skaidrus ir bespalvis. </w:t>
      </w:r>
    </w:p>
    <w:p w:rsidR="002201C8" w:rsidRDefault="002201C8" w:rsidP="002201C8">
      <w:pPr>
        <w:numPr>
          <w:ilvl w:val="12"/>
          <w:numId w:val="0"/>
        </w:numPr>
        <w:tabs>
          <w:tab w:val="clear" w:pos="567"/>
          <w:tab w:val="left" w:pos="720"/>
        </w:tabs>
        <w:spacing w:line="240" w:lineRule="auto"/>
        <w:rPr>
          <w:szCs w:val="22"/>
          <w:lang w:val="lt-LT"/>
        </w:rPr>
      </w:pPr>
      <w:r>
        <w:rPr>
          <w:szCs w:val="22"/>
          <w:lang w:val="lt-LT"/>
        </w:rPr>
        <w:t xml:space="preserve">Kiekviename maišelyje yra 5000 ml tirpalo, maišeliai suvynioti į permatomą apsauginę plėvelę. </w:t>
      </w:r>
    </w:p>
    <w:p w:rsidR="002201C8" w:rsidRDefault="002201C8" w:rsidP="002201C8">
      <w:pPr>
        <w:numPr>
          <w:ilvl w:val="12"/>
          <w:numId w:val="0"/>
        </w:numPr>
        <w:tabs>
          <w:tab w:val="clear" w:pos="567"/>
          <w:tab w:val="left" w:pos="720"/>
        </w:tabs>
        <w:spacing w:line="240" w:lineRule="auto"/>
        <w:rPr>
          <w:szCs w:val="22"/>
          <w:lang w:val="lt-LT"/>
        </w:rPr>
      </w:pPr>
      <w:r>
        <w:rPr>
          <w:szCs w:val="22"/>
          <w:lang w:val="lt-LT"/>
        </w:rPr>
        <w:t>Kiekvienoje dėžutėje yra du maišeliai ir vienas pakuotės lapelis.</w:t>
      </w:r>
    </w:p>
    <w:p w:rsidR="002201C8" w:rsidRDefault="002201C8" w:rsidP="002201C8">
      <w:pPr>
        <w:numPr>
          <w:ilvl w:val="12"/>
          <w:numId w:val="0"/>
        </w:numPr>
        <w:tabs>
          <w:tab w:val="clear" w:pos="567"/>
          <w:tab w:val="left" w:pos="720"/>
        </w:tabs>
        <w:spacing w:line="240" w:lineRule="auto"/>
        <w:rPr>
          <w:szCs w:val="22"/>
          <w:lang w:val="lt-LT"/>
        </w:rPr>
      </w:pPr>
    </w:p>
    <w:p w:rsidR="002201C8" w:rsidRDefault="002201C8" w:rsidP="002201C8">
      <w:pPr>
        <w:numPr>
          <w:ilvl w:val="12"/>
          <w:numId w:val="0"/>
        </w:numPr>
        <w:tabs>
          <w:tab w:val="clear" w:pos="567"/>
          <w:tab w:val="left" w:pos="720"/>
        </w:tabs>
        <w:spacing w:line="240" w:lineRule="auto"/>
        <w:ind w:right="-2"/>
        <w:rPr>
          <w:b/>
          <w:bCs/>
          <w:szCs w:val="22"/>
          <w:lang w:val="lt-LT"/>
        </w:rPr>
      </w:pPr>
      <w:r>
        <w:rPr>
          <w:b/>
          <w:bCs/>
          <w:szCs w:val="22"/>
          <w:lang w:val="lt-LT"/>
        </w:rPr>
        <w:t>Registruotojas ir gamintojas</w:t>
      </w:r>
    </w:p>
    <w:p w:rsidR="002201C8" w:rsidRDefault="002201C8" w:rsidP="002201C8">
      <w:pPr>
        <w:numPr>
          <w:ilvl w:val="12"/>
          <w:numId w:val="0"/>
        </w:numPr>
        <w:tabs>
          <w:tab w:val="clear" w:pos="567"/>
          <w:tab w:val="left" w:pos="720"/>
        </w:tabs>
        <w:spacing w:line="240" w:lineRule="auto"/>
        <w:ind w:right="-2"/>
        <w:rPr>
          <w:lang w:val="lt-LT"/>
        </w:rPr>
      </w:pPr>
    </w:p>
    <w:p w:rsidR="002201C8" w:rsidRDefault="002201C8" w:rsidP="002201C8">
      <w:pPr>
        <w:numPr>
          <w:ilvl w:val="12"/>
          <w:numId w:val="0"/>
        </w:numPr>
        <w:tabs>
          <w:tab w:val="clear" w:pos="567"/>
          <w:tab w:val="left" w:pos="720"/>
        </w:tabs>
        <w:spacing w:line="240" w:lineRule="auto"/>
        <w:ind w:right="-2"/>
        <w:rPr>
          <w:i/>
          <w:lang w:val="lt-LT"/>
        </w:rPr>
      </w:pPr>
      <w:r>
        <w:rPr>
          <w:i/>
          <w:lang w:val="lt-LT"/>
        </w:rPr>
        <w:t>Registruotojas</w:t>
      </w:r>
    </w:p>
    <w:p w:rsidR="002201C8" w:rsidRPr="00C1432D" w:rsidRDefault="002201C8" w:rsidP="002201C8">
      <w:pPr>
        <w:numPr>
          <w:ilvl w:val="12"/>
          <w:numId w:val="0"/>
        </w:numPr>
        <w:tabs>
          <w:tab w:val="clear" w:pos="567"/>
          <w:tab w:val="left" w:pos="720"/>
        </w:tabs>
        <w:spacing w:line="240" w:lineRule="auto"/>
        <w:ind w:right="-2"/>
        <w:rPr>
          <w:szCs w:val="22"/>
        </w:rPr>
      </w:pPr>
      <w:proofErr w:type="spellStart"/>
      <w:r w:rsidRPr="00C1432D">
        <w:rPr>
          <w:szCs w:val="22"/>
        </w:rPr>
        <w:t>Vantive</w:t>
      </w:r>
      <w:proofErr w:type="spellEnd"/>
      <w:r w:rsidRPr="00C1432D">
        <w:rPr>
          <w:szCs w:val="22"/>
        </w:rPr>
        <w:t xml:space="preserve"> Belgium SRL</w:t>
      </w:r>
    </w:p>
    <w:p w:rsidR="002201C8" w:rsidRPr="00C1432D" w:rsidRDefault="002201C8" w:rsidP="002201C8">
      <w:pPr>
        <w:numPr>
          <w:ilvl w:val="12"/>
          <w:numId w:val="0"/>
        </w:numPr>
        <w:tabs>
          <w:tab w:val="clear" w:pos="567"/>
          <w:tab w:val="left" w:pos="720"/>
        </w:tabs>
        <w:spacing w:line="240" w:lineRule="auto"/>
        <w:ind w:right="-2"/>
        <w:rPr>
          <w:szCs w:val="22"/>
        </w:rPr>
      </w:pPr>
      <w:r w:rsidRPr="00C1432D">
        <w:rPr>
          <w:szCs w:val="22"/>
        </w:rPr>
        <w:t xml:space="preserve">Boulevard </w:t>
      </w:r>
      <w:proofErr w:type="spellStart"/>
      <w:r w:rsidRPr="00C1432D">
        <w:rPr>
          <w:szCs w:val="22"/>
        </w:rPr>
        <w:t>d'Angleterre</w:t>
      </w:r>
      <w:proofErr w:type="spellEnd"/>
      <w:r w:rsidRPr="00C1432D">
        <w:rPr>
          <w:szCs w:val="22"/>
        </w:rPr>
        <w:t xml:space="preserve"> 2</w:t>
      </w:r>
    </w:p>
    <w:p w:rsidR="002201C8" w:rsidRPr="00C1432D" w:rsidRDefault="002201C8" w:rsidP="002201C8">
      <w:pPr>
        <w:numPr>
          <w:ilvl w:val="12"/>
          <w:numId w:val="0"/>
        </w:numPr>
        <w:tabs>
          <w:tab w:val="clear" w:pos="567"/>
          <w:tab w:val="left" w:pos="720"/>
        </w:tabs>
        <w:spacing w:line="240" w:lineRule="auto"/>
        <w:ind w:right="-2"/>
        <w:rPr>
          <w:szCs w:val="22"/>
        </w:rPr>
      </w:pPr>
      <w:r w:rsidRPr="00C1432D">
        <w:rPr>
          <w:szCs w:val="22"/>
        </w:rPr>
        <w:t>1420 Braine-</w:t>
      </w:r>
      <w:proofErr w:type="spellStart"/>
      <w:r w:rsidRPr="00C1432D">
        <w:rPr>
          <w:szCs w:val="22"/>
        </w:rPr>
        <w:t>l'Alleud</w:t>
      </w:r>
      <w:proofErr w:type="spellEnd"/>
    </w:p>
    <w:p w:rsidR="002201C8" w:rsidRPr="003D2B8A" w:rsidRDefault="002201C8" w:rsidP="002201C8">
      <w:pPr>
        <w:rPr>
          <w:szCs w:val="22"/>
        </w:rPr>
      </w:pPr>
      <w:proofErr w:type="spellStart"/>
      <w:r w:rsidRPr="00C1432D">
        <w:rPr>
          <w:szCs w:val="22"/>
        </w:rPr>
        <w:t>Belgija</w:t>
      </w:r>
      <w:proofErr w:type="spellEnd"/>
    </w:p>
    <w:p w:rsidR="002201C8" w:rsidRDefault="002201C8" w:rsidP="002201C8">
      <w:pPr>
        <w:numPr>
          <w:ilvl w:val="12"/>
          <w:numId w:val="0"/>
        </w:numPr>
        <w:tabs>
          <w:tab w:val="clear" w:pos="567"/>
          <w:tab w:val="left" w:pos="720"/>
        </w:tabs>
        <w:spacing w:line="240" w:lineRule="auto"/>
        <w:ind w:right="-2"/>
        <w:rPr>
          <w:lang w:val="lt-LT"/>
        </w:rPr>
      </w:pPr>
    </w:p>
    <w:p w:rsidR="002201C8" w:rsidRDefault="002201C8" w:rsidP="002201C8">
      <w:pPr>
        <w:numPr>
          <w:ilvl w:val="12"/>
          <w:numId w:val="0"/>
        </w:numPr>
        <w:tabs>
          <w:tab w:val="clear" w:pos="567"/>
          <w:tab w:val="left" w:pos="720"/>
        </w:tabs>
        <w:spacing w:line="240" w:lineRule="auto"/>
        <w:ind w:right="-2"/>
        <w:rPr>
          <w:i/>
          <w:lang w:val="lt-LT"/>
        </w:rPr>
      </w:pPr>
      <w:r>
        <w:rPr>
          <w:bCs/>
          <w:i/>
          <w:szCs w:val="22"/>
          <w:lang w:val="lt-LT"/>
        </w:rPr>
        <w:t>Gamintojas</w:t>
      </w:r>
    </w:p>
    <w:p w:rsidR="002201C8" w:rsidRDefault="002201C8" w:rsidP="002201C8">
      <w:pPr>
        <w:autoSpaceDE w:val="0"/>
        <w:autoSpaceDN w:val="0"/>
        <w:adjustRightInd w:val="0"/>
        <w:rPr>
          <w:lang w:val="lt-LT"/>
        </w:rPr>
      </w:pPr>
      <w:proofErr w:type="spellStart"/>
      <w:r>
        <w:rPr>
          <w:lang w:val="lt-LT"/>
        </w:rPr>
        <w:t>Bieffe</w:t>
      </w:r>
      <w:proofErr w:type="spellEnd"/>
      <w:r>
        <w:rPr>
          <w:lang w:val="lt-LT"/>
        </w:rPr>
        <w:t xml:space="preserve"> </w:t>
      </w:r>
      <w:proofErr w:type="spellStart"/>
      <w:r>
        <w:rPr>
          <w:lang w:val="lt-LT"/>
        </w:rPr>
        <w:t>Medital</w:t>
      </w:r>
      <w:proofErr w:type="spellEnd"/>
      <w:r>
        <w:rPr>
          <w:lang w:val="lt-LT"/>
        </w:rPr>
        <w:t xml:space="preserve"> </w:t>
      </w:r>
      <w:proofErr w:type="spellStart"/>
      <w:r>
        <w:rPr>
          <w:lang w:val="lt-LT"/>
        </w:rPr>
        <w:t>SpA</w:t>
      </w:r>
      <w:proofErr w:type="spellEnd"/>
      <w:r>
        <w:rPr>
          <w:lang w:val="lt-LT"/>
        </w:rPr>
        <w:t xml:space="preserve">. </w:t>
      </w:r>
    </w:p>
    <w:p w:rsidR="002201C8" w:rsidRDefault="002201C8" w:rsidP="002201C8">
      <w:pPr>
        <w:autoSpaceDE w:val="0"/>
        <w:autoSpaceDN w:val="0"/>
        <w:adjustRightInd w:val="0"/>
        <w:rPr>
          <w:lang w:val="lt-LT"/>
        </w:rPr>
      </w:pPr>
      <w:r>
        <w:rPr>
          <w:lang w:val="lt-LT"/>
        </w:rPr>
        <w:t xml:space="preserve">Via </w:t>
      </w:r>
      <w:proofErr w:type="spellStart"/>
      <w:r>
        <w:rPr>
          <w:lang w:val="lt-LT"/>
        </w:rPr>
        <w:t>Stelvio</w:t>
      </w:r>
      <w:proofErr w:type="spellEnd"/>
      <w:r>
        <w:rPr>
          <w:lang w:val="lt-LT"/>
        </w:rPr>
        <w:t>, 94</w:t>
      </w:r>
    </w:p>
    <w:p w:rsidR="002201C8" w:rsidRDefault="002201C8" w:rsidP="002201C8">
      <w:pPr>
        <w:autoSpaceDE w:val="0"/>
        <w:autoSpaceDN w:val="0"/>
        <w:adjustRightInd w:val="0"/>
        <w:rPr>
          <w:lang w:val="lt-LT"/>
        </w:rPr>
      </w:pPr>
      <w:r>
        <w:rPr>
          <w:lang w:val="lt-LT"/>
        </w:rPr>
        <w:t xml:space="preserve">23035 </w:t>
      </w:r>
      <w:proofErr w:type="spellStart"/>
      <w:r>
        <w:rPr>
          <w:lang w:val="lt-LT"/>
        </w:rPr>
        <w:t>Sondalo</w:t>
      </w:r>
      <w:proofErr w:type="spellEnd"/>
      <w:r>
        <w:rPr>
          <w:lang w:val="lt-LT"/>
        </w:rPr>
        <w:t xml:space="preserve"> (SO)</w:t>
      </w:r>
    </w:p>
    <w:p w:rsidR="002201C8" w:rsidRDefault="002201C8" w:rsidP="002201C8">
      <w:pPr>
        <w:autoSpaceDE w:val="0"/>
        <w:autoSpaceDN w:val="0"/>
        <w:adjustRightInd w:val="0"/>
        <w:rPr>
          <w:lang w:val="lt-LT"/>
        </w:rPr>
      </w:pPr>
      <w:r>
        <w:rPr>
          <w:lang w:val="lt-LT"/>
        </w:rPr>
        <w:t>Italija</w:t>
      </w:r>
    </w:p>
    <w:p w:rsidR="002201C8" w:rsidRDefault="002201C8" w:rsidP="002201C8">
      <w:pPr>
        <w:numPr>
          <w:ilvl w:val="12"/>
          <w:numId w:val="0"/>
        </w:numPr>
        <w:tabs>
          <w:tab w:val="clear" w:pos="567"/>
          <w:tab w:val="left" w:pos="720"/>
        </w:tabs>
        <w:spacing w:line="240" w:lineRule="auto"/>
        <w:ind w:right="-2"/>
        <w:rPr>
          <w:lang w:val="lt-LT"/>
        </w:rPr>
      </w:pPr>
    </w:p>
    <w:p w:rsidR="002201C8" w:rsidRDefault="002201C8" w:rsidP="002201C8">
      <w:pPr>
        <w:numPr>
          <w:ilvl w:val="12"/>
          <w:numId w:val="0"/>
        </w:numPr>
        <w:snapToGrid/>
        <w:spacing w:line="240" w:lineRule="auto"/>
        <w:ind w:right="-2"/>
        <w:rPr>
          <w:bCs/>
          <w:lang w:val="lt-LT" w:eastAsia="lt-LT"/>
        </w:rPr>
      </w:pPr>
    </w:p>
    <w:p w:rsidR="002201C8" w:rsidRPr="00821F92" w:rsidRDefault="002201C8" w:rsidP="002201C8">
      <w:pPr>
        <w:numPr>
          <w:ilvl w:val="12"/>
          <w:numId w:val="0"/>
        </w:numPr>
        <w:snapToGrid/>
        <w:spacing w:line="240" w:lineRule="auto"/>
        <w:ind w:right="-2"/>
        <w:rPr>
          <w:b/>
          <w:bCs/>
          <w:lang w:eastAsia="lt-LT"/>
        </w:rPr>
      </w:pPr>
      <w:proofErr w:type="spellStart"/>
      <w:r w:rsidRPr="00821F92">
        <w:rPr>
          <w:b/>
          <w:bCs/>
          <w:lang w:eastAsia="lt-LT"/>
        </w:rPr>
        <w:t>Šis</w:t>
      </w:r>
      <w:proofErr w:type="spellEnd"/>
      <w:r w:rsidRPr="00821F92">
        <w:rPr>
          <w:b/>
          <w:bCs/>
          <w:lang w:eastAsia="lt-LT"/>
        </w:rPr>
        <w:t xml:space="preserve"> </w:t>
      </w:r>
      <w:proofErr w:type="spellStart"/>
      <w:r w:rsidRPr="00821F92">
        <w:rPr>
          <w:b/>
          <w:bCs/>
          <w:lang w:eastAsia="lt-LT"/>
        </w:rPr>
        <w:t>vaistas</w:t>
      </w:r>
      <w:proofErr w:type="spellEnd"/>
      <w:r w:rsidRPr="00821F92">
        <w:rPr>
          <w:b/>
          <w:bCs/>
          <w:lang w:eastAsia="lt-LT"/>
        </w:rPr>
        <w:t xml:space="preserve"> </w:t>
      </w:r>
      <w:proofErr w:type="spellStart"/>
      <w:r w:rsidRPr="00821F92">
        <w:rPr>
          <w:b/>
          <w:bCs/>
          <w:lang w:eastAsia="lt-LT"/>
        </w:rPr>
        <w:t>Europos</w:t>
      </w:r>
      <w:proofErr w:type="spellEnd"/>
      <w:r w:rsidRPr="00821F92">
        <w:rPr>
          <w:b/>
          <w:bCs/>
          <w:lang w:eastAsia="lt-LT"/>
        </w:rPr>
        <w:t xml:space="preserve"> </w:t>
      </w:r>
      <w:proofErr w:type="spellStart"/>
      <w:r w:rsidRPr="00821F92">
        <w:rPr>
          <w:b/>
          <w:bCs/>
          <w:lang w:eastAsia="lt-LT"/>
        </w:rPr>
        <w:t>ekonominės</w:t>
      </w:r>
      <w:proofErr w:type="spellEnd"/>
      <w:r w:rsidRPr="00821F92">
        <w:rPr>
          <w:b/>
          <w:bCs/>
          <w:lang w:eastAsia="lt-LT"/>
        </w:rPr>
        <w:t xml:space="preserve"> </w:t>
      </w:r>
      <w:proofErr w:type="spellStart"/>
      <w:r w:rsidRPr="00821F92">
        <w:rPr>
          <w:b/>
          <w:bCs/>
          <w:lang w:eastAsia="lt-LT"/>
        </w:rPr>
        <w:t>erdvės</w:t>
      </w:r>
      <w:proofErr w:type="spellEnd"/>
      <w:r w:rsidRPr="00821F92">
        <w:rPr>
          <w:b/>
          <w:bCs/>
          <w:lang w:eastAsia="lt-LT"/>
        </w:rPr>
        <w:t xml:space="preserve"> </w:t>
      </w:r>
      <w:proofErr w:type="spellStart"/>
      <w:r w:rsidRPr="00821F92">
        <w:rPr>
          <w:b/>
          <w:bCs/>
          <w:lang w:eastAsia="lt-LT"/>
        </w:rPr>
        <w:t>valstybėse</w:t>
      </w:r>
      <w:proofErr w:type="spellEnd"/>
      <w:r w:rsidRPr="00821F92">
        <w:rPr>
          <w:b/>
          <w:bCs/>
          <w:lang w:eastAsia="lt-LT"/>
        </w:rPr>
        <w:t xml:space="preserve"> </w:t>
      </w:r>
      <w:proofErr w:type="spellStart"/>
      <w:r w:rsidRPr="00821F92">
        <w:rPr>
          <w:b/>
          <w:bCs/>
          <w:lang w:eastAsia="lt-LT"/>
        </w:rPr>
        <w:t>narėse</w:t>
      </w:r>
      <w:proofErr w:type="spellEnd"/>
      <w:r w:rsidRPr="00821F92">
        <w:rPr>
          <w:b/>
          <w:bCs/>
          <w:lang w:eastAsia="lt-LT"/>
        </w:rPr>
        <w:t xml:space="preserve"> </w:t>
      </w:r>
      <w:proofErr w:type="spellStart"/>
      <w:r w:rsidRPr="00821F92">
        <w:rPr>
          <w:b/>
          <w:bCs/>
          <w:lang w:eastAsia="lt-LT"/>
        </w:rPr>
        <w:t>ir</w:t>
      </w:r>
      <w:proofErr w:type="spellEnd"/>
      <w:r w:rsidRPr="00821F92">
        <w:rPr>
          <w:b/>
          <w:bCs/>
          <w:lang w:eastAsia="lt-LT"/>
        </w:rPr>
        <w:t xml:space="preserve"> </w:t>
      </w:r>
      <w:proofErr w:type="spellStart"/>
      <w:r w:rsidRPr="00821F92">
        <w:rPr>
          <w:b/>
          <w:bCs/>
          <w:lang w:eastAsia="lt-LT"/>
        </w:rPr>
        <w:t>Jungtin</w:t>
      </w:r>
      <w:r w:rsidRPr="00821F92">
        <w:rPr>
          <w:b/>
          <w:bCs/>
          <w:lang w:val="lt-LT" w:eastAsia="lt-LT"/>
        </w:rPr>
        <w:t>ėje</w:t>
      </w:r>
      <w:proofErr w:type="spellEnd"/>
      <w:r w:rsidRPr="00821F92">
        <w:rPr>
          <w:b/>
          <w:bCs/>
          <w:lang w:val="lt-LT" w:eastAsia="lt-LT"/>
        </w:rPr>
        <w:t xml:space="preserve"> Karalystėje (Šiaurės Airijoje)</w:t>
      </w:r>
      <w:r w:rsidRPr="00821F92">
        <w:rPr>
          <w:b/>
          <w:bCs/>
          <w:lang w:eastAsia="lt-LT"/>
        </w:rPr>
        <w:t xml:space="preserve"> </w:t>
      </w:r>
      <w:proofErr w:type="spellStart"/>
      <w:r w:rsidRPr="00821F92">
        <w:rPr>
          <w:b/>
          <w:bCs/>
          <w:lang w:eastAsia="lt-LT"/>
        </w:rPr>
        <w:t>registruotas</w:t>
      </w:r>
      <w:proofErr w:type="spellEnd"/>
      <w:r w:rsidRPr="00821F92">
        <w:rPr>
          <w:b/>
          <w:bCs/>
          <w:lang w:eastAsia="lt-LT"/>
        </w:rPr>
        <w:t xml:space="preserve"> </w:t>
      </w:r>
      <w:proofErr w:type="spellStart"/>
      <w:r w:rsidRPr="00821F92">
        <w:rPr>
          <w:b/>
          <w:bCs/>
          <w:lang w:eastAsia="lt-LT"/>
        </w:rPr>
        <w:t>tokiais</w:t>
      </w:r>
      <w:proofErr w:type="spellEnd"/>
      <w:r w:rsidRPr="00821F92">
        <w:rPr>
          <w:b/>
          <w:bCs/>
          <w:lang w:eastAsia="lt-LT"/>
        </w:rPr>
        <w:t xml:space="preserve"> </w:t>
      </w:r>
      <w:proofErr w:type="spellStart"/>
      <w:r w:rsidRPr="00821F92">
        <w:rPr>
          <w:b/>
          <w:bCs/>
          <w:lang w:eastAsia="lt-LT"/>
        </w:rPr>
        <w:t>pavadinimais</w:t>
      </w:r>
      <w:proofErr w:type="spellEnd"/>
      <w:r w:rsidRPr="00821F92">
        <w:rPr>
          <w:b/>
          <w:bCs/>
          <w:lang w:eastAsia="lt-LT"/>
        </w:rPr>
        <w:t>:</w:t>
      </w:r>
    </w:p>
    <w:p w:rsidR="002201C8" w:rsidRPr="00821F92" w:rsidRDefault="002201C8" w:rsidP="002201C8">
      <w:pPr>
        <w:numPr>
          <w:ilvl w:val="12"/>
          <w:numId w:val="0"/>
        </w:numPr>
        <w:snapToGrid/>
        <w:spacing w:line="240" w:lineRule="auto"/>
        <w:ind w:right="-2"/>
        <w:rPr>
          <w:b/>
          <w:bCs/>
          <w:lang w:eastAsia="lt-LT"/>
        </w:rPr>
      </w:pPr>
    </w:p>
    <w:p w:rsidR="002201C8" w:rsidRPr="00821F92" w:rsidRDefault="002201C8" w:rsidP="002201C8">
      <w:pPr>
        <w:numPr>
          <w:ilvl w:val="12"/>
          <w:numId w:val="0"/>
        </w:numPr>
        <w:snapToGrid/>
        <w:spacing w:line="240" w:lineRule="auto"/>
        <w:ind w:right="-2"/>
        <w:rPr>
          <w:bCs/>
          <w:lang w:val="lt-LT" w:eastAsia="lt-LT"/>
        </w:rPr>
      </w:pPr>
      <w:r w:rsidRPr="00821F92">
        <w:rPr>
          <w:bCs/>
          <w:lang w:val="lt-LT" w:eastAsia="lt-LT"/>
        </w:rPr>
        <w:t>Austrija, Belgija, Kroatija, Kipras, Čekijos Respublika, Danija, Estija, Suomija, Prancūzija, Vokietija, Graikija, Vengrija, Islandija, Airija, Italija, Latvija, Lietuva, Liuksemburgas, Malta, Nyderlandai, Norvegija, Lenkija, Portugalija, Rumunija, Slovakija, Slovėnija, Ispanija, Švedija, Jungtinė Karalystė (Šiaurės Airija): BIPHOZYL</w:t>
      </w:r>
    </w:p>
    <w:p w:rsidR="002201C8" w:rsidRPr="00821F92" w:rsidRDefault="002201C8" w:rsidP="002201C8">
      <w:pPr>
        <w:numPr>
          <w:ilvl w:val="12"/>
          <w:numId w:val="0"/>
        </w:numPr>
        <w:snapToGrid/>
        <w:spacing w:line="240" w:lineRule="auto"/>
        <w:ind w:right="-2"/>
        <w:rPr>
          <w:bCs/>
          <w:lang w:val="lt-LT" w:eastAsia="lt-LT"/>
        </w:rPr>
      </w:pPr>
      <w:r w:rsidRPr="00821F92">
        <w:rPr>
          <w:bCs/>
          <w:lang w:val="lt-LT" w:eastAsia="lt-LT"/>
        </w:rPr>
        <w:t>Bulgarija: BIPHOZYL (</w:t>
      </w:r>
      <w:proofErr w:type="spellStart"/>
      <w:r w:rsidRPr="00821F92">
        <w:rPr>
          <w:bCs/>
          <w:lang w:val="lt-LT" w:eastAsia="lt-LT"/>
        </w:rPr>
        <w:t>Бифозил</w:t>
      </w:r>
      <w:proofErr w:type="spellEnd"/>
      <w:r w:rsidRPr="00821F92">
        <w:rPr>
          <w:bCs/>
          <w:lang w:val="lt-LT" w:eastAsia="lt-LT"/>
        </w:rPr>
        <w:t>)</w:t>
      </w:r>
    </w:p>
    <w:p w:rsidR="002201C8" w:rsidRDefault="002201C8" w:rsidP="002201C8">
      <w:pPr>
        <w:numPr>
          <w:ilvl w:val="12"/>
          <w:numId w:val="0"/>
        </w:numPr>
        <w:snapToGrid/>
        <w:spacing w:line="240" w:lineRule="auto"/>
        <w:ind w:right="-2"/>
        <w:rPr>
          <w:bCs/>
          <w:lang w:val="lt-LT" w:eastAsia="lt-LT"/>
        </w:rPr>
      </w:pPr>
    </w:p>
    <w:p w:rsidR="002201C8" w:rsidRDefault="002201C8" w:rsidP="002201C8">
      <w:pPr>
        <w:numPr>
          <w:ilvl w:val="12"/>
          <w:numId w:val="0"/>
        </w:numPr>
        <w:tabs>
          <w:tab w:val="clear" w:pos="567"/>
          <w:tab w:val="left" w:pos="720"/>
        </w:tabs>
        <w:spacing w:line="240" w:lineRule="auto"/>
        <w:ind w:right="-2"/>
        <w:rPr>
          <w:szCs w:val="22"/>
          <w:lang w:val="lt-LT"/>
        </w:rPr>
      </w:pPr>
    </w:p>
    <w:p w:rsidR="002201C8" w:rsidRDefault="002201C8" w:rsidP="002201C8">
      <w:pPr>
        <w:numPr>
          <w:ilvl w:val="12"/>
          <w:numId w:val="0"/>
        </w:numPr>
        <w:tabs>
          <w:tab w:val="clear" w:pos="567"/>
          <w:tab w:val="left" w:pos="720"/>
        </w:tabs>
        <w:spacing w:line="240" w:lineRule="auto"/>
        <w:ind w:right="-2"/>
        <w:outlineLvl w:val="0"/>
        <w:rPr>
          <w:lang w:val="lt-LT"/>
        </w:rPr>
      </w:pPr>
      <w:r>
        <w:rPr>
          <w:b/>
          <w:lang w:val="lt-LT"/>
        </w:rPr>
        <w:t>Šis pakuotės lapelis paskutinį kartą peržiūrėtas 2025-02-03.</w:t>
      </w:r>
    </w:p>
    <w:p w:rsidR="002201C8" w:rsidRDefault="002201C8" w:rsidP="002201C8">
      <w:pPr>
        <w:numPr>
          <w:ilvl w:val="12"/>
          <w:numId w:val="0"/>
        </w:numPr>
        <w:tabs>
          <w:tab w:val="clear" w:pos="567"/>
          <w:tab w:val="left" w:pos="720"/>
        </w:tabs>
        <w:spacing w:line="240" w:lineRule="auto"/>
        <w:ind w:right="-2"/>
        <w:outlineLvl w:val="0"/>
        <w:rPr>
          <w:lang w:val="lt-LT"/>
        </w:rPr>
      </w:pPr>
    </w:p>
    <w:p w:rsidR="002201C8" w:rsidRDefault="002201C8" w:rsidP="002201C8">
      <w:pPr>
        <w:numPr>
          <w:ilvl w:val="12"/>
          <w:numId w:val="0"/>
        </w:numPr>
        <w:tabs>
          <w:tab w:val="clear" w:pos="567"/>
          <w:tab w:val="left" w:pos="720"/>
        </w:tabs>
        <w:spacing w:line="240" w:lineRule="auto"/>
        <w:ind w:right="-2"/>
        <w:outlineLvl w:val="0"/>
        <w:rPr>
          <w:lang w:val="lt-LT"/>
        </w:rPr>
      </w:pPr>
    </w:p>
    <w:p w:rsidR="002201C8" w:rsidRDefault="002201C8" w:rsidP="002201C8">
      <w:pPr>
        <w:numPr>
          <w:ilvl w:val="12"/>
          <w:numId w:val="0"/>
        </w:numPr>
        <w:spacing w:line="240" w:lineRule="auto"/>
        <w:ind w:right="-2"/>
        <w:rPr>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hyperlink r:id="rId5" w:history="1">
        <w:r w:rsidRPr="005C0276">
          <w:rPr>
            <w:rStyle w:val="Hipersaitas"/>
            <w:rFonts w:eastAsia="SimSun"/>
            <w:lang w:val="lt-LT"/>
          </w:rPr>
          <w:t>http://www.vvkt.lt/</w:t>
        </w:r>
      </w:hyperlink>
      <w:r>
        <w:rPr>
          <w:lang w:val="lt-LT"/>
        </w:rPr>
        <w:t>.</w:t>
      </w:r>
    </w:p>
    <w:p w:rsidR="002201C8" w:rsidRDefault="002201C8" w:rsidP="002201C8">
      <w:pPr>
        <w:numPr>
          <w:ilvl w:val="12"/>
          <w:numId w:val="0"/>
        </w:numPr>
        <w:spacing w:line="240" w:lineRule="auto"/>
        <w:ind w:right="-2"/>
        <w:rPr>
          <w:lang w:val="lt-LT"/>
        </w:rPr>
      </w:pPr>
    </w:p>
    <w:p w:rsidR="002201C8" w:rsidRDefault="002201C8" w:rsidP="002201C8">
      <w:pPr>
        <w:numPr>
          <w:ilvl w:val="12"/>
          <w:numId w:val="0"/>
        </w:numPr>
        <w:spacing w:line="240" w:lineRule="auto"/>
        <w:ind w:right="-2"/>
        <w:rPr>
          <w:szCs w:val="24"/>
          <w:lang w:val="lt-LT"/>
        </w:rPr>
      </w:pPr>
    </w:p>
    <w:p w:rsidR="002201C8" w:rsidRDefault="002201C8" w:rsidP="002201C8">
      <w:pPr>
        <w:numPr>
          <w:ilvl w:val="12"/>
          <w:numId w:val="0"/>
        </w:numPr>
        <w:tabs>
          <w:tab w:val="clear" w:pos="567"/>
          <w:tab w:val="left" w:pos="720"/>
        </w:tabs>
        <w:spacing w:line="240" w:lineRule="auto"/>
        <w:ind w:right="-2"/>
        <w:outlineLvl w:val="0"/>
        <w:rPr>
          <w:b/>
          <w:lang w:val="lt-LT"/>
        </w:rPr>
      </w:pPr>
      <w:r>
        <w:rPr>
          <w:snapToGrid w:val="0"/>
          <w:lang w:val="lt-LT"/>
        </w:rPr>
        <w:br w:type="page"/>
      </w:r>
      <w:r>
        <w:rPr>
          <w:b/>
          <w:lang w:val="lt-LT"/>
        </w:rPr>
        <w:t>Toliau pateikta informacija skirta tik sveikatos priežiūros specialistams:</w:t>
      </w:r>
    </w:p>
    <w:p w:rsidR="002201C8" w:rsidRDefault="002201C8" w:rsidP="002201C8">
      <w:pPr>
        <w:numPr>
          <w:ilvl w:val="12"/>
          <w:numId w:val="0"/>
        </w:numPr>
        <w:tabs>
          <w:tab w:val="clear" w:pos="567"/>
          <w:tab w:val="left" w:pos="720"/>
        </w:tabs>
        <w:spacing w:line="240" w:lineRule="auto"/>
        <w:ind w:right="-2"/>
        <w:outlineLvl w:val="0"/>
        <w:rPr>
          <w:szCs w:val="22"/>
          <w:lang w:val="lt-LT"/>
        </w:rPr>
      </w:pPr>
    </w:p>
    <w:p w:rsidR="002201C8" w:rsidRDefault="002201C8" w:rsidP="002201C8">
      <w:pPr>
        <w:widowControl w:val="0"/>
        <w:spacing w:line="240" w:lineRule="auto"/>
        <w:jc w:val="both"/>
        <w:rPr>
          <w:b/>
          <w:szCs w:val="22"/>
          <w:u w:val="single"/>
          <w:lang w:val="lt-LT"/>
        </w:rPr>
      </w:pPr>
      <w:r>
        <w:rPr>
          <w:b/>
          <w:szCs w:val="22"/>
          <w:u w:val="single"/>
          <w:lang w:val="lt-LT"/>
        </w:rPr>
        <w:t>Dozavimas</w:t>
      </w:r>
    </w:p>
    <w:p w:rsidR="002201C8" w:rsidRDefault="002201C8" w:rsidP="002201C8">
      <w:pPr>
        <w:pStyle w:val="Pagrindinistekstas"/>
        <w:rPr>
          <w:i w:val="0"/>
          <w:color w:val="auto"/>
          <w:sz w:val="22"/>
          <w:szCs w:val="22"/>
          <w:lang w:val="lt-LT"/>
        </w:rPr>
      </w:pPr>
      <w:r>
        <w:rPr>
          <w:i w:val="0"/>
          <w:color w:val="auto"/>
          <w:sz w:val="22"/>
          <w:szCs w:val="22"/>
          <w:lang w:val="lt-LT"/>
        </w:rPr>
        <w:t>Vartotinas</w:t>
      </w:r>
      <w:r>
        <w:rPr>
          <w:i w:val="0"/>
          <w:color w:val="auto"/>
          <w:sz w:val="22"/>
          <w:lang w:val="lt-LT"/>
        </w:rPr>
        <w:t xml:space="preserve"> </w:t>
      </w:r>
      <w:proofErr w:type="spellStart"/>
      <w:r>
        <w:rPr>
          <w:i w:val="0"/>
          <w:color w:val="auto"/>
          <w:sz w:val="22"/>
          <w:lang w:val="lt-LT"/>
        </w:rPr>
        <w:t>Biphozyl</w:t>
      </w:r>
      <w:proofErr w:type="spellEnd"/>
      <w:r>
        <w:rPr>
          <w:i w:val="0"/>
          <w:color w:val="auto"/>
          <w:sz w:val="22"/>
          <w:lang w:val="lt-LT"/>
        </w:rPr>
        <w:t xml:space="preserve"> tūris </w:t>
      </w:r>
      <w:r>
        <w:rPr>
          <w:i w:val="0"/>
          <w:color w:val="auto"/>
          <w:sz w:val="22"/>
          <w:szCs w:val="22"/>
          <w:lang w:val="lt-LT"/>
        </w:rPr>
        <w:t xml:space="preserve">ir infuzijos greitis </w:t>
      </w:r>
      <w:r>
        <w:rPr>
          <w:i w:val="0"/>
          <w:color w:val="auto"/>
          <w:sz w:val="22"/>
          <w:lang w:val="lt-LT"/>
        </w:rPr>
        <w:t xml:space="preserve">priklausys nuo </w:t>
      </w:r>
      <w:r>
        <w:rPr>
          <w:i w:val="0"/>
          <w:color w:val="auto"/>
          <w:sz w:val="22"/>
          <w:szCs w:val="22"/>
          <w:lang w:val="lt-LT"/>
        </w:rPr>
        <w:t xml:space="preserve">fosfatų ir kitų elektrolitų koncentracijos, rūgščių ir šarmų pusiausvyros kraujyje, skysčių pusiausvyros bei bendros </w:t>
      </w:r>
      <w:r>
        <w:rPr>
          <w:i w:val="0"/>
          <w:color w:val="auto"/>
          <w:sz w:val="22"/>
          <w:lang w:val="lt-LT"/>
        </w:rPr>
        <w:t>klinikinės ligonio būklės</w:t>
      </w:r>
      <w:r>
        <w:rPr>
          <w:i w:val="0"/>
          <w:color w:val="auto"/>
          <w:sz w:val="22"/>
          <w:szCs w:val="22"/>
          <w:lang w:val="lt-LT"/>
        </w:rPr>
        <w:t xml:space="preserve">. Vartotinas pakaitinio tirpalo ir (arba) </w:t>
      </w:r>
      <w:proofErr w:type="spellStart"/>
      <w:r>
        <w:rPr>
          <w:i w:val="0"/>
          <w:color w:val="auto"/>
          <w:sz w:val="22"/>
          <w:szCs w:val="22"/>
          <w:lang w:val="lt-LT"/>
        </w:rPr>
        <w:t>dializato</w:t>
      </w:r>
      <w:proofErr w:type="spellEnd"/>
      <w:r>
        <w:rPr>
          <w:i w:val="0"/>
          <w:color w:val="auto"/>
          <w:sz w:val="22"/>
          <w:szCs w:val="22"/>
          <w:lang w:val="lt-LT"/>
        </w:rPr>
        <w:t xml:space="preserve"> tūris taip pat priklausys nuo pageidaujamo gydymo intensyvumo (dozės). Vartotiną </w:t>
      </w:r>
      <w:proofErr w:type="spellStart"/>
      <w:r>
        <w:rPr>
          <w:i w:val="0"/>
          <w:color w:val="auto"/>
          <w:sz w:val="22"/>
          <w:szCs w:val="22"/>
          <w:lang w:val="lt-LT"/>
        </w:rPr>
        <w:t>Biphozyl</w:t>
      </w:r>
      <w:proofErr w:type="spellEnd"/>
      <w:r>
        <w:rPr>
          <w:i w:val="0"/>
          <w:color w:val="auto"/>
          <w:sz w:val="22"/>
          <w:szCs w:val="22"/>
          <w:lang w:val="lt-LT"/>
        </w:rPr>
        <w:t xml:space="preserve"> dozę, infuzijos greitį ir kumuliacinį tūrį turi nustatyti tik gydytojas, turintis intensyvios terapijos taikymo ir ilgalaikės inkstų pakeičiamosios terapijos (IIPT) taikymo patirties.</w:t>
      </w:r>
    </w:p>
    <w:p w:rsidR="002201C8" w:rsidRDefault="002201C8" w:rsidP="002201C8">
      <w:pPr>
        <w:pStyle w:val="Pagrindinistekstas"/>
        <w:rPr>
          <w:i w:val="0"/>
          <w:color w:val="auto"/>
          <w:sz w:val="22"/>
          <w:szCs w:val="22"/>
          <w:lang w:val="lt-LT"/>
        </w:rPr>
      </w:pPr>
    </w:p>
    <w:p w:rsidR="002201C8" w:rsidRDefault="002201C8" w:rsidP="002201C8">
      <w:pPr>
        <w:pStyle w:val="Pagrindinistekstas"/>
        <w:rPr>
          <w:bCs/>
          <w:i w:val="0"/>
          <w:color w:val="auto"/>
          <w:sz w:val="22"/>
          <w:szCs w:val="22"/>
          <w:lang w:val="lt-LT"/>
        </w:rPr>
      </w:pPr>
      <w:r>
        <w:rPr>
          <w:i w:val="0"/>
          <w:color w:val="auto"/>
          <w:sz w:val="22"/>
          <w:szCs w:val="22"/>
          <w:lang w:val="lt-LT"/>
        </w:rPr>
        <w:t xml:space="preserve">Tėkmės greičio intervalas, kai tirpalas skiriamas kaip pakaitinis </w:t>
      </w:r>
      <w:proofErr w:type="spellStart"/>
      <w:r>
        <w:rPr>
          <w:i w:val="0"/>
          <w:color w:val="auto"/>
          <w:sz w:val="22"/>
          <w:szCs w:val="22"/>
          <w:lang w:val="lt-LT"/>
        </w:rPr>
        <w:t>hemofiltracijai</w:t>
      </w:r>
      <w:proofErr w:type="spellEnd"/>
      <w:r>
        <w:rPr>
          <w:i w:val="0"/>
          <w:color w:val="auto"/>
          <w:sz w:val="22"/>
          <w:szCs w:val="22"/>
          <w:lang w:val="lt-LT"/>
        </w:rPr>
        <w:t xml:space="preserve"> ar </w:t>
      </w:r>
      <w:proofErr w:type="spellStart"/>
      <w:r>
        <w:rPr>
          <w:i w:val="0"/>
          <w:color w:val="auto"/>
          <w:sz w:val="22"/>
          <w:szCs w:val="22"/>
          <w:lang w:val="lt-LT"/>
        </w:rPr>
        <w:t>hemodiafiltracijai</w:t>
      </w:r>
      <w:proofErr w:type="spellEnd"/>
      <w:r>
        <w:rPr>
          <w:i w:val="0"/>
          <w:color w:val="auto"/>
          <w:sz w:val="22"/>
          <w:szCs w:val="22"/>
          <w:lang w:val="lt-LT"/>
        </w:rPr>
        <w:t xml:space="preserve"> atlikti:</w:t>
      </w:r>
    </w:p>
    <w:p w:rsidR="002201C8" w:rsidRDefault="002201C8" w:rsidP="002201C8">
      <w:pPr>
        <w:pStyle w:val="Pagrindinistekstas"/>
        <w:rPr>
          <w:bCs/>
          <w:i w:val="0"/>
          <w:color w:val="auto"/>
          <w:sz w:val="22"/>
          <w:szCs w:val="22"/>
          <w:lang w:val="lt-LT"/>
        </w:rPr>
      </w:pPr>
      <w:r>
        <w:rPr>
          <w:i w:val="0"/>
          <w:color w:val="auto"/>
          <w:sz w:val="22"/>
          <w:szCs w:val="22"/>
          <w:lang w:val="lt-LT"/>
        </w:rPr>
        <w:t>suaugusiesiems:</w:t>
      </w:r>
      <w:r>
        <w:rPr>
          <w:bCs/>
          <w:i w:val="0"/>
          <w:color w:val="auto"/>
          <w:sz w:val="22"/>
          <w:szCs w:val="22"/>
          <w:lang w:val="lt-LT"/>
        </w:rPr>
        <w:tab/>
      </w:r>
      <w:r>
        <w:rPr>
          <w:bCs/>
          <w:i w:val="0"/>
          <w:color w:val="auto"/>
          <w:sz w:val="22"/>
          <w:szCs w:val="22"/>
          <w:lang w:val="lt-LT"/>
        </w:rPr>
        <w:tab/>
      </w:r>
      <w:r>
        <w:rPr>
          <w:i w:val="0"/>
          <w:color w:val="auto"/>
          <w:sz w:val="22"/>
          <w:szCs w:val="22"/>
          <w:lang w:val="lt-LT"/>
        </w:rPr>
        <w:t>500–3000 ml/val.</w:t>
      </w:r>
    </w:p>
    <w:p w:rsidR="002201C8" w:rsidRDefault="002201C8" w:rsidP="002201C8">
      <w:pPr>
        <w:suppressLineNumbers/>
        <w:rPr>
          <w:bCs/>
          <w:szCs w:val="22"/>
          <w:lang w:val="lt-LT"/>
        </w:rPr>
      </w:pPr>
    </w:p>
    <w:p w:rsidR="002201C8" w:rsidRDefault="002201C8" w:rsidP="002201C8">
      <w:pPr>
        <w:pStyle w:val="Pagrindinistekstas"/>
        <w:rPr>
          <w:bCs/>
          <w:i w:val="0"/>
          <w:color w:val="auto"/>
          <w:sz w:val="22"/>
          <w:szCs w:val="22"/>
          <w:lang w:val="lt-LT"/>
        </w:rPr>
      </w:pPr>
      <w:r>
        <w:rPr>
          <w:i w:val="0"/>
          <w:color w:val="auto"/>
          <w:sz w:val="22"/>
          <w:szCs w:val="22"/>
          <w:lang w:val="lt-LT"/>
        </w:rPr>
        <w:t xml:space="preserve">Tėkmės greičio intervalas, kai tirpalas skiriamas kaip </w:t>
      </w:r>
      <w:proofErr w:type="spellStart"/>
      <w:r>
        <w:rPr>
          <w:i w:val="0"/>
          <w:color w:val="auto"/>
          <w:sz w:val="22"/>
          <w:szCs w:val="22"/>
          <w:lang w:val="lt-LT"/>
        </w:rPr>
        <w:t>dializatas</w:t>
      </w:r>
      <w:proofErr w:type="spellEnd"/>
      <w:r>
        <w:rPr>
          <w:i w:val="0"/>
          <w:color w:val="auto"/>
          <w:sz w:val="22"/>
          <w:szCs w:val="22"/>
          <w:lang w:val="lt-LT"/>
        </w:rPr>
        <w:t xml:space="preserve"> nuolatinei hemodializei ar </w:t>
      </w:r>
      <w:proofErr w:type="spellStart"/>
      <w:r>
        <w:rPr>
          <w:i w:val="0"/>
          <w:color w:val="auto"/>
          <w:sz w:val="22"/>
          <w:szCs w:val="22"/>
          <w:lang w:val="lt-LT"/>
        </w:rPr>
        <w:t>hemodiafiltracijai</w:t>
      </w:r>
      <w:proofErr w:type="spellEnd"/>
      <w:r>
        <w:rPr>
          <w:i w:val="0"/>
          <w:color w:val="auto"/>
          <w:sz w:val="22"/>
          <w:szCs w:val="22"/>
          <w:lang w:val="lt-LT"/>
        </w:rPr>
        <w:t xml:space="preserve"> atlikti:</w:t>
      </w:r>
    </w:p>
    <w:p w:rsidR="002201C8" w:rsidRDefault="002201C8" w:rsidP="002201C8">
      <w:pPr>
        <w:pStyle w:val="Pagrindinistekstas"/>
        <w:rPr>
          <w:bCs/>
          <w:i w:val="0"/>
          <w:color w:val="auto"/>
          <w:sz w:val="22"/>
          <w:szCs w:val="22"/>
          <w:lang w:val="lt-LT"/>
        </w:rPr>
      </w:pPr>
      <w:r>
        <w:rPr>
          <w:i w:val="0"/>
          <w:color w:val="auto"/>
          <w:sz w:val="22"/>
          <w:szCs w:val="22"/>
          <w:lang w:val="lt-LT"/>
        </w:rPr>
        <w:t>suaugusiesiems:</w:t>
      </w:r>
      <w:r>
        <w:rPr>
          <w:bCs/>
          <w:i w:val="0"/>
          <w:color w:val="auto"/>
          <w:sz w:val="22"/>
          <w:szCs w:val="22"/>
          <w:lang w:val="lt-LT"/>
        </w:rPr>
        <w:tab/>
      </w:r>
      <w:r>
        <w:rPr>
          <w:bCs/>
          <w:i w:val="0"/>
          <w:color w:val="auto"/>
          <w:sz w:val="22"/>
          <w:szCs w:val="22"/>
          <w:lang w:val="lt-LT"/>
        </w:rPr>
        <w:tab/>
      </w:r>
      <w:r>
        <w:rPr>
          <w:i w:val="0"/>
          <w:color w:val="auto"/>
          <w:sz w:val="22"/>
          <w:szCs w:val="22"/>
          <w:lang w:val="lt-LT"/>
        </w:rPr>
        <w:t>500–2500 ml/val.</w:t>
      </w:r>
    </w:p>
    <w:p w:rsidR="002201C8" w:rsidRDefault="002201C8" w:rsidP="002201C8">
      <w:pPr>
        <w:suppressLineNumbers/>
        <w:rPr>
          <w:bCs/>
          <w:iCs/>
          <w:szCs w:val="22"/>
          <w:lang w:val="lt-LT"/>
        </w:rPr>
      </w:pPr>
    </w:p>
    <w:p w:rsidR="002201C8" w:rsidRDefault="002201C8" w:rsidP="002201C8">
      <w:pPr>
        <w:suppressLineNumbers/>
        <w:rPr>
          <w:bCs/>
          <w:szCs w:val="22"/>
          <w:lang w:val="lt-LT"/>
        </w:rPr>
      </w:pPr>
      <w:r>
        <w:rPr>
          <w:lang w:val="lt-LT"/>
        </w:rPr>
        <w:t>Paprastai suaugusiesiems taikomas IIPT (</w:t>
      </w:r>
      <w:proofErr w:type="spellStart"/>
      <w:r>
        <w:rPr>
          <w:lang w:val="lt-LT"/>
        </w:rPr>
        <w:t>dializato</w:t>
      </w:r>
      <w:proofErr w:type="spellEnd"/>
      <w:r>
        <w:rPr>
          <w:lang w:val="lt-LT"/>
        </w:rPr>
        <w:t xml:space="preserve"> ir pakaitinio tirpalo) bendras visas tėkmės greitis yra maždaug 2000–2500 ml/val., ir tai atitinka maždaug 48–60 l kasdien skiriamo pakaitinio skysčio tūrio.</w:t>
      </w:r>
    </w:p>
    <w:p w:rsidR="002201C8" w:rsidRDefault="002201C8" w:rsidP="002201C8">
      <w:pPr>
        <w:pStyle w:val="BodyText31"/>
        <w:tabs>
          <w:tab w:val="clear" w:pos="360"/>
          <w:tab w:val="left" w:pos="720"/>
        </w:tabs>
        <w:overflowPunct/>
        <w:autoSpaceDE/>
        <w:adjustRightInd/>
        <w:rPr>
          <w:bCs/>
          <w:sz w:val="22"/>
          <w:szCs w:val="22"/>
          <w:lang w:val="lt-LT" w:eastAsia="en-US"/>
        </w:rPr>
      </w:pPr>
    </w:p>
    <w:p w:rsidR="002201C8" w:rsidRDefault="002201C8" w:rsidP="002201C8">
      <w:pPr>
        <w:pStyle w:val="BodyText31"/>
        <w:tabs>
          <w:tab w:val="clear" w:pos="360"/>
          <w:tab w:val="left" w:pos="720"/>
        </w:tabs>
        <w:overflowPunct/>
        <w:autoSpaceDE/>
        <w:adjustRightInd/>
        <w:rPr>
          <w:bCs/>
          <w:sz w:val="22"/>
          <w:szCs w:val="22"/>
          <w:lang w:val="lt-LT" w:eastAsia="en-US"/>
        </w:rPr>
      </w:pPr>
      <w:r>
        <w:rPr>
          <w:sz w:val="22"/>
          <w:lang w:val="lt-LT"/>
        </w:rPr>
        <w:t>Vaikų populiacija</w:t>
      </w:r>
    </w:p>
    <w:p w:rsidR="002201C8" w:rsidRDefault="002201C8" w:rsidP="002201C8">
      <w:pPr>
        <w:ind w:right="-143"/>
        <w:rPr>
          <w:bCs/>
          <w:szCs w:val="22"/>
          <w:lang w:val="lt-LT"/>
        </w:rPr>
      </w:pPr>
      <w:r>
        <w:rPr>
          <w:bCs/>
          <w:szCs w:val="22"/>
          <w:lang w:val="lt-LT"/>
        </w:rPr>
        <w:t xml:space="preserve">Vaikams (nuo naujagimių iki paauglių iki 18 metų amžiaus) tėkmės greičio intervalas, kai tirpalas skiriamas kaip pakaitinis </w:t>
      </w:r>
      <w:proofErr w:type="spellStart"/>
      <w:r>
        <w:rPr>
          <w:bCs/>
          <w:szCs w:val="22"/>
          <w:lang w:val="lt-LT"/>
        </w:rPr>
        <w:t>hemofiltracijai</w:t>
      </w:r>
      <w:proofErr w:type="spellEnd"/>
      <w:r>
        <w:rPr>
          <w:bCs/>
          <w:szCs w:val="22"/>
          <w:lang w:val="lt-LT"/>
        </w:rPr>
        <w:t xml:space="preserve"> ar </w:t>
      </w:r>
      <w:proofErr w:type="spellStart"/>
      <w:r>
        <w:rPr>
          <w:bCs/>
          <w:szCs w:val="22"/>
          <w:lang w:val="lt-LT"/>
        </w:rPr>
        <w:t>hemodiafiltracijai</w:t>
      </w:r>
      <w:proofErr w:type="spellEnd"/>
      <w:r>
        <w:rPr>
          <w:bCs/>
          <w:szCs w:val="22"/>
          <w:lang w:val="lt-LT"/>
        </w:rPr>
        <w:t xml:space="preserve"> atlikti ir kaip dializės tirpalas (</w:t>
      </w:r>
      <w:proofErr w:type="spellStart"/>
      <w:r>
        <w:rPr>
          <w:bCs/>
          <w:szCs w:val="22"/>
          <w:lang w:val="lt-LT"/>
        </w:rPr>
        <w:t>dializatas</w:t>
      </w:r>
      <w:proofErr w:type="spellEnd"/>
      <w:r>
        <w:rPr>
          <w:bCs/>
          <w:szCs w:val="22"/>
          <w:lang w:val="lt-LT"/>
        </w:rPr>
        <w:t xml:space="preserve">) nuolatinei hemodializei ar </w:t>
      </w:r>
      <w:proofErr w:type="spellStart"/>
      <w:r>
        <w:rPr>
          <w:bCs/>
          <w:szCs w:val="22"/>
          <w:lang w:val="lt-LT"/>
        </w:rPr>
        <w:t>hemodiafiltracijai</w:t>
      </w:r>
      <w:proofErr w:type="spellEnd"/>
      <w:r>
        <w:rPr>
          <w:bCs/>
          <w:szCs w:val="22"/>
          <w:lang w:val="lt-LT"/>
        </w:rPr>
        <w:t xml:space="preserve"> atlikti, yra 1000–4000 ml/val./1,73 m</w:t>
      </w:r>
      <w:r>
        <w:rPr>
          <w:bCs/>
          <w:szCs w:val="22"/>
          <w:vertAlign w:val="superscript"/>
          <w:lang w:val="lt-LT"/>
        </w:rPr>
        <w:t>2</w:t>
      </w:r>
      <w:r>
        <w:rPr>
          <w:bCs/>
          <w:szCs w:val="22"/>
          <w:lang w:val="lt-LT"/>
        </w:rPr>
        <w:t>.</w:t>
      </w:r>
    </w:p>
    <w:p w:rsidR="002201C8" w:rsidRDefault="002201C8" w:rsidP="002201C8">
      <w:pPr>
        <w:ind w:right="-143"/>
        <w:rPr>
          <w:bCs/>
          <w:szCs w:val="22"/>
          <w:lang w:val="lt-LT"/>
        </w:rPr>
      </w:pPr>
      <w:r>
        <w:rPr>
          <w:bCs/>
          <w:szCs w:val="22"/>
          <w:lang w:val="lt-LT"/>
        </w:rPr>
        <w:t>Paaugliams (12–18 metų amžiaus) taikoma rekomenduojama suaugusiųjų dozė, jei apskaičiuota vaikų dozė viršija didžiausią suaugusiųjų dozę.</w:t>
      </w:r>
    </w:p>
    <w:p w:rsidR="002201C8" w:rsidRDefault="002201C8" w:rsidP="002201C8">
      <w:pPr>
        <w:ind w:right="-143"/>
        <w:rPr>
          <w:bCs/>
          <w:szCs w:val="22"/>
          <w:lang w:val="lt-LT"/>
        </w:rPr>
      </w:pPr>
    </w:p>
    <w:p w:rsidR="002201C8" w:rsidRDefault="002201C8" w:rsidP="002201C8">
      <w:pPr>
        <w:widowControl w:val="0"/>
        <w:rPr>
          <w:bCs/>
          <w:szCs w:val="22"/>
          <w:lang w:val="lt-LT"/>
        </w:rPr>
      </w:pPr>
      <w:r>
        <w:rPr>
          <w:bCs/>
          <w:szCs w:val="22"/>
          <w:lang w:val="lt-LT"/>
        </w:rPr>
        <w:t xml:space="preserve">Senyvi pacientai </w:t>
      </w:r>
    </w:p>
    <w:p w:rsidR="002201C8" w:rsidRDefault="002201C8" w:rsidP="002201C8">
      <w:pPr>
        <w:widowControl w:val="0"/>
        <w:rPr>
          <w:lang w:val="lt-LT"/>
        </w:rPr>
      </w:pPr>
      <w:r>
        <w:rPr>
          <w:lang w:val="lt-LT"/>
        </w:rPr>
        <w:t>Suaugusieji virš 65 metų amžiaus: įrodymai iš klinikinių tyrimų ir patirtis rodo, kad vaistinio preparato vartojimas senyviems žmonėms nėra susijęs su saugos ar veiksmingumo skirtumais.</w:t>
      </w:r>
    </w:p>
    <w:p w:rsidR="002201C8" w:rsidRDefault="002201C8" w:rsidP="002201C8">
      <w:pPr>
        <w:widowControl w:val="0"/>
        <w:rPr>
          <w:lang w:val="lt-LT"/>
        </w:rPr>
      </w:pPr>
    </w:p>
    <w:p w:rsidR="002201C8" w:rsidRDefault="002201C8" w:rsidP="002201C8">
      <w:pPr>
        <w:widowControl w:val="0"/>
        <w:rPr>
          <w:b/>
          <w:lang w:val="lt-LT"/>
        </w:rPr>
      </w:pPr>
      <w:r>
        <w:rPr>
          <w:b/>
          <w:lang w:val="lt-LT"/>
        </w:rPr>
        <w:t>Perdozavimas</w:t>
      </w:r>
    </w:p>
    <w:p w:rsidR="002201C8" w:rsidRDefault="002201C8" w:rsidP="002201C8">
      <w:pPr>
        <w:widowControl w:val="0"/>
        <w:spacing w:line="240" w:lineRule="auto"/>
        <w:jc w:val="both"/>
        <w:rPr>
          <w:b/>
          <w:szCs w:val="22"/>
          <w:u w:val="single"/>
          <w:lang w:val="lt-LT"/>
        </w:rPr>
      </w:pPr>
      <w:r>
        <w:rPr>
          <w:u w:val="single"/>
          <w:lang w:val="lt-LT"/>
        </w:rPr>
        <w:t>Perdozavimo simptomai</w:t>
      </w:r>
    </w:p>
    <w:p w:rsidR="002201C8" w:rsidRDefault="002201C8" w:rsidP="002201C8">
      <w:pPr>
        <w:suppressLineNumbers/>
        <w:rPr>
          <w:bCs/>
          <w:szCs w:val="22"/>
          <w:lang w:val="lt-LT"/>
        </w:rPr>
      </w:pPr>
      <w:r>
        <w:rPr>
          <w:lang w:val="lt-LT"/>
        </w:rPr>
        <w:t xml:space="preserve">Perdozavus </w:t>
      </w:r>
      <w:proofErr w:type="spellStart"/>
      <w:r>
        <w:rPr>
          <w:lang w:val="lt-LT"/>
        </w:rPr>
        <w:t>Biphozyl</w:t>
      </w:r>
      <w:proofErr w:type="spellEnd"/>
      <w:r>
        <w:rPr>
          <w:lang w:val="lt-LT"/>
        </w:rPr>
        <w:t xml:space="preserve"> gali susidaryti sunki sveikatos būklė, pavyzdžiui, elektrolitų arba rūgščių ir šarmų pusiausvyros sutrikimas.</w:t>
      </w:r>
    </w:p>
    <w:p w:rsidR="002201C8" w:rsidRDefault="002201C8" w:rsidP="002201C8">
      <w:pPr>
        <w:suppressLineNumbers/>
        <w:rPr>
          <w:bCs/>
          <w:szCs w:val="22"/>
          <w:lang w:val="lt-LT"/>
        </w:rPr>
      </w:pPr>
    </w:p>
    <w:p w:rsidR="002201C8" w:rsidRDefault="002201C8" w:rsidP="002201C8">
      <w:pPr>
        <w:widowControl w:val="0"/>
        <w:spacing w:line="240" w:lineRule="auto"/>
        <w:jc w:val="both"/>
        <w:rPr>
          <w:szCs w:val="22"/>
          <w:u w:val="single"/>
          <w:lang w:val="lt-LT"/>
        </w:rPr>
      </w:pPr>
      <w:r>
        <w:rPr>
          <w:u w:val="single"/>
          <w:lang w:val="lt-LT"/>
        </w:rPr>
        <w:t>Perdozavimo gydymas</w:t>
      </w:r>
    </w:p>
    <w:p w:rsidR="002201C8" w:rsidRDefault="002201C8" w:rsidP="002201C8">
      <w:pPr>
        <w:numPr>
          <w:ilvl w:val="0"/>
          <w:numId w:val="1"/>
        </w:numPr>
        <w:suppressLineNumbers/>
        <w:rPr>
          <w:lang w:val="lt-LT"/>
        </w:rPr>
      </w:pPr>
      <w:proofErr w:type="spellStart"/>
      <w:r>
        <w:rPr>
          <w:lang w:val="lt-LT"/>
        </w:rPr>
        <w:t>Hipervolemija</w:t>
      </w:r>
      <w:proofErr w:type="spellEnd"/>
      <w:r>
        <w:rPr>
          <w:lang w:val="lt-LT"/>
        </w:rPr>
        <w:t xml:space="preserve"> / </w:t>
      </w:r>
      <w:proofErr w:type="spellStart"/>
      <w:r>
        <w:rPr>
          <w:lang w:val="lt-LT"/>
        </w:rPr>
        <w:t>hipovolemija</w:t>
      </w:r>
      <w:proofErr w:type="spellEnd"/>
    </w:p>
    <w:p w:rsidR="002201C8" w:rsidRDefault="002201C8" w:rsidP="002201C8">
      <w:pPr>
        <w:numPr>
          <w:ilvl w:val="0"/>
          <w:numId w:val="1"/>
        </w:numPr>
        <w:suppressLineNumbers/>
        <w:rPr>
          <w:bCs/>
          <w:szCs w:val="22"/>
          <w:lang w:val="lt-LT"/>
        </w:rPr>
      </w:pPr>
      <w:r>
        <w:rPr>
          <w:bCs/>
          <w:szCs w:val="22"/>
          <w:lang w:val="lt-LT"/>
        </w:rPr>
        <w:t xml:space="preserve">Jei pasireiškia </w:t>
      </w:r>
      <w:proofErr w:type="spellStart"/>
      <w:r>
        <w:rPr>
          <w:bCs/>
          <w:szCs w:val="22"/>
          <w:lang w:val="lt-LT"/>
        </w:rPr>
        <w:t>hipervolemija</w:t>
      </w:r>
      <w:proofErr w:type="spellEnd"/>
      <w:r>
        <w:rPr>
          <w:bCs/>
          <w:szCs w:val="22"/>
          <w:lang w:val="lt-LT"/>
        </w:rPr>
        <w:t xml:space="preserve"> arba </w:t>
      </w:r>
      <w:proofErr w:type="spellStart"/>
      <w:r>
        <w:rPr>
          <w:bCs/>
          <w:szCs w:val="22"/>
          <w:lang w:val="lt-LT"/>
        </w:rPr>
        <w:t>hipovolemija</w:t>
      </w:r>
      <w:proofErr w:type="spellEnd"/>
      <w:r>
        <w:rPr>
          <w:bCs/>
          <w:szCs w:val="22"/>
          <w:lang w:val="lt-LT"/>
        </w:rPr>
        <w:t xml:space="preserve">, būtina griežtai laikytis nurodymų, kaip elgtis </w:t>
      </w:r>
      <w:proofErr w:type="spellStart"/>
      <w:r>
        <w:rPr>
          <w:bCs/>
          <w:szCs w:val="22"/>
          <w:lang w:val="lt-LT"/>
        </w:rPr>
        <w:t>hipervolemijos</w:t>
      </w:r>
      <w:proofErr w:type="spellEnd"/>
      <w:r>
        <w:rPr>
          <w:bCs/>
          <w:szCs w:val="22"/>
          <w:lang w:val="lt-LT"/>
        </w:rPr>
        <w:t xml:space="preserve"> ir </w:t>
      </w:r>
      <w:proofErr w:type="spellStart"/>
      <w:r>
        <w:rPr>
          <w:bCs/>
          <w:szCs w:val="22"/>
          <w:lang w:val="lt-LT"/>
        </w:rPr>
        <w:t>hipovolemijos</w:t>
      </w:r>
      <w:proofErr w:type="spellEnd"/>
      <w:r>
        <w:rPr>
          <w:bCs/>
          <w:szCs w:val="22"/>
          <w:lang w:val="lt-LT"/>
        </w:rPr>
        <w:t xml:space="preserve"> atvejais, pateiktų 2 skyriaus dalyje „Įspėjimai“.</w:t>
      </w:r>
      <w:r>
        <w:rPr>
          <w:bCs/>
          <w:szCs w:val="22"/>
          <w:lang w:val="lt-LT" w:eastAsia="zh-CN"/>
        </w:rPr>
        <w:t xml:space="preserve"> </w:t>
      </w:r>
    </w:p>
    <w:p w:rsidR="002201C8" w:rsidRDefault="002201C8" w:rsidP="002201C8">
      <w:pPr>
        <w:numPr>
          <w:ilvl w:val="0"/>
          <w:numId w:val="1"/>
        </w:numPr>
        <w:suppressLineNumbers/>
        <w:rPr>
          <w:lang w:val="lt-LT"/>
        </w:rPr>
      </w:pPr>
      <w:proofErr w:type="spellStart"/>
      <w:r>
        <w:rPr>
          <w:lang w:val="lt-LT"/>
        </w:rPr>
        <w:t>Metabolinė</w:t>
      </w:r>
      <w:proofErr w:type="spellEnd"/>
      <w:r>
        <w:rPr>
          <w:lang w:val="lt-LT"/>
        </w:rPr>
        <w:t xml:space="preserve"> </w:t>
      </w:r>
      <w:proofErr w:type="spellStart"/>
      <w:r>
        <w:rPr>
          <w:lang w:val="lt-LT"/>
        </w:rPr>
        <w:t>acidozė</w:t>
      </w:r>
      <w:proofErr w:type="spellEnd"/>
    </w:p>
    <w:p w:rsidR="002201C8" w:rsidRDefault="002201C8" w:rsidP="002201C8">
      <w:pPr>
        <w:suppressLineNumbers/>
        <w:rPr>
          <w:lang w:val="lt-LT"/>
        </w:rPr>
      </w:pPr>
      <w:r>
        <w:rPr>
          <w:lang w:val="lt-LT"/>
        </w:rPr>
        <w:t xml:space="preserve">Jei perdozavimo atveju pasireiškia </w:t>
      </w:r>
      <w:proofErr w:type="spellStart"/>
      <w:r>
        <w:rPr>
          <w:lang w:val="lt-LT"/>
        </w:rPr>
        <w:t>metabolinė</w:t>
      </w:r>
      <w:proofErr w:type="spellEnd"/>
      <w:r>
        <w:rPr>
          <w:lang w:val="lt-LT"/>
        </w:rPr>
        <w:t xml:space="preserve"> </w:t>
      </w:r>
      <w:proofErr w:type="spellStart"/>
      <w:r>
        <w:rPr>
          <w:lang w:val="lt-LT"/>
        </w:rPr>
        <w:t>acidozė</w:t>
      </w:r>
      <w:proofErr w:type="spellEnd"/>
      <w:r>
        <w:rPr>
          <w:lang w:val="lt-LT"/>
        </w:rPr>
        <w:t xml:space="preserve"> ir (arba) </w:t>
      </w:r>
      <w:proofErr w:type="spellStart"/>
      <w:r>
        <w:rPr>
          <w:lang w:val="lt-LT"/>
        </w:rPr>
        <w:t>hiperfosfatemija</w:t>
      </w:r>
      <w:proofErr w:type="spellEnd"/>
      <w:r>
        <w:rPr>
          <w:lang w:val="lt-LT"/>
        </w:rPr>
        <w:t>, reikia nedelsiant nutraukti gydymą. Speciali</w:t>
      </w:r>
      <w:r>
        <w:rPr>
          <w:szCs w:val="22"/>
          <w:lang w:val="lt-LT"/>
        </w:rPr>
        <w:t xml:space="preserve">ų </w:t>
      </w:r>
      <w:r>
        <w:rPr>
          <w:lang w:val="lt-LT"/>
        </w:rPr>
        <w:t>priemonių perdozavimui gydyti nėra. Rizika gali būti sumažinta atidžiai stebint paciento būklę gydymo metu.</w:t>
      </w:r>
    </w:p>
    <w:p w:rsidR="002201C8" w:rsidRDefault="002201C8" w:rsidP="002201C8">
      <w:pPr>
        <w:widowControl w:val="0"/>
        <w:rPr>
          <w:bCs/>
          <w:szCs w:val="22"/>
          <w:lang w:val="lt-LT"/>
        </w:rPr>
      </w:pPr>
    </w:p>
    <w:p w:rsidR="002201C8" w:rsidRDefault="002201C8" w:rsidP="002201C8">
      <w:pPr>
        <w:rPr>
          <w:b/>
          <w:lang w:val="lt-LT"/>
        </w:rPr>
      </w:pPr>
      <w:r>
        <w:rPr>
          <w:b/>
          <w:lang w:val="lt-LT"/>
        </w:rPr>
        <w:t>Paruošimas ir (arba) vartojimas</w:t>
      </w:r>
    </w:p>
    <w:p w:rsidR="002201C8" w:rsidRDefault="002201C8" w:rsidP="002201C8">
      <w:pPr>
        <w:rPr>
          <w:lang w:val="lt-LT"/>
        </w:rPr>
      </w:pPr>
    </w:p>
    <w:p w:rsidR="002201C8" w:rsidRDefault="002201C8" w:rsidP="002201C8">
      <w:pPr>
        <w:suppressLineNumbers/>
        <w:rPr>
          <w:szCs w:val="22"/>
          <w:lang w:val="lt-LT"/>
        </w:rPr>
      </w:pPr>
      <w:r>
        <w:rPr>
          <w:szCs w:val="22"/>
          <w:lang w:val="lt-LT"/>
        </w:rPr>
        <w:t xml:space="preserve">Prieš pat vartojimą perplėšę </w:t>
      </w:r>
      <w:proofErr w:type="spellStart"/>
      <w:r>
        <w:rPr>
          <w:szCs w:val="22"/>
          <w:lang w:val="lt-LT"/>
        </w:rPr>
        <w:t>sandariklį</w:t>
      </w:r>
      <w:proofErr w:type="spellEnd"/>
      <w:r>
        <w:rPr>
          <w:szCs w:val="22"/>
          <w:lang w:val="lt-LT"/>
        </w:rPr>
        <w:t xml:space="preserve"> sumaišykite tirpalą, esantį mažajame skyriuje, su tirpalu, esančiu didžiajame skyriuje. Paruoštas tirpalas turi būti skaidrus</w:t>
      </w:r>
      <w:r w:rsidRPr="0095183D">
        <w:rPr>
          <w:szCs w:val="22"/>
          <w:lang w:val="lt-LT"/>
        </w:rPr>
        <w:t xml:space="preserve"> </w:t>
      </w:r>
      <w:r>
        <w:rPr>
          <w:szCs w:val="22"/>
          <w:lang w:val="lt-LT"/>
        </w:rPr>
        <w:t>ir bespalvis.</w:t>
      </w:r>
    </w:p>
    <w:p w:rsidR="002201C8" w:rsidRDefault="002201C8" w:rsidP="002201C8">
      <w:pPr>
        <w:suppressLineNumbers/>
        <w:rPr>
          <w:szCs w:val="22"/>
          <w:lang w:val="lt-LT"/>
        </w:rPr>
      </w:pPr>
    </w:p>
    <w:p w:rsidR="002201C8" w:rsidRDefault="002201C8" w:rsidP="002201C8">
      <w:pPr>
        <w:suppressLineNumbers/>
        <w:rPr>
          <w:lang w:val="lt-LT"/>
        </w:rPr>
      </w:pPr>
      <w:r>
        <w:rPr>
          <w:szCs w:val="22"/>
          <w:lang w:val="lt-LT"/>
        </w:rPr>
        <w:t xml:space="preserve">Leidžiant tirpalą pacientui, turi būti taikoma </w:t>
      </w:r>
      <w:proofErr w:type="spellStart"/>
      <w:r>
        <w:rPr>
          <w:szCs w:val="22"/>
          <w:lang w:val="lt-LT"/>
        </w:rPr>
        <w:t>aseptinė</w:t>
      </w:r>
      <w:proofErr w:type="spellEnd"/>
      <w:r>
        <w:rPr>
          <w:szCs w:val="22"/>
          <w:lang w:val="lt-LT"/>
        </w:rPr>
        <w:t xml:space="preserve"> technika.</w:t>
      </w:r>
      <w:r>
        <w:rPr>
          <w:lang w:val="lt-LT"/>
        </w:rPr>
        <w:t xml:space="preserve"> </w:t>
      </w:r>
    </w:p>
    <w:p w:rsidR="002201C8" w:rsidRDefault="002201C8" w:rsidP="002201C8">
      <w:pPr>
        <w:suppressLineNumbers/>
        <w:rPr>
          <w:lang w:val="lt-LT"/>
        </w:rPr>
      </w:pPr>
      <w:r w:rsidRPr="0095183D">
        <w:rPr>
          <w:lang w:val="lt-LT"/>
        </w:rPr>
        <w:t>Vartokite tik tuomet</w:t>
      </w:r>
      <w:r>
        <w:rPr>
          <w:lang w:val="lt-LT"/>
        </w:rPr>
        <w:t>, kai įsitikinsite, kad išorinė apsauginė plėvelė nepažeista</w:t>
      </w:r>
      <w:r w:rsidRPr="0095183D">
        <w:rPr>
          <w:lang w:val="lt-LT"/>
        </w:rPr>
        <w:t xml:space="preserve">, visi </w:t>
      </w:r>
      <w:proofErr w:type="spellStart"/>
      <w:r w:rsidRPr="0095183D">
        <w:rPr>
          <w:lang w:val="lt-LT"/>
        </w:rPr>
        <w:t>sandarikliai</w:t>
      </w:r>
      <w:proofErr w:type="spellEnd"/>
      <w:r w:rsidRPr="0095183D">
        <w:rPr>
          <w:lang w:val="lt-LT"/>
        </w:rPr>
        <w:t xml:space="preserve"> sveiki, perplėšiamasis </w:t>
      </w:r>
      <w:proofErr w:type="spellStart"/>
      <w:r w:rsidRPr="0095183D">
        <w:rPr>
          <w:lang w:val="lt-LT"/>
        </w:rPr>
        <w:t>sandariklis</w:t>
      </w:r>
      <w:proofErr w:type="spellEnd"/>
      <w:r w:rsidRPr="0095183D">
        <w:rPr>
          <w:lang w:val="lt-LT"/>
        </w:rPr>
        <w:t xml:space="preserve"> neperplėštas ir tirpalas yra skaidrus</w:t>
      </w:r>
      <w:r>
        <w:rPr>
          <w:lang w:val="lt-LT"/>
        </w:rPr>
        <w:t>. Stipriai suspauskite maišelį, kad patikrintumėte, ar nėra nuotėkio. Pastebėjus nuotėkį tirpalą reikia nedelsiant išmesti, nes jis nebegali būti laikomas steriliu.</w:t>
      </w:r>
    </w:p>
    <w:p w:rsidR="002201C8" w:rsidRDefault="002201C8" w:rsidP="002201C8">
      <w:pPr>
        <w:suppressLineNumbers/>
        <w:rPr>
          <w:i/>
          <w:szCs w:val="22"/>
          <w:lang w:val="lt-LT"/>
        </w:rPr>
      </w:pPr>
    </w:p>
    <w:p w:rsidR="002201C8" w:rsidRDefault="002201C8" w:rsidP="002201C8">
      <w:pPr>
        <w:suppressLineNumbers/>
        <w:rPr>
          <w:szCs w:val="22"/>
          <w:lang w:val="lt-LT"/>
        </w:rPr>
      </w:pPr>
      <w:r w:rsidRPr="003B6BFD">
        <w:rPr>
          <w:szCs w:val="22"/>
          <w:lang w:val="lt-LT"/>
        </w:rPr>
        <w:t xml:space="preserve">Didžiajame skyriuje yra speciali anga injekcijoms, skirta tam atvejui, jeigu, paruošus tirpalą, reikia pridėti kitų būtinų vaistų. Asmuo, leidžiantis vaistą, yra atsakingas už pridedamo vaisto suderinamumą su </w:t>
      </w:r>
      <w:proofErr w:type="spellStart"/>
      <w:r w:rsidRPr="003B6BFD">
        <w:rPr>
          <w:szCs w:val="22"/>
          <w:lang w:val="lt-LT"/>
        </w:rPr>
        <w:t>Biphozyl</w:t>
      </w:r>
      <w:proofErr w:type="spellEnd"/>
      <w:r w:rsidRPr="003B6BFD">
        <w:rPr>
          <w:szCs w:val="22"/>
          <w:lang w:val="lt-LT"/>
        </w:rPr>
        <w:t xml:space="preserve">, todėl privalo atidžiai patikrinti, ar nėra spalvos pokyčio ir (arba) </w:t>
      </w:r>
      <w:proofErr w:type="spellStart"/>
      <w:r w:rsidRPr="003B6BFD">
        <w:rPr>
          <w:szCs w:val="22"/>
          <w:lang w:val="lt-LT"/>
        </w:rPr>
        <w:t>precipitacijos</w:t>
      </w:r>
      <w:proofErr w:type="spellEnd"/>
      <w:r w:rsidRPr="003B6BFD">
        <w:rPr>
          <w:szCs w:val="22"/>
          <w:lang w:val="lt-LT"/>
        </w:rPr>
        <w:t xml:space="preserve">, netirpių junginių arba kristalų. Prieš pridedant vaistą, patikrinkite ar jis tirpus ir stabilus šiame tirpale ir ar </w:t>
      </w:r>
      <w:proofErr w:type="spellStart"/>
      <w:r w:rsidRPr="003B6BFD">
        <w:rPr>
          <w:szCs w:val="22"/>
          <w:lang w:val="lt-LT"/>
        </w:rPr>
        <w:t>Biphozyl</w:t>
      </w:r>
      <w:proofErr w:type="spellEnd"/>
      <w:r w:rsidRPr="003B6BFD">
        <w:rPr>
          <w:szCs w:val="22"/>
          <w:lang w:val="lt-LT"/>
        </w:rPr>
        <w:t xml:space="preserve"> pH</w:t>
      </w:r>
      <w:r>
        <w:rPr>
          <w:szCs w:val="22"/>
          <w:lang w:val="lt-LT"/>
        </w:rPr>
        <w:t> </w:t>
      </w:r>
      <w:r w:rsidRPr="003B6BFD">
        <w:rPr>
          <w:szCs w:val="22"/>
          <w:lang w:val="lt-LT"/>
        </w:rPr>
        <w:t xml:space="preserve">ribos yra tinkamos (paruošto tirpalo pH yra 7,0–8,0). Priedai gali būti nesuderinami. Reikia atidžiai perskaityti informaciją pridedamo vaisto pakuotės lapelyje. </w:t>
      </w:r>
    </w:p>
    <w:p w:rsidR="002201C8" w:rsidRDefault="002201C8" w:rsidP="002201C8">
      <w:pPr>
        <w:suppressLineNumbers/>
        <w:rPr>
          <w:szCs w:val="22"/>
          <w:lang w:val="lt-LT"/>
        </w:rPr>
      </w:pPr>
    </w:p>
    <w:p w:rsidR="002201C8" w:rsidRDefault="002201C8" w:rsidP="002201C8">
      <w:pPr>
        <w:suppressLineNumbers/>
        <w:rPr>
          <w:szCs w:val="22"/>
          <w:lang w:val="lt-LT"/>
        </w:rPr>
      </w:pPr>
      <w:r>
        <w:rPr>
          <w:szCs w:val="22"/>
          <w:lang w:val="lt-LT"/>
        </w:rPr>
        <w:t>Pridėjus papildomo vaisto reikia gerai sumaišyti tirpalą.</w:t>
      </w:r>
      <w:r w:rsidRPr="009A41F4">
        <w:t xml:space="preserve"> </w:t>
      </w:r>
      <w:r w:rsidRPr="00636D76">
        <w:t>Pried</w:t>
      </w:r>
      <w:proofErr w:type="spellStart"/>
      <w:r>
        <w:rPr>
          <w:lang w:val="lt-LT"/>
        </w:rPr>
        <w:t>us</w:t>
      </w:r>
      <w:proofErr w:type="spellEnd"/>
      <w:r>
        <w:rPr>
          <w:lang w:val="lt-LT"/>
        </w:rPr>
        <w:t xml:space="preserve"> pridėti ir sumaišyti visada būtina prieš prijungiant tirpalo maišelį prie </w:t>
      </w:r>
      <w:proofErr w:type="spellStart"/>
      <w:r>
        <w:t>ekstrakorporinės</w:t>
      </w:r>
      <w:proofErr w:type="spellEnd"/>
      <w:r>
        <w:rPr>
          <w:lang w:val="lt-LT"/>
        </w:rPr>
        <w:t xml:space="preserve"> apytakos.</w:t>
      </w:r>
    </w:p>
    <w:p w:rsidR="002201C8" w:rsidRDefault="002201C8" w:rsidP="002201C8">
      <w:pPr>
        <w:ind w:left="567" w:right="-143" w:hanging="567"/>
        <w:rPr>
          <w:b/>
          <w:bCs/>
          <w:lang w:val="lt-LT" w:eastAsia="sv-SE"/>
        </w:rPr>
      </w:pPr>
    </w:p>
    <w:p w:rsidR="002201C8" w:rsidRDefault="002201C8" w:rsidP="002201C8">
      <w:pPr>
        <w:ind w:left="567" w:right="-143" w:hanging="567"/>
        <w:rPr>
          <w:szCs w:val="22"/>
          <w:lang w:val="lt-LT"/>
        </w:rPr>
      </w:pPr>
      <w:r>
        <w:rPr>
          <w:b/>
          <w:bCs/>
          <w:lang w:val="lt-LT" w:eastAsia="sv-SE"/>
        </w:rPr>
        <w:t xml:space="preserve">I. </w:t>
      </w:r>
      <w:r>
        <w:rPr>
          <w:b/>
          <w:bCs/>
          <w:lang w:val="lt-LT" w:eastAsia="sv-SE"/>
        </w:rPr>
        <w:tab/>
      </w:r>
      <w:r>
        <w:rPr>
          <w:szCs w:val="22"/>
          <w:lang w:val="lt-LT"/>
        </w:rPr>
        <w:t xml:space="preserve">Atidarykite </w:t>
      </w:r>
      <w:proofErr w:type="spellStart"/>
      <w:r>
        <w:rPr>
          <w:szCs w:val="22"/>
          <w:lang w:val="lt-LT"/>
        </w:rPr>
        <w:t>sandariklį</w:t>
      </w:r>
      <w:proofErr w:type="spellEnd"/>
      <w:r>
        <w:rPr>
          <w:szCs w:val="22"/>
          <w:lang w:val="lt-LT"/>
        </w:rPr>
        <w:t xml:space="preserve">: abiem rankomis laikykite mažąjį skyrių ir suspauskite jį, kol perplėšiamajame </w:t>
      </w:r>
      <w:proofErr w:type="spellStart"/>
      <w:r>
        <w:rPr>
          <w:szCs w:val="22"/>
          <w:lang w:val="lt-LT"/>
        </w:rPr>
        <w:t>sandariklyje</w:t>
      </w:r>
      <w:proofErr w:type="spellEnd"/>
      <w:r>
        <w:rPr>
          <w:szCs w:val="22"/>
          <w:lang w:val="lt-LT"/>
        </w:rPr>
        <w:t xml:space="preserve"> atsiras plyšys tarp abiejų skyrių (žr. toliau I pav.).</w:t>
      </w:r>
    </w:p>
    <w:p w:rsidR="002201C8" w:rsidRDefault="002201C8" w:rsidP="002201C8">
      <w:pPr>
        <w:pStyle w:val="Tekstoblokas"/>
        <w:tabs>
          <w:tab w:val="clear" w:pos="567"/>
          <w:tab w:val="left" w:pos="720"/>
        </w:tabs>
        <w:ind w:left="567" w:hanging="567"/>
        <w:rPr>
          <w:sz w:val="22"/>
          <w:szCs w:val="22"/>
          <w:lang w:val="lt-LT"/>
        </w:rPr>
      </w:pPr>
      <w:r>
        <w:rPr>
          <w:sz w:val="22"/>
          <w:szCs w:val="22"/>
          <w:lang w:val="lt-LT"/>
        </w:rPr>
        <w:t xml:space="preserve">II. </w:t>
      </w:r>
      <w:r>
        <w:rPr>
          <w:sz w:val="22"/>
          <w:szCs w:val="22"/>
          <w:lang w:val="lt-LT"/>
        </w:rPr>
        <w:tab/>
      </w:r>
      <w:r>
        <w:rPr>
          <w:b w:val="0"/>
          <w:sz w:val="22"/>
          <w:lang w:val="lt-LT"/>
        </w:rPr>
        <w:t xml:space="preserve">Abiem rankomis spauskite didįjį skyrių, kol perplėšiamasis </w:t>
      </w:r>
      <w:proofErr w:type="spellStart"/>
      <w:r>
        <w:rPr>
          <w:b w:val="0"/>
          <w:sz w:val="22"/>
          <w:lang w:val="lt-LT"/>
        </w:rPr>
        <w:t>sandariklis</w:t>
      </w:r>
      <w:proofErr w:type="spellEnd"/>
      <w:r>
        <w:rPr>
          <w:b w:val="0"/>
          <w:sz w:val="22"/>
          <w:lang w:val="lt-LT"/>
        </w:rPr>
        <w:t xml:space="preserve"> tarp abiejų skyrių visiškai atsivers</w:t>
      </w:r>
      <w:r>
        <w:rPr>
          <w:lang w:val="lt-LT"/>
        </w:rPr>
        <w:t xml:space="preserve"> </w:t>
      </w:r>
      <w:r>
        <w:rPr>
          <w:b w:val="0"/>
          <w:sz w:val="22"/>
          <w:lang w:val="lt-LT"/>
        </w:rPr>
        <w:t>(žr. toliau II pav.).</w:t>
      </w:r>
    </w:p>
    <w:p w:rsidR="002201C8" w:rsidRDefault="002201C8" w:rsidP="002201C8">
      <w:pPr>
        <w:ind w:left="567" w:right="-143" w:hanging="567"/>
        <w:rPr>
          <w:szCs w:val="22"/>
          <w:lang w:val="lt-LT"/>
        </w:rPr>
      </w:pPr>
      <w:r>
        <w:rPr>
          <w:b/>
          <w:bCs/>
          <w:szCs w:val="22"/>
          <w:lang w:val="lt-LT"/>
        </w:rPr>
        <w:t>III.</w:t>
      </w:r>
      <w:r>
        <w:rPr>
          <w:b/>
          <w:bCs/>
          <w:szCs w:val="22"/>
          <w:lang w:val="lt-LT"/>
        </w:rPr>
        <w:tab/>
      </w:r>
      <w:r>
        <w:rPr>
          <w:szCs w:val="22"/>
          <w:lang w:val="lt-LT"/>
        </w:rPr>
        <w:t>Švelniai kratydami maišelį, gerai sumaišykite tirpalą. Dabar jis paruoštas vartoti; maišelį galima kabinti ant įrangos (žr. toliau III pav.).</w:t>
      </w:r>
    </w:p>
    <w:p w:rsidR="002201C8" w:rsidRDefault="002201C8" w:rsidP="002201C8">
      <w:pPr>
        <w:ind w:left="567" w:right="-143" w:hanging="567"/>
        <w:rPr>
          <w:szCs w:val="22"/>
          <w:lang w:val="lt-LT"/>
        </w:rPr>
      </w:pPr>
      <w:r>
        <w:rPr>
          <w:b/>
          <w:bCs/>
          <w:szCs w:val="22"/>
          <w:lang w:val="lt-LT"/>
        </w:rPr>
        <w:t>IV.</w:t>
      </w:r>
      <w:r>
        <w:rPr>
          <w:b/>
          <w:bCs/>
          <w:szCs w:val="22"/>
          <w:lang w:val="lt-LT"/>
        </w:rPr>
        <w:tab/>
      </w:r>
      <w:r>
        <w:rPr>
          <w:szCs w:val="22"/>
          <w:lang w:val="lt-LT"/>
        </w:rPr>
        <w:t>Dializės arba pakaitinę liniją galima prijungti prie vieno iš dviejų prievadų.</w:t>
      </w:r>
    </w:p>
    <w:p w:rsidR="002201C8" w:rsidRDefault="002201C8" w:rsidP="002201C8">
      <w:pPr>
        <w:ind w:left="567" w:right="-143" w:hanging="567"/>
        <w:rPr>
          <w:szCs w:val="22"/>
          <w:lang w:val="lt-LT"/>
        </w:rPr>
      </w:pPr>
      <w:proofErr w:type="spellStart"/>
      <w:r>
        <w:rPr>
          <w:b/>
          <w:bCs/>
          <w:szCs w:val="22"/>
          <w:lang w:val="lt-LT" w:eastAsia="sv-SE"/>
        </w:rPr>
        <w:t>IVa</w:t>
      </w:r>
      <w:proofErr w:type="spellEnd"/>
      <w:r>
        <w:rPr>
          <w:b/>
          <w:bCs/>
          <w:szCs w:val="22"/>
          <w:lang w:val="lt-LT" w:eastAsia="sv-SE"/>
        </w:rPr>
        <w:t>.</w:t>
      </w:r>
      <w:r>
        <w:rPr>
          <w:b/>
          <w:bCs/>
          <w:szCs w:val="22"/>
          <w:lang w:val="lt-LT" w:eastAsia="sv-SE"/>
        </w:rPr>
        <w:tab/>
      </w:r>
      <w:r>
        <w:rPr>
          <w:szCs w:val="22"/>
          <w:lang w:val="lt-LT"/>
        </w:rPr>
        <w:t xml:space="preserve">Jeigu naudojama </w:t>
      </w:r>
      <w:proofErr w:type="spellStart"/>
      <w:r w:rsidRPr="00AB382A">
        <w:rPr>
          <w:i/>
          <w:szCs w:val="22"/>
          <w:lang w:val="lt-LT"/>
        </w:rPr>
        <w:t>Luer</w:t>
      </w:r>
      <w:proofErr w:type="spellEnd"/>
      <w:r>
        <w:rPr>
          <w:szCs w:val="22"/>
          <w:lang w:val="lt-LT"/>
        </w:rPr>
        <w:t xml:space="preserve"> jungtis, pasukdami ir patraukdami nuimkite dangtelį, paskui paspausdami ir pasukdami tvirtai įstatykite dializės arba pakaitinės linijos kištukinę </w:t>
      </w:r>
      <w:proofErr w:type="spellStart"/>
      <w:r w:rsidRPr="00AB382A">
        <w:rPr>
          <w:i/>
          <w:szCs w:val="22"/>
          <w:lang w:val="lt-LT"/>
        </w:rPr>
        <w:t>Luer</w:t>
      </w:r>
      <w:proofErr w:type="spellEnd"/>
      <w:r>
        <w:rPr>
          <w:szCs w:val="22"/>
          <w:lang w:val="lt-LT"/>
        </w:rPr>
        <w:t xml:space="preserve"> jungtį į atitinkamą maišelio </w:t>
      </w:r>
      <w:proofErr w:type="spellStart"/>
      <w:r w:rsidRPr="00AB382A">
        <w:rPr>
          <w:i/>
          <w:szCs w:val="22"/>
          <w:lang w:val="lt-LT"/>
        </w:rPr>
        <w:t>Luer</w:t>
      </w:r>
      <w:proofErr w:type="spellEnd"/>
      <w:r>
        <w:rPr>
          <w:szCs w:val="22"/>
          <w:lang w:val="lt-LT"/>
        </w:rPr>
        <w:t xml:space="preserve"> jungties lizdą. Patikrinkite, ar kištukas įstatytas iki galo, ir pritvirtinkite. Dabar jungiamasis elementas atvertas. Patikrinkite, ar skystis gali laisvai tekėti (žr. toliau </w:t>
      </w:r>
      <w:proofErr w:type="spellStart"/>
      <w:r>
        <w:rPr>
          <w:szCs w:val="22"/>
          <w:lang w:val="lt-LT"/>
        </w:rPr>
        <w:t>IV.a</w:t>
      </w:r>
      <w:proofErr w:type="spellEnd"/>
      <w:r>
        <w:rPr>
          <w:szCs w:val="22"/>
          <w:lang w:val="lt-LT"/>
        </w:rPr>
        <w:t> pav.).</w:t>
      </w:r>
    </w:p>
    <w:p w:rsidR="002201C8" w:rsidRDefault="002201C8" w:rsidP="002201C8">
      <w:pPr>
        <w:ind w:left="567" w:right="-143" w:hanging="27"/>
        <w:rPr>
          <w:szCs w:val="22"/>
          <w:lang w:val="lt-LT"/>
        </w:rPr>
      </w:pPr>
      <w:r>
        <w:rPr>
          <w:szCs w:val="22"/>
          <w:lang w:val="lt-LT"/>
        </w:rPr>
        <w:t xml:space="preserve">Dializės arba pakaitinę liniją atjungus nuo </w:t>
      </w:r>
      <w:proofErr w:type="spellStart"/>
      <w:r w:rsidRPr="00AB382A">
        <w:rPr>
          <w:i/>
          <w:szCs w:val="22"/>
          <w:lang w:val="lt-LT"/>
        </w:rPr>
        <w:t>Luer</w:t>
      </w:r>
      <w:proofErr w:type="spellEnd"/>
      <w:r>
        <w:rPr>
          <w:szCs w:val="22"/>
          <w:lang w:val="lt-LT"/>
        </w:rPr>
        <w:t xml:space="preserve"> jungties, jungiamasis elementas užsivers ir skystis nustos tekėti. </w:t>
      </w:r>
      <w:proofErr w:type="spellStart"/>
      <w:r w:rsidRPr="00AB382A">
        <w:rPr>
          <w:i/>
          <w:szCs w:val="22"/>
          <w:lang w:val="lt-LT"/>
        </w:rPr>
        <w:t>Luer</w:t>
      </w:r>
      <w:proofErr w:type="spellEnd"/>
      <w:r>
        <w:rPr>
          <w:szCs w:val="22"/>
          <w:lang w:val="lt-LT"/>
        </w:rPr>
        <w:t xml:space="preserve"> jungtis yra be adatų ir ją galima valyti tamponu.</w:t>
      </w:r>
    </w:p>
    <w:p w:rsidR="002201C8" w:rsidRDefault="002201C8" w:rsidP="002201C8">
      <w:pPr>
        <w:ind w:left="567" w:right="-143" w:hanging="567"/>
        <w:rPr>
          <w:lang w:val="lt-LT"/>
        </w:rPr>
      </w:pPr>
      <w:proofErr w:type="spellStart"/>
      <w:r>
        <w:rPr>
          <w:b/>
          <w:bCs/>
          <w:szCs w:val="22"/>
          <w:lang w:val="lt-LT" w:eastAsia="sv-SE"/>
        </w:rPr>
        <w:t>IVb</w:t>
      </w:r>
      <w:proofErr w:type="spellEnd"/>
      <w:r>
        <w:rPr>
          <w:b/>
          <w:bCs/>
          <w:szCs w:val="22"/>
          <w:lang w:val="lt-LT" w:eastAsia="sv-SE"/>
        </w:rPr>
        <w:t>.</w:t>
      </w:r>
      <w:r>
        <w:rPr>
          <w:b/>
          <w:bCs/>
          <w:szCs w:val="22"/>
          <w:lang w:val="lt-LT" w:eastAsia="sv-SE"/>
        </w:rPr>
        <w:tab/>
      </w:r>
      <w:r>
        <w:rPr>
          <w:lang w:val="lt-LT"/>
        </w:rPr>
        <w:t xml:space="preserve">Jeigu naudojama injekcijos (arba adatinė) jungtis, pirma nuimkite dangtelį. </w:t>
      </w:r>
      <w:r w:rsidRPr="0018084E">
        <w:rPr>
          <w:lang w:val="lt-LT"/>
        </w:rPr>
        <w:t>Prievadą vaistų suleidimui galima valyti tamponu.</w:t>
      </w:r>
      <w:r>
        <w:rPr>
          <w:lang w:val="lt-LT"/>
        </w:rPr>
        <w:t xml:space="preserve"> Pradurkite guminę pertvarą adata. Patikrinkite, ar skystis gali laisvai tekėti (žr. toliau </w:t>
      </w:r>
      <w:proofErr w:type="spellStart"/>
      <w:r>
        <w:rPr>
          <w:lang w:val="lt-LT"/>
        </w:rPr>
        <w:t>IV.b</w:t>
      </w:r>
      <w:proofErr w:type="spellEnd"/>
      <w:r>
        <w:rPr>
          <w:lang w:val="lt-LT"/>
        </w:rPr>
        <w:t> pav.).</w:t>
      </w:r>
    </w:p>
    <w:p w:rsidR="002201C8" w:rsidRDefault="002201C8" w:rsidP="002201C8">
      <w:pPr>
        <w:rPr>
          <w:lang w:val="lt-LT"/>
        </w:rPr>
      </w:pPr>
    </w:p>
    <w:p w:rsidR="002201C8" w:rsidRDefault="002201C8" w:rsidP="002201C8">
      <w:pPr>
        <w:rPr>
          <w:lang w:val="lt-LT"/>
        </w:rPr>
      </w:pPr>
      <w:r>
        <w:rPr>
          <w:noProof/>
          <w:lang w:val="lt-LT" w:eastAsia="lt-LT"/>
        </w:rPr>
        <w:drawing>
          <wp:anchor distT="0" distB="0" distL="114300" distR="114300" simplePos="0" relativeHeight="251659264" behindDoc="0" locked="0" layoutInCell="1" allowOverlap="0" wp14:anchorId="6A2C0B06" wp14:editId="36AFCB9C">
            <wp:simplePos x="0" y="0"/>
            <wp:positionH relativeFrom="margin">
              <wp:align>right</wp:align>
            </wp:positionH>
            <wp:positionV relativeFrom="page">
              <wp:posOffset>5886450</wp:posOffset>
            </wp:positionV>
            <wp:extent cx="6068060" cy="209931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68060" cy="2099310"/>
                    </a:xfrm>
                    <a:prstGeom prst="rect">
                      <a:avLst/>
                    </a:prstGeom>
                    <a:noFill/>
                  </pic:spPr>
                </pic:pic>
              </a:graphicData>
            </a:graphic>
            <wp14:sizeRelH relativeFrom="page">
              <wp14:pctWidth>0</wp14:pctWidth>
            </wp14:sizeRelH>
            <wp14:sizeRelV relativeFrom="page">
              <wp14:pctHeight>0</wp14:pctHeight>
            </wp14:sizeRelV>
          </wp:anchor>
        </w:drawing>
      </w:r>
    </w:p>
    <w:p w:rsidR="002201C8" w:rsidRDefault="002201C8" w:rsidP="002201C8">
      <w:pPr>
        <w:numPr>
          <w:ilvl w:val="12"/>
          <w:numId w:val="0"/>
        </w:numPr>
        <w:tabs>
          <w:tab w:val="clear" w:pos="567"/>
          <w:tab w:val="left" w:pos="720"/>
        </w:tabs>
        <w:spacing w:line="240" w:lineRule="auto"/>
        <w:ind w:right="-2"/>
        <w:outlineLvl w:val="0"/>
        <w:rPr>
          <w:szCs w:val="22"/>
          <w:lang w:val="lt-LT"/>
        </w:rPr>
      </w:pPr>
      <w:r>
        <w:rPr>
          <w:szCs w:val="22"/>
          <w:lang w:val="lt-LT"/>
        </w:rPr>
        <w:t xml:space="preserve">Paruoštas tirpalas skirtas vartoti tik vieną kartą. Nesuvartotą tirpalą reikia sunaikinti. </w:t>
      </w:r>
    </w:p>
    <w:p w:rsidR="002201C8" w:rsidRDefault="002201C8" w:rsidP="002201C8">
      <w:pPr>
        <w:numPr>
          <w:ilvl w:val="12"/>
          <w:numId w:val="0"/>
        </w:numPr>
        <w:tabs>
          <w:tab w:val="clear" w:pos="567"/>
          <w:tab w:val="left" w:pos="720"/>
        </w:tabs>
        <w:spacing w:line="240" w:lineRule="auto"/>
        <w:ind w:right="-2"/>
        <w:outlineLvl w:val="0"/>
        <w:rPr>
          <w:szCs w:val="22"/>
          <w:lang w:val="lt-LT"/>
        </w:rPr>
      </w:pPr>
      <w:r>
        <w:rPr>
          <w:szCs w:val="22"/>
          <w:lang w:val="lt-LT"/>
        </w:rPr>
        <w:t xml:space="preserve">Tirpalą be žalos aplinkai galima išpilti į kanalizaciją. </w:t>
      </w:r>
    </w:p>
    <w:p w:rsidR="002201C8" w:rsidRDefault="002201C8" w:rsidP="002201C8">
      <w:pPr>
        <w:numPr>
          <w:ilvl w:val="12"/>
          <w:numId w:val="0"/>
        </w:numPr>
        <w:tabs>
          <w:tab w:val="clear" w:pos="567"/>
          <w:tab w:val="left" w:pos="720"/>
        </w:tabs>
        <w:spacing w:line="240" w:lineRule="auto"/>
        <w:ind w:right="-2"/>
        <w:outlineLvl w:val="0"/>
        <w:rPr>
          <w:szCs w:val="22"/>
          <w:lang w:val="lt-LT"/>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4251688D"/>
    <w:multiLevelType w:val="hybridMultilevel"/>
    <w:tmpl w:val="61740824"/>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DA6F79"/>
    <w:multiLevelType w:val="hybridMultilevel"/>
    <w:tmpl w:val="28023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2D65170"/>
    <w:multiLevelType w:val="hybridMultilevel"/>
    <w:tmpl w:val="15F267BC"/>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360"/>
        <w:lvlJc w:val="left"/>
        <w:pPr>
          <w:ind w:left="360" w:hanging="360"/>
        </w:pPr>
        <w:rPr>
          <w:rFonts w:cs="Times New Roman"/>
        </w:rPr>
      </w:lvl>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1C8"/>
    <w:rsid w:val="00072F85"/>
    <w:rsid w:val="000A5E72"/>
    <w:rsid w:val="000A7B60"/>
    <w:rsid w:val="00181364"/>
    <w:rsid w:val="002201C8"/>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A6CB8-A701-42E4-A7DB-9AFF3CFE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01C8"/>
    <w:pPr>
      <w:tabs>
        <w:tab w:val="left" w:pos="567"/>
      </w:tabs>
      <w:snapToGrid w:val="0"/>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2201C8"/>
    <w:rPr>
      <w:color w:val="0000FF"/>
      <w:u w:val="single"/>
    </w:rPr>
  </w:style>
  <w:style w:type="paragraph" w:styleId="Pagrindinistekstas">
    <w:name w:val="Body Text"/>
    <w:basedOn w:val="prastasis"/>
    <w:link w:val="PagrindinistekstasDiagrama"/>
    <w:uiPriority w:val="99"/>
    <w:unhideWhenUsed/>
    <w:rsid w:val="002201C8"/>
    <w:pPr>
      <w:tabs>
        <w:tab w:val="clear" w:pos="567"/>
      </w:tabs>
      <w:snapToGrid/>
      <w:spacing w:line="240" w:lineRule="auto"/>
    </w:pPr>
    <w:rPr>
      <w:rFonts w:eastAsia="SimSun"/>
      <w:i/>
      <w:color w:val="008000"/>
      <w:sz w:val="20"/>
      <w:lang w:eastAsia="x-none"/>
    </w:rPr>
  </w:style>
  <w:style w:type="character" w:customStyle="1" w:styleId="PagrindinistekstasDiagrama">
    <w:name w:val="Pagrindinis tekstas Diagrama"/>
    <w:basedOn w:val="Numatytasispastraiposriftas"/>
    <w:link w:val="Pagrindinistekstas"/>
    <w:uiPriority w:val="99"/>
    <w:rsid w:val="002201C8"/>
    <w:rPr>
      <w:rFonts w:ascii="Times New Roman" w:eastAsia="SimSun" w:hAnsi="Times New Roman" w:cs="Times New Roman"/>
      <w:i/>
      <w:color w:val="008000"/>
      <w:sz w:val="20"/>
      <w:szCs w:val="20"/>
      <w:lang w:val="en-GB" w:eastAsia="x-none"/>
    </w:rPr>
  </w:style>
  <w:style w:type="paragraph" w:styleId="Tekstoblokas">
    <w:name w:val="Block Text"/>
    <w:basedOn w:val="prastasis"/>
    <w:unhideWhenUsed/>
    <w:rsid w:val="002201C8"/>
    <w:pPr>
      <w:snapToGrid/>
      <w:spacing w:line="240" w:lineRule="auto"/>
      <w:ind w:left="426" w:right="-143" w:hanging="426"/>
    </w:pPr>
    <w:rPr>
      <w:b/>
      <w:bCs/>
      <w:sz w:val="24"/>
      <w:lang w:eastAsia="sv-SE"/>
    </w:rPr>
  </w:style>
  <w:style w:type="paragraph" w:customStyle="1" w:styleId="BodyText31">
    <w:name w:val="Body Text 31"/>
    <w:basedOn w:val="prastasis"/>
    <w:rsid w:val="002201C8"/>
    <w:pPr>
      <w:tabs>
        <w:tab w:val="clear" w:pos="567"/>
        <w:tab w:val="left" w:pos="360"/>
      </w:tabs>
      <w:overflowPunct w:val="0"/>
      <w:autoSpaceDE w:val="0"/>
      <w:autoSpaceDN w:val="0"/>
      <w:adjustRightInd w:val="0"/>
      <w:snapToGrid/>
      <w:spacing w:line="240" w:lineRule="auto"/>
      <w:jc w:val="both"/>
    </w:pPr>
    <w:rPr>
      <w:rFonts w:eastAsia="SimSun"/>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12374</Words>
  <Characters>7054</Characters>
  <Application>Microsoft Office Word</Application>
  <DocSecurity>0</DocSecurity>
  <Lines>58</Lines>
  <Paragraphs>38</Paragraphs>
  <ScaleCrop>false</ScaleCrop>
  <HeadingPairs>
    <vt:vector size="4" baseType="variant">
      <vt:variant>
        <vt:lpstr>Pavadinimas</vt:lpstr>
      </vt:variant>
      <vt:variant>
        <vt:i4>1</vt:i4>
      </vt:variant>
      <vt:variant>
        <vt:lpstr>Antraštės</vt:lpstr>
      </vt:variant>
      <vt:variant>
        <vt:i4>21</vt:i4>
      </vt:variant>
    </vt:vector>
  </HeadingPairs>
  <TitlesOfParts>
    <vt:vector size="22" baseType="lpstr">
      <vt:lpstr/>
      <vt:lpstr>Apie ką rašoma šiame lapelyje?</vt:lpstr>
      <vt:lpstr/>
      <vt:lpstr>Biphozyl vartoti negalima, jei:</vt:lpstr>
      <vt:lpstr>Nėštumas, žindymo laikotarpis ir vaisingumas</vt:lpstr>
      <vt:lpstr>Vairavimas ir mechanizmų valdymas</vt:lpstr>
      <vt:lpstr>Šį vaistą laikykite vaikams nepastebimoje ir nepasiekiamoje vietoje.</vt:lpstr>
      <vt:lpstr/>
      <vt:lpstr>Ant etiketės ir pakuotės po „Tinka iki/EXP“ nurodytam tinkamumo laikui pasibaigu</vt:lpstr>
      <vt:lpstr/>
      <vt:lpstr>Šiam vaistui specialių laikymo sąlygų nereikia. Negalima užšaldyti.</vt:lpstr>
      <vt:lpstr/>
      <vt:lpstr/>
      <vt:lpstr>Pastebėjus, kad pakuotė pažeista arba jei tirpale yra matomų dalelių, šio vaisto</vt:lpstr>
      <vt:lpstr>Šis pakuotės lapelis paskutinį kartą peržiūrėtas 2025-02-03.</vt:lpstr>
      <vt:lpstr/>
      <vt:lpstr/>
      <vt:lpstr>Toliau pateikta informacija skirta tik sveikatos priežiūros specialistams:</vt:lpstr>
      <vt:lpstr/>
      <vt:lpstr>Paruoštas tirpalas skirtas vartoti tik vieną kartą. Nesuvartotą tirpalą reikia s</vt:lpstr>
      <vt:lpstr>Tirpalą be žalos aplinkai galima išpilti į kanalizaciją. </vt:lpstr>
      <vt:lpstr/>
    </vt:vector>
  </TitlesOfParts>
  <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2025-01-31T12:39:00Z</dcterms:created>
  <dcterms:modified xsi:type="dcterms:W3CDTF">2025-01-31T12:39:00Z</dcterms:modified>
</cp:coreProperties>
</file>