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I PRIEDAS</w:t>
      </w:r>
    </w:p>
    <w:p w:rsidR="004C4B9C" w:rsidRPr="00AC0A8F" w:rsidRDefault="004C4B9C" w:rsidP="004C4B9C">
      <w:pPr>
        <w:tabs>
          <w:tab w:val="left" w:pos="567"/>
        </w:tabs>
        <w:spacing w:after="0" w:line="240" w:lineRule="auto"/>
        <w:jc w:val="center"/>
        <w:rPr>
          <w:rFonts w:ascii="Times New Roman" w:eastAsia="Times New Roman" w:hAnsi="Times New Roman" w:cs="Times New Roman"/>
          <w:b/>
          <w:bCs/>
          <w:lang w:eastAsia="lt-LT"/>
        </w:rPr>
      </w:pPr>
    </w:p>
    <w:p w:rsidR="004C4B9C" w:rsidRPr="00AC0A8F" w:rsidRDefault="004C4B9C" w:rsidP="004C4B9C">
      <w:pPr>
        <w:tabs>
          <w:tab w:val="left" w:pos="567"/>
        </w:tabs>
        <w:spacing w:after="0" w:line="240" w:lineRule="auto"/>
        <w:jc w:val="center"/>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PREPARATO CHARAKTERISTIKŲ SANTRAUKA</w:t>
      </w:r>
    </w:p>
    <w:p w:rsidR="004C4B9C" w:rsidRPr="00AC0A8F" w:rsidRDefault="004C4B9C" w:rsidP="004C4B9C">
      <w:pPr>
        <w:tabs>
          <w:tab w:val="left" w:pos="567"/>
        </w:tabs>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spacing w:after="0" w:line="240" w:lineRule="auto"/>
        <w:jc w:val="center"/>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Cs/>
          <w:lang w:eastAsia="lt-LT"/>
        </w:rPr>
        <w:br w:type="page"/>
      </w:r>
      <w:r w:rsidRPr="00AC0A8F">
        <w:rPr>
          <w:rFonts w:ascii="Times New Roman" w:eastAsia="Times New Roman" w:hAnsi="Times New Roman" w:cs="Times New Roman"/>
          <w:b/>
          <w:bCs/>
          <w:lang w:eastAsia="lt-LT"/>
        </w:rPr>
        <w:lastRenderedPageBreak/>
        <w:t>1.</w:t>
      </w:r>
      <w:r w:rsidRPr="00AC0A8F">
        <w:rPr>
          <w:rFonts w:ascii="Times New Roman" w:eastAsia="Times New Roman" w:hAnsi="Times New Roman" w:cs="Times New Roman"/>
          <w:b/>
          <w:bCs/>
          <w:lang w:eastAsia="lt-LT"/>
        </w:rPr>
        <w:tab/>
        <w:t>VAISTINIO PREPARATO PAVADINIMAS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 Ingen Pharma 40 mg plėvele dengtos tabletės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highlight w:val="lightGray"/>
          <w:lang w:eastAsia="lt-LT"/>
        </w:rPr>
        <w:t>Telmisartan Ingen Pharma 80 mg plėvele dengtos tabletės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2.</w:t>
      </w:r>
      <w:r w:rsidRPr="00AC0A8F">
        <w:rPr>
          <w:rFonts w:ascii="Times New Roman" w:eastAsia="Times New Roman" w:hAnsi="Times New Roman" w:cs="Times New Roman"/>
          <w:b/>
          <w:bCs/>
          <w:lang w:eastAsia="lt-LT"/>
        </w:rPr>
        <w:tab/>
        <w:t>KOKYBINĖ IR KIEKYBINĖ SUDĖTIS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Kiekvienoje plėvele dengtoje tabletėje yra 40 mg telmisartano.</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highlight w:val="lightGray"/>
          <w:lang w:eastAsia="lt-LT"/>
        </w:rPr>
        <w:t>Kiekvienoje plėvele dengtoje tabletėje yra 80 mg telmisartano.</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 xml:space="preserve">Pagalbinė medžiaga, </w:t>
      </w:r>
      <w:r w:rsidRPr="00AC0A8F">
        <w:rPr>
          <w:rFonts w:ascii="Times New Roman" w:eastAsia="Times New Roman" w:hAnsi="Times New Roman" w:cs="Times New Roman"/>
          <w:noProof/>
          <w:u w:val="single"/>
          <w:lang w:eastAsia="lt-LT"/>
        </w:rPr>
        <w:t xml:space="preserve">kurios </w:t>
      </w:r>
      <w:r w:rsidRPr="00AC0A8F">
        <w:rPr>
          <w:rFonts w:ascii="Times New Roman" w:eastAsia="Times New Roman" w:hAnsi="Times New Roman" w:cs="Times New Roman"/>
          <w:u w:val="single"/>
          <w:lang w:eastAsia="lt-LT"/>
        </w:rPr>
        <w:t xml:space="preserve">poveikis žinomas </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Kiekvienoje Telmisartan Ingen Pharma 40 mg plėvele dengtoje tabletėje</w:t>
      </w:r>
      <w:r w:rsidRPr="00AC0A8F">
        <w:rPr>
          <w:rFonts w:ascii="Times New Roman" w:eastAsia="Times New Roman" w:hAnsi="Times New Roman" w:cs="Times New Roman"/>
          <w:u w:val="single"/>
          <w:lang w:eastAsia="lt-LT"/>
        </w:rPr>
        <w:t xml:space="preserve"> </w:t>
      </w:r>
      <w:r w:rsidRPr="00AC0A8F">
        <w:rPr>
          <w:rFonts w:ascii="Times New Roman" w:eastAsia="Times New Roman" w:hAnsi="Times New Roman" w:cs="Times New Roman"/>
          <w:lang w:eastAsia="lt-LT"/>
        </w:rPr>
        <w:t>yra 217,35 mg</w:t>
      </w:r>
      <w:r w:rsidRPr="00AC0A8F">
        <w:rPr>
          <w:rFonts w:ascii="Times New Roman" w:eastAsia="Times New Roman" w:hAnsi="Times New Roman" w:cs="Times New Roman"/>
          <w:u w:val="single"/>
          <w:lang w:eastAsia="lt-LT"/>
        </w:rPr>
        <w:t xml:space="preserve"> </w:t>
      </w:r>
      <w:r w:rsidRPr="00AC0A8F">
        <w:rPr>
          <w:rFonts w:ascii="Times New Roman" w:eastAsia="Times New Roman" w:hAnsi="Times New Roman" w:cs="Times New Roman"/>
          <w:iCs/>
          <w:lang w:eastAsia="lt-LT"/>
        </w:rPr>
        <w:t>l</w:t>
      </w:r>
      <w:r w:rsidRPr="00AC0A8F">
        <w:rPr>
          <w:rFonts w:ascii="Times New Roman" w:eastAsia="Times New Roman" w:hAnsi="Times New Roman" w:cs="Times New Roman"/>
          <w:lang w:eastAsia="lt-LT"/>
        </w:rPr>
        <w:t>aktozės monohidrato.</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D51C7">
        <w:rPr>
          <w:rFonts w:ascii="Times New Roman" w:eastAsia="Times New Roman" w:hAnsi="Times New Roman" w:cs="Times New Roman"/>
          <w:highlight w:val="lightGray"/>
          <w:lang w:eastAsia="lt-LT"/>
        </w:rPr>
        <w:t>Kiekvienoje Telmisartan Ingen Pharma 80 mg plėvele dengtoje tabletėje</w:t>
      </w:r>
      <w:r w:rsidRPr="00AD51C7">
        <w:rPr>
          <w:rFonts w:ascii="Times New Roman" w:eastAsia="Times New Roman" w:hAnsi="Times New Roman" w:cs="Times New Roman"/>
          <w:highlight w:val="lightGray"/>
          <w:u w:val="single"/>
          <w:lang w:eastAsia="lt-LT"/>
        </w:rPr>
        <w:t xml:space="preserve"> </w:t>
      </w:r>
      <w:r w:rsidRPr="00AD51C7">
        <w:rPr>
          <w:rFonts w:ascii="Times New Roman" w:eastAsia="Times New Roman" w:hAnsi="Times New Roman" w:cs="Times New Roman"/>
          <w:highlight w:val="lightGray"/>
          <w:lang w:eastAsia="lt-LT"/>
        </w:rPr>
        <w:t>yra 434,70 mg</w:t>
      </w:r>
      <w:r w:rsidRPr="00AD51C7">
        <w:rPr>
          <w:rFonts w:ascii="Times New Roman" w:eastAsia="Times New Roman" w:hAnsi="Times New Roman" w:cs="Times New Roman"/>
          <w:highlight w:val="lightGray"/>
          <w:u w:val="single"/>
          <w:lang w:eastAsia="lt-LT"/>
        </w:rPr>
        <w:t xml:space="preserve"> </w:t>
      </w:r>
      <w:r w:rsidRPr="00AD51C7">
        <w:rPr>
          <w:rFonts w:ascii="Times New Roman" w:eastAsia="Times New Roman" w:hAnsi="Times New Roman" w:cs="Times New Roman"/>
          <w:iCs/>
          <w:highlight w:val="lightGray"/>
          <w:lang w:eastAsia="lt-LT"/>
        </w:rPr>
        <w:t>l</w:t>
      </w:r>
      <w:r w:rsidRPr="00AD51C7">
        <w:rPr>
          <w:rFonts w:ascii="Times New Roman" w:eastAsia="Times New Roman" w:hAnsi="Times New Roman" w:cs="Times New Roman"/>
          <w:highlight w:val="lightGray"/>
          <w:lang w:eastAsia="lt-LT"/>
        </w:rPr>
        <w:t>aktozės monohidrato</w:t>
      </w:r>
      <w:r w:rsidRPr="00AC0A8F">
        <w:rPr>
          <w:rFonts w:ascii="Times New Roman" w:eastAsia="Times New Roman" w:hAnsi="Times New Roman" w:cs="Times New Roman"/>
          <w:lang w:eastAsia="lt-LT"/>
        </w:rPr>
        <w:t>.</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Visos pagalbinės medžiagos išvardytos 6.1 skyriuje.</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3.</w:t>
      </w:r>
      <w:r w:rsidRPr="00AC0A8F">
        <w:rPr>
          <w:rFonts w:ascii="Times New Roman" w:eastAsia="Times New Roman" w:hAnsi="Times New Roman" w:cs="Times New Roman"/>
          <w:b/>
          <w:bCs/>
          <w:lang w:eastAsia="lt-LT"/>
        </w:rPr>
        <w:tab/>
        <w:t>FARMACINĖ FORMA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Tabletė.</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 Ingen Pharma 40 mg</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Tabletės yra geltonos spalvos, kapsulės formos su skaičiumi „40“ vienoje tabletės pusėje ir „T“ kitoje tabletės pusėje.</w:t>
      </w: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lt-LT"/>
        </w:rPr>
      </w:pPr>
      <w:r w:rsidRPr="00AD51C7">
        <w:rPr>
          <w:rFonts w:ascii="Times New Roman" w:eastAsia="Times New Roman" w:hAnsi="Times New Roman" w:cs="Times New Roman"/>
          <w:highlight w:val="lightGray"/>
          <w:lang w:eastAsia="lt-LT"/>
        </w:rPr>
        <w:t>Telmisartan Ingen Pharma 80 mg</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D51C7">
        <w:rPr>
          <w:rFonts w:ascii="Times New Roman" w:eastAsia="Times New Roman" w:hAnsi="Times New Roman" w:cs="Times New Roman"/>
          <w:highlight w:val="lightGray"/>
          <w:lang w:eastAsia="lt-LT"/>
        </w:rPr>
        <w:t>Tabletės yra geltonos spalvos, kapsulės formos su skaičiumi „80“ vienoje tabletės pusėje ir „T“ kitoje  tabletės pusėje.</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4.</w:t>
      </w:r>
      <w:r w:rsidRPr="00AC0A8F">
        <w:rPr>
          <w:rFonts w:ascii="Times New Roman" w:eastAsia="Times New Roman" w:hAnsi="Times New Roman" w:cs="Times New Roman"/>
          <w:b/>
          <w:bCs/>
          <w:lang w:eastAsia="lt-LT"/>
        </w:rPr>
        <w:tab/>
        <w:t>KLINIKINĖ INFORMACIJA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4.1</w:t>
      </w:r>
      <w:r w:rsidRPr="00AC0A8F">
        <w:rPr>
          <w:rFonts w:ascii="Times New Roman" w:eastAsia="Times New Roman" w:hAnsi="Times New Roman" w:cs="Times New Roman"/>
          <w:b/>
          <w:bCs/>
          <w:lang w:eastAsia="lt-LT"/>
        </w:rPr>
        <w:tab/>
        <w:t>Terapinės indikacijos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Arterinė hipertenzija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Suaugusių žmonių pirminės arterinės hipertenzijos gydymas.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Širdies ir kraujagyslių sutrikimų profilaktika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Sergamumo dėl širdies ir kraujagyslių sutrikimų mažinimas suaugusiems žmonėms, kuriems yra: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akivaizdi trombinė aterosklerozinė kardiovaskulinė liga (anamnezėje yra išeminė širdies liga, insultas arba periferinių kraujagyslių liga) arba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- 2 tipo cukrinis diabetas su patvirtinta organų-taikinių pažaida.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4.2</w:t>
      </w:r>
      <w:r w:rsidRPr="00AC0A8F">
        <w:rPr>
          <w:rFonts w:ascii="Times New Roman" w:eastAsia="Times New Roman" w:hAnsi="Times New Roman" w:cs="Times New Roman"/>
          <w:b/>
          <w:bCs/>
          <w:lang w:eastAsia="lt-LT"/>
        </w:rPr>
        <w:tab/>
        <w:t>Dozavimas ir vartojimo metodas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Dozavimas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Pirminės arterinės hipertenzijos gydymas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Įprastinė veiksminga dozė, geriama kartą per parą, yra 40 mg. Kai kuriems ligoniams gali užtekti vartoti po 20 mg kartą per parą. Jeigu kraujospūdis mažėja nepakankamai, paros dozę galima padidinti iki didžiausios, t. y. 80 mg kartą per parą, arba skirti kartu vartoti tiazidinių diuretikų, pvz., hidrochlorotiazido, kadangi įrodyta, jog jo ir telmisartano poveikis kraujospūdžiui yra adityvus. Didinant telmisartano dozę, būtina prisiminti, kad stipriausias antihipertenzinis jo poveikis paprastai pasireiškia praėjus 4 - 8 savaitėms nuo gydymo pradžios (žr. 5.1 skyrių).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Širdies ir kraujagyslių sutrikimų profilaktika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lastRenderedPageBreak/>
        <w:t>Rekomenduojama dozė yra 80 mg kartą per parą. Nežinoma, ar mažesnės negu 80 mg telmisartano dozės yra veiksmingos sergamumo dėl širdies ir kraujagyslių sutrikimų mažinimui. Pradėjus sergamumo dėl širdies ir kraujagyslių sutrikimų mažinimo gydymą telmisartanu, rekomenduojama atidžiai stebėti kraujospūdį ir gali reikėti atitinkamai keisti kraujospūdį mažinančius vaistinius preparatus.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iCs/>
          <w:color w:val="000000"/>
          <w:u w:val="single"/>
          <w:lang w:eastAsia="lt-LT"/>
        </w:rPr>
        <w:t>Ypatingos populiacijos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color w:val="000000"/>
          <w:lang w:eastAsia="lt-LT"/>
        </w:rPr>
        <w:t>Pacientams, kurių inkstų funkcija sutrikusi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Jeigu yra lengvas arba vidutinio sunkumo inkstų funkcijos sutrikimas, dozės keisti nereikia. Ligonių, kuriems yra sunkus inkstų funkcijos sutrikimas arba kurie hemodializuojami, gydymo šiuo vaistiniu preparatu patirtis maža. Jiems rekomenduojama skirti mažesnę, t.y. 20 mg, pradinę dozę (žr. 4.4 skyrių).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iCs/>
          <w:color w:val="000000"/>
          <w:lang w:eastAsia="lt-LT"/>
        </w:rPr>
        <w:t>Pacientams, kurių kepenų funkcija sutrikusi</w:t>
      </w:r>
      <w:r w:rsidRPr="00AC0A8F">
        <w:rPr>
          <w:rFonts w:ascii="Times New Roman" w:eastAsia="Times New Roman" w:hAnsi="Times New Roman" w:cs="Times New Roman"/>
          <w:i/>
          <w:lang w:eastAsia="lt-LT"/>
        </w:rPr>
        <w:t xml:space="preserve"> </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color w:val="000000"/>
          <w:lang w:eastAsia="lt-LT"/>
        </w:rPr>
        <w:t xml:space="preserve">Pacientus, kuriems yra sunkus kepenų funkcijos sutrikimas, telmisartanu gydyti draudžiama (žr. 4.3 skyrių). </w:t>
      </w:r>
      <w:r w:rsidRPr="00AC0A8F">
        <w:rPr>
          <w:rFonts w:ascii="Times New Roman" w:eastAsia="Times New Roman" w:hAnsi="Times New Roman" w:cs="Times New Roman"/>
          <w:lang w:eastAsia="lt-LT"/>
        </w:rPr>
        <w:t>Pacientams, sergantiems lengvu arba vidutinio sunkumo kepenų funkcijos sutrikimu, didesnės negu 40 mg dozės kartą per parą gerti negalima (žr. 4.4 skyrių).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lang w:eastAsia="lt-LT"/>
        </w:rPr>
        <w:t>Senyviems pacientams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Jiems dozės keisti nereikia.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lang w:eastAsia="lt-LT"/>
        </w:rPr>
        <w:t>Vaikų populiacija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Telmisartano nerekomenduojama vartoti jaunesniems kaip 18 metų vaikams, nes duomenų apie saugumą ir veiksmingumą nepakanka.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bCs/>
          <w:i/>
          <w:lang w:eastAsia="lt-LT"/>
        </w:rPr>
        <w:t xml:space="preserve">Mažesnės nei 40 mg </w:t>
      </w:r>
      <w:r w:rsidRPr="00AC0A8F">
        <w:rPr>
          <w:rFonts w:ascii="Times New Roman" w:eastAsia="Times New Roman" w:hAnsi="Times New Roman" w:cs="Times New Roman"/>
          <w:i/>
          <w:lang w:eastAsia="lt-LT"/>
        </w:rPr>
        <w:t>Telmisartan Ingen Pharma dozės vartoti neįmanoma. Jei reikia skirti mažesnę dozę (pvz., 20 mg), reikia rinktis kitą rinkoje esantį tokio stiprumo telmisartano preparatą.</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Vartojimo metodas</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Telmisartano tabletės skirtos vartoti per burną kartą per parą. Tabletę reikia nuryti valgio metu arba nevalgius, užgeriant skysčiu.</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4.3</w:t>
      </w:r>
      <w:r w:rsidRPr="00AC0A8F">
        <w:rPr>
          <w:rFonts w:ascii="Times New Roman" w:eastAsia="Times New Roman" w:hAnsi="Times New Roman" w:cs="Times New Roman"/>
          <w:b/>
          <w:bCs/>
          <w:lang w:eastAsia="lt-LT"/>
        </w:rPr>
        <w:tab/>
        <w:t>Kontraindikacijos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Padidėjęs jautrumas veikliajai arba bet kuriai 6.1 skyriuje nurodytai</w:t>
      </w:r>
      <w:r w:rsidRPr="00AC0A8F">
        <w:rPr>
          <w:rFonts w:ascii="Times New Roman" w:eastAsia="Times New Roman" w:hAnsi="Times New Roman" w:cs="Times New Roman"/>
          <w:noProof/>
          <w:lang w:eastAsia="lt-LT"/>
        </w:rPr>
        <w:t xml:space="preserve"> </w:t>
      </w:r>
      <w:r w:rsidRPr="00AC0A8F">
        <w:rPr>
          <w:rFonts w:ascii="Times New Roman" w:eastAsia="Times New Roman" w:hAnsi="Times New Roman" w:cs="Times New Roman"/>
          <w:lang w:eastAsia="lt-LT"/>
        </w:rPr>
        <w:t>pagalbinei medžiagai.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Antras ir trečias nėštumo trimestrai (žr. 4.4 ir 4.6 skyrius).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Tulžies nutekėjimo obstrukcija.</w:t>
      </w:r>
    </w:p>
    <w:p w:rsidR="004C4B9C"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Sunkus kepenų funkcijos sutrikimas.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3D7BC7">
        <w:rPr>
          <w:rFonts w:ascii="Times New Roman" w:eastAsia="Times New Roman" w:hAnsi="Times New Roman" w:cs="Times New Roman"/>
          <w:lang w:eastAsia="lt-LT"/>
        </w:rPr>
        <w:t xml:space="preserve">Pacientams, kurie serga cukriniu diabetu arba kurių inkstų funkcija sutrikusi (GFG &lt; 60 ml/min/1,73 m2), </w:t>
      </w:r>
      <w:r>
        <w:rPr>
          <w:rFonts w:ascii="Times New Roman" w:eastAsia="Times New Roman" w:hAnsi="Times New Roman" w:cs="Times New Roman"/>
          <w:lang w:eastAsia="lt-LT"/>
        </w:rPr>
        <w:t>Telmisartan Ingen Pharma</w:t>
      </w:r>
      <w:r w:rsidRPr="003D7BC7">
        <w:rPr>
          <w:rFonts w:ascii="Times New Roman" w:eastAsia="Times New Roman" w:hAnsi="Times New Roman" w:cs="Times New Roman"/>
          <w:lang w:eastAsia="lt-LT"/>
        </w:rPr>
        <w:t xml:space="preserve"> negalima vartoti kartu su preparatais, kurių sudėtyje yra aliskireno (žr. 4.5 ir 5.1 skyrius).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4.4</w:t>
      </w:r>
      <w:r w:rsidRPr="00AC0A8F">
        <w:rPr>
          <w:rFonts w:ascii="Times New Roman" w:eastAsia="Times New Roman" w:hAnsi="Times New Roman" w:cs="Times New Roman"/>
          <w:b/>
          <w:bCs/>
          <w:lang w:eastAsia="lt-LT"/>
        </w:rPr>
        <w:tab/>
        <w:t>Specialūs įspėjimai ir atsargumo priemonės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Nėštumas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Nėščių moterų pradėti gydyti angiotenzino II receptorių blokatoriais negalima. Išskyrus atvejus, kai tolesnis gydymas angiotenzino II receptorių blokatoriais yra būtinas, pastoti planuojančioms moterims juos reikia keisti kitokiais antihipertenziniais vaistiniais preparatais, kurių vartojimo saugumas nėštumo metu ištirtas. Nustačius nėštumą, angiotenzino II receptorių blokatorių vartojimą būtina nedelsiant nutraukti ir, jei reikia, skirti kitokį tinkamą gydymą (žr. 4.3 ir 4.6 skyrius).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Kepenų funkcijos sutrikimas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Ligoniams, kuriems yra tulžies stazė ar nutekėjimo obstrukcija arba sunkus kepenų funkcijos sutrikimas (žr. 4.3 skyrių), telmisartano vartoti negalima, kadangi telmisartanas iš organizmo eliminuojamas daugiausiai su tulžimi. Manoma, jog tokių ligonių organizme telmisartano kepenų </w:t>
      </w:r>
      <w:r w:rsidRPr="00AC0A8F">
        <w:rPr>
          <w:rFonts w:ascii="Times New Roman" w:eastAsia="Times New Roman" w:hAnsi="Times New Roman" w:cs="Times New Roman"/>
          <w:lang w:eastAsia="lt-LT"/>
        </w:rPr>
        <w:lastRenderedPageBreak/>
        <w:t>klirensas gali būti mažesnis. Žmones, kuriems yra lengvas arba vidutinio sunkumo kepenų funkcijos sutrikimas, telmisartanu galima gydyti tik atsargiai.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Renovaskulinė hipertenzija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Renino, angiotenzino ir aldosterono sistemą veikiančių </w:t>
      </w:r>
      <w:r>
        <w:rPr>
          <w:rFonts w:ascii="Times New Roman" w:eastAsia="Times New Roman" w:hAnsi="Times New Roman" w:cs="Times New Roman"/>
          <w:lang w:eastAsia="lt-LT"/>
        </w:rPr>
        <w:t xml:space="preserve">vaistinių </w:t>
      </w:r>
      <w:r w:rsidRPr="00AC0A8F">
        <w:rPr>
          <w:rFonts w:ascii="Times New Roman" w:eastAsia="Times New Roman" w:hAnsi="Times New Roman" w:cs="Times New Roman"/>
          <w:lang w:eastAsia="lt-LT"/>
        </w:rPr>
        <w:t>preparatų vartojantiems ligoniams, kurių abiejų inkstų (arba vieno, jei kitas inkstas nefunkcionuoja) arterijos susiaurėjusios, yra didesnė sunkios hipotenzijos ir inkstų nepakankamumo pasireiškimo rizika.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Inkstų funkcijos sutrikimas, persodintas inkstas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Jeigu inkstų funkcija sutrikusi, rekomenduojama periodiškai tirti kalio ir kreatinino kiekį kraujo serume. Pacientų, kuriems neseniai persodintas inkstas, gydymo telmisartanu patirties nėra.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Intravaskulinė hipovolemija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Išgėrus telmisartano, ypač pirmą dozę, pacientams, kurių organizme dėl gydymo didele diuretiko doze ar dieta, kurioje yra mažai druskos, arba dėl vėmimo ar viduriavimo trūksta skysčių ir (arba) natrio, gali pasireikšti simptominė hipotenzija. Prieš pradedant gydyti telmisartanu, šias būkles reikia koreguoti. Prieš gydymą telmisartanu reikia normalizuoti natrio ir skysčių kiekį organizme.</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882BD8"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882BD8">
        <w:rPr>
          <w:rFonts w:ascii="Times New Roman" w:eastAsia="Times New Roman" w:hAnsi="Times New Roman" w:cs="Times New Roman"/>
          <w:u w:val="single"/>
          <w:lang w:eastAsia="lt-LT"/>
        </w:rPr>
        <w:t>Dvigubas renino, angiotenzino ir aldosterono sistemos (RAAS) slopinimas</w:t>
      </w: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D51C7">
        <w:rPr>
          <w:rFonts w:ascii="Times New Roman" w:eastAsia="Times New Roman" w:hAnsi="Times New Roman" w:cs="Times New Roman"/>
          <w:lang w:eastAsia="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D51C7">
        <w:rPr>
          <w:rFonts w:ascii="Times New Roman" w:eastAsia="Times New Roman" w:hAnsi="Times New Roman" w:cs="Times New Roman"/>
          <w:lang w:eastAsia="lt-LT"/>
        </w:rPr>
        <w:t>Vis dėlto, jei dvigubas nuslopinimas laikomas absoliučiai būtinu, šis gydymas turi būti atliekamas tik prižiūrint specialistams ir dažnai bei atidžiai tiriant inkstų funkciją, elektrolitų koncentracijas bei kraujospūdį.</w:t>
      </w: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D51C7">
        <w:rPr>
          <w:rFonts w:ascii="Times New Roman" w:eastAsia="Times New Roman" w:hAnsi="Times New Roman" w:cs="Times New Roman"/>
          <w:lang w:eastAsia="lt-LT"/>
        </w:rPr>
        <w:t>Pacientams, sergantiems diabetine nefropatija, negalima kartu vartoti AKF inhibitorių ir angiotenzino II receptorių blokatorių.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Kitokios būklės, kurių metu stimuliuojama renino, angiotenzino ir aldosterono sistema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Pacientų, kurių kraujagyslių lygiųjų raumenų tonusas ir inkstų funkcija daugiausiai priklauso nuo renino, angiotenzino ir aldosterono sistemos tonuso, pvz., sergančius sunkiu staziniu širdies nepakankamumu arba inkstų liga, įskaitant arterijų susiaurėjimą, gydymas renino, angiotenzino ir aldosterono sistemą veikiančiais vaistiniais preparatais, pvz., telmisartanu, buvo susijęs su ūmine hipotenzija, hiperazotemija, oligurija, retais atvejais − ūminiu inkstų nepakankamumu (žr. 4.8 skyrių). </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Pirminis aldosteronizmas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Ligoniams, kuriems yra pirminis aldosteronizmas, renino, angiotenzino ir aldosterono sistemą veikiantys vaistiniai preparatai antihipertenzinio poveikio paprastai nesukelia, todėl telmisartanu jų gydyti nerekomenduojama.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Aortos arba dviburės angos stenozė, obstrukcinė hipertrofinė kardiomiopatija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Ligonius, kuriems yra aortos ar dviburės angos stenozė arba obstrukcinė hipertrofinė kardiomiopatija, telmisartanu, kaip ir kitokiais kraujagysles plečiančiais preparatais, reikia gydyti labai atsargiai.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Cukriniu diabetu sergantys pacientai, gydomi insulinu arba kitokiais antidiabetiniais vaistiniais preparatais</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Tokiems pacientams gydymo telmisartanu metu gali pasireikšti hipoglikemija. Taigi tokiems pacientams reikia matuoti gliukozės kiekį kraujyje. Gali reikėti keisti insulino arba kitokių antidiabetinių vaistinių preparatų dozę, jeigu būtina.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Hiperkalemija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Vaistiniai preparatai, veikiantys renino, angiotenzino ir aldosterono sistemą, gali sukelti hiperkalemiją. Senyviems žmonėms ir pacientams, sergantiems inkstų nepakankamumu ar diabetu, kartu vartojantiems vaistinių preparatų, galinčių didinti kalio kiekį, ir (ar) turinčių interkurentinių reiškinių, hiperkalemija gali būti mirtina. Apsisprendus renino, angiotenzino ir aldosterono sistemą veikiančiais preparatais gydyti kartu, reikia nustatyti naudos ir rizikos santykį.</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lastRenderedPageBreak/>
        <w:t>Svarbiausi hiperkalemijos rizikos veiksniai, į kuriuos reikia atsižvelgti yra: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cukrinis diabetas, inkstų funkcijos sutrikimas, amžius (&gt; 70 metų);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derinimas su vienu arba daugiau kitų renino, angiotenzino ir aldosterono sistemą veikiančių vaistinių preparatų arba kalio papildais. Vaistiniai preparatai arba farmakoterapinės jų grupės, galinčios skatinti hiperkalemiją, yra druskų pakaitalai, kuriuose yra kalio, kalį organizme sulaikantys diuretikai, AKF inhibitoriai, angiotenzino II receptorių blokatoriai, nesteroidiniai vaistiniai preparatai nuo uždegimo (įskaitant selektyvaus poveikio COX-2inhibitorius), heparinas, imunosupresantai (ciklosporinas ar takrolimuzas) ir trimetoprimas;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interkurentiniai reiškiniai, ypač dehidracija, ūminė širdies dekompensacija, metabolinė acidozė, inkstų funkcijos pablogėjimas, staigus inkstų sutrikimo (pvz., infekcinės ligos) pasunkėjimas, ląstelių irimas (pvz., ūminė galūnių išemija, rabdomiolizė, didelė trauma). Rizikos grupių pacientams rekomenduojama atidžiai sekti kalio kiekį kraujo serume (žr. 4.5 skyrių).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Etniniai skirtumai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Remiantis angiotenziną konvertuojančių fermentų inhibitorių tyrimų rezultatais, galima daryti išvadą, kad telmisartanas, kaip ir kitokie angiotenzino II receptorių blokatoriai, juodaodžiams kraujospūdį mažina silpniau negu nejuodaodžiams galbūt todėl, kad hipertenzija sergančių juodaodžių kraujyje renino koncentracija dažniau būna maža.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Kiti veiksniai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Jeigu telmisartanu, kaip ir kitokiais antihipertenziniais </w:t>
      </w:r>
      <w:r>
        <w:rPr>
          <w:rFonts w:ascii="Times New Roman" w:eastAsia="Times New Roman" w:hAnsi="Times New Roman" w:cs="Times New Roman"/>
          <w:lang w:eastAsia="lt-LT"/>
        </w:rPr>
        <w:t xml:space="preserve">vaistiniais </w:t>
      </w:r>
      <w:r w:rsidRPr="00AC0A8F">
        <w:rPr>
          <w:rFonts w:ascii="Times New Roman" w:eastAsia="Times New Roman" w:hAnsi="Times New Roman" w:cs="Times New Roman"/>
          <w:lang w:eastAsia="lt-LT"/>
        </w:rPr>
        <w:t>preparatais, gydomiems ligoniams, sergantiems išemine kardiopatija arba išemine širdies liga, labai sumažėja kraujospūdis, juos gali ištikti miokardo infarktas arba insultas.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AC0A8F">
        <w:rPr>
          <w:rFonts w:ascii="Times New Roman" w:eastAsia="Times New Roman" w:hAnsi="Times New Roman" w:cs="Times New Roman"/>
          <w:bCs/>
          <w:lang w:eastAsia="lt-LT"/>
        </w:rPr>
        <w:t>Telmisartan Ingen Pharma sudėtyje yra laktozės monohidrato.</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Šio vaistinio preparato negalima vartoti pacientams, kuriems nustatytas retas paveldimas sutrikimas – fruktozės netoleravimas. </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lang w:eastAsia="lt-LT"/>
        </w:rPr>
        <w:t xml:space="preserve">Šio vaistinio preparato negalima vartoti pacientams, kuriems nustatytas retas paveldimas sutrikimas – </w:t>
      </w:r>
      <w:r w:rsidRPr="00AC0A8F">
        <w:rPr>
          <w:rFonts w:ascii="Times New Roman" w:eastAsia="Times New Roman" w:hAnsi="Times New Roman" w:cs="Times New Roman"/>
          <w:i/>
          <w:lang w:eastAsia="lt-LT"/>
        </w:rPr>
        <w:t>Lapp</w:t>
      </w:r>
      <w:r w:rsidRPr="00AC0A8F">
        <w:rPr>
          <w:rFonts w:ascii="Times New Roman" w:eastAsia="Times New Roman" w:hAnsi="Times New Roman" w:cs="Times New Roman"/>
          <w:lang w:eastAsia="lt-LT"/>
        </w:rPr>
        <w:t xml:space="preserve"> laktazės stygius arba gliukozės ir galaktozės malabsorbcija.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4.5</w:t>
      </w:r>
      <w:r w:rsidRPr="00AC0A8F">
        <w:rPr>
          <w:rFonts w:ascii="Times New Roman" w:eastAsia="Times New Roman" w:hAnsi="Times New Roman" w:cs="Times New Roman"/>
          <w:b/>
          <w:bCs/>
          <w:lang w:eastAsia="lt-LT"/>
        </w:rPr>
        <w:tab/>
        <w:t>Sąveika su kitais vaistiniais preparatais ir kitokia sąveika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Telmisartanas, kaip ir kiti renino, angiotenzino ir aldosterono sistemą veikiantys vaistiniai preparatai, gali skatinti hiperkalemijos pasireiškimą (žr. 4.4 skyrių). Jos rizika gali didėti, kartu vartojant kitų hiperkalemijos pasireiškimą skatinančių vaistinių preparatų (druskų pakaitalų, kuriuose yra kalio, kalį organizme sulaikančių diuretikų, AKF inhibitorių, angiotenzino II receptorių blokatorių, nesteroidinių vaistų nuo uždegimo (įskaitant selektyvaus poveikio COX-2 inhibitorius), heparino, imunosupresantų (ciklosporino ar takrolimuzo) ir trimetoprimo).</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Hiperkalemijos pasireiškimas priklauso nuo esančių rizikos veiksnių. Pasireiškimo riziką didina gydymas anksčiau minėtais vaistiniais preparatais kartu. Ji ypač didelė tuo atveju, jeigu kartu vartojama kalį organizme sulaikančių diuretikų arba druskų pakaitalų, kuriuose yra kalio, ir mažesnė, pavyzdžiui, tuo atveju, jeigu griežtai laikantis atsargumo priemonių, kartu vartojama AKF inhibitorių arba nesteroidinių vaistų nuo uždegimo.</w:t>
      </w:r>
    </w:p>
    <w:p w:rsidR="004C4B9C"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D7BC7">
        <w:rPr>
          <w:rFonts w:ascii="Times New Roman" w:eastAsia="Times New Roman" w:hAnsi="Times New Roman" w:cs="Times New Roman"/>
          <w:lang w:eastAsia="lt-LT"/>
        </w:rPr>
        <w:t>Klinikinių tyrimų duomenys parodė, kad, palyginti su vieno RAAS veikiančio preparato vartojimu, dvigubas renino, angiotenzino ir aldosterono sistemos (RAAS) nuslopinimas, kai vartojamas AKF inhibitorių, angiotenzino II receptorių blokatorių ar aliskireno derinys, , siejamas su dažniau pasitaikančiais nepageidaujamais reiškiniais, tokiais kaip hipotenzija, hiperkalemija ir inkstų funkcijos susilpnėjimas (įskaitant ūminį inkstų nepakankamumą).(žr. 4.3, 4.4 ir 5.1 skyrius).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Cs/>
          <w:u w:val="single"/>
          <w:lang w:eastAsia="lt-LT"/>
        </w:rPr>
      </w:pPr>
      <w:r>
        <w:rPr>
          <w:rFonts w:ascii="Times New Roman" w:eastAsia="Times New Roman" w:hAnsi="Times New Roman" w:cs="Times New Roman"/>
          <w:iCs/>
          <w:u w:val="single"/>
          <w:lang w:eastAsia="lt-LT"/>
        </w:rPr>
        <w:t>Vaistiniai p</w:t>
      </w:r>
      <w:r w:rsidRPr="00AC0A8F">
        <w:rPr>
          <w:rFonts w:ascii="Times New Roman" w:eastAsia="Times New Roman" w:hAnsi="Times New Roman" w:cs="Times New Roman"/>
          <w:iCs/>
          <w:u w:val="single"/>
          <w:lang w:eastAsia="lt-LT"/>
        </w:rPr>
        <w:t>reparatai, kurių kartu vartoti nerekomenduojama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lang w:eastAsia="lt-LT"/>
        </w:rPr>
        <w:t>Kalį organizme sulaikantys diuretikai arba kalio papildai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Angiotenzino II receptorių blokatoriai, pvz., telmisartanas, mažina diuretikų sukeliamą kalio išsiskyrimą. Kalį organizme sulaikantys diuretikai, pvz., spironolaktonas, eplerenonas, triamterenas ar amiloridas, kalio papildai ar druskų pakaitalai, kuriuose yra kalio, gali reikšmingai padidinti kalio </w:t>
      </w:r>
      <w:r w:rsidRPr="00AC0A8F">
        <w:rPr>
          <w:rFonts w:ascii="Times New Roman" w:eastAsia="Times New Roman" w:hAnsi="Times New Roman" w:cs="Times New Roman"/>
          <w:lang w:eastAsia="lt-LT"/>
        </w:rPr>
        <w:lastRenderedPageBreak/>
        <w:t xml:space="preserve">kiekį kraujo serume. Jeigu minėtų </w:t>
      </w:r>
      <w:r>
        <w:rPr>
          <w:rFonts w:ascii="Times New Roman" w:eastAsia="Times New Roman" w:hAnsi="Times New Roman" w:cs="Times New Roman"/>
          <w:lang w:eastAsia="lt-LT"/>
        </w:rPr>
        <w:t xml:space="preserve">vaistinių </w:t>
      </w:r>
      <w:r w:rsidRPr="00AC0A8F">
        <w:rPr>
          <w:rFonts w:ascii="Times New Roman" w:eastAsia="Times New Roman" w:hAnsi="Times New Roman" w:cs="Times New Roman"/>
          <w:lang w:eastAsia="lt-LT"/>
        </w:rPr>
        <w:t>preparatų kartu vartoti būtina dėl dokumentuotos hipokalemijos, jais reikia gydyti atsargiai ir dažnai matuoti kalio kiekį kraujo serume.</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lang w:eastAsia="lt-LT"/>
        </w:rPr>
        <w:t>Litis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Pranešta apie laikiną ličio koncentracijos kraujo serume padidėjimą ir toksinio poveikio sustiprėjimą tuo atveju, kai kartu su juo buvo vartota AKF inhibitorių, retais atvejais − angiotenzino II receptorių blokatorių, įskaitant telmisartaną. Jeigu šiais medikamentais kartu gydyti būtina, rekomenduojama atidžiai sekti ličio kiekį kraujo serume.</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Cs/>
          <w:u w:val="single"/>
          <w:lang w:eastAsia="lt-LT"/>
        </w:rPr>
      </w:pPr>
      <w:r>
        <w:rPr>
          <w:rFonts w:ascii="Times New Roman" w:eastAsia="Times New Roman" w:hAnsi="Times New Roman" w:cs="Times New Roman"/>
          <w:iCs/>
          <w:u w:val="single"/>
          <w:lang w:eastAsia="lt-LT"/>
        </w:rPr>
        <w:t>Vaistiniai p</w:t>
      </w:r>
      <w:r w:rsidRPr="00AC0A8F">
        <w:rPr>
          <w:rFonts w:ascii="Times New Roman" w:eastAsia="Times New Roman" w:hAnsi="Times New Roman" w:cs="Times New Roman"/>
          <w:iCs/>
          <w:u w:val="single"/>
          <w:lang w:eastAsia="lt-LT"/>
        </w:rPr>
        <w:t>reparatai, kurių kartu vartoti reikia atsargiai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lang w:eastAsia="lt-LT"/>
        </w:rPr>
        <w:t>Nesteroidiniai vaist</w:t>
      </w:r>
      <w:r>
        <w:rPr>
          <w:rFonts w:ascii="Times New Roman" w:eastAsia="Times New Roman" w:hAnsi="Times New Roman" w:cs="Times New Roman"/>
          <w:i/>
          <w:lang w:eastAsia="lt-LT"/>
        </w:rPr>
        <w:t>iniai preparatai</w:t>
      </w:r>
      <w:r w:rsidRPr="00AC0A8F">
        <w:rPr>
          <w:rFonts w:ascii="Times New Roman" w:eastAsia="Times New Roman" w:hAnsi="Times New Roman" w:cs="Times New Roman"/>
          <w:i/>
          <w:lang w:eastAsia="lt-LT"/>
        </w:rPr>
        <w:t xml:space="preserve"> nuo uždegimo</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Nesteroidiniai vaist</w:t>
      </w:r>
      <w:r>
        <w:rPr>
          <w:rFonts w:ascii="Times New Roman" w:eastAsia="Times New Roman" w:hAnsi="Times New Roman" w:cs="Times New Roman"/>
          <w:lang w:eastAsia="lt-LT"/>
        </w:rPr>
        <w:t>iniai preparatai</w:t>
      </w:r>
      <w:r w:rsidRPr="00AC0A8F">
        <w:rPr>
          <w:rFonts w:ascii="Times New Roman" w:eastAsia="Times New Roman" w:hAnsi="Times New Roman" w:cs="Times New Roman"/>
          <w:lang w:eastAsia="lt-LT"/>
        </w:rPr>
        <w:t xml:space="preserve"> nuo uždegimo (pvz., uždegimą slopinančios acetilsalicilo rūgšties dozės, COX-2 inhibitoriai, neselektyvaus poveikio nesteroidiniai vaist</w:t>
      </w:r>
      <w:r>
        <w:rPr>
          <w:rFonts w:ascii="Times New Roman" w:eastAsia="Times New Roman" w:hAnsi="Times New Roman" w:cs="Times New Roman"/>
          <w:lang w:eastAsia="lt-LT"/>
        </w:rPr>
        <w:t>iniai preparatai</w:t>
      </w:r>
      <w:r w:rsidRPr="00AC0A8F">
        <w:rPr>
          <w:rFonts w:ascii="Times New Roman" w:eastAsia="Times New Roman" w:hAnsi="Times New Roman" w:cs="Times New Roman"/>
          <w:lang w:eastAsia="lt-LT"/>
        </w:rPr>
        <w:t xml:space="preserve"> nuo uždegimo) gali silpninti angiotenzino II receptorių blokatorių sukeliamą antihipertenzinį poveikį. Kai kuriems pacientams, kurių inkstų funkcijai gresia pavojus (pvz., dehidruotiems ligoniams, senyviems žmonėms, kurių inkstų funkcija sutrikusi), angiotenzino II receptorių blokatorių vartojimas kartu su ciklooksigenazės inhibitoriais gali lemti tolesnį inkstų funkcijos blogėjimą, įskaitant ūminio inkstų nepakankamumo, kuris paprastai būna laikinas, pasireiškimą. Vadinasi, šiais vaistiniais preparatais kartu reikia gydyti atsargiai, ypač senyvus žmones. Tokiems ligoniams būtina tinkama hidracija, o kompleksinio gydymo pradžioje ir periodiškai tolesnio gydymo metu reikia sekti jų inkstų funkciją. Vieno tyrimo metu telmisartano vartojimas kartu su ramipriliu lėmė ramiprilio ir ramiprilato AUC</w:t>
      </w:r>
      <w:r w:rsidRPr="00AC0A8F">
        <w:rPr>
          <w:rFonts w:ascii="Times New Roman" w:eastAsia="Times New Roman" w:hAnsi="Times New Roman" w:cs="Times New Roman"/>
          <w:vertAlign w:val="subscript"/>
          <w:lang w:eastAsia="lt-LT"/>
        </w:rPr>
        <w:t>0-24</w:t>
      </w:r>
      <w:r w:rsidRPr="00AC0A8F">
        <w:rPr>
          <w:rFonts w:ascii="Times New Roman" w:eastAsia="Times New Roman" w:hAnsi="Times New Roman" w:cs="Times New Roman"/>
          <w:lang w:eastAsia="lt-LT"/>
        </w:rPr>
        <w:t xml:space="preserve"> ir Cmax padidėjimą 2,5 karto. Klinikinė šio pokyčio reikšmė nežinoma.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lang w:eastAsia="lt-LT"/>
        </w:rPr>
        <w:t>Diuretikai (tiazidiniai arba kilpiniai diuretikai)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Ankstesnis gydymas didele diuretikų, pvz., furozemido (kilpinio diuretiko) ir hidrochlorotiazido (tiazidinio diuretiko) doze gali lemti skysčių trūkumą, o pradėjus vartoti telmisartano − hipotenzijos riziką.</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Vaistiniai p</w:t>
      </w:r>
      <w:r w:rsidRPr="00AC0A8F">
        <w:rPr>
          <w:rFonts w:ascii="Times New Roman" w:eastAsia="Times New Roman" w:hAnsi="Times New Roman" w:cs="Times New Roman"/>
          <w:i/>
          <w:iCs/>
          <w:lang w:eastAsia="lt-LT"/>
        </w:rPr>
        <w:t>reparatai, kurių kartu vartoti reikia apdairiai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lang w:eastAsia="lt-LT"/>
        </w:rPr>
        <w:t>Kiti antihipertenziniai vaistiniai preparatai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Telmisartano sukeliamą kraujospūdžio mažėjimą gali didinti kartu vartojami kiti antihipertenziniai vaistiniai preparatai.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Remiantis farmakokinetinėmis savybėmis, tikėtina, kad hipotenzinį visų antihipertenzinių vaistinių preparatų, įskaitant telmisartaną, poveikį gali stiprinti baklofenas ir amifostinas. Alkoholis, barbitūratai, narkozę sukeliantys </w:t>
      </w:r>
      <w:r>
        <w:rPr>
          <w:rFonts w:ascii="Times New Roman" w:eastAsia="Times New Roman" w:hAnsi="Times New Roman" w:cs="Times New Roman"/>
          <w:lang w:eastAsia="lt-LT"/>
        </w:rPr>
        <w:t xml:space="preserve">vaistiniai </w:t>
      </w:r>
      <w:r w:rsidRPr="00AC0A8F">
        <w:rPr>
          <w:rFonts w:ascii="Times New Roman" w:eastAsia="Times New Roman" w:hAnsi="Times New Roman" w:cs="Times New Roman"/>
          <w:lang w:eastAsia="lt-LT"/>
        </w:rPr>
        <w:t>preparatai bei antidepresantai gali sunkinti ortostatinę hipotenziją.</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lang w:eastAsia="lt-LT"/>
        </w:rPr>
        <w:t>Sisteminio poveikio kortikosteroidai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Silpnėja antihipertenzinis poveikis.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4.6</w:t>
      </w:r>
      <w:r w:rsidRPr="00AC0A8F">
        <w:rPr>
          <w:rFonts w:ascii="Times New Roman" w:eastAsia="Times New Roman" w:hAnsi="Times New Roman" w:cs="Times New Roman"/>
          <w:b/>
          <w:bCs/>
          <w:lang w:eastAsia="lt-LT"/>
        </w:rPr>
        <w:tab/>
        <w:t>Nėštumo ir žindymo laikotarpis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Nėštumas</w:t>
      </w:r>
    </w:p>
    <w:p w:rsidR="004C4B9C" w:rsidRPr="00AC0A8F" w:rsidRDefault="004C4B9C" w:rsidP="004C4B9C">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Pirmuoju nėštumo trimestru angiotenzino II receptorių blokatorių vartoti nerekomenduojama (žr. 4.4 skyrių). Antruoju ir trečiuoju nėštumo trimestrais angiotenzino II receptorių blokatorių vartoti draudžiama (žr. 4.3 ir 4.4 skyrius).</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color w:val="000000"/>
          <w:lang w:eastAsia="lt-LT"/>
        </w:rPr>
        <w:t>Reikiamų duomenų apie telmisartano vartojimą nėštumo metu nėra. Su gyvūnais atlikti tyrimai parodė toksinį poveikį reprodukcijai (žr. 5.3 skyrių).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Epidemiologinių tyrimų duomenys dėl pirmuoju nėštumo trimestru vartojamų AKF inhibitorių teratogeninio poveikio nėra galutiniai, tačiau nedidelio rizikos padidėjimo atmesti negalima. Nors kontrolinių epidemiologinių tyrimų duomenų apie angiotenzino II receptorių blokatorių keliamą riziką nėra, tačiau ji gali būti tokia pati, kaip ir gydymo kitais šios klasės preparatais metu. Išskyrus atvejus, kai tolesnis gydymas angiotenzino II receptorių blokatoriais yra būtinas, pastoti planuojančioms moterims juos reikia keisti kitokiais antihipertenziniais vaistiniais preparatais, kurių vartojimo </w:t>
      </w:r>
      <w:r w:rsidRPr="00AC0A8F">
        <w:rPr>
          <w:rFonts w:ascii="Times New Roman" w:eastAsia="Times New Roman" w:hAnsi="Times New Roman" w:cs="Times New Roman"/>
          <w:lang w:eastAsia="lt-LT"/>
        </w:rPr>
        <w:lastRenderedPageBreak/>
        <w:t>saugumas nėštumo metu ištirtas. Nustačius nėštumą, angiotenzino II receptorių blokatorių vartojimą būtina nedelsiant nutraukti ir, jei reikia, skirti kitokį tinkamą gydymą.</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Žinoma, kad antruoju arba trečiuoju nėštumo trimestrais vartojami angiotenzino II receptorių blokatoriai sukelia toksinį poveikį žmogaus vaisiui (inkstų funkcijos susilpnėjimą, oligohidramnioną, kaukolės kaulėjimo sulėtėjimą) ir naujagimiui (inkstų nepakankamumą, hipotenziją, hiperkalemiją) (žr. 5.3 skyrių). Jeigu moteris antruoju arba trečiuoju nėštumo trimestru vartojo angiotenzino II receptorių blokatorių, reikia ultragarsu sekti jos vaisiaus inkstų funkciją ir kaukolę.</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Reikia atidžiai sekti, ar naujagimiams, kurių motinos nėštumo metu vartojo angiotenzino II receptorių blokatorių, nepasireiškia hipotenzija (žr. 4.3 ir 4.4 skyrius).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Žindymo laikotarpis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Kadangi informacijos apie telmisartano vartojimą žindymo laikotarpiu nėra, žindyvių telmisartanu gydyti nerekomenduojama. Žindymo laikotarpiu verčiau gydyti kitokiu būdu, kurio saugumas geriau ištirtas, ypač moteris, krūtimi maitinančias naujagimius arba prieš laiką gimusius kūdikius.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color w:val="000000"/>
          <w:lang w:eastAsia="lt-LT"/>
        </w:rPr>
      </w:pPr>
      <w:r w:rsidRPr="00AC0A8F">
        <w:rPr>
          <w:rFonts w:ascii="Times New Roman" w:eastAsia="Times New Roman" w:hAnsi="Times New Roman" w:cs="Times New Roman"/>
          <w:color w:val="000000"/>
          <w:lang w:eastAsia="lt-LT"/>
        </w:rPr>
        <w:t>Vaisingumas</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color w:val="000000"/>
          <w:lang w:eastAsia="lt-LT"/>
        </w:rPr>
      </w:pPr>
      <w:r w:rsidRPr="00AC0A8F">
        <w:rPr>
          <w:rFonts w:ascii="Times New Roman" w:eastAsia="Times New Roman" w:hAnsi="Times New Roman" w:cs="Times New Roman"/>
          <w:color w:val="000000"/>
          <w:lang w:eastAsia="lt-LT"/>
        </w:rPr>
        <w:t xml:space="preserve">Ikiklinikinių tyrimų metu telmisartano poveikio vyriškos ar moteriškos lyties gyvūnų vaisingumui nepastebėta. </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4.7</w:t>
      </w:r>
      <w:r w:rsidRPr="00AC0A8F">
        <w:rPr>
          <w:rFonts w:ascii="Times New Roman" w:eastAsia="Times New Roman" w:hAnsi="Times New Roman" w:cs="Times New Roman"/>
          <w:b/>
          <w:bCs/>
          <w:lang w:eastAsia="lt-LT"/>
        </w:rPr>
        <w:tab/>
        <w:t>Poveikis gebėjimui vairuoti ir valdyti mechanizmus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Poveikio gebėjimui vairuoti ir valdyti mechanizmus tyrimų neatlikta, tačiau užsiimant tokia veikla reikia turėti omenyje, kad antihipertenziniai preparatai gali sukelti svaigulį arba mieguistumą.</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4.8</w:t>
      </w:r>
      <w:r w:rsidRPr="00AC0A8F">
        <w:rPr>
          <w:rFonts w:ascii="Times New Roman" w:eastAsia="Times New Roman" w:hAnsi="Times New Roman" w:cs="Times New Roman"/>
          <w:b/>
          <w:bCs/>
          <w:lang w:eastAsia="lt-LT"/>
        </w:rPr>
        <w:tab/>
        <w:t>Nepageidaujamas poveikis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Cs/>
          <w:u w:val="single"/>
          <w:lang w:eastAsia="lt-LT"/>
        </w:rPr>
      </w:pPr>
      <w:r w:rsidRPr="00AC0A8F">
        <w:rPr>
          <w:rFonts w:ascii="Times New Roman" w:eastAsia="Times New Roman" w:hAnsi="Times New Roman" w:cs="Times New Roman"/>
          <w:iCs/>
          <w:u w:val="single"/>
          <w:lang w:eastAsia="lt-LT"/>
        </w:rPr>
        <w:t>Saugumo duomenų santrauka</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Sunkios nepageidaujamos reakcijos yra anafilaksinė reakcija ir angioneurozinė edema, kurios gali pasireikšti retai (nuo ≥1/10 000 iki &lt;1/1 000), bei ūminis inkstų nepakankamumas.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Kontroliuojamų tyrimų metu hipertenzija sergantiems pacientams bendras telmisartano sukeliamų nepageidaujamų reiškinių dažnis (41,4 %) paprastai buvo panašus į placebo sukeliamą (43,9 %). Nuo dozės, lyties, amžiaus ir rasės jis nepriklausė. Telmisartano saugumas pacientams, šio vaistinio preparato vartojusiems sergamumui dėl širdies ir kraujagyslių sutrikimų mažinti, atitiko saugumą, nustatytą hipertenzija sergantiems pacientams.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Toliau išvardytos nepageidaujamos reakcijos, kurios kontroliuojamų klinikinių tyrimų metu pasireiškė telmisartanu gydomiems hipertenzija sergantiems pacientams bei apie kurias buvo pranešta vaistiniu preparatu gydant po to, kai jis pateko į rinką. Į sąrašą yra įtraukti ir sunkūs nepageidaujami reiškiniai bei nepageidaujami reiškiniai, lėmę gydymo nutraukimą, pasireiškę trijų ilgalaikių klinikinių tyrimų  metu 21642 pacientams, kuriems net 6 metus buvo taikytas sergamumo dėl širdies ir kraujagyslių sutrikimų mažinimo gydymas telmisartanu.</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882BD8">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w:t>
      </w:r>
      <w:r>
        <w:rPr>
          <w:rFonts w:ascii="Times New Roman" w:eastAsia="Times New Roman" w:hAnsi="Times New Roman" w:cs="Times New Roman"/>
          <w:lang w:eastAsia="lt-LT"/>
        </w:rPr>
        <w:t xml:space="preserve"> duomenis).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Kiekvienoje dažnio grupėje nepageidaujamos reakcijos pateikiamos mažėjančio sunkumo tvarka.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Infekcijos ir infestacijos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Nedažni. Šlapimo takų infekcinė liga, įskaitant cistitą, viršutinių kvėpavimo takų infekcinė liga, įskaitant faringitą ir sinusitą, </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Reti. Sepsis, įskaitant mirtiną</w:t>
      </w:r>
      <w:r w:rsidRPr="00AC0A8F">
        <w:rPr>
          <w:rFonts w:ascii="Times New Roman" w:eastAsia="Times New Roman" w:hAnsi="Times New Roman" w:cs="Times New Roman"/>
          <w:vertAlign w:val="superscript"/>
          <w:lang w:eastAsia="lt-LT"/>
        </w:rPr>
        <w:t>1</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Kraujo ir limfinės sistemos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Anemija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lastRenderedPageBreak/>
        <w:t>Reti. Eozinofilija, trombocitopenija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Imuninės sistemos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Reti. Anafilaksinė reakcija, jautrumo padidėjimas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Metabolizmo ir mitybos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Hiperkalemija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AC0A8F">
        <w:rPr>
          <w:rFonts w:ascii="Times New Roman" w:eastAsia="Times New Roman" w:hAnsi="Times New Roman" w:cs="Times New Roman"/>
          <w:color w:val="000000"/>
          <w:lang w:eastAsia="lt-LT"/>
        </w:rPr>
        <w:t>Reti. Hipoglikemija (cukriniu diabetu sergantiems pacientams)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Psichikos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Nedažni. Nemiga, depresija, </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Reti. Nerimas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Nervų sistemos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Apalpimas (sinkopė)</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color w:val="000000"/>
          <w:lang w:eastAsia="lt-LT"/>
        </w:rPr>
      </w:pPr>
      <w:r w:rsidRPr="00AC0A8F">
        <w:rPr>
          <w:rFonts w:ascii="Times New Roman" w:eastAsia="Times New Roman" w:hAnsi="Times New Roman" w:cs="Times New Roman"/>
          <w:color w:val="000000"/>
          <w:lang w:eastAsia="lt-LT"/>
        </w:rPr>
        <w:t>Reti. Mieguistumas (somnolencija).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Akių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Reti. Regos sutrikimas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Ausų ir labirintų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Galvos sukimasis (</w:t>
      </w:r>
      <w:r w:rsidRPr="00AC0A8F">
        <w:rPr>
          <w:rFonts w:ascii="Times New Roman" w:eastAsia="Times New Roman" w:hAnsi="Times New Roman" w:cs="Times New Roman"/>
          <w:i/>
          <w:iCs/>
          <w:lang w:eastAsia="lt-LT"/>
        </w:rPr>
        <w:t>vertigo</w:t>
      </w:r>
      <w:r w:rsidRPr="00AC0A8F">
        <w:rPr>
          <w:rFonts w:ascii="Times New Roman" w:eastAsia="Times New Roman" w:hAnsi="Times New Roman" w:cs="Times New Roman"/>
          <w:lang w:eastAsia="lt-LT"/>
        </w:rPr>
        <w:t>).</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Širdies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Bradikardija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Reti. Tachikardija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Kraujagyslių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Hipotenzija</w:t>
      </w:r>
      <w:r w:rsidRPr="00AC0A8F">
        <w:rPr>
          <w:rFonts w:ascii="Times New Roman" w:eastAsia="Times New Roman" w:hAnsi="Times New Roman" w:cs="Times New Roman"/>
          <w:vertAlign w:val="superscript"/>
          <w:lang w:eastAsia="lt-LT"/>
        </w:rPr>
        <w:t>2</w:t>
      </w:r>
      <w:r w:rsidRPr="00AC0A8F">
        <w:rPr>
          <w:rFonts w:ascii="Times New Roman" w:eastAsia="Times New Roman" w:hAnsi="Times New Roman" w:cs="Times New Roman"/>
          <w:lang w:eastAsia="lt-LT"/>
        </w:rPr>
        <w:t>, ortostatinė hipotenzija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Kvėpavimo sistemos, krūtinės ląstos ir tarpuplaučio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Dusulys, kosulys</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color w:val="000000"/>
          <w:lang w:eastAsia="lt-LT"/>
        </w:rPr>
      </w:pPr>
      <w:r w:rsidRPr="00AC0A8F">
        <w:rPr>
          <w:rFonts w:ascii="Times New Roman" w:eastAsia="Times New Roman" w:hAnsi="Times New Roman" w:cs="Times New Roman"/>
          <w:color w:val="000000"/>
          <w:lang w:eastAsia="lt-LT"/>
        </w:rPr>
        <w:t>Labai reti</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color w:val="000000"/>
          <w:lang w:eastAsia="lt-LT"/>
        </w:rPr>
      </w:pPr>
      <w:r w:rsidRPr="00AC0A8F">
        <w:rPr>
          <w:rFonts w:ascii="Times New Roman" w:eastAsia="Times New Roman" w:hAnsi="Times New Roman" w:cs="Times New Roman"/>
          <w:color w:val="000000"/>
          <w:lang w:eastAsia="lt-LT"/>
        </w:rPr>
        <w:t>Intersticinė plaučių liga4</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Virškinimo trakto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Pilvo skausmas, viduriavimas, dispepsija, vidurių pūtimas, vėmimas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Reti. Burnos džiūvimas, nemalonus pojūtis skrandžio srityje</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Kepenų, tulžies pūslės ir latakų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Reti. Nenormali kepenų funkcija (kepenų sutrikimas)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Odos ir poodinio audinio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Niežėjimas, hiperhidrozė,  išbėrimas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Reti., Angioneurozinė edema </w:t>
      </w:r>
      <w:r w:rsidRPr="00AC0A8F">
        <w:rPr>
          <w:rFonts w:ascii="Times New Roman" w:eastAsia="Times New Roman" w:hAnsi="Times New Roman" w:cs="Times New Roman"/>
          <w:color w:val="000000"/>
          <w:lang w:eastAsia="lt-LT"/>
        </w:rPr>
        <w:t>(taip pat ir mirtina), egzema, eritema, dilgėlinė,</w:t>
      </w:r>
      <w:r w:rsidRPr="00AC0A8F">
        <w:rPr>
          <w:rFonts w:ascii="Times New Roman" w:eastAsia="Times New Roman" w:hAnsi="Times New Roman" w:cs="Times New Roman"/>
          <w:lang w:eastAsia="lt-LT"/>
        </w:rPr>
        <w:t xml:space="preserve"> medikamentinis išbėrimas, toksinis odos išbėrimas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Skeleto, raumenų ir jungiamojo audinio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Nugaros skausmas (pvz., išialgija), raumenų spazmai, mialgija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Reti. Artralgija, galūnių skausmas, sausgyslių skausmas (simptomai, panašūs į tendinito)</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Inkstų ir šlapimo takų sutrikimai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Inkstų funkcijos sutrikimas, įskaitant ūminį inkstų nepakankamumą</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Bendrieji sutrikimai ir vartojimo vietos pažeidimai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Krūtinės skausmas, astenija (silpnumas)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Reti. Į gripą panaši liga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D51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D51C7">
        <w:rPr>
          <w:rFonts w:ascii="Times New Roman" w:eastAsia="Times New Roman" w:hAnsi="Times New Roman" w:cs="Times New Roman"/>
          <w:i/>
          <w:lang w:eastAsia="lt-LT"/>
        </w:rPr>
        <w:t>Tyrimai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Nedažni. Kreatinino kiekio padidėjimas kraujyje</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Reti. </w:t>
      </w:r>
      <w:r w:rsidRPr="00AC0A8F">
        <w:rPr>
          <w:rFonts w:ascii="Times New Roman" w:eastAsia="Times New Roman" w:hAnsi="Times New Roman" w:cs="Times New Roman"/>
          <w:color w:val="000000"/>
          <w:lang w:eastAsia="lt-LT"/>
        </w:rPr>
        <w:t xml:space="preserve">Hemoglobino kiekio sumažėjimas, </w:t>
      </w:r>
      <w:r w:rsidRPr="00AC0A8F">
        <w:rPr>
          <w:rFonts w:ascii="Times New Roman" w:eastAsia="Times New Roman" w:hAnsi="Times New Roman" w:cs="Times New Roman"/>
          <w:lang w:eastAsia="lt-LT"/>
        </w:rPr>
        <w:t>šlapimo rūgšties kiekio padidėjimas kraujyje, kepenų fermentų kiekio padidėjimas, kreatinfosfokinazės kiekio padidėjimas kraujyje</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i/>
          <w:iCs/>
          <w:color w:val="000000"/>
          <w:lang w:eastAsia="lt-LT"/>
        </w:rPr>
      </w:pPr>
      <w:r w:rsidRPr="00AC0A8F">
        <w:rPr>
          <w:rFonts w:ascii="Times New Roman" w:eastAsia="Times New Roman" w:hAnsi="Times New Roman" w:cs="Times New Roman"/>
          <w:color w:val="000000"/>
          <w:lang w:eastAsia="lt-LT"/>
        </w:rPr>
        <w:t>1, 2, 3, 4 Papildomą apibūdinimą žr. poskyrį „</w:t>
      </w:r>
      <w:r w:rsidRPr="00AC0A8F">
        <w:rPr>
          <w:rFonts w:ascii="Times New Roman" w:eastAsia="Times New Roman" w:hAnsi="Times New Roman" w:cs="Times New Roman"/>
          <w:i/>
          <w:iCs/>
          <w:color w:val="000000"/>
          <w:lang w:eastAsia="lt-LT"/>
        </w:rPr>
        <w:t>Atrinktų nepageidaujamų reakcijų apibūdinimas“</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i/>
          <w:iCs/>
          <w:color w:val="000000"/>
          <w:lang w:eastAsia="lt-LT"/>
        </w:rPr>
      </w:pP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color w:val="000000"/>
          <w:lang w:eastAsia="lt-LT"/>
        </w:rPr>
      </w:pPr>
      <w:r w:rsidRPr="00AC0A8F">
        <w:rPr>
          <w:rFonts w:ascii="Times New Roman" w:eastAsia="Times New Roman" w:hAnsi="Times New Roman" w:cs="Times New Roman"/>
          <w:color w:val="000000"/>
          <w:lang w:eastAsia="lt-LT"/>
        </w:rPr>
        <w:t>Atrinktų nepageidaujamų reakcijų apibūdinimas</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color w:val="000000"/>
          <w:lang w:eastAsia="lt-LT"/>
        </w:rPr>
      </w:pP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lang w:eastAsia="lt-LT"/>
        </w:rPr>
      </w:pPr>
      <w:r w:rsidRPr="00AD51C7">
        <w:rPr>
          <w:rFonts w:ascii="Times New Roman" w:eastAsia="Times New Roman" w:hAnsi="Times New Roman" w:cs="Times New Roman"/>
          <w:i/>
          <w:color w:val="000000"/>
          <w:lang w:eastAsia="lt-LT"/>
        </w:rPr>
        <w:t>Sepsis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vertAlign w:val="superscript"/>
          <w:lang w:eastAsia="lt-LT"/>
        </w:rPr>
        <w:t>1</w:t>
      </w:r>
      <w:r w:rsidRPr="00AC0A8F">
        <w:rPr>
          <w:rFonts w:ascii="Times New Roman" w:eastAsia="Times New Roman" w:hAnsi="Times New Roman" w:cs="Times New Roman"/>
          <w:lang w:eastAsia="lt-LT"/>
        </w:rPr>
        <w:t xml:space="preserve"> PRoFESS tyrimo metu telmisartanu, palyginti su placebu, gydytiems pacientams sepsio dažnis buvo didesnis. Reiškinys gali būti atsitiktinis arba priklausomas nuo šiuo metu nežinomų mechanizmų (žr. 5.1 skyrių).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vertAlign w:val="superscript"/>
          <w:lang w:eastAsia="lt-LT"/>
        </w:rPr>
        <w:t>2</w:t>
      </w:r>
      <w:r w:rsidRPr="00AC0A8F">
        <w:rPr>
          <w:rFonts w:ascii="Times New Roman" w:eastAsia="Times New Roman" w:hAnsi="Times New Roman" w:cs="Times New Roman"/>
          <w:lang w:eastAsia="lt-LT"/>
        </w:rPr>
        <w:t xml:space="preserve"> Dažnai stebėta pacientams, kurių kraujospūdis kontroliuojamas ir kuriems įprastinio gydymo metu buvo taikomas sergamumo dėl širdies ir kraujagyslių sutrikimų gydymas telmisartanu.</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D51C7" w:rsidRDefault="004C4B9C" w:rsidP="004C4B9C">
      <w:pPr>
        <w:autoSpaceDE w:val="0"/>
        <w:autoSpaceDN w:val="0"/>
        <w:adjustRightInd w:val="0"/>
        <w:spacing w:after="0" w:line="240" w:lineRule="auto"/>
        <w:rPr>
          <w:rFonts w:ascii="Times New Roman" w:eastAsia="Times New Roman" w:hAnsi="Times New Roman" w:cs="Times New Roman"/>
          <w:i/>
          <w:color w:val="000000"/>
          <w:lang w:eastAsia="lt-LT"/>
        </w:rPr>
      </w:pPr>
      <w:r w:rsidRPr="00AD51C7">
        <w:rPr>
          <w:rFonts w:ascii="Times New Roman" w:eastAsia="Times New Roman" w:hAnsi="Times New Roman" w:cs="Times New Roman"/>
          <w:i/>
          <w:color w:val="000000"/>
          <w:lang w:eastAsia="lt-LT"/>
        </w:rPr>
        <w:t>Nenormali kepenų funkcija (kepenų sutrikimas)</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color w:val="000000"/>
          <w:lang w:eastAsia="lt-LT"/>
        </w:rPr>
      </w:pPr>
      <w:r w:rsidRPr="00AC0A8F">
        <w:rPr>
          <w:rFonts w:ascii="Times New Roman" w:eastAsia="Times New Roman" w:hAnsi="Times New Roman" w:cs="Times New Roman"/>
          <w:color w:val="000000"/>
          <w:lang w:eastAsia="lt-LT"/>
        </w:rPr>
        <w:t>Vaistiniu preparatu gydant po to, kai jis pateko į rinką, daugumas nenormalios kepenų funkcijos (kepenų sutrikimo) atvejų pasitaikė pacientams japonams. Pacientams japonams šios nepageidaujamos reakcijos yra labiau tikėtinos.</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color w:val="000000"/>
          <w:lang w:eastAsia="lt-LT"/>
        </w:rPr>
      </w:pPr>
    </w:p>
    <w:p w:rsidR="004C4B9C" w:rsidRPr="00AD51C7" w:rsidRDefault="004C4B9C" w:rsidP="004C4B9C">
      <w:pPr>
        <w:autoSpaceDE w:val="0"/>
        <w:autoSpaceDN w:val="0"/>
        <w:adjustRightInd w:val="0"/>
        <w:spacing w:after="0" w:line="240" w:lineRule="auto"/>
        <w:rPr>
          <w:rFonts w:ascii="Times New Roman" w:eastAsia="Times New Roman" w:hAnsi="Times New Roman" w:cs="Times New Roman"/>
          <w:i/>
          <w:color w:val="000000"/>
          <w:lang w:eastAsia="lt-LT"/>
        </w:rPr>
      </w:pPr>
      <w:r w:rsidRPr="00AD51C7">
        <w:rPr>
          <w:rFonts w:ascii="Times New Roman" w:eastAsia="Times New Roman" w:hAnsi="Times New Roman" w:cs="Times New Roman"/>
          <w:i/>
          <w:color w:val="000000"/>
          <w:lang w:eastAsia="lt-LT"/>
        </w:rPr>
        <w:t>Intersticinė plaučių liga</w:t>
      </w: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color w:val="000000"/>
          <w:lang w:eastAsia="lt-LT"/>
        </w:rPr>
        <w:t>Vaistiniu preparatu gydant po to, kai jis pateko į rinką, buvo intersticinės plaučių ligos, laikinai susijusios su telmisartano vartojimu, atvejų, tačiau priežastinis ryšys nebuvo ištirtas.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noProof/>
          <w:u w:val="single"/>
          <w:lang w:eastAsia="lt-LT"/>
        </w:rPr>
        <w:t>Pranešimas apie įtariamas nepageidaujamas reakcijas</w:t>
      </w:r>
    </w:p>
    <w:p w:rsidR="004C4B9C" w:rsidRPr="00882BD8" w:rsidRDefault="004C4B9C" w:rsidP="004C4B9C">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882BD8">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882BD8">
        <w:rPr>
          <w:rFonts w:ascii="Times New Roman" w:eastAsia="Times New Roman" w:hAnsi="Times New Roman" w:cs="Times New Roman"/>
          <w:snapToGrid w:val="0"/>
          <w:szCs w:val="24"/>
        </w:rPr>
        <w:t xml:space="preserve"> </w:t>
      </w:r>
      <w:r w:rsidRPr="00882BD8">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882BD8">
          <w:rPr>
            <w:rFonts w:ascii="Times New Roman" w:eastAsia="SimSun" w:hAnsi="Times New Roman" w:cs="Times New Roman"/>
            <w:noProof/>
            <w:snapToGrid w:val="0"/>
            <w:color w:val="0000FF"/>
            <w:szCs w:val="24"/>
            <w:u w:val="single"/>
          </w:rPr>
          <w:t>www.vvkt.lt</w:t>
        </w:r>
      </w:hyperlink>
      <w:r w:rsidRPr="00882BD8">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82BD8">
          <w:rPr>
            <w:rFonts w:ascii="Times New Roman" w:eastAsia="SimSun" w:hAnsi="Times New Roman" w:cs="Times New Roman"/>
            <w:noProof/>
            <w:snapToGrid w:val="0"/>
            <w:color w:val="0000FF"/>
            <w:szCs w:val="24"/>
            <w:u w:val="single"/>
          </w:rPr>
          <w:t>NepageidaujamaR@vvkt.lt</w:t>
        </w:r>
      </w:hyperlink>
      <w:r w:rsidRPr="00882BD8">
        <w:rPr>
          <w:rFonts w:ascii="Times New Roman" w:eastAsia="Times New Roman" w:hAnsi="Times New Roman" w:cs="Times New Roman"/>
          <w:noProof/>
          <w:snapToGrid w:val="0"/>
          <w:szCs w:val="24"/>
        </w:rPr>
        <w:t xml:space="preserve">), per interneto svetainę (adresu </w:t>
      </w:r>
      <w:hyperlink r:id="rId9" w:history="1">
        <w:r w:rsidRPr="00847B96">
          <w:rPr>
            <w:rStyle w:val="Hipersaitas"/>
            <w:rFonts w:ascii="Times New Roman" w:eastAsia="Times New Roman" w:hAnsi="Times New Roman"/>
            <w:noProof/>
            <w:snapToGrid w:val="0"/>
            <w:szCs w:val="24"/>
          </w:rPr>
          <w:t>http://www.vvkt.lt</w:t>
        </w:r>
      </w:hyperlink>
      <w:r>
        <w:rPr>
          <w:rFonts w:ascii="Times New Roman" w:eastAsia="Times New Roman" w:hAnsi="Times New Roman" w:cs="Times New Roman"/>
          <w:noProof/>
          <w:snapToGrid w:val="0"/>
          <w:szCs w:val="24"/>
        </w:rPr>
        <w:t xml:space="preserve"> </w:t>
      </w:r>
      <w:r w:rsidRPr="00882BD8">
        <w:rPr>
          <w:rFonts w:ascii="Times New Roman" w:eastAsia="Times New Roman" w:hAnsi="Times New Roman" w:cs="Times New Roman"/>
          <w:noProof/>
          <w:snapToGrid w:val="0"/>
          <w:szCs w:val="24"/>
        </w:rPr>
        <w:t>).</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4.9</w:t>
      </w:r>
      <w:r w:rsidRPr="00AC0A8F">
        <w:rPr>
          <w:rFonts w:ascii="Times New Roman" w:eastAsia="Times New Roman" w:hAnsi="Times New Roman" w:cs="Times New Roman"/>
          <w:b/>
          <w:bCs/>
          <w:lang w:eastAsia="lt-LT"/>
        </w:rPr>
        <w:tab/>
        <w:t>Perdozavimas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Informacijos apie perdozavimą žmogui yra mažai.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u w:val="single"/>
          <w:lang w:eastAsia="lt-LT"/>
        </w:rPr>
        <w:t>Simptomai</w:t>
      </w:r>
      <w:r w:rsidRPr="00AC0A8F">
        <w:rPr>
          <w:rFonts w:ascii="Times New Roman" w:eastAsia="Times New Roman" w:hAnsi="Times New Roman" w:cs="Times New Roman"/>
          <w:lang w:eastAsia="lt-LT"/>
        </w:rPr>
        <w:t>. Svarbiausi telmisartano perdozavimo simptomai buvo hipotenzija ir tachikardija. Buvo ir tokių simptomų: bradikardijos, galvos svaigimo, kreatinino kiekio padidėjimo kraujo serume bei ūminio inkstų nepakankamumo, atvejų.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u w:val="single"/>
          <w:lang w:eastAsia="lt-LT"/>
        </w:rPr>
        <w:t>Gydymas.</w:t>
      </w:r>
      <w:r w:rsidRPr="00AC0A8F">
        <w:rPr>
          <w:rFonts w:ascii="Times New Roman" w:eastAsia="Times New Roman" w:hAnsi="Times New Roman" w:cs="Times New Roman"/>
          <w:lang w:eastAsia="lt-LT"/>
        </w:rPr>
        <w:t xml:space="preserve"> Hemodialize telmisartano iš organizmo pašalinti neįmanoma. Apsinuodijusį pacientą būtina atidžiai prižiūrėti. Reikalingas simptominis ir palaikomasis gydymas. Jis priklauso nuo apsinuodijimo laiko ir pasireiškusių simptomų sunkumo. Pradžioje patariama išplauti skrandį arba (ir) sukelti vėmimą. Gali būti naudinga duoti gerti aktyvuotos anglies. Būtina dažnai nustatinėti elektrolitų ir kreatinino kiekį kraujo serume. Jeigu pasireiškia hipotenzija, pacientą reikia paguldyti ant nugaros ir nedelsiant skirti druskų bei kraujo tūrį didinančių skysčių.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5.</w:t>
      </w:r>
      <w:r w:rsidRPr="00AC0A8F">
        <w:rPr>
          <w:rFonts w:ascii="Times New Roman" w:eastAsia="Times New Roman" w:hAnsi="Times New Roman" w:cs="Times New Roman"/>
          <w:b/>
          <w:bCs/>
          <w:lang w:eastAsia="lt-LT"/>
        </w:rPr>
        <w:tab/>
        <w:t>FARMAKOLOGINĖS SAVYBĖS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5.1</w:t>
      </w:r>
      <w:r w:rsidRPr="00AC0A8F">
        <w:rPr>
          <w:rFonts w:ascii="Times New Roman" w:eastAsia="Times New Roman" w:hAnsi="Times New Roman" w:cs="Times New Roman"/>
          <w:b/>
          <w:bCs/>
          <w:lang w:eastAsia="lt-LT"/>
        </w:rPr>
        <w:tab/>
        <w:t>Farmakodinaminės savybės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Farmakoterapinė grupė − angiotenzino II receptorių blokatoriai, gryni, ATC kodas − C09CA07.</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lastRenderedPageBreak/>
        <w:t>Veikimo mechanizmas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Telmisartanas yra specifinio poveikio angiotenzino II AT1 receptorių blokatorius, veiklus pavartotas per burną. Jis neleidžia angiotenzinui II jungtis prie AT1 receptorių. Nuo jų dirginimo priklauso angiotenzino II sukeliamas poveikis. Dalinis agonistinis poveikis AT1 receptoriams telmisartanui nebūdingas. Prie AT1 receptorių medikamentas jungiasi selektyviai ir ilgam. Kitos rūšies receptorių, įskaitant ir AT2 bei kitokius mažiau identifikuotus angiotenzininius receptorius, preparatas neveikia. Kokia minėtų receptorių funkcija ir koks galimas poveikis, jeigu juos per daug stimuliuoja angiotenzinas II (jo kiekis veikiant telmisartanui padidėja), nežinoma. Telmisartanas mažina aldosterono koncentraciją kraujo plazmoje. Kraujyje esančio renino aktyvumo jis neslopina, jonų srovės kanalų neblokuoja. Kadangi angiotenziną konvertuojančių fermentų (kininazės II), ardančių bradikininą, telmisartanas neslopina, todėl bradikinino sukeliamo nepageidaujamo poveikio neturėtų stiprinti.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Žmogui 80 mg telmisartano dozė beveik visiškai blokuoja angiotenzino II sukeliamą kraujospūdžio didėjimą. Šis poveikis išsilaiko ilgiau negu 24 val., o išmatuojamas būna net 48 val.</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Klinikinis veiksmingumas ir saugumas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Pirminės arterinės hipertenzijos gydymas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Išgėrus pirmą dozę, antihipertenzinis poveikis palaipsniui tampa pastebimas per 3 val. Daugiausiai kraujospūdis sumažėja paprastai po 4 - 8 gydymo savaičių. Preparato vartojant ilgai, jo poveikis išlieka.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Matuojant kraujospūdį ambulatoriniams pacientams, nustatyta, jog vienkartinės dozės antihipertenzinis poveikis visuomet išlieka ilgiau negu 24 val., įskaitant ir paskutines 4 val. prieš kitos dozės vartojimą. Tai patvirtina ir kontrolinių tyrimų (poveikis lygintas su placebo sukeliamu poveikiu) rezultatai: išgėrus tiek 40 mg, tiek 80 mg telmisartano dozę, mažiausia koncentracija kraujo plazmoje pastoviai buvo didesnė negu 80 % didžiausios. Laikas, per kurį sistolinis kraujospūdis padidėja iki tokio, koks buvo prieš preparato vartojimą, turi akivaizdžią tendenciją priklausyti nuo dozės. Apie diastolinio kraujospūdžio didėjimo priklausomumą duomenys yra prieštaringi.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Hipertenzija sergantiems ligoniams telmisartanas mažina ir sistolinį, ir diastolinį kraujospūdį, tačiau pulso dažnio nekeičia. Ar vaistinio preparato sukeliamas diurezinis ir natrį iš organizmo išskiriantis poveikis daro įtaką jo sukeliamam hipotenziniam poveikiui, iki šiol nenustatyta. Klinikiniais tyrimais, kurių metu vaistinio preparato poveikis lygintas su amlodipino, atenololio, enalaprilio, hidrochlorotiazido bei lizinoprilio, nustatyta, jog telmisartano veiksmingumas prilygsta kitų grupių antihipertenzinių vaistinių preparatų veiksmingumui.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Telmisartano vartojimą nutraukus staigiai, kraujospūdis palaipsniui per kelias paras tampa toks, koks buvo prieš gydymą, atoveiksmio hipertenzija nepasireiškia.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Klinikinių tyrimų metu telmisartano vartojusiems pacientams sausas kosulys pasireikšdavo daug rečiau, negu žmonėms, vartojusiems angiotenziną konvertuojančių fermentų inhibitorių (minėtų vaistinių preparatų poveikis lygintas tiesiogiai).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u w:val="single"/>
          <w:lang w:eastAsia="lt-LT"/>
        </w:rPr>
        <w:t>Sergamumo dėl širdies ir kraujagyslių sutrikimų profilaktika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Tyrimo </w:t>
      </w:r>
      <w:r w:rsidRPr="00AC0A8F">
        <w:rPr>
          <w:rFonts w:ascii="Times New Roman" w:eastAsia="Times New Roman" w:hAnsi="Times New Roman" w:cs="Times New Roman"/>
          <w:b/>
          <w:bCs/>
          <w:lang w:eastAsia="lt-LT"/>
        </w:rPr>
        <w:t xml:space="preserve">ONTARGET </w:t>
      </w:r>
      <w:r w:rsidRPr="00AC0A8F">
        <w:rPr>
          <w:rFonts w:ascii="Times New Roman" w:eastAsia="Times New Roman" w:hAnsi="Times New Roman" w:cs="Times New Roman"/>
          <w:lang w:eastAsia="lt-LT"/>
        </w:rPr>
        <w:t>(</w:t>
      </w:r>
      <w:r w:rsidRPr="00AC0A8F">
        <w:rPr>
          <w:rFonts w:ascii="Times New Roman" w:eastAsia="Times New Roman" w:hAnsi="Times New Roman" w:cs="Times New Roman"/>
          <w:b/>
          <w:bCs/>
          <w:i/>
          <w:iCs/>
          <w:lang w:eastAsia="lt-LT"/>
        </w:rPr>
        <w:t>ON</w:t>
      </w:r>
      <w:r w:rsidRPr="00AC0A8F">
        <w:rPr>
          <w:rFonts w:ascii="Times New Roman" w:eastAsia="Times New Roman" w:hAnsi="Times New Roman" w:cs="Times New Roman"/>
          <w:i/>
          <w:iCs/>
          <w:lang w:eastAsia="lt-LT"/>
        </w:rPr>
        <w:t xml:space="preserve">going </w:t>
      </w:r>
      <w:r w:rsidRPr="00AC0A8F">
        <w:rPr>
          <w:rFonts w:ascii="Times New Roman" w:eastAsia="Times New Roman" w:hAnsi="Times New Roman" w:cs="Times New Roman"/>
          <w:b/>
          <w:bCs/>
          <w:i/>
          <w:iCs/>
          <w:lang w:eastAsia="lt-LT"/>
        </w:rPr>
        <w:t>T</w:t>
      </w:r>
      <w:r w:rsidRPr="00AC0A8F">
        <w:rPr>
          <w:rFonts w:ascii="Times New Roman" w:eastAsia="Times New Roman" w:hAnsi="Times New Roman" w:cs="Times New Roman"/>
          <w:i/>
          <w:iCs/>
          <w:lang w:eastAsia="lt-LT"/>
        </w:rPr>
        <w:t xml:space="preserve">elmisartan </w:t>
      </w:r>
      <w:r w:rsidRPr="00AC0A8F">
        <w:rPr>
          <w:rFonts w:ascii="Times New Roman" w:eastAsia="Times New Roman" w:hAnsi="Times New Roman" w:cs="Times New Roman"/>
          <w:b/>
          <w:bCs/>
          <w:i/>
          <w:iCs/>
          <w:lang w:eastAsia="lt-LT"/>
        </w:rPr>
        <w:t>A</w:t>
      </w:r>
      <w:r w:rsidRPr="00AC0A8F">
        <w:rPr>
          <w:rFonts w:ascii="Times New Roman" w:eastAsia="Times New Roman" w:hAnsi="Times New Roman" w:cs="Times New Roman"/>
          <w:i/>
          <w:iCs/>
          <w:lang w:eastAsia="lt-LT"/>
        </w:rPr>
        <w:t xml:space="preserve">lone and in </w:t>
      </w:r>
      <w:r w:rsidRPr="00AC0A8F">
        <w:rPr>
          <w:rFonts w:ascii="Times New Roman" w:eastAsia="Times New Roman" w:hAnsi="Times New Roman" w:cs="Times New Roman"/>
          <w:b/>
          <w:bCs/>
          <w:i/>
          <w:iCs/>
          <w:lang w:eastAsia="lt-LT"/>
        </w:rPr>
        <w:t>C</w:t>
      </w:r>
      <w:r w:rsidRPr="00AC0A8F">
        <w:rPr>
          <w:rFonts w:ascii="Times New Roman" w:eastAsia="Times New Roman" w:hAnsi="Times New Roman" w:cs="Times New Roman"/>
          <w:i/>
          <w:iCs/>
          <w:lang w:eastAsia="lt-LT"/>
        </w:rPr>
        <w:t xml:space="preserve">ombination with </w:t>
      </w:r>
      <w:r w:rsidRPr="00AC0A8F">
        <w:rPr>
          <w:rFonts w:ascii="Times New Roman" w:eastAsia="Times New Roman" w:hAnsi="Times New Roman" w:cs="Times New Roman"/>
          <w:b/>
          <w:bCs/>
          <w:i/>
          <w:iCs/>
          <w:lang w:eastAsia="lt-LT"/>
        </w:rPr>
        <w:t>R</w:t>
      </w:r>
      <w:r w:rsidRPr="00AC0A8F">
        <w:rPr>
          <w:rFonts w:ascii="Times New Roman" w:eastAsia="Times New Roman" w:hAnsi="Times New Roman" w:cs="Times New Roman"/>
          <w:i/>
          <w:iCs/>
          <w:lang w:eastAsia="lt-LT"/>
        </w:rPr>
        <w:t xml:space="preserve">amipril </w:t>
      </w:r>
      <w:r w:rsidRPr="00AC0A8F">
        <w:rPr>
          <w:rFonts w:ascii="Times New Roman" w:eastAsia="Times New Roman" w:hAnsi="Times New Roman" w:cs="Times New Roman"/>
          <w:b/>
          <w:bCs/>
          <w:i/>
          <w:iCs/>
          <w:lang w:eastAsia="lt-LT"/>
        </w:rPr>
        <w:t>G</w:t>
      </w:r>
      <w:r w:rsidRPr="00AC0A8F">
        <w:rPr>
          <w:rFonts w:ascii="Times New Roman" w:eastAsia="Times New Roman" w:hAnsi="Times New Roman" w:cs="Times New Roman"/>
          <w:i/>
          <w:iCs/>
          <w:lang w:eastAsia="lt-LT"/>
        </w:rPr>
        <w:t xml:space="preserve">lobal </w:t>
      </w:r>
      <w:r w:rsidRPr="00AC0A8F">
        <w:rPr>
          <w:rFonts w:ascii="Times New Roman" w:eastAsia="Times New Roman" w:hAnsi="Times New Roman" w:cs="Times New Roman"/>
          <w:b/>
          <w:bCs/>
          <w:i/>
          <w:iCs/>
          <w:lang w:eastAsia="lt-LT"/>
        </w:rPr>
        <w:t>E</w:t>
      </w:r>
      <w:r w:rsidRPr="00AC0A8F">
        <w:rPr>
          <w:rFonts w:ascii="Times New Roman" w:eastAsia="Times New Roman" w:hAnsi="Times New Roman" w:cs="Times New Roman"/>
          <w:i/>
          <w:iCs/>
          <w:lang w:eastAsia="lt-LT"/>
        </w:rPr>
        <w:t xml:space="preserve">ndpoint </w:t>
      </w:r>
      <w:r w:rsidRPr="00AC0A8F">
        <w:rPr>
          <w:rFonts w:ascii="Times New Roman" w:eastAsia="Times New Roman" w:hAnsi="Times New Roman" w:cs="Times New Roman"/>
          <w:b/>
          <w:bCs/>
          <w:i/>
          <w:iCs/>
          <w:lang w:eastAsia="lt-LT"/>
        </w:rPr>
        <w:t>T</w:t>
      </w:r>
      <w:r w:rsidRPr="00AC0A8F">
        <w:rPr>
          <w:rFonts w:ascii="Times New Roman" w:eastAsia="Times New Roman" w:hAnsi="Times New Roman" w:cs="Times New Roman"/>
          <w:i/>
          <w:iCs/>
          <w:lang w:eastAsia="lt-LT"/>
        </w:rPr>
        <w:t>rial</w:t>
      </w:r>
      <w:r w:rsidRPr="00AC0A8F">
        <w:rPr>
          <w:rFonts w:ascii="Times New Roman" w:eastAsia="Times New Roman" w:hAnsi="Times New Roman" w:cs="Times New Roman"/>
          <w:lang w:eastAsia="lt-LT"/>
        </w:rPr>
        <w:t>) metu buvo lygintas telmisartano, ramiprilio ir telmisartano derinio bei ramiprilio poveikis širdies ir kraujagyslių pasekmėms 25620 pacientų (55 metų arba vyresnių), kurių anamnezėje buvo išeminė širdies liga, insultas, praeinantysis smegenų išemijos priepuolis, periferinių arterijų liga arba II tipo cukrinis diabetas, susijęs su organų-taikinių pažaidos įrodymu (pvz., retinopatija, kairiojo širdies skilvelio hipertrofija, makroalbuminurija arba mikroalbuminurija) ir kurie priklauso populiacijai, kuriai gresia širdies ir kraujagyslių sutrikimų reiškinių rizika.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lastRenderedPageBreak/>
        <w:t>Pacientai atsitiktinių imčių būdu buvo suskirstyti į 3 grupes, kurios buvo gydytos 80 mg telmisartano paros doze (n = 8542), 10 mg ramiprilio paros doze (n = 8576) arba 80 mg telmisartano ir 10 mg ramiprilio paros dozių deriniu (n = 8502). Vidutinis tiriamųjų stebėjimo laikas buvo 4,5 metų.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Telmisartano poveikis sudėtinės pirmaeilės vertinamosios baigties − mirties nuo širdies ir kraujagyslių sutrikimų, nemirtino miokardo infarkto, nemirtino smegenų insulto ar guldymo į ligoninę dėl širdies nepakankamumo − dažnio mažinimui buvo panašus į ramiprilio</w:t>
      </w:r>
      <w:r w:rsidRPr="00AC0A8F">
        <w:rPr>
          <w:rFonts w:ascii="Times New Roman" w:eastAsia="Times New Roman" w:hAnsi="Times New Roman" w:cs="Times New Roman"/>
          <w:b/>
          <w:bCs/>
          <w:lang w:eastAsia="lt-LT"/>
        </w:rPr>
        <w:t xml:space="preserve">. </w:t>
      </w:r>
      <w:r w:rsidRPr="00AC0A8F">
        <w:rPr>
          <w:rFonts w:ascii="Times New Roman" w:eastAsia="Times New Roman" w:hAnsi="Times New Roman" w:cs="Times New Roman"/>
          <w:lang w:eastAsia="lt-LT"/>
        </w:rPr>
        <w:t>Pirmaeilės vertinamosios baigties dažnis pacientams, gydytiems telmisartanu (16,7%) ir ramipriliu (16,5%) buvo panašus. Telmisartano, palyginti su ramipriliu, rizikos santykis buvo 1,01 (97,5% PI: 0,93-1,1; p (</w:t>
      </w:r>
      <w:r w:rsidRPr="00AC0A8F">
        <w:rPr>
          <w:rFonts w:ascii="Times New Roman" w:eastAsia="Times New Roman" w:hAnsi="Times New Roman" w:cs="Times New Roman"/>
          <w:i/>
          <w:iCs/>
          <w:lang w:eastAsia="lt-LT"/>
        </w:rPr>
        <w:t>non-inferiority</w:t>
      </w:r>
      <w:r w:rsidRPr="00AC0A8F">
        <w:rPr>
          <w:rFonts w:ascii="Times New Roman" w:eastAsia="Times New Roman" w:hAnsi="Times New Roman" w:cs="Times New Roman"/>
          <w:lang w:eastAsia="lt-LT"/>
        </w:rPr>
        <w:t>) = 0,0019, kai riba 1,13). Telmisartanu ir ramipriliu gydytų pacientų mirtingumo nuo visų priežasčių dažnis buvo atitinkamai 11,6% ir 11,8%.</w:t>
      </w:r>
    </w:p>
    <w:p w:rsidR="004C4B9C"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3D7B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D7BC7">
        <w:rPr>
          <w:rFonts w:ascii="Times New Roman" w:eastAsia="Times New Roman" w:hAnsi="Times New Roman" w:cs="Times New Roman"/>
          <w:lang w:eastAsia="lt-LT"/>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rsidR="004C4B9C" w:rsidRPr="003D7B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D7BC7">
        <w:rPr>
          <w:rFonts w:ascii="Times New Roman" w:eastAsia="Times New Roman" w:hAnsi="Times New Roman" w:cs="Times New Roman"/>
          <w:lang w:eastAsia="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4C4B9C" w:rsidRPr="003D7B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D7BC7">
        <w:rPr>
          <w:rFonts w:ascii="Times New Roman" w:eastAsia="Times New Roman" w:hAnsi="Times New Roman" w:cs="Times New Roman"/>
          <w:lang w:eastAsia="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4C4B9C" w:rsidRPr="003D7BC7"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D7BC7">
        <w:rPr>
          <w:rFonts w:ascii="Times New Roman" w:eastAsia="Times New Roman" w:hAnsi="Times New Roman" w:cs="Times New Roman"/>
          <w:lang w:eastAsia="lt-LT"/>
        </w:rPr>
        <w:t>Todėl pacientams, sergantiems diabetine nefropatija, negalima kartu vartoti AKF inhibitorių ir angiotenzino II receptorių blokatorių.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D7BC7">
        <w:rPr>
          <w:rFonts w:ascii="Times New Roman" w:eastAsia="Times New Roman" w:hAnsi="Times New Roman" w:cs="Times New Roman"/>
          <w:lang w:eastAsia="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Nustatyta, kad telmisartano veiksmingumas buvo panašus į ramiprilio, atsižvelgiant į iš anksto tiksliai apibrėžtą antraeilę vertinamąją baigtį, t. y. mirties dėl širdies ir kraujagyslių sutrikimų, nemirtino miokardo infarkto ir nemirtino smegenų insulto dažnį [0,99 (97,5% PI: 0,9-1,08; p (</w:t>
      </w:r>
      <w:r w:rsidRPr="00AC0A8F">
        <w:rPr>
          <w:rFonts w:ascii="Times New Roman" w:eastAsia="Times New Roman" w:hAnsi="Times New Roman" w:cs="Times New Roman"/>
          <w:i/>
          <w:iCs/>
          <w:lang w:eastAsia="lt-LT"/>
        </w:rPr>
        <w:t>non-inferiority</w:t>
      </w:r>
      <w:r w:rsidRPr="00AC0A8F">
        <w:rPr>
          <w:rFonts w:ascii="Times New Roman" w:eastAsia="Times New Roman" w:hAnsi="Times New Roman" w:cs="Times New Roman"/>
          <w:lang w:eastAsia="lt-LT"/>
        </w:rPr>
        <w:t>) = 0,0004), kuri lyginamojo tyrimo HOPE (</w:t>
      </w:r>
      <w:r w:rsidRPr="00AC0A8F">
        <w:rPr>
          <w:rFonts w:ascii="Times New Roman" w:eastAsia="Times New Roman" w:hAnsi="Times New Roman" w:cs="Times New Roman"/>
          <w:i/>
          <w:iCs/>
          <w:lang w:eastAsia="lt-LT"/>
        </w:rPr>
        <w:t xml:space="preserve">The </w:t>
      </w:r>
      <w:r w:rsidRPr="00AC0A8F">
        <w:rPr>
          <w:rFonts w:ascii="Times New Roman" w:eastAsia="Times New Roman" w:hAnsi="Times New Roman" w:cs="Times New Roman"/>
          <w:b/>
          <w:bCs/>
          <w:i/>
          <w:iCs/>
          <w:lang w:eastAsia="lt-LT"/>
        </w:rPr>
        <w:t>H</w:t>
      </w:r>
      <w:r w:rsidRPr="00AC0A8F">
        <w:rPr>
          <w:rFonts w:ascii="Times New Roman" w:eastAsia="Times New Roman" w:hAnsi="Times New Roman" w:cs="Times New Roman"/>
          <w:i/>
          <w:iCs/>
          <w:lang w:eastAsia="lt-LT"/>
        </w:rPr>
        <w:t xml:space="preserve">eart </w:t>
      </w:r>
      <w:r w:rsidRPr="00AC0A8F">
        <w:rPr>
          <w:rFonts w:ascii="Times New Roman" w:eastAsia="Times New Roman" w:hAnsi="Times New Roman" w:cs="Times New Roman"/>
          <w:b/>
          <w:bCs/>
          <w:i/>
          <w:iCs/>
          <w:lang w:eastAsia="lt-LT"/>
        </w:rPr>
        <w:t>O</w:t>
      </w:r>
      <w:r w:rsidRPr="00AC0A8F">
        <w:rPr>
          <w:rFonts w:ascii="Times New Roman" w:eastAsia="Times New Roman" w:hAnsi="Times New Roman" w:cs="Times New Roman"/>
          <w:i/>
          <w:iCs/>
          <w:lang w:eastAsia="lt-LT"/>
        </w:rPr>
        <w:t xml:space="preserve">utcomes </w:t>
      </w:r>
      <w:r w:rsidRPr="00AC0A8F">
        <w:rPr>
          <w:rFonts w:ascii="Times New Roman" w:eastAsia="Times New Roman" w:hAnsi="Times New Roman" w:cs="Times New Roman"/>
          <w:b/>
          <w:bCs/>
          <w:i/>
          <w:iCs/>
          <w:lang w:eastAsia="lt-LT"/>
        </w:rPr>
        <w:t>P</w:t>
      </w:r>
      <w:r w:rsidRPr="00AC0A8F">
        <w:rPr>
          <w:rFonts w:ascii="Times New Roman" w:eastAsia="Times New Roman" w:hAnsi="Times New Roman" w:cs="Times New Roman"/>
          <w:i/>
          <w:iCs/>
          <w:lang w:eastAsia="lt-LT"/>
        </w:rPr>
        <w:t xml:space="preserve">revention </w:t>
      </w:r>
      <w:r w:rsidRPr="00AC0A8F">
        <w:rPr>
          <w:rFonts w:ascii="Times New Roman" w:eastAsia="Times New Roman" w:hAnsi="Times New Roman" w:cs="Times New Roman"/>
          <w:b/>
          <w:bCs/>
          <w:i/>
          <w:iCs/>
          <w:lang w:eastAsia="lt-LT"/>
        </w:rPr>
        <w:t>E</w:t>
      </w:r>
      <w:r w:rsidRPr="00AC0A8F">
        <w:rPr>
          <w:rFonts w:ascii="Times New Roman" w:eastAsia="Times New Roman" w:hAnsi="Times New Roman" w:cs="Times New Roman"/>
          <w:i/>
          <w:iCs/>
          <w:lang w:eastAsia="lt-LT"/>
        </w:rPr>
        <w:t>valuation Study</w:t>
      </w:r>
      <w:r w:rsidRPr="00AC0A8F">
        <w:rPr>
          <w:rFonts w:ascii="Times New Roman" w:eastAsia="Times New Roman" w:hAnsi="Times New Roman" w:cs="Times New Roman"/>
          <w:lang w:eastAsia="lt-LT"/>
        </w:rPr>
        <w:t>), kuriuo buvo lygintas ramiprilio ir placebo poveikis, metu buvo pirmaeilė vertinamoji baigtis.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Atsitiktinių imčių tyrimo TRANSCEND, kuriame dalyvavo AKF inhibitorių netoleruojantys pacientai, kurių įtraukimo į tyrimą kriterijai apskritai imant buvo panašūs į įtraukimo į tyrimą ONTARGET kriterijus, metu buvo lygintas 80 mg telmisartano paros dozės (n = 2954) poveikis su placebo poveikiu (n = 2972). Tiek vienu, tiek kitu preparatu buvo papildytas jau taikomas gydymas įprastiniais preparatais. Vidutinė tiriamųjų stebėjimo trukmė buvo 4 metai ir 8 mėnesiai. Sudėtinės pirmaeilės vertinamosios baigties (mirties dėl širdies ir kraujagyslių sutrikimų, nemirtino miokardo infarkto, nemirtino smegenų insulto ar guldymo į ligoninę dėl širdies nepakankamumo) dažnis statistiškai reikšmingai nesiskyrė (telmisartanu gydytiems pacientams jis buvo 15,7%, vartojusiems placebo − 17%; RS: 0,92; 95% PI: 0,81 – 1,05; p = 0,22). Buvo telmisartano, palyginti su placebu, gydymo naudos akivaizdumas, atsižvelgiant į iš anksto tiksliai apibrėžtą sudėtinę antraeilę vertinamąją baigtį, t. y. mirties dėl širdies ir kraujagyslių sutrikimų, nemirtino miokardo infarkto ir nemirtino insulto dažnį [0,87 (95% PI: 0,76 – 1; p = 0,048). Naudos mirštamumui dėl širdies ir kraujagyslių sutrikimų įrodymų negauta (RS: 1,03; 95% PI: 0,85 – 1,24).</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Telmisartanu, palyginti ramipriliu, gydytiems pacientams kosulys ir angioneurozinė edema pasireiškė rečiau, o hipotenzija dažniau.</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Gydymas telmisartano ir ramiprilio deriniu nebuvo naudingesnis už gydymą vien telmisartanu arba vien ramipriliu. Gydant deriniu, mirštamumas dėl širdies ir kraujagyslių sutrikimų bei mirtingumas nuo visų priežasčių kiekio atžvilgiu buvo didesni, be to, reikšmingai didesnis buvo hiperkalemijos, inkstų nepakankamumo, hipotenzijos ir sinkopės dažnis. Vadinasi, minėtos populiacijos pacientus gydyti telmisartano ir ramiprilio deriniu nerekomenduojama.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Tyrimo </w:t>
      </w:r>
      <w:r w:rsidRPr="00AC0A8F">
        <w:rPr>
          <w:rFonts w:ascii="Times New Roman" w:eastAsia="Times New Roman" w:hAnsi="Times New Roman" w:cs="Times New Roman"/>
          <w:i/>
          <w:iCs/>
          <w:lang w:eastAsia="lt-LT"/>
        </w:rPr>
        <w:t>„Prevention Regimen For Effectively avoiding Second Strokes</w:t>
      </w:r>
      <w:r w:rsidRPr="00AC0A8F">
        <w:rPr>
          <w:rFonts w:ascii="Times New Roman" w:eastAsia="Times New Roman" w:hAnsi="Times New Roman" w:cs="Times New Roman"/>
          <w:lang w:eastAsia="lt-LT"/>
        </w:rPr>
        <w:t>“ (PRoFESS), kuriame dalyvavo 50 metų ir vyresni pacientai, neseniai patyrę insultą, metu telmisartanu gydomiems tiriamiesiems sepsis pasireiškė dažniau, negu vartojusiems placebo, atitinkamai 0,7% ir 0,49% [RS: 1,43 (95% PI: 1 – 2,06)]. Mirtino sepsio dažnis telmisartanu gydomiems pacientams buvo didesnis, negu vartojantiems placebo, atitinkamai 0,33% ir 0,16% [RS:2,07 (95% PI: 1,14 – 3,76)]. Pastebėtas sepsio pasireiškimo dažnio padidėjimas, susijęs su telmisartano vartojimu, galėjo būti arba atsitiktinis, arba priklausomas nuo kol kas nežinomų mechanizmų.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5.2</w:t>
      </w:r>
      <w:r w:rsidRPr="00AC0A8F">
        <w:rPr>
          <w:rFonts w:ascii="Times New Roman" w:eastAsia="Times New Roman" w:hAnsi="Times New Roman" w:cs="Times New Roman"/>
          <w:b/>
          <w:bCs/>
          <w:lang w:eastAsia="lt-LT"/>
        </w:rPr>
        <w:tab/>
        <w:t>Farmakokinetinės savybės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noProof/>
          <w:lang w:eastAsia="lt-LT"/>
        </w:rPr>
        <w:t>Absorbcija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Telmisartanas rezorbuojamas greitai, tačiau rezorbuojamas kiekis skiriasi. Vidutinis absoliutus medikamento biologinis prieinamumas yra maždaug 50 %. Išgėrus 40 mg telmisartano dozę valgio metu, plotas po koncentracijos kreive (AUC</w:t>
      </w:r>
      <w:r w:rsidRPr="00AC0A8F">
        <w:rPr>
          <w:rFonts w:ascii="Times New Roman" w:eastAsia="Times New Roman" w:hAnsi="Times New Roman" w:cs="Times New Roman"/>
          <w:vertAlign w:val="subscript"/>
          <w:lang w:eastAsia="lt-LT"/>
        </w:rPr>
        <w:t>0-∞</w:t>
      </w:r>
      <w:r w:rsidRPr="00AC0A8F">
        <w:rPr>
          <w:rFonts w:ascii="Times New Roman" w:eastAsia="Times New Roman" w:hAnsi="Times New Roman" w:cs="Times New Roman"/>
          <w:lang w:eastAsia="lt-LT"/>
        </w:rPr>
        <w:t>) sumažėja maždaug 6 %, išgėrus 160 mg dozę − 19 %. Praėjus 3 val. po telmisartano pavartojimo, koncentracija kraujo plazmoje būna vienoda ir tuo atveju, kai jo geriama valgio metu, ir tuo atveju, kai geriama nevalgius.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noProof/>
          <w:lang w:eastAsia="lt-LT"/>
        </w:rPr>
        <w:t>Tiesinis / netiesinis pobūdis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Manoma, jog dėl nedidelio AUC sumažėjimo preparato veiksmingumas neturėtų mažėti. Telmisartano koncentracijos kraujo plazmoje priklausomumas nuo dozės nėra tiesinis. Vartojant didesnes nei 40 mg dozes, Cmax ir kiek mažiau AUC didėja neproporcingai dozės dydžiui.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Pasiskirstymas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Daug (&gt; 99,5 %) telmisartano jungiasi prie kraujo plazmos baltymų, daugiausia alfa-1 rūgščiųjų glikoproteinų. Vidutinis tariamasis pasiskirstymo tūris tuo metu, kai koncentracija pusiausvyrinė (</w:t>
      </w:r>
      <w:r w:rsidRPr="00AC0A8F">
        <w:rPr>
          <w:rFonts w:ascii="Times New Roman" w:eastAsia="Times New Roman" w:hAnsi="Times New Roman" w:cs="Times New Roman"/>
          <w:i/>
          <w:iCs/>
          <w:lang w:eastAsia="lt-LT"/>
        </w:rPr>
        <w:t>Vdss</w:t>
      </w:r>
      <w:r w:rsidRPr="00AC0A8F">
        <w:rPr>
          <w:rFonts w:ascii="Times New Roman" w:eastAsia="Times New Roman" w:hAnsi="Times New Roman" w:cs="Times New Roman"/>
          <w:lang w:eastAsia="lt-LT"/>
        </w:rPr>
        <w:t>), yra maždaug 500 l.</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C0A8F">
        <w:rPr>
          <w:rFonts w:ascii="Times New Roman" w:eastAsia="Times New Roman" w:hAnsi="Times New Roman" w:cs="Times New Roman"/>
          <w:noProof/>
          <w:lang w:eastAsia="lt-LT"/>
        </w:rPr>
        <w:t>Biotransformacija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Telmisartanas metabolizuojamas konjugacijos būdu į nepakitusio preparato gliukuronidus. Konjugatai farmakologinio aktyvumo neturi.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Eliminacija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Organizme telmisartano koncentracijos mažėjimas yra bieksponentinis, galutinės pusinės eliminacijos laikas yra &gt; 20 val. Cmax ir šiek tiek mažiau AUC didėja neproporcingai dozės dydžiui. Vartojant rekomenduojamą dozę, klinikai reikšmingo telmisartano kaupimosi organizme nepastebėta. Preparato koncentracija moterų kraujo plazmoje būna didesnė negu vyrų, tačiau dėl to jo veiksmingumas reikšmingai nekinta.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Tiek išgertas, tiek injekuotas telmisartanas iš organizmo eliminuojamas beveik tik su išmatomis, daugiausiai nepakitusio preparato pavidalu. Pro inkstus išsiskiria &lt; 1 % dozės. Palyginti su kepenų kraujotaka (apie 1500 ml/min.), bendras telmisartano klirensas kraujo plazmoje (Cltot) yra didelis (maždaug 1000 ml/min.).</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Cs/>
          <w:u w:val="single"/>
          <w:lang w:eastAsia="lt-LT"/>
        </w:rPr>
      </w:pPr>
      <w:r w:rsidRPr="00AC0A8F">
        <w:rPr>
          <w:rFonts w:ascii="Times New Roman" w:eastAsia="Times New Roman" w:hAnsi="Times New Roman" w:cs="Times New Roman"/>
          <w:iCs/>
          <w:u w:val="single"/>
          <w:lang w:eastAsia="lt-LT"/>
        </w:rPr>
        <w:t>Ypatingos populiacijos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lang w:eastAsia="lt-LT"/>
        </w:rPr>
        <w:t>Lytis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Nustatyta, jog moterų kraujo plazmoje Cmax ir AUC yra atitinkamai maždaug 3 ir 2 kartus didesni negu</w:t>
      </w:r>
      <w:r>
        <w:rPr>
          <w:rFonts w:ascii="Times New Roman" w:eastAsia="Times New Roman" w:hAnsi="Times New Roman" w:cs="Times New Roman"/>
          <w:lang w:eastAsia="lt-LT"/>
        </w:rPr>
        <w:t xml:space="preserve"> </w:t>
      </w:r>
      <w:r w:rsidRPr="00AC0A8F">
        <w:rPr>
          <w:rFonts w:ascii="Times New Roman" w:eastAsia="Times New Roman" w:hAnsi="Times New Roman" w:cs="Times New Roman"/>
          <w:lang w:eastAsia="lt-LT"/>
        </w:rPr>
        <w:t>vyrų.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lang w:eastAsia="lt-LT"/>
        </w:rPr>
        <w:t>Senyvi žmonės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lastRenderedPageBreak/>
        <w:t>Pagyvenusių ir jaunesnių negu 65 metų žmonių organizme telmisartano farmakokinetika nesiskiria.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iCs/>
          <w:color w:val="000000"/>
          <w:lang w:eastAsia="lt-LT"/>
        </w:rPr>
        <w:t>Sutrikusi inkstų funkcija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Pastebėta, jog pacientų, kuriems yra lengvas, vidutinio sunkumo ar sunkus inkstų funkcijos sutrikimas, kraujo plazmoje preparato koncentracija gali būti du kartus didesnė, o dializuojamų inkstų nepakankamumu sergančių ligonių kraujo plazmoje mažesnė. Dialize preparato iš inkstų nepakankamumu sergančių ligonių organizmo pašalinti neįmanoma, kadangi daug jo prisijungia prie kraujo plazmos baltymų. Pacientų, kurių inkstų funkcija sutrikusi, organizme telmisartano pusinės eliminacijos laikas nekinta.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AC0A8F">
        <w:rPr>
          <w:rFonts w:ascii="Times New Roman" w:eastAsia="Times New Roman" w:hAnsi="Times New Roman" w:cs="Times New Roman"/>
          <w:i/>
          <w:iCs/>
          <w:color w:val="000000"/>
          <w:lang w:eastAsia="lt-LT"/>
        </w:rPr>
        <w:t>Sutrikusi kepenų funkcija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Tyrimais nustatyta, jog ligonių, kurių kepenų funkcija sutrikusi, organizme absoliutus biologinis telmisartano prieinamumas yra didesnis, t. y. beveik 100 %, tačiau pusinės eliminacijos laikas nekinta.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5.3</w:t>
      </w:r>
      <w:r w:rsidRPr="00AC0A8F">
        <w:rPr>
          <w:rFonts w:ascii="Times New Roman" w:eastAsia="Times New Roman" w:hAnsi="Times New Roman" w:cs="Times New Roman"/>
          <w:b/>
          <w:bCs/>
          <w:lang w:eastAsia="lt-LT"/>
        </w:rPr>
        <w:tab/>
        <w:t>Ikiklinikinių saugumo tyrimų duomenys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Ikiklinikinių tyrimų metu gyvūnams, kurių kraujospūdis buvo normalus, telmisartano dozė, nuo kurios preparato ekspozicija gyvūnų organizme buvo tokia pat, kaip gydomų žmonių organizme, atsirado eritrocitų parametrų (kiekio, hemoglobino koncentracijos, hematokrito) pokyčių, pakito inkstų kraujotaka (kraujyje padidėjo karbamido ir kreatinino kiekis), padidėjo kalio kiekis kraujo serume. Šunims preparatas sukėlė inkstų kanalėlių išsiplėtimą ir atrofiją. Be to, žiurkėms ir šunims atsirado skrandžio gleivinės pažeidimų: erozija, opų arba uždegimas. Žinoma, jog ikiklinikinių tyrimų metu minėtą nepageidaujamą poveikį dėl farmakologinio veikimo sukėlė tiek angiotenziną konvertuojančių fermentų inhibitoriai, tiek kitokie angiotenzino II receptorių blokatoriai ir kad nuo jo buvo galima apsaugoti duodant gerti fiziologinio tirpalo.</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Abiejų rūšių gyvūnų kraujo plazmoje padidėjo renino kiekis, atsirado ląstelių, esančių arti inkstų glomerulų, hipertrofija (hiperplazija). Manoma, jog šis poveikis (jį sukelia ir angiotenziną konvertuojančių fermentų inhibitoriai, ir kiti angiotenzinui II jautrių receptorių blokatoriai klinikai nėra reikšmingas.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Nėra aiškių telmisartano teratogeninio poveikio įrodymų, tačiau toksinės telmisartano dozės darė poveikį postnataliniam jauniklių vystymuisi, pvz., mažino jų kūno svorį ir uždelsė atsimerkimą. </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Tyrimų </w:t>
      </w:r>
      <w:r w:rsidRPr="00AC0A8F">
        <w:rPr>
          <w:rFonts w:ascii="Times New Roman" w:eastAsia="Times New Roman" w:hAnsi="Times New Roman" w:cs="Times New Roman"/>
          <w:i/>
          <w:iCs/>
          <w:lang w:eastAsia="lt-LT"/>
        </w:rPr>
        <w:t xml:space="preserve">in vitro </w:t>
      </w:r>
      <w:r w:rsidRPr="00AC0A8F">
        <w:rPr>
          <w:rFonts w:ascii="Times New Roman" w:eastAsia="Times New Roman" w:hAnsi="Times New Roman" w:cs="Times New Roman"/>
          <w:lang w:eastAsia="lt-LT"/>
        </w:rPr>
        <w:t>metu mutageninio ar reikšmingo klastogeninio telmisartano poveikio nepastebėta. Žiurkėms ir pelėms kancerogeninio poveikio preparatas nesukėlė.</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6.</w:t>
      </w:r>
      <w:r w:rsidRPr="00AC0A8F">
        <w:rPr>
          <w:rFonts w:ascii="Times New Roman" w:eastAsia="Times New Roman" w:hAnsi="Times New Roman" w:cs="Times New Roman"/>
          <w:b/>
          <w:bCs/>
          <w:lang w:eastAsia="lt-LT"/>
        </w:rPr>
        <w:tab/>
        <w:t>FARMACINĖ INFORMACIJA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6.1</w:t>
      </w:r>
      <w:r w:rsidRPr="00AC0A8F">
        <w:rPr>
          <w:rFonts w:ascii="Times New Roman" w:eastAsia="Times New Roman" w:hAnsi="Times New Roman" w:cs="Times New Roman"/>
          <w:b/>
          <w:bCs/>
          <w:lang w:eastAsia="lt-LT"/>
        </w:rPr>
        <w:tab/>
        <w:t>Pagalbinių medžiagų sąrašas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spacing w:after="0" w:line="240" w:lineRule="auto"/>
        <w:rPr>
          <w:rFonts w:ascii="Times New Roman" w:eastAsia="Times New Roman" w:hAnsi="Times New Roman" w:cs="Times New Roman"/>
          <w:i/>
          <w:iCs/>
          <w:lang w:eastAsia="lt-LT"/>
        </w:rPr>
      </w:pPr>
      <w:r w:rsidRPr="00AC0A8F">
        <w:rPr>
          <w:rFonts w:ascii="Times New Roman" w:eastAsia="Times New Roman" w:hAnsi="Times New Roman" w:cs="Times New Roman"/>
          <w:i/>
          <w:iCs/>
          <w:lang w:eastAsia="lt-LT"/>
        </w:rPr>
        <w:t>Tabletės branduolys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Natrio hidroksidas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Povidonas (K-25)</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Megluminas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Laktozė monohidratas </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Krospovidonas (B)</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Geltonasis geležies oksidas (E172)</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Magnio stearatas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spacing w:after="0" w:line="240" w:lineRule="auto"/>
        <w:rPr>
          <w:rFonts w:ascii="Times New Roman" w:eastAsia="Times New Roman" w:hAnsi="Times New Roman" w:cs="Times New Roman"/>
          <w:i/>
          <w:iCs/>
          <w:lang w:eastAsia="lt-LT"/>
        </w:rPr>
      </w:pPr>
      <w:r w:rsidRPr="00AC0A8F">
        <w:rPr>
          <w:rFonts w:ascii="Times New Roman" w:eastAsia="Times New Roman" w:hAnsi="Times New Roman" w:cs="Times New Roman"/>
          <w:i/>
          <w:iCs/>
          <w:lang w:eastAsia="lt-LT"/>
        </w:rPr>
        <w:t>Tabletės plėvelė</w:t>
      </w:r>
    </w:p>
    <w:p w:rsidR="004C4B9C" w:rsidRPr="00AC0A8F" w:rsidRDefault="004C4B9C" w:rsidP="004C4B9C">
      <w:pPr>
        <w:spacing w:after="0" w:line="240" w:lineRule="auto"/>
        <w:rPr>
          <w:rFonts w:ascii="Times New Roman" w:eastAsia="Times New Roman" w:hAnsi="Times New Roman" w:cs="Times New Roman"/>
          <w:i/>
          <w:iCs/>
          <w:lang w:eastAsia="lt-LT"/>
        </w:rPr>
      </w:pPr>
      <w:r w:rsidRPr="00AC0A8F">
        <w:rPr>
          <w:rFonts w:ascii="Times New Roman" w:eastAsia="Times New Roman" w:hAnsi="Times New Roman" w:cs="Times New Roman"/>
          <w:i/>
          <w:iCs/>
          <w:lang w:eastAsia="lt-LT"/>
        </w:rPr>
        <w:t>Opadry Yellow, kurio sudėtyje yra: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Hipromeliozė</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Titano dioksidas (E171)</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Makrogolis 400</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Talkas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Geltonasis geležies oksidas (E172)</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6.2</w:t>
      </w:r>
      <w:r w:rsidRPr="00AC0A8F">
        <w:rPr>
          <w:rFonts w:ascii="Times New Roman" w:eastAsia="Times New Roman" w:hAnsi="Times New Roman" w:cs="Times New Roman"/>
          <w:b/>
          <w:bCs/>
          <w:lang w:eastAsia="lt-LT"/>
        </w:rPr>
        <w:tab/>
        <w:t>Nesuderinamumas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Duomenys nebūtini.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6.3</w:t>
      </w:r>
      <w:r w:rsidRPr="00AC0A8F">
        <w:rPr>
          <w:rFonts w:ascii="Times New Roman" w:eastAsia="Times New Roman" w:hAnsi="Times New Roman" w:cs="Times New Roman"/>
          <w:b/>
          <w:bCs/>
          <w:lang w:eastAsia="lt-LT"/>
        </w:rPr>
        <w:tab/>
        <w:t>Tinkamumo laikas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3 metai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6.4</w:t>
      </w:r>
      <w:r w:rsidRPr="00AC0A8F">
        <w:rPr>
          <w:rFonts w:ascii="Times New Roman" w:eastAsia="Times New Roman" w:hAnsi="Times New Roman" w:cs="Times New Roman"/>
          <w:b/>
          <w:bCs/>
          <w:lang w:eastAsia="lt-LT"/>
        </w:rPr>
        <w:tab/>
        <w:t>Specialios laikymo sąlygos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Šiam vaistiniam preparatui specialių laikymo sąlygų nereikia. </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6.5</w:t>
      </w:r>
      <w:r w:rsidRPr="00AC0A8F">
        <w:rPr>
          <w:rFonts w:ascii="Times New Roman" w:eastAsia="Times New Roman" w:hAnsi="Times New Roman" w:cs="Times New Roman"/>
          <w:b/>
          <w:bCs/>
          <w:lang w:eastAsia="lt-LT"/>
        </w:rPr>
        <w:tab/>
      </w:r>
      <w:r>
        <w:rPr>
          <w:rFonts w:ascii="Times New Roman" w:eastAsia="Times New Roman" w:hAnsi="Times New Roman" w:cs="Times New Roman"/>
          <w:b/>
          <w:bCs/>
          <w:lang w:eastAsia="lt-LT"/>
        </w:rPr>
        <w:t>Talpyklės pobūdis</w:t>
      </w:r>
      <w:r w:rsidRPr="00AC0A8F">
        <w:rPr>
          <w:rFonts w:ascii="Times New Roman" w:eastAsia="Times New Roman" w:hAnsi="Times New Roman" w:cs="Times New Roman"/>
          <w:b/>
          <w:bCs/>
          <w:lang w:eastAsia="lt-LT"/>
        </w:rPr>
        <w:t xml:space="preserve"> ir jos turinys</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Nylon/Al/PVC-Al lizdinės plokštelės. </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Pakuotės dydis: 90 tablečių.</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6.6</w:t>
      </w:r>
      <w:r w:rsidRPr="00AC0A8F">
        <w:rPr>
          <w:rFonts w:ascii="Times New Roman" w:eastAsia="Times New Roman" w:hAnsi="Times New Roman" w:cs="Times New Roman"/>
          <w:b/>
          <w:bCs/>
          <w:lang w:eastAsia="lt-LT"/>
        </w:rPr>
        <w:tab/>
        <w:t>Specialūs reikalavimai atliekoms tvarkyti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Specialių reikalavimų nėra.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7.</w:t>
      </w:r>
      <w:r w:rsidRPr="00AC0A8F">
        <w:rPr>
          <w:rFonts w:ascii="Times New Roman" w:eastAsia="Times New Roman" w:hAnsi="Times New Roman" w:cs="Times New Roman"/>
          <w:b/>
          <w:bCs/>
          <w:lang w:eastAsia="lt-LT"/>
        </w:rPr>
        <w:tab/>
      </w:r>
      <w:r>
        <w:rPr>
          <w:rFonts w:ascii="Times New Roman" w:eastAsia="Times New Roman" w:hAnsi="Times New Roman" w:cs="Times New Roman"/>
          <w:b/>
          <w:bCs/>
          <w:lang w:eastAsia="lt-LT"/>
        </w:rPr>
        <w:t>REGISTRUOTOJAS</w:t>
      </w:r>
    </w:p>
    <w:p w:rsidR="004C4B9C" w:rsidRPr="00AC0A8F" w:rsidRDefault="004C4B9C" w:rsidP="004C4B9C">
      <w:pPr>
        <w:tabs>
          <w:tab w:val="left" w:pos="567"/>
        </w:tabs>
        <w:spacing w:after="0" w:line="240" w:lineRule="auto"/>
        <w:rPr>
          <w:rFonts w:ascii="Times New Roman" w:eastAsia="Times New Roman" w:hAnsi="Times New Roman" w:cs="Times New Roman"/>
          <w:noProof/>
          <w:lang w:eastAsia="lt-LT"/>
        </w:rPr>
      </w:pPr>
    </w:p>
    <w:p w:rsidR="004C4B9C" w:rsidRPr="00AC0A8F" w:rsidRDefault="004C4B9C" w:rsidP="004C4B9C">
      <w:pPr>
        <w:spacing w:after="0" w:line="240" w:lineRule="auto"/>
        <w:rPr>
          <w:rFonts w:ascii="Times New Roman" w:eastAsia="Times New Roman" w:hAnsi="Times New Roman" w:cs="Times New Roman"/>
          <w:lang w:val="it-IT" w:eastAsia="lt-LT"/>
        </w:rPr>
      </w:pPr>
      <w:r w:rsidRPr="00AC0A8F">
        <w:rPr>
          <w:rFonts w:ascii="Times New Roman" w:eastAsia="Times New Roman" w:hAnsi="Times New Roman" w:cs="Times New Roman"/>
          <w:lang w:val="it-IT" w:eastAsia="lt-LT"/>
        </w:rPr>
        <w:t>SIA Ingen Pharma</w:t>
      </w:r>
    </w:p>
    <w:p w:rsidR="004C4B9C" w:rsidRPr="00AC0A8F" w:rsidRDefault="004C4B9C" w:rsidP="004C4B9C">
      <w:pPr>
        <w:spacing w:after="0" w:line="240" w:lineRule="auto"/>
        <w:rPr>
          <w:rFonts w:ascii="Times New Roman" w:eastAsia="Times New Roman" w:hAnsi="Times New Roman" w:cs="Times New Roman"/>
          <w:lang w:val="it-IT" w:eastAsia="lt-LT"/>
        </w:rPr>
      </w:pPr>
      <w:r w:rsidRPr="00AC0A8F">
        <w:rPr>
          <w:rFonts w:ascii="Times New Roman" w:eastAsia="Times New Roman" w:hAnsi="Times New Roman" w:cs="Times New Roman"/>
          <w:lang w:val="it-IT" w:eastAsia="lt-LT"/>
        </w:rPr>
        <w:t xml:space="preserve">Kārļa Ulmaņa gatve 119, Mārupe </w:t>
      </w:r>
    </w:p>
    <w:p w:rsidR="004C4B9C" w:rsidRPr="00AC0A8F" w:rsidRDefault="004C4B9C" w:rsidP="004C4B9C">
      <w:pPr>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LV-2167, Rīga</w:t>
      </w: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Latvija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8.</w:t>
      </w:r>
      <w:r w:rsidRPr="00AC0A8F">
        <w:rPr>
          <w:rFonts w:ascii="Times New Roman" w:eastAsia="Times New Roman" w:hAnsi="Times New Roman" w:cs="Times New Roman"/>
          <w:b/>
          <w:bCs/>
          <w:lang w:eastAsia="lt-LT"/>
        </w:rPr>
        <w:tab/>
      </w:r>
      <w:r>
        <w:rPr>
          <w:rFonts w:ascii="Times New Roman" w:eastAsia="Times New Roman" w:hAnsi="Times New Roman" w:cs="Times New Roman"/>
          <w:b/>
          <w:bCs/>
          <w:lang w:eastAsia="lt-LT"/>
        </w:rPr>
        <w:t>REGISTRACIJOS</w:t>
      </w:r>
      <w:r w:rsidRPr="00AC0A8F">
        <w:rPr>
          <w:rFonts w:ascii="Times New Roman" w:eastAsia="Times New Roman" w:hAnsi="Times New Roman" w:cs="Times New Roman"/>
          <w:b/>
          <w:bCs/>
          <w:lang w:eastAsia="lt-LT"/>
        </w:rPr>
        <w:t xml:space="preserve"> PAŽYMĖJIMO NUMERIS</w:t>
      </w:r>
      <w:r>
        <w:rPr>
          <w:rFonts w:ascii="Times New Roman" w:eastAsia="Times New Roman" w:hAnsi="Times New Roman" w:cs="Times New Roman"/>
          <w:b/>
          <w:bCs/>
          <w:lang w:eastAsia="lt-LT"/>
        </w:rPr>
        <w:t xml:space="preserve"> (-IAI)</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 Ingen Pharma 40 mg – LT/1/14/3543/001</w:t>
      </w:r>
    </w:p>
    <w:p w:rsidR="004C4B9C" w:rsidRPr="00AC0A8F" w:rsidRDefault="004C4B9C" w:rsidP="004C4B9C">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4C4B9C" w:rsidRPr="00AC0A8F" w:rsidRDefault="004C4B9C" w:rsidP="004C4B9C">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Telmisartan Ingen Pharma 80 mg – LT/1/14/3543/002</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9.</w:t>
      </w:r>
      <w:r w:rsidRPr="00AC0A8F">
        <w:rPr>
          <w:rFonts w:ascii="Times New Roman" w:eastAsia="Times New Roman" w:hAnsi="Times New Roman" w:cs="Times New Roman"/>
          <w:b/>
          <w:bCs/>
          <w:lang w:eastAsia="lt-LT"/>
        </w:rPr>
        <w:tab/>
      </w:r>
      <w:r>
        <w:rPr>
          <w:rFonts w:ascii="Times New Roman" w:eastAsia="Times New Roman" w:hAnsi="Times New Roman" w:cs="Times New Roman"/>
          <w:b/>
          <w:bCs/>
          <w:lang w:eastAsia="lt-LT"/>
        </w:rPr>
        <w:t>REGISTRAVIMO</w:t>
      </w:r>
      <w:r w:rsidRPr="00AC0A8F">
        <w:rPr>
          <w:rFonts w:ascii="Times New Roman" w:eastAsia="Times New Roman" w:hAnsi="Times New Roman" w:cs="Times New Roman"/>
          <w:b/>
          <w:bCs/>
          <w:lang w:eastAsia="lt-LT"/>
        </w:rPr>
        <w:t xml:space="preserve"> / </w:t>
      </w:r>
      <w:r>
        <w:rPr>
          <w:rFonts w:ascii="Times New Roman" w:eastAsia="Times New Roman" w:hAnsi="Times New Roman" w:cs="Times New Roman"/>
          <w:b/>
          <w:bCs/>
          <w:lang w:eastAsia="lt-LT"/>
        </w:rPr>
        <w:t>PERREGISTRAVIMO</w:t>
      </w:r>
      <w:r w:rsidRPr="00AC0A8F">
        <w:rPr>
          <w:rFonts w:ascii="Times New Roman" w:eastAsia="Times New Roman" w:hAnsi="Times New Roman" w:cs="Times New Roman"/>
          <w:b/>
          <w:bCs/>
          <w:lang w:eastAsia="lt-LT"/>
        </w:rPr>
        <w:t xml:space="preserve"> DATA</w:t>
      </w:r>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Registravimo data</w:t>
      </w:r>
      <w:r w:rsidRPr="00AC0A8F">
        <w:rPr>
          <w:rFonts w:ascii="Times New Roman" w:eastAsia="SimSun" w:hAnsi="Times New Roman" w:cs="Times New Roman"/>
          <w:lang w:eastAsia="zh-CN"/>
        </w:rPr>
        <w:t xml:space="preserve"> 2014 m. balandžio mėn. 22 d.</w:t>
      </w:r>
    </w:p>
    <w:p w:rsidR="004C4B9C" w:rsidRPr="00AC0A8F" w:rsidRDefault="004C4B9C" w:rsidP="004C4B9C">
      <w:pPr>
        <w:tabs>
          <w:tab w:val="left" w:pos="567"/>
        </w:tabs>
        <w:autoSpaceDE w:val="0"/>
        <w:autoSpaceDN w:val="0"/>
        <w:adjustRightInd w:val="0"/>
        <w:spacing w:after="0" w:line="240" w:lineRule="auto"/>
        <w:jc w:val="both"/>
        <w:rPr>
          <w:rFonts w:ascii="Times New Roman" w:eastAsia="Times New Roman" w:hAnsi="Times New Roman" w:cs="Times New Roman"/>
          <w:bCs/>
          <w:lang w:eastAsia="lt-LT"/>
        </w:rPr>
      </w:pPr>
    </w:p>
    <w:p w:rsidR="004C4B9C" w:rsidRPr="00AC0A8F" w:rsidRDefault="004C4B9C" w:rsidP="004C4B9C">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4C4B9C" w:rsidRPr="00AC0A8F" w:rsidRDefault="004C4B9C" w:rsidP="004C4B9C">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r w:rsidRPr="00AC0A8F">
        <w:rPr>
          <w:rFonts w:ascii="Times New Roman" w:eastAsia="Times New Roman" w:hAnsi="Times New Roman" w:cs="Times New Roman"/>
          <w:b/>
          <w:bCs/>
          <w:lang w:eastAsia="lt-LT"/>
        </w:rPr>
        <w:t>10.</w:t>
      </w:r>
      <w:r w:rsidRPr="00AC0A8F">
        <w:rPr>
          <w:rFonts w:ascii="Times New Roman" w:eastAsia="Times New Roman" w:hAnsi="Times New Roman" w:cs="Times New Roman"/>
          <w:b/>
          <w:bCs/>
          <w:lang w:eastAsia="lt-LT"/>
        </w:rPr>
        <w:tab/>
        <w:t>TEKSTO PERŽIŪROS DATA</w:t>
      </w:r>
    </w:p>
    <w:p w:rsidR="004C4B9C" w:rsidRPr="00AC0A8F" w:rsidRDefault="004C4B9C" w:rsidP="004C4B9C">
      <w:pPr>
        <w:tabs>
          <w:tab w:val="left" w:pos="567"/>
        </w:tabs>
        <w:autoSpaceDE w:val="0"/>
        <w:autoSpaceDN w:val="0"/>
        <w:adjustRightInd w:val="0"/>
        <w:spacing w:after="0" w:line="240" w:lineRule="auto"/>
        <w:jc w:val="both"/>
        <w:rPr>
          <w:rFonts w:ascii="Times New Roman" w:eastAsia="Times New Roman" w:hAnsi="Times New Roman" w:cs="Times New Roman"/>
          <w:bCs/>
          <w:lang w:eastAsia="lt-LT"/>
        </w:rPr>
      </w:pPr>
    </w:p>
    <w:p w:rsidR="004C4B9C" w:rsidRPr="00AC0A8F" w:rsidRDefault="004C4B9C" w:rsidP="004C4B9C">
      <w:pPr>
        <w:spacing w:after="0" w:line="240" w:lineRule="auto"/>
        <w:rPr>
          <w:rFonts w:ascii="Times New Roman" w:eastAsia="SimSun" w:hAnsi="Times New Roman" w:cs="Times New Roman"/>
          <w:lang w:eastAsia="zh-CN"/>
        </w:rPr>
      </w:pPr>
      <w:r w:rsidRPr="00AC0A8F">
        <w:rPr>
          <w:rFonts w:ascii="Times New Roman" w:eastAsia="SimSun" w:hAnsi="Times New Roman" w:cs="Times New Roman"/>
          <w:lang w:eastAsia="zh-CN"/>
        </w:rPr>
        <w:t>201</w:t>
      </w:r>
      <w:r>
        <w:rPr>
          <w:rFonts w:ascii="Times New Roman" w:eastAsia="SimSun" w:hAnsi="Times New Roman" w:cs="Times New Roman"/>
          <w:lang w:eastAsia="zh-CN"/>
        </w:rPr>
        <w:t>6-05-02</w:t>
      </w:r>
    </w:p>
    <w:p w:rsidR="004C4B9C" w:rsidRPr="00AC0A8F" w:rsidRDefault="004C4B9C" w:rsidP="004C4B9C">
      <w:pPr>
        <w:tabs>
          <w:tab w:val="left" w:pos="567"/>
        </w:tabs>
        <w:autoSpaceDE w:val="0"/>
        <w:autoSpaceDN w:val="0"/>
        <w:adjustRightInd w:val="0"/>
        <w:spacing w:after="0" w:line="240" w:lineRule="auto"/>
        <w:jc w:val="both"/>
        <w:rPr>
          <w:rFonts w:ascii="Times New Roman" w:eastAsia="Times New Roman" w:hAnsi="Times New Roman" w:cs="Times New Roman"/>
          <w:bCs/>
          <w:lang w:eastAsia="lt-LT"/>
        </w:rPr>
      </w:pPr>
    </w:p>
    <w:p w:rsidR="004C4B9C" w:rsidRPr="00AC0A8F" w:rsidRDefault="004C4B9C" w:rsidP="004C4B9C">
      <w:pPr>
        <w:tabs>
          <w:tab w:val="left" w:pos="567"/>
          <w:tab w:val="left" w:pos="5954"/>
          <w:tab w:val="left" w:pos="6237"/>
          <w:tab w:val="left" w:pos="6663"/>
          <w:tab w:val="left" w:pos="6946"/>
        </w:tabs>
        <w:spacing w:after="0" w:line="240" w:lineRule="auto"/>
        <w:rPr>
          <w:rFonts w:ascii="Times New Roman" w:eastAsia="SimSun" w:hAnsi="Times New Roman" w:cs="Times New Roman"/>
        </w:rPr>
      </w:pPr>
      <w:r w:rsidRPr="00AC0A8F">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AC0A8F">
        <w:rPr>
          <w:rFonts w:ascii="Times New Roman" w:eastAsia="SimSun" w:hAnsi="Times New Roman" w:cs="Times New Roman"/>
          <w:i/>
          <w:noProof/>
        </w:rPr>
        <w:t xml:space="preserve"> </w:t>
      </w:r>
      <w:hyperlink r:id="rId10" w:history="1">
        <w:r w:rsidRPr="00AC0A8F">
          <w:rPr>
            <w:rFonts w:ascii="Times New Roman" w:eastAsia="SimSun" w:hAnsi="Times New Roman" w:cs="Times New Roman"/>
            <w:noProof/>
            <w:color w:val="0000FF"/>
            <w:u w:val="single"/>
          </w:rPr>
          <w:t>http://www.</w:t>
        </w:r>
        <w:r w:rsidRPr="00AC0A8F">
          <w:rPr>
            <w:rFonts w:ascii="Times New Roman" w:eastAsia="SimSun" w:hAnsi="Times New Roman" w:cs="Times New Roman"/>
            <w:color w:val="0000FF"/>
            <w:u w:val="single"/>
          </w:rPr>
          <w:t>vvkt.lt</w:t>
        </w:r>
      </w:hyperlink>
    </w:p>
    <w:p w:rsidR="004C4B9C" w:rsidRPr="00AC0A8F" w:rsidRDefault="004C4B9C" w:rsidP="004C4B9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0" w:name="_Toc129243128"/>
      <w:bookmarkStart w:id="1" w:name="_Toc129243253"/>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34054" w:rsidRDefault="00334054"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34054" w:rsidRDefault="00334054"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34054" w:rsidRDefault="00334054"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34054" w:rsidRDefault="00334054"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r w:rsidRPr="00AC0A8F">
        <w:rPr>
          <w:rFonts w:ascii="Times New Roman" w:eastAsia="Times New Roman" w:hAnsi="Times New Roman" w:cs="Times New Roman"/>
          <w:b/>
          <w:caps/>
          <w:szCs w:val="20"/>
        </w:rPr>
        <w:t>II PRIEDAS</w:t>
      </w:r>
      <w:bookmarkEnd w:id="0"/>
      <w:bookmarkEnd w:id="1"/>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4C4B9C" w:rsidRPr="00AC0A8F" w:rsidRDefault="004C4B9C" w:rsidP="004C4B9C">
      <w:pPr>
        <w:tabs>
          <w:tab w:val="left" w:pos="567"/>
        </w:tabs>
        <w:spacing w:after="0" w:line="240" w:lineRule="auto"/>
        <w:ind w:left="567" w:hanging="567"/>
        <w:jc w:val="center"/>
        <w:outlineLvl w:val="0"/>
        <w:rPr>
          <w:rFonts w:ascii="Times New Roman" w:eastAsia="Times New Roman" w:hAnsi="Times New Roman" w:cs="Times New Roman"/>
          <w:b/>
          <w:caps/>
          <w:szCs w:val="20"/>
        </w:rPr>
      </w:pPr>
      <w:r>
        <w:rPr>
          <w:rFonts w:ascii="Times New Roman" w:eastAsia="Times New Roman" w:hAnsi="Times New Roman" w:cs="Times New Roman"/>
          <w:b/>
          <w:caps/>
          <w:szCs w:val="20"/>
        </w:rPr>
        <w:t>REGISTRACIJOS</w:t>
      </w:r>
      <w:r w:rsidRPr="00AC0A8F">
        <w:rPr>
          <w:rFonts w:ascii="Times New Roman" w:eastAsia="Times New Roman" w:hAnsi="Times New Roman" w:cs="Times New Roman"/>
          <w:b/>
          <w:caps/>
          <w:szCs w:val="20"/>
        </w:rPr>
        <w:t xml:space="preserve"> SĄLYGOS</w:t>
      </w:r>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rPr>
      </w:pPr>
    </w:p>
    <w:p w:rsidR="004C4B9C" w:rsidRPr="00AC0A8F" w:rsidRDefault="004C4B9C" w:rsidP="004C4B9C">
      <w:pPr>
        <w:tabs>
          <w:tab w:val="left" w:pos="567"/>
          <w:tab w:val="left" w:pos="1701"/>
        </w:tabs>
        <w:spacing w:after="0" w:line="240" w:lineRule="auto"/>
        <w:ind w:left="1701" w:hanging="567"/>
        <w:rPr>
          <w:rFonts w:ascii="Times New Roman" w:eastAsia="Times New Roman" w:hAnsi="Times New Roman" w:cs="Times New Roman"/>
          <w:b/>
          <w:highlight w:val="yellow"/>
        </w:rPr>
      </w:pPr>
      <w:r w:rsidRPr="00AC0A8F">
        <w:rPr>
          <w:rFonts w:ascii="Times New Roman" w:eastAsia="Times New Roman" w:hAnsi="Times New Roman" w:cs="Times New Roman"/>
          <w:b/>
        </w:rPr>
        <w:t>A.</w:t>
      </w:r>
      <w:r w:rsidRPr="00AC0A8F">
        <w:rPr>
          <w:rFonts w:ascii="Times New Roman" w:eastAsia="Times New Roman" w:hAnsi="Times New Roman" w:cs="Times New Roman"/>
          <w:b/>
        </w:rPr>
        <w:tab/>
        <w:t xml:space="preserve">GAMINTOJAS </w:t>
      </w:r>
      <w:r w:rsidRPr="00AC0A8F">
        <w:rPr>
          <w:rFonts w:ascii="Times New Roman" w:eastAsia="Times New Roman" w:hAnsi="Times New Roman" w:cs="Times New Roman"/>
          <w:b/>
          <w:noProof/>
          <w:szCs w:val="24"/>
        </w:rPr>
        <w:t>(-AI)</w:t>
      </w:r>
      <w:r w:rsidRPr="00AC0A8F">
        <w:rPr>
          <w:rFonts w:ascii="Times New Roman" w:eastAsia="Times New Roman" w:hAnsi="Times New Roman" w:cs="Times New Roman"/>
          <w:b/>
        </w:rPr>
        <w:t xml:space="preserve">, ATSAKINGAS </w:t>
      </w:r>
      <w:r w:rsidRPr="00AC0A8F">
        <w:rPr>
          <w:rFonts w:ascii="Times New Roman" w:eastAsia="Times New Roman" w:hAnsi="Times New Roman" w:cs="Times New Roman"/>
          <w:b/>
          <w:noProof/>
          <w:szCs w:val="24"/>
        </w:rPr>
        <w:t>(-I)</w:t>
      </w:r>
      <w:r w:rsidRPr="00AC0A8F">
        <w:rPr>
          <w:rFonts w:ascii="Times New Roman" w:eastAsia="Times New Roman" w:hAnsi="Times New Roman" w:cs="Times New Roman"/>
          <w:b/>
        </w:rPr>
        <w:t xml:space="preserve"> UŽ SERIJŲ IŠLEIDIMĄ</w:t>
      </w:r>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highlight w:val="yellow"/>
        </w:rPr>
      </w:pPr>
    </w:p>
    <w:p w:rsidR="004C4B9C" w:rsidRPr="00AC0A8F" w:rsidRDefault="004C4B9C" w:rsidP="004C4B9C">
      <w:pPr>
        <w:tabs>
          <w:tab w:val="left" w:pos="567"/>
          <w:tab w:val="left" w:pos="1701"/>
        </w:tabs>
        <w:spacing w:after="0" w:line="240" w:lineRule="auto"/>
        <w:ind w:left="1701" w:hanging="567"/>
        <w:rPr>
          <w:rFonts w:ascii="Times New Roman" w:eastAsia="Times New Roman" w:hAnsi="Times New Roman" w:cs="Times New Roman"/>
          <w:b/>
        </w:rPr>
      </w:pPr>
      <w:r w:rsidRPr="00AC0A8F">
        <w:rPr>
          <w:rFonts w:ascii="Times New Roman" w:eastAsia="Times New Roman" w:hAnsi="Times New Roman" w:cs="Times New Roman"/>
          <w:b/>
        </w:rPr>
        <w:t>B.</w:t>
      </w:r>
      <w:r w:rsidRPr="00AC0A8F">
        <w:rPr>
          <w:rFonts w:ascii="Times New Roman" w:eastAsia="Times New Roman" w:hAnsi="Times New Roman" w:cs="Times New Roman"/>
          <w:b/>
        </w:rPr>
        <w:tab/>
        <w:t>TIEKIMO IR VARTOJIMO SĄLYGOS AR APRIBOJIMAI</w:t>
      </w:r>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highlight w:val="yellow"/>
        </w:rPr>
      </w:pPr>
    </w:p>
    <w:p w:rsidR="004C4B9C" w:rsidRPr="00AC0A8F" w:rsidRDefault="004C4B9C" w:rsidP="004C4B9C">
      <w:pPr>
        <w:keepNext/>
        <w:tabs>
          <w:tab w:val="left" w:pos="567"/>
        </w:tabs>
        <w:spacing w:after="0" w:line="240" w:lineRule="auto"/>
        <w:ind w:left="567" w:hanging="567"/>
        <w:outlineLvl w:val="1"/>
        <w:rPr>
          <w:rFonts w:ascii="Times New Roman" w:eastAsia="Times New Roman" w:hAnsi="Times New Roman" w:cs="Times New Roman"/>
          <w:b/>
        </w:rPr>
      </w:pPr>
      <w:r w:rsidRPr="00AC0A8F">
        <w:rPr>
          <w:rFonts w:ascii="Times New Roman" w:eastAsia="Times New Roman" w:hAnsi="Times New Roman" w:cs="Times New Roman"/>
          <w:b/>
        </w:rPr>
        <w:br w:type="page"/>
      </w:r>
      <w:r w:rsidRPr="00AC0A8F">
        <w:rPr>
          <w:rFonts w:ascii="Times New Roman" w:eastAsia="Times New Roman" w:hAnsi="Times New Roman" w:cs="Times New Roman"/>
          <w:b/>
        </w:rPr>
        <w:lastRenderedPageBreak/>
        <w:t>A.</w:t>
      </w:r>
      <w:r w:rsidRPr="00AC0A8F">
        <w:rPr>
          <w:rFonts w:ascii="Times New Roman" w:eastAsia="Times New Roman" w:hAnsi="Times New Roman" w:cs="Times New Roman"/>
          <w:b/>
        </w:rPr>
        <w:tab/>
        <w:t>GAMINTOJAS, ATSAKINGAS  UŽ SERIJŲ IŠLEIDIMĄ</w:t>
      </w:r>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highlight w:val="yellow"/>
        </w:rPr>
      </w:pPr>
    </w:p>
    <w:p w:rsidR="004C4B9C" w:rsidRPr="00AC0A8F" w:rsidRDefault="004C4B9C" w:rsidP="004C4B9C">
      <w:pPr>
        <w:tabs>
          <w:tab w:val="left" w:pos="567"/>
        </w:tabs>
        <w:spacing w:after="0" w:line="240" w:lineRule="auto"/>
        <w:rPr>
          <w:rFonts w:ascii="Times New Roman" w:eastAsia="Times New Roman" w:hAnsi="Times New Roman" w:cs="Times New Roman"/>
          <w:noProof/>
          <w:szCs w:val="20"/>
          <w:u w:val="single"/>
        </w:rPr>
      </w:pPr>
      <w:r w:rsidRPr="00AC0A8F">
        <w:rPr>
          <w:rFonts w:ascii="Times New Roman" w:eastAsia="Times New Roman" w:hAnsi="Times New Roman" w:cs="Times New Roman"/>
          <w:noProof/>
          <w:szCs w:val="20"/>
          <w:u w:val="single"/>
        </w:rPr>
        <w:t>Gamintojų, atsakingų už serijų išleidimą, pavadinimai ir adresai</w:t>
      </w:r>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rPr>
      </w:pPr>
    </w:p>
    <w:p w:rsidR="004C4B9C" w:rsidRPr="00AC0A8F" w:rsidRDefault="004C4B9C" w:rsidP="004C4B9C">
      <w:pPr>
        <w:spacing w:after="0" w:line="240" w:lineRule="auto"/>
        <w:ind w:left="709" w:hanging="709"/>
        <w:jc w:val="both"/>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Glenmark </w:t>
      </w:r>
      <w:r w:rsidR="003612A9" w:rsidRPr="003612A9">
        <w:rPr>
          <w:rFonts w:ascii="Times New Roman" w:eastAsia="Times New Roman" w:hAnsi="Times New Roman" w:cs="Times New Roman"/>
          <w:lang w:eastAsia="lt-LT"/>
        </w:rPr>
        <w:t>Pharmaceuticals Europe</w:t>
      </w:r>
      <w:r w:rsidR="003612A9" w:rsidRPr="003612A9" w:rsidDel="003612A9">
        <w:rPr>
          <w:rFonts w:ascii="Times New Roman" w:eastAsia="Times New Roman" w:hAnsi="Times New Roman" w:cs="Times New Roman"/>
          <w:lang w:eastAsia="lt-LT"/>
        </w:rPr>
        <w:t xml:space="preserve"> </w:t>
      </w:r>
      <w:r w:rsidRPr="00AC0A8F">
        <w:rPr>
          <w:rFonts w:ascii="Times New Roman" w:eastAsia="Times New Roman" w:hAnsi="Times New Roman" w:cs="Times New Roman"/>
          <w:lang w:eastAsia="lt-LT"/>
        </w:rPr>
        <w:t>Limited</w:t>
      </w:r>
    </w:p>
    <w:p w:rsidR="004C4B9C" w:rsidRPr="00AC0A8F" w:rsidRDefault="004C4B9C" w:rsidP="004C4B9C">
      <w:pPr>
        <w:spacing w:after="0" w:line="240" w:lineRule="auto"/>
        <w:ind w:left="-2"/>
        <w:jc w:val="both"/>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Building 2, Croxley Green Business Park</w:t>
      </w:r>
    </w:p>
    <w:p w:rsidR="004C4B9C" w:rsidRPr="00AC0A8F" w:rsidRDefault="004C4B9C" w:rsidP="004C4B9C">
      <w:pPr>
        <w:spacing w:after="0" w:line="240" w:lineRule="auto"/>
        <w:ind w:left="-2"/>
        <w:jc w:val="both"/>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 xml:space="preserve">Croxley Green, Hertfordshire </w:t>
      </w:r>
    </w:p>
    <w:p w:rsidR="004C4B9C" w:rsidRPr="00AC0A8F" w:rsidRDefault="004C4B9C" w:rsidP="004C4B9C">
      <w:pPr>
        <w:spacing w:after="0" w:line="240" w:lineRule="auto"/>
        <w:ind w:left="-2"/>
        <w:jc w:val="both"/>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WD18 8YA</w:t>
      </w:r>
    </w:p>
    <w:p w:rsidR="004C4B9C" w:rsidRPr="00AC0A8F" w:rsidRDefault="004C4B9C" w:rsidP="004C4B9C">
      <w:pPr>
        <w:spacing w:after="0" w:line="240" w:lineRule="auto"/>
        <w:ind w:left="-2"/>
        <w:jc w:val="both"/>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Jungtinė Karalystė</w:t>
      </w:r>
    </w:p>
    <w:p w:rsidR="004C4B9C" w:rsidRPr="00AC0A8F" w:rsidRDefault="004C4B9C" w:rsidP="004C4B9C">
      <w:pPr>
        <w:spacing w:after="0" w:line="240" w:lineRule="auto"/>
        <w:rPr>
          <w:rFonts w:ascii="Times New Roman" w:eastAsia="Times New Roman" w:hAnsi="Times New Roman" w:cs="Times New Roman"/>
          <w:lang w:eastAsia="lt-LT"/>
        </w:rPr>
      </w:pPr>
    </w:p>
    <w:p w:rsidR="004C4B9C" w:rsidRPr="00AC0A8F" w:rsidRDefault="004C4B9C" w:rsidP="004C4B9C">
      <w:pPr>
        <w:spacing w:after="0" w:line="240" w:lineRule="auto"/>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arba</w:t>
      </w:r>
    </w:p>
    <w:p w:rsidR="004C4B9C" w:rsidRPr="00AC0A8F" w:rsidRDefault="004C4B9C" w:rsidP="004C4B9C">
      <w:pPr>
        <w:spacing w:after="0" w:line="240" w:lineRule="auto"/>
        <w:rPr>
          <w:rFonts w:ascii="Times New Roman" w:eastAsia="Times New Roman" w:hAnsi="Times New Roman" w:cs="Times New Roman"/>
          <w:lang w:eastAsia="lt-LT"/>
        </w:rPr>
      </w:pPr>
    </w:p>
    <w:p w:rsidR="004C4B9C" w:rsidRPr="00AC0A8F" w:rsidRDefault="004C4B9C" w:rsidP="004C4B9C">
      <w:pPr>
        <w:spacing w:after="0" w:line="240" w:lineRule="auto"/>
        <w:ind w:left="709" w:hanging="709"/>
        <w:jc w:val="both"/>
        <w:rPr>
          <w:rFonts w:ascii="Times New Roman" w:eastAsia="Times New Roman" w:hAnsi="Times New Roman" w:cs="Times New Roman"/>
          <w:lang w:eastAsia="lt-LT"/>
        </w:rPr>
      </w:pPr>
      <w:r w:rsidRPr="00AC0A8F">
        <w:rPr>
          <w:rFonts w:ascii="Times New Roman" w:eastAsia="Times New Roman" w:hAnsi="Times New Roman" w:cs="Times New Roman"/>
          <w:bCs/>
          <w:lang w:eastAsia="lt-LT"/>
        </w:rPr>
        <w:t>Glenmark Pharmaceuticals s.r.o</w:t>
      </w:r>
    </w:p>
    <w:p w:rsidR="004C4B9C" w:rsidRPr="00AC0A8F" w:rsidRDefault="004C4B9C" w:rsidP="004C4B9C">
      <w:pPr>
        <w:spacing w:after="0" w:line="240" w:lineRule="auto"/>
        <w:ind w:left="-2"/>
        <w:jc w:val="both"/>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Fibichova 143,566 17 VysokeMyto</w:t>
      </w:r>
    </w:p>
    <w:p w:rsidR="004C4B9C" w:rsidRPr="00AC0A8F" w:rsidRDefault="004C4B9C" w:rsidP="004C4B9C">
      <w:pPr>
        <w:spacing w:after="0" w:line="240" w:lineRule="auto"/>
        <w:ind w:left="-2"/>
        <w:jc w:val="both"/>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Čekijos Respublika</w:t>
      </w:r>
    </w:p>
    <w:p w:rsidR="004C4B9C" w:rsidRPr="00AC0A8F" w:rsidRDefault="004C4B9C" w:rsidP="004C4B9C">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4C4B9C" w:rsidRPr="00AC0A8F" w:rsidRDefault="004C4B9C" w:rsidP="004C4B9C">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AC0A8F">
        <w:rPr>
          <w:rFonts w:ascii="Times New Roman" w:eastAsia="Times New Roman" w:hAnsi="Times New Roman" w:cs="Times New Roman"/>
          <w:lang w:eastAsia="cs-CZ"/>
        </w:rPr>
        <w:t>arba</w:t>
      </w:r>
    </w:p>
    <w:p w:rsidR="004C4B9C" w:rsidRPr="00AC0A8F" w:rsidRDefault="004C4B9C" w:rsidP="004C4B9C">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4C4B9C" w:rsidRPr="00AC0A8F" w:rsidRDefault="004C4B9C" w:rsidP="004C4B9C">
      <w:pPr>
        <w:spacing w:after="0" w:line="240" w:lineRule="auto"/>
        <w:ind w:left="-2"/>
        <w:jc w:val="both"/>
        <w:rPr>
          <w:rFonts w:ascii="Times New Roman" w:eastAsia="Times New Roman" w:hAnsi="Times New Roman" w:cs="Times New Roman"/>
          <w:lang w:eastAsia="lt-LT"/>
        </w:rPr>
      </w:pPr>
      <w:r w:rsidRPr="00AC0A8F">
        <w:rPr>
          <w:rFonts w:ascii="Times New Roman" w:eastAsia="Times New Roman" w:hAnsi="Times New Roman" w:cs="Times New Roman"/>
          <w:bCs/>
          <w:lang w:eastAsia="lt-LT"/>
        </w:rPr>
        <w:t>Tillomed Laboratories Ltd</w:t>
      </w:r>
      <w:r w:rsidRPr="00AC0A8F">
        <w:rPr>
          <w:rFonts w:ascii="Times New Roman" w:eastAsia="Times New Roman" w:hAnsi="Times New Roman" w:cs="Times New Roman"/>
          <w:lang w:eastAsia="lt-LT"/>
        </w:rPr>
        <w:t xml:space="preserve"> </w:t>
      </w:r>
    </w:p>
    <w:p w:rsidR="004C4B9C" w:rsidRPr="00AC0A8F" w:rsidRDefault="004C4B9C" w:rsidP="004C4B9C">
      <w:pPr>
        <w:spacing w:after="0" w:line="240" w:lineRule="auto"/>
        <w:ind w:left="-2"/>
        <w:jc w:val="both"/>
        <w:rPr>
          <w:rFonts w:ascii="Times New Roman" w:eastAsia="Times New Roman" w:hAnsi="Times New Roman" w:cs="Times New Roman"/>
          <w:lang w:eastAsia="lt-LT"/>
        </w:rPr>
      </w:pPr>
      <w:r w:rsidRPr="00AC0A8F">
        <w:rPr>
          <w:rFonts w:ascii="Times New Roman" w:eastAsia="Times New Roman" w:hAnsi="Times New Roman" w:cs="Times New Roman"/>
          <w:lang w:eastAsia="lt-LT"/>
        </w:rPr>
        <w:t>3 Howard Road, Easton Socon, St Neots</w:t>
      </w:r>
    </w:p>
    <w:p w:rsidR="004C4B9C" w:rsidRPr="00AC0A8F" w:rsidRDefault="004C4B9C" w:rsidP="004C4B9C">
      <w:pPr>
        <w:spacing w:after="0" w:line="240" w:lineRule="auto"/>
        <w:ind w:left="-2"/>
        <w:jc w:val="both"/>
        <w:rPr>
          <w:rFonts w:ascii="Times New Roman" w:eastAsia="Times New Roman" w:hAnsi="Times New Roman" w:cs="Times New Roman"/>
          <w:lang w:val="da-DK" w:eastAsia="lt-LT"/>
        </w:rPr>
      </w:pPr>
      <w:r w:rsidRPr="00AC0A8F">
        <w:rPr>
          <w:rFonts w:ascii="Times New Roman" w:eastAsia="Times New Roman" w:hAnsi="Times New Roman" w:cs="Times New Roman"/>
          <w:lang w:val="da-DK" w:eastAsia="lt-LT"/>
        </w:rPr>
        <w:t>Cambridgeshire, PE 198ET</w:t>
      </w:r>
    </w:p>
    <w:p w:rsidR="004C4B9C" w:rsidRPr="00AC0A8F" w:rsidRDefault="004C4B9C" w:rsidP="004C4B9C">
      <w:pPr>
        <w:spacing w:after="0" w:line="240" w:lineRule="auto"/>
        <w:ind w:left="-2"/>
        <w:jc w:val="both"/>
        <w:rPr>
          <w:rFonts w:ascii="Times New Roman" w:eastAsia="Times New Roman" w:hAnsi="Times New Roman" w:cs="Times New Roman"/>
          <w:lang w:val="da-DK" w:eastAsia="lt-LT"/>
        </w:rPr>
      </w:pPr>
      <w:r w:rsidRPr="00AC0A8F">
        <w:rPr>
          <w:rFonts w:ascii="Times New Roman" w:eastAsia="Times New Roman" w:hAnsi="Times New Roman" w:cs="Times New Roman"/>
          <w:lang w:val="da-DK" w:eastAsia="lt-LT"/>
        </w:rPr>
        <w:t>Jungtinė Karalystė</w:t>
      </w:r>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highlight w:val="yellow"/>
        </w:rPr>
      </w:pPr>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rPr>
      </w:pPr>
      <w:r w:rsidRPr="00AC0A8F">
        <w:rPr>
          <w:rFonts w:ascii="Times New Roman" w:eastAsia="Times New Roman" w:hAnsi="Times New Roman" w:cs="Times New Roman"/>
          <w:noProof/>
          <w:szCs w:val="20"/>
        </w:rPr>
        <w:t>Su pakuote pateikiamame lapelyje nurodomas gamintojo, atsakingo už konkrečios serijos išleidimą, pavadinimas ir adresas.</w:t>
      </w:r>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highlight w:val="yellow"/>
        </w:rPr>
      </w:pPr>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highlight w:val="yellow"/>
        </w:rPr>
      </w:pPr>
    </w:p>
    <w:p w:rsidR="004C4B9C" w:rsidRPr="00AC0A8F" w:rsidRDefault="004C4B9C" w:rsidP="004C4B9C">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29"/>
      <w:bookmarkStart w:id="3" w:name="_Toc129243254"/>
      <w:r w:rsidRPr="00AC0A8F">
        <w:rPr>
          <w:rFonts w:ascii="Times New Roman" w:eastAsia="Times New Roman" w:hAnsi="Times New Roman" w:cs="Times New Roman"/>
          <w:b/>
        </w:rPr>
        <w:t>B.</w:t>
      </w:r>
      <w:r w:rsidRPr="00AC0A8F">
        <w:rPr>
          <w:rFonts w:ascii="Times New Roman" w:eastAsia="Times New Roman" w:hAnsi="Times New Roman" w:cs="Times New Roman"/>
          <w:b/>
        </w:rPr>
        <w:tab/>
        <w:t>TIEKIMO IR VARTOJIMO SĄLYGOS AR APRIBOJIMAI</w:t>
      </w:r>
      <w:bookmarkEnd w:id="2"/>
      <w:bookmarkEnd w:id="3"/>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rPr>
      </w:pPr>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rPr>
      </w:pPr>
      <w:r w:rsidRPr="00AC0A8F">
        <w:rPr>
          <w:rFonts w:ascii="Times New Roman" w:eastAsia="Times New Roman" w:hAnsi="Times New Roman" w:cs="Times New Roman"/>
          <w:noProof/>
          <w:szCs w:val="20"/>
        </w:rPr>
        <w:t>Receptinis vaistinis preparatas</w:t>
      </w:r>
    </w:p>
    <w:p w:rsidR="004C4B9C" w:rsidRPr="00AC0A8F" w:rsidRDefault="004C4B9C" w:rsidP="004C4B9C">
      <w:pPr>
        <w:tabs>
          <w:tab w:val="left" w:pos="540"/>
          <w:tab w:val="left" w:pos="567"/>
        </w:tabs>
        <w:spacing w:after="0" w:line="240" w:lineRule="auto"/>
        <w:rPr>
          <w:rFonts w:ascii="Times New Roman" w:eastAsia="Times New Roman" w:hAnsi="Times New Roman" w:cs="Times New Roman"/>
          <w:noProof/>
          <w:szCs w:val="20"/>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r w:rsidRPr="00AC0A8F">
        <w:rPr>
          <w:rFonts w:ascii="Times New Roman" w:eastAsia="Times New Roman" w:hAnsi="Times New Roman" w:cs="Times New Roman"/>
          <w:b/>
          <w:lang w:eastAsia="lt-LT"/>
        </w:rPr>
        <w:t>III PRIEDAS</w:t>
      </w: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r w:rsidRPr="00AC0A8F">
        <w:rPr>
          <w:rFonts w:ascii="Times New Roman" w:eastAsia="Times New Roman" w:hAnsi="Times New Roman" w:cs="Times New Roman"/>
          <w:b/>
          <w:lang w:eastAsia="lt-LT"/>
        </w:rPr>
        <w:t xml:space="preserve">ŽENKLINIMAS IR </w:t>
      </w:r>
      <w:r w:rsidRPr="00AC0A8F">
        <w:rPr>
          <w:rFonts w:ascii="Times New Roman" w:eastAsia="Times New Roman" w:hAnsi="Times New Roman" w:cs="Times New Roman"/>
          <w:b/>
          <w:noProof/>
          <w:lang w:eastAsia="lt-LT"/>
        </w:rPr>
        <w:t>PAKUOTĖS</w:t>
      </w:r>
      <w:r w:rsidRPr="00AC0A8F">
        <w:rPr>
          <w:rFonts w:ascii="Times New Roman" w:eastAsia="Times New Roman" w:hAnsi="Times New Roman" w:cs="Times New Roman"/>
          <w:b/>
          <w:lang w:eastAsia="lt-LT"/>
        </w:rPr>
        <w:t xml:space="preserve"> LAPELIS</w:t>
      </w: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r w:rsidRPr="00AC0A8F">
        <w:rPr>
          <w:rFonts w:ascii="Times New Roman" w:eastAsia="Times New Roman" w:hAnsi="Times New Roman" w:cs="Times New Roman"/>
          <w:lang w:eastAsia="lt-LT"/>
        </w:rPr>
        <w:br w:type="page"/>
      </w: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rPr>
          <w:rFonts w:ascii="Times New Roman" w:eastAsia="Times New Roman" w:hAnsi="Times New Roman" w:cs="Times New Roman"/>
          <w:lang w:eastAsia="lt-LT"/>
        </w:rPr>
      </w:pPr>
    </w:p>
    <w:p w:rsidR="004C4B9C" w:rsidRPr="00AC0A8F" w:rsidRDefault="004C4B9C" w:rsidP="004C4B9C">
      <w:pPr>
        <w:tabs>
          <w:tab w:val="left" w:pos="567"/>
        </w:tabs>
        <w:spacing w:after="0" w:line="240" w:lineRule="auto"/>
        <w:ind w:left="567" w:hanging="567"/>
        <w:jc w:val="center"/>
        <w:rPr>
          <w:rFonts w:ascii="Times New Roman" w:eastAsia="Times New Roman" w:hAnsi="Times New Roman" w:cs="Times New Roman"/>
          <w:b/>
          <w:lang w:eastAsia="lt-LT"/>
        </w:rPr>
      </w:pPr>
      <w:r w:rsidRPr="00AC0A8F">
        <w:rPr>
          <w:rFonts w:ascii="Times New Roman" w:eastAsia="Times New Roman" w:hAnsi="Times New Roman" w:cs="Times New Roman"/>
          <w:b/>
          <w:lang w:eastAsia="lt-LT"/>
        </w:rPr>
        <w:t>A. ŽENKLINIMAS</w:t>
      </w:r>
    </w:p>
    <w:p w:rsidR="00334054" w:rsidRPr="0022129C" w:rsidRDefault="004C4B9C" w:rsidP="0033405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eastAsia="lt-LT"/>
        </w:rPr>
      </w:pPr>
      <w:r w:rsidRPr="00AC0A8F">
        <w:rPr>
          <w:rFonts w:ascii="Times New Roman" w:eastAsia="Times New Roman" w:hAnsi="Times New Roman" w:cs="Times New Roman"/>
          <w:lang w:eastAsia="lt-LT"/>
        </w:rPr>
        <w:br w:type="page"/>
      </w:r>
      <w:r w:rsidR="00334054" w:rsidRPr="0022129C">
        <w:rPr>
          <w:rFonts w:ascii="Times New Roman" w:eastAsia="Times New Roman" w:hAnsi="Times New Roman" w:cs="Times New Roman"/>
          <w:b/>
          <w:caps/>
          <w:lang w:eastAsia="lt-LT"/>
        </w:rPr>
        <w:lastRenderedPageBreak/>
        <w:t xml:space="preserve">Informacija ant </w:t>
      </w:r>
      <w:r w:rsidR="00334054" w:rsidRPr="0022129C">
        <w:rPr>
          <w:rFonts w:ascii="Times New Roman" w:eastAsia="Times New Roman" w:hAnsi="Times New Roman" w:cs="Times New Roman"/>
          <w:b/>
          <w:bCs/>
          <w:lang w:eastAsia="lt-LT"/>
        </w:rPr>
        <w:t>IŠORINĖS</w:t>
      </w:r>
      <w:r w:rsidR="00334054" w:rsidRPr="0022129C">
        <w:rPr>
          <w:rFonts w:ascii="Times New Roman" w:eastAsia="Times New Roman" w:hAnsi="Times New Roman" w:cs="Times New Roman"/>
          <w:lang w:eastAsia="lt-LT"/>
        </w:rPr>
        <w:t xml:space="preserve"> </w:t>
      </w:r>
      <w:r w:rsidR="00334054" w:rsidRPr="0022129C">
        <w:rPr>
          <w:rFonts w:ascii="Times New Roman" w:eastAsia="Times New Roman" w:hAnsi="Times New Roman" w:cs="Times New Roman"/>
          <w:b/>
          <w:lang w:eastAsia="lt-LT"/>
        </w:rPr>
        <w:t>IR VIDINĖS</w:t>
      </w:r>
      <w:r w:rsidR="00334054" w:rsidRPr="0022129C">
        <w:rPr>
          <w:rFonts w:ascii="Times New Roman" w:eastAsia="Times New Roman" w:hAnsi="Times New Roman" w:cs="Times New Roman"/>
          <w:lang w:eastAsia="lt-LT"/>
        </w:rPr>
        <w:t xml:space="preserve"> </w:t>
      </w:r>
      <w:r w:rsidR="00334054" w:rsidRPr="0022129C">
        <w:rPr>
          <w:rFonts w:ascii="Times New Roman" w:eastAsia="Times New Roman" w:hAnsi="Times New Roman" w:cs="Times New Roman"/>
          <w:b/>
          <w:caps/>
          <w:lang w:eastAsia="lt-LT"/>
        </w:rPr>
        <w:t xml:space="preserve">pakuotės </w:t>
      </w: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 xml:space="preserve">KARTONO dėžutė </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1.</w:t>
      </w:r>
      <w:r w:rsidRPr="0022129C">
        <w:rPr>
          <w:rFonts w:ascii="Times New Roman" w:eastAsia="Times New Roman" w:hAnsi="Times New Roman" w:cs="Times New Roman"/>
          <w:b/>
          <w:caps/>
          <w:lang w:eastAsia="lt-LT"/>
        </w:rPr>
        <w:tab/>
        <w:t>vaistinio preparato pavadinimas</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val="es-ES" w:eastAsia="lt-LT"/>
        </w:rPr>
        <w:t>Telmisartan</w:t>
      </w:r>
      <w:proofErr w:type="spellEnd"/>
      <w:r w:rsidRPr="0022129C">
        <w:rPr>
          <w:rFonts w:ascii="Times New Roman" w:eastAsia="Times New Roman" w:hAnsi="Times New Roman" w:cs="Times New Roman"/>
          <w:lang w:val="es-ES" w:eastAsia="lt-LT"/>
        </w:rPr>
        <w:t xml:space="preserve"> </w:t>
      </w:r>
      <w:proofErr w:type="spellStart"/>
      <w:r w:rsidRPr="0022129C">
        <w:rPr>
          <w:rFonts w:ascii="Times New Roman" w:eastAsia="Times New Roman" w:hAnsi="Times New Roman" w:cs="Times New Roman"/>
          <w:lang w:val="es-ES" w:eastAsia="lt-LT"/>
        </w:rPr>
        <w:t>Ingen</w:t>
      </w:r>
      <w:proofErr w:type="spellEnd"/>
      <w:r w:rsidRPr="0022129C">
        <w:rPr>
          <w:rFonts w:ascii="Times New Roman" w:eastAsia="Times New Roman" w:hAnsi="Times New Roman" w:cs="Times New Roman"/>
          <w:lang w:val="es-ES" w:eastAsia="lt-LT"/>
        </w:rPr>
        <w:t xml:space="preserve"> </w:t>
      </w:r>
      <w:proofErr w:type="spellStart"/>
      <w:r w:rsidRPr="0022129C">
        <w:rPr>
          <w:rFonts w:ascii="Times New Roman" w:eastAsia="Times New Roman" w:hAnsi="Times New Roman" w:cs="Times New Roman"/>
          <w:lang w:val="es-ES" w:eastAsia="lt-LT"/>
        </w:rPr>
        <w:t>Pharma</w:t>
      </w:r>
      <w:proofErr w:type="spellEnd"/>
      <w:r w:rsidRPr="0022129C">
        <w:rPr>
          <w:rFonts w:ascii="Times New Roman" w:eastAsia="Times New Roman" w:hAnsi="Times New Roman" w:cs="Times New Roman"/>
          <w:lang w:val="es-ES" w:eastAsia="lt-LT"/>
        </w:rPr>
        <w:t xml:space="preserve"> </w:t>
      </w:r>
      <w:r w:rsidRPr="0022129C">
        <w:rPr>
          <w:rFonts w:ascii="Times New Roman" w:eastAsia="Times New Roman" w:hAnsi="Times New Roman" w:cs="Times New Roman"/>
          <w:lang w:eastAsia="lt-LT"/>
        </w:rPr>
        <w:t xml:space="preserve">40 mg plėvele dengtos tabletės </w:t>
      </w: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val="es-ES" w:eastAsia="lt-LT"/>
        </w:rPr>
        <w:t>Telmisartan</w:t>
      </w:r>
      <w:proofErr w:type="spellEnd"/>
      <w:r w:rsidRPr="0022129C">
        <w:rPr>
          <w:rFonts w:ascii="Times New Roman" w:eastAsia="Times New Roman" w:hAnsi="Times New Roman" w:cs="Times New Roman"/>
          <w:lang w:val="es-ES" w:eastAsia="lt-LT"/>
        </w:rPr>
        <w:t xml:space="preserve"> </w:t>
      </w:r>
      <w:proofErr w:type="spellStart"/>
      <w:r w:rsidRPr="0022129C">
        <w:rPr>
          <w:rFonts w:ascii="Times New Roman" w:eastAsia="Times New Roman" w:hAnsi="Times New Roman" w:cs="Times New Roman"/>
          <w:lang w:val="es-ES" w:eastAsia="lt-LT"/>
        </w:rPr>
        <w:t>Ingen</w:t>
      </w:r>
      <w:proofErr w:type="spellEnd"/>
      <w:r w:rsidRPr="0022129C">
        <w:rPr>
          <w:rFonts w:ascii="Times New Roman" w:eastAsia="Times New Roman" w:hAnsi="Times New Roman" w:cs="Times New Roman"/>
          <w:lang w:val="es-ES" w:eastAsia="lt-LT"/>
        </w:rPr>
        <w:t xml:space="preserve"> </w:t>
      </w:r>
      <w:proofErr w:type="spellStart"/>
      <w:r w:rsidRPr="0022129C">
        <w:rPr>
          <w:rFonts w:ascii="Times New Roman" w:eastAsia="Times New Roman" w:hAnsi="Times New Roman" w:cs="Times New Roman"/>
          <w:lang w:val="es-ES" w:eastAsia="lt-LT"/>
        </w:rPr>
        <w:t>Pharma</w:t>
      </w:r>
      <w:proofErr w:type="spellEnd"/>
      <w:r w:rsidRPr="0022129C">
        <w:rPr>
          <w:rFonts w:ascii="Times New Roman" w:eastAsia="Times New Roman" w:hAnsi="Times New Roman" w:cs="Times New Roman"/>
          <w:lang w:val="es-ES" w:eastAsia="lt-LT"/>
        </w:rPr>
        <w:t xml:space="preserve"> </w:t>
      </w:r>
      <w:r w:rsidRPr="0022129C">
        <w:rPr>
          <w:rFonts w:ascii="Times New Roman" w:eastAsia="Times New Roman" w:hAnsi="Times New Roman" w:cs="Times New Roman"/>
          <w:lang w:eastAsia="lt-LT"/>
        </w:rPr>
        <w:t xml:space="preserve">80 mg plėvele dengtos tabletės </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Telmisartanas</w:t>
      </w:r>
      <w:proofErr w:type="spellEnd"/>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2.</w:t>
      </w:r>
      <w:r w:rsidRPr="0022129C">
        <w:rPr>
          <w:rFonts w:ascii="Times New Roman" w:eastAsia="Times New Roman" w:hAnsi="Times New Roman" w:cs="Times New Roman"/>
          <w:b/>
          <w:caps/>
          <w:lang w:eastAsia="lt-LT"/>
        </w:rPr>
        <w:tab/>
        <w:t xml:space="preserve">veikliOJI medžiagA ir JOS kiekis </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r w:rsidRPr="0022129C">
        <w:rPr>
          <w:rFonts w:ascii="Times New Roman" w:eastAsia="Times New Roman" w:hAnsi="Times New Roman" w:cs="Times New Roman"/>
          <w:lang w:eastAsia="lt-LT"/>
        </w:rPr>
        <w:t xml:space="preserve">Kiekvienoje plėvele dengtoje tabletėje yra 40 mg </w:t>
      </w:r>
      <w:proofErr w:type="spellStart"/>
      <w:r w:rsidRPr="0022129C">
        <w:rPr>
          <w:rFonts w:ascii="Times New Roman" w:eastAsia="Times New Roman" w:hAnsi="Times New Roman" w:cs="Times New Roman"/>
          <w:lang w:eastAsia="lt-LT"/>
        </w:rPr>
        <w:t>telmisartano</w:t>
      </w:r>
      <w:proofErr w:type="spellEnd"/>
      <w:r w:rsidRPr="0022129C">
        <w:rPr>
          <w:rFonts w:ascii="Times New Roman" w:eastAsia="Times New Roman" w:hAnsi="Times New Roman" w:cs="Times New Roman"/>
          <w:lang w:eastAsia="lt-LT"/>
        </w:rPr>
        <w:t>.</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r w:rsidRPr="0022129C">
        <w:rPr>
          <w:rFonts w:ascii="Times New Roman" w:eastAsia="Times New Roman" w:hAnsi="Times New Roman" w:cs="Times New Roman"/>
          <w:lang w:eastAsia="lt-LT"/>
        </w:rPr>
        <w:t xml:space="preserve">Kiekvienoje plėvele dengtoje tabletėje yra 80 mg </w:t>
      </w:r>
      <w:proofErr w:type="spellStart"/>
      <w:r w:rsidRPr="0022129C">
        <w:rPr>
          <w:rFonts w:ascii="Times New Roman" w:eastAsia="Times New Roman" w:hAnsi="Times New Roman" w:cs="Times New Roman"/>
          <w:lang w:eastAsia="lt-LT"/>
        </w:rPr>
        <w:t>telmisartano</w:t>
      </w:r>
      <w:proofErr w:type="spellEnd"/>
      <w:r w:rsidRPr="0022129C">
        <w:rPr>
          <w:rFonts w:ascii="Times New Roman" w:eastAsia="Times New Roman" w:hAnsi="Times New Roman" w:cs="Times New Roman"/>
          <w:lang w:eastAsia="lt-LT"/>
        </w:rPr>
        <w:t>.</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3.</w:t>
      </w:r>
      <w:r w:rsidRPr="0022129C">
        <w:rPr>
          <w:rFonts w:ascii="Times New Roman" w:eastAsia="Times New Roman" w:hAnsi="Times New Roman" w:cs="Times New Roman"/>
          <w:b/>
          <w:caps/>
          <w:lang w:eastAsia="lt-LT"/>
        </w:rPr>
        <w:tab/>
        <w:t>pagalbinių medžiagų sąrašas</w:t>
      </w: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
    <w:p w:rsidR="00334054" w:rsidRPr="0022129C" w:rsidRDefault="00334054" w:rsidP="00334054">
      <w:pPr>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Sudėtyje yra laktozės </w:t>
      </w:r>
      <w:proofErr w:type="spellStart"/>
      <w:r w:rsidRPr="0022129C">
        <w:rPr>
          <w:rFonts w:ascii="Times New Roman" w:eastAsia="Times New Roman" w:hAnsi="Times New Roman" w:cs="Times New Roman"/>
          <w:lang w:eastAsia="lt-LT"/>
        </w:rPr>
        <w:t>monohidrato</w:t>
      </w:r>
      <w:proofErr w:type="spellEnd"/>
      <w:r w:rsidRPr="0022129C">
        <w:rPr>
          <w:rFonts w:ascii="Times New Roman" w:eastAsia="Times New Roman" w:hAnsi="Times New Roman" w:cs="Times New Roman"/>
          <w:lang w:eastAsia="lt-LT"/>
        </w:rPr>
        <w:t>.</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4.</w:t>
      </w:r>
      <w:r w:rsidRPr="0022129C">
        <w:rPr>
          <w:rFonts w:ascii="Times New Roman" w:eastAsia="Times New Roman" w:hAnsi="Times New Roman" w:cs="Times New Roman"/>
          <w:b/>
          <w:caps/>
          <w:lang w:eastAsia="lt-LT"/>
        </w:rPr>
        <w:tab/>
        <w:t>FARMACINĖ forma ir KIEKIS PAKUOTĖJE</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Plėvele dengta tabletė.</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90 plėvele dengtų tablečių</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5.</w:t>
      </w:r>
      <w:r w:rsidRPr="0022129C">
        <w:rPr>
          <w:rFonts w:ascii="Times New Roman" w:eastAsia="Times New Roman" w:hAnsi="Times New Roman" w:cs="Times New Roman"/>
          <w:b/>
          <w:caps/>
          <w:lang w:eastAsia="lt-LT"/>
        </w:rPr>
        <w:tab/>
        <w:t>vartojimo METODAS IR būdas</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Vartoti per burną.</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Prieš vartojimą perskaitykite pakuotės lapelį.</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6.</w:t>
      </w:r>
      <w:r w:rsidRPr="0022129C">
        <w:rPr>
          <w:rFonts w:ascii="Times New Roman" w:eastAsia="Times New Roman" w:hAnsi="Times New Roman" w:cs="Times New Roman"/>
          <w:b/>
          <w:caps/>
          <w:lang w:eastAsia="lt-LT"/>
        </w:rPr>
        <w:tab/>
        <w:t>SPECIALUS Įspėjimas</w:t>
      </w:r>
      <w:r w:rsidRPr="0022129C">
        <w:rPr>
          <w:rFonts w:ascii="Times New Roman" w:eastAsia="Times New Roman" w:hAnsi="Times New Roman" w:cs="Times New Roman"/>
          <w:lang w:eastAsia="lt-LT"/>
        </w:rPr>
        <w:t xml:space="preserve">, </w:t>
      </w:r>
      <w:r w:rsidRPr="0022129C">
        <w:rPr>
          <w:rFonts w:ascii="Times New Roman" w:eastAsia="Times New Roman" w:hAnsi="Times New Roman" w:cs="Times New Roman"/>
          <w:b/>
          <w:bCs/>
          <w:lang w:eastAsia="lt-LT"/>
        </w:rPr>
        <w:t xml:space="preserve">KAD VAISTINĮ PREPARATĄ BŪTINA LAIKYTI </w:t>
      </w:r>
      <w:r w:rsidRPr="0022129C">
        <w:rPr>
          <w:rFonts w:ascii="Times New Roman" w:eastAsia="Times New Roman" w:hAnsi="Times New Roman" w:cs="Times New Roman"/>
          <w:b/>
          <w:caps/>
          <w:lang w:eastAsia="lt-LT"/>
        </w:rPr>
        <w:t>vaikams nepastebimoje ir nepasiekiamoje vietoje</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Laikyti vaikams nepastebimoje ir nepasiekiamoje vietoje.</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7.</w:t>
      </w:r>
      <w:r w:rsidRPr="0022129C">
        <w:rPr>
          <w:rFonts w:ascii="Times New Roman" w:eastAsia="Times New Roman" w:hAnsi="Times New Roman" w:cs="Times New Roman"/>
          <w:b/>
          <w:caps/>
          <w:lang w:eastAsia="lt-LT"/>
        </w:rPr>
        <w:tab/>
        <w:t>kitas (-I) specialus (-ŪS) Įspėjimas (-AI) (jei reikia)</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8.</w:t>
      </w:r>
      <w:r w:rsidRPr="0022129C">
        <w:rPr>
          <w:rFonts w:ascii="Times New Roman" w:eastAsia="Times New Roman" w:hAnsi="Times New Roman" w:cs="Times New Roman"/>
          <w:b/>
          <w:caps/>
          <w:lang w:eastAsia="lt-LT"/>
        </w:rPr>
        <w:tab/>
        <w:t>tinkamumo laikas</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22129C">
        <w:rPr>
          <w:rFonts w:ascii="Times New Roman" w:eastAsia="Times New Roman" w:hAnsi="Times New Roman" w:cs="Times New Roman"/>
          <w:lang w:eastAsia="lt-LT"/>
        </w:rPr>
        <w:t xml:space="preserve"> {mm/MMMM}</w:t>
      </w: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9.</w:t>
      </w:r>
      <w:r w:rsidRPr="0022129C">
        <w:rPr>
          <w:rFonts w:ascii="Times New Roman" w:eastAsia="Times New Roman" w:hAnsi="Times New Roman" w:cs="Times New Roman"/>
          <w:b/>
          <w:caps/>
          <w:lang w:eastAsia="lt-LT"/>
        </w:rPr>
        <w:tab/>
        <w:t>SPECIALIOS laikymo sąlygos</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caps/>
          <w:lang w:eastAsia="lt-LT"/>
        </w:rPr>
      </w:pPr>
      <w:r w:rsidRPr="0022129C">
        <w:rPr>
          <w:rFonts w:ascii="Times New Roman" w:eastAsia="Times New Roman" w:hAnsi="Times New Roman" w:cs="Times New Roman"/>
          <w:b/>
          <w:caps/>
          <w:lang w:eastAsia="lt-LT"/>
        </w:rPr>
        <w:lastRenderedPageBreak/>
        <w:t>10.</w:t>
      </w:r>
      <w:r w:rsidRPr="0022129C">
        <w:rPr>
          <w:rFonts w:ascii="Times New Roman" w:eastAsia="Times New Roman" w:hAnsi="Times New Roman" w:cs="Times New Roman"/>
          <w:b/>
          <w:caps/>
          <w:lang w:eastAsia="lt-LT"/>
        </w:rPr>
        <w:tab/>
        <w:t xml:space="preserve">specialios atsargumo priemonės </w:t>
      </w:r>
      <w:r w:rsidRPr="0022129C">
        <w:rPr>
          <w:rFonts w:ascii="Times New Roman" w:eastAsia="Times New Roman" w:hAnsi="Times New Roman" w:cs="Times New Roman"/>
          <w:b/>
          <w:lang w:eastAsia="lt-LT"/>
        </w:rPr>
        <w:t>DĖL NESUVARTOTO</w:t>
      </w:r>
      <w:r w:rsidRPr="0022129C">
        <w:rPr>
          <w:rFonts w:ascii="Times New Roman" w:eastAsia="Times New Roman" w:hAnsi="Times New Roman" w:cs="Times New Roman"/>
          <w:b/>
          <w:caps/>
          <w:lang w:eastAsia="lt-LT"/>
        </w:rPr>
        <w:t xml:space="preserve"> VAISTINIO PREPARATO AR JO ATLIEKŲ TVARKYMO</w:t>
      </w:r>
      <w:r w:rsidRPr="0022129C">
        <w:rPr>
          <w:rFonts w:ascii="Times New Roman" w:eastAsia="Times New Roman" w:hAnsi="Times New Roman" w:cs="Times New Roman"/>
          <w:caps/>
          <w:lang w:eastAsia="lt-LT"/>
        </w:rPr>
        <w:t xml:space="preserve"> </w:t>
      </w:r>
      <w:r w:rsidRPr="0022129C">
        <w:rPr>
          <w:rFonts w:ascii="Times New Roman" w:eastAsia="Times New Roman" w:hAnsi="Times New Roman" w:cs="Times New Roman"/>
          <w:b/>
          <w:caps/>
          <w:lang w:eastAsia="lt-LT"/>
        </w:rPr>
        <w:t>(jei reikia)</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11.</w:t>
      </w:r>
      <w:r w:rsidRPr="0022129C">
        <w:rPr>
          <w:rFonts w:ascii="Times New Roman" w:eastAsia="Times New Roman" w:hAnsi="Times New Roman" w:cs="Times New Roman"/>
          <w:b/>
          <w:caps/>
          <w:lang w:eastAsia="lt-LT"/>
        </w:rPr>
        <w:tab/>
        <w:t>REGISTRUOTOJO pavadinimas ir adresas</w:t>
      </w:r>
    </w:p>
    <w:p w:rsidR="00334054" w:rsidRPr="0022129C" w:rsidRDefault="00334054" w:rsidP="00334054">
      <w:pPr>
        <w:tabs>
          <w:tab w:val="left" w:pos="567"/>
        </w:tabs>
        <w:spacing w:after="0" w:line="240" w:lineRule="auto"/>
        <w:rPr>
          <w:rFonts w:ascii="Times New Roman" w:eastAsia="Times New Roman" w:hAnsi="Times New Roman" w:cs="Times New Roman"/>
          <w:noProof/>
          <w:lang w:eastAsia="lt-LT"/>
        </w:rPr>
      </w:pPr>
    </w:p>
    <w:p w:rsidR="00334054" w:rsidRPr="0022129C" w:rsidRDefault="00334054" w:rsidP="00334054">
      <w:pPr>
        <w:spacing w:after="0" w:line="240" w:lineRule="auto"/>
        <w:rPr>
          <w:rFonts w:ascii="Times New Roman" w:eastAsia="Times New Roman" w:hAnsi="Times New Roman" w:cs="Times New Roman"/>
          <w:lang w:val="it-IT" w:eastAsia="lt-LT"/>
        </w:rPr>
      </w:pPr>
      <w:r w:rsidRPr="0022129C">
        <w:rPr>
          <w:rFonts w:ascii="Times New Roman" w:eastAsia="Times New Roman" w:hAnsi="Times New Roman" w:cs="Times New Roman"/>
          <w:lang w:val="it-IT" w:eastAsia="lt-LT"/>
        </w:rPr>
        <w:t>SIA Ingen Pharma</w:t>
      </w:r>
    </w:p>
    <w:p w:rsidR="00334054" w:rsidRPr="0022129C" w:rsidRDefault="00334054" w:rsidP="00334054">
      <w:pPr>
        <w:spacing w:after="0" w:line="240" w:lineRule="auto"/>
        <w:rPr>
          <w:rFonts w:ascii="Times New Roman" w:eastAsia="Times New Roman" w:hAnsi="Times New Roman" w:cs="Times New Roman"/>
          <w:lang w:val="it-IT" w:eastAsia="lt-LT"/>
        </w:rPr>
      </w:pPr>
      <w:r w:rsidRPr="0022129C">
        <w:rPr>
          <w:rFonts w:ascii="Times New Roman" w:eastAsia="Times New Roman" w:hAnsi="Times New Roman" w:cs="Times New Roman"/>
          <w:lang w:val="it-IT" w:eastAsia="lt-LT"/>
        </w:rPr>
        <w:t xml:space="preserve">Kārļa Ulmaņa gatve 119, Mārupe </w:t>
      </w:r>
    </w:p>
    <w:p w:rsidR="00334054" w:rsidRPr="0022129C" w:rsidRDefault="00334054" w:rsidP="00334054">
      <w:pPr>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LV-2167, </w:t>
      </w:r>
      <w:proofErr w:type="spellStart"/>
      <w:r w:rsidRPr="0022129C">
        <w:rPr>
          <w:rFonts w:ascii="Times New Roman" w:eastAsia="Times New Roman" w:hAnsi="Times New Roman" w:cs="Times New Roman"/>
          <w:lang w:eastAsia="lt-LT"/>
        </w:rPr>
        <w:t>Rīga</w:t>
      </w:r>
      <w:proofErr w:type="spellEnd"/>
    </w:p>
    <w:p w:rsidR="00334054" w:rsidRPr="0022129C" w:rsidRDefault="00334054" w:rsidP="00334054">
      <w:pPr>
        <w:tabs>
          <w:tab w:val="left" w:pos="540"/>
        </w:tabs>
        <w:spacing w:after="0" w:line="240" w:lineRule="auto"/>
        <w:rPr>
          <w:rFonts w:ascii="Times New Roman" w:eastAsia="Times New Roman" w:hAnsi="Times New Roman" w:cs="Times New Roman"/>
          <w:noProof/>
          <w:szCs w:val="20"/>
        </w:rPr>
      </w:pPr>
      <w:r w:rsidRPr="0022129C">
        <w:rPr>
          <w:rFonts w:ascii="Times New Roman" w:eastAsia="Times New Roman" w:hAnsi="Times New Roman" w:cs="Times New Roman"/>
          <w:noProof/>
          <w:szCs w:val="20"/>
        </w:rPr>
        <w:t xml:space="preserve">Latvija </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caps/>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b/>
          <w:caps/>
          <w:lang w:eastAsia="lt-LT"/>
        </w:rPr>
        <w:t>12.</w:t>
      </w:r>
      <w:r w:rsidRPr="0022129C">
        <w:rPr>
          <w:rFonts w:ascii="Times New Roman" w:eastAsia="Times New Roman" w:hAnsi="Times New Roman" w:cs="Times New Roman"/>
          <w:b/>
          <w:caps/>
          <w:lang w:eastAsia="lt-LT"/>
        </w:rPr>
        <w:tab/>
        <w:t>REGISTRACIJOS PAŽYMĖJIMO numeris</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40 mg – LT/1/14/3543/001</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80 mg – LT/1/14/3543/002</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13.</w:t>
      </w:r>
      <w:r w:rsidRPr="0022129C">
        <w:rPr>
          <w:rFonts w:ascii="Times New Roman" w:eastAsia="Times New Roman" w:hAnsi="Times New Roman" w:cs="Times New Roman"/>
          <w:b/>
          <w:caps/>
          <w:lang w:eastAsia="lt-LT"/>
        </w:rPr>
        <w:tab/>
        <w:t>serijos numeris</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Lot</w:t>
      </w:r>
      <w:proofErr w:type="spellEnd"/>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14.</w:t>
      </w:r>
      <w:r w:rsidRPr="0022129C">
        <w:rPr>
          <w:rFonts w:ascii="Times New Roman" w:eastAsia="Times New Roman" w:hAnsi="Times New Roman" w:cs="Times New Roman"/>
          <w:b/>
          <w:caps/>
          <w:lang w:eastAsia="lt-LT"/>
        </w:rPr>
        <w:tab/>
        <w:t>PARDAVIMO (IŠDAVIMO) tvarka</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Receptinis </w:t>
      </w:r>
      <w:r>
        <w:rPr>
          <w:rFonts w:ascii="Times New Roman" w:eastAsia="Times New Roman" w:hAnsi="Times New Roman" w:cs="Times New Roman"/>
          <w:lang w:eastAsia="lt-LT"/>
        </w:rPr>
        <w:t>vaistas</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15.</w:t>
      </w:r>
      <w:r w:rsidRPr="0022129C">
        <w:rPr>
          <w:rFonts w:ascii="Times New Roman" w:eastAsia="Times New Roman" w:hAnsi="Times New Roman" w:cs="Times New Roman"/>
          <w:b/>
          <w:caps/>
          <w:lang w:eastAsia="lt-LT"/>
        </w:rPr>
        <w:tab/>
        <w:t>vartojimo instrukcijA</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rPr>
      </w:pPr>
      <w:r w:rsidRPr="0022129C">
        <w:rPr>
          <w:rFonts w:ascii="Times New Roman" w:eastAsia="Times New Roman" w:hAnsi="Times New Roman" w:cs="Times New Roman"/>
          <w:b/>
          <w:lang w:eastAsia="lt-LT"/>
        </w:rPr>
        <w:t>16.</w:t>
      </w:r>
      <w:r w:rsidRPr="0022129C">
        <w:rPr>
          <w:rFonts w:ascii="Times New Roman" w:eastAsia="Times New Roman" w:hAnsi="Times New Roman" w:cs="Times New Roman"/>
          <w:b/>
          <w:lang w:eastAsia="lt-LT"/>
        </w:rPr>
        <w:tab/>
        <w:t>INFORMACIJA BRAILIO RAŠTU</w:t>
      </w: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40 mg</w:t>
      </w: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80 mg</w:t>
      </w: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
    <w:p w:rsidR="00334054" w:rsidRPr="00DC4FC5" w:rsidRDefault="00334054" w:rsidP="00334054">
      <w:pPr>
        <w:tabs>
          <w:tab w:val="left" w:pos="567"/>
        </w:tabs>
        <w:spacing w:after="0" w:line="260" w:lineRule="exact"/>
        <w:rPr>
          <w:rFonts w:ascii="Times New Roman" w:eastAsia="Times New Roman" w:hAnsi="Times New Roman" w:cs="Times New Roman"/>
          <w:szCs w:val="24"/>
        </w:rPr>
      </w:pPr>
    </w:p>
    <w:p w:rsidR="00334054" w:rsidRPr="00DC4FC5" w:rsidRDefault="00334054" w:rsidP="0033405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DC4FC5">
        <w:rPr>
          <w:rFonts w:ascii="Times New Roman" w:eastAsia="Times New Roman" w:hAnsi="Times New Roman" w:cs="Times New Roman"/>
          <w:b/>
          <w:noProof/>
          <w:snapToGrid w:val="0"/>
          <w:szCs w:val="20"/>
          <w:lang w:val="en-GB"/>
        </w:rPr>
        <w:t>17.</w:t>
      </w:r>
      <w:r w:rsidRPr="00DC4FC5">
        <w:rPr>
          <w:rFonts w:ascii="Times New Roman" w:eastAsia="Times New Roman" w:hAnsi="Times New Roman" w:cs="Times New Roman"/>
          <w:b/>
          <w:noProof/>
          <w:snapToGrid w:val="0"/>
          <w:szCs w:val="20"/>
          <w:lang w:val="en-GB"/>
        </w:rPr>
        <w:tab/>
        <w:t>UNIKALUS IDENTIFIKATORIUS – 2D BRŪKŠNINIS KODAS</w:t>
      </w:r>
    </w:p>
    <w:p w:rsidR="00334054" w:rsidRPr="00DC4FC5" w:rsidRDefault="00334054" w:rsidP="00334054">
      <w:pPr>
        <w:tabs>
          <w:tab w:val="left" w:pos="567"/>
        </w:tabs>
        <w:spacing w:after="0" w:line="260" w:lineRule="exact"/>
        <w:rPr>
          <w:rFonts w:ascii="Times New Roman" w:eastAsia="Times New Roman" w:hAnsi="Times New Roman" w:cs="Times New Roman"/>
          <w:noProof/>
          <w:snapToGrid w:val="0"/>
          <w:szCs w:val="20"/>
          <w:lang w:val="en-GB"/>
        </w:rPr>
      </w:pPr>
    </w:p>
    <w:p w:rsidR="00334054" w:rsidRPr="00DC4FC5" w:rsidRDefault="00334054" w:rsidP="00334054">
      <w:pPr>
        <w:tabs>
          <w:tab w:val="left" w:pos="540"/>
        </w:tabs>
        <w:spacing w:after="0" w:line="240" w:lineRule="auto"/>
        <w:rPr>
          <w:rFonts w:ascii="Times New Roman" w:eastAsia="Times New Roman" w:hAnsi="Times New Roman" w:cs="Times New Roman"/>
          <w:noProof/>
        </w:rPr>
      </w:pPr>
      <w:r w:rsidRPr="00DC4FC5">
        <w:rPr>
          <w:rFonts w:ascii="Times New Roman" w:eastAsia="Times New Roman" w:hAnsi="Times New Roman" w:cs="Times New Roman"/>
          <w:noProof/>
          <w:highlight w:val="lightGray"/>
        </w:rPr>
        <w:t>2D brūkšninis kodas su nurodytu unikaliu identifikatoriumi.</w:t>
      </w:r>
    </w:p>
    <w:p w:rsidR="00334054" w:rsidRDefault="00334054" w:rsidP="00334054">
      <w:pPr>
        <w:tabs>
          <w:tab w:val="left" w:pos="567"/>
        </w:tabs>
        <w:spacing w:after="0" w:line="260" w:lineRule="exact"/>
        <w:rPr>
          <w:rFonts w:ascii="Times New Roman" w:eastAsia="Times New Roman" w:hAnsi="Times New Roman" w:cs="Times New Roman"/>
          <w:noProof/>
          <w:snapToGrid w:val="0"/>
          <w:szCs w:val="20"/>
          <w:lang w:val="en-GB"/>
        </w:rPr>
      </w:pPr>
    </w:p>
    <w:p w:rsidR="00334054" w:rsidRPr="00DC4FC5" w:rsidRDefault="00334054" w:rsidP="00334054">
      <w:pPr>
        <w:tabs>
          <w:tab w:val="left" w:pos="567"/>
        </w:tabs>
        <w:spacing w:after="0" w:line="260" w:lineRule="exact"/>
        <w:rPr>
          <w:rFonts w:ascii="Times New Roman" w:eastAsia="Times New Roman" w:hAnsi="Times New Roman" w:cs="Times New Roman"/>
          <w:noProof/>
          <w:snapToGrid w:val="0"/>
          <w:szCs w:val="20"/>
          <w:lang w:val="en-GB"/>
        </w:rPr>
      </w:pPr>
    </w:p>
    <w:p w:rsidR="00334054" w:rsidRPr="00DC4FC5" w:rsidRDefault="00334054" w:rsidP="0033405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DC4FC5">
        <w:rPr>
          <w:rFonts w:ascii="Times New Roman" w:eastAsia="Times New Roman" w:hAnsi="Times New Roman" w:cs="Times New Roman"/>
          <w:b/>
          <w:noProof/>
          <w:snapToGrid w:val="0"/>
          <w:szCs w:val="20"/>
          <w:lang w:val="en-GB"/>
        </w:rPr>
        <w:t>18.</w:t>
      </w:r>
      <w:r w:rsidRPr="00DC4FC5">
        <w:rPr>
          <w:rFonts w:ascii="Times New Roman" w:eastAsia="Times New Roman" w:hAnsi="Times New Roman" w:cs="Times New Roman"/>
          <w:b/>
          <w:noProof/>
          <w:snapToGrid w:val="0"/>
          <w:szCs w:val="20"/>
          <w:lang w:val="en-GB"/>
        </w:rPr>
        <w:tab/>
        <w:t>UNIKALUS IDENTIFIKATORIUS – ŽMONĖMS SUPRANTAMI DUOMENYS</w:t>
      </w:r>
    </w:p>
    <w:p w:rsidR="00334054" w:rsidRPr="00DC4FC5" w:rsidRDefault="00334054" w:rsidP="00334054">
      <w:pPr>
        <w:tabs>
          <w:tab w:val="left" w:pos="567"/>
        </w:tabs>
        <w:spacing w:after="0" w:line="260" w:lineRule="exact"/>
        <w:rPr>
          <w:rFonts w:ascii="Times New Roman" w:eastAsia="Times New Roman" w:hAnsi="Times New Roman" w:cs="Times New Roman"/>
          <w:noProof/>
          <w:snapToGrid w:val="0"/>
          <w:szCs w:val="20"/>
          <w:lang w:val="en-GB"/>
        </w:rPr>
      </w:pPr>
    </w:p>
    <w:p w:rsidR="00334054" w:rsidRPr="00DC4FC5" w:rsidRDefault="00334054" w:rsidP="00334054">
      <w:pPr>
        <w:tabs>
          <w:tab w:val="left" w:pos="540"/>
        </w:tabs>
        <w:spacing w:after="0" w:line="240" w:lineRule="auto"/>
        <w:rPr>
          <w:rFonts w:ascii="Times New Roman" w:eastAsia="Times New Roman" w:hAnsi="Times New Roman" w:cs="Times New Roman"/>
          <w:noProof/>
        </w:rPr>
      </w:pPr>
      <w:r w:rsidRPr="00DC4FC5">
        <w:rPr>
          <w:rFonts w:ascii="Times New Roman" w:eastAsia="Times New Roman" w:hAnsi="Times New Roman" w:cs="Times New Roman"/>
          <w:noProof/>
        </w:rPr>
        <w:t>PC: {numeris}</w:t>
      </w:r>
    </w:p>
    <w:p w:rsidR="00334054" w:rsidRPr="00DC4FC5" w:rsidRDefault="00334054" w:rsidP="00334054">
      <w:pPr>
        <w:tabs>
          <w:tab w:val="left" w:pos="540"/>
        </w:tabs>
        <w:spacing w:after="0" w:line="240" w:lineRule="auto"/>
        <w:rPr>
          <w:rFonts w:ascii="Times New Roman" w:eastAsia="Times New Roman" w:hAnsi="Times New Roman" w:cs="Times New Roman"/>
          <w:noProof/>
        </w:rPr>
      </w:pPr>
      <w:r w:rsidRPr="00DC4FC5">
        <w:rPr>
          <w:rFonts w:ascii="Times New Roman" w:eastAsia="Times New Roman" w:hAnsi="Times New Roman" w:cs="Times New Roman"/>
          <w:noProof/>
        </w:rPr>
        <w:t>SN: {numeris}</w:t>
      </w:r>
    </w:p>
    <w:p w:rsidR="00334054" w:rsidRPr="00DC4FC5" w:rsidRDefault="00334054" w:rsidP="00334054">
      <w:pPr>
        <w:tabs>
          <w:tab w:val="left" w:pos="567"/>
        </w:tabs>
        <w:spacing w:after="0" w:line="260" w:lineRule="exact"/>
        <w:outlineLvl w:val="0"/>
        <w:rPr>
          <w:rFonts w:ascii="Times New Roman" w:eastAsia="Times New Roman" w:hAnsi="Times New Roman" w:cs="Times New Roman"/>
          <w:szCs w:val="20"/>
        </w:rPr>
      </w:pPr>
      <w:r w:rsidRPr="00DC4FC5">
        <w:rPr>
          <w:rFonts w:ascii="Times New Roman" w:eastAsia="Times New Roman" w:hAnsi="Times New Roman" w:cs="Times New Roman"/>
          <w:noProof/>
          <w:highlight w:val="lightGray"/>
        </w:rPr>
        <w:t>NN: {numeris}</w:t>
      </w: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br w:type="page"/>
      </w: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szCs w:val="20"/>
        </w:rPr>
      </w:pPr>
      <w:r w:rsidRPr="0022129C">
        <w:rPr>
          <w:rFonts w:ascii="Times New Roman" w:eastAsia="Times New Roman" w:hAnsi="Times New Roman" w:cs="Times New Roman"/>
          <w:b/>
          <w:szCs w:val="20"/>
        </w:rPr>
        <w:lastRenderedPageBreak/>
        <w:t xml:space="preserve">MINIMALI </w:t>
      </w:r>
      <w:r w:rsidRPr="0022129C">
        <w:rPr>
          <w:rFonts w:ascii="Times New Roman" w:eastAsia="Times New Roman" w:hAnsi="Times New Roman" w:cs="Times New Roman"/>
          <w:b/>
          <w:caps/>
          <w:szCs w:val="20"/>
        </w:rPr>
        <w:t xml:space="preserve">informacija ant </w:t>
      </w:r>
      <w:r w:rsidRPr="0022129C">
        <w:rPr>
          <w:rFonts w:ascii="Times New Roman" w:eastAsia="Times New Roman" w:hAnsi="Times New Roman" w:cs="Times New Roman"/>
          <w:b/>
          <w:szCs w:val="20"/>
        </w:rPr>
        <w:t>LIZDINIŲ PLOKŠTELIŲ ARBA DVISLUOKSNIŲ JUOSTELIŲ</w:t>
      </w: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szCs w:val="20"/>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szCs w:val="20"/>
        </w:rPr>
      </w:pPr>
      <w:r w:rsidRPr="0022129C">
        <w:rPr>
          <w:rFonts w:ascii="Times New Roman" w:eastAsia="Times New Roman" w:hAnsi="Times New Roman" w:cs="Times New Roman"/>
          <w:b/>
          <w:szCs w:val="20"/>
        </w:rPr>
        <w:t>LIZDINĖ PLOKŠTELĖ</w:t>
      </w: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szCs w:val="20"/>
        </w:rPr>
      </w:pPr>
      <w:r w:rsidRPr="0022129C">
        <w:rPr>
          <w:rFonts w:ascii="Times New Roman" w:eastAsia="Times New Roman" w:hAnsi="Times New Roman" w:cs="Times New Roman"/>
          <w:b/>
          <w:szCs w:val="20"/>
        </w:rPr>
        <w:t>1.</w:t>
      </w:r>
      <w:r w:rsidRPr="0022129C">
        <w:rPr>
          <w:rFonts w:ascii="Times New Roman" w:eastAsia="Times New Roman" w:hAnsi="Times New Roman" w:cs="Times New Roman"/>
          <w:b/>
          <w:szCs w:val="20"/>
        </w:rPr>
        <w:tab/>
        <w:t>VAISTINIO PREPARATO PAVADINIMAS</w:t>
      </w: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val="es-ES" w:eastAsia="lt-LT"/>
        </w:rPr>
        <w:t>Telmisartan</w:t>
      </w:r>
      <w:proofErr w:type="spellEnd"/>
      <w:r w:rsidRPr="0022129C">
        <w:rPr>
          <w:rFonts w:ascii="Times New Roman" w:eastAsia="Times New Roman" w:hAnsi="Times New Roman" w:cs="Times New Roman"/>
          <w:lang w:val="es-ES" w:eastAsia="lt-LT"/>
        </w:rPr>
        <w:t xml:space="preserve"> </w:t>
      </w:r>
      <w:proofErr w:type="spellStart"/>
      <w:r w:rsidRPr="0022129C">
        <w:rPr>
          <w:rFonts w:ascii="Times New Roman" w:eastAsia="Times New Roman" w:hAnsi="Times New Roman" w:cs="Times New Roman"/>
          <w:lang w:val="es-ES" w:eastAsia="lt-LT"/>
        </w:rPr>
        <w:t>Ingen</w:t>
      </w:r>
      <w:proofErr w:type="spellEnd"/>
      <w:r w:rsidRPr="0022129C">
        <w:rPr>
          <w:rFonts w:ascii="Times New Roman" w:eastAsia="Times New Roman" w:hAnsi="Times New Roman" w:cs="Times New Roman"/>
          <w:lang w:val="es-ES" w:eastAsia="lt-LT"/>
        </w:rPr>
        <w:t xml:space="preserve"> </w:t>
      </w:r>
      <w:proofErr w:type="spellStart"/>
      <w:r w:rsidRPr="0022129C">
        <w:rPr>
          <w:rFonts w:ascii="Times New Roman" w:eastAsia="Times New Roman" w:hAnsi="Times New Roman" w:cs="Times New Roman"/>
          <w:lang w:val="es-ES" w:eastAsia="lt-LT"/>
        </w:rPr>
        <w:t>Pharma</w:t>
      </w:r>
      <w:proofErr w:type="spellEnd"/>
      <w:r w:rsidRPr="0022129C">
        <w:rPr>
          <w:rFonts w:ascii="Times New Roman" w:eastAsia="Times New Roman" w:hAnsi="Times New Roman" w:cs="Times New Roman"/>
          <w:lang w:val="es-ES" w:eastAsia="lt-LT"/>
        </w:rPr>
        <w:t xml:space="preserve"> </w:t>
      </w:r>
      <w:r w:rsidRPr="0022129C">
        <w:rPr>
          <w:rFonts w:ascii="Times New Roman" w:eastAsia="Times New Roman" w:hAnsi="Times New Roman" w:cs="Times New Roman"/>
          <w:lang w:eastAsia="lt-LT"/>
        </w:rPr>
        <w:t xml:space="preserve">40 mg plėvele dengtos tabletės </w:t>
      </w: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val="es-ES" w:eastAsia="lt-LT"/>
        </w:rPr>
        <w:t>Telmisartan</w:t>
      </w:r>
      <w:proofErr w:type="spellEnd"/>
      <w:r w:rsidRPr="0022129C">
        <w:rPr>
          <w:rFonts w:ascii="Times New Roman" w:eastAsia="Times New Roman" w:hAnsi="Times New Roman" w:cs="Times New Roman"/>
          <w:lang w:val="es-ES" w:eastAsia="lt-LT"/>
        </w:rPr>
        <w:t xml:space="preserve"> </w:t>
      </w:r>
      <w:proofErr w:type="spellStart"/>
      <w:r w:rsidRPr="0022129C">
        <w:rPr>
          <w:rFonts w:ascii="Times New Roman" w:eastAsia="Times New Roman" w:hAnsi="Times New Roman" w:cs="Times New Roman"/>
          <w:lang w:val="es-ES" w:eastAsia="lt-LT"/>
        </w:rPr>
        <w:t>Ingen</w:t>
      </w:r>
      <w:proofErr w:type="spellEnd"/>
      <w:r w:rsidRPr="0022129C">
        <w:rPr>
          <w:rFonts w:ascii="Times New Roman" w:eastAsia="Times New Roman" w:hAnsi="Times New Roman" w:cs="Times New Roman"/>
          <w:lang w:val="es-ES" w:eastAsia="lt-LT"/>
        </w:rPr>
        <w:t xml:space="preserve"> </w:t>
      </w:r>
      <w:proofErr w:type="spellStart"/>
      <w:r w:rsidRPr="0022129C">
        <w:rPr>
          <w:rFonts w:ascii="Times New Roman" w:eastAsia="Times New Roman" w:hAnsi="Times New Roman" w:cs="Times New Roman"/>
          <w:lang w:val="es-ES" w:eastAsia="lt-LT"/>
        </w:rPr>
        <w:t>Pharma</w:t>
      </w:r>
      <w:proofErr w:type="spellEnd"/>
      <w:r w:rsidRPr="0022129C">
        <w:rPr>
          <w:rFonts w:ascii="Times New Roman" w:eastAsia="Times New Roman" w:hAnsi="Times New Roman" w:cs="Times New Roman"/>
          <w:lang w:val="es-ES" w:eastAsia="lt-LT"/>
        </w:rPr>
        <w:t xml:space="preserve"> </w:t>
      </w:r>
      <w:r w:rsidRPr="0022129C">
        <w:rPr>
          <w:rFonts w:ascii="Times New Roman" w:eastAsia="Times New Roman" w:hAnsi="Times New Roman" w:cs="Times New Roman"/>
          <w:lang w:eastAsia="lt-LT"/>
        </w:rPr>
        <w:t xml:space="preserve">80 mg plėvele dengtos tabletės </w:t>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Telmisartanas</w:t>
      </w:r>
      <w:proofErr w:type="spellEnd"/>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szCs w:val="20"/>
        </w:rPr>
      </w:pPr>
      <w:r w:rsidRPr="0022129C">
        <w:rPr>
          <w:rFonts w:ascii="Times New Roman" w:eastAsia="Times New Roman" w:hAnsi="Times New Roman" w:cs="Times New Roman"/>
          <w:b/>
          <w:szCs w:val="20"/>
        </w:rPr>
        <w:t>2.</w:t>
      </w:r>
      <w:r w:rsidRPr="0022129C">
        <w:rPr>
          <w:rFonts w:ascii="Times New Roman" w:eastAsia="Times New Roman" w:hAnsi="Times New Roman" w:cs="Times New Roman"/>
          <w:b/>
          <w:szCs w:val="20"/>
        </w:rPr>
        <w:tab/>
        <w:t>REGISTRUOTOJO PAVADINIMAS</w:t>
      </w: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tabs>
          <w:tab w:val="left" w:pos="540"/>
        </w:tabs>
        <w:spacing w:after="0" w:line="240" w:lineRule="auto"/>
        <w:rPr>
          <w:rFonts w:ascii="Times New Roman" w:eastAsia="Times New Roman" w:hAnsi="Times New Roman" w:cs="Times New Roman"/>
          <w:szCs w:val="20"/>
        </w:rPr>
      </w:pPr>
      <w:r w:rsidRPr="0022129C">
        <w:rPr>
          <w:rFonts w:ascii="Times New Roman" w:eastAsia="Times New Roman" w:hAnsi="Times New Roman" w:cs="Times New Roman"/>
          <w:szCs w:val="20"/>
        </w:rPr>
        <w:t xml:space="preserve">SIA </w:t>
      </w:r>
      <w:proofErr w:type="spellStart"/>
      <w:r w:rsidRPr="0022129C">
        <w:rPr>
          <w:rFonts w:ascii="Times New Roman" w:eastAsia="Times New Roman" w:hAnsi="Times New Roman" w:cs="Times New Roman"/>
          <w:szCs w:val="20"/>
        </w:rPr>
        <w:t>Ingen</w:t>
      </w:r>
      <w:proofErr w:type="spellEnd"/>
      <w:r w:rsidRPr="0022129C">
        <w:rPr>
          <w:rFonts w:ascii="Times New Roman" w:eastAsia="Times New Roman" w:hAnsi="Times New Roman" w:cs="Times New Roman"/>
          <w:szCs w:val="20"/>
        </w:rPr>
        <w:t xml:space="preserve"> </w:t>
      </w:r>
      <w:proofErr w:type="spellStart"/>
      <w:r w:rsidRPr="0022129C">
        <w:rPr>
          <w:rFonts w:ascii="Times New Roman" w:eastAsia="Times New Roman" w:hAnsi="Times New Roman" w:cs="Times New Roman"/>
          <w:szCs w:val="20"/>
        </w:rPr>
        <w:t>Pharma</w:t>
      </w:r>
      <w:proofErr w:type="spellEnd"/>
    </w:p>
    <w:p w:rsidR="00334054" w:rsidRPr="0022129C" w:rsidRDefault="00334054" w:rsidP="00334054">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szCs w:val="20"/>
        </w:rPr>
      </w:pPr>
      <w:r w:rsidRPr="0022129C">
        <w:rPr>
          <w:rFonts w:ascii="Times New Roman" w:eastAsia="Times New Roman" w:hAnsi="Times New Roman" w:cs="Times New Roman"/>
          <w:b/>
          <w:szCs w:val="20"/>
        </w:rPr>
        <w:t>3.</w:t>
      </w:r>
      <w:r w:rsidRPr="0022129C">
        <w:rPr>
          <w:rFonts w:ascii="Times New Roman" w:eastAsia="Times New Roman" w:hAnsi="Times New Roman" w:cs="Times New Roman"/>
          <w:b/>
          <w:szCs w:val="20"/>
        </w:rPr>
        <w:tab/>
        <w:t>TINKAMUMO LAIKAS</w:t>
      </w: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Tinka iki {mm/MMMM}</w:t>
      </w: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szCs w:val="20"/>
        </w:rPr>
      </w:pPr>
      <w:r w:rsidRPr="0022129C">
        <w:rPr>
          <w:rFonts w:ascii="Times New Roman" w:eastAsia="Times New Roman" w:hAnsi="Times New Roman" w:cs="Times New Roman"/>
          <w:b/>
          <w:szCs w:val="20"/>
        </w:rPr>
        <w:t>4.</w:t>
      </w:r>
      <w:r w:rsidRPr="0022129C">
        <w:rPr>
          <w:rFonts w:ascii="Times New Roman" w:eastAsia="Times New Roman" w:hAnsi="Times New Roman" w:cs="Times New Roman"/>
          <w:b/>
          <w:szCs w:val="20"/>
        </w:rPr>
        <w:tab/>
        <w:t>SERIJOS NUMERIS</w:t>
      </w: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22129C">
        <w:rPr>
          <w:rFonts w:ascii="Times New Roman" w:eastAsia="Times New Roman" w:hAnsi="Times New Roman" w:cs="Times New Roman"/>
          <w:lang w:eastAsia="ar-SA"/>
        </w:rPr>
        <w:t xml:space="preserve">Serija </w:t>
      </w: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szCs w:val="20"/>
        </w:rPr>
      </w:pPr>
      <w:r w:rsidRPr="0022129C">
        <w:rPr>
          <w:rFonts w:ascii="Times New Roman" w:eastAsia="Times New Roman" w:hAnsi="Times New Roman" w:cs="Times New Roman"/>
          <w:b/>
          <w:szCs w:val="20"/>
        </w:rPr>
        <w:t>5.</w:t>
      </w:r>
      <w:r w:rsidRPr="0022129C">
        <w:rPr>
          <w:rFonts w:ascii="Times New Roman" w:eastAsia="Times New Roman" w:hAnsi="Times New Roman" w:cs="Times New Roman"/>
          <w:b/>
          <w:szCs w:val="20"/>
        </w:rPr>
        <w:tab/>
        <w:t>KITA</w:t>
      </w: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tabs>
          <w:tab w:val="left" w:pos="540"/>
          <w:tab w:val="left" w:pos="567"/>
        </w:tabs>
        <w:spacing w:after="0" w:line="240" w:lineRule="auto"/>
        <w:rPr>
          <w:rFonts w:ascii="Times New Roman" w:eastAsia="Times New Roman" w:hAnsi="Times New Roman" w:cs="Times New Roman"/>
          <w:szCs w:val="20"/>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br w:type="page"/>
      </w: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ind w:left="567" w:hanging="567"/>
        <w:jc w:val="center"/>
        <w:rPr>
          <w:rFonts w:ascii="Times New Roman" w:eastAsia="Times New Roman" w:hAnsi="Times New Roman" w:cs="Times New Roman"/>
          <w:b/>
          <w:caps/>
          <w:lang w:eastAsia="lt-LT"/>
        </w:rPr>
      </w:pPr>
      <w:r w:rsidRPr="0022129C">
        <w:rPr>
          <w:rFonts w:ascii="Times New Roman" w:eastAsia="Times New Roman" w:hAnsi="Times New Roman" w:cs="Times New Roman"/>
          <w:b/>
          <w:caps/>
          <w:lang w:eastAsia="lt-LT"/>
        </w:rPr>
        <w:t xml:space="preserve">B. </w:t>
      </w:r>
      <w:r w:rsidRPr="0022129C">
        <w:rPr>
          <w:rFonts w:ascii="Times New Roman" w:eastAsia="Times New Roman" w:hAnsi="Times New Roman" w:cs="Times New Roman"/>
          <w:b/>
          <w:lang w:eastAsia="lt-LT"/>
        </w:rPr>
        <w:t>PAKUOTĖS</w:t>
      </w:r>
      <w:r w:rsidRPr="0022129C">
        <w:rPr>
          <w:rFonts w:ascii="Times New Roman" w:eastAsia="Times New Roman" w:hAnsi="Times New Roman" w:cs="Times New Roman"/>
          <w:b/>
          <w:caps/>
          <w:lang w:eastAsia="lt-LT"/>
        </w:rPr>
        <w:t xml:space="preserve"> lapelis</w:t>
      </w:r>
    </w:p>
    <w:p w:rsidR="00334054" w:rsidRPr="0022129C" w:rsidRDefault="00334054" w:rsidP="00334054">
      <w:pPr>
        <w:spacing w:after="0" w:line="240" w:lineRule="auto"/>
        <w:jc w:val="center"/>
        <w:outlineLvl w:val="0"/>
        <w:rPr>
          <w:rFonts w:ascii="Times New Roman" w:eastAsia="Times New Roman" w:hAnsi="Times New Roman" w:cs="Times New Roman"/>
          <w:b/>
          <w:lang w:eastAsia="lt-LT"/>
        </w:rPr>
      </w:pPr>
      <w:r w:rsidRPr="0022129C">
        <w:rPr>
          <w:rFonts w:ascii="Times New Roman" w:eastAsia="Times New Roman" w:hAnsi="Times New Roman" w:cs="Times New Roman"/>
          <w:lang w:eastAsia="lt-LT"/>
        </w:rPr>
        <w:br w:type="page"/>
      </w:r>
      <w:r w:rsidRPr="0022129C">
        <w:rPr>
          <w:rFonts w:ascii="Times New Roman" w:eastAsia="Times New Roman" w:hAnsi="Times New Roman" w:cs="Times New Roman"/>
          <w:b/>
          <w:lang w:eastAsia="lt-LT"/>
        </w:rPr>
        <w:lastRenderedPageBreak/>
        <w:t>Pakuotės lapelis: informacija vartotojui</w:t>
      </w:r>
    </w:p>
    <w:p w:rsidR="00334054" w:rsidRPr="0022129C" w:rsidRDefault="00334054" w:rsidP="00334054">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40 mg </w:t>
      </w:r>
      <w:r w:rsidRPr="0022129C">
        <w:rPr>
          <w:rFonts w:ascii="Times New Roman" w:eastAsia="Times New Roman" w:hAnsi="Times New Roman" w:cs="Times New Roman"/>
          <w:b/>
          <w:lang w:eastAsia="lt-LT"/>
        </w:rPr>
        <w:t>plėvele dengtos</w:t>
      </w:r>
      <w:r w:rsidRPr="0022129C">
        <w:rPr>
          <w:rFonts w:ascii="Times New Roman" w:eastAsia="Times New Roman" w:hAnsi="Times New Roman" w:cs="Times New Roman"/>
          <w:b/>
          <w:bCs/>
          <w:lang w:eastAsia="lt-LT"/>
        </w:rPr>
        <w:t xml:space="preserve"> tabletės</w:t>
      </w:r>
    </w:p>
    <w:p w:rsidR="00334054" w:rsidRPr="0022129C" w:rsidRDefault="00334054" w:rsidP="00334054">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lang w:eastAsia="lt-LT"/>
        </w:rPr>
        <w:t>Telmisartan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Ingen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Pharma</w:t>
      </w:r>
      <w:proofErr w:type="spellEnd"/>
      <w:r w:rsidRPr="0022129C">
        <w:rPr>
          <w:rFonts w:ascii="Times New Roman" w:eastAsia="Times New Roman" w:hAnsi="Times New Roman" w:cs="Times New Roman"/>
          <w:b/>
          <w:lang w:eastAsia="lt-LT"/>
        </w:rPr>
        <w:t xml:space="preserve"> 80 mg plėvele dengtos</w:t>
      </w:r>
      <w:r w:rsidRPr="0022129C">
        <w:rPr>
          <w:rFonts w:ascii="Times New Roman" w:eastAsia="Times New Roman" w:hAnsi="Times New Roman" w:cs="Times New Roman"/>
          <w:lang w:eastAsia="lt-LT"/>
        </w:rPr>
        <w:t xml:space="preserve"> </w:t>
      </w:r>
      <w:r w:rsidRPr="0022129C">
        <w:rPr>
          <w:rFonts w:ascii="Times New Roman" w:eastAsia="Times New Roman" w:hAnsi="Times New Roman" w:cs="Times New Roman"/>
          <w:b/>
          <w:lang w:eastAsia="lt-LT"/>
        </w:rPr>
        <w:t>tabletės</w:t>
      </w:r>
    </w:p>
    <w:p w:rsidR="00334054" w:rsidRPr="0022129C" w:rsidRDefault="00334054" w:rsidP="00334054">
      <w:pPr>
        <w:tabs>
          <w:tab w:val="left" w:pos="567"/>
        </w:tabs>
        <w:autoSpaceDE w:val="0"/>
        <w:autoSpaceDN w:val="0"/>
        <w:adjustRightInd w:val="0"/>
        <w:spacing w:after="0" w:line="240" w:lineRule="auto"/>
        <w:jc w:val="center"/>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Telmisartanas</w:t>
      </w:r>
      <w:proofErr w:type="spellEnd"/>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spacing w:after="0" w:line="240" w:lineRule="auto"/>
        <w:ind w:left="567" w:hanging="567"/>
        <w:rPr>
          <w:rFonts w:ascii="Times New Roman" w:eastAsia="Times New Roman" w:hAnsi="Times New Roman" w:cs="Times New Roman"/>
          <w:b/>
          <w:lang w:eastAsia="lt-LT"/>
        </w:rPr>
      </w:pPr>
      <w:r w:rsidRPr="0022129C">
        <w:rPr>
          <w:rFonts w:ascii="Times New Roman" w:eastAsia="Times New Roman" w:hAnsi="Times New Roman" w:cs="Times New Roman"/>
          <w:b/>
          <w:lang w:eastAsia="lt-LT"/>
        </w:rPr>
        <w:t>Atidžiai perskaitykite visą šį lapelį, prieš pradėdami vartoti vaistą, nes jame pateikiama Jums svarbi informacija.</w:t>
      </w:r>
    </w:p>
    <w:p w:rsidR="00334054" w:rsidRPr="0022129C" w:rsidRDefault="00334054" w:rsidP="00334054">
      <w:pPr>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w:t>
      </w:r>
      <w:r w:rsidRPr="0022129C">
        <w:rPr>
          <w:rFonts w:ascii="Times New Roman" w:eastAsia="Times New Roman" w:hAnsi="Times New Roman" w:cs="Times New Roman"/>
          <w:lang w:eastAsia="lt-LT"/>
        </w:rPr>
        <w:tab/>
        <w:t>Neišmeskite šio lapelio, nes vėl gali prireikti jį perskaityti.</w:t>
      </w:r>
    </w:p>
    <w:p w:rsidR="00334054" w:rsidRPr="0022129C" w:rsidRDefault="00334054" w:rsidP="00334054">
      <w:pPr>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w:t>
      </w:r>
      <w:r w:rsidRPr="0022129C">
        <w:rPr>
          <w:rFonts w:ascii="Times New Roman" w:eastAsia="Times New Roman" w:hAnsi="Times New Roman" w:cs="Times New Roman"/>
          <w:lang w:eastAsia="lt-LT"/>
        </w:rPr>
        <w:tab/>
        <w:t>Jeigu kiltų daugiau klausimų, kreipkitės į gydytoją arba vaistininką.</w:t>
      </w:r>
    </w:p>
    <w:p w:rsidR="00334054" w:rsidRPr="0022129C" w:rsidRDefault="00334054" w:rsidP="00334054">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334054" w:rsidRPr="0022129C" w:rsidRDefault="00334054" w:rsidP="00334054">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pasireiškė šalutinis poveikis (net jeigu jis šiame lapelyje nenurodytas), kreipkitės į gydytoją arba vaistininką. </w:t>
      </w:r>
      <w:r w:rsidRPr="0022129C">
        <w:rPr>
          <w:rFonts w:ascii="Times New Roman" w:eastAsia="Times New Roman" w:hAnsi="Times New Roman" w:cs="Times New Roman"/>
          <w:noProof/>
          <w:lang w:eastAsia="lt-LT"/>
        </w:rPr>
        <w:t>Žr. 4 skyrių.</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szCs w:val="24"/>
          <w:lang w:eastAsia="lt-LT"/>
        </w:rPr>
      </w:pPr>
      <w:r w:rsidRPr="0022129C">
        <w:rPr>
          <w:rFonts w:ascii="Times New Roman" w:eastAsia="Times New Roman" w:hAnsi="Times New Roman" w:cs="Times New Roman"/>
          <w:b/>
          <w:szCs w:val="24"/>
          <w:lang w:eastAsia="lt-LT"/>
        </w:rPr>
        <w:t>Apie ką rašoma šiame lapelyje?</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szCs w:val="24"/>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1. Kas yra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ir kam jis vartojamas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2. Kas žinotina prieš vartojant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3. Kaip vartoti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4. Galimas šalutinis poveikis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5. Kaip laikyti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6. Pakuotės turinys ir kita informacija</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
          <w:bCs/>
          <w:lang w:eastAsia="lt-LT"/>
        </w:rPr>
        <w:t>1.</w:t>
      </w:r>
      <w:r w:rsidRPr="0022129C">
        <w:rPr>
          <w:rFonts w:ascii="Times New Roman" w:eastAsia="Times New Roman" w:hAnsi="Times New Roman" w:cs="Times New Roman"/>
          <w:b/>
          <w:bCs/>
          <w:lang w:eastAsia="lt-LT"/>
        </w:rPr>
        <w:tab/>
        <w:t xml:space="preserve">Kas yra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ir kam jis vartojamas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priklauso vaistų, vadinamų </w:t>
      </w:r>
      <w:proofErr w:type="spellStart"/>
      <w:r w:rsidRPr="0022129C">
        <w:rPr>
          <w:rFonts w:ascii="Times New Roman" w:eastAsia="Times New Roman" w:hAnsi="Times New Roman" w:cs="Times New Roman"/>
          <w:lang w:eastAsia="lt-LT"/>
        </w:rPr>
        <w:t>angiotenzino</w:t>
      </w:r>
      <w:proofErr w:type="spellEnd"/>
      <w:r w:rsidRPr="0022129C">
        <w:rPr>
          <w:rFonts w:ascii="Times New Roman" w:eastAsia="Times New Roman" w:hAnsi="Times New Roman" w:cs="Times New Roman"/>
          <w:lang w:eastAsia="lt-LT"/>
        </w:rPr>
        <w:t xml:space="preserve"> II receptorių blokatoriais, grupei. </w:t>
      </w:r>
      <w:proofErr w:type="spellStart"/>
      <w:r w:rsidRPr="0022129C">
        <w:rPr>
          <w:rFonts w:ascii="Times New Roman" w:eastAsia="Times New Roman" w:hAnsi="Times New Roman" w:cs="Times New Roman"/>
          <w:lang w:eastAsia="lt-LT"/>
        </w:rPr>
        <w:t>Angiotenzinas</w:t>
      </w:r>
      <w:proofErr w:type="spellEnd"/>
      <w:r w:rsidRPr="0022129C">
        <w:rPr>
          <w:rFonts w:ascii="Times New Roman" w:eastAsia="Times New Roman" w:hAnsi="Times New Roman" w:cs="Times New Roman"/>
          <w:lang w:eastAsia="lt-LT"/>
        </w:rPr>
        <w:t xml:space="preserve"> II yra organizme gaminama medžiaga, kuri sutraukia kraujagysles ir todėl didina kraujospūdį.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šį </w:t>
      </w:r>
      <w:proofErr w:type="spellStart"/>
      <w:r w:rsidRPr="0022129C">
        <w:rPr>
          <w:rFonts w:ascii="Times New Roman" w:eastAsia="Times New Roman" w:hAnsi="Times New Roman" w:cs="Times New Roman"/>
          <w:lang w:eastAsia="lt-LT"/>
        </w:rPr>
        <w:t>angiotenzino</w:t>
      </w:r>
      <w:proofErr w:type="spellEnd"/>
      <w:r w:rsidRPr="0022129C">
        <w:rPr>
          <w:rFonts w:ascii="Times New Roman" w:eastAsia="Times New Roman" w:hAnsi="Times New Roman" w:cs="Times New Roman"/>
          <w:lang w:eastAsia="lt-LT"/>
        </w:rPr>
        <w:t xml:space="preserve"> II poveikį blokuoja, todėl lygieji kraujagyslių raumenys atsipalaiduoja, kraujospūdis mažėja. </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b/>
          <w:lang w:eastAsia="lt-LT"/>
        </w:rPr>
        <w:t>Telmisartan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Ingen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Pharma</w:t>
      </w:r>
      <w:proofErr w:type="spellEnd"/>
      <w:r w:rsidRPr="0022129C">
        <w:rPr>
          <w:rFonts w:ascii="Times New Roman" w:eastAsia="Times New Roman" w:hAnsi="Times New Roman" w:cs="Times New Roman"/>
          <w:b/>
          <w:lang w:eastAsia="lt-LT"/>
        </w:rPr>
        <w:t xml:space="preserve"> vartojamas </w:t>
      </w:r>
      <w:r w:rsidRPr="0022129C">
        <w:rPr>
          <w:rFonts w:ascii="Times New Roman" w:eastAsia="Times New Roman" w:hAnsi="Times New Roman" w:cs="Times New Roman"/>
          <w:lang w:eastAsia="lt-LT"/>
        </w:rPr>
        <w:t xml:space="preserve">pirminei arterinei hipertenzijai (didelio kraujospūdžio ligai) </w:t>
      </w:r>
      <w:r w:rsidRPr="0022129C">
        <w:rPr>
          <w:rFonts w:ascii="Times New Roman" w:eastAsia="Times New Roman" w:hAnsi="Times New Roman" w:cs="Times New Roman"/>
          <w:bCs/>
          <w:lang w:eastAsia="lt-LT"/>
        </w:rPr>
        <w:t>gydyti</w:t>
      </w:r>
      <w:r w:rsidRPr="0022129C">
        <w:rPr>
          <w:rFonts w:ascii="Times New Roman" w:eastAsia="Times New Roman" w:hAnsi="Times New Roman" w:cs="Times New Roman"/>
          <w:lang w:eastAsia="lt-LT"/>
        </w:rPr>
        <w:t>. Pirminė hipertenzija reiškia, kad kraujospūdis yra padidėjęs ne dėl bet kokių kitokių priežasčių.</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didelio kraujospūdžio liga negydoma, ji gali pažeisti kai kurių organų kraujagysles. Kartais dėl to gali ištikti miokardo infarktas, pasireikšti širdies ar inkstų veiklos nepakankamumas, ištikti insultas arba ligonis gali apakti. Kol organų funkcija nepažeista, paprastai didelio kraujospūdžio ligos simptomų nebūna. Vadinasi, būtina reguliariai matuoti kraujospūdį, kad būtų galima nustatyti, ar jis nepadidėjęs.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
          <w:bCs/>
          <w:lang w:eastAsia="lt-LT"/>
        </w:rPr>
        <w:t xml:space="preserve">Be to,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vartojamas </w:t>
      </w:r>
      <w:r w:rsidRPr="0022129C">
        <w:rPr>
          <w:rFonts w:ascii="Times New Roman" w:eastAsia="Times New Roman" w:hAnsi="Times New Roman" w:cs="Times New Roman"/>
          <w:lang w:eastAsia="lt-LT"/>
        </w:rPr>
        <w:t>širdies ir kraujagyslių sutrikimų reiškiniams (pvz., širdies priepuoliui arba insultui) mažinti suaugusiems žmonėms, kuriems jų rizika kyla dėl to, kad jiems yra sumažėjęs arba blokuotas širdies ar kojų aprūpinimas krauju arba jie yra patyrę insultą ar serga didelės rizikos cukriniu diabetu. Jeigu Jums yra didelė šių sutrikimų rizika, pasakys gydytojas.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2.</w:t>
      </w:r>
      <w:r w:rsidRPr="0022129C">
        <w:rPr>
          <w:rFonts w:ascii="Times New Roman" w:eastAsia="Times New Roman" w:hAnsi="Times New Roman" w:cs="Times New Roman"/>
          <w:b/>
          <w:bCs/>
          <w:lang w:eastAsia="lt-LT"/>
        </w:rPr>
        <w:tab/>
      </w:r>
      <w:r w:rsidRPr="0022129C">
        <w:rPr>
          <w:rFonts w:ascii="Times New Roman" w:eastAsia="Times New Roman" w:hAnsi="Times New Roman" w:cs="Times New Roman"/>
          <w:b/>
          <w:lang w:eastAsia="lt-LT"/>
        </w:rPr>
        <w:t xml:space="preserve">Kas žinotina prieš vartojant </w:t>
      </w:r>
      <w:proofErr w:type="spellStart"/>
      <w:r w:rsidRPr="0022129C">
        <w:rPr>
          <w:rFonts w:ascii="Times New Roman" w:eastAsia="Times New Roman" w:hAnsi="Times New Roman" w:cs="Times New Roman"/>
          <w:b/>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vartoti negalima:</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jeigu yra alergija veikliajai medžiagai arba bet kuriai pagalbinei </w:t>
      </w:r>
      <w:r w:rsidRPr="0022129C">
        <w:rPr>
          <w:rFonts w:ascii="Times New Roman" w:eastAsia="Times New Roman" w:hAnsi="Times New Roman" w:cs="Times New Roman"/>
          <w:noProof/>
          <w:lang w:eastAsia="lt-LT"/>
        </w:rPr>
        <w:t>šio vaisto medžiagai (jos išvardytos 6 skyriuje)</w:t>
      </w:r>
      <w:r w:rsidRPr="0022129C">
        <w:rPr>
          <w:rFonts w:ascii="Times New Roman" w:eastAsia="Times New Roman" w:hAnsi="Times New Roman" w:cs="Times New Roman"/>
          <w:lang w:eastAsia="lt-LT"/>
        </w:rPr>
        <w:t>;</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jeigu yra didesnis negu 3 mėn. nėštumas (ankstyvuoju nėštumo laikotarpiu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taip pat geriau nevartoti – žr. skyrių „Nėštumas ir žindymo laikotarpis“);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lastRenderedPageBreak/>
        <w:t>• jeigu yra sunkių kepenų veiklos sutrikimų, pvz., tulžies sąstovis ar tulžies nutekėjimo obstrukcija (tulžies nutekėjimo iš kepenų ar tulžies pūslės sutrikimas) arba bet kokia kita sunki kepenų liga.</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jeigu Jūs sergate cukriniu diabetu arba Jūsų inkstų veikla sutrikusi ir Jums skirtas kraujospūdį mažinantis vaistas, kurio sudėtyje yra </w:t>
      </w:r>
      <w:proofErr w:type="spellStart"/>
      <w:r w:rsidRPr="0022129C">
        <w:rPr>
          <w:rFonts w:ascii="Times New Roman" w:eastAsia="Times New Roman" w:hAnsi="Times New Roman" w:cs="Times New Roman"/>
          <w:lang w:eastAsia="lt-LT"/>
        </w:rPr>
        <w:t>aliskireno</w:t>
      </w:r>
      <w:proofErr w:type="spellEnd"/>
      <w:r w:rsidRPr="0022129C">
        <w:rPr>
          <w:rFonts w:ascii="Times New Roman" w:eastAsia="Times New Roman" w:hAnsi="Times New Roman" w:cs="Times New Roman"/>
          <w:lang w:eastAsia="lt-LT"/>
        </w:rPr>
        <w:t>.</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kuri nors iš išvardytų būklių Jums tinka, pasakykite gydytojui arba vaistininkui, prieš pradėdami vartoti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Įspėjimai ir atsargumo priemonės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Pasitarkite su gydytoju, prieš pradėdami vartoti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sergate inkstų liga arba Jums persodintas inkstas;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Jums nustatyta inkstų arterijų stenozė (vieno arba abiejų inkstų kraujagyslių susiaurėjimas);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sergate kepenų liga;</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Jums yra širdies veiklos sutrikimas;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jeigu Jums padidėjęs </w:t>
      </w:r>
      <w:proofErr w:type="spellStart"/>
      <w:r w:rsidRPr="0022129C">
        <w:rPr>
          <w:rFonts w:ascii="Times New Roman" w:eastAsia="Times New Roman" w:hAnsi="Times New Roman" w:cs="Times New Roman"/>
          <w:lang w:eastAsia="lt-LT"/>
        </w:rPr>
        <w:t>aldosterono</w:t>
      </w:r>
      <w:proofErr w:type="spellEnd"/>
      <w:r w:rsidRPr="0022129C">
        <w:rPr>
          <w:rFonts w:ascii="Times New Roman" w:eastAsia="Times New Roman" w:hAnsi="Times New Roman" w:cs="Times New Roman"/>
          <w:lang w:eastAsia="lt-LT"/>
        </w:rPr>
        <w:t xml:space="preserve"> kiekis (vandens ir druskų susilaikymas organizme ir kartu įvairių mineralinių medžiagų pusiausvyros sutrikimas kraujyje);</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Jūsų mažas kraujospūdis (</w:t>
      </w:r>
      <w:proofErr w:type="spellStart"/>
      <w:r w:rsidRPr="0022129C">
        <w:rPr>
          <w:rFonts w:ascii="Times New Roman" w:eastAsia="Times New Roman" w:hAnsi="Times New Roman" w:cs="Times New Roman"/>
          <w:lang w:eastAsia="lt-LT"/>
        </w:rPr>
        <w:t>hipotenzija</w:t>
      </w:r>
      <w:proofErr w:type="spellEnd"/>
      <w:r w:rsidRPr="0022129C">
        <w:rPr>
          <w:rFonts w:ascii="Times New Roman" w:eastAsia="Times New Roman" w:hAnsi="Times New Roman" w:cs="Times New Roman"/>
          <w:lang w:eastAsia="lt-LT"/>
        </w:rPr>
        <w:t xml:space="preserve">), tikriausiai atsiradęs dėl </w:t>
      </w:r>
      <w:proofErr w:type="spellStart"/>
      <w:r w:rsidRPr="0022129C">
        <w:rPr>
          <w:rFonts w:ascii="Times New Roman" w:eastAsia="Times New Roman" w:hAnsi="Times New Roman" w:cs="Times New Roman"/>
          <w:lang w:eastAsia="lt-LT"/>
        </w:rPr>
        <w:t>dehidracijos</w:t>
      </w:r>
      <w:proofErr w:type="spellEnd"/>
      <w:r w:rsidRPr="0022129C">
        <w:rPr>
          <w:rFonts w:ascii="Times New Roman" w:eastAsia="Times New Roman" w:hAnsi="Times New Roman" w:cs="Times New Roman"/>
          <w:lang w:eastAsia="lt-LT"/>
        </w:rPr>
        <w:t xml:space="preserve"> (didelio vandens kiekio netekimo) ar druskų trūkumo, pasireiškusio dėl diuretikų (šlapimo išskyrimą didinančių vaistų) vartojimo, mažo druskos kiekio maiste, viduriavimo ar vėmimo;</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Jums padidėjęs kalio kiekis kraujyje;</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sergate cukriniu diabetu;</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vartojate kurį nors iš šių vaistų padidėjusiam kraujospūdžiui gydyti:</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AKF inhibitorių (pavyzdžiui, </w:t>
      </w:r>
      <w:proofErr w:type="spellStart"/>
      <w:r w:rsidRPr="0022129C">
        <w:rPr>
          <w:rFonts w:ascii="Times New Roman" w:eastAsia="Times New Roman" w:hAnsi="Times New Roman" w:cs="Times New Roman"/>
          <w:lang w:eastAsia="lt-LT"/>
        </w:rPr>
        <w:t>enalaprilį</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lizinoprilį</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ramiprilį</w:t>
      </w:r>
      <w:proofErr w:type="spellEnd"/>
      <w:r w:rsidRPr="0022129C">
        <w:rPr>
          <w:rFonts w:ascii="Times New Roman" w:eastAsia="Times New Roman" w:hAnsi="Times New Roman" w:cs="Times New Roman"/>
          <w:lang w:eastAsia="lt-LT"/>
        </w:rPr>
        <w:t>), ypač jei turite su diabetu susijusių inkstų sutrikimų.</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aliskireną</w:t>
      </w:r>
      <w:proofErr w:type="spellEnd"/>
      <w:r w:rsidRPr="0022129C">
        <w:rPr>
          <w:rFonts w:ascii="Times New Roman" w:eastAsia="Times New Roman" w:hAnsi="Times New Roman" w:cs="Times New Roman"/>
          <w:lang w:eastAsia="lt-LT"/>
        </w:rPr>
        <w:t>.</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Jūsų gydytojas gali reguliariai ištirti Jūsų inkstų funkciją, kraujospūdį ir elektrolitų (pvz., kalio) kiekį kraujyje.</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Taip pat žiūrėkite informaciją, pateiktą poskyryje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negalima“.“</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manote, kad esate (arba galite tapti) nėščia, turite pasakyti gydytojui. Ankstyvuoju nėštumo laikotarpiu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nerekomenduojama. Jeigu nėščia esate daugiau negu tris mėnesius,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draudžiama, nes vėlyvuoju nėštumo laikotarpiu vartojamas šis vaistas gali sukelti sunkią jūsų vaisiaus pažaidą (žr. skyrių „Nėštumas ir žindymo laikotarpis“).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Prieš operaciją ar anesteziją gydytojui turite pasakyti apie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vartojimą.</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
          <w:bCs/>
          <w:color w:val="000000"/>
          <w:lang w:eastAsia="lt-LT"/>
        </w:rPr>
        <w:t>Vaikams ir paaugliams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Vaikams ir jaunesniems negu 18 metų paaugliams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nerekomenduojama.</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Juodaodžiams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kaip ir kiti </w:t>
      </w:r>
      <w:proofErr w:type="spellStart"/>
      <w:r w:rsidRPr="0022129C">
        <w:rPr>
          <w:rFonts w:ascii="Times New Roman" w:eastAsia="Times New Roman" w:hAnsi="Times New Roman" w:cs="Times New Roman"/>
          <w:lang w:eastAsia="lt-LT"/>
        </w:rPr>
        <w:t>angiotenzino</w:t>
      </w:r>
      <w:proofErr w:type="spellEnd"/>
      <w:r w:rsidRPr="0022129C">
        <w:rPr>
          <w:rFonts w:ascii="Times New Roman" w:eastAsia="Times New Roman" w:hAnsi="Times New Roman" w:cs="Times New Roman"/>
          <w:lang w:eastAsia="lt-LT"/>
        </w:rPr>
        <w:t xml:space="preserve"> II receptorių blokatoriai, kraujospūdį gali mažinti silpniau.</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
          <w:lang w:eastAsia="lt-LT"/>
        </w:rPr>
        <w:t xml:space="preserve">Kiti vaistai ir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vartojate ar neseniai vartojote kitų vaistų arba dėl to nesate tikri, apie tai pasakykite gydytojui arba vaistininkui.</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Gydytojas gali keisti kitų kartu vartojamų vaistų dozę arba imtis kitokių atsargumo priemonių. Kai kuriais atvejais gali tekti vieno arba kito vaisto vartojimą nutraukti. Tai ypač tinka toliau išvardytiems vaistams, jeigu jų vartojama kartu su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Ličio preparatai kai kurių rūšių depresijai gydyti.</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Vaistai, galintys didinti kalio kiekį kraujyje, pvz., druskų pakaitalai, kuriuose yra kalio, kalį organizme sulaikantys diuretikai (tam tikros šlapimo išskyrimą didinančios tabletės), AKF inhibitoriai, </w:t>
      </w:r>
      <w:proofErr w:type="spellStart"/>
      <w:r w:rsidRPr="0022129C">
        <w:rPr>
          <w:rFonts w:ascii="Times New Roman" w:eastAsia="Times New Roman" w:hAnsi="Times New Roman" w:cs="Times New Roman"/>
          <w:lang w:eastAsia="lt-LT"/>
        </w:rPr>
        <w:t>angiotenzino</w:t>
      </w:r>
      <w:proofErr w:type="spellEnd"/>
      <w:r w:rsidRPr="0022129C">
        <w:rPr>
          <w:rFonts w:ascii="Times New Roman" w:eastAsia="Times New Roman" w:hAnsi="Times New Roman" w:cs="Times New Roman"/>
          <w:lang w:eastAsia="lt-LT"/>
        </w:rPr>
        <w:t xml:space="preserve"> II receptorių blokatoriai, nesteroidiniai vaistai nuo uždegimo (NVNU, pvz., aspirinas ar </w:t>
      </w:r>
      <w:proofErr w:type="spellStart"/>
      <w:r w:rsidRPr="0022129C">
        <w:rPr>
          <w:rFonts w:ascii="Times New Roman" w:eastAsia="Times New Roman" w:hAnsi="Times New Roman" w:cs="Times New Roman"/>
          <w:lang w:eastAsia="lt-LT"/>
        </w:rPr>
        <w:lastRenderedPageBreak/>
        <w:t>ibuprofenas</w:t>
      </w:r>
      <w:proofErr w:type="spellEnd"/>
      <w:r w:rsidRPr="0022129C">
        <w:rPr>
          <w:rFonts w:ascii="Times New Roman" w:eastAsia="Times New Roman" w:hAnsi="Times New Roman" w:cs="Times New Roman"/>
          <w:lang w:eastAsia="lt-LT"/>
        </w:rPr>
        <w:t xml:space="preserve">), heparinas, </w:t>
      </w:r>
      <w:proofErr w:type="spellStart"/>
      <w:r w:rsidRPr="0022129C">
        <w:rPr>
          <w:rFonts w:ascii="Times New Roman" w:eastAsia="Times New Roman" w:hAnsi="Times New Roman" w:cs="Times New Roman"/>
          <w:lang w:eastAsia="lt-LT"/>
        </w:rPr>
        <w:t>imunosupresantai</w:t>
      </w:r>
      <w:proofErr w:type="spellEnd"/>
      <w:r w:rsidRPr="0022129C">
        <w:rPr>
          <w:rFonts w:ascii="Times New Roman" w:eastAsia="Times New Roman" w:hAnsi="Times New Roman" w:cs="Times New Roman"/>
          <w:lang w:eastAsia="lt-LT"/>
        </w:rPr>
        <w:t xml:space="preserve"> (pvz., </w:t>
      </w:r>
      <w:proofErr w:type="spellStart"/>
      <w:r w:rsidRPr="0022129C">
        <w:rPr>
          <w:rFonts w:ascii="Times New Roman" w:eastAsia="Times New Roman" w:hAnsi="Times New Roman" w:cs="Times New Roman"/>
          <w:lang w:eastAsia="lt-LT"/>
        </w:rPr>
        <w:t>ciklosporinas</w:t>
      </w:r>
      <w:proofErr w:type="spellEnd"/>
      <w:r w:rsidRPr="0022129C">
        <w:rPr>
          <w:rFonts w:ascii="Times New Roman" w:eastAsia="Times New Roman" w:hAnsi="Times New Roman" w:cs="Times New Roman"/>
          <w:lang w:eastAsia="lt-LT"/>
        </w:rPr>
        <w:t xml:space="preserve"> ar </w:t>
      </w:r>
      <w:proofErr w:type="spellStart"/>
      <w:r w:rsidRPr="0022129C">
        <w:rPr>
          <w:rFonts w:ascii="Times New Roman" w:eastAsia="Times New Roman" w:hAnsi="Times New Roman" w:cs="Times New Roman"/>
          <w:lang w:eastAsia="lt-LT"/>
        </w:rPr>
        <w:t>takrolimuzas</w:t>
      </w:r>
      <w:proofErr w:type="spellEnd"/>
      <w:r w:rsidRPr="0022129C">
        <w:rPr>
          <w:rFonts w:ascii="Times New Roman" w:eastAsia="Times New Roman" w:hAnsi="Times New Roman" w:cs="Times New Roman"/>
          <w:lang w:eastAsia="lt-LT"/>
        </w:rPr>
        <w:t xml:space="preserve">) ir antimikrobinis vaistas </w:t>
      </w:r>
      <w:proofErr w:type="spellStart"/>
      <w:r w:rsidRPr="0022129C">
        <w:rPr>
          <w:rFonts w:ascii="Times New Roman" w:eastAsia="Times New Roman" w:hAnsi="Times New Roman" w:cs="Times New Roman"/>
          <w:lang w:eastAsia="lt-LT"/>
        </w:rPr>
        <w:t>trimetoprimas</w:t>
      </w:r>
      <w:proofErr w:type="spellEnd"/>
      <w:r w:rsidRPr="0022129C">
        <w:rPr>
          <w:rFonts w:ascii="Times New Roman" w:eastAsia="Times New Roman" w:hAnsi="Times New Roman" w:cs="Times New Roman"/>
          <w:lang w:eastAsia="lt-LT"/>
        </w:rPr>
        <w:t>.</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Diuretikai (šlapimo išskyrimą didinantys vaistai), ypač kartu su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vartojama didelė jų dozė, gali lemti didelio vandens kiekio išsiskyrimą iš organizmo ir mažą kraujospūdį (</w:t>
      </w:r>
      <w:proofErr w:type="spellStart"/>
      <w:r w:rsidRPr="0022129C">
        <w:rPr>
          <w:rFonts w:ascii="Times New Roman" w:eastAsia="Times New Roman" w:hAnsi="Times New Roman" w:cs="Times New Roman"/>
          <w:lang w:eastAsia="lt-LT"/>
        </w:rPr>
        <w:t>hipotenziją</w:t>
      </w:r>
      <w:proofErr w:type="spellEnd"/>
      <w:r w:rsidRPr="0022129C">
        <w:rPr>
          <w:rFonts w:ascii="Times New Roman" w:eastAsia="Times New Roman" w:hAnsi="Times New Roman" w:cs="Times New Roman"/>
          <w:lang w:eastAsia="lt-LT"/>
        </w:rPr>
        <w:t>).</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kaip ir kitokių kraujospūdį mažinančių vaistų, poveikį gali silpninti kartu vartojami nesteroidiniai vaistai nuo uždegimo (pvz., aspirinas ar </w:t>
      </w:r>
      <w:proofErr w:type="spellStart"/>
      <w:r w:rsidRPr="0022129C">
        <w:rPr>
          <w:rFonts w:ascii="Times New Roman" w:eastAsia="Times New Roman" w:hAnsi="Times New Roman" w:cs="Times New Roman"/>
          <w:lang w:eastAsia="lt-LT"/>
        </w:rPr>
        <w:t>ibuprofenas</w:t>
      </w:r>
      <w:proofErr w:type="spellEnd"/>
      <w:r w:rsidRPr="0022129C">
        <w:rPr>
          <w:rFonts w:ascii="Times New Roman" w:eastAsia="Times New Roman" w:hAnsi="Times New Roman" w:cs="Times New Roman"/>
          <w:lang w:eastAsia="lt-LT"/>
        </w:rPr>
        <w:t>) arba kortikosteroidai.</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gali stiprinti kitų vaistų nuo didelio kraujospūdžio ligos kraujospūdį mažinantį poveikį.</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Jūsų gydytojui gali tekti pakeisti Jūsų dozę ir (arba) imtis kitų atsargumo priemonių:</w:t>
      </w:r>
    </w:p>
    <w:p w:rsidR="00334054" w:rsidRPr="0022129C" w:rsidRDefault="00334054" w:rsidP="00334054">
      <w:pPr>
        <w:numPr>
          <w:ilvl w:val="0"/>
          <w:numId w:val="3"/>
        </w:numPr>
        <w:tabs>
          <w:tab w:val="left" w:pos="567"/>
        </w:tabs>
        <w:autoSpaceDE w:val="0"/>
        <w:autoSpaceDN w:val="0"/>
        <w:adjustRightInd w:val="0"/>
        <w:spacing w:after="0" w:line="240" w:lineRule="auto"/>
        <w:contextualSpacing/>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vartojate AKF inhibitorių arba </w:t>
      </w:r>
      <w:proofErr w:type="spellStart"/>
      <w:r w:rsidRPr="0022129C">
        <w:rPr>
          <w:rFonts w:ascii="Times New Roman" w:eastAsia="Times New Roman" w:hAnsi="Times New Roman" w:cs="Times New Roman"/>
          <w:lang w:eastAsia="lt-LT"/>
        </w:rPr>
        <w:t>aliskireną</w:t>
      </w:r>
      <w:proofErr w:type="spellEnd"/>
      <w:r w:rsidRPr="0022129C">
        <w:rPr>
          <w:rFonts w:ascii="Times New Roman" w:eastAsia="Times New Roman" w:hAnsi="Times New Roman" w:cs="Times New Roman"/>
          <w:lang w:eastAsia="lt-LT"/>
        </w:rPr>
        <w:t xml:space="preserve"> (taip pat žiūrėkite informaciją, pateiktą poskyriuose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negalima“ ir „Įspėjimai ir atsargumo priemonės“).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vartojimas su maistu ir gėrimais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galima gerti valgio metu arba nevalgius.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Nėštumas ir žindymo laikotarpis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22129C">
        <w:rPr>
          <w:rFonts w:ascii="Times New Roman" w:eastAsia="Times New Roman" w:hAnsi="Times New Roman" w:cs="Times New Roman"/>
          <w:u w:val="single"/>
          <w:lang w:eastAsia="lt-LT"/>
        </w:rPr>
        <w:t>Nėštumas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Jūsų gydytojas paprastai Jums patars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vartojimą nutraukti prieš pastojimą arba tuoj pat, kai tik sužinosite, kad tapote nėščia, ir patars vietoj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kitokio vaisto. Ankstyvuoju nėštumo laikotarpiu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nerekomenduojama. Jeigu nėščia esate daugiau negu tris mėnesius,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draudžiama, nes vartojamas po trečio nėštumo mėnesio šis vaistas gali sukelti sunkią jūsų vaisiaus pažaidą.</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22129C">
        <w:rPr>
          <w:rFonts w:ascii="Times New Roman" w:eastAsia="Times New Roman" w:hAnsi="Times New Roman" w:cs="Times New Roman"/>
          <w:u w:val="single"/>
          <w:lang w:eastAsia="lt-LT"/>
        </w:rPr>
        <w:t>Žindymo laikotarpis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žindote arba norite pradėti žindyti kūdikį, pasakykite gydytojui. Žindyvėms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nerekomenduojama. Jeigu kūdikį, ypač naujagimį arba gimusį prieš laiką, krūtimi maitinti norite, gydytojas Jums gali skirti vartoti kitokio vaisto.</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Vairavimas ir mechanizmų valdymas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Apie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poveikį gebėjimui vairuoti ir valdyti mechanizmus informacijos nėra. Kai kurie žmonės, gydomi nuo didelio kraujospūdžio ligos, junta svaigulį ar nuovargį. Jeigu Jums svaigsta galva arba juntate nuovargį, nevairuokite ir nevaldykite mechanizmų.</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b/>
          <w:lang w:eastAsia="lt-LT"/>
        </w:rPr>
        <w:t>Telmisartan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Ingen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Pharma</w:t>
      </w:r>
      <w:proofErr w:type="spellEnd"/>
      <w:r w:rsidRPr="0022129C">
        <w:rPr>
          <w:rFonts w:ascii="Times New Roman" w:eastAsia="Times New Roman" w:hAnsi="Times New Roman" w:cs="Times New Roman"/>
          <w:b/>
          <w:lang w:eastAsia="lt-LT"/>
        </w:rPr>
        <w:t xml:space="preserve"> sudėtyje yra laktozės </w:t>
      </w:r>
      <w:proofErr w:type="spellStart"/>
      <w:r w:rsidRPr="0022129C">
        <w:rPr>
          <w:rFonts w:ascii="Times New Roman" w:eastAsia="Times New Roman" w:hAnsi="Times New Roman" w:cs="Times New Roman"/>
          <w:b/>
          <w:lang w:eastAsia="lt-LT"/>
        </w:rPr>
        <w:t>monohidrato</w:t>
      </w:r>
      <w:proofErr w:type="spellEnd"/>
      <w:r w:rsidRPr="0022129C">
        <w:rPr>
          <w:rFonts w:ascii="Times New Roman" w:eastAsia="Times New Roman" w:hAnsi="Times New Roman" w:cs="Times New Roman"/>
          <w:lang w:eastAsia="lt-LT"/>
        </w:rPr>
        <w:t xml:space="preserve">. </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gydytojas Jums yra sakęs, kad netoleruojate kokių nors angliavandenių, kreipkitės į jį prieš pradėdami vartoti šį vaistą.</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3.</w:t>
      </w:r>
      <w:r w:rsidRPr="0022129C">
        <w:rPr>
          <w:rFonts w:ascii="Times New Roman" w:eastAsia="Times New Roman" w:hAnsi="Times New Roman" w:cs="Times New Roman"/>
          <w:b/>
          <w:bCs/>
          <w:lang w:eastAsia="lt-LT"/>
        </w:rPr>
        <w:tab/>
      </w:r>
      <w:r w:rsidRPr="0022129C">
        <w:rPr>
          <w:rFonts w:ascii="Times New Roman" w:eastAsia="Times New Roman" w:hAnsi="Times New Roman" w:cs="Times New Roman"/>
          <w:b/>
          <w:lang w:eastAsia="lt-LT"/>
        </w:rPr>
        <w:t xml:space="preserve">Kaip vartoti </w:t>
      </w:r>
      <w:proofErr w:type="spellStart"/>
      <w:r w:rsidRPr="0022129C">
        <w:rPr>
          <w:rFonts w:ascii="Times New Roman" w:eastAsia="Times New Roman" w:hAnsi="Times New Roman" w:cs="Times New Roman"/>
          <w:b/>
          <w:lang w:eastAsia="lt-LT"/>
        </w:rPr>
        <w:t>Telmisartan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Visada vartokite šį vaistą tiksliai kaip nurodė gydytojas. Jeigu abejojate, kreipkitės į gydytoją arba vaistininką.</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Įprastinė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dozė yra viena tabletė per parą. Stenkitės kiekvieną parą tabletę išgerti tokiu pačiu laiku.</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galite gerti valgio metu arba nevalgę. Tabletę reikia nuryti užgeriant vandeniu arba kitokiu </w:t>
      </w:r>
      <w:proofErr w:type="spellStart"/>
      <w:r w:rsidRPr="0022129C">
        <w:rPr>
          <w:rFonts w:ascii="Times New Roman" w:eastAsia="Times New Roman" w:hAnsi="Times New Roman" w:cs="Times New Roman"/>
          <w:lang w:eastAsia="lt-LT"/>
        </w:rPr>
        <w:t>bealkoholiniu</w:t>
      </w:r>
      <w:proofErr w:type="spellEnd"/>
      <w:r w:rsidRPr="0022129C">
        <w:rPr>
          <w:rFonts w:ascii="Times New Roman" w:eastAsia="Times New Roman" w:hAnsi="Times New Roman" w:cs="Times New Roman"/>
          <w:lang w:eastAsia="lt-LT"/>
        </w:rPr>
        <w:t xml:space="preserve"> gėrimu. Svarbu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gerti kiekvieną parą, </w:t>
      </w:r>
      <w:r w:rsidRPr="0022129C">
        <w:rPr>
          <w:rFonts w:ascii="Times New Roman" w:eastAsia="Times New Roman" w:hAnsi="Times New Roman" w:cs="Times New Roman"/>
          <w:lang w:eastAsia="lt-LT"/>
        </w:rPr>
        <w:lastRenderedPageBreak/>
        <w:t xml:space="preserve">kol gydytojas lieps vartoti kitaip. Jeigu manote, kad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poveikis yra per stiprus arba per silpnas, pasitarkite su gydytoju arba vaistininku.</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Didelio kraujospūdžio ligai gydyti. Daugumai ligonių įprastinė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paros dozė, reguliuojanti kraujospūdį 24 valandas, yra viena 40 mg tabletė. Kai kuriems žmonėms gydytojo nurodymu gali reikėti gerti mažesnę, t. y. 20 mg, paros dozę arba didesnę </w:t>
      </w:r>
      <w:proofErr w:type="spellStart"/>
      <w:r w:rsidRPr="0022129C">
        <w:rPr>
          <w:rFonts w:ascii="Times New Roman" w:eastAsia="Times New Roman" w:hAnsi="Times New Roman" w:cs="Times New Roman"/>
          <w:lang w:eastAsia="lt-LT"/>
        </w:rPr>
        <w:t>t.y</w:t>
      </w:r>
      <w:proofErr w:type="spellEnd"/>
      <w:r w:rsidRPr="0022129C">
        <w:rPr>
          <w:rFonts w:ascii="Times New Roman" w:eastAsia="Times New Roman" w:hAnsi="Times New Roman" w:cs="Times New Roman"/>
          <w:lang w:eastAsia="lt-LT"/>
        </w:rPr>
        <w:t xml:space="preserve">. 80 mg.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galima vartoti ir su diuretikais (šlapimo išskyrimą didinančiomis tabletėmis), pvz., </w:t>
      </w:r>
      <w:proofErr w:type="spellStart"/>
      <w:r w:rsidRPr="0022129C">
        <w:rPr>
          <w:rFonts w:ascii="Times New Roman" w:eastAsia="Times New Roman" w:hAnsi="Times New Roman" w:cs="Times New Roman"/>
          <w:lang w:eastAsia="lt-LT"/>
        </w:rPr>
        <w:t>hidrochlorotiazidu</w:t>
      </w:r>
      <w:proofErr w:type="spellEnd"/>
      <w:r w:rsidRPr="0022129C">
        <w:rPr>
          <w:rFonts w:ascii="Times New Roman" w:eastAsia="Times New Roman" w:hAnsi="Times New Roman" w:cs="Times New Roman"/>
          <w:lang w:eastAsia="lt-LT"/>
        </w:rPr>
        <w:t>, kadangi jų poveikis kraujospūdžiui yra adityvus.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Širdies ir kraujagyslių sutrikimų reiškiniams mažinti, įprastinė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dozė yra viena 80 mg tabletė kartą per parą. Pradėjus profilaktinį gydymą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tabletėmis, reikia dažnai matuoti kraujospūdį.</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22129C">
        <w:rPr>
          <w:rFonts w:ascii="Times New Roman" w:eastAsia="Times New Roman" w:hAnsi="Times New Roman" w:cs="Times New Roman"/>
          <w:u w:val="single"/>
          <w:lang w:eastAsia="lt-LT"/>
        </w:rPr>
        <w:t>Jeigu Jūsų kepenų veikla sutrikusi, didesnės negu 40 mg dozės kartą per parą gerti negalima.</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Cs/>
          <w:lang w:eastAsia="lt-LT"/>
        </w:rPr>
        <w:t xml:space="preserve">Jeigu yra sunkus inkstų funkcijos sutrikimas rekomenduojama vartoti </w:t>
      </w:r>
      <w:r w:rsidRPr="0022129C">
        <w:rPr>
          <w:rFonts w:ascii="Times New Roman" w:eastAsia="Times New Roman" w:hAnsi="Times New Roman" w:cs="Times New Roman"/>
          <w:lang w:eastAsia="lt-LT"/>
        </w:rPr>
        <w:t xml:space="preserve">mažesnę, t. y. 20 mg pradinę dozę. </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22129C">
        <w:rPr>
          <w:rFonts w:ascii="Times New Roman" w:eastAsia="Times New Roman" w:hAnsi="Times New Roman" w:cs="Times New Roman"/>
          <w:bCs/>
          <w:i/>
          <w:lang w:eastAsia="lt-LT"/>
        </w:rPr>
        <w:t xml:space="preserve">Mažesnės nei 40 mg </w:t>
      </w:r>
      <w:proofErr w:type="spellStart"/>
      <w:r w:rsidRPr="0022129C">
        <w:rPr>
          <w:rFonts w:ascii="Times New Roman" w:eastAsia="Times New Roman" w:hAnsi="Times New Roman" w:cs="Times New Roman"/>
          <w:i/>
          <w:lang w:eastAsia="lt-LT"/>
        </w:rPr>
        <w:t>Telmisartan</w:t>
      </w:r>
      <w:proofErr w:type="spellEnd"/>
      <w:r w:rsidRPr="0022129C">
        <w:rPr>
          <w:rFonts w:ascii="Times New Roman" w:eastAsia="Times New Roman" w:hAnsi="Times New Roman" w:cs="Times New Roman"/>
          <w:i/>
          <w:lang w:eastAsia="lt-LT"/>
        </w:rPr>
        <w:t xml:space="preserve"> </w:t>
      </w:r>
      <w:proofErr w:type="spellStart"/>
      <w:r w:rsidRPr="0022129C">
        <w:rPr>
          <w:rFonts w:ascii="Times New Roman" w:eastAsia="Times New Roman" w:hAnsi="Times New Roman" w:cs="Times New Roman"/>
          <w:i/>
          <w:lang w:eastAsia="lt-LT"/>
        </w:rPr>
        <w:t>Ingen</w:t>
      </w:r>
      <w:proofErr w:type="spellEnd"/>
      <w:r w:rsidRPr="0022129C">
        <w:rPr>
          <w:rFonts w:ascii="Times New Roman" w:eastAsia="Times New Roman" w:hAnsi="Times New Roman" w:cs="Times New Roman"/>
          <w:i/>
          <w:lang w:eastAsia="lt-LT"/>
        </w:rPr>
        <w:t xml:space="preserve"> </w:t>
      </w:r>
      <w:proofErr w:type="spellStart"/>
      <w:r w:rsidRPr="0022129C">
        <w:rPr>
          <w:rFonts w:ascii="Times New Roman" w:eastAsia="Times New Roman" w:hAnsi="Times New Roman" w:cs="Times New Roman"/>
          <w:i/>
          <w:lang w:eastAsia="lt-LT"/>
        </w:rPr>
        <w:t>Pharma</w:t>
      </w:r>
      <w:proofErr w:type="spellEnd"/>
      <w:r w:rsidRPr="0022129C">
        <w:rPr>
          <w:rFonts w:ascii="Times New Roman" w:eastAsia="Times New Roman" w:hAnsi="Times New Roman" w:cs="Times New Roman"/>
          <w:i/>
          <w:lang w:eastAsia="lt-LT"/>
        </w:rPr>
        <w:t xml:space="preserve"> dozės vartoti neįmanoma. Jei reikia vartoti mažesnę dozę (pvz., 20 mg), reikia rinktis kitą rinkoje esantį tokio stiprumo </w:t>
      </w:r>
      <w:proofErr w:type="spellStart"/>
      <w:r w:rsidRPr="0022129C">
        <w:rPr>
          <w:rFonts w:ascii="Times New Roman" w:eastAsia="Times New Roman" w:hAnsi="Times New Roman" w:cs="Times New Roman"/>
          <w:i/>
          <w:lang w:eastAsia="lt-LT"/>
        </w:rPr>
        <w:t>telmisartano</w:t>
      </w:r>
      <w:proofErr w:type="spellEnd"/>
      <w:r w:rsidRPr="0022129C">
        <w:rPr>
          <w:rFonts w:ascii="Times New Roman" w:eastAsia="Times New Roman" w:hAnsi="Times New Roman" w:cs="Times New Roman"/>
          <w:i/>
          <w:lang w:eastAsia="lt-LT"/>
        </w:rPr>
        <w:t xml:space="preserve"> preparatą.</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 xml:space="preserve">Ką daryti pavartojus per didelę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dozę?</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atsitiktinai išgėrėte per daug tablečių, nedelsdami susisiekite su savo gydytoju, vaistininku arba artimiausios ligoninės skubios medicinos pagalbos skyriumi.</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 xml:space="preserve">Pamiršus pavartoti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tabletę išgerti pamiršote, nesirūpinkite. Gerkite ją tuoj pat, kai tik prisiminsite, o toliau vaisto vartokite įprastine tvarka. Jei preparato neišgersite visą parą, kitą parą gerkite įprastinę dozę. </w:t>
      </w:r>
      <w:r w:rsidRPr="0022129C">
        <w:rPr>
          <w:rFonts w:ascii="Times New Roman" w:eastAsia="Times New Roman" w:hAnsi="Times New Roman" w:cs="Times New Roman"/>
          <w:b/>
          <w:bCs/>
          <w:i/>
          <w:iCs/>
          <w:lang w:eastAsia="lt-LT"/>
        </w:rPr>
        <w:t xml:space="preserve">Negalima </w:t>
      </w:r>
      <w:r w:rsidRPr="0022129C">
        <w:rPr>
          <w:rFonts w:ascii="Times New Roman" w:eastAsia="Times New Roman" w:hAnsi="Times New Roman" w:cs="Times New Roman"/>
          <w:lang w:eastAsia="lt-LT"/>
        </w:rPr>
        <w:t>vartoti dvigubos dozės norint kompensuoti praleistą dozę.</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kiltų daugiau klausimų dėl šio vaisto vartojimo, kreipkitės į gydytoją arba vaistininką.</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4.</w:t>
      </w:r>
      <w:r w:rsidRPr="0022129C">
        <w:rPr>
          <w:rFonts w:ascii="Times New Roman" w:eastAsia="Times New Roman" w:hAnsi="Times New Roman" w:cs="Times New Roman"/>
          <w:b/>
          <w:bCs/>
          <w:lang w:eastAsia="lt-LT"/>
        </w:rPr>
        <w:tab/>
      </w:r>
      <w:r w:rsidRPr="0022129C">
        <w:rPr>
          <w:rFonts w:ascii="Times New Roman" w:eastAsia="Times New Roman" w:hAnsi="Times New Roman" w:cs="Times New Roman"/>
          <w:b/>
          <w:lang w:eastAsia="lt-LT"/>
        </w:rPr>
        <w:t>Galimas šalutinis poveikis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Šis vaistas, kaip ir kiti, gali sukelti ir šalutinį poveikį, nors jis pasireiškia ne visiems žmonėms.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autoSpaceDE w:val="0"/>
        <w:autoSpaceDN w:val="0"/>
        <w:adjustRightInd w:val="0"/>
        <w:spacing w:after="0" w:line="240" w:lineRule="auto"/>
        <w:rPr>
          <w:rFonts w:ascii="Times New Roman" w:eastAsia="Times New Roman" w:hAnsi="Times New Roman" w:cs="Times New Roman"/>
          <w:b/>
          <w:color w:val="000000"/>
          <w:lang w:eastAsia="lt-LT"/>
        </w:rPr>
      </w:pPr>
      <w:r w:rsidRPr="0022129C">
        <w:rPr>
          <w:rFonts w:ascii="Times New Roman" w:eastAsia="Times New Roman" w:hAnsi="Times New Roman" w:cs="Times New Roman"/>
          <w:b/>
          <w:bCs/>
          <w:color w:val="000000"/>
          <w:lang w:eastAsia="lt-LT"/>
        </w:rPr>
        <w:t>Kai kuris</w:t>
      </w:r>
      <w:r w:rsidRPr="0022129C">
        <w:rPr>
          <w:rFonts w:ascii="Times New Roman" w:eastAsia="Times New Roman" w:hAnsi="Times New Roman" w:cs="Times New Roman"/>
          <w:b/>
          <w:color w:val="000000"/>
          <w:lang w:eastAsia="lt-LT"/>
        </w:rPr>
        <w:t xml:space="preserve"> šalutinis poveikis gali būti </w:t>
      </w:r>
      <w:r w:rsidRPr="0022129C">
        <w:rPr>
          <w:rFonts w:ascii="Times New Roman" w:eastAsia="Times New Roman" w:hAnsi="Times New Roman" w:cs="Times New Roman"/>
          <w:b/>
          <w:bCs/>
          <w:color w:val="000000"/>
          <w:lang w:eastAsia="lt-LT"/>
        </w:rPr>
        <w:t>sunkus, todėl gali reikėti neatidėliotinos gydytojo pagalbos.</w:t>
      </w:r>
    </w:p>
    <w:p w:rsidR="00334054" w:rsidRPr="0022129C" w:rsidRDefault="00334054" w:rsidP="00334054">
      <w:pPr>
        <w:autoSpaceDE w:val="0"/>
        <w:autoSpaceDN w:val="0"/>
        <w:adjustRightInd w:val="0"/>
        <w:spacing w:after="0" w:line="240" w:lineRule="auto"/>
        <w:rPr>
          <w:rFonts w:ascii="Times New Roman" w:eastAsia="Times New Roman" w:hAnsi="Times New Roman" w:cs="Times New Roman"/>
          <w:color w:val="000000"/>
          <w:lang w:eastAsia="lt-LT"/>
        </w:rPr>
      </w:pPr>
      <w:r w:rsidRPr="0022129C">
        <w:rPr>
          <w:rFonts w:ascii="Times New Roman" w:eastAsia="Times New Roman" w:hAnsi="Times New Roman" w:cs="Times New Roman"/>
          <w:color w:val="000000"/>
          <w:lang w:eastAsia="lt-LT"/>
        </w:rPr>
        <w:t>Nedelsdami turite kreiptis į savo gydytoją, jeigu atsiranda kuris nors iš šių simptomų:</w:t>
      </w:r>
    </w:p>
    <w:p w:rsidR="00334054" w:rsidRPr="0022129C" w:rsidRDefault="00334054" w:rsidP="00334054">
      <w:pPr>
        <w:numPr>
          <w:ilvl w:val="0"/>
          <w:numId w:val="1"/>
        </w:numPr>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color w:val="000000"/>
          <w:lang w:eastAsia="lt-LT"/>
        </w:rPr>
        <w:t>sepsis* (kraujo užkrėtimas, t. y. sunki infekcinė liga, susijusi su viso organizmo uždegimine reakcija);</w:t>
      </w:r>
    </w:p>
    <w:p w:rsidR="00334054" w:rsidRPr="0022129C" w:rsidRDefault="00334054" w:rsidP="00334054">
      <w:pPr>
        <w:numPr>
          <w:ilvl w:val="0"/>
          <w:numId w:val="1"/>
        </w:numPr>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color w:val="000000"/>
          <w:lang w:eastAsia="lt-LT"/>
        </w:rPr>
        <w:t>greitas odos ir gleivinės sutinimas (</w:t>
      </w:r>
      <w:proofErr w:type="spellStart"/>
      <w:r w:rsidRPr="0022129C">
        <w:rPr>
          <w:rFonts w:ascii="Times New Roman" w:eastAsia="Times New Roman" w:hAnsi="Times New Roman" w:cs="Times New Roman"/>
          <w:color w:val="000000"/>
          <w:lang w:eastAsia="lt-LT"/>
        </w:rPr>
        <w:t>angioneurozinė</w:t>
      </w:r>
      <w:proofErr w:type="spellEnd"/>
      <w:r w:rsidRPr="0022129C">
        <w:rPr>
          <w:rFonts w:ascii="Times New Roman" w:eastAsia="Times New Roman" w:hAnsi="Times New Roman" w:cs="Times New Roman"/>
          <w:color w:val="000000"/>
          <w:lang w:eastAsia="lt-LT"/>
        </w:rPr>
        <w:t xml:space="preserve"> edema). Šis šalutinis poveikis yra retas (gali pasireikšti ne daugiau kaip 1 iš 1 000 žmonių), tačiau itin sunkus. Jam pasireiškus, vaisto vartojimą turite nutraukti ir tuoj pat kreiptis į savo gydytoją. Jeigu minėtas šalutinis poveikis negydomas, jis gali būti mirtinas.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Šalutinio poveikio dažnis gali skirtis. Jis apibūdinamas taip:</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labai dažnas (pasireiškia daugiau negu 1 iš 10 vartotojų);</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dažnas (pasireiškia 1 – 10 iš 100 vartotojų);</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nedažnas (pasireiškia 1 – 10 iš 1 000 vartotojų);</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retas (pasireiškia 1 – 10 iš 10 000 vartotojų);</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labai retas (pasireiškia mažiau negu 1 iš 10 000 vartotojų);</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dažnis nežinomas (negali būti įvertintas pagal turimus duomenis).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u w:val="single"/>
          <w:lang w:eastAsia="lt-LT"/>
        </w:rPr>
        <w:t>Dažnas šalutinis poveikis gali būti toks</w:t>
      </w:r>
      <w:r w:rsidRPr="0022129C">
        <w:rPr>
          <w:rFonts w:ascii="Times New Roman" w:eastAsia="Times New Roman" w:hAnsi="Times New Roman" w:cs="Times New Roman"/>
          <w:lang w:eastAsia="lt-LT"/>
        </w:rPr>
        <w:t>:</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mažas kraujospūdis (</w:t>
      </w:r>
      <w:proofErr w:type="spellStart"/>
      <w:r w:rsidRPr="0022129C">
        <w:rPr>
          <w:rFonts w:ascii="Times New Roman" w:eastAsia="Times New Roman" w:hAnsi="Times New Roman" w:cs="Times New Roman"/>
          <w:lang w:eastAsia="lt-LT"/>
        </w:rPr>
        <w:t>hipotenzija</w:t>
      </w:r>
      <w:proofErr w:type="spellEnd"/>
      <w:r w:rsidRPr="0022129C">
        <w:rPr>
          <w:rFonts w:ascii="Times New Roman" w:eastAsia="Times New Roman" w:hAnsi="Times New Roman" w:cs="Times New Roman"/>
          <w:lang w:eastAsia="lt-LT"/>
        </w:rPr>
        <w:t>) pacientams, kurie vaistinio preparato vartoja širdies ir kraujagyslių sutrikimų reiškiniams mažinti.</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22129C">
        <w:rPr>
          <w:rFonts w:ascii="Times New Roman" w:eastAsia="Times New Roman" w:hAnsi="Times New Roman" w:cs="Times New Roman"/>
          <w:u w:val="single"/>
          <w:lang w:eastAsia="lt-LT"/>
        </w:rPr>
        <w:t>Nedažnas šalutinis poveikis gali būti toks: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viršutinių kvėpavimo takų infekcinė liga (pvz., ryklės uždegimas, prienosinių ančių uždegimas, viršutinių kvėpavimo takų gleivinės uždegimas)), šlapimo takų infekcija, raudonųjų kraujo ląstelių </w:t>
      </w:r>
      <w:r w:rsidRPr="0022129C">
        <w:rPr>
          <w:rFonts w:ascii="Times New Roman" w:eastAsia="Times New Roman" w:hAnsi="Times New Roman" w:cs="Times New Roman"/>
          <w:lang w:eastAsia="lt-LT"/>
        </w:rPr>
        <w:lastRenderedPageBreak/>
        <w:t>stoka (anemija), didelis kalio kiekis kraujyje, liūdna nuotaika (depresija), apalpimas (sinkopė), užmigimo pasunkėjimas, sukimo pojūtis (</w:t>
      </w:r>
      <w:proofErr w:type="spellStart"/>
      <w:r w:rsidRPr="0022129C">
        <w:rPr>
          <w:rFonts w:ascii="Times New Roman" w:eastAsia="Times New Roman" w:hAnsi="Times New Roman" w:cs="Times New Roman"/>
          <w:i/>
          <w:iCs/>
          <w:lang w:eastAsia="lt-LT"/>
        </w:rPr>
        <w:t>vertigo</w:t>
      </w:r>
      <w:proofErr w:type="spellEnd"/>
      <w:r w:rsidRPr="0022129C">
        <w:rPr>
          <w:rFonts w:ascii="Times New Roman" w:eastAsia="Times New Roman" w:hAnsi="Times New Roman" w:cs="Times New Roman"/>
          <w:lang w:eastAsia="lt-LT"/>
        </w:rPr>
        <w:t>), retas širdies plakimas (</w:t>
      </w:r>
      <w:proofErr w:type="spellStart"/>
      <w:r w:rsidRPr="0022129C">
        <w:rPr>
          <w:rFonts w:ascii="Times New Roman" w:eastAsia="Times New Roman" w:hAnsi="Times New Roman" w:cs="Times New Roman"/>
          <w:lang w:eastAsia="lt-LT"/>
        </w:rPr>
        <w:t>bradikardija</w:t>
      </w:r>
      <w:proofErr w:type="spellEnd"/>
      <w:r w:rsidRPr="0022129C">
        <w:rPr>
          <w:rFonts w:ascii="Times New Roman" w:eastAsia="Times New Roman" w:hAnsi="Times New Roman" w:cs="Times New Roman"/>
          <w:lang w:eastAsia="lt-LT"/>
        </w:rPr>
        <w:t>), mažas kraujospūdis (</w:t>
      </w:r>
      <w:proofErr w:type="spellStart"/>
      <w:r w:rsidRPr="0022129C">
        <w:rPr>
          <w:rFonts w:ascii="Times New Roman" w:eastAsia="Times New Roman" w:hAnsi="Times New Roman" w:cs="Times New Roman"/>
          <w:lang w:eastAsia="lt-LT"/>
        </w:rPr>
        <w:t>hipotenzija</w:t>
      </w:r>
      <w:proofErr w:type="spellEnd"/>
      <w:r w:rsidRPr="0022129C">
        <w:rPr>
          <w:rFonts w:ascii="Times New Roman" w:eastAsia="Times New Roman" w:hAnsi="Times New Roman" w:cs="Times New Roman"/>
          <w:lang w:eastAsia="lt-LT"/>
        </w:rPr>
        <w:t>) pacientams, kuriems gydoma didelio kraujospūdžio liga, svaigulys stojantis (</w:t>
      </w:r>
      <w:proofErr w:type="spellStart"/>
      <w:r w:rsidRPr="0022129C">
        <w:rPr>
          <w:rFonts w:ascii="Times New Roman" w:eastAsia="Times New Roman" w:hAnsi="Times New Roman" w:cs="Times New Roman"/>
          <w:lang w:eastAsia="lt-LT"/>
        </w:rPr>
        <w:t>ortostatinė</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hipotenzija</w:t>
      </w:r>
      <w:proofErr w:type="spellEnd"/>
      <w:r w:rsidRPr="0022129C">
        <w:rPr>
          <w:rFonts w:ascii="Times New Roman" w:eastAsia="Times New Roman" w:hAnsi="Times New Roman" w:cs="Times New Roman"/>
          <w:lang w:eastAsia="lt-LT"/>
        </w:rPr>
        <w:t>), dusulys, kosulys, pilvo skausmas, viduriavimas, nemalonus pojūtis pilve, vidurių pūtimas, vėmimas, prakaitavimo padidėjimas, niežulys, medikamentinis išbėrimas, raumenų skausmas (</w:t>
      </w:r>
      <w:proofErr w:type="spellStart"/>
      <w:r w:rsidRPr="0022129C">
        <w:rPr>
          <w:rFonts w:ascii="Times New Roman" w:eastAsia="Times New Roman" w:hAnsi="Times New Roman" w:cs="Times New Roman"/>
          <w:lang w:eastAsia="lt-LT"/>
        </w:rPr>
        <w:t>mialgija</w:t>
      </w:r>
      <w:proofErr w:type="spellEnd"/>
      <w:r w:rsidRPr="0022129C">
        <w:rPr>
          <w:rFonts w:ascii="Times New Roman" w:eastAsia="Times New Roman" w:hAnsi="Times New Roman" w:cs="Times New Roman"/>
          <w:lang w:eastAsia="lt-LT"/>
        </w:rPr>
        <w:t xml:space="preserve">), nugaros skausmas, mėšlungis, inkstų veiklos sutrikimas, įskaitant ūminį inkstų nepakankamumą, krūtinės skausmas, silpnumas ir </w:t>
      </w:r>
      <w:proofErr w:type="spellStart"/>
      <w:r w:rsidRPr="0022129C">
        <w:rPr>
          <w:rFonts w:ascii="Times New Roman" w:eastAsia="Times New Roman" w:hAnsi="Times New Roman" w:cs="Times New Roman"/>
          <w:lang w:eastAsia="lt-LT"/>
        </w:rPr>
        <w:t>kreatinino</w:t>
      </w:r>
      <w:proofErr w:type="spellEnd"/>
      <w:r w:rsidRPr="0022129C">
        <w:rPr>
          <w:rFonts w:ascii="Times New Roman" w:eastAsia="Times New Roman" w:hAnsi="Times New Roman" w:cs="Times New Roman"/>
          <w:lang w:eastAsia="lt-LT"/>
        </w:rPr>
        <w:t xml:space="preserve"> kiekio padidėjimas kraujyje.</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22129C">
        <w:rPr>
          <w:rFonts w:ascii="Times New Roman" w:eastAsia="Times New Roman" w:hAnsi="Times New Roman" w:cs="Times New Roman"/>
          <w:u w:val="single"/>
          <w:lang w:eastAsia="lt-LT"/>
        </w:rPr>
        <w:t>Retas šalutinis poveikis gali būti toks: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sepsis</w:t>
      </w:r>
      <w:r w:rsidRPr="0022129C">
        <w:rPr>
          <w:rFonts w:ascii="Times New Roman" w:eastAsia="Times New Roman" w:hAnsi="Times New Roman" w:cs="Times New Roman"/>
          <w:rtl/>
          <w:lang w:eastAsia="lt-LT"/>
        </w:rPr>
        <w:t>٭</w:t>
      </w:r>
      <w:r w:rsidRPr="0022129C">
        <w:rPr>
          <w:rFonts w:ascii="Times New Roman" w:eastAsia="Times New Roman" w:hAnsi="Times New Roman" w:cs="Times New Roman"/>
          <w:lang w:eastAsia="lt-LT"/>
        </w:rPr>
        <w:t xml:space="preserve"> (kraujo užkrėtimas, t. y. sunki infekcinė liga, susijusi su viso organizmo uždegimine reakcija, galinčia lemti mirtį), tam tikros rūšies baltųjų kraujo ląstelių kiekio padidėjimas (</w:t>
      </w:r>
      <w:proofErr w:type="spellStart"/>
      <w:r w:rsidRPr="0022129C">
        <w:rPr>
          <w:rFonts w:ascii="Times New Roman" w:eastAsia="Times New Roman" w:hAnsi="Times New Roman" w:cs="Times New Roman"/>
          <w:lang w:eastAsia="lt-LT"/>
        </w:rPr>
        <w:t>eozinofilija</w:t>
      </w:r>
      <w:proofErr w:type="spellEnd"/>
      <w:r w:rsidRPr="0022129C">
        <w:rPr>
          <w:rFonts w:ascii="Times New Roman" w:eastAsia="Times New Roman" w:hAnsi="Times New Roman" w:cs="Times New Roman"/>
          <w:lang w:eastAsia="lt-LT"/>
        </w:rPr>
        <w:t>), mažas kraujo plokštelių kiekis (</w:t>
      </w:r>
      <w:proofErr w:type="spellStart"/>
      <w:r w:rsidRPr="0022129C">
        <w:rPr>
          <w:rFonts w:ascii="Times New Roman" w:eastAsia="Times New Roman" w:hAnsi="Times New Roman" w:cs="Times New Roman"/>
          <w:lang w:eastAsia="lt-LT"/>
        </w:rPr>
        <w:t>trombocitopenija</w:t>
      </w:r>
      <w:proofErr w:type="spellEnd"/>
      <w:r w:rsidRPr="0022129C">
        <w:rPr>
          <w:rFonts w:ascii="Times New Roman" w:eastAsia="Times New Roman" w:hAnsi="Times New Roman" w:cs="Times New Roman"/>
          <w:lang w:eastAsia="lt-LT"/>
        </w:rPr>
        <w:t xml:space="preserve">), sunki alerginė reakcija (anafilaksinė reakcija), alerginė reakcija (pvz., išbėrimas, niežulys, kvėpavimo pasunkėjimas, švokštimas, veido patinimas arba mažas kraujospūdis), </w:t>
      </w:r>
      <w:r w:rsidRPr="0022129C">
        <w:rPr>
          <w:rFonts w:ascii="Times New Roman" w:eastAsia="Times New Roman" w:hAnsi="Times New Roman" w:cs="Times New Roman"/>
          <w:color w:val="000000"/>
          <w:lang w:eastAsia="lt-LT"/>
        </w:rPr>
        <w:t xml:space="preserve">mažas cukraus kiekis kraujyje cukriniu diabetu sergantiems pacientams, </w:t>
      </w:r>
      <w:r w:rsidRPr="0022129C">
        <w:rPr>
          <w:rFonts w:ascii="Times New Roman" w:eastAsia="Times New Roman" w:hAnsi="Times New Roman" w:cs="Times New Roman"/>
          <w:lang w:eastAsia="lt-LT"/>
        </w:rPr>
        <w:t>nerimas, mieguistumas, regos sutrikimas, dažnas širdies ritmas (</w:t>
      </w:r>
      <w:proofErr w:type="spellStart"/>
      <w:r w:rsidRPr="0022129C">
        <w:rPr>
          <w:rFonts w:ascii="Times New Roman" w:eastAsia="Times New Roman" w:hAnsi="Times New Roman" w:cs="Times New Roman"/>
          <w:lang w:eastAsia="lt-LT"/>
        </w:rPr>
        <w:t>tachikardija</w:t>
      </w:r>
      <w:proofErr w:type="spellEnd"/>
      <w:r w:rsidRPr="0022129C">
        <w:rPr>
          <w:rFonts w:ascii="Times New Roman" w:eastAsia="Times New Roman" w:hAnsi="Times New Roman" w:cs="Times New Roman"/>
          <w:lang w:eastAsia="lt-LT"/>
        </w:rPr>
        <w:t>), skrandžio sutrikimas, burnos džiūvimas, nenormali kepenų veikla, sunkus medikamentinis išbėrimas, odos paraudimas, greitas odos ir gleivinės sutinimas (</w:t>
      </w:r>
      <w:proofErr w:type="spellStart"/>
      <w:r w:rsidRPr="0022129C">
        <w:rPr>
          <w:rFonts w:ascii="Times New Roman" w:eastAsia="Times New Roman" w:hAnsi="Times New Roman" w:cs="Times New Roman"/>
          <w:lang w:eastAsia="lt-LT"/>
        </w:rPr>
        <w:t>angioneurozinė</w:t>
      </w:r>
      <w:proofErr w:type="spellEnd"/>
      <w:r w:rsidRPr="0022129C">
        <w:rPr>
          <w:rFonts w:ascii="Times New Roman" w:eastAsia="Times New Roman" w:hAnsi="Times New Roman" w:cs="Times New Roman"/>
          <w:lang w:eastAsia="lt-LT"/>
        </w:rPr>
        <w:t xml:space="preserve"> edema), egzema (odos sutrikimas), odos paraudimas, dilgėlinė, sąnarių skausmas (</w:t>
      </w:r>
      <w:proofErr w:type="spellStart"/>
      <w:r w:rsidRPr="0022129C">
        <w:rPr>
          <w:rFonts w:ascii="Times New Roman" w:eastAsia="Times New Roman" w:hAnsi="Times New Roman" w:cs="Times New Roman"/>
          <w:lang w:eastAsia="lt-LT"/>
        </w:rPr>
        <w:t>artralgija</w:t>
      </w:r>
      <w:proofErr w:type="spellEnd"/>
      <w:r w:rsidRPr="0022129C">
        <w:rPr>
          <w:rFonts w:ascii="Times New Roman" w:eastAsia="Times New Roman" w:hAnsi="Times New Roman" w:cs="Times New Roman"/>
          <w:lang w:eastAsia="lt-LT"/>
        </w:rPr>
        <w:t xml:space="preserve">), sausgyslių skausmas, galūnių skausmas, į gripą panaši liga, šlapimo rūgšties, kepenų fermentų ar </w:t>
      </w:r>
      <w:proofErr w:type="spellStart"/>
      <w:r w:rsidRPr="0022129C">
        <w:rPr>
          <w:rFonts w:ascii="Times New Roman" w:eastAsia="Times New Roman" w:hAnsi="Times New Roman" w:cs="Times New Roman"/>
          <w:lang w:eastAsia="lt-LT"/>
        </w:rPr>
        <w:t>kreatinfosfokinazės</w:t>
      </w:r>
      <w:proofErr w:type="spellEnd"/>
      <w:r w:rsidRPr="0022129C">
        <w:rPr>
          <w:rFonts w:ascii="Times New Roman" w:eastAsia="Times New Roman" w:hAnsi="Times New Roman" w:cs="Times New Roman"/>
          <w:lang w:eastAsia="lt-LT"/>
        </w:rPr>
        <w:t xml:space="preserve"> kiekio padidėjimas kraujyje, hemoglobino (kraujo baltymo) kiekio sumažėjimas kraujyje.</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22129C">
        <w:rPr>
          <w:rFonts w:ascii="Times New Roman" w:eastAsia="Times New Roman" w:hAnsi="Times New Roman" w:cs="Times New Roman"/>
          <w:color w:val="000000"/>
          <w:u w:val="single"/>
          <w:lang w:eastAsia="lt-LT"/>
        </w:rPr>
        <w:t xml:space="preserve">Labai retas šalutinis poveikis </w:t>
      </w:r>
      <w:r w:rsidRPr="0022129C">
        <w:rPr>
          <w:rFonts w:ascii="Times New Roman" w:eastAsia="Times New Roman" w:hAnsi="Times New Roman" w:cs="Times New Roman"/>
          <w:u w:val="single"/>
          <w:lang w:eastAsia="lt-LT"/>
        </w:rPr>
        <w:t>gali būti toks: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color w:val="000000"/>
          <w:lang w:eastAsia="lt-LT"/>
        </w:rPr>
        <w:t>progresuojantis plaučių audinio randėjimas (</w:t>
      </w:r>
      <w:proofErr w:type="spellStart"/>
      <w:r w:rsidRPr="0022129C">
        <w:rPr>
          <w:rFonts w:ascii="Times New Roman" w:eastAsia="Times New Roman" w:hAnsi="Times New Roman" w:cs="Times New Roman"/>
          <w:color w:val="000000"/>
          <w:lang w:eastAsia="lt-LT"/>
        </w:rPr>
        <w:t>intersticinė</w:t>
      </w:r>
      <w:proofErr w:type="spellEnd"/>
      <w:r w:rsidRPr="0022129C">
        <w:rPr>
          <w:rFonts w:ascii="Times New Roman" w:eastAsia="Times New Roman" w:hAnsi="Times New Roman" w:cs="Times New Roman"/>
          <w:color w:val="000000"/>
          <w:lang w:eastAsia="lt-LT"/>
        </w:rPr>
        <w:t xml:space="preserve"> plaučių liga)</w:t>
      </w:r>
      <w:r w:rsidRPr="0022129C">
        <w:rPr>
          <w:rFonts w:ascii="Times New Roman" w:eastAsia="Times New Roman" w:hAnsi="Cambria Math" w:cs="Times New Roman"/>
          <w:color w:val="000000"/>
          <w:lang w:eastAsia="lt-LT"/>
        </w:rPr>
        <w:t xml:space="preserve"> </w:t>
      </w:r>
      <w:r w:rsidRPr="0022129C">
        <w:rPr>
          <w:rFonts w:ascii="Times New Roman" w:eastAsia="Times New Roman" w:hAnsi="Cambria Math" w:cs="Times New Roman"/>
          <w:color w:val="000000"/>
          <w:lang w:eastAsia="lt-LT"/>
        </w:rPr>
        <w:t>∗∗</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rtl/>
          <w:lang w:eastAsia="lt-LT"/>
        </w:rPr>
        <w:t>٭</w:t>
      </w:r>
      <w:r w:rsidRPr="0022129C">
        <w:rPr>
          <w:rFonts w:ascii="Times New Roman" w:eastAsia="Times New Roman" w:hAnsi="Times New Roman" w:cs="Times New Roman"/>
          <w:lang w:eastAsia="lt-LT"/>
        </w:rPr>
        <w:t xml:space="preserve"> Ilgalaikio tyrimo, kuriame dalyvavo daugiau negu 20 000 pacientų, metu </w:t>
      </w:r>
      <w:proofErr w:type="spellStart"/>
      <w:r w:rsidRPr="0022129C">
        <w:rPr>
          <w:rFonts w:ascii="Times New Roman" w:eastAsia="Times New Roman" w:hAnsi="Times New Roman" w:cs="Times New Roman"/>
          <w:lang w:eastAsia="lt-LT"/>
        </w:rPr>
        <w:t>telmisartano</w:t>
      </w:r>
      <w:proofErr w:type="spellEnd"/>
      <w:r w:rsidRPr="0022129C">
        <w:rPr>
          <w:rFonts w:ascii="Times New Roman" w:eastAsia="Times New Roman" w:hAnsi="Times New Roman" w:cs="Times New Roman"/>
          <w:lang w:eastAsia="lt-LT"/>
        </w:rPr>
        <w:t xml:space="preserve"> vartojantiems tiriamiesiems sepsis pasireiškė dažniau, negu jo nevartojantiems. Šis reiškinys galėjo būti atsitiktinis arba priklausomas nuo kol kas nežinomų mechanizmų.</w:t>
      </w:r>
    </w:p>
    <w:p w:rsidR="00334054" w:rsidRPr="0022129C" w:rsidRDefault="00334054" w:rsidP="00334054">
      <w:pPr>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Cambria Math" w:cs="Times New Roman"/>
          <w:color w:val="000000"/>
          <w:lang w:eastAsia="lt-LT"/>
        </w:rPr>
        <w:t>∗∗</w:t>
      </w:r>
      <w:proofErr w:type="spellStart"/>
      <w:r w:rsidRPr="0022129C">
        <w:rPr>
          <w:rFonts w:ascii="Times New Roman" w:eastAsia="Times New Roman" w:hAnsi="Times New Roman" w:cs="Times New Roman"/>
          <w:color w:val="000000"/>
          <w:lang w:eastAsia="lt-LT"/>
        </w:rPr>
        <w:t>Telmisartanu</w:t>
      </w:r>
      <w:proofErr w:type="spellEnd"/>
      <w:r w:rsidRPr="0022129C">
        <w:rPr>
          <w:rFonts w:ascii="Times New Roman" w:eastAsia="Times New Roman" w:hAnsi="Times New Roman" w:cs="Times New Roman"/>
          <w:color w:val="000000"/>
          <w:lang w:eastAsia="lt-LT"/>
        </w:rPr>
        <w:t xml:space="preserve"> gydant po to, kai jis pateko į rinką, buvo </w:t>
      </w:r>
      <w:proofErr w:type="spellStart"/>
      <w:r w:rsidRPr="0022129C">
        <w:rPr>
          <w:rFonts w:ascii="Times New Roman" w:eastAsia="Times New Roman" w:hAnsi="Times New Roman" w:cs="Times New Roman"/>
          <w:color w:val="000000"/>
          <w:lang w:eastAsia="lt-LT"/>
        </w:rPr>
        <w:t>intersticinės</w:t>
      </w:r>
      <w:proofErr w:type="spellEnd"/>
      <w:r w:rsidRPr="0022129C">
        <w:rPr>
          <w:rFonts w:ascii="Times New Roman" w:eastAsia="Times New Roman" w:hAnsi="Times New Roman" w:cs="Times New Roman"/>
          <w:color w:val="000000"/>
          <w:lang w:eastAsia="lt-LT"/>
        </w:rPr>
        <w:t xml:space="preserve"> plaučių ligos, laikinai susijusios su </w:t>
      </w:r>
      <w:proofErr w:type="spellStart"/>
      <w:r w:rsidRPr="0022129C">
        <w:rPr>
          <w:rFonts w:ascii="Times New Roman" w:eastAsia="Times New Roman" w:hAnsi="Times New Roman" w:cs="Times New Roman"/>
          <w:color w:val="000000"/>
          <w:lang w:eastAsia="lt-LT"/>
        </w:rPr>
        <w:t>telmisartano</w:t>
      </w:r>
      <w:proofErr w:type="spellEnd"/>
      <w:r w:rsidRPr="0022129C">
        <w:rPr>
          <w:rFonts w:ascii="Times New Roman" w:eastAsia="Times New Roman" w:hAnsi="Times New Roman" w:cs="Times New Roman"/>
          <w:color w:val="000000"/>
          <w:lang w:eastAsia="lt-LT"/>
        </w:rPr>
        <w:t xml:space="preserve"> vartojimu, atvejų, tačiau priežastinis ryšys nebuvo ištirtas.</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spacing w:after="0" w:line="240" w:lineRule="auto"/>
        <w:rPr>
          <w:rFonts w:ascii="Times New Roman" w:eastAsia="Times New Roman" w:hAnsi="Times New Roman" w:cs="Times New Roman"/>
          <w:b/>
          <w:lang w:eastAsia="lt-LT"/>
        </w:rPr>
      </w:pPr>
      <w:r w:rsidRPr="0022129C">
        <w:rPr>
          <w:rFonts w:ascii="Times New Roman" w:eastAsia="Times New Roman" w:hAnsi="Times New Roman" w:cs="Times New Roman"/>
          <w:b/>
          <w:noProof/>
          <w:lang w:eastAsia="lt-LT"/>
        </w:rPr>
        <w:t>Pranešimas apie šalutinį poveikį</w:t>
      </w:r>
    </w:p>
    <w:p w:rsidR="00334054" w:rsidRPr="0022129C" w:rsidRDefault="00334054" w:rsidP="00334054">
      <w:pPr>
        <w:spacing w:after="0" w:line="240" w:lineRule="auto"/>
        <w:ind w:right="-2"/>
        <w:rPr>
          <w:rFonts w:ascii="Times New Roman" w:eastAsia="Times New Roman" w:hAnsi="Times New Roman" w:cs="Times New Roman"/>
          <w:noProof/>
          <w:lang w:eastAsia="lt-LT"/>
        </w:rPr>
      </w:pPr>
      <w:r w:rsidRPr="0022129C">
        <w:rPr>
          <w:rFonts w:ascii="Times New Roman" w:eastAsia="Times New Roman" w:hAnsi="Times New Roman" w:cs="Times New Roman"/>
          <w:noProof/>
          <w:lang w:eastAsia="lt-LT"/>
        </w:rPr>
        <w:t xml:space="preserve">Jeigu pasireiškė šalutinis poveikis, įskaitant šiame lapelyje nenurodytą, pasakykite gydytojui,  vaistininkui arba </w:t>
      </w:r>
      <w:r w:rsidRPr="0022129C">
        <w:rPr>
          <w:rFonts w:ascii="Times New Roman" w:eastAsia="Times New Roman" w:hAnsi="Times New Roman" w:cs="Times New Roman"/>
          <w:lang w:eastAsia="lt-LT"/>
        </w:rPr>
        <w:t>slaugytojui.</w:t>
      </w:r>
      <w:r w:rsidRPr="0022129C">
        <w:rPr>
          <w:rFonts w:ascii="Times New Roman" w:eastAsia="Times New Roman" w:hAnsi="Times New Roman" w:cs="Times New Roman"/>
          <w:noProof/>
          <w:lang w:eastAsia="lt-LT"/>
        </w:rPr>
        <w:t xml:space="preserve"> </w:t>
      </w:r>
      <w:r w:rsidRPr="0022129C">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22129C">
        <w:rPr>
          <w:rFonts w:ascii="Times New Roman" w:eastAsia="Times New Roman" w:hAnsi="Times New Roman" w:cs="Times New Roman"/>
          <w:snapToGrid w:val="0"/>
          <w:szCs w:val="20"/>
          <w:lang w:eastAsia="zh-CN"/>
        </w:rPr>
        <w:t>elefonu 8 800 73568</w:t>
      </w:r>
      <w:r w:rsidRPr="0022129C">
        <w:rPr>
          <w:rFonts w:ascii="Times New Roman" w:eastAsia="Times New Roman" w:hAnsi="Times New Roman" w:cs="Times New Roman"/>
          <w:snapToGrid w:val="0"/>
          <w:szCs w:val="20"/>
        </w:rPr>
        <w:t xml:space="preserve"> arba užpildyti interneto svetainėje </w:t>
      </w:r>
      <w:hyperlink r:id="rId11" w:history="1">
        <w:r w:rsidRPr="0022129C">
          <w:rPr>
            <w:rFonts w:ascii="Times New Roman" w:eastAsia="SimSun" w:hAnsi="Times New Roman" w:cs="Times New Roman"/>
            <w:snapToGrid w:val="0"/>
            <w:color w:val="0000FF"/>
            <w:szCs w:val="20"/>
            <w:u w:val="single"/>
          </w:rPr>
          <w:t>www.vvkt.lt</w:t>
        </w:r>
      </w:hyperlink>
      <w:r w:rsidRPr="0022129C">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22129C">
        <w:rPr>
          <w:rFonts w:ascii="Times New Roman" w:eastAsia="Times New Roman" w:hAnsi="Times New Roman" w:cs="Times New Roman"/>
          <w:snapToGrid w:val="0"/>
          <w:szCs w:val="20"/>
          <w:lang w:eastAsia="zh-CN"/>
        </w:rPr>
        <w:t xml:space="preserve">nemokamu </w:t>
      </w:r>
      <w:r w:rsidRPr="0022129C">
        <w:rPr>
          <w:rFonts w:ascii="Times New Roman" w:eastAsia="Times New Roman" w:hAnsi="Times New Roman" w:cs="Times New Roman"/>
          <w:snapToGrid w:val="0"/>
          <w:szCs w:val="20"/>
        </w:rPr>
        <w:t>fakso numeriu 8 800 20131</w:t>
      </w:r>
      <w:r w:rsidRPr="0022129C">
        <w:rPr>
          <w:rFonts w:ascii="Times New Roman" w:eastAsia="Times New Roman" w:hAnsi="Times New Roman" w:cs="Times New Roman"/>
          <w:snapToGrid w:val="0"/>
          <w:szCs w:val="20"/>
          <w:lang w:eastAsia="zh-CN"/>
        </w:rPr>
        <w:t xml:space="preserve">, </w:t>
      </w:r>
      <w:r w:rsidRPr="0022129C">
        <w:rPr>
          <w:rFonts w:ascii="Times New Roman" w:eastAsia="Times New Roman" w:hAnsi="Times New Roman" w:cs="Times New Roman"/>
          <w:snapToGrid w:val="0"/>
          <w:szCs w:val="20"/>
        </w:rPr>
        <w:t xml:space="preserve">el. paštu </w:t>
      </w:r>
      <w:hyperlink r:id="rId12" w:history="1">
        <w:r w:rsidRPr="0022129C">
          <w:rPr>
            <w:rFonts w:ascii="Times New Roman" w:eastAsia="SimSun" w:hAnsi="Times New Roman" w:cs="Times New Roman"/>
            <w:snapToGrid w:val="0"/>
            <w:color w:val="0000FF"/>
            <w:szCs w:val="20"/>
            <w:u w:val="single"/>
          </w:rPr>
          <w:t>NepageidaujamaR@vvkt.lt</w:t>
        </w:r>
      </w:hyperlink>
      <w:r w:rsidRPr="0022129C">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3" w:history="1">
        <w:r w:rsidRPr="0022129C">
          <w:rPr>
            <w:rFonts w:ascii="Times New Roman" w:eastAsia="SimSun" w:hAnsi="Times New Roman" w:cs="Times New Roman"/>
            <w:snapToGrid w:val="0"/>
            <w:color w:val="0000FF"/>
            <w:szCs w:val="20"/>
            <w:u w:val="single"/>
          </w:rPr>
          <w:t>http://www.vvkt.lt</w:t>
        </w:r>
      </w:hyperlink>
      <w:r w:rsidRPr="0022129C">
        <w:rPr>
          <w:rFonts w:ascii="Times New Roman" w:eastAsia="Times New Roman" w:hAnsi="Times New Roman" w:cs="Times New Roman"/>
          <w:snapToGrid w:val="0"/>
          <w:szCs w:val="20"/>
        </w:rPr>
        <w:t>). Pranešdami apie šalutinį poveikį galite mums padėti gauti daugiau informacijos apie šio vaisto saugumą.</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5.</w:t>
      </w:r>
      <w:r w:rsidRPr="0022129C">
        <w:rPr>
          <w:rFonts w:ascii="Times New Roman" w:eastAsia="Times New Roman" w:hAnsi="Times New Roman" w:cs="Times New Roman"/>
          <w:b/>
          <w:bCs/>
          <w:lang w:eastAsia="lt-LT"/>
        </w:rPr>
        <w:tab/>
      </w:r>
      <w:r w:rsidRPr="0022129C">
        <w:rPr>
          <w:rFonts w:ascii="Times New Roman" w:eastAsia="Times New Roman" w:hAnsi="Times New Roman" w:cs="Times New Roman"/>
          <w:b/>
          <w:lang w:eastAsia="lt-LT"/>
        </w:rPr>
        <w:t xml:space="preserve">Kaip laikyti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Šį vaistą laikykite vaikams nepastebimoje ir nepasiekiamoje vietoje.</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Šiam vaistui specialių laikymo sąlygų nereikia. </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Ant kartono dėžutės</w:t>
      </w:r>
      <w:r>
        <w:rPr>
          <w:rFonts w:ascii="Times New Roman" w:eastAsia="Times New Roman" w:hAnsi="Times New Roman" w:cs="Times New Roman"/>
          <w:lang w:eastAsia="lt-LT"/>
        </w:rPr>
        <w:t xml:space="preserve"> po „EXP“</w:t>
      </w:r>
      <w:r w:rsidRPr="0022129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ir </w:t>
      </w:r>
      <w:r w:rsidRPr="0022129C">
        <w:rPr>
          <w:rFonts w:ascii="Times New Roman" w:eastAsia="Times New Roman" w:hAnsi="Times New Roman" w:cs="Times New Roman"/>
          <w:lang w:eastAsia="lt-LT"/>
        </w:rPr>
        <w:t xml:space="preserve"> lizdinės plokštelės po „</w:t>
      </w:r>
      <w:r>
        <w:rPr>
          <w:rFonts w:ascii="Times New Roman" w:eastAsia="Times New Roman" w:hAnsi="Times New Roman" w:cs="Times New Roman"/>
          <w:lang w:eastAsia="lt-LT"/>
        </w:rPr>
        <w:t>Tinka iki</w:t>
      </w:r>
      <w:r w:rsidRPr="0022129C">
        <w:rPr>
          <w:rFonts w:ascii="Times New Roman" w:eastAsia="Times New Roman" w:hAnsi="Times New Roman" w:cs="Times New Roman"/>
          <w:lang w:eastAsia="lt-LT"/>
        </w:rPr>
        <w:t>“ nurodytam tinkamumo laikui pasibaigus, šio vaisto vartoti negalima. Vaistas tinkamas vartoti iki paskutinės nurodyto mėnesio dienos.</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Vaistų negalima išmesti į kanalizaciją arba su </w:t>
      </w:r>
      <w:proofErr w:type="spellStart"/>
      <w:r w:rsidRPr="0022129C">
        <w:rPr>
          <w:rFonts w:ascii="Times New Roman" w:eastAsia="Times New Roman" w:hAnsi="Times New Roman" w:cs="Times New Roman"/>
          <w:lang w:eastAsia="lt-LT"/>
        </w:rPr>
        <w:t>butinėmis</w:t>
      </w:r>
      <w:proofErr w:type="spellEnd"/>
      <w:r w:rsidRPr="0022129C">
        <w:rPr>
          <w:rFonts w:ascii="Times New Roman" w:eastAsia="Times New Roman" w:hAnsi="Times New Roman" w:cs="Times New Roman"/>
          <w:lang w:eastAsia="lt-LT"/>
        </w:rPr>
        <w:t xml:space="preserve"> atliekomis. Kaip išmesti</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nereikalingus vaistus, klauskite vaistininko. Šios priemonės padės apsaugoti aplinką.</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lastRenderedPageBreak/>
        <w:t>6.</w:t>
      </w:r>
      <w:r w:rsidRPr="0022129C">
        <w:rPr>
          <w:rFonts w:ascii="Times New Roman" w:eastAsia="Times New Roman" w:hAnsi="Times New Roman" w:cs="Times New Roman"/>
          <w:b/>
          <w:bCs/>
          <w:lang w:eastAsia="lt-LT"/>
        </w:rPr>
        <w:tab/>
      </w:r>
      <w:r w:rsidRPr="0022129C">
        <w:rPr>
          <w:rFonts w:ascii="Times New Roman" w:eastAsia="Times New Roman" w:hAnsi="Times New Roman" w:cs="Times New Roman"/>
          <w:b/>
          <w:lang w:eastAsia="lt-LT"/>
        </w:rPr>
        <w:t>Pakuotės turinys ir kita informacija</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sudėtis</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w:t>
      </w:r>
      <w:r w:rsidRPr="0022129C">
        <w:rPr>
          <w:rFonts w:ascii="Times New Roman" w:eastAsia="Times New Roman" w:hAnsi="Times New Roman" w:cs="Times New Roman"/>
          <w:lang w:eastAsia="lt-LT"/>
        </w:rPr>
        <w:tab/>
        <w:t xml:space="preserve">Veiklioji medžiaga yra </w:t>
      </w:r>
      <w:proofErr w:type="spellStart"/>
      <w:r w:rsidRPr="0022129C">
        <w:rPr>
          <w:rFonts w:ascii="Times New Roman" w:eastAsia="Times New Roman" w:hAnsi="Times New Roman" w:cs="Times New Roman"/>
          <w:lang w:eastAsia="lt-LT"/>
        </w:rPr>
        <w:t>telmisartanas</w:t>
      </w:r>
      <w:proofErr w:type="spellEnd"/>
      <w:r w:rsidRPr="0022129C">
        <w:rPr>
          <w:rFonts w:ascii="Times New Roman" w:eastAsia="Times New Roman" w:hAnsi="Times New Roman" w:cs="Times New Roman"/>
          <w:lang w:eastAsia="lt-LT"/>
        </w:rPr>
        <w:t xml:space="preserve">. </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Kiekvienoje plėvele dengtoje tabletėje yra 40 mg arba 80 mg </w:t>
      </w:r>
      <w:proofErr w:type="spellStart"/>
      <w:r w:rsidRPr="0022129C">
        <w:rPr>
          <w:rFonts w:ascii="Times New Roman" w:eastAsia="Times New Roman" w:hAnsi="Times New Roman" w:cs="Times New Roman"/>
          <w:lang w:eastAsia="lt-LT"/>
        </w:rPr>
        <w:t>telmisartano</w:t>
      </w:r>
      <w:proofErr w:type="spellEnd"/>
      <w:r w:rsidRPr="0022129C">
        <w:rPr>
          <w:rFonts w:ascii="Times New Roman" w:eastAsia="Times New Roman" w:hAnsi="Times New Roman" w:cs="Times New Roman"/>
          <w:lang w:eastAsia="lt-LT"/>
        </w:rPr>
        <w:t>.</w:t>
      </w:r>
    </w:p>
    <w:p w:rsidR="00334054" w:rsidRPr="0022129C" w:rsidRDefault="00334054" w:rsidP="00334054">
      <w:pPr>
        <w:spacing w:after="0" w:line="240" w:lineRule="auto"/>
        <w:rPr>
          <w:rFonts w:ascii="Times New Roman" w:eastAsia="Times New Roman" w:hAnsi="Times New Roman" w:cs="Times New Roman"/>
          <w:iCs/>
          <w:lang w:eastAsia="lt-LT"/>
        </w:rPr>
      </w:pPr>
      <w:r w:rsidRPr="0022129C">
        <w:rPr>
          <w:rFonts w:ascii="Times New Roman" w:eastAsia="Times New Roman" w:hAnsi="Times New Roman" w:cs="Times New Roman"/>
          <w:lang w:eastAsia="lt-LT"/>
        </w:rPr>
        <w:t xml:space="preserve">-         Pagalbinės medžiagos. Tablečių </w:t>
      </w:r>
      <w:r w:rsidRPr="0022129C">
        <w:rPr>
          <w:rFonts w:ascii="Times New Roman" w:eastAsia="Times New Roman" w:hAnsi="Times New Roman" w:cs="Times New Roman"/>
          <w:iCs/>
          <w:lang w:eastAsia="lt-LT"/>
        </w:rPr>
        <w:t xml:space="preserve">branduolys: </w:t>
      </w:r>
      <w:r w:rsidRPr="0022129C">
        <w:rPr>
          <w:rFonts w:ascii="Times New Roman" w:eastAsia="Times New Roman" w:hAnsi="Times New Roman" w:cs="Times New Roman"/>
          <w:lang w:eastAsia="lt-LT"/>
        </w:rPr>
        <w:t xml:space="preserve">natrio </w:t>
      </w:r>
      <w:proofErr w:type="spellStart"/>
      <w:r w:rsidRPr="0022129C">
        <w:rPr>
          <w:rFonts w:ascii="Times New Roman" w:eastAsia="Times New Roman" w:hAnsi="Times New Roman" w:cs="Times New Roman"/>
          <w:lang w:eastAsia="lt-LT"/>
        </w:rPr>
        <w:t>hidroksidas</w:t>
      </w:r>
      <w:proofErr w:type="spellEnd"/>
      <w:r w:rsidRPr="0022129C">
        <w:rPr>
          <w:rFonts w:ascii="Times New Roman" w:eastAsia="Times New Roman" w:hAnsi="Times New Roman" w:cs="Times New Roman"/>
          <w:iCs/>
          <w:lang w:eastAsia="lt-LT"/>
        </w:rPr>
        <w:t xml:space="preserve">, </w:t>
      </w:r>
      <w:proofErr w:type="spellStart"/>
      <w:r w:rsidRPr="0022129C">
        <w:rPr>
          <w:rFonts w:ascii="Times New Roman" w:eastAsia="Times New Roman" w:hAnsi="Times New Roman" w:cs="Times New Roman"/>
          <w:iCs/>
          <w:lang w:eastAsia="lt-LT"/>
        </w:rPr>
        <w:t>p</w:t>
      </w:r>
      <w:r w:rsidRPr="0022129C">
        <w:rPr>
          <w:rFonts w:ascii="Times New Roman" w:eastAsia="Times New Roman" w:hAnsi="Times New Roman" w:cs="Times New Roman"/>
          <w:lang w:eastAsia="lt-LT"/>
        </w:rPr>
        <w:t>ovidonas</w:t>
      </w:r>
      <w:proofErr w:type="spellEnd"/>
      <w:r w:rsidRPr="0022129C">
        <w:rPr>
          <w:rFonts w:ascii="Times New Roman" w:eastAsia="Times New Roman" w:hAnsi="Times New Roman" w:cs="Times New Roman"/>
          <w:lang w:eastAsia="lt-LT"/>
        </w:rPr>
        <w:t xml:space="preserve"> (K-25)</w:t>
      </w:r>
      <w:r w:rsidRPr="0022129C">
        <w:rPr>
          <w:rFonts w:ascii="Times New Roman" w:eastAsia="Times New Roman" w:hAnsi="Times New Roman" w:cs="Times New Roman"/>
          <w:iCs/>
          <w:lang w:eastAsia="lt-LT"/>
        </w:rPr>
        <w:t xml:space="preserve">, </w:t>
      </w:r>
      <w:proofErr w:type="spellStart"/>
      <w:r w:rsidRPr="0022129C">
        <w:rPr>
          <w:rFonts w:ascii="Times New Roman" w:eastAsia="Times New Roman" w:hAnsi="Times New Roman" w:cs="Times New Roman"/>
          <w:iCs/>
          <w:lang w:eastAsia="lt-LT"/>
        </w:rPr>
        <w:t>m</w:t>
      </w:r>
      <w:r w:rsidRPr="0022129C">
        <w:rPr>
          <w:rFonts w:ascii="Times New Roman" w:eastAsia="Times New Roman" w:hAnsi="Times New Roman" w:cs="Times New Roman"/>
          <w:lang w:eastAsia="lt-LT"/>
        </w:rPr>
        <w:t>egluminas</w:t>
      </w:r>
      <w:proofErr w:type="spellEnd"/>
      <w:r w:rsidRPr="0022129C">
        <w:rPr>
          <w:rFonts w:ascii="Times New Roman" w:eastAsia="Times New Roman" w:hAnsi="Times New Roman" w:cs="Times New Roman"/>
          <w:iCs/>
          <w:lang w:eastAsia="lt-LT"/>
        </w:rPr>
        <w:t>, l</w:t>
      </w:r>
      <w:r w:rsidRPr="0022129C">
        <w:rPr>
          <w:rFonts w:ascii="Times New Roman" w:eastAsia="Times New Roman" w:hAnsi="Times New Roman" w:cs="Times New Roman"/>
          <w:lang w:eastAsia="lt-LT"/>
        </w:rPr>
        <w:t xml:space="preserve">aktozė </w:t>
      </w:r>
      <w:proofErr w:type="spellStart"/>
      <w:r w:rsidRPr="0022129C">
        <w:rPr>
          <w:rFonts w:ascii="Times New Roman" w:eastAsia="Times New Roman" w:hAnsi="Times New Roman" w:cs="Times New Roman"/>
          <w:lang w:eastAsia="lt-LT"/>
        </w:rPr>
        <w:t>monohidratas</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krospovidonas</w:t>
      </w:r>
      <w:proofErr w:type="spellEnd"/>
      <w:r w:rsidRPr="0022129C">
        <w:rPr>
          <w:rFonts w:ascii="Times New Roman" w:eastAsia="Times New Roman" w:hAnsi="Times New Roman" w:cs="Times New Roman"/>
          <w:lang w:eastAsia="lt-LT"/>
        </w:rPr>
        <w:t xml:space="preserve"> (B)</w:t>
      </w:r>
      <w:r w:rsidRPr="0022129C">
        <w:rPr>
          <w:rFonts w:ascii="Times New Roman" w:eastAsia="Times New Roman" w:hAnsi="Times New Roman" w:cs="Times New Roman"/>
          <w:iCs/>
          <w:lang w:eastAsia="lt-LT"/>
        </w:rPr>
        <w:t>, g</w:t>
      </w:r>
      <w:r w:rsidRPr="0022129C">
        <w:rPr>
          <w:rFonts w:ascii="Times New Roman" w:eastAsia="Times New Roman" w:hAnsi="Times New Roman" w:cs="Times New Roman"/>
          <w:lang w:eastAsia="lt-LT"/>
        </w:rPr>
        <w:t>eltonasis geležies oksidas (E172)</w:t>
      </w:r>
      <w:r w:rsidRPr="0022129C">
        <w:rPr>
          <w:rFonts w:ascii="Times New Roman" w:eastAsia="Times New Roman" w:hAnsi="Times New Roman" w:cs="Times New Roman"/>
          <w:iCs/>
          <w:lang w:eastAsia="lt-LT"/>
        </w:rPr>
        <w:t>, m</w:t>
      </w:r>
      <w:r w:rsidRPr="0022129C">
        <w:rPr>
          <w:rFonts w:ascii="Times New Roman" w:eastAsia="Times New Roman" w:hAnsi="Times New Roman" w:cs="Times New Roman"/>
          <w:lang w:eastAsia="lt-LT"/>
        </w:rPr>
        <w:t xml:space="preserve">agnio </w:t>
      </w:r>
      <w:proofErr w:type="spellStart"/>
      <w:r w:rsidRPr="0022129C">
        <w:rPr>
          <w:rFonts w:ascii="Times New Roman" w:eastAsia="Times New Roman" w:hAnsi="Times New Roman" w:cs="Times New Roman"/>
          <w:lang w:eastAsia="lt-LT"/>
        </w:rPr>
        <w:t>stearatas</w:t>
      </w:r>
      <w:proofErr w:type="spellEnd"/>
      <w:r w:rsidRPr="0022129C">
        <w:rPr>
          <w:rFonts w:ascii="Times New Roman" w:eastAsia="Times New Roman" w:hAnsi="Times New Roman" w:cs="Times New Roman"/>
          <w:lang w:eastAsia="lt-LT"/>
        </w:rPr>
        <w:t>. T</w:t>
      </w:r>
      <w:r w:rsidRPr="0022129C">
        <w:rPr>
          <w:rFonts w:ascii="Times New Roman" w:eastAsia="Times New Roman" w:hAnsi="Times New Roman" w:cs="Times New Roman"/>
          <w:iCs/>
          <w:lang w:eastAsia="lt-LT"/>
        </w:rPr>
        <w:t xml:space="preserve">abletės plėvelė: </w:t>
      </w:r>
      <w:proofErr w:type="spellStart"/>
      <w:r w:rsidRPr="0022129C">
        <w:rPr>
          <w:rFonts w:ascii="Times New Roman" w:eastAsia="Times New Roman" w:hAnsi="Times New Roman" w:cs="Times New Roman"/>
          <w:iCs/>
          <w:lang w:eastAsia="lt-LT"/>
        </w:rPr>
        <w:t>Opadry</w:t>
      </w:r>
      <w:proofErr w:type="spellEnd"/>
      <w:r w:rsidRPr="0022129C">
        <w:rPr>
          <w:rFonts w:ascii="Times New Roman" w:eastAsia="Times New Roman" w:hAnsi="Times New Roman" w:cs="Times New Roman"/>
          <w:iCs/>
          <w:lang w:eastAsia="lt-LT"/>
        </w:rPr>
        <w:t xml:space="preserve"> </w:t>
      </w:r>
      <w:proofErr w:type="spellStart"/>
      <w:r w:rsidRPr="0022129C">
        <w:rPr>
          <w:rFonts w:ascii="Times New Roman" w:eastAsia="Times New Roman" w:hAnsi="Times New Roman" w:cs="Times New Roman"/>
          <w:iCs/>
          <w:lang w:eastAsia="lt-LT"/>
        </w:rPr>
        <w:t>Yellow</w:t>
      </w:r>
      <w:proofErr w:type="spellEnd"/>
      <w:r w:rsidRPr="0022129C">
        <w:rPr>
          <w:rFonts w:ascii="Times New Roman" w:eastAsia="Times New Roman" w:hAnsi="Times New Roman" w:cs="Times New Roman"/>
          <w:iCs/>
          <w:lang w:eastAsia="lt-LT"/>
        </w:rPr>
        <w:t>, kurio sudėtyje yra</w:t>
      </w:r>
      <w:r w:rsidRPr="0022129C">
        <w:rPr>
          <w:rFonts w:ascii="Times New Roman" w:eastAsia="Times New Roman" w:hAnsi="Times New Roman" w:cs="Times New Roman"/>
          <w:i/>
          <w:iCs/>
          <w:lang w:eastAsia="lt-LT"/>
        </w:rPr>
        <w:t xml:space="preserve"> </w:t>
      </w:r>
      <w:proofErr w:type="spellStart"/>
      <w:r w:rsidRPr="0022129C">
        <w:rPr>
          <w:rFonts w:ascii="Times New Roman" w:eastAsia="Times New Roman" w:hAnsi="Times New Roman" w:cs="Times New Roman"/>
          <w:iCs/>
          <w:lang w:eastAsia="lt-LT"/>
        </w:rPr>
        <w:t>h</w:t>
      </w:r>
      <w:r w:rsidRPr="0022129C">
        <w:rPr>
          <w:rFonts w:ascii="Times New Roman" w:eastAsia="Times New Roman" w:hAnsi="Times New Roman" w:cs="Times New Roman"/>
          <w:lang w:eastAsia="lt-LT"/>
        </w:rPr>
        <w:t>ipromeliozė</w:t>
      </w:r>
      <w:proofErr w:type="spellEnd"/>
      <w:r w:rsidRPr="0022129C">
        <w:rPr>
          <w:rFonts w:ascii="Times New Roman" w:eastAsia="Times New Roman" w:hAnsi="Times New Roman" w:cs="Times New Roman"/>
          <w:iCs/>
          <w:lang w:eastAsia="lt-LT"/>
        </w:rPr>
        <w:t>, t</w:t>
      </w:r>
      <w:r w:rsidRPr="0022129C">
        <w:rPr>
          <w:rFonts w:ascii="Times New Roman" w:eastAsia="Times New Roman" w:hAnsi="Times New Roman" w:cs="Times New Roman"/>
          <w:lang w:eastAsia="lt-LT"/>
        </w:rPr>
        <w:t>itano dioksidas (E171)</w:t>
      </w:r>
      <w:r w:rsidRPr="0022129C">
        <w:rPr>
          <w:rFonts w:ascii="Times New Roman" w:eastAsia="Times New Roman" w:hAnsi="Times New Roman" w:cs="Times New Roman"/>
          <w:iCs/>
          <w:lang w:eastAsia="lt-LT"/>
        </w:rPr>
        <w:t xml:space="preserve">, </w:t>
      </w:r>
      <w:proofErr w:type="spellStart"/>
      <w:r w:rsidRPr="0022129C">
        <w:rPr>
          <w:rFonts w:ascii="Times New Roman" w:eastAsia="Times New Roman" w:hAnsi="Times New Roman" w:cs="Times New Roman"/>
          <w:iCs/>
          <w:lang w:eastAsia="lt-LT"/>
        </w:rPr>
        <w:t>m</w:t>
      </w:r>
      <w:r w:rsidRPr="0022129C">
        <w:rPr>
          <w:rFonts w:ascii="Times New Roman" w:eastAsia="Times New Roman" w:hAnsi="Times New Roman" w:cs="Times New Roman"/>
          <w:lang w:eastAsia="lt-LT"/>
        </w:rPr>
        <w:t>akrogolis</w:t>
      </w:r>
      <w:proofErr w:type="spellEnd"/>
      <w:r w:rsidRPr="0022129C">
        <w:rPr>
          <w:rFonts w:ascii="Times New Roman" w:eastAsia="Times New Roman" w:hAnsi="Times New Roman" w:cs="Times New Roman"/>
          <w:lang w:eastAsia="lt-LT"/>
        </w:rPr>
        <w:t> 400</w:t>
      </w:r>
      <w:r w:rsidRPr="0022129C">
        <w:rPr>
          <w:rFonts w:ascii="Times New Roman" w:eastAsia="Times New Roman" w:hAnsi="Times New Roman" w:cs="Times New Roman"/>
          <w:iCs/>
          <w:lang w:eastAsia="lt-LT"/>
        </w:rPr>
        <w:t>, t</w:t>
      </w:r>
      <w:r w:rsidRPr="0022129C">
        <w:rPr>
          <w:rFonts w:ascii="Times New Roman" w:eastAsia="Times New Roman" w:hAnsi="Times New Roman" w:cs="Times New Roman"/>
          <w:lang w:eastAsia="lt-LT"/>
        </w:rPr>
        <w:t>alkas</w:t>
      </w:r>
      <w:r w:rsidRPr="0022129C">
        <w:rPr>
          <w:rFonts w:ascii="Times New Roman" w:eastAsia="Times New Roman" w:hAnsi="Times New Roman" w:cs="Times New Roman"/>
          <w:iCs/>
          <w:lang w:eastAsia="lt-LT"/>
        </w:rPr>
        <w:t>, g</w:t>
      </w:r>
      <w:r w:rsidRPr="0022129C">
        <w:rPr>
          <w:rFonts w:ascii="Times New Roman" w:eastAsia="Times New Roman" w:hAnsi="Times New Roman" w:cs="Times New Roman"/>
          <w:lang w:eastAsia="lt-LT"/>
        </w:rPr>
        <w:t>eltonasis geležies oksidas (E172)</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išvaizda ir kiekis pakuotėje</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40 mg tabletės yra geltonos spalvos, kapsulės formos su skaičiumi „40“ vienoje tabletės pusėje ir „T“ kitoje tabletės pusėje.</w:t>
      </w: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80 mg tabletės yra geltonos spalvos, kapsulės formos su skaičiumi „80“ vienoje tabletės pusėje ir „T“ kitoje tabletės pusėje.</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34054" w:rsidRPr="0022129C" w:rsidRDefault="00334054" w:rsidP="0033405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Dėžutėje yra 90 tablečių, supakuotų į lizdines plokšteles.</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Registruotojas ir gamintojas</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34054" w:rsidRPr="0022129C" w:rsidRDefault="00334054" w:rsidP="00334054">
      <w:pPr>
        <w:spacing w:after="0" w:line="240" w:lineRule="auto"/>
        <w:ind w:left="709" w:hanging="709"/>
        <w:jc w:val="both"/>
        <w:rPr>
          <w:rFonts w:ascii="Times New Roman" w:eastAsia="Times New Roman" w:hAnsi="Times New Roman" w:cs="Times New Roman"/>
          <w:i/>
          <w:lang w:eastAsia="lt-LT"/>
        </w:rPr>
      </w:pPr>
      <w:r w:rsidRPr="0022129C">
        <w:rPr>
          <w:rFonts w:ascii="Times New Roman" w:eastAsia="Times New Roman" w:hAnsi="Times New Roman" w:cs="Times New Roman"/>
          <w:i/>
          <w:lang w:eastAsia="lt-LT"/>
        </w:rPr>
        <w:t>Registruotojas</w:t>
      </w:r>
    </w:p>
    <w:p w:rsidR="00334054" w:rsidRPr="0022129C" w:rsidRDefault="00334054" w:rsidP="00334054">
      <w:pPr>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SIA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p>
    <w:p w:rsidR="00334054" w:rsidRPr="0022129C" w:rsidRDefault="00334054" w:rsidP="00334054">
      <w:pPr>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Kārļa</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Ulmaņa</w:t>
      </w:r>
      <w:proofErr w:type="spellEnd"/>
      <w:r w:rsidRPr="0022129C">
        <w:rPr>
          <w:rFonts w:ascii="Times New Roman" w:eastAsia="Times New Roman" w:hAnsi="Times New Roman" w:cs="Times New Roman"/>
          <w:lang w:eastAsia="lt-LT"/>
        </w:rPr>
        <w:t xml:space="preserve"> gatve 119, </w:t>
      </w:r>
      <w:proofErr w:type="spellStart"/>
      <w:r w:rsidRPr="0022129C">
        <w:rPr>
          <w:rFonts w:ascii="Times New Roman" w:eastAsia="Times New Roman" w:hAnsi="Times New Roman" w:cs="Times New Roman"/>
          <w:lang w:eastAsia="lt-LT"/>
        </w:rPr>
        <w:t>Mārupe</w:t>
      </w:r>
      <w:proofErr w:type="spellEnd"/>
      <w:r w:rsidRPr="0022129C">
        <w:rPr>
          <w:rFonts w:ascii="Times New Roman" w:eastAsia="Times New Roman" w:hAnsi="Times New Roman" w:cs="Times New Roman"/>
          <w:lang w:eastAsia="lt-LT"/>
        </w:rPr>
        <w:t xml:space="preserve"> </w:t>
      </w:r>
    </w:p>
    <w:p w:rsidR="00334054" w:rsidRPr="0022129C" w:rsidRDefault="00334054" w:rsidP="00334054">
      <w:pPr>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LV-2167, </w:t>
      </w:r>
      <w:proofErr w:type="spellStart"/>
      <w:r w:rsidRPr="0022129C">
        <w:rPr>
          <w:rFonts w:ascii="Times New Roman" w:eastAsia="Times New Roman" w:hAnsi="Times New Roman" w:cs="Times New Roman"/>
          <w:lang w:eastAsia="lt-LT"/>
        </w:rPr>
        <w:t>Rīga</w:t>
      </w:r>
      <w:proofErr w:type="spellEnd"/>
    </w:p>
    <w:p w:rsidR="00334054" w:rsidRPr="0022129C" w:rsidRDefault="00334054" w:rsidP="00334054">
      <w:pPr>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Latvija</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Cs/>
          <w:i/>
          <w:lang w:eastAsia="lt-LT"/>
        </w:rPr>
      </w:pPr>
      <w:r w:rsidRPr="0022129C">
        <w:rPr>
          <w:rFonts w:ascii="Times New Roman" w:eastAsia="Times New Roman" w:hAnsi="Times New Roman" w:cs="Times New Roman"/>
          <w:bCs/>
          <w:i/>
          <w:lang w:eastAsia="lt-LT"/>
        </w:rPr>
        <w:t>Gamintojas</w:t>
      </w:r>
    </w:p>
    <w:p w:rsidR="00334054" w:rsidRPr="0022129C" w:rsidRDefault="00334054" w:rsidP="00334054">
      <w:pPr>
        <w:spacing w:after="0" w:line="240" w:lineRule="auto"/>
        <w:ind w:left="709" w:hanging="709"/>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Glenmark</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Pharmaceuticals</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Europe</w:t>
      </w:r>
      <w:proofErr w:type="spellEnd"/>
      <w:r w:rsidRPr="0022129C" w:rsidDel="00BE2AA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Limited</w:t>
      </w:r>
      <w:proofErr w:type="spellEnd"/>
    </w:p>
    <w:p w:rsidR="00334054" w:rsidRPr="0022129C" w:rsidRDefault="00334054" w:rsidP="00334054">
      <w:pPr>
        <w:spacing w:after="0" w:line="240" w:lineRule="auto"/>
        <w:ind w:left="-2"/>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Building</w:t>
      </w:r>
      <w:proofErr w:type="spellEnd"/>
      <w:r w:rsidRPr="0022129C">
        <w:rPr>
          <w:rFonts w:ascii="Times New Roman" w:eastAsia="Times New Roman" w:hAnsi="Times New Roman" w:cs="Times New Roman"/>
          <w:lang w:eastAsia="lt-LT"/>
        </w:rPr>
        <w:t xml:space="preserve"> 2, </w:t>
      </w:r>
      <w:proofErr w:type="spellStart"/>
      <w:r w:rsidRPr="0022129C">
        <w:rPr>
          <w:rFonts w:ascii="Times New Roman" w:eastAsia="Times New Roman" w:hAnsi="Times New Roman" w:cs="Times New Roman"/>
          <w:lang w:eastAsia="lt-LT"/>
        </w:rPr>
        <w:t>Croxley</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Green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Business</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Park</w:t>
      </w:r>
      <w:proofErr w:type="spellEnd"/>
    </w:p>
    <w:p w:rsidR="00334054" w:rsidRPr="0022129C" w:rsidRDefault="00334054" w:rsidP="00334054">
      <w:pPr>
        <w:spacing w:after="0" w:line="240" w:lineRule="auto"/>
        <w:ind w:left="-2"/>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Croxley</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Green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Hertfordshire</w:t>
      </w:r>
      <w:proofErr w:type="spellEnd"/>
      <w:r w:rsidRPr="0022129C">
        <w:rPr>
          <w:rFonts w:ascii="Times New Roman" w:eastAsia="Times New Roman" w:hAnsi="Times New Roman" w:cs="Times New Roman"/>
          <w:lang w:eastAsia="lt-LT"/>
        </w:rPr>
        <w:t xml:space="preserve"> </w:t>
      </w:r>
    </w:p>
    <w:p w:rsidR="00334054" w:rsidRPr="0022129C" w:rsidRDefault="00334054" w:rsidP="00334054">
      <w:pPr>
        <w:spacing w:after="0" w:line="240" w:lineRule="auto"/>
        <w:ind w:left="-2"/>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WD18 8YA</w:t>
      </w:r>
    </w:p>
    <w:p w:rsidR="00334054" w:rsidRPr="0022129C" w:rsidRDefault="00334054" w:rsidP="00334054">
      <w:pPr>
        <w:spacing w:after="0" w:line="240" w:lineRule="auto"/>
        <w:ind w:left="-2"/>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Jungtinė Karalystė</w:t>
      </w:r>
    </w:p>
    <w:p w:rsidR="00334054" w:rsidRPr="0022129C" w:rsidRDefault="00334054" w:rsidP="00334054">
      <w:pPr>
        <w:spacing w:after="0" w:line="240" w:lineRule="auto"/>
        <w:rPr>
          <w:rFonts w:ascii="Times New Roman" w:eastAsia="Times New Roman" w:hAnsi="Times New Roman" w:cs="Times New Roman"/>
          <w:lang w:eastAsia="lt-LT"/>
        </w:rPr>
      </w:pPr>
    </w:p>
    <w:p w:rsidR="00334054" w:rsidRPr="0022129C" w:rsidRDefault="00334054" w:rsidP="00334054">
      <w:pPr>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arba</w:t>
      </w:r>
    </w:p>
    <w:p w:rsidR="00334054" w:rsidRPr="0022129C" w:rsidRDefault="00334054" w:rsidP="00334054">
      <w:pPr>
        <w:spacing w:after="0" w:line="240" w:lineRule="auto"/>
        <w:rPr>
          <w:rFonts w:ascii="Times New Roman" w:eastAsia="Times New Roman" w:hAnsi="Times New Roman" w:cs="Times New Roman"/>
          <w:lang w:eastAsia="lt-LT"/>
        </w:rPr>
      </w:pPr>
    </w:p>
    <w:p w:rsidR="00334054" w:rsidRPr="0022129C" w:rsidRDefault="00334054" w:rsidP="00334054">
      <w:pPr>
        <w:spacing w:after="0" w:line="240" w:lineRule="auto"/>
        <w:ind w:left="709" w:hanging="709"/>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bCs/>
          <w:lang w:eastAsia="lt-LT"/>
        </w:rPr>
        <w:t>Glenmark</w:t>
      </w:r>
      <w:proofErr w:type="spellEnd"/>
      <w:r w:rsidRPr="0022129C">
        <w:rPr>
          <w:rFonts w:ascii="Times New Roman" w:eastAsia="Times New Roman" w:hAnsi="Times New Roman" w:cs="Times New Roman"/>
          <w:bCs/>
          <w:lang w:eastAsia="lt-LT"/>
        </w:rPr>
        <w:t xml:space="preserve"> </w:t>
      </w:r>
      <w:proofErr w:type="spellStart"/>
      <w:r w:rsidRPr="0022129C">
        <w:rPr>
          <w:rFonts w:ascii="Times New Roman" w:eastAsia="Times New Roman" w:hAnsi="Times New Roman" w:cs="Times New Roman"/>
          <w:bCs/>
          <w:lang w:eastAsia="lt-LT"/>
        </w:rPr>
        <w:t>Pharmaceuticals</w:t>
      </w:r>
      <w:proofErr w:type="spellEnd"/>
      <w:r w:rsidRPr="0022129C">
        <w:rPr>
          <w:rFonts w:ascii="Times New Roman" w:eastAsia="Times New Roman" w:hAnsi="Times New Roman" w:cs="Times New Roman"/>
          <w:bCs/>
          <w:lang w:eastAsia="lt-LT"/>
        </w:rPr>
        <w:t xml:space="preserve"> </w:t>
      </w:r>
      <w:proofErr w:type="spellStart"/>
      <w:r w:rsidRPr="0022129C">
        <w:rPr>
          <w:rFonts w:ascii="Times New Roman" w:eastAsia="Times New Roman" w:hAnsi="Times New Roman" w:cs="Times New Roman"/>
          <w:bCs/>
          <w:lang w:eastAsia="lt-LT"/>
        </w:rPr>
        <w:t>s.r.o</w:t>
      </w:r>
      <w:proofErr w:type="spellEnd"/>
    </w:p>
    <w:p w:rsidR="00334054" w:rsidRPr="0022129C" w:rsidRDefault="00334054" w:rsidP="00334054">
      <w:pPr>
        <w:spacing w:after="0" w:line="240" w:lineRule="auto"/>
        <w:ind w:left="-2"/>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Fibichova</w:t>
      </w:r>
      <w:proofErr w:type="spellEnd"/>
      <w:r w:rsidRPr="0022129C">
        <w:rPr>
          <w:rFonts w:ascii="Times New Roman" w:eastAsia="Times New Roman" w:hAnsi="Times New Roman" w:cs="Times New Roman"/>
          <w:lang w:eastAsia="lt-LT"/>
        </w:rPr>
        <w:t xml:space="preserve"> 143,566 17 </w:t>
      </w:r>
      <w:proofErr w:type="spellStart"/>
      <w:r w:rsidRPr="0022129C">
        <w:rPr>
          <w:rFonts w:ascii="Times New Roman" w:eastAsia="Times New Roman" w:hAnsi="Times New Roman" w:cs="Times New Roman"/>
          <w:lang w:eastAsia="lt-LT"/>
        </w:rPr>
        <w:t>VysokeMyto</w:t>
      </w:r>
      <w:proofErr w:type="spellEnd"/>
    </w:p>
    <w:p w:rsidR="00334054" w:rsidRPr="0022129C" w:rsidRDefault="00334054" w:rsidP="00334054">
      <w:pPr>
        <w:spacing w:after="0" w:line="240" w:lineRule="auto"/>
        <w:ind w:left="-2"/>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Čekijos Respublika</w:t>
      </w:r>
    </w:p>
    <w:p w:rsidR="00334054" w:rsidRPr="0022129C" w:rsidRDefault="00334054" w:rsidP="00334054">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334054" w:rsidRPr="0022129C" w:rsidRDefault="00334054" w:rsidP="00334054">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22129C">
        <w:rPr>
          <w:rFonts w:ascii="Times New Roman" w:eastAsia="Times New Roman" w:hAnsi="Times New Roman" w:cs="Times New Roman"/>
          <w:lang w:eastAsia="cs-CZ"/>
        </w:rPr>
        <w:t>arba</w:t>
      </w:r>
    </w:p>
    <w:p w:rsidR="00334054" w:rsidRPr="0022129C" w:rsidRDefault="00334054" w:rsidP="00334054">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334054" w:rsidRPr="0022129C" w:rsidRDefault="00334054" w:rsidP="00334054">
      <w:pPr>
        <w:spacing w:after="0" w:line="240" w:lineRule="auto"/>
        <w:ind w:left="-2"/>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bCs/>
          <w:lang w:eastAsia="lt-LT"/>
        </w:rPr>
        <w:t>Tillomed</w:t>
      </w:r>
      <w:proofErr w:type="spellEnd"/>
      <w:r w:rsidRPr="0022129C">
        <w:rPr>
          <w:rFonts w:ascii="Times New Roman" w:eastAsia="Times New Roman" w:hAnsi="Times New Roman" w:cs="Times New Roman"/>
          <w:bCs/>
          <w:lang w:eastAsia="lt-LT"/>
        </w:rPr>
        <w:t xml:space="preserve"> </w:t>
      </w:r>
      <w:proofErr w:type="spellStart"/>
      <w:r w:rsidRPr="0022129C">
        <w:rPr>
          <w:rFonts w:ascii="Times New Roman" w:eastAsia="Times New Roman" w:hAnsi="Times New Roman" w:cs="Times New Roman"/>
          <w:bCs/>
          <w:lang w:eastAsia="lt-LT"/>
        </w:rPr>
        <w:t>Laboratories</w:t>
      </w:r>
      <w:proofErr w:type="spellEnd"/>
      <w:r w:rsidRPr="0022129C">
        <w:rPr>
          <w:rFonts w:ascii="Times New Roman" w:eastAsia="Times New Roman" w:hAnsi="Times New Roman" w:cs="Times New Roman"/>
          <w:bCs/>
          <w:lang w:eastAsia="lt-LT"/>
        </w:rPr>
        <w:t xml:space="preserve"> </w:t>
      </w:r>
      <w:proofErr w:type="spellStart"/>
      <w:r w:rsidRPr="0022129C">
        <w:rPr>
          <w:rFonts w:ascii="Times New Roman" w:eastAsia="Times New Roman" w:hAnsi="Times New Roman" w:cs="Times New Roman"/>
          <w:bCs/>
          <w:lang w:eastAsia="lt-LT"/>
        </w:rPr>
        <w:t>Ltd</w:t>
      </w:r>
      <w:proofErr w:type="spellEnd"/>
      <w:r w:rsidRPr="0022129C">
        <w:rPr>
          <w:rFonts w:ascii="Times New Roman" w:eastAsia="Times New Roman" w:hAnsi="Times New Roman" w:cs="Times New Roman"/>
          <w:lang w:eastAsia="lt-LT"/>
        </w:rPr>
        <w:t xml:space="preserve"> </w:t>
      </w:r>
    </w:p>
    <w:p w:rsidR="00334054" w:rsidRPr="0022129C" w:rsidRDefault="00334054" w:rsidP="00334054">
      <w:pPr>
        <w:spacing w:after="0" w:line="240" w:lineRule="auto"/>
        <w:ind w:left="-2"/>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3 </w:t>
      </w:r>
      <w:proofErr w:type="spellStart"/>
      <w:r w:rsidRPr="0022129C">
        <w:rPr>
          <w:rFonts w:ascii="Times New Roman" w:eastAsia="Times New Roman" w:hAnsi="Times New Roman" w:cs="Times New Roman"/>
          <w:lang w:eastAsia="lt-LT"/>
        </w:rPr>
        <w:t>Howard</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Road</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Easton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Socon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St</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Neots</w:t>
      </w:r>
      <w:proofErr w:type="spellEnd"/>
    </w:p>
    <w:p w:rsidR="00334054" w:rsidRPr="0022129C" w:rsidRDefault="00334054" w:rsidP="00334054">
      <w:pPr>
        <w:spacing w:after="0" w:line="240" w:lineRule="auto"/>
        <w:ind w:left="-2"/>
        <w:jc w:val="both"/>
        <w:rPr>
          <w:rFonts w:ascii="Times New Roman" w:eastAsia="Times New Roman" w:hAnsi="Times New Roman" w:cs="Times New Roman"/>
          <w:lang w:val="da-DK" w:eastAsia="lt-LT"/>
        </w:rPr>
      </w:pPr>
      <w:r w:rsidRPr="0022129C">
        <w:rPr>
          <w:rFonts w:ascii="Times New Roman" w:eastAsia="Times New Roman" w:hAnsi="Times New Roman" w:cs="Times New Roman"/>
          <w:lang w:val="da-DK" w:eastAsia="lt-LT"/>
        </w:rPr>
        <w:t>Cambridgeshire, PE 198ET</w:t>
      </w:r>
    </w:p>
    <w:p w:rsidR="00334054" w:rsidRPr="0022129C" w:rsidRDefault="00334054" w:rsidP="00334054">
      <w:pPr>
        <w:spacing w:after="0" w:line="240" w:lineRule="auto"/>
        <w:ind w:left="-2"/>
        <w:jc w:val="both"/>
        <w:rPr>
          <w:rFonts w:ascii="Times New Roman" w:eastAsia="Times New Roman" w:hAnsi="Times New Roman" w:cs="Times New Roman"/>
          <w:lang w:val="da-DK" w:eastAsia="lt-LT"/>
        </w:rPr>
      </w:pPr>
      <w:r w:rsidRPr="0022129C">
        <w:rPr>
          <w:rFonts w:ascii="Times New Roman" w:eastAsia="Times New Roman" w:hAnsi="Times New Roman" w:cs="Times New Roman"/>
          <w:lang w:val="da-DK" w:eastAsia="lt-LT"/>
        </w:rPr>
        <w:t>Jungtinė Karalystė</w:t>
      </w: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
          <w:bCs/>
        </w:rPr>
        <w:t xml:space="preserve">Šis pakuotės lapelis paskutinį kartą peržiūrėtas </w:t>
      </w:r>
      <w:r>
        <w:rPr>
          <w:rFonts w:ascii="Times New Roman" w:eastAsia="Times New Roman" w:hAnsi="Times New Roman" w:cs="Times New Roman"/>
          <w:b/>
          <w:bCs/>
        </w:rPr>
        <w:t>2018-12-06.</w:t>
      </w:r>
    </w:p>
    <w:p w:rsidR="00334054" w:rsidRPr="0022129C" w:rsidRDefault="00334054" w:rsidP="00334054">
      <w:pPr>
        <w:tabs>
          <w:tab w:val="left" w:pos="567"/>
        </w:tabs>
        <w:spacing w:after="0" w:line="240" w:lineRule="auto"/>
        <w:rPr>
          <w:rFonts w:ascii="Times New Roman" w:eastAsia="Times New Roman" w:hAnsi="Times New Roman" w:cs="Times New Roman"/>
          <w:lang w:eastAsia="lt-LT"/>
        </w:rPr>
      </w:pPr>
    </w:p>
    <w:p w:rsidR="00334054" w:rsidRPr="0022129C" w:rsidRDefault="00334054" w:rsidP="00334054">
      <w:pPr>
        <w:numPr>
          <w:ilvl w:val="12"/>
          <w:numId w:val="0"/>
        </w:numPr>
        <w:spacing w:after="0" w:line="240" w:lineRule="auto"/>
        <w:ind w:right="-2"/>
        <w:rPr>
          <w:rFonts w:ascii="Times New Roman" w:eastAsia="Times New Roman" w:hAnsi="Times New Roman" w:cs="Times New Roman"/>
          <w:lang w:eastAsia="lt-LT"/>
        </w:rPr>
      </w:pPr>
      <w:bookmarkStart w:id="4" w:name="OLE_LINK2"/>
      <w:bookmarkStart w:id="5" w:name="OLE_LINK3"/>
      <w:r w:rsidRPr="0022129C">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22129C">
        <w:rPr>
          <w:rFonts w:ascii="Times New Roman" w:eastAsia="Times New Roman" w:hAnsi="Times New Roman" w:cs="Times New Roman"/>
          <w:i/>
          <w:lang w:eastAsia="lt-LT"/>
        </w:rPr>
        <w:t xml:space="preserve"> </w:t>
      </w:r>
      <w:hyperlink r:id="rId14" w:history="1">
        <w:r w:rsidRPr="0022129C">
          <w:rPr>
            <w:rFonts w:ascii="Times New Roman" w:eastAsia="Times New Roman" w:hAnsi="Times New Roman" w:cs="Times New Roman"/>
            <w:color w:val="0000FF"/>
            <w:u w:val="single"/>
            <w:lang w:eastAsia="lt-LT"/>
          </w:rPr>
          <w:t>http://www.vvkt.lt/</w:t>
        </w:r>
      </w:hyperlink>
      <w:r w:rsidRPr="0022129C">
        <w:rPr>
          <w:rFonts w:ascii="Times New Roman" w:eastAsia="Times New Roman" w:hAnsi="Times New Roman" w:cs="Times New Roman"/>
          <w:lang w:eastAsia="lt-LT"/>
        </w:rPr>
        <w:t>.</w:t>
      </w:r>
    </w:p>
    <w:p w:rsidR="00334054" w:rsidRPr="0022129C" w:rsidRDefault="00334054" w:rsidP="00334054">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bookmarkStart w:id="6" w:name="_GoBack"/>
      <w:bookmarkEnd w:id="4"/>
      <w:bookmarkEnd w:id="5"/>
      <w:bookmarkEnd w:id="6"/>
    </w:p>
    <w:p w:rsidR="00334054" w:rsidRPr="0022129C" w:rsidRDefault="00334054" w:rsidP="00334054">
      <w:pPr>
        <w:rPr>
          <w:rFonts w:ascii="Calibri" w:eastAsia="Times New Roman" w:hAnsi="Calibri" w:cs="Times New Roman"/>
        </w:rPr>
      </w:pPr>
    </w:p>
    <w:sectPr w:rsidR="00334054" w:rsidRPr="0022129C" w:rsidSect="003D7BC7">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4DB" w:rsidRDefault="002F04DB">
      <w:pPr>
        <w:spacing w:after="0" w:line="240" w:lineRule="auto"/>
      </w:pPr>
      <w:r>
        <w:separator/>
      </w:r>
    </w:p>
  </w:endnote>
  <w:endnote w:type="continuationSeparator" w:id="0">
    <w:p w:rsidR="002F04DB" w:rsidRDefault="002F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18" w:rsidRDefault="004C4B9C" w:rsidP="003D7B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D2618" w:rsidRDefault="00334054" w:rsidP="003D7BC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18" w:rsidRPr="00EE196D" w:rsidRDefault="004C4B9C" w:rsidP="003D7BC7">
    <w:pPr>
      <w:pStyle w:val="Porat"/>
      <w:framePr w:wrap="around" w:vAnchor="text" w:hAnchor="margin" w:xAlign="right" w:y="1"/>
      <w:rPr>
        <w:rStyle w:val="Puslapionumeris"/>
        <w:sz w:val="22"/>
        <w:szCs w:val="22"/>
      </w:rPr>
    </w:pPr>
    <w:r w:rsidRPr="00EE196D">
      <w:rPr>
        <w:rStyle w:val="Puslapionumeris"/>
        <w:sz w:val="22"/>
        <w:szCs w:val="22"/>
      </w:rPr>
      <w:fldChar w:fldCharType="begin"/>
    </w:r>
    <w:r w:rsidRPr="00EE196D">
      <w:rPr>
        <w:rStyle w:val="Puslapionumeris"/>
        <w:sz w:val="22"/>
        <w:szCs w:val="22"/>
      </w:rPr>
      <w:instrText xml:space="preserve">PAGE  </w:instrText>
    </w:r>
    <w:r w:rsidRPr="00EE196D">
      <w:rPr>
        <w:rStyle w:val="Puslapionumeris"/>
        <w:sz w:val="22"/>
        <w:szCs w:val="22"/>
      </w:rPr>
      <w:fldChar w:fldCharType="separate"/>
    </w:r>
    <w:r w:rsidR="00334054">
      <w:rPr>
        <w:rStyle w:val="Puslapionumeris"/>
        <w:noProof/>
        <w:sz w:val="22"/>
        <w:szCs w:val="22"/>
      </w:rPr>
      <w:t>27</w:t>
    </w:r>
    <w:r w:rsidRPr="00EE196D">
      <w:rPr>
        <w:rStyle w:val="Puslapionumeris"/>
        <w:sz w:val="22"/>
        <w:szCs w:val="22"/>
      </w:rPr>
      <w:fldChar w:fldCharType="end"/>
    </w:r>
  </w:p>
  <w:p w:rsidR="008D2618" w:rsidRDefault="00334054" w:rsidP="003D7BC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4DB" w:rsidRDefault="002F04DB">
      <w:pPr>
        <w:spacing w:after="0" w:line="240" w:lineRule="auto"/>
      </w:pPr>
      <w:r>
        <w:separator/>
      </w:r>
    </w:p>
  </w:footnote>
  <w:footnote w:type="continuationSeparator" w:id="0">
    <w:p w:rsidR="002F04DB" w:rsidRDefault="002F0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E3C2D83"/>
    <w:multiLevelType w:val="hybridMultilevel"/>
    <w:tmpl w:val="72FA6466"/>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8B682D"/>
    <w:multiLevelType w:val="hybridMultilevel"/>
    <w:tmpl w:val="BCEC2E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38"/>
    <w:rsid w:val="00296D97"/>
    <w:rsid w:val="002F04DB"/>
    <w:rsid w:val="00334054"/>
    <w:rsid w:val="003612A9"/>
    <w:rsid w:val="004C4B9C"/>
    <w:rsid w:val="004E500F"/>
    <w:rsid w:val="00A04AE0"/>
    <w:rsid w:val="00B07C07"/>
    <w:rsid w:val="00B223C4"/>
    <w:rsid w:val="00B704C9"/>
    <w:rsid w:val="00BE2AAC"/>
    <w:rsid w:val="00D9262B"/>
    <w:rsid w:val="00FB2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D5D0A-263E-440F-8CEA-730E5B35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4B9C"/>
  </w:style>
  <w:style w:type="paragraph" w:styleId="Antrat1">
    <w:name w:val="heading 1"/>
    <w:basedOn w:val="prastasis"/>
    <w:next w:val="prastasis"/>
    <w:link w:val="Antrat1Diagrama"/>
    <w:uiPriority w:val="99"/>
    <w:qFormat/>
    <w:rsid w:val="004C4B9C"/>
    <w:pPr>
      <w:keepNext/>
      <w:spacing w:before="240" w:after="60" w:line="240" w:lineRule="auto"/>
      <w:outlineLvl w:val="0"/>
    </w:pPr>
    <w:rPr>
      <w:rFonts w:ascii="Arial" w:eastAsia="Times New Roman" w:hAnsi="Arial" w:cs="Arial"/>
      <w:b/>
      <w:bCs/>
      <w:kern w:val="32"/>
      <w:sz w:val="32"/>
      <w:szCs w:val="32"/>
      <w:lang w:eastAsia="lt-LT"/>
    </w:rPr>
  </w:style>
  <w:style w:type="paragraph" w:styleId="Antrat2">
    <w:name w:val="heading 2"/>
    <w:basedOn w:val="prastasis"/>
    <w:next w:val="prastasis"/>
    <w:link w:val="Antrat2Diagrama"/>
    <w:uiPriority w:val="99"/>
    <w:qFormat/>
    <w:rsid w:val="004C4B9C"/>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uiPriority w:val="99"/>
    <w:qFormat/>
    <w:rsid w:val="004C4B9C"/>
    <w:pPr>
      <w:keepNext/>
      <w:spacing w:before="240" w:after="60" w:line="240" w:lineRule="auto"/>
      <w:outlineLvl w:val="2"/>
    </w:pPr>
    <w:rPr>
      <w:rFonts w:ascii="Arial" w:eastAsia="Times New Roman" w:hAnsi="Arial" w:cs="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C4B9C"/>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4C4B9C"/>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uiPriority w:val="99"/>
    <w:rsid w:val="004C4B9C"/>
    <w:rPr>
      <w:rFonts w:ascii="Arial" w:eastAsia="Times New Roman" w:hAnsi="Arial" w:cs="Arial"/>
      <w:b/>
      <w:bCs/>
      <w:sz w:val="26"/>
      <w:szCs w:val="26"/>
      <w:lang w:eastAsia="lt-LT"/>
    </w:rPr>
  </w:style>
  <w:style w:type="numbering" w:customStyle="1" w:styleId="NoList1">
    <w:name w:val="No List1"/>
    <w:next w:val="Sraonra"/>
    <w:uiPriority w:val="99"/>
    <w:semiHidden/>
    <w:unhideWhenUsed/>
    <w:rsid w:val="004C4B9C"/>
  </w:style>
  <w:style w:type="paragraph" w:customStyle="1" w:styleId="BTEMEASMCA">
    <w:name w:val="BT EMEA_SMCA"/>
    <w:basedOn w:val="prastasis"/>
    <w:link w:val="BTEMEASMCAChar"/>
    <w:autoRedefine/>
    <w:uiPriority w:val="99"/>
    <w:rsid w:val="004C4B9C"/>
    <w:pPr>
      <w:tabs>
        <w:tab w:val="left" w:pos="540"/>
      </w:tabs>
      <w:spacing w:after="0" w:line="240" w:lineRule="auto"/>
    </w:pPr>
    <w:rPr>
      <w:rFonts w:ascii="Times New Roman" w:eastAsia="Times New Roman" w:hAnsi="Times New Roman" w:cs="Times New Roman"/>
      <w:noProof/>
      <w:szCs w:val="20"/>
    </w:rPr>
  </w:style>
  <w:style w:type="character" w:customStyle="1" w:styleId="BTEMEASMCAChar">
    <w:name w:val="BT EMEA_SMCA Char"/>
    <w:link w:val="BTEMEASMCA"/>
    <w:uiPriority w:val="99"/>
    <w:locked/>
    <w:rsid w:val="004C4B9C"/>
    <w:rPr>
      <w:rFonts w:ascii="Times New Roman" w:eastAsia="Times New Roman" w:hAnsi="Times New Roman" w:cs="Times New Roman"/>
      <w:noProof/>
      <w:szCs w:val="20"/>
    </w:rPr>
  </w:style>
  <w:style w:type="paragraph" w:customStyle="1" w:styleId="TTEMEASMCA">
    <w:name w:val="TT EMEA_SMCA"/>
    <w:basedOn w:val="Antrat1"/>
    <w:link w:val="TTEMEASMCAChar"/>
    <w:autoRedefine/>
    <w:uiPriority w:val="99"/>
    <w:rsid w:val="004C4B9C"/>
    <w:pPr>
      <w:keepNext w:val="0"/>
      <w:tabs>
        <w:tab w:val="left" w:pos="567"/>
      </w:tabs>
      <w:spacing w:before="0" w:after="0"/>
      <w:ind w:left="567" w:hanging="567"/>
      <w:jc w:val="center"/>
    </w:pPr>
    <w:rPr>
      <w:rFonts w:ascii="Times New Roman" w:hAnsi="Times New Roman" w:cs="Times New Roman"/>
      <w:bCs w:val="0"/>
      <w:caps/>
      <w:kern w:val="0"/>
      <w:sz w:val="22"/>
      <w:szCs w:val="20"/>
      <w:lang w:val="en-US" w:eastAsia="en-US"/>
    </w:rPr>
  </w:style>
  <w:style w:type="character" w:customStyle="1" w:styleId="TTEMEASMCAChar">
    <w:name w:val="TT EMEA_SMCA Char"/>
    <w:link w:val="TTEMEASMCA"/>
    <w:uiPriority w:val="99"/>
    <w:locked/>
    <w:rsid w:val="004C4B9C"/>
    <w:rPr>
      <w:rFonts w:ascii="Times New Roman" w:eastAsia="Times New Roman" w:hAnsi="Times New Roman" w:cs="Times New Roman"/>
      <w:b/>
      <w:caps/>
      <w:szCs w:val="20"/>
      <w:lang w:val="en-US"/>
    </w:rPr>
  </w:style>
  <w:style w:type="paragraph" w:customStyle="1" w:styleId="BTuEMEASMCA">
    <w:name w:val="BT(u) EMEA_SMCA"/>
    <w:basedOn w:val="BTEMEASMCA"/>
    <w:autoRedefine/>
    <w:uiPriority w:val="99"/>
    <w:rsid w:val="004C4B9C"/>
    <w:pPr>
      <w:tabs>
        <w:tab w:val="clear" w:pos="540"/>
      </w:tabs>
    </w:pPr>
    <w:rPr>
      <w:u w:val="single"/>
    </w:rPr>
  </w:style>
  <w:style w:type="paragraph" w:customStyle="1" w:styleId="PI-1labEMEASMCA">
    <w:name w:val="PI-1_lab EMEA_SMCA"/>
    <w:basedOn w:val="prastasis"/>
    <w:link w:val="PI-1labEMEASMCAChar"/>
    <w:autoRedefine/>
    <w:uiPriority w:val="99"/>
    <w:rsid w:val="004C4B9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Cs w:val="20"/>
    </w:rPr>
  </w:style>
  <w:style w:type="character" w:customStyle="1" w:styleId="PI-1labEMEASMCAChar">
    <w:name w:val="PI-1_lab EMEA_SMCA Char"/>
    <w:link w:val="PI-1labEMEASMCA"/>
    <w:uiPriority w:val="99"/>
    <w:locked/>
    <w:rsid w:val="004C4B9C"/>
    <w:rPr>
      <w:rFonts w:ascii="Times New Roman" w:eastAsia="Times New Roman" w:hAnsi="Times New Roman" w:cs="Times New Roman"/>
      <w:b/>
      <w:noProof/>
      <w:szCs w:val="20"/>
    </w:rPr>
  </w:style>
  <w:style w:type="paragraph" w:customStyle="1" w:styleId="BTgEMEASMCA">
    <w:name w:val="BT(g) EMEA_SMCA"/>
    <w:basedOn w:val="BTEMEASMCA"/>
    <w:link w:val="BTgEMEASMCAChar"/>
    <w:autoRedefine/>
    <w:uiPriority w:val="99"/>
    <w:rsid w:val="004C4B9C"/>
    <w:pPr>
      <w:tabs>
        <w:tab w:val="clear" w:pos="540"/>
      </w:tabs>
    </w:pPr>
    <w:rPr>
      <w:i/>
      <w:color w:val="008000"/>
    </w:rPr>
  </w:style>
  <w:style w:type="character" w:customStyle="1" w:styleId="BTgEMEASMCAChar">
    <w:name w:val="BT(g) EMEA_SMCA Char"/>
    <w:link w:val="BTgEMEASMCA"/>
    <w:uiPriority w:val="99"/>
    <w:locked/>
    <w:rsid w:val="004C4B9C"/>
    <w:rPr>
      <w:rFonts w:ascii="Times New Roman" w:eastAsia="Times New Roman" w:hAnsi="Times New Roman" w:cs="Times New Roman"/>
      <w:i/>
      <w:noProof/>
      <w:color w:val="008000"/>
      <w:szCs w:val="20"/>
    </w:rPr>
  </w:style>
  <w:style w:type="paragraph" w:customStyle="1" w:styleId="Normal11pt">
    <w:name w:val="Normal + 11 pt"/>
    <w:basedOn w:val="Pagrindinistekstas"/>
    <w:uiPriority w:val="99"/>
    <w:rsid w:val="004C4B9C"/>
    <w:pPr>
      <w:widowControl w:val="0"/>
      <w:overflowPunct w:val="0"/>
      <w:autoSpaceDE w:val="0"/>
      <w:autoSpaceDN w:val="0"/>
      <w:adjustRightInd w:val="0"/>
      <w:spacing w:after="0" w:line="312" w:lineRule="auto"/>
      <w:textAlignment w:val="baseline"/>
    </w:pPr>
    <w:rPr>
      <w:rFonts w:ascii="TimesLT" w:hAnsi="TimesLT"/>
      <w:sz w:val="22"/>
      <w:szCs w:val="22"/>
      <w:lang w:val="en-US" w:eastAsia="ar-SA"/>
    </w:rPr>
  </w:style>
  <w:style w:type="paragraph" w:styleId="Pagrindinistekstas">
    <w:name w:val="Body Text"/>
    <w:basedOn w:val="prastasis"/>
    <w:link w:val="PagrindinistekstasDiagrama"/>
    <w:uiPriority w:val="99"/>
    <w:rsid w:val="004C4B9C"/>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4C4B9C"/>
    <w:rPr>
      <w:rFonts w:ascii="Times New Roman" w:eastAsia="Times New Roman" w:hAnsi="Times New Roman" w:cs="Times New Roman"/>
      <w:sz w:val="24"/>
      <w:szCs w:val="24"/>
      <w:lang w:eastAsia="lt-LT"/>
    </w:rPr>
  </w:style>
  <w:style w:type="paragraph" w:customStyle="1" w:styleId="BTAnIIEMEASMCA">
    <w:name w:val="BT(AnII) EMEA_SMCA"/>
    <w:basedOn w:val="Debesliotekstas"/>
    <w:autoRedefine/>
    <w:uiPriority w:val="99"/>
    <w:rsid w:val="004C4B9C"/>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4C4B9C"/>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4C4B9C"/>
    <w:rPr>
      <w:rFonts w:ascii="Tahoma" w:eastAsia="Times New Roman" w:hAnsi="Tahoma" w:cs="Tahoma"/>
      <w:sz w:val="16"/>
      <w:szCs w:val="16"/>
      <w:lang w:eastAsia="lt-LT"/>
    </w:rPr>
  </w:style>
  <w:style w:type="paragraph" w:customStyle="1" w:styleId="PI-1EMEASMCA">
    <w:name w:val="PI-1 EMEA_SMCA"/>
    <w:basedOn w:val="Antrat2"/>
    <w:autoRedefine/>
    <w:uiPriority w:val="99"/>
    <w:rsid w:val="004C4B9C"/>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uiPriority w:val="99"/>
    <w:rsid w:val="004C4B9C"/>
    <w:pPr>
      <w:keepLines/>
      <w:tabs>
        <w:tab w:val="left" w:pos="720"/>
      </w:tabs>
      <w:spacing w:before="0" w:after="0"/>
    </w:pPr>
    <w:rPr>
      <w:rFonts w:ascii="Times New Roman" w:hAnsi="Times New Roman" w:cs="Times New Roman"/>
      <w:bCs w:val="0"/>
      <w:kern w:val="28"/>
      <w:sz w:val="22"/>
      <w:szCs w:val="22"/>
      <w:lang w:eastAsia="en-US"/>
    </w:rPr>
  </w:style>
  <w:style w:type="paragraph" w:customStyle="1" w:styleId="BTbEMEASMCA">
    <w:name w:val="BT(b) EMEA_SMCA"/>
    <w:basedOn w:val="prastasis"/>
    <w:autoRedefine/>
    <w:uiPriority w:val="99"/>
    <w:rsid w:val="004C4B9C"/>
    <w:pPr>
      <w:spacing w:after="0" w:line="240" w:lineRule="auto"/>
    </w:pPr>
    <w:rPr>
      <w:rFonts w:ascii="Times New Roman" w:eastAsia="Times New Roman" w:hAnsi="Times New Roman" w:cs="Times New Roman"/>
      <w:b/>
      <w:bCs/>
    </w:rPr>
  </w:style>
  <w:style w:type="character" w:styleId="Puslapionumeris">
    <w:name w:val="page number"/>
    <w:basedOn w:val="Numatytasispastraiposriftas"/>
    <w:uiPriority w:val="99"/>
    <w:rsid w:val="004C4B9C"/>
    <w:rPr>
      <w:rFonts w:cs="Times New Roman"/>
    </w:rPr>
  </w:style>
  <w:style w:type="paragraph" w:styleId="Porat">
    <w:name w:val="footer"/>
    <w:basedOn w:val="prastasis"/>
    <w:link w:val="PoratDiagrama"/>
    <w:uiPriority w:val="99"/>
    <w:rsid w:val="004C4B9C"/>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4C4B9C"/>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4C4B9C"/>
    <w:rPr>
      <w:rFonts w:cs="Times New Roman"/>
      <w:color w:val="0000FF"/>
      <w:u w:val="single"/>
    </w:rPr>
  </w:style>
  <w:style w:type="character" w:styleId="Komentaronuoroda">
    <w:name w:val="annotation reference"/>
    <w:basedOn w:val="Numatytasispastraiposriftas"/>
    <w:uiPriority w:val="99"/>
    <w:rsid w:val="004C4B9C"/>
    <w:rPr>
      <w:rFonts w:cs="Times New Roman"/>
      <w:sz w:val="16"/>
    </w:rPr>
  </w:style>
  <w:style w:type="paragraph" w:styleId="Komentarotekstas">
    <w:name w:val="annotation text"/>
    <w:basedOn w:val="prastasis"/>
    <w:link w:val="KomentarotekstasDiagrama"/>
    <w:uiPriority w:val="99"/>
    <w:rsid w:val="004C4B9C"/>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4C4B9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4C4B9C"/>
    <w:rPr>
      <w:b/>
      <w:bCs/>
    </w:rPr>
  </w:style>
  <w:style w:type="character" w:customStyle="1" w:styleId="KomentarotemaDiagrama">
    <w:name w:val="Komentaro tema Diagrama"/>
    <w:basedOn w:val="KomentarotekstasDiagrama"/>
    <w:link w:val="Komentarotema"/>
    <w:uiPriority w:val="99"/>
    <w:rsid w:val="004C4B9C"/>
    <w:rPr>
      <w:rFonts w:ascii="Times New Roman" w:eastAsia="Times New Roman" w:hAnsi="Times New Roman" w:cs="Times New Roman"/>
      <w:b/>
      <w:bCs/>
      <w:sz w:val="20"/>
      <w:szCs w:val="20"/>
      <w:lang w:eastAsia="lt-LT"/>
    </w:rPr>
  </w:style>
  <w:style w:type="paragraph" w:styleId="Paprastasistekstas">
    <w:name w:val="Plain Text"/>
    <w:basedOn w:val="prastasis"/>
    <w:link w:val="PaprastasistekstasDiagrama"/>
    <w:uiPriority w:val="99"/>
    <w:rsid w:val="004C4B9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4C4B9C"/>
    <w:rPr>
      <w:rFonts w:ascii="Courier New" w:eastAsia="SimSun" w:hAnsi="Courier New" w:cs="Times New Roman"/>
      <w:sz w:val="20"/>
      <w:szCs w:val="20"/>
      <w:lang w:val="en-US"/>
    </w:rPr>
  </w:style>
  <w:style w:type="character" w:customStyle="1" w:styleId="PlainTextChar">
    <w:name w:val="Plain Text Char"/>
    <w:basedOn w:val="Numatytasispastraiposriftas"/>
    <w:uiPriority w:val="99"/>
    <w:semiHidden/>
    <w:rsid w:val="004C4B9C"/>
    <w:rPr>
      <w:rFonts w:ascii="Consolas" w:hAnsi="Consolas"/>
      <w:sz w:val="21"/>
      <w:szCs w:val="21"/>
    </w:rPr>
  </w:style>
  <w:style w:type="paragraph" w:styleId="Sraopastraipa">
    <w:name w:val="List Paragraph"/>
    <w:basedOn w:val="prastasis"/>
    <w:uiPriority w:val="34"/>
    <w:qFormat/>
    <w:rsid w:val="004C4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39245</Words>
  <Characters>22370</Characters>
  <Application>Microsoft Office Word</Application>
  <DocSecurity>0</DocSecurity>
  <Lines>186</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2018-12-07T07:33:00Z</dcterms:created>
  <dcterms:modified xsi:type="dcterms:W3CDTF">2018-12-07T07:36:00Z</dcterms:modified>
</cp:coreProperties>
</file>