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1080E0" w14:textId="77777777" w:rsidR="00CD51A4" w:rsidRPr="000A2DE8" w:rsidRDefault="00CD51A4" w:rsidP="00CD51A4">
      <w:pPr>
        <w:tabs>
          <w:tab w:val="left" w:pos="567"/>
        </w:tabs>
        <w:spacing w:after="0" w:line="240" w:lineRule="auto"/>
        <w:outlineLvl w:val="0"/>
        <w:rPr>
          <w:rFonts w:ascii="Times New Roman" w:eastAsia="Times New Roman" w:hAnsi="Times New Roman"/>
          <w:b/>
          <w:snapToGrid w:val="0"/>
          <w:lang w:eastAsia="en-US" w:bidi="ar-SA"/>
        </w:rPr>
      </w:pPr>
      <w:bookmarkStart w:id="0" w:name="_GoBack"/>
      <w:bookmarkEnd w:id="0"/>
    </w:p>
    <w:p w14:paraId="1D2CC8FA" w14:textId="77777777" w:rsidR="00CD51A4" w:rsidRPr="000A2DE8" w:rsidRDefault="00CD51A4" w:rsidP="00CD51A4">
      <w:pPr>
        <w:tabs>
          <w:tab w:val="left" w:pos="567"/>
        </w:tabs>
        <w:spacing w:after="0" w:line="240" w:lineRule="auto"/>
        <w:outlineLvl w:val="0"/>
        <w:rPr>
          <w:rFonts w:ascii="Times New Roman" w:eastAsia="Times New Roman" w:hAnsi="Times New Roman"/>
          <w:b/>
          <w:snapToGrid w:val="0"/>
          <w:lang w:eastAsia="en-US" w:bidi="ar-SA"/>
        </w:rPr>
      </w:pPr>
    </w:p>
    <w:p w14:paraId="5A26D541" w14:textId="77777777" w:rsidR="00CD51A4" w:rsidRPr="000A2DE8" w:rsidRDefault="00CD51A4" w:rsidP="00CD51A4">
      <w:pPr>
        <w:tabs>
          <w:tab w:val="left" w:pos="567"/>
        </w:tabs>
        <w:spacing w:after="0" w:line="240" w:lineRule="auto"/>
        <w:outlineLvl w:val="0"/>
        <w:rPr>
          <w:rFonts w:ascii="Times New Roman" w:eastAsia="Times New Roman" w:hAnsi="Times New Roman"/>
          <w:b/>
          <w:snapToGrid w:val="0"/>
          <w:lang w:eastAsia="en-US" w:bidi="ar-SA"/>
        </w:rPr>
      </w:pPr>
    </w:p>
    <w:p w14:paraId="1ED00A2D" w14:textId="77777777" w:rsidR="00CD51A4" w:rsidRPr="000A2DE8" w:rsidRDefault="00CD51A4" w:rsidP="00CD51A4">
      <w:pPr>
        <w:tabs>
          <w:tab w:val="left" w:pos="567"/>
        </w:tabs>
        <w:spacing w:after="0" w:line="240" w:lineRule="auto"/>
        <w:outlineLvl w:val="0"/>
        <w:rPr>
          <w:rFonts w:ascii="Times New Roman" w:eastAsia="Times New Roman" w:hAnsi="Times New Roman"/>
          <w:b/>
          <w:snapToGrid w:val="0"/>
          <w:lang w:eastAsia="en-US" w:bidi="ar-SA"/>
        </w:rPr>
      </w:pPr>
    </w:p>
    <w:p w14:paraId="2E231D31"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423A729"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36D098E0"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B85A010"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05A8C15"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3CBCEEA6"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371C3B29"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1165A1A"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618B78DA"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3EA82221"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3322B25"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6AE1E81"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20D52291"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2B9BD724"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49937FA"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50538A0"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45A44EA"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612A956" w14:textId="77777777" w:rsidR="00CD51A4" w:rsidRPr="000A2DE8" w:rsidRDefault="00CD51A4" w:rsidP="00CD51A4">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24F72A66" w14:textId="77777777" w:rsidR="00CD51A4" w:rsidRPr="000A2DE8" w:rsidRDefault="00CD51A4" w:rsidP="00CD51A4">
      <w:pPr>
        <w:keepNext/>
        <w:tabs>
          <w:tab w:val="left" w:pos="567"/>
        </w:tabs>
        <w:spacing w:after="0" w:line="240" w:lineRule="auto"/>
        <w:jc w:val="center"/>
        <w:outlineLvl w:val="1"/>
        <w:rPr>
          <w:rFonts w:ascii="Times New Roman" w:eastAsia="Times New Roman" w:hAnsi="Times New Roman"/>
          <w:b/>
          <w:bCs/>
          <w:iCs/>
          <w:snapToGrid w:val="0"/>
          <w:lang w:bidi="ar-SA"/>
        </w:rPr>
      </w:pPr>
    </w:p>
    <w:p w14:paraId="392262F2" w14:textId="77777777" w:rsidR="00CD51A4" w:rsidRPr="000A2DE8" w:rsidRDefault="00CD51A4" w:rsidP="00CD51A4">
      <w:pPr>
        <w:keepNext/>
        <w:tabs>
          <w:tab w:val="left" w:pos="567"/>
        </w:tabs>
        <w:spacing w:after="0" w:line="240" w:lineRule="auto"/>
        <w:jc w:val="center"/>
        <w:outlineLvl w:val="1"/>
        <w:rPr>
          <w:rFonts w:ascii="Times New Roman" w:eastAsia="Times New Roman" w:hAnsi="Times New Roman"/>
          <w:b/>
          <w:snapToGrid w:val="0"/>
          <w:lang w:bidi="ar-SA"/>
        </w:rPr>
      </w:pPr>
      <w:r w:rsidRPr="000A2DE8">
        <w:rPr>
          <w:rFonts w:ascii="Times New Roman" w:eastAsia="Times New Roman" w:hAnsi="Times New Roman"/>
          <w:b/>
          <w:bCs/>
          <w:iCs/>
          <w:snapToGrid w:val="0"/>
          <w:lang w:bidi="ar-SA"/>
        </w:rPr>
        <w:t>I PRIEDAS</w:t>
      </w:r>
    </w:p>
    <w:p w14:paraId="773ABA39" w14:textId="77777777" w:rsidR="00CD51A4" w:rsidRPr="000A2DE8" w:rsidRDefault="00CD51A4" w:rsidP="00CD51A4">
      <w:pPr>
        <w:tabs>
          <w:tab w:val="left" w:pos="567"/>
        </w:tabs>
        <w:spacing w:after="0" w:line="240" w:lineRule="auto"/>
        <w:rPr>
          <w:rFonts w:ascii="Times New Roman" w:eastAsia="Times New Roman" w:hAnsi="Times New Roman"/>
          <w:snapToGrid w:val="0"/>
          <w:lang w:eastAsia="en-US" w:bidi="ar-SA"/>
        </w:rPr>
      </w:pPr>
    </w:p>
    <w:p w14:paraId="23071485" w14:textId="77777777" w:rsidR="00CD51A4" w:rsidRPr="000A2DE8" w:rsidRDefault="00CD51A4" w:rsidP="00CD51A4">
      <w:pPr>
        <w:tabs>
          <w:tab w:val="left" w:pos="-1440"/>
          <w:tab w:val="left" w:pos="-720"/>
          <w:tab w:val="left" w:pos="567"/>
        </w:tabs>
        <w:spacing w:after="0" w:line="240" w:lineRule="auto"/>
        <w:jc w:val="center"/>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PREPARATO CHARAKTERISTIKŲ SANTRAUKA</w:t>
      </w:r>
    </w:p>
    <w:p w14:paraId="61AAF6E0" w14:textId="77777777" w:rsidR="00CD51A4" w:rsidRPr="000A2DE8" w:rsidRDefault="00CD51A4" w:rsidP="00CD51A4">
      <w:pPr>
        <w:widowControl w:val="0"/>
        <w:autoSpaceDE w:val="0"/>
        <w:autoSpaceDN w:val="0"/>
        <w:adjustRightInd w:val="0"/>
        <w:spacing w:after="0" w:line="240" w:lineRule="auto"/>
        <w:rPr>
          <w:rFonts w:ascii="Times New Roman" w:hAnsi="Times New Roman"/>
          <w:b/>
          <w:spacing w:val="-1"/>
        </w:rPr>
      </w:pPr>
      <w:r w:rsidRPr="000A2DE8">
        <w:rPr>
          <w:rFonts w:ascii="Times New Roman" w:eastAsia="Times New Roman" w:hAnsi="Times New Roman"/>
          <w:snapToGrid w:val="0"/>
          <w:lang w:eastAsia="zh-CN" w:bidi="ar-SA"/>
        </w:rPr>
        <w:br w:type="page"/>
      </w:r>
    </w:p>
    <w:p w14:paraId="76CDD0EE" w14:textId="77777777" w:rsidR="00CD51A4" w:rsidRPr="000A2DE8" w:rsidRDefault="00CD51A4" w:rsidP="00CD51A4">
      <w:pPr>
        <w:widowControl w:val="0"/>
        <w:numPr>
          <w:ilvl w:val="0"/>
          <w:numId w:val="14"/>
        </w:numPr>
        <w:tabs>
          <w:tab w:val="left" w:pos="680"/>
        </w:tabs>
        <w:autoSpaceDE w:val="0"/>
        <w:autoSpaceDN w:val="0"/>
        <w:adjustRightInd w:val="0"/>
        <w:spacing w:after="0" w:line="240" w:lineRule="auto"/>
        <w:ind w:left="677" w:hanging="677"/>
        <w:rPr>
          <w:rFonts w:ascii="Times New Roman" w:eastAsia="Times New Roman" w:hAnsi="Times New Roman"/>
        </w:rPr>
      </w:pPr>
      <w:r w:rsidRPr="000A2DE8">
        <w:rPr>
          <w:rFonts w:ascii="Times New Roman" w:hAnsi="Times New Roman"/>
          <w:b/>
          <w:spacing w:val="-1"/>
        </w:rPr>
        <w:lastRenderedPageBreak/>
        <w:t>VAISTINIO PREPARATO PAVADINIMAS</w:t>
      </w:r>
    </w:p>
    <w:p w14:paraId="50D52755"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p>
    <w:p w14:paraId="1C52BEE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Bosentan Accord 62,5 mg plėvele dengtos tabletės</w:t>
      </w:r>
    </w:p>
    <w:p w14:paraId="2D71466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highlight w:val="lightGray"/>
        </w:rPr>
        <w:t>Bosentan Accord 125 mg plėvele dengtos tabletės</w:t>
      </w:r>
    </w:p>
    <w:p w14:paraId="6DA7C67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876DC7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2F5860B" w14:textId="77777777" w:rsidR="00CD51A4" w:rsidRPr="000A2DE8" w:rsidRDefault="00CD51A4" w:rsidP="00CD51A4">
      <w:pPr>
        <w:widowControl w:val="0"/>
        <w:numPr>
          <w:ilvl w:val="0"/>
          <w:numId w:val="14"/>
        </w:numPr>
        <w:tabs>
          <w:tab w:val="left" w:pos="720"/>
        </w:tabs>
        <w:autoSpaceDE w:val="0"/>
        <w:autoSpaceDN w:val="0"/>
        <w:adjustRightInd w:val="0"/>
        <w:spacing w:after="0" w:line="240" w:lineRule="auto"/>
        <w:ind w:left="720" w:hanging="720"/>
        <w:jc w:val="both"/>
        <w:rPr>
          <w:rFonts w:ascii="Times New Roman" w:eastAsia="Times New Roman" w:hAnsi="Times New Roman"/>
          <w:b/>
          <w:bCs/>
        </w:rPr>
      </w:pPr>
      <w:r w:rsidRPr="000A2DE8">
        <w:rPr>
          <w:rFonts w:ascii="Times New Roman" w:hAnsi="Times New Roman"/>
          <w:b/>
          <w:spacing w:val="1"/>
        </w:rPr>
        <w:t xml:space="preserve">KOKYBINĖ IR KIEKYBINĖ SUDĖTIS </w:t>
      </w:r>
    </w:p>
    <w:p w14:paraId="00243DA6" w14:textId="77777777" w:rsidR="00CD51A4" w:rsidRPr="000A2DE8" w:rsidRDefault="00CD51A4" w:rsidP="00CD51A4">
      <w:pPr>
        <w:widowControl w:val="0"/>
        <w:autoSpaceDE w:val="0"/>
        <w:autoSpaceDN w:val="0"/>
        <w:adjustRightInd w:val="0"/>
        <w:spacing w:after="0" w:line="240" w:lineRule="auto"/>
        <w:jc w:val="both"/>
        <w:rPr>
          <w:rFonts w:ascii="Times New Roman" w:eastAsia="Times New Roman" w:hAnsi="Times New Roman"/>
          <w:b/>
          <w:bCs/>
        </w:rPr>
      </w:pPr>
    </w:p>
    <w:p w14:paraId="095DC121" w14:textId="77777777" w:rsidR="00CD51A4" w:rsidRPr="000A2DE8" w:rsidRDefault="00CD51A4" w:rsidP="00CD51A4">
      <w:pPr>
        <w:widowControl w:val="0"/>
        <w:autoSpaceDE w:val="0"/>
        <w:autoSpaceDN w:val="0"/>
        <w:adjustRightInd w:val="0"/>
        <w:spacing w:after="0" w:line="240" w:lineRule="auto"/>
        <w:jc w:val="both"/>
        <w:rPr>
          <w:rFonts w:ascii="Times New Roman" w:eastAsia="Times New Roman" w:hAnsi="Times New Roman"/>
        </w:rPr>
      </w:pPr>
      <w:r w:rsidRPr="000A2DE8">
        <w:rPr>
          <w:rFonts w:ascii="Times New Roman" w:hAnsi="Times New Roman"/>
        </w:rPr>
        <w:t xml:space="preserve">Kiekvienoje plėvele dengtoje tabletėje yra 62,5 mg bozentano (monohidrato </w:t>
      </w:r>
      <w:r w:rsidR="002579F6" w:rsidRPr="000A2DE8">
        <w:rPr>
          <w:rFonts w:ascii="Times New Roman" w:hAnsi="Times New Roman"/>
        </w:rPr>
        <w:t>pavidalu</w:t>
      </w:r>
      <w:r w:rsidRPr="000A2DE8">
        <w:rPr>
          <w:rFonts w:ascii="Times New Roman" w:hAnsi="Times New Roman"/>
        </w:rPr>
        <w:t xml:space="preserve">). </w:t>
      </w:r>
    </w:p>
    <w:p w14:paraId="6CC6CED4" w14:textId="77777777" w:rsidR="00CD51A4" w:rsidRPr="000A2DE8" w:rsidRDefault="00CD51A4" w:rsidP="00CD51A4">
      <w:pPr>
        <w:widowControl w:val="0"/>
        <w:autoSpaceDE w:val="0"/>
        <w:autoSpaceDN w:val="0"/>
        <w:adjustRightInd w:val="0"/>
        <w:spacing w:after="0" w:line="240" w:lineRule="auto"/>
        <w:jc w:val="both"/>
        <w:rPr>
          <w:rFonts w:ascii="Times New Roman" w:eastAsia="Times New Roman" w:hAnsi="Times New Roman"/>
        </w:rPr>
      </w:pPr>
      <w:r w:rsidRPr="000A2DE8">
        <w:rPr>
          <w:rFonts w:ascii="Times New Roman" w:hAnsi="Times New Roman"/>
          <w:highlight w:val="lightGray"/>
        </w:rPr>
        <w:t xml:space="preserve">Kiekvienoje plėvele dengtoje tabletėje yra 125 mg bozentano (monohidrato </w:t>
      </w:r>
      <w:r w:rsidR="002579F6" w:rsidRPr="000A2DE8">
        <w:rPr>
          <w:rFonts w:ascii="Times New Roman" w:hAnsi="Times New Roman"/>
          <w:highlight w:val="lightGray"/>
        </w:rPr>
        <w:t>pavidalu</w:t>
      </w:r>
      <w:r w:rsidRPr="000A2DE8">
        <w:rPr>
          <w:rFonts w:ascii="Times New Roman" w:hAnsi="Times New Roman"/>
          <w:highlight w:val="lightGray"/>
        </w:rPr>
        <w:t>).</w:t>
      </w:r>
    </w:p>
    <w:p w14:paraId="21F979F1" w14:textId="77777777" w:rsidR="00CD51A4" w:rsidRPr="000A2DE8" w:rsidRDefault="00CD51A4" w:rsidP="00CD51A4">
      <w:pPr>
        <w:widowControl w:val="0"/>
        <w:autoSpaceDE w:val="0"/>
        <w:autoSpaceDN w:val="0"/>
        <w:adjustRightInd w:val="0"/>
        <w:spacing w:after="0" w:line="240" w:lineRule="auto"/>
        <w:jc w:val="both"/>
        <w:rPr>
          <w:rFonts w:ascii="Times New Roman" w:eastAsia="Times New Roman" w:hAnsi="Times New Roman"/>
        </w:rPr>
      </w:pPr>
    </w:p>
    <w:p w14:paraId="7AC7E27F" w14:textId="77777777" w:rsidR="00CD51A4" w:rsidRPr="000A2DE8" w:rsidRDefault="00CD51A4" w:rsidP="00CD51A4">
      <w:pPr>
        <w:widowControl w:val="0"/>
        <w:autoSpaceDE w:val="0"/>
        <w:autoSpaceDN w:val="0"/>
        <w:adjustRightInd w:val="0"/>
        <w:spacing w:after="0" w:line="240" w:lineRule="auto"/>
        <w:jc w:val="both"/>
        <w:rPr>
          <w:rFonts w:ascii="Times New Roman" w:eastAsia="Times New Roman" w:hAnsi="Times New Roman"/>
        </w:rPr>
      </w:pPr>
      <w:r w:rsidRPr="000A2DE8">
        <w:rPr>
          <w:rFonts w:ascii="Times New Roman" w:hAnsi="Times New Roman"/>
        </w:rPr>
        <w:t>Visos pagalbinės medžiagos išvardytos 6.1 skyriuje.</w:t>
      </w:r>
    </w:p>
    <w:p w14:paraId="61491B12" w14:textId="77777777" w:rsidR="00CD51A4" w:rsidRPr="000A2DE8" w:rsidRDefault="00CD51A4" w:rsidP="00CD51A4">
      <w:pPr>
        <w:widowControl w:val="0"/>
        <w:autoSpaceDE w:val="0"/>
        <w:autoSpaceDN w:val="0"/>
        <w:adjustRightInd w:val="0"/>
        <w:spacing w:after="0" w:line="240" w:lineRule="auto"/>
        <w:jc w:val="both"/>
        <w:rPr>
          <w:rFonts w:ascii="Times New Roman" w:eastAsia="Times New Roman" w:hAnsi="Times New Roman"/>
        </w:rPr>
      </w:pPr>
    </w:p>
    <w:p w14:paraId="4CA061F9" w14:textId="77777777" w:rsidR="00CD51A4" w:rsidRPr="000A2DE8" w:rsidRDefault="00CD51A4" w:rsidP="00CD51A4">
      <w:pPr>
        <w:widowControl w:val="0"/>
        <w:autoSpaceDE w:val="0"/>
        <w:autoSpaceDN w:val="0"/>
        <w:adjustRightInd w:val="0"/>
        <w:spacing w:after="0" w:line="240" w:lineRule="auto"/>
        <w:jc w:val="both"/>
        <w:rPr>
          <w:rFonts w:ascii="Times New Roman" w:eastAsia="Times New Roman" w:hAnsi="Times New Roman"/>
        </w:rPr>
      </w:pPr>
    </w:p>
    <w:p w14:paraId="3FDB5E88" w14:textId="77777777" w:rsidR="00CD51A4" w:rsidRPr="000A2DE8" w:rsidRDefault="00CD51A4" w:rsidP="00CD51A4">
      <w:pPr>
        <w:widowControl w:val="0"/>
        <w:numPr>
          <w:ilvl w:val="0"/>
          <w:numId w:val="14"/>
        </w:numPr>
        <w:tabs>
          <w:tab w:val="left" w:pos="680"/>
        </w:tabs>
        <w:autoSpaceDE w:val="0"/>
        <w:autoSpaceDN w:val="0"/>
        <w:adjustRightInd w:val="0"/>
        <w:spacing w:after="0" w:line="240" w:lineRule="auto"/>
        <w:ind w:left="677" w:hanging="677"/>
        <w:rPr>
          <w:rFonts w:ascii="Times New Roman" w:eastAsia="Times New Roman" w:hAnsi="Times New Roman"/>
        </w:rPr>
      </w:pPr>
      <w:r w:rsidRPr="000A2DE8">
        <w:rPr>
          <w:rFonts w:ascii="Times New Roman" w:hAnsi="Times New Roman"/>
          <w:b/>
          <w:spacing w:val="2"/>
        </w:rPr>
        <w:t>FARMACINĖ FORMA</w:t>
      </w:r>
    </w:p>
    <w:p w14:paraId="5DC64F6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BE15E5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Plėvele dengta tabletė.</w:t>
      </w:r>
    </w:p>
    <w:p w14:paraId="2FECF85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100C993" w14:textId="77777777" w:rsidR="00CD51A4" w:rsidRPr="000A2DE8" w:rsidRDefault="00CD51A4" w:rsidP="00CD51A4">
      <w:pPr>
        <w:widowControl w:val="0"/>
        <w:autoSpaceDE w:val="0"/>
        <w:autoSpaceDN w:val="0"/>
        <w:adjustRightInd w:val="0"/>
        <w:spacing w:after="0" w:line="240" w:lineRule="auto"/>
        <w:rPr>
          <w:rFonts w:ascii="Times New Roman" w:hAnsi="Times New Roman"/>
          <w:color w:val="000000"/>
        </w:rPr>
      </w:pPr>
      <w:r w:rsidRPr="000A2DE8">
        <w:rPr>
          <w:rFonts w:ascii="Times New Roman" w:hAnsi="Times New Roman"/>
          <w:color w:val="000000"/>
        </w:rPr>
        <w:t xml:space="preserve">Šviesiai oranžinė, apvali, </w:t>
      </w:r>
      <w:r w:rsidR="002579F6" w:rsidRPr="000A2DE8">
        <w:rPr>
          <w:rFonts w:ascii="Times New Roman" w:hAnsi="Times New Roman"/>
          <w:color w:val="000000"/>
        </w:rPr>
        <w:t xml:space="preserve">apytiksliai </w:t>
      </w:r>
      <w:r w:rsidRPr="000A2DE8">
        <w:rPr>
          <w:rFonts w:ascii="Times New Roman" w:hAnsi="Times New Roman"/>
          <w:color w:val="000000"/>
        </w:rPr>
        <w:t>6,20 mm skersmens, abipus išgaubta, plėvele dengta tabletė, kurios vienoje pusėje įspausta „IB1“, kita pusė lygi.</w:t>
      </w:r>
    </w:p>
    <w:p w14:paraId="0641D25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color w:val="000000"/>
        </w:rPr>
      </w:pPr>
    </w:p>
    <w:p w14:paraId="262E0C99" w14:textId="77777777" w:rsidR="00CD51A4" w:rsidRPr="000A2DE8" w:rsidRDefault="00CD51A4" w:rsidP="00CD51A4">
      <w:pPr>
        <w:widowControl w:val="0"/>
        <w:autoSpaceDE w:val="0"/>
        <w:autoSpaceDN w:val="0"/>
        <w:adjustRightInd w:val="0"/>
        <w:spacing w:after="0" w:line="240" w:lineRule="auto"/>
        <w:rPr>
          <w:rFonts w:ascii="Times New Roman" w:hAnsi="Times New Roman"/>
          <w:color w:val="000000"/>
        </w:rPr>
      </w:pPr>
      <w:r w:rsidRPr="000A2DE8">
        <w:rPr>
          <w:rFonts w:ascii="Times New Roman" w:hAnsi="Times New Roman"/>
          <w:color w:val="000000"/>
          <w:highlight w:val="lightGray"/>
        </w:rPr>
        <w:t xml:space="preserve">Šviesiai oranžinė, ovali, </w:t>
      </w:r>
      <w:r w:rsidR="002579F6" w:rsidRPr="000A2DE8">
        <w:rPr>
          <w:rFonts w:ascii="Times New Roman" w:hAnsi="Times New Roman"/>
          <w:color w:val="000000"/>
          <w:highlight w:val="lightGray"/>
        </w:rPr>
        <w:t xml:space="preserve">apytiksliai </w:t>
      </w:r>
      <w:r w:rsidRPr="000A2DE8">
        <w:rPr>
          <w:rFonts w:ascii="Times New Roman" w:hAnsi="Times New Roman"/>
          <w:color w:val="000000"/>
          <w:highlight w:val="lightGray"/>
        </w:rPr>
        <w:t>11,00 mm ilgio ir 5,00 mm pločio, abipus išgaubta, plėvele dengta tabletė, kurios vienoje pusėje įspausta „IB2“, kita pusė lygi.</w:t>
      </w:r>
    </w:p>
    <w:p w14:paraId="4FA612A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125D4E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364712A" w14:textId="77777777" w:rsidR="00CD51A4" w:rsidRPr="000A2DE8" w:rsidRDefault="00CD51A4" w:rsidP="00CD51A4">
      <w:pPr>
        <w:widowControl w:val="0"/>
        <w:numPr>
          <w:ilvl w:val="0"/>
          <w:numId w:val="14"/>
        </w:numPr>
        <w:tabs>
          <w:tab w:val="left" w:pos="680"/>
        </w:tabs>
        <w:autoSpaceDE w:val="0"/>
        <w:autoSpaceDN w:val="0"/>
        <w:adjustRightInd w:val="0"/>
        <w:spacing w:after="0" w:line="240" w:lineRule="auto"/>
        <w:ind w:left="677" w:hanging="677"/>
        <w:rPr>
          <w:rFonts w:ascii="Times New Roman" w:eastAsia="Times New Roman" w:hAnsi="Times New Roman"/>
        </w:rPr>
      </w:pPr>
      <w:r w:rsidRPr="000A2DE8">
        <w:rPr>
          <w:rFonts w:ascii="Times New Roman" w:hAnsi="Times New Roman"/>
          <w:b/>
          <w:spacing w:val="-1"/>
        </w:rPr>
        <w:t>KLINIKINĖ INFORMACIJA</w:t>
      </w:r>
    </w:p>
    <w:p w14:paraId="0F561F4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5FB3B36"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4.1</w:t>
      </w:r>
      <w:r w:rsidRPr="000A2DE8">
        <w:rPr>
          <w:rFonts w:ascii="Times New Roman" w:hAnsi="Times New Roman"/>
        </w:rPr>
        <w:tab/>
      </w:r>
      <w:r w:rsidRPr="000A2DE8">
        <w:rPr>
          <w:rFonts w:ascii="Times New Roman" w:hAnsi="Times New Roman"/>
          <w:b/>
        </w:rPr>
        <w:t>Terapinės indikacijos</w:t>
      </w:r>
    </w:p>
    <w:p w14:paraId="421B84F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4C81B58" w14:textId="77777777" w:rsidR="00CD51A4" w:rsidRPr="000A2DE8" w:rsidRDefault="00CD51A4" w:rsidP="00CD51A4">
      <w:pPr>
        <w:autoSpaceDE w:val="0"/>
        <w:autoSpaceDN w:val="0"/>
        <w:adjustRightInd w:val="0"/>
        <w:spacing w:after="0" w:line="240" w:lineRule="auto"/>
        <w:rPr>
          <w:rFonts w:ascii="Times New Roman" w:hAnsi="Times New Roman"/>
          <w:color w:val="000000"/>
        </w:rPr>
      </w:pPr>
      <w:r w:rsidRPr="000A2DE8">
        <w:rPr>
          <w:rFonts w:ascii="Times New Roman" w:hAnsi="Times New Roman"/>
          <w:color w:val="000000"/>
        </w:rPr>
        <w:t xml:space="preserve">Plautinės hipertenzijos (PH) gydymas pacientams, sergantiems PSO III funkcinės klasės PH, siekiant pagerinti fizinį pajėgumą ir palengvinti simptomus. Veiksmingumas buvo patvirtintas gydant: </w:t>
      </w:r>
    </w:p>
    <w:p w14:paraId="7BCDDA3A" w14:textId="77777777" w:rsidR="00CD51A4" w:rsidRPr="000A2DE8" w:rsidRDefault="00CD51A4" w:rsidP="00CD51A4">
      <w:pPr>
        <w:numPr>
          <w:ilvl w:val="0"/>
          <w:numId w:val="22"/>
        </w:numPr>
        <w:autoSpaceDE w:val="0"/>
        <w:autoSpaceDN w:val="0"/>
        <w:adjustRightInd w:val="0"/>
        <w:spacing w:after="0" w:line="240" w:lineRule="auto"/>
        <w:rPr>
          <w:rFonts w:ascii="Times New Roman" w:hAnsi="Times New Roman"/>
          <w:color w:val="000000"/>
        </w:rPr>
      </w:pPr>
      <w:r w:rsidRPr="000A2DE8">
        <w:rPr>
          <w:rFonts w:ascii="Times New Roman" w:hAnsi="Times New Roman"/>
          <w:color w:val="000000"/>
        </w:rPr>
        <w:t xml:space="preserve">pirminę (idiopatinę ar paveldimą) </w:t>
      </w:r>
      <w:r w:rsidR="009D384A" w:rsidRPr="000A2DE8">
        <w:rPr>
          <w:rFonts w:ascii="Times New Roman" w:hAnsi="Times New Roman"/>
          <w:color w:val="000000"/>
        </w:rPr>
        <w:t>PH</w:t>
      </w:r>
      <w:r w:rsidRPr="000A2DE8">
        <w:rPr>
          <w:rFonts w:ascii="Times New Roman" w:hAnsi="Times New Roman"/>
          <w:color w:val="000000"/>
        </w:rPr>
        <w:t xml:space="preserve">; </w:t>
      </w:r>
    </w:p>
    <w:p w14:paraId="2339EC6A" w14:textId="77777777" w:rsidR="00CD51A4" w:rsidRPr="000A2DE8" w:rsidRDefault="00CD51A4" w:rsidP="00CD51A4">
      <w:pPr>
        <w:numPr>
          <w:ilvl w:val="0"/>
          <w:numId w:val="22"/>
        </w:numPr>
        <w:autoSpaceDE w:val="0"/>
        <w:autoSpaceDN w:val="0"/>
        <w:adjustRightInd w:val="0"/>
        <w:spacing w:after="0" w:line="240" w:lineRule="auto"/>
        <w:rPr>
          <w:rFonts w:ascii="Times New Roman" w:hAnsi="Times New Roman"/>
          <w:color w:val="000000"/>
        </w:rPr>
      </w:pPr>
      <w:r w:rsidRPr="000A2DE8">
        <w:rPr>
          <w:rFonts w:ascii="Times New Roman" w:hAnsi="Times New Roman"/>
          <w:color w:val="000000"/>
        </w:rPr>
        <w:t xml:space="preserve">antrinę </w:t>
      </w:r>
      <w:r w:rsidR="009D384A" w:rsidRPr="000A2DE8">
        <w:rPr>
          <w:rFonts w:ascii="Times New Roman" w:hAnsi="Times New Roman"/>
          <w:color w:val="000000"/>
        </w:rPr>
        <w:t>PH</w:t>
      </w:r>
      <w:r w:rsidRPr="000A2DE8">
        <w:rPr>
          <w:rFonts w:ascii="Times New Roman" w:hAnsi="Times New Roman"/>
          <w:color w:val="000000"/>
        </w:rPr>
        <w:t xml:space="preserve">, sukeltą sklerodermijos, be reikšmingos intersticinės plaučių ligos; </w:t>
      </w:r>
    </w:p>
    <w:p w14:paraId="002F7667" w14:textId="77777777" w:rsidR="00CD51A4" w:rsidRPr="000A2DE8" w:rsidRDefault="009D384A" w:rsidP="00CD51A4">
      <w:pPr>
        <w:numPr>
          <w:ilvl w:val="0"/>
          <w:numId w:val="22"/>
        </w:numPr>
        <w:autoSpaceDE w:val="0"/>
        <w:autoSpaceDN w:val="0"/>
        <w:adjustRightInd w:val="0"/>
        <w:spacing w:after="0" w:line="240" w:lineRule="auto"/>
        <w:rPr>
          <w:rFonts w:ascii="Times New Roman" w:hAnsi="Times New Roman"/>
          <w:color w:val="000000"/>
        </w:rPr>
      </w:pPr>
      <w:r w:rsidRPr="000A2DE8">
        <w:rPr>
          <w:rFonts w:ascii="Times New Roman" w:hAnsi="Times New Roman"/>
          <w:color w:val="000000"/>
        </w:rPr>
        <w:t>PH</w:t>
      </w:r>
      <w:r w:rsidR="00CD51A4" w:rsidRPr="000A2DE8">
        <w:rPr>
          <w:rFonts w:ascii="Times New Roman" w:hAnsi="Times New Roman"/>
          <w:color w:val="000000"/>
        </w:rPr>
        <w:t>, susijusią su įgimtais šuntais tarp sisteminės ir plaučių kraujotakos bei Eizenmengerio (</w:t>
      </w:r>
      <w:r w:rsidR="00CD51A4" w:rsidRPr="000A2DE8">
        <w:rPr>
          <w:rFonts w:ascii="Times New Roman" w:hAnsi="Times New Roman"/>
          <w:i/>
          <w:iCs/>
          <w:color w:val="000000"/>
        </w:rPr>
        <w:t>Eisenmenger</w:t>
      </w:r>
      <w:r w:rsidR="00CD51A4" w:rsidRPr="000A2DE8">
        <w:rPr>
          <w:rFonts w:ascii="Times New Roman" w:hAnsi="Times New Roman"/>
          <w:color w:val="000000"/>
        </w:rPr>
        <w:t>) fiziologija.</w:t>
      </w:r>
    </w:p>
    <w:p w14:paraId="37DE035E" w14:textId="77777777" w:rsidR="00CD51A4" w:rsidRPr="000A2DE8" w:rsidRDefault="00CD51A4" w:rsidP="00CD51A4">
      <w:pPr>
        <w:pStyle w:val="Sraopastraipa"/>
        <w:spacing w:after="0" w:line="240" w:lineRule="auto"/>
        <w:ind w:left="0"/>
        <w:rPr>
          <w:rFonts w:ascii="Times New Roman" w:hAnsi="Times New Roman"/>
        </w:rPr>
      </w:pPr>
    </w:p>
    <w:p w14:paraId="5B33FE98" w14:textId="77777777" w:rsidR="00CD51A4" w:rsidRPr="000A2DE8" w:rsidRDefault="00CD51A4" w:rsidP="00CD51A4">
      <w:pPr>
        <w:pStyle w:val="Sraopastraipa"/>
        <w:spacing w:after="0" w:line="240" w:lineRule="auto"/>
        <w:ind w:left="0"/>
        <w:rPr>
          <w:rFonts w:ascii="Times New Roman" w:hAnsi="Times New Roman"/>
        </w:rPr>
      </w:pPr>
      <w:r w:rsidRPr="000A2DE8">
        <w:rPr>
          <w:rFonts w:ascii="Times New Roman" w:hAnsi="Times New Roman"/>
        </w:rPr>
        <w:t xml:space="preserve">Tam tikras pagerėjimas stebėtas ir pacientams, sergantiems PSO II funkcinės klasės </w:t>
      </w:r>
      <w:r w:rsidR="009D384A" w:rsidRPr="000A2DE8">
        <w:rPr>
          <w:rFonts w:ascii="Times New Roman" w:hAnsi="Times New Roman"/>
        </w:rPr>
        <w:t>PH</w:t>
      </w:r>
      <w:r w:rsidRPr="000A2DE8">
        <w:rPr>
          <w:rFonts w:ascii="Times New Roman" w:hAnsi="Times New Roman"/>
        </w:rPr>
        <w:t xml:space="preserve"> (žr. 5.1 skyrių). </w:t>
      </w:r>
    </w:p>
    <w:p w14:paraId="74BB067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5F365E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Bozentano tabletės taip pat skiriamos naujų pirštų opų atsiradimui sumažinti pacientams, sergantiems sistemine skleroze ir pirštų opalige (žr. 5.1 skyrių).</w:t>
      </w:r>
    </w:p>
    <w:p w14:paraId="259A5AE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D9E9BB9"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4.2</w:t>
      </w:r>
      <w:r w:rsidRPr="000A2DE8">
        <w:rPr>
          <w:rFonts w:ascii="Times New Roman" w:hAnsi="Times New Roman"/>
        </w:rPr>
        <w:tab/>
      </w:r>
      <w:r w:rsidRPr="000A2DE8">
        <w:rPr>
          <w:rFonts w:ascii="Times New Roman" w:hAnsi="Times New Roman"/>
          <w:b/>
        </w:rPr>
        <w:t>Dozavimas ir vartojimo metodas</w:t>
      </w:r>
    </w:p>
    <w:p w14:paraId="38C8E47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DF0B3E5" w14:textId="77777777" w:rsidR="00CD51A4" w:rsidRPr="000A2DE8" w:rsidRDefault="00CD51A4" w:rsidP="00CD51A4">
      <w:pPr>
        <w:widowControl w:val="0"/>
        <w:autoSpaceDE w:val="0"/>
        <w:autoSpaceDN w:val="0"/>
        <w:adjustRightInd w:val="0"/>
        <w:spacing w:after="0" w:line="240" w:lineRule="auto"/>
        <w:rPr>
          <w:rFonts w:ascii="Times New Roman" w:hAnsi="Times New Roman"/>
          <w:u w:val="single"/>
        </w:rPr>
      </w:pPr>
      <w:r w:rsidRPr="000A2DE8">
        <w:rPr>
          <w:rFonts w:ascii="Times New Roman" w:hAnsi="Times New Roman"/>
          <w:u w:val="single"/>
        </w:rPr>
        <w:t>Vartojimo metodas</w:t>
      </w:r>
    </w:p>
    <w:p w14:paraId="663220C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Tabletes reikia gerti ryte ir vakare, su maistu arba be maisto. Plėvele dengtas tabletes reikia nuryti užsigeriant vandeniu.</w:t>
      </w:r>
    </w:p>
    <w:p w14:paraId="2C210C5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AE29A4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Dozavimas</w:t>
      </w:r>
    </w:p>
    <w:p w14:paraId="3246671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u w:val="single"/>
        </w:rPr>
        <w:t>Plautinė hipertenzija</w:t>
      </w:r>
    </w:p>
    <w:p w14:paraId="51EEE05C" w14:textId="77777777" w:rsidR="00F57EE3"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Gydymą pradėti ir pacientą prižiūrėti gali tik gydytojas, turintis patirties gydant </w:t>
      </w:r>
      <w:r w:rsidR="00F57EE3" w:rsidRPr="000A2DE8">
        <w:rPr>
          <w:rFonts w:ascii="Times New Roman" w:hAnsi="Times New Roman"/>
          <w:spacing w:val="2"/>
        </w:rPr>
        <w:t>PH. Pakuotėje yra paciento įspėjamoji kortelė, pateikianti svarbios saugumo informacijos, kurią pacientai turi žinoti prieš gydymą Bosentan Accord ir gydymo metu.</w:t>
      </w:r>
    </w:p>
    <w:p w14:paraId="542209E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8E3C78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i/>
          <w:spacing w:val="-4"/>
        </w:rPr>
      </w:pPr>
      <w:r w:rsidRPr="000A2DE8">
        <w:rPr>
          <w:rFonts w:ascii="Times New Roman" w:hAnsi="Times New Roman"/>
          <w:i/>
          <w:spacing w:val="-4"/>
        </w:rPr>
        <w:t>Suaugusiems</w:t>
      </w:r>
    </w:p>
    <w:p w14:paraId="156963C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Suaugusiesiems gydymą preparatu bozentanu reikėtų pradėti nuo 62,5 mg dozės dukart per parą 4 savaites, </w:t>
      </w:r>
      <w:r w:rsidRPr="000A2DE8">
        <w:rPr>
          <w:rFonts w:ascii="Times New Roman" w:hAnsi="Times New Roman"/>
          <w:spacing w:val="-4"/>
        </w:rPr>
        <w:lastRenderedPageBreak/>
        <w:t>tada dozę didinti iki 125 mg palaikomosios dozės dukart per parą.</w:t>
      </w:r>
      <w:r w:rsidRPr="000A2DE8">
        <w:rPr>
          <w:rFonts w:ascii="Times New Roman" w:hAnsi="Times New Roman"/>
        </w:rPr>
        <w:t xml:space="preserve"> Tokios pačios rekomendacijos taikomos pakartotinai pradėjus vartoti bozentaną po gydymo nutraukimo (žr. 4.4 skyrių).</w:t>
      </w:r>
    </w:p>
    <w:p w14:paraId="072485F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F33CD3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i/>
        </w:rPr>
      </w:pPr>
      <w:r w:rsidRPr="000A2DE8">
        <w:rPr>
          <w:rFonts w:ascii="Times New Roman" w:hAnsi="Times New Roman"/>
          <w:i/>
        </w:rPr>
        <w:t>Vaikų populiacija</w:t>
      </w:r>
    </w:p>
    <w:p w14:paraId="215570B5" w14:textId="77777777" w:rsidR="00CD51A4" w:rsidRPr="000A2DE8" w:rsidRDefault="00CD51A4" w:rsidP="00CD51A4">
      <w:pPr>
        <w:widowControl w:val="0"/>
        <w:autoSpaceDE w:val="0"/>
        <w:autoSpaceDN w:val="0"/>
        <w:adjustRightInd w:val="0"/>
        <w:spacing w:after="0" w:line="240" w:lineRule="auto"/>
        <w:rPr>
          <w:rFonts w:ascii="Times New Roman" w:hAnsi="Times New Roman"/>
        </w:rPr>
      </w:pPr>
      <w:r w:rsidRPr="000A2DE8">
        <w:rPr>
          <w:rFonts w:ascii="Times New Roman" w:hAnsi="Times New Roman"/>
        </w:rPr>
        <w:t xml:space="preserve">Vaikų farmakokinetikos duomenys rodo, kad bozentano koncentracija </w:t>
      </w:r>
      <w:r w:rsidR="009D384A" w:rsidRPr="000A2DE8">
        <w:rPr>
          <w:rFonts w:ascii="Times New Roman" w:hAnsi="Times New Roman"/>
        </w:rPr>
        <w:t>PH</w:t>
      </w:r>
      <w:r w:rsidRPr="000A2DE8">
        <w:rPr>
          <w:rFonts w:ascii="Times New Roman" w:hAnsi="Times New Roman"/>
        </w:rPr>
        <w:t xml:space="preserve"> sergančių vaikų nuo 1 iki 15 metų organizme apskritai buvo mažesnė, negu suaugusiųjų ir nepadidėjo padidinus vartojamų bozentano tablečių dozę virš 2 mg/kg kūno masės arba dozavimo dažnį nuo dviejų kartų per parą iki trijų (žr. 5.2 skyrių). Mažai tikėtina, kad dozės arba vartojimo dažnio padidinimas turės didesnės klinikinės naudos.</w:t>
      </w:r>
    </w:p>
    <w:p w14:paraId="65D19789" w14:textId="77777777" w:rsidR="00CD51A4" w:rsidRPr="000A2DE8" w:rsidRDefault="00CD51A4" w:rsidP="00CD51A4">
      <w:pPr>
        <w:widowControl w:val="0"/>
        <w:autoSpaceDE w:val="0"/>
        <w:autoSpaceDN w:val="0"/>
        <w:adjustRightInd w:val="0"/>
        <w:spacing w:after="0" w:line="240" w:lineRule="auto"/>
        <w:rPr>
          <w:rFonts w:ascii="Times New Roman" w:hAnsi="Times New Roman"/>
        </w:rPr>
      </w:pPr>
    </w:p>
    <w:p w14:paraId="34AF3D0F" w14:textId="77777777" w:rsidR="00CD51A4" w:rsidRPr="000A2DE8" w:rsidRDefault="00CD51A4" w:rsidP="00CD51A4">
      <w:pPr>
        <w:widowControl w:val="0"/>
        <w:autoSpaceDE w:val="0"/>
        <w:autoSpaceDN w:val="0"/>
        <w:adjustRightInd w:val="0"/>
        <w:spacing w:after="0" w:line="240" w:lineRule="auto"/>
        <w:rPr>
          <w:rFonts w:ascii="Times New Roman" w:hAnsi="Times New Roman"/>
        </w:rPr>
      </w:pPr>
      <w:r w:rsidRPr="000A2DE8">
        <w:rPr>
          <w:rFonts w:ascii="Times New Roman" w:hAnsi="Times New Roman"/>
        </w:rPr>
        <w:t>Remiantis šiais farmakokinetikos rezultatais</w:t>
      </w:r>
      <w:r w:rsidR="00F57EE3" w:rsidRPr="000A2DE8">
        <w:rPr>
          <w:rFonts w:ascii="Times New Roman" w:hAnsi="Times New Roman"/>
        </w:rPr>
        <w:t xml:space="preserve">, kai vaistinis preparatas paskiriamas 1 metų ir vyresniems vaikams, sergantiems PH, </w:t>
      </w:r>
      <w:r w:rsidRPr="000A2DE8">
        <w:rPr>
          <w:rFonts w:ascii="Times New Roman" w:hAnsi="Times New Roman"/>
        </w:rPr>
        <w:t xml:space="preserve">rekomenduojama pradinė ir palaikomoji dozė yra 2 mg/kg ryte ir vakare. </w:t>
      </w:r>
    </w:p>
    <w:p w14:paraId="41C63D91" w14:textId="77777777" w:rsidR="00CD51A4" w:rsidRPr="000A2DE8" w:rsidRDefault="00CD51A4" w:rsidP="00CD51A4">
      <w:pPr>
        <w:widowControl w:val="0"/>
        <w:autoSpaceDE w:val="0"/>
        <w:autoSpaceDN w:val="0"/>
        <w:adjustRightInd w:val="0"/>
        <w:spacing w:after="0" w:line="240" w:lineRule="auto"/>
        <w:rPr>
          <w:rFonts w:ascii="Times New Roman" w:hAnsi="Times New Roman"/>
        </w:rPr>
      </w:pPr>
    </w:p>
    <w:p w14:paraId="6D34CAB3" w14:textId="77777777" w:rsidR="00F57EE3" w:rsidRPr="000A2DE8" w:rsidRDefault="00F57EE3" w:rsidP="00F57EE3">
      <w:pPr>
        <w:widowControl w:val="0"/>
        <w:autoSpaceDE w:val="0"/>
        <w:autoSpaceDN w:val="0"/>
        <w:adjustRightInd w:val="0"/>
        <w:spacing w:after="0" w:line="240" w:lineRule="auto"/>
        <w:rPr>
          <w:rFonts w:ascii="Times New Roman" w:hAnsi="Times New Roman"/>
        </w:rPr>
      </w:pPr>
      <w:r w:rsidRPr="000A2DE8">
        <w:rPr>
          <w:rFonts w:ascii="Times New Roman" w:hAnsi="Times New Roman"/>
        </w:rPr>
        <w:t>Taikant standartinį gydymą nenustatyta, kad naujag</w:t>
      </w:r>
      <w:r w:rsidR="00390432" w:rsidRPr="000A2DE8">
        <w:rPr>
          <w:rFonts w:ascii="Times New Roman" w:hAnsi="Times New Roman"/>
        </w:rPr>
        <w:t>i</w:t>
      </w:r>
      <w:r w:rsidRPr="000A2DE8">
        <w:rPr>
          <w:rFonts w:ascii="Times New Roman" w:hAnsi="Times New Roman"/>
        </w:rPr>
        <w:t>miams, sergantiems persistuojančia naujagimių plautine hipertenzija (</w:t>
      </w:r>
      <w:r w:rsidR="000A2DE8">
        <w:rPr>
          <w:rFonts w:ascii="Times New Roman" w:hAnsi="Times New Roman"/>
        </w:rPr>
        <w:t>PPHN</w:t>
      </w:r>
      <w:r w:rsidRPr="000A2DE8">
        <w:rPr>
          <w:rFonts w:ascii="Times New Roman" w:hAnsi="Times New Roman"/>
        </w:rPr>
        <w:t>), bozentanas turi teigiamą poveikį. Dozavimo rekomendacijų pateikti negalima (žr. 5.1 ir 5.2 skyrius).</w:t>
      </w:r>
    </w:p>
    <w:p w14:paraId="1D512BD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E0C9A6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i/>
          <w:spacing w:val="-4"/>
        </w:rPr>
      </w:pPr>
      <w:r w:rsidRPr="000A2DE8">
        <w:rPr>
          <w:rFonts w:ascii="Times New Roman" w:hAnsi="Times New Roman"/>
          <w:i/>
          <w:spacing w:val="-4"/>
        </w:rPr>
        <w:t xml:space="preserve">Gydymo taktika pablogėjus </w:t>
      </w:r>
      <w:r w:rsidR="009D384A" w:rsidRPr="000A2DE8">
        <w:rPr>
          <w:rFonts w:ascii="Times New Roman" w:hAnsi="Times New Roman"/>
          <w:i/>
          <w:spacing w:val="-4"/>
        </w:rPr>
        <w:t>PH</w:t>
      </w:r>
      <w:r w:rsidRPr="000A2DE8">
        <w:rPr>
          <w:rFonts w:ascii="Times New Roman" w:hAnsi="Times New Roman"/>
          <w:i/>
          <w:spacing w:val="-4"/>
        </w:rPr>
        <w:t xml:space="preserve"> klinikinei būsenai</w:t>
      </w:r>
    </w:p>
    <w:p w14:paraId="548CF29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Jei klinikinė būsena pablogėja (pvz., jei 6 minučių vaikščiojimo testo metu atstumas sumažėja bent 10 %, palyginti su rezultatu iki gydymo), nepaisant to, kad bozentano preparatu buvo gydoma bent 8 savaites (palaikomąją dozę vartojant bent 4 savaites), reikia pasirinkti alternatyvų gydymą. Tačiau kai kuriems pacientams 8 savaičių gydymas bozentanu būna neveiksmingas, o poveikis gali pasireikšti papildomai gydant dar 4 ar 8 savaites.</w:t>
      </w:r>
    </w:p>
    <w:p w14:paraId="3E44083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2FAF82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Jeigu nepaisant gydymo bozentanu vėliau pablogėja klinikinė būklė (t.</w:t>
      </w:r>
      <w:r w:rsidR="00F92AE5" w:rsidRPr="000A2DE8">
        <w:rPr>
          <w:rFonts w:ascii="Times New Roman" w:hAnsi="Times New Roman"/>
          <w:spacing w:val="-4"/>
        </w:rPr>
        <w:t xml:space="preserve"> </w:t>
      </w:r>
      <w:r w:rsidRPr="000A2DE8">
        <w:rPr>
          <w:rFonts w:ascii="Times New Roman" w:hAnsi="Times New Roman"/>
          <w:spacing w:val="-4"/>
        </w:rPr>
        <w:t>y. po keleto gydymo mėnesių), gydymą reikėtų iš naujo įvertinti. Kai kurie pacientai nereaguoja į gydymą bozentano preparatu, vartojant jį po 125 mg dukart per parą; šių pacientų fizinis pajėgumas gali nežymiai pagerėti, jei dozė padidinama iki 250 mg du kartus per parą. Reikia nuodugniai įvertinti naudos ir rizikos santykį, atsižvelgiant į toksinį poveikį kepenims (žr. 4.4 ir 5.1 skyrius).</w:t>
      </w:r>
    </w:p>
    <w:p w14:paraId="010E941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752DD8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position w:val="-1"/>
        </w:rPr>
        <w:t>Gydymo nutraukimas</w:t>
      </w:r>
    </w:p>
    <w:p w14:paraId="3108D12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Nėra sukaupta daug duomenų apie tai, kas vyksta staiga nutraukus gydymą bozentanu pacientams, sergantiems </w:t>
      </w:r>
      <w:r w:rsidR="00390432" w:rsidRPr="000A2DE8">
        <w:rPr>
          <w:rFonts w:ascii="Times New Roman" w:hAnsi="Times New Roman"/>
          <w:spacing w:val="2"/>
        </w:rPr>
        <w:t>P</w:t>
      </w:r>
      <w:r w:rsidR="00F57EE3" w:rsidRPr="000A2DE8">
        <w:rPr>
          <w:rFonts w:ascii="Times New Roman" w:hAnsi="Times New Roman"/>
          <w:spacing w:val="2"/>
        </w:rPr>
        <w:t>H</w:t>
      </w:r>
      <w:r w:rsidRPr="000A2DE8">
        <w:rPr>
          <w:rFonts w:ascii="Times New Roman" w:hAnsi="Times New Roman"/>
          <w:spacing w:val="2"/>
        </w:rPr>
        <w:t>. Nebuvo pastebėta jokio staigaus simptomų atsinaujinimo. Tačiau, siekiant išvengti galimo klinikinio pablogėjimo dėl simptomų atsinaujinimo, dozę reikia mažinti palaipsniui (dozę sumažinti perpus 3–7 dienų laikotarpiui). Gydymo nutraukimo laikotarpiu rekomenduojamas intensyvus stebėjimas.</w:t>
      </w:r>
    </w:p>
    <w:p w14:paraId="3A4D372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Nusprendus nutraukti bozentano vartojimą, tai reikia atlikti palaipsniui, tuo pačiu metu pradedant alternatyvų gydymą.</w:t>
      </w:r>
    </w:p>
    <w:p w14:paraId="3F498AC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35EC27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u w:val="single"/>
        </w:rPr>
        <w:t>Sisteminė sklerozė su progresuojančia pirštų opalige</w:t>
      </w:r>
    </w:p>
    <w:p w14:paraId="65577A4A" w14:textId="77777777" w:rsidR="00CD51A4" w:rsidRPr="000A2DE8" w:rsidRDefault="00CD51A4" w:rsidP="00CD51A4">
      <w:pPr>
        <w:widowControl w:val="0"/>
        <w:autoSpaceDE w:val="0"/>
        <w:autoSpaceDN w:val="0"/>
        <w:adjustRightInd w:val="0"/>
        <w:spacing w:after="0" w:line="240" w:lineRule="auto"/>
        <w:rPr>
          <w:rFonts w:ascii="Times New Roman" w:hAnsi="Times New Roman"/>
          <w:spacing w:val="2"/>
        </w:rPr>
      </w:pPr>
      <w:r w:rsidRPr="000A2DE8">
        <w:rPr>
          <w:rFonts w:ascii="Times New Roman" w:hAnsi="Times New Roman"/>
          <w:spacing w:val="2"/>
        </w:rPr>
        <w:t>Gydymą pradėti ir pacientą prižiūrėti turi gydytojas, turintis patirties gydant sisteminę sklerozę.</w:t>
      </w:r>
    </w:p>
    <w:p w14:paraId="67FB5D05" w14:textId="77777777" w:rsidR="00C7550F" w:rsidRDefault="00C7550F" w:rsidP="00CD51A4">
      <w:pPr>
        <w:widowControl w:val="0"/>
        <w:autoSpaceDE w:val="0"/>
        <w:autoSpaceDN w:val="0"/>
        <w:adjustRightInd w:val="0"/>
        <w:spacing w:after="0" w:line="240" w:lineRule="auto"/>
        <w:rPr>
          <w:rFonts w:ascii="Times New Roman" w:hAnsi="Times New Roman"/>
          <w:spacing w:val="2"/>
        </w:rPr>
      </w:pPr>
    </w:p>
    <w:p w14:paraId="312C777D" w14:textId="77777777" w:rsidR="00F57EE3" w:rsidRPr="000A2DE8" w:rsidRDefault="00F57EE3"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Pakuotėje yra paciento įspėjamoji kortelė, pateikianti svarbios saugumo informacijos, kurią pacientai turi žinoti prieš gydymą </w:t>
      </w:r>
      <w:r w:rsidRPr="000A2DE8">
        <w:rPr>
          <w:rFonts w:ascii="Times New Roman" w:hAnsi="Times New Roman"/>
          <w:color w:val="000000"/>
        </w:rPr>
        <w:t>Bosentan Accord</w:t>
      </w:r>
      <w:r w:rsidRPr="000A2DE8">
        <w:rPr>
          <w:rFonts w:ascii="Times New Roman" w:hAnsi="Times New Roman"/>
          <w:spacing w:val="2"/>
        </w:rPr>
        <w:t xml:space="preserve"> ir gydymo metu.</w:t>
      </w:r>
    </w:p>
    <w:p w14:paraId="11F0B4C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A530862" w14:textId="77777777" w:rsidR="00CD51A4" w:rsidRPr="000A2DE8" w:rsidRDefault="00CD51A4" w:rsidP="00CD51A4">
      <w:pPr>
        <w:widowControl w:val="0"/>
        <w:autoSpaceDE w:val="0"/>
        <w:autoSpaceDN w:val="0"/>
        <w:adjustRightInd w:val="0"/>
        <w:spacing w:after="0" w:line="240" w:lineRule="auto"/>
        <w:rPr>
          <w:rFonts w:ascii="Times New Roman" w:hAnsi="Times New Roman"/>
          <w:i/>
          <w:u w:val="single"/>
        </w:rPr>
      </w:pPr>
      <w:r w:rsidRPr="000A2DE8">
        <w:rPr>
          <w:rFonts w:ascii="Times New Roman" w:hAnsi="Times New Roman"/>
          <w:i/>
          <w:u w:val="single"/>
        </w:rPr>
        <w:t>Suaugusiems</w:t>
      </w:r>
    </w:p>
    <w:p w14:paraId="3E75814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Gydymą bozentano preparatu reikėtų pradėti nuo 62,5 mg dozės dukart per parą 4 savaites, tada dozę didinti iki 125 mg palaikomosios dozės dukart per parą. Tokios pačios rekomendacijos taikomos pakartotinai pradėjus vartoti bozentaną po gydymo nutraukimo (žr. 4.4 skyrių).</w:t>
      </w:r>
    </w:p>
    <w:p w14:paraId="3CEC526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123528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Šios indikacijos kontroliniai klinikiniai tyrimai truko tik 6 mėnesius (žr. 5.1 skyrių). </w:t>
      </w:r>
    </w:p>
    <w:p w14:paraId="5321D59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40BE5C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Reguliariai reikia įvertinti paciento atsaką į gydymą ir terapijos tęsimo poreikį. Reikia nuodugniai įvertinti naudos ir rizikos santykį, atsižvelgiant į bozentano toksinį poveikį kepenims (žr. 4.4 ir 4.8 skyrius).</w:t>
      </w:r>
    </w:p>
    <w:p w14:paraId="677C1BE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F464CE0" w14:textId="77777777" w:rsidR="00CD51A4" w:rsidRPr="000A2DE8" w:rsidRDefault="00CD51A4" w:rsidP="00CD51A4">
      <w:pPr>
        <w:widowControl w:val="0"/>
        <w:autoSpaceDE w:val="0"/>
        <w:autoSpaceDN w:val="0"/>
        <w:adjustRightInd w:val="0"/>
        <w:spacing w:after="0" w:line="240" w:lineRule="auto"/>
        <w:rPr>
          <w:rFonts w:ascii="Times New Roman" w:hAnsi="Times New Roman"/>
          <w:i/>
          <w:u w:val="single"/>
        </w:rPr>
      </w:pPr>
      <w:r w:rsidRPr="000A2DE8">
        <w:rPr>
          <w:rFonts w:ascii="Times New Roman" w:hAnsi="Times New Roman"/>
          <w:i/>
          <w:u w:val="single"/>
        </w:rPr>
        <w:lastRenderedPageBreak/>
        <w:t>Vaikų populiacija</w:t>
      </w:r>
    </w:p>
    <w:p w14:paraId="66FFE17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Saugumo ir veiksmingumo duomenų jaunesniems kaip 18 metų pacientams nėra. Bozentano tablečių farmakokinetikos duomenų mažiems vaikams, sergantiems šia liga, nėra.</w:t>
      </w:r>
    </w:p>
    <w:p w14:paraId="0178DBD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bCs/>
          <w:iCs/>
          <w:u w:val="single"/>
        </w:rPr>
      </w:pPr>
    </w:p>
    <w:p w14:paraId="1496592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u w:val="single"/>
        </w:rPr>
        <w:t>Ypatingos populiacijos</w:t>
      </w:r>
    </w:p>
    <w:p w14:paraId="66E7717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position w:val="-1"/>
        </w:rPr>
        <w:t>Pacientams, kurių kepenų funkcija sutrikusi</w:t>
      </w:r>
    </w:p>
    <w:p w14:paraId="57F95D2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Pacientams, kuriems pasireiškia nežymus kepenų pažeidimas, dozės adaptuoti nereikia (t.</w:t>
      </w:r>
      <w:r w:rsidR="00F92AE5" w:rsidRPr="000A2DE8">
        <w:rPr>
          <w:rFonts w:ascii="Times New Roman" w:hAnsi="Times New Roman"/>
          <w:spacing w:val="-1"/>
        </w:rPr>
        <w:t xml:space="preserve"> </w:t>
      </w:r>
      <w:r w:rsidRPr="000A2DE8">
        <w:rPr>
          <w:rFonts w:ascii="Times New Roman" w:hAnsi="Times New Roman"/>
          <w:spacing w:val="-1"/>
        </w:rPr>
        <w:t xml:space="preserve">y. </w:t>
      </w:r>
      <w:r w:rsidRPr="000A2DE8">
        <w:rPr>
          <w:rFonts w:ascii="Times New Roman" w:hAnsi="Times New Roman"/>
          <w:i/>
          <w:spacing w:val="-1"/>
        </w:rPr>
        <w:t>Child-Pugh</w:t>
      </w:r>
      <w:r w:rsidRPr="000A2DE8">
        <w:rPr>
          <w:rFonts w:ascii="Times New Roman" w:hAnsi="Times New Roman"/>
          <w:spacing w:val="-1"/>
        </w:rPr>
        <w:t>, A klasė) (žr. 5.2 skyrių). Bozentano negalima vartoti pacientams, kuriems yra vidutinio sunkumo ir sunkių kepenų funkcijos pažeidimų (žr. 4.3, 4.4 ir 5.2 skyrius).</w:t>
      </w:r>
    </w:p>
    <w:p w14:paraId="14768A4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2A30CE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position w:val="-1"/>
        </w:rPr>
        <w:t>Pacientams, kurių inkstų funkcija sutrikusi</w:t>
      </w:r>
    </w:p>
    <w:p w14:paraId="643398B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Pacientams, kuriems pasireiškia inkstų funkcijų pažeidimas, dozės koreguoti nereikia. Pacientams, kuriems atliekama dializė, dozės koreguoti nereikia (žr. 5.2 skyrių).</w:t>
      </w:r>
    </w:p>
    <w:p w14:paraId="2A77972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8EE7CB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position w:val="-1"/>
        </w:rPr>
        <w:t>Senyviems pacientams</w:t>
      </w:r>
    </w:p>
    <w:p w14:paraId="0034937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Pacientams, kurių amžius yra virš 65 metų, dozės adaptuoti nereikia.</w:t>
      </w:r>
    </w:p>
    <w:p w14:paraId="7C09FB2B"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b/>
          <w:bCs/>
        </w:rPr>
      </w:pPr>
    </w:p>
    <w:p w14:paraId="25F590A4"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4.3</w:t>
      </w:r>
      <w:r w:rsidRPr="000A2DE8">
        <w:rPr>
          <w:rFonts w:ascii="Times New Roman" w:hAnsi="Times New Roman"/>
        </w:rPr>
        <w:tab/>
      </w:r>
      <w:r w:rsidRPr="000A2DE8">
        <w:rPr>
          <w:rFonts w:ascii="Times New Roman" w:hAnsi="Times New Roman"/>
          <w:b/>
        </w:rPr>
        <w:t>Kontraindikacijos</w:t>
      </w:r>
    </w:p>
    <w:p w14:paraId="58BABAB8"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E9A0834" w14:textId="77777777" w:rsidR="00CD51A4" w:rsidRPr="000A2DE8" w:rsidRDefault="00CD51A4" w:rsidP="00CD51A4">
      <w:pPr>
        <w:widowControl w:val="0"/>
        <w:numPr>
          <w:ilvl w:val="0"/>
          <w:numId w:val="15"/>
        </w:numPr>
        <w:tabs>
          <w:tab w:val="clear" w:pos="567"/>
          <w:tab w:val="left" w:pos="0"/>
        </w:tabs>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spacing w:val="-1"/>
        </w:rPr>
        <w:t>Padidėjęs jautrumas veikliajai arba bet kuriai 6.1 skyriuje nurodytai pagalbinei medžiagai.</w:t>
      </w:r>
    </w:p>
    <w:p w14:paraId="463960D2" w14:textId="77777777" w:rsidR="00CD51A4" w:rsidRPr="000A2DE8" w:rsidRDefault="00CD51A4" w:rsidP="00CD51A4">
      <w:pPr>
        <w:widowControl w:val="0"/>
        <w:numPr>
          <w:ilvl w:val="0"/>
          <w:numId w:val="15"/>
        </w:numPr>
        <w:tabs>
          <w:tab w:val="clear" w:pos="567"/>
          <w:tab w:val="left" w:pos="0"/>
        </w:tabs>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rPr>
        <w:t xml:space="preserve">Vidutinio sunkumo arba sunkus kepenų pažeidimas, pvz., </w:t>
      </w:r>
      <w:r w:rsidRPr="000A2DE8">
        <w:rPr>
          <w:rFonts w:ascii="Times New Roman" w:hAnsi="Times New Roman"/>
          <w:i/>
        </w:rPr>
        <w:t>Child-Pugh</w:t>
      </w:r>
      <w:r w:rsidRPr="000A2DE8">
        <w:rPr>
          <w:rFonts w:ascii="Times New Roman" w:hAnsi="Times New Roman"/>
        </w:rPr>
        <w:t xml:space="preserve"> B arba C klasė (žr. 5.2 skyrių).</w:t>
      </w:r>
    </w:p>
    <w:p w14:paraId="22443F64" w14:textId="77777777" w:rsidR="00CD51A4" w:rsidRPr="000A2DE8" w:rsidRDefault="00CD51A4" w:rsidP="00CD51A4">
      <w:pPr>
        <w:widowControl w:val="0"/>
        <w:numPr>
          <w:ilvl w:val="0"/>
          <w:numId w:val="15"/>
        </w:numPr>
        <w:tabs>
          <w:tab w:val="clear" w:pos="567"/>
          <w:tab w:val="left" w:pos="0"/>
        </w:tabs>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spacing w:val="-1"/>
        </w:rPr>
        <w:t>Pradinės kepenų aminotransferazių, t.</w:t>
      </w:r>
      <w:r w:rsidR="00F92AE5" w:rsidRPr="000A2DE8">
        <w:rPr>
          <w:rFonts w:ascii="Times New Roman" w:hAnsi="Times New Roman"/>
          <w:spacing w:val="-1"/>
        </w:rPr>
        <w:t xml:space="preserve"> </w:t>
      </w:r>
      <w:r w:rsidRPr="000A2DE8">
        <w:rPr>
          <w:rFonts w:ascii="Times New Roman" w:hAnsi="Times New Roman"/>
          <w:spacing w:val="-1"/>
        </w:rPr>
        <w:t xml:space="preserve">y. aspartato aminotransferazės (AST) ir (arba) alanino aminotransferazės (ALT), koncentracijos daugiau nei 3 kartus viršija </w:t>
      </w:r>
      <w:r w:rsidR="00390432" w:rsidRPr="000A2DE8">
        <w:rPr>
          <w:rFonts w:ascii="Times New Roman" w:hAnsi="Times New Roman"/>
          <w:spacing w:val="-1"/>
        </w:rPr>
        <w:t xml:space="preserve">viršutinę </w:t>
      </w:r>
      <w:r w:rsidRPr="000A2DE8">
        <w:rPr>
          <w:rFonts w:ascii="Times New Roman" w:hAnsi="Times New Roman"/>
          <w:spacing w:val="-1"/>
        </w:rPr>
        <w:t>norm</w:t>
      </w:r>
      <w:r w:rsidR="00390432" w:rsidRPr="000A2DE8">
        <w:rPr>
          <w:rFonts w:ascii="Times New Roman" w:hAnsi="Times New Roman"/>
          <w:spacing w:val="-1"/>
        </w:rPr>
        <w:t>os</w:t>
      </w:r>
      <w:r w:rsidRPr="000A2DE8">
        <w:rPr>
          <w:rFonts w:ascii="Times New Roman" w:hAnsi="Times New Roman"/>
          <w:spacing w:val="-1"/>
        </w:rPr>
        <w:t xml:space="preserve"> ribą (</w:t>
      </w:r>
      <w:r w:rsidR="00F57EE3" w:rsidRPr="000A2DE8">
        <w:rPr>
          <w:rFonts w:ascii="Times New Roman" w:hAnsi="Times New Roman"/>
          <w:spacing w:val="-1"/>
        </w:rPr>
        <w:t xml:space="preserve">VNR; </w:t>
      </w:r>
      <w:r w:rsidRPr="000A2DE8">
        <w:rPr>
          <w:rFonts w:ascii="Times New Roman" w:hAnsi="Times New Roman"/>
          <w:spacing w:val="-1"/>
        </w:rPr>
        <w:t>žr. 4.4 skyrių).</w:t>
      </w:r>
    </w:p>
    <w:p w14:paraId="2F40B6C5" w14:textId="77777777" w:rsidR="00CD51A4" w:rsidRPr="000A2DE8" w:rsidRDefault="00CD51A4" w:rsidP="00CD51A4">
      <w:pPr>
        <w:widowControl w:val="0"/>
        <w:numPr>
          <w:ilvl w:val="0"/>
          <w:numId w:val="15"/>
        </w:numPr>
        <w:tabs>
          <w:tab w:val="clear" w:pos="567"/>
          <w:tab w:val="left" w:pos="0"/>
        </w:tabs>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spacing w:val="-1"/>
        </w:rPr>
        <w:t>Vartojimas kartu su ciklosporinu A (žr. 4.5 skyrių).</w:t>
      </w:r>
    </w:p>
    <w:p w14:paraId="60B07C6E" w14:textId="77777777" w:rsidR="00CD51A4" w:rsidRPr="000A2DE8" w:rsidRDefault="00CD51A4" w:rsidP="00CD51A4">
      <w:pPr>
        <w:widowControl w:val="0"/>
        <w:numPr>
          <w:ilvl w:val="0"/>
          <w:numId w:val="15"/>
        </w:numPr>
        <w:tabs>
          <w:tab w:val="left" w:pos="0"/>
        </w:tabs>
        <w:autoSpaceDE w:val="0"/>
        <w:autoSpaceDN w:val="0"/>
        <w:adjustRightInd w:val="0"/>
        <w:spacing w:after="0" w:line="240" w:lineRule="auto"/>
        <w:ind w:left="540" w:hanging="567"/>
        <w:rPr>
          <w:rFonts w:ascii="Times New Roman" w:eastAsia="Times New Roman" w:hAnsi="Times New Roman"/>
        </w:rPr>
      </w:pPr>
      <w:r w:rsidRPr="000A2DE8">
        <w:rPr>
          <w:rFonts w:ascii="Times New Roman" w:hAnsi="Times New Roman"/>
        </w:rPr>
        <w:t>Nėštumas (žr. 4.4 ir 4.6 skyrius).</w:t>
      </w:r>
    </w:p>
    <w:p w14:paraId="6DA27222" w14:textId="77777777" w:rsidR="00CD51A4" w:rsidRPr="000A2DE8" w:rsidRDefault="00CD51A4" w:rsidP="00CD51A4">
      <w:pPr>
        <w:widowControl w:val="0"/>
        <w:numPr>
          <w:ilvl w:val="0"/>
          <w:numId w:val="15"/>
        </w:numPr>
        <w:tabs>
          <w:tab w:val="left" w:pos="0"/>
        </w:tabs>
        <w:autoSpaceDE w:val="0"/>
        <w:autoSpaceDN w:val="0"/>
        <w:adjustRightInd w:val="0"/>
        <w:spacing w:after="0" w:line="240" w:lineRule="auto"/>
        <w:ind w:left="540" w:hanging="567"/>
        <w:rPr>
          <w:rFonts w:ascii="Times New Roman" w:eastAsia="Times New Roman" w:hAnsi="Times New Roman"/>
        </w:rPr>
      </w:pPr>
      <w:r w:rsidRPr="000A2DE8">
        <w:rPr>
          <w:rFonts w:ascii="Times New Roman" w:hAnsi="Times New Roman"/>
        </w:rPr>
        <w:t>Vaisingo amžiaus moterys, nevartojančios patikimų kontracepcijos priemonių (žr. 4.4, 4.5 ir 4.6 skyrius).</w:t>
      </w:r>
    </w:p>
    <w:p w14:paraId="0C016AF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D70DBFF"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4.4</w:t>
      </w:r>
      <w:r w:rsidRPr="000A2DE8">
        <w:rPr>
          <w:rFonts w:ascii="Times New Roman" w:hAnsi="Times New Roman"/>
        </w:rPr>
        <w:tab/>
      </w:r>
      <w:r w:rsidRPr="000A2DE8">
        <w:rPr>
          <w:rFonts w:ascii="Times New Roman" w:hAnsi="Times New Roman"/>
          <w:b/>
        </w:rPr>
        <w:t>Specialūs įspėjimai ir atsargumo priemonės</w:t>
      </w:r>
    </w:p>
    <w:p w14:paraId="5DB498C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457088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Bozentano veiksmingumas pacientams</w:t>
      </w:r>
      <w:r w:rsidR="00390432" w:rsidRPr="000A2DE8">
        <w:rPr>
          <w:rFonts w:ascii="Times New Roman" w:hAnsi="Times New Roman"/>
          <w:spacing w:val="2"/>
        </w:rPr>
        <w:t>, sergantiems</w:t>
      </w:r>
      <w:r w:rsidRPr="000A2DE8">
        <w:rPr>
          <w:rFonts w:ascii="Times New Roman" w:hAnsi="Times New Roman"/>
          <w:spacing w:val="2"/>
        </w:rPr>
        <w:t xml:space="preserve"> sunkia </w:t>
      </w:r>
      <w:r w:rsidR="00F57EE3" w:rsidRPr="000A2DE8">
        <w:rPr>
          <w:rFonts w:ascii="Times New Roman" w:hAnsi="Times New Roman"/>
          <w:spacing w:val="2"/>
        </w:rPr>
        <w:t>PH</w:t>
      </w:r>
      <w:r w:rsidR="00390432" w:rsidRPr="000A2DE8">
        <w:rPr>
          <w:rFonts w:ascii="Times New Roman" w:hAnsi="Times New Roman"/>
          <w:spacing w:val="2"/>
        </w:rPr>
        <w:t>,</w:t>
      </w:r>
      <w:r w:rsidRPr="000A2DE8">
        <w:rPr>
          <w:rFonts w:ascii="Times New Roman" w:hAnsi="Times New Roman"/>
          <w:spacing w:val="2"/>
        </w:rPr>
        <w:t xml:space="preserve"> nenustatytas. Jei klinikinė būklė pablogėtų, reikėtų pereiti prie gydymo, kuris rekomenduojamas sunkiu ligos atveju (pvz., epoprostenolis) (žr. 4.2 skyrių).</w:t>
      </w:r>
    </w:p>
    <w:p w14:paraId="49EE056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B51C6F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Bozentano naudos ir rizikos santykis nebuvo nustatytas pacientams, turintiems I PSO klasės </w:t>
      </w:r>
      <w:r w:rsidR="00F57EE3" w:rsidRPr="000A2DE8">
        <w:rPr>
          <w:rFonts w:ascii="Times New Roman" w:hAnsi="Times New Roman"/>
          <w:spacing w:val="2"/>
        </w:rPr>
        <w:t>PH</w:t>
      </w:r>
      <w:r w:rsidRPr="000A2DE8">
        <w:rPr>
          <w:rFonts w:ascii="Times New Roman" w:hAnsi="Times New Roman"/>
          <w:spacing w:val="2"/>
        </w:rPr>
        <w:t xml:space="preserve"> funkcinę būklę.</w:t>
      </w:r>
    </w:p>
    <w:p w14:paraId="1B49B77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60FEE4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Bozentano galima vartoti tik tada, jei sisteminis sistolinis kraujospūdis yra didesnis kaip 85</w:t>
      </w:r>
      <w:r w:rsidR="00F92AE5" w:rsidRPr="000A2DE8">
        <w:rPr>
          <w:rFonts w:ascii="Times New Roman" w:hAnsi="Times New Roman"/>
          <w:spacing w:val="2"/>
        </w:rPr>
        <w:t> </w:t>
      </w:r>
      <w:r w:rsidRPr="000A2DE8">
        <w:rPr>
          <w:rFonts w:ascii="Times New Roman" w:hAnsi="Times New Roman"/>
          <w:spacing w:val="2"/>
        </w:rPr>
        <w:t xml:space="preserve">mmHg. </w:t>
      </w:r>
    </w:p>
    <w:p w14:paraId="5C34ED6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584CA4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Nenustatyta, ar bozentano tabletės turi teigiamą poveikį esamų pirštų opų gijimui. </w:t>
      </w:r>
    </w:p>
    <w:p w14:paraId="02501C2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u w:val="single"/>
        </w:rPr>
      </w:pPr>
    </w:p>
    <w:p w14:paraId="56548D1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u w:val="single"/>
        </w:rPr>
        <w:t>Kepenų veikla</w:t>
      </w:r>
    </w:p>
    <w:p w14:paraId="04B5501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 xml:space="preserve">Bozentano sukeliamas kepenų </w:t>
      </w:r>
      <w:r w:rsidR="00F57EE3" w:rsidRPr="000A2DE8">
        <w:rPr>
          <w:rFonts w:ascii="Times New Roman" w:hAnsi="Times New Roman"/>
        </w:rPr>
        <w:t>aminotransferazės</w:t>
      </w:r>
      <w:r w:rsidRPr="000A2DE8">
        <w:rPr>
          <w:rFonts w:ascii="Times New Roman" w:hAnsi="Times New Roman"/>
        </w:rPr>
        <w:t>, t.</w:t>
      </w:r>
      <w:r w:rsidR="00F92AE5" w:rsidRPr="000A2DE8">
        <w:rPr>
          <w:rFonts w:ascii="Times New Roman" w:hAnsi="Times New Roman"/>
        </w:rPr>
        <w:t xml:space="preserve"> </w:t>
      </w:r>
      <w:r w:rsidRPr="000A2DE8">
        <w:rPr>
          <w:rFonts w:ascii="Times New Roman" w:hAnsi="Times New Roman"/>
        </w:rPr>
        <w:t>y. aspartato ir (arba) alanino aminotransferazės (AST ir (arba) ALT) koncentracijos padidėjimas priklauso nuo dozės. Kepenų fermentų pokyčiai paprastai atsiranda per pirmas 26 gydymo savaites, tačiau gydymo metu gali atsirasti ir vėliau (žr. 4.8 skyrių). Šiuos padidėjimus iš dalies gali sukelti konkurencinis tulžies druskų pašalinimo iš kepenų ląstelių slopinimas, tačiau kiti mechanizmai, kurie nėra tiksliai nustatyti, tikriausiai taip pat susiję su kepenų funkcijų sutrikimu. Galimas bozentano kaupimasis hepatocituose, dėl kurio vyksta citolizė, sukelianti sunkius kepenų pažeidimus ir imuninio mechanizmo sutrikimus. Kepenų funkcijų sutrikimo rizika taip pat gali padidėti, kai kartu su bozentanu skiriami preparatai, slopinantys tulžies druskų šalinimo siurblį, pvz., rifampicinas, glibenklamidas ir ciklosporinas A (žr. 4.3 ir 4.5 skyrius), tačiau duomenų apie tai yra nedaug.</w:t>
      </w:r>
    </w:p>
    <w:p w14:paraId="3ACDB388" w14:textId="77777777" w:rsidR="00CD51A4" w:rsidRPr="000A2DE8" w:rsidRDefault="00CD51A4" w:rsidP="00CD51A4">
      <w:pPr>
        <w:widowControl w:val="0"/>
        <w:pBdr>
          <w:bottom w:val="single" w:sz="4" w:space="1" w:color="auto"/>
        </w:pBdr>
        <w:autoSpaceDE w:val="0"/>
        <w:autoSpaceDN w:val="0"/>
        <w:adjustRightInd w:val="0"/>
        <w:spacing w:after="0" w:line="240" w:lineRule="auto"/>
        <w:rPr>
          <w:rFonts w:ascii="Times New Roman" w:eastAsia="Times New Roman" w:hAnsi="Times New Roman"/>
        </w:rPr>
      </w:pPr>
    </w:p>
    <w:p w14:paraId="006D3EF4" w14:textId="77777777" w:rsidR="00CD51A4" w:rsidRPr="000A2DE8" w:rsidRDefault="00CD51A4" w:rsidP="00CD51A4">
      <w:pPr>
        <w:widowControl w:val="0"/>
        <w:pBdr>
          <w:bottom w:val="single" w:sz="4" w:space="1" w:color="auto"/>
        </w:pBdr>
        <w:autoSpaceDE w:val="0"/>
        <w:autoSpaceDN w:val="0"/>
        <w:adjustRightInd w:val="0"/>
        <w:spacing w:after="0" w:line="240" w:lineRule="auto"/>
        <w:rPr>
          <w:rFonts w:ascii="Times New Roman" w:eastAsia="Times New Roman" w:hAnsi="Times New Roman"/>
        </w:rPr>
      </w:pPr>
    </w:p>
    <w:p w14:paraId="1CA744DA" w14:textId="77777777" w:rsidR="00CD51A4" w:rsidRPr="000A2DE8" w:rsidRDefault="00CD51A4" w:rsidP="00CD51A4">
      <w:pPr>
        <w:widowControl w:val="0"/>
        <w:pBdr>
          <w:bottom w:val="single" w:sz="4" w:space="1" w:color="auto"/>
        </w:pBdr>
        <w:autoSpaceDE w:val="0"/>
        <w:autoSpaceDN w:val="0"/>
        <w:adjustRightInd w:val="0"/>
        <w:spacing w:after="0" w:line="240" w:lineRule="auto"/>
        <w:rPr>
          <w:rFonts w:ascii="Times New Roman" w:eastAsia="Times New Roman" w:hAnsi="Times New Roman"/>
        </w:rPr>
      </w:pPr>
    </w:p>
    <w:p w14:paraId="58092A7F" w14:textId="77777777" w:rsidR="00CD51A4" w:rsidRPr="000A2DE8" w:rsidRDefault="00CD51A4" w:rsidP="00CD51A4">
      <w:pPr>
        <w:widowControl w:val="0"/>
        <w:pBdr>
          <w:left w:val="single" w:sz="4" w:space="4" w:color="auto"/>
          <w:right w:val="single" w:sz="4" w:space="4" w:color="auto"/>
        </w:pBdr>
        <w:autoSpaceDE w:val="0"/>
        <w:autoSpaceDN w:val="0"/>
        <w:adjustRightInd w:val="0"/>
        <w:spacing w:after="0" w:line="240" w:lineRule="auto"/>
        <w:rPr>
          <w:rFonts w:ascii="Times New Roman" w:eastAsia="Times New Roman" w:hAnsi="Times New Roman"/>
          <w:b/>
        </w:rPr>
      </w:pPr>
      <w:r w:rsidRPr="000A2DE8">
        <w:rPr>
          <w:rFonts w:ascii="Times New Roman" w:hAnsi="Times New Roman"/>
          <w:b/>
        </w:rPr>
        <w:t>Kepenų aminotransferazių koncentracijas reikia išmatuoti prieš pradedant gydymą ir paskui kas mėnesį tol, kol bus tęsiamas gydymas bozentano tabletėmis. Be to, kepenų aminotransferazių koncentraciją reikia matuoti 2 savaites po bet kokio dozės padidinimo.</w:t>
      </w:r>
    </w:p>
    <w:p w14:paraId="72B03907" w14:textId="77777777" w:rsidR="00CD51A4" w:rsidRPr="000A2DE8" w:rsidRDefault="00CD51A4" w:rsidP="00CD51A4">
      <w:pPr>
        <w:widowControl w:val="0"/>
        <w:pBdr>
          <w:left w:val="single" w:sz="4" w:space="4" w:color="auto"/>
          <w:right w:val="single" w:sz="4" w:space="4" w:color="auto"/>
        </w:pBdr>
        <w:autoSpaceDE w:val="0"/>
        <w:autoSpaceDN w:val="0"/>
        <w:adjustRightInd w:val="0"/>
        <w:spacing w:after="0" w:line="240" w:lineRule="auto"/>
        <w:rPr>
          <w:rFonts w:ascii="Times New Roman" w:eastAsia="Times New Roman" w:hAnsi="Times New Roman"/>
        </w:rPr>
      </w:pPr>
    </w:p>
    <w:p w14:paraId="6D88BB26" w14:textId="77777777" w:rsidR="00CD51A4" w:rsidRPr="000A2DE8" w:rsidRDefault="00CD51A4" w:rsidP="00CD51A4">
      <w:pPr>
        <w:widowControl w:val="0"/>
        <w:pBdr>
          <w:left w:val="single" w:sz="4" w:space="4" w:color="auto"/>
          <w:right w:val="single" w:sz="4" w:space="4" w:color="auto"/>
        </w:pBdr>
        <w:autoSpaceDE w:val="0"/>
        <w:autoSpaceDN w:val="0"/>
        <w:adjustRightInd w:val="0"/>
        <w:spacing w:after="0" w:line="240" w:lineRule="auto"/>
        <w:rPr>
          <w:rFonts w:ascii="Times New Roman" w:eastAsia="Times New Roman" w:hAnsi="Times New Roman"/>
          <w:b/>
          <w:bCs/>
          <w:u w:val="single"/>
        </w:rPr>
      </w:pPr>
      <w:r w:rsidRPr="000A2DE8">
        <w:rPr>
          <w:rFonts w:ascii="Times New Roman" w:hAnsi="Times New Roman"/>
          <w:b/>
          <w:u w:val="single"/>
        </w:rPr>
        <w:t>Rekomendacijos, padidėjus ALT / AST koncentracijai</w:t>
      </w:r>
    </w:p>
    <w:p w14:paraId="31809984" w14:textId="77777777" w:rsidR="00CD51A4" w:rsidRPr="000A2DE8" w:rsidRDefault="00CD51A4" w:rsidP="00CD51A4">
      <w:pPr>
        <w:widowControl w:val="0"/>
        <w:pBdr>
          <w:left w:val="single" w:sz="4" w:space="4" w:color="auto"/>
          <w:right w:val="single" w:sz="4" w:space="4" w:color="auto"/>
        </w:pBdr>
        <w:autoSpaceDE w:val="0"/>
        <w:autoSpaceDN w:val="0"/>
        <w:adjustRightInd w:val="0"/>
        <w:spacing w:after="0" w:line="240" w:lineRule="auto"/>
        <w:rPr>
          <w:rFonts w:ascii="Times New Roman" w:eastAsia="Times New Roman" w:hAnsi="Times New Roman"/>
        </w:rPr>
      </w:pPr>
    </w:p>
    <w:p w14:paraId="2D8E2868" w14:textId="77777777" w:rsidR="00CD51A4" w:rsidRPr="000A2DE8" w:rsidRDefault="00CD51A4" w:rsidP="00CD51A4">
      <w:pPr>
        <w:widowControl w:val="0"/>
        <w:pBdr>
          <w:left w:val="single" w:sz="4" w:space="4" w:color="auto"/>
          <w:right w:val="single" w:sz="4" w:space="4" w:color="auto"/>
        </w:pBdr>
        <w:tabs>
          <w:tab w:val="left" w:pos="226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ALT / AST koncentracija</w:t>
      </w:r>
      <w:r w:rsidRPr="000A2DE8">
        <w:rPr>
          <w:rFonts w:ascii="Times New Roman" w:hAnsi="Times New Roman"/>
        </w:rPr>
        <w:tab/>
      </w:r>
      <w:r w:rsidRPr="000A2DE8">
        <w:rPr>
          <w:rFonts w:ascii="Times New Roman" w:hAnsi="Times New Roman"/>
          <w:b/>
        </w:rPr>
        <w:t>Gydymo ir stebėjimo rekomendacijos</w:t>
      </w:r>
    </w:p>
    <w:p w14:paraId="41B0F440" w14:textId="77777777" w:rsidR="00CD51A4" w:rsidRPr="000A2DE8" w:rsidRDefault="00CD51A4" w:rsidP="00CD51A4">
      <w:pPr>
        <w:widowControl w:val="0"/>
        <w:pBdr>
          <w:left w:val="single" w:sz="4" w:space="4" w:color="auto"/>
          <w:right w:val="single" w:sz="4" w:space="4" w:color="auto"/>
        </w:pBdr>
        <w:tabs>
          <w:tab w:val="left" w:pos="0"/>
        </w:tabs>
        <w:autoSpaceDE w:val="0"/>
        <w:autoSpaceDN w:val="0"/>
        <w:adjustRightInd w:val="0"/>
        <w:spacing w:after="0" w:line="240" w:lineRule="auto"/>
        <w:ind w:left="2552" w:hanging="2552"/>
        <w:rPr>
          <w:rFonts w:ascii="Times New Roman" w:eastAsia="Times New Roman" w:hAnsi="Times New Roman"/>
        </w:rPr>
      </w:pPr>
      <w:r w:rsidRPr="000A2DE8">
        <w:rPr>
          <w:rFonts w:ascii="Times New Roman" w:hAnsi="Times New Roman"/>
        </w:rPr>
        <w:t>&gt; 3 ir ≤ 5 × VNR</w:t>
      </w:r>
      <w:r w:rsidRPr="000A2DE8">
        <w:rPr>
          <w:rFonts w:ascii="Times New Roman" w:hAnsi="Times New Roman"/>
        </w:rPr>
        <w:tab/>
        <w:t>Rezultatas turi būti patvirtintas antru kepenų testu; jei pasitvirtina, reikia priimti sprendimą dėl tolesnio bozentano tablečių vartojimo pagal konkretaus paciento situaciją. Gali reikėti sumažinti dozę arba nutraukti gydymą (žr. 4.2 skyrių).</w:t>
      </w:r>
      <w:r w:rsidRPr="000A2DE8">
        <w:rPr>
          <w:rFonts w:ascii="Times New Roman" w:hAnsi="Times New Roman"/>
          <w:spacing w:val="-1"/>
        </w:rPr>
        <w:t xml:space="preserve"> Aminotransferazių koncentracijos stebėjimas turi būti tęsiamas bent kas 2 savaites. Jei aminotransferazių koncentracijos vėl pasidaro tokios pat, kokios buvo prieš gydymą, reikia apsvarstyti galimybę bozentano tabletes vėl pradėti vartoti toliau nurodytomis sąlygomis.</w:t>
      </w:r>
    </w:p>
    <w:p w14:paraId="3C970641" w14:textId="77777777" w:rsidR="00CD51A4" w:rsidRPr="000A2DE8" w:rsidRDefault="00CD51A4" w:rsidP="00CD51A4">
      <w:pPr>
        <w:widowControl w:val="0"/>
        <w:pBdr>
          <w:left w:val="single" w:sz="4" w:space="4" w:color="auto"/>
          <w:right w:val="single" w:sz="4" w:space="4" w:color="auto"/>
        </w:pBdr>
        <w:tabs>
          <w:tab w:val="left" w:pos="0"/>
        </w:tabs>
        <w:autoSpaceDE w:val="0"/>
        <w:autoSpaceDN w:val="0"/>
        <w:adjustRightInd w:val="0"/>
        <w:spacing w:after="0" w:line="240" w:lineRule="auto"/>
        <w:ind w:left="2552" w:hanging="2552"/>
        <w:rPr>
          <w:rFonts w:ascii="Times New Roman" w:eastAsia="Times New Roman" w:hAnsi="Times New Roman"/>
        </w:rPr>
      </w:pPr>
      <w:r w:rsidRPr="000A2DE8">
        <w:rPr>
          <w:rFonts w:ascii="Times New Roman" w:hAnsi="Times New Roman"/>
        </w:rPr>
        <w:t>&gt; 5 ir ≤ 8 × VNR</w:t>
      </w:r>
      <w:r w:rsidRPr="000A2DE8">
        <w:rPr>
          <w:rFonts w:ascii="Times New Roman" w:hAnsi="Times New Roman"/>
        </w:rPr>
        <w:tab/>
        <w:t xml:space="preserve">Rezultatas turi būti patvirtintas antru kepenų testu; jei pasitvirtina, gydymas turi būti nutrauktas ir aminotransferazių koncentracijos turi būti stebimos bent kas 2 savaites. </w:t>
      </w:r>
      <w:r w:rsidRPr="000A2DE8">
        <w:rPr>
          <w:rFonts w:ascii="Times New Roman" w:hAnsi="Times New Roman"/>
          <w:spacing w:val="-1"/>
        </w:rPr>
        <w:t>Jei aminotransferazių koncentracijos vėl pasidaro tokios pat, kokios buvo prieš gydymą, reikia apsvarstyti galimybę bozentano tabletes vėl pradėti vartoti toliau nurodytomis sąlygomis.</w:t>
      </w:r>
    </w:p>
    <w:p w14:paraId="08D7BEA3" w14:textId="77777777" w:rsidR="00CD51A4" w:rsidRPr="000A2DE8" w:rsidRDefault="00CD51A4" w:rsidP="00CD51A4">
      <w:pPr>
        <w:widowControl w:val="0"/>
        <w:pBdr>
          <w:left w:val="single" w:sz="4" w:space="4" w:color="auto"/>
          <w:right w:val="single" w:sz="4" w:space="4" w:color="auto"/>
        </w:pBdr>
        <w:tabs>
          <w:tab w:val="left" w:pos="0"/>
        </w:tabs>
        <w:autoSpaceDE w:val="0"/>
        <w:autoSpaceDN w:val="0"/>
        <w:adjustRightInd w:val="0"/>
        <w:spacing w:after="0" w:line="240" w:lineRule="auto"/>
        <w:ind w:left="2552" w:hanging="2552"/>
        <w:rPr>
          <w:rFonts w:ascii="Times New Roman" w:eastAsia="Times New Roman" w:hAnsi="Times New Roman"/>
        </w:rPr>
      </w:pPr>
      <w:r w:rsidRPr="000A2DE8">
        <w:rPr>
          <w:rFonts w:ascii="Times New Roman" w:hAnsi="Times New Roman"/>
        </w:rPr>
        <w:t>&gt; 8 × VNR</w:t>
      </w:r>
      <w:r w:rsidRPr="000A2DE8">
        <w:rPr>
          <w:rFonts w:ascii="Times New Roman" w:hAnsi="Times New Roman"/>
        </w:rPr>
        <w:tab/>
        <w:t>Gydymą reikia nutraukti, o vėl vartoti bozentano tabletes nepatartina.</w:t>
      </w:r>
    </w:p>
    <w:p w14:paraId="57B93094" w14:textId="77777777" w:rsidR="00CD51A4" w:rsidRPr="000A2DE8" w:rsidRDefault="00CD51A4" w:rsidP="00CD51A4">
      <w:pPr>
        <w:widowControl w:val="0"/>
        <w:pBdr>
          <w:left w:val="single" w:sz="4" w:space="4" w:color="auto"/>
          <w:right w:val="single" w:sz="4" w:space="4" w:color="auto"/>
        </w:pBdr>
        <w:tabs>
          <w:tab w:val="left" w:pos="2260"/>
        </w:tabs>
        <w:autoSpaceDE w:val="0"/>
        <w:autoSpaceDN w:val="0"/>
        <w:adjustRightInd w:val="0"/>
        <w:spacing w:after="0" w:line="240" w:lineRule="auto"/>
        <w:rPr>
          <w:rFonts w:ascii="Times New Roman" w:eastAsia="Times New Roman" w:hAnsi="Times New Roman"/>
          <w:b/>
          <w:bCs/>
        </w:rPr>
      </w:pPr>
    </w:p>
    <w:p w14:paraId="768994E6" w14:textId="77777777" w:rsidR="00CD51A4" w:rsidRPr="000A2DE8" w:rsidRDefault="00CD51A4" w:rsidP="00CD51A4">
      <w:pPr>
        <w:widowControl w:val="0"/>
        <w:pBdr>
          <w:left w:val="single" w:sz="4" w:space="4" w:color="auto"/>
          <w:right w:val="single" w:sz="4" w:space="4" w:color="auto"/>
        </w:pBdr>
        <w:tabs>
          <w:tab w:val="left" w:pos="90"/>
        </w:tabs>
        <w:autoSpaceDE w:val="0"/>
        <w:autoSpaceDN w:val="0"/>
        <w:adjustRightInd w:val="0"/>
        <w:spacing w:after="0" w:line="240" w:lineRule="auto"/>
        <w:rPr>
          <w:rFonts w:ascii="Times New Roman" w:eastAsia="Times New Roman" w:hAnsi="Times New Roman"/>
          <w:b/>
          <w:bCs/>
        </w:rPr>
      </w:pPr>
      <w:r w:rsidRPr="000A2DE8">
        <w:rPr>
          <w:rFonts w:ascii="Times New Roman" w:hAnsi="Times New Roman"/>
          <w:b/>
        </w:rPr>
        <w:t>Atsiradus susijusiems klinikiniams kepenų pažeidimo požymiams</w:t>
      </w:r>
      <w:r w:rsidRPr="000A2DE8">
        <w:rPr>
          <w:rFonts w:ascii="Times New Roman" w:hAnsi="Times New Roman"/>
        </w:rPr>
        <w:t>, t.</w:t>
      </w:r>
      <w:r w:rsidR="00F92AE5" w:rsidRPr="000A2DE8">
        <w:rPr>
          <w:rFonts w:ascii="Times New Roman" w:hAnsi="Times New Roman"/>
        </w:rPr>
        <w:t xml:space="preserve"> </w:t>
      </w:r>
      <w:r w:rsidRPr="000A2DE8">
        <w:rPr>
          <w:rFonts w:ascii="Times New Roman" w:hAnsi="Times New Roman"/>
        </w:rPr>
        <w:t xml:space="preserve">y. pykinimui, vėmimui, karščiavimui, pilvo skausmams, geltai, neįprastam apsnūdimui ar nuovargiui, į gripą panašiems simptomams (sąnarių, raumenų skausmams, karščiavimui), </w:t>
      </w:r>
      <w:r w:rsidRPr="000A2DE8">
        <w:rPr>
          <w:rFonts w:ascii="Times New Roman" w:hAnsi="Times New Roman"/>
          <w:b/>
        </w:rPr>
        <w:t>gydymą reikia nutraukti, o vėl vartoti bozentano tabletes nepatartina</w:t>
      </w:r>
      <w:r w:rsidRPr="000A2DE8">
        <w:rPr>
          <w:rFonts w:ascii="Times New Roman" w:hAnsi="Times New Roman"/>
        </w:rPr>
        <w:t>.</w:t>
      </w:r>
    </w:p>
    <w:p w14:paraId="1722346B" w14:textId="77777777" w:rsidR="00CD51A4" w:rsidRPr="000A2DE8" w:rsidRDefault="00CD51A4" w:rsidP="00CD51A4">
      <w:pPr>
        <w:widowControl w:val="0"/>
        <w:pBdr>
          <w:left w:val="single" w:sz="4" w:space="4" w:color="auto"/>
          <w:right w:val="single" w:sz="4" w:space="4" w:color="auto"/>
        </w:pBdr>
        <w:tabs>
          <w:tab w:val="left" w:pos="90"/>
        </w:tabs>
        <w:autoSpaceDE w:val="0"/>
        <w:autoSpaceDN w:val="0"/>
        <w:adjustRightInd w:val="0"/>
        <w:spacing w:after="0" w:line="240" w:lineRule="auto"/>
        <w:rPr>
          <w:rFonts w:ascii="Times New Roman" w:eastAsia="Times New Roman" w:hAnsi="Times New Roman"/>
        </w:rPr>
      </w:pPr>
    </w:p>
    <w:p w14:paraId="16419FE6" w14:textId="77777777" w:rsidR="00CD51A4" w:rsidRPr="000A2DE8" w:rsidRDefault="00CD51A4" w:rsidP="00CD51A4">
      <w:pPr>
        <w:widowControl w:val="0"/>
        <w:pBdr>
          <w:left w:val="single" w:sz="4" w:space="4" w:color="auto"/>
          <w:right w:val="single" w:sz="4" w:space="4" w:color="auto"/>
        </w:pBdr>
        <w:autoSpaceDE w:val="0"/>
        <w:autoSpaceDN w:val="0"/>
        <w:adjustRightInd w:val="0"/>
        <w:spacing w:after="0" w:line="240" w:lineRule="auto"/>
        <w:rPr>
          <w:rFonts w:ascii="Times New Roman" w:eastAsia="Times New Roman" w:hAnsi="Times New Roman"/>
        </w:rPr>
      </w:pPr>
      <w:r w:rsidRPr="000A2DE8">
        <w:rPr>
          <w:rFonts w:ascii="Times New Roman" w:hAnsi="Times New Roman"/>
          <w:i/>
          <w:u w:val="single"/>
        </w:rPr>
        <w:t>Pakartotinas gydymas</w:t>
      </w:r>
    </w:p>
    <w:p w14:paraId="6EA008C7" w14:textId="77777777" w:rsidR="00CD51A4" w:rsidRPr="000A2DE8" w:rsidRDefault="00CD51A4" w:rsidP="00CD51A4">
      <w:pPr>
        <w:widowControl w:val="0"/>
        <w:pBdr>
          <w:left w:val="single" w:sz="4" w:space="4" w:color="auto"/>
          <w:bottom w:val="single" w:sz="4" w:space="1" w:color="auto"/>
          <w:right w:val="single" w:sz="4" w:space="4" w:color="auto"/>
        </w:pBdr>
        <w:autoSpaceDE w:val="0"/>
        <w:autoSpaceDN w:val="0"/>
        <w:adjustRightInd w:val="0"/>
        <w:spacing w:after="0" w:line="240" w:lineRule="auto"/>
        <w:rPr>
          <w:rFonts w:ascii="Times New Roman" w:hAnsi="Times New Roman"/>
          <w:b/>
          <w:spacing w:val="-1"/>
        </w:rPr>
      </w:pPr>
      <w:r w:rsidRPr="000A2DE8">
        <w:rPr>
          <w:rFonts w:ascii="Times New Roman" w:hAnsi="Times New Roman"/>
          <w:spacing w:val="-1"/>
        </w:rPr>
        <w:t xml:space="preserve">Gydymą bozentanu kartoti reikėtų tik tuo atveju, jei gydymo nauda bozentanu yra didesnė nei galima rizika ir kai kepenų aminotransferazių lygiai yra tokie, kokie buvo prieš gydymą. Rekomenduojama pasikonsultuoti su kepenų ligų gydytoju. Kartojant gydymą reikia vadovautis išsamiais nurodymais, pateiktais 4.2 skyriuje. </w:t>
      </w:r>
    </w:p>
    <w:p w14:paraId="0C7DAC6A" w14:textId="77777777" w:rsidR="00CD51A4" w:rsidRPr="000A2DE8" w:rsidRDefault="00CD51A4" w:rsidP="00CD51A4">
      <w:pPr>
        <w:widowControl w:val="0"/>
        <w:pBdr>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rPr>
      </w:pPr>
      <w:r w:rsidRPr="000A2DE8">
        <w:rPr>
          <w:rFonts w:ascii="Times New Roman" w:hAnsi="Times New Roman"/>
          <w:b/>
          <w:spacing w:val="-1"/>
        </w:rPr>
        <w:t>Aminotransferazių koncentracijas tada reikia patikrinti per 3 paras po pakartotino gydymo pradžios, tada vėl po 2 savaičių, o paskui pagal aukščiau pateiktas rekomendacijas.</w:t>
      </w:r>
    </w:p>
    <w:p w14:paraId="4C4C043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VNR = viršutinė normali riba</w:t>
      </w:r>
    </w:p>
    <w:p w14:paraId="1B49DA0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B3D9BD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position w:val="-1"/>
          <w:u w:val="single"/>
        </w:rPr>
        <w:t>Hemoglobino koncentracija</w:t>
      </w:r>
    </w:p>
    <w:p w14:paraId="0590D038"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Gydymas bozentanu yra siejamas su nuo dozės priklausomais hemoglobino koncentracijos sumažėjimais (žr. 4.8 skyrių). Placebu kontroliuotuose klinikiniuose tyrimuose su bozentanu susijęs hemoglobino koncentracijos sumažėjimas neprogresavo ir stabilizavosi po pirmų 4</w:t>
      </w:r>
      <w:r w:rsidRPr="000A2DE8">
        <w:rPr>
          <w:rFonts w:ascii="Times New Roman" w:hAnsi="Times New Roman"/>
          <w:spacing w:val="2"/>
        </w:rPr>
        <w:noBreakHyphen/>
        <w:t>12 gydymo savaičių. Hemoglobino koncentracijas rekomenduojama patikrinti prieš gydymo pradžią, kiekvieną mėnesį per pirmus 4 mėnesius, o paskui kas ketvirtį. Jei hemoglobino kliniškai reikšmingai sumažėja, reikia atlikti tolesnį įvertinimą ir tyrimą siekiant nustatyti priežastį ir specifinio gydymo poreikį. Vaistiniam preparatui jau esant rinkoje, buvo nustatyti anemijos atvejai, kuomet reikėjo perpilti eritrocitų masę (žr. 4.8 skyriaus pabaigą).</w:t>
      </w:r>
    </w:p>
    <w:p w14:paraId="1F90958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8C5948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position w:val="-1"/>
          <w:u w:val="single"/>
        </w:rPr>
        <w:t>Vaisingos moterys</w:t>
      </w:r>
    </w:p>
    <w:p w14:paraId="1EDF6D7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Dėl galimo hormoninių kontraceptikų neveiksmingumo gydymo bozentano tabletėmis metu, taip pat įvertinant tai, kad nėštumo metu padidėja plautinės hipertenzijos rizika ir su gyvūnais atlikti tyrimai parodė teratogeninį poveikį reprodukcijai:</w:t>
      </w:r>
    </w:p>
    <w:p w14:paraId="7C76213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AE5891B" w14:textId="77777777" w:rsidR="00CD51A4" w:rsidRPr="000A2DE8" w:rsidRDefault="00CD51A4" w:rsidP="00CD51A4">
      <w:pPr>
        <w:widowControl w:val="0"/>
        <w:numPr>
          <w:ilvl w:val="0"/>
          <w:numId w:val="16"/>
        </w:numPr>
        <w:autoSpaceDE w:val="0"/>
        <w:autoSpaceDN w:val="0"/>
        <w:adjustRightInd w:val="0"/>
        <w:spacing w:after="0" w:line="240" w:lineRule="auto"/>
        <w:ind w:left="567" w:hanging="477"/>
        <w:rPr>
          <w:rFonts w:ascii="Times New Roman" w:eastAsia="Times New Roman" w:hAnsi="Times New Roman"/>
        </w:rPr>
      </w:pPr>
      <w:r w:rsidRPr="000A2DE8">
        <w:rPr>
          <w:rFonts w:ascii="Times New Roman" w:hAnsi="Times New Roman"/>
          <w:spacing w:val="2"/>
        </w:rPr>
        <w:t>gydymo bozentanu metu negalima pradėti vaisingo amžiaus moterims, nebent jos vartoja veiksmingą kontracepcijos metodą, o nėštumo testas prieš pradedant gydymą yra neigiamas;</w:t>
      </w:r>
    </w:p>
    <w:p w14:paraId="32C9C553" w14:textId="77777777" w:rsidR="00CD51A4" w:rsidRPr="000A2DE8" w:rsidRDefault="00CD51A4" w:rsidP="00CD51A4">
      <w:pPr>
        <w:numPr>
          <w:ilvl w:val="0"/>
          <w:numId w:val="16"/>
        </w:numPr>
        <w:autoSpaceDE w:val="0"/>
        <w:autoSpaceDN w:val="0"/>
        <w:adjustRightInd w:val="0"/>
        <w:spacing w:after="0" w:line="240" w:lineRule="auto"/>
        <w:ind w:left="567" w:hanging="477"/>
        <w:rPr>
          <w:rFonts w:ascii="Times New Roman" w:eastAsia="Times New Roman" w:hAnsi="Times New Roman"/>
          <w:color w:val="000000"/>
        </w:rPr>
      </w:pPr>
      <w:r w:rsidRPr="000A2DE8">
        <w:rPr>
          <w:rFonts w:ascii="Times New Roman" w:hAnsi="Times New Roman"/>
        </w:rPr>
        <w:t>vaisingo amžiaus moterims draudžiama vartoti vien tik hormoninius kontraceptikus bozentano gydymo metu;</w:t>
      </w:r>
    </w:p>
    <w:p w14:paraId="01A3C5F1" w14:textId="77777777" w:rsidR="00CD51A4" w:rsidRPr="000A2DE8" w:rsidRDefault="00CD51A4" w:rsidP="00CD51A4">
      <w:pPr>
        <w:widowControl w:val="0"/>
        <w:numPr>
          <w:ilvl w:val="0"/>
          <w:numId w:val="16"/>
        </w:numPr>
        <w:autoSpaceDE w:val="0"/>
        <w:autoSpaceDN w:val="0"/>
        <w:adjustRightInd w:val="0"/>
        <w:spacing w:after="0" w:line="240" w:lineRule="auto"/>
        <w:ind w:left="567" w:hanging="477"/>
        <w:rPr>
          <w:rFonts w:ascii="Times New Roman" w:eastAsia="Times New Roman" w:hAnsi="Times New Roman"/>
        </w:rPr>
      </w:pPr>
      <w:r w:rsidRPr="000A2DE8">
        <w:rPr>
          <w:rFonts w:ascii="Times New Roman" w:hAnsi="Times New Roman"/>
          <w:spacing w:val="-6"/>
        </w:rPr>
        <w:t xml:space="preserve">gydantis vaistiniu preparatu Bosentan Accord rekomenduojama kas mėnesį atlikti nėštumo testą </w:t>
      </w:r>
      <w:r w:rsidRPr="000A2DE8">
        <w:rPr>
          <w:rFonts w:ascii="Times New Roman" w:hAnsi="Times New Roman"/>
          <w:spacing w:val="-6"/>
        </w:rPr>
        <w:lastRenderedPageBreak/>
        <w:t>siekiant nustatyti ankstyvą nėštumą.</w:t>
      </w:r>
    </w:p>
    <w:p w14:paraId="02ED584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660C90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Daugiau informacijos pateikta 4.5 ir 4.6 skyriuose.</w:t>
      </w:r>
    </w:p>
    <w:p w14:paraId="2A0CF51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E23088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Plaučių venų okliuzinė liga</w:t>
      </w:r>
    </w:p>
    <w:p w14:paraId="310C3F4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Buvo pranešta apie plaučių edemos atvejus, kraujagysles plečiančiais preparatais (daugiausia prostaciklinais) gydant sergančiuosius plaučių venų okliuzine liga pacientus. Todėl, atsiradus plaučių edemos požymiams gydant bozentanu sergančiuosius </w:t>
      </w:r>
      <w:r w:rsidR="009D384A" w:rsidRPr="000A2DE8">
        <w:rPr>
          <w:rFonts w:ascii="Times New Roman" w:hAnsi="Times New Roman"/>
          <w:spacing w:val="-1"/>
        </w:rPr>
        <w:t>PH</w:t>
      </w:r>
      <w:r w:rsidRPr="000A2DE8">
        <w:rPr>
          <w:rFonts w:ascii="Times New Roman" w:hAnsi="Times New Roman"/>
          <w:spacing w:val="-1"/>
        </w:rPr>
        <w:t xml:space="preserve"> pacientus, reikia atsižvelgti į susijusios venų okliuzinės ligos galimybę. Vaistiniam preparatui esant rinkoje, pranešimai apie plaučių edemą gydomiems bozentanu pacientams, kuriems buvo įtarta plaučių venų okliuzinė liga, buvo reti.</w:t>
      </w:r>
    </w:p>
    <w:p w14:paraId="3DE52F4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C53D3D8"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Sergantys plautine hipertenzija pacientai su susijusiu kairiojo skilvelio nepakankamumu</w:t>
      </w:r>
    </w:p>
    <w:p w14:paraId="56F2D48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Nebuvo atlikti pacientų su plautine hipertenzija ir susijusiu kairiojo skilvelio funkcijos sutrikimu tyrimai. Tačiau placebu kontroliuoto klinikinio tyrimo metu 1611 pacientų su sunkiu lėtiniu širdies nepakankamumu (LŠN) buvo gydomi vidutiniškai 1,5 metų (804 pacientai buvo gydomi bozentanu ir 807 pacientai – placebu) (tyrimas AC-052-301/302 [ENABLE 1 &amp; 2]). Šio tyrimo metu per pirmąsias 4</w:t>
      </w:r>
      <w:r w:rsidRPr="000A2DE8">
        <w:rPr>
          <w:rFonts w:ascii="Times New Roman" w:hAnsi="Times New Roman"/>
          <w:spacing w:val="-1"/>
        </w:rPr>
        <w:noBreakHyphen/>
        <w:t>8 gydymo bozentanu savaites padidėjo hospitalizacijų dėl LŠN dažnis, ir tai galėjo sąlygoti skysčių susilaikymas. Šiame tyrime skysčių kaupimosi požymiais buvo ankstyvas svorio padidėjimas, hemoglobino koncentracijos sumažėjimas ir padidėjęs kojų edemų dažnis. Šio tyrimo pabaigoje tarp gydytų bozentanu ir placebu pacientų grupių nebuvo hospitalizacijų dėl širdies nepakankamumo dažnio ir mirtingumo skirtumų. Dėl tos priežasties rekomenduojama stebėti, ar pacientams nesikaupia skysčiai (pvz., padidėja svoris), ypač jei jie kartu kenčia nuo sunkių sistolinės funkcijos sutrikimų. Jei taip nutiktų, rekomenduojama pradėti gydymą diuretikais arba reikia padidinti esamų diuretikų dozę. Gydymą diuretikais reikėtų skirti pacientams, kuriems skysčių kaupimasis buvo akivaizdus prieš pradedant gydymą bozentanu.</w:t>
      </w:r>
    </w:p>
    <w:p w14:paraId="3CCFBDF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8B8A4A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Plautinė hipertenzija, susijusi su ŽIV infekcija</w:t>
      </w:r>
    </w:p>
    <w:p w14:paraId="2E9132F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Yra nedaug klinikinių tyrimų duomenų apie bozentano vartojimą gydant pacientus, sirgusius </w:t>
      </w:r>
      <w:r w:rsidR="009D384A" w:rsidRPr="000A2DE8">
        <w:rPr>
          <w:rFonts w:ascii="Times New Roman" w:hAnsi="Times New Roman"/>
          <w:spacing w:val="2"/>
        </w:rPr>
        <w:t>PH</w:t>
      </w:r>
      <w:r w:rsidRPr="000A2DE8">
        <w:rPr>
          <w:rFonts w:ascii="Times New Roman" w:hAnsi="Times New Roman"/>
          <w:spacing w:val="2"/>
        </w:rPr>
        <w:t>, susijusią su ŽIV infekcija ir gydytus priešretrovirusiniais preparatais (žr. 5.1 skyrių). Bozentano sąveikos su lopinaviru + ritonaviru tyrimuose su sveikais asmenimis nustatytas bozentano koncentracijos plazmoje padidėjimas, kuris buvo didžiausias per pirmąsias 4 gydymo dienas (žr. 4.5 skyrių). Pradėjus gydyti bozentanu pacientus, kuriems reikia ritonaviro suaktyvinamų proteazės inhibitorių, reikia atidžiai stebėti, ar pacientas toleruoja bozentaną (ypač pradinės fazės pradžioje), kreipiant ypatingą dėmesį į hipotenzijos riziką ir kepenų funkcijos tyrimus. Negalima atmesti ilgalaikės toksinio poveikio kepenims ir nepageidaujamų hematologinių reiškinių rizikos, kai bozentanas yra vartojamas kartu su vaistiniais preparatais nuo retrovirusų. Kadangi yra potenciali tokios sąveikos, susijusios su indukuojančiu bozentano poveikiu CYP450 sistemai (žr. 4.5 skyrių), galinčios sumažinti priešretrovirusinio gydymo veiksmingumą, galimybė, tokius pacientus taip pat reikia atidžiai stebėti dėl ŽIV infekcijos.</w:t>
      </w:r>
    </w:p>
    <w:p w14:paraId="135C421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55F129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Antrinė plautinė hipertenzija dėl lėtinės obstrukcinės plaučių ligos (LOPL)</w:t>
      </w:r>
    </w:p>
    <w:p w14:paraId="3B59F0B8"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Bozentano saugumas ir toleravimas buvo tiriamas žvalgomajame, nekontroliuojamame 12 savaičių trukmės tyrime, kuriame dalyvavo 11 pacientų, sergančių antrine plautine hipertenzija dėl sunkios LOPL (GOLD klasifikacijos III stadija). Buvo stebimas minutinės ventiliacijos padidėjimas ir įsotinimo deguonimi sumažėjimas, o dažniausiai pasireiškęs nepageidaujamas reiškinys buvo dusulys, kuris pranyko nustojus vartoti bozentaną.</w:t>
      </w:r>
    </w:p>
    <w:p w14:paraId="04749AF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8699A3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position w:val="-1"/>
          <w:u w:val="single"/>
        </w:rPr>
        <w:t>Vartojimas kartu su kitais vaistiniais preparatais</w:t>
      </w:r>
    </w:p>
    <w:p w14:paraId="564E41C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iCs/>
          <w:spacing w:val="-1"/>
        </w:rPr>
      </w:pPr>
      <w:r w:rsidRPr="000A2DE8">
        <w:rPr>
          <w:rFonts w:ascii="Times New Roman" w:hAnsi="Times New Roman"/>
          <w:spacing w:val="-1"/>
        </w:rPr>
        <w:t>Bozentaną draudžiama vartoti kartu su ciklosporinu A (žr. 4.3 ir 4.5 skyrius).</w:t>
      </w:r>
    </w:p>
    <w:p w14:paraId="133ECE5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i/>
          <w:iCs/>
          <w:spacing w:val="-1"/>
        </w:rPr>
      </w:pPr>
      <w:r w:rsidRPr="000A2DE8">
        <w:rPr>
          <w:rFonts w:ascii="Times New Roman" w:hAnsi="Times New Roman"/>
          <w:spacing w:val="-1"/>
        </w:rPr>
        <w:t>Bozentano nerekomenduojama vartoti kartu su glibenklamidu, flukonazolu ir rifampicinu. Daugiau informacijos ieškokite 4.5 skyriuje.</w:t>
      </w:r>
    </w:p>
    <w:p w14:paraId="6B7F491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D23842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Reikėtų vengti kartu su bozentanu vartoti tiek CYP3A4 inhibitorių, tiek CYP2C9 inhibitorių (žr. 4.5 skyrių).</w:t>
      </w:r>
    </w:p>
    <w:p w14:paraId="5AEC18BD" w14:textId="5CD7415B" w:rsidR="00EB62A0" w:rsidRDefault="00EB62A0" w:rsidP="00EB62A0">
      <w:pPr>
        <w:widowControl w:val="0"/>
        <w:autoSpaceDE w:val="0"/>
        <w:autoSpaceDN w:val="0"/>
        <w:adjustRightInd w:val="0"/>
        <w:spacing w:after="0" w:line="240" w:lineRule="auto"/>
        <w:rPr>
          <w:rFonts w:ascii="Times New Roman" w:eastAsia="Times New Roman" w:hAnsi="Times New Roman"/>
          <w:position w:val="1"/>
        </w:rPr>
      </w:pPr>
    </w:p>
    <w:p w14:paraId="48F32D9B" w14:textId="7C5C2EA7" w:rsidR="00EB62A0" w:rsidRPr="00A4683A" w:rsidRDefault="00EB62A0" w:rsidP="00EB62A0">
      <w:pPr>
        <w:widowControl w:val="0"/>
        <w:autoSpaceDE w:val="0"/>
        <w:autoSpaceDN w:val="0"/>
        <w:adjustRightInd w:val="0"/>
        <w:spacing w:after="0" w:line="240" w:lineRule="auto"/>
        <w:rPr>
          <w:rFonts w:ascii="Times New Roman" w:eastAsia="Times New Roman" w:hAnsi="Times New Roman"/>
          <w:position w:val="1"/>
          <w:u w:val="single"/>
        </w:rPr>
      </w:pPr>
      <w:r w:rsidRPr="00A4683A">
        <w:rPr>
          <w:rFonts w:ascii="Times New Roman" w:eastAsia="Times New Roman" w:hAnsi="Times New Roman"/>
          <w:position w:val="1"/>
          <w:u w:val="single"/>
        </w:rPr>
        <w:t>Natris</w:t>
      </w:r>
    </w:p>
    <w:p w14:paraId="7FC3D5FE" w14:textId="2BA0EA35" w:rsidR="00EB62A0" w:rsidRPr="00EB62A0" w:rsidRDefault="00EB62A0" w:rsidP="00EB62A0">
      <w:pPr>
        <w:widowControl w:val="0"/>
        <w:autoSpaceDE w:val="0"/>
        <w:autoSpaceDN w:val="0"/>
        <w:adjustRightInd w:val="0"/>
        <w:spacing w:after="0" w:line="240" w:lineRule="auto"/>
        <w:rPr>
          <w:rFonts w:ascii="Times New Roman" w:eastAsia="Times New Roman" w:hAnsi="Times New Roman"/>
          <w:position w:val="1"/>
        </w:rPr>
      </w:pPr>
      <w:r w:rsidRPr="00EB62A0">
        <w:rPr>
          <w:rFonts w:ascii="Times New Roman" w:eastAsia="Times New Roman" w:hAnsi="Times New Roman"/>
          <w:position w:val="1"/>
        </w:rPr>
        <w:lastRenderedPageBreak/>
        <w:t xml:space="preserve">Šio vaistinio preparato </w:t>
      </w:r>
      <w:r>
        <w:rPr>
          <w:rFonts w:ascii="Times New Roman" w:eastAsia="Times New Roman" w:hAnsi="Times New Roman"/>
          <w:position w:val="1"/>
        </w:rPr>
        <w:t>tabletėje</w:t>
      </w:r>
      <w:r w:rsidRPr="00EB62A0">
        <w:rPr>
          <w:rFonts w:ascii="Times New Roman" w:eastAsia="Times New Roman" w:hAnsi="Times New Roman"/>
          <w:position w:val="1"/>
        </w:rPr>
        <w:t xml:space="preserve"> yra mažiau kaip 1 mmol (23 mg) natrio, t. y. jis beveik neturi reikšmės.</w:t>
      </w:r>
    </w:p>
    <w:p w14:paraId="269241D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position w:val="1"/>
        </w:rPr>
      </w:pPr>
    </w:p>
    <w:p w14:paraId="53F55F66" w14:textId="77777777" w:rsidR="00CD51A4" w:rsidRPr="000A2DE8" w:rsidRDefault="00CD51A4" w:rsidP="00A26D2B">
      <w:pPr>
        <w:keepNext/>
        <w:widowControl w:val="0"/>
        <w:autoSpaceDE w:val="0"/>
        <w:autoSpaceDN w:val="0"/>
        <w:adjustRightInd w:val="0"/>
        <w:spacing w:after="0" w:line="240" w:lineRule="auto"/>
        <w:ind w:left="567" w:hanging="567"/>
        <w:rPr>
          <w:rFonts w:ascii="Times New Roman" w:eastAsia="Times New Roman" w:hAnsi="Times New Roman"/>
        </w:rPr>
      </w:pPr>
      <w:r w:rsidRPr="000A2DE8">
        <w:rPr>
          <w:rFonts w:ascii="Times New Roman" w:hAnsi="Times New Roman"/>
          <w:b/>
        </w:rPr>
        <w:t>4.5</w:t>
      </w:r>
      <w:r w:rsidRPr="000A2DE8">
        <w:rPr>
          <w:rFonts w:ascii="Times New Roman" w:hAnsi="Times New Roman"/>
        </w:rPr>
        <w:tab/>
      </w:r>
      <w:r w:rsidRPr="000A2DE8">
        <w:rPr>
          <w:rFonts w:ascii="Times New Roman" w:hAnsi="Times New Roman"/>
          <w:b/>
        </w:rPr>
        <w:t>Sąveika su kitais vaistiniais preparatais ir kitokia sąveika</w:t>
      </w:r>
    </w:p>
    <w:p w14:paraId="0759BB07" w14:textId="77777777" w:rsidR="00CD51A4" w:rsidRPr="000A2DE8" w:rsidRDefault="00CD51A4" w:rsidP="00A26D2B">
      <w:pPr>
        <w:keepNext/>
        <w:widowControl w:val="0"/>
        <w:autoSpaceDE w:val="0"/>
        <w:autoSpaceDN w:val="0"/>
        <w:adjustRightInd w:val="0"/>
        <w:spacing w:after="0" w:line="240" w:lineRule="auto"/>
        <w:rPr>
          <w:rFonts w:ascii="Times New Roman" w:eastAsia="Times New Roman" w:hAnsi="Times New Roman"/>
        </w:rPr>
      </w:pPr>
    </w:p>
    <w:p w14:paraId="1868AF65" w14:textId="77777777" w:rsidR="00CD51A4" w:rsidRPr="000A2DE8" w:rsidRDefault="00CD51A4" w:rsidP="00A26D2B">
      <w:pPr>
        <w:keepNext/>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Bozentanas yra citochromo P450 (CYP) izofermentų CYP2C9 ir CYP3A4 induktorius. </w:t>
      </w:r>
      <w:r w:rsidRPr="000A2DE8">
        <w:rPr>
          <w:rFonts w:ascii="Times New Roman" w:hAnsi="Times New Roman"/>
          <w:i/>
          <w:spacing w:val="-1"/>
        </w:rPr>
        <w:t>In vitro</w:t>
      </w:r>
      <w:r w:rsidRPr="000A2DE8">
        <w:rPr>
          <w:rFonts w:ascii="Times New Roman" w:hAnsi="Times New Roman"/>
          <w:spacing w:val="-1"/>
        </w:rPr>
        <w:t xml:space="preserve"> duomenys taip pat rodo CYP2C19 indukciją. Dėl tos priežasties medžiagų, kurias metabolizuoja minėti fermentai, koncentracija plazmoje sumažės, kartu vartojant bozentaną. Reikia atsižvelgti į tai, kad šių izofermentų metabolizuojamų preparatų veiksmingumas gali sumažėti. Šių preparatų dozavimą gali tekti koreguoti pradėjus gydymą bozentanu, pakeitus dozę arba nutraukus gydymą šiuo preparatu.</w:t>
      </w:r>
    </w:p>
    <w:p w14:paraId="031D83D8"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E57BA4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Bozentaną metabolizuoja CYP2C9 ir CYP3A4. Šių izofermentų slopinimas gali padidinti bozentano koncentraciją plazmoje (žr. ketokonazolas). CYP2C9 inhibitorių įtaka bozentano koncentracijai tyrinėjama nebuvo. Šį derinį reikėtų vartoti atsargiai.</w:t>
      </w:r>
    </w:p>
    <w:p w14:paraId="26911FB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87A80A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rPr>
        <w:t>Flukonazolas ir kiti CYP2C9 ir CYP3A4 inhibitoriai:</w:t>
      </w:r>
      <w:r w:rsidRPr="000A2DE8">
        <w:rPr>
          <w:rFonts w:ascii="Times New Roman" w:hAnsi="Times New Roman"/>
          <w:spacing w:val="-1"/>
        </w:rPr>
        <w:t xml:space="preserve"> vartojant kartu su flukonazolu, kuris labiausiai slopina CYP2C9, tačiau iš dalies ir CYP3A4, gali žymiai padidėti bozentano koncentracija plazmoje. Šis derinys nerekomenduojamas. Dėl tos pačios priežasties stiprių CYP3A4 inhibitorių (pvz., ketokonazolo, itrakonazolo arba ritonaviro) ir CYP2C9 inhibitorių (pvz., vorikonazolo) vartojimas kartu su bozentanu nerekomenduojamas.</w:t>
      </w:r>
    </w:p>
    <w:p w14:paraId="7EA56F7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BB1ECF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rPr>
        <w:t xml:space="preserve">Ciklosporinas A: </w:t>
      </w:r>
      <w:r w:rsidRPr="000A2DE8">
        <w:rPr>
          <w:rFonts w:ascii="Times New Roman" w:hAnsi="Times New Roman"/>
        </w:rPr>
        <w:t>negalima kartu vartoti bozentaną ir ciklosporiną A (kalcineurino inhibitorių) (žr. 4.3 skyrių). Skiriant šiuos preparatus kartu, pradinė bozentano koncentracija buvo maždaug 30 kartų didesnė, nei vartojant vien bozentano. Nusistovėjus koncentracijos pusiausvyrai, bozentano koncentracija plazmoje buvo 3–4 kartus didesnė, nei vartojant vien bozentano. Šios sąveikos mechanizmas greičiausia yra ciklosporino sukeltas transportinių baltymų veikiamo bozentano patekimo į hepatocitus slopinimas. Ciklosporino A (CYP3A4 substrato) koncentracija kraujyje sumažėjo maždaug 50 %. Tai greičiausia sukelia bozentano vykdoma CYP3A4 indukcija.</w:t>
      </w:r>
    </w:p>
    <w:p w14:paraId="63DBA2C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BFFB1B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rPr>
        <w:t xml:space="preserve">Takrolimuzas, sirolimuzas: </w:t>
      </w:r>
      <w:r w:rsidRPr="000A2DE8">
        <w:rPr>
          <w:rFonts w:ascii="Times New Roman" w:hAnsi="Times New Roman"/>
        </w:rPr>
        <w:t>tyrimuose su žmonėmis nebuvo tyrinėjamas bozentano vartojimas kartu su takrolimuzu ar sirolimuzu, tačiau skiriant takrolimuzą ar sirolimuzą kartu su bozentanu gali padidėti bozentano koncentracija plazmoje, kaip atsitinka preparatą vartojant kartu su ciklosporinu A. Kartu vartojamas bozentanas gali sumažinti takrolimuzo ar sirolimuzo koncentracijas plazmoje, todėl nepatartina vartoti bozentano kartu su ir takrolimuzu ar sirolimuzu. Pacientus, kuriems būtinas toks preparatų derinys, reikia atidžiai stebėti dėl šalutinio poveikio, susijusio su bozentano ir takrolimuzo ar sirolimuzo koncentracijomis kraujyje.</w:t>
      </w:r>
    </w:p>
    <w:p w14:paraId="1B5166A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CDC4F9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spacing w:val="-4"/>
        </w:rPr>
      </w:pPr>
      <w:r w:rsidRPr="000A2DE8">
        <w:rPr>
          <w:rFonts w:ascii="Times New Roman" w:hAnsi="Times New Roman"/>
          <w:i/>
          <w:spacing w:val="-1"/>
        </w:rPr>
        <w:t xml:space="preserve">Glibenklamidas: </w:t>
      </w:r>
      <w:r w:rsidRPr="000A2DE8">
        <w:rPr>
          <w:rFonts w:ascii="Times New Roman" w:hAnsi="Times New Roman"/>
        </w:rPr>
        <w:t>vartojant jį kartu su bozentanu, skiriamu po 125 mg dukart per parą 5 dienas, glibenklamido (CYP3A4 substrato) koncentracija plazmoje sumažėjo 40 %, kartu gali žymiai sumažėti hipoglikeminis poveikis. Bozentano plazmos koncentracijos taip pat sumažėjo 29 %. Be to, pacientams, kurie vartojo šį vaistų derinį, dažniau buvo stebėta padidėjusi aminotransferazės koncentracija. Ir glibenklamidas, ir bozentanas slopina tulžies druskų išskyrimo siurblį, o tuo galima paaiškinti aminotransferazių koncentracijos padidėjimą. Šio derinio nereikėtų vartoti. Duomenų apie vaistų sąveiką su kitais sulfonilšlapalo preparatais nėra.</w:t>
      </w:r>
    </w:p>
    <w:p w14:paraId="4AE71B4B" w14:textId="77777777" w:rsidR="00CD51A4" w:rsidRPr="000A2DE8" w:rsidRDefault="00CD51A4" w:rsidP="00CD51A4">
      <w:pPr>
        <w:widowControl w:val="0"/>
        <w:autoSpaceDE w:val="0"/>
        <w:autoSpaceDN w:val="0"/>
        <w:adjustRightInd w:val="0"/>
        <w:spacing w:after="0" w:line="240" w:lineRule="auto"/>
        <w:ind w:right="209"/>
        <w:rPr>
          <w:rFonts w:ascii="Times New Roman" w:hAnsi="Times New Roman"/>
          <w:spacing w:val="1"/>
        </w:rPr>
      </w:pPr>
    </w:p>
    <w:p w14:paraId="1F0EDD3F" w14:textId="77777777" w:rsidR="00CD51A4" w:rsidRPr="000A2DE8" w:rsidRDefault="00CD51A4" w:rsidP="00CD51A4">
      <w:pPr>
        <w:widowControl w:val="0"/>
        <w:autoSpaceDE w:val="0"/>
        <w:autoSpaceDN w:val="0"/>
        <w:adjustRightInd w:val="0"/>
        <w:spacing w:after="0" w:line="240" w:lineRule="auto"/>
        <w:ind w:right="209"/>
        <w:rPr>
          <w:rFonts w:ascii="Times New Roman" w:hAnsi="Times New Roman"/>
        </w:rPr>
      </w:pPr>
      <w:r w:rsidRPr="000A2DE8">
        <w:rPr>
          <w:rFonts w:ascii="Times New Roman" w:hAnsi="Times New Roman"/>
          <w:i/>
        </w:rPr>
        <w:t xml:space="preserve">Rifampicinas: </w:t>
      </w:r>
      <w:r w:rsidRPr="000A2DE8">
        <w:rPr>
          <w:rFonts w:ascii="Times New Roman" w:hAnsi="Times New Roman"/>
        </w:rPr>
        <w:t>9 sveikiems asmenims 7 dienas skyrus bozentano 125 mg dukart per parą kartu su stipriu CYP2C9 ir CYP3A4 induktoriumi rifampicinu, bozentano koncentracija plazmoje sumažėjo 58 %, o vienu atveju šis sumažėjimas siekė beveik 90 %. Dėl to tikimasi, kad skiriant kartu su rifampicinu, bozentano poveikis reikšmingai sumažės. Rifampicino vartoti kartu su bozentanu nerekomenduojama. Duomenų apie kitus CYP3A4 induktorius, pvz., karbamazepiną, fenobarbitalį, fenitoiną ir paprastųjų jonažolių preparatus, stokojama, tačiau tikėtina, kad jų vartojimas sumažins sisteminę kartu vartojamo bozentano ekspoziciją. Negalima atmesti, kad veiksmingumo sumažėjimas bus kliniškai reikšmingas.</w:t>
      </w:r>
    </w:p>
    <w:p w14:paraId="184A7AED" w14:textId="77777777" w:rsidR="00CD51A4" w:rsidRPr="000A2DE8" w:rsidRDefault="00CD51A4" w:rsidP="00CD51A4">
      <w:pPr>
        <w:widowControl w:val="0"/>
        <w:autoSpaceDE w:val="0"/>
        <w:autoSpaceDN w:val="0"/>
        <w:adjustRightInd w:val="0"/>
        <w:spacing w:after="0" w:line="240" w:lineRule="auto"/>
        <w:ind w:right="209"/>
        <w:rPr>
          <w:rFonts w:ascii="Times New Roman" w:hAnsi="Times New Roman"/>
        </w:rPr>
      </w:pPr>
    </w:p>
    <w:p w14:paraId="7C5AA30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rPr>
        <w:t xml:space="preserve">Lopinaviras + ritonaviras (ir kiti ritonaviro suaktyvinami proteazės inhibitoriai): </w:t>
      </w:r>
      <w:r w:rsidRPr="000A2DE8">
        <w:rPr>
          <w:rFonts w:ascii="Times New Roman" w:hAnsi="Times New Roman"/>
        </w:rPr>
        <w:t xml:space="preserve">sveikiems savanoriams 9,5 parų vartojus 125 mg bozentano dukart per parą kartu su 400 mg lopinaviro + 100 mg </w:t>
      </w:r>
      <w:r w:rsidRPr="000A2DE8">
        <w:rPr>
          <w:rFonts w:ascii="Times New Roman" w:hAnsi="Times New Roman"/>
        </w:rPr>
        <w:lastRenderedPageBreak/>
        <w:t>ritonaviro bozentano koncentracija plazmoje iš pradžių buvo maždaug 48 kartus didesnė, negu išmatuotoji pavartojus vien bozentano. Devintą dieną bozentano koncentracija plazmoje buvo 5 kartus didesnė, nei pavartojus vien bozentano. Šią sąveiką greičiausia sukelia transportinių baltymų veikiamo patekimo į hepatocitus ir CYP3A4 slopinimas, kurį vykdo ritonaviras ir dėl kurio sumažėja bozentano klirensas. Jeigu vaistinio preparato skiriama kartu su lopinaviru + ritonaviru arba kitais ritonaviro suaktyvinamais proteazės inhibitoriais, reikia atidžiai stebėti, ar pacientas toleruoja bozentaną.</w:t>
      </w:r>
    </w:p>
    <w:p w14:paraId="3C2DF21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9ADBB4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Pavartojus kartu su bozentanu 9,5 paros, lopinaviro ir ritonaviro ekspozicija plazmoje sumažėjo iki kliniškai nereikšmingo kiekio (lopinaviro maždaug 14 %, o ritonaviro – 17 %), tačiau visiškos bozentano indukcijos pasiekta nebuvo, todėl negalima atmesti tolesnio proteazės inhibitorių mažėjimo. Patartina atitinkamai stebėti ŽIV gydymą. Panašus poveikis tikėtinas ir vartojant kitus ritonaviro suaktyvinamus proteazės inhibitorius (žr. 4.4 skyrių).</w:t>
      </w:r>
    </w:p>
    <w:p w14:paraId="28F60828"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i/>
          <w:iCs/>
          <w:spacing w:val="-1"/>
        </w:rPr>
      </w:pPr>
    </w:p>
    <w:p w14:paraId="01A3A1F4" w14:textId="77777777" w:rsidR="00CD51A4" w:rsidRPr="000A2DE8" w:rsidRDefault="00CD51A4" w:rsidP="00CD51A4">
      <w:pPr>
        <w:widowControl w:val="0"/>
        <w:autoSpaceDE w:val="0"/>
        <w:autoSpaceDN w:val="0"/>
        <w:adjustRightInd w:val="0"/>
        <w:spacing w:before="75" w:after="0" w:line="240" w:lineRule="auto"/>
        <w:ind w:right="50"/>
        <w:rPr>
          <w:rFonts w:ascii="Times New Roman" w:hAnsi="Times New Roman"/>
        </w:rPr>
      </w:pPr>
      <w:r w:rsidRPr="000A2DE8">
        <w:rPr>
          <w:rFonts w:ascii="Times New Roman" w:hAnsi="Times New Roman"/>
          <w:i/>
          <w:spacing w:val="-1"/>
        </w:rPr>
        <w:t xml:space="preserve">Kiti </w:t>
      </w:r>
      <w:r w:rsidR="00390432" w:rsidRPr="000A2DE8">
        <w:rPr>
          <w:rFonts w:ascii="Times New Roman" w:hAnsi="Times New Roman"/>
          <w:i/>
          <w:spacing w:val="-1"/>
        </w:rPr>
        <w:t xml:space="preserve">vaistiniai </w:t>
      </w:r>
      <w:r w:rsidRPr="000A2DE8">
        <w:rPr>
          <w:rFonts w:ascii="Times New Roman" w:hAnsi="Times New Roman"/>
          <w:i/>
          <w:spacing w:val="-1"/>
        </w:rPr>
        <w:t xml:space="preserve">preparatai nuo retrovirusų: </w:t>
      </w:r>
      <w:r w:rsidRPr="000A2DE8">
        <w:rPr>
          <w:rFonts w:ascii="Times New Roman" w:hAnsi="Times New Roman"/>
        </w:rPr>
        <w:t>dėl duomenų stokos specialių rekomendacijų dėl kitų rinkoje esančių preparatų nuo retrovirusų duoti negalima. Pabrėžiama, kad dėl žymaus nevirapino hepatotoksinio poveikio, kuris gali dar padidėti dėl bozentano toksinio poveikio kepenims, šio derinio skirti nerekomenduojama.</w:t>
      </w:r>
    </w:p>
    <w:p w14:paraId="7D88C2B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2A1CAD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rPr>
        <w:t xml:space="preserve">Hormoniniai kontraceptikai: </w:t>
      </w:r>
      <w:r w:rsidRPr="000A2DE8">
        <w:rPr>
          <w:rFonts w:ascii="Times New Roman" w:hAnsi="Times New Roman"/>
        </w:rPr>
        <w:t>kartu vartojant bozentano po 125 mg dukart per parą 7 dienas kartu su viena geriamo kontraceptiko doze, kurios sudėtyje yra 1 mg noretisterono + 35 mikrogramai etinilestradiolio, noretisterono AUC sumažėjo 14 %, o etinilestradiolio – 31 %. Tačiau kai kuriems asmenims noretisterono ekspozicija sumažėjo net iki 56 %, o etinilestradiolio – iki 66 %. Todėl manoma, kad tik hormoniniai kontraceptikai (nepriklausomai nuo jų vartojimo būdo: pvz., geriamieji, transderminiai ar implantuojamieji), nėra patikimas kontracepcijos būdas (žr. 4.4 ir 4.6 skyrius).</w:t>
      </w:r>
    </w:p>
    <w:p w14:paraId="13F00EC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B72916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4"/>
        </w:rPr>
        <w:t xml:space="preserve">Varfarinas: </w:t>
      </w:r>
      <w:r w:rsidRPr="000A2DE8">
        <w:rPr>
          <w:rFonts w:ascii="Times New Roman" w:hAnsi="Times New Roman"/>
        </w:rPr>
        <w:t>vartojant jį kartu su bozentanu, skiriamu po 500 mg dukart per parą 6 dienas, S-varfarino (CYP2C9 substrato) ir R-varfarino (CYP3A4 substrato) koncentracija plazmoje sumažėjo atitinkamai 29 % ir 38 %. Klinikinė patirtis bozentaną skiriant kartu su varfarinu pacientams</w:t>
      </w:r>
      <w:r w:rsidR="00F57EE3" w:rsidRPr="000A2DE8">
        <w:rPr>
          <w:rFonts w:ascii="Times New Roman" w:hAnsi="Times New Roman"/>
        </w:rPr>
        <w:t>, sergantiems PH,</w:t>
      </w:r>
      <w:r w:rsidRPr="000A2DE8">
        <w:rPr>
          <w:rFonts w:ascii="Times New Roman" w:hAnsi="Times New Roman"/>
        </w:rPr>
        <w:t xml:space="preserve"> gydyti parodė, kad nebuvo reikšmingų tarptautinio normalizuoto santykio (INR) ar varfarino dozės (lyginant pradines dozes su dozėmis gydymo pabaigoje) pokyčių. Be to, tyrimo metu varfarino dozės pakeitimų dažnis dėl INR pokyčių ar dėl šalutinių poveikių buvo panašus ir bozentanu, ir placebu gydomiems pacientams. Varfarino ir panašių oralinių antikoaguliantų dozės adaptuoti nereikia, kai vartojamas bozentanas, tačiau rekomenduojama intensyviau stebėti INR, ypač pradedant vartoti bozentaną ir titravimo laikotarpiu.</w:t>
      </w:r>
    </w:p>
    <w:p w14:paraId="7540E8F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6374AB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A26D2B">
        <w:rPr>
          <w:rFonts w:ascii="Times New Roman" w:hAnsi="Times New Roman"/>
          <w:i/>
        </w:rPr>
        <w:t>Simvastatinas</w:t>
      </w:r>
      <w:r w:rsidR="000A2DE8">
        <w:rPr>
          <w:rFonts w:ascii="Times New Roman" w:hAnsi="Times New Roman"/>
          <w:i/>
        </w:rPr>
        <w:t>:</w:t>
      </w:r>
      <w:r w:rsidRPr="00A26D2B">
        <w:rPr>
          <w:rFonts w:ascii="Times New Roman" w:hAnsi="Times New Roman"/>
          <w:i/>
        </w:rPr>
        <w:t xml:space="preserve"> </w:t>
      </w:r>
      <w:r w:rsidRPr="000A2DE8">
        <w:rPr>
          <w:rFonts w:ascii="Times New Roman" w:hAnsi="Times New Roman"/>
        </w:rPr>
        <w:t>vartojant jį kartu su bozentanu, skiriamu po 125 mg dukart per parą 5 dienas, sumažėjo simvastatino (CYP3A4 substrato) koncentracija plazmoje, o jo aktyvaus β-hidroksi rūgšties metabolito koncentracija atitinkamai sumažėjo 34 % ir 46 %. Vartojant kartu simvastatiną, bozentano koncentracijai plazmoje tai įtakos neturėjo. Reikėtų stebėti cholesterolio kiekį ir atitinkamai koreguoti dozavimą.</w:t>
      </w:r>
    </w:p>
    <w:p w14:paraId="223929D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607DAA8"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rPr>
        <w:t xml:space="preserve">Ketokonazolas: </w:t>
      </w:r>
      <w:r w:rsidRPr="000A2DE8">
        <w:rPr>
          <w:rFonts w:ascii="Times New Roman" w:hAnsi="Times New Roman"/>
        </w:rPr>
        <w:t xml:space="preserve">6 dienas kartu vartojant bozentano 62,5 mg dukart per parą 6 dienas su ketokonazolu, stipriu CYP3A4 inhibitoriumi, bozentano koncentracija plazmoje padidėjo maždaug 2 kartus. Bozentano dozių adaptuoti nebūtina. Nors tai ir nebuvo nustatyta atliekant </w:t>
      </w:r>
      <w:r w:rsidRPr="000A2DE8">
        <w:rPr>
          <w:rFonts w:ascii="Times New Roman" w:hAnsi="Times New Roman"/>
          <w:i/>
        </w:rPr>
        <w:t>in vivo</w:t>
      </w:r>
      <w:r w:rsidRPr="000A2DE8">
        <w:rPr>
          <w:rFonts w:ascii="Times New Roman" w:hAnsi="Times New Roman"/>
        </w:rPr>
        <w:t xml:space="preserve"> tyrimus, panašaus bozentano koncentracijos plazmoje padidėjimo galima tikėtis ir su kitais stipriais CYP3A4 inhibitoriais (pvz., itrakonazolu arba ritonaviru). Tačiau, derinant preparatą su CYP3A4 inhibitoriumi, padidėja silpnai metabolizuojančių CYP2C9 pacientų rizika, kad bozentano koncentracija plazmoje gali padidėti dar labiau ir dėl to gali įvykti žalingų šalutinių reakcijų.</w:t>
      </w:r>
    </w:p>
    <w:p w14:paraId="765C0A9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40E249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rPr>
        <w:t xml:space="preserve">Epoprostenolis: </w:t>
      </w:r>
      <w:r w:rsidRPr="000A2DE8">
        <w:rPr>
          <w:rFonts w:ascii="Times New Roman" w:hAnsi="Times New Roman"/>
          <w:spacing w:val="1"/>
        </w:rPr>
        <w:t>riboti tyrimų, kurių metu 10 pediatrinių pacientų buvo gydyti bozentano ir epoprostenolio deriniu (AC-052-356 (BREATHE-3)), duomenys rodo, kad ir vartojant vieną, ir kelias dozes, bozentano Cmax ir AUC reikšmės buvo tokios pat pacientams, kurie buvo gydomi ilgalaikėmis epoprostenolio infuzijomis ar nebuvo gydomi šiuo metodu (žr. 5.1 skyrių).</w:t>
      </w:r>
    </w:p>
    <w:p w14:paraId="6D9F3688"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FFBF2A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rPr>
        <w:t xml:space="preserve">Sildenafilis: </w:t>
      </w:r>
      <w:r w:rsidRPr="000A2DE8">
        <w:rPr>
          <w:rFonts w:ascii="Times New Roman" w:hAnsi="Times New Roman"/>
        </w:rPr>
        <w:t xml:space="preserve">sveikiems savanoriams 6 dienas vartojant po 125 mg bozentano dukart per parą (stabili būklė) kartu su sildenafiliu, skiriamu po 80 mg tris kartus per parą (esant pusiausvyrinei </w:t>
      </w:r>
      <w:r w:rsidRPr="000A2DE8">
        <w:rPr>
          <w:rFonts w:ascii="Times New Roman" w:hAnsi="Times New Roman"/>
        </w:rPr>
        <w:lastRenderedPageBreak/>
        <w:t xml:space="preserve">koncentracijai), sildenafilio AUC </w:t>
      </w:r>
      <w:r w:rsidRPr="000A2DE8">
        <w:rPr>
          <w:rFonts w:ascii="Times New Roman" w:hAnsi="Times New Roman"/>
          <w:spacing w:val="1"/>
        </w:rPr>
        <w:t>sumažėja 63 %, o bozentano AUC padidėja 50 %. Rekomenduojama atsargiai skirti šiuos preparatus kartu.</w:t>
      </w:r>
    </w:p>
    <w:p w14:paraId="4F988BD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A3A9B0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spacing w:val="-1"/>
        </w:rPr>
        <w:t xml:space="preserve">Digoksinas: </w:t>
      </w:r>
      <w:r w:rsidRPr="000A2DE8">
        <w:rPr>
          <w:rFonts w:ascii="Times New Roman" w:hAnsi="Times New Roman"/>
        </w:rPr>
        <w:t>7 dienas vartojant digoksino kartu su bozentanu, skiriamu po 500 mg dukart per parą, digoksino AUC sumažėjo 12 %, C</w:t>
      </w:r>
      <w:r w:rsidRPr="000A2DE8">
        <w:rPr>
          <w:rFonts w:ascii="Times New Roman" w:hAnsi="Times New Roman"/>
          <w:vertAlign w:val="subscript"/>
        </w:rPr>
        <w:t xml:space="preserve">max </w:t>
      </w:r>
      <w:r w:rsidRPr="000A2DE8">
        <w:rPr>
          <w:rFonts w:ascii="Times New Roman" w:hAnsi="Times New Roman"/>
        </w:rPr>
        <w:t>sumažėjo 9 %, o C</w:t>
      </w:r>
      <w:r w:rsidRPr="000A2DE8">
        <w:rPr>
          <w:rFonts w:ascii="Times New Roman" w:hAnsi="Times New Roman"/>
          <w:vertAlign w:val="subscript"/>
        </w:rPr>
        <w:t>min</w:t>
      </w:r>
      <w:r w:rsidRPr="000A2DE8">
        <w:rPr>
          <w:rFonts w:ascii="Times New Roman" w:hAnsi="Times New Roman"/>
        </w:rPr>
        <w:t xml:space="preserve"> – 23 %. Šios sąveikos mechanizmas gali būti P-glikoproteino indukcija. Mažai tikėtina, kad ši sąveika yra kliniškai reikšminga.</w:t>
      </w:r>
    </w:p>
    <w:p w14:paraId="2559BA5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E4ED69F" w14:textId="77777777" w:rsidR="00CD51A4" w:rsidRPr="000A2DE8" w:rsidRDefault="00735694" w:rsidP="00EF0E14">
      <w:pPr>
        <w:widowControl w:val="0"/>
        <w:autoSpaceDE w:val="0"/>
        <w:autoSpaceDN w:val="0"/>
        <w:adjustRightInd w:val="0"/>
        <w:spacing w:after="0" w:line="240" w:lineRule="auto"/>
        <w:rPr>
          <w:rFonts w:ascii="Times New Roman" w:eastAsia="Times New Roman" w:hAnsi="Times New Roman"/>
        </w:rPr>
      </w:pPr>
      <w:r w:rsidRPr="000A2DE8">
        <w:rPr>
          <w:rFonts w:ascii="Times New Roman" w:eastAsia="Times New Roman" w:hAnsi="Times New Roman"/>
          <w:i/>
          <w:lang w:eastAsia="en-US"/>
        </w:rPr>
        <w:t xml:space="preserve">Tadalafilis: </w:t>
      </w:r>
      <w:r w:rsidRPr="000A2DE8">
        <w:rPr>
          <w:rFonts w:ascii="Times New Roman" w:eastAsia="Times New Roman" w:hAnsi="Times New Roman"/>
          <w:lang w:eastAsia="en-US"/>
        </w:rPr>
        <w:t>bozentanas (</w:t>
      </w:r>
      <w:r w:rsidR="001F61CE" w:rsidRPr="000A2DE8">
        <w:rPr>
          <w:rFonts w:ascii="Times New Roman" w:eastAsia="Times New Roman" w:hAnsi="Times New Roman"/>
          <w:lang w:eastAsia="en-US"/>
        </w:rPr>
        <w:t xml:space="preserve">vartojant jį </w:t>
      </w:r>
      <w:r w:rsidRPr="000A2DE8">
        <w:rPr>
          <w:rFonts w:ascii="Times New Roman" w:eastAsia="Times New Roman" w:hAnsi="Times New Roman"/>
          <w:lang w:eastAsia="en-US"/>
        </w:rPr>
        <w:t>du kartus per parą</w:t>
      </w:r>
      <w:r w:rsidR="001F61CE" w:rsidRPr="000A2DE8">
        <w:rPr>
          <w:rFonts w:ascii="Times New Roman" w:eastAsia="Times New Roman" w:hAnsi="Times New Roman"/>
          <w:lang w:eastAsia="en-US"/>
        </w:rPr>
        <w:t xml:space="preserve"> po 125 mg</w:t>
      </w:r>
      <w:r w:rsidRPr="000A2DE8">
        <w:rPr>
          <w:rFonts w:ascii="Times New Roman" w:eastAsia="Times New Roman" w:hAnsi="Times New Roman"/>
          <w:lang w:eastAsia="en-US"/>
        </w:rPr>
        <w:t>) 42 % sumažino sisteminę tadalafilio (40 mg kartą per parą) ekspoziciją ir 27 % sumažino jo C</w:t>
      </w:r>
      <w:r w:rsidRPr="000A2DE8">
        <w:rPr>
          <w:rFonts w:ascii="Times New Roman" w:eastAsia="Times New Roman" w:hAnsi="Times New Roman"/>
          <w:vertAlign w:val="subscript"/>
          <w:lang w:eastAsia="en-US"/>
        </w:rPr>
        <w:t>max</w:t>
      </w:r>
      <w:r w:rsidRPr="000A2DE8">
        <w:rPr>
          <w:rFonts w:ascii="Times New Roman" w:eastAsia="Times New Roman" w:hAnsi="Times New Roman"/>
          <w:lang w:eastAsia="en-US"/>
        </w:rPr>
        <w:t xml:space="preserve">, kai vaistiniai preparatai buvo </w:t>
      </w:r>
      <w:r w:rsidR="001F61CE" w:rsidRPr="000A2DE8">
        <w:rPr>
          <w:rFonts w:ascii="Times New Roman" w:eastAsia="Times New Roman" w:hAnsi="Times New Roman"/>
          <w:lang w:eastAsia="en-US"/>
        </w:rPr>
        <w:t xml:space="preserve">kurį laiką buvo </w:t>
      </w:r>
      <w:r w:rsidRPr="000A2DE8">
        <w:rPr>
          <w:rFonts w:ascii="Times New Roman" w:eastAsia="Times New Roman" w:hAnsi="Times New Roman"/>
          <w:lang w:eastAsia="en-US"/>
        </w:rPr>
        <w:t>vartojami kartu. Tadalafilis neturėjo įtakos bozentano ar jo metabolitų ekspozicijai (AUC ir C</w:t>
      </w:r>
      <w:r w:rsidRPr="000A2DE8">
        <w:rPr>
          <w:rFonts w:ascii="Times New Roman" w:eastAsia="Times New Roman" w:hAnsi="Times New Roman"/>
          <w:vertAlign w:val="subscript"/>
          <w:lang w:eastAsia="en-US"/>
        </w:rPr>
        <w:t>max</w:t>
      </w:r>
      <w:r w:rsidRPr="000A2DE8">
        <w:rPr>
          <w:rFonts w:ascii="Times New Roman" w:eastAsia="Times New Roman" w:hAnsi="Times New Roman"/>
          <w:lang w:eastAsia="en-US"/>
        </w:rPr>
        <w:t>).</w:t>
      </w:r>
    </w:p>
    <w:p w14:paraId="318CA05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AF069A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eastAsia="Times New Roman" w:hAnsi="Times New Roman"/>
        </w:rPr>
        <w:t>Vaikų populiacija:</w:t>
      </w:r>
    </w:p>
    <w:p w14:paraId="7411CDA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eastAsia="Times New Roman" w:hAnsi="Times New Roman"/>
        </w:rPr>
        <w:t>Sąveikos tyrimai atlikti tik su suaugusiais.</w:t>
      </w:r>
    </w:p>
    <w:p w14:paraId="6A0C9E6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1257138"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4.6</w:t>
      </w:r>
      <w:r w:rsidRPr="000A2DE8">
        <w:rPr>
          <w:rFonts w:ascii="Times New Roman" w:hAnsi="Times New Roman"/>
        </w:rPr>
        <w:tab/>
      </w:r>
      <w:r w:rsidRPr="000A2DE8">
        <w:rPr>
          <w:rFonts w:ascii="Times New Roman" w:hAnsi="Times New Roman"/>
          <w:b/>
        </w:rPr>
        <w:t>Vaisingumas, nėštumo ir žindymo laikotarpis</w:t>
      </w:r>
    </w:p>
    <w:p w14:paraId="147533B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F4E643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Nėštumas</w:t>
      </w:r>
    </w:p>
    <w:p w14:paraId="2D67DB80" w14:textId="77777777" w:rsidR="00CD51A4" w:rsidRPr="000A2DE8" w:rsidRDefault="00CD51A4" w:rsidP="00CD51A4">
      <w:pPr>
        <w:widowControl w:val="0"/>
        <w:autoSpaceDE w:val="0"/>
        <w:autoSpaceDN w:val="0"/>
        <w:adjustRightInd w:val="0"/>
        <w:spacing w:after="0" w:line="240" w:lineRule="auto"/>
        <w:jc w:val="both"/>
        <w:rPr>
          <w:rFonts w:ascii="Times New Roman" w:eastAsia="Times New Roman" w:hAnsi="Times New Roman"/>
        </w:rPr>
      </w:pPr>
      <w:r w:rsidRPr="000A2DE8">
        <w:rPr>
          <w:rFonts w:ascii="Times New Roman" w:hAnsi="Times New Roman"/>
        </w:rPr>
        <w:t>Su gyvūnais atlikti tyrimai parodė toksinį poveikį reprodukcijai (teratogeniškumą, embriotoksiškumą, žr. 5.3 skyrių). Nėra patikimų duomenų apie bozentano vartojimą nėščioms moterims. Potenciali rizika žmonėms vis dar nežinoma. Bozentano nėštumo metu skirti draudžiama (žr. 4.3 skyrių).</w:t>
      </w:r>
    </w:p>
    <w:p w14:paraId="045C983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F4934B9" w14:textId="77777777" w:rsidR="00CD51A4" w:rsidRPr="000A2DE8" w:rsidRDefault="00F57EE3" w:rsidP="00CD51A4">
      <w:pPr>
        <w:widowControl w:val="0"/>
        <w:autoSpaceDE w:val="0"/>
        <w:autoSpaceDN w:val="0"/>
        <w:adjustRightInd w:val="0"/>
        <w:spacing w:after="0" w:line="240" w:lineRule="auto"/>
        <w:jc w:val="both"/>
        <w:rPr>
          <w:rFonts w:ascii="Times New Roman" w:eastAsia="Times New Roman" w:hAnsi="Times New Roman"/>
        </w:rPr>
      </w:pPr>
      <w:r w:rsidRPr="000A2DE8">
        <w:rPr>
          <w:rFonts w:ascii="Times New Roman" w:hAnsi="Times New Roman"/>
          <w:spacing w:val="-1"/>
          <w:position w:val="-1"/>
          <w:u w:val="single"/>
        </w:rPr>
        <w:t>V</w:t>
      </w:r>
      <w:r w:rsidR="00CD51A4" w:rsidRPr="000A2DE8">
        <w:rPr>
          <w:rFonts w:ascii="Times New Roman" w:hAnsi="Times New Roman"/>
          <w:spacing w:val="-1"/>
          <w:position w:val="-1"/>
          <w:u w:val="single"/>
        </w:rPr>
        <w:t>aisingo</w:t>
      </w:r>
      <w:r w:rsidRPr="000A2DE8">
        <w:rPr>
          <w:rFonts w:ascii="Times New Roman" w:hAnsi="Times New Roman"/>
          <w:spacing w:val="-1"/>
          <w:position w:val="-1"/>
          <w:u w:val="single"/>
        </w:rPr>
        <w:t>s</w:t>
      </w:r>
      <w:r w:rsidR="00CD51A4" w:rsidRPr="000A2DE8">
        <w:rPr>
          <w:rFonts w:ascii="Times New Roman" w:hAnsi="Times New Roman"/>
          <w:spacing w:val="-1"/>
          <w:position w:val="-1"/>
          <w:u w:val="single"/>
        </w:rPr>
        <w:t xml:space="preserve"> moter</w:t>
      </w:r>
      <w:r w:rsidRPr="000A2DE8">
        <w:rPr>
          <w:rFonts w:ascii="Times New Roman" w:hAnsi="Times New Roman"/>
          <w:spacing w:val="-1"/>
          <w:position w:val="-1"/>
          <w:u w:val="single"/>
        </w:rPr>
        <w:t>y</w:t>
      </w:r>
      <w:r w:rsidR="00CD51A4" w:rsidRPr="000A2DE8">
        <w:rPr>
          <w:rFonts w:ascii="Times New Roman" w:hAnsi="Times New Roman"/>
          <w:spacing w:val="-1"/>
          <w:position w:val="-1"/>
          <w:u w:val="single"/>
        </w:rPr>
        <w:t>s</w:t>
      </w:r>
    </w:p>
    <w:p w14:paraId="667891D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Prieš skiriant gydymą bozentanu vaisingo amžiaus moterims reikia patikrinti, ar moteris nėra nėščia, tinkamai patarti dėl patikimų kontracepcijos metodų vartojimo ir pradėti taikyti patikimą kontracepcijos metodą. Pacientės ir vaistinį preparatą išrašantys gydytojai privalo žinoti, kad dėl galimų farmakokinetinių sąveikų, vartojant bozentaną hormoniniai kontraceptikai gali tapti neveiksmingi (žr. 4.5 skyrių). Todėl vaisingo amžiaus moterys turėtų nevartoti hormoninių kontraceptikų (įskaitant geriamas, švirkščiamas, poodines arba implantuojamas formas) kaip vienintelio kontracepcijos metodo, jos turi vartoti papildomas ar alternatyvias veiksmingas kontracepcijos priemones. Esant bet kokioms abejonėms, kokį kontracepcijos metodą pasiūlyti konkrečiai pacientei, reikia pasikonsultuoti su ginekologu. Dėl galimo hormoninių kontraceptikų neveiksmingumo gydymo bozentanu metu, taip pat įvertinant tai, kad nėštumo metu smarkiai padidėja plautinės hipertenzijos rizika, gydymo bozentanu metu rekomenduojama vieną kartą per mėnesį atlikti nėštumo testą, kad būtų galima anksti nustatyti nėštumą.</w:t>
      </w:r>
    </w:p>
    <w:p w14:paraId="3A80EAC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EBCD60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position w:val="-1"/>
          <w:u w:val="single"/>
        </w:rPr>
        <w:t>Žindymas</w:t>
      </w:r>
    </w:p>
    <w:p w14:paraId="2D6B815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Nežinoma, ar bozentanas išsiskiria į motinos pieną. Bozentanu nerekomenduojama vartoti žindymo metu.</w:t>
      </w:r>
    </w:p>
    <w:p w14:paraId="104CD1E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E1C42D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u w:val="single"/>
        </w:rPr>
        <w:t>Vaisingumas</w:t>
      </w:r>
    </w:p>
    <w:p w14:paraId="4D3DCC82" w14:textId="28ADE4B4" w:rsidR="00CD51A4" w:rsidRPr="000A2DE8" w:rsidRDefault="00F57EE3" w:rsidP="00680FF0">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Tyrimai su gyvūnais parodė</w:t>
      </w:r>
      <w:r w:rsidR="00CD51A4" w:rsidRPr="000A2DE8">
        <w:rPr>
          <w:rFonts w:ascii="Times New Roman" w:hAnsi="Times New Roman"/>
        </w:rPr>
        <w:t xml:space="preserve"> </w:t>
      </w:r>
      <w:r w:rsidRPr="000A2DE8">
        <w:rPr>
          <w:rFonts w:ascii="Times New Roman" w:hAnsi="Times New Roman"/>
        </w:rPr>
        <w:t>poveikį sėklidėms</w:t>
      </w:r>
      <w:r w:rsidR="00CD51A4" w:rsidRPr="000A2DE8">
        <w:rPr>
          <w:rFonts w:ascii="Times New Roman" w:hAnsi="Times New Roman"/>
        </w:rPr>
        <w:t xml:space="preserve"> (žr. 5.3 skyrių). </w:t>
      </w:r>
      <w:r w:rsidR="00680FF0" w:rsidRPr="00680FF0">
        <w:rPr>
          <w:rFonts w:ascii="Times New Roman" w:hAnsi="Times New Roman"/>
        </w:rPr>
        <w:t>Klinikiniame tyrime, kuriame buvo</w:t>
      </w:r>
      <w:r w:rsidR="00680FF0">
        <w:rPr>
          <w:rFonts w:ascii="Times New Roman" w:hAnsi="Times New Roman"/>
        </w:rPr>
        <w:t xml:space="preserve"> </w:t>
      </w:r>
      <w:r w:rsidR="00680FF0" w:rsidRPr="00680FF0">
        <w:rPr>
          <w:rFonts w:ascii="Times New Roman" w:hAnsi="Times New Roman"/>
        </w:rPr>
        <w:t>tiriamas bozentano poveikis PH sergan</w:t>
      </w:r>
      <w:r w:rsidR="00680FF0">
        <w:rPr>
          <w:rFonts w:ascii="Times New Roman" w:hAnsi="Times New Roman"/>
        </w:rPr>
        <w:t xml:space="preserve">čių </w:t>
      </w:r>
      <w:r w:rsidR="00680FF0" w:rsidRPr="00680FF0">
        <w:rPr>
          <w:rFonts w:ascii="Times New Roman" w:hAnsi="Times New Roman"/>
        </w:rPr>
        <w:t>pacient</w:t>
      </w:r>
      <w:r w:rsidR="00680FF0">
        <w:rPr>
          <w:rFonts w:ascii="Times New Roman" w:hAnsi="Times New Roman"/>
        </w:rPr>
        <w:t>ų</w:t>
      </w:r>
      <w:r w:rsidR="00680FF0" w:rsidRPr="00680FF0">
        <w:rPr>
          <w:rFonts w:ascii="Times New Roman" w:hAnsi="Times New Roman"/>
        </w:rPr>
        <w:t xml:space="preserve"> vyr</w:t>
      </w:r>
      <w:r w:rsidR="00680FF0">
        <w:rPr>
          <w:rFonts w:ascii="Times New Roman" w:hAnsi="Times New Roman"/>
        </w:rPr>
        <w:t>ų</w:t>
      </w:r>
      <w:r w:rsidR="00680FF0" w:rsidRPr="00680FF0">
        <w:rPr>
          <w:rFonts w:ascii="Times New Roman" w:hAnsi="Times New Roman"/>
        </w:rPr>
        <w:t xml:space="preserve"> sėklidžių funkcijai, po 6 gydymo</w:t>
      </w:r>
      <w:r w:rsidR="00680FF0">
        <w:rPr>
          <w:rFonts w:ascii="Times New Roman" w:hAnsi="Times New Roman"/>
        </w:rPr>
        <w:t xml:space="preserve"> </w:t>
      </w:r>
      <w:r w:rsidR="00680FF0" w:rsidRPr="00680FF0">
        <w:rPr>
          <w:rFonts w:ascii="Times New Roman" w:hAnsi="Times New Roman"/>
        </w:rPr>
        <w:t>bozentanu mėnesių šešiems iš 24 tiriamųjų (25</w:t>
      </w:r>
      <w:r w:rsidR="00680FF0">
        <w:rPr>
          <w:rFonts w:ascii="Times New Roman" w:hAnsi="Times New Roman"/>
        </w:rPr>
        <w:t> </w:t>
      </w:r>
      <w:r w:rsidR="00680FF0" w:rsidRPr="00680FF0">
        <w:rPr>
          <w:rFonts w:ascii="Times New Roman" w:hAnsi="Times New Roman"/>
        </w:rPr>
        <w:t>%) buvo stebėta bent 50</w:t>
      </w:r>
      <w:r w:rsidR="00680FF0">
        <w:rPr>
          <w:rFonts w:ascii="Times New Roman" w:hAnsi="Times New Roman"/>
        </w:rPr>
        <w:t> </w:t>
      </w:r>
      <w:r w:rsidR="00680FF0" w:rsidRPr="00680FF0">
        <w:rPr>
          <w:rFonts w:ascii="Times New Roman" w:hAnsi="Times New Roman"/>
        </w:rPr>
        <w:t>% nuo pradinio lygio sumažėjusi spermos</w:t>
      </w:r>
      <w:r w:rsidR="00680FF0">
        <w:rPr>
          <w:rFonts w:ascii="Times New Roman" w:hAnsi="Times New Roman"/>
        </w:rPr>
        <w:t xml:space="preserve"> </w:t>
      </w:r>
      <w:r w:rsidR="00680FF0" w:rsidRPr="00680FF0">
        <w:rPr>
          <w:rFonts w:ascii="Times New Roman" w:hAnsi="Times New Roman"/>
        </w:rPr>
        <w:t>koncentracija</w:t>
      </w:r>
      <w:r w:rsidR="00CD51A4" w:rsidRPr="000A2DE8">
        <w:rPr>
          <w:rFonts w:ascii="Times New Roman" w:hAnsi="Times New Roman"/>
        </w:rPr>
        <w:t>. Remiantis šiais rezultatais ir ikiklinikiniais duomenimis, negalima atmesti tikimybės, kad bozentanas gali neigiamai paveikti vyrų spermatogenezę. Negalima atmesti ilgalaikio poveikio berniukų vaisingumui po gydymo bozentanu tikimybės.</w:t>
      </w:r>
    </w:p>
    <w:p w14:paraId="56DB884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F0882C2"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4.7</w:t>
      </w:r>
      <w:r w:rsidRPr="000A2DE8">
        <w:rPr>
          <w:rFonts w:ascii="Times New Roman" w:hAnsi="Times New Roman"/>
        </w:rPr>
        <w:tab/>
      </w:r>
      <w:r w:rsidRPr="000A2DE8">
        <w:rPr>
          <w:rFonts w:ascii="Times New Roman" w:hAnsi="Times New Roman"/>
          <w:b/>
        </w:rPr>
        <w:t>Poveikis gebėjimui vairuoti ir valdyti mechanizmus</w:t>
      </w:r>
    </w:p>
    <w:p w14:paraId="448D1A5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437D7C9" w14:textId="77777777" w:rsidR="00CD51A4" w:rsidRPr="000A2DE8" w:rsidRDefault="00CD51A4" w:rsidP="00CD51A4">
      <w:pPr>
        <w:widowControl w:val="0"/>
        <w:tabs>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Tiesioginio bozentano poveikio gebėjimui vairuoti ir valdyti mechanizmus specialių tyrimų neatlikta. Vis dėlto bozentanas gali sukelti hipotenziją, dėl to gali pasireikšti svaigulys</w:t>
      </w:r>
      <w:r w:rsidR="001477E6" w:rsidRPr="000A2DE8">
        <w:rPr>
          <w:rFonts w:ascii="Times New Roman" w:hAnsi="Times New Roman"/>
          <w:spacing w:val="-1"/>
        </w:rPr>
        <w:t>, miglotu matymu</w:t>
      </w:r>
      <w:r w:rsidRPr="000A2DE8">
        <w:rPr>
          <w:rFonts w:ascii="Times New Roman" w:hAnsi="Times New Roman"/>
          <w:spacing w:val="-1"/>
        </w:rPr>
        <w:t xml:space="preserve"> ar apalpimas, kurie gali veikti gebėjimą vairuoti ir valdyti mechanizmus.</w:t>
      </w:r>
    </w:p>
    <w:p w14:paraId="1D5E40F8"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3EF22D1"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4.8</w:t>
      </w:r>
      <w:r w:rsidRPr="000A2DE8">
        <w:rPr>
          <w:rFonts w:ascii="Times New Roman" w:hAnsi="Times New Roman"/>
        </w:rPr>
        <w:tab/>
      </w:r>
      <w:r w:rsidRPr="000A2DE8">
        <w:rPr>
          <w:rFonts w:ascii="Times New Roman" w:hAnsi="Times New Roman"/>
          <w:b/>
        </w:rPr>
        <w:t>Nepageidaujamas poveikis</w:t>
      </w:r>
    </w:p>
    <w:p w14:paraId="481772A8"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69682D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20-tyje placebu kontroliuojamų tyrimų, atliktų tiriant įvairias terapines indikacijas, iš viso bozentanu buvo </w:t>
      </w:r>
      <w:r w:rsidRPr="000A2DE8">
        <w:rPr>
          <w:rFonts w:ascii="Times New Roman" w:hAnsi="Times New Roman"/>
          <w:spacing w:val="-4"/>
        </w:rPr>
        <w:lastRenderedPageBreak/>
        <w:t xml:space="preserve">gydyti 2486 pacientai, vartoję nuo 100 mg iki 2000 mg vaisto dozes, ir 1838 pacientai, vartoję placebą. Vidutinė gydymo trukmė buvo 45 savaitės. Nepageidaujamos reakcijos pasireiškė ne mažiau nei 1 % bozentaną vartojusių pacientų ne mažiau nei 0,5 % dažniau, nei placebo grupėje. Dažniausios nepageidaujamos reakcijos buvo galvos skausmas (11,5 %), edema/skysčių susilaikymas (13,2 %), nenormalūs kepenų veiklos tyrimų rezultatai (10,9 %) ir anemija/hemoglobino kiekio sumažėjimas (9,9 %). </w:t>
      </w:r>
    </w:p>
    <w:p w14:paraId="1726CDA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6AC14B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Gydymas bozentanu buvo susietas su nuo dozės priklausomu kepenų aminotransferazių aktyvumo padidėjimu ir hemoglobino koncentracijos sumažėjimu (žr. 4.4 skyrių).</w:t>
      </w:r>
    </w:p>
    <w:p w14:paraId="52A3D89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2BA165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Vaisto sukeliamos nepageidaujamos reakcijos, nustatytos 20-ties placebu kontroliuojamų bozentano tyrimų metu ir vaistiniam preparatui patekus į rinką, klasifikuojamos pagal dažnį, vartojant šias sąvokas: labai dažnos (≥ 1/10); dažnos (nuo ≥ 1/100 iki &lt; 1/10); nedažnos (nuo ≥ 1/1 000 iki &lt; 1/100); retos (nuo ≥ 1/10 000 iki &lt; 1/1 000); labai retos (&lt; 1/10 000), dažnis nežinomas (negali būti įvertintas pagal turimus duomenis).</w:t>
      </w:r>
    </w:p>
    <w:p w14:paraId="67F6F0F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788633F" w14:textId="77777777" w:rsidR="00CD51A4" w:rsidRPr="000A2DE8" w:rsidRDefault="00CD51A4" w:rsidP="00A26D2B">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Kiekvienoje dažnio grupėje nepageidaujamos reakcijos pateikiamos mažėjančio sunkumo tvarka. Kliniškai reikšmingų skirtumų, susijusių su nepageidaujamomis reakcijomis, nei visame duomenų rinkinyje, nei vartojant skirtingoms patvirtintoms indikacijoms nenustatyta.</w:t>
      </w:r>
    </w:p>
    <w:p w14:paraId="16541DFD" w14:textId="77777777" w:rsidR="00CD51A4" w:rsidRPr="000A2DE8" w:rsidRDefault="00CD51A4" w:rsidP="00CD51A4">
      <w:pPr>
        <w:widowControl w:val="0"/>
        <w:autoSpaceDE w:val="0"/>
        <w:autoSpaceDN w:val="0"/>
        <w:adjustRightInd w:val="0"/>
        <w:spacing w:after="0" w:line="240" w:lineRule="auto"/>
        <w:jc w:val="both"/>
        <w:rPr>
          <w:rFonts w:ascii="Times New Roman" w:eastAsia="Times New Roman" w:hAnsi="Times New Roman"/>
        </w:rPr>
      </w:pPr>
    </w:p>
    <w:tbl>
      <w:tblPr>
        <w:tblW w:w="0" w:type="auto"/>
        <w:tblInd w:w="105" w:type="dxa"/>
        <w:tblLayout w:type="fixed"/>
        <w:tblCellMar>
          <w:left w:w="0" w:type="dxa"/>
          <w:right w:w="0" w:type="dxa"/>
        </w:tblCellMar>
        <w:tblLook w:val="0000" w:firstRow="0" w:lastRow="0" w:firstColumn="0" w:lastColumn="0" w:noHBand="0" w:noVBand="0"/>
      </w:tblPr>
      <w:tblGrid>
        <w:gridCol w:w="2993"/>
        <w:gridCol w:w="2644"/>
        <w:gridCol w:w="3017"/>
      </w:tblGrid>
      <w:tr w:rsidR="00CD51A4" w:rsidRPr="000A2DE8" w14:paraId="6C1E8289" w14:textId="77777777" w:rsidTr="001F61CE">
        <w:trPr>
          <w:trHeight w:hRule="exact" w:val="269"/>
          <w:tblHeader/>
        </w:trPr>
        <w:tc>
          <w:tcPr>
            <w:tcW w:w="2993" w:type="dxa"/>
            <w:tcBorders>
              <w:top w:val="single" w:sz="4" w:space="0" w:color="000000"/>
              <w:left w:val="single" w:sz="4" w:space="0" w:color="000000"/>
              <w:bottom w:val="single" w:sz="4" w:space="0" w:color="000000"/>
              <w:right w:val="single" w:sz="4" w:space="0" w:color="000000"/>
            </w:tcBorders>
          </w:tcPr>
          <w:p w14:paraId="340F2BEF"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b/>
              </w:rPr>
              <w:lastRenderedPageBreak/>
              <w:t>Organų sistemų klasės</w:t>
            </w:r>
          </w:p>
        </w:tc>
        <w:tc>
          <w:tcPr>
            <w:tcW w:w="2644" w:type="dxa"/>
            <w:tcBorders>
              <w:top w:val="single" w:sz="4" w:space="0" w:color="000000"/>
              <w:left w:val="single" w:sz="4" w:space="0" w:color="000000"/>
              <w:bottom w:val="single" w:sz="4" w:space="0" w:color="000000"/>
              <w:right w:val="single" w:sz="4" w:space="0" w:color="000000"/>
            </w:tcBorders>
          </w:tcPr>
          <w:p w14:paraId="45152C11"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b/>
                <w:spacing w:val="2"/>
              </w:rPr>
              <w:t>Dažnis</w:t>
            </w:r>
          </w:p>
        </w:tc>
        <w:tc>
          <w:tcPr>
            <w:tcW w:w="3017" w:type="dxa"/>
            <w:tcBorders>
              <w:top w:val="single" w:sz="4" w:space="0" w:color="000000"/>
              <w:left w:val="single" w:sz="4" w:space="0" w:color="000000"/>
              <w:bottom w:val="single" w:sz="4" w:space="0" w:color="000000"/>
              <w:right w:val="single" w:sz="4" w:space="0" w:color="000000"/>
            </w:tcBorders>
          </w:tcPr>
          <w:p w14:paraId="58486383"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b/>
                <w:spacing w:val="-1"/>
              </w:rPr>
              <w:t>Nepageidaujamos reakcijos</w:t>
            </w:r>
          </w:p>
        </w:tc>
      </w:tr>
      <w:tr w:rsidR="00CD51A4" w:rsidRPr="000A2DE8" w14:paraId="795546B9" w14:textId="77777777" w:rsidTr="001F61CE">
        <w:trPr>
          <w:trHeight w:hRule="exact" w:val="528"/>
          <w:tblHeader/>
        </w:trPr>
        <w:tc>
          <w:tcPr>
            <w:tcW w:w="2993" w:type="dxa"/>
            <w:vMerge w:val="restart"/>
            <w:tcBorders>
              <w:top w:val="single" w:sz="4" w:space="0" w:color="000000"/>
              <w:left w:val="single" w:sz="4" w:space="0" w:color="000000"/>
              <w:bottom w:val="single" w:sz="4" w:space="0" w:color="000000"/>
              <w:right w:val="single" w:sz="4" w:space="0" w:color="000000"/>
            </w:tcBorders>
          </w:tcPr>
          <w:p w14:paraId="6982BBD3"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Kraujo ir limfinės sistemos sutrikimai</w:t>
            </w:r>
          </w:p>
        </w:tc>
        <w:tc>
          <w:tcPr>
            <w:tcW w:w="2644" w:type="dxa"/>
            <w:tcBorders>
              <w:top w:val="single" w:sz="4" w:space="0" w:color="000000"/>
              <w:left w:val="single" w:sz="4" w:space="0" w:color="000000"/>
              <w:bottom w:val="single" w:sz="4" w:space="0" w:color="000000"/>
              <w:right w:val="single" w:sz="4" w:space="0" w:color="000000"/>
            </w:tcBorders>
          </w:tcPr>
          <w:p w14:paraId="576C89CF"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Dažnas</w:t>
            </w:r>
          </w:p>
        </w:tc>
        <w:tc>
          <w:tcPr>
            <w:tcW w:w="3017" w:type="dxa"/>
            <w:tcBorders>
              <w:top w:val="single" w:sz="4" w:space="0" w:color="000000"/>
              <w:left w:val="single" w:sz="4" w:space="0" w:color="000000"/>
              <w:bottom w:val="single" w:sz="4" w:space="0" w:color="000000"/>
              <w:right w:val="single" w:sz="4" w:space="0" w:color="000000"/>
            </w:tcBorders>
          </w:tcPr>
          <w:p w14:paraId="79EFA336"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Anemija, hemoglobino kiekio sumažėjimas (žr. 4.4 skyrių)</w:t>
            </w:r>
          </w:p>
        </w:tc>
      </w:tr>
      <w:tr w:rsidR="00CD51A4" w:rsidRPr="000A2DE8" w14:paraId="1AA8048A" w14:textId="77777777" w:rsidTr="001F61CE">
        <w:trPr>
          <w:trHeight w:hRule="exact" w:val="787"/>
          <w:tblHeader/>
        </w:trPr>
        <w:tc>
          <w:tcPr>
            <w:tcW w:w="2993" w:type="dxa"/>
            <w:vMerge/>
            <w:tcBorders>
              <w:top w:val="single" w:sz="4" w:space="0" w:color="000000"/>
              <w:left w:val="single" w:sz="4" w:space="0" w:color="000000"/>
              <w:bottom w:val="single" w:sz="4" w:space="0" w:color="000000"/>
              <w:right w:val="single" w:sz="4" w:space="0" w:color="000000"/>
            </w:tcBorders>
          </w:tcPr>
          <w:p w14:paraId="57872E00"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p>
        </w:tc>
        <w:tc>
          <w:tcPr>
            <w:tcW w:w="2644" w:type="dxa"/>
            <w:tcBorders>
              <w:top w:val="single" w:sz="4" w:space="0" w:color="000000"/>
              <w:left w:val="single" w:sz="4" w:space="0" w:color="000000"/>
              <w:bottom w:val="single" w:sz="4" w:space="0" w:color="000000"/>
              <w:right w:val="single" w:sz="4" w:space="0" w:color="000000"/>
            </w:tcBorders>
          </w:tcPr>
          <w:p w14:paraId="77FCAD82"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Dažnis nežinomas</w:t>
            </w:r>
          </w:p>
        </w:tc>
        <w:tc>
          <w:tcPr>
            <w:tcW w:w="3017" w:type="dxa"/>
            <w:tcBorders>
              <w:top w:val="single" w:sz="4" w:space="0" w:color="000000"/>
              <w:left w:val="single" w:sz="4" w:space="0" w:color="000000"/>
              <w:bottom w:val="single" w:sz="4" w:space="0" w:color="000000"/>
              <w:right w:val="single" w:sz="4" w:space="0" w:color="000000"/>
            </w:tcBorders>
          </w:tcPr>
          <w:p w14:paraId="33994991"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Anemija arba hemoglobino kiekio sumažėjimas, dėl kurių reikia raudonųjų kraujo kūnelių perpylimo</w:t>
            </w:r>
            <w:r w:rsidRPr="000A2DE8">
              <w:rPr>
                <w:rFonts w:ascii="Times New Roman" w:hAnsi="Times New Roman"/>
                <w:vertAlign w:val="superscript"/>
              </w:rPr>
              <w:t>1</w:t>
            </w:r>
          </w:p>
        </w:tc>
      </w:tr>
      <w:tr w:rsidR="00CD51A4" w:rsidRPr="000A2DE8" w14:paraId="1869B026" w14:textId="77777777" w:rsidTr="001F61CE">
        <w:trPr>
          <w:trHeight w:hRule="exact" w:val="269"/>
          <w:tblHeader/>
        </w:trPr>
        <w:tc>
          <w:tcPr>
            <w:tcW w:w="2993" w:type="dxa"/>
            <w:vMerge/>
            <w:tcBorders>
              <w:top w:val="single" w:sz="4" w:space="0" w:color="000000"/>
              <w:left w:val="single" w:sz="4" w:space="0" w:color="000000"/>
              <w:bottom w:val="single" w:sz="4" w:space="0" w:color="000000"/>
              <w:right w:val="single" w:sz="4" w:space="0" w:color="000000"/>
            </w:tcBorders>
          </w:tcPr>
          <w:p w14:paraId="3AC2D2D6"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p>
        </w:tc>
        <w:tc>
          <w:tcPr>
            <w:tcW w:w="2644" w:type="dxa"/>
            <w:tcBorders>
              <w:top w:val="single" w:sz="4" w:space="0" w:color="000000"/>
              <w:left w:val="single" w:sz="4" w:space="0" w:color="000000"/>
              <w:bottom w:val="single" w:sz="4" w:space="0" w:color="000000"/>
              <w:right w:val="single" w:sz="4" w:space="0" w:color="000000"/>
            </w:tcBorders>
          </w:tcPr>
          <w:p w14:paraId="5F1F3821"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Nedažnas</w:t>
            </w:r>
          </w:p>
        </w:tc>
        <w:tc>
          <w:tcPr>
            <w:tcW w:w="3017" w:type="dxa"/>
            <w:tcBorders>
              <w:top w:val="single" w:sz="4" w:space="0" w:color="000000"/>
              <w:left w:val="single" w:sz="4" w:space="0" w:color="000000"/>
              <w:bottom w:val="single" w:sz="4" w:space="0" w:color="000000"/>
              <w:right w:val="single" w:sz="4" w:space="0" w:color="000000"/>
            </w:tcBorders>
          </w:tcPr>
          <w:p w14:paraId="4BB92267"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Trombocitopenija</w:t>
            </w:r>
            <w:r w:rsidRPr="000A2DE8">
              <w:rPr>
                <w:rFonts w:ascii="Times New Roman" w:hAnsi="Times New Roman"/>
                <w:vertAlign w:val="superscript"/>
              </w:rPr>
              <w:t>1</w:t>
            </w:r>
          </w:p>
        </w:tc>
      </w:tr>
      <w:tr w:rsidR="00CD51A4" w:rsidRPr="000A2DE8" w14:paraId="3C92D90C" w14:textId="77777777" w:rsidTr="001F61CE">
        <w:trPr>
          <w:trHeight w:hRule="exact" w:val="269"/>
          <w:tblHeader/>
        </w:trPr>
        <w:tc>
          <w:tcPr>
            <w:tcW w:w="2993" w:type="dxa"/>
            <w:vMerge/>
            <w:tcBorders>
              <w:top w:val="single" w:sz="4" w:space="0" w:color="000000"/>
              <w:left w:val="single" w:sz="4" w:space="0" w:color="000000"/>
              <w:bottom w:val="single" w:sz="4" w:space="0" w:color="000000"/>
              <w:right w:val="single" w:sz="4" w:space="0" w:color="000000"/>
            </w:tcBorders>
          </w:tcPr>
          <w:p w14:paraId="29975668"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p>
        </w:tc>
        <w:tc>
          <w:tcPr>
            <w:tcW w:w="2644" w:type="dxa"/>
            <w:tcBorders>
              <w:top w:val="single" w:sz="4" w:space="0" w:color="000000"/>
              <w:left w:val="single" w:sz="4" w:space="0" w:color="000000"/>
              <w:bottom w:val="single" w:sz="4" w:space="0" w:color="000000"/>
              <w:right w:val="single" w:sz="4" w:space="0" w:color="000000"/>
            </w:tcBorders>
          </w:tcPr>
          <w:p w14:paraId="2DDA9AE4"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Nedažnas</w:t>
            </w:r>
          </w:p>
        </w:tc>
        <w:tc>
          <w:tcPr>
            <w:tcW w:w="3017" w:type="dxa"/>
            <w:tcBorders>
              <w:top w:val="single" w:sz="4" w:space="0" w:color="000000"/>
              <w:left w:val="single" w:sz="4" w:space="0" w:color="000000"/>
              <w:bottom w:val="single" w:sz="4" w:space="0" w:color="000000"/>
              <w:right w:val="single" w:sz="4" w:space="0" w:color="000000"/>
            </w:tcBorders>
          </w:tcPr>
          <w:p w14:paraId="3674DEC4"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Neutropenija, leukopenija</w:t>
            </w:r>
            <w:r w:rsidRPr="000A2DE8">
              <w:rPr>
                <w:rFonts w:ascii="Times New Roman" w:hAnsi="Times New Roman"/>
                <w:spacing w:val="-1"/>
                <w:vertAlign w:val="superscript"/>
              </w:rPr>
              <w:t>1</w:t>
            </w:r>
          </w:p>
        </w:tc>
      </w:tr>
      <w:tr w:rsidR="00CD51A4" w:rsidRPr="000A2DE8" w14:paraId="11A59DAD" w14:textId="77777777" w:rsidTr="001F61CE">
        <w:trPr>
          <w:trHeight w:val="893"/>
          <w:tblHeader/>
        </w:trPr>
        <w:tc>
          <w:tcPr>
            <w:tcW w:w="2993" w:type="dxa"/>
            <w:vMerge w:val="restart"/>
            <w:tcBorders>
              <w:top w:val="single" w:sz="4" w:space="0" w:color="000000"/>
              <w:left w:val="single" w:sz="4" w:space="0" w:color="000000"/>
              <w:bottom w:val="single" w:sz="4" w:space="0" w:color="000000"/>
              <w:right w:val="single" w:sz="4" w:space="0" w:color="000000"/>
            </w:tcBorders>
          </w:tcPr>
          <w:p w14:paraId="689D8503"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Imuninės sistemos sutrikimai</w:t>
            </w:r>
          </w:p>
        </w:tc>
        <w:tc>
          <w:tcPr>
            <w:tcW w:w="2644" w:type="dxa"/>
            <w:tcBorders>
              <w:top w:val="single" w:sz="4" w:space="0" w:color="000000"/>
              <w:left w:val="single" w:sz="4" w:space="0" w:color="000000"/>
              <w:bottom w:val="single" w:sz="4" w:space="0" w:color="000000"/>
              <w:right w:val="single" w:sz="4" w:space="0" w:color="000000"/>
            </w:tcBorders>
          </w:tcPr>
          <w:p w14:paraId="7E04B441"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Dažnas</w:t>
            </w:r>
          </w:p>
        </w:tc>
        <w:tc>
          <w:tcPr>
            <w:tcW w:w="3017" w:type="dxa"/>
            <w:tcBorders>
              <w:top w:val="single" w:sz="4" w:space="0" w:color="000000"/>
              <w:left w:val="single" w:sz="4" w:space="0" w:color="000000"/>
              <w:bottom w:val="single" w:sz="4" w:space="0" w:color="000000"/>
              <w:right w:val="single" w:sz="4" w:space="0" w:color="000000"/>
            </w:tcBorders>
          </w:tcPr>
          <w:p w14:paraId="15841E99"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Padidėjusio jautrumo reakcijos </w:t>
            </w:r>
          </w:p>
          <w:p w14:paraId="0896862A"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(įskaitant dermatitą, niežėjimą ir bėrimą)</w:t>
            </w:r>
            <w:r w:rsidRPr="000A2DE8">
              <w:rPr>
                <w:rFonts w:ascii="Times New Roman" w:hAnsi="Times New Roman"/>
                <w:vertAlign w:val="superscript"/>
              </w:rPr>
              <w:t>2</w:t>
            </w:r>
          </w:p>
        </w:tc>
      </w:tr>
      <w:tr w:rsidR="00CD51A4" w:rsidRPr="000A2DE8" w14:paraId="124CDF18" w14:textId="77777777" w:rsidTr="001F61CE">
        <w:trPr>
          <w:trHeight w:hRule="exact" w:val="528"/>
          <w:tblHeader/>
        </w:trPr>
        <w:tc>
          <w:tcPr>
            <w:tcW w:w="2993" w:type="dxa"/>
            <w:vMerge/>
            <w:tcBorders>
              <w:top w:val="single" w:sz="4" w:space="0" w:color="000000"/>
              <w:left w:val="single" w:sz="4" w:space="0" w:color="000000"/>
              <w:bottom w:val="single" w:sz="4" w:space="0" w:color="000000"/>
              <w:right w:val="single" w:sz="4" w:space="0" w:color="000000"/>
            </w:tcBorders>
          </w:tcPr>
          <w:p w14:paraId="199EB3F7"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p>
        </w:tc>
        <w:tc>
          <w:tcPr>
            <w:tcW w:w="2644" w:type="dxa"/>
            <w:tcBorders>
              <w:top w:val="single" w:sz="4" w:space="0" w:color="000000"/>
              <w:left w:val="single" w:sz="4" w:space="0" w:color="000000"/>
              <w:bottom w:val="single" w:sz="4" w:space="0" w:color="000000"/>
              <w:right w:val="single" w:sz="4" w:space="0" w:color="000000"/>
            </w:tcBorders>
          </w:tcPr>
          <w:p w14:paraId="786AD475"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Retas</w:t>
            </w:r>
          </w:p>
        </w:tc>
        <w:tc>
          <w:tcPr>
            <w:tcW w:w="3017" w:type="dxa"/>
            <w:tcBorders>
              <w:top w:val="single" w:sz="4" w:space="0" w:color="000000"/>
              <w:left w:val="single" w:sz="4" w:space="0" w:color="000000"/>
              <w:bottom w:val="single" w:sz="4" w:space="0" w:color="000000"/>
              <w:right w:val="single" w:sz="4" w:space="0" w:color="000000"/>
            </w:tcBorders>
          </w:tcPr>
          <w:p w14:paraId="35658284"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Anafilaksija ir (arba) angioneurozinė edema</w:t>
            </w:r>
            <w:r w:rsidRPr="000A2DE8">
              <w:rPr>
                <w:rFonts w:ascii="Times New Roman" w:hAnsi="Times New Roman"/>
                <w:vertAlign w:val="superscript"/>
              </w:rPr>
              <w:t>1</w:t>
            </w:r>
          </w:p>
        </w:tc>
      </w:tr>
      <w:tr w:rsidR="00CD51A4" w:rsidRPr="000A2DE8" w14:paraId="080770AB" w14:textId="77777777" w:rsidTr="001F61CE">
        <w:trPr>
          <w:trHeight w:hRule="exact" w:val="354"/>
          <w:tblHeader/>
        </w:trPr>
        <w:tc>
          <w:tcPr>
            <w:tcW w:w="2993" w:type="dxa"/>
            <w:vMerge w:val="restart"/>
            <w:tcBorders>
              <w:top w:val="single" w:sz="4" w:space="0" w:color="000000"/>
              <w:left w:val="single" w:sz="4" w:space="0" w:color="000000"/>
              <w:bottom w:val="single" w:sz="4" w:space="0" w:color="000000"/>
              <w:right w:val="single" w:sz="4" w:space="0" w:color="000000"/>
            </w:tcBorders>
          </w:tcPr>
          <w:p w14:paraId="2A1746BB"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Nervų sistemos sutrikimai</w:t>
            </w:r>
          </w:p>
        </w:tc>
        <w:tc>
          <w:tcPr>
            <w:tcW w:w="2644" w:type="dxa"/>
            <w:tcBorders>
              <w:top w:val="single" w:sz="4" w:space="0" w:color="000000"/>
              <w:left w:val="single" w:sz="4" w:space="0" w:color="000000"/>
              <w:bottom w:val="single" w:sz="4" w:space="0" w:color="000000"/>
              <w:right w:val="single" w:sz="4" w:space="0" w:color="000000"/>
            </w:tcBorders>
          </w:tcPr>
          <w:p w14:paraId="5A013173"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Labai dažnas</w:t>
            </w:r>
          </w:p>
        </w:tc>
        <w:tc>
          <w:tcPr>
            <w:tcW w:w="3017" w:type="dxa"/>
            <w:tcBorders>
              <w:top w:val="single" w:sz="4" w:space="0" w:color="000000"/>
              <w:left w:val="single" w:sz="4" w:space="0" w:color="000000"/>
              <w:bottom w:val="single" w:sz="4" w:space="0" w:color="000000"/>
              <w:right w:val="single" w:sz="4" w:space="0" w:color="000000"/>
            </w:tcBorders>
          </w:tcPr>
          <w:p w14:paraId="7AD2E77C"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Galvos skausmas</w:t>
            </w:r>
            <w:r w:rsidRPr="000A2DE8">
              <w:rPr>
                <w:rFonts w:ascii="Times New Roman" w:hAnsi="Times New Roman"/>
                <w:spacing w:val="-1"/>
                <w:vertAlign w:val="superscript"/>
              </w:rPr>
              <w:t>3</w:t>
            </w:r>
          </w:p>
        </w:tc>
      </w:tr>
      <w:tr w:rsidR="00CD51A4" w:rsidRPr="000A2DE8" w14:paraId="7BAB1665" w14:textId="77777777" w:rsidTr="001F61CE">
        <w:trPr>
          <w:trHeight w:hRule="exact" w:val="354"/>
          <w:tblHeader/>
        </w:trPr>
        <w:tc>
          <w:tcPr>
            <w:tcW w:w="2993" w:type="dxa"/>
            <w:vMerge/>
            <w:tcBorders>
              <w:top w:val="single" w:sz="4" w:space="0" w:color="000000"/>
              <w:left w:val="single" w:sz="4" w:space="0" w:color="000000"/>
              <w:bottom w:val="single" w:sz="4" w:space="0" w:color="000000"/>
              <w:right w:val="single" w:sz="4" w:space="0" w:color="000000"/>
            </w:tcBorders>
          </w:tcPr>
          <w:p w14:paraId="207A03E6"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p>
        </w:tc>
        <w:tc>
          <w:tcPr>
            <w:tcW w:w="2644" w:type="dxa"/>
            <w:tcBorders>
              <w:top w:val="single" w:sz="4" w:space="0" w:color="000000"/>
              <w:left w:val="single" w:sz="4" w:space="0" w:color="000000"/>
              <w:bottom w:val="single" w:sz="4" w:space="0" w:color="000000"/>
              <w:right w:val="single" w:sz="4" w:space="0" w:color="000000"/>
            </w:tcBorders>
          </w:tcPr>
          <w:p w14:paraId="03F455BE"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Dažnas</w:t>
            </w:r>
          </w:p>
        </w:tc>
        <w:tc>
          <w:tcPr>
            <w:tcW w:w="3017" w:type="dxa"/>
            <w:tcBorders>
              <w:top w:val="single" w:sz="4" w:space="0" w:color="000000"/>
              <w:left w:val="single" w:sz="4" w:space="0" w:color="000000"/>
              <w:bottom w:val="single" w:sz="4" w:space="0" w:color="000000"/>
              <w:right w:val="single" w:sz="4" w:space="0" w:color="000000"/>
            </w:tcBorders>
          </w:tcPr>
          <w:p w14:paraId="4F89FC91"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 xml:space="preserve">Apalpimas </w:t>
            </w:r>
            <w:r w:rsidRPr="000A2DE8">
              <w:rPr>
                <w:rFonts w:ascii="Times New Roman" w:hAnsi="Times New Roman"/>
                <w:vertAlign w:val="superscript"/>
              </w:rPr>
              <w:t>1,4</w:t>
            </w:r>
          </w:p>
        </w:tc>
      </w:tr>
      <w:tr w:rsidR="00CD51A4" w:rsidRPr="000A2DE8" w14:paraId="1316AD7D" w14:textId="77777777" w:rsidTr="001F61CE">
        <w:trPr>
          <w:trHeight w:hRule="exact" w:val="354"/>
          <w:tblHeader/>
        </w:trPr>
        <w:tc>
          <w:tcPr>
            <w:tcW w:w="2993" w:type="dxa"/>
            <w:tcBorders>
              <w:top w:val="single" w:sz="4" w:space="0" w:color="000000"/>
              <w:left w:val="single" w:sz="4" w:space="0" w:color="000000"/>
              <w:bottom w:val="single" w:sz="4" w:space="0" w:color="000000"/>
              <w:right w:val="single" w:sz="4" w:space="0" w:color="000000"/>
            </w:tcBorders>
          </w:tcPr>
          <w:p w14:paraId="6D872B15"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Širdies sutrikimai</w:t>
            </w:r>
          </w:p>
        </w:tc>
        <w:tc>
          <w:tcPr>
            <w:tcW w:w="2644" w:type="dxa"/>
            <w:tcBorders>
              <w:top w:val="single" w:sz="4" w:space="0" w:color="000000"/>
              <w:left w:val="single" w:sz="4" w:space="0" w:color="000000"/>
              <w:bottom w:val="single" w:sz="4" w:space="0" w:color="000000"/>
              <w:right w:val="single" w:sz="4" w:space="0" w:color="000000"/>
            </w:tcBorders>
          </w:tcPr>
          <w:p w14:paraId="758CB159"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Dažnas</w:t>
            </w:r>
          </w:p>
        </w:tc>
        <w:tc>
          <w:tcPr>
            <w:tcW w:w="3017" w:type="dxa"/>
            <w:tcBorders>
              <w:top w:val="single" w:sz="4" w:space="0" w:color="000000"/>
              <w:left w:val="single" w:sz="4" w:space="0" w:color="000000"/>
              <w:bottom w:val="single" w:sz="4" w:space="0" w:color="000000"/>
              <w:right w:val="single" w:sz="4" w:space="0" w:color="000000"/>
            </w:tcBorders>
          </w:tcPr>
          <w:p w14:paraId="317C92C0"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Palpitacijos</w:t>
            </w:r>
            <w:r w:rsidRPr="000A2DE8">
              <w:rPr>
                <w:rFonts w:ascii="Times New Roman" w:hAnsi="Times New Roman"/>
                <w:vertAlign w:val="superscript"/>
              </w:rPr>
              <w:t>1,4</w:t>
            </w:r>
          </w:p>
        </w:tc>
      </w:tr>
      <w:tr w:rsidR="00CD51A4" w:rsidRPr="000A2DE8" w14:paraId="531C4329" w14:textId="77777777" w:rsidTr="001F61CE">
        <w:trPr>
          <w:trHeight w:hRule="exact" w:val="269"/>
          <w:tblHeader/>
        </w:trPr>
        <w:tc>
          <w:tcPr>
            <w:tcW w:w="2993" w:type="dxa"/>
            <w:vMerge w:val="restart"/>
            <w:tcBorders>
              <w:top w:val="single" w:sz="4" w:space="0" w:color="000000"/>
              <w:left w:val="single" w:sz="4" w:space="0" w:color="000000"/>
              <w:bottom w:val="single" w:sz="4" w:space="0" w:color="000000"/>
              <w:right w:val="single" w:sz="4" w:space="0" w:color="000000"/>
            </w:tcBorders>
          </w:tcPr>
          <w:p w14:paraId="680A50CD"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Kraujagyslių sutrikimai</w:t>
            </w:r>
          </w:p>
        </w:tc>
        <w:tc>
          <w:tcPr>
            <w:tcW w:w="2644" w:type="dxa"/>
            <w:tcBorders>
              <w:top w:val="single" w:sz="4" w:space="0" w:color="000000"/>
              <w:left w:val="single" w:sz="4" w:space="0" w:color="000000"/>
              <w:bottom w:val="single" w:sz="4" w:space="0" w:color="000000"/>
              <w:right w:val="single" w:sz="4" w:space="0" w:color="000000"/>
            </w:tcBorders>
          </w:tcPr>
          <w:p w14:paraId="6ECAB1BF"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Dažnas</w:t>
            </w:r>
          </w:p>
        </w:tc>
        <w:tc>
          <w:tcPr>
            <w:tcW w:w="3017" w:type="dxa"/>
            <w:tcBorders>
              <w:top w:val="single" w:sz="4" w:space="0" w:color="000000"/>
              <w:left w:val="single" w:sz="4" w:space="0" w:color="000000"/>
              <w:bottom w:val="single" w:sz="4" w:space="0" w:color="000000"/>
              <w:right w:val="single" w:sz="4" w:space="0" w:color="000000"/>
            </w:tcBorders>
          </w:tcPr>
          <w:p w14:paraId="7111CE17"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Paraudimas</w:t>
            </w:r>
          </w:p>
        </w:tc>
      </w:tr>
      <w:tr w:rsidR="00CD51A4" w:rsidRPr="000A2DE8" w14:paraId="431291D2" w14:textId="77777777" w:rsidTr="001F61CE">
        <w:trPr>
          <w:trHeight w:hRule="exact" w:val="354"/>
          <w:tblHeader/>
        </w:trPr>
        <w:tc>
          <w:tcPr>
            <w:tcW w:w="2993" w:type="dxa"/>
            <w:vMerge/>
            <w:tcBorders>
              <w:top w:val="single" w:sz="4" w:space="0" w:color="000000"/>
              <w:left w:val="single" w:sz="4" w:space="0" w:color="000000"/>
              <w:bottom w:val="single" w:sz="4" w:space="0" w:color="000000"/>
              <w:right w:val="single" w:sz="4" w:space="0" w:color="000000"/>
            </w:tcBorders>
          </w:tcPr>
          <w:p w14:paraId="7E497101"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p>
        </w:tc>
        <w:tc>
          <w:tcPr>
            <w:tcW w:w="2644" w:type="dxa"/>
            <w:tcBorders>
              <w:top w:val="single" w:sz="4" w:space="0" w:color="000000"/>
              <w:left w:val="single" w:sz="4" w:space="0" w:color="000000"/>
              <w:bottom w:val="single" w:sz="4" w:space="0" w:color="000000"/>
              <w:right w:val="single" w:sz="4" w:space="0" w:color="000000"/>
            </w:tcBorders>
          </w:tcPr>
          <w:p w14:paraId="62812FE4"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Dažnas</w:t>
            </w:r>
          </w:p>
        </w:tc>
        <w:tc>
          <w:tcPr>
            <w:tcW w:w="3017" w:type="dxa"/>
            <w:tcBorders>
              <w:top w:val="single" w:sz="4" w:space="0" w:color="000000"/>
              <w:left w:val="single" w:sz="4" w:space="0" w:color="000000"/>
              <w:bottom w:val="single" w:sz="4" w:space="0" w:color="000000"/>
              <w:right w:val="single" w:sz="4" w:space="0" w:color="000000"/>
            </w:tcBorders>
          </w:tcPr>
          <w:p w14:paraId="111739D6"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Hipotenzija</w:t>
            </w:r>
            <w:r w:rsidRPr="000A2DE8">
              <w:rPr>
                <w:rFonts w:ascii="Times New Roman" w:hAnsi="Times New Roman"/>
                <w:spacing w:val="-1"/>
                <w:vertAlign w:val="superscript"/>
              </w:rPr>
              <w:t>1,4</w:t>
            </w:r>
          </w:p>
        </w:tc>
      </w:tr>
      <w:tr w:rsidR="00CD51A4" w:rsidRPr="000A2DE8" w14:paraId="1C7F9FA7" w14:textId="77777777" w:rsidTr="001F61CE">
        <w:trPr>
          <w:trHeight w:val="788"/>
          <w:tblHeader/>
        </w:trPr>
        <w:tc>
          <w:tcPr>
            <w:tcW w:w="2993" w:type="dxa"/>
            <w:tcBorders>
              <w:top w:val="single" w:sz="4" w:space="0" w:color="000000"/>
              <w:left w:val="single" w:sz="4" w:space="0" w:color="000000"/>
              <w:bottom w:val="single" w:sz="4" w:space="0" w:color="000000"/>
              <w:right w:val="single" w:sz="4" w:space="0" w:color="000000"/>
            </w:tcBorders>
          </w:tcPr>
          <w:p w14:paraId="3A70FF47" w14:textId="77777777" w:rsidR="00CD51A4" w:rsidRPr="000A2DE8" w:rsidRDefault="00CD51A4" w:rsidP="001F61CE">
            <w:pPr>
              <w:widowControl w:val="0"/>
              <w:autoSpaceDE w:val="0"/>
              <w:autoSpaceDN w:val="0"/>
              <w:adjustRightInd w:val="0"/>
              <w:spacing w:after="0" w:line="240" w:lineRule="auto"/>
              <w:ind w:left="80" w:right="-20"/>
              <w:rPr>
                <w:rFonts w:ascii="Times New Roman" w:hAnsi="Times New Roman"/>
                <w:spacing w:val="-1"/>
              </w:rPr>
            </w:pPr>
            <w:r w:rsidRPr="000A2DE8">
              <w:rPr>
                <w:rFonts w:ascii="Times New Roman" w:hAnsi="Times New Roman"/>
                <w:spacing w:val="-1"/>
              </w:rPr>
              <w:t xml:space="preserve">Kvėpavimo sistemos, krūtinės ląstos ir tarpuplaučio sutrikimai </w:t>
            </w:r>
          </w:p>
        </w:tc>
        <w:tc>
          <w:tcPr>
            <w:tcW w:w="2644" w:type="dxa"/>
            <w:tcBorders>
              <w:top w:val="single" w:sz="4" w:space="0" w:color="000000"/>
              <w:left w:val="single" w:sz="4" w:space="0" w:color="000000"/>
              <w:bottom w:val="single" w:sz="4" w:space="0" w:color="000000"/>
              <w:right w:val="single" w:sz="4" w:space="0" w:color="000000"/>
            </w:tcBorders>
          </w:tcPr>
          <w:p w14:paraId="1BFE2667" w14:textId="77777777" w:rsidR="00CD51A4" w:rsidRPr="000A2DE8" w:rsidRDefault="00CD51A4" w:rsidP="001F61CE">
            <w:pPr>
              <w:widowControl w:val="0"/>
              <w:autoSpaceDE w:val="0"/>
              <w:autoSpaceDN w:val="0"/>
              <w:adjustRightInd w:val="0"/>
              <w:spacing w:after="0" w:line="240" w:lineRule="auto"/>
              <w:ind w:left="57" w:right="-20"/>
              <w:rPr>
                <w:rFonts w:ascii="Times New Roman" w:hAnsi="Times New Roman"/>
                <w:spacing w:val="-1"/>
              </w:rPr>
            </w:pPr>
            <w:r w:rsidRPr="000A2DE8">
              <w:rPr>
                <w:rFonts w:ascii="Times New Roman" w:hAnsi="Times New Roman"/>
                <w:spacing w:val="1"/>
              </w:rPr>
              <w:t>Dažnas</w:t>
            </w:r>
          </w:p>
        </w:tc>
        <w:tc>
          <w:tcPr>
            <w:tcW w:w="3017" w:type="dxa"/>
            <w:tcBorders>
              <w:top w:val="single" w:sz="4" w:space="0" w:color="000000"/>
              <w:left w:val="single" w:sz="4" w:space="0" w:color="000000"/>
              <w:bottom w:val="single" w:sz="4" w:space="0" w:color="000000"/>
              <w:right w:val="single" w:sz="4" w:space="0" w:color="000000"/>
            </w:tcBorders>
          </w:tcPr>
          <w:p w14:paraId="00140E92" w14:textId="77777777" w:rsidR="00CD51A4" w:rsidRPr="000A2DE8" w:rsidRDefault="00CD51A4" w:rsidP="001F61CE">
            <w:pPr>
              <w:widowControl w:val="0"/>
              <w:autoSpaceDE w:val="0"/>
              <w:autoSpaceDN w:val="0"/>
              <w:adjustRightInd w:val="0"/>
              <w:spacing w:after="0" w:line="240" w:lineRule="auto"/>
              <w:ind w:left="113" w:right="576"/>
              <w:rPr>
                <w:rFonts w:ascii="Times New Roman" w:hAnsi="Times New Roman"/>
                <w:spacing w:val="-1"/>
              </w:rPr>
            </w:pPr>
            <w:r w:rsidRPr="000A2DE8">
              <w:rPr>
                <w:rFonts w:ascii="Times New Roman" w:hAnsi="Times New Roman"/>
                <w:spacing w:val="-1"/>
              </w:rPr>
              <w:t>Užkimšta nosis</w:t>
            </w:r>
          </w:p>
        </w:tc>
      </w:tr>
      <w:tr w:rsidR="00CD51A4" w:rsidRPr="000A2DE8" w14:paraId="40D2E0AE" w14:textId="77777777" w:rsidTr="001F61CE">
        <w:trPr>
          <w:trHeight w:hRule="exact" w:val="787"/>
          <w:tblHeader/>
        </w:trPr>
        <w:tc>
          <w:tcPr>
            <w:tcW w:w="2993" w:type="dxa"/>
            <w:tcBorders>
              <w:top w:val="single" w:sz="4" w:space="0" w:color="000000"/>
              <w:left w:val="single" w:sz="4" w:space="0" w:color="000000"/>
              <w:bottom w:val="single" w:sz="4" w:space="0" w:color="000000"/>
              <w:right w:val="single" w:sz="4" w:space="0" w:color="000000"/>
            </w:tcBorders>
          </w:tcPr>
          <w:p w14:paraId="671C8E60"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Virškinimo trakto sutrikimai</w:t>
            </w:r>
          </w:p>
        </w:tc>
        <w:tc>
          <w:tcPr>
            <w:tcW w:w="2644" w:type="dxa"/>
            <w:tcBorders>
              <w:top w:val="single" w:sz="4" w:space="0" w:color="000000"/>
              <w:left w:val="single" w:sz="4" w:space="0" w:color="000000"/>
              <w:bottom w:val="single" w:sz="4" w:space="0" w:color="000000"/>
              <w:right w:val="single" w:sz="4" w:space="0" w:color="000000"/>
            </w:tcBorders>
          </w:tcPr>
          <w:p w14:paraId="4D8EF601"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Dažnas</w:t>
            </w:r>
          </w:p>
        </w:tc>
        <w:tc>
          <w:tcPr>
            <w:tcW w:w="3017" w:type="dxa"/>
            <w:tcBorders>
              <w:top w:val="single" w:sz="4" w:space="0" w:color="000000"/>
              <w:left w:val="single" w:sz="4" w:space="0" w:color="000000"/>
              <w:bottom w:val="single" w:sz="4" w:space="0" w:color="000000"/>
              <w:right w:val="single" w:sz="4" w:space="0" w:color="000000"/>
            </w:tcBorders>
          </w:tcPr>
          <w:p w14:paraId="00806B3E"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Gastroezofaginio refliukso liga</w:t>
            </w:r>
          </w:p>
          <w:p w14:paraId="599EEC0F"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Viduriavimas</w:t>
            </w:r>
          </w:p>
        </w:tc>
      </w:tr>
      <w:tr w:rsidR="00CD51A4" w:rsidRPr="000A2DE8" w14:paraId="06A6C50B" w14:textId="77777777" w:rsidTr="001F61CE">
        <w:trPr>
          <w:trHeight w:hRule="exact" w:val="528"/>
          <w:tblHeader/>
        </w:trPr>
        <w:tc>
          <w:tcPr>
            <w:tcW w:w="2993" w:type="dxa"/>
            <w:vMerge w:val="restart"/>
            <w:tcBorders>
              <w:top w:val="single" w:sz="4" w:space="0" w:color="000000"/>
              <w:left w:val="single" w:sz="4" w:space="0" w:color="000000"/>
              <w:bottom w:val="single" w:sz="4" w:space="0" w:color="000000"/>
              <w:right w:val="single" w:sz="4" w:space="0" w:color="000000"/>
            </w:tcBorders>
          </w:tcPr>
          <w:p w14:paraId="7502415C"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Kepenų, tulžies pūslės ir latakų sutrikimai</w:t>
            </w:r>
          </w:p>
        </w:tc>
        <w:tc>
          <w:tcPr>
            <w:tcW w:w="2644" w:type="dxa"/>
            <w:tcBorders>
              <w:top w:val="single" w:sz="4" w:space="0" w:color="000000"/>
              <w:left w:val="single" w:sz="4" w:space="0" w:color="000000"/>
              <w:bottom w:val="single" w:sz="4" w:space="0" w:color="000000"/>
              <w:right w:val="single" w:sz="4" w:space="0" w:color="000000"/>
            </w:tcBorders>
          </w:tcPr>
          <w:p w14:paraId="72925191"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Labai dažnas</w:t>
            </w:r>
          </w:p>
        </w:tc>
        <w:tc>
          <w:tcPr>
            <w:tcW w:w="3017" w:type="dxa"/>
            <w:tcBorders>
              <w:top w:val="single" w:sz="4" w:space="0" w:color="000000"/>
              <w:left w:val="single" w:sz="4" w:space="0" w:color="000000"/>
              <w:bottom w:val="single" w:sz="4" w:space="0" w:color="000000"/>
              <w:right w:val="single" w:sz="4" w:space="0" w:color="000000"/>
            </w:tcBorders>
          </w:tcPr>
          <w:p w14:paraId="72501E49"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Nenormalūs kepenų funkcijos tyrimo rezultatai (žr. 4.4 skyrių)</w:t>
            </w:r>
          </w:p>
        </w:tc>
      </w:tr>
      <w:tr w:rsidR="00CD51A4" w:rsidRPr="000A2DE8" w14:paraId="2193CFDB" w14:textId="77777777" w:rsidTr="001F61CE">
        <w:trPr>
          <w:trHeight w:hRule="exact" w:val="1046"/>
          <w:tblHeader/>
        </w:trPr>
        <w:tc>
          <w:tcPr>
            <w:tcW w:w="2993" w:type="dxa"/>
            <w:vMerge/>
            <w:tcBorders>
              <w:top w:val="single" w:sz="4" w:space="0" w:color="000000"/>
              <w:left w:val="single" w:sz="4" w:space="0" w:color="000000"/>
              <w:bottom w:val="single" w:sz="4" w:space="0" w:color="000000"/>
              <w:right w:val="single" w:sz="4" w:space="0" w:color="000000"/>
            </w:tcBorders>
          </w:tcPr>
          <w:p w14:paraId="46E1E779"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p>
        </w:tc>
        <w:tc>
          <w:tcPr>
            <w:tcW w:w="2644" w:type="dxa"/>
            <w:tcBorders>
              <w:top w:val="single" w:sz="4" w:space="0" w:color="000000"/>
              <w:left w:val="single" w:sz="4" w:space="0" w:color="000000"/>
              <w:bottom w:val="single" w:sz="4" w:space="0" w:color="000000"/>
              <w:right w:val="single" w:sz="4" w:space="0" w:color="000000"/>
            </w:tcBorders>
          </w:tcPr>
          <w:p w14:paraId="6379FACD"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Nedažnas</w:t>
            </w:r>
          </w:p>
        </w:tc>
        <w:tc>
          <w:tcPr>
            <w:tcW w:w="3017" w:type="dxa"/>
            <w:tcBorders>
              <w:top w:val="single" w:sz="4" w:space="0" w:color="000000"/>
              <w:left w:val="single" w:sz="4" w:space="0" w:color="000000"/>
              <w:bottom w:val="single" w:sz="4" w:space="0" w:color="000000"/>
              <w:right w:val="single" w:sz="4" w:space="0" w:color="000000"/>
            </w:tcBorders>
          </w:tcPr>
          <w:p w14:paraId="59976F40"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Aminotransferazių aktyvumo padidėjimas, susijęs su hepatitu ir (arba) gelta</w:t>
            </w:r>
            <w:r w:rsidRPr="000A2DE8">
              <w:rPr>
                <w:rFonts w:ascii="Times New Roman" w:hAnsi="Times New Roman"/>
                <w:vertAlign w:val="superscript"/>
              </w:rPr>
              <w:t>1</w:t>
            </w:r>
            <w:r w:rsidRPr="000A2DE8">
              <w:rPr>
                <w:rFonts w:ascii="Times New Roman" w:hAnsi="Times New Roman"/>
              </w:rPr>
              <w:t xml:space="preserve"> (žr.4.4 skyrių)</w:t>
            </w:r>
          </w:p>
        </w:tc>
      </w:tr>
      <w:tr w:rsidR="00CD51A4" w:rsidRPr="000A2DE8" w14:paraId="44E0BB68" w14:textId="77777777" w:rsidTr="001F61CE">
        <w:trPr>
          <w:trHeight w:hRule="exact" w:val="269"/>
          <w:tblHeader/>
        </w:trPr>
        <w:tc>
          <w:tcPr>
            <w:tcW w:w="2993" w:type="dxa"/>
            <w:vMerge/>
            <w:tcBorders>
              <w:top w:val="single" w:sz="4" w:space="0" w:color="000000"/>
              <w:left w:val="single" w:sz="4" w:space="0" w:color="000000"/>
              <w:bottom w:val="single" w:sz="4" w:space="0" w:color="000000"/>
              <w:right w:val="single" w:sz="4" w:space="0" w:color="000000"/>
            </w:tcBorders>
          </w:tcPr>
          <w:p w14:paraId="3E99C3B9"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p>
        </w:tc>
        <w:tc>
          <w:tcPr>
            <w:tcW w:w="2644" w:type="dxa"/>
            <w:tcBorders>
              <w:top w:val="single" w:sz="4" w:space="0" w:color="000000"/>
              <w:left w:val="single" w:sz="4" w:space="0" w:color="000000"/>
              <w:bottom w:val="single" w:sz="4" w:space="0" w:color="000000"/>
              <w:right w:val="single" w:sz="4" w:space="0" w:color="000000"/>
            </w:tcBorders>
          </w:tcPr>
          <w:p w14:paraId="2BF66EC5"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Retas</w:t>
            </w:r>
          </w:p>
        </w:tc>
        <w:tc>
          <w:tcPr>
            <w:tcW w:w="3017" w:type="dxa"/>
            <w:tcBorders>
              <w:top w:val="single" w:sz="4" w:space="0" w:color="000000"/>
              <w:left w:val="single" w:sz="4" w:space="0" w:color="000000"/>
              <w:bottom w:val="single" w:sz="4" w:space="0" w:color="000000"/>
              <w:right w:val="single" w:sz="4" w:space="0" w:color="000000"/>
            </w:tcBorders>
          </w:tcPr>
          <w:p w14:paraId="280437E3"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Kepenų cirozė, kepenų nepakankamumas</w:t>
            </w:r>
            <w:r w:rsidRPr="000A2DE8">
              <w:rPr>
                <w:rFonts w:ascii="Times New Roman" w:hAnsi="Times New Roman"/>
                <w:vertAlign w:val="superscript"/>
              </w:rPr>
              <w:t>1</w:t>
            </w:r>
          </w:p>
        </w:tc>
      </w:tr>
      <w:tr w:rsidR="00CD51A4" w:rsidRPr="000A2DE8" w14:paraId="1F6A2CE4" w14:textId="77777777" w:rsidTr="001F61CE">
        <w:trPr>
          <w:trHeight w:hRule="exact" w:val="528"/>
          <w:tblHeader/>
        </w:trPr>
        <w:tc>
          <w:tcPr>
            <w:tcW w:w="2993" w:type="dxa"/>
            <w:tcBorders>
              <w:top w:val="single" w:sz="4" w:space="0" w:color="000000"/>
              <w:left w:val="single" w:sz="4" w:space="0" w:color="000000"/>
              <w:bottom w:val="single" w:sz="4" w:space="0" w:color="000000"/>
              <w:right w:val="single" w:sz="4" w:space="0" w:color="000000"/>
            </w:tcBorders>
          </w:tcPr>
          <w:p w14:paraId="7C826A9B"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Odos ir poodinio audinio sutrikimai</w:t>
            </w:r>
          </w:p>
        </w:tc>
        <w:tc>
          <w:tcPr>
            <w:tcW w:w="2644" w:type="dxa"/>
            <w:tcBorders>
              <w:top w:val="single" w:sz="4" w:space="0" w:color="000000"/>
              <w:left w:val="single" w:sz="4" w:space="0" w:color="000000"/>
              <w:bottom w:val="single" w:sz="4" w:space="0" w:color="000000"/>
              <w:right w:val="single" w:sz="4" w:space="0" w:color="000000"/>
            </w:tcBorders>
          </w:tcPr>
          <w:p w14:paraId="3240B6BE"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Dažnas</w:t>
            </w:r>
          </w:p>
        </w:tc>
        <w:tc>
          <w:tcPr>
            <w:tcW w:w="3017" w:type="dxa"/>
            <w:tcBorders>
              <w:top w:val="single" w:sz="4" w:space="0" w:color="000000"/>
              <w:left w:val="single" w:sz="4" w:space="0" w:color="000000"/>
              <w:bottom w:val="single" w:sz="4" w:space="0" w:color="000000"/>
              <w:right w:val="single" w:sz="4" w:space="0" w:color="000000"/>
            </w:tcBorders>
          </w:tcPr>
          <w:p w14:paraId="77AF695E"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Eritema</w:t>
            </w:r>
          </w:p>
        </w:tc>
      </w:tr>
      <w:tr w:rsidR="00CD51A4" w:rsidRPr="000A2DE8" w14:paraId="13863B5E" w14:textId="77777777" w:rsidTr="001F61CE">
        <w:trPr>
          <w:trHeight w:hRule="exact" w:val="528"/>
          <w:tblHeader/>
        </w:trPr>
        <w:tc>
          <w:tcPr>
            <w:tcW w:w="2993" w:type="dxa"/>
            <w:tcBorders>
              <w:top w:val="single" w:sz="4" w:space="0" w:color="000000"/>
              <w:left w:val="single" w:sz="4" w:space="0" w:color="000000"/>
              <w:bottom w:val="single" w:sz="4" w:space="0" w:color="000000"/>
              <w:right w:val="single" w:sz="4" w:space="0" w:color="000000"/>
            </w:tcBorders>
          </w:tcPr>
          <w:p w14:paraId="4748F67A"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Bendrieji sutrikimai ir vartojimo vietos pažeidimai</w:t>
            </w:r>
          </w:p>
        </w:tc>
        <w:tc>
          <w:tcPr>
            <w:tcW w:w="2644" w:type="dxa"/>
            <w:tcBorders>
              <w:top w:val="single" w:sz="4" w:space="0" w:color="000000"/>
              <w:left w:val="single" w:sz="4" w:space="0" w:color="000000"/>
              <w:bottom w:val="single" w:sz="4" w:space="0" w:color="000000"/>
              <w:right w:val="single" w:sz="4" w:space="0" w:color="000000"/>
            </w:tcBorders>
          </w:tcPr>
          <w:p w14:paraId="55248361"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Labai dažnas</w:t>
            </w:r>
          </w:p>
        </w:tc>
        <w:tc>
          <w:tcPr>
            <w:tcW w:w="3017" w:type="dxa"/>
            <w:tcBorders>
              <w:top w:val="single" w:sz="4" w:space="0" w:color="000000"/>
              <w:left w:val="single" w:sz="4" w:space="0" w:color="000000"/>
              <w:bottom w:val="single" w:sz="4" w:space="0" w:color="000000"/>
              <w:right w:val="single" w:sz="4" w:space="0" w:color="000000"/>
            </w:tcBorders>
          </w:tcPr>
          <w:p w14:paraId="74D11101" w14:textId="77777777" w:rsidR="00CD51A4" w:rsidRPr="000A2DE8" w:rsidRDefault="00CD51A4" w:rsidP="001F61CE">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Edema, skysčių susilaikymas</w:t>
            </w:r>
            <w:r w:rsidRPr="000A2DE8">
              <w:rPr>
                <w:rFonts w:ascii="Times New Roman" w:hAnsi="Times New Roman"/>
                <w:spacing w:val="-1"/>
                <w:vertAlign w:val="superscript"/>
              </w:rPr>
              <w:t>5</w:t>
            </w:r>
          </w:p>
        </w:tc>
      </w:tr>
      <w:tr w:rsidR="001477E6" w:rsidRPr="000A2DE8" w14:paraId="124E22E5" w14:textId="77777777" w:rsidTr="001F61CE">
        <w:trPr>
          <w:trHeight w:hRule="exact" w:val="528"/>
          <w:tblHeader/>
        </w:trPr>
        <w:tc>
          <w:tcPr>
            <w:tcW w:w="2993" w:type="dxa"/>
            <w:tcBorders>
              <w:top w:val="single" w:sz="4" w:space="0" w:color="000000"/>
              <w:left w:val="single" w:sz="4" w:space="0" w:color="000000"/>
              <w:bottom w:val="single" w:sz="4" w:space="0" w:color="000000"/>
              <w:right w:val="single" w:sz="4" w:space="0" w:color="000000"/>
            </w:tcBorders>
          </w:tcPr>
          <w:p w14:paraId="1FA03D1F" w14:textId="77777777" w:rsidR="001477E6" w:rsidRPr="000A2DE8" w:rsidRDefault="001477E6" w:rsidP="001F61CE">
            <w:pPr>
              <w:widowControl w:val="0"/>
              <w:autoSpaceDE w:val="0"/>
              <w:autoSpaceDN w:val="0"/>
              <w:adjustRightInd w:val="0"/>
              <w:spacing w:after="0" w:line="240" w:lineRule="auto"/>
              <w:rPr>
                <w:rFonts w:ascii="Times New Roman" w:hAnsi="Times New Roman"/>
                <w:spacing w:val="-1"/>
              </w:rPr>
            </w:pPr>
            <w:r w:rsidRPr="000A2DE8">
              <w:rPr>
                <w:rFonts w:ascii="Times New Roman" w:hAnsi="Times New Roman"/>
                <w:spacing w:val="-1"/>
              </w:rPr>
              <w:t>Akių sutrikimai</w:t>
            </w:r>
          </w:p>
        </w:tc>
        <w:tc>
          <w:tcPr>
            <w:tcW w:w="2644" w:type="dxa"/>
            <w:tcBorders>
              <w:top w:val="single" w:sz="4" w:space="0" w:color="000000"/>
              <w:left w:val="single" w:sz="4" w:space="0" w:color="000000"/>
              <w:bottom w:val="single" w:sz="4" w:space="0" w:color="000000"/>
              <w:right w:val="single" w:sz="4" w:space="0" w:color="000000"/>
            </w:tcBorders>
          </w:tcPr>
          <w:p w14:paraId="61559C09" w14:textId="77777777" w:rsidR="001477E6" w:rsidRPr="000A2DE8" w:rsidRDefault="001477E6" w:rsidP="001F61CE">
            <w:pPr>
              <w:widowControl w:val="0"/>
              <w:autoSpaceDE w:val="0"/>
              <w:autoSpaceDN w:val="0"/>
              <w:adjustRightInd w:val="0"/>
              <w:spacing w:after="0" w:line="240" w:lineRule="auto"/>
              <w:rPr>
                <w:rFonts w:ascii="Times New Roman" w:hAnsi="Times New Roman"/>
                <w:spacing w:val="1"/>
              </w:rPr>
            </w:pPr>
            <w:r w:rsidRPr="000A2DE8">
              <w:rPr>
                <w:rFonts w:ascii="Times New Roman" w:hAnsi="Times New Roman"/>
                <w:spacing w:val="1"/>
              </w:rPr>
              <w:t>Dažnis nežinomas</w:t>
            </w:r>
          </w:p>
        </w:tc>
        <w:tc>
          <w:tcPr>
            <w:tcW w:w="3017" w:type="dxa"/>
            <w:tcBorders>
              <w:top w:val="single" w:sz="4" w:space="0" w:color="000000"/>
              <w:left w:val="single" w:sz="4" w:space="0" w:color="000000"/>
              <w:bottom w:val="single" w:sz="4" w:space="0" w:color="000000"/>
              <w:right w:val="single" w:sz="4" w:space="0" w:color="000000"/>
            </w:tcBorders>
          </w:tcPr>
          <w:p w14:paraId="2C4FF3F1" w14:textId="77777777" w:rsidR="001477E6" w:rsidRPr="000A2DE8" w:rsidRDefault="001477E6" w:rsidP="001F61CE">
            <w:pPr>
              <w:widowControl w:val="0"/>
              <w:autoSpaceDE w:val="0"/>
              <w:autoSpaceDN w:val="0"/>
              <w:adjustRightInd w:val="0"/>
              <w:spacing w:after="0" w:line="240" w:lineRule="auto"/>
              <w:rPr>
                <w:rFonts w:ascii="Times New Roman" w:hAnsi="Times New Roman"/>
                <w:spacing w:val="-1"/>
              </w:rPr>
            </w:pPr>
            <w:r w:rsidRPr="000A2DE8">
              <w:rPr>
                <w:rFonts w:ascii="Times New Roman" w:hAnsi="Times New Roman"/>
                <w:spacing w:val="-1"/>
              </w:rPr>
              <w:t>miglotas matymas</w:t>
            </w:r>
          </w:p>
        </w:tc>
      </w:tr>
    </w:tbl>
    <w:p w14:paraId="5A9D637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vertAlign w:val="superscript"/>
        </w:rPr>
        <w:t xml:space="preserve">1 </w:t>
      </w:r>
      <w:r w:rsidRPr="000A2DE8">
        <w:rPr>
          <w:rFonts w:ascii="Times New Roman" w:hAnsi="Times New Roman"/>
        </w:rPr>
        <w:t>Duomenys, gauti vaistiniam preparatui patekus į rinką, dažnis pagrįstas statistinio modeliavimo placebu kontroliuojamų</w:t>
      </w:r>
      <w:r w:rsidRPr="000A2DE8">
        <w:rPr>
          <w:rFonts w:ascii="Times New Roman" w:hAnsi="Times New Roman"/>
          <w:spacing w:val="1"/>
          <w:position w:val="-1"/>
        </w:rPr>
        <w:t>klinikinių tyrimų duomenimis.</w:t>
      </w:r>
    </w:p>
    <w:p w14:paraId="62FD8F8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vertAlign w:val="superscript"/>
        </w:rPr>
        <w:t xml:space="preserve">2 </w:t>
      </w:r>
      <w:r w:rsidRPr="000A2DE8">
        <w:rPr>
          <w:rFonts w:ascii="Times New Roman" w:hAnsi="Times New Roman"/>
        </w:rPr>
        <w:t>Pranešta, kad padidėjusio jautrumo reakcijų pasireiškė 9,9 % bozentaną vartojusių pacientų ir 9,1 % vartojusių placebą.</w:t>
      </w:r>
    </w:p>
    <w:p w14:paraId="3477992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vertAlign w:val="superscript"/>
        </w:rPr>
        <w:t xml:space="preserve">3 </w:t>
      </w:r>
      <w:r w:rsidRPr="000A2DE8">
        <w:rPr>
          <w:rFonts w:ascii="Times New Roman" w:hAnsi="Times New Roman"/>
        </w:rPr>
        <w:t>Pranešta, kad padidėjusio jautrumo reakcijų pasireiškė 11,5 % bozentaną vartojusių pacientų ir 9,8 % vartojusių placebą.</w:t>
      </w:r>
    </w:p>
    <w:p w14:paraId="6B3AB9E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vertAlign w:val="superscript"/>
        </w:rPr>
        <w:t xml:space="preserve">4 </w:t>
      </w:r>
      <w:r w:rsidRPr="000A2DE8">
        <w:rPr>
          <w:rFonts w:ascii="Times New Roman" w:hAnsi="Times New Roman"/>
        </w:rPr>
        <w:t>Šio tipo reakcijas galima susieti ir su gydoma liga.</w:t>
      </w:r>
    </w:p>
    <w:p w14:paraId="46FB3CE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vertAlign w:val="superscript"/>
        </w:rPr>
        <w:t xml:space="preserve">5 </w:t>
      </w:r>
      <w:r w:rsidRPr="000A2DE8">
        <w:rPr>
          <w:rFonts w:ascii="Times New Roman" w:hAnsi="Times New Roman"/>
        </w:rPr>
        <w:t>Pranešta, kad edema arba skysčių susilaikymas pasireiškė 13,2 % bozentaną vartojusių pacientų ir 10,9 % vartojusių placebą.</w:t>
      </w:r>
    </w:p>
    <w:p w14:paraId="2F5CE76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A2620B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Vaistini</w:t>
      </w:r>
      <w:r w:rsidR="00F92AE5" w:rsidRPr="000A2DE8">
        <w:rPr>
          <w:rFonts w:ascii="Times New Roman" w:hAnsi="Times New Roman"/>
          <w:spacing w:val="-4"/>
        </w:rPr>
        <w:t>am</w:t>
      </w:r>
      <w:r w:rsidRPr="000A2DE8">
        <w:rPr>
          <w:rFonts w:ascii="Times New Roman" w:hAnsi="Times New Roman"/>
          <w:spacing w:val="-4"/>
        </w:rPr>
        <w:t xml:space="preserve"> preparatui patekus į rinką labai retais atvejais pacientams, kurie sirgo daugeliu lydinčiųjų ligų ir vartojo kitus vaistus, po ilgalaikio gydymo bozentanu išsivystė nepaaiškinama kepenų cirozė. Taip pat buvo retų pranešimų apie kepenų nepakankamumo atvejus. Tokie atvejai patvirtina būtinybę griežtai laikytis kas mėnesį atliekamų kepenų funkcijos patikrinimų grafiko visą gydymo bozentanu laikotarpį (žr. 4.4 skyrių).</w:t>
      </w:r>
    </w:p>
    <w:p w14:paraId="43C15B6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BDC593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spacing w:val="-1"/>
          <w:u w:val="single"/>
        </w:rPr>
      </w:pPr>
      <w:r w:rsidRPr="000A2DE8">
        <w:rPr>
          <w:rFonts w:ascii="Times New Roman" w:hAnsi="Times New Roman"/>
          <w:spacing w:val="-1"/>
          <w:u w:val="single"/>
        </w:rPr>
        <w:lastRenderedPageBreak/>
        <w:t>Vaikų populiacija</w:t>
      </w:r>
    </w:p>
    <w:p w14:paraId="7F580BF7" w14:textId="77777777" w:rsidR="00F57EE3" w:rsidRPr="000A2DE8" w:rsidRDefault="00F57EE3" w:rsidP="00CD51A4">
      <w:pPr>
        <w:widowControl w:val="0"/>
        <w:autoSpaceDE w:val="0"/>
        <w:autoSpaceDN w:val="0"/>
        <w:adjustRightInd w:val="0"/>
        <w:spacing w:after="0" w:line="240" w:lineRule="auto"/>
        <w:rPr>
          <w:rFonts w:ascii="Times New Roman" w:hAnsi="Times New Roman"/>
          <w:i/>
          <w:spacing w:val="-1"/>
        </w:rPr>
      </w:pPr>
    </w:p>
    <w:p w14:paraId="6FCFF358"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A26D2B">
        <w:rPr>
          <w:rFonts w:ascii="Times New Roman" w:hAnsi="Times New Roman"/>
          <w:i/>
          <w:spacing w:val="-1"/>
        </w:rPr>
        <w:t xml:space="preserve">Nekontroliuojami </w:t>
      </w:r>
      <w:r w:rsidR="00F57EE3" w:rsidRPr="00A26D2B">
        <w:rPr>
          <w:rFonts w:ascii="Times New Roman" w:hAnsi="Times New Roman"/>
          <w:i/>
          <w:spacing w:val="-1"/>
        </w:rPr>
        <w:t>klinikiniai</w:t>
      </w:r>
      <w:r w:rsidRPr="00A26D2B">
        <w:rPr>
          <w:rFonts w:ascii="Times New Roman" w:hAnsi="Times New Roman"/>
          <w:i/>
          <w:spacing w:val="-1"/>
        </w:rPr>
        <w:t xml:space="preserve"> tyrimai</w:t>
      </w:r>
      <w:r w:rsidR="00390432" w:rsidRPr="000A2DE8">
        <w:rPr>
          <w:rFonts w:ascii="Times New Roman" w:hAnsi="Times New Roman"/>
          <w:i/>
          <w:spacing w:val="-1"/>
        </w:rPr>
        <w:t xml:space="preserve">, atlikti </w:t>
      </w:r>
      <w:r w:rsidR="00F57EE3" w:rsidRPr="00A26D2B">
        <w:rPr>
          <w:rFonts w:ascii="Times New Roman" w:hAnsi="Times New Roman"/>
          <w:i/>
          <w:spacing w:val="-1"/>
        </w:rPr>
        <w:t>vaika</w:t>
      </w:r>
      <w:r w:rsidR="002746A3" w:rsidRPr="000A2DE8">
        <w:rPr>
          <w:rFonts w:ascii="Times New Roman" w:hAnsi="Times New Roman"/>
          <w:i/>
          <w:spacing w:val="-1"/>
        </w:rPr>
        <w:t>ms</w:t>
      </w:r>
      <w:r w:rsidR="00F57EE3" w:rsidRPr="00A26D2B">
        <w:rPr>
          <w:rFonts w:ascii="Times New Roman" w:hAnsi="Times New Roman"/>
          <w:i/>
          <w:spacing w:val="-1"/>
        </w:rPr>
        <w:t xml:space="preserve"> </w:t>
      </w:r>
    </w:p>
    <w:p w14:paraId="17B77779" w14:textId="77777777" w:rsidR="00F57EE3" w:rsidRPr="000A2DE8" w:rsidRDefault="00F57EE3" w:rsidP="00F57EE3">
      <w:pPr>
        <w:widowControl w:val="0"/>
        <w:autoSpaceDE w:val="0"/>
        <w:autoSpaceDN w:val="0"/>
        <w:adjustRightInd w:val="0"/>
        <w:spacing w:after="0" w:line="240" w:lineRule="auto"/>
        <w:rPr>
          <w:rFonts w:ascii="Times New Roman" w:hAnsi="Times New Roman"/>
          <w:spacing w:val="2"/>
        </w:rPr>
      </w:pPr>
    </w:p>
    <w:p w14:paraId="746F2436" w14:textId="77777777" w:rsidR="00F57EE3" w:rsidRPr="000A2DE8" w:rsidRDefault="00F57EE3" w:rsidP="00F57EE3">
      <w:pPr>
        <w:widowControl w:val="0"/>
        <w:autoSpaceDE w:val="0"/>
        <w:autoSpaceDN w:val="0"/>
        <w:adjustRightInd w:val="0"/>
        <w:spacing w:after="0" w:line="240" w:lineRule="auto"/>
        <w:rPr>
          <w:rFonts w:ascii="Times New Roman" w:hAnsi="Times New Roman"/>
          <w:spacing w:val="2"/>
        </w:rPr>
      </w:pPr>
      <w:r w:rsidRPr="000A2DE8">
        <w:rPr>
          <w:rFonts w:ascii="Times New Roman" w:hAnsi="Times New Roman"/>
          <w:spacing w:val="2"/>
        </w:rPr>
        <w:t xml:space="preserve">Saugumo profilis atliekant pirmąjį nekontroliuojamą pediatrijos pacientų tyrimą, kurio metu buvo naudojamos plėvele dengtos tabletės (BREATHE-3: n = 19, vidutinis amžius 10 metų [nuo 3 iki 15 metų], dukart per parą buvo vartojama 2 mg/kg atvirojo tyrimo bozentano, gydymas truko 12 savaičių), buvo panašus į pagrindiniuose suaugusiųjų, sergančių PH, tyrimuose nustatytą saugumo profilį. Tyrime BREATHE-3 dažniausiai pasireiškusios nepageidaujamos reakcijos buvo veido raudonis (21 %), galvos skausmas ir nenormalūs kepenų tyrimų rezultatai (po 16 %). </w:t>
      </w:r>
    </w:p>
    <w:p w14:paraId="66CD21DA" w14:textId="77777777" w:rsidR="00F57EE3" w:rsidRPr="000A2DE8" w:rsidRDefault="00F57EE3" w:rsidP="00F57EE3">
      <w:pPr>
        <w:widowControl w:val="0"/>
        <w:autoSpaceDE w:val="0"/>
        <w:autoSpaceDN w:val="0"/>
        <w:adjustRightInd w:val="0"/>
        <w:spacing w:after="0" w:line="240" w:lineRule="auto"/>
        <w:rPr>
          <w:rFonts w:ascii="Times New Roman" w:hAnsi="Times New Roman"/>
          <w:spacing w:val="2"/>
        </w:rPr>
      </w:pPr>
    </w:p>
    <w:p w14:paraId="66989A4F" w14:textId="77777777" w:rsidR="00F57EE3" w:rsidRPr="000A2DE8" w:rsidRDefault="00F57EE3" w:rsidP="00F57EE3">
      <w:pPr>
        <w:widowControl w:val="0"/>
        <w:autoSpaceDE w:val="0"/>
        <w:autoSpaceDN w:val="0"/>
        <w:adjustRightInd w:val="0"/>
        <w:spacing w:after="0" w:line="240" w:lineRule="auto"/>
        <w:rPr>
          <w:rFonts w:ascii="Times New Roman" w:hAnsi="Times New Roman"/>
          <w:spacing w:val="2"/>
        </w:rPr>
      </w:pPr>
      <w:r w:rsidRPr="000A2DE8">
        <w:rPr>
          <w:rFonts w:ascii="Times New Roman" w:hAnsi="Times New Roman"/>
          <w:spacing w:val="2"/>
        </w:rPr>
        <w:t>Į nekontroliuojamų vaikų PH tyrimų, atliktų bozentano 32 mg disperguojamosiomis tabletėmis, (FUTURE 1/2, FUTURE 3/pratęsimas), jungtinę analizę buvo įtraukta iš viso 100 vaikų, gydytų bozentanu 2 mg/kg du kartus per parą (n = 33), 2 mg/kg tris kartus per parą (n = 31) arba 4 mg/kg du kartus per parą (n = 36). Įtraukimo į tyrimą metu šeši pacientai buvo nuo 3 mėnesių iki 1 metų amžiaus, 15 vaikų buvo nuo 1 iki mažiau nei 2 metų amžiaus ir 79 buvo nuo 2 iki 12 metų amžiaus. Vidutinė gydymo trukmė buvo 71,8 savaitės (svyravo nuo 0,4 iki 258 savaičių).</w:t>
      </w:r>
    </w:p>
    <w:p w14:paraId="0764BB0B" w14:textId="77777777" w:rsidR="00F57EE3" w:rsidRPr="000A2DE8" w:rsidRDefault="00F57EE3" w:rsidP="00F57EE3">
      <w:pPr>
        <w:widowControl w:val="0"/>
        <w:autoSpaceDE w:val="0"/>
        <w:autoSpaceDN w:val="0"/>
        <w:adjustRightInd w:val="0"/>
        <w:spacing w:after="0" w:line="240" w:lineRule="auto"/>
        <w:rPr>
          <w:rFonts w:ascii="Times New Roman" w:hAnsi="Times New Roman"/>
          <w:spacing w:val="2"/>
        </w:rPr>
      </w:pPr>
    </w:p>
    <w:p w14:paraId="3E684F84" w14:textId="77777777" w:rsidR="00F57EE3" w:rsidRPr="000A2DE8" w:rsidRDefault="00F57EE3" w:rsidP="00F57EE3">
      <w:pPr>
        <w:widowControl w:val="0"/>
        <w:autoSpaceDE w:val="0"/>
        <w:autoSpaceDN w:val="0"/>
        <w:adjustRightInd w:val="0"/>
        <w:spacing w:after="0" w:line="240" w:lineRule="auto"/>
        <w:rPr>
          <w:rFonts w:ascii="Times New Roman" w:hAnsi="Times New Roman"/>
          <w:spacing w:val="2"/>
        </w:rPr>
      </w:pPr>
      <w:r w:rsidRPr="000A2DE8">
        <w:rPr>
          <w:rFonts w:ascii="Times New Roman" w:hAnsi="Times New Roman"/>
          <w:spacing w:val="2"/>
        </w:rPr>
        <w:t>Saugumo profilis šioje jungtinėje nekontroliuojamų vaikų tyrimų analizėje buvo panašus į stebėtus bandomuosiuose tyrimuose su PH sergančiais suaugusiais pacientais, išskyrus infekcijas, kurios buvo dažniau stebėtos suaugusiesiems nei vaikams (69,0 %, palyginti su 41,3 %). Šis infekcijų dažnio skirtumas galėtų būti dėl ilgesnės vidutinės gydymo trukmės vaikų grupėje (vidutiniškai 71,8 savaitės), palyginti su suaugusiųjų grupe (vidutiniškai 17,4 savaitės). Dažniausi nepageidaujami reiškiniai buvo viršutinių kvėpavimo takų infekcijos (25 %), plautinė (arterinė) hipertenzija (20 %), nazofaringitas (17 %), karščiavimas (15 %), vėmimas (13 %), bronchitas (10 %), pilvo skausmas (10 %) ir viduriavimas (10 %). Nebuvo nepageidaujamų reiškinių dažnio skirtumo tarp pacientų, jaunesnių ir vyresnių nei 2 metų amžiaus, tačiau tai pagrįsta tik 21 vaiku, jaunesniu nei 2 metų, įskaitant 6 pacientus nuo 3 mėnesių iki 1 metų amžiaus. Nepageidaujami kepenų sutrikimo ir anemijos / hemoglobino sumažėjimo reiškiniai atitinkamai pasireiškė 9 % ir 5 % pacientų.</w:t>
      </w:r>
    </w:p>
    <w:p w14:paraId="42BF4F79" w14:textId="77777777" w:rsidR="00F57EE3" w:rsidRPr="000A2DE8" w:rsidRDefault="00F57EE3" w:rsidP="00F57EE3">
      <w:pPr>
        <w:widowControl w:val="0"/>
        <w:autoSpaceDE w:val="0"/>
        <w:autoSpaceDN w:val="0"/>
        <w:adjustRightInd w:val="0"/>
        <w:spacing w:after="0" w:line="240" w:lineRule="auto"/>
        <w:rPr>
          <w:rFonts w:ascii="Times New Roman" w:hAnsi="Times New Roman"/>
          <w:spacing w:val="2"/>
        </w:rPr>
      </w:pPr>
    </w:p>
    <w:p w14:paraId="4058AA9A" w14:textId="77777777" w:rsidR="00F57EE3" w:rsidRPr="000A2DE8" w:rsidRDefault="00F57EE3" w:rsidP="00F57EE3">
      <w:pPr>
        <w:widowControl w:val="0"/>
        <w:autoSpaceDE w:val="0"/>
        <w:autoSpaceDN w:val="0"/>
        <w:adjustRightInd w:val="0"/>
        <w:spacing w:after="0" w:line="240" w:lineRule="auto"/>
        <w:rPr>
          <w:rFonts w:ascii="Times New Roman" w:hAnsi="Times New Roman"/>
          <w:spacing w:val="2"/>
        </w:rPr>
      </w:pPr>
      <w:r w:rsidRPr="000A2DE8">
        <w:rPr>
          <w:rFonts w:ascii="Times New Roman" w:hAnsi="Times New Roman"/>
          <w:spacing w:val="2"/>
        </w:rPr>
        <w:t>Atsitiktinių imčių placebu kontroliuojamame tyrime, atliktame su PPHN sergančiais pacientais (FUTURE-4), iš viso 13 naujagimių buvo gydyti bozentano disperguojamosiomis tabletėmis 2 mg/kg du kartus per parą doze (8 pacientai gavo placebą). Vidutinė gydymo bozentanu ir placebu trukmė buvo atitinkamai 4,5 dienos (nuo 0,5 iki 10,0 dienų) ir 4,0 dienos (nuo 2,5 iki 6,5 dienos). Dažniausi nepageidaujami reiškiniai bozentanu ir placebu gydytiems pacientams buvo atitinkamai anemija arba sumažėjęs hemoglobino kiekis (7 ir 2 pacientai), generalizuota edema (3 ir 0 pacientų) bei vėmimas (2 ir 0 pacientų).</w:t>
      </w:r>
    </w:p>
    <w:p w14:paraId="2495A10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B4F3D2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u w:val="single"/>
        </w:rPr>
        <w:t>Laboratorinių tyrimų pokyčiai</w:t>
      </w:r>
    </w:p>
    <w:p w14:paraId="49EA7A3B" w14:textId="77777777" w:rsidR="00F57EE3" w:rsidRPr="000A2DE8" w:rsidRDefault="00F57EE3" w:rsidP="00CD51A4">
      <w:pPr>
        <w:widowControl w:val="0"/>
        <w:autoSpaceDE w:val="0"/>
        <w:autoSpaceDN w:val="0"/>
        <w:adjustRightInd w:val="0"/>
        <w:spacing w:after="0" w:line="240" w:lineRule="auto"/>
        <w:rPr>
          <w:rFonts w:ascii="Times New Roman" w:hAnsi="Times New Roman"/>
          <w:i/>
          <w:position w:val="-1"/>
          <w:u w:val="single"/>
        </w:rPr>
      </w:pPr>
    </w:p>
    <w:p w14:paraId="435FFA9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A26D2B">
        <w:rPr>
          <w:rFonts w:ascii="Times New Roman" w:hAnsi="Times New Roman"/>
          <w:i/>
          <w:position w:val="-1"/>
        </w:rPr>
        <w:t>Kepenų funkcijos tyrimų pokyčiai</w:t>
      </w:r>
    </w:p>
    <w:p w14:paraId="541CF51A" w14:textId="77777777" w:rsidR="00F57EE3" w:rsidRPr="000A2DE8" w:rsidRDefault="00F57EE3" w:rsidP="00512F9C">
      <w:pPr>
        <w:widowControl w:val="0"/>
        <w:autoSpaceDE w:val="0"/>
        <w:autoSpaceDN w:val="0"/>
        <w:adjustRightInd w:val="0"/>
        <w:spacing w:after="0" w:line="240" w:lineRule="auto"/>
        <w:rPr>
          <w:rFonts w:ascii="Times New Roman" w:hAnsi="Times New Roman"/>
          <w:spacing w:val="-4"/>
        </w:rPr>
      </w:pPr>
    </w:p>
    <w:p w14:paraId="75F3D184" w14:textId="77777777" w:rsidR="00CD51A4" w:rsidRPr="000A2DE8" w:rsidRDefault="00CD51A4" w:rsidP="00512F9C">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Klinikinės programos metu nuo dozės priklausomas kepenų aminotransferazių aktyvumo padidėjimas paprastai atsirasdavo per pirmas 26 gydymo savaites, išsivystydavo palaipsniui ir dažniausiai buvo besimptomis. Patekus produktui į rinką buvo duomenų apie retai pasitaikiusius kepenų cirozės ir kepenų nepakankamumo</w:t>
      </w:r>
      <w:r w:rsidR="00F92AE5" w:rsidRPr="000A2DE8">
        <w:rPr>
          <w:rFonts w:ascii="Times New Roman" w:hAnsi="Times New Roman"/>
          <w:spacing w:val="-4"/>
        </w:rPr>
        <w:t xml:space="preserve"> </w:t>
      </w:r>
      <w:r w:rsidRPr="000A2DE8">
        <w:rPr>
          <w:rFonts w:ascii="Times New Roman" w:hAnsi="Times New Roman"/>
          <w:spacing w:val="-4"/>
        </w:rPr>
        <w:t>atvejus.</w:t>
      </w:r>
    </w:p>
    <w:p w14:paraId="25B9A47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DE68E0B" w14:textId="77777777" w:rsidR="00CD51A4" w:rsidRPr="000A2DE8" w:rsidRDefault="00CD51A4" w:rsidP="00CD51A4">
      <w:pPr>
        <w:widowControl w:val="0"/>
        <w:autoSpaceDE w:val="0"/>
        <w:autoSpaceDN w:val="0"/>
        <w:adjustRightInd w:val="0"/>
        <w:spacing w:after="0" w:line="240" w:lineRule="auto"/>
        <w:jc w:val="both"/>
        <w:rPr>
          <w:rFonts w:ascii="Times New Roman" w:eastAsia="Times New Roman" w:hAnsi="Times New Roman"/>
        </w:rPr>
      </w:pPr>
      <w:r w:rsidRPr="000A2DE8">
        <w:rPr>
          <w:rFonts w:ascii="Times New Roman" w:hAnsi="Times New Roman"/>
          <w:spacing w:val="2"/>
        </w:rPr>
        <w:t>Šio šalutinio poveikio mechanizmas neaiškus. Šis aminotransferazių koncentracijos padidėjimas gali savaime išnykti tęsiant palaikomąją bozentano dozę arba dozę sumažinus, tačiau gali prireikti padaryti gydymo pertrauką arba nutraukti gydymą (žr. 4.4 skyrių).</w:t>
      </w:r>
    </w:p>
    <w:p w14:paraId="70E413A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8D3282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20 integruotų placebu kontroliuotų klinikinių tyrimų metu kepenų aminotransferazių koncentracijos ≥ 3 kartus viršijo VNR 11,2 % pacientų, gydytų bozentanu, palyginti su 2,4 % pacientų, gydytų placebu. Iki ≥ 8 × VNR šis kiekis padidėjo 3,6 % bozentanu gydytų pacientų ir 0,4 % gydytų placebu. Aminotransferazių aktyvumo padidėjimas su bilirubino padidėjimu (≥ 2 × VNR) be tulžies obstrukcijos požymių buvo </w:t>
      </w:r>
      <w:r w:rsidRPr="000A2DE8">
        <w:rPr>
          <w:rFonts w:ascii="Times New Roman" w:hAnsi="Times New Roman"/>
          <w:spacing w:val="-4"/>
        </w:rPr>
        <w:lastRenderedPageBreak/>
        <w:t>susietas 0,2 %</w:t>
      </w:r>
      <w:r w:rsidRPr="000A2DE8">
        <w:rPr>
          <w:rFonts w:ascii="Times New Roman" w:hAnsi="Times New Roman"/>
          <w:spacing w:val="1"/>
        </w:rPr>
        <w:t>(5 pacientams) bozentanu ir 0,3 % (6 pacientams) placebu gydytų pacientų.</w:t>
      </w:r>
    </w:p>
    <w:p w14:paraId="57B8B12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370A2D8" w14:textId="77777777" w:rsidR="00F57EE3" w:rsidRPr="000A2DE8" w:rsidRDefault="00F57EE3" w:rsidP="00F57EE3">
      <w:pPr>
        <w:widowControl w:val="0"/>
        <w:autoSpaceDE w:val="0"/>
        <w:autoSpaceDN w:val="0"/>
        <w:adjustRightInd w:val="0"/>
        <w:spacing w:after="0" w:line="240" w:lineRule="auto"/>
        <w:rPr>
          <w:rFonts w:ascii="Times New Roman" w:hAnsi="Times New Roman"/>
          <w:spacing w:val="-4"/>
        </w:rPr>
      </w:pPr>
      <w:r w:rsidRPr="000A2DE8">
        <w:rPr>
          <w:rFonts w:ascii="Times New Roman" w:hAnsi="Times New Roman"/>
          <w:spacing w:val="-4"/>
        </w:rPr>
        <w:t xml:space="preserve">100 PH sergančių vaikų, dalyvavusių FUTURE 1/2 ir FUTURE 3/pratęsimas nekontroliuojamuose vaikų tyrimuose, jungtinėje analizėje kepenų aminotransferazių </w:t>
      </w:r>
      <w:r w:rsidR="00DF01CB" w:rsidRPr="000A2DE8">
        <w:rPr>
          <w:rFonts w:ascii="Times New Roman" w:hAnsi="Times New Roman"/>
          <w:spacing w:val="-4"/>
        </w:rPr>
        <w:t xml:space="preserve">koncentracijų </w:t>
      </w:r>
      <w:r w:rsidRPr="000A2DE8">
        <w:rPr>
          <w:rFonts w:ascii="Times New Roman" w:hAnsi="Times New Roman"/>
          <w:spacing w:val="-4"/>
        </w:rPr>
        <w:t>padidėjimas ≥ 3 x VNR buvo stebėtas 2 % pacientų.</w:t>
      </w:r>
    </w:p>
    <w:p w14:paraId="73242077" w14:textId="77777777" w:rsidR="00F57EE3" w:rsidRPr="000A2DE8" w:rsidRDefault="00F57EE3" w:rsidP="00F57EE3">
      <w:pPr>
        <w:widowControl w:val="0"/>
        <w:autoSpaceDE w:val="0"/>
        <w:autoSpaceDN w:val="0"/>
        <w:adjustRightInd w:val="0"/>
        <w:spacing w:after="0" w:line="240" w:lineRule="auto"/>
        <w:rPr>
          <w:rFonts w:ascii="Times New Roman" w:hAnsi="Times New Roman"/>
          <w:spacing w:val="-4"/>
        </w:rPr>
      </w:pPr>
    </w:p>
    <w:p w14:paraId="4BFE79EE" w14:textId="77777777" w:rsidR="00F57EE3" w:rsidRPr="000A2DE8" w:rsidRDefault="00F57EE3" w:rsidP="00F57EE3">
      <w:pPr>
        <w:widowControl w:val="0"/>
        <w:autoSpaceDE w:val="0"/>
        <w:autoSpaceDN w:val="0"/>
        <w:adjustRightInd w:val="0"/>
        <w:spacing w:after="0" w:line="240" w:lineRule="auto"/>
        <w:rPr>
          <w:rFonts w:ascii="Times New Roman" w:hAnsi="Times New Roman"/>
          <w:spacing w:val="-4"/>
        </w:rPr>
      </w:pPr>
      <w:r w:rsidRPr="000A2DE8">
        <w:rPr>
          <w:rFonts w:ascii="Times New Roman" w:hAnsi="Times New Roman"/>
          <w:spacing w:val="-4"/>
        </w:rPr>
        <w:t xml:space="preserve">FUTURE-4 tyrime, į kurį buvo įtraukta 13 naujagimių, sergančių PPHN, gydytų bozentanu 2 mg/kg du kartus per parą mažiau nei 10 dienų (nuo 0,5 iki 10,0 dienų), gydymo metu nebuvo kepenų aminotransferazių </w:t>
      </w:r>
      <w:r w:rsidR="00DF01CB" w:rsidRPr="000A2DE8">
        <w:rPr>
          <w:rFonts w:ascii="Times New Roman" w:hAnsi="Times New Roman"/>
          <w:spacing w:val="-4"/>
        </w:rPr>
        <w:t xml:space="preserve">koncentracijų </w:t>
      </w:r>
      <w:r w:rsidRPr="000A2DE8">
        <w:rPr>
          <w:rFonts w:ascii="Times New Roman" w:hAnsi="Times New Roman"/>
          <w:spacing w:val="-4"/>
        </w:rPr>
        <w:t>padidėjimo ≥ 3 x VNR atvejų, tačiau pasitaikė vienas hepatito, pasireiškusio po 3 dienų po gydymo bozentanu, atvejis.</w:t>
      </w:r>
    </w:p>
    <w:p w14:paraId="7C986D4F" w14:textId="77777777" w:rsidR="00F57EE3" w:rsidRPr="000A2DE8" w:rsidRDefault="00F57EE3" w:rsidP="00CD51A4">
      <w:pPr>
        <w:widowControl w:val="0"/>
        <w:autoSpaceDE w:val="0"/>
        <w:autoSpaceDN w:val="0"/>
        <w:adjustRightInd w:val="0"/>
        <w:spacing w:after="0" w:line="240" w:lineRule="auto"/>
        <w:rPr>
          <w:rFonts w:ascii="Times New Roman" w:eastAsia="Times New Roman" w:hAnsi="Times New Roman"/>
        </w:rPr>
      </w:pPr>
    </w:p>
    <w:p w14:paraId="7EA66555" w14:textId="77777777" w:rsidR="00CD51A4" w:rsidRPr="00680FF0" w:rsidRDefault="00CD51A4" w:rsidP="00CD51A4">
      <w:pPr>
        <w:widowControl w:val="0"/>
        <w:autoSpaceDE w:val="0"/>
        <w:autoSpaceDN w:val="0"/>
        <w:adjustRightInd w:val="0"/>
        <w:spacing w:after="0" w:line="240" w:lineRule="auto"/>
        <w:rPr>
          <w:rFonts w:ascii="Times New Roman" w:eastAsia="Times New Roman" w:hAnsi="Times New Roman"/>
        </w:rPr>
      </w:pPr>
      <w:r w:rsidRPr="00A4683A">
        <w:rPr>
          <w:rFonts w:ascii="Times New Roman" w:hAnsi="Times New Roman"/>
          <w:i/>
          <w:spacing w:val="-1"/>
          <w:position w:val="-1"/>
        </w:rPr>
        <w:t>Hemoglobinas</w:t>
      </w:r>
    </w:p>
    <w:p w14:paraId="508A74F9" w14:textId="77777777" w:rsidR="00CD51A4" w:rsidRPr="000A2DE8" w:rsidRDefault="002746A3" w:rsidP="00CD51A4">
      <w:pPr>
        <w:widowControl w:val="0"/>
        <w:autoSpaceDE w:val="0"/>
        <w:autoSpaceDN w:val="0"/>
        <w:adjustRightInd w:val="0"/>
        <w:spacing w:before="32" w:after="0" w:line="240" w:lineRule="auto"/>
        <w:ind w:right="448"/>
        <w:rPr>
          <w:rFonts w:ascii="Times New Roman" w:hAnsi="Times New Roman"/>
        </w:rPr>
      </w:pPr>
      <w:r w:rsidRPr="000A2DE8">
        <w:rPr>
          <w:rFonts w:ascii="Times New Roman" w:hAnsi="Times New Roman"/>
        </w:rPr>
        <w:t>Placebu kontroliuotuose klinikiniuose tyrimuose suaugusiesiems a</w:t>
      </w:r>
      <w:r w:rsidR="00CD51A4" w:rsidRPr="000A2DE8">
        <w:rPr>
          <w:rFonts w:ascii="Times New Roman" w:hAnsi="Times New Roman"/>
        </w:rPr>
        <w:t xml:space="preserve">pie hemoglobino koncentracijos sumažėjimą žemiau mažiau 10 g/dl nuo tyrimo pradžios buvo pranešta 8,0 % pacientų, gydytų bozentanu ir 3,9 % pacientų, gydytų placebu (žr.4.4 skyrių). </w:t>
      </w:r>
    </w:p>
    <w:p w14:paraId="6AB6617A" w14:textId="77777777" w:rsidR="00CD51A4" w:rsidRPr="000A2DE8" w:rsidRDefault="00CD51A4" w:rsidP="00CD51A4">
      <w:pPr>
        <w:widowControl w:val="0"/>
        <w:autoSpaceDE w:val="0"/>
        <w:autoSpaceDN w:val="0"/>
        <w:adjustRightInd w:val="0"/>
        <w:spacing w:before="32" w:after="0" w:line="240" w:lineRule="auto"/>
        <w:ind w:right="448"/>
        <w:rPr>
          <w:rFonts w:ascii="Times New Roman" w:hAnsi="Times New Roman"/>
        </w:rPr>
      </w:pPr>
      <w:r w:rsidRPr="000A2DE8">
        <w:rPr>
          <w:rFonts w:ascii="Times New Roman" w:hAnsi="Times New Roman"/>
        </w:rPr>
        <w:t xml:space="preserve">Atlikus bendrą 100 </w:t>
      </w:r>
      <w:r w:rsidR="009D384A" w:rsidRPr="000A2DE8">
        <w:rPr>
          <w:rFonts w:ascii="Times New Roman" w:hAnsi="Times New Roman"/>
        </w:rPr>
        <w:t>PH</w:t>
      </w:r>
      <w:r w:rsidRPr="000A2DE8">
        <w:rPr>
          <w:rFonts w:ascii="Times New Roman" w:hAnsi="Times New Roman"/>
        </w:rPr>
        <w:t xml:space="preserve"> sirgusių vaikų duomenų, gautų iš nekontroliuojamų pediatrinių tyrimų FUTURE 1/2 ir FUTURE 3/ tęstinio, analizę, buvo pranešta apie hemoglobino koncentracijos kritimą žemiau 10 g/d</w:t>
      </w:r>
      <w:r w:rsidR="000A2DE8">
        <w:rPr>
          <w:rFonts w:ascii="Times New Roman" w:hAnsi="Times New Roman"/>
        </w:rPr>
        <w:t>l</w:t>
      </w:r>
      <w:r w:rsidRPr="000A2DE8">
        <w:rPr>
          <w:rFonts w:ascii="Times New Roman" w:hAnsi="Times New Roman"/>
        </w:rPr>
        <w:t xml:space="preserve"> lyginant su baziniu, pasireiškusį 10,0 % pacientų. Kritimo žemiau 8 g/dL nebuvo.</w:t>
      </w:r>
    </w:p>
    <w:p w14:paraId="71C66A2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Tyrimo FUTURE-4 metu 6 iš 13 bozentanu gydytų naujagimių, sirgusių PPHN, gydymo metu pasireiškė hemoglobino kritimas žemiau apatinės įprasto kiekio ribos, lyginant su referenciniu baziniu lygmeniu.</w:t>
      </w:r>
    </w:p>
    <w:p w14:paraId="63E4068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DDC5711" w14:textId="77777777" w:rsidR="00CD51A4" w:rsidRPr="000A2DE8" w:rsidRDefault="00CD51A4" w:rsidP="00CD51A4">
      <w:pPr>
        <w:tabs>
          <w:tab w:val="left" w:pos="567"/>
        </w:tabs>
        <w:autoSpaceDE w:val="0"/>
        <w:autoSpaceDN w:val="0"/>
        <w:adjustRightInd w:val="0"/>
        <w:spacing w:after="0" w:line="260" w:lineRule="exact"/>
        <w:rPr>
          <w:rFonts w:ascii="Times New Roman" w:eastAsia="Times New Roman" w:hAnsi="Times New Roman"/>
          <w:snapToGrid w:val="0"/>
          <w:u w:val="single"/>
          <w:lang w:eastAsia="en-US" w:bidi="ar-SA"/>
        </w:rPr>
      </w:pPr>
      <w:r w:rsidRPr="000A2DE8">
        <w:rPr>
          <w:rFonts w:ascii="Times New Roman" w:eastAsia="Times New Roman" w:hAnsi="Times New Roman"/>
          <w:snapToGrid w:val="0"/>
          <w:u w:val="single"/>
          <w:lang w:eastAsia="en-US" w:bidi="ar-SA"/>
        </w:rPr>
        <w:t>Pranešimas apie įtariamas nepageidaujamas reakcijas</w:t>
      </w:r>
    </w:p>
    <w:p w14:paraId="49050D14" w14:textId="34EEDBC9" w:rsidR="00CD51A4" w:rsidRPr="000A2DE8" w:rsidRDefault="00CD51A4" w:rsidP="00CD51A4">
      <w:pPr>
        <w:tabs>
          <w:tab w:val="left" w:pos="567"/>
        </w:tabs>
        <w:autoSpaceDE w:val="0"/>
        <w:autoSpaceDN w:val="0"/>
        <w:adjustRightInd w:val="0"/>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Svarbu pranešti apie įtariamas nepageidaujamas reakcijas, pastebėtas po vaistinio preparato registracijos, nes tai leidžia nuolat stebėti vaistinio preparato naudos ir rizikos santykį.</w:t>
      </w:r>
      <w:r w:rsidR="00F92AE5" w:rsidRPr="000A2DE8">
        <w:rPr>
          <w:rFonts w:ascii="Times New Roman" w:eastAsia="Times New Roman" w:hAnsi="Times New Roman"/>
          <w:snapToGrid w:val="0"/>
          <w:lang w:eastAsia="en-US" w:bidi="ar-SA"/>
        </w:rPr>
        <w:t xml:space="preserve"> </w:t>
      </w:r>
      <w:r w:rsidR="00E82663" w:rsidRPr="00E82663">
        <w:rPr>
          <w:rFonts w:ascii="Times New Roman" w:eastAsia="Times New Roman" w:hAnsi="Times New Roman"/>
          <w:szCs w:val="24"/>
          <w:lang w:eastAsia="en-US" w:bidi="ar-SA"/>
        </w:rPr>
        <w:t xml:space="preserve">Sveikatos priežiūros ar farmacijos specialistai turi pranešti apie bet kokias įtariamas nepageidaujamas reakcijas, tiesiogiai užpildę pranešimo formą internetu Tarnybos Vaistinių preparatų informacinėje sistemoje </w:t>
      </w:r>
      <w:r w:rsidR="00E82663" w:rsidRPr="00E82663">
        <w:rPr>
          <w:rFonts w:ascii="Times New Roman" w:eastAsia="Times New Roman" w:hAnsi="Times New Roman"/>
          <w:color w:val="0000FF"/>
          <w:szCs w:val="24"/>
          <w:u w:val="single"/>
          <w:lang w:eastAsia="en-US" w:bidi="ar-SA"/>
        </w:rPr>
        <w:t>https://vapris.vvkt.lt/vvkt-web/public/nrvSpecialist</w:t>
      </w:r>
      <w:r w:rsidR="00E82663" w:rsidRPr="00E82663">
        <w:rPr>
          <w:rFonts w:ascii="Times New Roman" w:eastAsia="Times New Roman" w:hAnsi="Times New Roman"/>
          <w:szCs w:val="24"/>
          <w:lang w:eastAsia="en-US" w:bidi="ar-SA"/>
        </w:rPr>
        <w:t xml:space="preserve"> arba užpildę Sveikatos priežiūros ar farmacijos specialisto pranešimo apie įtariamą nepageidaujamą reakciją (ĮNR) formą, kuri skelbiama </w:t>
      </w:r>
      <w:r w:rsidR="00E82663" w:rsidRPr="00E82663">
        <w:rPr>
          <w:rFonts w:ascii="Times New Roman" w:eastAsia="Times New Roman" w:hAnsi="Times New Roman"/>
          <w:color w:val="0000FF"/>
          <w:szCs w:val="24"/>
          <w:u w:val="single"/>
          <w:lang w:eastAsia="en-US" w:bidi="ar-SA"/>
        </w:rPr>
        <w:t>https://www.vvkt.lt/index.php?1399030386</w:t>
      </w:r>
      <w:r w:rsidR="00E82663" w:rsidRPr="00E82663">
        <w:rPr>
          <w:rFonts w:ascii="Times New Roman" w:eastAsia="Times New Roman" w:hAnsi="Times New Roman"/>
          <w:szCs w:val="24"/>
          <w:lang w:eastAsia="en-US" w:bidi="ar-SA"/>
        </w:rPr>
        <w:t>, ir atsiųsti elektroniniu paštu (adresu NepageidaujamaR@vvkt.lt).</w:t>
      </w:r>
    </w:p>
    <w:p w14:paraId="61D3934D" w14:textId="77777777" w:rsidR="00CD51A4" w:rsidRPr="000A2DE8" w:rsidRDefault="00CD51A4" w:rsidP="00CD51A4">
      <w:pPr>
        <w:tabs>
          <w:tab w:val="left" w:pos="567"/>
        </w:tabs>
        <w:autoSpaceDE w:val="0"/>
        <w:autoSpaceDN w:val="0"/>
        <w:adjustRightInd w:val="0"/>
        <w:spacing w:after="0" w:line="260" w:lineRule="exact"/>
        <w:rPr>
          <w:rFonts w:ascii="Times New Roman" w:eastAsia="Times New Roman" w:hAnsi="Times New Roman"/>
        </w:rPr>
      </w:pPr>
    </w:p>
    <w:p w14:paraId="0CC6E56A"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4.9</w:t>
      </w:r>
      <w:r w:rsidRPr="000A2DE8">
        <w:rPr>
          <w:rFonts w:ascii="Times New Roman" w:hAnsi="Times New Roman"/>
        </w:rPr>
        <w:tab/>
      </w:r>
      <w:r w:rsidRPr="000A2DE8">
        <w:rPr>
          <w:rFonts w:ascii="Times New Roman" w:hAnsi="Times New Roman"/>
          <w:b/>
        </w:rPr>
        <w:t>Perdozavimas</w:t>
      </w:r>
    </w:p>
    <w:p w14:paraId="455BD15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E7A315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Bozentanas buvo skiriamas kaip viena dozė iki 2400 mg sveikiems tiriamiesiems ir iki </w:t>
      </w:r>
      <w:r w:rsidRPr="000A2DE8">
        <w:rPr>
          <w:rFonts w:ascii="Times New Roman" w:hAnsi="Times New Roman"/>
        </w:rPr>
        <w:t>2000 mg per parą 2 mėnesius pacientams, sergantiems kitomis ligomis, nei plautine hipertenzija. Dažniausiai pasitaikiusi nepageidaujama reakcija buvo silpnas ar vidutinio stiprumo galvos skausmas.</w:t>
      </w:r>
    </w:p>
    <w:p w14:paraId="60C4E9A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D443A9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Didelis perdozavimas gali sukelti žymią hipotenziją, kuriai reikia aktyvaus širdies ir kraujagyslių sistemos gydymo. Vaistiniam preparatui esant rinkoje buvo nustatytas vienas perdozavimas 10000 mg Bosentan Accord, kurį pavartojo suaugęs vyras. Jam atsirado pykinimo, vėmimo, sumažėjusio kraujospūdžio, svaigulio, prakaitavimo ir neaiškaus regėjimo simptomai. Jis visiškai pagijo per 24 valandas po to, kai pradėjo vartoti vaistus, palaikančius kraujospūdį. Pastaba: dializės metu bozentanas nepašalinamas.</w:t>
      </w:r>
    </w:p>
    <w:p w14:paraId="3D881F3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A22B76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0E3DC1E"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5.</w:t>
      </w:r>
      <w:r w:rsidRPr="000A2DE8">
        <w:rPr>
          <w:rFonts w:ascii="Times New Roman" w:hAnsi="Times New Roman"/>
        </w:rPr>
        <w:tab/>
      </w:r>
      <w:r w:rsidRPr="000A2DE8">
        <w:rPr>
          <w:rFonts w:ascii="Times New Roman" w:hAnsi="Times New Roman"/>
          <w:b/>
          <w:spacing w:val="2"/>
        </w:rPr>
        <w:t>FARMAKOLOGINĖS SAVYBĖS</w:t>
      </w:r>
    </w:p>
    <w:p w14:paraId="1080269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F564C53"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5.1</w:t>
      </w:r>
      <w:r w:rsidRPr="000A2DE8">
        <w:rPr>
          <w:rFonts w:ascii="Times New Roman" w:hAnsi="Times New Roman"/>
        </w:rPr>
        <w:tab/>
      </w:r>
      <w:r w:rsidRPr="000A2DE8">
        <w:rPr>
          <w:rFonts w:ascii="Times New Roman" w:hAnsi="Times New Roman"/>
          <w:b/>
        </w:rPr>
        <w:t>Farmakodinaminės savybės</w:t>
      </w:r>
    </w:p>
    <w:p w14:paraId="4CBAC63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45349C8"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Farmakoterapinė grupė – kiti antihipertenziniai vaist</w:t>
      </w:r>
      <w:r w:rsidR="009D384A" w:rsidRPr="000A2DE8">
        <w:rPr>
          <w:rFonts w:ascii="Times New Roman" w:hAnsi="Times New Roman"/>
        </w:rPr>
        <w:t>ini</w:t>
      </w:r>
      <w:r w:rsidRPr="000A2DE8">
        <w:rPr>
          <w:rFonts w:ascii="Times New Roman" w:hAnsi="Times New Roman"/>
        </w:rPr>
        <w:t>ai</w:t>
      </w:r>
      <w:r w:rsidR="009D384A" w:rsidRPr="000A2DE8">
        <w:rPr>
          <w:rFonts w:ascii="Times New Roman" w:hAnsi="Times New Roman"/>
        </w:rPr>
        <w:t xml:space="preserve"> preparatai</w:t>
      </w:r>
      <w:r w:rsidRPr="000A2DE8">
        <w:rPr>
          <w:rFonts w:ascii="Times New Roman" w:hAnsi="Times New Roman"/>
        </w:rPr>
        <w:t>, ATC kodas – C02KX01.</w:t>
      </w:r>
    </w:p>
    <w:p w14:paraId="7A4245A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B77539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position w:val="-1"/>
          <w:u w:val="single"/>
        </w:rPr>
        <w:t>Veikimo mechanizmas</w:t>
      </w:r>
    </w:p>
    <w:p w14:paraId="0BCE909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Bozentanas yra dvigubas endotelio receptorių antagonistas (ERA), turintis afinitetą endotelino A ir B (ETA ir ETB) receptoriams. Bozentanas mažina ir plaučių, ir sisteminį kraujagyslių pasipriešinimą, </w:t>
      </w:r>
      <w:r w:rsidRPr="000A2DE8">
        <w:rPr>
          <w:rFonts w:ascii="Times New Roman" w:hAnsi="Times New Roman"/>
          <w:spacing w:val="-1"/>
        </w:rPr>
        <w:lastRenderedPageBreak/>
        <w:t>padidindamas minutinį širdies tūrį, bet nepadidinant širdies ritmo.</w:t>
      </w:r>
    </w:p>
    <w:p w14:paraId="0E8E98D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F899C9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Neurohormonas endotelinas-1 (ET-1) yra vienas iš stipriausių žinomų vazokonstriktorių, jis taip pat gali skatinti fibrozę, ląstelių proliferaciją, širdies hipertrofiją ir remodeliavimą ir yra prouždegiminis. Šis poveikis medijuojamas endotelinui jungiantis su ETA ir ETB receptoriais, esančiais endotelyje ir kraujagyslių lygiųjų raumenų ląstelėse. ET-1 koncentracija audiniuose ir plazmoje padidėja esant kai kuriems širdies ir kraujagyslių sutrikimams bei jungiamojo audinio ligoms, įskaitant </w:t>
      </w:r>
      <w:r w:rsidR="002746A3" w:rsidRPr="000A2DE8">
        <w:rPr>
          <w:rFonts w:ascii="Times New Roman" w:hAnsi="Times New Roman"/>
          <w:spacing w:val="2"/>
        </w:rPr>
        <w:t>PH</w:t>
      </w:r>
      <w:r w:rsidRPr="000A2DE8">
        <w:rPr>
          <w:rFonts w:ascii="Times New Roman" w:hAnsi="Times New Roman"/>
          <w:spacing w:val="2"/>
        </w:rPr>
        <w:t xml:space="preserve">, sklerodermiją, ūmų ir lėtinį širdies nepakankamumą, miokardo išemiją, sisteminę hipertenziją ir aterosklerozę, todėl manoma, kad vystantis šioms ligoms pagrindinį vaidmenį vaidina ET-1. Esant </w:t>
      </w:r>
      <w:r w:rsidR="002746A3" w:rsidRPr="000A2DE8">
        <w:rPr>
          <w:rFonts w:ascii="Times New Roman" w:hAnsi="Times New Roman"/>
          <w:spacing w:val="2"/>
        </w:rPr>
        <w:t>PH</w:t>
      </w:r>
      <w:r w:rsidRPr="000A2DE8">
        <w:rPr>
          <w:rFonts w:ascii="Times New Roman" w:hAnsi="Times New Roman"/>
          <w:spacing w:val="2"/>
        </w:rPr>
        <w:t xml:space="preserve"> ir širdies funkcijos nepakankamumui, kai nėra endotelino receptorių antagonizmo, padidėjusios ET-1 koncentracijos stipriai koreliuoja su šių ligų sunkumu ir prognoze.</w:t>
      </w:r>
    </w:p>
    <w:p w14:paraId="2D4805D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F151EE3" w14:textId="77777777" w:rsidR="00CD51A4" w:rsidRPr="000A2DE8" w:rsidRDefault="00CD51A4" w:rsidP="00CD51A4">
      <w:pPr>
        <w:widowControl w:val="0"/>
        <w:autoSpaceDE w:val="0"/>
        <w:autoSpaceDN w:val="0"/>
        <w:adjustRightInd w:val="0"/>
        <w:spacing w:after="0" w:line="240" w:lineRule="auto"/>
        <w:rPr>
          <w:rFonts w:ascii="Times New Roman" w:hAnsi="Times New Roman"/>
          <w:spacing w:val="-1"/>
        </w:rPr>
      </w:pPr>
      <w:r w:rsidRPr="000A2DE8">
        <w:rPr>
          <w:rFonts w:ascii="Times New Roman" w:hAnsi="Times New Roman"/>
          <w:spacing w:val="-1"/>
        </w:rPr>
        <w:t>Bozentanas konkuruoja su abiem ETA ir ETB receptoriais susijungdamas su ET-1 ir kitais ET peptidais, jo afinitetas ETA receptoriams (Ki = 4,1–43 nanomolių) kiek didesnis, nei ETB receptoriams</w:t>
      </w:r>
    </w:p>
    <w:p w14:paraId="284EC82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(Ki = 38</w:t>
      </w:r>
      <w:r w:rsidRPr="000A2DE8">
        <w:rPr>
          <w:rFonts w:ascii="Times New Roman" w:hAnsi="Times New Roman"/>
          <w:spacing w:val="1"/>
        </w:rPr>
        <w:noBreakHyphen/>
        <w:t>730 nanomolių). Bozentanas yra specifinis ET receptorių antagonistas ir nesijungia su kitais receptoriais.</w:t>
      </w:r>
    </w:p>
    <w:p w14:paraId="71604F6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6D35C8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Veiksmingumas</w:t>
      </w:r>
    </w:p>
    <w:p w14:paraId="3816A4F7" w14:textId="77777777" w:rsidR="00E82663" w:rsidRDefault="00E82663" w:rsidP="00CD51A4">
      <w:pPr>
        <w:widowControl w:val="0"/>
        <w:autoSpaceDE w:val="0"/>
        <w:autoSpaceDN w:val="0"/>
        <w:adjustRightInd w:val="0"/>
        <w:spacing w:after="0" w:line="240" w:lineRule="auto"/>
        <w:rPr>
          <w:rFonts w:ascii="Times New Roman" w:hAnsi="Times New Roman"/>
          <w:i/>
          <w:spacing w:val="-1"/>
          <w:u w:val="single"/>
        </w:rPr>
      </w:pPr>
    </w:p>
    <w:p w14:paraId="4591FB77" w14:textId="43694205" w:rsidR="00CD51A4" w:rsidRPr="00A4683A" w:rsidRDefault="00CD51A4" w:rsidP="00CD51A4">
      <w:pPr>
        <w:widowControl w:val="0"/>
        <w:autoSpaceDE w:val="0"/>
        <w:autoSpaceDN w:val="0"/>
        <w:adjustRightInd w:val="0"/>
        <w:spacing w:after="0" w:line="240" w:lineRule="auto"/>
        <w:rPr>
          <w:rFonts w:ascii="Times New Roman" w:eastAsia="Times New Roman" w:hAnsi="Times New Roman"/>
          <w:i/>
        </w:rPr>
      </w:pPr>
      <w:r w:rsidRPr="00A4683A">
        <w:rPr>
          <w:rFonts w:ascii="Times New Roman" w:hAnsi="Times New Roman"/>
          <w:i/>
          <w:spacing w:val="-1"/>
        </w:rPr>
        <w:t>Gyvūnų modeliai</w:t>
      </w:r>
    </w:p>
    <w:p w14:paraId="0C68DC3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Plautinės hipertenzijos gyvūnų modeliuose, lėtinis bozentano vartojimas per burną sumažino plaučių kraujagyslių pasipriešinimą ir sumažino plaučių kraujagyslių ir dešiniojo skilvelio hipertrofiją. Plaučių fibrozės gyvūnų modelyje bozentanas sumažino kolageno sankaupas plaučiuose.</w:t>
      </w:r>
    </w:p>
    <w:p w14:paraId="2DD44D7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82A69FD" w14:textId="0BA62A18" w:rsidR="00581226" w:rsidRPr="00A4683A" w:rsidRDefault="00CD51A4" w:rsidP="00CD51A4">
      <w:pPr>
        <w:widowControl w:val="0"/>
        <w:autoSpaceDE w:val="0"/>
        <w:autoSpaceDN w:val="0"/>
        <w:adjustRightInd w:val="0"/>
        <w:spacing w:after="0" w:line="240" w:lineRule="auto"/>
        <w:rPr>
          <w:rFonts w:ascii="Times New Roman" w:eastAsia="Times New Roman" w:hAnsi="Times New Roman"/>
          <w:i/>
          <w:spacing w:val="1"/>
        </w:rPr>
      </w:pPr>
      <w:r w:rsidRPr="00A4683A">
        <w:rPr>
          <w:rFonts w:ascii="Times New Roman" w:hAnsi="Times New Roman"/>
          <w:i/>
        </w:rPr>
        <w:t>Veiksmingumas suaugusiems pacientams, kurie serga plautine hipertenzija</w:t>
      </w:r>
    </w:p>
    <w:p w14:paraId="1019CCE3" w14:textId="77777777" w:rsidR="00CD51A4" w:rsidRPr="000A2DE8" w:rsidRDefault="00CD51A4" w:rsidP="00CD51A4">
      <w:pPr>
        <w:widowControl w:val="0"/>
        <w:autoSpaceDE w:val="0"/>
        <w:autoSpaceDN w:val="0"/>
        <w:adjustRightInd w:val="0"/>
        <w:spacing w:after="0" w:line="240" w:lineRule="auto"/>
        <w:rPr>
          <w:rFonts w:ascii="Times New Roman" w:hAnsi="Times New Roman"/>
          <w:spacing w:val="2"/>
        </w:rPr>
      </w:pPr>
      <w:r w:rsidRPr="000A2DE8">
        <w:rPr>
          <w:rFonts w:ascii="Times New Roman" w:hAnsi="Times New Roman"/>
          <w:spacing w:val="2"/>
        </w:rPr>
        <w:t xml:space="preserve">Du randomizuoti, dvigubai akli, daugiacentriai, placebu kontroliuoti klinikiniai tyrimai buvo atlikti su 32 (tyrimas AC-052-351) ir 213 (tyrimas AC-052-352 (BREATHE-1)) suaugusių pacientų, sergančių III–IV PSO funkcinės klasės </w:t>
      </w:r>
      <w:r w:rsidR="002746A3" w:rsidRPr="000A2DE8">
        <w:rPr>
          <w:rFonts w:ascii="Times New Roman" w:hAnsi="Times New Roman"/>
          <w:spacing w:val="2"/>
        </w:rPr>
        <w:t>PH</w:t>
      </w:r>
      <w:r w:rsidRPr="000A2DE8">
        <w:rPr>
          <w:rFonts w:ascii="Times New Roman" w:hAnsi="Times New Roman"/>
          <w:spacing w:val="2"/>
        </w:rPr>
        <w:t xml:space="preserve"> (pirminė plautinė hipertenzija arba antrinė plautinė hipertenzija dažniausiai dėl sklerodermijos). 4 savaites dukart per parą pavartojus 62,5 mg bozentano, šiuose tyrimuose tirtos palaikomosios dozės buvo 125 mg dukart per parą AC-052-351 tyrime ir 125 mg </w:t>
      </w:r>
    </w:p>
    <w:p w14:paraId="48D5D12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position w:val="-1"/>
        </w:rPr>
        <w:t>dukart per parą ir 250 mg dukart per parą AC-052-352 tyrime.</w:t>
      </w:r>
    </w:p>
    <w:p w14:paraId="4DC63B0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8D2942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Bozentanas buvo papildomai skirtas prie šiuo metu pacientams taikomo gydymo, kuriame galėjo būti antikoaguliantų, vazodilatatorių (pvz., kalcio kanalų blokatorių), diuretikų, deguonies ir digoksino kombinacijos, tačiau ne epoprostenolis. Kontrolė buvo placebas bei dabartinė terapija.</w:t>
      </w:r>
    </w:p>
    <w:p w14:paraId="518A0FC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88D2CC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Pirminis kiekvieno tyrimo vertinimo kriterijus buvo pokyčiai, einant 6 minutes tam tikrą atstumą pėsčiomis, 12-tą savaitę pirmojo tyrimo metu ir 16-tą savaitę antrojo tyrimo metu. Abiejų tyrimų metu gydant preparatu Bosentan Accord fizinis pajėgumas žymiai padidėjo. Placebu pakoreguotas nueito atstumo padidėjimas, palyginti su tyrimo pradžia, buvo 76 metrai (p = 0,02; t-testas) ir 44 metrai (p = 0,0002; </w:t>
      </w:r>
      <w:r w:rsidRPr="000A2DE8">
        <w:rPr>
          <w:rFonts w:ascii="Times New Roman" w:hAnsi="Times New Roman"/>
          <w:i/>
          <w:spacing w:val="2"/>
        </w:rPr>
        <w:t>Mann-Whitney</w:t>
      </w:r>
      <w:r w:rsidRPr="000A2DE8">
        <w:rPr>
          <w:rFonts w:ascii="Times New Roman" w:hAnsi="Times New Roman"/>
          <w:spacing w:val="2"/>
        </w:rPr>
        <w:t xml:space="preserve"> U testas) pirminio vertinimo atitinkamai kiekvieno tyrimo metu. Skirtumai tarp dviejų grupių 125 mg dukart per parą ir 250 mg dukart per parą nebuvo statistiškai reikšmingi, tačiau buvo stebėta tendencija gerėti fiziniam pajėgumui vartojant po 250 mg preparato dukart per parą.</w:t>
      </w:r>
    </w:p>
    <w:p w14:paraId="1AFC7B9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31DC51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Pėsčiomis nueito atstumo pagerėjimas buvo matomas po 4 savaičių gydymo, akivaizdus po </w:t>
      </w:r>
    </w:p>
    <w:p w14:paraId="081DF10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8 savaičių gydymo ir išliko iki 28 savaičių gydomame dvigubai aklu būdu pacientų populiacijos poaibyje.</w:t>
      </w:r>
    </w:p>
    <w:p w14:paraId="7FB43078"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EB45BC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Atlikus reaguojančių į gydymą 95 pacientų, vartojančių po 125 mg bozentano dukart per parą placebu kontroliuotuose klinikiniuose tyrimuose, retrospektyvią nueito pėsčiomis atstumo, PSO funkcinės klasės ir dusulio analizę, nustatyta, jog 8 savaitę 66 pacientų būklė pagerėjo, 22 – liko stabili ir 7 pablogėjo. Iš 22 pacientų, kurių būklė 8 savaitę buvo stabili, 6 būklė pagerėjo 12/16 savaitę, o 4 būklė pablogėjo, palyginti su tyrimo pradžia. Iš 7 pacientų, kurių būklė 8 savaitę pablogėjo, 3 būklė pagerėjo 12/16 savaitę, o </w:t>
      </w:r>
      <w:r w:rsidRPr="000A2DE8">
        <w:rPr>
          <w:rFonts w:ascii="Times New Roman" w:hAnsi="Times New Roman"/>
          <w:spacing w:val="-4"/>
        </w:rPr>
        <w:lastRenderedPageBreak/>
        <w:t>4 būklė pablogėjo, palyginti su tyrimo pradžia.</w:t>
      </w:r>
    </w:p>
    <w:p w14:paraId="28311E8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F6D275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Invaziniai hemodinaminiai parametrai buvo nustatyti tik pirmo tyrimo metu. Gydant su bozentanu žymiai padidėjo širdies indeksas, susijęs su žymiu plaučių arterijos spaudimo, plaučių kraujagyslių pasipriešinimo ir vidutinio dešiniojo prieširdžio spaudimo sumažėjimu. </w:t>
      </w:r>
    </w:p>
    <w:p w14:paraId="198A151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157AB8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P</w:t>
      </w:r>
      <w:r w:rsidR="002746A3" w:rsidRPr="000A2DE8">
        <w:rPr>
          <w:rFonts w:ascii="Times New Roman" w:hAnsi="Times New Roman"/>
        </w:rPr>
        <w:t>H</w:t>
      </w:r>
      <w:r w:rsidRPr="000A2DE8">
        <w:rPr>
          <w:rFonts w:ascii="Times New Roman" w:hAnsi="Times New Roman"/>
        </w:rPr>
        <w:t xml:space="preserve"> simptomų sumažėjimas buvo tiriamas gydant bozentanu. Dusulio matavimas vaikščiojimo testų metu parodė pagerėjimą pacientams, kurie buvo gydomi bozentanu. AC-052-352 tyrime92 % iš 213 pacientų tyrimo pradžioje PSO funkcinė būklė buvo priskirta III klasei, 8 % – IV klasei. Gydant bozentanu PSO funkcinė klasė pagerėjo 42,4 % pacientų (gydant placebu 30,4 %). Bendras PSO funkcinės klasės pokytis abiejų bandymų metu buvo daug geresnis pacientams, gydomiems bozentanu, palyginti su pacientais, kurie buvo gydomi placebu. Gydymas bozentanu buvo siejamas su žymiu klinikinio pablogėjimo masto sumažinimu, palyginti su placebu per 28 savaites (atitinkamai 10,7 % palyginti su 37,1 %; p = 0,0015).</w:t>
      </w:r>
    </w:p>
    <w:p w14:paraId="7B5D5A1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7575AE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Atsitiktinių imčių, dvigubai aklo, daugiacentrio, placebo kontroliuojamo tyrimo (AC-052-364; (EARLY)) metu 185 pacientai, sergantys PSO II funkcinės klasės </w:t>
      </w:r>
      <w:r w:rsidR="009D384A" w:rsidRPr="000A2DE8">
        <w:rPr>
          <w:rFonts w:ascii="Times New Roman" w:hAnsi="Times New Roman"/>
          <w:spacing w:val="-4"/>
        </w:rPr>
        <w:t>PH</w:t>
      </w:r>
      <w:r w:rsidRPr="000A2DE8">
        <w:rPr>
          <w:rFonts w:ascii="Times New Roman" w:hAnsi="Times New Roman"/>
          <w:spacing w:val="-4"/>
        </w:rPr>
        <w:t xml:space="preserve"> (vidutinė gydymo pradžioje per 6 minutes nueinama distancija − 435 metrai), 4 savaites dukart per parą vartojo 62,5 mg bozentano, po to 6 mėnesius dukart per parą 125 mg bozentano (n = 93) arba placebo (n = 92). Į tyrimą buvo įtraukti pacientai, kurie anksčiau nuo </w:t>
      </w:r>
      <w:r w:rsidR="009D384A" w:rsidRPr="000A2DE8">
        <w:rPr>
          <w:rFonts w:ascii="Times New Roman" w:hAnsi="Times New Roman"/>
          <w:spacing w:val="-4"/>
        </w:rPr>
        <w:t>PH</w:t>
      </w:r>
      <w:r w:rsidRPr="000A2DE8">
        <w:rPr>
          <w:rFonts w:ascii="Times New Roman" w:hAnsi="Times New Roman"/>
          <w:spacing w:val="-4"/>
        </w:rPr>
        <w:t xml:space="preserve"> gydyti nebuvo (n = 156) arba kurie buvo gydyti pastovia sildenafilio doze (n = 29). Pirmaeilės vertinamosios baigtys buvo plaučių kraujagyslių pasipriešinimo (PKP), palyginti su baziniu, procentinis pokytis ir po 6 gydymo mėnesių per 6 minutes nueinamo atstumo pokytis, palyginti su placebo vartojusių pacientų. Toliau lentelėje pateikti iš anksto nustatytos protokolo analizės rezultatai.</w:t>
      </w:r>
    </w:p>
    <w:p w14:paraId="7D477C06" w14:textId="50EA8B78" w:rsidR="00CD51A4" w:rsidRDefault="00CD51A4" w:rsidP="00CD51A4">
      <w:pPr>
        <w:widowControl w:val="0"/>
        <w:autoSpaceDE w:val="0"/>
        <w:autoSpaceDN w:val="0"/>
        <w:adjustRightInd w:val="0"/>
        <w:spacing w:after="0" w:line="240" w:lineRule="auto"/>
        <w:rPr>
          <w:rFonts w:ascii="Times New Roman" w:eastAsia="Times New Roman" w:hAnsi="Times New Roman"/>
        </w:rPr>
      </w:pPr>
    </w:p>
    <w:tbl>
      <w:tblPr>
        <w:tblStyle w:val="Lentelstinklelis"/>
        <w:tblW w:w="0" w:type="auto"/>
        <w:tblLook w:val="04A0" w:firstRow="1" w:lastRow="0" w:firstColumn="1" w:lastColumn="0" w:noHBand="0" w:noVBand="1"/>
      </w:tblPr>
      <w:tblGrid>
        <w:gridCol w:w="2122"/>
        <w:gridCol w:w="1502"/>
        <w:gridCol w:w="1812"/>
        <w:gridCol w:w="1812"/>
        <w:gridCol w:w="1813"/>
      </w:tblGrid>
      <w:tr w:rsidR="00F72447" w14:paraId="01888163" w14:textId="77777777" w:rsidTr="00A4683A">
        <w:tc>
          <w:tcPr>
            <w:tcW w:w="2122" w:type="dxa"/>
          </w:tcPr>
          <w:p w14:paraId="1EF42FBD" w14:textId="77777777" w:rsidR="00F72447" w:rsidRDefault="00F72447" w:rsidP="00F72447">
            <w:pPr>
              <w:widowControl w:val="0"/>
              <w:autoSpaceDE w:val="0"/>
              <w:autoSpaceDN w:val="0"/>
              <w:adjustRightInd w:val="0"/>
              <w:rPr>
                <w:rFonts w:ascii="Times New Roman" w:eastAsia="Times New Roman" w:hAnsi="Times New Roman"/>
              </w:rPr>
            </w:pPr>
          </w:p>
        </w:tc>
        <w:tc>
          <w:tcPr>
            <w:tcW w:w="3314" w:type="dxa"/>
            <w:gridSpan w:val="2"/>
          </w:tcPr>
          <w:p w14:paraId="3A200DA6" w14:textId="7E25A95F" w:rsidR="00F72447" w:rsidRDefault="00F72447" w:rsidP="00F72447">
            <w:pPr>
              <w:widowControl w:val="0"/>
              <w:autoSpaceDE w:val="0"/>
              <w:autoSpaceDN w:val="0"/>
              <w:adjustRightInd w:val="0"/>
              <w:jc w:val="center"/>
              <w:rPr>
                <w:rFonts w:ascii="Times New Roman" w:eastAsia="Times New Roman" w:hAnsi="Times New Roman"/>
              </w:rPr>
            </w:pPr>
            <w:r w:rsidRPr="00F72447">
              <w:rPr>
                <w:rFonts w:ascii="Times New Roman" w:eastAsia="Times New Roman" w:hAnsi="Times New Roman"/>
                <w:b/>
              </w:rPr>
              <w:t>PKP (din. sek/cm</w:t>
            </w:r>
            <w:r w:rsidRPr="00F72447">
              <w:rPr>
                <w:rFonts w:ascii="Times New Roman" w:eastAsia="Times New Roman" w:hAnsi="Times New Roman"/>
                <w:b/>
                <w:vertAlign w:val="superscript"/>
              </w:rPr>
              <w:t>5</w:t>
            </w:r>
            <w:r w:rsidRPr="00F72447">
              <w:rPr>
                <w:rFonts w:ascii="Times New Roman" w:eastAsia="Times New Roman" w:hAnsi="Times New Roman"/>
                <w:b/>
              </w:rPr>
              <w:t>)</w:t>
            </w:r>
          </w:p>
        </w:tc>
        <w:tc>
          <w:tcPr>
            <w:tcW w:w="3625" w:type="dxa"/>
            <w:gridSpan w:val="2"/>
            <w:tcBorders>
              <w:top w:val="single" w:sz="4" w:space="0" w:color="000000"/>
              <w:left w:val="single" w:sz="4" w:space="0" w:color="000000"/>
              <w:bottom w:val="single" w:sz="4" w:space="0" w:color="000000"/>
              <w:right w:val="single" w:sz="4" w:space="0" w:color="000000"/>
            </w:tcBorders>
            <w:vAlign w:val="center"/>
          </w:tcPr>
          <w:p w14:paraId="0F5D18AE" w14:textId="103E591B"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b/>
              </w:rPr>
              <w:t>Per 6 min. nueitas atstumas (m)</w:t>
            </w:r>
          </w:p>
        </w:tc>
      </w:tr>
      <w:tr w:rsidR="00F72447" w14:paraId="0B178153" w14:textId="77777777" w:rsidTr="00A4683A">
        <w:tc>
          <w:tcPr>
            <w:tcW w:w="2122" w:type="dxa"/>
          </w:tcPr>
          <w:p w14:paraId="21FB4E15" w14:textId="77777777" w:rsidR="00F72447" w:rsidRDefault="00F72447" w:rsidP="00F72447">
            <w:pPr>
              <w:widowControl w:val="0"/>
              <w:autoSpaceDE w:val="0"/>
              <w:autoSpaceDN w:val="0"/>
              <w:adjustRightInd w:val="0"/>
              <w:rPr>
                <w:rFonts w:ascii="Times New Roman" w:eastAsia="Times New Roman" w:hAnsi="Times New Roman"/>
              </w:rPr>
            </w:pPr>
          </w:p>
        </w:tc>
        <w:tc>
          <w:tcPr>
            <w:tcW w:w="1502" w:type="dxa"/>
            <w:tcBorders>
              <w:top w:val="single" w:sz="4" w:space="0" w:color="000000"/>
              <w:left w:val="single" w:sz="4" w:space="0" w:color="000000"/>
              <w:bottom w:val="single" w:sz="4" w:space="0" w:color="000000"/>
              <w:right w:val="single" w:sz="4" w:space="0" w:color="000000"/>
            </w:tcBorders>
            <w:vAlign w:val="center"/>
          </w:tcPr>
          <w:p w14:paraId="6FC51189" w14:textId="77777777" w:rsidR="00B551CB" w:rsidRDefault="00F72447" w:rsidP="00B551CB">
            <w:pPr>
              <w:widowControl w:val="0"/>
              <w:autoSpaceDE w:val="0"/>
              <w:autoSpaceDN w:val="0"/>
              <w:adjustRightInd w:val="0"/>
              <w:jc w:val="center"/>
              <w:rPr>
                <w:rFonts w:ascii="Times New Roman" w:hAnsi="Times New Roman"/>
              </w:rPr>
            </w:pPr>
            <w:r w:rsidRPr="000A2DE8">
              <w:rPr>
                <w:rFonts w:ascii="Times New Roman" w:hAnsi="Times New Roman"/>
              </w:rPr>
              <w:t xml:space="preserve">Placebas </w:t>
            </w:r>
          </w:p>
          <w:p w14:paraId="40EF43EF" w14:textId="755F9ADD" w:rsidR="00F72447" w:rsidRDefault="00F72447" w:rsidP="00A4683A">
            <w:pPr>
              <w:widowControl w:val="0"/>
              <w:autoSpaceDE w:val="0"/>
              <w:autoSpaceDN w:val="0"/>
              <w:adjustRightInd w:val="0"/>
              <w:jc w:val="center"/>
              <w:rPr>
                <w:rFonts w:ascii="Times New Roman" w:eastAsia="Times New Roman" w:hAnsi="Times New Roman"/>
              </w:rPr>
            </w:pPr>
            <w:r w:rsidRPr="000A2DE8">
              <w:rPr>
                <w:rFonts w:ascii="Times New Roman" w:hAnsi="Times New Roman"/>
              </w:rPr>
              <w:t>(n = 88)</w:t>
            </w:r>
          </w:p>
        </w:tc>
        <w:tc>
          <w:tcPr>
            <w:tcW w:w="1812" w:type="dxa"/>
            <w:tcBorders>
              <w:top w:val="single" w:sz="4" w:space="0" w:color="000000"/>
              <w:left w:val="single" w:sz="4" w:space="0" w:color="000000"/>
              <w:bottom w:val="single" w:sz="4" w:space="0" w:color="000000"/>
              <w:right w:val="single" w:sz="4" w:space="0" w:color="000000"/>
            </w:tcBorders>
            <w:vAlign w:val="center"/>
          </w:tcPr>
          <w:p w14:paraId="56BBE933" w14:textId="77777777" w:rsidR="00B551CB" w:rsidRPr="00B551CB" w:rsidRDefault="00B551CB" w:rsidP="00B551CB">
            <w:pPr>
              <w:widowControl w:val="0"/>
              <w:autoSpaceDE w:val="0"/>
              <w:autoSpaceDN w:val="0"/>
              <w:adjustRightInd w:val="0"/>
              <w:jc w:val="center"/>
              <w:rPr>
                <w:rFonts w:ascii="Times New Roman" w:hAnsi="Times New Roman"/>
              </w:rPr>
            </w:pPr>
            <w:r w:rsidRPr="00B551CB">
              <w:rPr>
                <w:rFonts w:ascii="Times New Roman" w:hAnsi="Times New Roman"/>
              </w:rPr>
              <w:t>Bozentanas</w:t>
            </w:r>
          </w:p>
          <w:p w14:paraId="360E0C87" w14:textId="33CD5DC1" w:rsidR="00F72447" w:rsidRDefault="00B551CB" w:rsidP="00B551CB">
            <w:pPr>
              <w:widowControl w:val="0"/>
              <w:autoSpaceDE w:val="0"/>
              <w:autoSpaceDN w:val="0"/>
              <w:adjustRightInd w:val="0"/>
              <w:jc w:val="center"/>
              <w:rPr>
                <w:rFonts w:ascii="Times New Roman" w:eastAsia="Times New Roman" w:hAnsi="Times New Roman"/>
              </w:rPr>
            </w:pPr>
            <w:r w:rsidRPr="00B551CB">
              <w:rPr>
                <w:rFonts w:ascii="Times New Roman" w:hAnsi="Times New Roman"/>
              </w:rPr>
              <w:t>(n = 80)</w:t>
            </w:r>
          </w:p>
        </w:tc>
        <w:tc>
          <w:tcPr>
            <w:tcW w:w="1812" w:type="dxa"/>
            <w:tcBorders>
              <w:top w:val="single" w:sz="4" w:space="0" w:color="000000"/>
              <w:left w:val="single" w:sz="4" w:space="0" w:color="000000"/>
              <w:bottom w:val="single" w:sz="4" w:space="0" w:color="000000"/>
              <w:right w:val="single" w:sz="4" w:space="0" w:color="000000"/>
            </w:tcBorders>
            <w:vAlign w:val="center"/>
          </w:tcPr>
          <w:p w14:paraId="0E466812" w14:textId="77777777" w:rsidR="00B551CB" w:rsidRDefault="00F72447" w:rsidP="00F72447">
            <w:pPr>
              <w:widowControl w:val="0"/>
              <w:autoSpaceDE w:val="0"/>
              <w:autoSpaceDN w:val="0"/>
              <w:adjustRightInd w:val="0"/>
              <w:jc w:val="center"/>
              <w:rPr>
                <w:rFonts w:ascii="Times New Roman" w:hAnsi="Times New Roman"/>
              </w:rPr>
            </w:pPr>
            <w:r w:rsidRPr="000A2DE8">
              <w:rPr>
                <w:rFonts w:ascii="Times New Roman" w:hAnsi="Times New Roman"/>
              </w:rPr>
              <w:t xml:space="preserve">Placebas </w:t>
            </w:r>
          </w:p>
          <w:p w14:paraId="540375AD" w14:textId="5DE0A5D3"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rPr>
              <w:t>(n = 91)</w:t>
            </w:r>
          </w:p>
        </w:tc>
        <w:tc>
          <w:tcPr>
            <w:tcW w:w="1813" w:type="dxa"/>
            <w:tcBorders>
              <w:top w:val="single" w:sz="4" w:space="0" w:color="000000"/>
              <w:left w:val="single" w:sz="4" w:space="0" w:color="000000"/>
              <w:bottom w:val="single" w:sz="4" w:space="0" w:color="000000"/>
              <w:right w:val="single" w:sz="4" w:space="0" w:color="000000"/>
            </w:tcBorders>
            <w:vAlign w:val="center"/>
          </w:tcPr>
          <w:p w14:paraId="4B438220" w14:textId="77777777" w:rsidR="00B551CB" w:rsidRDefault="00F72447" w:rsidP="00F72447">
            <w:pPr>
              <w:widowControl w:val="0"/>
              <w:autoSpaceDE w:val="0"/>
              <w:autoSpaceDN w:val="0"/>
              <w:adjustRightInd w:val="0"/>
              <w:jc w:val="center"/>
              <w:rPr>
                <w:rFonts w:ascii="Times New Roman" w:hAnsi="Times New Roman"/>
                <w:spacing w:val="-1"/>
              </w:rPr>
            </w:pPr>
            <w:r w:rsidRPr="000A2DE8">
              <w:rPr>
                <w:rFonts w:ascii="Times New Roman" w:hAnsi="Times New Roman"/>
                <w:spacing w:val="-1"/>
              </w:rPr>
              <w:t xml:space="preserve">Bozentanas </w:t>
            </w:r>
          </w:p>
          <w:p w14:paraId="23C65780" w14:textId="3C2AA688"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spacing w:val="-1"/>
              </w:rPr>
              <w:t>(n</w:t>
            </w:r>
            <w:r w:rsidR="00B551CB">
              <w:rPr>
                <w:rFonts w:ascii="Times New Roman" w:hAnsi="Times New Roman"/>
                <w:spacing w:val="-1"/>
              </w:rPr>
              <w:t xml:space="preserve"> </w:t>
            </w:r>
            <w:r w:rsidRPr="000A2DE8">
              <w:rPr>
                <w:rFonts w:ascii="Times New Roman" w:hAnsi="Times New Roman"/>
                <w:spacing w:val="-1"/>
              </w:rPr>
              <w:t>=</w:t>
            </w:r>
            <w:r w:rsidR="00B551CB">
              <w:rPr>
                <w:rFonts w:ascii="Times New Roman" w:hAnsi="Times New Roman"/>
                <w:spacing w:val="-1"/>
              </w:rPr>
              <w:t xml:space="preserve"> </w:t>
            </w:r>
            <w:r w:rsidRPr="000A2DE8">
              <w:rPr>
                <w:rFonts w:ascii="Times New Roman" w:hAnsi="Times New Roman"/>
                <w:spacing w:val="-1"/>
              </w:rPr>
              <w:t>86)</w:t>
            </w:r>
          </w:p>
        </w:tc>
      </w:tr>
      <w:tr w:rsidR="00F72447" w14:paraId="31B2C7BB" w14:textId="77777777" w:rsidTr="00A4683A">
        <w:tc>
          <w:tcPr>
            <w:tcW w:w="2122" w:type="dxa"/>
            <w:tcBorders>
              <w:top w:val="single" w:sz="4" w:space="0" w:color="000000"/>
              <w:left w:val="single" w:sz="4" w:space="0" w:color="000000"/>
              <w:bottom w:val="single" w:sz="4" w:space="0" w:color="000000"/>
              <w:right w:val="single" w:sz="4" w:space="0" w:color="000000"/>
            </w:tcBorders>
          </w:tcPr>
          <w:p w14:paraId="5C0DC794" w14:textId="4A728D1A" w:rsidR="00F72447" w:rsidRDefault="00F72447" w:rsidP="00F72447">
            <w:pPr>
              <w:widowControl w:val="0"/>
              <w:autoSpaceDE w:val="0"/>
              <w:autoSpaceDN w:val="0"/>
              <w:adjustRightInd w:val="0"/>
              <w:rPr>
                <w:rFonts w:ascii="Times New Roman" w:eastAsia="Times New Roman" w:hAnsi="Times New Roman"/>
              </w:rPr>
            </w:pPr>
            <w:r w:rsidRPr="000A2DE8">
              <w:rPr>
                <w:rFonts w:ascii="Times New Roman" w:hAnsi="Times New Roman"/>
                <w:spacing w:val="-1"/>
              </w:rPr>
              <w:t>Pradinis rodiklis (PR); vidurkis (S</w:t>
            </w:r>
            <w:r w:rsidR="00B551CB">
              <w:rPr>
                <w:rFonts w:ascii="Times New Roman" w:hAnsi="Times New Roman"/>
                <w:spacing w:val="-1"/>
              </w:rPr>
              <w:t>N</w:t>
            </w:r>
            <w:r w:rsidRPr="000A2DE8">
              <w:rPr>
                <w:rFonts w:ascii="Times New Roman" w:hAnsi="Times New Roman"/>
                <w:spacing w:val="-1"/>
              </w:rPr>
              <w:t>)</w:t>
            </w:r>
          </w:p>
        </w:tc>
        <w:tc>
          <w:tcPr>
            <w:tcW w:w="1502" w:type="dxa"/>
            <w:tcBorders>
              <w:top w:val="single" w:sz="4" w:space="0" w:color="000000"/>
              <w:left w:val="single" w:sz="4" w:space="0" w:color="000000"/>
              <w:bottom w:val="single" w:sz="4" w:space="0" w:color="000000"/>
              <w:right w:val="single" w:sz="4" w:space="0" w:color="000000"/>
            </w:tcBorders>
            <w:vAlign w:val="center"/>
          </w:tcPr>
          <w:p w14:paraId="17AE6258" w14:textId="63813A55"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rPr>
              <w:t>802 (365)</w:t>
            </w:r>
          </w:p>
        </w:tc>
        <w:tc>
          <w:tcPr>
            <w:tcW w:w="1812" w:type="dxa"/>
            <w:tcBorders>
              <w:top w:val="single" w:sz="4" w:space="0" w:color="000000"/>
              <w:left w:val="single" w:sz="4" w:space="0" w:color="000000"/>
              <w:bottom w:val="single" w:sz="4" w:space="0" w:color="000000"/>
              <w:right w:val="single" w:sz="4" w:space="0" w:color="000000"/>
            </w:tcBorders>
            <w:vAlign w:val="center"/>
          </w:tcPr>
          <w:p w14:paraId="17FF7AD3" w14:textId="2814EB9B" w:rsidR="00F72447" w:rsidRDefault="00B551CB" w:rsidP="00F72447">
            <w:pPr>
              <w:widowControl w:val="0"/>
              <w:autoSpaceDE w:val="0"/>
              <w:autoSpaceDN w:val="0"/>
              <w:adjustRightInd w:val="0"/>
              <w:jc w:val="center"/>
              <w:rPr>
                <w:rFonts w:ascii="Times New Roman" w:eastAsia="Times New Roman" w:hAnsi="Times New Roman"/>
              </w:rPr>
            </w:pPr>
            <w:r w:rsidRPr="00B551CB">
              <w:rPr>
                <w:rFonts w:ascii="Times New Roman" w:hAnsi="Times New Roman"/>
              </w:rPr>
              <w:t>851 (535)</w:t>
            </w:r>
          </w:p>
        </w:tc>
        <w:tc>
          <w:tcPr>
            <w:tcW w:w="1812" w:type="dxa"/>
            <w:tcBorders>
              <w:top w:val="single" w:sz="4" w:space="0" w:color="000000"/>
              <w:left w:val="single" w:sz="4" w:space="0" w:color="000000"/>
              <w:bottom w:val="single" w:sz="4" w:space="0" w:color="000000"/>
              <w:right w:val="single" w:sz="4" w:space="0" w:color="000000"/>
            </w:tcBorders>
            <w:vAlign w:val="center"/>
          </w:tcPr>
          <w:p w14:paraId="3F17B49D" w14:textId="0E15ED58"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rPr>
              <w:t>431 (92)</w:t>
            </w:r>
          </w:p>
        </w:tc>
        <w:tc>
          <w:tcPr>
            <w:tcW w:w="1813" w:type="dxa"/>
            <w:tcBorders>
              <w:top w:val="single" w:sz="4" w:space="0" w:color="000000"/>
              <w:left w:val="single" w:sz="4" w:space="0" w:color="000000"/>
              <w:bottom w:val="single" w:sz="4" w:space="0" w:color="000000"/>
              <w:right w:val="single" w:sz="4" w:space="0" w:color="000000"/>
            </w:tcBorders>
            <w:vAlign w:val="center"/>
          </w:tcPr>
          <w:p w14:paraId="0B78BB36" w14:textId="4A0D2F2F"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rPr>
              <w:t>443 (83)</w:t>
            </w:r>
          </w:p>
        </w:tc>
      </w:tr>
      <w:tr w:rsidR="00F72447" w14:paraId="03E56CB9" w14:textId="77777777" w:rsidTr="00A4683A">
        <w:tc>
          <w:tcPr>
            <w:tcW w:w="2122" w:type="dxa"/>
            <w:tcBorders>
              <w:top w:val="single" w:sz="4" w:space="0" w:color="000000"/>
              <w:left w:val="single" w:sz="4" w:space="0" w:color="000000"/>
              <w:bottom w:val="single" w:sz="4" w:space="0" w:color="000000"/>
              <w:right w:val="single" w:sz="4" w:space="0" w:color="000000"/>
            </w:tcBorders>
          </w:tcPr>
          <w:p w14:paraId="0E6776A3" w14:textId="279C0B8B" w:rsidR="00F72447" w:rsidRDefault="00F72447" w:rsidP="00F72447">
            <w:pPr>
              <w:widowControl w:val="0"/>
              <w:autoSpaceDE w:val="0"/>
              <w:autoSpaceDN w:val="0"/>
              <w:adjustRightInd w:val="0"/>
              <w:rPr>
                <w:rFonts w:ascii="Times New Roman" w:eastAsia="Times New Roman" w:hAnsi="Times New Roman"/>
              </w:rPr>
            </w:pPr>
            <w:r w:rsidRPr="000A2DE8">
              <w:rPr>
                <w:rFonts w:ascii="Times New Roman" w:hAnsi="Times New Roman"/>
                <w:spacing w:val="-1"/>
              </w:rPr>
              <w:t>Skirtumas palyginti su PR; vidurkis (S</w:t>
            </w:r>
            <w:r w:rsidR="00B551CB">
              <w:rPr>
                <w:rFonts w:ascii="Times New Roman" w:hAnsi="Times New Roman"/>
                <w:spacing w:val="-1"/>
              </w:rPr>
              <w:t>N</w:t>
            </w:r>
            <w:r w:rsidRPr="000A2DE8">
              <w:rPr>
                <w:rFonts w:ascii="Times New Roman" w:hAnsi="Times New Roman"/>
                <w:spacing w:val="-1"/>
              </w:rPr>
              <w:t>)</w:t>
            </w:r>
          </w:p>
        </w:tc>
        <w:tc>
          <w:tcPr>
            <w:tcW w:w="1502" w:type="dxa"/>
            <w:tcBorders>
              <w:top w:val="single" w:sz="4" w:space="0" w:color="000000"/>
              <w:left w:val="single" w:sz="4" w:space="0" w:color="000000"/>
              <w:bottom w:val="single" w:sz="4" w:space="0" w:color="000000"/>
              <w:right w:val="single" w:sz="4" w:space="0" w:color="000000"/>
            </w:tcBorders>
            <w:vAlign w:val="center"/>
          </w:tcPr>
          <w:p w14:paraId="323F0AFB" w14:textId="1380ED26"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rPr>
              <w:t>128 (465)</w:t>
            </w:r>
          </w:p>
        </w:tc>
        <w:tc>
          <w:tcPr>
            <w:tcW w:w="1812" w:type="dxa"/>
            <w:tcBorders>
              <w:top w:val="single" w:sz="4" w:space="0" w:color="000000"/>
              <w:left w:val="single" w:sz="4" w:space="0" w:color="000000"/>
              <w:bottom w:val="single" w:sz="4" w:space="0" w:color="000000"/>
              <w:right w:val="single" w:sz="4" w:space="0" w:color="000000"/>
            </w:tcBorders>
            <w:vAlign w:val="center"/>
          </w:tcPr>
          <w:p w14:paraId="379508C4" w14:textId="47A10F8F" w:rsidR="00F72447" w:rsidRDefault="00B551CB" w:rsidP="00F72447">
            <w:pPr>
              <w:widowControl w:val="0"/>
              <w:autoSpaceDE w:val="0"/>
              <w:autoSpaceDN w:val="0"/>
              <w:adjustRightInd w:val="0"/>
              <w:jc w:val="center"/>
              <w:rPr>
                <w:rFonts w:ascii="Times New Roman" w:eastAsia="Times New Roman" w:hAnsi="Times New Roman"/>
              </w:rPr>
            </w:pPr>
            <w:r w:rsidRPr="00B551CB">
              <w:rPr>
                <w:rFonts w:ascii="Times New Roman" w:hAnsi="Times New Roman"/>
                <w:spacing w:val="1"/>
              </w:rPr>
              <w:t>–69 (475)</w:t>
            </w:r>
          </w:p>
        </w:tc>
        <w:tc>
          <w:tcPr>
            <w:tcW w:w="1812" w:type="dxa"/>
            <w:tcBorders>
              <w:top w:val="single" w:sz="4" w:space="0" w:color="000000"/>
              <w:left w:val="single" w:sz="4" w:space="0" w:color="000000"/>
              <w:bottom w:val="single" w:sz="4" w:space="0" w:color="000000"/>
              <w:right w:val="single" w:sz="4" w:space="0" w:color="000000"/>
            </w:tcBorders>
            <w:vAlign w:val="center"/>
          </w:tcPr>
          <w:p w14:paraId="6B7E08EA" w14:textId="7A3F092E"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spacing w:val="1"/>
              </w:rPr>
              <w:t>-8 (79)</w:t>
            </w:r>
          </w:p>
        </w:tc>
        <w:tc>
          <w:tcPr>
            <w:tcW w:w="1813" w:type="dxa"/>
            <w:tcBorders>
              <w:top w:val="single" w:sz="4" w:space="0" w:color="000000"/>
              <w:left w:val="single" w:sz="4" w:space="0" w:color="000000"/>
              <w:bottom w:val="single" w:sz="4" w:space="0" w:color="000000"/>
              <w:right w:val="single" w:sz="4" w:space="0" w:color="000000"/>
            </w:tcBorders>
            <w:vAlign w:val="center"/>
          </w:tcPr>
          <w:p w14:paraId="5D28DE4F" w14:textId="76D80087"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rPr>
              <w:t>11 (74)</w:t>
            </w:r>
          </w:p>
        </w:tc>
      </w:tr>
      <w:tr w:rsidR="00F72447" w14:paraId="4E52831E" w14:textId="77777777" w:rsidTr="00A4683A">
        <w:tc>
          <w:tcPr>
            <w:tcW w:w="2122" w:type="dxa"/>
            <w:tcBorders>
              <w:top w:val="single" w:sz="4" w:space="0" w:color="000000"/>
              <w:left w:val="single" w:sz="4" w:space="0" w:color="000000"/>
              <w:bottom w:val="single" w:sz="4" w:space="0" w:color="000000"/>
              <w:right w:val="single" w:sz="4" w:space="0" w:color="000000"/>
            </w:tcBorders>
          </w:tcPr>
          <w:p w14:paraId="0ED04954" w14:textId="4E55DD85" w:rsidR="00F72447" w:rsidRDefault="00F72447" w:rsidP="00F72447">
            <w:pPr>
              <w:widowControl w:val="0"/>
              <w:autoSpaceDE w:val="0"/>
              <w:autoSpaceDN w:val="0"/>
              <w:adjustRightInd w:val="0"/>
              <w:rPr>
                <w:rFonts w:ascii="Times New Roman" w:eastAsia="Times New Roman" w:hAnsi="Times New Roman"/>
              </w:rPr>
            </w:pPr>
            <w:r w:rsidRPr="000A2DE8">
              <w:rPr>
                <w:rFonts w:ascii="Times New Roman" w:hAnsi="Times New Roman"/>
                <w:spacing w:val="2"/>
              </w:rPr>
              <w:t>Gydymo poveikis</w:t>
            </w:r>
          </w:p>
        </w:tc>
        <w:tc>
          <w:tcPr>
            <w:tcW w:w="3314" w:type="dxa"/>
            <w:gridSpan w:val="2"/>
            <w:tcBorders>
              <w:top w:val="single" w:sz="4" w:space="0" w:color="000000"/>
              <w:left w:val="single" w:sz="4" w:space="0" w:color="000000"/>
              <w:bottom w:val="single" w:sz="4" w:space="0" w:color="000000"/>
              <w:right w:val="single" w:sz="4" w:space="0" w:color="000000"/>
            </w:tcBorders>
            <w:vAlign w:val="center"/>
          </w:tcPr>
          <w:p w14:paraId="154479D1" w14:textId="3453BC97"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spacing w:val="1"/>
                <w:w w:val="97"/>
              </w:rPr>
              <w:t>−22,6 %</w:t>
            </w:r>
          </w:p>
        </w:tc>
        <w:tc>
          <w:tcPr>
            <w:tcW w:w="3625" w:type="dxa"/>
            <w:gridSpan w:val="2"/>
            <w:tcBorders>
              <w:top w:val="single" w:sz="4" w:space="0" w:color="000000"/>
              <w:left w:val="single" w:sz="4" w:space="0" w:color="000000"/>
              <w:bottom w:val="single" w:sz="4" w:space="0" w:color="000000"/>
              <w:right w:val="single" w:sz="4" w:space="0" w:color="000000"/>
            </w:tcBorders>
            <w:vAlign w:val="center"/>
          </w:tcPr>
          <w:p w14:paraId="09B3B5CF" w14:textId="220040DB"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rPr>
              <w:t>19</w:t>
            </w:r>
          </w:p>
        </w:tc>
      </w:tr>
      <w:tr w:rsidR="00F72447" w14:paraId="5913092B" w14:textId="77777777" w:rsidTr="00A4683A">
        <w:tc>
          <w:tcPr>
            <w:tcW w:w="2122" w:type="dxa"/>
            <w:tcBorders>
              <w:top w:val="single" w:sz="4" w:space="0" w:color="000000"/>
              <w:left w:val="single" w:sz="4" w:space="0" w:color="000000"/>
              <w:bottom w:val="single" w:sz="4" w:space="0" w:color="000000"/>
              <w:right w:val="single" w:sz="4" w:space="0" w:color="000000"/>
            </w:tcBorders>
          </w:tcPr>
          <w:p w14:paraId="1CD84DC1" w14:textId="287398F5" w:rsidR="00F72447" w:rsidRDefault="00F72447" w:rsidP="00F72447">
            <w:pPr>
              <w:widowControl w:val="0"/>
              <w:autoSpaceDE w:val="0"/>
              <w:autoSpaceDN w:val="0"/>
              <w:adjustRightInd w:val="0"/>
              <w:rPr>
                <w:rFonts w:ascii="Times New Roman" w:eastAsia="Times New Roman" w:hAnsi="Times New Roman"/>
              </w:rPr>
            </w:pPr>
            <w:r w:rsidRPr="000A2DE8">
              <w:rPr>
                <w:rFonts w:ascii="Times New Roman" w:hAnsi="Times New Roman"/>
              </w:rPr>
              <w:t xml:space="preserve">95 % </w:t>
            </w:r>
            <w:r w:rsidR="00B551CB">
              <w:rPr>
                <w:rFonts w:ascii="Times New Roman" w:hAnsi="Times New Roman"/>
              </w:rPr>
              <w:t>PR</w:t>
            </w:r>
          </w:p>
        </w:tc>
        <w:tc>
          <w:tcPr>
            <w:tcW w:w="3314" w:type="dxa"/>
            <w:gridSpan w:val="2"/>
            <w:tcBorders>
              <w:top w:val="single" w:sz="4" w:space="0" w:color="000000"/>
              <w:left w:val="single" w:sz="4" w:space="0" w:color="000000"/>
              <w:bottom w:val="single" w:sz="4" w:space="0" w:color="000000"/>
              <w:right w:val="single" w:sz="4" w:space="0" w:color="000000"/>
            </w:tcBorders>
            <w:vAlign w:val="center"/>
          </w:tcPr>
          <w:p w14:paraId="7247367B" w14:textId="0B76C3DA"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spacing w:val="1"/>
              </w:rPr>
              <w:t>-34, -10</w:t>
            </w:r>
          </w:p>
        </w:tc>
        <w:tc>
          <w:tcPr>
            <w:tcW w:w="3625" w:type="dxa"/>
            <w:gridSpan w:val="2"/>
            <w:tcBorders>
              <w:top w:val="single" w:sz="4" w:space="0" w:color="000000"/>
              <w:left w:val="single" w:sz="4" w:space="0" w:color="000000"/>
              <w:bottom w:val="single" w:sz="4" w:space="0" w:color="000000"/>
              <w:right w:val="single" w:sz="4" w:space="0" w:color="000000"/>
            </w:tcBorders>
            <w:vAlign w:val="center"/>
          </w:tcPr>
          <w:p w14:paraId="32E6BDFB" w14:textId="7EC4DE22"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spacing w:val="1"/>
              </w:rPr>
              <w:t>-4, 42</w:t>
            </w:r>
          </w:p>
        </w:tc>
      </w:tr>
      <w:tr w:rsidR="00F72447" w14:paraId="6A5DFAA6" w14:textId="77777777" w:rsidTr="00A4683A">
        <w:tc>
          <w:tcPr>
            <w:tcW w:w="2122" w:type="dxa"/>
            <w:tcBorders>
              <w:top w:val="single" w:sz="4" w:space="0" w:color="000000"/>
              <w:left w:val="single" w:sz="4" w:space="0" w:color="000000"/>
              <w:bottom w:val="single" w:sz="4" w:space="0" w:color="000000"/>
              <w:right w:val="single" w:sz="4" w:space="0" w:color="000000"/>
            </w:tcBorders>
          </w:tcPr>
          <w:p w14:paraId="0C0852B7" w14:textId="1E1947DE" w:rsidR="00F72447" w:rsidRDefault="00F72447" w:rsidP="00F72447">
            <w:pPr>
              <w:widowControl w:val="0"/>
              <w:autoSpaceDE w:val="0"/>
              <w:autoSpaceDN w:val="0"/>
              <w:adjustRightInd w:val="0"/>
              <w:rPr>
                <w:rFonts w:ascii="Times New Roman" w:eastAsia="Times New Roman" w:hAnsi="Times New Roman"/>
              </w:rPr>
            </w:pPr>
            <w:r w:rsidRPr="000A2DE8">
              <w:rPr>
                <w:rFonts w:ascii="Times New Roman" w:hAnsi="Times New Roman"/>
              </w:rPr>
              <w:t>P vertė</w:t>
            </w:r>
          </w:p>
        </w:tc>
        <w:tc>
          <w:tcPr>
            <w:tcW w:w="3314" w:type="dxa"/>
            <w:gridSpan w:val="2"/>
            <w:tcBorders>
              <w:top w:val="single" w:sz="4" w:space="0" w:color="000000"/>
              <w:left w:val="single" w:sz="4" w:space="0" w:color="000000"/>
              <w:bottom w:val="single" w:sz="4" w:space="0" w:color="000000"/>
              <w:right w:val="single" w:sz="4" w:space="0" w:color="000000"/>
            </w:tcBorders>
            <w:vAlign w:val="center"/>
          </w:tcPr>
          <w:p w14:paraId="31297C6C" w14:textId="66443140"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rPr>
              <w:t>&lt;0,0001</w:t>
            </w:r>
          </w:p>
        </w:tc>
        <w:tc>
          <w:tcPr>
            <w:tcW w:w="3625" w:type="dxa"/>
            <w:gridSpan w:val="2"/>
            <w:tcBorders>
              <w:top w:val="single" w:sz="4" w:space="0" w:color="000000"/>
              <w:left w:val="single" w:sz="4" w:space="0" w:color="000000"/>
              <w:bottom w:val="single" w:sz="4" w:space="0" w:color="000000"/>
              <w:right w:val="single" w:sz="4" w:space="0" w:color="000000"/>
            </w:tcBorders>
            <w:vAlign w:val="center"/>
          </w:tcPr>
          <w:p w14:paraId="7DA97E44" w14:textId="618AB09E" w:rsidR="00F72447" w:rsidRDefault="00F72447" w:rsidP="00F72447">
            <w:pPr>
              <w:widowControl w:val="0"/>
              <w:autoSpaceDE w:val="0"/>
              <w:autoSpaceDN w:val="0"/>
              <w:adjustRightInd w:val="0"/>
              <w:jc w:val="center"/>
              <w:rPr>
                <w:rFonts w:ascii="Times New Roman" w:eastAsia="Times New Roman" w:hAnsi="Times New Roman"/>
              </w:rPr>
            </w:pPr>
            <w:r w:rsidRPr="000A2DE8">
              <w:rPr>
                <w:rFonts w:ascii="Times New Roman" w:hAnsi="Times New Roman"/>
              </w:rPr>
              <w:t>0,0758</w:t>
            </w:r>
          </w:p>
        </w:tc>
      </w:tr>
    </w:tbl>
    <w:p w14:paraId="46AAA620" w14:textId="05092A9D" w:rsidR="00CD51A4" w:rsidRPr="00B551CB" w:rsidRDefault="00E82663" w:rsidP="00CD51A4">
      <w:pPr>
        <w:widowControl w:val="0"/>
        <w:autoSpaceDE w:val="0"/>
        <w:autoSpaceDN w:val="0"/>
        <w:adjustRightInd w:val="0"/>
        <w:spacing w:after="0" w:line="240" w:lineRule="auto"/>
        <w:rPr>
          <w:rFonts w:ascii="Times New Roman" w:eastAsia="Times New Roman" w:hAnsi="Times New Roman"/>
        </w:rPr>
      </w:pPr>
      <w:r w:rsidRPr="00E82663">
        <w:rPr>
          <w:rFonts w:ascii="Times New Roman" w:hAnsi="Times New Roman"/>
          <w:spacing w:val="3"/>
        </w:rPr>
        <w:t>P</w:t>
      </w:r>
      <w:r w:rsidR="008E45C3">
        <w:rPr>
          <w:rFonts w:ascii="Times New Roman" w:hAnsi="Times New Roman"/>
          <w:spacing w:val="3"/>
        </w:rPr>
        <w:t>R</w:t>
      </w:r>
      <w:r w:rsidRPr="00E82663">
        <w:rPr>
          <w:rFonts w:ascii="Times New Roman" w:hAnsi="Times New Roman"/>
          <w:spacing w:val="3"/>
        </w:rPr>
        <w:t xml:space="preserve"> = pasikliautinumo ribos;</w:t>
      </w:r>
      <w:r>
        <w:rPr>
          <w:rFonts w:ascii="Times New Roman" w:hAnsi="Times New Roman"/>
          <w:spacing w:val="3"/>
        </w:rPr>
        <w:t xml:space="preserve"> </w:t>
      </w:r>
      <w:r w:rsidR="00CD51A4" w:rsidRPr="000A2DE8">
        <w:rPr>
          <w:rFonts w:ascii="Times New Roman" w:hAnsi="Times New Roman"/>
          <w:spacing w:val="3"/>
        </w:rPr>
        <w:t>PKP = plaučių kraujagyslių pasipriešinimas</w:t>
      </w:r>
      <w:r w:rsidRPr="008E45C3">
        <w:rPr>
          <w:rFonts w:ascii="Times New Roman" w:hAnsi="Times New Roman"/>
          <w:spacing w:val="3"/>
        </w:rPr>
        <w:t xml:space="preserve">; </w:t>
      </w:r>
      <w:r w:rsidRPr="00B551CB">
        <w:rPr>
          <w:rFonts w:ascii="Times New Roman" w:eastAsiaTheme="minorHAnsi" w:hAnsi="Times New Roman"/>
          <w:lang w:val="en-US" w:eastAsia="en-US" w:bidi="ar-SA"/>
        </w:rPr>
        <w:t>S</w:t>
      </w:r>
      <w:r w:rsidR="00B551CB">
        <w:rPr>
          <w:rFonts w:ascii="Times New Roman" w:eastAsiaTheme="minorHAnsi" w:hAnsi="Times New Roman"/>
          <w:lang w:val="en-US" w:eastAsia="en-US" w:bidi="ar-SA"/>
        </w:rPr>
        <w:t>N</w:t>
      </w:r>
      <w:r w:rsidRPr="00B551CB">
        <w:rPr>
          <w:rFonts w:ascii="Times New Roman" w:eastAsiaTheme="minorHAnsi" w:hAnsi="Times New Roman"/>
          <w:lang w:val="en-US" w:eastAsia="en-US" w:bidi="ar-SA"/>
        </w:rPr>
        <w:t xml:space="preserve"> = </w:t>
      </w:r>
      <w:r w:rsidRPr="00A4683A">
        <w:rPr>
          <w:rFonts w:ascii="Times New Roman" w:eastAsiaTheme="minorHAnsi" w:hAnsi="Times New Roman"/>
          <w:lang w:eastAsia="en-US" w:bidi="ar-SA"/>
        </w:rPr>
        <w:t>standartinis nuokrypis.</w:t>
      </w:r>
    </w:p>
    <w:p w14:paraId="1BB3EB86" w14:textId="77777777" w:rsidR="00CD51A4" w:rsidRPr="00B551CB" w:rsidRDefault="00CD51A4" w:rsidP="00CD51A4">
      <w:pPr>
        <w:widowControl w:val="0"/>
        <w:autoSpaceDE w:val="0"/>
        <w:autoSpaceDN w:val="0"/>
        <w:adjustRightInd w:val="0"/>
        <w:spacing w:after="0" w:line="240" w:lineRule="auto"/>
        <w:rPr>
          <w:rFonts w:ascii="Times New Roman" w:eastAsia="Times New Roman" w:hAnsi="Times New Roman"/>
        </w:rPr>
      </w:pPr>
    </w:p>
    <w:p w14:paraId="605F3B9C" w14:textId="64A79733"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Atsižvelgiant į ligos simptomų progresavimą, guldymą į ligoninę dėl </w:t>
      </w:r>
      <w:r w:rsidR="009D384A" w:rsidRPr="000A2DE8">
        <w:rPr>
          <w:rFonts w:ascii="Times New Roman" w:hAnsi="Times New Roman"/>
          <w:spacing w:val="2"/>
        </w:rPr>
        <w:t>PH</w:t>
      </w:r>
      <w:r w:rsidRPr="000A2DE8">
        <w:rPr>
          <w:rFonts w:ascii="Times New Roman" w:hAnsi="Times New Roman"/>
          <w:spacing w:val="2"/>
        </w:rPr>
        <w:t xml:space="preserve"> ir mirtį, gydymas bozentanu, palyginti su gydymu placebu, buvo susijęs su klinikinės būklės sunkėjimo dažnio sumažėjimu (proporcinis rizikos sumažėjimas buvo 77 %, 95 % </w:t>
      </w:r>
      <w:r w:rsidR="00B551CB">
        <w:rPr>
          <w:rFonts w:ascii="Times New Roman" w:hAnsi="Times New Roman"/>
          <w:spacing w:val="2"/>
        </w:rPr>
        <w:t>pasikliautinasis intervalas [</w:t>
      </w:r>
      <w:r w:rsidRPr="000A2DE8">
        <w:rPr>
          <w:rFonts w:ascii="Times New Roman" w:hAnsi="Times New Roman"/>
          <w:spacing w:val="2"/>
        </w:rPr>
        <w:t>PI</w:t>
      </w:r>
      <w:r w:rsidR="00B551CB">
        <w:rPr>
          <w:rFonts w:ascii="Times New Roman" w:hAnsi="Times New Roman"/>
          <w:spacing w:val="2"/>
        </w:rPr>
        <w:t>]</w:t>
      </w:r>
      <w:r w:rsidRPr="000A2DE8">
        <w:rPr>
          <w:rFonts w:ascii="Times New Roman" w:hAnsi="Times New Roman"/>
          <w:spacing w:val="2"/>
        </w:rPr>
        <w:t xml:space="preserve"> = </w:t>
      </w:r>
      <w:r w:rsidR="00581226" w:rsidRPr="000A2DE8">
        <w:rPr>
          <w:rFonts w:ascii="Times New Roman" w:hAnsi="Times New Roman"/>
          <w:spacing w:val="2"/>
        </w:rPr>
        <w:t>20</w:t>
      </w:r>
      <w:r w:rsidRPr="000A2DE8">
        <w:rPr>
          <w:rFonts w:ascii="Times New Roman" w:hAnsi="Times New Roman"/>
          <w:spacing w:val="2"/>
        </w:rPr>
        <w:t>–9</w:t>
      </w:r>
      <w:r w:rsidR="00581226">
        <w:rPr>
          <w:rFonts w:ascii="Times New Roman" w:hAnsi="Times New Roman"/>
          <w:spacing w:val="2"/>
        </w:rPr>
        <w:t>4</w:t>
      </w:r>
      <w:r w:rsidRPr="000A2DE8">
        <w:rPr>
          <w:rFonts w:ascii="Times New Roman" w:hAnsi="Times New Roman"/>
          <w:spacing w:val="2"/>
        </w:rPr>
        <w:t xml:space="preserve"> %, p = 0,0014). Gydomąjį poveikį lėmė ligos simptomų progresavimo pagerėjimas. Dėl </w:t>
      </w:r>
      <w:r w:rsidR="009D384A" w:rsidRPr="000A2DE8">
        <w:rPr>
          <w:rFonts w:ascii="Times New Roman" w:hAnsi="Times New Roman"/>
          <w:spacing w:val="2"/>
        </w:rPr>
        <w:t>PH</w:t>
      </w:r>
      <w:r w:rsidRPr="000A2DE8">
        <w:rPr>
          <w:rFonts w:ascii="Times New Roman" w:hAnsi="Times New Roman"/>
          <w:spacing w:val="2"/>
        </w:rPr>
        <w:t xml:space="preserve"> pasunkėjimo reikėjo guldyti į stacionarą vieną pacientą iš bozentanu gydomų grupės ir tris pacientus iš placebu gydomos grupės. Kiekvienoje grupėje per 6 mėnesių dvigubai aklu būdu atliekamo tyrimo laikotarpį mirė po vieną pacientą, todėl neįmanoma padaryti išvadų dėl išgyvenamumo.</w:t>
      </w:r>
    </w:p>
    <w:p w14:paraId="407EB7E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861BF6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 xml:space="preserve">Ilgalaikiai duomenys gauti iš visų 173 pacientų, kurie buvo gydomi bozentanu kontroliuojamos fazės metu ir (arba) gydymas placebu jiems buvo pakeistas gydymu bozentanu EARLY tyrimo atvirosios tęstinės fazės metu. Vidutinė gydymo bozentanu trukmė buvo 3,6 ± 1,8 metų (ne ilgiau nei 6,1 metų); 73 % pacientų buvo gydyti ne trumpiau nei 3 metus, o 62 % ne trumpiau nei 4 metus. Prireikus atvirosios tęstinės fazės metu pacientams buvo galima skirti papildomą </w:t>
      </w:r>
      <w:r w:rsidR="009D384A" w:rsidRPr="000A2DE8">
        <w:rPr>
          <w:rFonts w:ascii="Times New Roman" w:hAnsi="Times New Roman"/>
        </w:rPr>
        <w:t>PH</w:t>
      </w:r>
      <w:r w:rsidRPr="000A2DE8">
        <w:rPr>
          <w:rFonts w:ascii="Times New Roman" w:hAnsi="Times New Roman"/>
        </w:rPr>
        <w:t xml:space="preserve"> gydymą. Daugeliui pacientų buvo diagnozuota idiopatinė arba paveldėta </w:t>
      </w:r>
      <w:r w:rsidR="002746A3" w:rsidRPr="000A2DE8">
        <w:rPr>
          <w:rFonts w:ascii="Times New Roman" w:hAnsi="Times New Roman"/>
        </w:rPr>
        <w:t>PH</w:t>
      </w:r>
      <w:r w:rsidRPr="000A2DE8">
        <w:rPr>
          <w:rFonts w:ascii="Times New Roman" w:hAnsi="Times New Roman"/>
        </w:rPr>
        <w:t xml:space="preserve"> (61 %). Iš viso 78 % pacientų liga ir toliau buvo priskiriama II funkcinei klasei pagal PSO klasifikaciją. Šioje bendroje populiacijoje gyvenimo trukmė po 3 ir 4 metų gydymo, apskaičiuota </w:t>
      </w:r>
      <w:r w:rsidRPr="000A2DE8">
        <w:rPr>
          <w:rFonts w:ascii="Times New Roman" w:hAnsi="Times New Roman"/>
          <w:i/>
        </w:rPr>
        <w:t>Kaplan-Meier</w:t>
      </w:r>
      <w:r w:rsidRPr="000A2DE8">
        <w:rPr>
          <w:rFonts w:ascii="Times New Roman" w:hAnsi="Times New Roman"/>
        </w:rPr>
        <w:t xml:space="preserve"> metodu, po gydymo bozentanu buvo atitinkamai 90 % ir 85 %. Tais pačiais laiko momentais 88 % ir 79 % pacientų </w:t>
      </w:r>
      <w:r w:rsidR="009D384A" w:rsidRPr="000A2DE8">
        <w:rPr>
          <w:rFonts w:ascii="Times New Roman" w:hAnsi="Times New Roman"/>
        </w:rPr>
        <w:t>PH</w:t>
      </w:r>
      <w:r w:rsidRPr="000A2DE8">
        <w:rPr>
          <w:rFonts w:ascii="Times New Roman" w:hAnsi="Times New Roman"/>
        </w:rPr>
        <w:t xml:space="preserve"> nepablogėjo (tai nustatyta pagal mirtis dėl visų priežasčių, plaučių transplantaciją, prieširdžių septostomiją bei į veną arba po oda leidžiamų prostanoidų gydymo pradžią). Ankstesnio gydymo placebu dvigubai koduotoje </w:t>
      </w:r>
      <w:r w:rsidRPr="000A2DE8">
        <w:rPr>
          <w:rFonts w:ascii="Times New Roman" w:hAnsi="Times New Roman"/>
        </w:rPr>
        <w:lastRenderedPageBreak/>
        <w:t>fazėje arba gydymo kitais vaistais pradėjimo atviruoju tęstiniu periodu santykinis poveikis nežinomas.</w:t>
      </w:r>
    </w:p>
    <w:p w14:paraId="38F9C6B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14A0A1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Atliekant perspektyvinį daugiacentrį randomizuotą dvigubai aklą placebu kontroliuojamą klinikinį tyrimą (AC-052-405 (BREATHE-5)), III PSO funkcinės klasės ir </w:t>
      </w:r>
      <w:r w:rsidRPr="000A2DE8">
        <w:rPr>
          <w:rFonts w:ascii="Times New Roman" w:hAnsi="Times New Roman"/>
          <w:i/>
          <w:spacing w:val="-4"/>
        </w:rPr>
        <w:t>Eisenmenger</w:t>
      </w:r>
      <w:r w:rsidRPr="000A2DE8">
        <w:rPr>
          <w:rFonts w:ascii="Times New Roman" w:hAnsi="Times New Roman"/>
          <w:spacing w:val="-4"/>
        </w:rPr>
        <w:t xml:space="preserve"> fiziologijos pacientai, sergantys </w:t>
      </w:r>
      <w:r w:rsidR="009D384A" w:rsidRPr="000A2DE8">
        <w:rPr>
          <w:rFonts w:ascii="Times New Roman" w:hAnsi="Times New Roman"/>
          <w:spacing w:val="-4"/>
        </w:rPr>
        <w:t>PH</w:t>
      </w:r>
      <w:r w:rsidRPr="000A2DE8">
        <w:rPr>
          <w:rFonts w:ascii="Times New Roman" w:hAnsi="Times New Roman"/>
          <w:spacing w:val="-4"/>
        </w:rPr>
        <w:t xml:space="preserve">, susijusia su įgimta širdies liga, 4 savaites vartojo bozentaną 62,5 mg du kartus per parą, po to kitas 12 savaičių 125 mg du kartus per parą (n = 37; 31 iš jų turėjo dvikryptį šuntą, dažniausiai iš dešinės į kairę). Pirminis tikslas buvo parodyti, kad bozentanas nepadidina hipoksemijos. Po 16 savaičių vartojant Bosentan Accord vidutinis įsotinimas deguonimi padidėjo 1,0 % (95 % PI –0,7 %–2,8 %), palyginti su placebu (n = 17); tokiu būdu nustatyta, kad bozentanas nepadidina hipoksemijos. Bozentano grupėje žymiai sumažėjo plaučių kraujagyslių pasipriešinimas (ryškiausiai poveikis buvo stebimas pacientų su dvikrypčiu intrakardiniu šuntu pogrupyje). Po 16 savaičių gydymas koreguotas atsižvelgiant į placebą per 6 minutes nueitas atstumas padidėjo 53 metrais (p = 0,0079), tai rodo fizinio pajėgumo pagerėjimą. Dvidešimt šeši pacientai toliau vartojo bozentano 24 savaičių BREATHE-5 tyrimo atvirojoje tęstinėje fazėje (AC-052-409) (vidutinė gydymo trukmė = 24,4 ± 2,0 savaičių) ir, iš esmės, veiksmingumas išliko. </w:t>
      </w:r>
    </w:p>
    <w:p w14:paraId="7071EE7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DD7455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16 pacientų, sergančių </w:t>
      </w:r>
      <w:r w:rsidR="009D384A" w:rsidRPr="000A2DE8">
        <w:rPr>
          <w:rFonts w:ascii="Times New Roman" w:hAnsi="Times New Roman"/>
          <w:spacing w:val="-1"/>
        </w:rPr>
        <w:t>PH</w:t>
      </w:r>
      <w:r w:rsidRPr="000A2DE8">
        <w:rPr>
          <w:rFonts w:ascii="Times New Roman" w:hAnsi="Times New Roman"/>
          <w:spacing w:val="-1"/>
        </w:rPr>
        <w:t>, kurių PSO III funkcinė klasė susijusi su ŽIV infekcija, buvo įtraukti į atvirą nepalyginamąjį tyrimą (AC-052-362 (BREATHE-4)). Jo metu pacientai buvo gydomi 62,5 mg bozentano du kartus per parą 4 savaites, po to kitas 12 savaičių 125 mg du kartus per parą. Po 16 savaičių, palyginti su pradiniu lygiu, žymiai pagerėjo fizinis pajėgumas: vidutinis pagerėjimas 6 minučių ėjimo tyrime buvo 91,4 metro pailgėjęs atstumas nuo vidutinių 332,6 metrų tyrimo pradžioje (p &lt; 0,001). Negalima pateikti oficialių išvadų dėl bozentano poveikio priešretrovirusinių vaistų veiksmingumui (žr. 4.4 skyrių).</w:t>
      </w:r>
    </w:p>
    <w:p w14:paraId="268B23D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2EAF321" w14:textId="77777777" w:rsidR="00CD51A4" w:rsidRPr="000A2DE8" w:rsidRDefault="00CD51A4" w:rsidP="00CD51A4">
      <w:pPr>
        <w:widowControl w:val="0"/>
        <w:tabs>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Nėra tyrimų, įrodančių gydymo bozentanu teigiamą poveikį gyvenimo trukmei. Tačiau visiems 235 pacientams, kurie buvo gydyti bozentanu dviejose pagrindinėse placebu kontroliuotose tyrimuose (AC-052-351 ir AC-052-352) ir (ar) jų dviejuose nekontroliuotuose, atviruose tęsiniuose, ilgą laiką buvo registruojami gyvybiniai parametrai. Vidutinė gydymo bozentanu trukmė buvo 1,9 ± 0,7 metai (min.: 0,1 metų, maks.: 3,3 metai) ir pacientai vidutiniškai buvo stebimi 2,0 ± 0,6 metus. Daugumai pacientų buvo diagnozuota pirminė plautinė hipertenzija (72 %) ir dauguma jų buvo priskirti III PSO funkcinei klasei (84 %). Šioje bendroje populiacijoje gyvenimo trukmė po 1 ir 2 metų gydymo, apskaičiuota </w:t>
      </w:r>
      <w:r w:rsidRPr="000A2DE8">
        <w:rPr>
          <w:rFonts w:ascii="Times New Roman" w:hAnsi="Times New Roman"/>
          <w:i/>
          <w:spacing w:val="2"/>
        </w:rPr>
        <w:t>Kaplan-Meier</w:t>
      </w:r>
      <w:r w:rsidRPr="000A2DE8">
        <w:rPr>
          <w:rFonts w:ascii="Times New Roman" w:hAnsi="Times New Roman"/>
          <w:spacing w:val="2"/>
        </w:rPr>
        <w:t xml:space="preserve"> metodu, po gydymo bozentanu buvo atitinkamai 93 % ir 84 %. Gyvenimo trukmė buvo trumpesnė tų pacientų, kurie sirgo </w:t>
      </w:r>
      <w:r w:rsidR="009D384A" w:rsidRPr="000A2DE8">
        <w:rPr>
          <w:rFonts w:ascii="Times New Roman" w:hAnsi="Times New Roman"/>
          <w:spacing w:val="2"/>
        </w:rPr>
        <w:t>PH</w:t>
      </w:r>
      <w:r w:rsidRPr="000A2DE8">
        <w:rPr>
          <w:rFonts w:ascii="Times New Roman" w:hAnsi="Times New Roman"/>
          <w:spacing w:val="2"/>
        </w:rPr>
        <w:t>, išsivysčiusia dėl sisteminės sklerozės. Šie rezultatai galėjo būti paveikti pradėto gydymo su epoprostenoliu 43 iš 235 pacientų.</w:t>
      </w:r>
    </w:p>
    <w:p w14:paraId="4A7E14C6" w14:textId="77777777" w:rsidR="00CD51A4" w:rsidRPr="000A2DE8" w:rsidRDefault="00CD51A4" w:rsidP="00CD51A4">
      <w:pPr>
        <w:widowControl w:val="0"/>
        <w:tabs>
          <w:tab w:val="left" w:pos="1620"/>
          <w:tab w:val="left" w:pos="9270"/>
        </w:tabs>
        <w:autoSpaceDE w:val="0"/>
        <w:autoSpaceDN w:val="0"/>
        <w:adjustRightInd w:val="0"/>
        <w:spacing w:after="0" w:line="240" w:lineRule="auto"/>
        <w:rPr>
          <w:rFonts w:ascii="Times New Roman" w:eastAsia="Times New Roman" w:hAnsi="Times New Roman"/>
        </w:rPr>
      </w:pPr>
    </w:p>
    <w:p w14:paraId="54C96ADC" w14:textId="17F6F0DB" w:rsidR="00581226" w:rsidRPr="00A4683A" w:rsidRDefault="00CD51A4" w:rsidP="00CD51A4">
      <w:pPr>
        <w:widowControl w:val="0"/>
        <w:tabs>
          <w:tab w:val="left" w:pos="9270"/>
        </w:tabs>
        <w:autoSpaceDE w:val="0"/>
        <w:autoSpaceDN w:val="0"/>
        <w:adjustRightInd w:val="0"/>
        <w:spacing w:after="0" w:line="240" w:lineRule="auto"/>
        <w:rPr>
          <w:rFonts w:ascii="Times New Roman" w:eastAsia="Times New Roman" w:hAnsi="Times New Roman"/>
          <w:i/>
        </w:rPr>
      </w:pPr>
      <w:r w:rsidRPr="00A4683A">
        <w:rPr>
          <w:rFonts w:ascii="Times New Roman" w:hAnsi="Times New Roman"/>
          <w:i/>
        </w:rPr>
        <w:t>Tyrimai, atlikti su vaikais, sergančiais plautine hipertenzija</w:t>
      </w:r>
    </w:p>
    <w:p w14:paraId="4A0A9A7C" w14:textId="77777777" w:rsidR="00CD51A4" w:rsidRPr="000A2DE8" w:rsidRDefault="00CD51A4" w:rsidP="00CD51A4">
      <w:pPr>
        <w:widowControl w:val="0"/>
        <w:tabs>
          <w:tab w:val="left" w:pos="9270"/>
        </w:tabs>
        <w:autoSpaceDE w:val="0"/>
        <w:autoSpaceDN w:val="0"/>
        <w:adjustRightInd w:val="0"/>
        <w:spacing w:before="6" w:after="0" w:line="240" w:lineRule="auto"/>
        <w:ind w:right="30"/>
        <w:rPr>
          <w:rFonts w:ascii="Times New Roman" w:hAnsi="Times New Roman"/>
        </w:rPr>
      </w:pPr>
      <w:r w:rsidRPr="000A2DE8">
        <w:rPr>
          <w:rFonts w:ascii="Times New Roman" w:hAnsi="Times New Roman"/>
          <w:spacing w:val="-1"/>
        </w:rPr>
        <w:t>BR</w:t>
      </w:r>
      <w:r w:rsidRPr="000A2DE8">
        <w:rPr>
          <w:rFonts w:ascii="Times New Roman" w:hAnsi="Times New Roman"/>
        </w:rPr>
        <w:t>E</w:t>
      </w:r>
      <w:r w:rsidRPr="000A2DE8">
        <w:rPr>
          <w:rFonts w:ascii="Times New Roman" w:hAnsi="Times New Roman"/>
          <w:spacing w:val="-1"/>
        </w:rPr>
        <w:t>A</w:t>
      </w:r>
      <w:r w:rsidRPr="000A2DE8">
        <w:rPr>
          <w:rFonts w:ascii="Times New Roman" w:hAnsi="Times New Roman"/>
          <w:spacing w:val="2"/>
        </w:rPr>
        <w:t>T</w:t>
      </w:r>
      <w:r w:rsidRPr="000A2DE8">
        <w:rPr>
          <w:rFonts w:ascii="Times New Roman" w:hAnsi="Times New Roman"/>
          <w:spacing w:val="-1"/>
        </w:rPr>
        <w:t>H</w:t>
      </w:r>
      <w:r w:rsidRPr="000A2DE8">
        <w:rPr>
          <w:rFonts w:ascii="Times New Roman" w:hAnsi="Times New Roman"/>
        </w:rPr>
        <w:t>E</w:t>
      </w:r>
      <w:r w:rsidRPr="000A2DE8">
        <w:rPr>
          <w:rFonts w:ascii="Times New Roman" w:hAnsi="Times New Roman"/>
          <w:spacing w:val="-4"/>
        </w:rPr>
        <w:t>-</w:t>
      </w:r>
      <w:r w:rsidRPr="000A2DE8">
        <w:rPr>
          <w:rFonts w:ascii="Times New Roman" w:hAnsi="Times New Roman"/>
        </w:rPr>
        <w:t>3 (AC-052-356)</w:t>
      </w:r>
    </w:p>
    <w:p w14:paraId="13D55F04" w14:textId="0C60776B" w:rsidR="00CD51A4" w:rsidRPr="000A2DE8" w:rsidRDefault="002746A3" w:rsidP="00A26D2B">
      <w:pPr>
        <w:widowControl w:val="0"/>
        <w:tabs>
          <w:tab w:val="left" w:pos="9270"/>
        </w:tabs>
        <w:autoSpaceDE w:val="0"/>
        <w:autoSpaceDN w:val="0"/>
        <w:adjustRightInd w:val="0"/>
        <w:spacing w:before="6" w:after="0" w:line="240" w:lineRule="auto"/>
        <w:ind w:right="30"/>
        <w:rPr>
          <w:rFonts w:ascii="Times New Roman" w:eastAsia="Times New Roman" w:hAnsi="Times New Roman"/>
        </w:rPr>
      </w:pPr>
      <w:r w:rsidRPr="002746A3">
        <w:rPr>
          <w:rFonts w:ascii="Times New Roman" w:hAnsi="Times New Roman"/>
          <w:spacing w:val="-1"/>
        </w:rPr>
        <w:t>Bozentano plėvele dengtos tabletės buvo įvertintos atviro nekontroliuojamo klinikinio tyrimo metu 19 vaikų populiacijos pacient</w:t>
      </w:r>
      <w:r w:rsidR="00581226">
        <w:rPr>
          <w:rFonts w:ascii="Times New Roman" w:hAnsi="Times New Roman"/>
          <w:spacing w:val="-1"/>
        </w:rPr>
        <w:t>ų</w:t>
      </w:r>
      <w:r w:rsidRPr="002746A3">
        <w:rPr>
          <w:rFonts w:ascii="Times New Roman" w:hAnsi="Times New Roman"/>
          <w:spacing w:val="-1"/>
        </w:rPr>
        <w:t xml:space="preserve"> nuo 3 iki 15 metų, sergantiems PH. Šis tyrimas pirmiausia buvo sumodeliuotas kaip farmakokinetikos tyrimas (žr. 5.2 skyrių). Pacientai sirgo pirmine plautine hipertenzija (10 pacientų) arba PH, susijusia su įgimtomis širdies ligomis (9 pacientai) ir tyrimo pradžioje jie priklausė II (n = 15, 79 %) arba III (n = 4, 21 %) PSO funkcinei klasei. Pacientai buvo padalinti į tris dozavimo grupes, atsižvelgiant į jų svorį ir 12 savaičių jiems buvo skiriama maždaug 2 mg/kg bozentano 2 kartus per parą. Pusė pacientų kiekvienoje grupėje jau buvo gydomi intraveniškai epoprostenoliu, ir epoprostenolio dozė buvo pastovi tyrimų metu. </w:t>
      </w:r>
      <w:r w:rsidR="00CD51A4" w:rsidRPr="000A2DE8">
        <w:rPr>
          <w:rFonts w:ascii="Times New Roman" w:hAnsi="Times New Roman"/>
          <w:spacing w:val="-1"/>
        </w:rPr>
        <w:t xml:space="preserve">Pusė pacientų kiekvienoje grupėje jau buvo gydomi intraveniškai epoprostenoliu, ir epoprostenolio dozė buvo pastovi tyrimų metu. </w:t>
      </w:r>
    </w:p>
    <w:p w14:paraId="7BAAD95E" w14:textId="77777777" w:rsidR="00CD51A4" w:rsidRPr="000A2DE8" w:rsidRDefault="00CD51A4" w:rsidP="00CD51A4">
      <w:pPr>
        <w:widowControl w:val="0"/>
        <w:tabs>
          <w:tab w:val="left" w:pos="9270"/>
        </w:tabs>
        <w:autoSpaceDE w:val="0"/>
        <w:autoSpaceDN w:val="0"/>
        <w:adjustRightInd w:val="0"/>
        <w:spacing w:after="0" w:line="240" w:lineRule="auto"/>
        <w:rPr>
          <w:rFonts w:ascii="Times New Roman" w:eastAsia="Times New Roman" w:hAnsi="Times New Roman"/>
        </w:rPr>
      </w:pPr>
    </w:p>
    <w:p w14:paraId="6461DED6" w14:textId="77777777" w:rsidR="00CD51A4" w:rsidRPr="000A2DE8" w:rsidRDefault="00CD51A4" w:rsidP="00CD51A4">
      <w:pPr>
        <w:widowControl w:val="0"/>
        <w:tabs>
          <w:tab w:val="left" w:pos="9270"/>
        </w:tabs>
        <w:autoSpaceDE w:val="0"/>
        <w:autoSpaceDN w:val="0"/>
        <w:adjustRightInd w:val="0"/>
        <w:spacing w:before="32" w:after="0" w:line="240" w:lineRule="auto"/>
        <w:ind w:right="30"/>
        <w:rPr>
          <w:rFonts w:ascii="Times New Roman" w:hAnsi="Times New Roman"/>
        </w:rPr>
      </w:pPr>
      <w:r w:rsidRPr="000A2DE8">
        <w:rPr>
          <w:rFonts w:ascii="Times New Roman" w:hAnsi="Times New Roman"/>
          <w:spacing w:val="-1"/>
        </w:rPr>
        <w:t>Hemodinamika buvo išmatuota 17 pacientų. Vidutinis širdies indekso padidėjimas palyginti su tyrimo pradžia buvo 0,5 l/min./m</w:t>
      </w:r>
      <w:r w:rsidRPr="000A2DE8">
        <w:rPr>
          <w:rFonts w:ascii="Times New Roman" w:hAnsi="Times New Roman"/>
          <w:spacing w:val="-1"/>
          <w:vertAlign w:val="superscript"/>
        </w:rPr>
        <w:t>2</w:t>
      </w:r>
      <w:r w:rsidRPr="000A2DE8">
        <w:rPr>
          <w:rFonts w:ascii="Times New Roman" w:hAnsi="Times New Roman"/>
          <w:spacing w:val="-1"/>
        </w:rPr>
        <w:t>, vidutinis plaučių arterijos spaudimo sumažėjimas buvo 8 mm Hg, o vidutinis PKP buvo 389 din×s/cm</w:t>
      </w:r>
      <w:r w:rsidRPr="000A2DE8">
        <w:rPr>
          <w:rFonts w:ascii="Times New Roman" w:hAnsi="Times New Roman"/>
          <w:spacing w:val="-1"/>
          <w:vertAlign w:val="superscript"/>
        </w:rPr>
        <w:t>-5</w:t>
      </w:r>
      <w:r w:rsidRPr="000A2DE8">
        <w:rPr>
          <w:rFonts w:ascii="Times New Roman" w:hAnsi="Times New Roman"/>
          <w:spacing w:val="-1"/>
        </w:rPr>
        <w:t>. Toks hemodinamikos parametrų pagerėjimas nuo pradinių rodmenų buvo panašus ir vartojant epoprostenolio, ir jo nevartojant. Fizinio krūvio testo parametrų pokyčiai 12 savaitę nuo tyrimo pradžios buvo nepastovūs ir nereikšmingi.</w:t>
      </w:r>
      <w:r w:rsidRPr="000A2DE8">
        <w:rPr>
          <w:rFonts w:ascii="Times New Roman" w:hAnsi="Times New Roman"/>
        </w:rPr>
        <w:t xml:space="preserve"> </w:t>
      </w:r>
    </w:p>
    <w:p w14:paraId="19AEA2F8" w14:textId="77777777" w:rsidR="00CD51A4" w:rsidRPr="000A2DE8" w:rsidRDefault="00CD51A4" w:rsidP="00CD51A4">
      <w:pPr>
        <w:widowControl w:val="0"/>
        <w:tabs>
          <w:tab w:val="left" w:pos="9270"/>
        </w:tabs>
        <w:autoSpaceDE w:val="0"/>
        <w:autoSpaceDN w:val="0"/>
        <w:adjustRightInd w:val="0"/>
        <w:spacing w:before="32" w:after="0" w:line="240" w:lineRule="auto"/>
        <w:ind w:right="30"/>
        <w:rPr>
          <w:rFonts w:ascii="Times New Roman" w:hAnsi="Times New Roman"/>
        </w:rPr>
      </w:pPr>
    </w:p>
    <w:p w14:paraId="5BAEB4CC" w14:textId="77777777" w:rsidR="00CD51A4" w:rsidRPr="000A2DE8" w:rsidRDefault="00CD51A4" w:rsidP="00A26D2B">
      <w:pPr>
        <w:pStyle w:val="prastasiniatinklio"/>
        <w:keepNext/>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FUTURE 1/2 (AC-052-365/AC-052-367)</w:t>
      </w:r>
    </w:p>
    <w:p w14:paraId="585AD27F" w14:textId="77777777" w:rsidR="00CD51A4" w:rsidRPr="000A2DE8" w:rsidRDefault="00CD51A4" w:rsidP="00A26D2B">
      <w:pPr>
        <w:pStyle w:val="prastasiniatinklio"/>
        <w:keepNext/>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 xml:space="preserve">FUTURE 1 buvo atviras, nekontroliuojamas tyrimas, vykdytas skiriant disperguojamąsias bozentano tabletes, skiriant palaikomąją 4 mg/kg dozę du kartus per parą 36 pacientams, kurių amžius nuo 2 iki 11 metų. Šis tyrimas iš pradžių turėjo būti farmakokinetinis (žr. 5.2 skyrių). Daugeliui pacientų buvo </w:t>
      </w:r>
      <w:r w:rsidRPr="000A2DE8">
        <w:rPr>
          <w:sz w:val="22"/>
          <w:szCs w:val="22"/>
          <w:lang w:val="lt-LT" w:eastAsia="en-US"/>
        </w:rPr>
        <w:lastRenderedPageBreak/>
        <w:t xml:space="preserve">diagnozuota idiopatinė (31 pacientas [86 %]) arba paveldėta (5 pacientai [14 %]) </w:t>
      </w:r>
      <w:r w:rsidR="009D384A" w:rsidRPr="000A2DE8">
        <w:rPr>
          <w:sz w:val="22"/>
          <w:szCs w:val="22"/>
          <w:lang w:val="lt-LT" w:eastAsia="en-US"/>
        </w:rPr>
        <w:t>PH</w:t>
      </w:r>
      <w:r w:rsidRPr="000A2DE8">
        <w:rPr>
          <w:sz w:val="22"/>
          <w:szCs w:val="22"/>
          <w:lang w:val="lt-LT" w:eastAsia="en-US"/>
        </w:rPr>
        <w:t xml:space="preserve"> ir buvo priskiriami II (n = 23, 64 %) arba III (n = 13, 36 %) PSO funkcinei klasei. Tyrimo FUTURE 1 metu vidutinis poveikis tiriamuoju vaistiniu preparatu buvo 13,1 savaitės (intervalas: nuo 8,4 iki 21,1). 33 iš šių pacientų buvo teikiamas nuolatinis gydymas bozentano disperguojamosiomis tabletėmis 4 mg/kg dozėmis du kartus per parą FUTURE 2 nekontroliuojamoje tęstinėje fazėje, kai vidutinė bendra gydymo trukmė buvo 2,3 metų (intervalas: nuo 0,2 iki 5,0 metų). Iš pradžių FUTURE 1 tyrimo metu 9 pacientai vartojo epoprostenolį. 9 pacientams tyrimo metu buvo naujai inicijuotas specifinis </w:t>
      </w:r>
      <w:r w:rsidR="009D384A" w:rsidRPr="000A2DE8">
        <w:rPr>
          <w:sz w:val="22"/>
          <w:szCs w:val="22"/>
          <w:lang w:val="lt-LT" w:eastAsia="en-US"/>
        </w:rPr>
        <w:t>PH</w:t>
      </w:r>
      <w:r w:rsidRPr="000A2DE8">
        <w:rPr>
          <w:sz w:val="22"/>
          <w:szCs w:val="22"/>
          <w:lang w:val="lt-LT" w:eastAsia="en-US"/>
        </w:rPr>
        <w:t xml:space="preserve"> vaistinis preparatas. </w:t>
      </w:r>
      <w:r w:rsidRPr="000A2DE8">
        <w:rPr>
          <w:i/>
          <w:sz w:val="22"/>
          <w:szCs w:val="22"/>
          <w:lang w:val="lt-LT" w:eastAsia="en-US"/>
        </w:rPr>
        <w:t>Kaplan-Meier</w:t>
      </w:r>
      <w:r w:rsidRPr="000A2DE8">
        <w:rPr>
          <w:sz w:val="22"/>
          <w:szCs w:val="22"/>
          <w:lang w:val="lt-LT" w:eastAsia="en-US"/>
        </w:rPr>
        <w:t xml:space="preserve"> bendrojo </w:t>
      </w:r>
      <w:r w:rsidR="009D384A" w:rsidRPr="000A2DE8">
        <w:rPr>
          <w:sz w:val="22"/>
          <w:szCs w:val="22"/>
          <w:lang w:val="lt-LT" w:eastAsia="en-US"/>
        </w:rPr>
        <w:t>PH</w:t>
      </w:r>
      <w:r w:rsidRPr="000A2DE8">
        <w:rPr>
          <w:sz w:val="22"/>
          <w:szCs w:val="22"/>
          <w:lang w:val="lt-LT" w:eastAsia="en-US"/>
        </w:rPr>
        <w:t xml:space="preserve"> pablogėjimo (mirtis, plaučių transplantacija  arba hospitalizacija dėl </w:t>
      </w:r>
      <w:r w:rsidR="009D384A" w:rsidRPr="000A2DE8">
        <w:rPr>
          <w:sz w:val="22"/>
          <w:szCs w:val="22"/>
          <w:lang w:val="lt-LT" w:eastAsia="en-US"/>
        </w:rPr>
        <w:t>PH</w:t>
      </w:r>
      <w:r w:rsidRPr="000A2DE8">
        <w:rPr>
          <w:sz w:val="22"/>
          <w:szCs w:val="22"/>
          <w:lang w:val="lt-LT" w:eastAsia="en-US"/>
        </w:rPr>
        <w:t xml:space="preserve"> būklės suprastėjimo) vertinimas po 2 metų buvo 78,9 %. </w:t>
      </w:r>
      <w:r w:rsidRPr="000A2DE8">
        <w:rPr>
          <w:i/>
          <w:sz w:val="22"/>
          <w:szCs w:val="22"/>
          <w:lang w:val="lt-LT" w:eastAsia="en-US"/>
        </w:rPr>
        <w:t>Kaplan-Meier</w:t>
      </w:r>
      <w:r w:rsidRPr="000A2DE8">
        <w:rPr>
          <w:sz w:val="22"/>
          <w:szCs w:val="22"/>
          <w:lang w:val="lt-LT" w:eastAsia="en-US"/>
        </w:rPr>
        <w:t xml:space="preserve"> bendrojo išgyvenamumo po 2 metų įvertinimas buvo 91,2 %.</w:t>
      </w:r>
    </w:p>
    <w:p w14:paraId="2F4A2A8E"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p>
    <w:p w14:paraId="4B4F49F3"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FUTURE 3 (AC-052-373)</w:t>
      </w:r>
    </w:p>
    <w:p w14:paraId="3BD4CA3E"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 xml:space="preserve">Atliekant atvirą randomizuotą tyrimą, kurio metu skiriamos bozentano 32 mg disperguojamosios tabletės, 64 vaikams su stabilia </w:t>
      </w:r>
      <w:r w:rsidR="009D384A" w:rsidRPr="000A2DE8">
        <w:rPr>
          <w:sz w:val="22"/>
          <w:szCs w:val="22"/>
          <w:lang w:val="lt-LT" w:eastAsia="en-US"/>
        </w:rPr>
        <w:t>PH</w:t>
      </w:r>
      <w:r w:rsidRPr="000A2DE8">
        <w:rPr>
          <w:sz w:val="22"/>
          <w:szCs w:val="22"/>
          <w:lang w:val="lt-LT" w:eastAsia="en-US"/>
        </w:rPr>
        <w:t xml:space="preserve">, kurių amžius nuo 3 mėnesių iki 11 metų, buvo atrinkti atsitiktine tvarka 24 savaičių trukmės gydymui bozentanu, vartojamu 2 mg/kg dozėmis du kartus per parą (n = 33) arba 2 mg/kg tris kartus per parą (n = 31). 43 (67,2 %) buvo ≥ 2–11 metų, 15 (23,4 %) – nuo 1 iki 2 metų, o 6 (9,4 %) buvo nuo 3 mėnesių iki 1 metų. Šis tyrimas pirmiausia buvo planuotas kaip farmakokinetinis (žr. 5.2 skyrių) ir veiksmingumo galutiniai tikslai buvo tik tiriami. </w:t>
      </w:r>
      <w:r w:rsidR="009D384A" w:rsidRPr="000A2DE8">
        <w:rPr>
          <w:sz w:val="22"/>
          <w:szCs w:val="22"/>
          <w:lang w:val="lt-LT" w:eastAsia="en-US"/>
        </w:rPr>
        <w:t>PH</w:t>
      </w:r>
      <w:r w:rsidRPr="000A2DE8">
        <w:rPr>
          <w:sz w:val="22"/>
          <w:szCs w:val="22"/>
          <w:lang w:val="lt-LT" w:eastAsia="en-US"/>
        </w:rPr>
        <w:t xml:space="preserve"> etiologija, pagal Dana Point klasifikaciją, apėmė idiopatinę </w:t>
      </w:r>
      <w:r w:rsidR="009D384A" w:rsidRPr="000A2DE8">
        <w:rPr>
          <w:sz w:val="22"/>
          <w:szCs w:val="22"/>
          <w:lang w:val="lt-LT" w:eastAsia="en-US"/>
        </w:rPr>
        <w:t>PH</w:t>
      </w:r>
      <w:r w:rsidRPr="000A2DE8">
        <w:rPr>
          <w:sz w:val="22"/>
          <w:szCs w:val="22"/>
          <w:lang w:val="lt-LT" w:eastAsia="en-US"/>
        </w:rPr>
        <w:t xml:space="preserve"> (46 %), paveldimą </w:t>
      </w:r>
      <w:r w:rsidR="009D384A" w:rsidRPr="000A2DE8">
        <w:rPr>
          <w:sz w:val="22"/>
          <w:szCs w:val="22"/>
          <w:lang w:val="lt-LT" w:eastAsia="en-US"/>
        </w:rPr>
        <w:t>PH</w:t>
      </w:r>
      <w:r w:rsidRPr="000A2DE8">
        <w:rPr>
          <w:sz w:val="22"/>
          <w:szCs w:val="22"/>
          <w:lang w:val="lt-LT" w:eastAsia="en-US"/>
        </w:rPr>
        <w:t xml:space="preserve"> (3 %), </w:t>
      </w:r>
      <w:r w:rsidR="009D384A" w:rsidRPr="000A2DE8">
        <w:rPr>
          <w:sz w:val="22"/>
          <w:szCs w:val="22"/>
          <w:lang w:val="lt-LT" w:eastAsia="en-US"/>
        </w:rPr>
        <w:t>PH</w:t>
      </w:r>
      <w:r w:rsidRPr="000A2DE8">
        <w:rPr>
          <w:sz w:val="22"/>
          <w:szCs w:val="22"/>
          <w:lang w:val="lt-LT" w:eastAsia="en-US"/>
        </w:rPr>
        <w:t xml:space="preserve">, susijusią su korekcine širdies operacija (38 %) ir </w:t>
      </w:r>
      <w:r w:rsidR="002746A3" w:rsidRPr="000A2DE8">
        <w:rPr>
          <w:sz w:val="22"/>
          <w:szCs w:val="22"/>
          <w:lang w:val="lt-LT" w:eastAsia="en-US"/>
        </w:rPr>
        <w:t xml:space="preserve">su įgimta širdies liga susijusią </w:t>
      </w:r>
      <w:r w:rsidR="009D384A" w:rsidRPr="000A2DE8">
        <w:rPr>
          <w:sz w:val="22"/>
          <w:szCs w:val="22"/>
          <w:lang w:val="lt-LT" w:eastAsia="en-US"/>
        </w:rPr>
        <w:t>PH</w:t>
      </w:r>
      <w:r w:rsidRPr="000A2DE8">
        <w:rPr>
          <w:sz w:val="22"/>
          <w:szCs w:val="22"/>
          <w:lang w:val="lt-LT" w:eastAsia="en-US"/>
        </w:rPr>
        <w:t xml:space="preserve"> su </w:t>
      </w:r>
      <w:r w:rsidR="002746A3" w:rsidRPr="000A2DE8">
        <w:rPr>
          <w:sz w:val="22"/>
          <w:szCs w:val="22"/>
          <w:lang w:val="lt-LT" w:eastAsia="en-US"/>
        </w:rPr>
        <w:t xml:space="preserve">sisteminiais plaučių </w:t>
      </w:r>
      <w:r w:rsidRPr="000A2DE8">
        <w:rPr>
          <w:sz w:val="22"/>
          <w:szCs w:val="22"/>
          <w:lang w:val="lt-LT" w:eastAsia="en-US"/>
        </w:rPr>
        <w:t>šuntais</w:t>
      </w:r>
      <w:r w:rsidR="002746A3" w:rsidRPr="000A2DE8">
        <w:rPr>
          <w:sz w:val="22"/>
          <w:szCs w:val="22"/>
          <w:lang w:val="lt-LT" w:eastAsia="en-US"/>
        </w:rPr>
        <w:t xml:space="preserve">, įskaitant </w:t>
      </w:r>
      <w:r w:rsidRPr="000A2DE8">
        <w:rPr>
          <w:sz w:val="22"/>
          <w:szCs w:val="22"/>
          <w:lang w:val="lt-LT" w:eastAsia="en-US"/>
        </w:rPr>
        <w:t>Eizenmengerio sindrom</w:t>
      </w:r>
      <w:r w:rsidR="002746A3" w:rsidRPr="000A2DE8">
        <w:rPr>
          <w:sz w:val="22"/>
          <w:szCs w:val="22"/>
          <w:lang w:val="lt-LT" w:eastAsia="en-US"/>
        </w:rPr>
        <w:t>ą</w:t>
      </w:r>
      <w:r w:rsidRPr="000A2DE8">
        <w:rPr>
          <w:sz w:val="22"/>
          <w:szCs w:val="22"/>
          <w:lang w:val="lt-LT" w:eastAsia="en-US"/>
        </w:rPr>
        <w:t xml:space="preserve"> (13 %). Pradedant gydymą tyrimo pradžioje pacientai priklausė I (</w:t>
      </w:r>
      <w:r w:rsidR="002746A3" w:rsidRPr="000A2DE8">
        <w:rPr>
          <w:sz w:val="22"/>
          <w:szCs w:val="22"/>
          <w:lang w:val="lt-LT" w:eastAsia="en-US"/>
        </w:rPr>
        <w:t>n </w:t>
      </w:r>
      <w:r w:rsidRPr="000A2DE8">
        <w:rPr>
          <w:sz w:val="22"/>
          <w:szCs w:val="22"/>
          <w:lang w:val="lt-LT" w:eastAsia="en-US"/>
        </w:rPr>
        <w:t xml:space="preserve">= 19, 29 %), II (n = 27 pacientai, 42 %) arba III (n = 18 pacientų, 28 %) PSO funkcinei klasei. Pradedant tyrimą pacientai buvo gydyti vaistiniais preparatais nuo </w:t>
      </w:r>
      <w:r w:rsidR="009D384A" w:rsidRPr="000A2DE8">
        <w:rPr>
          <w:sz w:val="22"/>
          <w:szCs w:val="22"/>
          <w:lang w:val="lt-LT" w:eastAsia="en-US"/>
        </w:rPr>
        <w:t>PH</w:t>
      </w:r>
      <w:r w:rsidRPr="000A2DE8">
        <w:rPr>
          <w:sz w:val="22"/>
          <w:szCs w:val="22"/>
          <w:lang w:val="lt-LT" w:eastAsia="en-US"/>
        </w:rPr>
        <w:t xml:space="preserve"> (dažniausiai </w:t>
      </w:r>
      <w:r w:rsidR="002746A3" w:rsidRPr="000A2DE8">
        <w:rPr>
          <w:sz w:val="22"/>
          <w:szCs w:val="22"/>
          <w:lang w:val="lt-LT" w:eastAsia="en-US"/>
        </w:rPr>
        <w:t xml:space="preserve">tik 5-ojo tipo fosfodiesterazės </w:t>
      </w:r>
      <w:r w:rsidRPr="000A2DE8">
        <w:rPr>
          <w:sz w:val="22"/>
          <w:szCs w:val="22"/>
          <w:lang w:val="lt-LT" w:eastAsia="en-US"/>
        </w:rPr>
        <w:t>inhibitoriumi [sildenafil</w:t>
      </w:r>
      <w:r w:rsidR="00D32C04" w:rsidRPr="000A2DE8">
        <w:rPr>
          <w:sz w:val="22"/>
          <w:szCs w:val="22"/>
          <w:lang w:val="lt-LT" w:eastAsia="en-US"/>
        </w:rPr>
        <w:t>i</w:t>
      </w:r>
      <w:r w:rsidR="002746A3" w:rsidRPr="000A2DE8">
        <w:rPr>
          <w:sz w:val="22"/>
          <w:szCs w:val="22"/>
          <w:lang w:val="lt-LT" w:eastAsia="en-US"/>
        </w:rPr>
        <w:t>u</w:t>
      </w:r>
      <w:r w:rsidRPr="000A2DE8">
        <w:rPr>
          <w:sz w:val="22"/>
          <w:szCs w:val="22"/>
          <w:lang w:val="lt-LT" w:eastAsia="en-US"/>
        </w:rPr>
        <w:t xml:space="preserve">] [35,9 %], </w:t>
      </w:r>
      <w:r w:rsidR="002746A3" w:rsidRPr="000A2DE8">
        <w:rPr>
          <w:sz w:val="22"/>
          <w:szCs w:val="22"/>
          <w:lang w:val="lt-LT" w:eastAsia="en-US"/>
        </w:rPr>
        <w:t xml:space="preserve">tik </w:t>
      </w:r>
      <w:r w:rsidRPr="000A2DE8">
        <w:rPr>
          <w:sz w:val="22"/>
          <w:szCs w:val="22"/>
          <w:lang w:val="lt-LT" w:eastAsia="en-US"/>
        </w:rPr>
        <w:t xml:space="preserve">bozentanu [10,9 %] ir bozentano, iloprosto </w:t>
      </w:r>
      <w:r w:rsidR="002746A3" w:rsidRPr="000A2DE8">
        <w:rPr>
          <w:sz w:val="22"/>
          <w:szCs w:val="22"/>
          <w:lang w:val="lt-LT" w:eastAsia="en-US"/>
        </w:rPr>
        <w:t>bei</w:t>
      </w:r>
      <w:r w:rsidRPr="000A2DE8">
        <w:rPr>
          <w:sz w:val="22"/>
          <w:szCs w:val="22"/>
          <w:lang w:val="lt-LT" w:eastAsia="en-US"/>
        </w:rPr>
        <w:t xml:space="preserve"> sildenafil</w:t>
      </w:r>
      <w:r w:rsidR="00D32C04" w:rsidRPr="000A2DE8">
        <w:rPr>
          <w:sz w:val="22"/>
          <w:szCs w:val="22"/>
          <w:lang w:val="lt-LT" w:eastAsia="en-US"/>
        </w:rPr>
        <w:t>i</w:t>
      </w:r>
      <w:r w:rsidRPr="000A2DE8">
        <w:rPr>
          <w:sz w:val="22"/>
          <w:szCs w:val="22"/>
          <w:lang w:val="lt-LT" w:eastAsia="en-US"/>
        </w:rPr>
        <w:t xml:space="preserve">o deriniu </w:t>
      </w:r>
      <w:r w:rsidR="00DF01CB" w:rsidRPr="000A2DE8">
        <w:rPr>
          <w:sz w:val="22"/>
          <w:szCs w:val="22"/>
          <w:lang w:val="lt-LT" w:eastAsia="en-US"/>
        </w:rPr>
        <w:t>[</w:t>
      </w:r>
      <w:r w:rsidRPr="000A2DE8">
        <w:rPr>
          <w:sz w:val="22"/>
          <w:szCs w:val="22"/>
          <w:lang w:val="lt-LT" w:eastAsia="en-US"/>
        </w:rPr>
        <w:t>10,9 %</w:t>
      </w:r>
      <w:r w:rsidR="00DF01CB" w:rsidRPr="000A2DE8">
        <w:rPr>
          <w:sz w:val="22"/>
          <w:szCs w:val="22"/>
          <w:lang w:val="lt-LT" w:eastAsia="en-US"/>
        </w:rPr>
        <w:t>]</w:t>
      </w:r>
      <w:r w:rsidRPr="000A2DE8">
        <w:rPr>
          <w:sz w:val="22"/>
          <w:szCs w:val="22"/>
          <w:lang w:val="lt-LT" w:eastAsia="en-US"/>
        </w:rPr>
        <w:t xml:space="preserve">) ir jų </w:t>
      </w:r>
      <w:r w:rsidR="009D384A" w:rsidRPr="000A2DE8">
        <w:rPr>
          <w:sz w:val="22"/>
          <w:szCs w:val="22"/>
          <w:lang w:val="lt-LT" w:eastAsia="en-US"/>
        </w:rPr>
        <w:t>PH</w:t>
      </w:r>
      <w:r w:rsidRPr="000A2DE8">
        <w:rPr>
          <w:sz w:val="22"/>
          <w:szCs w:val="22"/>
          <w:lang w:val="lt-LT" w:eastAsia="en-US"/>
        </w:rPr>
        <w:t xml:space="preserve"> gydymas buvo tęsiamas tyrimo metu.</w:t>
      </w:r>
    </w:p>
    <w:p w14:paraId="6D5F73A1"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p>
    <w:p w14:paraId="01E3CFCB"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 xml:space="preserve">Tyrimo pradžioje mažiau kaip pusė dalyvaujančių pacientų (45,3 % = 29/64) buvo gydomi vien bozentanu, nederinant su kitais vaistais nuo </w:t>
      </w:r>
      <w:r w:rsidR="009D384A" w:rsidRPr="000A2DE8">
        <w:rPr>
          <w:sz w:val="22"/>
          <w:szCs w:val="22"/>
          <w:lang w:val="lt-LT" w:eastAsia="en-US"/>
        </w:rPr>
        <w:t>PH</w:t>
      </w:r>
      <w:r w:rsidRPr="000A2DE8">
        <w:rPr>
          <w:sz w:val="22"/>
          <w:szCs w:val="22"/>
          <w:lang w:val="lt-LT" w:eastAsia="en-US"/>
        </w:rPr>
        <w:t xml:space="preserve">. 40,6 % (26/64) 24 savaites tyrimo laikotarpiu ir toliau buvo taikoma bozentano monoterapija ir nepatyrė </w:t>
      </w:r>
      <w:r w:rsidR="009D384A" w:rsidRPr="000A2DE8">
        <w:rPr>
          <w:sz w:val="22"/>
          <w:szCs w:val="22"/>
          <w:lang w:val="lt-LT" w:eastAsia="en-US"/>
        </w:rPr>
        <w:t>PH</w:t>
      </w:r>
      <w:r w:rsidRPr="000A2DE8">
        <w:rPr>
          <w:sz w:val="22"/>
          <w:szCs w:val="22"/>
          <w:lang w:val="lt-LT" w:eastAsia="en-US"/>
        </w:rPr>
        <w:t xml:space="preserve"> pablogėjimo. Atlikus bendros dalyvių populiacijos (64 pacientų) analizę buvo nustatyta, kad gydymo laikotarpiu daugumos būklė liko bent jau stabili (t. y., nesuprastėjo), remiantis specifiniu ne pediatriniu PSO funkcinės klasės įvertinimu (97 % du kartus per parą, 100 % tris kartus per parą) ir bendruoju gydytojo klinikiniu įspūdžiu (94 % du kartus per parą, 93 % tris kartus per parą). </w:t>
      </w:r>
      <w:r w:rsidRPr="000A2DE8">
        <w:rPr>
          <w:i/>
          <w:sz w:val="22"/>
          <w:szCs w:val="22"/>
          <w:lang w:val="lt-LT" w:eastAsia="en-US"/>
        </w:rPr>
        <w:t>Kaplan-Meier</w:t>
      </w:r>
      <w:r w:rsidRPr="000A2DE8">
        <w:rPr>
          <w:sz w:val="22"/>
          <w:szCs w:val="22"/>
          <w:lang w:val="lt-LT" w:eastAsia="en-US"/>
        </w:rPr>
        <w:t xml:space="preserve"> bendrojo </w:t>
      </w:r>
      <w:r w:rsidR="009D384A" w:rsidRPr="000A2DE8">
        <w:rPr>
          <w:sz w:val="22"/>
          <w:szCs w:val="22"/>
          <w:lang w:val="lt-LT" w:eastAsia="en-US"/>
        </w:rPr>
        <w:t>PH</w:t>
      </w:r>
      <w:r w:rsidRPr="000A2DE8">
        <w:rPr>
          <w:sz w:val="22"/>
          <w:szCs w:val="22"/>
          <w:lang w:val="lt-LT" w:eastAsia="en-US"/>
        </w:rPr>
        <w:t xml:space="preserve"> pablogėjimo (mirtis, plaučių transplantacija arba hospitalizacija dėl </w:t>
      </w:r>
      <w:r w:rsidR="009D384A" w:rsidRPr="000A2DE8">
        <w:rPr>
          <w:sz w:val="22"/>
          <w:szCs w:val="22"/>
          <w:lang w:val="lt-LT" w:eastAsia="en-US"/>
        </w:rPr>
        <w:t>PH</w:t>
      </w:r>
      <w:r w:rsidRPr="000A2DE8">
        <w:rPr>
          <w:sz w:val="22"/>
          <w:szCs w:val="22"/>
          <w:lang w:val="lt-LT" w:eastAsia="en-US"/>
        </w:rPr>
        <w:t xml:space="preserve"> būklės suprastėjimo) vertinimas po 24 savaičių buvo 96,9 % ir 96,7 %, atitinkamai, du ir tris kartus per parą vartojusiose grupėse.</w:t>
      </w:r>
    </w:p>
    <w:p w14:paraId="1BA74C3B"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p>
    <w:p w14:paraId="7C2430B9"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Nebuvo gauta kokios nors kliniškai vertingos naudos įrodymų vartojant 2 mg/kg tris kartus per parą, lyginant su 2 mg/kg dozes vartojimu du kartus per parą.</w:t>
      </w:r>
    </w:p>
    <w:p w14:paraId="136E3061"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p>
    <w:p w14:paraId="0542C6CB" w14:textId="77777777" w:rsidR="00CD51A4" w:rsidRPr="000A2DE8" w:rsidRDefault="00CD51A4" w:rsidP="00CD51A4">
      <w:pPr>
        <w:pStyle w:val="prastasiniatinklio"/>
        <w:shd w:val="clear" w:color="auto" w:fill="FFFFFF"/>
        <w:spacing w:before="0" w:beforeAutospacing="0" w:after="0" w:afterAutospacing="0" w:line="260" w:lineRule="atLeast"/>
        <w:rPr>
          <w:i/>
          <w:sz w:val="22"/>
          <w:szCs w:val="22"/>
          <w:lang w:val="lt-LT" w:eastAsia="en-US"/>
        </w:rPr>
      </w:pPr>
      <w:r w:rsidRPr="000A2DE8">
        <w:rPr>
          <w:i/>
          <w:sz w:val="22"/>
          <w:szCs w:val="22"/>
          <w:lang w:val="lt-LT" w:eastAsia="en-US"/>
        </w:rPr>
        <w:t>Tyrimas atliktas su naujagimiais, sergančiais persistuojančia plautine hipertenzija (PPHN):</w:t>
      </w:r>
    </w:p>
    <w:p w14:paraId="6DD10D25"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FUTURE 4 (AC-052-391)</w:t>
      </w:r>
    </w:p>
    <w:p w14:paraId="07F23583"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Tai buvo dvigubai aklas, placebo kontroliuojamas randomizuotas tyrimas su anksčiau laiko arba laiku gimusiais naujagimiais (gestacinis amžius 36–42 savaitės), sergančiais PPHN. Pacientai, kuriems pasireiškė suboptimalus atsakas įkvėptam natrio oksidui (iNO), nepaisant ne trumpesnio kaip 4 valandų nuolatinio gydymo, buvo gydomi bozentano disperguojamosiomis tabletėmis 2 mg/kg doze, vartojama du kartus per parą, (N = 13) arba placebu (N = 8), įleidžiamu per nazogastrinį zondą, kaip papildomą gydymą prie iNO, iki visiško atpratinimo nuo iNO arba iki gydymo nesėkmės (nustatytos pagal ekstrakorporinės membranos oksigenacijos poreikį [ECMO] arba alternatyvaus plaučių vazodiliatoriaus naudojimo pradžios), taikant ne ilgiau kaip 14 dienų.</w:t>
      </w:r>
    </w:p>
    <w:p w14:paraId="71FB99CF"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p>
    <w:p w14:paraId="5C489561"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Tyrimo metu gydymas buvo taikomas vidutiniškai 4,5 (intervalas: 0.5–10,0) dienas bozentano grupėje ir 4.0 (intervalas: 2,5–6,5) dienas placebo grupėje.</w:t>
      </w:r>
    </w:p>
    <w:p w14:paraId="67979BC1"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p>
    <w:p w14:paraId="3E3F1C12"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Pagal rezultatus papildomos bozentano naudos šiai populiacijai nenustatyta:</w:t>
      </w:r>
    </w:p>
    <w:p w14:paraId="1624BA08"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lastRenderedPageBreak/>
        <w:t xml:space="preserve">• Vidutinis laikas iki visiško atpratinimo nuo iNO buvo 3,7 dienos (95 % </w:t>
      </w:r>
      <w:r w:rsidR="002746A3" w:rsidRPr="000A2DE8">
        <w:rPr>
          <w:sz w:val="22"/>
          <w:szCs w:val="22"/>
          <w:lang w:val="lt-LT" w:eastAsia="en-US"/>
        </w:rPr>
        <w:t xml:space="preserve">pasikliautinumo </w:t>
      </w:r>
      <w:r w:rsidR="00DF01CB" w:rsidRPr="000A2DE8">
        <w:rPr>
          <w:sz w:val="22"/>
          <w:szCs w:val="22"/>
          <w:lang w:val="lt-LT" w:eastAsia="en-US"/>
        </w:rPr>
        <w:t>intervalas</w:t>
      </w:r>
      <w:r w:rsidR="002746A3" w:rsidRPr="000A2DE8">
        <w:rPr>
          <w:sz w:val="22"/>
          <w:szCs w:val="22"/>
          <w:lang w:val="lt-LT" w:eastAsia="en-US"/>
        </w:rPr>
        <w:t xml:space="preserve"> [PI]</w:t>
      </w:r>
      <w:r w:rsidR="00DF01CB" w:rsidRPr="000A2DE8">
        <w:rPr>
          <w:sz w:val="22"/>
          <w:szCs w:val="22"/>
          <w:lang w:val="lt-LT" w:eastAsia="en-US"/>
        </w:rPr>
        <w:t>:</w:t>
      </w:r>
      <w:r w:rsidRPr="000A2DE8">
        <w:rPr>
          <w:sz w:val="22"/>
          <w:szCs w:val="22"/>
          <w:lang w:val="lt-LT" w:eastAsia="en-US"/>
        </w:rPr>
        <w:t xml:space="preserve"> 1</w:t>
      </w:r>
      <w:r w:rsidR="002746A3" w:rsidRPr="000A2DE8">
        <w:rPr>
          <w:sz w:val="22"/>
          <w:szCs w:val="22"/>
          <w:lang w:val="lt-LT" w:eastAsia="en-US"/>
        </w:rPr>
        <w:t>,</w:t>
      </w:r>
      <w:r w:rsidRPr="000A2DE8">
        <w:rPr>
          <w:sz w:val="22"/>
          <w:szCs w:val="22"/>
          <w:lang w:val="lt-LT" w:eastAsia="en-US"/>
        </w:rPr>
        <w:t>17</w:t>
      </w:r>
      <w:r w:rsidR="002746A3" w:rsidRPr="000A2DE8">
        <w:rPr>
          <w:sz w:val="22"/>
          <w:szCs w:val="22"/>
          <w:lang w:val="lt-LT" w:eastAsia="en-US"/>
        </w:rPr>
        <w:t>;</w:t>
      </w:r>
      <w:r w:rsidRPr="000A2DE8">
        <w:rPr>
          <w:sz w:val="22"/>
          <w:szCs w:val="22"/>
          <w:lang w:val="lt-LT" w:eastAsia="en-US"/>
        </w:rPr>
        <w:t xml:space="preserve"> 6</w:t>
      </w:r>
      <w:r w:rsidR="002746A3" w:rsidRPr="000A2DE8">
        <w:rPr>
          <w:sz w:val="22"/>
          <w:szCs w:val="22"/>
          <w:lang w:val="lt-LT" w:eastAsia="en-US"/>
        </w:rPr>
        <w:t>,</w:t>
      </w:r>
      <w:r w:rsidRPr="000A2DE8">
        <w:rPr>
          <w:sz w:val="22"/>
          <w:szCs w:val="22"/>
          <w:lang w:val="lt-LT" w:eastAsia="en-US"/>
        </w:rPr>
        <w:t xml:space="preserve">95) vartojant bozentaną, ir 2,9 dienos (95 % </w:t>
      </w:r>
      <w:r w:rsidR="00DF01CB" w:rsidRPr="000A2DE8">
        <w:rPr>
          <w:sz w:val="22"/>
          <w:szCs w:val="22"/>
          <w:lang w:val="lt-LT" w:eastAsia="en-US"/>
        </w:rPr>
        <w:t xml:space="preserve">PI: </w:t>
      </w:r>
      <w:r w:rsidRPr="000A2DE8">
        <w:rPr>
          <w:sz w:val="22"/>
          <w:szCs w:val="22"/>
          <w:lang w:val="lt-LT" w:eastAsia="en-US"/>
        </w:rPr>
        <w:t>1</w:t>
      </w:r>
      <w:r w:rsidR="002746A3" w:rsidRPr="000A2DE8">
        <w:rPr>
          <w:sz w:val="22"/>
          <w:szCs w:val="22"/>
          <w:lang w:val="lt-LT" w:eastAsia="en-US"/>
        </w:rPr>
        <w:t>,</w:t>
      </w:r>
      <w:r w:rsidRPr="000A2DE8">
        <w:rPr>
          <w:sz w:val="22"/>
          <w:szCs w:val="22"/>
          <w:lang w:val="lt-LT" w:eastAsia="en-US"/>
        </w:rPr>
        <w:t>26</w:t>
      </w:r>
      <w:r w:rsidR="002746A3" w:rsidRPr="000A2DE8">
        <w:rPr>
          <w:sz w:val="22"/>
          <w:szCs w:val="22"/>
          <w:lang w:val="lt-LT" w:eastAsia="en-US"/>
        </w:rPr>
        <w:t>;</w:t>
      </w:r>
      <w:r w:rsidRPr="000A2DE8">
        <w:rPr>
          <w:sz w:val="22"/>
          <w:szCs w:val="22"/>
          <w:lang w:val="lt-LT" w:eastAsia="en-US"/>
        </w:rPr>
        <w:t xml:space="preserve"> 4</w:t>
      </w:r>
      <w:r w:rsidR="002746A3" w:rsidRPr="000A2DE8">
        <w:rPr>
          <w:sz w:val="22"/>
          <w:szCs w:val="22"/>
          <w:lang w:val="lt-LT" w:eastAsia="en-US"/>
        </w:rPr>
        <w:t>,</w:t>
      </w:r>
      <w:r w:rsidRPr="000A2DE8">
        <w:rPr>
          <w:sz w:val="22"/>
          <w:szCs w:val="22"/>
          <w:lang w:val="lt-LT" w:eastAsia="en-US"/>
        </w:rPr>
        <w:t>23) vartojant placebą (p = 0,34).</w:t>
      </w:r>
    </w:p>
    <w:p w14:paraId="1A017011"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 xml:space="preserve">• Vidutinis laikas iki visiško atpratinimo nuo mechaninio ventiliavimo buvo 10,8 dienų (95 % </w:t>
      </w:r>
      <w:r w:rsidR="00DF01CB" w:rsidRPr="000A2DE8">
        <w:rPr>
          <w:sz w:val="22"/>
          <w:szCs w:val="22"/>
          <w:lang w:val="lt-LT" w:eastAsia="en-US"/>
        </w:rPr>
        <w:t xml:space="preserve">PI: </w:t>
      </w:r>
      <w:r w:rsidRPr="000A2DE8">
        <w:rPr>
          <w:sz w:val="22"/>
          <w:szCs w:val="22"/>
          <w:lang w:val="lt-LT" w:eastAsia="en-US"/>
        </w:rPr>
        <w:t>3</w:t>
      </w:r>
      <w:r w:rsidR="00DF01CB" w:rsidRPr="000A2DE8">
        <w:rPr>
          <w:sz w:val="22"/>
          <w:szCs w:val="22"/>
          <w:lang w:val="lt-LT" w:eastAsia="en-US"/>
        </w:rPr>
        <w:t>,</w:t>
      </w:r>
      <w:r w:rsidRPr="000A2DE8">
        <w:rPr>
          <w:sz w:val="22"/>
          <w:szCs w:val="22"/>
          <w:lang w:val="lt-LT" w:eastAsia="en-US"/>
        </w:rPr>
        <w:t>21</w:t>
      </w:r>
      <w:r w:rsidR="00DF01CB" w:rsidRPr="000A2DE8">
        <w:rPr>
          <w:sz w:val="22"/>
          <w:szCs w:val="22"/>
          <w:lang w:val="lt-LT" w:eastAsia="en-US"/>
        </w:rPr>
        <w:t>;</w:t>
      </w:r>
      <w:r w:rsidRPr="000A2DE8">
        <w:rPr>
          <w:sz w:val="22"/>
          <w:szCs w:val="22"/>
          <w:lang w:val="lt-LT" w:eastAsia="en-US"/>
        </w:rPr>
        <w:t xml:space="preserve"> 12</w:t>
      </w:r>
      <w:r w:rsidR="00DF01CB" w:rsidRPr="000A2DE8">
        <w:rPr>
          <w:sz w:val="22"/>
          <w:szCs w:val="22"/>
          <w:lang w:val="lt-LT" w:eastAsia="en-US"/>
        </w:rPr>
        <w:t>,</w:t>
      </w:r>
      <w:r w:rsidRPr="000A2DE8">
        <w:rPr>
          <w:sz w:val="22"/>
          <w:szCs w:val="22"/>
          <w:lang w:val="lt-LT" w:eastAsia="en-US"/>
        </w:rPr>
        <w:t xml:space="preserve">21 dienų) vartojant bozentaną, ir 8,6 dienos (95 % </w:t>
      </w:r>
      <w:r w:rsidR="00DF01CB" w:rsidRPr="000A2DE8">
        <w:rPr>
          <w:sz w:val="22"/>
          <w:szCs w:val="22"/>
          <w:lang w:val="lt-LT" w:eastAsia="en-US"/>
        </w:rPr>
        <w:t xml:space="preserve">PI: </w:t>
      </w:r>
      <w:r w:rsidRPr="000A2DE8">
        <w:rPr>
          <w:sz w:val="22"/>
          <w:szCs w:val="22"/>
          <w:lang w:val="lt-LT" w:eastAsia="en-US"/>
        </w:rPr>
        <w:t>3</w:t>
      </w:r>
      <w:r w:rsidR="00DF01CB" w:rsidRPr="000A2DE8">
        <w:rPr>
          <w:sz w:val="22"/>
          <w:szCs w:val="22"/>
          <w:lang w:val="lt-LT" w:eastAsia="en-US"/>
        </w:rPr>
        <w:t>,</w:t>
      </w:r>
      <w:r w:rsidRPr="000A2DE8">
        <w:rPr>
          <w:sz w:val="22"/>
          <w:szCs w:val="22"/>
          <w:lang w:val="lt-LT" w:eastAsia="en-US"/>
        </w:rPr>
        <w:t>71</w:t>
      </w:r>
      <w:r w:rsidR="00DF01CB" w:rsidRPr="000A2DE8">
        <w:rPr>
          <w:sz w:val="22"/>
          <w:szCs w:val="22"/>
          <w:lang w:val="lt-LT" w:eastAsia="en-US"/>
        </w:rPr>
        <w:t>;</w:t>
      </w:r>
      <w:r w:rsidRPr="000A2DE8">
        <w:rPr>
          <w:sz w:val="22"/>
          <w:szCs w:val="22"/>
          <w:lang w:val="lt-LT" w:eastAsia="en-US"/>
        </w:rPr>
        <w:t xml:space="preserve"> 9</w:t>
      </w:r>
      <w:r w:rsidR="00DF01CB" w:rsidRPr="000A2DE8">
        <w:rPr>
          <w:sz w:val="22"/>
          <w:szCs w:val="22"/>
          <w:lang w:val="lt-LT" w:eastAsia="en-US"/>
        </w:rPr>
        <w:t>,</w:t>
      </w:r>
      <w:r w:rsidRPr="000A2DE8">
        <w:rPr>
          <w:sz w:val="22"/>
          <w:szCs w:val="22"/>
          <w:lang w:val="lt-LT" w:eastAsia="en-US"/>
        </w:rPr>
        <w:t>66 dienos) vartojant placebą (p = 0,24).</w:t>
      </w:r>
    </w:p>
    <w:p w14:paraId="443507A1" w14:textId="77777777" w:rsidR="00CD51A4" w:rsidRPr="000A2DE8" w:rsidRDefault="00CD51A4" w:rsidP="00CD51A4">
      <w:pPr>
        <w:pStyle w:val="prastasiniatinklio"/>
        <w:shd w:val="clear" w:color="auto" w:fill="FFFFFF"/>
        <w:spacing w:before="0" w:beforeAutospacing="0" w:after="0" w:afterAutospacing="0" w:line="260" w:lineRule="atLeast"/>
        <w:rPr>
          <w:sz w:val="22"/>
          <w:szCs w:val="22"/>
          <w:lang w:val="lt-LT" w:eastAsia="en-US"/>
        </w:rPr>
      </w:pPr>
      <w:r w:rsidRPr="000A2DE8">
        <w:rPr>
          <w:sz w:val="22"/>
          <w:szCs w:val="22"/>
          <w:lang w:val="lt-LT" w:eastAsia="en-US"/>
        </w:rPr>
        <w:t>• Vienas pacientas bozentano grupėje patyrė gydymo nesėkmę (prireikė ECMO pagal protokolo apibrėžimą), kuri buvo paskelbta remiantis padidėjusiomis oksigenacijos rodiklio reikšmėmis per 8 val. nuo pirmosios tiriamojo vaisto dozės. Šis pacientas atsistatė per 60 dienų tęstinį laikotarpį.</w:t>
      </w:r>
    </w:p>
    <w:p w14:paraId="417281F5" w14:textId="77777777" w:rsidR="00CD51A4" w:rsidRPr="000A2DE8" w:rsidRDefault="00CD51A4" w:rsidP="00CD51A4">
      <w:pPr>
        <w:widowControl w:val="0"/>
        <w:tabs>
          <w:tab w:val="left" w:pos="9270"/>
        </w:tabs>
        <w:autoSpaceDE w:val="0"/>
        <w:autoSpaceDN w:val="0"/>
        <w:adjustRightInd w:val="0"/>
        <w:spacing w:after="0" w:line="240" w:lineRule="auto"/>
        <w:rPr>
          <w:rFonts w:ascii="Times New Roman" w:eastAsia="Times New Roman" w:hAnsi="Times New Roman"/>
        </w:rPr>
      </w:pPr>
    </w:p>
    <w:p w14:paraId="60F05F01" w14:textId="77777777" w:rsidR="00CD51A4" w:rsidRPr="000A2DE8" w:rsidRDefault="00CD51A4" w:rsidP="00CD51A4">
      <w:pPr>
        <w:widowControl w:val="0"/>
        <w:tabs>
          <w:tab w:val="left" w:pos="9270"/>
        </w:tabs>
        <w:autoSpaceDE w:val="0"/>
        <w:autoSpaceDN w:val="0"/>
        <w:adjustRightInd w:val="0"/>
        <w:spacing w:after="0" w:line="240" w:lineRule="auto"/>
        <w:rPr>
          <w:rFonts w:ascii="Times New Roman" w:eastAsia="Times New Roman" w:hAnsi="Times New Roman"/>
        </w:rPr>
      </w:pPr>
    </w:p>
    <w:p w14:paraId="0079A2C0" w14:textId="77777777" w:rsidR="00CD51A4" w:rsidRPr="00A26D2B" w:rsidRDefault="00CD51A4" w:rsidP="00CD51A4">
      <w:pPr>
        <w:widowControl w:val="0"/>
        <w:tabs>
          <w:tab w:val="left" w:pos="9270"/>
        </w:tabs>
        <w:autoSpaceDE w:val="0"/>
        <w:autoSpaceDN w:val="0"/>
        <w:adjustRightInd w:val="0"/>
        <w:spacing w:after="0" w:line="240" w:lineRule="auto"/>
        <w:rPr>
          <w:rFonts w:ascii="Times New Roman" w:eastAsia="Times New Roman" w:hAnsi="Times New Roman"/>
          <w:i/>
        </w:rPr>
      </w:pPr>
      <w:r w:rsidRPr="00A26D2B">
        <w:rPr>
          <w:rFonts w:ascii="Times New Roman" w:hAnsi="Times New Roman"/>
          <w:i/>
          <w:spacing w:val="-1"/>
        </w:rPr>
        <w:t>Kombinacija su epoprostenoliu</w:t>
      </w:r>
    </w:p>
    <w:p w14:paraId="55655D1E" w14:textId="77777777" w:rsidR="00CD51A4" w:rsidRPr="000A2DE8" w:rsidRDefault="00CD51A4" w:rsidP="00CD51A4">
      <w:pPr>
        <w:widowControl w:val="0"/>
        <w:tabs>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Bozentano ir epoprostenolio derinys buvo tiriamas dviejų tyrimų metu: AC-052-355 (BREATHE-2) ir AC- 052-356 (BREATHE-3). AC-052-355 buvo, daugiacentris, atsitiktinės atrankos, dvigubai aklas lygiagrečių grupių preparato bozentano tyrimas, palyginti su placebu 33 pacientams</w:t>
      </w:r>
      <w:r w:rsidR="00DF01CB" w:rsidRPr="000A2DE8">
        <w:rPr>
          <w:rFonts w:ascii="Times New Roman" w:hAnsi="Times New Roman"/>
          <w:spacing w:val="2"/>
        </w:rPr>
        <w:t>, sergantiems</w:t>
      </w:r>
      <w:r w:rsidRPr="000A2DE8">
        <w:rPr>
          <w:rFonts w:ascii="Times New Roman" w:hAnsi="Times New Roman"/>
          <w:spacing w:val="2"/>
        </w:rPr>
        <w:t xml:space="preserve"> </w:t>
      </w:r>
      <w:r w:rsidR="00DF01CB" w:rsidRPr="000A2DE8">
        <w:rPr>
          <w:rFonts w:ascii="Times New Roman" w:hAnsi="Times New Roman"/>
          <w:spacing w:val="2"/>
        </w:rPr>
        <w:t xml:space="preserve">sunkia </w:t>
      </w:r>
      <w:r w:rsidR="002746A3" w:rsidRPr="000A2DE8">
        <w:rPr>
          <w:rFonts w:ascii="Times New Roman" w:hAnsi="Times New Roman"/>
          <w:spacing w:val="2"/>
        </w:rPr>
        <w:t>PH</w:t>
      </w:r>
      <w:r w:rsidRPr="000A2DE8">
        <w:rPr>
          <w:rFonts w:ascii="Times New Roman" w:hAnsi="Times New Roman"/>
          <w:spacing w:val="2"/>
        </w:rPr>
        <w:t>, kuriems buvo kartu skiriamas gydymas epoprostenoliu. AC-052-356 buvo atviras, nekontroliuojamas klinikinis tyrimas; 10 iš 19 pediatrijos pacientų vienu metu buvo gydomi ir bozentanu, ir epoprostenoliu 12 savaičių tyrimo laikotarpiu. Šio derinio saugos profilis nesiskyrė nuo to, kurio buvo tikimasi su kiekvienu komponentu atskirai, o suderintą gydymą gerai toleravo ir vaikai, ir suaugusieji. Šio derinio klinikinė nauda nebuvo nustatyta.</w:t>
      </w:r>
    </w:p>
    <w:p w14:paraId="2CB218A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7695C7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i/>
        </w:rPr>
      </w:pPr>
      <w:r w:rsidRPr="00A26D2B">
        <w:rPr>
          <w:rFonts w:ascii="Times New Roman" w:hAnsi="Times New Roman"/>
          <w:i/>
        </w:rPr>
        <w:t>Sisteminė sklerozė su progresuojančia pirštų opalige</w:t>
      </w:r>
    </w:p>
    <w:p w14:paraId="300C52B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Dvejuose atsitiktinių imčių, dvigubai koduotuose, daugiacentriuose, placebu kontroliuotuose klinikiniuose tyrimuose, kuriuose dalyvavo 122 (tyrimas AC-052-401 (RAPIDS-1)) ir 190 (tyrimas AC-052-331 (RAPIDS-2)) suaugusių pacientų, sergančių sistemine skleroze ir pirštų opalige (progresuojančia pirštų opalige arba jeigu pirštų opaligė buvo pasireiškusi per ankstesnius metus). Tyrime AC-052-331 dalyvavo pacientai, kuriems neseniai pirštų opaligė buvo pasireiškusi bent vieną kartą, o abiejuose tyrimuose 85 % pacientų progresuojančia pirštų opalige sirgo tyrimų pradžioje. Po 4 savaičių gydymo 62,5 mg bozentano doze dukart per parą, šiuose abejuose tyrimuose buvo tiriama 125 mg dukart per parą. Gydymas dvigubai koduotu būdu truko 16 savaičių tyrime AC-052-401 ir 24 savaites tyrime AC-052-331.</w:t>
      </w:r>
    </w:p>
    <w:p w14:paraId="63CDED0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E0B085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Papildomai gydyti sisteminę sklerozę ir pirštų opas buvo leidžiama, jei nuolatinis gydymas truko ne mažiau kaip 1 mėnesį prieš gydymą tiriamuoju vaistu ir dvigubai koduotų tyrimų metu.</w:t>
      </w:r>
    </w:p>
    <w:p w14:paraId="384D14C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0220DD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Pirminis vertinimo kriterijus abejuose tyrimuose buvo naujų pirštų opų, atsivėrusių nuo tyrimų pradžios, skaičius. Bozentanu gydomiems pacientams terapijos metu atsivėrė mažiau naujų pirštų opų, nei placebą vartojusiems ligoniams. Tyrime AC-052-401, per 16 gydymo savaičių dvigubai koduotu būdu bozentano grupės pacientams išsivystė vidutiniškai 1,4 naujų pirštų opų </w:t>
      </w:r>
    </w:p>
    <w:p w14:paraId="357A209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palyginti su 2,7 naujų pirštų opų placebo (p = 0.0042). Tyrime AC-052-331, per 24 gydymo savaites dvigubai koduotu būdu naujų opų kiekis buvo atitinkamai 1,9 ir 2,7 (p = 0,0351). Abejuose tyrimuose bozentaną vartojusiems pacientams gydymo metu išsivystė mažiau naujų daugiažidininių pirštų opų ir laikotarpis tarp sekančios naujos pirštų opos išsivystymo buvo ilgesnis, nei placebo grupėje. Bozentano naujų pirštų opų atsivėrimo mažinimo poveikis stipriau pasireiškė pacientams, turintiems daugiažidininių pirštų opų.</w:t>
      </w:r>
    </w:p>
    <w:p w14:paraId="294103C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E3A664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Abejose tyrimuose nebuvo stebimas ilgalaikis bozentano poveikis pirštų opų gijimui.</w:t>
      </w:r>
    </w:p>
    <w:p w14:paraId="6173414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D9B5E0A"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5.2</w:t>
      </w:r>
      <w:r w:rsidRPr="000A2DE8">
        <w:rPr>
          <w:rFonts w:ascii="Times New Roman" w:hAnsi="Times New Roman"/>
        </w:rPr>
        <w:tab/>
      </w:r>
      <w:r w:rsidRPr="000A2DE8">
        <w:rPr>
          <w:rFonts w:ascii="Times New Roman" w:hAnsi="Times New Roman"/>
          <w:b/>
        </w:rPr>
        <w:t>Farmakokinetinės savybės</w:t>
      </w:r>
    </w:p>
    <w:p w14:paraId="6C73700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39DF14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Bozentano farmakokinetika daugiausiai buvo dokumentuojama sveikiems asmenims. Riboti duomenys apie pacientus parodė, kad bozentano poveikis suaugusiems pacientams, sergantiems </w:t>
      </w:r>
      <w:r w:rsidR="002746A3" w:rsidRPr="000A2DE8">
        <w:rPr>
          <w:rFonts w:ascii="Times New Roman" w:hAnsi="Times New Roman"/>
          <w:spacing w:val="2"/>
        </w:rPr>
        <w:t>PH</w:t>
      </w:r>
      <w:r w:rsidRPr="000A2DE8">
        <w:rPr>
          <w:rFonts w:ascii="Times New Roman" w:hAnsi="Times New Roman"/>
          <w:spacing w:val="2"/>
        </w:rPr>
        <w:t xml:space="preserve">, yra maždaug </w:t>
      </w:r>
      <w:r w:rsidR="00DF01CB" w:rsidRPr="000A2DE8">
        <w:rPr>
          <w:rFonts w:ascii="Times New Roman" w:hAnsi="Times New Roman"/>
          <w:spacing w:val="2"/>
        </w:rPr>
        <w:t>2 </w:t>
      </w:r>
      <w:r w:rsidRPr="000A2DE8">
        <w:rPr>
          <w:rFonts w:ascii="Times New Roman" w:hAnsi="Times New Roman"/>
          <w:spacing w:val="2"/>
        </w:rPr>
        <w:t>kartus didesnis, nei sveikiems asmenims.</w:t>
      </w:r>
    </w:p>
    <w:p w14:paraId="7D3DC26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557B73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Sveikiems asmenims bozentanas turi nuo dozės ir laiko priklausančią farmakokinetiką. Klirensas ir pasiskirstymo tūris sumažėja, vartojat padidintas intravenines dozes ir padidėja bėgant laikui. Išgėrus, sisteminis poveikis proporcingai padidėja iki 500 mg dozės. Išgėrus didesnes dozes, C</w:t>
      </w:r>
      <w:r w:rsidRPr="000A2DE8">
        <w:rPr>
          <w:rFonts w:ascii="Times New Roman" w:hAnsi="Times New Roman"/>
          <w:spacing w:val="-4"/>
          <w:vertAlign w:val="subscript"/>
        </w:rPr>
        <w:t>max</w:t>
      </w:r>
      <w:r w:rsidRPr="000A2DE8">
        <w:rPr>
          <w:rFonts w:ascii="Times New Roman" w:hAnsi="Times New Roman"/>
          <w:spacing w:val="-4"/>
        </w:rPr>
        <w:t xml:space="preserve"> ir AUC padidėja </w:t>
      </w:r>
      <w:r w:rsidRPr="000A2DE8">
        <w:rPr>
          <w:rFonts w:ascii="Times New Roman" w:hAnsi="Times New Roman"/>
          <w:spacing w:val="-4"/>
        </w:rPr>
        <w:lastRenderedPageBreak/>
        <w:t>mažiau nei proporcingai pagal suvartotą dozę.</w:t>
      </w:r>
    </w:p>
    <w:p w14:paraId="511BC19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0DFBD0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Absorbcija</w:t>
      </w:r>
    </w:p>
    <w:p w14:paraId="1263FF0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Sveikiems asmenims absoliutus bozentano biologinis prieinamumas yra maždaug 50 % ir maistas jam poveikio neturi. Maksimali koncentracija plazmoje pasiekiama per 3–5 valandas.</w:t>
      </w:r>
    </w:p>
    <w:p w14:paraId="213B739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0CDCBE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position w:val="-1"/>
          <w:u w:val="single"/>
        </w:rPr>
        <w:t>Pasiskirstymas</w:t>
      </w:r>
    </w:p>
    <w:p w14:paraId="721466A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Bozentanas smarkiai jungiasi (&gt; 98 %) su plazmos baltymais, ypač albuminu. Bozentanas neprasiskverbia į eritrocitus.</w:t>
      </w:r>
    </w:p>
    <w:p w14:paraId="13B24F8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AA120F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Sušvirkštus intraveninę 250 mg dozę nustatytas 18 litrų pasiskirstymo tūris (Vss).</w:t>
      </w:r>
    </w:p>
    <w:p w14:paraId="52799AE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E38C2E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Biotransformacija ir eliminacija</w:t>
      </w:r>
    </w:p>
    <w:p w14:paraId="029AAF4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Po vienos 250 mg intraveninės dozės klirensas buvo 8,2 l/h. Galutinis pusinės eliminacijos periodas (t</w:t>
      </w:r>
      <w:r w:rsidRPr="000A2DE8">
        <w:rPr>
          <w:rFonts w:ascii="Times New Roman" w:hAnsi="Times New Roman"/>
          <w:spacing w:val="-1"/>
          <w:vertAlign w:val="subscript"/>
        </w:rPr>
        <w:t>1/2</w:t>
      </w:r>
      <w:r w:rsidRPr="000A2DE8">
        <w:rPr>
          <w:rFonts w:ascii="Times New Roman" w:hAnsi="Times New Roman"/>
          <w:spacing w:val="-1"/>
        </w:rPr>
        <w:t>) yra 5,4 valandos.</w:t>
      </w:r>
    </w:p>
    <w:p w14:paraId="03420A1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789ADB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Po keleto dozių bozentano koncentracija plazmoje palaipsniui sumažėja iki 50–65 %, palyginti su koncentracijomis po vienos dozės. Šį sumažėjimą tikriausiai lemia metabolinių kepenų fermentų autoindukcija. Pastovumo būklė pasiekiama per 3–5 dienas.</w:t>
      </w:r>
    </w:p>
    <w:p w14:paraId="17D8EC3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7E9A29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Bozentanas pašalinamas tulžies ekskrecijos metu, prieš tai kepenyse P450 izofermentų CYP2C9 ir CYP3A4 dėka metabolizuojamas. Mažiau nei 3 % išgertos dozės išskiriama su šlapimu.</w:t>
      </w:r>
    </w:p>
    <w:p w14:paraId="590EF7C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E455AC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Bozentanas suformuoja tris metabolitus ir tik vienas iš jų yra farmakologiškai aktyvus. Šis metabolitas labiausiai išskiriamas nepakitęs per tulžį. Suaugusiems pacientams aktyvaus metabolito poveikis yra didesnis nei sveikiems asmenims. Pacientams, kuriems pasireiškia cholestazė, aktyvaus metabolito poveikis gali būti didesnis.</w:t>
      </w:r>
    </w:p>
    <w:p w14:paraId="35B9307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C84C50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Bozentanas yra CYP2C9 ir CYP3A4, ir tikriausiai CYP2C19 ir P-glikoproteino induktorius. </w:t>
      </w:r>
      <w:r w:rsidRPr="000A2DE8">
        <w:rPr>
          <w:rFonts w:ascii="Times New Roman" w:hAnsi="Times New Roman"/>
          <w:i/>
          <w:spacing w:val="-1"/>
        </w:rPr>
        <w:t>In vitro</w:t>
      </w:r>
      <w:r w:rsidRPr="000A2DE8">
        <w:rPr>
          <w:rFonts w:ascii="Times New Roman" w:hAnsi="Times New Roman"/>
          <w:spacing w:val="-1"/>
        </w:rPr>
        <w:t>, bozentanas slopina tulžies druskų išsiurbimą kepenų ląstelių kultūrose.</w:t>
      </w:r>
    </w:p>
    <w:p w14:paraId="2C86A2A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41B0B6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i/>
        </w:rPr>
        <w:t xml:space="preserve">In vitro </w:t>
      </w:r>
      <w:r w:rsidRPr="000A2DE8">
        <w:rPr>
          <w:rFonts w:ascii="Times New Roman" w:hAnsi="Times New Roman"/>
        </w:rPr>
        <w:t>duomenys parodė, kad bozentanas neturėjo jokio ryškesnio slopinančio poveikio patikrintiems CYP izofermentams (CYP1A2, 2A6, 2B6, 2C8, 2C9, 2D6, 2E1, 3A4). Dėl šios priežasties bozentanas neturėtų didinti šių izofermentų metabolizuojamų vaistinių preparatų koncentracijos plazmoje.</w:t>
      </w:r>
    </w:p>
    <w:p w14:paraId="5C92533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48FB0D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u w:val="single"/>
        </w:rPr>
        <w:t xml:space="preserve">Farmakokinetika </w:t>
      </w:r>
      <w:r w:rsidR="00D32C04" w:rsidRPr="000A2DE8">
        <w:rPr>
          <w:rFonts w:ascii="Times New Roman" w:hAnsi="Times New Roman"/>
          <w:position w:val="-1"/>
          <w:u w:val="single"/>
        </w:rPr>
        <w:t>ypatingose populiacijose</w:t>
      </w:r>
    </w:p>
    <w:p w14:paraId="4780CB2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 xml:space="preserve">Atsižvelgiant į kiekvieno kintamojo tyrimo rezultatus nepanašu, kad bozentano farmakokinetikai kokios nors įtakos turėtų lytis, kūno svoris, rasė ar amžius suaugusiųjų populiacijoje. </w:t>
      </w:r>
    </w:p>
    <w:p w14:paraId="32FD775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0D85A50" w14:textId="77777777" w:rsidR="00CD51A4" w:rsidRPr="00A26D2B" w:rsidRDefault="00CD51A4" w:rsidP="00CD51A4">
      <w:pPr>
        <w:widowControl w:val="0"/>
        <w:autoSpaceDE w:val="0"/>
        <w:autoSpaceDN w:val="0"/>
        <w:adjustRightInd w:val="0"/>
        <w:spacing w:after="0" w:line="240" w:lineRule="auto"/>
        <w:rPr>
          <w:rFonts w:ascii="Times New Roman" w:eastAsia="Times New Roman" w:hAnsi="Times New Roman"/>
          <w:i/>
          <w:spacing w:val="-1"/>
        </w:rPr>
      </w:pPr>
      <w:r w:rsidRPr="00A26D2B">
        <w:rPr>
          <w:rFonts w:ascii="Times New Roman" w:hAnsi="Times New Roman"/>
          <w:i/>
          <w:spacing w:val="-1"/>
        </w:rPr>
        <w:t>Vaikai</w:t>
      </w:r>
    </w:p>
    <w:p w14:paraId="470D85C1" w14:textId="77777777" w:rsidR="00CD51A4" w:rsidRPr="000A2DE8" w:rsidRDefault="00CD51A4" w:rsidP="00CD51A4">
      <w:pPr>
        <w:widowControl w:val="0"/>
        <w:autoSpaceDE w:val="0"/>
        <w:autoSpaceDN w:val="0"/>
        <w:adjustRightInd w:val="0"/>
        <w:spacing w:before="6" w:after="0" w:line="240" w:lineRule="auto"/>
        <w:ind w:right="335"/>
        <w:rPr>
          <w:rFonts w:ascii="Times New Roman" w:hAnsi="Times New Roman"/>
        </w:rPr>
      </w:pPr>
      <w:r w:rsidRPr="000A2DE8">
        <w:rPr>
          <w:rFonts w:ascii="Times New Roman" w:hAnsi="Times New Roman"/>
        </w:rPr>
        <w:t>Farmakokinetika buvo tiriama su pediatriniais pacientais vykdant 4 klinikinius tyrimus (BREATHE-3, FUTURE 1, FUTURE-3 ir FUTURE-4, žr. 5.1 skyrių). Dėl ribotų jaunesnių kaip 2 metų vaikų duomenų, farmakokinetika šiai amžiaus grupei lieka tinkamai neapibūdinta.</w:t>
      </w:r>
    </w:p>
    <w:p w14:paraId="6CD11D05" w14:textId="77777777" w:rsidR="00CD51A4" w:rsidRPr="000A2DE8" w:rsidRDefault="00CD51A4" w:rsidP="00CD51A4">
      <w:pPr>
        <w:widowControl w:val="0"/>
        <w:autoSpaceDE w:val="0"/>
        <w:autoSpaceDN w:val="0"/>
        <w:adjustRightInd w:val="0"/>
        <w:spacing w:after="0" w:line="240" w:lineRule="auto"/>
        <w:rPr>
          <w:rFonts w:ascii="Times New Roman" w:hAnsi="Times New Roman"/>
          <w:spacing w:val="2"/>
        </w:rPr>
      </w:pPr>
    </w:p>
    <w:p w14:paraId="2D5335D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Tyrimo AC-052-356 </w:t>
      </w:r>
      <w:r w:rsidR="008F201D" w:rsidRPr="000A2DE8">
        <w:rPr>
          <w:rFonts w:ascii="Times New Roman" w:hAnsi="Times New Roman"/>
          <w:spacing w:val="2"/>
        </w:rPr>
        <w:t>(</w:t>
      </w:r>
      <w:r w:rsidRPr="000A2DE8">
        <w:rPr>
          <w:rFonts w:ascii="Times New Roman" w:hAnsi="Times New Roman"/>
          <w:spacing w:val="2"/>
        </w:rPr>
        <w:t>BREATH</w:t>
      </w:r>
      <w:r w:rsidR="008F201D" w:rsidRPr="000A2DE8">
        <w:rPr>
          <w:rFonts w:ascii="Times New Roman" w:hAnsi="Times New Roman"/>
          <w:spacing w:val="2"/>
        </w:rPr>
        <w:t>E</w:t>
      </w:r>
      <w:r w:rsidRPr="000A2DE8">
        <w:rPr>
          <w:rFonts w:ascii="Times New Roman" w:hAnsi="Times New Roman"/>
          <w:spacing w:val="2"/>
        </w:rPr>
        <w:t>-3</w:t>
      </w:r>
      <w:r w:rsidR="008F201D" w:rsidRPr="000A2DE8">
        <w:rPr>
          <w:rFonts w:ascii="Times New Roman" w:hAnsi="Times New Roman"/>
          <w:spacing w:val="2"/>
        </w:rPr>
        <w:t>)</w:t>
      </w:r>
      <w:r w:rsidRPr="000A2DE8">
        <w:rPr>
          <w:rFonts w:ascii="Times New Roman" w:hAnsi="Times New Roman"/>
          <w:spacing w:val="2"/>
        </w:rPr>
        <w:t xml:space="preserve"> metu buvo įvertinta vienos ir dauginių geriamų dozių bozentano plėvele dengtos tabletės formos farmakokinetika 19 vaikų nuo 3 iki 15 metų, sergančių </w:t>
      </w:r>
      <w:r w:rsidR="009D384A" w:rsidRPr="000A2DE8">
        <w:rPr>
          <w:rFonts w:ascii="Times New Roman" w:hAnsi="Times New Roman"/>
          <w:spacing w:val="2"/>
        </w:rPr>
        <w:t>PH</w:t>
      </w:r>
      <w:r w:rsidRPr="000A2DE8">
        <w:rPr>
          <w:rFonts w:ascii="Times New Roman" w:hAnsi="Times New Roman"/>
          <w:spacing w:val="2"/>
        </w:rPr>
        <w:t xml:space="preserve"> ir kuriems du kartus per dieną priklausomai nuo kūno svorio buvo taikomos </w:t>
      </w:r>
      <w:r w:rsidR="00FD48F7" w:rsidRPr="000A2DE8">
        <w:rPr>
          <w:rFonts w:ascii="Times New Roman" w:hAnsi="Times New Roman"/>
          <w:spacing w:val="2"/>
        </w:rPr>
        <w:t>2 </w:t>
      </w:r>
      <w:r w:rsidRPr="000A2DE8">
        <w:rPr>
          <w:rFonts w:ascii="Times New Roman" w:hAnsi="Times New Roman"/>
          <w:spacing w:val="2"/>
        </w:rPr>
        <w:t xml:space="preserve">mg/kg dozės. Šio tyrimo metu bozentano poveikis su laiku mažėja atitinkamai pagal žinomas bozentano autoindukcijos savybes. Vidutinės bozentano AUC (CV%) reikšmės pediatrijos pacientams, gydomiems su 31,25; 62,5 ar 125 mg dukart per parą, buvo atitinkamai 3496 (49), 5428 (79), ir 6124 (27) ng×h/ml, ir buvo mažesnės nei 8149 (47) ng×h/ml reikšmė, nustatyta suaugusiems pacientams, sergantiems </w:t>
      </w:r>
      <w:r w:rsidR="009D384A" w:rsidRPr="000A2DE8">
        <w:rPr>
          <w:rFonts w:ascii="Times New Roman" w:hAnsi="Times New Roman"/>
          <w:spacing w:val="2"/>
        </w:rPr>
        <w:t>PH</w:t>
      </w:r>
      <w:r w:rsidRPr="000A2DE8">
        <w:rPr>
          <w:rFonts w:ascii="Times New Roman" w:hAnsi="Times New Roman"/>
          <w:spacing w:val="2"/>
        </w:rPr>
        <w:t>, gaunant 125 mg du kartus per dieną. Esant stabiliai būsenai sisteminis poveikis pediatrijos pacientams, sveriantiems 10–20 kg, 20–40 kg ir &gt; 40 kg atitinkamai buvo 43 %, 67 % ir 75 %, palyginti su sisteminiu poveikiu suaugusiems.</w:t>
      </w:r>
    </w:p>
    <w:p w14:paraId="6C4537A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6758EA9" w14:textId="77777777" w:rsidR="00CD51A4" w:rsidRPr="000A2DE8" w:rsidRDefault="00CD51A4" w:rsidP="00CD51A4">
      <w:pPr>
        <w:widowControl w:val="0"/>
        <w:autoSpaceDE w:val="0"/>
        <w:autoSpaceDN w:val="0"/>
        <w:adjustRightInd w:val="0"/>
        <w:spacing w:after="0" w:line="240" w:lineRule="auto"/>
        <w:rPr>
          <w:rFonts w:ascii="Times New Roman" w:hAnsi="Times New Roman"/>
          <w:spacing w:val="-4"/>
        </w:rPr>
      </w:pPr>
      <w:r w:rsidRPr="000A2DE8">
        <w:rPr>
          <w:rFonts w:ascii="Times New Roman" w:hAnsi="Times New Roman"/>
          <w:spacing w:val="-4"/>
        </w:rPr>
        <w:t xml:space="preserve">Tyrime AC-052-365 (FUTURE 1) metu 36 vaikai nuo 2 iki 11 m., kurie sirgo </w:t>
      </w:r>
      <w:r w:rsidR="009D384A" w:rsidRPr="000A2DE8">
        <w:rPr>
          <w:rFonts w:ascii="Times New Roman" w:hAnsi="Times New Roman"/>
          <w:spacing w:val="-4"/>
        </w:rPr>
        <w:t>PH</w:t>
      </w:r>
      <w:r w:rsidR="008F201D" w:rsidRPr="000A2DE8">
        <w:rPr>
          <w:rFonts w:ascii="Times New Roman" w:hAnsi="Times New Roman"/>
          <w:spacing w:val="-4"/>
        </w:rPr>
        <w:t xml:space="preserve">, vartojo </w:t>
      </w:r>
      <w:r w:rsidR="008F201D" w:rsidRPr="000A2DE8">
        <w:rPr>
          <w:rFonts w:ascii="Times New Roman" w:hAnsi="Times New Roman"/>
          <w:spacing w:val="-4"/>
        </w:rPr>
        <w:lastRenderedPageBreak/>
        <w:t>disperguojamąsias tabletes</w:t>
      </w:r>
      <w:r w:rsidRPr="000A2DE8">
        <w:rPr>
          <w:rFonts w:ascii="Times New Roman" w:hAnsi="Times New Roman"/>
          <w:spacing w:val="-4"/>
        </w:rPr>
        <w:t xml:space="preserve">. Parametrų proporcingumo dozei nustatyta nebuvo, nes pastovioji bozentano koncentracija plazmoje </w:t>
      </w:r>
      <w:r w:rsidR="008F201D" w:rsidRPr="000A2DE8">
        <w:rPr>
          <w:rFonts w:ascii="Times New Roman" w:hAnsi="Times New Roman"/>
          <w:spacing w:val="-4"/>
        </w:rPr>
        <w:t xml:space="preserve">ir AUC </w:t>
      </w:r>
      <w:r w:rsidRPr="000A2DE8">
        <w:rPr>
          <w:rFonts w:ascii="Times New Roman" w:hAnsi="Times New Roman"/>
          <w:spacing w:val="-4"/>
        </w:rPr>
        <w:t>per burną vartojant 2 ir 4 mg/kg dozes buvo panaš</w:t>
      </w:r>
      <w:r w:rsidR="00497D51" w:rsidRPr="000A2DE8">
        <w:rPr>
          <w:rFonts w:ascii="Times New Roman" w:hAnsi="Times New Roman"/>
          <w:spacing w:val="-4"/>
        </w:rPr>
        <w:t>ios</w:t>
      </w:r>
      <w:r w:rsidRPr="000A2DE8">
        <w:rPr>
          <w:rFonts w:ascii="Times New Roman" w:hAnsi="Times New Roman"/>
          <w:spacing w:val="-4"/>
        </w:rPr>
        <w:t xml:space="preserve"> (AUCτ buvo </w:t>
      </w:r>
      <w:r w:rsidR="00497D51" w:rsidRPr="000A2DE8">
        <w:rPr>
          <w:rFonts w:ascii="Times New Roman" w:hAnsi="Times New Roman"/>
          <w:spacing w:val="-4"/>
        </w:rPr>
        <w:t xml:space="preserve">atitinkamai </w:t>
      </w:r>
      <w:r w:rsidRPr="000A2DE8">
        <w:rPr>
          <w:rFonts w:ascii="Times New Roman" w:hAnsi="Times New Roman"/>
          <w:spacing w:val="-4"/>
        </w:rPr>
        <w:t>3 577 ng</w:t>
      </w:r>
      <w:r w:rsidRPr="000A2DE8">
        <w:rPr>
          <w:rFonts w:ascii="Times New Roman" w:hAnsi="Times New Roman"/>
          <w:spacing w:val="2"/>
        </w:rPr>
        <w:t>×</w:t>
      </w:r>
      <w:r w:rsidRPr="000A2DE8">
        <w:rPr>
          <w:rFonts w:ascii="Times New Roman" w:hAnsi="Times New Roman"/>
          <w:spacing w:val="-4"/>
        </w:rPr>
        <w:t>h/ml, vartojant 2 mg/kg dukart per parą</w:t>
      </w:r>
      <w:r w:rsidR="00497D51" w:rsidRPr="000A2DE8">
        <w:rPr>
          <w:rFonts w:ascii="Times New Roman" w:hAnsi="Times New Roman"/>
          <w:spacing w:val="-4"/>
        </w:rPr>
        <w:t>,</w:t>
      </w:r>
      <w:r w:rsidRPr="000A2DE8">
        <w:rPr>
          <w:rFonts w:ascii="Times New Roman" w:hAnsi="Times New Roman"/>
          <w:spacing w:val="-4"/>
        </w:rPr>
        <w:t xml:space="preserve"> ir 3 371 ng</w:t>
      </w:r>
      <w:r w:rsidRPr="000A2DE8">
        <w:rPr>
          <w:rFonts w:ascii="Times New Roman" w:hAnsi="Times New Roman"/>
          <w:spacing w:val="2"/>
        </w:rPr>
        <w:t>×</w:t>
      </w:r>
      <w:r w:rsidRPr="000A2DE8">
        <w:rPr>
          <w:rFonts w:ascii="Times New Roman" w:hAnsi="Times New Roman"/>
          <w:spacing w:val="-4"/>
        </w:rPr>
        <w:t>h/ml, vartojant 4 mg/kg dukart per parą</w:t>
      </w:r>
      <w:r w:rsidR="00497D51" w:rsidRPr="000A2DE8">
        <w:rPr>
          <w:rFonts w:ascii="Times New Roman" w:hAnsi="Times New Roman"/>
          <w:spacing w:val="-4"/>
        </w:rPr>
        <w:t>)</w:t>
      </w:r>
      <w:r w:rsidRPr="000A2DE8">
        <w:rPr>
          <w:rFonts w:ascii="Times New Roman" w:hAnsi="Times New Roman"/>
          <w:spacing w:val="-4"/>
        </w:rPr>
        <w:t xml:space="preserve">. Vartojant 125 mg dukart per parą palaikomąją dozę, vidutinė bozentano ekspozicija šiems vaikams buvo maždaug dvigubai mažesnė, negu suaugusiesiems, tačiau daugeliu atvejų sutapo su ekspozicija suaugusiesiems. </w:t>
      </w:r>
    </w:p>
    <w:p w14:paraId="56EEC6D4" w14:textId="77777777" w:rsidR="00CD51A4" w:rsidRPr="000A2DE8" w:rsidRDefault="00CD51A4" w:rsidP="00CD51A4">
      <w:pPr>
        <w:widowControl w:val="0"/>
        <w:autoSpaceDE w:val="0"/>
        <w:autoSpaceDN w:val="0"/>
        <w:adjustRightInd w:val="0"/>
        <w:spacing w:before="32" w:after="0" w:line="240" w:lineRule="auto"/>
        <w:ind w:right="110"/>
        <w:rPr>
          <w:rFonts w:ascii="Times New Roman" w:hAnsi="Times New Roman"/>
        </w:rPr>
      </w:pPr>
    </w:p>
    <w:p w14:paraId="214EA043" w14:textId="77777777" w:rsidR="00CD51A4" w:rsidRPr="000A2DE8" w:rsidRDefault="00CD51A4" w:rsidP="00CD51A4">
      <w:pPr>
        <w:widowControl w:val="0"/>
        <w:autoSpaceDE w:val="0"/>
        <w:autoSpaceDN w:val="0"/>
        <w:adjustRightInd w:val="0"/>
        <w:spacing w:after="0" w:line="240" w:lineRule="auto"/>
        <w:rPr>
          <w:rFonts w:ascii="Times New Roman" w:hAnsi="Times New Roman"/>
        </w:rPr>
      </w:pPr>
      <w:r w:rsidRPr="000A2DE8">
        <w:rPr>
          <w:rFonts w:ascii="Times New Roman" w:hAnsi="Times New Roman"/>
        </w:rPr>
        <w:t>Tyrimo AC-052-373 [FUTURE 3] metu, skiriant disperguojamąsias tabletes bozentano poveikis pacientams, vartojusiems 2 mg/kg dozę du kartus per parą, buvo panašus į nustatytąjį tyrimo FUTURE 1 metu. Bendroje populiacijoje (n = 31), du kartus per parą vartojant 2 mg/kg dozę buvo gauta 8,</w:t>
      </w:r>
      <w:r w:rsidR="00FD48F7" w:rsidRPr="000A2DE8">
        <w:rPr>
          <w:rFonts w:ascii="Times New Roman" w:hAnsi="Times New Roman"/>
        </w:rPr>
        <w:t>535 </w:t>
      </w:r>
      <w:r w:rsidRPr="000A2DE8">
        <w:rPr>
          <w:rFonts w:ascii="Times New Roman" w:hAnsi="Times New Roman"/>
        </w:rPr>
        <w:t>ng·h/mL dienos ekspozicija; AUC</w:t>
      </w:r>
      <w:r w:rsidRPr="000A2DE8">
        <w:rPr>
          <w:rFonts w:ascii="Times New Roman" w:hAnsi="Times New Roman"/>
          <w:position w:val="-3"/>
        </w:rPr>
        <w:t>τ</w:t>
      </w:r>
      <w:r w:rsidRPr="000A2DE8">
        <w:rPr>
          <w:rFonts w:ascii="Times New Roman" w:hAnsi="Times New Roman"/>
        </w:rPr>
        <w:t> buvo 4,268 ng·h/mL (CV: 61%). Pacientams, kurių amžius nuo 3 mėnesių iki 2 metų, dienos ekspozicija buvo 7,879 ng·h/mL; AUC</w:t>
      </w:r>
      <w:r w:rsidRPr="000A2DE8">
        <w:rPr>
          <w:rFonts w:ascii="Times New Roman" w:hAnsi="Times New Roman"/>
          <w:position w:val="-3"/>
        </w:rPr>
        <w:t>τ</w:t>
      </w:r>
      <w:r w:rsidRPr="000A2DE8">
        <w:rPr>
          <w:rFonts w:ascii="Times New Roman" w:hAnsi="Times New Roman"/>
        </w:rPr>
        <w:t> buvo 3,939 ng·h/mL (CV: 72%). Pacientams, kurių amžius nuo 3 mėnesių iki 1 metų (n=2), AUC</w:t>
      </w:r>
      <w:r w:rsidRPr="000A2DE8">
        <w:rPr>
          <w:rFonts w:ascii="Times New Roman" w:hAnsi="Times New Roman"/>
          <w:position w:val="-3"/>
        </w:rPr>
        <w:t>τ</w:t>
      </w:r>
      <w:r w:rsidRPr="000A2DE8">
        <w:rPr>
          <w:rFonts w:ascii="Times New Roman" w:hAnsi="Times New Roman"/>
        </w:rPr>
        <w:t> buvo 5,914 ng·h/mL (CV: 85%), o pacientams, kurių amžius buvo nuo 1 iki 2 metai (n=7), AUC</w:t>
      </w:r>
      <w:r w:rsidRPr="000A2DE8">
        <w:rPr>
          <w:rFonts w:ascii="Times New Roman" w:hAnsi="Times New Roman"/>
          <w:position w:val="-3"/>
        </w:rPr>
        <w:t>τ</w:t>
      </w:r>
      <w:r w:rsidRPr="000A2DE8">
        <w:rPr>
          <w:rFonts w:ascii="Times New Roman" w:hAnsi="Times New Roman"/>
        </w:rPr>
        <w:t> buvo 3,507 ng·h/mL (CV: 70%). Vyresniems kaip 2 metų pacientams (n = 22) dienos ekspozicija buvo 8,820 ng·h/mL; AUC</w:t>
      </w:r>
      <w:r w:rsidRPr="000A2DE8">
        <w:rPr>
          <w:rFonts w:ascii="Times New Roman" w:hAnsi="Times New Roman"/>
          <w:position w:val="-3"/>
        </w:rPr>
        <w:t>τ</w:t>
      </w:r>
      <w:r w:rsidRPr="000A2DE8">
        <w:rPr>
          <w:rFonts w:ascii="Times New Roman" w:hAnsi="Times New Roman"/>
        </w:rPr>
        <w:t> buvo 4,410 ng·h/mL (CV: 58 %). Vartojant bozentaną 2 mg/kg tris kartus per parą ekspozicija nepadidėjo, dienos ekspozicija buvo 7,275 ng·h/mL (CV: 83 %, n = 27).</w:t>
      </w:r>
    </w:p>
    <w:p w14:paraId="6066FDBC" w14:textId="77777777" w:rsidR="00CD51A4" w:rsidRPr="000A2DE8" w:rsidRDefault="00CD51A4" w:rsidP="00CD51A4">
      <w:pPr>
        <w:widowControl w:val="0"/>
        <w:autoSpaceDE w:val="0"/>
        <w:autoSpaceDN w:val="0"/>
        <w:adjustRightInd w:val="0"/>
        <w:spacing w:after="0" w:line="240" w:lineRule="auto"/>
        <w:rPr>
          <w:rFonts w:ascii="Times New Roman" w:hAnsi="Times New Roman"/>
          <w:spacing w:val="-4"/>
        </w:rPr>
      </w:pPr>
    </w:p>
    <w:p w14:paraId="6A20F58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Remiantis tyrimų BREATHE-3 ir FUTURE 1 ir </w:t>
      </w:r>
      <w:r w:rsidRPr="000A2DE8">
        <w:rPr>
          <w:rFonts w:ascii="Times New Roman" w:hAnsi="Times New Roman"/>
        </w:rPr>
        <w:t xml:space="preserve">FUTURE 3 </w:t>
      </w:r>
      <w:r w:rsidRPr="000A2DE8">
        <w:rPr>
          <w:rFonts w:ascii="Times New Roman" w:hAnsi="Times New Roman"/>
          <w:spacing w:val="-4"/>
        </w:rPr>
        <w:t>išvadomis manoma, kad bozentano ekspozicija vaikams stabilizuojasi vartojant mažesnes dozes, negu suaugusiesiems, ir kad vartojant didesnes nei 2 mg/kg dozes dukart per parą</w:t>
      </w:r>
      <w:r w:rsidR="008F201D" w:rsidRPr="000A2DE8">
        <w:rPr>
          <w:rFonts w:ascii="Times New Roman" w:hAnsi="Times New Roman"/>
          <w:spacing w:val="-4"/>
        </w:rPr>
        <w:t xml:space="preserve"> (4 mg/kg dukart per parą arba 2 mg/kg triskart per parą)</w:t>
      </w:r>
      <w:r w:rsidRPr="000A2DE8">
        <w:rPr>
          <w:rFonts w:ascii="Times New Roman" w:hAnsi="Times New Roman"/>
          <w:spacing w:val="-4"/>
        </w:rPr>
        <w:t>, bozentano ekspozicija vaikų organizme nepadidėja.</w:t>
      </w:r>
    </w:p>
    <w:p w14:paraId="0D773866" w14:textId="77777777" w:rsidR="00CD51A4" w:rsidRPr="000A2DE8" w:rsidRDefault="00CD51A4" w:rsidP="00CD51A4">
      <w:pPr>
        <w:widowControl w:val="0"/>
        <w:autoSpaceDE w:val="0"/>
        <w:autoSpaceDN w:val="0"/>
        <w:adjustRightInd w:val="0"/>
        <w:spacing w:before="19" w:after="0" w:line="240" w:lineRule="auto"/>
      </w:pPr>
    </w:p>
    <w:p w14:paraId="31BB4F10" w14:textId="77777777" w:rsidR="00CD51A4" w:rsidRPr="000A2DE8" w:rsidRDefault="00CD51A4" w:rsidP="00CD51A4">
      <w:pPr>
        <w:widowControl w:val="0"/>
        <w:autoSpaceDE w:val="0"/>
        <w:autoSpaceDN w:val="0"/>
        <w:adjustRightInd w:val="0"/>
        <w:spacing w:before="19" w:after="0" w:line="240" w:lineRule="auto"/>
        <w:rPr>
          <w:rFonts w:ascii="Times New Roman" w:hAnsi="Times New Roman"/>
        </w:rPr>
      </w:pPr>
      <w:r w:rsidRPr="000A2DE8">
        <w:rPr>
          <w:rFonts w:ascii="Times New Roman" w:hAnsi="Times New Roman"/>
        </w:rPr>
        <w:t xml:space="preserve">Tyrimo AC-052-391 [FUTURE 4] su naujagimiais metu, bozentano koncentracija lėtai ir pastoviai didėjo pirmojo dozavimo intervalo metu, dėl to buvo gauta maža ekspozicija (AUC0-12 visame kraujyje: 164 ng·h/mL, n = 11). Pastovioje būklėje AUC τ buvo 6,165 ng·h/mL (CV: 133 %, n = 7), šis rezultatas yra panašus į ekspoziciją, stebėtą suaugusiems </w:t>
      </w:r>
      <w:r w:rsidR="009D384A" w:rsidRPr="000A2DE8">
        <w:rPr>
          <w:rFonts w:ascii="Times New Roman" w:hAnsi="Times New Roman"/>
        </w:rPr>
        <w:t>PH</w:t>
      </w:r>
      <w:r w:rsidRPr="000A2DE8">
        <w:rPr>
          <w:rFonts w:ascii="Times New Roman" w:hAnsi="Times New Roman"/>
        </w:rPr>
        <w:t xml:space="preserve"> pacientams, vartojusiems 125 mg du kartus per parą ir pritaikius 0,6 kraujo / plazmos pasiskirstymo koeficientą.</w:t>
      </w:r>
    </w:p>
    <w:p w14:paraId="79D4E08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6B621A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Šių išvadų pasekmės toksiniam poveikiui kepenims nežinomos. Lytis ir intraveninio epoprostenolio vartojimas tuo pačiu metu žymaus poveikio bozentano farmakokinetikai neturėjo.</w:t>
      </w:r>
    </w:p>
    <w:p w14:paraId="4435437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A699FDE" w14:textId="77777777" w:rsidR="00CD51A4" w:rsidRPr="00A4683A" w:rsidRDefault="00CD51A4" w:rsidP="00CD51A4">
      <w:pPr>
        <w:widowControl w:val="0"/>
        <w:autoSpaceDE w:val="0"/>
        <w:autoSpaceDN w:val="0"/>
        <w:adjustRightInd w:val="0"/>
        <w:spacing w:after="0" w:line="240" w:lineRule="auto"/>
        <w:rPr>
          <w:rFonts w:ascii="Times New Roman" w:eastAsia="Times New Roman" w:hAnsi="Times New Roman"/>
          <w:i/>
        </w:rPr>
      </w:pPr>
      <w:r w:rsidRPr="00A4683A">
        <w:rPr>
          <w:rFonts w:ascii="Times New Roman" w:hAnsi="Times New Roman"/>
          <w:i/>
          <w:spacing w:val="-1"/>
        </w:rPr>
        <w:t>Pacientams, kurių kepenų funkcija sutrikusi</w:t>
      </w:r>
    </w:p>
    <w:p w14:paraId="5126E29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i/>
          <w:iCs/>
        </w:rPr>
      </w:pPr>
      <w:r w:rsidRPr="000A2DE8">
        <w:rPr>
          <w:rFonts w:ascii="Times New Roman" w:hAnsi="Times New Roman"/>
          <w:spacing w:val="-4"/>
        </w:rPr>
        <w:t>Pacientams su nežymiu kepenų nepakankamumu (</w:t>
      </w:r>
      <w:r w:rsidRPr="000A2DE8">
        <w:rPr>
          <w:rFonts w:ascii="Times New Roman" w:hAnsi="Times New Roman"/>
          <w:i/>
          <w:spacing w:val="-4"/>
        </w:rPr>
        <w:t>Child-Pugh</w:t>
      </w:r>
      <w:r w:rsidRPr="000A2DE8">
        <w:rPr>
          <w:rFonts w:ascii="Times New Roman" w:hAnsi="Times New Roman"/>
          <w:spacing w:val="-4"/>
        </w:rPr>
        <w:t xml:space="preserve"> klasė A), nebuvo pastebėta jokių atitinkamų farmakokinetikos pokyčių. Stabili bozentano AUC būsena buvo 9 % didesnė, o aktyvaus metabolito Ro 48</w:t>
      </w:r>
      <w:r w:rsidRPr="000A2DE8">
        <w:rPr>
          <w:rFonts w:ascii="Times New Roman" w:hAnsi="Times New Roman"/>
          <w:spacing w:val="-4"/>
        </w:rPr>
        <w:noBreakHyphen/>
        <w:t>5033 AUC būsena buvo 33 % didesnė pacientams su nežymiu kepenų funkcijos nepakankamumu, nei sveikiems savanoriams.</w:t>
      </w:r>
    </w:p>
    <w:p w14:paraId="5BD0682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i/>
          <w:iCs/>
        </w:rPr>
      </w:pPr>
    </w:p>
    <w:p w14:paraId="6538156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iCs/>
        </w:rPr>
      </w:pPr>
      <w:r w:rsidRPr="000A2DE8">
        <w:rPr>
          <w:rFonts w:ascii="Times New Roman" w:hAnsi="Times New Roman"/>
        </w:rPr>
        <w:t>Vidutinio sunkumo kepenų funkcijos sutrikimo (</w:t>
      </w:r>
      <w:r w:rsidRPr="000A2DE8">
        <w:rPr>
          <w:rFonts w:ascii="Times New Roman" w:hAnsi="Times New Roman"/>
          <w:i/>
        </w:rPr>
        <w:t>Child-Pugh</w:t>
      </w:r>
      <w:r w:rsidRPr="000A2DE8">
        <w:rPr>
          <w:rFonts w:ascii="Times New Roman" w:hAnsi="Times New Roman"/>
        </w:rPr>
        <w:t xml:space="preserve"> B klasė) poveikis bozentano ir jo svarbiausio metabolito Ro 48</w:t>
      </w:r>
      <w:r w:rsidRPr="000A2DE8">
        <w:rPr>
          <w:rFonts w:ascii="Times New Roman" w:hAnsi="Times New Roman"/>
        </w:rPr>
        <w:noBreakHyphen/>
        <w:t xml:space="preserve">5033 farmakokinetikai buvo ištirtas tyrime, įskaitant 5 pacientus, sergančius plaučių hipertenzija, siejama su vartų venos hipertenzija ir </w:t>
      </w:r>
      <w:r w:rsidRPr="000A2DE8">
        <w:rPr>
          <w:rFonts w:ascii="Times New Roman" w:hAnsi="Times New Roman"/>
          <w:i/>
        </w:rPr>
        <w:t>Child-Pugh</w:t>
      </w:r>
      <w:r w:rsidRPr="000A2DE8">
        <w:rPr>
          <w:rFonts w:ascii="Times New Roman" w:hAnsi="Times New Roman"/>
        </w:rPr>
        <w:t xml:space="preserve"> B klasės kepenų nepakankamumu, ir 3 pacientus, sergančius kitų priežasčių sukelta </w:t>
      </w:r>
      <w:r w:rsidR="008F201D" w:rsidRPr="000A2DE8">
        <w:rPr>
          <w:rFonts w:ascii="Times New Roman" w:hAnsi="Times New Roman"/>
        </w:rPr>
        <w:t>PH</w:t>
      </w:r>
      <w:r w:rsidRPr="000A2DE8">
        <w:rPr>
          <w:rFonts w:ascii="Times New Roman" w:hAnsi="Times New Roman"/>
        </w:rPr>
        <w:t xml:space="preserve"> ir esant normaliai kepenų funkcijai. Pacientams sirgusiems </w:t>
      </w:r>
      <w:r w:rsidRPr="000A2DE8">
        <w:rPr>
          <w:rFonts w:ascii="Times New Roman" w:hAnsi="Times New Roman"/>
          <w:i/>
        </w:rPr>
        <w:t>Child-Pugh</w:t>
      </w:r>
      <w:r w:rsidRPr="000A2DE8">
        <w:rPr>
          <w:rFonts w:ascii="Times New Roman" w:hAnsi="Times New Roman"/>
        </w:rPr>
        <w:t xml:space="preserve"> B klasės kepenų nepakankamumu, susidarius pusiausvyrinei koncentracijai, bozentano AUC vidurkis (95 % CI) buvo 360 (212–613) ng</w:t>
      </w:r>
      <w:r w:rsidRPr="000A2DE8">
        <w:rPr>
          <w:rFonts w:ascii="Times New Roman" w:hAnsi="Times New Roman"/>
          <w:spacing w:val="2"/>
        </w:rPr>
        <w:t>×</w:t>
      </w:r>
      <w:r w:rsidRPr="000A2DE8">
        <w:rPr>
          <w:rFonts w:ascii="Times New Roman" w:hAnsi="Times New Roman"/>
        </w:rPr>
        <w:t>h/ml, t. y. 4,7 karto didesnis, o aktyviojo metabolito Ro 48</w:t>
      </w:r>
      <w:r w:rsidRPr="000A2DE8">
        <w:rPr>
          <w:rFonts w:ascii="Times New Roman" w:hAnsi="Times New Roman"/>
        </w:rPr>
        <w:noBreakHyphen/>
        <w:t>5033 AUC vidurkis (95 % CI) buvo 106 (58,4–192) ng</w:t>
      </w:r>
      <w:r w:rsidRPr="000A2DE8">
        <w:rPr>
          <w:rFonts w:ascii="Times New Roman" w:hAnsi="Times New Roman"/>
          <w:spacing w:val="2"/>
        </w:rPr>
        <w:t>×</w:t>
      </w:r>
      <w:r w:rsidRPr="000A2DE8">
        <w:rPr>
          <w:rFonts w:ascii="Times New Roman" w:hAnsi="Times New Roman"/>
        </w:rPr>
        <w:t>h/ml, t. y. 12,4 karto didesnis negu pacientams, kurių kepenų funkcija normali (bozentano AUC vidurkis [95 % CI]: 76,1 [9,07</w:t>
      </w:r>
      <w:r w:rsidRPr="000A2DE8">
        <w:rPr>
          <w:rFonts w:ascii="Times New Roman" w:hAnsi="Times New Roman"/>
        </w:rPr>
        <w:noBreakHyphen/>
        <w:t>638] ng</w:t>
      </w:r>
      <w:r w:rsidRPr="000A2DE8">
        <w:rPr>
          <w:rFonts w:ascii="Times New Roman" w:hAnsi="Times New Roman"/>
          <w:spacing w:val="2"/>
        </w:rPr>
        <w:t>×</w:t>
      </w:r>
      <w:r w:rsidRPr="000A2DE8">
        <w:rPr>
          <w:rFonts w:ascii="Times New Roman" w:hAnsi="Times New Roman"/>
        </w:rPr>
        <w:t>h/ml; Ro 48-5033 AUC vidurkis (95 % CI): [95 % CI] 8,57 [1,28–57,2] ng</w:t>
      </w:r>
      <w:r w:rsidRPr="000A2DE8">
        <w:rPr>
          <w:rFonts w:ascii="Times New Roman" w:hAnsi="Times New Roman"/>
          <w:spacing w:val="2"/>
        </w:rPr>
        <w:t>×</w:t>
      </w:r>
      <w:r w:rsidRPr="000A2DE8">
        <w:rPr>
          <w:rFonts w:ascii="Times New Roman" w:hAnsi="Times New Roman"/>
        </w:rPr>
        <w:t>h/ml). Nors į tyrimą įtrauktų pacientų skaičius buvo ribotas ir kintamumas buvo aukštas, šie duomenys rodo žymų bozentano ir jo svarbiausio metabolito Ro 48</w:t>
      </w:r>
      <w:r w:rsidRPr="000A2DE8">
        <w:rPr>
          <w:rFonts w:ascii="Times New Roman" w:hAnsi="Times New Roman"/>
        </w:rPr>
        <w:noBreakHyphen/>
        <w:t>5033 ekspozicijos padidėjimą pacientams, kuriems yra vidutinio sunkumo kepenų funkcijos sutrikimas (</w:t>
      </w:r>
      <w:r w:rsidRPr="000A2DE8">
        <w:rPr>
          <w:rFonts w:ascii="Times New Roman" w:hAnsi="Times New Roman"/>
          <w:i/>
        </w:rPr>
        <w:t>Child-Pugh</w:t>
      </w:r>
      <w:r w:rsidRPr="000A2DE8">
        <w:rPr>
          <w:rFonts w:ascii="Times New Roman" w:hAnsi="Times New Roman"/>
        </w:rPr>
        <w:t xml:space="preserve"> B klasė).</w:t>
      </w:r>
    </w:p>
    <w:p w14:paraId="3398FE1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i/>
          <w:iCs/>
        </w:rPr>
      </w:pPr>
    </w:p>
    <w:p w14:paraId="0F584F4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 xml:space="preserve">Bozentano farmakokinetika nebuvo tiriama pacientams, kuriems yra Child-Pugh C klasės kepenų funkcijos sutrikimas. Bozentaną pacientams, kuriems nustatytas vidutinis arba sunkus kepenų funkcijos sutrikimas, pvz., </w:t>
      </w:r>
      <w:r w:rsidRPr="000A2DE8">
        <w:rPr>
          <w:rFonts w:ascii="Times New Roman" w:hAnsi="Times New Roman"/>
          <w:i/>
          <w:spacing w:val="2"/>
        </w:rPr>
        <w:t>Child-Pugh</w:t>
      </w:r>
      <w:r w:rsidRPr="000A2DE8">
        <w:rPr>
          <w:rFonts w:ascii="Times New Roman" w:hAnsi="Times New Roman"/>
          <w:spacing w:val="2"/>
        </w:rPr>
        <w:t xml:space="preserve"> B ar C klasė, vartoti draudžiama (žr. 4.3 skyrių).</w:t>
      </w:r>
    </w:p>
    <w:p w14:paraId="49E66D5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7FCDFC5" w14:textId="77777777" w:rsidR="00CD51A4" w:rsidRPr="00A4683A" w:rsidRDefault="00CD51A4" w:rsidP="00CD51A4">
      <w:pPr>
        <w:widowControl w:val="0"/>
        <w:autoSpaceDE w:val="0"/>
        <w:autoSpaceDN w:val="0"/>
        <w:adjustRightInd w:val="0"/>
        <w:spacing w:after="0" w:line="240" w:lineRule="auto"/>
        <w:rPr>
          <w:rFonts w:ascii="Times New Roman" w:eastAsia="Times New Roman" w:hAnsi="Times New Roman"/>
          <w:i/>
        </w:rPr>
      </w:pPr>
      <w:r w:rsidRPr="00A4683A">
        <w:rPr>
          <w:rFonts w:ascii="Times New Roman" w:hAnsi="Times New Roman"/>
          <w:i/>
          <w:spacing w:val="-1"/>
        </w:rPr>
        <w:lastRenderedPageBreak/>
        <w:t>Inkstų funkcijos sutrikimas</w:t>
      </w:r>
    </w:p>
    <w:p w14:paraId="2B21618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Pacientams su sunkiu inkstų nepakankamumu (kreatinino klirensu 15–30 ml/min.), bozentano koncentracija plazmoje sumažėjo maždaug 10 %. Bozentano metabolitų koncentracijos plazmoje šiems pacientams padidėjo maždaug 2 kartus, palyginti su asmenimis, kurių inkstai funkcionuoja normaliai. Pacientams, kuriems pasireiškia inkstų funkcijų pažeidimas, dozės koreguoti nereikia. Konkrečios klinikinės patirties su pacientais, kuriems atliekama dializė, nėra. Atsižvelgiant į fizikines ir chemines savybes ir aukšto laipsnio susijungimą su baltymais, bozentanas neturėtų būti pašalinamas iš kraujotakos žymiu mastu, atliekant dializę (žr. 4.2 skyrių).</w:t>
      </w:r>
    </w:p>
    <w:p w14:paraId="3AA6830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0FCA1D8"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5.3</w:t>
      </w:r>
      <w:r w:rsidRPr="000A2DE8">
        <w:rPr>
          <w:rFonts w:ascii="Times New Roman" w:hAnsi="Times New Roman"/>
        </w:rPr>
        <w:tab/>
      </w:r>
      <w:r w:rsidRPr="000A2DE8">
        <w:rPr>
          <w:rFonts w:ascii="Times New Roman" w:hAnsi="Times New Roman"/>
          <w:b/>
        </w:rPr>
        <w:t>Ikiklinikinių saugumo tyrimų duomenys</w:t>
      </w:r>
    </w:p>
    <w:p w14:paraId="16D9A53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6A3652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2 metų kancerogeniškumo tyrimai su pelėmis parodė padidėjusį jungtinį kepenų ląstelių adenomų ir karcinomų dažnį patinėliams, bet ne patelėms, kai koncentracija plazmoje buvo maždaug 2–4 kartus didesnės, palyginti su koncentracijomis plazmoje, reikalingomis gydant žmones. Žiurkes girdant bozentanu 2 metus pasireiškė nedidelis, bet statistiškai reikšmingas skydliaukės folikulinių ląstelių adenomų ir karcinomų jungtinis dažnio padidėjimas patinėliams, bet ne patelėms, kai koncentracija plazmoje buvo maždaug 9–14 kartų didesnė, nei koncentracija plazmoje, gydant žmones. Bozentano genotoksiškumo tyrimai buvo neigiami. Žiurkėms skiriant bozentaną buvo pastebėtas nežymus skydliaukės hormonų pusiausvyros sutrikimas. Tačiau nebuvo įrodyta, kad bozentanas turėtų įtakos žmonių skydliaukės veiklai (tiroksinas, TTH).</w:t>
      </w:r>
    </w:p>
    <w:p w14:paraId="356D4C6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D19228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rPr>
        <w:t>Bozentano poveikis mitochondrijų funkcionavimui nežinomas.</w:t>
      </w:r>
    </w:p>
    <w:p w14:paraId="084F3CDD"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2DEA24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Bozentanas pasirodė esąs teratogeninis žiurkėms, kai koncentracija plazmoje yra 1,5 karto didesnė nei koncentracijos plazmoje, gydant žmones. Teratogeninis poveikis, įskaitant galvos, veido ir pagrindinių kraujagyslių įgimtas anomalijas, priklausė nuo dozių. Įgimtų anomalijų struktūros panašumai buvo pastebėti su kitai ET receptorių antagonistais, o ET pelių kritimas parodo klasės efektą. Vaisingo amžiaus moterims reikia laikytis atitinkamų saugumo priemonių (žr. 4.3, 4.4 ir 4.6 skyrius).</w:t>
      </w:r>
    </w:p>
    <w:p w14:paraId="12038BC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D15336C" w14:textId="77777777" w:rsidR="00CD51A4" w:rsidRPr="000A2DE8" w:rsidRDefault="00CD51A4" w:rsidP="00CD51A4">
      <w:pPr>
        <w:widowControl w:val="0"/>
        <w:autoSpaceDE w:val="0"/>
        <w:autoSpaceDN w:val="0"/>
        <w:adjustRightInd w:val="0"/>
        <w:spacing w:after="0" w:line="240" w:lineRule="auto"/>
        <w:ind w:right="46"/>
        <w:rPr>
          <w:rFonts w:ascii="Times New Roman" w:hAnsi="Times New Roman"/>
          <w:spacing w:val="-1"/>
        </w:rPr>
      </w:pPr>
      <w:r w:rsidRPr="000A2DE8">
        <w:rPr>
          <w:rFonts w:ascii="Times New Roman" w:hAnsi="Times New Roman"/>
        </w:rPr>
        <w:t>Sėklos kanalų atrofijos didėjimas ir sumažėjęs vaisingumas buvo susietas su lėtiniu endotelino receptorių antagonistų skyrimu graužikams.</w:t>
      </w:r>
    </w:p>
    <w:p w14:paraId="2162749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91F0A09" w14:textId="77777777" w:rsidR="00CD51A4" w:rsidRPr="000A2DE8" w:rsidRDefault="00CD51A4" w:rsidP="00CD51A4">
      <w:pPr>
        <w:widowControl w:val="0"/>
        <w:autoSpaceDE w:val="0"/>
        <w:autoSpaceDN w:val="0"/>
        <w:adjustRightInd w:val="0"/>
        <w:spacing w:after="0" w:line="240" w:lineRule="auto"/>
        <w:ind w:right="116"/>
        <w:rPr>
          <w:rFonts w:ascii="Times New Roman" w:hAnsi="Times New Roman"/>
        </w:rPr>
      </w:pPr>
      <w:r w:rsidRPr="000A2DE8">
        <w:rPr>
          <w:rFonts w:ascii="Times New Roman" w:hAnsi="Times New Roman"/>
          <w:spacing w:val="-4"/>
        </w:rPr>
        <w:t>Atliekant vyriškos ir moteriškos lyties žiurkių vaisingumo tyrimus</w:t>
      </w:r>
      <w:r w:rsidR="00271E8C" w:rsidRPr="000A2DE8">
        <w:rPr>
          <w:rFonts w:ascii="Times New Roman" w:hAnsi="Times New Roman"/>
          <w:spacing w:val="-4"/>
        </w:rPr>
        <w:t xml:space="preserve"> </w:t>
      </w:r>
      <w:r w:rsidRPr="000A2DE8">
        <w:rPr>
          <w:rFonts w:ascii="Times New Roman" w:hAnsi="Times New Roman"/>
          <w:spacing w:val="-4"/>
        </w:rPr>
        <w:t xml:space="preserve">poveikio spermatozoidų skaičiui, judrumui, gyvybingumui, poravimuisi ar vaisingumui, nepastebėta, </w:t>
      </w:r>
      <w:r w:rsidR="00497D51" w:rsidRPr="000A2DE8">
        <w:rPr>
          <w:rFonts w:ascii="Times New Roman" w:hAnsi="Times New Roman"/>
          <w:spacing w:val="-4"/>
        </w:rPr>
        <w:t>esant atitinkamai 21 ir 43 kartus</w:t>
      </w:r>
      <w:r w:rsidR="00271E8C" w:rsidRPr="000A2DE8">
        <w:rPr>
          <w:rFonts w:ascii="Times New Roman" w:hAnsi="Times New Roman"/>
          <w:spacing w:val="-4"/>
        </w:rPr>
        <w:t xml:space="preserve"> didesnei ekspozicijai nei</w:t>
      </w:r>
      <w:r w:rsidR="00497D51" w:rsidRPr="000A2DE8">
        <w:rPr>
          <w:rFonts w:ascii="Times New Roman" w:hAnsi="Times New Roman"/>
          <w:spacing w:val="-4"/>
        </w:rPr>
        <w:t xml:space="preserve"> </w:t>
      </w:r>
      <w:r w:rsidR="00271E8C" w:rsidRPr="000A2DE8">
        <w:rPr>
          <w:rFonts w:ascii="Times New Roman" w:hAnsi="Times New Roman"/>
          <w:spacing w:val="-4"/>
        </w:rPr>
        <w:t xml:space="preserve">gydant </w:t>
      </w:r>
      <w:r w:rsidR="00497D51" w:rsidRPr="000A2DE8">
        <w:rPr>
          <w:rFonts w:ascii="Times New Roman" w:hAnsi="Times New Roman"/>
          <w:spacing w:val="-4"/>
        </w:rPr>
        <w:t>žmon</w:t>
      </w:r>
      <w:r w:rsidR="00271E8C" w:rsidRPr="000A2DE8">
        <w:rPr>
          <w:rFonts w:ascii="Times New Roman" w:hAnsi="Times New Roman"/>
          <w:spacing w:val="-4"/>
        </w:rPr>
        <w:t>e</w:t>
      </w:r>
      <w:r w:rsidR="00497D51" w:rsidRPr="000A2DE8">
        <w:rPr>
          <w:rFonts w:ascii="Times New Roman" w:hAnsi="Times New Roman"/>
          <w:spacing w:val="-4"/>
        </w:rPr>
        <w:t xml:space="preserve">s, </w:t>
      </w:r>
      <w:r w:rsidRPr="000A2DE8">
        <w:rPr>
          <w:rFonts w:ascii="Times New Roman" w:hAnsi="Times New Roman"/>
          <w:spacing w:val="-4"/>
        </w:rPr>
        <w:t>taip pat nepasireiškė neigiamas poveikis embriono vystymuisi nei prieš, nei po implantacijos.</w:t>
      </w:r>
      <w:r w:rsidRPr="000A2DE8">
        <w:rPr>
          <w:rFonts w:ascii="Times New Roman" w:hAnsi="Times New Roman"/>
        </w:rPr>
        <w:t xml:space="preserve"> </w:t>
      </w:r>
    </w:p>
    <w:p w14:paraId="16D0E4EC" w14:textId="77777777" w:rsidR="00CD51A4" w:rsidRPr="000A2DE8" w:rsidRDefault="00CD51A4" w:rsidP="00CD51A4">
      <w:pPr>
        <w:widowControl w:val="0"/>
        <w:autoSpaceDE w:val="0"/>
        <w:autoSpaceDN w:val="0"/>
        <w:adjustRightInd w:val="0"/>
        <w:spacing w:after="0" w:line="240" w:lineRule="auto"/>
        <w:ind w:right="116"/>
        <w:rPr>
          <w:rFonts w:ascii="Times New Roman" w:hAnsi="Times New Roman"/>
        </w:rPr>
      </w:pPr>
    </w:p>
    <w:p w14:paraId="66EAE98E" w14:textId="77777777" w:rsidR="00CD51A4" w:rsidRPr="000A2DE8" w:rsidRDefault="00CD51A4" w:rsidP="00CD51A4">
      <w:pPr>
        <w:widowControl w:val="0"/>
        <w:autoSpaceDE w:val="0"/>
        <w:autoSpaceDN w:val="0"/>
        <w:adjustRightInd w:val="0"/>
        <w:spacing w:after="0" w:line="240" w:lineRule="auto"/>
        <w:ind w:right="116"/>
        <w:rPr>
          <w:rFonts w:ascii="Times New Roman" w:hAnsi="Times New Roman"/>
          <w:spacing w:val="-4"/>
        </w:rPr>
      </w:pPr>
      <w:r w:rsidRPr="000A2DE8">
        <w:rPr>
          <w:rFonts w:ascii="Times New Roman" w:hAnsi="Times New Roman"/>
          <w:spacing w:val="-4"/>
        </w:rPr>
        <w:t>Šiek tiek padidėjęs sėklos kanalų atrofijos atvejų skaičius buvo stebėtas žiurkėms, kurioms dvejus metus buvo skiriamas bozentanas geriamomis ne mažiau kaip 125 mg/kg/para dozėmis (maždaug 4 kartus didesnėmis už didžiausią rekomenduojamą dozę žmonėms [MRHD] ir žemiausias tirtas dozes), ir 6 mėnesius ne daugiau kaip 1500 mg/kg/para dozėmis (maždaug 50 kartų didesnėmis už MRHD). Atliekant jaunų žiurk</w:t>
      </w:r>
      <w:r w:rsidR="00FD48F7" w:rsidRPr="000A2DE8">
        <w:rPr>
          <w:rFonts w:ascii="Times New Roman" w:hAnsi="Times New Roman"/>
          <w:spacing w:val="-4"/>
        </w:rPr>
        <w:t>i</w:t>
      </w:r>
      <w:r w:rsidRPr="000A2DE8">
        <w:rPr>
          <w:rFonts w:ascii="Times New Roman" w:hAnsi="Times New Roman"/>
          <w:spacing w:val="-4"/>
        </w:rPr>
        <w:t>ų toksiškumo tyrimą, kurio metu žiurkės buvo gydomos nuo 4 dienos po gimimo iki suaugusiojo amžiaus, po atpratinimo buvo stebėtas sumažėjęs bendrasis kiaušinėlių ir epididimitų svoris ir po atpratinimo buvo nustatytas sumažėjęs spermatozoidų kiekis epididimituose. NOAEL buvo, atitinkamai, 21 kartą (21 dieną po gimimo) ir 2,3 karto (69 dieną po gimimo) didesnis už terapinę žmogui taikomą ekspoziciją.</w:t>
      </w:r>
    </w:p>
    <w:p w14:paraId="5D0ED2C9" w14:textId="77777777" w:rsidR="00CD51A4" w:rsidRPr="000A2DE8" w:rsidRDefault="00CD51A4" w:rsidP="00CD51A4">
      <w:pPr>
        <w:widowControl w:val="0"/>
        <w:autoSpaceDE w:val="0"/>
        <w:autoSpaceDN w:val="0"/>
        <w:adjustRightInd w:val="0"/>
        <w:spacing w:after="0" w:line="240" w:lineRule="auto"/>
        <w:ind w:right="116"/>
        <w:rPr>
          <w:rFonts w:ascii="Times New Roman" w:hAnsi="Times New Roman"/>
          <w:spacing w:val="-4"/>
        </w:rPr>
      </w:pPr>
    </w:p>
    <w:p w14:paraId="1CB95FE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4"/>
        </w:rPr>
        <w:t xml:space="preserve">Tačiau poveikio bendram vystymuisi, augimui, jutiminėms, kognityvinėms ir reprodukcinėms funkcijoms nebuvo aptikta 21 dieną po gimimo taikant 7 (patinams) ir 19 (patelių) kartus didesnes už terapines ekspozicijas  žmonėms. Suaugusiame (69 diena po gimimo) amžiuje bozentano poveikis nebuvo nustatytas taikant 1,3 (patinams) ir 2,6 (patelėms) kartus didesnes už terapines ekspozicijas vaikams, sergantiems </w:t>
      </w:r>
      <w:r w:rsidR="009D384A" w:rsidRPr="000A2DE8">
        <w:rPr>
          <w:rFonts w:ascii="Times New Roman" w:hAnsi="Times New Roman"/>
          <w:spacing w:val="-4"/>
        </w:rPr>
        <w:t>PH</w:t>
      </w:r>
      <w:r w:rsidRPr="000A2DE8">
        <w:rPr>
          <w:rFonts w:ascii="Times New Roman" w:hAnsi="Times New Roman"/>
          <w:spacing w:val="-4"/>
        </w:rPr>
        <w:t>.</w:t>
      </w:r>
    </w:p>
    <w:p w14:paraId="0EA2116B"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A82F52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D04F893" w14:textId="77777777" w:rsidR="00CD51A4" w:rsidRPr="000A2DE8" w:rsidRDefault="00CD51A4" w:rsidP="00A26D2B">
      <w:pPr>
        <w:keepNext/>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lastRenderedPageBreak/>
        <w:t>6.</w:t>
      </w:r>
      <w:r w:rsidRPr="000A2DE8">
        <w:rPr>
          <w:rFonts w:ascii="Times New Roman" w:hAnsi="Times New Roman"/>
        </w:rPr>
        <w:tab/>
      </w:r>
      <w:r w:rsidRPr="000A2DE8">
        <w:rPr>
          <w:rFonts w:ascii="Times New Roman" w:hAnsi="Times New Roman"/>
          <w:b/>
          <w:spacing w:val="2"/>
        </w:rPr>
        <w:t>FARMACINĖ INFORMACIJA</w:t>
      </w:r>
    </w:p>
    <w:p w14:paraId="12C0D37B" w14:textId="77777777" w:rsidR="00CD51A4" w:rsidRPr="000A2DE8" w:rsidRDefault="00CD51A4" w:rsidP="00A26D2B">
      <w:pPr>
        <w:keepNext/>
        <w:widowControl w:val="0"/>
        <w:autoSpaceDE w:val="0"/>
        <w:autoSpaceDN w:val="0"/>
        <w:adjustRightInd w:val="0"/>
        <w:spacing w:after="0" w:line="240" w:lineRule="auto"/>
        <w:rPr>
          <w:rFonts w:ascii="Times New Roman" w:eastAsia="Times New Roman" w:hAnsi="Times New Roman"/>
        </w:rPr>
      </w:pPr>
    </w:p>
    <w:p w14:paraId="0A7DD261" w14:textId="77777777" w:rsidR="00CD51A4" w:rsidRPr="000A2DE8" w:rsidRDefault="00CD51A4" w:rsidP="00A26D2B">
      <w:pPr>
        <w:keepNext/>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6.1</w:t>
      </w:r>
      <w:r w:rsidRPr="000A2DE8">
        <w:rPr>
          <w:rFonts w:ascii="Times New Roman" w:hAnsi="Times New Roman"/>
        </w:rPr>
        <w:tab/>
      </w:r>
      <w:r w:rsidRPr="000A2DE8">
        <w:rPr>
          <w:rFonts w:ascii="Times New Roman" w:hAnsi="Times New Roman"/>
          <w:b/>
        </w:rPr>
        <w:t>Pagalbinių medžiagų sąrašas</w:t>
      </w:r>
    </w:p>
    <w:p w14:paraId="17FC8BA9" w14:textId="77777777" w:rsidR="00CD51A4" w:rsidRPr="000A2DE8" w:rsidRDefault="00CD51A4" w:rsidP="00A26D2B">
      <w:pPr>
        <w:keepNext/>
        <w:widowControl w:val="0"/>
        <w:autoSpaceDE w:val="0"/>
        <w:autoSpaceDN w:val="0"/>
        <w:adjustRightInd w:val="0"/>
        <w:spacing w:after="0" w:line="240" w:lineRule="auto"/>
        <w:rPr>
          <w:rFonts w:ascii="Times New Roman" w:eastAsia="Times New Roman" w:hAnsi="Times New Roman"/>
        </w:rPr>
      </w:pPr>
    </w:p>
    <w:p w14:paraId="4E86A39E" w14:textId="77777777" w:rsidR="00CD51A4" w:rsidRPr="000A2DE8" w:rsidRDefault="00CD51A4" w:rsidP="00A26D2B">
      <w:pPr>
        <w:keepNext/>
        <w:widowControl w:val="0"/>
        <w:tabs>
          <w:tab w:val="left" w:pos="9240"/>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2"/>
          <w:u w:val="single"/>
        </w:rPr>
        <w:t>Tabletės branduolys</w:t>
      </w:r>
    </w:p>
    <w:p w14:paraId="1E3FBA58" w14:textId="77777777" w:rsidR="00CD51A4" w:rsidRPr="000A2DE8" w:rsidRDefault="00CD51A4" w:rsidP="00CD51A4">
      <w:pPr>
        <w:widowControl w:val="0"/>
        <w:tabs>
          <w:tab w:val="left" w:pos="9240"/>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rPr>
        <w:t xml:space="preserve">Kukurūzų krakmolas </w:t>
      </w:r>
    </w:p>
    <w:p w14:paraId="0DDC828F" w14:textId="77777777" w:rsidR="00CD51A4" w:rsidRPr="000A2DE8" w:rsidRDefault="00CD51A4" w:rsidP="00CD51A4">
      <w:pPr>
        <w:widowControl w:val="0"/>
        <w:tabs>
          <w:tab w:val="left" w:pos="9240"/>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rPr>
        <w:t>Pregelifikuotas kukurūzų krakmolas</w:t>
      </w:r>
    </w:p>
    <w:p w14:paraId="5F897174" w14:textId="77777777" w:rsidR="00CD51A4" w:rsidRPr="000A2DE8" w:rsidRDefault="00CD51A4" w:rsidP="00CD51A4">
      <w:pPr>
        <w:widowControl w:val="0"/>
        <w:tabs>
          <w:tab w:val="left" w:pos="9240"/>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rPr>
        <w:t>Karboksimetilkrakmolo A natrio druska</w:t>
      </w:r>
    </w:p>
    <w:p w14:paraId="36D25040" w14:textId="77777777" w:rsidR="00CD51A4" w:rsidRPr="000A2DE8" w:rsidRDefault="00CD51A4" w:rsidP="00CD51A4">
      <w:pPr>
        <w:widowControl w:val="0"/>
        <w:tabs>
          <w:tab w:val="left" w:pos="9240"/>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rPr>
        <w:t>Povidonas</w:t>
      </w:r>
    </w:p>
    <w:p w14:paraId="3D5D6A50" w14:textId="77777777" w:rsidR="00CD51A4" w:rsidRPr="000A2DE8" w:rsidRDefault="00CD51A4" w:rsidP="00CD51A4">
      <w:pPr>
        <w:widowControl w:val="0"/>
        <w:tabs>
          <w:tab w:val="left" w:pos="9240"/>
          <w:tab w:val="left" w:pos="9270"/>
        </w:tabs>
        <w:autoSpaceDE w:val="0"/>
        <w:autoSpaceDN w:val="0"/>
        <w:adjustRightInd w:val="0"/>
        <w:spacing w:after="0" w:line="240" w:lineRule="auto"/>
        <w:rPr>
          <w:rFonts w:ascii="Times New Roman" w:eastAsia="Times New Roman" w:hAnsi="Times New Roman"/>
        </w:rPr>
      </w:pPr>
      <w:r w:rsidRPr="000A2DE8">
        <w:rPr>
          <w:rFonts w:ascii="Times New Roman" w:hAnsi="Times New Roman"/>
          <w:position w:val="-1"/>
        </w:rPr>
        <w:t>Magnio stearatas</w:t>
      </w:r>
    </w:p>
    <w:p w14:paraId="43C44858" w14:textId="77777777" w:rsidR="00CD51A4" w:rsidRPr="000A2DE8" w:rsidRDefault="00CD51A4" w:rsidP="00CD51A4">
      <w:pPr>
        <w:widowControl w:val="0"/>
        <w:tabs>
          <w:tab w:val="left" w:pos="9240"/>
          <w:tab w:val="left" w:pos="9270"/>
        </w:tabs>
        <w:autoSpaceDE w:val="0"/>
        <w:autoSpaceDN w:val="0"/>
        <w:adjustRightInd w:val="0"/>
        <w:spacing w:after="0" w:line="240" w:lineRule="auto"/>
        <w:rPr>
          <w:rFonts w:ascii="Times New Roman" w:eastAsia="Times New Roman" w:hAnsi="Times New Roman"/>
        </w:rPr>
      </w:pPr>
    </w:p>
    <w:p w14:paraId="5C18242B" w14:textId="77777777" w:rsidR="00CD51A4" w:rsidRPr="000A2DE8" w:rsidRDefault="00CD51A4" w:rsidP="00CD51A4">
      <w:pPr>
        <w:widowControl w:val="0"/>
        <w:tabs>
          <w:tab w:val="left" w:pos="9240"/>
          <w:tab w:val="left" w:pos="9270"/>
        </w:tabs>
        <w:autoSpaceDE w:val="0"/>
        <w:autoSpaceDN w:val="0"/>
        <w:adjustRightInd w:val="0"/>
        <w:spacing w:after="0" w:line="240" w:lineRule="auto"/>
        <w:rPr>
          <w:rFonts w:ascii="Times New Roman" w:eastAsia="Times New Roman" w:hAnsi="Times New Roman"/>
          <w:spacing w:val="1"/>
          <w:u w:val="single"/>
        </w:rPr>
      </w:pPr>
      <w:r w:rsidRPr="000A2DE8">
        <w:rPr>
          <w:rFonts w:ascii="Times New Roman" w:hAnsi="Times New Roman"/>
          <w:u w:val="single"/>
        </w:rPr>
        <w:t>Tabletės plėvelė</w:t>
      </w:r>
    </w:p>
    <w:p w14:paraId="25307B69" w14:textId="77777777" w:rsidR="00CD51A4" w:rsidRPr="000A2DE8" w:rsidRDefault="00CD51A4" w:rsidP="00CD51A4">
      <w:pPr>
        <w:widowControl w:val="0"/>
        <w:tabs>
          <w:tab w:val="left" w:pos="9240"/>
          <w:tab w:val="left" w:pos="9270"/>
        </w:tabs>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 xml:space="preserve">Hipromeliozė </w:t>
      </w:r>
    </w:p>
    <w:p w14:paraId="4FFB334D" w14:textId="77777777" w:rsidR="00CD51A4" w:rsidRPr="000A2DE8" w:rsidRDefault="00CD51A4" w:rsidP="00CD51A4">
      <w:pPr>
        <w:widowControl w:val="0"/>
        <w:tabs>
          <w:tab w:val="left" w:pos="9240"/>
          <w:tab w:val="left" w:pos="9270"/>
        </w:tabs>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Triacetinas</w:t>
      </w:r>
    </w:p>
    <w:p w14:paraId="72EBE7BD" w14:textId="77777777" w:rsidR="00CD51A4" w:rsidRPr="000A2DE8" w:rsidRDefault="00CD51A4" w:rsidP="00CD51A4">
      <w:pPr>
        <w:widowControl w:val="0"/>
        <w:tabs>
          <w:tab w:val="left" w:pos="9240"/>
          <w:tab w:val="left" w:pos="9270"/>
        </w:tabs>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Talkas</w:t>
      </w:r>
    </w:p>
    <w:p w14:paraId="5F262489" w14:textId="77777777" w:rsidR="00CD51A4" w:rsidRPr="000A2DE8" w:rsidRDefault="00CD51A4" w:rsidP="00CD51A4">
      <w:pPr>
        <w:widowControl w:val="0"/>
        <w:tabs>
          <w:tab w:val="left" w:pos="9240"/>
          <w:tab w:val="left" w:pos="9270"/>
        </w:tabs>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Titano dioksidas (E171)</w:t>
      </w:r>
    </w:p>
    <w:p w14:paraId="555484BE" w14:textId="77777777" w:rsidR="00CD51A4" w:rsidRPr="000A2DE8" w:rsidRDefault="00CD51A4" w:rsidP="00CD51A4">
      <w:pPr>
        <w:widowControl w:val="0"/>
        <w:tabs>
          <w:tab w:val="left" w:pos="9240"/>
          <w:tab w:val="left" w:pos="9270"/>
        </w:tabs>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 xml:space="preserve">Geltonasis geležies oksidas (E172) </w:t>
      </w:r>
    </w:p>
    <w:p w14:paraId="26755939" w14:textId="77777777" w:rsidR="00CD51A4" w:rsidRPr="000A2DE8" w:rsidRDefault="00CD51A4" w:rsidP="00CD51A4">
      <w:pPr>
        <w:widowControl w:val="0"/>
        <w:tabs>
          <w:tab w:val="left" w:pos="9240"/>
          <w:tab w:val="left" w:pos="9270"/>
        </w:tabs>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Raudonasis geležies oksidas (E172)</w:t>
      </w:r>
    </w:p>
    <w:p w14:paraId="7EEC9E4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680B09B"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6.2</w:t>
      </w:r>
      <w:r w:rsidRPr="000A2DE8">
        <w:rPr>
          <w:rFonts w:ascii="Times New Roman" w:hAnsi="Times New Roman"/>
        </w:rPr>
        <w:tab/>
      </w:r>
      <w:r w:rsidRPr="000A2DE8">
        <w:rPr>
          <w:rFonts w:ascii="Times New Roman" w:hAnsi="Times New Roman"/>
          <w:b/>
        </w:rPr>
        <w:t>Nesuderinamumas</w:t>
      </w:r>
    </w:p>
    <w:p w14:paraId="220407B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FA9F14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Duomenys nebūtini.</w:t>
      </w:r>
    </w:p>
    <w:p w14:paraId="0599B77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75200A12"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6.3</w:t>
      </w:r>
      <w:r w:rsidRPr="000A2DE8">
        <w:rPr>
          <w:rFonts w:ascii="Times New Roman" w:hAnsi="Times New Roman"/>
        </w:rPr>
        <w:tab/>
      </w:r>
      <w:r w:rsidRPr="000A2DE8">
        <w:rPr>
          <w:rFonts w:ascii="Times New Roman" w:hAnsi="Times New Roman"/>
          <w:b/>
        </w:rPr>
        <w:t>Tinkamumo laikas</w:t>
      </w:r>
    </w:p>
    <w:p w14:paraId="692F5D6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9203FC4" w14:textId="77777777" w:rsidR="00CD51A4" w:rsidRPr="000A2DE8" w:rsidRDefault="006C1CC2"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3</w:t>
      </w:r>
      <w:r w:rsidR="00CD51A4" w:rsidRPr="000A2DE8">
        <w:rPr>
          <w:rFonts w:ascii="Times New Roman" w:hAnsi="Times New Roman"/>
          <w:spacing w:val="1"/>
        </w:rPr>
        <w:t> metai.</w:t>
      </w:r>
    </w:p>
    <w:p w14:paraId="453B373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0BC314BA"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6.4</w:t>
      </w:r>
      <w:r w:rsidRPr="000A2DE8">
        <w:rPr>
          <w:rFonts w:ascii="Times New Roman" w:hAnsi="Times New Roman"/>
        </w:rPr>
        <w:tab/>
      </w:r>
      <w:r w:rsidRPr="000A2DE8">
        <w:rPr>
          <w:rFonts w:ascii="Times New Roman" w:hAnsi="Times New Roman"/>
          <w:b/>
        </w:rPr>
        <w:t>Specialios laikymo sąlygos</w:t>
      </w:r>
    </w:p>
    <w:p w14:paraId="55FED6D2"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2C84196C"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Aliuminio-aliuminio lizdinės plokštelės</w:t>
      </w:r>
    </w:p>
    <w:p w14:paraId="62D0039F"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Šiam vaistiniam preparatui specialių laikymo sąlygų nereikia.</w:t>
      </w:r>
    </w:p>
    <w:p w14:paraId="6127DE3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1852D6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rPr>
        <w:t>PVC/PE/PVDC-aliuminio lizdinės plokštelės</w:t>
      </w:r>
    </w:p>
    <w:p w14:paraId="7D2B126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Laikyti ne aukštesnėje kaip 30 °C temperatūroje.</w:t>
      </w:r>
    </w:p>
    <w:p w14:paraId="786D87F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D057EC6"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6.5</w:t>
      </w:r>
      <w:r w:rsidRPr="000A2DE8">
        <w:rPr>
          <w:rFonts w:ascii="Times New Roman" w:hAnsi="Times New Roman"/>
        </w:rPr>
        <w:tab/>
      </w:r>
      <w:r w:rsidRPr="000A2DE8">
        <w:rPr>
          <w:rFonts w:ascii="Times New Roman" w:hAnsi="Times New Roman"/>
          <w:b/>
        </w:rPr>
        <w:t>Talpyklės pobūdis ir jos turinys</w:t>
      </w:r>
    </w:p>
    <w:p w14:paraId="76DD316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EBCC3C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 xml:space="preserve">Aliuminio-aliuminio lizdinėse plokštelėse ir PVC/PE/PVDC-aliuminio lizdinėse plokštelėse yra 14 plėvele dengtų tablečių. </w:t>
      </w:r>
    </w:p>
    <w:p w14:paraId="4AAEE230"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322816D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rPr>
        <w:t>Bosentan Accord 62,5 mg plėvele dengtos tabletės tiekiamos dėžutėse, kuriose yra 14, 56 arba 112 plėvele dengtų tablečių.</w:t>
      </w:r>
    </w:p>
    <w:p w14:paraId="47001F6D" w14:textId="77777777" w:rsidR="00CD51A4" w:rsidRPr="000A2DE8" w:rsidRDefault="00CD51A4" w:rsidP="00CD51A4">
      <w:pPr>
        <w:widowControl w:val="0"/>
        <w:shd w:val="clear" w:color="auto" w:fill="D9D9D9"/>
        <w:autoSpaceDE w:val="0"/>
        <w:autoSpaceDN w:val="0"/>
        <w:adjustRightInd w:val="0"/>
        <w:spacing w:after="0" w:line="240" w:lineRule="auto"/>
        <w:rPr>
          <w:rFonts w:ascii="Times New Roman" w:eastAsia="Times New Roman" w:hAnsi="Times New Roman"/>
        </w:rPr>
      </w:pPr>
      <w:r w:rsidRPr="000A2DE8">
        <w:rPr>
          <w:rFonts w:ascii="Times New Roman" w:hAnsi="Times New Roman"/>
        </w:rPr>
        <w:t>Bosentan Accord 125 mg plėvele dengtos tabletės tiekiamos dėžutėse, kuriose yra 56 arba 112 plėvele dengtų tablečių.</w:t>
      </w:r>
    </w:p>
    <w:p w14:paraId="6AC267B8" w14:textId="357A1903" w:rsidR="00CD51A4" w:rsidRDefault="00CD51A4" w:rsidP="00CD51A4">
      <w:pPr>
        <w:widowControl w:val="0"/>
        <w:autoSpaceDE w:val="0"/>
        <w:autoSpaceDN w:val="0"/>
        <w:adjustRightInd w:val="0"/>
        <w:spacing w:after="0" w:line="240" w:lineRule="auto"/>
        <w:rPr>
          <w:rFonts w:ascii="Times New Roman" w:eastAsia="Times New Roman" w:hAnsi="Times New Roman"/>
        </w:rPr>
      </w:pPr>
    </w:p>
    <w:p w14:paraId="4DD34C50" w14:textId="60D81605" w:rsidR="002075BB" w:rsidRDefault="002075BB" w:rsidP="002075BB">
      <w:pPr>
        <w:widowControl w:val="0"/>
        <w:autoSpaceDE w:val="0"/>
        <w:autoSpaceDN w:val="0"/>
        <w:adjustRightInd w:val="0"/>
        <w:spacing w:after="0" w:line="240" w:lineRule="auto"/>
        <w:rPr>
          <w:rFonts w:ascii="Times New Roman" w:hAnsi="Times New Roman"/>
        </w:rPr>
      </w:pPr>
      <w:r w:rsidRPr="000A2DE8">
        <w:rPr>
          <w:rFonts w:ascii="Times New Roman" w:hAnsi="Times New Roman"/>
        </w:rPr>
        <w:t xml:space="preserve">Aliuminio-aliuminio lizdinėse plokštelėse ir PVC/PE/PVDC-aliuminio lizdinėse plokštelėse yra </w:t>
      </w:r>
      <w:r>
        <w:rPr>
          <w:rFonts w:ascii="Times New Roman" w:hAnsi="Times New Roman"/>
        </w:rPr>
        <w:t>10</w:t>
      </w:r>
      <w:r w:rsidRPr="000A2DE8">
        <w:rPr>
          <w:rFonts w:ascii="Times New Roman" w:hAnsi="Times New Roman"/>
        </w:rPr>
        <w:t xml:space="preserve"> plėvele dengtų tablečių. </w:t>
      </w:r>
    </w:p>
    <w:p w14:paraId="5CD19C99" w14:textId="59C4E971" w:rsidR="002075BB" w:rsidRDefault="002075BB" w:rsidP="002075BB">
      <w:pPr>
        <w:widowControl w:val="0"/>
        <w:autoSpaceDE w:val="0"/>
        <w:autoSpaceDN w:val="0"/>
        <w:adjustRightInd w:val="0"/>
        <w:spacing w:after="0" w:line="240" w:lineRule="auto"/>
        <w:rPr>
          <w:rFonts w:ascii="Times New Roman" w:hAnsi="Times New Roman"/>
        </w:rPr>
      </w:pPr>
    </w:p>
    <w:p w14:paraId="723C6D70" w14:textId="7EE6867D" w:rsidR="002075BB" w:rsidRDefault="002075BB" w:rsidP="002075BB">
      <w:pPr>
        <w:widowControl w:val="0"/>
        <w:autoSpaceDE w:val="0"/>
        <w:autoSpaceDN w:val="0"/>
        <w:adjustRightInd w:val="0"/>
        <w:spacing w:after="0" w:line="240" w:lineRule="auto"/>
        <w:rPr>
          <w:rFonts w:ascii="Times New Roman" w:hAnsi="Times New Roman"/>
        </w:rPr>
      </w:pPr>
      <w:r w:rsidRPr="002075BB">
        <w:rPr>
          <w:rFonts w:ascii="Times New Roman" w:hAnsi="Times New Roman"/>
          <w:highlight w:val="lightGray"/>
        </w:rPr>
        <w:t>Bosentan Accord 125 mg plėvele dengtos tabletės tiekiamos dėžutėse, kuriose yra 120 plėvele dengtų tablečių.</w:t>
      </w:r>
    </w:p>
    <w:p w14:paraId="281E4C80" w14:textId="6C12C475" w:rsidR="002075BB" w:rsidRPr="000A2DE8" w:rsidRDefault="002075BB" w:rsidP="00CD51A4">
      <w:pPr>
        <w:widowControl w:val="0"/>
        <w:autoSpaceDE w:val="0"/>
        <w:autoSpaceDN w:val="0"/>
        <w:adjustRightInd w:val="0"/>
        <w:spacing w:after="0" w:line="240" w:lineRule="auto"/>
        <w:rPr>
          <w:rFonts w:ascii="Times New Roman" w:eastAsia="Times New Roman" w:hAnsi="Times New Roman"/>
        </w:rPr>
      </w:pPr>
    </w:p>
    <w:p w14:paraId="3F11F6D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pacing w:val="-1"/>
        </w:rPr>
        <w:t>Gali būti tiekiamos ne visų dydžių pakuotės.</w:t>
      </w:r>
    </w:p>
    <w:p w14:paraId="2F37F073"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10102ACC" w14:textId="77777777" w:rsidR="00CD51A4" w:rsidRPr="000A2DE8" w:rsidRDefault="00CD51A4" w:rsidP="00CD51A4">
      <w:pPr>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 xml:space="preserve">6.6 </w:t>
      </w:r>
      <w:r w:rsidRPr="000A2DE8">
        <w:rPr>
          <w:rFonts w:ascii="Times New Roman" w:hAnsi="Times New Roman"/>
          <w:b/>
        </w:rPr>
        <w:tab/>
        <w:t>Specialūs reikalavimai atliekoms tvarkyti ir vaistiniam preparatui ruošti</w:t>
      </w:r>
    </w:p>
    <w:p w14:paraId="57467E5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466AC712" w14:textId="77777777" w:rsidR="00CD51A4" w:rsidRPr="000A2DE8" w:rsidRDefault="00CD51A4" w:rsidP="00CD51A4">
      <w:pPr>
        <w:widowControl w:val="0"/>
        <w:autoSpaceDE w:val="0"/>
        <w:autoSpaceDN w:val="0"/>
        <w:adjustRightInd w:val="0"/>
        <w:spacing w:after="0" w:line="240" w:lineRule="auto"/>
        <w:rPr>
          <w:rFonts w:ascii="Times New Roman" w:hAnsi="Times New Roman"/>
          <w:spacing w:val="-1"/>
        </w:rPr>
      </w:pPr>
      <w:r w:rsidRPr="000A2DE8">
        <w:rPr>
          <w:rFonts w:ascii="Times New Roman" w:hAnsi="Times New Roman"/>
          <w:spacing w:val="-1"/>
        </w:rPr>
        <w:t>Specialių reikalavimų atliekoms tvarkyti nėra.</w:t>
      </w:r>
    </w:p>
    <w:p w14:paraId="0963DF19" w14:textId="77777777" w:rsidR="002579F6" w:rsidRPr="000A2DE8" w:rsidRDefault="002579F6" w:rsidP="00CD51A4">
      <w:pPr>
        <w:widowControl w:val="0"/>
        <w:autoSpaceDE w:val="0"/>
        <w:autoSpaceDN w:val="0"/>
        <w:adjustRightInd w:val="0"/>
        <w:spacing w:after="0" w:line="240" w:lineRule="auto"/>
        <w:rPr>
          <w:rFonts w:ascii="Times New Roman" w:eastAsia="Times New Roman" w:hAnsi="Times New Roman"/>
        </w:rPr>
      </w:pPr>
      <w:r w:rsidRPr="000A2DE8">
        <w:rPr>
          <w:rFonts w:ascii="Times New Roman" w:hAnsi="Times New Roman"/>
          <w:szCs w:val="24"/>
        </w:rPr>
        <w:lastRenderedPageBreak/>
        <w:t>Nesuvartotą vaistinį preparatą ar atliekas reikia tvarkyti laikantis vietinių reikalavimų.</w:t>
      </w:r>
    </w:p>
    <w:p w14:paraId="57728897"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5FEEDFC5"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rPr>
      </w:pPr>
    </w:p>
    <w:p w14:paraId="6A0B7D61" w14:textId="77777777" w:rsidR="00CD51A4" w:rsidRPr="000A2DE8" w:rsidRDefault="00CD51A4" w:rsidP="00A26D2B">
      <w:pPr>
        <w:keepNext/>
        <w:widowControl w:val="0"/>
        <w:tabs>
          <w:tab w:val="left" w:pos="680"/>
        </w:tabs>
        <w:autoSpaceDE w:val="0"/>
        <w:autoSpaceDN w:val="0"/>
        <w:adjustRightInd w:val="0"/>
        <w:spacing w:after="0" w:line="240" w:lineRule="auto"/>
        <w:rPr>
          <w:rFonts w:ascii="Times New Roman" w:eastAsia="Times New Roman" w:hAnsi="Times New Roman"/>
        </w:rPr>
      </w:pPr>
      <w:r w:rsidRPr="000A2DE8">
        <w:rPr>
          <w:rFonts w:ascii="Times New Roman" w:hAnsi="Times New Roman"/>
          <w:b/>
        </w:rPr>
        <w:t>7.</w:t>
      </w:r>
      <w:r w:rsidRPr="000A2DE8">
        <w:rPr>
          <w:rFonts w:ascii="Times New Roman" w:hAnsi="Times New Roman"/>
        </w:rPr>
        <w:tab/>
      </w:r>
      <w:r w:rsidRPr="000A2DE8">
        <w:rPr>
          <w:rFonts w:ascii="Times New Roman" w:hAnsi="Times New Roman"/>
          <w:b/>
        </w:rPr>
        <w:t>REGISTRUOTOJAS</w:t>
      </w:r>
    </w:p>
    <w:p w14:paraId="55D5D2E5" w14:textId="77777777" w:rsidR="00CD51A4" w:rsidRPr="000A2DE8" w:rsidRDefault="00CD51A4" w:rsidP="00A26D2B">
      <w:pPr>
        <w:keepNext/>
        <w:widowControl w:val="0"/>
        <w:autoSpaceDE w:val="0"/>
        <w:autoSpaceDN w:val="0"/>
        <w:adjustRightInd w:val="0"/>
        <w:spacing w:after="0" w:line="240" w:lineRule="auto"/>
        <w:rPr>
          <w:rFonts w:ascii="Times New Roman" w:eastAsia="Times New Roman" w:hAnsi="Times New Roman"/>
        </w:rPr>
      </w:pPr>
    </w:p>
    <w:p w14:paraId="0708812C" w14:textId="77777777" w:rsidR="00CD51A4" w:rsidRPr="000A2DE8" w:rsidRDefault="00CD51A4" w:rsidP="00A26D2B">
      <w:pPr>
        <w:keepNext/>
        <w:spacing w:after="0" w:line="240" w:lineRule="auto"/>
        <w:rPr>
          <w:rFonts w:ascii="Times New Roman" w:hAnsi="Times New Roman"/>
        </w:rPr>
      </w:pPr>
      <w:r w:rsidRPr="000A2DE8">
        <w:rPr>
          <w:rFonts w:ascii="Times New Roman" w:hAnsi="Times New Roman"/>
        </w:rPr>
        <w:t xml:space="preserve">Accord Healthcare </w:t>
      </w:r>
      <w:r w:rsidR="00E36E7D" w:rsidRPr="000A2DE8">
        <w:rPr>
          <w:rFonts w:ascii="Times New Roman" w:hAnsi="Times New Roman"/>
        </w:rPr>
        <w:t>B.V.</w:t>
      </w:r>
      <w:r w:rsidRPr="000A2DE8">
        <w:rPr>
          <w:rFonts w:ascii="Times New Roman" w:hAnsi="Times New Roman"/>
        </w:rPr>
        <w:t xml:space="preserve"> </w:t>
      </w:r>
    </w:p>
    <w:p w14:paraId="6C5030A0" w14:textId="77777777" w:rsidR="00E36E7D" w:rsidRPr="000A2DE8" w:rsidRDefault="00E36E7D" w:rsidP="00A26D2B">
      <w:pPr>
        <w:keepNext/>
        <w:spacing w:after="0"/>
        <w:rPr>
          <w:rFonts w:ascii="Times New Roman" w:hAnsi="Times New Roman"/>
        </w:rPr>
      </w:pPr>
      <w:r w:rsidRPr="000A2DE8">
        <w:rPr>
          <w:rFonts w:ascii="Times New Roman" w:hAnsi="Times New Roman"/>
        </w:rPr>
        <w:t xml:space="preserve">Winthontlaan 200 </w:t>
      </w:r>
    </w:p>
    <w:p w14:paraId="5B665A71" w14:textId="77777777" w:rsidR="00E36E7D" w:rsidRPr="000A2DE8" w:rsidRDefault="00E36E7D" w:rsidP="00A26D2B">
      <w:pPr>
        <w:keepNext/>
        <w:spacing w:after="0"/>
        <w:rPr>
          <w:rFonts w:ascii="Times New Roman" w:hAnsi="Times New Roman"/>
        </w:rPr>
      </w:pPr>
      <w:r w:rsidRPr="000A2DE8">
        <w:rPr>
          <w:rFonts w:ascii="Times New Roman" w:hAnsi="Times New Roman"/>
        </w:rPr>
        <w:t xml:space="preserve">3526 KV Utrecht </w:t>
      </w:r>
    </w:p>
    <w:p w14:paraId="00A885AF" w14:textId="77777777" w:rsidR="00E36E7D" w:rsidRPr="000A2DE8" w:rsidRDefault="00E36E7D" w:rsidP="00A26D2B">
      <w:pPr>
        <w:keepNext/>
        <w:spacing w:after="0"/>
      </w:pPr>
      <w:r w:rsidRPr="000A2DE8">
        <w:rPr>
          <w:rFonts w:ascii="Times New Roman" w:hAnsi="Times New Roman"/>
        </w:rPr>
        <w:t>Nyderlandai</w:t>
      </w:r>
    </w:p>
    <w:p w14:paraId="5C1D3BE0" w14:textId="77777777" w:rsidR="00CD51A4" w:rsidRPr="000A2DE8" w:rsidRDefault="00CD51A4" w:rsidP="00CD51A4">
      <w:pPr>
        <w:spacing w:after="0" w:line="240" w:lineRule="auto"/>
        <w:rPr>
          <w:rFonts w:ascii="Times New Roman" w:eastAsia="Times New Roman" w:hAnsi="Times New Roman"/>
          <w:color w:val="000000"/>
        </w:rPr>
      </w:pPr>
    </w:p>
    <w:p w14:paraId="688EEE25" w14:textId="77777777" w:rsidR="00CD51A4" w:rsidRPr="000A2DE8" w:rsidRDefault="00CD51A4" w:rsidP="00CD51A4">
      <w:pPr>
        <w:spacing w:after="0" w:line="240" w:lineRule="auto"/>
        <w:rPr>
          <w:rFonts w:ascii="Times New Roman" w:eastAsia="Times New Roman" w:hAnsi="Times New Roman"/>
          <w:snapToGrid w:val="0"/>
          <w:lang w:eastAsia="en-US" w:bidi="ar-SA"/>
        </w:rPr>
      </w:pPr>
    </w:p>
    <w:p w14:paraId="4E52EAB7" w14:textId="77777777" w:rsidR="00CD51A4" w:rsidRPr="000A2DE8" w:rsidRDefault="00CD51A4" w:rsidP="00CD51A4">
      <w:pPr>
        <w:keepNext/>
        <w:keepLines/>
        <w:tabs>
          <w:tab w:val="left" w:pos="567"/>
        </w:tabs>
        <w:spacing w:after="0" w:line="240" w:lineRule="auto"/>
        <w:outlineLvl w:val="2"/>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8.</w:t>
      </w:r>
      <w:r w:rsidRPr="000A2DE8">
        <w:rPr>
          <w:rFonts w:ascii="Times New Roman" w:eastAsia="Times New Roman" w:hAnsi="Times New Roman"/>
          <w:b/>
          <w:bCs/>
          <w:snapToGrid w:val="0"/>
          <w:lang w:bidi="ar-SA"/>
        </w:rPr>
        <w:tab/>
        <w:t xml:space="preserve">REGISTRACIJOS PAŽYMĖJIMO NUMERIS (-IAI) </w:t>
      </w:r>
    </w:p>
    <w:p w14:paraId="5E03502F" w14:textId="77777777" w:rsidR="00CD51A4" w:rsidRPr="000A2DE8" w:rsidRDefault="00CD51A4" w:rsidP="00CD51A4">
      <w:pPr>
        <w:spacing w:after="0" w:line="240" w:lineRule="auto"/>
        <w:rPr>
          <w:rFonts w:ascii="Times New Roman" w:eastAsia="Times New Roman" w:hAnsi="Times New Roman"/>
          <w:snapToGrid w:val="0"/>
          <w:lang w:eastAsia="en-US" w:bidi="ar-SA"/>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6"/>
      </w:tblGrid>
      <w:tr w:rsidR="00CD51A4" w:rsidRPr="000A2DE8" w14:paraId="63C27095" w14:textId="77777777" w:rsidTr="001F61CE">
        <w:tc>
          <w:tcPr>
            <w:tcW w:w="4644" w:type="dxa"/>
          </w:tcPr>
          <w:p w14:paraId="402815E2" w14:textId="77777777" w:rsidR="00CD51A4" w:rsidRPr="000A2DE8" w:rsidRDefault="00CD51A4" w:rsidP="001F61CE">
            <w:pPr>
              <w:rPr>
                <w:rFonts w:ascii="Times New Roman" w:hAnsi="Times New Roman"/>
                <w:u w:val="single"/>
              </w:rPr>
            </w:pPr>
            <w:r w:rsidRPr="000A2DE8">
              <w:rPr>
                <w:rFonts w:ascii="Times New Roman" w:hAnsi="Times New Roman"/>
                <w:u w:val="single"/>
              </w:rPr>
              <w:t>62,5 mg</w:t>
            </w:r>
          </w:p>
          <w:p w14:paraId="5CDC4DC6" w14:textId="77777777" w:rsidR="00491161" w:rsidRPr="000A2DE8" w:rsidRDefault="00491161" w:rsidP="00491161">
            <w:pPr>
              <w:rPr>
                <w:rFonts w:ascii="Times New Roman" w:hAnsi="Times New Roman"/>
              </w:rPr>
            </w:pPr>
            <w:r w:rsidRPr="000A2DE8">
              <w:rPr>
                <w:rFonts w:ascii="Times New Roman" w:hAnsi="Times New Roman"/>
              </w:rPr>
              <w:t>LT/1/15/3780/001 – N14</w:t>
            </w:r>
          </w:p>
          <w:p w14:paraId="0AA09A7F" w14:textId="77777777" w:rsidR="00491161" w:rsidRPr="000A2DE8" w:rsidRDefault="00491161" w:rsidP="00491161">
            <w:pPr>
              <w:rPr>
                <w:rFonts w:ascii="Times New Roman" w:hAnsi="Times New Roman"/>
              </w:rPr>
            </w:pPr>
            <w:r w:rsidRPr="000A2DE8">
              <w:rPr>
                <w:rFonts w:ascii="Times New Roman" w:hAnsi="Times New Roman"/>
              </w:rPr>
              <w:t>LT/1/15/3780/002 – N56</w:t>
            </w:r>
          </w:p>
          <w:p w14:paraId="4E53AD63" w14:textId="77777777" w:rsidR="00CD51A4" w:rsidRPr="000A2DE8" w:rsidRDefault="00491161" w:rsidP="00491161">
            <w:pPr>
              <w:rPr>
                <w:rFonts w:ascii="Times New Roman" w:eastAsia="Times New Roman" w:hAnsi="Times New Roman"/>
                <w:snapToGrid w:val="0"/>
                <w:lang w:eastAsia="en-US" w:bidi="ar-SA"/>
              </w:rPr>
            </w:pPr>
            <w:r w:rsidRPr="000A2DE8">
              <w:rPr>
                <w:rFonts w:ascii="Times New Roman" w:hAnsi="Times New Roman"/>
              </w:rPr>
              <w:t>LT/1/15/3780/003 – N112</w:t>
            </w:r>
          </w:p>
        </w:tc>
        <w:tc>
          <w:tcPr>
            <w:tcW w:w="4645" w:type="dxa"/>
          </w:tcPr>
          <w:p w14:paraId="7B2F9217" w14:textId="77777777" w:rsidR="00CD51A4" w:rsidRPr="000A2DE8" w:rsidRDefault="00CD51A4" w:rsidP="001F61CE">
            <w:pPr>
              <w:rPr>
                <w:rFonts w:ascii="Times New Roman" w:hAnsi="Times New Roman"/>
                <w:u w:val="single"/>
              </w:rPr>
            </w:pPr>
            <w:r w:rsidRPr="000A2DE8">
              <w:rPr>
                <w:rFonts w:ascii="Times New Roman" w:hAnsi="Times New Roman"/>
                <w:u w:val="single"/>
              </w:rPr>
              <w:t>125 mg</w:t>
            </w:r>
          </w:p>
          <w:p w14:paraId="6B048878" w14:textId="77777777" w:rsidR="00491161" w:rsidRPr="000A2DE8" w:rsidRDefault="00491161" w:rsidP="00491161">
            <w:pPr>
              <w:rPr>
                <w:rFonts w:ascii="Times New Roman" w:hAnsi="Times New Roman"/>
              </w:rPr>
            </w:pPr>
            <w:r w:rsidRPr="000A2DE8">
              <w:rPr>
                <w:rFonts w:ascii="Times New Roman" w:hAnsi="Times New Roman"/>
              </w:rPr>
              <w:t>LT/1/15/3780/004 – N56</w:t>
            </w:r>
          </w:p>
          <w:p w14:paraId="1B1D8BA8" w14:textId="77777777" w:rsidR="00CD51A4" w:rsidRDefault="00491161" w:rsidP="00491161">
            <w:pPr>
              <w:rPr>
                <w:rFonts w:ascii="Times New Roman" w:hAnsi="Times New Roman"/>
              </w:rPr>
            </w:pPr>
            <w:r w:rsidRPr="000A2DE8">
              <w:rPr>
                <w:rFonts w:ascii="Times New Roman" w:hAnsi="Times New Roman"/>
              </w:rPr>
              <w:t>LT/1/15/3780/005 – N112</w:t>
            </w:r>
          </w:p>
          <w:p w14:paraId="27F45736" w14:textId="7A2A4FBE" w:rsidR="002075BB" w:rsidRPr="000A2DE8" w:rsidRDefault="002075BB" w:rsidP="002075BB">
            <w:pPr>
              <w:rPr>
                <w:rFonts w:ascii="Times New Roman" w:eastAsia="Times New Roman" w:hAnsi="Times New Roman"/>
                <w:snapToGrid w:val="0"/>
                <w:lang w:eastAsia="en-US" w:bidi="ar-SA"/>
              </w:rPr>
            </w:pPr>
            <w:r w:rsidRPr="000A2DE8">
              <w:rPr>
                <w:rFonts w:ascii="Times New Roman" w:hAnsi="Times New Roman"/>
              </w:rPr>
              <w:t>LT/1/15/3780/00</w:t>
            </w:r>
            <w:r>
              <w:rPr>
                <w:rFonts w:ascii="Times New Roman" w:hAnsi="Times New Roman"/>
              </w:rPr>
              <w:t>6</w:t>
            </w:r>
            <w:r w:rsidRPr="000A2DE8">
              <w:rPr>
                <w:rFonts w:ascii="Times New Roman" w:hAnsi="Times New Roman"/>
              </w:rPr>
              <w:t xml:space="preserve"> – N12</w:t>
            </w:r>
            <w:r>
              <w:rPr>
                <w:rFonts w:ascii="Times New Roman" w:hAnsi="Times New Roman"/>
              </w:rPr>
              <w:t>0</w:t>
            </w:r>
          </w:p>
        </w:tc>
      </w:tr>
    </w:tbl>
    <w:p w14:paraId="3565E649" w14:textId="77777777" w:rsidR="00CD51A4" w:rsidRPr="000A2DE8" w:rsidRDefault="00CD51A4" w:rsidP="00CD51A4">
      <w:pPr>
        <w:spacing w:after="0" w:line="240" w:lineRule="auto"/>
        <w:rPr>
          <w:rFonts w:ascii="Times New Roman" w:eastAsia="Times New Roman" w:hAnsi="Times New Roman"/>
          <w:snapToGrid w:val="0"/>
          <w:lang w:eastAsia="en-US" w:bidi="ar-SA"/>
        </w:rPr>
      </w:pPr>
    </w:p>
    <w:p w14:paraId="2140566A" w14:textId="77777777" w:rsidR="00CD51A4" w:rsidRPr="000A2DE8" w:rsidRDefault="00CD51A4" w:rsidP="00CD51A4">
      <w:pPr>
        <w:spacing w:after="0" w:line="240" w:lineRule="auto"/>
        <w:rPr>
          <w:rFonts w:ascii="Times New Roman" w:eastAsia="Times New Roman" w:hAnsi="Times New Roman"/>
          <w:snapToGrid w:val="0"/>
          <w:lang w:eastAsia="en-US" w:bidi="ar-SA"/>
        </w:rPr>
      </w:pPr>
    </w:p>
    <w:p w14:paraId="3C3FD675" w14:textId="77777777" w:rsidR="00CD51A4" w:rsidRPr="000A2DE8" w:rsidRDefault="00CD51A4" w:rsidP="00CD51A4">
      <w:pPr>
        <w:keepNext/>
        <w:keepLines/>
        <w:tabs>
          <w:tab w:val="left" w:pos="567"/>
        </w:tabs>
        <w:spacing w:after="0" w:line="240" w:lineRule="auto"/>
        <w:outlineLvl w:val="2"/>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9.</w:t>
      </w:r>
      <w:r w:rsidRPr="000A2DE8">
        <w:rPr>
          <w:rFonts w:ascii="Times New Roman" w:eastAsia="Times New Roman" w:hAnsi="Times New Roman"/>
          <w:b/>
          <w:bCs/>
          <w:snapToGrid w:val="0"/>
          <w:lang w:bidi="ar-SA"/>
        </w:rPr>
        <w:tab/>
        <w:t>REGISTRAVIMO / PERREGISTRAVIMO DATA</w:t>
      </w:r>
    </w:p>
    <w:p w14:paraId="781317F3" w14:textId="77777777" w:rsidR="00CD51A4" w:rsidRPr="000A2DE8" w:rsidRDefault="00CD51A4" w:rsidP="00CD51A4">
      <w:pPr>
        <w:spacing w:after="0" w:line="240" w:lineRule="auto"/>
        <w:rPr>
          <w:rFonts w:ascii="Times New Roman" w:eastAsia="Times New Roman" w:hAnsi="Times New Roman"/>
          <w:snapToGrid w:val="0"/>
          <w:lang w:eastAsia="en-US" w:bidi="ar-SA"/>
        </w:rPr>
      </w:pPr>
    </w:p>
    <w:p w14:paraId="0F8AB021" w14:textId="77777777" w:rsidR="00CD51A4" w:rsidRPr="000A2DE8" w:rsidRDefault="00491161" w:rsidP="00CD51A4">
      <w:pPr>
        <w:tabs>
          <w:tab w:val="left" w:pos="1296"/>
        </w:tabs>
        <w:snapToGrid w:val="0"/>
        <w:spacing w:after="0" w:line="240" w:lineRule="auto"/>
        <w:rPr>
          <w:rFonts w:ascii="Times New Roman" w:eastAsia="Times New Roman" w:hAnsi="Times New Roman"/>
          <w:szCs w:val="24"/>
          <w:lang w:eastAsia="en-US" w:bidi="ar-SA"/>
        </w:rPr>
      </w:pPr>
      <w:r w:rsidRPr="000A2DE8">
        <w:rPr>
          <w:rFonts w:ascii="Times New Roman" w:eastAsia="Times New Roman" w:hAnsi="Times New Roman"/>
          <w:szCs w:val="24"/>
          <w:lang w:eastAsia="en-US" w:bidi="ar-SA"/>
        </w:rPr>
        <w:t>Registravimo data: 2015 m</w:t>
      </w:r>
      <w:r w:rsidR="00CD51A4" w:rsidRPr="000A2DE8">
        <w:rPr>
          <w:rFonts w:ascii="Times New Roman" w:eastAsia="Times New Roman" w:hAnsi="Times New Roman"/>
          <w:szCs w:val="24"/>
          <w:lang w:eastAsia="en-US" w:bidi="ar-SA"/>
        </w:rPr>
        <w:t>. rugpjūčio 6 d.</w:t>
      </w:r>
    </w:p>
    <w:p w14:paraId="5693965D" w14:textId="77777777" w:rsidR="00CD51A4" w:rsidRPr="000A2DE8" w:rsidRDefault="00FD48F7" w:rsidP="00CD51A4">
      <w:pPr>
        <w:spacing w:after="0" w:line="240" w:lineRule="auto"/>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Paskutinio perregistravimo data</w:t>
      </w:r>
      <w:r w:rsidR="002579F6" w:rsidRPr="000A2DE8">
        <w:rPr>
          <w:rFonts w:ascii="Times New Roman" w:eastAsia="Times New Roman" w:hAnsi="Times New Roman"/>
          <w:snapToGrid w:val="0"/>
          <w:lang w:eastAsia="en-US" w:bidi="ar-SA"/>
        </w:rPr>
        <w:t xml:space="preserve"> </w:t>
      </w:r>
      <w:r w:rsidR="00491161" w:rsidRPr="000A2DE8">
        <w:rPr>
          <w:rFonts w:ascii="Times New Roman" w:hAnsi="Times New Roman"/>
          <w:szCs w:val="24"/>
        </w:rPr>
        <w:t>2021 m. kovo 5 d.</w:t>
      </w:r>
    </w:p>
    <w:p w14:paraId="76FC4659" w14:textId="77777777" w:rsidR="00FD48F7" w:rsidRPr="000A2DE8" w:rsidRDefault="00FD48F7" w:rsidP="00CD51A4">
      <w:pPr>
        <w:spacing w:after="0" w:line="240" w:lineRule="auto"/>
        <w:rPr>
          <w:rFonts w:ascii="Times New Roman" w:eastAsia="Times New Roman" w:hAnsi="Times New Roman"/>
          <w:snapToGrid w:val="0"/>
          <w:lang w:eastAsia="en-US" w:bidi="ar-SA"/>
        </w:rPr>
      </w:pPr>
    </w:p>
    <w:p w14:paraId="4723B8FF" w14:textId="77777777" w:rsidR="00CD51A4" w:rsidRPr="000A2DE8" w:rsidRDefault="00CD51A4" w:rsidP="00CD51A4">
      <w:pPr>
        <w:spacing w:after="0" w:line="240" w:lineRule="auto"/>
        <w:rPr>
          <w:rFonts w:ascii="Times New Roman" w:eastAsia="Times New Roman" w:hAnsi="Times New Roman"/>
          <w:snapToGrid w:val="0"/>
          <w:lang w:eastAsia="en-US" w:bidi="ar-SA"/>
        </w:rPr>
      </w:pPr>
    </w:p>
    <w:p w14:paraId="407CE16F" w14:textId="77777777" w:rsidR="00CD51A4" w:rsidRPr="000A2DE8" w:rsidRDefault="00CD51A4" w:rsidP="00CD51A4">
      <w:pPr>
        <w:keepNext/>
        <w:keepLines/>
        <w:tabs>
          <w:tab w:val="left" w:pos="567"/>
        </w:tabs>
        <w:spacing w:after="0" w:line="240" w:lineRule="auto"/>
        <w:outlineLvl w:val="2"/>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10.</w:t>
      </w:r>
      <w:r w:rsidRPr="000A2DE8">
        <w:rPr>
          <w:rFonts w:ascii="Times New Roman" w:eastAsia="Times New Roman" w:hAnsi="Times New Roman"/>
          <w:b/>
          <w:bCs/>
          <w:snapToGrid w:val="0"/>
          <w:lang w:bidi="ar-SA"/>
        </w:rPr>
        <w:tab/>
        <w:t>TEKSTO PERŽIŪROS DATA</w:t>
      </w:r>
    </w:p>
    <w:p w14:paraId="03D6C88C" w14:textId="77777777" w:rsidR="00D901CC" w:rsidRPr="000A2DE8" w:rsidRDefault="00D901CC" w:rsidP="00CD51A4">
      <w:pPr>
        <w:spacing w:after="0" w:line="240" w:lineRule="auto"/>
        <w:rPr>
          <w:rFonts w:ascii="Times New Roman" w:eastAsia="Times New Roman" w:hAnsi="Times New Roman"/>
          <w:snapToGrid w:val="0"/>
          <w:lang w:eastAsia="en-US" w:bidi="ar-SA"/>
        </w:rPr>
      </w:pPr>
    </w:p>
    <w:p w14:paraId="2B1992B6" w14:textId="77777777" w:rsidR="009171FB" w:rsidRDefault="009171FB" w:rsidP="00CD51A4">
      <w:pPr>
        <w:spacing w:after="0" w:line="240" w:lineRule="auto"/>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2022 m. gruodžio 1 d.</w:t>
      </w:r>
    </w:p>
    <w:p w14:paraId="4CC5A2EC" w14:textId="77777777" w:rsidR="00491161" w:rsidRPr="000A2DE8" w:rsidRDefault="00491161" w:rsidP="00CD51A4">
      <w:pPr>
        <w:spacing w:after="0" w:line="240" w:lineRule="auto"/>
        <w:rPr>
          <w:rFonts w:ascii="Times New Roman" w:eastAsia="Times New Roman" w:hAnsi="Times New Roman"/>
          <w:snapToGrid w:val="0"/>
          <w:lang w:eastAsia="en-US" w:bidi="ar-SA"/>
        </w:rPr>
      </w:pPr>
    </w:p>
    <w:p w14:paraId="55081B9D" w14:textId="77777777" w:rsidR="00CD51A4" w:rsidRPr="000A2DE8" w:rsidRDefault="00CD51A4" w:rsidP="00CD51A4">
      <w:pPr>
        <w:tabs>
          <w:tab w:val="left" w:pos="5954"/>
          <w:tab w:val="left" w:pos="6237"/>
          <w:tab w:val="left" w:pos="6663"/>
          <w:tab w:val="left" w:pos="6946"/>
        </w:tabs>
        <w:spacing w:after="0" w:line="240" w:lineRule="auto"/>
        <w:rPr>
          <w:rFonts w:ascii="Times New Roman" w:eastAsia="SimSun" w:hAnsi="Times New Roman"/>
          <w:lang w:eastAsia="en-US" w:bidi="ar-SA"/>
        </w:rPr>
      </w:pPr>
      <w:r w:rsidRPr="000A2DE8">
        <w:rPr>
          <w:rFonts w:ascii="Times New Roman" w:eastAsia="SimSun" w:hAnsi="Times New Roman"/>
          <w:lang w:eastAsia="en-US" w:bidi="ar-SA"/>
        </w:rPr>
        <w:t xml:space="preserve">Išsami informacija apie šį vaistinį preparatą pateikiama Valstybinės vaistų kontrolės tarnybos prie Lietuvos Respublikos sveikatos apsaugos ministerijos tinklalapyje </w:t>
      </w:r>
      <w:r w:rsidRPr="000A2DE8">
        <w:rPr>
          <w:rFonts w:ascii="Times New Roman" w:eastAsia="SimSun" w:hAnsi="Times New Roman"/>
          <w:color w:val="0000FF"/>
          <w:u w:val="single"/>
          <w:lang w:eastAsia="en-US" w:bidi="ar-SA"/>
        </w:rPr>
        <w:t>http://www.vvkt.lt</w:t>
      </w:r>
    </w:p>
    <w:p w14:paraId="331834BF"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42AC4DA4" w14:textId="77777777" w:rsidR="00CD51A4" w:rsidRPr="000A2DE8" w:rsidRDefault="00CD51A4" w:rsidP="00CD51A4">
      <w:pPr>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br w:type="page"/>
      </w:r>
    </w:p>
    <w:p w14:paraId="672B66A4"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070D8829"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2D2D338F"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3A1FC44D"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6FBA7F28"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60AD22C8"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6D1C393B"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6ECC7FD2"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36509101"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4BD794A0"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286D9FFC"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109F4291"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48C97B1C"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7484B11E"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218BC4D6"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0A0AFFD1"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63049FA2" w14:textId="77777777" w:rsidR="00CD51A4" w:rsidRPr="000A2DE8" w:rsidRDefault="00CD51A4" w:rsidP="00CD51A4">
      <w:pPr>
        <w:tabs>
          <w:tab w:val="left" w:pos="567"/>
        </w:tabs>
        <w:spacing w:after="0" w:line="260" w:lineRule="exact"/>
        <w:jc w:val="center"/>
        <w:rPr>
          <w:rFonts w:ascii="Times New Roman" w:eastAsia="Times New Roman" w:hAnsi="Times New Roman"/>
          <w:b/>
          <w:snapToGrid w:val="0"/>
          <w:lang w:eastAsia="en-US" w:bidi="ar-SA"/>
        </w:rPr>
      </w:pPr>
    </w:p>
    <w:p w14:paraId="436CF839" w14:textId="77777777" w:rsidR="00CD51A4" w:rsidRPr="000A2DE8" w:rsidRDefault="00CD51A4" w:rsidP="00CD51A4">
      <w:pPr>
        <w:tabs>
          <w:tab w:val="left" w:pos="567"/>
        </w:tabs>
        <w:spacing w:after="0" w:line="260" w:lineRule="exact"/>
        <w:jc w:val="center"/>
        <w:rPr>
          <w:rFonts w:ascii="Times New Roman" w:eastAsia="Times New Roman" w:hAnsi="Times New Roman"/>
          <w:b/>
          <w:snapToGrid w:val="0"/>
          <w:lang w:eastAsia="en-US" w:bidi="ar-SA"/>
        </w:rPr>
      </w:pPr>
    </w:p>
    <w:p w14:paraId="467B6B8A" w14:textId="77777777" w:rsidR="00CD51A4" w:rsidRPr="000A2DE8" w:rsidRDefault="00CD51A4" w:rsidP="00CD51A4">
      <w:pPr>
        <w:tabs>
          <w:tab w:val="left" w:pos="567"/>
        </w:tabs>
        <w:spacing w:after="0" w:line="260" w:lineRule="exact"/>
        <w:jc w:val="center"/>
        <w:rPr>
          <w:rFonts w:ascii="Times New Roman" w:eastAsia="Times New Roman" w:hAnsi="Times New Roman"/>
          <w:b/>
          <w:snapToGrid w:val="0"/>
          <w:lang w:eastAsia="en-US" w:bidi="ar-SA"/>
        </w:rPr>
      </w:pPr>
    </w:p>
    <w:p w14:paraId="07D955E4" w14:textId="77777777" w:rsidR="00CD51A4" w:rsidRPr="000A2DE8" w:rsidRDefault="00CD51A4" w:rsidP="00CD51A4">
      <w:pPr>
        <w:tabs>
          <w:tab w:val="left" w:pos="567"/>
        </w:tabs>
        <w:spacing w:after="0" w:line="260" w:lineRule="exact"/>
        <w:jc w:val="center"/>
        <w:rPr>
          <w:rFonts w:ascii="Times New Roman" w:eastAsia="Times New Roman" w:hAnsi="Times New Roman"/>
          <w:b/>
          <w:snapToGrid w:val="0"/>
          <w:lang w:eastAsia="en-US" w:bidi="ar-SA"/>
        </w:rPr>
      </w:pPr>
    </w:p>
    <w:p w14:paraId="37C0CD9E" w14:textId="77777777" w:rsidR="00CD51A4" w:rsidRPr="000A2DE8" w:rsidRDefault="00CD51A4" w:rsidP="00CD51A4">
      <w:pPr>
        <w:tabs>
          <w:tab w:val="left" w:pos="567"/>
        </w:tabs>
        <w:spacing w:after="0" w:line="260" w:lineRule="exact"/>
        <w:jc w:val="center"/>
        <w:rPr>
          <w:rFonts w:ascii="Times New Roman" w:eastAsia="Times New Roman" w:hAnsi="Times New Roman"/>
          <w:b/>
          <w:snapToGrid w:val="0"/>
          <w:lang w:eastAsia="en-US" w:bidi="ar-SA"/>
        </w:rPr>
      </w:pPr>
    </w:p>
    <w:p w14:paraId="7A9CEC4E" w14:textId="77777777" w:rsidR="00CD51A4" w:rsidRPr="000A2DE8" w:rsidRDefault="00CD51A4" w:rsidP="00CD51A4">
      <w:pPr>
        <w:tabs>
          <w:tab w:val="left" w:pos="567"/>
        </w:tabs>
        <w:spacing w:after="0" w:line="260" w:lineRule="exact"/>
        <w:jc w:val="center"/>
        <w:rPr>
          <w:rFonts w:ascii="Times New Roman" w:eastAsia="Times New Roman" w:hAnsi="Times New Roman"/>
          <w:b/>
          <w:snapToGrid w:val="0"/>
          <w:lang w:eastAsia="en-US" w:bidi="ar-SA"/>
        </w:rPr>
      </w:pPr>
    </w:p>
    <w:p w14:paraId="7122583B" w14:textId="77777777" w:rsidR="00CD51A4" w:rsidRPr="000A2DE8" w:rsidRDefault="00CD51A4" w:rsidP="00CD51A4">
      <w:pPr>
        <w:tabs>
          <w:tab w:val="left" w:pos="567"/>
        </w:tabs>
        <w:spacing w:after="0" w:line="260" w:lineRule="exact"/>
        <w:jc w:val="center"/>
        <w:rPr>
          <w:rFonts w:ascii="Times New Roman" w:eastAsia="Times New Roman" w:hAnsi="Times New Roman"/>
          <w:b/>
          <w:snapToGrid w:val="0"/>
          <w:lang w:eastAsia="en-US" w:bidi="ar-SA"/>
        </w:rPr>
      </w:pPr>
    </w:p>
    <w:p w14:paraId="4D9FBEDA" w14:textId="77777777" w:rsidR="00CD51A4" w:rsidRPr="000A2DE8" w:rsidRDefault="00CD51A4" w:rsidP="00CD51A4">
      <w:pPr>
        <w:tabs>
          <w:tab w:val="left" w:pos="567"/>
        </w:tabs>
        <w:spacing w:after="0" w:line="260" w:lineRule="exact"/>
        <w:jc w:val="center"/>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II PRIEDAS</w:t>
      </w:r>
    </w:p>
    <w:p w14:paraId="04698EEF" w14:textId="77777777" w:rsidR="00CD51A4" w:rsidRPr="000A2DE8" w:rsidRDefault="00CD51A4" w:rsidP="00CD51A4">
      <w:pPr>
        <w:tabs>
          <w:tab w:val="left" w:pos="567"/>
        </w:tabs>
        <w:spacing w:after="0" w:line="260" w:lineRule="exact"/>
        <w:ind w:left="1701" w:hanging="567"/>
        <w:rPr>
          <w:rFonts w:ascii="Times New Roman" w:eastAsia="Times New Roman" w:hAnsi="Times New Roman"/>
          <w:snapToGrid w:val="0"/>
          <w:lang w:eastAsia="en-US" w:bidi="ar-SA"/>
        </w:rPr>
      </w:pPr>
    </w:p>
    <w:p w14:paraId="609D2337" w14:textId="77777777" w:rsidR="00CD51A4" w:rsidRPr="000A2DE8" w:rsidRDefault="00CD51A4" w:rsidP="00CD51A4">
      <w:pPr>
        <w:tabs>
          <w:tab w:val="left" w:pos="567"/>
        </w:tabs>
        <w:spacing w:after="0" w:line="260" w:lineRule="exact"/>
        <w:jc w:val="center"/>
        <w:rPr>
          <w:rFonts w:ascii="Times New Roman" w:eastAsia="Times New Roman" w:hAnsi="Times New Roman"/>
          <w:i/>
          <w:snapToGrid w:val="0"/>
          <w:lang w:eastAsia="en-US" w:bidi="ar-SA"/>
        </w:rPr>
      </w:pPr>
      <w:r w:rsidRPr="000A2DE8">
        <w:rPr>
          <w:rFonts w:ascii="Times New Roman" w:eastAsia="Times New Roman" w:hAnsi="Times New Roman"/>
          <w:b/>
          <w:snapToGrid w:val="0"/>
          <w:lang w:eastAsia="en-US" w:bidi="ar-SA"/>
        </w:rPr>
        <w:t>REGISTRACIJOS SĄLYGOS</w:t>
      </w:r>
    </w:p>
    <w:p w14:paraId="075CDE42"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10C74553" w14:textId="77777777" w:rsidR="00CD51A4" w:rsidRPr="000A2DE8" w:rsidRDefault="00CD51A4" w:rsidP="00CD51A4">
      <w:pPr>
        <w:tabs>
          <w:tab w:val="left" w:pos="1701"/>
        </w:tabs>
        <w:spacing w:after="0" w:line="260" w:lineRule="exact"/>
        <w:ind w:left="1701" w:hanging="567"/>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A.</w:t>
      </w:r>
      <w:r w:rsidRPr="000A2DE8">
        <w:rPr>
          <w:rFonts w:ascii="Times New Roman" w:eastAsia="Times New Roman" w:hAnsi="Times New Roman"/>
          <w:b/>
          <w:snapToGrid w:val="0"/>
          <w:lang w:eastAsia="en-US" w:bidi="ar-SA"/>
        </w:rPr>
        <w:tab/>
        <w:t>GAMINTOJAS (-AI), ATSAKINGAS (-I) UŽ SERIJŲ IŠLEIDIMĄ</w:t>
      </w:r>
    </w:p>
    <w:p w14:paraId="47BB2F3C" w14:textId="77777777" w:rsidR="00CD51A4" w:rsidRPr="000A2DE8" w:rsidRDefault="00CD51A4" w:rsidP="00CD51A4">
      <w:pPr>
        <w:tabs>
          <w:tab w:val="left" w:pos="1701"/>
        </w:tabs>
        <w:spacing w:after="0" w:line="260" w:lineRule="exact"/>
        <w:ind w:left="567" w:hanging="567"/>
        <w:rPr>
          <w:rFonts w:ascii="Times New Roman" w:eastAsia="Times New Roman" w:hAnsi="Times New Roman"/>
          <w:snapToGrid w:val="0"/>
          <w:lang w:eastAsia="en-US" w:bidi="ar-SA"/>
        </w:rPr>
      </w:pPr>
    </w:p>
    <w:p w14:paraId="730FDF78" w14:textId="77777777" w:rsidR="00CD51A4" w:rsidRPr="000A2DE8" w:rsidRDefault="00CD51A4" w:rsidP="00CD51A4">
      <w:pPr>
        <w:tabs>
          <w:tab w:val="left" w:pos="1701"/>
        </w:tabs>
        <w:spacing w:after="0" w:line="260" w:lineRule="exact"/>
        <w:ind w:left="1701" w:hanging="567"/>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B.</w:t>
      </w:r>
      <w:r w:rsidRPr="000A2DE8">
        <w:rPr>
          <w:rFonts w:ascii="Times New Roman" w:eastAsia="Times New Roman" w:hAnsi="Times New Roman"/>
          <w:b/>
          <w:snapToGrid w:val="0"/>
          <w:lang w:eastAsia="en-US" w:bidi="ar-SA"/>
        </w:rPr>
        <w:tab/>
        <w:t>TIEKIMO IR VARTOJIMO SĄLYGOS AR APRIBOJIMAI</w:t>
      </w:r>
    </w:p>
    <w:p w14:paraId="42FCF428"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7D2F7C38" w14:textId="77777777" w:rsidR="00CD51A4" w:rsidRPr="000A2DE8" w:rsidRDefault="00CD51A4" w:rsidP="00CD51A4">
      <w:pPr>
        <w:tabs>
          <w:tab w:val="left" w:pos="567"/>
        </w:tabs>
        <w:spacing w:after="0" w:line="260" w:lineRule="exact"/>
        <w:ind w:left="567" w:hanging="567"/>
        <w:rPr>
          <w:rFonts w:ascii="Times New Roman" w:eastAsia="Times New Roman" w:hAnsi="Times New Roman"/>
          <w:b/>
          <w:snapToGrid w:val="0"/>
          <w:lang w:eastAsia="en-US" w:bidi="ar-SA"/>
        </w:rPr>
      </w:pPr>
      <w:r w:rsidRPr="000A2DE8">
        <w:rPr>
          <w:rFonts w:ascii="Times New Roman" w:eastAsia="Times New Roman" w:hAnsi="Times New Roman"/>
          <w:snapToGrid w:val="0"/>
          <w:lang w:eastAsia="en-US" w:bidi="ar-SA"/>
        </w:rPr>
        <w:br w:type="page"/>
      </w:r>
      <w:r w:rsidRPr="000A2DE8">
        <w:rPr>
          <w:rFonts w:ascii="Times New Roman" w:eastAsia="Times New Roman" w:hAnsi="Times New Roman"/>
          <w:b/>
          <w:snapToGrid w:val="0"/>
          <w:lang w:eastAsia="en-US" w:bidi="ar-SA"/>
        </w:rPr>
        <w:lastRenderedPageBreak/>
        <w:t>A.</w:t>
      </w:r>
      <w:r w:rsidRPr="000A2DE8">
        <w:rPr>
          <w:rFonts w:ascii="Times New Roman" w:eastAsia="Times New Roman" w:hAnsi="Times New Roman"/>
          <w:b/>
          <w:snapToGrid w:val="0"/>
          <w:lang w:eastAsia="en-US" w:bidi="ar-SA"/>
        </w:rPr>
        <w:tab/>
        <w:t>GAMINTOJAS (-AI), ATSAKINGAS (-I) UŽ SERIJŲ IŠLEIDIMĄ</w:t>
      </w:r>
    </w:p>
    <w:p w14:paraId="21BD5A72"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784382AE" w14:textId="77777777" w:rsidR="00CD51A4" w:rsidRPr="000A2DE8" w:rsidRDefault="00CD51A4" w:rsidP="00CD51A4">
      <w:pPr>
        <w:tabs>
          <w:tab w:val="left" w:pos="567"/>
        </w:tabs>
        <w:spacing w:after="0" w:line="240" w:lineRule="auto"/>
        <w:jc w:val="both"/>
        <w:rPr>
          <w:rFonts w:ascii="Times New Roman" w:eastAsia="Times New Roman" w:hAnsi="Times New Roman"/>
          <w:snapToGrid w:val="0"/>
          <w:lang w:eastAsia="en-US" w:bidi="ar-SA"/>
        </w:rPr>
      </w:pPr>
      <w:r w:rsidRPr="000A2DE8">
        <w:rPr>
          <w:rFonts w:ascii="Times New Roman" w:eastAsia="Times New Roman" w:hAnsi="Times New Roman"/>
          <w:snapToGrid w:val="0"/>
          <w:u w:val="single"/>
          <w:lang w:eastAsia="en-US" w:bidi="ar-SA"/>
        </w:rPr>
        <w:t>Gamintojo (-ų), atsakingo (-ų) už serijų išleidimą, pavadinimas (-ai) ir adresas (-ai)</w:t>
      </w:r>
    </w:p>
    <w:p w14:paraId="50F9410D"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4EED1296" w14:textId="77777777" w:rsidR="0014378A" w:rsidRPr="000A2DE8" w:rsidRDefault="0014378A" w:rsidP="0014378A">
      <w:pPr>
        <w:numPr>
          <w:ilvl w:val="12"/>
          <w:numId w:val="0"/>
        </w:numPr>
        <w:tabs>
          <w:tab w:val="left" w:pos="567"/>
        </w:tabs>
        <w:spacing w:after="0" w:line="240" w:lineRule="auto"/>
        <w:ind w:right="-2"/>
        <w:rPr>
          <w:rFonts w:ascii="Times New Roman" w:eastAsia="Times New Roman" w:hAnsi="Times New Roman"/>
          <w:color w:val="000000"/>
        </w:rPr>
      </w:pPr>
      <w:r w:rsidRPr="000A2DE8">
        <w:rPr>
          <w:rFonts w:ascii="Times New Roman" w:eastAsia="Times New Roman" w:hAnsi="Times New Roman"/>
          <w:color w:val="000000"/>
        </w:rPr>
        <w:t>Accord Healthcare Polska Sp.z o.o.,</w:t>
      </w:r>
    </w:p>
    <w:p w14:paraId="77EEE43F" w14:textId="77777777" w:rsidR="0014378A" w:rsidRPr="000A2DE8" w:rsidRDefault="0014378A" w:rsidP="0014378A">
      <w:pPr>
        <w:numPr>
          <w:ilvl w:val="12"/>
          <w:numId w:val="0"/>
        </w:numPr>
        <w:tabs>
          <w:tab w:val="left" w:pos="567"/>
        </w:tabs>
        <w:spacing w:after="0" w:line="240" w:lineRule="auto"/>
        <w:ind w:right="-2"/>
        <w:rPr>
          <w:rFonts w:ascii="Times New Roman" w:eastAsia="Times New Roman" w:hAnsi="Times New Roman"/>
          <w:color w:val="000000"/>
        </w:rPr>
      </w:pPr>
      <w:r w:rsidRPr="000A2DE8">
        <w:rPr>
          <w:rFonts w:ascii="Times New Roman" w:eastAsia="Times New Roman" w:hAnsi="Times New Roman"/>
          <w:color w:val="000000"/>
        </w:rPr>
        <w:t>ul. Lutomierska 50,95-200 Pabianice, Lenkija</w:t>
      </w:r>
    </w:p>
    <w:p w14:paraId="22B74A56"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6CAB8C0C" w14:textId="77777777" w:rsidR="00646A64" w:rsidRPr="000A2DE8" w:rsidRDefault="00646A64" w:rsidP="00CD51A4">
      <w:pPr>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arba</w:t>
      </w:r>
    </w:p>
    <w:p w14:paraId="0C289B27" w14:textId="77777777" w:rsidR="00646A64" w:rsidRPr="000A2DE8" w:rsidRDefault="00646A64" w:rsidP="00CD51A4">
      <w:pPr>
        <w:tabs>
          <w:tab w:val="left" w:pos="567"/>
        </w:tabs>
        <w:spacing w:after="0" w:line="260" w:lineRule="exact"/>
        <w:rPr>
          <w:rFonts w:ascii="Times New Roman" w:eastAsia="Times New Roman" w:hAnsi="Times New Roman"/>
          <w:snapToGrid w:val="0"/>
          <w:lang w:eastAsia="en-US" w:bidi="ar-SA"/>
        </w:rPr>
      </w:pPr>
    </w:p>
    <w:p w14:paraId="0CD4E523" w14:textId="77777777" w:rsidR="00646A64" w:rsidRPr="000A2DE8" w:rsidRDefault="00646A64" w:rsidP="00646A64">
      <w:pPr>
        <w:spacing w:after="0" w:line="240" w:lineRule="auto"/>
        <w:rPr>
          <w:rFonts w:ascii="Times New Roman" w:hAnsi="Times New Roman"/>
        </w:rPr>
      </w:pPr>
      <w:r w:rsidRPr="000A2DE8">
        <w:rPr>
          <w:rFonts w:ascii="Times New Roman" w:hAnsi="Times New Roman"/>
        </w:rPr>
        <w:t xml:space="preserve">Accord Healthcare B.V. </w:t>
      </w:r>
    </w:p>
    <w:p w14:paraId="5E672B82" w14:textId="77777777" w:rsidR="00646A64" w:rsidRPr="000A2DE8" w:rsidRDefault="00646A64" w:rsidP="00646A64">
      <w:pPr>
        <w:spacing w:after="0"/>
        <w:rPr>
          <w:rFonts w:ascii="Times New Roman" w:hAnsi="Times New Roman"/>
        </w:rPr>
      </w:pPr>
      <w:r w:rsidRPr="000A2DE8">
        <w:rPr>
          <w:rFonts w:ascii="Times New Roman" w:hAnsi="Times New Roman"/>
        </w:rPr>
        <w:t xml:space="preserve">Winthontlaan 200 </w:t>
      </w:r>
    </w:p>
    <w:p w14:paraId="36FCF21E" w14:textId="77777777" w:rsidR="00646A64" w:rsidRPr="000A2DE8" w:rsidRDefault="00646A64" w:rsidP="00646A64">
      <w:pPr>
        <w:spacing w:after="0"/>
        <w:rPr>
          <w:rFonts w:ascii="Times New Roman" w:hAnsi="Times New Roman"/>
        </w:rPr>
      </w:pPr>
      <w:r w:rsidRPr="000A2DE8">
        <w:rPr>
          <w:rFonts w:ascii="Times New Roman" w:hAnsi="Times New Roman"/>
        </w:rPr>
        <w:t xml:space="preserve">3526 KV Utrecht </w:t>
      </w:r>
    </w:p>
    <w:p w14:paraId="20E14536" w14:textId="77777777" w:rsidR="00646A64" w:rsidRPr="000A2DE8" w:rsidRDefault="00646A64" w:rsidP="00A5565D">
      <w:pPr>
        <w:spacing w:after="0"/>
        <w:rPr>
          <w:rFonts w:ascii="Times New Roman" w:eastAsia="Times New Roman" w:hAnsi="Times New Roman"/>
          <w:snapToGrid w:val="0"/>
          <w:lang w:eastAsia="en-US" w:bidi="ar-SA"/>
        </w:rPr>
      </w:pPr>
      <w:r w:rsidRPr="000A2DE8">
        <w:rPr>
          <w:rFonts w:ascii="Times New Roman" w:hAnsi="Times New Roman"/>
        </w:rPr>
        <w:t>Nyderlandai</w:t>
      </w:r>
    </w:p>
    <w:p w14:paraId="7D28FA10"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280E22A9"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Su pakuote pateikiamame lapelyje nurodomas gamintojo, atsakingo už konkrečios serijos išleidimą, pavadinimas ir adresas.</w:t>
      </w:r>
    </w:p>
    <w:p w14:paraId="41548822"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62F758EA"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461AFDAC" w14:textId="77777777" w:rsidR="00CD51A4" w:rsidRPr="000A2DE8" w:rsidRDefault="00CD51A4" w:rsidP="00CD51A4">
      <w:pPr>
        <w:tabs>
          <w:tab w:val="left" w:pos="567"/>
        </w:tabs>
        <w:spacing w:after="0" w:line="240" w:lineRule="auto"/>
        <w:ind w:left="567" w:hanging="567"/>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B.</w:t>
      </w:r>
      <w:r w:rsidRPr="000A2DE8">
        <w:rPr>
          <w:rFonts w:ascii="Times New Roman" w:eastAsia="Times New Roman" w:hAnsi="Times New Roman"/>
          <w:b/>
          <w:snapToGrid w:val="0"/>
          <w:lang w:eastAsia="en-US" w:bidi="ar-SA"/>
        </w:rPr>
        <w:tab/>
        <w:t>TIEKIMO IR VARTOJIMO SĄLYGOS AR APRIBOJIMAI</w:t>
      </w:r>
    </w:p>
    <w:p w14:paraId="14828235"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6DC9F31C"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Receptinis vaistinis preparatas.</w:t>
      </w:r>
    </w:p>
    <w:p w14:paraId="77805A6D" w14:textId="77777777" w:rsidR="00CD51A4" w:rsidRPr="000A2DE8" w:rsidRDefault="00CD51A4" w:rsidP="00CD51A4">
      <w:pPr>
        <w:widowControl w:val="0"/>
        <w:autoSpaceDE w:val="0"/>
        <w:autoSpaceDN w:val="0"/>
        <w:adjustRightInd w:val="0"/>
        <w:spacing w:after="0" w:line="240" w:lineRule="auto"/>
        <w:rPr>
          <w:rFonts w:ascii="Times New Roman" w:hAnsi="Times New Roman"/>
          <w:color w:val="030303"/>
        </w:rPr>
      </w:pPr>
    </w:p>
    <w:p w14:paraId="1219FF1D" w14:textId="77777777" w:rsidR="00CD51A4" w:rsidRPr="000A2DE8" w:rsidRDefault="00CD51A4" w:rsidP="00CD51A4">
      <w:pPr>
        <w:spacing w:after="0" w:line="240" w:lineRule="auto"/>
        <w:rPr>
          <w:rFonts w:ascii="Times New Roman" w:hAnsi="Times New Roman"/>
          <w:color w:val="030303"/>
        </w:rPr>
      </w:pPr>
      <w:r w:rsidRPr="000A2DE8">
        <w:rPr>
          <w:rFonts w:ascii="Times New Roman" w:hAnsi="Times New Roman"/>
          <w:color w:val="030303"/>
        </w:rPr>
        <w:br w:type="page"/>
      </w:r>
    </w:p>
    <w:p w14:paraId="0A5CA43A" w14:textId="77777777" w:rsidR="00CD51A4" w:rsidRPr="000A2DE8" w:rsidRDefault="00CD51A4" w:rsidP="00CD51A4">
      <w:pPr>
        <w:tabs>
          <w:tab w:val="left" w:pos="567"/>
        </w:tabs>
        <w:spacing w:after="0" w:line="260" w:lineRule="exact"/>
        <w:ind w:right="566"/>
        <w:rPr>
          <w:rFonts w:ascii="Times New Roman" w:eastAsia="Times New Roman" w:hAnsi="Times New Roman"/>
          <w:snapToGrid w:val="0"/>
          <w:lang w:eastAsia="en-US" w:bidi="ar-SA"/>
        </w:rPr>
      </w:pPr>
    </w:p>
    <w:p w14:paraId="1F14EA63"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00709CFA"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7B42E175"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4FD04003"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033497DF"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13B30541"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55DD4DC7"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25FDC0DB"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12DC6B2D"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2D085A1E"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3475F04A"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2B9013FC"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515B80DD"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3E6B81B7"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3D5C24BE"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12FA7002"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2CA7AE2E" w14:textId="77777777" w:rsidR="00CD51A4" w:rsidRPr="000A2DE8" w:rsidRDefault="00CD51A4" w:rsidP="00CD51A4">
      <w:pPr>
        <w:tabs>
          <w:tab w:val="left" w:pos="567"/>
        </w:tabs>
        <w:spacing w:after="0" w:line="260" w:lineRule="exact"/>
        <w:outlineLvl w:val="0"/>
        <w:rPr>
          <w:rFonts w:ascii="Times New Roman" w:eastAsia="Times New Roman" w:hAnsi="Times New Roman"/>
          <w:b/>
          <w:snapToGrid w:val="0"/>
          <w:lang w:eastAsia="en-US" w:bidi="ar-SA"/>
        </w:rPr>
      </w:pPr>
    </w:p>
    <w:p w14:paraId="37D1F00E" w14:textId="77777777" w:rsidR="00CD51A4" w:rsidRPr="000A2DE8" w:rsidRDefault="00CD51A4" w:rsidP="00CD51A4">
      <w:pPr>
        <w:tabs>
          <w:tab w:val="left" w:pos="567"/>
        </w:tabs>
        <w:spacing w:after="0" w:line="260" w:lineRule="exact"/>
        <w:outlineLvl w:val="0"/>
        <w:rPr>
          <w:rFonts w:ascii="Times New Roman" w:eastAsia="Times New Roman" w:hAnsi="Times New Roman"/>
          <w:b/>
          <w:snapToGrid w:val="0"/>
          <w:lang w:eastAsia="en-US" w:bidi="ar-SA"/>
        </w:rPr>
      </w:pPr>
    </w:p>
    <w:p w14:paraId="0BF31EA8" w14:textId="77777777" w:rsidR="00CD51A4" w:rsidRPr="000A2DE8" w:rsidRDefault="00CD51A4" w:rsidP="00CD51A4">
      <w:pPr>
        <w:tabs>
          <w:tab w:val="left" w:pos="567"/>
        </w:tabs>
        <w:spacing w:after="0" w:line="260" w:lineRule="exact"/>
        <w:outlineLvl w:val="0"/>
        <w:rPr>
          <w:rFonts w:ascii="Times New Roman" w:eastAsia="Times New Roman" w:hAnsi="Times New Roman"/>
          <w:b/>
          <w:snapToGrid w:val="0"/>
          <w:lang w:eastAsia="en-US" w:bidi="ar-SA"/>
        </w:rPr>
      </w:pPr>
    </w:p>
    <w:p w14:paraId="08EBD725" w14:textId="77777777" w:rsidR="00CD51A4" w:rsidRPr="000A2DE8" w:rsidRDefault="00CD51A4" w:rsidP="00CD51A4">
      <w:pPr>
        <w:tabs>
          <w:tab w:val="left" w:pos="567"/>
        </w:tabs>
        <w:spacing w:after="0" w:line="260" w:lineRule="exact"/>
        <w:outlineLvl w:val="0"/>
        <w:rPr>
          <w:rFonts w:ascii="Times New Roman" w:eastAsia="Times New Roman" w:hAnsi="Times New Roman"/>
          <w:b/>
          <w:snapToGrid w:val="0"/>
          <w:lang w:eastAsia="en-US" w:bidi="ar-SA"/>
        </w:rPr>
      </w:pPr>
    </w:p>
    <w:p w14:paraId="5AA95E30" w14:textId="77777777" w:rsidR="00CD51A4" w:rsidRPr="000A2DE8" w:rsidRDefault="00CD51A4" w:rsidP="00CD51A4">
      <w:pPr>
        <w:tabs>
          <w:tab w:val="left" w:pos="567"/>
        </w:tabs>
        <w:spacing w:after="0" w:line="260" w:lineRule="exact"/>
        <w:outlineLvl w:val="0"/>
        <w:rPr>
          <w:rFonts w:ascii="Times New Roman" w:eastAsia="Times New Roman" w:hAnsi="Times New Roman"/>
          <w:b/>
          <w:snapToGrid w:val="0"/>
          <w:lang w:eastAsia="en-US" w:bidi="ar-SA"/>
        </w:rPr>
      </w:pPr>
    </w:p>
    <w:p w14:paraId="2E8F36AC" w14:textId="77777777" w:rsidR="00CD51A4" w:rsidRPr="000A2DE8" w:rsidRDefault="00CD51A4" w:rsidP="00CD51A4">
      <w:pPr>
        <w:tabs>
          <w:tab w:val="left" w:pos="567"/>
        </w:tabs>
        <w:spacing w:after="0" w:line="260" w:lineRule="exact"/>
        <w:outlineLvl w:val="0"/>
        <w:rPr>
          <w:rFonts w:ascii="Times New Roman" w:eastAsia="Times New Roman" w:hAnsi="Times New Roman"/>
          <w:b/>
          <w:snapToGrid w:val="0"/>
          <w:lang w:eastAsia="en-US" w:bidi="ar-SA"/>
        </w:rPr>
      </w:pPr>
    </w:p>
    <w:p w14:paraId="47313927" w14:textId="77777777" w:rsidR="00CD51A4" w:rsidRPr="000A2DE8" w:rsidRDefault="00CD51A4" w:rsidP="00CD51A4">
      <w:pPr>
        <w:keepNext/>
        <w:tabs>
          <w:tab w:val="left" w:pos="567"/>
        </w:tabs>
        <w:spacing w:after="0" w:line="240" w:lineRule="auto"/>
        <w:jc w:val="center"/>
        <w:outlineLvl w:val="1"/>
        <w:rPr>
          <w:rFonts w:ascii="Times New Roman" w:eastAsia="Times New Roman" w:hAnsi="Times New Roman"/>
          <w:b/>
          <w:snapToGrid w:val="0"/>
          <w:lang w:bidi="ar-SA"/>
        </w:rPr>
      </w:pPr>
      <w:r w:rsidRPr="000A2DE8">
        <w:rPr>
          <w:rFonts w:ascii="Times New Roman" w:eastAsia="Times New Roman" w:hAnsi="Times New Roman"/>
          <w:b/>
          <w:bCs/>
          <w:iCs/>
          <w:snapToGrid w:val="0"/>
          <w:lang w:bidi="ar-SA"/>
        </w:rPr>
        <w:t>III PRIEDAS</w:t>
      </w:r>
    </w:p>
    <w:p w14:paraId="466A70BF"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7C743895" w14:textId="77777777" w:rsidR="00CD51A4" w:rsidRPr="000A2DE8" w:rsidRDefault="00CD51A4" w:rsidP="00CD51A4">
      <w:pPr>
        <w:keepNext/>
        <w:tabs>
          <w:tab w:val="left" w:pos="567"/>
        </w:tabs>
        <w:spacing w:after="0" w:line="240" w:lineRule="auto"/>
        <w:jc w:val="center"/>
        <w:outlineLvl w:val="1"/>
        <w:rPr>
          <w:rFonts w:ascii="Times New Roman" w:eastAsia="Times New Roman" w:hAnsi="Times New Roman"/>
          <w:b/>
          <w:snapToGrid w:val="0"/>
          <w:lang w:bidi="ar-SA"/>
        </w:rPr>
      </w:pPr>
      <w:r w:rsidRPr="000A2DE8">
        <w:rPr>
          <w:rFonts w:ascii="Times New Roman" w:eastAsia="Times New Roman" w:hAnsi="Times New Roman"/>
          <w:b/>
          <w:bCs/>
          <w:iCs/>
          <w:snapToGrid w:val="0"/>
          <w:lang w:bidi="ar-SA"/>
        </w:rPr>
        <w:t>ŽENKLINIMAS IR PAKUOTĖS LAPELIS</w:t>
      </w:r>
    </w:p>
    <w:p w14:paraId="11ABAD3C"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br w:type="page"/>
      </w:r>
    </w:p>
    <w:p w14:paraId="02218914"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5B94732B"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69132D96"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1FC8B2BA"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717D5E3D"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71952DBD"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030894F0"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7B46769A"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5940F3B9"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2BD2E1D7"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542EC295"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20EBA0ED"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0A8972ED"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560AA4DF"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7163D062"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1D3E237C"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73E40477"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0D8C40D2"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589F67DE"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76609699"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727E5B72"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74872BF5"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00AE467A" w14:textId="77777777" w:rsidR="00CD51A4" w:rsidRPr="000A2DE8" w:rsidRDefault="00CD51A4" w:rsidP="00CD51A4">
      <w:pPr>
        <w:tabs>
          <w:tab w:val="left" w:pos="567"/>
        </w:tabs>
        <w:spacing w:after="0" w:line="260" w:lineRule="exact"/>
        <w:rPr>
          <w:rFonts w:ascii="Times New Roman" w:eastAsia="Times New Roman" w:hAnsi="Times New Roman"/>
          <w:snapToGrid w:val="0"/>
          <w:lang w:eastAsia="en-US" w:bidi="ar-SA"/>
        </w:rPr>
      </w:pPr>
    </w:p>
    <w:p w14:paraId="38D25C29" w14:textId="77777777" w:rsidR="00CD51A4" w:rsidRPr="000A2DE8" w:rsidRDefault="00CD51A4" w:rsidP="00CD51A4">
      <w:pPr>
        <w:keepNext/>
        <w:tabs>
          <w:tab w:val="left" w:pos="567"/>
        </w:tabs>
        <w:spacing w:after="0" w:line="240" w:lineRule="auto"/>
        <w:jc w:val="center"/>
        <w:outlineLvl w:val="1"/>
        <w:rPr>
          <w:rFonts w:ascii="Times New Roman" w:eastAsia="Times New Roman" w:hAnsi="Times New Roman"/>
          <w:b/>
          <w:snapToGrid w:val="0"/>
          <w:lang w:bidi="ar-SA"/>
        </w:rPr>
      </w:pPr>
      <w:r w:rsidRPr="000A2DE8">
        <w:rPr>
          <w:rFonts w:ascii="Times New Roman" w:eastAsia="Times New Roman" w:hAnsi="Times New Roman"/>
          <w:b/>
          <w:bCs/>
          <w:iCs/>
          <w:snapToGrid w:val="0"/>
          <w:lang w:bidi="ar-SA"/>
        </w:rPr>
        <w:t>A. ŽENKLINIMAS</w:t>
      </w:r>
    </w:p>
    <w:p w14:paraId="79266051"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0A2DE8">
        <w:rPr>
          <w:rFonts w:ascii="Times New Roman" w:eastAsia="Times New Roman" w:hAnsi="Times New Roman"/>
          <w:snapToGrid w:val="0"/>
          <w:lang w:eastAsia="en-US" w:bidi="ar-SA"/>
        </w:rPr>
        <w:br w:type="page"/>
      </w:r>
      <w:r w:rsidRPr="000A2DE8">
        <w:rPr>
          <w:rFonts w:ascii="Times New Roman" w:eastAsia="Times New Roman" w:hAnsi="Times New Roman"/>
          <w:b/>
          <w:lang w:bidi="ar-SA"/>
        </w:rPr>
        <w:lastRenderedPageBreak/>
        <w:t>INFORMACIJA ANT IŠORINĖS PAKUOTĖS</w:t>
      </w:r>
    </w:p>
    <w:p w14:paraId="5049FD69"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p>
    <w:p w14:paraId="418B73E5"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0A2DE8">
        <w:rPr>
          <w:rFonts w:ascii="Times New Roman" w:eastAsia="Times New Roman" w:hAnsi="Times New Roman"/>
          <w:b/>
          <w:lang w:bidi="ar-SA"/>
        </w:rPr>
        <w:t xml:space="preserve">KARTONO DĖŽUTĖ, KURIOJE YRA 14, 56 IR 112 TABLEČIŲ </w:t>
      </w:r>
    </w:p>
    <w:p w14:paraId="1DE9EE5D" w14:textId="77777777" w:rsidR="00CD51A4" w:rsidRPr="000A2DE8" w:rsidRDefault="00CD51A4" w:rsidP="00CD51A4">
      <w:pPr>
        <w:tabs>
          <w:tab w:val="left" w:pos="8505"/>
        </w:tabs>
        <w:autoSpaceDE w:val="0"/>
        <w:autoSpaceDN w:val="0"/>
        <w:adjustRightInd w:val="0"/>
        <w:spacing w:after="0" w:line="240" w:lineRule="auto"/>
        <w:jc w:val="both"/>
        <w:rPr>
          <w:rFonts w:ascii="Times New Roman" w:eastAsia="Times New Roman" w:hAnsi="Times New Roman"/>
          <w:lang w:bidi="ar-SA"/>
        </w:rPr>
      </w:pPr>
    </w:p>
    <w:p w14:paraId="326A14EB" w14:textId="77777777" w:rsidR="00CD51A4" w:rsidRPr="000A2DE8" w:rsidRDefault="00CD51A4" w:rsidP="00CD51A4">
      <w:pPr>
        <w:tabs>
          <w:tab w:val="left" w:pos="8505"/>
        </w:tabs>
        <w:autoSpaceDE w:val="0"/>
        <w:autoSpaceDN w:val="0"/>
        <w:adjustRightInd w:val="0"/>
        <w:spacing w:after="0" w:line="240" w:lineRule="auto"/>
        <w:jc w:val="both"/>
        <w:rPr>
          <w:rFonts w:ascii="Times New Roman" w:eastAsia="Times New Roman" w:hAnsi="Times New Roman"/>
          <w:lang w:bidi="ar-SA"/>
        </w:rPr>
      </w:pPr>
    </w:p>
    <w:p w14:paraId="2AB13884"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w:t>
      </w:r>
      <w:r w:rsidRPr="000A2DE8">
        <w:rPr>
          <w:rFonts w:ascii="Times New Roman" w:eastAsia="Times New Roman" w:hAnsi="Times New Roman"/>
          <w:b/>
          <w:lang w:bidi="ar-SA"/>
        </w:rPr>
        <w:tab/>
        <w:t>VAISTINIO PREPARATO PAVADINIMAS</w:t>
      </w:r>
    </w:p>
    <w:p w14:paraId="6BD1DBD2"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6CEAE625" w14:textId="77777777" w:rsidR="00CD51A4" w:rsidRPr="000A2DE8" w:rsidRDefault="00CD51A4" w:rsidP="00CD51A4">
      <w:pPr>
        <w:tabs>
          <w:tab w:val="left" w:pos="8505"/>
        </w:tabs>
        <w:spacing w:after="0" w:line="240" w:lineRule="auto"/>
        <w:rPr>
          <w:rFonts w:ascii="Times New Roman" w:eastAsia="Times New Roman" w:hAnsi="Times New Roman"/>
          <w:lang w:bidi="ar-SA"/>
        </w:rPr>
      </w:pPr>
      <w:bookmarkStart w:id="1" w:name="OLE_LINK2"/>
      <w:r w:rsidRPr="000A2DE8">
        <w:rPr>
          <w:rFonts w:ascii="Times New Roman" w:eastAsia="Times New Roman" w:hAnsi="Times New Roman"/>
          <w:lang w:bidi="ar-SA"/>
        </w:rPr>
        <w:t>Bosentan Accord 62,5 mg plėvele dengtos tabletės</w:t>
      </w:r>
    </w:p>
    <w:bookmarkEnd w:id="1"/>
    <w:p w14:paraId="0A8C1826" w14:textId="77777777" w:rsidR="00CD51A4" w:rsidRPr="000A2DE8" w:rsidRDefault="00CD51A4" w:rsidP="00CD51A4">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Bozentanas</w:t>
      </w:r>
    </w:p>
    <w:p w14:paraId="3B872346" w14:textId="77777777" w:rsidR="00CD51A4" w:rsidRPr="000A2DE8" w:rsidRDefault="00CD51A4" w:rsidP="00CD51A4">
      <w:pPr>
        <w:tabs>
          <w:tab w:val="left" w:pos="8505"/>
        </w:tabs>
        <w:spacing w:after="0" w:line="240" w:lineRule="auto"/>
        <w:jc w:val="both"/>
        <w:rPr>
          <w:rFonts w:ascii="Times New Roman" w:eastAsia="Times New Roman" w:hAnsi="Times New Roman"/>
          <w:lang w:bidi="ar-SA"/>
        </w:rPr>
      </w:pPr>
    </w:p>
    <w:p w14:paraId="4A611A7B" w14:textId="77777777" w:rsidR="00CD51A4" w:rsidRPr="000A2DE8" w:rsidRDefault="00CD51A4" w:rsidP="00CD51A4">
      <w:pPr>
        <w:tabs>
          <w:tab w:val="left" w:pos="8505"/>
        </w:tabs>
        <w:spacing w:after="0" w:line="240" w:lineRule="auto"/>
        <w:jc w:val="both"/>
        <w:rPr>
          <w:rFonts w:ascii="Times New Roman" w:eastAsia="Times New Roman" w:hAnsi="Times New Roman"/>
          <w:lang w:bidi="ar-SA"/>
        </w:rPr>
      </w:pPr>
    </w:p>
    <w:p w14:paraId="0A41C9A9"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2.</w:t>
      </w:r>
      <w:r w:rsidRPr="000A2DE8">
        <w:rPr>
          <w:rFonts w:ascii="Times New Roman" w:eastAsia="Times New Roman" w:hAnsi="Times New Roman"/>
          <w:b/>
          <w:snapToGrid w:val="0"/>
          <w:lang w:eastAsia="en-US" w:bidi="ar-SA"/>
        </w:rPr>
        <w:tab/>
        <w:t>VEIKLIOJI (-IOS) MEDŽIAGA (-OS) IR JOS (-Ų) KIEKIS (-IAI)</w:t>
      </w:r>
    </w:p>
    <w:p w14:paraId="18E21E3B"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35AE7C00" w14:textId="77777777" w:rsidR="00CD51A4" w:rsidRPr="000A2DE8" w:rsidRDefault="00CD51A4" w:rsidP="00CD51A4">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 xml:space="preserve">Kiekvienoje plėvele dengtoje tabletėje yra 62,5 mg bozentano (monohidrato </w:t>
      </w:r>
      <w:r w:rsidR="002579F6" w:rsidRPr="000A2DE8">
        <w:rPr>
          <w:rFonts w:ascii="Times New Roman" w:eastAsia="Times New Roman" w:hAnsi="Times New Roman"/>
          <w:lang w:bidi="ar-SA"/>
        </w:rPr>
        <w:t>pavidalu</w:t>
      </w:r>
      <w:r w:rsidRPr="000A2DE8">
        <w:rPr>
          <w:rFonts w:ascii="Times New Roman" w:eastAsia="Times New Roman" w:hAnsi="Times New Roman"/>
          <w:lang w:bidi="ar-SA"/>
        </w:rPr>
        <w:t>).</w:t>
      </w:r>
    </w:p>
    <w:p w14:paraId="01D7D92E"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50B370A2"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0EF4D62A"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3.</w:t>
      </w:r>
      <w:r w:rsidRPr="000A2DE8">
        <w:rPr>
          <w:rFonts w:ascii="Times New Roman" w:eastAsia="Times New Roman" w:hAnsi="Times New Roman"/>
          <w:b/>
          <w:lang w:bidi="ar-SA"/>
        </w:rPr>
        <w:tab/>
        <w:t>PAGALBINIŲ MEDŽIAGŲ SĄRAŠAS</w:t>
      </w:r>
    </w:p>
    <w:p w14:paraId="61C8D588" w14:textId="77777777" w:rsidR="00CD51A4" w:rsidRPr="000A2DE8" w:rsidRDefault="00CD51A4" w:rsidP="00CD51A4">
      <w:pPr>
        <w:tabs>
          <w:tab w:val="left" w:pos="8505"/>
        </w:tabs>
        <w:spacing w:after="0" w:line="240" w:lineRule="auto"/>
        <w:rPr>
          <w:rFonts w:ascii="Times New Roman" w:eastAsia="Times New Roman" w:hAnsi="Times New Roman"/>
          <w:b/>
          <w:bCs/>
          <w:lang w:bidi="ar-SA"/>
        </w:rPr>
      </w:pPr>
    </w:p>
    <w:p w14:paraId="70B4BF29"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6116724A" w14:textId="77777777" w:rsidR="00CD51A4" w:rsidRPr="000A2DE8" w:rsidRDefault="00CD51A4" w:rsidP="00CD51A4">
      <w:pPr>
        <w:pBdr>
          <w:top w:val="single" w:sz="4" w:space="1" w:color="auto"/>
          <w:left w:val="single" w:sz="4" w:space="4" w:color="auto"/>
          <w:bottom w:val="single" w:sz="4" w:space="0"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 xml:space="preserve">4. </w:t>
      </w:r>
      <w:r w:rsidRPr="000A2DE8">
        <w:rPr>
          <w:rFonts w:ascii="Times New Roman" w:eastAsia="Times New Roman" w:hAnsi="Times New Roman"/>
          <w:b/>
          <w:lang w:bidi="ar-SA"/>
        </w:rPr>
        <w:tab/>
        <w:t>FARMACINĖ FORMA IR KIEKIS PAKUOTĖJE</w:t>
      </w:r>
    </w:p>
    <w:p w14:paraId="352B7E64" w14:textId="77777777" w:rsidR="00CD51A4" w:rsidRPr="000A2DE8" w:rsidRDefault="00CD51A4" w:rsidP="00CD51A4">
      <w:pPr>
        <w:tabs>
          <w:tab w:val="left" w:pos="8505"/>
        </w:tabs>
        <w:spacing w:after="0" w:line="240" w:lineRule="auto"/>
        <w:jc w:val="both"/>
        <w:rPr>
          <w:rFonts w:ascii="Times New Roman" w:eastAsia="Times New Roman" w:hAnsi="Times New Roman"/>
          <w:lang w:bidi="ar-SA"/>
        </w:rPr>
      </w:pPr>
    </w:p>
    <w:p w14:paraId="609C7F51" w14:textId="77777777" w:rsidR="00CD51A4" w:rsidRPr="000A2DE8" w:rsidRDefault="00CD51A4" w:rsidP="00CD51A4">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0A2DE8">
        <w:rPr>
          <w:rFonts w:ascii="Times New Roman" w:eastAsia="Times New Roman" w:hAnsi="Times New Roman"/>
          <w:color w:val="000000"/>
          <w:lang w:bidi="ar-SA"/>
        </w:rPr>
        <w:t>Plėvele dengta tabletė.</w:t>
      </w:r>
    </w:p>
    <w:p w14:paraId="6ECD4115" w14:textId="77777777" w:rsidR="00CD51A4" w:rsidRPr="000A2DE8" w:rsidRDefault="00CD51A4" w:rsidP="00CD51A4">
      <w:pPr>
        <w:tabs>
          <w:tab w:val="left" w:pos="8505"/>
        </w:tabs>
        <w:autoSpaceDE w:val="0"/>
        <w:autoSpaceDN w:val="0"/>
        <w:adjustRightInd w:val="0"/>
        <w:spacing w:after="0" w:line="240" w:lineRule="auto"/>
        <w:rPr>
          <w:rFonts w:ascii="Times New Roman" w:eastAsia="Times New Roman" w:hAnsi="Times New Roman"/>
          <w:color w:val="000000"/>
          <w:lang w:bidi="ar-SA"/>
        </w:rPr>
      </w:pPr>
    </w:p>
    <w:p w14:paraId="5346A9BB" w14:textId="77777777" w:rsidR="00CD51A4" w:rsidRPr="000A2DE8" w:rsidRDefault="00CD51A4" w:rsidP="00CD51A4">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0A2DE8">
        <w:rPr>
          <w:rFonts w:ascii="Times New Roman" w:eastAsia="Times New Roman" w:hAnsi="Times New Roman"/>
          <w:color w:val="000000"/>
          <w:lang w:bidi="ar-SA"/>
        </w:rPr>
        <w:t>14 plėvele dengtų tablečių</w:t>
      </w:r>
    </w:p>
    <w:p w14:paraId="58EA4260" w14:textId="77777777" w:rsidR="00CD51A4" w:rsidRPr="000A2DE8" w:rsidRDefault="00CD51A4" w:rsidP="00CD51A4">
      <w:pPr>
        <w:tabs>
          <w:tab w:val="left" w:pos="8505"/>
        </w:tabs>
        <w:autoSpaceDE w:val="0"/>
        <w:autoSpaceDN w:val="0"/>
        <w:adjustRightInd w:val="0"/>
        <w:spacing w:after="0" w:line="240" w:lineRule="auto"/>
        <w:rPr>
          <w:rFonts w:ascii="Times New Roman" w:eastAsia="Times New Roman" w:hAnsi="Times New Roman"/>
          <w:color w:val="000000"/>
          <w:highlight w:val="lightGray"/>
          <w:lang w:bidi="ar-SA"/>
        </w:rPr>
      </w:pPr>
      <w:r w:rsidRPr="000A2DE8">
        <w:rPr>
          <w:rFonts w:ascii="Times New Roman" w:eastAsia="Times New Roman" w:hAnsi="Times New Roman"/>
          <w:color w:val="000000"/>
          <w:highlight w:val="lightGray"/>
          <w:lang w:bidi="ar-SA"/>
        </w:rPr>
        <w:t>56 plėvele dengtos tabletės</w:t>
      </w:r>
    </w:p>
    <w:p w14:paraId="2E0135BE" w14:textId="77777777" w:rsidR="00CD51A4" w:rsidRPr="000A2DE8" w:rsidRDefault="00CD51A4" w:rsidP="00CD51A4">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highlight w:val="lightGray"/>
          <w:lang w:bidi="ar-SA"/>
        </w:rPr>
        <w:t>112 plėvele dengtų tablečių</w:t>
      </w:r>
    </w:p>
    <w:p w14:paraId="7F777DD4"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26233CFB"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30E7328A"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5.</w:t>
      </w:r>
      <w:r w:rsidRPr="000A2DE8">
        <w:rPr>
          <w:rFonts w:ascii="Times New Roman" w:eastAsia="Times New Roman" w:hAnsi="Times New Roman"/>
          <w:b/>
          <w:lang w:bidi="ar-SA"/>
        </w:rPr>
        <w:tab/>
        <w:t>VARTOJIMO METODAS IR BŪDAS (-AI)</w:t>
      </w:r>
    </w:p>
    <w:p w14:paraId="308AAB4E" w14:textId="77777777" w:rsidR="00CD51A4" w:rsidRPr="000A2DE8" w:rsidRDefault="00CD51A4" w:rsidP="00CD51A4">
      <w:pPr>
        <w:tabs>
          <w:tab w:val="left" w:pos="8505"/>
        </w:tabs>
        <w:spacing w:after="0" w:line="240" w:lineRule="auto"/>
        <w:rPr>
          <w:rFonts w:ascii="Times New Roman" w:eastAsia="Times New Roman" w:hAnsi="Times New Roman"/>
          <w:b/>
          <w:bCs/>
          <w:lang w:bidi="ar-SA"/>
        </w:rPr>
      </w:pPr>
    </w:p>
    <w:p w14:paraId="52DA9AA3" w14:textId="77777777" w:rsidR="00CD51A4" w:rsidRPr="000A2DE8" w:rsidRDefault="00CD51A4" w:rsidP="00CD51A4">
      <w:pPr>
        <w:tabs>
          <w:tab w:val="left" w:pos="8505"/>
        </w:tabs>
        <w:autoSpaceDE w:val="0"/>
        <w:autoSpaceDN w:val="0"/>
        <w:adjustRightInd w:val="0"/>
        <w:spacing w:after="0" w:line="240" w:lineRule="auto"/>
        <w:rPr>
          <w:rFonts w:ascii="Times New Roman" w:eastAsia="Times New Roman" w:hAnsi="Times New Roman"/>
          <w:color w:val="000000"/>
          <w:lang w:bidi="ar-SA"/>
        </w:rPr>
      </w:pPr>
      <w:r w:rsidRPr="000A2DE8">
        <w:rPr>
          <w:rFonts w:ascii="Times New Roman" w:eastAsia="Times New Roman" w:hAnsi="Times New Roman"/>
          <w:color w:val="000000"/>
          <w:lang w:bidi="ar-SA"/>
        </w:rPr>
        <w:t xml:space="preserve">Vartoti per burną. </w:t>
      </w:r>
    </w:p>
    <w:p w14:paraId="276B4E1C" w14:textId="77777777" w:rsidR="00CD51A4" w:rsidRPr="000A2DE8" w:rsidRDefault="00CD51A4" w:rsidP="00CD51A4">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Prieš vartojimą perskaitykite pakuotės lapelį.</w:t>
      </w:r>
    </w:p>
    <w:p w14:paraId="5AA05B6A"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54DFEA24"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2D2651DA"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6.</w:t>
      </w:r>
      <w:r w:rsidRPr="000A2DE8">
        <w:rPr>
          <w:rFonts w:ascii="Times New Roman" w:eastAsia="Times New Roman" w:hAnsi="Times New Roman"/>
          <w:b/>
          <w:snapToGrid w:val="0"/>
          <w:lang w:eastAsia="en-US" w:bidi="ar-SA"/>
        </w:rPr>
        <w:tab/>
        <w:t>SPECIALUS ĮSPĖJIMAS, KAD VAISTINĮ PREPARATĄ BŪTINA LAIKYTI VAIKAMS NEPASTEBIMOJE IR NEPASIEKIAMOJE VIETOJE</w:t>
      </w:r>
    </w:p>
    <w:p w14:paraId="321EEBD1"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67497FAC" w14:textId="77777777" w:rsidR="00CD51A4" w:rsidRPr="000A2DE8" w:rsidRDefault="00CD51A4" w:rsidP="00CD51A4">
      <w:pPr>
        <w:tabs>
          <w:tab w:val="left" w:pos="8505"/>
        </w:tabs>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Laikyti vaikams nepastebimoje ir nepasiekiamoje vietoje.</w:t>
      </w:r>
    </w:p>
    <w:p w14:paraId="09B3E605"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558BFCF2"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7673B36A"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7.</w:t>
      </w:r>
      <w:r w:rsidRPr="000A2DE8">
        <w:rPr>
          <w:rFonts w:ascii="Times New Roman" w:eastAsia="Times New Roman" w:hAnsi="Times New Roman"/>
          <w:b/>
          <w:lang w:bidi="ar-SA"/>
        </w:rPr>
        <w:tab/>
        <w:t>KITAS (-I) SPECIALUS (-ŪS) ĮSPĖJIMAS (-AI) (JEI REIKIA)</w:t>
      </w:r>
    </w:p>
    <w:p w14:paraId="4FB6F21A" w14:textId="77777777" w:rsidR="00CD51A4" w:rsidRPr="000A2DE8" w:rsidRDefault="00CD51A4" w:rsidP="00CD51A4">
      <w:pPr>
        <w:tabs>
          <w:tab w:val="left" w:pos="8505"/>
        </w:tabs>
        <w:spacing w:after="0" w:line="240" w:lineRule="auto"/>
        <w:jc w:val="both"/>
        <w:rPr>
          <w:rFonts w:ascii="Times New Roman" w:eastAsia="Times New Roman" w:hAnsi="Times New Roman"/>
          <w:lang w:bidi="ar-SA"/>
        </w:rPr>
      </w:pPr>
    </w:p>
    <w:p w14:paraId="3872AE61"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22989E66"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8.</w:t>
      </w:r>
      <w:r w:rsidRPr="000A2DE8">
        <w:rPr>
          <w:rFonts w:ascii="Times New Roman" w:eastAsia="Times New Roman" w:hAnsi="Times New Roman"/>
          <w:b/>
          <w:lang w:bidi="ar-SA"/>
        </w:rPr>
        <w:tab/>
        <w:t>TINKAMUMO LAIKAS</w:t>
      </w:r>
    </w:p>
    <w:p w14:paraId="54017CC1"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581BDFD0" w14:textId="77777777" w:rsidR="00CD51A4" w:rsidRPr="000A2DE8" w:rsidRDefault="00CD51A4" w:rsidP="00CD51A4">
      <w:pPr>
        <w:tabs>
          <w:tab w:val="left" w:pos="8505"/>
        </w:tabs>
        <w:spacing w:after="0" w:line="240" w:lineRule="auto"/>
        <w:rPr>
          <w:rFonts w:ascii="Times New Roman" w:eastAsia="Times New Roman" w:hAnsi="Times New Roman"/>
          <w:lang w:bidi="ar-SA"/>
        </w:rPr>
      </w:pPr>
      <w:r w:rsidRPr="000A2DE8">
        <w:rPr>
          <w:rFonts w:ascii="Times New Roman" w:eastAsia="Times New Roman" w:hAnsi="Times New Roman"/>
          <w:lang w:bidi="ar-SA"/>
        </w:rPr>
        <w:t>Tinka iki: mm-MMMM</w:t>
      </w:r>
    </w:p>
    <w:p w14:paraId="40661763"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279C0F3A"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2900EAE1" w14:textId="77777777" w:rsidR="00CD51A4" w:rsidRPr="000A2DE8" w:rsidRDefault="00CD51A4" w:rsidP="00CD51A4">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9.</w:t>
      </w:r>
      <w:r w:rsidRPr="000A2DE8">
        <w:rPr>
          <w:rFonts w:ascii="Times New Roman" w:eastAsia="Times New Roman" w:hAnsi="Times New Roman"/>
          <w:b/>
          <w:snapToGrid w:val="0"/>
          <w:lang w:eastAsia="en-US" w:bidi="ar-SA"/>
        </w:rPr>
        <w:tab/>
        <w:t>SPECIALIOS LAIKYMO SĄLYGOS</w:t>
      </w:r>
    </w:p>
    <w:p w14:paraId="233F862B" w14:textId="77777777" w:rsidR="00CD51A4" w:rsidRPr="000A2DE8" w:rsidRDefault="00CD51A4" w:rsidP="00CD51A4">
      <w:pPr>
        <w:tabs>
          <w:tab w:val="left" w:pos="8505"/>
        </w:tabs>
        <w:spacing w:after="0" w:line="240" w:lineRule="auto"/>
        <w:jc w:val="both"/>
        <w:rPr>
          <w:rFonts w:ascii="Times New Roman" w:eastAsia="Times New Roman" w:hAnsi="Times New Roman"/>
          <w:lang w:bidi="ar-SA"/>
        </w:rPr>
      </w:pPr>
    </w:p>
    <w:p w14:paraId="570ADD96"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spacing w:val="-1"/>
          <w:highlight w:val="lightGray"/>
        </w:rPr>
      </w:pPr>
      <w:r w:rsidRPr="000A2DE8">
        <w:rPr>
          <w:rFonts w:ascii="Times New Roman" w:hAnsi="Times New Roman"/>
          <w:spacing w:val="-1"/>
          <w:highlight w:val="lightGray"/>
        </w:rPr>
        <w:t>Aliuminio-aliuminio lizdinės plokštelės</w:t>
      </w:r>
    </w:p>
    <w:p w14:paraId="56E3A5A6" w14:textId="77777777" w:rsidR="00CD51A4" w:rsidRPr="000A2DE8" w:rsidRDefault="00FA68D8" w:rsidP="00CD51A4">
      <w:pPr>
        <w:widowControl w:val="0"/>
        <w:tabs>
          <w:tab w:val="left" w:pos="8505"/>
        </w:tabs>
        <w:autoSpaceDE w:val="0"/>
        <w:autoSpaceDN w:val="0"/>
        <w:adjustRightInd w:val="0"/>
        <w:spacing w:after="0" w:line="240" w:lineRule="auto"/>
        <w:rPr>
          <w:rFonts w:ascii="Times New Roman" w:eastAsia="Times New Roman" w:hAnsi="Times New Roman"/>
          <w:spacing w:val="-1"/>
          <w:highlight w:val="lightGray"/>
          <w:lang w:bidi="ar-SA"/>
        </w:rPr>
      </w:pPr>
      <w:r w:rsidRPr="000A2DE8">
        <w:rPr>
          <w:rFonts w:ascii="Times New Roman" w:hAnsi="Times New Roman"/>
          <w:highlight w:val="lightGray"/>
        </w:rPr>
        <w:t>Ši</w:t>
      </w:r>
      <w:r w:rsidR="000F4775" w:rsidRPr="000A2DE8">
        <w:rPr>
          <w:rFonts w:ascii="Times New Roman" w:hAnsi="Times New Roman"/>
          <w:highlight w:val="lightGray"/>
        </w:rPr>
        <w:t>am</w:t>
      </w:r>
      <w:r w:rsidRPr="000A2DE8">
        <w:rPr>
          <w:rFonts w:ascii="Times New Roman" w:hAnsi="Times New Roman"/>
          <w:highlight w:val="lightGray"/>
        </w:rPr>
        <w:t xml:space="preserve"> vaist</w:t>
      </w:r>
      <w:r w:rsidR="000F4775" w:rsidRPr="000A2DE8">
        <w:rPr>
          <w:rFonts w:ascii="Times New Roman" w:hAnsi="Times New Roman"/>
          <w:highlight w:val="lightGray"/>
        </w:rPr>
        <w:t>ui</w:t>
      </w:r>
      <w:r w:rsidRPr="000A2DE8">
        <w:rPr>
          <w:rFonts w:ascii="Times New Roman" w:hAnsi="Times New Roman"/>
          <w:highlight w:val="lightGray"/>
        </w:rPr>
        <w:t xml:space="preserve"> specialių </w:t>
      </w:r>
      <w:r w:rsidR="000F4775" w:rsidRPr="000A2DE8">
        <w:rPr>
          <w:rFonts w:ascii="Times New Roman" w:hAnsi="Times New Roman"/>
          <w:highlight w:val="lightGray"/>
        </w:rPr>
        <w:t>laikymo</w:t>
      </w:r>
      <w:r w:rsidRPr="000A2DE8">
        <w:rPr>
          <w:rFonts w:ascii="Times New Roman" w:hAnsi="Times New Roman"/>
          <w:highlight w:val="lightGray"/>
        </w:rPr>
        <w:t xml:space="preserve"> sąlygų nereik</w:t>
      </w:r>
      <w:r w:rsidR="000F4775" w:rsidRPr="000A2DE8">
        <w:rPr>
          <w:rFonts w:ascii="Times New Roman" w:hAnsi="Times New Roman"/>
          <w:highlight w:val="lightGray"/>
        </w:rPr>
        <w:t>i</w:t>
      </w:r>
      <w:r w:rsidRPr="000A2DE8">
        <w:rPr>
          <w:rFonts w:ascii="Times New Roman" w:hAnsi="Times New Roman"/>
          <w:highlight w:val="lightGray"/>
        </w:rPr>
        <w:t>a</w:t>
      </w:r>
      <w:r w:rsidRPr="000A2DE8">
        <w:rPr>
          <w:highlight w:val="lightGray"/>
        </w:rPr>
        <w:t>.</w:t>
      </w:r>
    </w:p>
    <w:p w14:paraId="7656A931" w14:textId="77777777" w:rsidR="00CD51A4" w:rsidRPr="000A2DE8" w:rsidRDefault="00CD51A4" w:rsidP="00CD51A4">
      <w:pPr>
        <w:widowControl w:val="0"/>
        <w:tabs>
          <w:tab w:val="left" w:pos="8505"/>
        </w:tabs>
        <w:autoSpaceDE w:val="0"/>
        <w:autoSpaceDN w:val="0"/>
        <w:adjustRightInd w:val="0"/>
        <w:spacing w:after="0" w:line="240" w:lineRule="auto"/>
        <w:rPr>
          <w:rFonts w:ascii="Times New Roman" w:eastAsia="Times New Roman" w:hAnsi="Times New Roman"/>
          <w:highlight w:val="lightGray"/>
          <w:lang w:bidi="ar-SA"/>
        </w:rPr>
      </w:pPr>
    </w:p>
    <w:p w14:paraId="75A5BF7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lang w:bidi="ar-SA"/>
        </w:rPr>
      </w:pPr>
      <w:r w:rsidRPr="000A2DE8">
        <w:rPr>
          <w:rFonts w:ascii="Times New Roman" w:eastAsia="Times New Roman" w:hAnsi="Times New Roman"/>
          <w:highlight w:val="lightGray"/>
          <w:lang w:bidi="ar-SA"/>
        </w:rPr>
        <w:t>PVC/PE/PVDC- aliuminio lizdinės plokštelės</w:t>
      </w:r>
    </w:p>
    <w:p w14:paraId="72AF7CC4"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lang w:bidi="ar-SA"/>
        </w:rPr>
      </w:pPr>
      <w:r w:rsidRPr="000A2DE8">
        <w:rPr>
          <w:rFonts w:ascii="Times New Roman" w:eastAsia="Times New Roman" w:hAnsi="Times New Roman"/>
          <w:lang w:bidi="ar-SA"/>
        </w:rPr>
        <w:lastRenderedPageBreak/>
        <w:t>Laikyti ne aukštesnėje kaip 30 °C temperatūroje.</w:t>
      </w:r>
    </w:p>
    <w:p w14:paraId="51525620"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5EBEEB41"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5D541073"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10.</w:t>
      </w:r>
      <w:r w:rsidRPr="000A2DE8">
        <w:rPr>
          <w:rFonts w:ascii="Times New Roman" w:eastAsia="Times New Roman" w:hAnsi="Times New Roman"/>
          <w:b/>
          <w:snapToGrid w:val="0"/>
          <w:lang w:eastAsia="en-US" w:bidi="ar-SA"/>
        </w:rPr>
        <w:tab/>
        <w:t>SPECIALIOS ATSARGUMO PRIEMONĖS DĖL NESUVARTOTO VAISTINIO PREPARATO AR JO ATLIEKŲ TVARKYMO (JEI REIKIA)</w:t>
      </w:r>
    </w:p>
    <w:p w14:paraId="7D0804EF"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37B23A03"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4B68623A" w14:textId="77777777" w:rsidR="00CD51A4" w:rsidRPr="000A2DE8" w:rsidRDefault="00CD51A4" w:rsidP="00CD51A4">
      <w:pPr>
        <w:pBdr>
          <w:top w:val="single" w:sz="4" w:space="1" w:color="auto"/>
          <w:left w:val="single" w:sz="4" w:space="4" w:color="auto"/>
          <w:bottom w:val="single" w:sz="4" w:space="1" w:color="auto"/>
          <w:right w:val="single" w:sz="4" w:space="0"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11.</w:t>
      </w:r>
      <w:r w:rsidRPr="000A2DE8">
        <w:rPr>
          <w:rFonts w:ascii="Times New Roman" w:eastAsia="Times New Roman" w:hAnsi="Times New Roman"/>
          <w:b/>
          <w:lang w:bidi="ar-SA"/>
        </w:rPr>
        <w:tab/>
        <w:t>REGISTRUOTOJO PAVADINIMAS IR ADRESAS</w:t>
      </w:r>
    </w:p>
    <w:p w14:paraId="7E8D1C70"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0688FEEF" w14:textId="77777777" w:rsidR="00CD51A4" w:rsidRPr="000A2DE8" w:rsidRDefault="00CD51A4" w:rsidP="0014378A">
      <w:pPr>
        <w:spacing w:after="0"/>
        <w:rPr>
          <w:rFonts w:ascii="Times New Roman" w:eastAsia="Times New Roman" w:hAnsi="Times New Roman"/>
        </w:rPr>
      </w:pPr>
      <w:r w:rsidRPr="000A2DE8">
        <w:rPr>
          <w:rFonts w:ascii="Times New Roman" w:eastAsia="Times New Roman" w:hAnsi="Times New Roman"/>
        </w:rPr>
        <w:t xml:space="preserve">Accord Healthcare </w:t>
      </w:r>
      <w:r w:rsidR="00E36E7D" w:rsidRPr="000A2DE8">
        <w:rPr>
          <w:rFonts w:ascii="Times New Roman" w:hAnsi="Times New Roman"/>
        </w:rPr>
        <w:t>B.V.</w:t>
      </w:r>
      <w:r w:rsidRPr="000A2DE8">
        <w:rPr>
          <w:rFonts w:ascii="Times New Roman" w:eastAsia="Times New Roman" w:hAnsi="Times New Roman"/>
        </w:rPr>
        <w:t xml:space="preserve"> </w:t>
      </w:r>
    </w:p>
    <w:p w14:paraId="50A8CF3F" w14:textId="77777777" w:rsidR="00E36E7D" w:rsidRPr="000A2DE8" w:rsidRDefault="00E36E7D" w:rsidP="00E36E7D">
      <w:pPr>
        <w:spacing w:after="0"/>
        <w:rPr>
          <w:rFonts w:ascii="Times New Roman" w:hAnsi="Times New Roman"/>
        </w:rPr>
      </w:pPr>
      <w:r w:rsidRPr="000A2DE8">
        <w:rPr>
          <w:rFonts w:ascii="Times New Roman" w:hAnsi="Times New Roman"/>
        </w:rPr>
        <w:t xml:space="preserve">Winthontlaan 200 </w:t>
      </w:r>
    </w:p>
    <w:p w14:paraId="7723751B" w14:textId="77777777" w:rsidR="00E36E7D" w:rsidRPr="000A2DE8" w:rsidRDefault="00E36E7D" w:rsidP="00E36E7D">
      <w:pPr>
        <w:spacing w:after="0"/>
        <w:rPr>
          <w:rFonts w:ascii="Times New Roman" w:hAnsi="Times New Roman"/>
        </w:rPr>
      </w:pPr>
      <w:r w:rsidRPr="000A2DE8">
        <w:rPr>
          <w:rFonts w:ascii="Times New Roman" w:hAnsi="Times New Roman"/>
        </w:rPr>
        <w:t xml:space="preserve">3526 KV Utrecht </w:t>
      </w:r>
    </w:p>
    <w:p w14:paraId="2650891E" w14:textId="77777777" w:rsidR="00E36E7D" w:rsidRPr="000A2DE8" w:rsidRDefault="00E36E7D" w:rsidP="00E36E7D">
      <w:pPr>
        <w:spacing w:after="0"/>
      </w:pPr>
      <w:r w:rsidRPr="000A2DE8">
        <w:rPr>
          <w:rFonts w:ascii="Times New Roman" w:hAnsi="Times New Roman"/>
        </w:rPr>
        <w:t>Nyderlandai</w:t>
      </w:r>
    </w:p>
    <w:p w14:paraId="7AA9048F"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4120D8C9"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24297428"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12.</w:t>
      </w:r>
      <w:r w:rsidRPr="000A2DE8">
        <w:rPr>
          <w:rFonts w:ascii="Times New Roman" w:eastAsia="Times New Roman" w:hAnsi="Times New Roman"/>
          <w:b/>
          <w:lang w:bidi="ar-SA"/>
        </w:rPr>
        <w:tab/>
        <w:t>REGISTRACIJOS PAŽYMĖJIMO NUMERIS (-IAI)</w:t>
      </w:r>
    </w:p>
    <w:p w14:paraId="6559F3E7" w14:textId="77777777" w:rsidR="00CD51A4" w:rsidRPr="000A2DE8" w:rsidRDefault="00CD51A4" w:rsidP="00CD51A4">
      <w:pPr>
        <w:tabs>
          <w:tab w:val="left" w:pos="8505"/>
        </w:tabs>
        <w:suppressAutoHyphens/>
        <w:spacing w:after="0" w:line="240" w:lineRule="auto"/>
        <w:rPr>
          <w:rFonts w:ascii="Times New Roman" w:eastAsia="Times New Roman" w:hAnsi="Times New Roman"/>
          <w:lang w:bidi="ar-SA"/>
        </w:rPr>
      </w:pPr>
    </w:p>
    <w:p w14:paraId="46EEC8CC" w14:textId="77777777" w:rsidR="00491161" w:rsidRPr="000A2DE8" w:rsidRDefault="00491161" w:rsidP="00491161">
      <w:pPr>
        <w:spacing w:after="0" w:line="240" w:lineRule="auto"/>
        <w:rPr>
          <w:rFonts w:ascii="Times New Roman" w:eastAsia="Times New Roman" w:hAnsi="Times New Roman"/>
          <w:highlight w:val="lightGray"/>
        </w:rPr>
      </w:pPr>
      <w:r w:rsidRPr="000A2DE8">
        <w:rPr>
          <w:rFonts w:ascii="Times New Roman" w:hAnsi="Times New Roman"/>
        </w:rPr>
        <w:t xml:space="preserve">LT/1/15/3780/001 </w:t>
      </w:r>
      <w:r w:rsidRPr="000A2DE8">
        <w:rPr>
          <w:rFonts w:ascii="Times New Roman" w:eastAsia="Times New Roman" w:hAnsi="Times New Roman"/>
          <w:highlight w:val="lightGray"/>
        </w:rPr>
        <w:t>– N14</w:t>
      </w:r>
    </w:p>
    <w:p w14:paraId="519A18D1" w14:textId="77777777" w:rsidR="00491161" w:rsidRPr="000A2DE8" w:rsidRDefault="00491161" w:rsidP="00491161">
      <w:pPr>
        <w:spacing w:after="0" w:line="240" w:lineRule="auto"/>
        <w:rPr>
          <w:rFonts w:ascii="Times New Roman" w:eastAsia="Times New Roman" w:hAnsi="Times New Roman"/>
          <w:highlight w:val="lightGray"/>
        </w:rPr>
      </w:pPr>
      <w:r w:rsidRPr="000A2DE8">
        <w:rPr>
          <w:rFonts w:ascii="Times New Roman" w:eastAsia="Times New Roman" w:hAnsi="Times New Roman"/>
          <w:highlight w:val="lightGray"/>
        </w:rPr>
        <w:t>LT/1/15/3780/002 – N56</w:t>
      </w:r>
    </w:p>
    <w:p w14:paraId="1FB6FA8C" w14:textId="77777777" w:rsidR="00CD51A4" w:rsidRPr="000A2DE8" w:rsidRDefault="00491161" w:rsidP="00491161">
      <w:pPr>
        <w:spacing w:after="0" w:line="240" w:lineRule="auto"/>
        <w:rPr>
          <w:rFonts w:ascii="Times New Roman" w:eastAsia="Times New Roman" w:hAnsi="Times New Roman"/>
          <w:highlight w:val="lightGray"/>
        </w:rPr>
      </w:pPr>
      <w:r w:rsidRPr="000A2DE8">
        <w:rPr>
          <w:rFonts w:ascii="Times New Roman" w:eastAsia="Times New Roman" w:hAnsi="Times New Roman"/>
          <w:highlight w:val="lightGray"/>
        </w:rPr>
        <w:t>LT/1/15/3780/003 – N112</w:t>
      </w:r>
    </w:p>
    <w:p w14:paraId="49B6808F" w14:textId="77777777" w:rsidR="00491161" w:rsidRPr="000A2DE8" w:rsidRDefault="00491161" w:rsidP="00491161">
      <w:pPr>
        <w:spacing w:after="0" w:line="240" w:lineRule="auto"/>
        <w:rPr>
          <w:rFonts w:ascii="Times New Roman" w:eastAsia="Times New Roman" w:hAnsi="Times New Roman"/>
          <w:snapToGrid w:val="0"/>
          <w:lang w:eastAsia="en-US" w:bidi="ar-SA"/>
        </w:rPr>
      </w:pPr>
    </w:p>
    <w:p w14:paraId="796ED486" w14:textId="77777777" w:rsidR="00CD51A4" w:rsidRPr="000A2DE8" w:rsidRDefault="00CD51A4" w:rsidP="00CD51A4">
      <w:pPr>
        <w:tabs>
          <w:tab w:val="left" w:pos="567"/>
          <w:tab w:val="left" w:pos="8505"/>
        </w:tabs>
        <w:spacing w:after="0" w:line="260" w:lineRule="exact"/>
        <w:rPr>
          <w:rFonts w:ascii="Times New Roman" w:eastAsia="Times New Roman" w:hAnsi="Times New Roman"/>
          <w:snapToGrid w:val="0"/>
          <w:lang w:eastAsia="en-US" w:bidi="ar-SA"/>
        </w:rPr>
      </w:pPr>
    </w:p>
    <w:p w14:paraId="2BDC0C12"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0"/>
          <w:tab w:val="left" w:pos="142"/>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13.</w:t>
      </w:r>
      <w:r w:rsidRPr="000A2DE8">
        <w:rPr>
          <w:rFonts w:ascii="Times New Roman" w:eastAsia="Times New Roman" w:hAnsi="Times New Roman"/>
          <w:b/>
          <w:lang w:bidi="ar-SA"/>
        </w:rPr>
        <w:tab/>
        <w:t xml:space="preserve">SERIJOS NUMERIS </w:t>
      </w:r>
    </w:p>
    <w:p w14:paraId="33C7DDE4"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15983505" w14:textId="77777777" w:rsidR="00CD51A4" w:rsidRPr="000A2DE8" w:rsidRDefault="00CD51A4" w:rsidP="00CD51A4">
      <w:pPr>
        <w:tabs>
          <w:tab w:val="left" w:pos="8505"/>
        </w:tabs>
        <w:spacing w:after="0" w:line="240" w:lineRule="auto"/>
        <w:rPr>
          <w:rFonts w:ascii="Times New Roman" w:eastAsia="Times New Roman" w:hAnsi="Times New Roman"/>
          <w:lang w:bidi="ar-SA"/>
        </w:rPr>
      </w:pPr>
      <w:r w:rsidRPr="000A2DE8">
        <w:rPr>
          <w:rFonts w:ascii="Times New Roman" w:eastAsia="Times New Roman" w:hAnsi="Times New Roman"/>
          <w:lang w:bidi="ar-SA"/>
        </w:rPr>
        <w:t>Serija</w:t>
      </w:r>
    </w:p>
    <w:p w14:paraId="0B36B558"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4CD7B11B"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09B2453C"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14.</w:t>
      </w:r>
      <w:r w:rsidRPr="000A2DE8">
        <w:rPr>
          <w:rFonts w:ascii="Times New Roman" w:eastAsia="Times New Roman" w:hAnsi="Times New Roman"/>
          <w:b/>
          <w:lang w:bidi="ar-SA"/>
        </w:rPr>
        <w:tab/>
        <w:t>PARDAVIMO (IŠDAVIMO) TVARKA</w:t>
      </w:r>
    </w:p>
    <w:p w14:paraId="1716BBE8" w14:textId="77777777" w:rsidR="00CD51A4" w:rsidRPr="000A2DE8" w:rsidRDefault="00CD51A4" w:rsidP="00CD51A4">
      <w:pPr>
        <w:tabs>
          <w:tab w:val="left" w:pos="8505"/>
        </w:tabs>
        <w:spacing w:after="0" w:line="240" w:lineRule="auto"/>
        <w:rPr>
          <w:rFonts w:ascii="Times New Roman" w:eastAsia="Times New Roman" w:hAnsi="Times New Roman"/>
          <w:lang w:bidi="ar-SA"/>
        </w:rPr>
      </w:pPr>
    </w:p>
    <w:p w14:paraId="5E337418" w14:textId="77777777" w:rsidR="00CD51A4" w:rsidRPr="000A2DE8" w:rsidRDefault="00CD51A4" w:rsidP="00CD51A4">
      <w:pPr>
        <w:tabs>
          <w:tab w:val="left" w:pos="8505"/>
        </w:tabs>
        <w:spacing w:after="0" w:line="240" w:lineRule="auto"/>
        <w:rPr>
          <w:rFonts w:ascii="Times New Roman" w:eastAsia="Times New Roman" w:hAnsi="Times New Roman"/>
          <w:lang w:bidi="ar-SA"/>
        </w:rPr>
      </w:pPr>
      <w:r w:rsidRPr="000A2DE8">
        <w:rPr>
          <w:rFonts w:ascii="Times New Roman" w:eastAsia="Times New Roman" w:hAnsi="Times New Roman"/>
          <w:lang w:bidi="ar-SA"/>
        </w:rPr>
        <w:t xml:space="preserve">Receptinis </w:t>
      </w:r>
      <w:r w:rsidR="00EF0E14" w:rsidRPr="000A2DE8">
        <w:rPr>
          <w:rFonts w:ascii="Times New Roman" w:eastAsia="Times New Roman" w:hAnsi="Times New Roman"/>
          <w:lang w:bidi="ar-SA"/>
        </w:rPr>
        <w:t>vaistas</w:t>
      </w:r>
      <w:r w:rsidRPr="000A2DE8">
        <w:rPr>
          <w:rFonts w:ascii="Times New Roman" w:eastAsia="Times New Roman" w:hAnsi="Times New Roman"/>
          <w:lang w:bidi="ar-SA"/>
        </w:rPr>
        <w:t>.</w:t>
      </w:r>
    </w:p>
    <w:p w14:paraId="76F99B20" w14:textId="77777777" w:rsidR="00CD51A4" w:rsidRPr="000A2DE8" w:rsidRDefault="00CD51A4" w:rsidP="00CD51A4">
      <w:pPr>
        <w:tabs>
          <w:tab w:val="left" w:pos="8505"/>
        </w:tabs>
        <w:spacing w:after="0" w:line="240" w:lineRule="auto"/>
        <w:rPr>
          <w:rFonts w:ascii="Times New Roman" w:eastAsia="Times New Roman" w:hAnsi="Times New Roman"/>
          <w:lang w:bidi="ar-SA"/>
        </w:rPr>
      </w:pPr>
    </w:p>
    <w:p w14:paraId="60C115BB" w14:textId="77777777" w:rsidR="00CD51A4" w:rsidRPr="000A2DE8" w:rsidRDefault="00CD51A4" w:rsidP="00CD51A4">
      <w:pPr>
        <w:tabs>
          <w:tab w:val="left" w:pos="8505"/>
        </w:tabs>
        <w:spacing w:after="0" w:line="240" w:lineRule="auto"/>
        <w:rPr>
          <w:rFonts w:ascii="Times New Roman" w:eastAsia="Times New Roman" w:hAnsi="Times New Roman"/>
          <w:lang w:bidi="ar-SA"/>
        </w:rPr>
      </w:pPr>
    </w:p>
    <w:p w14:paraId="6A6B918E"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15.</w:t>
      </w:r>
      <w:r w:rsidRPr="000A2DE8">
        <w:rPr>
          <w:rFonts w:ascii="Times New Roman" w:eastAsia="Times New Roman" w:hAnsi="Times New Roman"/>
          <w:b/>
          <w:lang w:bidi="ar-SA"/>
        </w:rPr>
        <w:tab/>
        <w:t>VARTOJIMO INSTRUKCIJA</w:t>
      </w:r>
    </w:p>
    <w:p w14:paraId="3BBBE0A2" w14:textId="77777777" w:rsidR="00CD51A4" w:rsidRPr="000A2DE8" w:rsidRDefault="00CD51A4" w:rsidP="00CD51A4">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31A57DD8" w14:textId="77777777" w:rsidR="00CD51A4" w:rsidRPr="000A2DE8" w:rsidRDefault="00CD51A4" w:rsidP="00CD51A4">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34D99CE3"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lang w:bidi="ar-SA"/>
        </w:rPr>
      </w:pPr>
      <w:r w:rsidRPr="000A2DE8">
        <w:rPr>
          <w:rFonts w:ascii="Times New Roman" w:eastAsia="Times New Roman" w:hAnsi="Times New Roman"/>
          <w:b/>
          <w:color w:val="000000"/>
          <w:lang w:bidi="ar-SA"/>
        </w:rPr>
        <w:t>16.</w:t>
      </w:r>
      <w:r w:rsidRPr="000A2DE8">
        <w:rPr>
          <w:rFonts w:ascii="Times New Roman" w:eastAsia="Times New Roman" w:hAnsi="Times New Roman"/>
          <w:b/>
          <w:color w:val="000000"/>
          <w:lang w:bidi="ar-SA"/>
        </w:rPr>
        <w:tab/>
        <w:t>INFORMACIJA BRAILIO RAŠTU</w:t>
      </w:r>
    </w:p>
    <w:p w14:paraId="1B648D01" w14:textId="77777777" w:rsidR="00CD51A4" w:rsidRPr="000A2DE8" w:rsidRDefault="00CD51A4" w:rsidP="00CD51A4">
      <w:pPr>
        <w:tabs>
          <w:tab w:val="left" w:pos="8505"/>
        </w:tabs>
        <w:autoSpaceDE w:val="0"/>
        <w:autoSpaceDN w:val="0"/>
        <w:adjustRightInd w:val="0"/>
        <w:spacing w:after="0" w:line="240" w:lineRule="auto"/>
        <w:outlineLvl w:val="6"/>
        <w:rPr>
          <w:rFonts w:ascii="Times New Roman" w:eastAsia="Times New Roman" w:hAnsi="Times New Roman"/>
          <w:lang w:bidi="ar-SA"/>
        </w:rPr>
      </w:pPr>
      <w:bookmarkStart w:id="2" w:name="OLE_LINK3"/>
    </w:p>
    <w:bookmarkEnd w:id="2"/>
    <w:p w14:paraId="7B821F59" w14:textId="77777777" w:rsidR="00CD51A4" w:rsidRPr="000A2DE8" w:rsidRDefault="00CD51A4" w:rsidP="00CD51A4">
      <w:pPr>
        <w:spacing w:after="0" w:line="240" w:lineRule="auto"/>
        <w:rPr>
          <w:rFonts w:ascii="Times New Roman" w:eastAsia="Times New Roman" w:hAnsi="Times New Roman"/>
          <w:lang w:bidi="ar-SA"/>
        </w:rPr>
      </w:pPr>
      <w:r w:rsidRPr="000A2DE8">
        <w:rPr>
          <w:rFonts w:ascii="Times New Roman" w:eastAsia="Times New Roman" w:hAnsi="Times New Roman"/>
          <w:lang w:bidi="ar-SA"/>
        </w:rPr>
        <w:t xml:space="preserve">Bosentan Accord 62,5 mg </w:t>
      </w:r>
    </w:p>
    <w:p w14:paraId="49F99E2E" w14:textId="77777777" w:rsidR="0077716F" w:rsidRPr="000A2DE8" w:rsidRDefault="0077716F" w:rsidP="00CD51A4">
      <w:pPr>
        <w:spacing w:after="0" w:line="240" w:lineRule="auto"/>
        <w:rPr>
          <w:rFonts w:ascii="Times New Roman" w:eastAsia="Times New Roman" w:hAnsi="Times New Roman"/>
          <w:lang w:bidi="ar-SA"/>
        </w:rPr>
      </w:pPr>
    </w:p>
    <w:p w14:paraId="08362680" w14:textId="77777777" w:rsidR="0077716F" w:rsidRPr="000A2DE8" w:rsidRDefault="0077716F" w:rsidP="0077716F">
      <w:pPr>
        <w:spacing w:after="0" w:line="240" w:lineRule="auto"/>
        <w:rPr>
          <w:rFonts w:ascii="Times New Roman" w:eastAsia="Times New Roman" w:hAnsi="Times New Roman"/>
        </w:rPr>
      </w:pPr>
    </w:p>
    <w:p w14:paraId="206FC389" w14:textId="77777777" w:rsidR="0077716F" w:rsidRPr="000A2DE8" w:rsidRDefault="0077716F" w:rsidP="0077716F">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0A2DE8">
        <w:rPr>
          <w:rFonts w:ascii="Times New Roman" w:eastAsia="Times New Roman" w:hAnsi="Times New Roman"/>
          <w:b/>
          <w:color w:val="000000"/>
        </w:rPr>
        <w:t>17.</w:t>
      </w:r>
      <w:r w:rsidRPr="000A2DE8">
        <w:rPr>
          <w:rFonts w:ascii="Times New Roman" w:eastAsia="Times New Roman" w:hAnsi="Times New Roman"/>
          <w:b/>
          <w:color w:val="000000"/>
        </w:rPr>
        <w:tab/>
        <w:t>UNIKALUS IDENTIFIKATORIUS – 2D BRŪKŠNINIS KODAS</w:t>
      </w:r>
    </w:p>
    <w:p w14:paraId="7AAD19BC" w14:textId="77777777" w:rsidR="0077716F" w:rsidRPr="000A2DE8" w:rsidRDefault="0077716F" w:rsidP="00A5565D">
      <w:pPr>
        <w:spacing w:after="0" w:line="240" w:lineRule="auto"/>
      </w:pPr>
    </w:p>
    <w:p w14:paraId="5DC13FA0" w14:textId="77777777" w:rsidR="0077716F" w:rsidRPr="000A2DE8" w:rsidRDefault="0077716F" w:rsidP="00646A64">
      <w:pPr>
        <w:spacing w:after="0" w:line="240" w:lineRule="auto"/>
        <w:rPr>
          <w:rFonts w:ascii="Times New Roman" w:eastAsia="Times New Roman" w:hAnsi="Times New Roman"/>
        </w:rPr>
      </w:pPr>
      <w:r w:rsidRPr="000A2DE8">
        <w:rPr>
          <w:rFonts w:ascii="Times New Roman" w:eastAsia="Times New Roman" w:hAnsi="Times New Roman"/>
          <w:highlight w:val="lightGray"/>
        </w:rPr>
        <w:t>2D brūkšninis kodas su nurodytu unikaliu identifikatoriumi.</w:t>
      </w:r>
    </w:p>
    <w:p w14:paraId="59B2C08E" w14:textId="77777777" w:rsidR="0077716F" w:rsidRPr="000A2DE8" w:rsidRDefault="0077716F" w:rsidP="00A5565D">
      <w:pPr>
        <w:spacing w:after="0" w:line="240" w:lineRule="auto"/>
        <w:rPr>
          <w:vanish/>
        </w:rPr>
      </w:pPr>
    </w:p>
    <w:p w14:paraId="3991E2D9" w14:textId="77777777" w:rsidR="0077716F" w:rsidRPr="000A2DE8" w:rsidRDefault="0077716F" w:rsidP="00A5565D">
      <w:pPr>
        <w:spacing w:after="0" w:line="240" w:lineRule="auto"/>
      </w:pPr>
    </w:p>
    <w:p w14:paraId="2CB881D0" w14:textId="77777777" w:rsidR="0077716F" w:rsidRPr="000A2DE8" w:rsidRDefault="0077716F" w:rsidP="0077716F">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0A2DE8">
        <w:rPr>
          <w:rFonts w:ascii="Times New Roman" w:eastAsia="Times New Roman" w:hAnsi="Times New Roman"/>
          <w:b/>
          <w:color w:val="000000"/>
        </w:rPr>
        <w:t>18.</w:t>
      </w:r>
      <w:r w:rsidRPr="000A2DE8">
        <w:rPr>
          <w:rFonts w:ascii="Times New Roman" w:eastAsia="Times New Roman" w:hAnsi="Times New Roman"/>
          <w:b/>
          <w:color w:val="000000"/>
        </w:rPr>
        <w:tab/>
        <w:t>UNIKALUS IDENTIFIKATORIUS – ŽMONĖMS SUPRANTAMI DUOMENYS</w:t>
      </w:r>
    </w:p>
    <w:p w14:paraId="3D58E061" w14:textId="77777777" w:rsidR="0077716F" w:rsidRPr="000A2DE8" w:rsidRDefault="0077716F" w:rsidP="00A5565D">
      <w:pPr>
        <w:spacing w:after="0" w:line="240" w:lineRule="auto"/>
      </w:pPr>
    </w:p>
    <w:p w14:paraId="15A4BE96" w14:textId="77777777" w:rsidR="0077716F" w:rsidRPr="000A2DE8" w:rsidRDefault="0077716F" w:rsidP="00646A64">
      <w:pPr>
        <w:spacing w:after="0" w:line="240" w:lineRule="auto"/>
        <w:rPr>
          <w:rFonts w:ascii="Times New Roman" w:eastAsia="Times New Roman" w:hAnsi="Times New Roman"/>
        </w:rPr>
      </w:pPr>
      <w:r w:rsidRPr="000A2DE8">
        <w:rPr>
          <w:rFonts w:ascii="Times New Roman" w:eastAsia="Times New Roman" w:hAnsi="Times New Roman"/>
        </w:rPr>
        <w:t xml:space="preserve">PC: {numeris} </w:t>
      </w:r>
    </w:p>
    <w:p w14:paraId="6C302FB2" w14:textId="77777777" w:rsidR="0077716F" w:rsidRPr="000A2DE8" w:rsidRDefault="0077716F" w:rsidP="00C11C5E">
      <w:pPr>
        <w:spacing w:after="0" w:line="240" w:lineRule="auto"/>
        <w:rPr>
          <w:rFonts w:ascii="Times New Roman" w:eastAsia="Times New Roman" w:hAnsi="Times New Roman"/>
        </w:rPr>
      </w:pPr>
      <w:r w:rsidRPr="000A2DE8">
        <w:rPr>
          <w:rFonts w:ascii="Times New Roman" w:eastAsia="Times New Roman" w:hAnsi="Times New Roman"/>
        </w:rPr>
        <w:t xml:space="preserve">SN: {numeris} </w:t>
      </w:r>
    </w:p>
    <w:p w14:paraId="0FA2AA24" w14:textId="77777777" w:rsidR="00CD51A4" w:rsidRPr="000A2DE8" w:rsidRDefault="0077716F" w:rsidP="00CD51A4">
      <w:pPr>
        <w:spacing w:after="0" w:line="240" w:lineRule="auto"/>
        <w:rPr>
          <w:rFonts w:ascii="Times New Roman" w:eastAsia="Times New Roman" w:hAnsi="Times New Roman"/>
          <w:b/>
          <w:bCs/>
          <w:lang w:bidi="ar-SA"/>
        </w:rPr>
      </w:pPr>
      <w:r w:rsidRPr="000A2DE8">
        <w:rPr>
          <w:rFonts w:ascii="Times New Roman" w:eastAsia="Times New Roman" w:hAnsi="Times New Roman"/>
        </w:rPr>
        <w:t>NN: {numeris}</w:t>
      </w:r>
      <w:r w:rsidR="00CD51A4" w:rsidRPr="000A2DE8">
        <w:rPr>
          <w:rFonts w:ascii="Times New Roman" w:eastAsia="Times New Roman" w:hAnsi="Times New Roman"/>
          <w:lang w:bidi="ar-SA"/>
        </w:rPr>
        <w:br w:type="page"/>
      </w:r>
    </w:p>
    <w:p w14:paraId="6E65DEE6"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0A2DE8">
        <w:rPr>
          <w:rFonts w:ascii="Times New Roman" w:eastAsia="Times New Roman" w:hAnsi="Times New Roman"/>
          <w:b/>
          <w:lang w:bidi="ar-SA"/>
        </w:rPr>
        <w:lastRenderedPageBreak/>
        <w:t>MINIMALI INFORMACIJA ANT LIZDINIŲ PLOKŠTELIŲ ARBA DVISLUOKSNIŲ JUOSTELIŲ</w:t>
      </w:r>
    </w:p>
    <w:p w14:paraId="552503C2"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p>
    <w:p w14:paraId="080DFA07" w14:textId="30CA9EFD"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0A2DE8">
        <w:rPr>
          <w:rFonts w:ascii="Times New Roman" w:eastAsia="Times New Roman" w:hAnsi="Times New Roman"/>
          <w:b/>
          <w:lang w:bidi="ar-SA"/>
        </w:rPr>
        <w:t xml:space="preserve">LIZDINĖ PLOKŠTELĖ </w:t>
      </w:r>
    </w:p>
    <w:p w14:paraId="1B3D9C23" w14:textId="77777777" w:rsidR="00CD51A4" w:rsidRPr="000A2DE8" w:rsidRDefault="00CD51A4" w:rsidP="00CD51A4">
      <w:pPr>
        <w:spacing w:after="0" w:line="240" w:lineRule="auto"/>
        <w:rPr>
          <w:rFonts w:ascii="Times New Roman" w:eastAsia="Times New Roman" w:hAnsi="Times New Roman"/>
          <w:b/>
          <w:bCs/>
          <w:lang w:bidi="ar-SA"/>
        </w:rPr>
      </w:pPr>
    </w:p>
    <w:p w14:paraId="259BAA08" w14:textId="77777777" w:rsidR="00CD51A4" w:rsidRPr="000A2DE8" w:rsidRDefault="00CD51A4" w:rsidP="00CD51A4">
      <w:pPr>
        <w:spacing w:after="0" w:line="240" w:lineRule="auto"/>
        <w:jc w:val="both"/>
        <w:rPr>
          <w:rFonts w:ascii="Times New Roman" w:eastAsia="Times New Roman" w:hAnsi="Times New Roman"/>
          <w:b/>
          <w:bCs/>
          <w:lang w:bidi="ar-SA"/>
        </w:rPr>
      </w:pPr>
    </w:p>
    <w:p w14:paraId="5FD6BB0A"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1. </w:t>
      </w:r>
      <w:r w:rsidRPr="000A2DE8">
        <w:rPr>
          <w:rFonts w:ascii="Times New Roman" w:eastAsia="Times New Roman" w:hAnsi="Times New Roman"/>
          <w:b/>
          <w:lang w:bidi="ar-SA"/>
        </w:rPr>
        <w:tab/>
        <w:t>VAISTINIO PREPARATO PAVADINIMAS</w:t>
      </w:r>
    </w:p>
    <w:p w14:paraId="4BD24912" w14:textId="77777777" w:rsidR="00CD51A4" w:rsidRPr="000A2DE8" w:rsidRDefault="00CD51A4" w:rsidP="00CD51A4">
      <w:pPr>
        <w:spacing w:after="0" w:line="240" w:lineRule="auto"/>
        <w:rPr>
          <w:rFonts w:ascii="Times New Roman" w:eastAsia="Times New Roman" w:hAnsi="Times New Roman"/>
          <w:b/>
          <w:bCs/>
          <w:lang w:bidi="ar-SA"/>
        </w:rPr>
      </w:pPr>
    </w:p>
    <w:p w14:paraId="5D4A1A98" w14:textId="77777777" w:rsidR="00CD51A4" w:rsidRPr="000A2DE8" w:rsidRDefault="00CD51A4" w:rsidP="00CD51A4">
      <w:pPr>
        <w:spacing w:after="0" w:line="240" w:lineRule="auto"/>
        <w:rPr>
          <w:rFonts w:ascii="Times New Roman" w:eastAsia="Times New Roman" w:hAnsi="Times New Roman"/>
          <w:lang w:bidi="ar-SA"/>
        </w:rPr>
      </w:pPr>
      <w:r w:rsidRPr="000A2DE8">
        <w:rPr>
          <w:rFonts w:ascii="Times New Roman" w:eastAsia="Times New Roman" w:hAnsi="Times New Roman"/>
          <w:lang w:bidi="ar-SA"/>
        </w:rPr>
        <w:t>Bosentan Accord 62,5 mg plėvele dengtos tabletės</w:t>
      </w:r>
    </w:p>
    <w:p w14:paraId="7EEB1800" w14:textId="77777777" w:rsidR="00CD51A4" w:rsidRPr="000A2DE8" w:rsidRDefault="00CD51A4" w:rsidP="00CD51A4">
      <w:pPr>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Bozentanas</w:t>
      </w:r>
    </w:p>
    <w:p w14:paraId="1C04AF97" w14:textId="77777777" w:rsidR="00CD51A4" w:rsidRPr="000A2DE8" w:rsidRDefault="00CD51A4" w:rsidP="00CD51A4">
      <w:pPr>
        <w:spacing w:after="0" w:line="240" w:lineRule="auto"/>
        <w:jc w:val="both"/>
        <w:rPr>
          <w:rFonts w:ascii="Times New Roman" w:eastAsia="Times New Roman" w:hAnsi="Times New Roman"/>
          <w:b/>
          <w:bCs/>
          <w:lang w:bidi="ar-SA"/>
        </w:rPr>
      </w:pPr>
    </w:p>
    <w:p w14:paraId="7AD0E36F" w14:textId="77777777" w:rsidR="00CD51A4" w:rsidRPr="000A2DE8" w:rsidRDefault="00CD51A4" w:rsidP="00CD51A4">
      <w:pPr>
        <w:spacing w:after="0" w:line="240" w:lineRule="auto"/>
        <w:jc w:val="both"/>
        <w:rPr>
          <w:rFonts w:ascii="Times New Roman" w:eastAsia="Times New Roman" w:hAnsi="Times New Roman"/>
          <w:b/>
          <w:bCs/>
          <w:lang w:bidi="ar-SA"/>
        </w:rPr>
      </w:pPr>
    </w:p>
    <w:p w14:paraId="3AB20047"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2. </w:t>
      </w:r>
      <w:r w:rsidRPr="000A2DE8">
        <w:rPr>
          <w:rFonts w:ascii="Times New Roman" w:eastAsia="Times New Roman" w:hAnsi="Times New Roman"/>
          <w:b/>
          <w:lang w:bidi="ar-SA"/>
        </w:rPr>
        <w:tab/>
        <w:t>REGISTRUOTOJO PAVADINIMAS</w:t>
      </w:r>
    </w:p>
    <w:p w14:paraId="59C16D72" w14:textId="77777777" w:rsidR="00CD51A4" w:rsidRPr="000A2DE8" w:rsidRDefault="00CD51A4" w:rsidP="00CD51A4">
      <w:pPr>
        <w:spacing w:after="0" w:line="240" w:lineRule="auto"/>
        <w:ind w:left="720" w:hanging="720"/>
        <w:jc w:val="both"/>
        <w:rPr>
          <w:rFonts w:ascii="Times New Roman" w:eastAsia="Times New Roman" w:hAnsi="Times New Roman"/>
          <w:b/>
          <w:bCs/>
          <w:lang w:bidi="ar-SA"/>
        </w:rPr>
      </w:pPr>
    </w:p>
    <w:p w14:paraId="6C909D75" w14:textId="77777777" w:rsidR="00CD51A4" w:rsidRPr="000A2DE8" w:rsidRDefault="00CD51A4" w:rsidP="00CD51A4">
      <w:pPr>
        <w:spacing w:after="0" w:line="240" w:lineRule="auto"/>
        <w:rPr>
          <w:rFonts w:ascii="Times New Roman" w:eastAsia="Times New Roman" w:hAnsi="Times New Roman"/>
          <w:lang w:bidi="ar-SA"/>
        </w:rPr>
      </w:pPr>
      <w:r w:rsidRPr="000A2DE8">
        <w:rPr>
          <w:rFonts w:ascii="Times New Roman" w:eastAsia="Times New Roman" w:hAnsi="Times New Roman"/>
          <w:lang w:bidi="ar-SA"/>
        </w:rPr>
        <w:t>Accord</w:t>
      </w:r>
    </w:p>
    <w:p w14:paraId="02F572B1" w14:textId="77777777" w:rsidR="00CD51A4" w:rsidRPr="000A2DE8" w:rsidRDefault="00CD51A4" w:rsidP="00CD51A4">
      <w:pPr>
        <w:spacing w:after="0" w:line="240" w:lineRule="auto"/>
        <w:ind w:left="720" w:hanging="720"/>
        <w:jc w:val="both"/>
        <w:rPr>
          <w:rFonts w:ascii="Times New Roman" w:eastAsia="Times New Roman" w:hAnsi="Times New Roman"/>
          <w:b/>
          <w:bCs/>
          <w:lang w:bidi="ar-SA"/>
        </w:rPr>
      </w:pPr>
    </w:p>
    <w:p w14:paraId="1D3D940B" w14:textId="77777777" w:rsidR="00CD51A4" w:rsidRPr="000A2DE8" w:rsidRDefault="00CD51A4" w:rsidP="00CD51A4">
      <w:pPr>
        <w:spacing w:after="0" w:line="240" w:lineRule="auto"/>
        <w:ind w:left="720" w:hanging="720"/>
        <w:jc w:val="both"/>
        <w:rPr>
          <w:rFonts w:ascii="Times New Roman" w:eastAsia="Times New Roman" w:hAnsi="Times New Roman"/>
          <w:b/>
          <w:bCs/>
          <w:lang w:bidi="ar-SA"/>
        </w:rPr>
      </w:pPr>
    </w:p>
    <w:p w14:paraId="5E653620"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3. </w:t>
      </w:r>
      <w:r w:rsidRPr="000A2DE8">
        <w:rPr>
          <w:rFonts w:ascii="Times New Roman" w:eastAsia="Times New Roman" w:hAnsi="Times New Roman"/>
          <w:b/>
          <w:lang w:bidi="ar-SA"/>
        </w:rPr>
        <w:tab/>
        <w:t>TINKAMUMO LAIKAS</w:t>
      </w:r>
    </w:p>
    <w:p w14:paraId="6BDA4915" w14:textId="77777777" w:rsidR="00CD51A4" w:rsidRPr="000A2DE8" w:rsidRDefault="00CD51A4" w:rsidP="00CD51A4">
      <w:pPr>
        <w:spacing w:after="0" w:line="240" w:lineRule="auto"/>
        <w:ind w:left="720" w:hanging="720"/>
        <w:rPr>
          <w:rFonts w:ascii="Times New Roman" w:eastAsia="Times New Roman" w:hAnsi="Times New Roman"/>
          <w:b/>
          <w:bCs/>
          <w:lang w:bidi="ar-SA"/>
        </w:rPr>
      </w:pPr>
    </w:p>
    <w:p w14:paraId="30329434" w14:textId="77777777" w:rsidR="00CD51A4" w:rsidRPr="000A2DE8" w:rsidRDefault="00CD51A4" w:rsidP="00CD51A4">
      <w:pPr>
        <w:spacing w:after="0" w:line="240" w:lineRule="auto"/>
        <w:rPr>
          <w:rFonts w:ascii="Times New Roman" w:eastAsia="Times New Roman" w:hAnsi="Times New Roman"/>
          <w:lang w:bidi="ar-SA"/>
        </w:rPr>
      </w:pPr>
      <w:r w:rsidRPr="000A2DE8">
        <w:rPr>
          <w:rFonts w:ascii="Times New Roman" w:eastAsia="Times New Roman" w:hAnsi="Times New Roman"/>
          <w:lang w:bidi="ar-SA"/>
        </w:rPr>
        <w:t>EXP: mm-MMMM</w:t>
      </w:r>
    </w:p>
    <w:p w14:paraId="1F6C662F" w14:textId="77777777" w:rsidR="00CD51A4" w:rsidRPr="000A2DE8" w:rsidRDefault="00CD51A4" w:rsidP="00CD51A4">
      <w:pPr>
        <w:spacing w:after="0" w:line="240" w:lineRule="auto"/>
        <w:ind w:left="720" w:hanging="720"/>
        <w:jc w:val="both"/>
        <w:rPr>
          <w:rFonts w:ascii="Times New Roman" w:eastAsia="Times New Roman" w:hAnsi="Times New Roman"/>
          <w:b/>
          <w:bCs/>
          <w:lang w:bidi="ar-SA"/>
        </w:rPr>
      </w:pPr>
    </w:p>
    <w:p w14:paraId="1C98E401" w14:textId="77777777" w:rsidR="00CD51A4" w:rsidRPr="000A2DE8" w:rsidRDefault="00CD51A4" w:rsidP="00CD51A4">
      <w:pPr>
        <w:spacing w:after="0" w:line="240" w:lineRule="auto"/>
        <w:ind w:left="720" w:hanging="720"/>
        <w:jc w:val="both"/>
        <w:rPr>
          <w:rFonts w:ascii="Times New Roman" w:eastAsia="Times New Roman" w:hAnsi="Times New Roman"/>
          <w:b/>
          <w:bCs/>
          <w:lang w:bidi="ar-SA"/>
        </w:rPr>
      </w:pPr>
    </w:p>
    <w:p w14:paraId="306FC66B"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 xml:space="preserve">4. </w:t>
      </w:r>
      <w:r w:rsidRPr="000A2DE8">
        <w:rPr>
          <w:rFonts w:ascii="Times New Roman" w:eastAsia="Times New Roman" w:hAnsi="Times New Roman"/>
          <w:b/>
          <w:lang w:bidi="ar-SA"/>
        </w:rPr>
        <w:tab/>
        <w:t>SERIJOS NUMERIS</w:t>
      </w:r>
    </w:p>
    <w:p w14:paraId="4B1BB85C" w14:textId="77777777" w:rsidR="00CD51A4" w:rsidRPr="000A2DE8" w:rsidRDefault="00CD51A4" w:rsidP="00CD51A4">
      <w:pPr>
        <w:autoSpaceDE w:val="0"/>
        <w:autoSpaceDN w:val="0"/>
        <w:adjustRightInd w:val="0"/>
        <w:spacing w:after="0" w:line="240" w:lineRule="auto"/>
        <w:ind w:left="720" w:hanging="720"/>
        <w:rPr>
          <w:rFonts w:ascii="Times New Roman" w:eastAsia="Times New Roman" w:hAnsi="Times New Roman"/>
          <w:b/>
          <w:bCs/>
          <w:color w:val="000000"/>
          <w:lang w:bidi="ar-SA"/>
        </w:rPr>
      </w:pPr>
    </w:p>
    <w:p w14:paraId="017C71D3" w14:textId="77777777" w:rsidR="00CD51A4" w:rsidRPr="000A2DE8" w:rsidRDefault="00CD51A4" w:rsidP="00CD51A4">
      <w:pPr>
        <w:autoSpaceDE w:val="0"/>
        <w:autoSpaceDN w:val="0"/>
        <w:adjustRightInd w:val="0"/>
        <w:spacing w:after="0" w:line="240" w:lineRule="auto"/>
        <w:rPr>
          <w:rFonts w:ascii="Times New Roman" w:eastAsia="Times New Roman" w:hAnsi="Times New Roman"/>
          <w:color w:val="000000"/>
          <w:lang w:bidi="ar-SA"/>
        </w:rPr>
      </w:pPr>
      <w:r w:rsidRPr="000A2DE8">
        <w:rPr>
          <w:rFonts w:ascii="Times New Roman" w:eastAsia="Times New Roman" w:hAnsi="Times New Roman"/>
          <w:color w:val="000000"/>
          <w:lang w:bidi="ar-SA"/>
        </w:rPr>
        <w:t>Lot:</w:t>
      </w:r>
    </w:p>
    <w:p w14:paraId="1E275B4F" w14:textId="77777777" w:rsidR="00CD51A4" w:rsidRPr="000A2DE8" w:rsidRDefault="00CD51A4" w:rsidP="00CD51A4">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66E6AD41" w14:textId="77777777" w:rsidR="00CD51A4" w:rsidRPr="000A2DE8" w:rsidRDefault="00CD51A4" w:rsidP="00CD51A4">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3A918DDD" w14:textId="77777777" w:rsidR="00CD51A4" w:rsidRPr="000A2DE8" w:rsidRDefault="00CD51A4" w:rsidP="00CD51A4">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color w:val="000000"/>
          <w:lang w:bidi="ar-SA"/>
        </w:rPr>
        <w:t xml:space="preserve">5. </w:t>
      </w:r>
      <w:r w:rsidRPr="000A2DE8">
        <w:rPr>
          <w:rFonts w:ascii="Times New Roman" w:eastAsia="Times New Roman" w:hAnsi="Times New Roman"/>
          <w:b/>
          <w:color w:val="000000"/>
          <w:lang w:bidi="ar-SA"/>
        </w:rPr>
        <w:tab/>
        <w:t>KITA</w:t>
      </w:r>
    </w:p>
    <w:p w14:paraId="7CFC2103"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b/>
          <w:bCs/>
          <w:color w:val="000000"/>
          <w:lang w:bidi="ar-SA"/>
        </w:rPr>
      </w:pPr>
      <w:r w:rsidRPr="000A2DE8">
        <w:rPr>
          <w:rFonts w:ascii="Times New Roman" w:eastAsia="Times New Roman" w:hAnsi="Times New Roman"/>
          <w:lang w:bidi="ar-SA"/>
        </w:rPr>
        <w:br w:type="page"/>
      </w:r>
      <w:r w:rsidRPr="000A2DE8">
        <w:rPr>
          <w:rFonts w:ascii="Times New Roman" w:eastAsia="Times New Roman" w:hAnsi="Times New Roman"/>
          <w:b/>
          <w:lang w:bidi="ar-SA"/>
        </w:rPr>
        <w:lastRenderedPageBreak/>
        <w:t>INFORMACIJA ANT IŠORINĖS PAKUOTĖS</w:t>
      </w:r>
    </w:p>
    <w:p w14:paraId="6F8B6619"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b/>
          <w:bCs/>
          <w:color w:val="000000"/>
          <w:lang w:bidi="ar-SA"/>
        </w:rPr>
      </w:pPr>
    </w:p>
    <w:p w14:paraId="51D8D095" w14:textId="684210A5"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b/>
          <w:bCs/>
          <w:color w:val="000000"/>
          <w:lang w:bidi="ar-SA"/>
        </w:rPr>
      </w:pPr>
      <w:r w:rsidRPr="000A2DE8">
        <w:rPr>
          <w:rFonts w:ascii="Times New Roman" w:eastAsia="Times New Roman" w:hAnsi="Times New Roman"/>
          <w:b/>
          <w:lang w:bidi="ar-SA"/>
        </w:rPr>
        <w:t>KARTONO DĖŽUTĖ, KURIOJE YRA 56</w:t>
      </w:r>
      <w:r w:rsidR="007B3BE0">
        <w:rPr>
          <w:rFonts w:ascii="Times New Roman" w:eastAsia="Times New Roman" w:hAnsi="Times New Roman"/>
          <w:b/>
          <w:lang w:bidi="ar-SA"/>
        </w:rPr>
        <w:t>,</w:t>
      </w:r>
      <w:r w:rsidRPr="000A2DE8">
        <w:rPr>
          <w:rFonts w:ascii="Times New Roman" w:eastAsia="Times New Roman" w:hAnsi="Times New Roman"/>
          <w:b/>
          <w:lang w:bidi="ar-SA"/>
        </w:rPr>
        <w:t xml:space="preserve"> 112 </w:t>
      </w:r>
      <w:r w:rsidR="007B3BE0" w:rsidRPr="000A2DE8">
        <w:rPr>
          <w:rFonts w:ascii="Times New Roman" w:eastAsia="Times New Roman" w:hAnsi="Times New Roman"/>
          <w:b/>
          <w:lang w:bidi="ar-SA"/>
        </w:rPr>
        <w:t xml:space="preserve">IR </w:t>
      </w:r>
      <w:r w:rsidR="007B3BE0">
        <w:rPr>
          <w:rFonts w:ascii="Times New Roman" w:eastAsia="Times New Roman" w:hAnsi="Times New Roman"/>
          <w:b/>
          <w:lang w:bidi="ar-SA"/>
        </w:rPr>
        <w:t xml:space="preserve">120 </w:t>
      </w:r>
      <w:r w:rsidRPr="000A2DE8">
        <w:rPr>
          <w:rFonts w:ascii="Times New Roman" w:eastAsia="Times New Roman" w:hAnsi="Times New Roman"/>
          <w:b/>
          <w:lang w:bidi="ar-SA"/>
        </w:rPr>
        <w:t xml:space="preserve">TABLEČIŲ </w:t>
      </w:r>
    </w:p>
    <w:p w14:paraId="05C6B594" w14:textId="77777777" w:rsidR="00CD51A4" w:rsidRPr="000A2DE8" w:rsidRDefault="00CD51A4" w:rsidP="00CD51A4">
      <w:pPr>
        <w:autoSpaceDE w:val="0"/>
        <w:autoSpaceDN w:val="0"/>
        <w:adjustRightInd w:val="0"/>
        <w:spacing w:after="0" w:line="240" w:lineRule="auto"/>
        <w:jc w:val="both"/>
        <w:rPr>
          <w:rFonts w:ascii="Times New Roman" w:eastAsia="Times New Roman" w:hAnsi="Times New Roman"/>
          <w:lang w:bidi="ar-SA"/>
        </w:rPr>
      </w:pPr>
    </w:p>
    <w:p w14:paraId="3330B340" w14:textId="77777777" w:rsidR="00CD51A4" w:rsidRPr="000A2DE8" w:rsidRDefault="00CD51A4" w:rsidP="00CD51A4">
      <w:pPr>
        <w:autoSpaceDE w:val="0"/>
        <w:autoSpaceDN w:val="0"/>
        <w:adjustRightInd w:val="0"/>
        <w:spacing w:after="0" w:line="240" w:lineRule="auto"/>
        <w:jc w:val="both"/>
        <w:rPr>
          <w:rFonts w:ascii="Times New Roman" w:eastAsia="Times New Roman" w:hAnsi="Times New Roman"/>
          <w:lang w:bidi="ar-SA"/>
        </w:rPr>
      </w:pPr>
    </w:p>
    <w:p w14:paraId="6E5978D6"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w:t>
      </w:r>
      <w:r w:rsidRPr="000A2DE8">
        <w:rPr>
          <w:rFonts w:ascii="Times New Roman" w:eastAsia="Times New Roman" w:hAnsi="Times New Roman"/>
          <w:b/>
          <w:lang w:bidi="ar-SA"/>
        </w:rPr>
        <w:tab/>
        <w:t>VAISTINIO PREPARATO PAVADINIMAS</w:t>
      </w:r>
    </w:p>
    <w:p w14:paraId="797D9ABB" w14:textId="77777777" w:rsidR="00CD51A4" w:rsidRPr="000A2DE8" w:rsidRDefault="00CD51A4" w:rsidP="00CD51A4">
      <w:pPr>
        <w:spacing w:after="0" w:line="240" w:lineRule="auto"/>
        <w:jc w:val="both"/>
        <w:rPr>
          <w:rFonts w:ascii="Times New Roman" w:eastAsia="Times New Roman" w:hAnsi="Times New Roman"/>
          <w:b/>
          <w:bCs/>
          <w:lang w:bidi="ar-SA"/>
        </w:rPr>
      </w:pPr>
    </w:p>
    <w:p w14:paraId="62A5F4D6" w14:textId="77777777" w:rsidR="00CD51A4" w:rsidRPr="000A2DE8" w:rsidRDefault="00CD51A4" w:rsidP="00CD51A4">
      <w:pPr>
        <w:spacing w:after="0" w:line="240" w:lineRule="auto"/>
        <w:rPr>
          <w:rFonts w:ascii="Times New Roman" w:eastAsia="Times New Roman" w:hAnsi="Times New Roman"/>
          <w:lang w:bidi="ar-SA"/>
        </w:rPr>
      </w:pPr>
      <w:r w:rsidRPr="000A2DE8">
        <w:rPr>
          <w:rFonts w:ascii="Times New Roman" w:eastAsia="Times New Roman" w:hAnsi="Times New Roman"/>
          <w:lang w:bidi="ar-SA"/>
        </w:rPr>
        <w:t>Bosentan Accord 125 mg plėvele dengtos tabletės</w:t>
      </w:r>
    </w:p>
    <w:p w14:paraId="13AEAE28" w14:textId="77777777" w:rsidR="00CD51A4" w:rsidRPr="000A2DE8" w:rsidRDefault="00CD51A4" w:rsidP="00CD51A4">
      <w:pPr>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Bozentanas</w:t>
      </w:r>
    </w:p>
    <w:p w14:paraId="2F5BE40A" w14:textId="77777777" w:rsidR="00CD51A4" w:rsidRPr="000A2DE8" w:rsidRDefault="00CD51A4" w:rsidP="00CD51A4">
      <w:pPr>
        <w:spacing w:after="0" w:line="240" w:lineRule="auto"/>
        <w:jc w:val="both"/>
        <w:rPr>
          <w:rFonts w:ascii="Times New Roman" w:eastAsia="Times New Roman" w:hAnsi="Times New Roman"/>
          <w:lang w:bidi="ar-SA"/>
        </w:rPr>
      </w:pPr>
    </w:p>
    <w:p w14:paraId="73480D40" w14:textId="77777777" w:rsidR="00CD51A4" w:rsidRPr="000A2DE8" w:rsidRDefault="00CD51A4" w:rsidP="00CD51A4">
      <w:pPr>
        <w:spacing w:after="0" w:line="240" w:lineRule="auto"/>
        <w:jc w:val="both"/>
        <w:rPr>
          <w:rFonts w:ascii="Times New Roman" w:eastAsia="Times New Roman" w:hAnsi="Times New Roman"/>
          <w:lang w:bidi="ar-SA"/>
        </w:rPr>
      </w:pPr>
    </w:p>
    <w:p w14:paraId="2E31443E"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2.</w:t>
      </w:r>
      <w:r w:rsidRPr="000A2DE8">
        <w:rPr>
          <w:rFonts w:ascii="Times New Roman" w:eastAsia="Times New Roman" w:hAnsi="Times New Roman"/>
          <w:b/>
          <w:lang w:bidi="ar-SA"/>
        </w:rPr>
        <w:tab/>
        <w:t>VEIKLIOJI (-IOS) MEDŽIAGA (-OS) IR JOS (-Ų) KIEKIS (-IAI)</w:t>
      </w:r>
    </w:p>
    <w:p w14:paraId="3313B8E5" w14:textId="77777777" w:rsidR="00CD51A4" w:rsidRPr="000A2DE8" w:rsidRDefault="00CD51A4" w:rsidP="00CD51A4">
      <w:pPr>
        <w:spacing w:after="0" w:line="240" w:lineRule="auto"/>
        <w:jc w:val="both"/>
        <w:rPr>
          <w:rFonts w:ascii="Times New Roman" w:eastAsia="Times New Roman" w:hAnsi="Times New Roman"/>
          <w:b/>
          <w:bCs/>
          <w:lang w:bidi="ar-SA"/>
        </w:rPr>
      </w:pPr>
    </w:p>
    <w:p w14:paraId="16A8EFC7" w14:textId="77777777" w:rsidR="00CD51A4" w:rsidRPr="000A2DE8" w:rsidRDefault="00CD51A4" w:rsidP="00CD51A4">
      <w:pPr>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Kiekvienoje plėvele dengtoje tabletėje yra 125 mg bozentano (monohidrato forma).</w:t>
      </w:r>
    </w:p>
    <w:p w14:paraId="6A035CD0" w14:textId="77777777" w:rsidR="00CD51A4" w:rsidRPr="000A2DE8" w:rsidRDefault="00CD51A4" w:rsidP="00CD51A4">
      <w:pPr>
        <w:spacing w:after="0" w:line="240" w:lineRule="auto"/>
        <w:jc w:val="both"/>
        <w:rPr>
          <w:rFonts w:ascii="Times New Roman" w:eastAsia="Times New Roman" w:hAnsi="Times New Roman"/>
          <w:b/>
          <w:bCs/>
          <w:lang w:bidi="ar-SA"/>
        </w:rPr>
      </w:pPr>
    </w:p>
    <w:p w14:paraId="1E0C8842" w14:textId="77777777" w:rsidR="00CD51A4" w:rsidRPr="000A2DE8" w:rsidRDefault="00CD51A4" w:rsidP="00CD51A4">
      <w:pPr>
        <w:spacing w:after="0" w:line="240" w:lineRule="auto"/>
        <w:jc w:val="both"/>
        <w:rPr>
          <w:rFonts w:ascii="Times New Roman" w:eastAsia="Times New Roman" w:hAnsi="Times New Roman"/>
          <w:b/>
          <w:bCs/>
          <w:lang w:bidi="ar-SA"/>
        </w:rPr>
      </w:pPr>
    </w:p>
    <w:p w14:paraId="61D406A5"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3.</w:t>
      </w:r>
      <w:r w:rsidRPr="000A2DE8">
        <w:rPr>
          <w:rFonts w:ascii="Times New Roman" w:eastAsia="Times New Roman" w:hAnsi="Times New Roman"/>
          <w:b/>
          <w:lang w:bidi="ar-SA"/>
        </w:rPr>
        <w:tab/>
        <w:t>PAGALBINIŲ MEDŽIAGŲ SĄRAŠAS</w:t>
      </w:r>
    </w:p>
    <w:p w14:paraId="1E0FCA66" w14:textId="77777777" w:rsidR="00CD51A4" w:rsidRPr="000A2DE8" w:rsidRDefault="00CD51A4" w:rsidP="00CD51A4">
      <w:pPr>
        <w:spacing w:after="0" w:line="240" w:lineRule="auto"/>
        <w:rPr>
          <w:rFonts w:ascii="Times New Roman" w:eastAsia="Times New Roman" w:hAnsi="Times New Roman"/>
          <w:b/>
          <w:bCs/>
          <w:lang w:bidi="ar-SA"/>
        </w:rPr>
      </w:pPr>
    </w:p>
    <w:p w14:paraId="5ED47874" w14:textId="77777777" w:rsidR="00CD51A4" w:rsidRPr="000A2DE8" w:rsidRDefault="00CD51A4" w:rsidP="00CD51A4">
      <w:pPr>
        <w:spacing w:after="0" w:line="240" w:lineRule="auto"/>
        <w:jc w:val="both"/>
        <w:rPr>
          <w:rFonts w:ascii="Times New Roman" w:eastAsia="Times New Roman" w:hAnsi="Times New Roman"/>
          <w:b/>
          <w:bCs/>
          <w:lang w:bidi="ar-SA"/>
        </w:rPr>
      </w:pPr>
    </w:p>
    <w:p w14:paraId="181DEC56" w14:textId="77777777" w:rsidR="00CD51A4" w:rsidRPr="000A2DE8" w:rsidRDefault="00CD51A4" w:rsidP="00CD51A4">
      <w:pPr>
        <w:pBdr>
          <w:top w:val="single" w:sz="4" w:space="1" w:color="auto"/>
          <w:left w:val="single" w:sz="4" w:space="4" w:color="auto"/>
          <w:bottom w:val="single" w:sz="4" w:space="0" w:color="auto"/>
          <w:right w:val="single" w:sz="4" w:space="4" w:color="auto"/>
        </w:pBdr>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4.</w:t>
      </w:r>
      <w:r w:rsidRPr="000A2DE8">
        <w:rPr>
          <w:rFonts w:ascii="Times New Roman" w:eastAsia="Times New Roman" w:hAnsi="Times New Roman"/>
          <w:b/>
          <w:lang w:bidi="ar-SA"/>
        </w:rPr>
        <w:tab/>
        <w:t>FARMACINĖ FORMA IR KIEKIS PAKUOTĖJE</w:t>
      </w:r>
    </w:p>
    <w:p w14:paraId="4F004BD3" w14:textId="77777777" w:rsidR="00CD51A4" w:rsidRPr="000A2DE8" w:rsidRDefault="00CD51A4" w:rsidP="00CD51A4">
      <w:pPr>
        <w:spacing w:after="0" w:line="240" w:lineRule="auto"/>
        <w:jc w:val="both"/>
        <w:rPr>
          <w:rFonts w:ascii="Times New Roman" w:eastAsia="Times New Roman" w:hAnsi="Times New Roman"/>
          <w:lang w:bidi="ar-SA"/>
        </w:rPr>
      </w:pPr>
    </w:p>
    <w:p w14:paraId="5969BA6A" w14:textId="77777777" w:rsidR="00CD51A4" w:rsidRPr="000A2DE8" w:rsidRDefault="00CD51A4" w:rsidP="00CD51A4">
      <w:pPr>
        <w:autoSpaceDE w:val="0"/>
        <w:autoSpaceDN w:val="0"/>
        <w:adjustRightInd w:val="0"/>
        <w:spacing w:after="0" w:line="240" w:lineRule="auto"/>
        <w:rPr>
          <w:rFonts w:ascii="Times New Roman" w:eastAsia="Times New Roman" w:hAnsi="Times New Roman"/>
          <w:color w:val="000000"/>
          <w:lang w:bidi="ar-SA"/>
        </w:rPr>
      </w:pPr>
      <w:r w:rsidRPr="000A2DE8">
        <w:rPr>
          <w:rFonts w:ascii="Times New Roman" w:eastAsia="Times New Roman" w:hAnsi="Times New Roman"/>
          <w:color w:val="000000"/>
          <w:lang w:bidi="ar-SA"/>
        </w:rPr>
        <w:t>Plėvele dengta tabletė.</w:t>
      </w:r>
    </w:p>
    <w:p w14:paraId="48214967" w14:textId="77777777" w:rsidR="00CD51A4" w:rsidRPr="000A2DE8" w:rsidRDefault="00CD51A4" w:rsidP="00CD51A4">
      <w:pPr>
        <w:autoSpaceDE w:val="0"/>
        <w:autoSpaceDN w:val="0"/>
        <w:adjustRightInd w:val="0"/>
        <w:spacing w:after="0" w:line="240" w:lineRule="auto"/>
        <w:rPr>
          <w:rFonts w:ascii="Times New Roman" w:eastAsia="Times New Roman" w:hAnsi="Times New Roman"/>
          <w:color w:val="000000"/>
          <w:lang w:bidi="ar-SA"/>
        </w:rPr>
      </w:pPr>
    </w:p>
    <w:p w14:paraId="4009C68A" w14:textId="77777777" w:rsidR="00CD51A4" w:rsidRPr="000A2DE8" w:rsidRDefault="00CD51A4" w:rsidP="00CD51A4">
      <w:pPr>
        <w:autoSpaceDE w:val="0"/>
        <w:autoSpaceDN w:val="0"/>
        <w:adjustRightInd w:val="0"/>
        <w:spacing w:after="0" w:line="240" w:lineRule="auto"/>
        <w:rPr>
          <w:rFonts w:ascii="Times New Roman" w:eastAsia="Times New Roman" w:hAnsi="Times New Roman"/>
          <w:color w:val="000000"/>
          <w:lang w:bidi="ar-SA"/>
        </w:rPr>
      </w:pPr>
      <w:r w:rsidRPr="000A2DE8">
        <w:rPr>
          <w:rFonts w:ascii="Times New Roman" w:eastAsia="Times New Roman" w:hAnsi="Times New Roman"/>
          <w:color w:val="000000"/>
          <w:lang w:bidi="ar-SA"/>
        </w:rPr>
        <w:t>56 plėvele dengtos tabletės</w:t>
      </w:r>
    </w:p>
    <w:p w14:paraId="521278F8" w14:textId="77777777" w:rsidR="00CD51A4" w:rsidRPr="000A2DE8" w:rsidRDefault="00CD51A4" w:rsidP="00CD51A4">
      <w:pPr>
        <w:spacing w:after="0" w:line="240" w:lineRule="auto"/>
        <w:jc w:val="both"/>
        <w:rPr>
          <w:rFonts w:ascii="Times New Roman" w:eastAsia="Times New Roman" w:hAnsi="Times New Roman"/>
          <w:lang w:bidi="ar-SA"/>
        </w:rPr>
      </w:pPr>
      <w:r w:rsidRPr="000A2DE8">
        <w:rPr>
          <w:rFonts w:ascii="Times New Roman" w:eastAsia="Times New Roman" w:hAnsi="Times New Roman"/>
          <w:highlight w:val="lightGray"/>
          <w:lang w:bidi="ar-SA"/>
        </w:rPr>
        <w:t>112 plėvele dengtų tablečių</w:t>
      </w:r>
    </w:p>
    <w:p w14:paraId="03A8A904" w14:textId="5E2A67EC" w:rsidR="007B3BE0" w:rsidRPr="000A2DE8" w:rsidRDefault="007B3BE0" w:rsidP="007B3BE0">
      <w:pPr>
        <w:spacing w:after="0" w:line="240" w:lineRule="auto"/>
        <w:jc w:val="both"/>
        <w:rPr>
          <w:rFonts w:ascii="Times New Roman" w:eastAsia="Times New Roman" w:hAnsi="Times New Roman"/>
          <w:lang w:bidi="ar-SA"/>
        </w:rPr>
      </w:pPr>
      <w:r w:rsidRPr="000A2DE8">
        <w:rPr>
          <w:rFonts w:ascii="Times New Roman" w:eastAsia="Times New Roman" w:hAnsi="Times New Roman"/>
          <w:highlight w:val="lightGray"/>
          <w:lang w:bidi="ar-SA"/>
        </w:rPr>
        <w:t>12</w:t>
      </w:r>
      <w:r>
        <w:rPr>
          <w:rFonts w:ascii="Times New Roman" w:eastAsia="Times New Roman" w:hAnsi="Times New Roman"/>
          <w:highlight w:val="lightGray"/>
          <w:lang w:bidi="ar-SA"/>
        </w:rPr>
        <w:t>0</w:t>
      </w:r>
      <w:r w:rsidRPr="000A2DE8">
        <w:rPr>
          <w:rFonts w:ascii="Times New Roman" w:eastAsia="Times New Roman" w:hAnsi="Times New Roman"/>
          <w:highlight w:val="lightGray"/>
          <w:lang w:bidi="ar-SA"/>
        </w:rPr>
        <w:t xml:space="preserve"> plėvele dengtų tablečių</w:t>
      </w:r>
    </w:p>
    <w:p w14:paraId="29B79DF5" w14:textId="77777777" w:rsidR="00CD51A4" w:rsidRPr="000A2DE8" w:rsidRDefault="00CD51A4" w:rsidP="00CD51A4">
      <w:pPr>
        <w:spacing w:after="0" w:line="240" w:lineRule="auto"/>
        <w:jc w:val="both"/>
        <w:rPr>
          <w:rFonts w:ascii="Times New Roman" w:eastAsia="Times New Roman" w:hAnsi="Times New Roman"/>
          <w:b/>
          <w:bCs/>
          <w:lang w:bidi="ar-SA"/>
        </w:rPr>
      </w:pPr>
    </w:p>
    <w:p w14:paraId="04338E02" w14:textId="77777777" w:rsidR="00CD51A4" w:rsidRPr="000A2DE8" w:rsidRDefault="00CD51A4" w:rsidP="00CD51A4">
      <w:pPr>
        <w:spacing w:after="0" w:line="240" w:lineRule="auto"/>
        <w:jc w:val="both"/>
        <w:rPr>
          <w:rFonts w:ascii="Times New Roman" w:eastAsia="Times New Roman" w:hAnsi="Times New Roman"/>
          <w:b/>
          <w:bCs/>
          <w:lang w:bidi="ar-SA"/>
        </w:rPr>
      </w:pPr>
    </w:p>
    <w:p w14:paraId="48DB9993"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 xml:space="preserve">5. </w:t>
      </w:r>
      <w:r w:rsidRPr="000A2DE8">
        <w:rPr>
          <w:rFonts w:ascii="Times New Roman" w:eastAsia="Times New Roman" w:hAnsi="Times New Roman"/>
          <w:b/>
          <w:lang w:bidi="ar-SA"/>
        </w:rPr>
        <w:tab/>
        <w:t>VARTOJIMO METODAS IR BŪDAS (-AI)</w:t>
      </w:r>
    </w:p>
    <w:p w14:paraId="2B9F74BF" w14:textId="77777777" w:rsidR="00CD51A4" w:rsidRPr="000A2DE8" w:rsidRDefault="00CD51A4" w:rsidP="00CD51A4">
      <w:pPr>
        <w:spacing w:after="0" w:line="240" w:lineRule="auto"/>
        <w:rPr>
          <w:rFonts w:ascii="Times New Roman" w:eastAsia="Times New Roman" w:hAnsi="Times New Roman"/>
          <w:b/>
          <w:bCs/>
          <w:lang w:bidi="ar-SA"/>
        </w:rPr>
      </w:pPr>
    </w:p>
    <w:p w14:paraId="1F4E7CC9" w14:textId="77777777" w:rsidR="00CD51A4" w:rsidRPr="000A2DE8" w:rsidRDefault="00CD51A4" w:rsidP="00CD51A4">
      <w:pPr>
        <w:autoSpaceDE w:val="0"/>
        <w:autoSpaceDN w:val="0"/>
        <w:adjustRightInd w:val="0"/>
        <w:spacing w:after="0" w:line="240" w:lineRule="auto"/>
        <w:rPr>
          <w:rFonts w:ascii="Times New Roman" w:eastAsia="Times New Roman" w:hAnsi="Times New Roman"/>
          <w:color w:val="000000"/>
          <w:lang w:bidi="ar-SA"/>
        </w:rPr>
      </w:pPr>
      <w:r w:rsidRPr="000A2DE8">
        <w:rPr>
          <w:rFonts w:ascii="Times New Roman" w:eastAsia="Times New Roman" w:hAnsi="Times New Roman"/>
          <w:color w:val="000000"/>
          <w:lang w:bidi="ar-SA"/>
        </w:rPr>
        <w:t xml:space="preserve">Vartoti per burną. </w:t>
      </w:r>
    </w:p>
    <w:p w14:paraId="2115E3BE" w14:textId="77777777" w:rsidR="00CD51A4" w:rsidRPr="000A2DE8" w:rsidRDefault="00CD51A4" w:rsidP="00CD51A4">
      <w:pPr>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Prieš vartojimą perskaitykite pakuotės lapelį.</w:t>
      </w:r>
    </w:p>
    <w:p w14:paraId="5FCEB6C1" w14:textId="77777777" w:rsidR="00CD51A4" w:rsidRPr="000A2DE8" w:rsidRDefault="00CD51A4" w:rsidP="00CD51A4">
      <w:pPr>
        <w:spacing w:after="0" w:line="240" w:lineRule="auto"/>
        <w:jc w:val="both"/>
        <w:rPr>
          <w:rFonts w:ascii="Times New Roman" w:eastAsia="Times New Roman" w:hAnsi="Times New Roman"/>
          <w:b/>
          <w:bCs/>
          <w:lang w:bidi="ar-SA"/>
        </w:rPr>
      </w:pPr>
    </w:p>
    <w:p w14:paraId="1845F5F0" w14:textId="77777777" w:rsidR="00CD51A4" w:rsidRPr="000A2DE8" w:rsidRDefault="00CD51A4" w:rsidP="00CD51A4">
      <w:pPr>
        <w:spacing w:after="0" w:line="240" w:lineRule="auto"/>
        <w:jc w:val="both"/>
        <w:rPr>
          <w:rFonts w:ascii="Times New Roman" w:eastAsia="Times New Roman" w:hAnsi="Times New Roman"/>
          <w:b/>
          <w:bCs/>
          <w:lang w:bidi="ar-SA"/>
        </w:rPr>
      </w:pPr>
    </w:p>
    <w:p w14:paraId="4EF8BA46"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6.</w:t>
      </w:r>
      <w:r w:rsidRPr="000A2DE8">
        <w:rPr>
          <w:rFonts w:ascii="Times New Roman" w:eastAsia="Times New Roman" w:hAnsi="Times New Roman"/>
          <w:b/>
          <w:lang w:bidi="ar-SA"/>
        </w:rPr>
        <w:tab/>
        <w:t>SPECIALUS ĮSPĖJIMAS, KAD VAISTINĮ PREPARATĄ BŪTINA LAIKYTI VAIKAMS NEPASTEBIMOJE IR NEPASIEKIAMOJE VIETOJE</w:t>
      </w:r>
    </w:p>
    <w:p w14:paraId="370EF136" w14:textId="77777777" w:rsidR="00CD51A4" w:rsidRPr="000A2DE8" w:rsidRDefault="00CD51A4" w:rsidP="00CD51A4">
      <w:pPr>
        <w:spacing w:after="0" w:line="240" w:lineRule="auto"/>
        <w:jc w:val="both"/>
        <w:rPr>
          <w:rFonts w:ascii="Times New Roman" w:eastAsia="Times New Roman" w:hAnsi="Times New Roman"/>
          <w:b/>
          <w:bCs/>
          <w:lang w:bidi="ar-SA"/>
        </w:rPr>
      </w:pPr>
    </w:p>
    <w:p w14:paraId="53488007" w14:textId="77777777" w:rsidR="00CD51A4" w:rsidRPr="000A2DE8" w:rsidRDefault="00CD51A4" w:rsidP="00CD51A4">
      <w:pPr>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Laikyti vaikams nepastebimoje ir nepasiekiamoje vietoje.</w:t>
      </w:r>
    </w:p>
    <w:p w14:paraId="1F647D76" w14:textId="77777777" w:rsidR="00CD51A4" w:rsidRPr="000A2DE8" w:rsidRDefault="00CD51A4" w:rsidP="00CD51A4">
      <w:pPr>
        <w:spacing w:after="0" w:line="240" w:lineRule="auto"/>
        <w:jc w:val="both"/>
        <w:rPr>
          <w:rFonts w:ascii="Times New Roman" w:eastAsia="Times New Roman" w:hAnsi="Times New Roman"/>
          <w:b/>
          <w:bCs/>
          <w:lang w:bidi="ar-SA"/>
        </w:rPr>
      </w:pPr>
    </w:p>
    <w:p w14:paraId="6D2DE770" w14:textId="77777777" w:rsidR="00CD51A4" w:rsidRPr="000A2DE8" w:rsidRDefault="00CD51A4" w:rsidP="00CD51A4">
      <w:pPr>
        <w:spacing w:after="0" w:line="240" w:lineRule="auto"/>
        <w:jc w:val="both"/>
        <w:rPr>
          <w:rFonts w:ascii="Times New Roman" w:eastAsia="Times New Roman" w:hAnsi="Times New Roman"/>
          <w:b/>
          <w:bCs/>
          <w:lang w:bidi="ar-SA"/>
        </w:rPr>
      </w:pPr>
    </w:p>
    <w:p w14:paraId="1514B025"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7.</w:t>
      </w:r>
      <w:r w:rsidRPr="000A2DE8">
        <w:rPr>
          <w:rFonts w:ascii="Times New Roman" w:eastAsia="Times New Roman" w:hAnsi="Times New Roman"/>
          <w:b/>
          <w:lang w:bidi="ar-SA"/>
        </w:rPr>
        <w:tab/>
        <w:t>KITAS (-I) SPECIALUS (-ŪS) ĮSPĖJIMAS (-AI) (JEI REIKIA)</w:t>
      </w:r>
    </w:p>
    <w:p w14:paraId="55B64A0A" w14:textId="77777777" w:rsidR="00CD51A4" w:rsidRPr="000A2DE8" w:rsidRDefault="00CD51A4" w:rsidP="00CD51A4">
      <w:pPr>
        <w:spacing w:after="0" w:line="240" w:lineRule="auto"/>
        <w:jc w:val="both"/>
        <w:rPr>
          <w:rFonts w:ascii="Times New Roman" w:eastAsia="Times New Roman" w:hAnsi="Times New Roman"/>
          <w:lang w:bidi="ar-SA"/>
        </w:rPr>
      </w:pPr>
    </w:p>
    <w:p w14:paraId="4D43503A" w14:textId="77777777" w:rsidR="00CD51A4" w:rsidRPr="000A2DE8" w:rsidRDefault="00CD51A4" w:rsidP="00CD51A4">
      <w:pPr>
        <w:spacing w:after="0" w:line="240" w:lineRule="auto"/>
        <w:jc w:val="both"/>
        <w:rPr>
          <w:rFonts w:ascii="Times New Roman" w:eastAsia="Times New Roman" w:hAnsi="Times New Roman"/>
          <w:b/>
          <w:bCs/>
          <w:lang w:bidi="ar-SA"/>
        </w:rPr>
      </w:pPr>
    </w:p>
    <w:p w14:paraId="2A699ECF"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8.</w:t>
      </w:r>
      <w:r w:rsidRPr="000A2DE8">
        <w:rPr>
          <w:rFonts w:ascii="Times New Roman" w:eastAsia="Times New Roman" w:hAnsi="Times New Roman"/>
          <w:b/>
          <w:lang w:bidi="ar-SA"/>
        </w:rPr>
        <w:tab/>
        <w:t>TINKAMUMO LAIKAS</w:t>
      </w:r>
    </w:p>
    <w:p w14:paraId="30FE2798" w14:textId="77777777" w:rsidR="00CD51A4" w:rsidRPr="000A2DE8" w:rsidRDefault="00CD51A4" w:rsidP="00CD51A4">
      <w:pPr>
        <w:spacing w:after="0" w:line="240" w:lineRule="auto"/>
        <w:jc w:val="both"/>
        <w:rPr>
          <w:rFonts w:ascii="Times New Roman" w:eastAsia="Times New Roman" w:hAnsi="Times New Roman"/>
          <w:b/>
          <w:bCs/>
          <w:lang w:bidi="ar-SA"/>
        </w:rPr>
      </w:pPr>
    </w:p>
    <w:p w14:paraId="2141B522" w14:textId="77777777" w:rsidR="00CD51A4" w:rsidRPr="000A2DE8" w:rsidRDefault="00CD51A4" w:rsidP="00CD51A4">
      <w:pPr>
        <w:spacing w:after="0" w:line="240" w:lineRule="auto"/>
        <w:rPr>
          <w:rFonts w:ascii="Times New Roman" w:eastAsia="Times New Roman" w:hAnsi="Times New Roman"/>
          <w:lang w:bidi="ar-SA"/>
        </w:rPr>
      </w:pPr>
      <w:r w:rsidRPr="000A2DE8">
        <w:rPr>
          <w:rFonts w:ascii="Times New Roman" w:eastAsia="Times New Roman" w:hAnsi="Times New Roman"/>
          <w:lang w:bidi="ar-SA"/>
        </w:rPr>
        <w:t>Tinka iki: mm-MMMM</w:t>
      </w:r>
    </w:p>
    <w:p w14:paraId="70CE94B1" w14:textId="77777777" w:rsidR="00CD51A4" w:rsidRPr="000A2DE8" w:rsidRDefault="00CD51A4" w:rsidP="00CD51A4">
      <w:pPr>
        <w:spacing w:after="0" w:line="240" w:lineRule="auto"/>
        <w:jc w:val="both"/>
        <w:rPr>
          <w:rFonts w:ascii="Times New Roman" w:eastAsia="Times New Roman" w:hAnsi="Times New Roman"/>
          <w:b/>
          <w:bCs/>
          <w:lang w:bidi="ar-SA"/>
        </w:rPr>
      </w:pPr>
    </w:p>
    <w:p w14:paraId="402B451C" w14:textId="77777777" w:rsidR="00CD51A4" w:rsidRPr="000A2DE8" w:rsidRDefault="00CD51A4" w:rsidP="00CD51A4">
      <w:pPr>
        <w:spacing w:after="0" w:line="240" w:lineRule="auto"/>
        <w:jc w:val="both"/>
        <w:rPr>
          <w:rFonts w:ascii="Times New Roman" w:eastAsia="Times New Roman" w:hAnsi="Times New Roman"/>
          <w:b/>
          <w:bCs/>
          <w:lang w:bidi="ar-SA"/>
        </w:rPr>
      </w:pPr>
    </w:p>
    <w:p w14:paraId="570711EC"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9.</w:t>
      </w:r>
      <w:r w:rsidRPr="000A2DE8">
        <w:rPr>
          <w:rFonts w:ascii="Times New Roman" w:eastAsia="Times New Roman" w:hAnsi="Times New Roman"/>
          <w:b/>
          <w:lang w:bidi="ar-SA"/>
        </w:rPr>
        <w:tab/>
        <w:t>SPECIALIOS LAIKYMO SĄLYGOS</w:t>
      </w:r>
    </w:p>
    <w:p w14:paraId="454760E7" w14:textId="77777777" w:rsidR="00CD51A4" w:rsidRPr="000A2DE8" w:rsidRDefault="00CD51A4" w:rsidP="00CD51A4">
      <w:pPr>
        <w:spacing w:after="0" w:line="240" w:lineRule="auto"/>
        <w:jc w:val="both"/>
        <w:rPr>
          <w:rFonts w:ascii="Times New Roman" w:eastAsia="Times New Roman" w:hAnsi="Times New Roman"/>
          <w:lang w:bidi="ar-SA"/>
        </w:rPr>
      </w:pPr>
    </w:p>
    <w:p w14:paraId="5E5D5369"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spacing w:val="-1"/>
          <w:highlight w:val="lightGray"/>
        </w:rPr>
      </w:pPr>
      <w:r w:rsidRPr="000A2DE8">
        <w:rPr>
          <w:rFonts w:ascii="Times New Roman" w:hAnsi="Times New Roman"/>
          <w:spacing w:val="-1"/>
          <w:highlight w:val="lightGray"/>
        </w:rPr>
        <w:t>Aliuminio-aliuminio lizdinės plokštelės</w:t>
      </w:r>
    </w:p>
    <w:p w14:paraId="3D55C6A6" w14:textId="77777777" w:rsidR="00CD51A4" w:rsidRPr="000A2DE8" w:rsidRDefault="00FA68D8" w:rsidP="00CD51A4">
      <w:pPr>
        <w:widowControl w:val="0"/>
        <w:autoSpaceDE w:val="0"/>
        <w:autoSpaceDN w:val="0"/>
        <w:adjustRightInd w:val="0"/>
        <w:spacing w:after="0" w:line="240" w:lineRule="auto"/>
        <w:rPr>
          <w:rFonts w:ascii="Times New Roman" w:eastAsia="Times New Roman" w:hAnsi="Times New Roman"/>
          <w:spacing w:val="-1"/>
          <w:highlight w:val="lightGray"/>
          <w:lang w:bidi="ar-SA"/>
        </w:rPr>
      </w:pPr>
      <w:r w:rsidRPr="000A2DE8">
        <w:rPr>
          <w:rFonts w:ascii="Times New Roman" w:hAnsi="Times New Roman"/>
          <w:highlight w:val="lightGray"/>
        </w:rPr>
        <w:t>Ši</w:t>
      </w:r>
      <w:r w:rsidR="000F4775" w:rsidRPr="000A2DE8">
        <w:rPr>
          <w:rFonts w:ascii="Times New Roman" w:hAnsi="Times New Roman"/>
          <w:highlight w:val="lightGray"/>
        </w:rPr>
        <w:t>am</w:t>
      </w:r>
      <w:r w:rsidRPr="000A2DE8">
        <w:rPr>
          <w:rFonts w:ascii="Times New Roman" w:hAnsi="Times New Roman"/>
          <w:highlight w:val="lightGray"/>
        </w:rPr>
        <w:t xml:space="preserve"> vaist</w:t>
      </w:r>
      <w:r w:rsidR="000F4775" w:rsidRPr="000A2DE8">
        <w:rPr>
          <w:rFonts w:ascii="Times New Roman" w:hAnsi="Times New Roman"/>
          <w:highlight w:val="lightGray"/>
        </w:rPr>
        <w:t>ui</w:t>
      </w:r>
      <w:r w:rsidRPr="000A2DE8">
        <w:rPr>
          <w:rFonts w:ascii="Times New Roman" w:hAnsi="Times New Roman"/>
          <w:highlight w:val="lightGray"/>
        </w:rPr>
        <w:t xml:space="preserve"> specialių </w:t>
      </w:r>
      <w:r w:rsidR="000F4775" w:rsidRPr="000A2DE8">
        <w:rPr>
          <w:rFonts w:ascii="Times New Roman" w:hAnsi="Times New Roman"/>
          <w:highlight w:val="lightGray"/>
        </w:rPr>
        <w:t>laikymo</w:t>
      </w:r>
      <w:r w:rsidRPr="000A2DE8">
        <w:rPr>
          <w:rFonts w:ascii="Times New Roman" w:hAnsi="Times New Roman"/>
          <w:highlight w:val="lightGray"/>
        </w:rPr>
        <w:t xml:space="preserve"> sąlygų nereik</w:t>
      </w:r>
      <w:r w:rsidR="000F4775" w:rsidRPr="000A2DE8">
        <w:rPr>
          <w:rFonts w:ascii="Times New Roman" w:hAnsi="Times New Roman"/>
          <w:highlight w:val="lightGray"/>
        </w:rPr>
        <w:t>i</w:t>
      </w:r>
      <w:r w:rsidRPr="000A2DE8">
        <w:rPr>
          <w:rFonts w:ascii="Times New Roman" w:hAnsi="Times New Roman"/>
          <w:highlight w:val="lightGray"/>
        </w:rPr>
        <w:t>a</w:t>
      </w:r>
      <w:r w:rsidRPr="000A2DE8">
        <w:rPr>
          <w:highlight w:val="lightGray"/>
        </w:rPr>
        <w:t>.</w:t>
      </w:r>
    </w:p>
    <w:p w14:paraId="1EB2B08A"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highlight w:val="lightGray"/>
          <w:lang w:bidi="ar-SA"/>
        </w:rPr>
      </w:pPr>
    </w:p>
    <w:p w14:paraId="482B56A1"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lang w:bidi="ar-SA"/>
        </w:rPr>
      </w:pPr>
      <w:r w:rsidRPr="000A2DE8">
        <w:rPr>
          <w:rFonts w:ascii="Times New Roman" w:eastAsia="Times New Roman" w:hAnsi="Times New Roman"/>
          <w:highlight w:val="lightGray"/>
          <w:lang w:bidi="ar-SA"/>
        </w:rPr>
        <w:t>PVC/PE/PVDC- aliuminio lizdinės plokštelės</w:t>
      </w:r>
    </w:p>
    <w:p w14:paraId="41A736A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lang w:bidi="ar-SA"/>
        </w:rPr>
      </w:pPr>
      <w:r w:rsidRPr="000A2DE8">
        <w:rPr>
          <w:rFonts w:ascii="Times New Roman" w:eastAsia="Times New Roman" w:hAnsi="Times New Roman"/>
          <w:lang w:bidi="ar-SA"/>
        </w:rPr>
        <w:lastRenderedPageBreak/>
        <w:t>Laikyti ne aukštesnėje kaip 30 °C temperatūroje.</w:t>
      </w:r>
    </w:p>
    <w:p w14:paraId="46E98308" w14:textId="77777777" w:rsidR="00CD51A4" w:rsidRPr="000A2DE8" w:rsidRDefault="00CD51A4" w:rsidP="00CD51A4">
      <w:pPr>
        <w:spacing w:after="0" w:line="240" w:lineRule="auto"/>
        <w:jc w:val="both"/>
        <w:rPr>
          <w:rFonts w:ascii="Times New Roman" w:eastAsia="Times New Roman" w:hAnsi="Times New Roman"/>
          <w:b/>
          <w:bCs/>
          <w:lang w:bidi="ar-SA"/>
        </w:rPr>
      </w:pPr>
    </w:p>
    <w:p w14:paraId="0754B13C" w14:textId="77777777" w:rsidR="00CD51A4" w:rsidRPr="000A2DE8" w:rsidRDefault="00CD51A4" w:rsidP="00CD51A4">
      <w:pPr>
        <w:spacing w:after="0" w:line="240" w:lineRule="auto"/>
        <w:jc w:val="both"/>
        <w:rPr>
          <w:rFonts w:ascii="Times New Roman" w:eastAsia="Times New Roman" w:hAnsi="Times New Roman"/>
          <w:b/>
          <w:bCs/>
          <w:lang w:bidi="ar-SA"/>
        </w:rPr>
      </w:pPr>
    </w:p>
    <w:p w14:paraId="572010C7"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10.</w:t>
      </w:r>
      <w:r w:rsidRPr="000A2DE8">
        <w:rPr>
          <w:rFonts w:ascii="Times New Roman" w:eastAsia="Times New Roman" w:hAnsi="Times New Roman"/>
          <w:b/>
          <w:lang w:bidi="ar-SA"/>
        </w:rPr>
        <w:tab/>
        <w:t>SPECIALIOS ATSARGUMO PRIEMONĖS DĖL NESUVARTOTO VAISTINIO PREPARATO AR JO ATLIEKŲ TVARKYMO (JEI REIKIA)</w:t>
      </w:r>
    </w:p>
    <w:p w14:paraId="04309529"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56D70AD4"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12C7450E" w14:textId="77777777" w:rsidR="00CD51A4" w:rsidRPr="000A2DE8" w:rsidRDefault="00CD51A4" w:rsidP="00CD51A4">
      <w:pPr>
        <w:pBdr>
          <w:top w:val="single" w:sz="4" w:space="1" w:color="auto"/>
          <w:left w:val="single" w:sz="4" w:space="4" w:color="auto"/>
          <w:bottom w:val="single" w:sz="4" w:space="1" w:color="auto"/>
          <w:right w:val="single" w:sz="4" w:space="0"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11.</w:t>
      </w:r>
      <w:r w:rsidRPr="000A2DE8">
        <w:rPr>
          <w:rFonts w:ascii="Times New Roman" w:eastAsia="Times New Roman" w:hAnsi="Times New Roman"/>
          <w:b/>
          <w:lang w:bidi="ar-SA"/>
        </w:rPr>
        <w:tab/>
        <w:t>REGISTRUOTOJO PAVADINIMAS IR ADRESAS</w:t>
      </w:r>
    </w:p>
    <w:p w14:paraId="01B0DBFE"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78F451B2" w14:textId="77777777" w:rsidR="00CD51A4" w:rsidRPr="000A2DE8" w:rsidRDefault="00CD51A4" w:rsidP="0014378A">
      <w:pPr>
        <w:spacing w:after="0"/>
        <w:rPr>
          <w:rFonts w:ascii="Times New Roman" w:eastAsia="Times New Roman" w:hAnsi="Times New Roman"/>
        </w:rPr>
      </w:pPr>
      <w:r w:rsidRPr="000A2DE8">
        <w:rPr>
          <w:rFonts w:ascii="Times New Roman" w:eastAsia="Times New Roman" w:hAnsi="Times New Roman"/>
        </w:rPr>
        <w:t xml:space="preserve">Accord Healthcare </w:t>
      </w:r>
      <w:r w:rsidR="00E36E7D" w:rsidRPr="000A2DE8">
        <w:rPr>
          <w:rFonts w:ascii="Times New Roman" w:hAnsi="Times New Roman"/>
        </w:rPr>
        <w:t>B.V.</w:t>
      </w:r>
      <w:r w:rsidRPr="000A2DE8">
        <w:rPr>
          <w:rFonts w:ascii="Times New Roman" w:eastAsia="Times New Roman" w:hAnsi="Times New Roman"/>
        </w:rPr>
        <w:t xml:space="preserve"> </w:t>
      </w:r>
    </w:p>
    <w:p w14:paraId="4FEF233C" w14:textId="77777777" w:rsidR="00E36E7D" w:rsidRPr="000A2DE8" w:rsidRDefault="00E36E7D" w:rsidP="00E36E7D">
      <w:pPr>
        <w:spacing w:after="0"/>
        <w:rPr>
          <w:rFonts w:ascii="Times New Roman" w:hAnsi="Times New Roman"/>
        </w:rPr>
      </w:pPr>
      <w:r w:rsidRPr="000A2DE8">
        <w:rPr>
          <w:rFonts w:ascii="Times New Roman" w:hAnsi="Times New Roman"/>
        </w:rPr>
        <w:t xml:space="preserve">Winthontlaan 200 </w:t>
      </w:r>
    </w:p>
    <w:p w14:paraId="2427923C" w14:textId="77777777" w:rsidR="00E36E7D" w:rsidRPr="000A2DE8" w:rsidRDefault="00E36E7D" w:rsidP="00E36E7D">
      <w:pPr>
        <w:spacing w:after="0"/>
        <w:rPr>
          <w:rFonts w:ascii="Times New Roman" w:hAnsi="Times New Roman"/>
        </w:rPr>
      </w:pPr>
      <w:r w:rsidRPr="000A2DE8">
        <w:rPr>
          <w:rFonts w:ascii="Times New Roman" w:hAnsi="Times New Roman"/>
        </w:rPr>
        <w:t xml:space="preserve">3526 KV Utrecht </w:t>
      </w:r>
    </w:p>
    <w:p w14:paraId="1D21CEAE" w14:textId="77777777" w:rsidR="00E36E7D" w:rsidRPr="000A2DE8" w:rsidRDefault="00E36E7D" w:rsidP="00E36E7D">
      <w:pPr>
        <w:spacing w:after="0"/>
      </w:pPr>
      <w:r w:rsidRPr="000A2DE8">
        <w:rPr>
          <w:rFonts w:ascii="Times New Roman" w:hAnsi="Times New Roman"/>
        </w:rPr>
        <w:t>Nyderlandai</w:t>
      </w:r>
    </w:p>
    <w:p w14:paraId="3502BC9B"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450A6684"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3B0BB87C"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12.</w:t>
      </w:r>
      <w:r w:rsidRPr="000A2DE8">
        <w:rPr>
          <w:rFonts w:ascii="Times New Roman" w:eastAsia="Times New Roman" w:hAnsi="Times New Roman"/>
          <w:b/>
          <w:lang w:bidi="ar-SA"/>
        </w:rPr>
        <w:tab/>
        <w:t>REGISTRACIJOS PAŽYMĖJIMO NUMERIS (-IAI)</w:t>
      </w:r>
    </w:p>
    <w:p w14:paraId="4BB1416A" w14:textId="77777777" w:rsidR="00CD51A4" w:rsidRPr="000A2DE8" w:rsidRDefault="00CD51A4" w:rsidP="00CD51A4">
      <w:pPr>
        <w:tabs>
          <w:tab w:val="left" w:pos="8505"/>
        </w:tabs>
        <w:suppressAutoHyphens/>
        <w:spacing w:after="0" w:line="240" w:lineRule="auto"/>
        <w:rPr>
          <w:rFonts w:ascii="Times New Roman" w:eastAsia="Times New Roman" w:hAnsi="Times New Roman"/>
          <w:lang w:bidi="ar-SA"/>
        </w:rPr>
      </w:pPr>
    </w:p>
    <w:p w14:paraId="6A276D93" w14:textId="77777777" w:rsidR="00491161" w:rsidRPr="000A2DE8" w:rsidRDefault="00491161" w:rsidP="00491161">
      <w:pPr>
        <w:spacing w:after="0" w:line="240" w:lineRule="auto"/>
        <w:jc w:val="both"/>
        <w:rPr>
          <w:rFonts w:ascii="Times New Roman" w:eastAsia="Times New Roman" w:hAnsi="Times New Roman"/>
          <w:highlight w:val="lightGray"/>
          <w:lang w:bidi="ar-SA"/>
        </w:rPr>
      </w:pPr>
      <w:r w:rsidRPr="000A2DE8">
        <w:rPr>
          <w:rFonts w:ascii="Times New Roman" w:hAnsi="Times New Roman"/>
        </w:rPr>
        <w:t xml:space="preserve">LT/1/15/3780/004 </w:t>
      </w:r>
      <w:r w:rsidRPr="000A2DE8">
        <w:rPr>
          <w:rFonts w:ascii="Times New Roman" w:eastAsia="Times New Roman" w:hAnsi="Times New Roman"/>
          <w:highlight w:val="lightGray"/>
          <w:lang w:bidi="ar-SA"/>
        </w:rPr>
        <w:t>– N56</w:t>
      </w:r>
    </w:p>
    <w:p w14:paraId="05A39A17" w14:textId="77777777" w:rsidR="00CD51A4" w:rsidRPr="000A2DE8" w:rsidRDefault="00491161" w:rsidP="00491161">
      <w:pPr>
        <w:spacing w:after="0" w:line="240" w:lineRule="auto"/>
        <w:jc w:val="both"/>
        <w:rPr>
          <w:rFonts w:ascii="Times New Roman" w:eastAsia="Times New Roman" w:hAnsi="Times New Roman"/>
          <w:lang w:bidi="ar-SA"/>
        </w:rPr>
      </w:pPr>
      <w:r w:rsidRPr="000A2DE8">
        <w:rPr>
          <w:rFonts w:ascii="Times New Roman" w:eastAsia="Times New Roman" w:hAnsi="Times New Roman"/>
          <w:highlight w:val="lightGray"/>
          <w:lang w:bidi="ar-SA"/>
        </w:rPr>
        <w:t>LT/1/15/3780/005 – N112</w:t>
      </w:r>
    </w:p>
    <w:p w14:paraId="705B173B" w14:textId="78C4F686" w:rsidR="00491161" w:rsidRDefault="007B3BE0" w:rsidP="00491161">
      <w:pPr>
        <w:spacing w:after="0" w:line="240" w:lineRule="auto"/>
        <w:jc w:val="both"/>
        <w:rPr>
          <w:rFonts w:ascii="Times New Roman" w:eastAsia="Times New Roman" w:hAnsi="Times New Roman"/>
          <w:snapToGrid w:val="0"/>
          <w:lang w:eastAsia="en-US" w:bidi="ar-SA"/>
        </w:rPr>
      </w:pPr>
      <w:r w:rsidRPr="007B3BE0">
        <w:rPr>
          <w:rFonts w:ascii="Times New Roman" w:eastAsia="Times New Roman" w:hAnsi="Times New Roman"/>
          <w:snapToGrid w:val="0"/>
          <w:highlight w:val="lightGray"/>
          <w:lang w:eastAsia="en-US" w:bidi="ar-SA"/>
        </w:rPr>
        <w:t>LT/1/15/3780/006 – N120</w:t>
      </w:r>
    </w:p>
    <w:p w14:paraId="373261E0" w14:textId="77777777" w:rsidR="007B3BE0" w:rsidRPr="000A2DE8" w:rsidRDefault="007B3BE0" w:rsidP="00491161">
      <w:pPr>
        <w:spacing w:after="0" w:line="240" w:lineRule="auto"/>
        <w:jc w:val="both"/>
        <w:rPr>
          <w:rFonts w:ascii="Times New Roman" w:eastAsia="Times New Roman" w:hAnsi="Times New Roman"/>
          <w:snapToGrid w:val="0"/>
          <w:lang w:eastAsia="en-US" w:bidi="ar-SA"/>
        </w:rPr>
      </w:pPr>
    </w:p>
    <w:p w14:paraId="71971915" w14:textId="77777777" w:rsidR="00CD51A4" w:rsidRPr="000A2DE8" w:rsidRDefault="00CD51A4" w:rsidP="00CD51A4">
      <w:pPr>
        <w:tabs>
          <w:tab w:val="left" w:pos="567"/>
          <w:tab w:val="left" w:pos="8505"/>
        </w:tabs>
        <w:spacing w:after="0" w:line="260" w:lineRule="exact"/>
        <w:rPr>
          <w:rFonts w:ascii="Times New Roman" w:eastAsia="Times New Roman" w:hAnsi="Times New Roman"/>
          <w:snapToGrid w:val="0"/>
          <w:lang w:eastAsia="en-US" w:bidi="ar-SA"/>
        </w:rPr>
      </w:pPr>
    </w:p>
    <w:p w14:paraId="4CAA3523" w14:textId="77777777" w:rsidR="00CD51A4" w:rsidRPr="000A2DE8" w:rsidRDefault="00CD51A4" w:rsidP="00CD51A4">
      <w:pPr>
        <w:pBdr>
          <w:top w:val="single" w:sz="4" w:space="1" w:color="auto"/>
          <w:left w:val="single" w:sz="4" w:space="4" w:color="auto"/>
          <w:bottom w:val="single" w:sz="4" w:space="1" w:color="auto"/>
          <w:right w:val="single" w:sz="4" w:space="4" w:color="auto"/>
        </w:pBdr>
        <w:tabs>
          <w:tab w:val="left" w:pos="0"/>
          <w:tab w:val="left" w:pos="142"/>
        </w:tabs>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13.</w:t>
      </w:r>
      <w:r w:rsidRPr="000A2DE8">
        <w:rPr>
          <w:rFonts w:ascii="Times New Roman" w:eastAsia="Times New Roman" w:hAnsi="Times New Roman"/>
          <w:b/>
          <w:lang w:bidi="ar-SA"/>
        </w:rPr>
        <w:tab/>
        <w:t xml:space="preserve">SERIJOS NUMERIS </w:t>
      </w:r>
    </w:p>
    <w:p w14:paraId="38C558F5"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05F26F4C" w14:textId="77777777" w:rsidR="00CD51A4" w:rsidRPr="000A2DE8" w:rsidRDefault="00CD51A4" w:rsidP="00CD51A4">
      <w:pPr>
        <w:tabs>
          <w:tab w:val="left" w:pos="8505"/>
        </w:tabs>
        <w:spacing w:after="0" w:line="240" w:lineRule="auto"/>
        <w:rPr>
          <w:rFonts w:ascii="Times New Roman" w:eastAsia="Times New Roman" w:hAnsi="Times New Roman"/>
          <w:lang w:bidi="ar-SA"/>
        </w:rPr>
      </w:pPr>
      <w:r w:rsidRPr="000A2DE8">
        <w:rPr>
          <w:rFonts w:ascii="Times New Roman" w:eastAsia="Times New Roman" w:hAnsi="Times New Roman"/>
          <w:lang w:bidi="ar-SA"/>
        </w:rPr>
        <w:t>Serija</w:t>
      </w:r>
    </w:p>
    <w:p w14:paraId="40A4643E" w14:textId="77777777" w:rsidR="00CD51A4" w:rsidRPr="000A2DE8" w:rsidRDefault="00CD51A4" w:rsidP="00CD51A4">
      <w:pPr>
        <w:tabs>
          <w:tab w:val="left" w:pos="8505"/>
        </w:tabs>
        <w:spacing w:after="0" w:line="240" w:lineRule="auto"/>
        <w:jc w:val="both"/>
        <w:rPr>
          <w:rFonts w:ascii="Times New Roman" w:eastAsia="Times New Roman" w:hAnsi="Times New Roman"/>
          <w:b/>
          <w:bCs/>
          <w:lang w:bidi="ar-SA"/>
        </w:rPr>
      </w:pPr>
    </w:p>
    <w:p w14:paraId="7DA669BF" w14:textId="77777777" w:rsidR="00CD51A4" w:rsidRPr="000A2DE8" w:rsidRDefault="00CD51A4" w:rsidP="00CD51A4">
      <w:pPr>
        <w:spacing w:after="0" w:line="240" w:lineRule="auto"/>
        <w:jc w:val="both"/>
        <w:rPr>
          <w:rFonts w:ascii="Times New Roman" w:eastAsia="Times New Roman" w:hAnsi="Times New Roman"/>
          <w:b/>
          <w:bCs/>
          <w:lang w:bidi="ar-SA"/>
        </w:rPr>
      </w:pPr>
    </w:p>
    <w:p w14:paraId="7433D2AC"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14.</w:t>
      </w:r>
      <w:r w:rsidRPr="000A2DE8">
        <w:rPr>
          <w:rFonts w:ascii="Times New Roman" w:eastAsia="Times New Roman" w:hAnsi="Times New Roman"/>
          <w:b/>
          <w:lang w:bidi="ar-SA"/>
        </w:rPr>
        <w:tab/>
        <w:t>PARDAVIMO (IŠDAVIMO) TVARKA</w:t>
      </w:r>
    </w:p>
    <w:p w14:paraId="03260E4B" w14:textId="77777777" w:rsidR="00CD51A4" w:rsidRPr="000A2DE8" w:rsidRDefault="00CD51A4" w:rsidP="00CD51A4">
      <w:pPr>
        <w:spacing w:after="0" w:line="240" w:lineRule="auto"/>
        <w:rPr>
          <w:rFonts w:ascii="Times New Roman" w:eastAsia="Times New Roman" w:hAnsi="Times New Roman"/>
          <w:lang w:bidi="ar-SA"/>
        </w:rPr>
      </w:pPr>
    </w:p>
    <w:p w14:paraId="65FF05D2" w14:textId="77777777" w:rsidR="00CD51A4" w:rsidRPr="000A2DE8" w:rsidRDefault="00CD51A4" w:rsidP="00CD51A4">
      <w:pPr>
        <w:spacing w:after="0" w:line="240" w:lineRule="auto"/>
        <w:rPr>
          <w:rFonts w:ascii="Times New Roman" w:eastAsia="Times New Roman" w:hAnsi="Times New Roman"/>
          <w:lang w:bidi="ar-SA"/>
        </w:rPr>
      </w:pPr>
      <w:r w:rsidRPr="000A2DE8">
        <w:rPr>
          <w:rFonts w:ascii="Times New Roman" w:eastAsia="Times New Roman" w:hAnsi="Times New Roman"/>
          <w:lang w:bidi="ar-SA"/>
        </w:rPr>
        <w:t xml:space="preserve">Receptinis </w:t>
      </w:r>
      <w:r w:rsidR="00EF0E14" w:rsidRPr="000A2DE8">
        <w:rPr>
          <w:rFonts w:ascii="Times New Roman" w:eastAsia="Times New Roman" w:hAnsi="Times New Roman"/>
          <w:lang w:bidi="ar-SA"/>
        </w:rPr>
        <w:t>vaistas</w:t>
      </w:r>
      <w:r w:rsidRPr="000A2DE8">
        <w:rPr>
          <w:rFonts w:ascii="Times New Roman" w:eastAsia="Times New Roman" w:hAnsi="Times New Roman"/>
          <w:lang w:bidi="ar-SA"/>
        </w:rPr>
        <w:t>.</w:t>
      </w:r>
    </w:p>
    <w:p w14:paraId="038F3A70" w14:textId="77777777" w:rsidR="00CD51A4" w:rsidRPr="000A2DE8" w:rsidRDefault="00CD51A4" w:rsidP="00CD51A4">
      <w:pPr>
        <w:spacing w:after="0" w:line="240" w:lineRule="auto"/>
        <w:rPr>
          <w:rFonts w:ascii="Times New Roman" w:eastAsia="Times New Roman" w:hAnsi="Times New Roman"/>
          <w:lang w:bidi="ar-SA"/>
        </w:rPr>
      </w:pPr>
    </w:p>
    <w:p w14:paraId="28C18972" w14:textId="77777777" w:rsidR="00CD51A4" w:rsidRPr="000A2DE8" w:rsidRDefault="00CD51A4" w:rsidP="00CD51A4">
      <w:pPr>
        <w:spacing w:after="0" w:line="240" w:lineRule="auto"/>
        <w:rPr>
          <w:rFonts w:ascii="Times New Roman" w:eastAsia="Times New Roman" w:hAnsi="Times New Roman"/>
          <w:lang w:bidi="ar-SA"/>
        </w:rPr>
      </w:pPr>
    </w:p>
    <w:p w14:paraId="23C29B14"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bidi="ar-SA"/>
        </w:rPr>
      </w:pPr>
      <w:r w:rsidRPr="000A2DE8">
        <w:rPr>
          <w:rFonts w:ascii="Times New Roman" w:eastAsia="Times New Roman" w:hAnsi="Times New Roman"/>
          <w:b/>
          <w:lang w:bidi="ar-SA"/>
        </w:rPr>
        <w:t>15.</w:t>
      </w:r>
      <w:r w:rsidRPr="000A2DE8">
        <w:rPr>
          <w:rFonts w:ascii="Times New Roman" w:eastAsia="Times New Roman" w:hAnsi="Times New Roman"/>
          <w:b/>
          <w:lang w:bidi="ar-SA"/>
        </w:rPr>
        <w:tab/>
        <w:t>VARTOJIMO INSTRUKCIJA</w:t>
      </w:r>
    </w:p>
    <w:p w14:paraId="7BC41EBC" w14:textId="77777777" w:rsidR="00CD51A4" w:rsidRPr="000A2DE8" w:rsidRDefault="00CD51A4" w:rsidP="00CD51A4">
      <w:pPr>
        <w:autoSpaceDE w:val="0"/>
        <w:autoSpaceDN w:val="0"/>
        <w:adjustRightInd w:val="0"/>
        <w:spacing w:after="0" w:line="240" w:lineRule="auto"/>
        <w:jc w:val="both"/>
        <w:rPr>
          <w:rFonts w:ascii="Times New Roman" w:eastAsia="Times New Roman" w:hAnsi="Times New Roman"/>
          <w:b/>
          <w:bCs/>
          <w:color w:val="000000"/>
          <w:lang w:bidi="ar-SA"/>
        </w:rPr>
      </w:pPr>
    </w:p>
    <w:p w14:paraId="2DDC15A6" w14:textId="77777777" w:rsidR="00CD51A4" w:rsidRPr="000A2DE8" w:rsidRDefault="00CD51A4" w:rsidP="00CD51A4">
      <w:pPr>
        <w:autoSpaceDE w:val="0"/>
        <w:autoSpaceDN w:val="0"/>
        <w:adjustRightInd w:val="0"/>
        <w:spacing w:after="0" w:line="240" w:lineRule="auto"/>
        <w:jc w:val="both"/>
        <w:rPr>
          <w:rFonts w:ascii="Times New Roman" w:eastAsia="Times New Roman" w:hAnsi="Times New Roman"/>
          <w:b/>
          <w:bCs/>
          <w:color w:val="000000"/>
          <w:lang w:bidi="ar-SA"/>
        </w:rPr>
      </w:pPr>
    </w:p>
    <w:p w14:paraId="6F3744D0" w14:textId="77777777" w:rsidR="00CD51A4" w:rsidRPr="000A2DE8" w:rsidRDefault="00CD51A4" w:rsidP="00CD51A4">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567" w:hanging="567"/>
        <w:jc w:val="both"/>
        <w:rPr>
          <w:rFonts w:ascii="Times New Roman" w:eastAsia="Times New Roman" w:hAnsi="Times New Roman"/>
          <w:lang w:bidi="ar-SA"/>
        </w:rPr>
      </w:pPr>
      <w:r w:rsidRPr="000A2DE8">
        <w:rPr>
          <w:rFonts w:ascii="Times New Roman" w:eastAsia="Times New Roman" w:hAnsi="Times New Roman"/>
          <w:b/>
          <w:color w:val="000000"/>
          <w:lang w:bidi="ar-SA"/>
        </w:rPr>
        <w:t>16.</w:t>
      </w:r>
      <w:r w:rsidRPr="000A2DE8">
        <w:rPr>
          <w:rFonts w:ascii="Times New Roman" w:eastAsia="Times New Roman" w:hAnsi="Times New Roman"/>
          <w:b/>
          <w:color w:val="000000"/>
          <w:lang w:bidi="ar-SA"/>
        </w:rPr>
        <w:tab/>
        <w:t>INFORMACIJA BRAILIO RAŠTU</w:t>
      </w:r>
    </w:p>
    <w:p w14:paraId="3657D2A7" w14:textId="77777777" w:rsidR="00CD51A4" w:rsidRPr="000A2DE8" w:rsidRDefault="00CD51A4" w:rsidP="00CD51A4">
      <w:pPr>
        <w:autoSpaceDE w:val="0"/>
        <w:autoSpaceDN w:val="0"/>
        <w:adjustRightInd w:val="0"/>
        <w:spacing w:after="0" w:line="240" w:lineRule="auto"/>
        <w:outlineLvl w:val="6"/>
        <w:rPr>
          <w:rFonts w:ascii="Times New Roman" w:eastAsia="Times New Roman" w:hAnsi="Times New Roman"/>
          <w:lang w:bidi="ar-SA"/>
        </w:rPr>
      </w:pPr>
    </w:p>
    <w:p w14:paraId="62392A81" w14:textId="77777777" w:rsidR="00CD51A4" w:rsidRPr="000A2DE8" w:rsidRDefault="00CD51A4" w:rsidP="00CD51A4">
      <w:pPr>
        <w:spacing w:after="0" w:line="240" w:lineRule="auto"/>
        <w:rPr>
          <w:rFonts w:ascii="Times New Roman" w:eastAsia="Times New Roman" w:hAnsi="Times New Roman"/>
          <w:lang w:bidi="ar-SA"/>
        </w:rPr>
      </w:pPr>
      <w:r w:rsidRPr="000A2DE8">
        <w:rPr>
          <w:rFonts w:ascii="Times New Roman" w:eastAsia="Times New Roman" w:hAnsi="Times New Roman"/>
          <w:lang w:bidi="ar-SA"/>
        </w:rPr>
        <w:t xml:space="preserve">Bosentan Accord 125 mg </w:t>
      </w:r>
    </w:p>
    <w:p w14:paraId="46208EE6" w14:textId="77777777" w:rsidR="0077716F" w:rsidRPr="000A2DE8" w:rsidRDefault="0077716F" w:rsidP="00CD51A4">
      <w:pPr>
        <w:spacing w:after="0" w:line="240" w:lineRule="auto"/>
        <w:rPr>
          <w:rFonts w:ascii="Times New Roman" w:eastAsia="Times New Roman" w:hAnsi="Times New Roman"/>
          <w:lang w:bidi="ar-SA"/>
        </w:rPr>
      </w:pPr>
    </w:p>
    <w:p w14:paraId="6A16E6F1" w14:textId="77777777" w:rsidR="0077716F" w:rsidRPr="000A2DE8" w:rsidRDefault="0077716F" w:rsidP="0077716F">
      <w:pPr>
        <w:spacing w:after="0" w:line="240" w:lineRule="auto"/>
        <w:rPr>
          <w:rFonts w:ascii="Times New Roman" w:eastAsia="Times New Roman" w:hAnsi="Times New Roman"/>
        </w:rPr>
      </w:pPr>
    </w:p>
    <w:p w14:paraId="0BA6A025" w14:textId="77777777" w:rsidR="0077716F" w:rsidRPr="000A2DE8" w:rsidRDefault="0077716F" w:rsidP="0077716F">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0A2DE8">
        <w:rPr>
          <w:rFonts w:ascii="Times New Roman" w:eastAsia="Times New Roman" w:hAnsi="Times New Roman"/>
          <w:b/>
          <w:color w:val="000000"/>
        </w:rPr>
        <w:t>17.</w:t>
      </w:r>
      <w:r w:rsidRPr="000A2DE8">
        <w:rPr>
          <w:rFonts w:ascii="Times New Roman" w:eastAsia="Times New Roman" w:hAnsi="Times New Roman"/>
          <w:b/>
          <w:color w:val="000000"/>
        </w:rPr>
        <w:tab/>
        <w:t>UNIKALUS IDENTIFIKATORIUS – 2D BRŪKŠNINIS KODAS</w:t>
      </w:r>
    </w:p>
    <w:p w14:paraId="125A50D5" w14:textId="77777777" w:rsidR="0077716F" w:rsidRPr="000A2DE8" w:rsidRDefault="0077716F" w:rsidP="00A5565D">
      <w:pPr>
        <w:spacing w:after="0" w:line="240" w:lineRule="auto"/>
      </w:pPr>
    </w:p>
    <w:p w14:paraId="2DDBC75C" w14:textId="77777777" w:rsidR="0077716F" w:rsidRPr="000A2DE8" w:rsidRDefault="0077716F" w:rsidP="00646A64">
      <w:pPr>
        <w:spacing w:after="0" w:line="240" w:lineRule="auto"/>
        <w:rPr>
          <w:rFonts w:ascii="Times New Roman" w:eastAsia="Times New Roman" w:hAnsi="Times New Roman"/>
        </w:rPr>
      </w:pPr>
      <w:r w:rsidRPr="000A2DE8">
        <w:rPr>
          <w:rFonts w:ascii="Times New Roman" w:eastAsia="Times New Roman" w:hAnsi="Times New Roman"/>
          <w:highlight w:val="lightGray"/>
        </w:rPr>
        <w:t>2D brūkšninis kodas su nurodytu unikaliu identifikatoriumi.</w:t>
      </w:r>
    </w:p>
    <w:p w14:paraId="637BCEF0" w14:textId="77777777" w:rsidR="0077716F" w:rsidRPr="000A2DE8" w:rsidRDefault="0077716F" w:rsidP="00A5565D">
      <w:pPr>
        <w:spacing w:after="0" w:line="240" w:lineRule="auto"/>
        <w:rPr>
          <w:vanish/>
        </w:rPr>
      </w:pPr>
    </w:p>
    <w:p w14:paraId="1FBEC812" w14:textId="77777777" w:rsidR="0077716F" w:rsidRPr="000A2DE8" w:rsidRDefault="0077716F" w:rsidP="00A5565D">
      <w:pPr>
        <w:spacing w:after="0" w:line="240" w:lineRule="auto"/>
      </w:pPr>
    </w:p>
    <w:p w14:paraId="750E302E" w14:textId="77777777" w:rsidR="0077716F" w:rsidRPr="000A2DE8" w:rsidRDefault="0077716F" w:rsidP="00646A64">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0A2DE8">
        <w:rPr>
          <w:rFonts w:ascii="Times New Roman" w:eastAsia="Times New Roman" w:hAnsi="Times New Roman"/>
          <w:b/>
          <w:color w:val="000000"/>
        </w:rPr>
        <w:t>18.</w:t>
      </w:r>
      <w:r w:rsidRPr="000A2DE8">
        <w:rPr>
          <w:rFonts w:ascii="Times New Roman" w:eastAsia="Times New Roman" w:hAnsi="Times New Roman"/>
          <w:b/>
          <w:color w:val="000000"/>
        </w:rPr>
        <w:tab/>
        <w:t>UNIKALUS IDENTIFIKATORIUS – ŽMONĖMS SUPRANTAMI DUOMENYS</w:t>
      </w:r>
    </w:p>
    <w:p w14:paraId="3C5B4627" w14:textId="77777777" w:rsidR="0077716F" w:rsidRPr="000A2DE8" w:rsidRDefault="0077716F" w:rsidP="00A5565D">
      <w:pPr>
        <w:spacing w:after="0" w:line="240" w:lineRule="auto"/>
      </w:pPr>
    </w:p>
    <w:p w14:paraId="149F204F" w14:textId="77777777" w:rsidR="0077716F" w:rsidRPr="000A2DE8" w:rsidRDefault="0077716F" w:rsidP="0077716F">
      <w:pPr>
        <w:spacing w:after="0" w:line="240" w:lineRule="auto"/>
        <w:rPr>
          <w:rFonts w:ascii="Times New Roman" w:eastAsia="Times New Roman" w:hAnsi="Times New Roman"/>
        </w:rPr>
      </w:pPr>
      <w:r w:rsidRPr="000A2DE8">
        <w:rPr>
          <w:rFonts w:ascii="Times New Roman" w:eastAsia="Times New Roman" w:hAnsi="Times New Roman"/>
        </w:rPr>
        <w:t xml:space="preserve">PC: {numeris} </w:t>
      </w:r>
    </w:p>
    <w:p w14:paraId="37A73DE2" w14:textId="77777777" w:rsidR="0077716F" w:rsidRPr="000A2DE8" w:rsidRDefault="0077716F" w:rsidP="0077716F">
      <w:pPr>
        <w:spacing w:after="0" w:line="240" w:lineRule="auto"/>
        <w:rPr>
          <w:rFonts w:ascii="Times New Roman" w:eastAsia="Times New Roman" w:hAnsi="Times New Roman"/>
        </w:rPr>
      </w:pPr>
      <w:r w:rsidRPr="000A2DE8">
        <w:rPr>
          <w:rFonts w:ascii="Times New Roman" w:eastAsia="Times New Roman" w:hAnsi="Times New Roman"/>
        </w:rPr>
        <w:t xml:space="preserve">SN: {numeris} </w:t>
      </w:r>
    </w:p>
    <w:p w14:paraId="25FDD002" w14:textId="77777777" w:rsidR="0077716F" w:rsidRPr="000A2DE8" w:rsidRDefault="0077716F" w:rsidP="0077716F">
      <w:pPr>
        <w:spacing w:after="0" w:line="240" w:lineRule="auto"/>
        <w:rPr>
          <w:rFonts w:ascii="Times New Roman" w:eastAsia="Times New Roman" w:hAnsi="Times New Roman"/>
          <w:lang w:bidi="ar-SA"/>
        </w:rPr>
      </w:pPr>
      <w:r w:rsidRPr="000A2DE8">
        <w:rPr>
          <w:rFonts w:ascii="Times New Roman" w:eastAsia="Times New Roman" w:hAnsi="Times New Roman"/>
        </w:rPr>
        <w:t>NN: {numeris}</w:t>
      </w:r>
    </w:p>
    <w:p w14:paraId="1521AC74" w14:textId="77777777" w:rsidR="00CD51A4" w:rsidRPr="000A2DE8" w:rsidRDefault="00CD51A4" w:rsidP="00CD51A4">
      <w:pPr>
        <w:spacing w:after="0" w:line="240" w:lineRule="auto"/>
        <w:rPr>
          <w:rFonts w:ascii="Times New Roman" w:eastAsia="Times New Roman" w:hAnsi="Times New Roman"/>
          <w:b/>
          <w:bCs/>
          <w:lang w:bidi="ar-SA"/>
        </w:rPr>
      </w:pPr>
      <w:r w:rsidRPr="000A2DE8">
        <w:rPr>
          <w:rFonts w:ascii="Times New Roman" w:eastAsia="Times New Roman" w:hAnsi="Times New Roman"/>
          <w:lang w:bidi="ar-SA"/>
        </w:rPr>
        <w:br w:type="page"/>
      </w:r>
    </w:p>
    <w:p w14:paraId="47E19BCE"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0A2DE8">
        <w:rPr>
          <w:rFonts w:ascii="Times New Roman" w:eastAsia="Times New Roman" w:hAnsi="Times New Roman"/>
          <w:b/>
          <w:lang w:bidi="ar-SA"/>
        </w:rPr>
        <w:lastRenderedPageBreak/>
        <w:t>MINIMALI INFORMACIJA ANT LIZDINIŲ PLOKŠTELIŲ ARBA DVISLUOKSNIŲ JUOSTELIŲ</w:t>
      </w:r>
    </w:p>
    <w:p w14:paraId="35231A7C"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p>
    <w:p w14:paraId="1EBBC910" w14:textId="498587BF"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0A2DE8">
        <w:rPr>
          <w:rFonts w:ascii="Times New Roman" w:eastAsia="Times New Roman" w:hAnsi="Times New Roman"/>
          <w:b/>
          <w:lang w:bidi="ar-SA"/>
        </w:rPr>
        <w:t>LIZDINĖ PLOKŠTELĖ</w:t>
      </w:r>
    </w:p>
    <w:p w14:paraId="251D1F44" w14:textId="77777777" w:rsidR="00CD51A4" w:rsidRPr="000A2DE8" w:rsidRDefault="00CD51A4" w:rsidP="00CD51A4">
      <w:pPr>
        <w:spacing w:after="0" w:line="240" w:lineRule="auto"/>
        <w:jc w:val="both"/>
        <w:rPr>
          <w:rFonts w:ascii="Times New Roman" w:eastAsia="Times New Roman" w:hAnsi="Times New Roman"/>
          <w:b/>
          <w:bCs/>
          <w:lang w:bidi="ar-SA"/>
        </w:rPr>
      </w:pPr>
    </w:p>
    <w:p w14:paraId="69452CDF" w14:textId="77777777" w:rsidR="00CD51A4" w:rsidRPr="000A2DE8" w:rsidRDefault="00CD51A4" w:rsidP="00CD51A4">
      <w:pPr>
        <w:spacing w:after="0" w:line="240" w:lineRule="auto"/>
        <w:jc w:val="both"/>
        <w:rPr>
          <w:rFonts w:ascii="Times New Roman" w:eastAsia="Times New Roman" w:hAnsi="Times New Roman"/>
          <w:b/>
          <w:bCs/>
          <w:lang w:bidi="ar-SA"/>
        </w:rPr>
      </w:pPr>
    </w:p>
    <w:p w14:paraId="1DD7578E"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1.</w:t>
      </w:r>
      <w:r w:rsidRPr="000A2DE8">
        <w:rPr>
          <w:rFonts w:ascii="Times New Roman" w:eastAsia="Times New Roman" w:hAnsi="Times New Roman"/>
          <w:b/>
          <w:lang w:bidi="ar-SA"/>
        </w:rPr>
        <w:tab/>
        <w:t>VAISTINIO PREPARATO PAVADINIMAS</w:t>
      </w:r>
    </w:p>
    <w:p w14:paraId="6946B5AE" w14:textId="77777777" w:rsidR="00CD51A4" w:rsidRPr="000A2DE8" w:rsidRDefault="00CD51A4" w:rsidP="00CD51A4">
      <w:pPr>
        <w:spacing w:after="0" w:line="240" w:lineRule="auto"/>
        <w:rPr>
          <w:rFonts w:ascii="Times New Roman" w:eastAsia="Times New Roman" w:hAnsi="Times New Roman"/>
          <w:b/>
          <w:bCs/>
          <w:lang w:bidi="ar-SA"/>
        </w:rPr>
      </w:pPr>
    </w:p>
    <w:p w14:paraId="58B4BEE8" w14:textId="77777777" w:rsidR="00CD51A4" w:rsidRPr="000A2DE8" w:rsidRDefault="00CD51A4" w:rsidP="00CD51A4">
      <w:pPr>
        <w:spacing w:after="0" w:line="240" w:lineRule="auto"/>
        <w:rPr>
          <w:rFonts w:ascii="Times New Roman" w:eastAsia="Times New Roman" w:hAnsi="Times New Roman"/>
          <w:lang w:bidi="ar-SA"/>
        </w:rPr>
      </w:pPr>
      <w:r w:rsidRPr="000A2DE8">
        <w:rPr>
          <w:rFonts w:ascii="Times New Roman" w:eastAsia="Times New Roman" w:hAnsi="Times New Roman"/>
          <w:lang w:bidi="ar-SA"/>
        </w:rPr>
        <w:t>Bosentan Accord 125 mg plėvele dengtos tabletės</w:t>
      </w:r>
    </w:p>
    <w:p w14:paraId="290CBD4C" w14:textId="77777777" w:rsidR="00CD51A4" w:rsidRPr="000A2DE8" w:rsidRDefault="00CD51A4" w:rsidP="00CD51A4">
      <w:pPr>
        <w:spacing w:after="0" w:line="240" w:lineRule="auto"/>
        <w:jc w:val="both"/>
        <w:rPr>
          <w:rFonts w:ascii="Times New Roman" w:eastAsia="Times New Roman" w:hAnsi="Times New Roman"/>
          <w:lang w:bidi="ar-SA"/>
        </w:rPr>
      </w:pPr>
      <w:r w:rsidRPr="000A2DE8">
        <w:rPr>
          <w:rFonts w:ascii="Times New Roman" w:eastAsia="Times New Roman" w:hAnsi="Times New Roman"/>
          <w:lang w:bidi="ar-SA"/>
        </w:rPr>
        <w:t>Bozentanas</w:t>
      </w:r>
    </w:p>
    <w:p w14:paraId="68C6DF7A" w14:textId="77777777" w:rsidR="00CD51A4" w:rsidRPr="000A2DE8" w:rsidRDefault="00CD51A4" w:rsidP="00CD51A4">
      <w:pPr>
        <w:spacing w:after="0" w:line="240" w:lineRule="auto"/>
        <w:jc w:val="both"/>
        <w:rPr>
          <w:rFonts w:ascii="Times New Roman" w:eastAsia="Times New Roman" w:hAnsi="Times New Roman"/>
          <w:b/>
          <w:bCs/>
          <w:lang w:bidi="ar-SA"/>
        </w:rPr>
      </w:pPr>
    </w:p>
    <w:p w14:paraId="3078477A" w14:textId="77777777" w:rsidR="00CD51A4" w:rsidRPr="000A2DE8" w:rsidRDefault="00CD51A4" w:rsidP="00CD51A4">
      <w:pPr>
        <w:spacing w:after="0" w:line="240" w:lineRule="auto"/>
        <w:jc w:val="both"/>
        <w:rPr>
          <w:rFonts w:ascii="Times New Roman" w:eastAsia="Times New Roman" w:hAnsi="Times New Roman"/>
          <w:b/>
          <w:bCs/>
          <w:lang w:bidi="ar-SA"/>
        </w:rPr>
      </w:pPr>
    </w:p>
    <w:p w14:paraId="115AEC57"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2.</w:t>
      </w:r>
      <w:r w:rsidRPr="000A2DE8">
        <w:rPr>
          <w:rFonts w:ascii="Times New Roman" w:eastAsia="Times New Roman" w:hAnsi="Times New Roman"/>
          <w:b/>
          <w:lang w:bidi="ar-SA"/>
        </w:rPr>
        <w:tab/>
        <w:t>REGISTRUOTOJO PAVADINIMAS</w:t>
      </w:r>
    </w:p>
    <w:p w14:paraId="682970FD" w14:textId="77777777" w:rsidR="00CD51A4" w:rsidRPr="000A2DE8" w:rsidRDefault="00CD51A4" w:rsidP="00CD51A4">
      <w:pPr>
        <w:spacing w:after="0" w:line="240" w:lineRule="auto"/>
        <w:ind w:left="720" w:hanging="720"/>
        <w:jc w:val="both"/>
        <w:rPr>
          <w:rFonts w:ascii="Times New Roman" w:eastAsia="Times New Roman" w:hAnsi="Times New Roman"/>
          <w:b/>
          <w:bCs/>
          <w:lang w:bidi="ar-SA"/>
        </w:rPr>
      </w:pPr>
    </w:p>
    <w:p w14:paraId="18E07A45" w14:textId="77777777" w:rsidR="00CD51A4" w:rsidRPr="000A2DE8" w:rsidRDefault="00CD51A4" w:rsidP="00CD51A4">
      <w:pPr>
        <w:spacing w:after="0" w:line="240" w:lineRule="auto"/>
        <w:rPr>
          <w:rFonts w:ascii="Times New Roman" w:eastAsia="Times New Roman" w:hAnsi="Times New Roman"/>
          <w:lang w:bidi="ar-SA"/>
        </w:rPr>
      </w:pPr>
      <w:r w:rsidRPr="000A2DE8">
        <w:rPr>
          <w:rFonts w:ascii="Times New Roman" w:eastAsia="Times New Roman" w:hAnsi="Times New Roman"/>
          <w:lang w:bidi="ar-SA"/>
        </w:rPr>
        <w:t>Accord</w:t>
      </w:r>
    </w:p>
    <w:p w14:paraId="76BF732B" w14:textId="77777777" w:rsidR="00CD51A4" w:rsidRPr="000A2DE8" w:rsidRDefault="00CD51A4" w:rsidP="00CD51A4">
      <w:pPr>
        <w:spacing w:after="0" w:line="240" w:lineRule="auto"/>
        <w:ind w:left="720" w:hanging="720"/>
        <w:jc w:val="both"/>
        <w:rPr>
          <w:rFonts w:ascii="Times New Roman" w:eastAsia="Times New Roman" w:hAnsi="Times New Roman"/>
          <w:b/>
          <w:bCs/>
          <w:lang w:bidi="ar-SA"/>
        </w:rPr>
      </w:pPr>
    </w:p>
    <w:p w14:paraId="29B22B1D" w14:textId="77777777" w:rsidR="00CD51A4" w:rsidRPr="000A2DE8" w:rsidRDefault="00CD51A4" w:rsidP="00CD51A4">
      <w:pPr>
        <w:spacing w:after="0" w:line="240" w:lineRule="auto"/>
        <w:ind w:left="720" w:hanging="720"/>
        <w:jc w:val="both"/>
        <w:rPr>
          <w:rFonts w:ascii="Times New Roman" w:eastAsia="Times New Roman" w:hAnsi="Times New Roman"/>
          <w:b/>
          <w:bCs/>
          <w:lang w:bidi="ar-SA"/>
        </w:rPr>
      </w:pPr>
    </w:p>
    <w:p w14:paraId="332CBFFE"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3.</w:t>
      </w:r>
      <w:r w:rsidRPr="000A2DE8">
        <w:rPr>
          <w:rFonts w:ascii="Times New Roman" w:eastAsia="Times New Roman" w:hAnsi="Times New Roman"/>
          <w:b/>
          <w:lang w:bidi="ar-SA"/>
        </w:rPr>
        <w:tab/>
        <w:t>TINKAMUMO LAIKAS</w:t>
      </w:r>
    </w:p>
    <w:p w14:paraId="56CE3F8D" w14:textId="77777777" w:rsidR="00CD51A4" w:rsidRPr="000A2DE8" w:rsidRDefault="00CD51A4" w:rsidP="00CD51A4">
      <w:pPr>
        <w:spacing w:after="0" w:line="240" w:lineRule="auto"/>
        <w:ind w:left="720" w:hanging="720"/>
        <w:rPr>
          <w:rFonts w:ascii="Times New Roman" w:eastAsia="Times New Roman" w:hAnsi="Times New Roman"/>
          <w:b/>
          <w:bCs/>
          <w:lang w:bidi="ar-SA"/>
        </w:rPr>
      </w:pPr>
    </w:p>
    <w:p w14:paraId="4168DA9D" w14:textId="77777777" w:rsidR="00CD51A4" w:rsidRPr="000A2DE8" w:rsidRDefault="00CD51A4" w:rsidP="00CD51A4">
      <w:pPr>
        <w:spacing w:after="0" w:line="240" w:lineRule="auto"/>
        <w:rPr>
          <w:rFonts w:ascii="Times New Roman" w:eastAsia="Times New Roman" w:hAnsi="Times New Roman"/>
          <w:lang w:bidi="ar-SA"/>
        </w:rPr>
      </w:pPr>
      <w:r w:rsidRPr="000A2DE8">
        <w:rPr>
          <w:rFonts w:ascii="Times New Roman" w:eastAsia="Times New Roman" w:hAnsi="Times New Roman"/>
          <w:lang w:bidi="ar-SA"/>
        </w:rPr>
        <w:t>EXP: mm-MMMM</w:t>
      </w:r>
    </w:p>
    <w:p w14:paraId="6E97A36E" w14:textId="77777777" w:rsidR="00CD51A4" w:rsidRPr="000A2DE8" w:rsidRDefault="00CD51A4" w:rsidP="00CD51A4">
      <w:pPr>
        <w:spacing w:after="0" w:line="240" w:lineRule="auto"/>
        <w:rPr>
          <w:rFonts w:ascii="Times New Roman" w:eastAsia="Times New Roman" w:hAnsi="Times New Roman"/>
          <w:lang w:bidi="ar-SA"/>
        </w:rPr>
      </w:pPr>
    </w:p>
    <w:p w14:paraId="4A65B077" w14:textId="77777777" w:rsidR="00CD51A4" w:rsidRPr="000A2DE8" w:rsidRDefault="00CD51A4" w:rsidP="00CD51A4">
      <w:pPr>
        <w:spacing w:after="0" w:line="240" w:lineRule="auto"/>
        <w:ind w:left="720" w:hanging="720"/>
        <w:jc w:val="both"/>
        <w:rPr>
          <w:rFonts w:ascii="Times New Roman" w:eastAsia="Times New Roman" w:hAnsi="Times New Roman"/>
          <w:b/>
          <w:bCs/>
          <w:lang w:bidi="ar-SA"/>
        </w:rPr>
      </w:pPr>
    </w:p>
    <w:p w14:paraId="3A2FA8A9" w14:textId="77777777" w:rsidR="00CD51A4" w:rsidRPr="000A2DE8" w:rsidRDefault="00CD51A4" w:rsidP="00CD51A4">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lang w:bidi="ar-SA"/>
        </w:rPr>
        <w:t>4.</w:t>
      </w:r>
      <w:r w:rsidRPr="000A2DE8">
        <w:rPr>
          <w:rFonts w:ascii="Times New Roman" w:eastAsia="Times New Roman" w:hAnsi="Times New Roman"/>
          <w:b/>
          <w:lang w:bidi="ar-SA"/>
        </w:rPr>
        <w:tab/>
        <w:t>SERIJOS NUMERIS</w:t>
      </w:r>
    </w:p>
    <w:p w14:paraId="516636A8" w14:textId="77777777" w:rsidR="00CD51A4" w:rsidRPr="000A2DE8" w:rsidRDefault="00CD51A4" w:rsidP="00CD51A4">
      <w:pPr>
        <w:autoSpaceDE w:val="0"/>
        <w:autoSpaceDN w:val="0"/>
        <w:adjustRightInd w:val="0"/>
        <w:spacing w:after="0" w:line="240" w:lineRule="auto"/>
        <w:ind w:left="720" w:hanging="720"/>
        <w:rPr>
          <w:rFonts w:ascii="Times New Roman" w:eastAsia="Times New Roman" w:hAnsi="Times New Roman"/>
          <w:b/>
          <w:bCs/>
          <w:color w:val="000000"/>
          <w:lang w:bidi="ar-SA"/>
        </w:rPr>
      </w:pPr>
    </w:p>
    <w:p w14:paraId="594BAE03" w14:textId="77777777" w:rsidR="00CD51A4" w:rsidRPr="000A2DE8" w:rsidRDefault="00CD51A4" w:rsidP="00CD51A4">
      <w:pPr>
        <w:autoSpaceDE w:val="0"/>
        <w:autoSpaceDN w:val="0"/>
        <w:adjustRightInd w:val="0"/>
        <w:spacing w:after="0" w:line="240" w:lineRule="auto"/>
        <w:rPr>
          <w:rFonts w:ascii="Times New Roman" w:eastAsia="Times New Roman" w:hAnsi="Times New Roman"/>
          <w:color w:val="000000"/>
          <w:lang w:bidi="ar-SA"/>
        </w:rPr>
      </w:pPr>
      <w:r w:rsidRPr="000A2DE8">
        <w:rPr>
          <w:rFonts w:ascii="Times New Roman" w:eastAsia="Times New Roman" w:hAnsi="Times New Roman"/>
          <w:color w:val="000000"/>
          <w:lang w:bidi="ar-SA"/>
        </w:rPr>
        <w:t>Lot:</w:t>
      </w:r>
    </w:p>
    <w:p w14:paraId="475F80E8" w14:textId="77777777" w:rsidR="00CD51A4" w:rsidRPr="000A2DE8" w:rsidRDefault="00CD51A4" w:rsidP="00CD51A4">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35E119A0" w14:textId="77777777" w:rsidR="00CD51A4" w:rsidRPr="000A2DE8" w:rsidRDefault="00CD51A4" w:rsidP="00CD51A4">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17A0E4B2" w14:textId="77777777" w:rsidR="00CD51A4" w:rsidRPr="000A2DE8" w:rsidRDefault="00CD51A4" w:rsidP="00CD51A4">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720" w:hanging="720"/>
        <w:jc w:val="both"/>
        <w:rPr>
          <w:rFonts w:ascii="Times New Roman" w:eastAsia="Times New Roman" w:hAnsi="Times New Roman"/>
          <w:b/>
          <w:bCs/>
          <w:lang w:bidi="ar-SA"/>
        </w:rPr>
      </w:pPr>
      <w:r w:rsidRPr="000A2DE8">
        <w:rPr>
          <w:rFonts w:ascii="Times New Roman" w:eastAsia="Times New Roman" w:hAnsi="Times New Roman"/>
          <w:b/>
          <w:color w:val="000000"/>
          <w:lang w:bidi="ar-SA"/>
        </w:rPr>
        <w:t>5.</w:t>
      </w:r>
      <w:r w:rsidRPr="000A2DE8">
        <w:rPr>
          <w:rFonts w:ascii="Times New Roman" w:eastAsia="Times New Roman" w:hAnsi="Times New Roman"/>
          <w:b/>
          <w:color w:val="000000"/>
          <w:lang w:bidi="ar-SA"/>
        </w:rPr>
        <w:tab/>
        <w:t>KITA</w:t>
      </w:r>
    </w:p>
    <w:p w14:paraId="44C53E0A" w14:textId="2E8C98C5" w:rsidR="0012579B" w:rsidRPr="000A2DE8" w:rsidRDefault="00531425" w:rsidP="0012579B">
      <w:r w:rsidRPr="000A2DE8">
        <w:rPr>
          <w:rFonts w:ascii="Times New Roman" w:eastAsia="Times New Roman" w:hAnsi="Times New Roman"/>
          <w:lang w:bidi="ar-SA"/>
        </w:rPr>
        <w:br w:type="page"/>
      </w:r>
    </w:p>
    <w:p w14:paraId="5DE9E4DD" w14:textId="77777777" w:rsidR="0012579B" w:rsidRPr="000A2DE8" w:rsidRDefault="0012579B" w:rsidP="0012579B">
      <w:pPr>
        <w:sectPr w:rsidR="0012579B" w:rsidRPr="000A2DE8" w:rsidSect="005B092D">
          <w:headerReference w:type="default" r:id="rId8"/>
          <w:footerReference w:type="default" r:id="rId9"/>
          <w:pgSz w:w="11907" w:h="16840"/>
          <w:pgMar w:top="1134" w:right="1418" w:bottom="1134" w:left="1418" w:header="737" w:footer="737" w:gutter="0"/>
          <w:cols w:space="720"/>
        </w:sectPr>
      </w:pPr>
    </w:p>
    <w:tbl>
      <w:tblPr>
        <w:tblpPr w:leftFromText="180" w:rightFromText="180" w:vertAnchor="page" w:horzAnchor="margin" w:tblpY="1215"/>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3"/>
        <w:gridCol w:w="7654"/>
      </w:tblGrid>
      <w:tr w:rsidR="00357CD2" w:rsidRPr="000A2DE8" w14:paraId="58862001" w14:textId="77777777" w:rsidTr="00357CD2">
        <w:trPr>
          <w:cantSplit/>
          <w:trHeight w:val="144"/>
        </w:trPr>
        <w:tc>
          <w:tcPr>
            <w:tcW w:w="14737" w:type="dxa"/>
            <w:gridSpan w:val="2"/>
          </w:tcPr>
          <w:p w14:paraId="70FDED51" w14:textId="77777777" w:rsidR="0012579B" w:rsidRPr="000A2DE8" w:rsidRDefault="0012579B" w:rsidP="00C7550F">
            <w:pPr>
              <w:numPr>
                <w:ilvl w:val="12"/>
                <w:numId w:val="0"/>
              </w:numPr>
              <w:tabs>
                <w:tab w:val="left" w:pos="567"/>
              </w:tabs>
              <w:spacing w:after="0" w:line="240" w:lineRule="auto"/>
              <w:ind w:right="1030"/>
              <w:rPr>
                <w:rFonts w:ascii="Times New Roman" w:hAnsi="Times New Roman"/>
              </w:rPr>
            </w:pPr>
            <w:r w:rsidRPr="000A2DE8">
              <w:rPr>
                <w:rFonts w:ascii="Times New Roman" w:eastAsia="Times New Roman" w:hAnsi="Times New Roman"/>
                <w:b/>
                <w:bCs/>
                <w:spacing w:val="-3"/>
                <w:position w:val="-1"/>
                <w:lang w:eastAsia="en-GB" w:bidi="ar-SA"/>
              </w:rPr>
              <w:lastRenderedPageBreak/>
              <w:t>PACIENTO ĮSPĖJAMOJI KORTELĖ</w:t>
            </w:r>
          </w:p>
        </w:tc>
      </w:tr>
      <w:tr w:rsidR="0012579B" w:rsidRPr="000A2DE8" w14:paraId="3405B1B6" w14:textId="77777777" w:rsidTr="00A26D2B">
        <w:trPr>
          <w:cantSplit/>
          <w:trHeight w:val="144"/>
        </w:trPr>
        <w:tc>
          <w:tcPr>
            <w:tcW w:w="7083" w:type="dxa"/>
          </w:tcPr>
          <w:p w14:paraId="2C86AFA4"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(Priekinis viršelis)</w:t>
            </w:r>
          </w:p>
          <w:p w14:paraId="460CE1EC"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p>
          <w:p w14:paraId="7743EF2D" w14:textId="77777777" w:rsidR="0012579B" w:rsidRPr="000A2DE8" w:rsidRDefault="0012579B" w:rsidP="00A26D2B">
            <w:pPr>
              <w:widowControl w:val="0"/>
              <w:numPr>
                <w:ilvl w:val="12"/>
                <w:numId w:val="0"/>
              </w:numPr>
              <w:tabs>
                <w:tab w:val="left" w:pos="567"/>
              </w:tabs>
              <w:spacing w:after="0" w:line="240" w:lineRule="auto"/>
              <w:jc w:val="center"/>
              <w:rPr>
                <w:rFonts w:ascii="Times New Roman" w:eastAsia="Times New Roman" w:hAnsi="Times New Roman"/>
                <w:b/>
                <w:sz w:val="20"/>
                <w:szCs w:val="20"/>
              </w:rPr>
            </w:pPr>
            <w:r w:rsidRPr="000A2DE8">
              <w:rPr>
                <w:rFonts w:ascii="Times New Roman" w:hAnsi="Times New Roman"/>
                <w:b/>
                <w:sz w:val="20"/>
                <w:szCs w:val="20"/>
              </w:rPr>
              <w:t xml:space="preserve">Svarbūs su saugumu susiję įspėjimai pacientams, </w:t>
            </w:r>
            <w:r w:rsidRPr="000A2DE8">
              <w:rPr>
                <w:rFonts w:ascii="Times New Roman" w:eastAsia="Times New Roman" w:hAnsi="Times New Roman"/>
                <w:b/>
                <w:sz w:val="20"/>
                <w:szCs w:val="20"/>
              </w:rPr>
              <w:t xml:space="preserve">vartojantiems </w:t>
            </w:r>
          </w:p>
          <w:p w14:paraId="043B8664" w14:textId="77777777" w:rsidR="0012579B" w:rsidRPr="000A2DE8" w:rsidRDefault="0012579B" w:rsidP="00A26D2B">
            <w:pPr>
              <w:widowControl w:val="0"/>
              <w:numPr>
                <w:ilvl w:val="12"/>
                <w:numId w:val="0"/>
              </w:numPr>
              <w:tabs>
                <w:tab w:val="left" w:pos="567"/>
              </w:tabs>
              <w:spacing w:after="0" w:line="240" w:lineRule="auto"/>
              <w:jc w:val="center"/>
              <w:rPr>
                <w:rFonts w:ascii="Times New Roman" w:hAnsi="Times New Roman"/>
                <w:sz w:val="20"/>
                <w:szCs w:val="20"/>
              </w:rPr>
            </w:pPr>
            <w:r w:rsidRPr="000A2DE8">
              <w:rPr>
                <w:rFonts w:ascii="Times New Roman" w:eastAsia="Times New Roman" w:hAnsi="Times New Roman"/>
                <w:b/>
                <w:sz w:val="20"/>
                <w:szCs w:val="20"/>
              </w:rPr>
              <w:t>Bosentan</w:t>
            </w:r>
            <w:r w:rsidRPr="000A2DE8">
              <w:rPr>
                <w:rFonts w:ascii="Times New Roman" w:hAnsi="Times New Roman"/>
                <w:b/>
                <w:sz w:val="20"/>
                <w:szCs w:val="20"/>
              </w:rPr>
              <w:t xml:space="preserve"> Accord (bozentano)</w:t>
            </w:r>
          </w:p>
          <w:p w14:paraId="7A9F5350"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p>
          <w:p w14:paraId="4D4C0B9D"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Šioje kortelėje yra svarbi informacija apie vaistą Bosentan Accord. Prieš pradėdami gydytis Bosentan Accord, prašome įdėmiai perskaityti šią kortelę.</w:t>
            </w:r>
          </w:p>
          <w:p w14:paraId="79666112" w14:textId="77777777" w:rsidR="0012579B" w:rsidRPr="00A26D2B" w:rsidRDefault="0012579B" w:rsidP="00A26D2B">
            <w:pPr>
              <w:widowControl w:val="0"/>
              <w:numPr>
                <w:ilvl w:val="12"/>
                <w:numId w:val="0"/>
              </w:numPr>
              <w:tabs>
                <w:tab w:val="left" w:pos="567"/>
              </w:tabs>
              <w:spacing w:after="0" w:line="240" w:lineRule="auto"/>
              <w:rPr>
                <w:rFonts w:ascii="Times New Roman" w:hAnsi="Times New Roman"/>
                <w:sz w:val="12"/>
                <w:szCs w:val="12"/>
              </w:rPr>
            </w:pPr>
          </w:p>
          <w:p w14:paraId="67A6E3FA"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u w:val="single"/>
              </w:rPr>
            </w:pPr>
            <w:r w:rsidRPr="000A2DE8">
              <w:rPr>
                <w:rFonts w:ascii="Times New Roman" w:hAnsi="Times New Roman"/>
                <w:sz w:val="20"/>
                <w:szCs w:val="20"/>
              </w:rPr>
              <w:t>Jūsų vardas: ______________________________</w:t>
            </w:r>
            <w:r w:rsidRPr="000A2DE8">
              <w:rPr>
                <w:rFonts w:ascii="Times New Roman" w:hAnsi="Times New Roman"/>
                <w:sz w:val="20"/>
                <w:szCs w:val="20"/>
              </w:rPr>
              <w:tab/>
            </w:r>
          </w:p>
          <w:p w14:paraId="0884D227" w14:textId="77777777" w:rsidR="0012579B" w:rsidRPr="00A26D2B" w:rsidRDefault="0012579B" w:rsidP="00A26D2B">
            <w:pPr>
              <w:widowControl w:val="0"/>
              <w:numPr>
                <w:ilvl w:val="12"/>
                <w:numId w:val="0"/>
              </w:numPr>
              <w:tabs>
                <w:tab w:val="left" w:pos="567"/>
              </w:tabs>
              <w:spacing w:after="0" w:line="240" w:lineRule="auto"/>
              <w:rPr>
                <w:rFonts w:ascii="Times New Roman" w:hAnsi="Times New Roman"/>
                <w:sz w:val="12"/>
                <w:szCs w:val="12"/>
              </w:rPr>
            </w:pPr>
          </w:p>
          <w:p w14:paraId="6A7EDDF5"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Vaistą išrašęs gydytojas:_______________________</w:t>
            </w:r>
          </w:p>
          <w:p w14:paraId="2015FE43" w14:textId="77777777" w:rsidR="0012579B" w:rsidRPr="00A26D2B" w:rsidRDefault="0012579B" w:rsidP="00A26D2B">
            <w:pPr>
              <w:widowControl w:val="0"/>
              <w:numPr>
                <w:ilvl w:val="12"/>
                <w:numId w:val="0"/>
              </w:numPr>
              <w:tabs>
                <w:tab w:val="left" w:pos="567"/>
              </w:tabs>
              <w:spacing w:after="0" w:line="240" w:lineRule="auto"/>
              <w:rPr>
                <w:rFonts w:ascii="Times New Roman" w:hAnsi="Times New Roman"/>
                <w:sz w:val="12"/>
                <w:szCs w:val="12"/>
              </w:rPr>
            </w:pPr>
          </w:p>
          <w:p w14:paraId="06C8064B"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 xml:space="preserve">Jei turite klausimų dėl vaisto Bosentan Accord, klauskite gydytojo. </w:t>
            </w:r>
          </w:p>
          <w:p w14:paraId="42A61654" w14:textId="77777777" w:rsidR="0012579B" w:rsidRPr="00A26D2B" w:rsidRDefault="0012579B" w:rsidP="00A26D2B">
            <w:pPr>
              <w:widowControl w:val="0"/>
              <w:numPr>
                <w:ilvl w:val="12"/>
                <w:numId w:val="0"/>
              </w:numPr>
              <w:tabs>
                <w:tab w:val="left" w:pos="567"/>
              </w:tabs>
              <w:spacing w:after="0" w:line="240" w:lineRule="auto"/>
              <w:rPr>
                <w:rFonts w:ascii="Times New Roman" w:hAnsi="Times New Roman"/>
                <w:sz w:val="12"/>
                <w:szCs w:val="12"/>
              </w:rPr>
            </w:pPr>
          </w:p>
          <w:p w14:paraId="78B37F5C"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Accord Healthcare B.V.</w:t>
            </w:r>
          </w:p>
        </w:tc>
        <w:tc>
          <w:tcPr>
            <w:tcW w:w="7654" w:type="dxa"/>
          </w:tcPr>
          <w:p w14:paraId="1929ED60"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(Galinis viršelis)</w:t>
            </w:r>
          </w:p>
          <w:p w14:paraId="78844693"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b/>
                <w:sz w:val="20"/>
                <w:szCs w:val="20"/>
              </w:rPr>
            </w:pPr>
          </w:p>
          <w:p w14:paraId="05947948"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b/>
                <w:sz w:val="20"/>
                <w:szCs w:val="20"/>
              </w:rPr>
              <w:t>Kontracepcija</w:t>
            </w:r>
          </w:p>
          <w:p w14:paraId="2BFD66A5" w14:textId="77777777" w:rsidR="00D50D12" w:rsidRPr="000A2DE8" w:rsidRDefault="0012579B" w:rsidP="00A26D2B">
            <w:pPr>
              <w:widowControl w:val="0"/>
              <w:numPr>
                <w:ilvl w:val="12"/>
                <w:numId w:val="0"/>
              </w:numPr>
              <w:tabs>
                <w:tab w:val="left" w:pos="597"/>
              </w:tabs>
              <w:spacing w:after="0" w:line="240" w:lineRule="auto"/>
              <w:rPr>
                <w:rFonts w:ascii="Times New Roman" w:hAnsi="Times New Roman"/>
                <w:sz w:val="20"/>
                <w:szCs w:val="20"/>
              </w:rPr>
            </w:pPr>
            <w:r w:rsidRPr="000A2DE8">
              <w:rPr>
                <w:rFonts w:ascii="Times New Roman" w:hAnsi="Times New Roman"/>
                <w:sz w:val="20"/>
                <w:szCs w:val="20"/>
              </w:rPr>
              <w:tab/>
            </w:r>
            <w:r w:rsidRPr="000A2DE8">
              <w:rPr>
                <w:rFonts w:ascii="Times New Roman" w:hAnsi="Times New Roman"/>
                <w:sz w:val="20"/>
                <w:szCs w:val="20"/>
              </w:rPr>
              <w:tab/>
              <w:t>Ar šiuo metu vartojate kontraceptikus?</w:t>
            </w:r>
          </w:p>
          <w:p w14:paraId="33579737" w14:textId="77777777" w:rsidR="0012579B" w:rsidRPr="000A2DE8" w:rsidRDefault="0012579B" w:rsidP="00A26D2B">
            <w:pPr>
              <w:widowControl w:val="0"/>
              <w:numPr>
                <w:ilvl w:val="12"/>
                <w:numId w:val="0"/>
              </w:numPr>
              <w:tabs>
                <w:tab w:val="left" w:pos="2581"/>
              </w:tabs>
              <w:spacing w:after="0" w:line="240" w:lineRule="auto"/>
              <w:ind w:firstLine="1447"/>
              <w:rPr>
                <w:rFonts w:ascii="Times New Roman" w:hAnsi="Times New Roman"/>
                <w:sz w:val="20"/>
                <w:szCs w:val="20"/>
              </w:rPr>
            </w:pPr>
            <w:r w:rsidRPr="000A2DE8">
              <w:rPr>
                <w:rFonts w:ascii="Times New Roman" w:hAnsi="Times New Roman"/>
                <w:sz w:val="20"/>
                <w:szCs w:val="20"/>
              </w:rPr>
              <w:fldChar w:fldCharType="begin">
                <w:ffData>
                  <w:name w:val="Check51"/>
                  <w:enabled/>
                  <w:calcOnExit w:val="0"/>
                  <w:checkBox>
                    <w:sizeAuto/>
                    <w:default w:val="0"/>
                  </w:checkBox>
                </w:ffData>
              </w:fldChar>
            </w:r>
            <w:r w:rsidRPr="000A2DE8">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0A2DE8">
              <w:rPr>
                <w:rFonts w:ascii="Times New Roman" w:hAnsi="Times New Roman"/>
                <w:sz w:val="20"/>
                <w:szCs w:val="20"/>
              </w:rPr>
              <w:fldChar w:fldCharType="end"/>
            </w:r>
            <w:r w:rsidRPr="000A2DE8">
              <w:rPr>
                <w:rFonts w:ascii="Times New Roman" w:hAnsi="Times New Roman"/>
                <w:sz w:val="20"/>
                <w:szCs w:val="20"/>
              </w:rPr>
              <w:t xml:space="preserve"> Taip </w:t>
            </w:r>
            <w:r w:rsidRPr="000A2DE8">
              <w:rPr>
                <w:rFonts w:ascii="Times New Roman" w:hAnsi="Times New Roman"/>
                <w:sz w:val="20"/>
                <w:szCs w:val="20"/>
              </w:rPr>
              <w:tab/>
            </w:r>
            <w:r w:rsidRPr="000A2DE8">
              <w:rPr>
                <w:rFonts w:ascii="Times New Roman" w:hAnsi="Times New Roman"/>
                <w:sz w:val="20"/>
                <w:szCs w:val="20"/>
              </w:rPr>
              <w:fldChar w:fldCharType="begin">
                <w:ffData>
                  <w:name w:val="Check51"/>
                  <w:enabled/>
                  <w:calcOnExit w:val="0"/>
                  <w:checkBox>
                    <w:sizeAuto/>
                    <w:default w:val="0"/>
                  </w:checkBox>
                </w:ffData>
              </w:fldChar>
            </w:r>
            <w:r w:rsidRPr="000A2DE8">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0A2DE8">
              <w:rPr>
                <w:rFonts w:ascii="Times New Roman" w:hAnsi="Times New Roman"/>
                <w:sz w:val="20"/>
                <w:szCs w:val="20"/>
              </w:rPr>
              <w:fldChar w:fldCharType="end"/>
            </w:r>
            <w:r w:rsidRPr="000A2DE8">
              <w:rPr>
                <w:rFonts w:ascii="Times New Roman" w:hAnsi="Times New Roman"/>
                <w:sz w:val="20"/>
                <w:szCs w:val="20"/>
              </w:rPr>
              <w:t xml:space="preserve"> Ne</w:t>
            </w:r>
          </w:p>
          <w:p w14:paraId="4250F990"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p>
          <w:p w14:paraId="3782E853" w14:textId="77777777" w:rsidR="0012579B" w:rsidRPr="000A2DE8" w:rsidRDefault="0012579B" w:rsidP="00A26D2B">
            <w:pPr>
              <w:widowControl w:val="0"/>
              <w:numPr>
                <w:ilvl w:val="12"/>
                <w:numId w:val="0"/>
              </w:numPr>
              <w:spacing w:after="0" w:line="240" w:lineRule="auto"/>
              <w:ind w:firstLine="597"/>
              <w:rPr>
                <w:rFonts w:ascii="Times New Roman" w:hAnsi="Times New Roman"/>
                <w:sz w:val="20"/>
                <w:szCs w:val="20"/>
              </w:rPr>
            </w:pPr>
            <w:r w:rsidRPr="000A2DE8">
              <w:rPr>
                <w:rFonts w:ascii="Times New Roman" w:hAnsi="Times New Roman"/>
                <w:sz w:val="20"/>
                <w:szCs w:val="20"/>
              </w:rPr>
              <w:t>Jei taip, parašykite jų pavadinimus toliau:</w:t>
            </w:r>
          </w:p>
          <w:p w14:paraId="341777EB" w14:textId="77777777" w:rsidR="0012579B" w:rsidRPr="000A2DE8" w:rsidRDefault="00D50D12" w:rsidP="00A26D2B">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________________________________________________________</w:t>
            </w:r>
          </w:p>
          <w:p w14:paraId="03603BF4" w14:textId="77777777" w:rsidR="00D50D12" w:rsidRPr="000A2DE8" w:rsidRDefault="00D50D12" w:rsidP="00A26D2B">
            <w:pPr>
              <w:widowControl w:val="0"/>
              <w:numPr>
                <w:ilvl w:val="12"/>
                <w:numId w:val="0"/>
              </w:numPr>
              <w:tabs>
                <w:tab w:val="left" w:pos="567"/>
              </w:tabs>
              <w:spacing w:after="0" w:line="240" w:lineRule="auto"/>
              <w:rPr>
                <w:rFonts w:ascii="Times New Roman" w:hAnsi="Times New Roman"/>
                <w:sz w:val="20"/>
                <w:szCs w:val="20"/>
              </w:rPr>
            </w:pPr>
          </w:p>
          <w:p w14:paraId="1DE8C15B"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________________________________________________________</w:t>
            </w:r>
          </w:p>
          <w:p w14:paraId="054E7F01"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p>
          <w:p w14:paraId="2F6AECA8"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Kito vizito pas savo gydytoją ar ginekologą metu šią kortelę turėkite su savimi ir jis (ji) Jums patars, ar Jums reikia naudotis papildomomis arba alternatyviomis kontracepcijos priemonėmis.</w:t>
            </w:r>
          </w:p>
        </w:tc>
      </w:tr>
      <w:tr w:rsidR="0012579B" w:rsidRPr="000A2DE8" w14:paraId="41BF21C1" w14:textId="77777777" w:rsidTr="00A26D2B">
        <w:trPr>
          <w:cantSplit/>
          <w:trHeight w:val="5949"/>
        </w:trPr>
        <w:tc>
          <w:tcPr>
            <w:tcW w:w="7083" w:type="dxa"/>
          </w:tcPr>
          <w:p w14:paraId="597F744C"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(Vidinė dalis 1)</w:t>
            </w:r>
          </w:p>
          <w:p w14:paraId="099D7801" w14:textId="77777777" w:rsidR="0012579B" w:rsidRPr="00A26D2B" w:rsidRDefault="0012579B" w:rsidP="00C7550F">
            <w:pPr>
              <w:numPr>
                <w:ilvl w:val="12"/>
                <w:numId w:val="0"/>
              </w:numPr>
              <w:tabs>
                <w:tab w:val="left" w:pos="567"/>
              </w:tabs>
              <w:spacing w:after="0" w:line="240" w:lineRule="auto"/>
              <w:ind w:right="-2"/>
              <w:rPr>
                <w:rFonts w:ascii="Times New Roman" w:hAnsi="Times New Roman"/>
                <w:sz w:val="16"/>
                <w:szCs w:val="16"/>
              </w:rPr>
            </w:pPr>
          </w:p>
          <w:p w14:paraId="79118385" w14:textId="77777777" w:rsidR="0012579B" w:rsidRPr="000A2DE8" w:rsidRDefault="0012579B" w:rsidP="00C7550F">
            <w:pPr>
              <w:numPr>
                <w:ilvl w:val="12"/>
                <w:numId w:val="0"/>
              </w:numPr>
              <w:tabs>
                <w:tab w:val="left" w:pos="567"/>
              </w:tabs>
              <w:spacing w:after="0" w:line="240" w:lineRule="auto"/>
              <w:ind w:right="-2"/>
              <w:jc w:val="center"/>
              <w:rPr>
                <w:rFonts w:ascii="Times New Roman" w:hAnsi="Times New Roman"/>
                <w:sz w:val="20"/>
                <w:szCs w:val="20"/>
              </w:rPr>
            </w:pPr>
            <w:r w:rsidRPr="000A2DE8">
              <w:rPr>
                <w:rFonts w:ascii="Times New Roman" w:hAnsi="Times New Roman"/>
                <w:b/>
                <w:sz w:val="20"/>
                <w:szCs w:val="20"/>
              </w:rPr>
              <w:t>Jeigu esate vaisinga moteris, įdėmiai perskaitykite šį puslapį</w:t>
            </w:r>
          </w:p>
          <w:p w14:paraId="2FEF7842"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p>
          <w:p w14:paraId="10E54808"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b/>
                <w:sz w:val="20"/>
                <w:szCs w:val="20"/>
              </w:rPr>
              <w:t>Nėštumas</w:t>
            </w:r>
          </w:p>
          <w:p w14:paraId="47091C65"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 xml:space="preserve">Bosentan Accord gali pakenkti vaisiaus vystymuisi. Dėl šios priežasties, jei esate nėščia, Bosentan </w:t>
            </w:r>
            <w:r w:rsidRPr="000A2DE8">
              <w:rPr>
                <w:rFonts w:ascii="Times New Roman" w:eastAsia="Times New Roman" w:hAnsi="Times New Roman"/>
                <w:sz w:val="20"/>
                <w:szCs w:val="20"/>
              </w:rPr>
              <w:t>Accord vartoti</w:t>
            </w:r>
            <w:r w:rsidRPr="000A2DE8">
              <w:rPr>
                <w:rFonts w:ascii="Times New Roman" w:hAnsi="Times New Roman"/>
                <w:sz w:val="20"/>
                <w:szCs w:val="20"/>
              </w:rPr>
              <w:t xml:space="preserve"> negalite, be to, gydymo Bosentan Accord laikotarpiu turite nepastoti.</w:t>
            </w:r>
          </w:p>
          <w:p w14:paraId="43931F17" w14:textId="77777777" w:rsidR="0012579B" w:rsidRPr="00A26D2B" w:rsidRDefault="0012579B" w:rsidP="00C7550F">
            <w:pPr>
              <w:numPr>
                <w:ilvl w:val="12"/>
                <w:numId w:val="0"/>
              </w:numPr>
              <w:tabs>
                <w:tab w:val="left" w:pos="567"/>
              </w:tabs>
              <w:spacing w:after="0" w:line="240" w:lineRule="auto"/>
              <w:ind w:right="-2"/>
              <w:rPr>
                <w:rFonts w:ascii="Times New Roman" w:hAnsi="Times New Roman"/>
                <w:sz w:val="14"/>
                <w:szCs w:val="14"/>
              </w:rPr>
            </w:pPr>
          </w:p>
          <w:p w14:paraId="7E1C8B5F"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Dar daugiau, jeigu Jūs sergate plautine hipertenzija, nėštumas gali labai pasunkinti Jūsų ligos simptomus. Jei įtariate, kad galite būti nėščia, pasakykite savo gydytojui arba ginekologui.</w:t>
            </w:r>
          </w:p>
          <w:p w14:paraId="281BA96F" w14:textId="77777777" w:rsidR="0012579B" w:rsidRPr="00A26D2B" w:rsidRDefault="0012579B" w:rsidP="00C7550F">
            <w:pPr>
              <w:numPr>
                <w:ilvl w:val="12"/>
                <w:numId w:val="0"/>
              </w:numPr>
              <w:tabs>
                <w:tab w:val="left" w:pos="567"/>
              </w:tabs>
              <w:spacing w:after="0" w:line="240" w:lineRule="auto"/>
              <w:ind w:right="-2"/>
              <w:rPr>
                <w:rFonts w:ascii="Times New Roman" w:hAnsi="Times New Roman"/>
                <w:sz w:val="12"/>
                <w:szCs w:val="12"/>
              </w:rPr>
            </w:pPr>
          </w:p>
          <w:p w14:paraId="483FCCC8"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b/>
                <w:sz w:val="20"/>
                <w:szCs w:val="20"/>
              </w:rPr>
              <w:t>Kontracepcija</w:t>
            </w:r>
          </w:p>
          <w:p w14:paraId="529FFD1B"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Hormoninės kontracepcijos metodai, tokie kaip geriamieji kontraceptikai arba kontraceptinės tabletės, hormonų injekcijos, implantai ar kontraceptiniai pleistrai, vaistą Bosentan Accord vartojančių moterų patikimai nuo nėštumo neapsaugo. Papildomai prie hormoninės kontracepcijos Jūs turite vartoti barjerines kontraceptines priemones, tokias kaip prezervatyvas, diafragma ar makšties kempinė. Būtinai aptarkite visus Jums rūpimus klausimus su savo gydytoju arba savo ginekologu. Užpildykite kitoje šios kortelės pusėje esančius klausimus ir kitą kartą atsineškite ją pas savo gydytoją ar ginekologą.</w:t>
            </w:r>
          </w:p>
          <w:p w14:paraId="5EBDD697" w14:textId="77777777" w:rsidR="0012579B" w:rsidRPr="00A26D2B" w:rsidRDefault="0012579B" w:rsidP="00C7550F">
            <w:pPr>
              <w:numPr>
                <w:ilvl w:val="12"/>
                <w:numId w:val="0"/>
              </w:numPr>
              <w:tabs>
                <w:tab w:val="left" w:pos="567"/>
              </w:tabs>
              <w:spacing w:after="0" w:line="240" w:lineRule="auto"/>
              <w:ind w:right="-2"/>
              <w:rPr>
                <w:rFonts w:ascii="Times New Roman" w:hAnsi="Times New Roman"/>
                <w:sz w:val="12"/>
                <w:szCs w:val="12"/>
              </w:rPr>
            </w:pPr>
          </w:p>
          <w:p w14:paraId="33DE3A45"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Prieš pradėdama gydytis vaistu Bosentan Accord ir kiekvieną gydymo mėnesį Jūs turite atlikti nėštumo testą, netgi tuo atveju, jeigu manote nesanti nėščia.</w:t>
            </w:r>
          </w:p>
          <w:p w14:paraId="6F6E339E"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p>
          <w:p w14:paraId="71BF2A55" w14:textId="77777777" w:rsidR="0012579B" w:rsidRPr="000A2DE8" w:rsidRDefault="0012579B" w:rsidP="00A26D2B">
            <w:pPr>
              <w:widowControl w:val="0"/>
              <w:numPr>
                <w:ilvl w:val="12"/>
                <w:numId w:val="0"/>
              </w:numPr>
              <w:tabs>
                <w:tab w:val="left" w:pos="567"/>
              </w:tabs>
              <w:spacing w:after="0" w:line="240" w:lineRule="auto"/>
              <w:rPr>
                <w:rFonts w:ascii="Times New Roman" w:hAnsi="Times New Roman"/>
                <w:sz w:val="20"/>
                <w:szCs w:val="20"/>
              </w:rPr>
            </w:pPr>
            <w:r w:rsidRPr="000A2DE8">
              <w:rPr>
                <w:rFonts w:ascii="Times New Roman" w:hAnsi="Times New Roman"/>
                <w:sz w:val="20"/>
                <w:szCs w:val="20"/>
              </w:rPr>
              <w:t>Pirmojo kas mėnesį atliekamo testo data: _____________________</w:t>
            </w:r>
          </w:p>
        </w:tc>
        <w:tc>
          <w:tcPr>
            <w:tcW w:w="7654" w:type="dxa"/>
          </w:tcPr>
          <w:p w14:paraId="4DC7FB7C"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(Vidinė dalis 2)</w:t>
            </w:r>
          </w:p>
          <w:p w14:paraId="0C07A096" w14:textId="77777777" w:rsidR="0012579B" w:rsidRPr="000A2DE8" w:rsidRDefault="0012579B" w:rsidP="00C7550F">
            <w:pPr>
              <w:numPr>
                <w:ilvl w:val="12"/>
                <w:numId w:val="0"/>
              </w:numPr>
              <w:tabs>
                <w:tab w:val="left" w:pos="567"/>
              </w:tabs>
              <w:spacing w:after="0" w:line="240" w:lineRule="auto"/>
              <w:ind w:right="-2"/>
              <w:rPr>
                <w:rFonts w:ascii="Times New Roman" w:hAnsi="Times New Roman"/>
                <w:b/>
                <w:sz w:val="20"/>
                <w:szCs w:val="20"/>
              </w:rPr>
            </w:pPr>
          </w:p>
          <w:p w14:paraId="1BA85A7C"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b/>
                <w:sz w:val="20"/>
                <w:szCs w:val="20"/>
              </w:rPr>
              <w:t>Kepenų veiklą rodantis kraujo tyrimas</w:t>
            </w:r>
          </w:p>
          <w:p w14:paraId="24A3FF2C"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p>
          <w:p w14:paraId="4280F055"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Kai kurių vaistą Bosentan Accord vartojančių pacientų kepenų veiklos tyrimas parodė nukrypimus nuo normos. Gydymosi vaistu Bosentan Accord metu Jūsų gydytojas, norėdamas patikrinti kepenų veiklą, paskirs Jums reguliarius kraujo tyrimus.</w:t>
            </w:r>
          </w:p>
          <w:p w14:paraId="6790D34E"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p>
          <w:p w14:paraId="3A073CCA"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b/>
                <w:sz w:val="20"/>
                <w:szCs w:val="20"/>
              </w:rPr>
              <w:t>Nepamirškite kas mėnesį atlikti Jums paskirto kepenų veiklą rodančio kraujo tyrimo.</w:t>
            </w:r>
          </w:p>
          <w:p w14:paraId="42B3E8F9"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b/>
                <w:sz w:val="20"/>
                <w:szCs w:val="20"/>
              </w:rPr>
              <w:t>Padidinus dozę, po 2 savaičių bus atliekamas papildomas tyrimas</w:t>
            </w:r>
          </w:p>
          <w:p w14:paraId="0AFD7F43"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p>
          <w:p w14:paraId="3A07E8E9"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Pirmojo kas mėnesį atliekamo testo data: ______________</w:t>
            </w:r>
          </w:p>
          <w:p w14:paraId="5C7EF5A1"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p>
          <w:p w14:paraId="0DA20A2B"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r w:rsidRPr="000A2DE8">
              <w:rPr>
                <w:rFonts w:ascii="Times New Roman" w:hAnsi="Times New Roman"/>
                <w:sz w:val="20"/>
                <w:szCs w:val="20"/>
              </w:rPr>
              <w:t>Kas mėnesį atliekamų kepenų veiklą rodančių kraujo tyrimų tvarkaraštis</w:t>
            </w:r>
          </w:p>
          <w:p w14:paraId="1C6CBD95"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p>
          <w:p w14:paraId="12B1CC2E" w14:textId="77777777" w:rsidR="0012579B" w:rsidRPr="000A2DE8" w:rsidRDefault="0012579B" w:rsidP="00C7550F">
            <w:pPr>
              <w:numPr>
                <w:ilvl w:val="12"/>
                <w:numId w:val="0"/>
              </w:numPr>
              <w:tabs>
                <w:tab w:val="left" w:pos="567"/>
              </w:tabs>
              <w:spacing w:after="0" w:line="240" w:lineRule="auto"/>
              <w:ind w:right="-2"/>
              <w:rPr>
                <w:rFonts w:ascii="Times New Roman" w:hAnsi="Times New Roman"/>
                <w:sz w:val="20"/>
                <w:szCs w:val="20"/>
              </w:rPr>
            </w:pPr>
          </w:p>
          <w:p w14:paraId="49F2CC63" w14:textId="77777777" w:rsidR="00531425" w:rsidRPr="00A26D2B" w:rsidRDefault="00531425" w:rsidP="00531425">
            <w:pPr>
              <w:numPr>
                <w:ilvl w:val="12"/>
                <w:numId w:val="0"/>
              </w:numPr>
              <w:tabs>
                <w:tab w:val="left" w:pos="567"/>
              </w:tabs>
              <w:spacing w:after="0" w:line="240" w:lineRule="auto"/>
              <w:ind w:right="-2"/>
              <w:rPr>
                <w:rFonts w:ascii="Times New Roman" w:hAnsi="Times New Roman"/>
                <w:sz w:val="20"/>
                <w:szCs w:val="20"/>
              </w:rPr>
            </w:pP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 xml:space="preserve"> Sausis</w:t>
            </w:r>
            <w:r w:rsidRPr="00A26D2B">
              <w:rPr>
                <w:rFonts w:ascii="Times New Roman" w:hAnsi="Times New Roman"/>
                <w:sz w:val="20"/>
                <w:szCs w:val="20"/>
                <w:u w:val="single"/>
              </w:rPr>
              <w:tab/>
              <w:t>⁭</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Gegužė</w:t>
            </w:r>
            <w:r w:rsidRPr="00A26D2B">
              <w:rPr>
                <w:rFonts w:ascii="Times New Roman" w:hAnsi="Times New Roman"/>
                <w:sz w:val="20"/>
                <w:szCs w:val="20"/>
                <w:u w:val="single"/>
              </w:rPr>
              <w:tab/>
              <w:t>⁭</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Rugsėjis</w:t>
            </w:r>
            <w:r w:rsidRPr="000A2DE8">
              <w:rPr>
                <w:rFonts w:ascii="Times New Roman" w:hAnsi="Times New Roman"/>
                <w:sz w:val="20"/>
                <w:szCs w:val="20"/>
                <w:u w:val="single"/>
              </w:rPr>
              <w:tab/>
              <w:t>⁭</w:t>
            </w:r>
          </w:p>
          <w:p w14:paraId="0297DD57" w14:textId="77777777" w:rsidR="00531425" w:rsidRPr="00A26D2B" w:rsidRDefault="00531425" w:rsidP="00531425">
            <w:pPr>
              <w:numPr>
                <w:ilvl w:val="12"/>
                <w:numId w:val="0"/>
              </w:numPr>
              <w:tabs>
                <w:tab w:val="left" w:pos="567"/>
              </w:tabs>
              <w:spacing w:after="0" w:line="240" w:lineRule="auto"/>
              <w:ind w:right="-2"/>
              <w:rPr>
                <w:rFonts w:ascii="Times New Roman" w:hAnsi="Times New Roman"/>
                <w:sz w:val="20"/>
                <w:szCs w:val="20"/>
              </w:rPr>
            </w:pPr>
          </w:p>
          <w:p w14:paraId="17131140" w14:textId="77777777" w:rsidR="00531425" w:rsidRPr="00A26D2B" w:rsidRDefault="00531425" w:rsidP="00531425">
            <w:pPr>
              <w:numPr>
                <w:ilvl w:val="12"/>
                <w:numId w:val="0"/>
              </w:numPr>
              <w:tabs>
                <w:tab w:val="left" w:pos="567"/>
              </w:tabs>
              <w:spacing w:after="0" w:line="240" w:lineRule="auto"/>
              <w:ind w:right="-2"/>
              <w:rPr>
                <w:rFonts w:ascii="Times New Roman" w:hAnsi="Times New Roman"/>
                <w:sz w:val="20"/>
                <w:szCs w:val="20"/>
              </w:rPr>
            </w:pP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 xml:space="preserve"> Vasaris</w:t>
            </w:r>
            <w:r w:rsidRPr="00A26D2B">
              <w:rPr>
                <w:rFonts w:ascii="Times New Roman" w:hAnsi="Times New Roman"/>
                <w:sz w:val="20"/>
                <w:szCs w:val="20"/>
                <w:u w:val="single"/>
              </w:rPr>
              <w:tab/>
              <w:t>⁭</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 xml:space="preserve"> Birželis</w:t>
            </w:r>
            <w:r w:rsidRPr="00A26D2B">
              <w:rPr>
                <w:rFonts w:ascii="Times New Roman" w:hAnsi="Times New Roman"/>
                <w:sz w:val="20"/>
                <w:szCs w:val="20"/>
                <w:u w:val="single"/>
              </w:rPr>
              <w:tab/>
              <w:t>⁭</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Spalis</w:t>
            </w:r>
            <w:r w:rsidRPr="000A2DE8">
              <w:rPr>
                <w:rFonts w:ascii="Times New Roman" w:hAnsi="Times New Roman"/>
                <w:sz w:val="20"/>
                <w:szCs w:val="20"/>
                <w:u w:val="single"/>
              </w:rPr>
              <w:tab/>
            </w:r>
            <w:r w:rsidRPr="000A2DE8">
              <w:rPr>
                <w:rFonts w:ascii="Times New Roman" w:hAnsi="Times New Roman"/>
                <w:sz w:val="20"/>
                <w:szCs w:val="20"/>
                <w:u w:val="single"/>
              </w:rPr>
              <w:tab/>
              <w:t>⁭</w:t>
            </w:r>
          </w:p>
          <w:p w14:paraId="51897208" w14:textId="77777777" w:rsidR="00531425" w:rsidRPr="00A26D2B" w:rsidRDefault="00531425" w:rsidP="00531425">
            <w:pPr>
              <w:numPr>
                <w:ilvl w:val="12"/>
                <w:numId w:val="0"/>
              </w:numPr>
              <w:tabs>
                <w:tab w:val="left" w:pos="567"/>
              </w:tabs>
              <w:spacing w:after="0" w:line="240" w:lineRule="auto"/>
              <w:ind w:right="-2"/>
              <w:rPr>
                <w:rFonts w:ascii="Times New Roman" w:hAnsi="Times New Roman"/>
                <w:sz w:val="20"/>
                <w:szCs w:val="20"/>
              </w:rPr>
            </w:pPr>
          </w:p>
          <w:p w14:paraId="20E88D13" w14:textId="77777777" w:rsidR="00531425" w:rsidRPr="00A26D2B" w:rsidRDefault="00531425" w:rsidP="00531425">
            <w:pPr>
              <w:numPr>
                <w:ilvl w:val="12"/>
                <w:numId w:val="0"/>
              </w:numPr>
              <w:tabs>
                <w:tab w:val="left" w:pos="567"/>
              </w:tabs>
              <w:spacing w:after="0" w:line="240" w:lineRule="auto"/>
              <w:ind w:right="-2"/>
              <w:rPr>
                <w:rFonts w:ascii="Times New Roman" w:hAnsi="Times New Roman"/>
                <w:sz w:val="20"/>
                <w:szCs w:val="20"/>
              </w:rPr>
            </w:pP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 xml:space="preserve"> Kovas</w:t>
            </w:r>
            <w:r w:rsidRPr="00A26D2B">
              <w:rPr>
                <w:rFonts w:ascii="Times New Roman" w:hAnsi="Times New Roman"/>
                <w:sz w:val="20"/>
                <w:szCs w:val="20"/>
                <w:u w:val="single"/>
              </w:rPr>
              <w:tab/>
              <w:t>⁭</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Liepa</w:t>
            </w:r>
            <w:r w:rsidRPr="00A26D2B">
              <w:rPr>
                <w:rFonts w:ascii="Times New Roman" w:hAnsi="Times New Roman"/>
                <w:sz w:val="20"/>
                <w:szCs w:val="20"/>
                <w:u w:val="single"/>
              </w:rPr>
              <w:tab/>
            </w:r>
            <w:r w:rsidRPr="000A2DE8">
              <w:rPr>
                <w:rFonts w:ascii="Times New Roman" w:hAnsi="Times New Roman"/>
                <w:sz w:val="20"/>
                <w:szCs w:val="20"/>
                <w:u w:val="single"/>
              </w:rPr>
              <w:tab/>
              <w:t>⁭</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Lapkritis</w:t>
            </w:r>
            <w:r w:rsidRPr="000A2DE8">
              <w:rPr>
                <w:rFonts w:ascii="Times New Roman" w:hAnsi="Times New Roman"/>
                <w:sz w:val="20"/>
                <w:szCs w:val="20"/>
                <w:u w:val="single"/>
              </w:rPr>
              <w:tab/>
            </w:r>
            <w:r w:rsidRPr="00A26D2B">
              <w:rPr>
                <w:rFonts w:ascii="Times New Roman" w:hAnsi="Times New Roman"/>
                <w:sz w:val="20"/>
                <w:szCs w:val="20"/>
                <w:u w:val="single"/>
              </w:rPr>
              <w:t>⁭</w:t>
            </w:r>
          </w:p>
          <w:p w14:paraId="1478E886" w14:textId="77777777" w:rsidR="00531425" w:rsidRPr="00A26D2B" w:rsidRDefault="00531425" w:rsidP="00531425">
            <w:pPr>
              <w:numPr>
                <w:ilvl w:val="12"/>
                <w:numId w:val="0"/>
              </w:numPr>
              <w:tabs>
                <w:tab w:val="left" w:pos="567"/>
              </w:tabs>
              <w:spacing w:after="0" w:line="240" w:lineRule="auto"/>
              <w:ind w:right="-2"/>
              <w:rPr>
                <w:rFonts w:ascii="Times New Roman" w:hAnsi="Times New Roman"/>
                <w:sz w:val="20"/>
                <w:szCs w:val="20"/>
              </w:rPr>
            </w:pPr>
          </w:p>
          <w:p w14:paraId="7D7D0F41" w14:textId="77777777" w:rsidR="0012579B" w:rsidRPr="000A2DE8" w:rsidRDefault="00531425" w:rsidP="00A26D2B">
            <w:pPr>
              <w:numPr>
                <w:ilvl w:val="12"/>
                <w:numId w:val="0"/>
              </w:numPr>
              <w:tabs>
                <w:tab w:val="left" w:pos="1448"/>
                <w:tab w:val="left" w:pos="2157"/>
              </w:tabs>
              <w:spacing w:after="0" w:line="240" w:lineRule="auto"/>
              <w:ind w:right="-2"/>
              <w:rPr>
                <w:rFonts w:ascii="Times New Roman" w:hAnsi="Times New Roman"/>
                <w:sz w:val="20"/>
                <w:szCs w:val="20"/>
              </w:rPr>
            </w:pP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 xml:space="preserve"> Balandis</w:t>
            </w:r>
            <w:r w:rsidRPr="000A2DE8">
              <w:rPr>
                <w:rFonts w:ascii="Times New Roman" w:hAnsi="Times New Roman"/>
                <w:sz w:val="20"/>
                <w:szCs w:val="20"/>
                <w:u w:val="single"/>
              </w:rPr>
              <w:tab/>
              <w:t>⁭</w:t>
            </w:r>
            <w:r w:rsidRPr="000A2DE8">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Rugpjūtis</w:t>
            </w:r>
            <w:r w:rsidRPr="00A26D2B">
              <w:rPr>
                <w:rFonts w:ascii="Times New Roman" w:hAnsi="Times New Roman"/>
                <w:sz w:val="20"/>
                <w:szCs w:val="20"/>
                <w:u w:val="single"/>
              </w:rPr>
              <w:tab/>
              <w:t>⁭</w:t>
            </w:r>
            <w:r w:rsidRPr="00A26D2B">
              <w:rPr>
                <w:rFonts w:ascii="Times New Roman" w:hAnsi="Times New Roman"/>
                <w:sz w:val="20"/>
                <w:szCs w:val="20"/>
              </w:rPr>
              <w:tab/>
            </w:r>
            <w:r w:rsidRPr="00A26D2B">
              <w:rPr>
                <w:rFonts w:ascii="Times New Roman" w:hAnsi="Times New Roman"/>
                <w:sz w:val="20"/>
                <w:szCs w:val="20"/>
              </w:rPr>
              <w:fldChar w:fldCharType="begin">
                <w:ffData>
                  <w:name w:val="Check51"/>
                  <w:enabled/>
                  <w:calcOnExit w:val="0"/>
                  <w:checkBox>
                    <w:sizeAuto/>
                    <w:default w:val="0"/>
                  </w:checkBox>
                </w:ffData>
              </w:fldChar>
            </w:r>
            <w:r w:rsidRPr="00A26D2B">
              <w:rPr>
                <w:rFonts w:ascii="Times New Roman" w:hAnsi="Times New Roman"/>
                <w:sz w:val="20"/>
                <w:szCs w:val="20"/>
              </w:rPr>
              <w:instrText xml:space="preserve"> FORMCHECKBOX </w:instrText>
            </w:r>
            <w:r w:rsidR="00EC6D81">
              <w:rPr>
                <w:rFonts w:ascii="Times New Roman" w:hAnsi="Times New Roman"/>
                <w:sz w:val="20"/>
                <w:szCs w:val="20"/>
              </w:rPr>
            </w:r>
            <w:r w:rsidR="00EC6D81">
              <w:rPr>
                <w:rFonts w:ascii="Times New Roman" w:hAnsi="Times New Roman"/>
                <w:sz w:val="20"/>
                <w:szCs w:val="20"/>
              </w:rPr>
              <w:fldChar w:fldCharType="separate"/>
            </w:r>
            <w:r w:rsidRPr="00A26D2B">
              <w:rPr>
                <w:rFonts w:ascii="Times New Roman" w:hAnsi="Times New Roman"/>
                <w:sz w:val="20"/>
                <w:szCs w:val="20"/>
              </w:rPr>
              <w:fldChar w:fldCharType="end"/>
            </w:r>
            <w:r w:rsidRPr="00A26D2B">
              <w:rPr>
                <w:rFonts w:ascii="Times New Roman" w:hAnsi="Times New Roman"/>
                <w:sz w:val="20"/>
                <w:szCs w:val="20"/>
              </w:rPr>
              <w:t>Gruodis</w:t>
            </w:r>
            <w:r w:rsidRPr="000A2DE8">
              <w:rPr>
                <w:rFonts w:ascii="Times New Roman" w:hAnsi="Times New Roman"/>
                <w:sz w:val="20"/>
                <w:szCs w:val="20"/>
                <w:u w:val="single"/>
              </w:rPr>
              <w:tab/>
            </w:r>
            <w:r w:rsidRPr="00A26D2B">
              <w:rPr>
                <w:rFonts w:ascii="Times New Roman" w:hAnsi="Times New Roman"/>
                <w:sz w:val="20"/>
                <w:szCs w:val="20"/>
                <w:u w:val="single"/>
              </w:rPr>
              <w:t>⁭</w:t>
            </w:r>
          </w:p>
        </w:tc>
      </w:tr>
    </w:tbl>
    <w:p w14:paraId="5C7ECDBE" w14:textId="77777777" w:rsidR="00357CD2" w:rsidRPr="000A2DE8" w:rsidRDefault="00357CD2" w:rsidP="00CD51A4">
      <w:pPr>
        <w:spacing w:after="0" w:line="240" w:lineRule="auto"/>
        <w:rPr>
          <w:rFonts w:ascii="Times New Roman" w:eastAsia="Times New Roman" w:hAnsi="Times New Roman"/>
        </w:rPr>
        <w:sectPr w:rsidR="00357CD2" w:rsidRPr="000A2DE8" w:rsidSect="005B092D">
          <w:headerReference w:type="default" r:id="rId10"/>
          <w:footerReference w:type="default" r:id="rId11"/>
          <w:pgSz w:w="16834" w:h="11909" w:orient="landscape" w:code="9"/>
          <w:pgMar w:top="1134" w:right="1418" w:bottom="1134" w:left="1418" w:header="737" w:footer="737" w:gutter="0"/>
          <w:cols w:space="720"/>
          <w:docGrid w:linePitch="360"/>
        </w:sectPr>
      </w:pPr>
    </w:p>
    <w:p w14:paraId="07A7C9B1"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4AF152B5"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26FEC791"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173AC90A"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453F436C"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270A6851"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5550BC59"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155682C5"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32E36A47"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5970EDCC"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5C5F9A4D"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5AAF6B17"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16AC3982"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6826F622" w14:textId="77777777" w:rsidR="00CD51A4" w:rsidRPr="000A2DE8" w:rsidRDefault="00CD51A4" w:rsidP="00CD51A4">
      <w:pPr>
        <w:tabs>
          <w:tab w:val="left" w:pos="567"/>
        </w:tabs>
        <w:spacing w:after="0" w:line="260" w:lineRule="exact"/>
        <w:outlineLvl w:val="0"/>
        <w:rPr>
          <w:rFonts w:ascii="Times New Roman" w:eastAsia="Times New Roman" w:hAnsi="Times New Roman"/>
          <w:snapToGrid w:val="0"/>
          <w:lang w:eastAsia="en-US" w:bidi="ar-SA"/>
        </w:rPr>
      </w:pPr>
    </w:p>
    <w:p w14:paraId="39BD6240" w14:textId="77777777" w:rsidR="008F201D" w:rsidRPr="000A2DE8" w:rsidRDefault="008F201D" w:rsidP="00CD51A4">
      <w:pPr>
        <w:tabs>
          <w:tab w:val="left" w:pos="567"/>
        </w:tabs>
        <w:spacing w:after="0" w:line="260" w:lineRule="exact"/>
        <w:outlineLvl w:val="0"/>
        <w:rPr>
          <w:rFonts w:ascii="Times New Roman" w:eastAsia="Times New Roman" w:hAnsi="Times New Roman"/>
          <w:snapToGrid w:val="0"/>
          <w:lang w:eastAsia="en-US" w:bidi="ar-SA"/>
        </w:rPr>
      </w:pPr>
    </w:p>
    <w:p w14:paraId="316EFA4E" w14:textId="77777777" w:rsidR="008F201D" w:rsidRPr="000A2DE8" w:rsidRDefault="008F201D" w:rsidP="00CD51A4">
      <w:pPr>
        <w:tabs>
          <w:tab w:val="left" w:pos="567"/>
        </w:tabs>
        <w:spacing w:after="0" w:line="260" w:lineRule="exact"/>
        <w:outlineLvl w:val="0"/>
        <w:rPr>
          <w:rFonts w:ascii="Times New Roman" w:eastAsia="Times New Roman" w:hAnsi="Times New Roman"/>
          <w:snapToGrid w:val="0"/>
          <w:lang w:eastAsia="en-US" w:bidi="ar-SA"/>
        </w:rPr>
      </w:pPr>
    </w:p>
    <w:p w14:paraId="09856000" w14:textId="77777777" w:rsidR="008F201D" w:rsidRPr="000A2DE8" w:rsidRDefault="008F201D" w:rsidP="00CD51A4">
      <w:pPr>
        <w:tabs>
          <w:tab w:val="left" w:pos="567"/>
        </w:tabs>
        <w:spacing w:after="0" w:line="260" w:lineRule="exact"/>
        <w:outlineLvl w:val="0"/>
        <w:rPr>
          <w:rFonts w:ascii="Times New Roman" w:eastAsia="Times New Roman" w:hAnsi="Times New Roman"/>
          <w:snapToGrid w:val="0"/>
          <w:lang w:eastAsia="en-US" w:bidi="ar-SA"/>
        </w:rPr>
      </w:pPr>
    </w:p>
    <w:p w14:paraId="5CC0956C" w14:textId="77777777" w:rsidR="008F201D" w:rsidRPr="000A2DE8" w:rsidRDefault="008F201D" w:rsidP="00CD51A4">
      <w:pPr>
        <w:tabs>
          <w:tab w:val="left" w:pos="567"/>
        </w:tabs>
        <w:spacing w:after="0" w:line="260" w:lineRule="exact"/>
        <w:outlineLvl w:val="0"/>
        <w:rPr>
          <w:rFonts w:ascii="Times New Roman" w:eastAsia="Times New Roman" w:hAnsi="Times New Roman"/>
          <w:snapToGrid w:val="0"/>
          <w:lang w:eastAsia="en-US" w:bidi="ar-SA"/>
        </w:rPr>
      </w:pPr>
    </w:p>
    <w:p w14:paraId="63313DA1" w14:textId="77777777" w:rsidR="008F201D" w:rsidRPr="000A2DE8" w:rsidRDefault="008F201D" w:rsidP="00CD51A4">
      <w:pPr>
        <w:tabs>
          <w:tab w:val="left" w:pos="567"/>
        </w:tabs>
        <w:spacing w:after="0" w:line="260" w:lineRule="exact"/>
        <w:outlineLvl w:val="0"/>
        <w:rPr>
          <w:rFonts w:ascii="Times New Roman" w:eastAsia="Times New Roman" w:hAnsi="Times New Roman"/>
          <w:snapToGrid w:val="0"/>
          <w:lang w:eastAsia="en-US" w:bidi="ar-SA"/>
        </w:rPr>
      </w:pPr>
    </w:p>
    <w:p w14:paraId="73162AD1" w14:textId="77777777" w:rsidR="008F201D" w:rsidRPr="000A2DE8" w:rsidRDefault="008F201D" w:rsidP="00CD51A4">
      <w:pPr>
        <w:tabs>
          <w:tab w:val="left" w:pos="567"/>
        </w:tabs>
        <w:spacing w:after="0" w:line="260" w:lineRule="exact"/>
        <w:outlineLvl w:val="0"/>
        <w:rPr>
          <w:rFonts w:ascii="Times New Roman" w:eastAsia="Times New Roman" w:hAnsi="Times New Roman"/>
          <w:snapToGrid w:val="0"/>
          <w:lang w:eastAsia="en-US" w:bidi="ar-SA"/>
        </w:rPr>
      </w:pPr>
    </w:p>
    <w:p w14:paraId="34759242" w14:textId="77777777" w:rsidR="008F201D" w:rsidRPr="000A2DE8" w:rsidRDefault="008F201D" w:rsidP="00CD51A4">
      <w:pPr>
        <w:tabs>
          <w:tab w:val="left" w:pos="567"/>
        </w:tabs>
        <w:spacing w:after="0" w:line="260" w:lineRule="exact"/>
        <w:outlineLvl w:val="0"/>
        <w:rPr>
          <w:rFonts w:ascii="Times New Roman" w:eastAsia="Times New Roman" w:hAnsi="Times New Roman"/>
          <w:snapToGrid w:val="0"/>
          <w:lang w:eastAsia="en-US" w:bidi="ar-SA"/>
        </w:rPr>
      </w:pPr>
    </w:p>
    <w:p w14:paraId="1D78AB0C" w14:textId="77777777" w:rsidR="008F201D" w:rsidRPr="000A2DE8" w:rsidRDefault="008F201D" w:rsidP="00CD51A4">
      <w:pPr>
        <w:tabs>
          <w:tab w:val="left" w:pos="567"/>
        </w:tabs>
        <w:spacing w:after="0" w:line="260" w:lineRule="exact"/>
        <w:outlineLvl w:val="0"/>
        <w:rPr>
          <w:rFonts w:ascii="Times New Roman" w:eastAsia="Times New Roman" w:hAnsi="Times New Roman"/>
          <w:snapToGrid w:val="0"/>
          <w:lang w:eastAsia="en-US" w:bidi="ar-SA"/>
        </w:rPr>
      </w:pPr>
    </w:p>
    <w:p w14:paraId="3946A042" w14:textId="77777777" w:rsidR="008F201D" w:rsidRPr="000A2DE8" w:rsidRDefault="008F201D" w:rsidP="00CD51A4">
      <w:pPr>
        <w:tabs>
          <w:tab w:val="left" w:pos="567"/>
        </w:tabs>
        <w:spacing w:after="0" w:line="260" w:lineRule="exact"/>
        <w:outlineLvl w:val="0"/>
        <w:rPr>
          <w:rFonts w:ascii="Times New Roman" w:eastAsia="Times New Roman" w:hAnsi="Times New Roman"/>
          <w:snapToGrid w:val="0"/>
          <w:lang w:eastAsia="en-US" w:bidi="ar-SA"/>
        </w:rPr>
      </w:pPr>
    </w:p>
    <w:p w14:paraId="657EE6F4" w14:textId="77777777" w:rsidR="008F201D" w:rsidRPr="000A2DE8" w:rsidRDefault="008F201D" w:rsidP="00CD51A4">
      <w:pPr>
        <w:tabs>
          <w:tab w:val="left" w:pos="567"/>
        </w:tabs>
        <w:spacing w:after="0" w:line="260" w:lineRule="exact"/>
        <w:outlineLvl w:val="0"/>
        <w:rPr>
          <w:rFonts w:ascii="Times New Roman" w:eastAsia="Times New Roman" w:hAnsi="Times New Roman"/>
          <w:snapToGrid w:val="0"/>
          <w:lang w:eastAsia="en-US" w:bidi="ar-SA"/>
        </w:rPr>
      </w:pPr>
    </w:p>
    <w:p w14:paraId="506F1CD2" w14:textId="77777777" w:rsidR="008F201D" w:rsidRPr="000A2DE8" w:rsidRDefault="008F201D" w:rsidP="00CD51A4">
      <w:pPr>
        <w:tabs>
          <w:tab w:val="left" w:pos="567"/>
        </w:tabs>
        <w:spacing w:after="0" w:line="260" w:lineRule="exact"/>
        <w:outlineLvl w:val="0"/>
        <w:rPr>
          <w:rFonts w:ascii="Times New Roman" w:eastAsia="Times New Roman" w:hAnsi="Times New Roman"/>
          <w:snapToGrid w:val="0"/>
          <w:lang w:eastAsia="en-US" w:bidi="ar-SA"/>
        </w:rPr>
      </w:pPr>
    </w:p>
    <w:p w14:paraId="51B179A2" w14:textId="77777777" w:rsidR="008F201D" w:rsidRPr="000A2DE8" w:rsidRDefault="008F201D" w:rsidP="00CD51A4">
      <w:pPr>
        <w:tabs>
          <w:tab w:val="left" w:pos="567"/>
        </w:tabs>
        <w:spacing w:after="0" w:line="260" w:lineRule="exact"/>
        <w:outlineLvl w:val="0"/>
        <w:rPr>
          <w:rFonts w:ascii="Times New Roman" w:eastAsia="Times New Roman" w:hAnsi="Times New Roman"/>
          <w:snapToGrid w:val="0"/>
          <w:lang w:eastAsia="en-US" w:bidi="ar-SA"/>
        </w:rPr>
      </w:pPr>
    </w:p>
    <w:p w14:paraId="2094116C" w14:textId="77777777" w:rsidR="00CD51A4" w:rsidRPr="000A2DE8" w:rsidRDefault="00CD51A4" w:rsidP="00CD51A4">
      <w:pPr>
        <w:tabs>
          <w:tab w:val="left" w:pos="567"/>
        </w:tabs>
        <w:spacing w:after="0" w:line="260" w:lineRule="exact"/>
        <w:jc w:val="center"/>
        <w:outlineLvl w:val="0"/>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B. PAKUOTĖS LAPELIS</w:t>
      </w:r>
    </w:p>
    <w:p w14:paraId="6B6D2058" w14:textId="77777777" w:rsidR="00CD51A4" w:rsidRPr="000A2DE8" w:rsidRDefault="00CD51A4" w:rsidP="00CD51A4">
      <w:pPr>
        <w:widowControl w:val="0"/>
        <w:autoSpaceDE w:val="0"/>
        <w:autoSpaceDN w:val="0"/>
        <w:adjustRightInd w:val="0"/>
        <w:spacing w:after="0" w:line="240" w:lineRule="auto"/>
        <w:jc w:val="center"/>
        <w:rPr>
          <w:rFonts w:ascii="Times New Roman" w:eastAsia="Times New Roman" w:hAnsi="Times New Roman"/>
          <w:color w:val="000000"/>
        </w:rPr>
      </w:pPr>
      <w:r w:rsidRPr="000A2DE8">
        <w:rPr>
          <w:rFonts w:ascii="Times New Roman" w:eastAsia="Times New Roman" w:hAnsi="Times New Roman"/>
          <w:i/>
          <w:snapToGrid w:val="0"/>
          <w:lang w:eastAsia="en-US" w:bidi="ar-SA"/>
        </w:rPr>
        <w:br w:type="page"/>
      </w:r>
      <w:r w:rsidRPr="000A2DE8">
        <w:rPr>
          <w:rFonts w:ascii="Times New Roman" w:hAnsi="Times New Roman"/>
          <w:b/>
          <w:color w:val="000000"/>
          <w:spacing w:val="2"/>
        </w:rPr>
        <w:lastRenderedPageBreak/>
        <w:t>Pakuotės lapelis: informacija vartotojui</w:t>
      </w:r>
    </w:p>
    <w:p w14:paraId="547EAE14" w14:textId="77777777" w:rsidR="00CD51A4" w:rsidRPr="000A2DE8" w:rsidRDefault="00CD51A4" w:rsidP="00CD51A4">
      <w:pPr>
        <w:widowControl w:val="0"/>
        <w:autoSpaceDE w:val="0"/>
        <w:autoSpaceDN w:val="0"/>
        <w:adjustRightInd w:val="0"/>
        <w:spacing w:after="0" w:line="240" w:lineRule="auto"/>
        <w:jc w:val="center"/>
        <w:rPr>
          <w:rFonts w:ascii="Times New Roman" w:eastAsia="Times New Roman" w:hAnsi="Times New Roman"/>
          <w:color w:val="000000"/>
        </w:rPr>
      </w:pPr>
    </w:p>
    <w:p w14:paraId="1AE91481" w14:textId="77777777" w:rsidR="00CD51A4" w:rsidRPr="000A2DE8" w:rsidRDefault="00CD51A4" w:rsidP="00CD51A4">
      <w:pPr>
        <w:widowControl w:val="0"/>
        <w:autoSpaceDE w:val="0"/>
        <w:autoSpaceDN w:val="0"/>
        <w:adjustRightInd w:val="0"/>
        <w:spacing w:after="0" w:line="240" w:lineRule="auto"/>
        <w:jc w:val="center"/>
        <w:rPr>
          <w:rFonts w:ascii="Times New Roman" w:eastAsia="Times New Roman" w:hAnsi="Times New Roman"/>
          <w:b/>
          <w:bCs/>
          <w:color w:val="000000"/>
        </w:rPr>
      </w:pPr>
      <w:r w:rsidRPr="000A2DE8">
        <w:rPr>
          <w:rFonts w:ascii="Times New Roman" w:hAnsi="Times New Roman"/>
          <w:b/>
          <w:color w:val="000000"/>
          <w:spacing w:val="-1"/>
        </w:rPr>
        <w:t>Bosentan Accord 62,5 mg plėvele dengtos tabletės</w:t>
      </w:r>
    </w:p>
    <w:p w14:paraId="7AC4472A" w14:textId="77777777" w:rsidR="00CD51A4" w:rsidRPr="000A2DE8" w:rsidRDefault="00CD51A4" w:rsidP="00CD51A4">
      <w:pPr>
        <w:widowControl w:val="0"/>
        <w:autoSpaceDE w:val="0"/>
        <w:autoSpaceDN w:val="0"/>
        <w:adjustRightInd w:val="0"/>
        <w:spacing w:after="0" w:line="240" w:lineRule="auto"/>
        <w:jc w:val="center"/>
        <w:rPr>
          <w:rFonts w:ascii="Times New Roman" w:eastAsia="Times New Roman" w:hAnsi="Times New Roman"/>
          <w:b/>
          <w:bCs/>
          <w:color w:val="000000"/>
        </w:rPr>
      </w:pPr>
      <w:r w:rsidRPr="000A2DE8">
        <w:rPr>
          <w:rFonts w:ascii="Times New Roman" w:hAnsi="Times New Roman"/>
          <w:b/>
          <w:color w:val="000000"/>
          <w:spacing w:val="-1"/>
          <w:highlight w:val="lightGray"/>
        </w:rPr>
        <w:t>Bosentan Accord 125 mg plėvele dengtos tabletės</w:t>
      </w:r>
    </w:p>
    <w:p w14:paraId="56EB2033" w14:textId="77777777" w:rsidR="00CD51A4" w:rsidRPr="000A2DE8" w:rsidRDefault="00CD51A4" w:rsidP="00CD51A4">
      <w:pPr>
        <w:widowControl w:val="0"/>
        <w:autoSpaceDE w:val="0"/>
        <w:autoSpaceDN w:val="0"/>
        <w:adjustRightInd w:val="0"/>
        <w:spacing w:after="0" w:line="240" w:lineRule="auto"/>
        <w:jc w:val="center"/>
        <w:rPr>
          <w:rFonts w:ascii="Times New Roman" w:eastAsia="Times New Roman" w:hAnsi="Times New Roman"/>
          <w:color w:val="000000"/>
        </w:rPr>
      </w:pPr>
      <w:r w:rsidRPr="000A2DE8">
        <w:rPr>
          <w:rFonts w:ascii="Times New Roman" w:hAnsi="Times New Roman"/>
          <w:color w:val="000000"/>
          <w:spacing w:val="-1"/>
        </w:rPr>
        <w:t>Bozentanas</w:t>
      </w:r>
    </w:p>
    <w:p w14:paraId="153F2DCE" w14:textId="77777777" w:rsidR="00CD51A4" w:rsidRPr="000A2DE8" w:rsidRDefault="00CD51A4" w:rsidP="00CD51A4">
      <w:pPr>
        <w:widowControl w:val="0"/>
        <w:autoSpaceDE w:val="0"/>
        <w:autoSpaceDN w:val="0"/>
        <w:adjustRightInd w:val="0"/>
        <w:spacing w:after="0" w:line="240" w:lineRule="auto"/>
        <w:rPr>
          <w:rFonts w:ascii="Times New Roman" w:eastAsia="Times New Roman" w:hAnsi="Times New Roman"/>
          <w:color w:val="000000"/>
        </w:rPr>
      </w:pPr>
    </w:p>
    <w:p w14:paraId="33CCF32E"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Atidžiai perskaitykite visą šį lapelį, prieš pradėdami vartoti vaistą, nes jame pateikiama Jums svarbi informacija.</w:t>
      </w:r>
    </w:p>
    <w:p w14:paraId="589A0027" w14:textId="77777777" w:rsidR="00CD51A4" w:rsidRPr="000A2DE8" w:rsidRDefault="00CD51A4" w:rsidP="005B092D">
      <w:pPr>
        <w:widowControl w:val="0"/>
        <w:numPr>
          <w:ilvl w:val="0"/>
          <w:numId w:val="2"/>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1"/>
        </w:rPr>
        <w:t>Neišmeskite šio lapelio, nes vėl gali prireikti jį perskaityti.</w:t>
      </w:r>
    </w:p>
    <w:p w14:paraId="2704CD35" w14:textId="77777777" w:rsidR="00CD51A4" w:rsidRPr="000A2DE8" w:rsidRDefault="00CD51A4" w:rsidP="005B092D">
      <w:pPr>
        <w:widowControl w:val="0"/>
        <w:numPr>
          <w:ilvl w:val="0"/>
          <w:numId w:val="2"/>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kiltų daugiau klausimų, kreipkitės į gydytoją arba vaistininką.</w:t>
      </w:r>
    </w:p>
    <w:p w14:paraId="7E413973" w14:textId="77777777" w:rsidR="00CD51A4" w:rsidRPr="000A2DE8" w:rsidRDefault="00CD51A4" w:rsidP="005B092D">
      <w:pPr>
        <w:widowControl w:val="0"/>
        <w:numPr>
          <w:ilvl w:val="0"/>
          <w:numId w:val="2"/>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2"/>
        </w:rPr>
        <w:t>Šis vaistas skirtas tik Jums, todėl kitiems žmonėms jo duoti negalima. Vaistas gali jiems pakenkti (net tiems, kurių ligos požymiai yra tokie patys kaip Jūsų).</w:t>
      </w:r>
    </w:p>
    <w:p w14:paraId="2745F0C2" w14:textId="77777777" w:rsidR="00CD51A4" w:rsidRPr="000A2DE8" w:rsidRDefault="00CD51A4" w:rsidP="005B092D">
      <w:pPr>
        <w:widowControl w:val="0"/>
        <w:numPr>
          <w:ilvl w:val="0"/>
          <w:numId w:val="2"/>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pasireiškė šalutinis poveikis (net jeigu jis šiame lapelyje nenurodytas), kreipkitės į gydytoją arba vaistininką</w:t>
      </w:r>
      <w:r w:rsidRPr="000A2DE8">
        <w:rPr>
          <w:rFonts w:ascii="Times New Roman" w:hAnsi="Times New Roman"/>
          <w:color w:val="000000"/>
          <w:spacing w:val="-2"/>
        </w:rPr>
        <w:t>. Žr. 4 skyrių.</w:t>
      </w:r>
    </w:p>
    <w:p w14:paraId="4131FF3E" w14:textId="77777777" w:rsidR="00CD51A4" w:rsidRPr="000A2DE8" w:rsidRDefault="00CD51A4" w:rsidP="005B092D">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3619D347" w14:textId="77777777" w:rsidR="00CD51A4" w:rsidRPr="000A2DE8" w:rsidRDefault="00CD51A4" w:rsidP="005B092D">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17CB17E6"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rPr>
        <w:t>Apie ką rašoma šiame lapelyje?</w:t>
      </w:r>
    </w:p>
    <w:p w14:paraId="65608282" w14:textId="77777777" w:rsidR="00CD51A4" w:rsidRPr="000A2DE8" w:rsidRDefault="00CD51A4" w:rsidP="005B092D">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Kas yra Bosentan Accord ir kam jis vartojamas</w:t>
      </w:r>
    </w:p>
    <w:p w14:paraId="427B98A8" w14:textId="77777777" w:rsidR="00CD51A4" w:rsidRPr="000A2DE8" w:rsidRDefault="00CD51A4" w:rsidP="005B092D">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Kas žinotina prieš vartojant Bosentan Accord</w:t>
      </w:r>
    </w:p>
    <w:p w14:paraId="1A9C404C" w14:textId="77777777" w:rsidR="00CD51A4" w:rsidRPr="000A2DE8" w:rsidRDefault="00CD51A4" w:rsidP="005B092D">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Kaip vartoti Bosentan Accord</w:t>
      </w:r>
    </w:p>
    <w:p w14:paraId="775B6039" w14:textId="77777777" w:rsidR="00CD51A4" w:rsidRPr="000A2DE8" w:rsidRDefault="00CD51A4" w:rsidP="005B092D">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Galimas šalutinis poveikis</w:t>
      </w:r>
    </w:p>
    <w:p w14:paraId="078768E4" w14:textId="77777777" w:rsidR="00CD51A4" w:rsidRPr="000A2DE8" w:rsidRDefault="00CD51A4" w:rsidP="005B092D">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Kaip laikyti Bosentan Accord</w:t>
      </w:r>
    </w:p>
    <w:p w14:paraId="70CFA1CE" w14:textId="77777777" w:rsidR="00CD51A4" w:rsidRPr="000A2DE8" w:rsidRDefault="00CD51A4" w:rsidP="005B092D">
      <w:pPr>
        <w:widowControl w:val="0"/>
        <w:numPr>
          <w:ilvl w:val="0"/>
          <w:numId w:val="3"/>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Pakuotės turinys ir kita informacija</w:t>
      </w:r>
    </w:p>
    <w:p w14:paraId="687F57C4"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7856E4D3"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38955EB3" w14:textId="77777777" w:rsidR="00CD51A4" w:rsidRPr="000A2DE8" w:rsidRDefault="00CD51A4" w:rsidP="005B092D">
      <w:pPr>
        <w:widowControl w:val="0"/>
        <w:numPr>
          <w:ilvl w:val="0"/>
          <w:numId w:val="4"/>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color w:val="000000"/>
          <w:spacing w:val="-1"/>
        </w:rPr>
        <w:t>Kas yra Bosentan Accord ir kam jis vartojamas</w:t>
      </w:r>
    </w:p>
    <w:p w14:paraId="555ED02B"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3164E4FA"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rPr>
        <w:t>Bosentan Accord tabletėse yra bozentano, kuris blokuoja natūralų hormoną, vadinamą endotelinu-1 (ET-1), kuris sukelia kraujagyslių susiaurėjimą.</w:t>
      </w:r>
      <w:r w:rsidRPr="000A2DE8">
        <w:rPr>
          <w:rFonts w:ascii="Times New Roman" w:hAnsi="Times New Roman"/>
          <w:color w:val="000000"/>
        </w:rPr>
        <w:t xml:space="preserve"> Bosentan Accord skatina kraujagyslių išsiplėtimą ir jos priskiriamos preparatų, vadinamų endotelino receptorių antagonistais, klasei.</w:t>
      </w:r>
    </w:p>
    <w:p w14:paraId="06B11F1E"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540382A3"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Bosentan Accord vartojamas gydyti:</w:t>
      </w:r>
    </w:p>
    <w:p w14:paraId="25B77EA8" w14:textId="77777777" w:rsidR="00CD51A4" w:rsidRPr="000A2DE8" w:rsidRDefault="00CD51A4" w:rsidP="005B092D">
      <w:pPr>
        <w:widowControl w:val="0"/>
        <w:numPr>
          <w:ilvl w:val="0"/>
          <w:numId w:val="19"/>
        </w:numPr>
        <w:autoSpaceDE w:val="0"/>
        <w:autoSpaceDN w:val="0"/>
        <w:adjustRightInd w:val="0"/>
        <w:spacing w:after="0" w:line="240" w:lineRule="auto"/>
        <w:ind w:left="567" w:right="1" w:hanging="567"/>
        <w:rPr>
          <w:rFonts w:ascii="Times New Roman" w:eastAsia="Times New Roman" w:hAnsi="Times New Roman"/>
        </w:rPr>
      </w:pPr>
      <w:r w:rsidRPr="000A2DE8">
        <w:rPr>
          <w:rFonts w:ascii="Times New Roman" w:hAnsi="Times New Roman"/>
          <w:b/>
        </w:rPr>
        <w:t>Plautinę hipertenziją</w:t>
      </w:r>
      <w:r w:rsidRPr="000A2DE8">
        <w:rPr>
          <w:rFonts w:ascii="Times New Roman" w:hAnsi="Times New Roman"/>
        </w:rPr>
        <w:t xml:space="preserve"> (</w:t>
      </w:r>
      <w:r w:rsidR="009D384A" w:rsidRPr="000A2DE8">
        <w:rPr>
          <w:rFonts w:ascii="Times New Roman" w:hAnsi="Times New Roman"/>
        </w:rPr>
        <w:t>PH</w:t>
      </w:r>
      <w:r w:rsidRPr="000A2DE8">
        <w:rPr>
          <w:rFonts w:ascii="Times New Roman" w:hAnsi="Times New Roman"/>
        </w:rPr>
        <w:t>).</w:t>
      </w:r>
      <w:r w:rsidRPr="000A2DE8">
        <w:rPr>
          <w:rFonts w:ascii="Times New Roman" w:hAnsi="Times New Roman"/>
          <w:spacing w:val="1"/>
        </w:rPr>
        <w:t xml:space="preserve"> </w:t>
      </w:r>
      <w:r w:rsidR="009D384A" w:rsidRPr="000A2DE8">
        <w:rPr>
          <w:rFonts w:ascii="Times New Roman" w:hAnsi="Times New Roman"/>
          <w:spacing w:val="1"/>
        </w:rPr>
        <w:t>PH</w:t>
      </w:r>
      <w:r w:rsidRPr="000A2DE8">
        <w:rPr>
          <w:rFonts w:ascii="Times New Roman" w:hAnsi="Times New Roman"/>
          <w:spacing w:val="1"/>
        </w:rPr>
        <w:t xml:space="preserve"> yra liga, kuriai būdingas smarkus kraujagyslių susiaurėjimas plaučiuose, kuris sukelia aukštą kraujospūdį kraujagyslėse (plaučių arterijose), kuriomis kraujas iš širdies teka į plaučius. Šis spaudimas sumažina deguonies kiekį, kuris patenka į kraują plaučiuose, todėl pasunkėja fizinis aktyvumas. </w:t>
      </w:r>
      <w:r w:rsidRPr="000A2DE8">
        <w:rPr>
          <w:rFonts w:ascii="Times New Roman" w:hAnsi="Times New Roman"/>
          <w:spacing w:val="2"/>
        </w:rPr>
        <w:t>Bosentan Accord išplečia plaučių arterijas, todėl širdžiai lengviau varyti jomis kraują. Taip sumažėja kraujospūdis ir palengvėja simptomai.</w:t>
      </w:r>
    </w:p>
    <w:p w14:paraId="0B82CBE6"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rPr>
      </w:pPr>
    </w:p>
    <w:p w14:paraId="33D4FA5E"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 xml:space="preserve">Bosentan Accord skiriamas gydyti pacientus, sergančius III klasės </w:t>
      </w:r>
      <w:r w:rsidR="009D384A" w:rsidRPr="000A2DE8">
        <w:rPr>
          <w:rFonts w:ascii="Times New Roman" w:hAnsi="Times New Roman"/>
          <w:color w:val="000000"/>
          <w:spacing w:val="2"/>
        </w:rPr>
        <w:t>PH</w:t>
      </w:r>
      <w:r w:rsidRPr="000A2DE8">
        <w:rPr>
          <w:rFonts w:ascii="Times New Roman" w:hAnsi="Times New Roman"/>
          <w:color w:val="000000"/>
          <w:spacing w:val="2"/>
        </w:rPr>
        <w:t xml:space="preserve">, siekiant pagerinti fizinį pajėgumą (gebėjimą atlikti fizinę veiklą) ir palengvinti simptomus. „Klasė“ rodo ligos sunkumą: „III klasė“ apima ženkliai sumažėjusį fizinį pajėgumą. Šioks toks pagerėjimas taip pat buvo įrodytas pacientams, sergantiems II klasės </w:t>
      </w:r>
      <w:r w:rsidR="009D384A" w:rsidRPr="000A2DE8">
        <w:rPr>
          <w:rFonts w:ascii="Times New Roman" w:hAnsi="Times New Roman"/>
          <w:color w:val="000000"/>
          <w:spacing w:val="2"/>
        </w:rPr>
        <w:t>PH</w:t>
      </w:r>
      <w:r w:rsidRPr="000A2DE8">
        <w:rPr>
          <w:rFonts w:ascii="Times New Roman" w:hAnsi="Times New Roman"/>
          <w:color w:val="000000"/>
          <w:spacing w:val="2"/>
        </w:rPr>
        <w:t xml:space="preserve">. „II klasė“ apima nežymiai sumažėjusį fizinį pajėgumą. </w:t>
      </w:r>
      <w:r w:rsidR="009D384A" w:rsidRPr="000A2DE8">
        <w:rPr>
          <w:rFonts w:ascii="Times New Roman" w:hAnsi="Times New Roman"/>
          <w:color w:val="000000"/>
          <w:spacing w:val="2"/>
        </w:rPr>
        <w:t>PH</w:t>
      </w:r>
      <w:r w:rsidRPr="000A2DE8">
        <w:rPr>
          <w:rFonts w:ascii="Times New Roman" w:hAnsi="Times New Roman"/>
          <w:color w:val="000000"/>
          <w:spacing w:val="2"/>
        </w:rPr>
        <w:t>, kuriai gydyti skiriamas Bosentan Accord, gali būti:</w:t>
      </w:r>
    </w:p>
    <w:p w14:paraId="0C95AA63" w14:textId="77777777" w:rsidR="00CD51A4" w:rsidRPr="000A2DE8" w:rsidRDefault="00CD51A4" w:rsidP="005B092D">
      <w:pPr>
        <w:numPr>
          <w:ilvl w:val="0"/>
          <w:numId w:val="17"/>
        </w:numPr>
        <w:autoSpaceDE w:val="0"/>
        <w:autoSpaceDN w:val="0"/>
        <w:adjustRightInd w:val="0"/>
        <w:spacing w:after="0" w:line="240" w:lineRule="auto"/>
        <w:ind w:left="450" w:right="1" w:hanging="450"/>
        <w:rPr>
          <w:rFonts w:ascii="Times New Roman" w:eastAsia="Times New Roman" w:hAnsi="Times New Roman"/>
          <w:color w:val="000000"/>
        </w:rPr>
      </w:pPr>
      <w:r w:rsidRPr="000A2DE8">
        <w:rPr>
          <w:rFonts w:ascii="Times New Roman" w:hAnsi="Times New Roman"/>
          <w:color w:val="000000"/>
        </w:rPr>
        <w:t>pirminė (be nustatytos priežasties ar šeiminė);</w:t>
      </w:r>
    </w:p>
    <w:p w14:paraId="64B66151" w14:textId="77777777" w:rsidR="00CD51A4" w:rsidRPr="000A2DE8" w:rsidRDefault="00CD51A4" w:rsidP="005B092D">
      <w:pPr>
        <w:numPr>
          <w:ilvl w:val="0"/>
          <w:numId w:val="17"/>
        </w:numPr>
        <w:autoSpaceDE w:val="0"/>
        <w:autoSpaceDN w:val="0"/>
        <w:adjustRightInd w:val="0"/>
        <w:spacing w:after="0" w:line="240" w:lineRule="auto"/>
        <w:ind w:left="450" w:right="1" w:hanging="450"/>
        <w:rPr>
          <w:rFonts w:ascii="Times New Roman" w:eastAsia="Times New Roman" w:hAnsi="Times New Roman"/>
          <w:color w:val="000000"/>
        </w:rPr>
      </w:pPr>
      <w:r w:rsidRPr="000A2DE8">
        <w:rPr>
          <w:rFonts w:ascii="Times New Roman" w:hAnsi="Times New Roman"/>
          <w:color w:val="000000"/>
        </w:rPr>
        <w:t>sukelta sklerodermijos (dar vadinamos sistemine skleroze – liga, kai yra nenormalus jungiamojo audinio, kuris palaiko odą ir kitus organus, augimas);</w:t>
      </w:r>
    </w:p>
    <w:p w14:paraId="43C059F6" w14:textId="77777777" w:rsidR="00CD51A4" w:rsidRPr="000A2DE8" w:rsidRDefault="00CD51A4" w:rsidP="005B092D">
      <w:pPr>
        <w:numPr>
          <w:ilvl w:val="0"/>
          <w:numId w:val="17"/>
        </w:numPr>
        <w:autoSpaceDE w:val="0"/>
        <w:autoSpaceDN w:val="0"/>
        <w:adjustRightInd w:val="0"/>
        <w:spacing w:after="0" w:line="240" w:lineRule="auto"/>
        <w:ind w:left="450" w:right="1" w:hanging="450"/>
        <w:rPr>
          <w:rFonts w:ascii="Times New Roman" w:eastAsia="Times New Roman" w:hAnsi="Times New Roman"/>
          <w:color w:val="000000"/>
        </w:rPr>
      </w:pPr>
      <w:r w:rsidRPr="000A2DE8">
        <w:rPr>
          <w:rFonts w:ascii="Times New Roman" w:hAnsi="Times New Roman"/>
          <w:color w:val="000000"/>
        </w:rPr>
        <w:t>sukelta įgimtų širdies ydų su šuntais (patologiniais kanalais), sukeliančių nenormalų kraujo srautą per širdį ir plaučius.</w:t>
      </w:r>
    </w:p>
    <w:p w14:paraId="4547FDAC"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p>
    <w:p w14:paraId="75DB7803" w14:textId="77777777" w:rsidR="00CD51A4" w:rsidRPr="000A2DE8" w:rsidRDefault="00CD51A4" w:rsidP="005B092D">
      <w:pPr>
        <w:numPr>
          <w:ilvl w:val="0"/>
          <w:numId w:val="20"/>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Pirštų opos. </w:t>
      </w:r>
      <w:r w:rsidRPr="000A2DE8">
        <w:rPr>
          <w:rFonts w:ascii="Times New Roman" w:hAnsi="Times New Roman"/>
          <w:color w:val="000000"/>
        </w:rPr>
        <w:t xml:space="preserve">Pirštų opas (žaizdas rankų ir kojų pirštuose) suaugusiems sergantiems sklerodermija. </w:t>
      </w:r>
      <w:r w:rsidRPr="000A2DE8">
        <w:rPr>
          <w:rFonts w:ascii="Times New Roman" w:hAnsi="Times New Roman"/>
        </w:rPr>
        <w:t>Vartojant Bosentan Accord naujų opų rankų ir kojų pirštuose atsiranda mažiau.</w:t>
      </w:r>
    </w:p>
    <w:p w14:paraId="7F9804B2"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05F91961"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404F4354" w14:textId="77777777" w:rsidR="00CD51A4" w:rsidRPr="000A2DE8" w:rsidRDefault="00CD51A4" w:rsidP="005B092D">
      <w:pPr>
        <w:keepNext/>
        <w:widowControl w:val="0"/>
        <w:numPr>
          <w:ilvl w:val="0"/>
          <w:numId w:val="4"/>
        </w:numPr>
        <w:autoSpaceDE w:val="0"/>
        <w:autoSpaceDN w:val="0"/>
        <w:adjustRightInd w:val="0"/>
        <w:spacing w:after="0" w:line="240" w:lineRule="auto"/>
        <w:ind w:left="567" w:right="1" w:hanging="567"/>
        <w:rPr>
          <w:rFonts w:ascii="Times New Roman" w:eastAsia="Times New Roman" w:hAnsi="Times New Roman"/>
          <w:b/>
          <w:bCs/>
          <w:color w:val="000000"/>
          <w:spacing w:val="-1"/>
        </w:rPr>
      </w:pPr>
      <w:r w:rsidRPr="000A2DE8">
        <w:rPr>
          <w:rFonts w:ascii="Times New Roman" w:hAnsi="Times New Roman"/>
          <w:b/>
          <w:color w:val="000000"/>
          <w:spacing w:val="-1"/>
        </w:rPr>
        <w:lastRenderedPageBreak/>
        <w:t>Kas žinotina prieš vartojant Bosentan Accord</w:t>
      </w:r>
    </w:p>
    <w:p w14:paraId="3BD6C3FC" w14:textId="77777777" w:rsidR="00CD51A4" w:rsidRPr="000A2DE8" w:rsidRDefault="00CD51A4" w:rsidP="005B092D">
      <w:pPr>
        <w:keepNext/>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p>
    <w:p w14:paraId="3929658D" w14:textId="14E40BE6" w:rsidR="00CD51A4" w:rsidRPr="000A2DE8" w:rsidRDefault="00CD51A4" w:rsidP="005B092D">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 xml:space="preserve">Bosentan Accord vartoti </w:t>
      </w:r>
      <w:r w:rsidR="00BA7AE2">
        <w:rPr>
          <w:rFonts w:ascii="Times New Roman" w:hAnsi="Times New Roman"/>
          <w:b/>
          <w:color w:val="000000"/>
          <w:spacing w:val="-1"/>
        </w:rPr>
        <w:t>draudž</w:t>
      </w:r>
      <w:r w:rsidRPr="000A2DE8">
        <w:rPr>
          <w:rFonts w:ascii="Times New Roman" w:hAnsi="Times New Roman"/>
          <w:b/>
          <w:color w:val="000000"/>
          <w:spacing w:val="-1"/>
        </w:rPr>
        <w:t>i</w:t>
      </w:r>
      <w:r w:rsidR="00BA7AE2">
        <w:rPr>
          <w:rFonts w:ascii="Times New Roman" w:hAnsi="Times New Roman"/>
          <w:b/>
          <w:color w:val="000000"/>
          <w:spacing w:val="-1"/>
        </w:rPr>
        <w:t>a</w:t>
      </w:r>
      <w:r w:rsidRPr="000A2DE8">
        <w:rPr>
          <w:rFonts w:ascii="Times New Roman" w:hAnsi="Times New Roman"/>
          <w:b/>
          <w:color w:val="000000"/>
          <w:spacing w:val="-1"/>
        </w:rPr>
        <w:t>ma:</w:t>
      </w:r>
    </w:p>
    <w:p w14:paraId="0429A53F" w14:textId="77777777" w:rsidR="00CD51A4" w:rsidRPr="000A2DE8" w:rsidRDefault="00CD51A4" w:rsidP="005B092D">
      <w:pPr>
        <w:keepNext/>
        <w:widowControl w:val="0"/>
        <w:numPr>
          <w:ilvl w:val="0"/>
          <w:numId w:val="5"/>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jeigu yra alergija bozentanui</w:t>
      </w:r>
      <w:r w:rsidRPr="000A2DE8">
        <w:rPr>
          <w:rFonts w:ascii="Times New Roman" w:hAnsi="Times New Roman"/>
        </w:rPr>
        <w:t xml:space="preserve"> arba bet kuriai pagalbinei šio vaisto medžiagai (jos išvardytos 6 skyriuje);</w:t>
      </w:r>
    </w:p>
    <w:p w14:paraId="4CB51F41" w14:textId="77777777" w:rsidR="00CD51A4" w:rsidRPr="000A2DE8" w:rsidRDefault="00CD51A4" w:rsidP="005B092D">
      <w:pPr>
        <w:widowControl w:val="0"/>
        <w:numPr>
          <w:ilvl w:val="0"/>
          <w:numId w:val="5"/>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jeigu turite problemų su kepenimis</w:t>
      </w:r>
      <w:r w:rsidRPr="000A2DE8">
        <w:rPr>
          <w:rFonts w:ascii="Times New Roman" w:hAnsi="Times New Roman"/>
        </w:rPr>
        <w:t xml:space="preserve"> (pasiteiraukite gydytojo);</w:t>
      </w:r>
    </w:p>
    <w:p w14:paraId="5B7CD162" w14:textId="77777777" w:rsidR="00CD51A4" w:rsidRPr="000A2DE8" w:rsidRDefault="00CD51A4" w:rsidP="005B092D">
      <w:pPr>
        <w:widowControl w:val="0"/>
        <w:numPr>
          <w:ilvl w:val="0"/>
          <w:numId w:val="5"/>
        </w:numPr>
        <w:tabs>
          <w:tab w:val="clear" w:pos="567"/>
          <w:tab w:val="num" w:pos="0"/>
          <w:tab w:val="left" w:pos="68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jeigu esate nėščia arba galite pastoti</w:t>
      </w:r>
      <w:r w:rsidRPr="000A2DE8">
        <w:rPr>
          <w:rFonts w:ascii="Times New Roman" w:hAnsi="Times New Roman"/>
        </w:rPr>
        <w:t>, nes nesinaudojate patikimomis kontraceptinėmis priemonėmis.</w:t>
      </w:r>
      <w:r w:rsidRPr="000A2DE8">
        <w:rPr>
          <w:rFonts w:ascii="Times New Roman" w:hAnsi="Times New Roman"/>
          <w:color w:val="000000"/>
        </w:rPr>
        <w:t xml:space="preserve"> Perskaitykite informaciją skyriuose „Kontraceptikai“ ir „Kiti vaistai ir Bosentan Accord“ </w:t>
      </w:r>
    </w:p>
    <w:p w14:paraId="5E799576" w14:textId="77777777" w:rsidR="00CD51A4" w:rsidRPr="000A2DE8" w:rsidRDefault="00CD51A4" w:rsidP="005B092D">
      <w:pPr>
        <w:widowControl w:val="0"/>
        <w:numPr>
          <w:ilvl w:val="0"/>
          <w:numId w:val="5"/>
        </w:numPr>
        <w:tabs>
          <w:tab w:val="clear" w:pos="567"/>
          <w:tab w:val="num" w:pos="0"/>
          <w:tab w:val="left" w:pos="680"/>
        </w:tabs>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rPr>
        <w:t>jeigu vartojate ciklosporiną A</w:t>
      </w:r>
      <w:r w:rsidRPr="000A2DE8">
        <w:rPr>
          <w:rFonts w:ascii="Times New Roman" w:hAnsi="Times New Roman"/>
        </w:rPr>
        <w:t xml:space="preserve"> (preparatą, vartojamą po transplantacijos ar gydant psoriazę).</w:t>
      </w:r>
    </w:p>
    <w:p w14:paraId="7967A92E" w14:textId="77777777" w:rsidR="00CD51A4" w:rsidRPr="000A2DE8" w:rsidRDefault="00CD51A4" w:rsidP="005B092D">
      <w:pPr>
        <w:widowControl w:val="0"/>
        <w:tabs>
          <w:tab w:val="left" w:pos="680"/>
        </w:tabs>
        <w:autoSpaceDE w:val="0"/>
        <w:autoSpaceDN w:val="0"/>
        <w:adjustRightInd w:val="0"/>
        <w:spacing w:after="0" w:line="240" w:lineRule="auto"/>
        <w:ind w:right="1"/>
        <w:rPr>
          <w:rFonts w:ascii="Times New Roman" w:eastAsia="Times New Roman" w:hAnsi="Times New Roman"/>
          <w:color w:val="000000"/>
          <w:spacing w:val="-4"/>
        </w:rPr>
      </w:pPr>
    </w:p>
    <w:p w14:paraId="18D23755" w14:textId="77777777" w:rsidR="00CD51A4" w:rsidRPr="000A2DE8" w:rsidRDefault="00CD51A4" w:rsidP="005B092D">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Jeigu abejojate, ar kuri nors iš minėtų būklių Jums tinka, pasikalbėkite su savo gydytoju.</w:t>
      </w:r>
    </w:p>
    <w:p w14:paraId="53A187D4" w14:textId="77777777" w:rsidR="00CD51A4" w:rsidRPr="000A2DE8" w:rsidRDefault="00CD51A4" w:rsidP="005B092D">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76E4A295"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Įspėjimai ir atsargumo priemonės</w:t>
      </w:r>
    </w:p>
    <w:p w14:paraId="3C3E34C7"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
          <w:bCs/>
          <w:color w:val="000000"/>
          <w:spacing w:val="-1"/>
        </w:rPr>
      </w:pPr>
    </w:p>
    <w:p w14:paraId="397B7981"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Tyrimai, kuriuos atliks Jūsų gydytojas prieš pradėdamas gydymą</w:t>
      </w:r>
    </w:p>
    <w:p w14:paraId="50F12114" w14:textId="77777777" w:rsidR="00CD51A4" w:rsidRPr="000A2DE8" w:rsidRDefault="00CD51A4" w:rsidP="005B092D">
      <w:pPr>
        <w:widowControl w:val="0"/>
        <w:numPr>
          <w:ilvl w:val="0"/>
          <w:numId w:val="6"/>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kraujo tyrimą kepenų funkcijai patikrinti;</w:t>
      </w:r>
    </w:p>
    <w:p w14:paraId="4D8EE697" w14:textId="77777777" w:rsidR="00CD51A4" w:rsidRPr="000A2DE8" w:rsidRDefault="00CD51A4" w:rsidP="005B092D">
      <w:pPr>
        <w:widowControl w:val="0"/>
        <w:numPr>
          <w:ilvl w:val="0"/>
          <w:numId w:val="6"/>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kraujo tyrimą patikrinti dėl mažakraujystės (anemijos, t. y. ar netrūksta hemoglobino);</w:t>
      </w:r>
    </w:p>
    <w:p w14:paraId="7E30FF06" w14:textId="77777777" w:rsidR="00CD51A4" w:rsidRPr="000A2DE8" w:rsidRDefault="00CD51A4" w:rsidP="005B092D">
      <w:pPr>
        <w:widowControl w:val="0"/>
        <w:numPr>
          <w:ilvl w:val="0"/>
          <w:numId w:val="6"/>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jeigu esate vaisingo amžiaus moteris, nėštumo testą.</w:t>
      </w:r>
    </w:p>
    <w:p w14:paraId="38B49705"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Kai kurių Bosentan Accord vartojančių pacientų kepenų veiklos tyrimų rezultatai buvo neįprasti ir nustatyta mažakraujystė (per mažas hemoglobino kiekis). </w:t>
      </w:r>
    </w:p>
    <w:p w14:paraId="03126ED1"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7531ECCA"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Tyrimai, kuriuos atliks Jūsų gydytojas gydymo metu</w:t>
      </w:r>
    </w:p>
    <w:p w14:paraId="1755E950"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Gydymo Bosentan Accord metu gydytojas reguliariai skirs atlikti kraujo tyrimus kepenų veiklai ir hemoglobino kiekiui patikrinti.</w:t>
      </w:r>
    </w:p>
    <w:p w14:paraId="55E46A11"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36C5FD5F"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Daugiau informacijos apie šiuos tyrimus žr. </w:t>
      </w:r>
      <w:r w:rsidR="00146605" w:rsidRPr="000A2DE8">
        <w:rPr>
          <w:rFonts w:ascii="Times New Roman" w:hAnsi="Times New Roman"/>
          <w:color w:val="000000"/>
        </w:rPr>
        <w:t>P</w:t>
      </w:r>
      <w:r w:rsidRPr="000A2DE8">
        <w:rPr>
          <w:rFonts w:ascii="Times New Roman" w:hAnsi="Times New Roman"/>
          <w:color w:val="000000"/>
        </w:rPr>
        <w:t>aciento įspėjamojoje kortelėje (ji yra Bosentan Accord pakuotės viduje). Vartojant Bosentan Accord labai svarbu reguliariai atlikti šiuos kraujo tyrimus. Paciento įspėjamojoje kortelėje siūlome užsirašyti naujausio tyrimo datą ir kito tyrimo datą (kada reikės atlikti kitą tyrimą, klauskite gydytojo); taip galėsite lengviau prisiminti, kada reikia atlikti tyrimą.</w:t>
      </w:r>
    </w:p>
    <w:p w14:paraId="6495EE44"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66E28EDA"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rPr>
        <w:t>Kepenų veiklos kraujo tyrimas</w:t>
      </w:r>
    </w:p>
    <w:p w14:paraId="1C8F2D78"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Cs/>
        </w:rPr>
      </w:pPr>
      <w:r w:rsidRPr="000A2DE8">
        <w:rPr>
          <w:rFonts w:ascii="Times New Roman" w:hAnsi="Times New Roman"/>
          <w:color w:val="000000"/>
          <w:spacing w:val="2"/>
        </w:rPr>
        <w:t>Šie tyrimai bus atliekami kas mėnesį per visą gydymo Bosentan Accord laikotarpį. Padidinus dozę, papildomas tyrimas bus atliekamas po 2 savaičių.</w:t>
      </w:r>
    </w:p>
    <w:p w14:paraId="3BD01A21"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Cs/>
        </w:rPr>
      </w:pPr>
    </w:p>
    <w:p w14:paraId="39872D0B"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Cs/>
        </w:rPr>
      </w:pPr>
      <w:r w:rsidRPr="000A2DE8">
        <w:rPr>
          <w:rFonts w:ascii="Times New Roman" w:hAnsi="Times New Roman"/>
        </w:rPr>
        <w:t>Kraujo tyrimai dėl mažakraujystės (anemijos)</w:t>
      </w:r>
    </w:p>
    <w:p w14:paraId="11D7DCA9"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Šie tyrimai bus atliekami pirmuosius 4 gydymo mėnesius, po to kas 3 mėnesius, nes Bosentan Accord vartojantiems pacientams gali išsivystyti mažakraujystė.</w:t>
      </w:r>
    </w:p>
    <w:p w14:paraId="2138F4D2"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2114E353"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 xml:space="preserve">Jeigu tyrimo rezultatai neatitinka normos, gydytojas gali nuspręsti sumažinti vaisto dozę arba nutraukti gydymą </w:t>
      </w:r>
    </w:p>
    <w:p w14:paraId="3961A21F"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position w:val="-1"/>
        </w:rPr>
      </w:pPr>
      <w:r w:rsidRPr="000A2DE8">
        <w:rPr>
          <w:rFonts w:ascii="Times New Roman" w:hAnsi="Times New Roman"/>
          <w:color w:val="000000"/>
          <w:spacing w:val="2"/>
          <w:position w:val="-1"/>
        </w:rPr>
        <w:t>Bosentan Accord ir atlikti tolesnius tyrimus priežasčiai nustatyti.</w:t>
      </w:r>
    </w:p>
    <w:p w14:paraId="7195573A"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position w:val="-1"/>
        </w:rPr>
      </w:pPr>
    </w:p>
    <w:p w14:paraId="09402F5B"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 xml:space="preserve">Vaikams ir paaugliams </w:t>
      </w:r>
    </w:p>
    <w:p w14:paraId="7E655D18"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Bosentan Accord nerekomenduojamas vaikams, sergantiems sistemine skleroze ir progresuojančia pirštų opalige. Prašome taip pat žiūrėti 3 skyrių Kaip vartoti Bosentan Accord</w:t>
      </w:r>
    </w:p>
    <w:p w14:paraId="11B153EA"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5AECE497"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color w:val="000000"/>
          <w:spacing w:val="2"/>
        </w:rPr>
        <w:t>Kiti vaistai ir Bosentan Accord</w:t>
      </w:r>
    </w:p>
    <w:p w14:paraId="4D0A519E"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Jeigu vartojate ar neseniai vartojote kitų vaistų arba dėl to nesate tikri, apie tai pasakykite gydytojui arba vaistininkui. Ypač svarbu pasakyti gydytojui, jei kartu vartojate:</w:t>
      </w:r>
    </w:p>
    <w:p w14:paraId="1FE9EF4B" w14:textId="77777777" w:rsidR="00CD51A4" w:rsidRPr="000A2DE8" w:rsidRDefault="00CD51A4" w:rsidP="005B092D">
      <w:pPr>
        <w:widowControl w:val="0"/>
        <w:numPr>
          <w:ilvl w:val="0"/>
          <w:numId w:val="7"/>
        </w:numPr>
        <w:tabs>
          <w:tab w:val="left" w:pos="540"/>
        </w:tabs>
        <w:autoSpaceDE w:val="0"/>
        <w:autoSpaceDN w:val="0"/>
        <w:adjustRightInd w:val="0"/>
        <w:spacing w:after="0" w:line="240" w:lineRule="auto"/>
        <w:ind w:right="1"/>
        <w:rPr>
          <w:rFonts w:ascii="Times New Roman" w:eastAsia="Times New Roman" w:hAnsi="Times New Roman"/>
          <w:color w:val="000000"/>
          <w:spacing w:val="1"/>
        </w:rPr>
      </w:pPr>
      <w:r w:rsidRPr="000A2DE8">
        <w:rPr>
          <w:rFonts w:ascii="Times New Roman" w:hAnsi="Times New Roman"/>
          <w:color w:val="000000"/>
          <w:spacing w:val="-2"/>
        </w:rPr>
        <w:t>ciklosporiną A (vaistą, vartojamą po transplantacijos ar gydant psoriazę), kurį draudžiama vartoti kartu su Bosentan Accord;</w:t>
      </w:r>
    </w:p>
    <w:p w14:paraId="6C8DE25D" w14:textId="77777777" w:rsidR="00CD51A4" w:rsidRPr="000A2DE8" w:rsidRDefault="00CD51A4" w:rsidP="005B092D">
      <w:pPr>
        <w:widowControl w:val="0"/>
        <w:numPr>
          <w:ilvl w:val="0"/>
          <w:numId w:val="7"/>
        </w:numPr>
        <w:tabs>
          <w:tab w:val="left" w:pos="54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 xml:space="preserve">sirolimuzą ar takrolimuzą (vaistus, vartojamus po transplantacijos), nes </w:t>
      </w:r>
      <w:r w:rsidR="00BD77FA" w:rsidRPr="000A2DE8">
        <w:rPr>
          <w:rFonts w:ascii="Times New Roman" w:hAnsi="Times New Roman"/>
          <w:color w:val="000000"/>
          <w:spacing w:val="1"/>
        </w:rPr>
        <w:t>ne</w:t>
      </w:r>
      <w:r w:rsidRPr="000A2DE8">
        <w:rPr>
          <w:rFonts w:ascii="Times New Roman" w:hAnsi="Times New Roman"/>
          <w:color w:val="000000"/>
          <w:spacing w:val="1"/>
        </w:rPr>
        <w:t>rekomenduojama jų vartoti kartu su Bosentan Accord;</w:t>
      </w:r>
    </w:p>
    <w:p w14:paraId="1A320CFD" w14:textId="77777777" w:rsidR="00CD51A4" w:rsidRPr="000A2DE8" w:rsidRDefault="00CD51A4" w:rsidP="005B092D">
      <w:pPr>
        <w:numPr>
          <w:ilvl w:val="0"/>
          <w:numId w:val="7"/>
        </w:numPr>
        <w:autoSpaceDE w:val="0"/>
        <w:autoSpaceDN w:val="0"/>
        <w:adjustRightInd w:val="0"/>
        <w:spacing w:after="0" w:line="240" w:lineRule="auto"/>
        <w:ind w:right="1"/>
        <w:rPr>
          <w:rFonts w:ascii="Times New Roman" w:eastAsia="Times New Roman" w:hAnsi="Times New Roman"/>
          <w:color w:val="000000"/>
          <w:spacing w:val="1"/>
        </w:rPr>
      </w:pPr>
      <w:r w:rsidRPr="000A2DE8">
        <w:rPr>
          <w:rFonts w:ascii="Times New Roman" w:hAnsi="Times New Roman"/>
          <w:color w:val="000000"/>
          <w:spacing w:val="-2"/>
        </w:rPr>
        <w:lastRenderedPageBreak/>
        <w:t>glibenklamidą (</w:t>
      </w:r>
      <w:r w:rsidR="00723FE0" w:rsidRPr="000A2DE8">
        <w:rPr>
          <w:rFonts w:ascii="Times New Roman" w:hAnsi="Times New Roman"/>
          <w:color w:val="000000"/>
          <w:spacing w:val="-2"/>
        </w:rPr>
        <w:t xml:space="preserve">vaistą </w:t>
      </w:r>
      <w:r w:rsidRPr="000A2DE8">
        <w:rPr>
          <w:rFonts w:ascii="Times New Roman" w:hAnsi="Times New Roman"/>
          <w:color w:val="000000"/>
          <w:spacing w:val="-2"/>
        </w:rPr>
        <w:t>cukriniam diabetui gydyti), rifampiciną (</w:t>
      </w:r>
      <w:r w:rsidR="00723FE0" w:rsidRPr="000A2DE8">
        <w:rPr>
          <w:rFonts w:ascii="Times New Roman" w:hAnsi="Times New Roman"/>
          <w:color w:val="000000"/>
          <w:spacing w:val="-2"/>
        </w:rPr>
        <w:t xml:space="preserve">vaistą </w:t>
      </w:r>
      <w:r w:rsidRPr="000A2DE8">
        <w:rPr>
          <w:rFonts w:ascii="Times New Roman" w:hAnsi="Times New Roman"/>
          <w:color w:val="000000"/>
          <w:spacing w:val="-2"/>
        </w:rPr>
        <w:t>tuberkuliozei gydyti)</w:t>
      </w:r>
      <w:r w:rsidR="00BD77FA" w:rsidRPr="000A2DE8">
        <w:rPr>
          <w:rFonts w:ascii="Times New Roman" w:hAnsi="Times New Roman"/>
          <w:color w:val="000000"/>
          <w:spacing w:val="-2"/>
        </w:rPr>
        <w:t>,</w:t>
      </w:r>
      <w:r w:rsidRPr="000A2DE8">
        <w:rPr>
          <w:rFonts w:ascii="Times New Roman" w:hAnsi="Times New Roman"/>
          <w:color w:val="000000"/>
          <w:spacing w:val="-2"/>
        </w:rPr>
        <w:t xml:space="preserve"> flukonazolą (grybelinėms infekcijoms gydyti), </w:t>
      </w:r>
      <w:r w:rsidR="008F201D" w:rsidRPr="000A2DE8">
        <w:rPr>
          <w:rFonts w:ascii="Times New Roman" w:hAnsi="Times New Roman"/>
          <w:color w:val="000000"/>
          <w:spacing w:val="-2"/>
        </w:rPr>
        <w:t xml:space="preserve">ketokonazolą (vaistą Kušingo sindromui gydyti) arba </w:t>
      </w:r>
      <w:r w:rsidRPr="000A2DE8">
        <w:rPr>
          <w:rFonts w:ascii="Times New Roman" w:hAnsi="Times New Roman"/>
          <w:color w:val="000000"/>
          <w:spacing w:val="-2"/>
        </w:rPr>
        <w:t>nevirapiną (</w:t>
      </w:r>
      <w:r w:rsidR="00723FE0" w:rsidRPr="000A2DE8">
        <w:rPr>
          <w:rFonts w:ascii="Times New Roman" w:hAnsi="Times New Roman"/>
          <w:color w:val="000000"/>
          <w:spacing w:val="-2"/>
        </w:rPr>
        <w:t xml:space="preserve">vaistą </w:t>
      </w:r>
      <w:r w:rsidRPr="000A2DE8">
        <w:rPr>
          <w:rFonts w:ascii="Times New Roman" w:hAnsi="Times New Roman"/>
          <w:color w:val="000000"/>
          <w:spacing w:val="-2"/>
        </w:rPr>
        <w:t>ŽIV infekcijai gydyti), nes nerekomenduojama šių vaistų vartoti kartu su Bosentan Accord;</w:t>
      </w:r>
    </w:p>
    <w:p w14:paraId="0D28FB7D" w14:textId="77777777" w:rsidR="00CD51A4" w:rsidRPr="000A2DE8" w:rsidRDefault="00CD51A4" w:rsidP="005B092D">
      <w:pPr>
        <w:numPr>
          <w:ilvl w:val="0"/>
          <w:numId w:val="7"/>
        </w:numPr>
        <w:autoSpaceDE w:val="0"/>
        <w:autoSpaceDN w:val="0"/>
        <w:adjustRightInd w:val="0"/>
        <w:spacing w:after="0" w:line="240" w:lineRule="auto"/>
        <w:ind w:right="1"/>
        <w:rPr>
          <w:rFonts w:ascii="Times New Roman" w:eastAsia="Times New Roman" w:hAnsi="Times New Roman"/>
          <w:color w:val="000000"/>
          <w:spacing w:val="1"/>
        </w:rPr>
      </w:pPr>
      <w:r w:rsidRPr="000A2DE8">
        <w:rPr>
          <w:rFonts w:ascii="Times New Roman" w:hAnsi="Times New Roman"/>
          <w:color w:val="000000"/>
          <w:spacing w:val="1"/>
        </w:rPr>
        <w:t>kitų vaistų ŽIV infekcijai gydyti, kuriems gali reikėti specialaus stebėjimo, vartojant kartu su Bosentan Accord;</w:t>
      </w:r>
    </w:p>
    <w:p w14:paraId="78449903" w14:textId="77777777" w:rsidR="00CD51A4" w:rsidRPr="000A2DE8" w:rsidRDefault="00CD51A4" w:rsidP="005B092D">
      <w:pPr>
        <w:widowControl w:val="0"/>
        <w:numPr>
          <w:ilvl w:val="0"/>
          <w:numId w:val="7"/>
        </w:numPr>
        <w:tabs>
          <w:tab w:val="left" w:pos="54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hormoninių kontraceptikų (nes gydantis Bosentan Accord jie nėra veiksmingi vartojant kaip vienintelį kontracepcijos metodą). Bosentan Accord tablečių pakuotėje Jūs rasite </w:t>
      </w:r>
      <w:r w:rsidR="00723FE0" w:rsidRPr="000A2DE8">
        <w:rPr>
          <w:rFonts w:ascii="Times New Roman" w:hAnsi="Times New Roman"/>
          <w:color w:val="000000"/>
        </w:rPr>
        <w:t>P</w:t>
      </w:r>
      <w:r w:rsidRPr="000A2DE8">
        <w:rPr>
          <w:rFonts w:ascii="Times New Roman" w:hAnsi="Times New Roman"/>
          <w:color w:val="000000"/>
        </w:rPr>
        <w:t>aciento įspėjamąją kortelę, kurią turite įdėmiai perskaityti. Jūsų gydytojas ir (arba) ginekologas parinks Jums tinkamą kontracepcijos metodą.</w:t>
      </w:r>
    </w:p>
    <w:p w14:paraId="7AAF078A" w14:textId="77777777" w:rsidR="003A5CD1" w:rsidRPr="000A2DE8" w:rsidRDefault="001F61CE" w:rsidP="005B092D">
      <w:pPr>
        <w:widowControl w:val="0"/>
        <w:numPr>
          <w:ilvl w:val="0"/>
          <w:numId w:val="7"/>
        </w:numPr>
        <w:tabs>
          <w:tab w:val="left" w:pos="540"/>
        </w:tabs>
        <w:autoSpaceDE w:val="0"/>
        <w:autoSpaceDN w:val="0"/>
        <w:adjustRightInd w:val="0"/>
        <w:spacing w:after="0" w:line="240" w:lineRule="auto"/>
        <w:ind w:right="1"/>
        <w:rPr>
          <w:rFonts w:ascii="Times New Roman" w:hAnsi="Times New Roman"/>
          <w:i/>
          <w:iCs/>
          <w:szCs w:val="24"/>
        </w:rPr>
      </w:pPr>
      <w:r w:rsidRPr="000A2DE8">
        <w:rPr>
          <w:rFonts w:ascii="Times New Roman" w:hAnsi="Times New Roman"/>
          <w:iCs/>
          <w:szCs w:val="24"/>
        </w:rPr>
        <w:t>k</w:t>
      </w:r>
      <w:r w:rsidR="003A5CD1" w:rsidRPr="000A2DE8">
        <w:rPr>
          <w:rFonts w:ascii="Times New Roman" w:hAnsi="Times New Roman"/>
          <w:iCs/>
          <w:szCs w:val="24"/>
        </w:rPr>
        <w:t xml:space="preserve">itų vaistų plautinei hipertenzijai gydyti: sildenafilio, tadalafilio; </w:t>
      </w:r>
    </w:p>
    <w:p w14:paraId="27C1384A" w14:textId="77777777" w:rsidR="003A5CD1" w:rsidRPr="000A2DE8" w:rsidRDefault="003A5CD1" w:rsidP="005B092D">
      <w:pPr>
        <w:widowControl w:val="0"/>
        <w:numPr>
          <w:ilvl w:val="0"/>
          <w:numId w:val="7"/>
        </w:numPr>
        <w:tabs>
          <w:tab w:val="left" w:pos="540"/>
        </w:tabs>
        <w:autoSpaceDE w:val="0"/>
        <w:autoSpaceDN w:val="0"/>
        <w:adjustRightInd w:val="0"/>
        <w:spacing w:after="0" w:line="240" w:lineRule="auto"/>
        <w:ind w:right="1"/>
        <w:rPr>
          <w:rFonts w:ascii="Times New Roman" w:hAnsi="Times New Roman"/>
          <w:i/>
          <w:iCs/>
          <w:szCs w:val="24"/>
        </w:rPr>
      </w:pPr>
      <w:r w:rsidRPr="000A2DE8">
        <w:rPr>
          <w:rFonts w:ascii="Times New Roman" w:hAnsi="Times New Roman"/>
          <w:iCs/>
          <w:szCs w:val="24"/>
        </w:rPr>
        <w:t xml:space="preserve">varfarino (krešėjimą slopinančio vaisto); </w:t>
      </w:r>
    </w:p>
    <w:p w14:paraId="3A992BCD" w14:textId="77777777" w:rsidR="00EF0E14" w:rsidRPr="000A2DE8" w:rsidRDefault="003A5CD1" w:rsidP="005B092D">
      <w:pPr>
        <w:widowControl w:val="0"/>
        <w:numPr>
          <w:ilvl w:val="0"/>
          <w:numId w:val="7"/>
        </w:numPr>
        <w:tabs>
          <w:tab w:val="left" w:pos="540"/>
        </w:tabs>
        <w:autoSpaceDE w:val="0"/>
        <w:autoSpaceDN w:val="0"/>
        <w:adjustRightInd w:val="0"/>
        <w:spacing w:after="0" w:line="240" w:lineRule="auto"/>
        <w:ind w:right="1"/>
        <w:rPr>
          <w:rFonts w:ascii="Times New Roman" w:eastAsia="Times New Roman" w:hAnsi="Times New Roman"/>
          <w:color w:val="000000"/>
          <w:sz w:val="20"/>
        </w:rPr>
      </w:pPr>
      <w:r w:rsidRPr="000A2DE8">
        <w:rPr>
          <w:rFonts w:ascii="Times New Roman" w:hAnsi="Times New Roman"/>
          <w:iCs/>
          <w:szCs w:val="24"/>
        </w:rPr>
        <w:t>simvastatino (hipercholesterolemijai gydyti).</w:t>
      </w:r>
    </w:p>
    <w:p w14:paraId="213224CD"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1BBA9156"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color w:val="000000"/>
          <w:spacing w:val="-1"/>
        </w:rPr>
        <w:t>Vairavimas ir mechanizmų valdymas</w:t>
      </w:r>
    </w:p>
    <w:p w14:paraId="5F6640F2"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Bosentan Accord neveikia arba veikia nereikšmingai gebėjimą vairuoti ir valdyti mechanizmus. Vis dėlto Bosentan Accord gali sukelti hipotenziją (sumažinti jūsų kraujospūdį), dėl to gali pasireikšti svaigulys</w:t>
      </w:r>
      <w:r w:rsidR="001477E6" w:rsidRPr="000A2DE8">
        <w:rPr>
          <w:rFonts w:ascii="Times New Roman" w:hAnsi="Times New Roman"/>
          <w:color w:val="000000"/>
        </w:rPr>
        <w:t>, pablogėti regėjimas</w:t>
      </w:r>
      <w:r w:rsidRPr="000A2DE8">
        <w:rPr>
          <w:rFonts w:ascii="Times New Roman" w:hAnsi="Times New Roman"/>
          <w:color w:val="000000"/>
        </w:rPr>
        <w:t xml:space="preserve"> ir suprastėti gebėjimas vairuoti bei valdyti mechanizmus. Taigi, jeigu jaučiatės apsvaigęs</w:t>
      </w:r>
      <w:r w:rsidR="001477E6" w:rsidRPr="000A2DE8">
        <w:t xml:space="preserve"> </w:t>
      </w:r>
      <w:r w:rsidR="001477E6" w:rsidRPr="000A2DE8">
        <w:rPr>
          <w:rFonts w:ascii="Times New Roman" w:hAnsi="Times New Roman"/>
          <w:color w:val="000000"/>
        </w:rPr>
        <w:t>arba matote lyg per miglą,</w:t>
      </w:r>
      <w:r w:rsidRPr="000A2DE8">
        <w:rPr>
          <w:rFonts w:ascii="Times New Roman" w:hAnsi="Times New Roman"/>
          <w:color w:val="000000"/>
        </w:rPr>
        <w:t xml:space="preserve"> vartodamas Bosentan Accord, nevairuokite ir nesinaudokite mechanizmais.</w:t>
      </w:r>
    </w:p>
    <w:p w14:paraId="70D6604C"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p>
    <w:p w14:paraId="6B394263" w14:textId="77777777" w:rsidR="00CD51A4" w:rsidRPr="000A2DE8" w:rsidRDefault="00CD51A4" w:rsidP="005B092D">
      <w:pPr>
        <w:autoSpaceDE w:val="0"/>
        <w:autoSpaceDN w:val="0"/>
        <w:adjustRightInd w:val="0"/>
        <w:spacing w:after="0" w:line="240" w:lineRule="auto"/>
        <w:ind w:right="1"/>
        <w:rPr>
          <w:rFonts w:ascii="Times New Roman" w:hAnsi="Times New Roman"/>
          <w:b/>
          <w:color w:val="000000"/>
        </w:rPr>
      </w:pPr>
      <w:r w:rsidRPr="000A2DE8">
        <w:rPr>
          <w:rFonts w:ascii="Times New Roman" w:hAnsi="Times New Roman"/>
          <w:b/>
          <w:color w:val="000000"/>
        </w:rPr>
        <w:t>Nėštumas, žindymo laikotarpis ir vaisingumas</w:t>
      </w:r>
    </w:p>
    <w:p w14:paraId="0EB4B6B2"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p>
    <w:p w14:paraId="45D17F57"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 xml:space="preserve">Vaisingo amžiaus moterys </w:t>
      </w:r>
    </w:p>
    <w:p w14:paraId="110EFAAF"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NEVARTOKITE Bosentan Accord, jeigu esate nėščia arba planuojate pastoti. </w:t>
      </w:r>
    </w:p>
    <w:p w14:paraId="06B3C965"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p>
    <w:p w14:paraId="3A41D58C"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Nėštumo testai </w:t>
      </w:r>
    </w:p>
    <w:p w14:paraId="0AAA3BFF"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rPr>
        <w:t>Bosentan Accord gali pakenkti negimusiam kūdikiui, jeigu moteris pastoja prieš gydymo pradžią arba gydymo metu.</w:t>
      </w:r>
      <w:r w:rsidRPr="000A2DE8">
        <w:rPr>
          <w:rFonts w:ascii="Times New Roman" w:hAnsi="Times New Roman"/>
          <w:color w:val="000000"/>
        </w:rPr>
        <w:t xml:space="preserve"> Jeigu esate vaisingo amžiaus moteris, gydytojas paprašys atlikti nėštumo testą prieš pradedant gydymą Bosentan Accord ir reguliariai Bosentan Accord vartojimo metu.</w:t>
      </w:r>
    </w:p>
    <w:p w14:paraId="3FCC5AD6"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1DC59C3C"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Kontraceptikai </w:t>
      </w:r>
    </w:p>
    <w:p w14:paraId="41077121"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Jeigu yra galimybė pastoti, Bosentan Accord vartojimo laikotarpiu naudokite patikimos formos pastojimo kontrolės priemones (kontraceptikus). Gydytojas arba ginekologas patars, kokios kontracepcijos priemonės yra patikimos vartojant Bosentan Accord. Kadangi vartojant Bosentan Accord hormoninės kontracepcijos priemonės (pvz., geriamosios, švirkščiamosios, implantuojamosios arba pleistrai) gali tapti neveiksmingos, vien tik šis metodas nėra patikimas. Todėl, jeigu vartojate arba naudojate hormoninius kontraceptikus, turite kartu naudoti ir barjerines apsaugos priemones (pvz., prezervatyvus moterims, diafragmas, kontraceptinę kempinę arba Jūsų partneris turi naudoti prezervatyvą). Bosentan Accord tablečių pakuotėje rasite </w:t>
      </w:r>
      <w:r w:rsidR="00723FE0" w:rsidRPr="000A2DE8">
        <w:rPr>
          <w:rFonts w:ascii="Times New Roman" w:hAnsi="Times New Roman"/>
          <w:color w:val="000000"/>
        </w:rPr>
        <w:t>P</w:t>
      </w:r>
      <w:r w:rsidRPr="000A2DE8">
        <w:rPr>
          <w:rFonts w:ascii="Times New Roman" w:hAnsi="Times New Roman"/>
          <w:color w:val="000000"/>
        </w:rPr>
        <w:t xml:space="preserve">aciento </w:t>
      </w:r>
      <w:r w:rsidR="00723FE0" w:rsidRPr="000A2DE8">
        <w:rPr>
          <w:rFonts w:ascii="Times New Roman" w:hAnsi="Times New Roman"/>
          <w:color w:val="000000"/>
        </w:rPr>
        <w:t xml:space="preserve">įspėjamąją </w:t>
      </w:r>
      <w:r w:rsidRPr="000A2DE8">
        <w:rPr>
          <w:rFonts w:ascii="Times New Roman" w:hAnsi="Times New Roman"/>
          <w:color w:val="000000"/>
        </w:rPr>
        <w:t xml:space="preserve">kortelę. Būtinai užpildykite šią kortelę ir atsineškite ją kito vizito pas gydytoją metu, kad gydytojas arba ginekologas galėtų įvertinti, ar Jums reikia naudoti papildomą arba alternatyvų kontracepcijos metodą. </w:t>
      </w:r>
      <w:r w:rsidRPr="000A2DE8">
        <w:rPr>
          <w:rFonts w:ascii="Times New Roman" w:hAnsi="Times New Roman"/>
        </w:rPr>
        <w:t>Jeigu esate vaisingo amžiaus, gydantis preparatu Bosentan Accord rekomenduojama kas mėnesį atlikti nėštumo testą.</w:t>
      </w:r>
    </w:p>
    <w:p w14:paraId="558BD5D4"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p>
    <w:p w14:paraId="709713DC" w14:textId="77777777" w:rsidR="008F201D" w:rsidRPr="000A2DE8" w:rsidRDefault="008F201D"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Nedelsdama praneškite gydytojui, jeigu pastojote Bosentan Accord vartojimo laikotarpiu arba planuojate pastoti netolimoje ateityje.</w:t>
      </w:r>
    </w:p>
    <w:p w14:paraId="6EE1C3B3"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661D8FB4"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Žindymas </w:t>
      </w:r>
    </w:p>
    <w:p w14:paraId="171ED8F7"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rPr>
        <w:t>Nedelsdama pasakykite gydytojui, jeigu žindote kūdikį</w:t>
      </w:r>
      <w:r w:rsidRPr="000A2DE8">
        <w:rPr>
          <w:rFonts w:ascii="Times New Roman" w:hAnsi="Times New Roman"/>
        </w:rPr>
        <w:t>.</w:t>
      </w:r>
      <w:r w:rsidRPr="000A2DE8">
        <w:rPr>
          <w:rFonts w:ascii="Times New Roman" w:hAnsi="Times New Roman"/>
          <w:color w:val="000000"/>
        </w:rPr>
        <w:t xml:space="preserve"> Jeigu Jums skiriama vaisto Bosentan Accord, patartina nemaitinti krūtimi, nes nežinoma, ar šio vaisto patenka į motinos pieną. </w:t>
      </w:r>
    </w:p>
    <w:p w14:paraId="157636C7"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p>
    <w:p w14:paraId="732028DC"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Vaisingumas </w:t>
      </w:r>
    </w:p>
    <w:p w14:paraId="33CC8572" w14:textId="77777777" w:rsidR="00CD51A4" w:rsidRPr="000A2DE8" w:rsidRDefault="00CD51A4" w:rsidP="005B092D">
      <w:pPr>
        <w:widowControl w:val="0"/>
        <w:autoSpaceDE w:val="0"/>
        <w:autoSpaceDN w:val="0"/>
        <w:adjustRightInd w:val="0"/>
        <w:spacing w:after="0" w:line="240" w:lineRule="auto"/>
        <w:ind w:right="1"/>
        <w:rPr>
          <w:rFonts w:ascii="Times New Roman" w:hAnsi="Times New Roman"/>
          <w:color w:val="000000"/>
        </w:rPr>
      </w:pPr>
      <w:r w:rsidRPr="000A2DE8">
        <w:rPr>
          <w:rFonts w:ascii="Times New Roman" w:hAnsi="Times New Roman"/>
          <w:color w:val="000000"/>
        </w:rPr>
        <w:t xml:space="preserve">Jeigu esate vyras ir vartojate Bosentan, gali būti, kad šis vaistinis preparatas sumažins spermatozoidų kiekį. Negalima paneigti tikimybės, kad tai gali paveikti jūsų galimybes apvaisinti. Pasitarkite su gydytoju, jeigu turite su tuo susijusių klausimų arba </w:t>
      </w:r>
      <w:r w:rsidR="00BD77FA" w:rsidRPr="000A2DE8">
        <w:rPr>
          <w:rFonts w:ascii="Times New Roman" w:hAnsi="Times New Roman"/>
          <w:color w:val="000000"/>
        </w:rPr>
        <w:t>neaiškumų</w:t>
      </w:r>
      <w:r w:rsidRPr="000A2DE8">
        <w:rPr>
          <w:rFonts w:ascii="Times New Roman" w:hAnsi="Times New Roman"/>
          <w:color w:val="000000"/>
        </w:rPr>
        <w:t>.</w:t>
      </w:r>
    </w:p>
    <w:p w14:paraId="48283444"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770BAAAC" w14:textId="22ECE977" w:rsidR="00BA7AE2" w:rsidRPr="00BA7AE2" w:rsidRDefault="00BA7AE2" w:rsidP="00A4683A">
      <w:pPr>
        <w:keepNext/>
        <w:widowControl w:val="0"/>
        <w:autoSpaceDE w:val="0"/>
        <w:autoSpaceDN w:val="0"/>
        <w:adjustRightInd w:val="0"/>
        <w:spacing w:after="0" w:line="240" w:lineRule="auto"/>
        <w:ind w:right="1"/>
        <w:rPr>
          <w:rFonts w:ascii="Times New Roman" w:eastAsia="Times New Roman" w:hAnsi="Times New Roman"/>
          <w:b/>
          <w:bCs/>
          <w:color w:val="000000"/>
        </w:rPr>
      </w:pPr>
      <w:r w:rsidRPr="00BA7AE2">
        <w:rPr>
          <w:rFonts w:ascii="Times New Roman" w:eastAsia="Times New Roman" w:hAnsi="Times New Roman"/>
          <w:b/>
          <w:bCs/>
          <w:color w:val="000000"/>
        </w:rPr>
        <w:t>Bosentan Accord sudėtyje yra natrio</w:t>
      </w:r>
    </w:p>
    <w:p w14:paraId="49D7FAEA" w14:textId="0BA9313A" w:rsidR="00BA7AE2" w:rsidRPr="00BA7AE2" w:rsidRDefault="00BA7AE2" w:rsidP="00A4683A">
      <w:pPr>
        <w:keepNext/>
        <w:widowControl w:val="0"/>
        <w:autoSpaceDE w:val="0"/>
        <w:autoSpaceDN w:val="0"/>
        <w:adjustRightInd w:val="0"/>
        <w:spacing w:after="0" w:line="240" w:lineRule="auto"/>
        <w:ind w:right="1"/>
        <w:rPr>
          <w:rFonts w:ascii="Times New Roman" w:eastAsia="Times New Roman" w:hAnsi="Times New Roman"/>
          <w:color w:val="000000"/>
        </w:rPr>
      </w:pPr>
      <w:r w:rsidRPr="00BA7AE2">
        <w:rPr>
          <w:rFonts w:ascii="Times New Roman" w:eastAsia="Times New Roman" w:hAnsi="Times New Roman"/>
          <w:color w:val="000000"/>
        </w:rPr>
        <w:t>Šio vaist</w:t>
      </w:r>
      <w:r>
        <w:rPr>
          <w:rFonts w:ascii="Times New Roman" w:eastAsia="Times New Roman" w:hAnsi="Times New Roman"/>
          <w:color w:val="000000"/>
        </w:rPr>
        <w:t xml:space="preserve">o </w:t>
      </w:r>
      <w:r w:rsidRPr="00BA7AE2">
        <w:rPr>
          <w:rFonts w:ascii="Times New Roman" w:eastAsia="Times New Roman" w:hAnsi="Times New Roman"/>
          <w:color w:val="000000"/>
        </w:rPr>
        <w:t>tabletėje yra mažiau kaip 1 mmol (23 mg) natrio, t. y. jis beveik neturi reikšmės.</w:t>
      </w:r>
    </w:p>
    <w:p w14:paraId="4969E3FA" w14:textId="76F027F5" w:rsidR="00CD51A4"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7639E6D9" w14:textId="77777777" w:rsidR="00BA7AE2" w:rsidRPr="000A2DE8" w:rsidRDefault="00BA7AE2" w:rsidP="005B092D">
      <w:pPr>
        <w:widowControl w:val="0"/>
        <w:autoSpaceDE w:val="0"/>
        <w:autoSpaceDN w:val="0"/>
        <w:adjustRightInd w:val="0"/>
        <w:spacing w:after="0" w:line="240" w:lineRule="auto"/>
        <w:ind w:right="1"/>
        <w:rPr>
          <w:rFonts w:ascii="Times New Roman" w:eastAsia="Times New Roman" w:hAnsi="Times New Roman"/>
          <w:color w:val="000000"/>
        </w:rPr>
      </w:pPr>
    </w:p>
    <w:p w14:paraId="7E5BCE66" w14:textId="77777777" w:rsidR="00CD51A4" w:rsidRPr="000A2DE8" w:rsidRDefault="00CD51A4" w:rsidP="005B092D">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3.</w:t>
      </w:r>
      <w:r w:rsidRPr="000A2DE8">
        <w:rPr>
          <w:rFonts w:ascii="Times New Roman" w:hAnsi="Times New Roman"/>
        </w:rPr>
        <w:tab/>
      </w:r>
      <w:r w:rsidRPr="000A2DE8">
        <w:rPr>
          <w:rFonts w:ascii="Times New Roman" w:hAnsi="Times New Roman"/>
          <w:b/>
          <w:color w:val="000000"/>
          <w:spacing w:val="1"/>
        </w:rPr>
        <w:t>Kaip vartoti Bosentan Accord</w:t>
      </w:r>
    </w:p>
    <w:p w14:paraId="230A246E" w14:textId="77777777" w:rsidR="00CD51A4" w:rsidRPr="000A2DE8" w:rsidRDefault="00CD51A4" w:rsidP="005B092D">
      <w:pPr>
        <w:keepNext/>
        <w:widowControl w:val="0"/>
        <w:autoSpaceDE w:val="0"/>
        <w:autoSpaceDN w:val="0"/>
        <w:adjustRightInd w:val="0"/>
        <w:spacing w:after="0" w:line="240" w:lineRule="auto"/>
        <w:ind w:right="1"/>
        <w:rPr>
          <w:rFonts w:ascii="Times New Roman" w:eastAsia="Times New Roman" w:hAnsi="Times New Roman"/>
          <w:color w:val="000000"/>
        </w:rPr>
      </w:pPr>
    </w:p>
    <w:p w14:paraId="57244FB9" w14:textId="77777777" w:rsidR="00CD51A4" w:rsidRPr="000A2DE8" w:rsidRDefault="00CD51A4" w:rsidP="005B092D">
      <w:pPr>
        <w:keepNext/>
        <w:widowControl w:val="0"/>
        <w:autoSpaceDE w:val="0"/>
        <w:autoSpaceDN w:val="0"/>
        <w:adjustRightInd w:val="0"/>
        <w:spacing w:after="0" w:line="240" w:lineRule="auto"/>
        <w:ind w:right="1"/>
        <w:rPr>
          <w:rFonts w:ascii="Times New Roman" w:hAnsi="Times New Roman"/>
          <w:color w:val="000000"/>
          <w:spacing w:val="-1"/>
        </w:rPr>
      </w:pPr>
      <w:r w:rsidRPr="000A2DE8">
        <w:rPr>
          <w:rFonts w:ascii="Times New Roman" w:hAnsi="Times New Roman"/>
          <w:color w:val="000000"/>
          <w:spacing w:val="-1"/>
        </w:rPr>
        <w:t xml:space="preserve">Gydymą vartojant Bosentan Accord gali pradėti ir stebėti tik gydytojas, turintis patirties gydant plautinę hipertenziją ar sisteminę sklerozę. </w:t>
      </w:r>
    </w:p>
    <w:p w14:paraId="27135C27" w14:textId="77777777" w:rsidR="00CD51A4" w:rsidRPr="000A2DE8" w:rsidRDefault="00CD51A4" w:rsidP="005B092D">
      <w:pPr>
        <w:widowControl w:val="0"/>
        <w:autoSpaceDE w:val="0"/>
        <w:autoSpaceDN w:val="0"/>
        <w:adjustRightInd w:val="0"/>
        <w:spacing w:after="0" w:line="240" w:lineRule="auto"/>
        <w:ind w:right="1"/>
        <w:rPr>
          <w:rFonts w:ascii="Times New Roman" w:hAnsi="Times New Roman"/>
          <w:color w:val="000000"/>
          <w:spacing w:val="-1"/>
        </w:rPr>
      </w:pPr>
    </w:p>
    <w:p w14:paraId="2CC305E2"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Visada vartokite šį vaistą tiksliai kaip nurodė gydytojas. Jeigu abejojate, kreipkitės į gydytoją arba vaistininką.</w:t>
      </w:r>
    </w:p>
    <w:p w14:paraId="50C56E0A"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411B65A7"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Bosentan Accord vartojimas su maistu ir gėrimais</w:t>
      </w:r>
    </w:p>
    <w:p w14:paraId="53178059" w14:textId="77777777" w:rsidR="00CD51A4" w:rsidRPr="000A2DE8" w:rsidRDefault="00CD51A4" w:rsidP="005B092D">
      <w:pPr>
        <w:widowControl w:val="0"/>
        <w:autoSpaceDE w:val="0"/>
        <w:autoSpaceDN w:val="0"/>
        <w:adjustRightInd w:val="0"/>
        <w:spacing w:after="0" w:line="240" w:lineRule="auto"/>
        <w:ind w:right="1"/>
        <w:rPr>
          <w:rFonts w:ascii="Times New Roman" w:hAnsi="Times New Roman"/>
          <w:color w:val="000000"/>
        </w:rPr>
      </w:pPr>
      <w:r w:rsidRPr="000A2DE8">
        <w:rPr>
          <w:rFonts w:ascii="Times New Roman" w:hAnsi="Times New Roman"/>
          <w:color w:val="000000"/>
        </w:rPr>
        <w:t>Bosentan Accord galima vartoti su maistu arba be jo.</w:t>
      </w:r>
    </w:p>
    <w:p w14:paraId="47A3B784"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6EC40CFB"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Rekomenduojama dozė</w:t>
      </w:r>
    </w:p>
    <w:p w14:paraId="7232E4B4"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257CC068" w14:textId="1A721808"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spacing w:val="-1"/>
        </w:rPr>
        <w:t>Suaugusie</w:t>
      </w:r>
      <w:r w:rsidR="00BA7AE2">
        <w:rPr>
          <w:rFonts w:ascii="Times New Roman" w:hAnsi="Times New Roman"/>
          <w:b/>
          <w:color w:val="000000"/>
          <w:spacing w:val="-1"/>
        </w:rPr>
        <w:t>sie</w:t>
      </w:r>
      <w:r w:rsidRPr="000A2DE8">
        <w:rPr>
          <w:rFonts w:ascii="Times New Roman" w:hAnsi="Times New Roman"/>
          <w:b/>
          <w:color w:val="000000"/>
          <w:spacing w:val="-1"/>
        </w:rPr>
        <w:t>ms</w:t>
      </w:r>
    </w:p>
    <w:p w14:paraId="3DEE28BA"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Suaugusiesiems paprastai pirmąsias 4 savaites skiriamos 62,5 mg tabletės dukart per parą (ryte ir vakare), po to gydytojas gali patarti vartoti 125 mg tabletes dukart per parą; tai priklauso nuo Jūsų organizmo reakcijos į Bosentan Accord.</w:t>
      </w:r>
    </w:p>
    <w:p w14:paraId="749D4454"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505345C6"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Vartojimas vaikams ir paaugliams</w:t>
      </w:r>
    </w:p>
    <w:p w14:paraId="25A88F21" w14:textId="2879186D"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Dozavimo rekomendacijos taikomos tik vaikams, sergantiems </w:t>
      </w:r>
      <w:r w:rsidR="00723FE0" w:rsidRPr="000A2DE8">
        <w:rPr>
          <w:rFonts w:ascii="Times New Roman" w:hAnsi="Times New Roman"/>
          <w:color w:val="000000"/>
        </w:rPr>
        <w:t>PH</w:t>
      </w:r>
      <w:r w:rsidRPr="000A2DE8">
        <w:rPr>
          <w:rFonts w:ascii="Times New Roman" w:hAnsi="Times New Roman"/>
          <w:color w:val="000000"/>
        </w:rPr>
        <w:t xml:space="preserve">. </w:t>
      </w:r>
      <w:r w:rsidR="00B05A99">
        <w:rPr>
          <w:rFonts w:ascii="Times New Roman" w:hAnsi="Times New Roman"/>
          <w:color w:val="000000"/>
        </w:rPr>
        <w:t>1</w:t>
      </w:r>
      <w:r w:rsidRPr="000A2DE8">
        <w:rPr>
          <w:rFonts w:ascii="Times New Roman" w:hAnsi="Times New Roman"/>
          <w:color w:val="000000"/>
        </w:rPr>
        <w:t xml:space="preserve"> metų ir vyresniems vaikams gydymo pradžioje paprastai skiriama 2 mg vienam kūno masės kilogramui dozė dukart per parą (ryte ir vakare). Gydytojas nurodys, kokią dozę turite vartoti. </w:t>
      </w:r>
    </w:p>
    <w:p w14:paraId="4E87A26E"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Žinokite, kad bozentanas yra </w:t>
      </w:r>
      <w:r w:rsidR="00BD77FA" w:rsidRPr="000A2DE8">
        <w:rPr>
          <w:rFonts w:ascii="Times New Roman" w:hAnsi="Times New Roman"/>
          <w:color w:val="000000"/>
        </w:rPr>
        <w:t xml:space="preserve">tiekiamas </w:t>
      </w:r>
      <w:r w:rsidRPr="000A2DE8">
        <w:rPr>
          <w:rFonts w:ascii="Times New Roman" w:hAnsi="Times New Roman"/>
          <w:color w:val="000000"/>
        </w:rPr>
        <w:t>ir kitokiomis formomis, kurias vartojant vaikams ir pacientams, kurių kūno svoris mažas ar kuriems sunku praryti plėvele dengtas tabletes, vaistą dozuoti tinkamai gali būti paprasčiau.</w:t>
      </w:r>
    </w:p>
    <w:p w14:paraId="446F2DB4"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783920C3"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Jei Jums atrodo, kad Bosentan Accord poveikis yra per stiprus arba per silpnas, pasitarkite su gydytoju, kad išsiaiškintumėte, ar dozę reikia keisti.</w:t>
      </w:r>
    </w:p>
    <w:p w14:paraId="42AAD8E4"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2F4F8D01"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rPr>
        <w:t>Kaip vartoti Bosentan Accord</w:t>
      </w:r>
    </w:p>
    <w:p w14:paraId="19E1219A"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Tabletes reikia vartoti ryte ir vakare, užgeriant vandeniu. Tabletes galima vartoti su maistu arba be jo.</w:t>
      </w:r>
    </w:p>
    <w:p w14:paraId="6CD2DA4C"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700D8F24" w14:textId="74D23A29"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Ką daryti pavartojus per didelę Bosentan Accord dozę</w:t>
      </w:r>
    </w:p>
    <w:p w14:paraId="533949E5"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Jei išgėrėte daugiau tablečių, nei Jums buvo pasakyta, nedelsdami kreipkitės į gydytoją.</w:t>
      </w:r>
    </w:p>
    <w:p w14:paraId="57D4ACBC"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14F37A45"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Pamiršus pavartoti Bosentan Accord</w:t>
      </w:r>
    </w:p>
    <w:p w14:paraId="5BA677F7"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Jei pamiršote išgerti Bosentan Accord tabletę, ją išgerkite iš karto, kai prisiminsite, tada tabletes vartokite įprastu laiku. Negalima vartoti dvigubos dozės norint kompensuoti praleistą dozę.</w:t>
      </w:r>
    </w:p>
    <w:p w14:paraId="1C5522D6"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092638FF"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Pamiršus pavartoti Bosentan Accord</w:t>
      </w:r>
    </w:p>
    <w:p w14:paraId="1A654C88"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Staiga nutraukus gydymą Bosentan Accord simptomai gali pablogėti. Vaisto Bosentan Accord vartoti nenustokite, jei taip neliepia gydytojas. Gydytojas gali liepti sumažinti dozę kelias dienas prieš visiškai nutraukiant vaisto vartojimą.</w:t>
      </w:r>
    </w:p>
    <w:p w14:paraId="3B35B23B"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16035D73"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4"/>
        </w:rPr>
        <w:t>Jeigu kiltų daugiau klausimų dėl šio vaisto vartojimo, kreipkitės į gydytoją arba vaistininką.</w:t>
      </w:r>
    </w:p>
    <w:p w14:paraId="1A24BA5B" w14:textId="77777777" w:rsidR="00CD51A4" w:rsidRPr="000A2DE8" w:rsidRDefault="00CD51A4" w:rsidP="005B092D">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14:paraId="0E0DE3AB" w14:textId="77777777" w:rsidR="00CD51A4" w:rsidRPr="000A2DE8" w:rsidRDefault="00CD51A4" w:rsidP="005B092D">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14:paraId="45E3C9D9" w14:textId="77777777" w:rsidR="00CD51A4" w:rsidRPr="000A2DE8" w:rsidRDefault="00CD51A4" w:rsidP="005B092D">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rPr>
        <w:t>4.</w:t>
      </w:r>
      <w:r w:rsidRPr="000A2DE8">
        <w:rPr>
          <w:rFonts w:ascii="Times New Roman" w:hAnsi="Times New Roman"/>
        </w:rPr>
        <w:tab/>
      </w:r>
      <w:r w:rsidRPr="000A2DE8">
        <w:rPr>
          <w:rFonts w:ascii="Times New Roman" w:hAnsi="Times New Roman"/>
          <w:b/>
          <w:color w:val="000000"/>
        </w:rPr>
        <w:t>Galimas šalutinis poveikis</w:t>
      </w:r>
    </w:p>
    <w:p w14:paraId="4EC3628C" w14:textId="77777777" w:rsidR="00CD51A4" w:rsidRPr="000A2DE8" w:rsidRDefault="00CD51A4" w:rsidP="005B092D">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38A87119"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Šis vaistas, kaip ir visi kiti, gali sukelti šalutinį poveikį, nors jis pasireiškia ne visiems žmonėms.</w:t>
      </w:r>
    </w:p>
    <w:p w14:paraId="31079690"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rPr>
      </w:pPr>
    </w:p>
    <w:p w14:paraId="0B27DAEC"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lastRenderedPageBreak/>
        <w:t xml:space="preserve">Vartojant Bosentan Accord sunkiausias šalutinis poveikis: </w:t>
      </w:r>
    </w:p>
    <w:p w14:paraId="13064396" w14:textId="0E4DF3AB" w:rsidR="00CD51A4" w:rsidRPr="000A2DE8" w:rsidRDefault="00CD51A4" w:rsidP="005B092D">
      <w:pPr>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 xml:space="preserve">nenormali kepenų veikla, kuri gali pasireikšti </w:t>
      </w:r>
      <w:r w:rsidR="00E73C81">
        <w:rPr>
          <w:rFonts w:ascii="Times New Roman" w:hAnsi="Times New Roman"/>
          <w:color w:val="000000"/>
        </w:rPr>
        <w:t>ne rečiau</w:t>
      </w:r>
      <w:r w:rsidR="00E73C81" w:rsidRPr="000A2DE8">
        <w:rPr>
          <w:rFonts w:ascii="Times New Roman" w:hAnsi="Times New Roman"/>
          <w:color w:val="000000"/>
        </w:rPr>
        <w:t xml:space="preserve"> </w:t>
      </w:r>
      <w:r w:rsidR="00894967">
        <w:rPr>
          <w:rFonts w:ascii="Times New Roman" w:hAnsi="Times New Roman"/>
          <w:color w:val="000000"/>
        </w:rPr>
        <w:t>kaip</w:t>
      </w:r>
      <w:r w:rsidR="00894967" w:rsidRPr="000A2DE8">
        <w:rPr>
          <w:rFonts w:ascii="Times New Roman" w:hAnsi="Times New Roman"/>
          <w:color w:val="000000"/>
        </w:rPr>
        <w:t xml:space="preserve"> </w:t>
      </w:r>
      <w:r w:rsidRPr="000A2DE8">
        <w:rPr>
          <w:rFonts w:ascii="Times New Roman" w:hAnsi="Times New Roman"/>
          <w:color w:val="000000"/>
        </w:rPr>
        <w:t xml:space="preserve">vienam iš 10 </w:t>
      </w:r>
      <w:r w:rsidR="004E7C91">
        <w:rPr>
          <w:rFonts w:ascii="Times New Roman" w:hAnsi="Times New Roman"/>
          <w:color w:val="000000"/>
        </w:rPr>
        <w:t>asmenų</w:t>
      </w:r>
      <w:r w:rsidRPr="000A2DE8">
        <w:rPr>
          <w:rFonts w:ascii="Times New Roman" w:hAnsi="Times New Roman"/>
          <w:color w:val="000000"/>
        </w:rPr>
        <w:t xml:space="preserve">; </w:t>
      </w:r>
    </w:p>
    <w:p w14:paraId="725B9FA4" w14:textId="7B4AC80C" w:rsidR="00CD51A4" w:rsidRPr="000A2DE8" w:rsidRDefault="00CD51A4" w:rsidP="005B092D">
      <w:pPr>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 xml:space="preserve">anemija (mažakraujystė), kuri gali pasireikšti </w:t>
      </w:r>
      <w:r w:rsidR="001A730D" w:rsidRPr="000A2DE8">
        <w:rPr>
          <w:rFonts w:ascii="Times New Roman" w:hAnsi="Times New Roman"/>
          <w:color w:val="000000"/>
        </w:rPr>
        <w:t xml:space="preserve">rečiau kaip </w:t>
      </w:r>
      <w:r w:rsidRPr="000A2DE8">
        <w:rPr>
          <w:rFonts w:ascii="Times New Roman" w:hAnsi="Times New Roman"/>
          <w:color w:val="000000"/>
        </w:rPr>
        <w:t xml:space="preserve">1 iš 10 </w:t>
      </w:r>
      <w:r w:rsidR="004E7C91">
        <w:rPr>
          <w:rFonts w:ascii="Times New Roman" w:hAnsi="Times New Roman"/>
          <w:color w:val="000000"/>
        </w:rPr>
        <w:t>asmenų</w:t>
      </w:r>
      <w:r w:rsidRPr="000A2DE8">
        <w:rPr>
          <w:rFonts w:ascii="Times New Roman" w:hAnsi="Times New Roman"/>
          <w:color w:val="000000"/>
        </w:rPr>
        <w:t xml:space="preserve">. Sergant anemija kartais gali reikėti perpilti kraują. </w:t>
      </w:r>
    </w:p>
    <w:p w14:paraId="400841BA"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 xml:space="preserve">Gydymo Bosentan Accord metu bus stebimos Jūsų kepenų ir kraujo reikšmės (žr. 2 skyrių). Svarbu, kad atliktumėte šiuos tyrimus, kaip nurodė gydytojas. </w:t>
      </w:r>
    </w:p>
    <w:p w14:paraId="17CE4CD2"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6065DC5E"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Kepenų veiklos sutrikimo požymiai yra šie:</w:t>
      </w:r>
    </w:p>
    <w:p w14:paraId="3EC3F850"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pykinimas (noras vemti);</w:t>
      </w:r>
    </w:p>
    <w:p w14:paraId="7F19D9B1"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vėmimas;</w:t>
      </w:r>
    </w:p>
    <w:p w14:paraId="1DC16A31"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karščiavimas (aukšta temperatūra);</w:t>
      </w:r>
    </w:p>
    <w:p w14:paraId="20139C44"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skrandžio (pilvo) skausmas;</w:t>
      </w:r>
    </w:p>
    <w:p w14:paraId="2B5E949A"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gelta (pageltusi oda arba akių baltymai);</w:t>
      </w:r>
    </w:p>
    <w:p w14:paraId="66779EC0"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patamsėjęs šlapimas;</w:t>
      </w:r>
    </w:p>
    <w:p w14:paraId="16121E8B"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odos niežėjimas;</w:t>
      </w:r>
    </w:p>
    <w:p w14:paraId="502A7876"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letargija arba nuovargis (neįprastas nuvargimo arba išsekimo jausmas);</w:t>
      </w:r>
    </w:p>
    <w:p w14:paraId="085C2907"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į gripą panašus sindromas (sąnarių ir raumenų skausmas su karščiavimu).</w:t>
      </w:r>
    </w:p>
    <w:p w14:paraId="529EA312"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2AE2C5DA"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color w:val="000000"/>
        </w:rPr>
        <w:t>Jeigu pastebite kuriuos nors iš šių simptomų, nedelsdami pasakykite gydytojui.</w:t>
      </w:r>
    </w:p>
    <w:p w14:paraId="58CD0DA4"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spacing w:val="2"/>
        </w:rPr>
      </w:pPr>
    </w:p>
    <w:p w14:paraId="4D91376D" w14:textId="62FC2DB4"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u w:val="single"/>
        </w:rPr>
      </w:pPr>
      <w:r w:rsidRPr="000A2DE8">
        <w:rPr>
          <w:rFonts w:ascii="Times New Roman" w:hAnsi="Times New Roman"/>
          <w:color w:val="000000"/>
          <w:spacing w:val="2"/>
        </w:rPr>
        <w:t>Kit</w:t>
      </w:r>
      <w:r w:rsidR="00BA7AE2">
        <w:rPr>
          <w:rFonts w:ascii="Times New Roman" w:hAnsi="Times New Roman"/>
          <w:color w:val="000000"/>
          <w:spacing w:val="2"/>
        </w:rPr>
        <w:t>as</w:t>
      </w:r>
      <w:r w:rsidRPr="000A2DE8">
        <w:rPr>
          <w:rFonts w:ascii="Times New Roman" w:hAnsi="Times New Roman"/>
          <w:color w:val="000000"/>
          <w:spacing w:val="2"/>
        </w:rPr>
        <w:t xml:space="preserve"> </w:t>
      </w:r>
      <w:r w:rsidRPr="000A2DE8">
        <w:rPr>
          <w:rFonts w:ascii="Times New Roman" w:hAnsi="Times New Roman"/>
          <w:color w:val="000000"/>
        </w:rPr>
        <w:t>Bosentan Accord šalutini</w:t>
      </w:r>
      <w:r w:rsidR="00BA7AE2">
        <w:rPr>
          <w:rFonts w:ascii="Times New Roman" w:hAnsi="Times New Roman"/>
          <w:color w:val="000000"/>
        </w:rPr>
        <w:t>s</w:t>
      </w:r>
      <w:r w:rsidRPr="000A2DE8">
        <w:rPr>
          <w:rFonts w:ascii="Times New Roman" w:hAnsi="Times New Roman"/>
          <w:color w:val="000000"/>
        </w:rPr>
        <w:t xml:space="preserve"> poveiki</w:t>
      </w:r>
      <w:r w:rsidR="00BA7AE2">
        <w:rPr>
          <w:rFonts w:ascii="Times New Roman" w:hAnsi="Times New Roman"/>
          <w:color w:val="000000"/>
        </w:rPr>
        <w:t>s</w:t>
      </w:r>
      <w:r w:rsidRPr="000A2DE8">
        <w:rPr>
          <w:rFonts w:ascii="Times New Roman" w:hAnsi="Times New Roman"/>
          <w:color w:val="000000"/>
        </w:rPr>
        <w:t>:</w:t>
      </w:r>
    </w:p>
    <w:p w14:paraId="57082B2F"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6F6D9B10" w14:textId="75581D15"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rPr>
        <w:t>Labai dažn</w:t>
      </w:r>
      <w:r w:rsidR="00BA7AE2">
        <w:rPr>
          <w:rFonts w:ascii="Times New Roman" w:hAnsi="Times New Roman"/>
          <w:b/>
        </w:rPr>
        <w:t xml:space="preserve">i </w:t>
      </w:r>
      <w:r w:rsidR="00BA7AE2" w:rsidRPr="00A4683A">
        <w:rPr>
          <w:rFonts w:ascii="Times New Roman" w:hAnsi="Times New Roman"/>
          <w:b/>
          <w:bCs/>
        </w:rPr>
        <w:t>šalutinio poveikio reiškiniai</w:t>
      </w:r>
      <w:r w:rsidR="00BA7AE2" w:rsidRPr="00BA7AE2">
        <w:rPr>
          <w:rFonts w:ascii="Times New Roman" w:hAnsi="Times New Roman"/>
        </w:rPr>
        <w:t xml:space="preserve"> </w:t>
      </w:r>
      <w:r w:rsidRPr="000A2DE8">
        <w:rPr>
          <w:rFonts w:ascii="Times New Roman" w:hAnsi="Times New Roman"/>
        </w:rPr>
        <w:t xml:space="preserve">(gali pasireikšti </w:t>
      </w:r>
      <w:r w:rsidR="00BA7AE2">
        <w:rPr>
          <w:rFonts w:ascii="Times New Roman" w:hAnsi="Times New Roman"/>
          <w:b/>
        </w:rPr>
        <w:t>ne rečiau kaip</w:t>
      </w:r>
      <w:r w:rsidRPr="000A2DE8">
        <w:rPr>
          <w:rFonts w:ascii="Times New Roman" w:hAnsi="Times New Roman"/>
          <w:b/>
        </w:rPr>
        <w:t xml:space="preserve"> 1 iš 10</w:t>
      </w:r>
      <w:r w:rsidRPr="000A2DE8">
        <w:rPr>
          <w:rFonts w:ascii="Times New Roman" w:hAnsi="Times New Roman"/>
        </w:rPr>
        <w:t xml:space="preserve"> </w:t>
      </w:r>
      <w:r w:rsidR="00BA7AE2">
        <w:rPr>
          <w:rFonts w:ascii="Times New Roman" w:hAnsi="Times New Roman"/>
        </w:rPr>
        <w:t>asmen</w:t>
      </w:r>
      <w:r w:rsidR="00BA7AE2" w:rsidRPr="000A2DE8">
        <w:rPr>
          <w:rFonts w:ascii="Times New Roman" w:hAnsi="Times New Roman"/>
        </w:rPr>
        <w:t>ų</w:t>
      </w:r>
      <w:r w:rsidRPr="000A2DE8">
        <w:rPr>
          <w:rFonts w:ascii="Times New Roman" w:hAnsi="Times New Roman"/>
        </w:rPr>
        <w:t>):</w:t>
      </w:r>
    </w:p>
    <w:p w14:paraId="5AE2B1B7" w14:textId="77777777" w:rsidR="00CD51A4" w:rsidRPr="000A2DE8" w:rsidRDefault="00CD51A4" w:rsidP="005B092D">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galvos skausmas;</w:t>
      </w:r>
    </w:p>
    <w:p w14:paraId="45C8B1E4" w14:textId="77777777" w:rsidR="00CD51A4" w:rsidRPr="000A2DE8" w:rsidRDefault="00CD51A4" w:rsidP="005B092D">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edema (kojų ir kulkšnių tinimas arba kiti skysčių susilaikymo požymiai).</w:t>
      </w:r>
    </w:p>
    <w:p w14:paraId="3F5D4DB2"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797A85A5" w14:textId="0E2EFDE8"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Cs/>
          <w:color w:val="000000"/>
        </w:rPr>
      </w:pPr>
      <w:r w:rsidRPr="000A2DE8">
        <w:rPr>
          <w:rFonts w:ascii="Times New Roman" w:hAnsi="Times New Roman"/>
          <w:b/>
        </w:rPr>
        <w:t>Dažni</w:t>
      </w:r>
      <w:r w:rsidRPr="000A2DE8">
        <w:rPr>
          <w:rFonts w:ascii="Times New Roman" w:hAnsi="Times New Roman"/>
        </w:rPr>
        <w:t xml:space="preserve"> </w:t>
      </w:r>
      <w:r w:rsidR="00BA7AE2" w:rsidRPr="00BA7AE2">
        <w:rPr>
          <w:rFonts w:ascii="Times New Roman" w:hAnsi="Times New Roman"/>
          <w:b/>
          <w:bCs/>
        </w:rPr>
        <w:t>šalutinio poveikio reiškiniai</w:t>
      </w:r>
      <w:r w:rsidR="00BA7AE2" w:rsidRPr="00BA7AE2">
        <w:rPr>
          <w:rFonts w:ascii="Times New Roman" w:hAnsi="Times New Roman"/>
        </w:rPr>
        <w:t xml:space="preserve"> </w:t>
      </w:r>
      <w:r w:rsidRPr="000A2DE8">
        <w:rPr>
          <w:rFonts w:ascii="Times New Roman" w:hAnsi="Times New Roman"/>
        </w:rPr>
        <w:t xml:space="preserve">(gali pasireikšti </w:t>
      </w:r>
      <w:r w:rsidR="001A730D" w:rsidRPr="000A2DE8">
        <w:rPr>
          <w:rFonts w:ascii="Times New Roman" w:hAnsi="Times New Roman"/>
          <w:b/>
        </w:rPr>
        <w:t>rečiau</w:t>
      </w:r>
      <w:r w:rsidRPr="000A2DE8">
        <w:rPr>
          <w:rFonts w:ascii="Times New Roman" w:hAnsi="Times New Roman"/>
          <w:b/>
        </w:rPr>
        <w:t xml:space="preserve"> </w:t>
      </w:r>
      <w:r w:rsidR="00EB1248">
        <w:rPr>
          <w:rFonts w:ascii="Times New Roman" w:hAnsi="Times New Roman"/>
          <w:b/>
        </w:rPr>
        <w:t>kaip</w:t>
      </w:r>
      <w:r w:rsidR="00EB1248" w:rsidRPr="000A2DE8">
        <w:rPr>
          <w:rFonts w:ascii="Times New Roman" w:hAnsi="Times New Roman"/>
          <w:b/>
        </w:rPr>
        <w:t xml:space="preserve"> </w:t>
      </w:r>
      <w:r w:rsidR="00EB1248">
        <w:rPr>
          <w:rFonts w:ascii="Times New Roman" w:hAnsi="Times New Roman"/>
          <w:b/>
        </w:rPr>
        <w:t>1</w:t>
      </w:r>
      <w:r w:rsidR="00EB1248" w:rsidRPr="000A2DE8">
        <w:rPr>
          <w:rFonts w:ascii="Times New Roman" w:hAnsi="Times New Roman"/>
          <w:b/>
        </w:rPr>
        <w:t xml:space="preserve"> </w:t>
      </w:r>
      <w:r w:rsidRPr="000A2DE8">
        <w:rPr>
          <w:rFonts w:ascii="Times New Roman" w:hAnsi="Times New Roman"/>
          <w:b/>
        </w:rPr>
        <w:t>iš 10</w:t>
      </w:r>
      <w:r w:rsidRPr="000A2DE8">
        <w:rPr>
          <w:rFonts w:ascii="Times New Roman" w:hAnsi="Times New Roman"/>
        </w:rPr>
        <w:t xml:space="preserve"> </w:t>
      </w:r>
      <w:r w:rsidR="00EB1248">
        <w:rPr>
          <w:rFonts w:ascii="Times New Roman" w:hAnsi="Times New Roman"/>
        </w:rPr>
        <w:t>asmen</w:t>
      </w:r>
      <w:r w:rsidR="00EB1248" w:rsidRPr="000A2DE8">
        <w:rPr>
          <w:rFonts w:ascii="Times New Roman" w:hAnsi="Times New Roman"/>
        </w:rPr>
        <w:t>ų</w:t>
      </w:r>
      <w:r w:rsidRPr="000A2DE8">
        <w:rPr>
          <w:rFonts w:ascii="Times New Roman" w:hAnsi="Times New Roman"/>
        </w:rPr>
        <w:t>):</w:t>
      </w:r>
    </w:p>
    <w:p w14:paraId="6C65FEEE"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raudonis ar odos paraudimas;</w:t>
      </w:r>
    </w:p>
    <w:p w14:paraId="1FF1D132"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padidėjusio jautrumo reakcijos (įskaitant odos uždegimą, niežėjimą ir bėrimą;</w:t>
      </w:r>
    </w:p>
    <w:p w14:paraId="1AF331D3"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gastroezofaginio refliukso liga (rūgštaus turinio iš skrandžio atpylimas);</w:t>
      </w:r>
    </w:p>
    <w:p w14:paraId="7ECB2A24" w14:textId="77777777" w:rsidR="00CD51A4" w:rsidRPr="000A2DE8" w:rsidRDefault="00CD51A4" w:rsidP="005B092D">
      <w:pPr>
        <w:numPr>
          <w:ilvl w:val="0"/>
          <w:numId w:val="9"/>
        </w:numPr>
        <w:autoSpaceDE w:val="0"/>
        <w:autoSpaceDN w:val="0"/>
        <w:adjustRightInd w:val="0"/>
        <w:spacing w:after="0" w:line="240" w:lineRule="auto"/>
        <w:ind w:right="1"/>
        <w:rPr>
          <w:rFonts w:ascii="Times New Roman" w:eastAsia="Times New Roman" w:hAnsi="Times New Roman"/>
        </w:rPr>
      </w:pPr>
      <w:r w:rsidRPr="000A2DE8">
        <w:rPr>
          <w:rFonts w:ascii="Times New Roman" w:hAnsi="Times New Roman"/>
          <w:color w:val="000000"/>
          <w:spacing w:val="-1"/>
        </w:rPr>
        <w:t>viduriavimas</w:t>
      </w:r>
    </w:p>
    <w:p w14:paraId="531C93A6" w14:textId="77777777" w:rsidR="00CD51A4" w:rsidRPr="000A2DE8" w:rsidRDefault="00CD51A4" w:rsidP="005B092D">
      <w:pPr>
        <w:numPr>
          <w:ilvl w:val="0"/>
          <w:numId w:val="9"/>
        </w:numPr>
        <w:autoSpaceDE w:val="0"/>
        <w:autoSpaceDN w:val="0"/>
        <w:adjustRightInd w:val="0"/>
        <w:spacing w:after="0" w:line="240" w:lineRule="auto"/>
        <w:ind w:right="1"/>
        <w:rPr>
          <w:rFonts w:ascii="Times New Roman" w:eastAsia="Times New Roman" w:hAnsi="Times New Roman"/>
          <w:color w:val="000000"/>
          <w:spacing w:val="1"/>
        </w:rPr>
      </w:pPr>
      <w:r w:rsidRPr="000A2DE8">
        <w:rPr>
          <w:rFonts w:ascii="Times New Roman" w:hAnsi="Times New Roman"/>
          <w:color w:val="000000"/>
          <w:spacing w:val="1"/>
        </w:rPr>
        <w:t xml:space="preserve">sinkopė (apalpimas); </w:t>
      </w:r>
    </w:p>
    <w:p w14:paraId="0A5928CA" w14:textId="77777777" w:rsidR="00CD51A4" w:rsidRPr="000A2DE8" w:rsidRDefault="00CD51A4" w:rsidP="005B092D">
      <w:pPr>
        <w:numPr>
          <w:ilvl w:val="0"/>
          <w:numId w:val="9"/>
        </w:numPr>
        <w:autoSpaceDE w:val="0"/>
        <w:autoSpaceDN w:val="0"/>
        <w:adjustRightInd w:val="0"/>
        <w:spacing w:after="0" w:line="240" w:lineRule="auto"/>
        <w:ind w:right="1"/>
        <w:rPr>
          <w:rFonts w:ascii="Times New Roman" w:eastAsia="Times New Roman" w:hAnsi="Times New Roman"/>
          <w:color w:val="000000"/>
          <w:spacing w:val="1"/>
        </w:rPr>
      </w:pPr>
      <w:r w:rsidRPr="000A2DE8">
        <w:rPr>
          <w:rFonts w:ascii="Times New Roman" w:hAnsi="Times New Roman"/>
          <w:color w:val="000000"/>
          <w:spacing w:val="1"/>
        </w:rPr>
        <w:t xml:space="preserve">palpitacijos (pagreitėjęs arba nereguliarus širdies ritmas); </w:t>
      </w:r>
    </w:p>
    <w:p w14:paraId="197E8CED"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žemas kraujospūdis;</w:t>
      </w:r>
    </w:p>
    <w:p w14:paraId="26F114C6" w14:textId="77777777" w:rsidR="00CD51A4" w:rsidRPr="000A2DE8" w:rsidRDefault="00CD51A4" w:rsidP="005B092D">
      <w:pPr>
        <w:widowControl w:val="0"/>
        <w:numPr>
          <w:ilvl w:val="0"/>
          <w:numId w:val="9"/>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užkimšta nosis</w:t>
      </w:r>
      <w:r w:rsidR="007F30DB" w:rsidRPr="000A2DE8">
        <w:rPr>
          <w:rFonts w:ascii="Times New Roman" w:hAnsi="Times New Roman"/>
          <w:color w:val="000000"/>
          <w:spacing w:val="1"/>
        </w:rPr>
        <w:t>.</w:t>
      </w:r>
    </w:p>
    <w:p w14:paraId="09B6BE02"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42A4108B" w14:textId="6112F968"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Cs/>
          <w:color w:val="000000"/>
        </w:rPr>
      </w:pPr>
      <w:r w:rsidRPr="000A2DE8">
        <w:rPr>
          <w:rFonts w:ascii="Times New Roman" w:hAnsi="Times New Roman"/>
          <w:b/>
        </w:rPr>
        <w:t>Nedažni</w:t>
      </w:r>
      <w:r w:rsidRPr="000A2DE8">
        <w:rPr>
          <w:rFonts w:ascii="Times New Roman" w:hAnsi="Times New Roman"/>
        </w:rPr>
        <w:t xml:space="preserve"> </w:t>
      </w:r>
      <w:r w:rsidR="00EB1248" w:rsidRPr="00BA7AE2">
        <w:rPr>
          <w:rFonts w:ascii="Times New Roman" w:hAnsi="Times New Roman"/>
          <w:b/>
          <w:bCs/>
        </w:rPr>
        <w:t>šalutinio poveikio reiškiniai</w:t>
      </w:r>
      <w:r w:rsidR="00EB1248" w:rsidRPr="00BA7AE2">
        <w:rPr>
          <w:rFonts w:ascii="Times New Roman" w:hAnsi="Times New Roman"/>
        </w:rPr>
        <w:t xml:space="preserve"> </w:t>
      </w:r>
      <w:r w:rsidRPr="000A2DE8">
        <w:rPr>
          <w:rFonts w:ascii="Times New Roman" w:hAnsi="Times New Roman"/>
        </w:rPr>
        <w:t xml:space="preserve">(gali pasireikšti </w:t>
      </w:r>
      <w:r w:rsidR="001A730D" w:rsidRPr="000A2DE8">
        <w:rPr>
          <w:rFonts w:ascii="Times New Roman" w:hAnsi="Times New Roman"/>
          <w:b/>
        </w:rPr>
        <w:t>rečiau</w:t>
      </w:r>
      <w:r w:rsidRPr="000A2DE8">
        <w:rPr>
          <w:rFonts w:ascii="Times New Roman" w:hAnsi="Times New Roman"/>
          <w:b/>
        </w:rPr>
        <w:t xml:space="preserve"> </w:t>
      </w:r>
      <w:r w:rsidR="00EB1248">
        <w:rPr>
          <w:rFonts w:ascii="Times New Roman" w:hAnsi="Times New Roman"/>
          <w:b/>
        </w:rPr>
        <w:t>kaip 1</w:t>
      </w:r>
      <w:r w:rsidR="00EB1248" w:rsidRPr="000A2DE8">
        <w:rPr>
          <w:rFonts w:ascii="Times New Roman" w:hAnsi="Times New Roman"/>
          <w:b/>
        </w:rPr>
        <w:t xml:space="preserve"> </w:t>
      </w:r>
      <w:r w:rsidRPr="000A2DE8">
        <w:rPr>
          <w:rFonts w:ascii="Times New Roman" w:hAnsi="Times New Roman"/>
          <w:b/>
        </w:rPr>
        <w:t>iš 100</w:t>
      </w:r>
      <w:r w:rsidRPr="000A2DE8">
        <w:rPr>
          <w:rFonts w:ascii="Times New Roman" w:hAnsi="Times New Roman"/>
        </w:rPr>
        <w:t xml:space="preserve"> </w:t>
      </w:r>
      <w:r w:rsidR="00EB1248">
        <w:rPr>
          <w:rFonts w:ascii="Times New Roman" w:hAnsi="Times New Roman"/>
        </w:rPr>
        <w:t>asmen</w:t>
      </w:r>
      <w:r w:rsidR="00EB1248" w:rsidRPr="000A2DE8">
        <w:rPr>
          <w:rFonts w:ascii="Times New Roman" w:hAnsi="Times New Roman"/>
        </w:rPr>
        <w:t>ų</w:t>
      </w:r>
      <w:r w:rsidRPr="000A2DE8">
        <w:rPr>
          <w:rFonts w:ascii="Times New Roman" w:hAnsi="Times New Roman"/>
        </w:rPr>
        <w:t>):</w:t>
      </w:r>
    </w:p>
    <w:p w14:paraId="2B1B78B8" w14:textId="77777777" w:rsidR="00CD51A4" w:rsidRPr="000A2DE8" w:rsidRDefault="00CD51A4" w:rsidP="005B092D">
      <w:pPr>
        <w:widowControl w:val="0"/>
        <w:numPr>
          <w:ilvl w:val="0"/>
          <w:numId w:val="10"/>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2"/>
        </w:rPr>
        <w:t>trombocitopenija (kraujo plokštelių kiekio kraujyje trūkumas);</w:t>
      </w:r>
    </w:p>
    <w:p w14:paraId="57F2E49D" w14:textId="77777777" w:rsidR="00CD51A4" w:rsidRPr="000A2DE8" w:rsidRDefault="00CD51A4" w:rsidP="005B092D">
      <w:pPr>
        <w:widowControl w:val="0"/>
        <w:numPr>
          <w:ilvl w:val="0"/>
          <w:numId w:val="10"/>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neutropenija / leukopenija (baltųjų kraujo kūnelių trūkumas);</w:t>
      </w:r>
    </w:p>
    <w:p w14:paraId="1C39369A" w14:textId="77777777" w:rsidR="00CD51A4" w:rsidRPr="000A2DE8" w:rsidRDefault="00CD51A4" w:rsidP="005B092D">
      <w:pPr>
        <w:widowControl w:val="0"/>
        <w:numPr>
          <w:ilvl w:val="0"/>
          <w:numId w:val="10"/>
        </w:num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padidėjęs kepenų fermentų kiekis su hepatitu (kepenų uždegimu), įskaitant galimą esamo hepatito pasunkėjimą,</w:t>
      </w:r>
      <w:r w:rsidR="007F30DB" w:rsidRPr="000A2DE8">
        <w:rPr>
          <w:rFonts w:ascii="Times New Roman" w:hAnsi="Times New Roman"/>
          <w:color w:val="000000"/>
        </w:rPr>
        <w:t xml:space="preserve"> </w:t>
      </w:r>
      <w:r w:rsidRPr="000A2DE8">
        <w:rPr>
          <w:rFonts w:ascii="Times New Roman" w:hAnsi="Times New Roman"/>
          <w:color w:val="000000"/>
        </w:rPr>
        <w:t>ir (arba) gelta (odos ir akių baltymų pageltimas).</w:t>
      </w:r>
    </w:p>
    <w:p w14:paraId="59F06412"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763BF43B" w14:textId="495506C5"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Cs/>
          <w:color w:val="000000"/>
        </w:rPr>
      </w:pPr>
      <w:r w:rsidRPr="000A2DE8">
        <w:rPr>
          <w:rFonts w:ascii="Times New Roman" w:hAnsi="Times New Roman"/>
          <w:b/>
        </w:rPr>
        <w:t>Reti</w:t>
      </w:r>
      <w:r w:rsidRPr="000A2DE8">
        <w:rPr>
          <w:rFonts w:ascii="Times New Roman" w:hAnsi="Times New Roman"/>
        </w:rPr>
        <w:t xml:space="preserve"> </w:t>
      </w:r>
      <w:r w:rsidR="00EB1248" w:rsidRPr="00BA7AE2">
        <w:rPr>
          <w:rFonts w:ascii="Times New Roman" w:hAnsi="Times New Roman"/>
          <w:b/>
          <w:bCs/>
        </w:rPr>
        <w:t>šalutinio poveikio reiškiniai</w:t>
      </w:r>
      <w:r w:rsidR="00EB1248" w:rsidRPr="00BA7AE2">
        <w:rPr>
          <w:rFonts w:ascii="Times New Roman" w:hAnsi="Times New Roman"/>
        </w:rPr>
        <w:t xml:space="preserve"> </w:t>
      </w:r>
      <w:r w:rsidRPr="000A2DE8">
        <w:rPr>
          <w:rFonts w:ascii="Times New Roman" w:hAnsi="Times New Roman"/>
        </w:rPr>
        <w:t xml:space="preserve">(gali pasireikšti </w:t>
      </w:r>
      <w:r w:rsidR="001A730D" w:rsidRPr="000A2DE8">
        <w:rPr>
          <w:rFonts w:ascii="Times New Roman" w:hAnsi="Times New Roman"/>
          <w:b/>
        </w:rPr>
        <w:t>rečiau</w:t>
      </w:r>
      <w:r w:rsidRPr="000A2DE8">
        <w:rPr>
          <w:rFonts w:ascii="Times New Roman" w:hAnsi="Times New Roman"/>
          <w:b/>
        </w:rPr>
        <w:t xml:space="preserve"> </w:t>
      </w:r>
      <w:r w:rsidR="00EB1248">
        <w:rPr>
          <w:rFonts w:ascii="Times New Roman" w:hAnsi="Times New Roman"/>
          <w:b/>
        </w:rPr>
        <w:t>kaip</w:t>
      </w:r>
      <w:r w:rsidR="00EB1248" w:rsidRPr="000A2DE8">
        <w:rPr>
          <w:rFonts w:ascii="Times New Roman" w:hAnsi="Times New Roman"/>
          <w:b/>
        </w:rPr>
        <w:t xml:space="preserve"> </w:t>
      </w:r>
      <w:r w:rsidR="00EB1248">
        <w:rPr>
          <w:rFonts w:ascii="Times New Roman" w:hAnsi="Times New Roman"/>
          <w:b/>
        </w:rPr>
        <w:t>1</w:t>
      </w:r>
      <w:r w:rsidR="00EB1248" w:rsidRPr="000A2DE8">
        <w:rPr>
          <w:rFonts w:ascii="Times New Roman" w:hAnsi="Times New Roman"/>
          <w:b/>
        </w:rPr>
        <w:t xml:space="preserve"> </w:t>
      </w:r>
      <w:r w:rsidRPr="000A2DE8">
        <w:rPr>
          <w:rFonts w:ascii="Times New Roman" w:hAnsi="Times New Roman"/>
          <w:b/>
        </w:rPr>
        <w:t>iš 1</w:t>
      </w:r>
      <w:r w:rsidR="00EB1248">
        <w:rPr>
          <w:rFonts w:ascii="Times New Roman" w:hAnsi="Times New Roman"/>
          <w:b/>
        </w:rPr>
        <w:t> </w:t>
      </w:r>
      <w:r w:rsidRPr="000A2DE8">
        <w:rPr>
          <w:rFonts w:ascii="Times New Roman" w:hAnsi="Times New Roman"/>
          <w:b/>
        </w:rPr>
        <w:t>000</w:t>
      </w:r>
      <w:r w:rsidRPr="000A2DE8">
        <w:rPr>
          <w:rFonts w:ascii="Times New Roman" w:hAnsi="Times New Roman"/>
        </w:rPr>
        <w:t xml:space="preserve"> </w:t>
      </w:r>
      <w:r w:rsidR="00EB1248">
        <w:rPr>
          <w:rFonts w:ascii="Times New Roman" w:hAnsi="Times New Roman"/>
        </w:rPr>
        <w:t>asmen</w:t>
      </w:r>
      <w:r w:rsidRPr="000A2DE8">
        <w:rPr>
          <w:rFonts w:ascii="Times New Roman" w:hAnsi="Times New Roman"/>
        </w:rPr>
        <w:t>ų):</w:t>
      </w:r>
    </w:p>
    <w:p w14:paraId="751578A3" w14:textId="5DF1871C" w:rsidR="00CD51A4" w:rsidRPr="000A2DE8" w:rsidRDefault="00B37894" w:rsidP="005B092D">
      <w:pPr>
        <w:widowControl w:val="0"/>
        <w:numPr>
          <w:ilvl w:val="0"/>
          <w:numId w:val="11"/>
        </w:numPr>
        <w:tabs>
          <w:tab w:val="left" w:pos="660"/>
        </w:tabs>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1"/>
        </w:rPr>
        <w:t>a</w:t>
      </w:r>
      <w:r w:rsidR="00CD51A4" w:rsidRPr="000A2DE8">
        <w:rPr>
          <w:rFonts w:ascii="Times New Roman" w:hAnsi="Times New Roman"/>
          <w:color w:val="000000"/>
          <w:spacing w:val="-1"/>
        </w:rPr>
        <w:t>nafilaksija (bendroji alerginė reakcija), angioneurozinė edema (tinimas, dažniausia aplink akis, lūpas arba gerklės tinimas);</w:t>
      </w:r>
    </w:p>
    <w:p w14:paraId="53C1F322" w14:textId="15D92B52" w:rsidR="00CD51A4" w:rsidRPr="000A2DE8" w:rsidRDefault="00B37894" w:rsidP="005B092D">
      <w:pPr>
        <w:widowControl w:val="0"/>
        <w:numPr>
          <w:ilvl w:val="0"/>
          <w:numId w:val="11"/>
        </w:numPr>
        <w:tabs>
          <w:tab w:val="left" w:pos="660"/>
        </w:tabs>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1"/>
        </w:rPr>
        <w:t>k</w:t>
      </w:r>
      <w:r w:rsidRPr="000A2DE8">
        <w:rPr>
          <w:rFonts w:ascii="Times New Roman" w:hAnsi="Times New Roman"/>
          <w:color w:val="000000"/>
          <w:spacing w:val="-1"/>
        </w:rPr>
        <w:t xml:space="preserve">epenų </w:t>
      </w:r>
      <w:r w:rsidR="00CD51A4" w:rsidRPr="000A2DE8">
        <w:rPr>
          <w:rFonts w:ascii="Times New Roman" w:hAnsi="Times New Roman"/>
          <w:color w:val="000000"/>
          <w:spacing w:val="-1"/>
        </w:rPr>
        <w:t>cirozė (randėjimas), kepenų nepakankamumas (sunkus kepenų veiklos sutrikimas).</w:t>
      </w:r>
    </w:p>
    <w:p w14:paraId="52994B2C"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5DE5BF6F" w14:textId="475F9CB7" w:rsidR="001477E6" w:rsidRPr="000A2DE8" w:rsidRDefault="001477E6"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eastAsia="Times New Roman" w:hAnsi="Times New Roman"/>
          <w:color w:val="000000"/>
        </w:rPr>
        <w:t xml:space="preserve">Taip pat užregistruota migloto matymo atvejų, bet šio reiškinio dažnis nežinomas (negali būti </w:t>
      </w:r>
      <w:r w:rsidR="00EB1248">
        <w:rPr>
          <w:rFonts w:ascii="Times New Roman" w:eastAsia="Times New Roman" w:hAnsi="Times New Roman"/>
          <w:color w:val="000000"/>
        </w:rPr>
        <w:t>apskaičiuo</w:t>
      </w:r>
      <w:r w:rsidR="00EB1248" w:rsidRPr="000A2DE8">
        <w:rPr>
          <w:rFonts w:ascii="Times New Roman" w:eastAsia="Times New Roman" w:hAnsi="Times New Roman"/>
          <w:color w:val="000000"/>
        </w:rPr>
        <w:t xml:space="preserve">tas </w:t>
      </w:r>
      <w:r w:rsidRPr="000A2DE8">
        <w:rPr>
          <w:rFonts w:ascii="Times New Roman" w:eastAsia="Times New Roman" w:hAnsi="Times New Roman"/>
          <w:color w:val="000000"/>
        </w:rPr>
        <w:t>pagal turimus duomenis).</w:t>
      </w:r>
    </w:p>
    <w:p w14:paraId="51EDE71B" w14:textId="77777777" w:rsidR="001477E6" w:rsidRPr="000A2DE8" w:rsidRDefault="001477E6" w:rsidP="005B092D">
      <w:pPr>
        <w:widowControl w:val="0"/>
        <w:autoSpaceDE w:val="0"/>
        <w:autoSpaceDN w:val="0"/>
        <w:adjustRightInd w:val="0"/>
        <w:spacing w:after="0" w:line="240" w:lineRule="auto"/>
        <w:ind w:right="1"/>
        <w:rPr>
          <w:rFonts w:ascii="Times New Roman" w:eastAsia="Times New Roman" w:hAnsi="Times New Roman"/>
          <w:color w:val="000000"/>
        </w:rPr>
      </w:pPr>
    </w:p>
    <w:p w14:paraId="2EC7D239"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spacing w:val="-1"/>
        </w:rPr>
        <w:t>Šalutinis poveikis, kuris gali pasireikšti vaikams ir paaugliams</w:t>
      </w:r>
    </w:p>
    <w:p w14:paraId="42D89F43"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bCs/>
          <w:color w:val="000000"/>
          <w:spacing w:val="-1"/>
        </w:rPr>
      </w:pPr>
      <w:r w:rsidRPr="000A2DE8">
        <w:rPr>
          <w:rFonts w:ascii="Times New Roman" w:hAnsi="Times New Roman"/>
          <w:color w:val="000000"/>
          <w:spacing w:val="-1"/>
        </w:rPr>
        <w:t>Šalutinis poveikis, kuris buvo pastebėtas vaikams, gydytiems vaistu Bosentan Accord, yra toks pat kaip ir suaugusiesiems.</w:t>
      </w:r>
    </w:p>
    <w:p w14:paraId="0B629CEB"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612A9319" w14:textId="77777777" w:rsidR="00CD51A4" w:rsidRPr="000A2DE8" w:rsidRDefault="00CD51A4" w:rsidP="005B092D">
      <w:pPr>
        <w:keepNext/>
        <w:tabs>
          <w:tab w:val="left" w:pos="567"/>
        </w:tabs>
        <w:spacing w:after="0" w:line="240" w:lineRule="auto"/>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lastRenderedPageBreak/>
        <w:t>Pranešimas apie šalutinį poveikį</w:t>
      </w:r>
    </w:p>
    <w:p w14:paraId="395A1AF9" w14:textId="0805613D" w:rsidR="00CD51A4" w:rsidRPr="000A2DE8" w:rsidRDefault="00CD51A4" w:rsidP="00A4683A">
      <w:pPr>
        <w:keepNext/>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Jeigu pasireiškė šalutinis poveikis, įskaitant šiame lapelyje nenurodytą, pasakykite gydytojui</w:t>
      </w:r>
      <w:r w:rsidR="007F30DB" w:rsidRPr="000A2DE8">
        <w:rPr>
          <w:rFonts w:ascii="Times New Roman" w:eastAsia="Times New Roman" w:hAnsi="Times New Roman"/>
          <w:snapToGrid w:val="0"/>
          <w:lang w:eastAsia="en-US" w:bidi="ar-SA"/>
        </w:rPr>
        <w:t xml:space="preserve"> </w:t>
      </w:r>
      <w:r w:rsidRPr="000A2DE8">
        <w:rPr>
          <w:rFonts w:ascii="Times New Roman" w:eastAsia="Times New Roman" w:hAnsi="Times New Roman"/>
          <w:snapToGrid w:val="0"/>
          <w:lang w:eastAsia="en-US" w:bidi="ar-SA"/>
        </w:rPr>
        <w:t>arba</w:t>
      </w:r>
      <w:r w:rsidR="007F30DB" w:rsidRPr="000A2DE8">
        <w:rPr>
          <w:rFonts w:ascii="Times New Roman" w:eastAsia="Times New Roman" w:hAnsi="Times New Roman"/>
          <w:snapToGrid w:val="0"/>
          <w:lang w:eastAsia="en-US" w:bidi="ar-SA"/>
        </w:rPr>
        <w:t xml:space="preserve"> </w:t>
      </w:r>
      <w:r w:rsidRPr="000A2DE8">
        <w:rPr>
          <w:rFonts w:ascii="Times New Roman" w:eastAsia="Times New Roman" w:hAnsi="Times New Roman"/>
          <w:snapToGrid w:val="0"/>
          <w:lang w:eastAsia="en-US" w:bidi="ar-SA"/>
        </w:rPr>
        <w:t xml:space="preserve">vaistininkui. </w:t>
      </w:r>
      <w:r w:rsidR="008736B4" w:rsidRPr="008736B4">
        <w:rPr>
          <w:rFonts w:ascii="Times New Roman" w:eastAsia="Times New Roman" w:hAnsi="Times New Roman"/>
          <w:snapToGrid w:val="0"/>
          <w:lang w:eastAsia="en-US" w:bidi="ar-SA"/>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8736B4" w:rsidRPr="008736B4">
        <w:rPr>
          <w:rFonts w:ascii="Times New Roman" w:eastAsia="Times New Roman" w:hAnsi="Times New Roman"/>
          <w:snapToGrid w:val="0"/>
          <w:u w:val="single"/>
          <w:lang w:eastAsia="en-US" w:bidi="ar-SA"/>
        </w:rPr>
        <w:t>https://vapris.vvkt.lt/vvkt-web/public/nrv</w:t>
      </w:r>
      <w:r w:rsidR="008736B4" w:rsidRPr="008736B4">
        <w:rPr>
          <w:rFonts w:ascii="Times New Roman" w:eastAsia="Times New Roman" w:hAnsi="Times New Roman"/>
          <w:snapToGrid w:val="0"/>
          <w:lang w:eastAsia="en-US" w:bidi="ar-SA"/>
        </w:rPr>
        <w:t xml:space="preserve"> arba užpildant Paciento pranešimo apie įtariamą nepageidaujamą reakciją (ĮNR) formą, kuri skelbiama </w:t>
      </w:r>
      <w:r w:rsidR="008736B4" w:rsidRPr="008736B4">
        <w:rPr>
          <w:rFonts w:ascii="Times New Roman" w:eastAsia="Times New Roman" w:hAnsi="Times New Roman"/>
          <w:snapToGrid w:val="0"/>
          <w:u w:val="single"/>
          <w:lang w:eastAsia="en-US" w:bidi="ar-SA"/>
        </w:rPr>
        <w:t>https://www.vvkt.lt/index.php?4004286486</w:t>
      </w:r>
      <w:r w:rsidR="008736B4" w:rsidRPr="008736B4">
        <w:rPr>
          <w:rFonts w:ascii="Times New Roman" w:eastAsia="Times New Roman" w:hAnsi="Times New Roman"/>
          <w:snapToGrid w:val="0"/>
          <w:lang w:eastAsia="en-US" w:bidi="ar-SA"/>
        </w:rPr>
        <w:t xml:space="preserve">, ir atsiunčiant elektroniniu paštu (adresu </w:t>
      </w:r>
      <w:r w:rsidR="008736B4" w:rsidRPr="008736B4">
        <w:rPr>
          <w:rFonts w:ascii="Times New Roman" w:eastAsia="Times New Roman" w:hAnsi="Times New Roman"/>
          <w:snapToGrid w:val="0"/>
          <w:u w:val="single"/>
          <w:lang w:eastAsia="en-US" w:bidi="ar-SA"/>
        </w:rPr>
        <w:t>NepageidaujamaR@vvkt.lt</w:t>
      </w:r>
      <w:r w:rsidR="008736B4" w:rsidRPr="008736B4">
        <w:rPr>
          <w:rFonts w:ascii="Times New Roman" w:eastAsia="Times New Roman" w:hAnsi="Times New Roman"/>
          <w:snapToGrid w:val="0"/>
          <w:lang w:eastAsia="en-US" w:bidi="ar-SA"/>
        </w:rPr>
        <w:t xml:space="preserve">) arba nemokamu telefonu 8 800 73 568. </w:t>
      </w:r>
      <w:r w:rsidRPr="000A2DE8">
        <w:rPr>
          <w:rFonts w:ascii="Times New Roman" w:eastAsia="Times New Roman" w:hAnsi="Times New Roman"/>
          <w:snapToGrid w:val="0"/>
          <w:lang w:eastAsia="en-US" w:bidi="ar-SA"/>
        </w:rPr>
        <w:t>Pranešdami apie šalutinį poveikį galite mums padėti gauti daugiau informacijos apie šio vaisto saugumą.</w:t>
      </w:r>
    </w:p>
    <w:p w14:paraId="50C983B8"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5DCF0BB3"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6B00B468" w14:textId="77777777" w:rsidR="00CD51A4" w:rsidRPr="000A2DE8" w:rsidRDefault="00CD51A4" w:rsidP="005B092D">
      <w:pPr>
        <w:widowControl w:val="0"/>
        <w:numPr>
          <w:ilvl w:val="0"/>
          <w:numId w:val="12"/>
        </w:numPr>
        <w:autoSpaceDE w:val="0"/>
        <w:autoSpaceDN w:val="0"/>
        <w:adjustRightInd w:val="0"/>
        <w:spacing w:after="0" w:line="240" w:lineRule="auto"/>
        <w:ind w:right="1" w:hanging="720"/>
        <w:rPr>
          <w:rFonts w:ascii="Times New Roman" w:eastAsia="Times New Roman" w:hAnsi="Times New Roman"/>
          <w:color w:val="000000"/>
        </w:rPr>
      </w:pPr>
      <w:r w:rsidRPr="000A2DE8">
        <w:rPr>
          <w:rFonts w:ascii="Times New Roman" w:hAnsi="Times New Roman"/>
          <w:b/>
          <w:color w:val="000000"/>
          <w:spacing w:val="1"/>
        </w:rPr>
        <w:t>Kaip laikyti Bosentan Accord</w:t>
      </w:r>
    </w:p>
    <w:p w14:paraId="1515E694"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043B8BB8"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Šį vaistą laikykite vaikams nepastebimoje ir nepasiekiamoje vietoje.</w:t>
      </w:r>
    </w:p>
    <w:p w14:paraId="7B6BBE0C"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6F66D901"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Ant dėžutės ir lizdinės plokštelės po „Tinka iki“ arba „EXP“ nurodytam tinkamumo laikui pasibaigus, šio vaisto vartoti negalima. Vaistas tinkamas vartoti iki paskutinės nurodyto mėnesio dienos.</w:t>
      </w:r>
    </w:p>
    <w:p w14:paraId="579FE4F0"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spacing w:val="-1"/>
        </w:rPr>
      </w:pPr>
    </w:p>
    <w:p w14:paraId="2C1EA27B" w14:textId="77777777" w:rsidR="00CD51A4" w:rsidRPr="000A2DE8" w:rsidRDefault="00CD51A4" w:rsidP="005B092D">
      <w:pPr>
        <w:widowControl w:val="0"/>
        <w:autoSpaceDE w:val="0"/>
        <w:autoSpaceDN w:val="0"/>
        <w:adjustRightInd w:val="0"/>
        <w:spacing w:after="0" w:line="240" w:lineRule="auto"/>
        <w:ind w:right="1"/>
        <w:rPr>
          <w:rFonts w:ascii="Times New Roman" w:hAnsi="Times New Roman"/>
          <w:spacing w:val="-1"/>
        </w:rPr>
      </w:pPr>
      <w:r w:rsidRPr="000A2DE8">
        <w:rPr>
          <w:rFonts w:ascii="Times New Roman" w:hAnsi="Times New Roman"/>
          <w:spacing w:val="-1"/>
        </w:rPr>
        <w:t>Aliuminio-aliuminio lizdinės plokštelės</w:t>
      </w:r>
    </w:p>
    <w:p w14:paraId="2E4C139D" w14:textId="77777777" w:rsidR="00CD51A4" w:rsidRPr="000A2DE8" w:rsidRDefault="00FA68D8" w:rsidP="005B092D">
      <w:pPr>
        <w:widowControl w:val="0"/>
        <w:autoSpaceDE w:val="0"/>
        <w:autoSpaceDN w:val="0"/>
        <w:adjustRightInd w:val="0"/>
        <w:spacing w:after="0" w:line="240" w:lineRule="auto"/>
        <w:ind w:right="1"/>
        <w:rPr>
          <w:rFonts w:ascii="Times New Roman" w:eastAsia="Times New Roman" w:hAnsi="Times New Roman"/>
          <w:spacing w:val="-1"/>
        </w:rPr>
      </w:pPr>
      <w:r w:rsidRPr="000A2DE8">
        <w:rPr>
          <w:rFonts w:ascii="Times New Roman" w:hAnsi="Times New Roman"/>
        </w:rPr>
        <w:t>Ši</w:t>
      </w:r>
      <w:r w:rsidR="000F4775" w:rsidRPr="000A2DE8">
        <w:rPr>
          <w:rFonts w:ascii="Times New Roman" w:hAnsi="Times New Roman"/>
        </w:rPr>
        <w:t>am</w:t>
      </w:r>
      <w:r w:rsidRPr="000A2DE8">
        <w:rPr>
          <w:rFonts w:ascii="Times New Roman" w:hAnsi="Times New Roman"/>
        </w:rPr>
        <w:t xml:space="preserve"> vaist</w:t>
      </w:r>
      <w:r w:rsidR="000F4775" w:rsidRPr="000A2DE8">
        <w:rPr>
          <w:rFonts w:ascii="Times New Roman" w:hAnsi="Times New Roman"/>
        </w:rPr>
        <w:t>ui</w:t>
      </w:r>
      <w:r w:rsidRPr="000A2DE8">
        <w:rPr>
          <w:rFonts w:ascii="Times New Roman" w:hAnsi="Times New Roman"/>
        </w:rPr>
        <w:t xml:space="preserve"> specialių </w:t>
      </w:r>
      <w:r w:rsidR="000F4775" w:rsidRPr="000A2DE8">
        <w:rPr>
          <w:rFonts w:ascii="Times New Roman" w:hAnsi="Times New Roman"/>
        </w:rPr>
        <w:t>laikymo</w:t>
      </w:r>
      <w:r w:rsidRPr="000A2DE8">
        <w:rPr>
          <w:rFonts w:ascii="Times New Roman" w:hAnsi="Times New Roman"/>
        </w:rPr>
        <w:t xml:space="preserve"> sąlygų nereik</w:t>
      </w:r>
      <w:r w:rsidR="000F4775" w:rsidRPr="000A2DE8">
        <w:rPr>
          <w:rFonts w:ascii="Times New Roman" w:hAnsi="Times New Roman"/>
        </w:rPr>
        <w:t>i</w:t>
      </w:r>
      <w:r w:rsidRPr="000A2DE8">
        <w:rPr>
          <w:rFonts w:ascii="Times New Roman" w:hAnsi="Times New Roman"/>
        </w:rPr>
        <w:t>a</w:t>
      </w:r>
      <w:r w:rsidRPr="000A2DE8">
        <w:t>.</w:t>
      </w:r>
    </w:p>
    <w:p w14:paraId="37993A17"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rPr>
      </w:pPr>
    </w:p>
    <w:p w14:paraId="0C5645D9"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spacing w:val="-1"/>
        </w:rPr>
      </w:pPr>
      <w:r w:rsidRPr="000A2DE8">
        <w:rPr>
          <w:rFonts w:ascii="Times New Roman" w:hAnsi="Times New Roman"/>
        </w:rPr>
        <w:t>PVC/PE/PVDC-aliuminio lizdinės plokštelės</w:t>
      </w:r>
    </w:p>
    <w:p w14:paraId="64C23FDD"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rPr>
      </w:pPr>
      <w:r w:rsidRPr="000A2DE8">
        <w:rPr>
          <w:rFonts w:ascii="Times New Roman" w:hAnsi="Times New Roman"/>
          <w:spacing w:val="-1"/>
        </w:rPr>
        <w:t>Laikyti ne aukštesnėje kaip 30 °C temperatūroje.</w:t>
      </w:r>
    </w:p>
    <w:p w14:paraId="0B18FDAB"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spacing w:val="2"/>
        </w:rPr>
      </w:pPr>
    </w:p>
    <w:p w14:paraId="58C850AD" w14:textId="77777777" w:rsidR="00CD51A4" w:rsidRPr="000A2DE8" w:rsidRDefault="00CD51A4" w:rsidP="005B092D">
      <w:pPr>
        <w:numPr>
          <w:ilvl w:val="12"/>
          <w:numId w:val="0"/>
        </w:numPr>
        <w:spacing w:after="0" w:line="240" w:lineRule="auto"/>
        <w:ind w:right="1"/>
        <w:rPr>
          <w:rFonts w:ascii="Times New Roman" w:eastAsia="Times New Roman" w:hAnsi="Times New Roman"/>
          <w:color w:val="000000"/>
          <w:spacing w:val="2"/>
        </w:rPr>
      </w:pPr>
      <w:r w:rsidRPr="000A2DE8">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14:paraId="17CBE899"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04A6F0B4"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136CE8EF" w14:textId="77777777" w:rsidR="00CD51A4" w:rsidRPr="000A2DE8" w:rsidRDefault="00CD51A4" w:rsidP="005B092D">
      <w:pPr>
        <w:widowControl w:val="0"/>
        <w:numPr>
          <w:ilvl w:val="0"/>
          <w:numId w:val="12"/>
        </w:numPr>
        <w:tabs>
          <w:tab w:val="left" w:pos="720"/>
        </w:tabs>
        <w:autoSpaceDE w:val="0"/>
        <w:autoSpaceDN w:val="0"/>
        <w:adjustRightInd w:val="0"/>
        <w:spacing w:after="0" w:line="240" w:lineRule="auto"/>
        <w:ind w:right="1" w:hanging="720"/>
        <w:rPr>
          <w:rFonts w:ascii="Times New Roman" w:eastAsia="Times New Roman" w:hAnsi="Times New Roman"/>
          <w:b/>
          <w:bCs/>
          <w:color w:val="000000"/>
        </w:rPr>
      </w:pPr>
      <w:r w:rsidRPr="000A2DE8">
        <w:rPr>
          <w:rFonts w:ascii="Times New Roman" w:hAnsi="Times New Roman"/>
          <w:b/>
          <w:color w:val="000000"/>
          <w:spacing w:val="2"/>
        </w:rPr>
        <w:t>Pakuotės turinys ir kita informacija</w:t>
      </w:r>
    </w:p>
    <w:p w14:paraId="5430CD7F" w14:textId="77777777" w:rsidR="00CD51A4" w:rsidRPr="000A2DE8" w:rsidRDefault="00CD51A4" w:rsidP="005B092D">
      <w:pPr>
        <w:widowControl w:val="0"/>
        <w:tabs>
          <w:tab w:val="left" w:pos="720"/>
        </w:tabs>
        <w:autoSpaceDE w:val="0"/>
        <w:autoSpaceDN w:val="0"/>
        <w:adjustRightInd w:val="0"/>
        <w:spacing w:after="0" w:line="240" w:lineRule="auto"/>
        <w:ind w:right="1"/>
        <w:rPr>
          <w:rFonts w:ascii="Times New Roman" w:eastAsia="Times New Roman" w:hAnsi="Times New Roman"/>
          <w:b/>
          <w:bCs/>
          <w:color w:val="000000"/>
        </w:rPr>
      </w:pPr>
    </w:p>
    <w:p w14:paraId="6F487593" w14:textId="77777777" w:rsidR="00CD51A4" w:rsidRPr="000A2DE8" w:rsidRDefault="00CD51A4" w:rsidP="005B092D">
      <w:pPr>
        <w:widowControl w:val="0"/>
        <w:tabs>
          <w:tab w:val="left" w:pos="72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Bosentan Accord sudėtis</w:t>
      </w:r>
    </w:p>
    <w:p w14:paraId="49D36C95" w14:textId="77777777" w:rsidR="00CD51A4" w:rsidRPr="000A2DE8" w:rsidRDefault="00CD51A4" w:rsidP="005B092D">
      <w:pPr>
        <w:widowControl w:val="0"/>
        <w:tabs>
          <w:tab w:val="left" w:pos="820"/>
        </w:tabs>
        <w:autoSpaceDE w:val="0"/>
        <w:autoSpaceDN w:val="0"/>
        <w:adjustRightInd w:val="0"/>
        <w:spacing w:after="0" w:line="240" w:lineRule="auto"/>
        <w:ind w:right="1"/>
        <w:rPr>
          <w:rFonts w:ascii="Times New Roman" w:eastAsia="Times New Roman" w:hAnsi="Times New Roman"/>
          <w:color w:val="000000"/>
          <w:spacing w:val="2"/>
        </w:rPr>
      </w:pPr>
    </w:p>
    <w:p w14:paraId="4EF9646C" w14:textId="77777777" w:rsidR="00CD51A4" w:rsidRPr="007B3BE0" w:rsidRDefault="00CD51A4" w:rsidP="005B092D">
      <w:pPr>
        <w:numPr>
          <w:ilvl w:val="0"/>
          <w:numId w:val="13"/>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color w:val="000000"/>
          <w:spacing w:val="-1"/>
        </w:rPr>
        <w:t xml:space="preserve">Bosentan Accord 62,5 mg plėvele dengtos tabletės: </w:t>
      </w:r>
      <w:r w:rsidRPr="000A2DE8">
        <w:rPr>
          <w:rFonts w:ascii="Times New Roman" w:hAnsi="Times New Roman"/>
          <w:color w:val="000000"/>
          <w:spacing w:val="2"/>
        </w:rPr>
        <w:t xml:space="preserve">veiklioji medžiaga yra bozentanas, </w:t>
      </w:r>
      <w:r w:rsidRPr="007B3BE0">
        <w:rPr>
          <w:rFonts w:ascii="Times New Roman" w:hAnsi="Times New Roman"/>
          <w:color w:val="000000"/>
          <w:spacing w:val="2"/>
        </w:rPr>
        <w:t xml:space="preserve">monohidrato pavidalu. Kiekvienoje tabletėje yra 62,5 mg bozentano (monohidrato </w:t>
      </w:r>
      <w:r w:rsidR="00FA68D8" w:rsidRPr="007B3BE0">
        <w:rPr>
          <w:rFonts w:ascii="Times New Roman" w:hAnsi="Times New Roman"/>
          <w:color w:val="000000"/>
          <w:spacing w:val="2"/>
        </w:rPr>
        <w:t>pavidalu</w:t>
      </w:r>
      <w:r w:rsidRPr="007B3BE0">
        <w:rPr>
          <w:rFonts w:ascii="Times New Roman" w:hAnsi="Times New Roman"/>
          <w:color w:val="000000"/>
          <w:spacing w:val="2"/>
        </w:rPr>
        <w:t>).</w:t>
      </w:r>
    </w:p>
    <w:p w14:paraId="508E6A56" w14:textId="77777777" w:rsidR="00CD51A4" w:rsidRPr="00203D9E" w:rsidRDefault="00CD51A4" w:rsidP="005B092D">
      <w:pPr>
        <w:numPr>
          <w:ilvl w:val="0"/>
          <w:numId w:val="13"/>
        </w:numPr>
        <w:autoSpaceDE w:val="0"/>
        <w:autoSpaceDN w:val="0"/>
        <w:adjustRightInd w:val="0"/>
        <w:spacing w:after="0" w:line="240" w:lineRule="auto"/>
        <w:ind w:left="567" w:right="1" w:hanging="567"/>
        <w:rPr>
          <w:rFonts w:ascii="Times New Roman" w:hAnsi="Times New Roman"/>
          <w:color w:val="000000"/>
        </w:rPr>
      </w:pPr>
      <w:r w:rsidRPr="00203D9E">
        <w:rPr>
          <w:rFonts w:ascii="Times New Roman" w:hAnsi="Times New Roman"/>
          <w:b/>
          <w:color w:val="000000"/>
        </w:rPr>
        <w:t xml:space="preserve">Bosentan Accord 125 mg plėvele dengtos tabletės: </w:t>
      </w:r>
      <w:r w:rsidRPr="00203D9E">
        <w:rPr>
          <w:rFonts w:ascii="Times New Roman" w:hAnsi="Times New Roman"/>
          <w:color w:val="000000"/>
          <w:spacing w:val="2"/>
        </w:rPr>
        <w:t xml:space="preserve">veiklioji medžiaga yra bozentanas, monohidrato pavidalu. Kiekvienoje tabletėje yra 125 mg bozentano (monohidrato </w:t>
      </w:r>
      <w:r w:rsidR="00FA68D8" w:rsidRPr="00203D9E">
        <w:rPr>
          <w:rFonts w:ascii="Times New Roman" w:hAnsi="Times New Roman"/>
          <w:color w:val="000000"/>
          <w:spacing w:val="2"/>
        </w:rPr>
        <w:t>pavidalu</w:t>
      </w:r>
      <w:r w:rsidRPr="00203D9E">
        <w:rPr>
          <w:rFonts w:ascii="Times New Roman" w:hAnsi="Times New Roman"/>
          <w:color w:val="000000"/>
          <w:spacing w:val="2"/>
        </w:rPr>
        <w:t>).</w:t>
      </w:r>
    </w:p>
    <w:p w14:paraId="02923CB0" w14:textId="77777777" w:rsidR="00CD51A4" w:rsidRPr="000A2DE8" w:rsidRDefault="00CD51A4" w:rsidP="005B092D">
      <w:pPr>
        <w:widowControl w:val="0"/>
        <w:tabs>
          <w:tab w:val="left" w:pos="820"/>
        </w:tabs>
        <w:autoSpaceDE w:val="0"/>
        <w:autoSpaceDN w:val="0"/>
        <w:adjustRightInd w:val="0"/>
        <w:spacing w:after="0" w:line="240" w:lineRule="auto"/>
        <w:ind w:right="1"/>
        <w:rPr>
          <w:rFonts w:ascii="Times New Roman" w:eastAsia="Times New Roman" w:hAnsi="Times New Roman"/>
          <w:color w:val="000000"/>
        </w:rPr>
      </w:pPr>
    </w:p>
    <w:p w14:paraId="3F2EDE71" w14:textId="77777777" w:rsidR="00CD51A4" w:rsidRPr="000A2DE8" w:rsidRDefault="00CD51A4" w:rsidP="005B092D">
      <w:pPr>
        <w:numPr>
          <w:ilvl w:val="0"/>
          <w:numId w:val="13"/>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rPr>
        <w:t>Pagalbinės tabletės branduolio medžiagos yra kukurūzų krakmolas, pregelifikuotas kukurūzų krakmolas, karboksimetilkrakmolo A natrio druska, povidonas ir magnio stearatas.</w:t>
      </w:r>
      <w:r w:rsidRPr="000A2DE8">
        <w:rPr>
          <w:rFonts w:ascii="Times New Roman" w:hAnsi="Times New Roman"/>
          <w:color w:val="000000"/>
        </w:rPr>
        <w:t xml:space="preserve"> Tabletės plėvelėje yra hipromeliozė, triacetin</w:t>
      </w:r>
      <w:r w:rsidR="004D14B1" w:rsidRPr="000A2DE8">
        <w:rPr>
          <w:rFonts w:ascii="Times New Roman" w:hAnsi="Times New Roman"/>
          <w:color w:val="000000"/>
        </w:rPr>
        <w:t>as</w:t>
      </w:r>
      <w:r w:rsidRPr="000A2DE8">
        <w:rPr>
          <w:rFonts w:ascii="Times New Roman" w:hAnsi="Times New Roman"/>
          <w:color w:val="000000"/>
        </w:rPr>
        <w:t>, talk</w:t>
      </w:r>
      <w:r w:rsidR="004D14B1" w:rsidRPr="000A2DE8">
        <w:rPr>
          <w:rFonts w:ascii="Times New Roman" w:hAnsi="Times New Roman"/>
          <w:color w:val="000000"/>
        </w:rPr>
        <w:t>as</w:t>
      </w:r>
      <w:r w:rsidRPr="000A2DE8">
        <w:rPr>
          <w:rFonts w:ascii="Times New Roman" w:hAnsi="Times New Roman"/>
          <w:color w:val="000000"/>
        </w:rPr>
        <w:t>, titano dioksid</w:t>
      </w:r>
      <w:r w:rsidR="004D14B1" w:rsidRPr="000A2DE8">
        <w:rPr>
          <w:rFonts w:ascii="Times New Roman" w:hAnsi="Times New Roman"/>
          <w:color w:val="000000"/>
        </w:rPr>
        <w:t>as</w:t>
      </w:r>
      <w:r w:rsidRPr="000A2DE8">
        <w:rPr>
          <w:rFonts w:ascii="Times New Roman" w:hAnsi="Times New Roman"/>
          <w:color w:val="000000"/>
        </w:rPr>
        <w:t xml:space="preserve"> (E171), gelton</w:t>
      </w:r>
      <w:r w:rsidR="004D14B1" w:rsidRPr="000A2DE8">
        <w:rPr>
          <w:rFonts w:ascii="Times New Roman" w:hAnsi="Times New Roman"/>
          <w:color w:val="000000"/>
        </w:rPr>
        <w:t>asis</w:t>
      </w:r>
      <w:r w:rsidRPr="000A2DE8">
        <w:rPr>
          <w:rFonts w:ascii="Times New Roman" w:hAnsi="Times New Roman"/>
          <w:color w:val="000000"/>
        </w:rPr>
        <w:t xml:space="preserve"> geležies oksid</w:t>
      </w:r>
      <w:r w:rsidR="004D14B1" w:rsidRPr="000A2DE8">
        <w:rPr>
          <w:rFonts w:ascii="Times New Roman" w:hAnsi="Times New Roman"/>
          <w:color w:val="000000"/>
        </w:rPr>
        <w:t>as</w:t>
      </w:r>
      <w:r w:rsidRPr="000A2DE8">
        <w:rPr>
          <w:rFonts w:ascii="Times New Roman" w:hAnsi="Times New Roman"/>
          <w:color w:val="000000"/>
        </w:rPr>
        <w:t xml:space="preserve"> (E172) ir raudon</w:t>
      </w:r>
      <w:r w:rsidR="004D14B1" w:rsidRPr="000A2DE8">
        <w:rPr>
          <w:rFonts w:ascii="Times New Roman" w:hAnsi="Times New Roman"/>
          <w:color w:val="000000"/>
        </w:rPr>
        <w:t>asis</w:t>
      </w:r>
      <w:r w:rsidRPr="000A2DE8">
        <w:rPr>
          <w:rFonts w:ascii="Times New Roman" w:hAnsi="Times New Roman"/>
          <w:color w:val="000000"/>
        </w:rPr>
        <w:t xml:space="preserve"> geležies oksid</w:t>
      </w:r>
      <w:r w:rsidR="004D14B1" w:rsidRPr="000A2DE8">
        <w:rPr>
          <w:rFonts w:ascii="Times New Roman" w:hAnsi="Times New Roman"/>
          <w:color w:val="000000"/>
        </w:rPr>
        <w:t>as</w:t>
      </w:r>
      <w:r w:rsidRPr="000A2DE8">
        <w:rPr>
          <w:rFonts w:ascii="Times New Roman" w:hAnsi="Times New Roman"/>
          <w:color w:val="000000"/>
        </w:rPr>
        <w:t xml:space="preserve"> (E172). </w:t>
      </w:r>
    </w:p>
    <w:p w14:paraId="041858DE"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3515EF87"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Bosentan Accord išvaizda ir kiekis pakuotėje</w:t>
      </w:r>
    </w:p>
    <w:p w14:paraId="2592CE55"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0C0266E1" w14:textId="77777777" w:rsidR="00CD51A4" w:rsidRPr="000A2DE8" w:rsidRDefault="00CD51A4" w:rsidP="005B092D">
      <w:pPr>
        <w:widowControl w:val="0"/>
        <w:autoSpaceDE w:val="0"/>
        <w:autoSpaceDN w:val="0"/>
        <w:adjustRightInd w:val="0"/>
        <w:spacing w:after="0" w:line="240" w:lineRule="auto"/>
        <w:ind w:right="1"/>
        <w:rPr>
          <w:rFonts w:ascii="Times New Roman" w:hAnsi="Times New Roman"/>
          <w:color w:val="000000"/>
        </w:rPr>
      </w:pPr>
      <w:r w:rsidRPr="000A2DE8">
        <w:rPr>
          <w:rFonts w:ascii="Times New Roman" w:hAnsi="Times New Roman"/>
          <w:color w:val="000000"/>
        </w:rPr>
        <w:t xml:space="preserve">Bosentan Accord 62,5 mg plėvele dengtos tabletės yra šviesiai oranžinės, apvalios, </w:t>
      </w:r>
      <w:r w:rsidR="004D14B1" w:rsidRPr="000A2DE8">
        <w:rPr>
          <w:rFonts w:ascii="Times New Roman" w:hAnsi="Times New Roman"/>
          <w:color w:val="000000"/>
        </w:rPr>
        <w:t xml:space="preserve">apytiksliai </w:t>
      </w:r>
      <w:r w:rsidRPr="000A2DE8">
        <w:rPr>
          <w:rFonts w:ascii="Times New Roman" w:hAnsi="Times New Roman"/>
          <w:color w:val="000000"/>
        </w:rPr>
        <w:t>6,20 mm skersmens, abipus išgaubtos, plėvele dengtos tabletės, kurių vienoje pusėje įspausta „IB1“, kita pusė lygi.</w:t>
      </w:r>
    </w:p>
    <w:p w14:paraId="53316A9A"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29D37DDF" w14:textId="77777777" w:rsidR="00CD51A4" w:rsidRPr="00203D9E" w:rsidRDefault="00CD51A4" w:rsidP="005B092D">
      <w:pPr>
        <w:widowControl w:val="0"/>
        <w:autoSpaceDE w:val="0"/>
        <w:autoSpaceDN w:val="0"/>
        <w:adjustRightInd w:val="0"/>
        <w:spacing w:after="0" w:line="240" w:lineRule="auto"/>
        <w:ind w:right="1"/>
        <w:rPr>
          <w:rFonts w:ascii="Times New Roman" w:hAnsi="Times New Roman"/>
          <w:color w:val="000000"/>
        </w:rPr>
      </w:pPr>
      <w:r w:rsidRPr="00203D9E">
        <w:rPr>
          <w:rFonts w:ascii="Times New Roman" w:hAnsi="Times New Roman"/>
          <w:color w:val="000000"/>
        </w:rPr>
        <w:t xml:space="preserve">Bosentan Accord 125 mg plėvele dengtos tabletės yra šviesiai oranžinės, ovalios, </w:t>
      </w:r>
      <w:r w:rsidR="004D14B1" w:rsidRPr="00203D9E">
        <w:rPr>
          <w:rFonts w:ascii="Times New Roman" w:hAnsi="Times New Roman"/>
          <w:color w:val="000000"/>
        </w:rPr>
        <w:t xml:space="preserve">apytiksliai </w:t>
      </w:r>
      <w:r w:rsidRPr="00203D9E">
        <w:rPr>
          <w:rFonts w:ascii="Times New Roman" w:hAnsi="Times New Roman"/>
          <w:color w:val="000000"/>
        </w:rPr>
        <w:t>11,00 mm ilgio ir 5,00 mm pločio, abipus išgaubtos, plėvele dengtos tabletės, kurių vienoje pusėje įspausta „IB2“, kita pusė lygi.</w:t>
      </w:r>
    </w:p>
    <w:p w14:paraId="3190AB61" w14:textId="77777777" w:rsidR="00CD51A4" w:rsidRPr="000A2DE8" w:rsidRDefault="00CD51A4" w:rsidP="005B092D">
      <w:pPr>
        <w:widowControl w:val="0"/>
        <w:autoSpaceDE w:val="0"/>
        <w:autoSpaceDN w:val="0"/>
        <w:adjustRightInd w:val="0"/>
        <w:spacing w:after="0" w:line="240" w:lineRule="auto"/>
        <w:ind w:right="1"/>
        <w:rPr>
          <w:rFonts w:ascii="Times New Roman" w:hAnsi="Times New Roman"/>
          <w:color w:val="000000"/>
          <w:highlight w:val="lightGray"/>
        </w:rPr>
      </w:pPr>
    </w:p>
    <w:p w14:paraId="160B7A23"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Bosentan Accord 62,5 mg plėvele dengtos tabletės yra supakuotos aliuminio-aliuminio lizdinėse plokštelėse ir PVC/PE/PVDC/aliuminio lizdinėse plokštelėse po 14 plėvele dengtų tablečių. Dėžutėje yra 14, 56 ar</w:t>
      </w:r>
      <w:r w:rsidR="004D14B1" w:rsidRPr="000A2DE8">
        <w:rPr>
          <w:rFonts w:ascii="Times New Roman" w:hAnsi="Times New Roman"/>
          <w:color w:val="000000"/>
        </w:rPr>
        <w:t>ba</w:t>
      </w:r>
      <w:r w:rsidRPr="000A2DE8">
        <w:rPr>
          <w:rFonts w:ascii="Times New Roman" w:hAnsi="Times New Roman"/>
          <w:color w:val="000000"/>
        </w:rPr>
        <w:t xml:space="preserve"> 112 plėvele dengtų tablečių.</w:t>
      </w:r>
    </w:p>
    <w:p w14:paraId="515958A5"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highlight w:val="lightGray"/>
        </w:rPr>
      </w:pPr>
    </w:p>
    <w:p w14:paraId="6BAA9A2A" w14:textId="77777777" w:rsidR="00CD51A4" w:rsidRPr="000A2DE8" w:rsidRDefault="00CD51A4" w:rsidP="005B092D">
      <w:pPr>
        <w:autoSpaceDE w:val="0"/>
        <w:autoSpaceDN w:val="0"/>
        <w:adjustRightInd w:val="0"/>
        <w:spacing w:after="0" w:line="240" w:lineRule="auto"/>
        <w:ind w:right="1"/>
        <w:rPr>
          <w:rFonts w:ascii="Times New Roman" w:eastAsia="Times New Roman" w:hAnsi="Times New Roman"/>
          <w:color w:val="000000"/>
        </w:rPr>
      </w:pPr>
      <w:r w:rsidRPr="00203D9E">
        <w:rPr>
          <w:rFonts w:ascii="Times New Roman" w:hAnsi="Times New Roman"/>
          <w:color w:val="000000"/>
        </w:rPr>
        <w:lastRenderedPageBreak/>
        <w:t>Bosentan Accord 125 mg plėvele dengtos tabletės yra supakuotos aliuminio-aliuminio lizdinėse plokštelėse ir PVC/PE/PVDC/aliuminio lizdinėse plokštelėse po 14 plėvele dengtų tablečių. Dėžutėje yra 56 ar</w:t>
      </w:r>
      <w:r w:rsidR="004D14B1" w:rsidRPr="00203D9E">
        <w:rPr>
          <w:rFonts w:ascii="Times New Roman" w:hAnsi="Times New Roman"/>
          <w:color w:val="000000"/>
        </w:rPr>
        <w:t>ba</w:t>
      </w:r>
      <w:r w:rsidRPr="00203D9E">
        <w:rPr>
          <w:rFonts w:ascii="Times New Roman" w:hAnsi="Times New Roman"/>
          <w:color w:val="000000"/>
        </w:rPr>
        <w:t xml:space="preserve"> 112 plėvele dengtų tablečių.</w:t>
      </w:r>
    </w:p>
    <w:p w14:paraId="0AE93080" w14:textId="05836D4A" w:rsidR="00CD51A4" w:rsidRDefault="00CD51A4" w:rsidP="005B092D">
      <w:pPr>
        <w:autoSpaceDE w:val="0"/>
        <w:autoSpaceDN w:val="0"/>
        <w:adjustRightInd w:val="0"/>
        <w:spacing w:after="0" w:line="240" w:lineRule="auto"/>
        <w:ind w:right="1"/>
        <w:rPr>
          <w:rFonts w:ascii="Times New Roman" w:eastAsia="Times New Roman" w:hAnsi="Times New Roman"/>
          <w:color w:val="000000"/>
        </w:rPr>
      </w:pPr>
    </w:p>
    <w:p w14:paraId="47DDC877" w14:textId="2170A282" w:rsidR="007B3BE0" w:rsidRPr="000A2DE8" w:rsidRDefault="007B3BE0" w:rsidP="007B3BE0">
      <w:pPr>
        <w:autoSpaceDE w:val="0"/>
        <w:autoSpaceDN w:val="0"/>
        <w:adjustRightInd w:val="0"/>
        <w:spacing w:after="0" w:line="240" w:lineRule="auto"/>
        <w:ind w:right="1"/>
        <w:rPr>
          <w:rFonts w:ascii="Times New Roman" w:eastAsia="Times New Roman" w:hAnsi="Times New Roman"/>
          <w:color w:val="000000"/>
        </w:rPr>
      </w:pPr>
      <w:r w:rsidRPr="00030061">
        <w:rPr>
          <w:rFonts w:ascii="Times New Roman" w:hAnsi="Times New Roman"/>
          <w:color w:val="000000"/>
        </w:rPr>
        <w:t>Bosentan Accord 125 mg plėvele dengtos tabletės yra supakuotos aliuminio-aliuminio lizdinėse plokštelėse ir PVC/PE/PVDC/aliuminio lizdinėse plokštelėse po 1</w:t>
      </w:r>
      <w:r>
        <w:rPr>
          <w:rFonts w:ascii="Times New Roman" w:hAnsi="Times New Roman"/>
          <w:color w:val="000000"/>
        </w:rPr>
        <w:t>0</w:t>
      </w:r>
      <w:r w:rsidRPr="00030061">
        <w:rPr>
          <w:rFonts w:ascii="Times New Roman" w:hAnsi="Times New Roman"/>
          <w:color w:val="000000"/>
        </w:rPr>
        <w:t> plėvele dengtų tablečių. Dėžutėje yra 12</w:t>
      </w:r>
      <w:r>
        <w:rPr>
          <w:rFonts w:ascii="Times New Roman" w:hAnsi="Times New Roman"/>
          <w:color w:val="000000"/>
        </w:rPr>
        <w:t>0</w:t>
      </w:r>
      <w:r w:rsidRPr="00030061">
        <w:rPr>
          <w:rFonts w:ascii="Times New Roman" w:hAnsi="Times New Roman"/>
          <w:color w:val="000000"/>
        </w:rPr>
        <w:t> plėvele dengtų tablečių.</w:t>
      </w:r>
    </w:p>
    <w:p w14:paraId="1E045E1E" w14:textId="77777777" w:rsidR="007B3BE0" w:rsidRPr="000A2DE8" w:rsidRDefault="007B3BE0" w:rsidP="005B092D">
      <w:pPr>
        <w:autoSpaceDE w:val="0"/>
        <w:autoSpaceDN w:val="0"/>
        <w:adjustRightInd w:val="0"/>
        <w:spacing w:after="0" w:line="240" w:lineRule="auto"/>
        <w:ind w:right="1"/>
        <w:rPr>
          <w:rFonts w:ascii="Times New Roman" w:eastAsia="Times New Roman" w:hAnsi="Times New Roman"/>
          <w:color w:val="000000"/>
        </w:rPr>
      </w:pPr>
    </w:p>
    <w:p w14:paraId="2EF66010" w14:textId="77777777" w:rsidR="00CD51A4" w:rsidRPr="000A2DE8" w:rsidRDefault="00CD51A4" w:rsidP="005B092D">
      <w:pPr>
        <w:widowControl w:val="0"/>
        <w:autoSpaceDE w:val="0"/>
        <w:autoSpaceDN w:val="0"/>
        <w:adjustRightInd w:val="0"/>
        <w:spacing w:after="0" w:line="240" w:lineRule="auto"/>
        <w:ind w:right="1"/>
        <w:rPr>
          <w:rFonts w:ascii="Times New Roman" w:hAnsi="Times New Roman"/>
        </w:rPr>
      </w:pPr>
      <w:r w:rsidRPr="000A2DE8">
        <w:rPr>
          <w:rFonts w:ascii="Times New Roman" w:hAnsi="Times New Roman"/>
        </w:rPr>
        <w:t>Gali būti tiekiamos ne visų dydžių pakuotės.</w:t>
      </w:r>
    </w:p>
    <w:p w14:paraId="3CD01D2E"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rPr>
      </w:pPr>
    </w:p>
    <w:p w14:paraId="16FC3F9C" w14:textId="77777777" w:rsidR="00CD51A4" w:rsidRPr="000A2DE8" w:rsidRDefault="00CD51A4" w:rsidP="005B092D">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Registruotojas ir gamintojas</w:t>
      </w:r>
    </w:p>
    <w:p w14:paraId="66210B9A" w14:textId="77777777" w:rsidR="00CD51A4" w:rsidRPr="000A2DE8" w:rsidRDefault="00CD51A4" w:rsidP="005B092D">
      <w:pPr>
        <w:numPr>
          <w:ilvl w:val="12"/>
          <w:numId w:val="0"/>
        </w:numPr>
        <w:spacing w:after="0" w:line="240" w:lineRule="auto"/>
        <w:ind w:right="1"/>
        <w:rPr>
          <w:rFonts w:ascii="Times New Roman" w:eastAsia="Times New Roman" w:hAnsi="Times New Roman"/>
          <w:snapToGrid w:val="0"/>
          <w:lang w:eastAsia="en-US" w:bidi="ar-SA"/>
        </w:rPr>
      </w:pPr>
    </w:p>
    <w:p w14:paraId="1CC6FB2C" w14:textId="77777777" w:rsidR="00CD51A4" w:rsidRPr="000A2DE8" w:rsidRDefault="00CD51A4" w:rsidP="005B092D">
      <w:pPr>
        <w:spacing w:after="0" w:line="240" w:lineRule="auto"/>
        <w:ind w:right="1"/>
        <w:rPr>
          <w:rFonts w:ascii="Times New Roman" w:eastAsia="Times New Roman" w:hAnsi="Times New Roman"/>
          <w:b/>
          <w:snapToGrid w:val="0"/>
          <w:u w:val="single"/>
          <w:lang w:eastAsia="en-US" w:bidi="ar-SA"/>
        </w:rPr>
      </w:pPr>
      <w:r w:rsidRPr="000A2DE8">
        <w:rPr>
          <w:rFonts w:ascii="Times New Roman" w:eastAsia="Times New Roman" w:hAnsi="Times New Roman"/>
          <w:snapToGrid w:val="0"/>
          <w:u w:val="single"/>
          <w:lang w:eastAsia="en-US" w:bidi="ar-SA"/>
        </w:rPr>
        <w:t>Registruotojas</w:t>
      </w:r>
    </w:p>
    <w:p w14:paraId="189E93DD" w14:textId="77777777" w:rsidR="00CD51A4" w:rsidRPr="000A2DE8" w:rsidRDefault="00CD51A4" w:rsidP="005B092D">
      <w:pPr>
        <w:spacing w:after="0" w:line="240" w:lineRule="auto"/>
        <w:ind w:right="1"/>
        <w:rPr>
          <w:rFonts w:ascii="Times New Roman" w:hAnsi="Times New Roman"/>
        </w:rPr>
      </w:pPr>
      <w:r w:rsidRPr="000A2DE8">
        <w:rPr>
          <w:rFonts w:ascii="Times New Roman" w:hAnsi="Times New Roman"/>
        </w:rPr>
        <w:t xml:space="preserve">Accord Healthcare </w:t>
      </w:r>
      <w:r w:rsidR="00E36E7D" w:rsidRPr="000A2DE8">
        <w:rPr>
          <w:rFonts w:ascii="Times New Roman" w:hAnsi="Times New Roman"/>
        </w:rPr>
        <w:t>B.V.</w:t>
      </w:r>
      <w:r w:rsidRPr="000A2DE8">
        <w:rPr>
          <w:rFonts w:ascii="Times New Roman" w:hAnsi="Times New Roman"/>
        </w:rPr>
        <w:t xml:space="preserve"> </w:t>
      </w:r>
    </w:p>
    <w:p w14:paraId="169B46B3" w14:textId="77777777" w:rsidR="00E36E7D" w:rsidRPr="000A2DE8" w:rsidRDefault="00E36E7D" w:rsidP="005B092D">
      <w:pPr>
        <w:spacing w:after="0"/>
        <w:ind w:right="1"/>
        <w:rPr>
          <w:rFonts w:ascii="Times New Roman" w:hAnsi="Times New Roman"/>
        </w:rPr>
      </w:pPr>
      <w:r w:rsidRPr="000A2DE8">
        <w:rPr>
          <w:rFonts w:ascii="Times New Roman" w:hAnsi="Times New Roman"/>
        </w:rPr>
        <w:t xml:space="preserve">Winthontlaan 200 </w:t>
      </w:r>
    </w:p>
    <w:p w14:paraId="5DF40A75" w14:textId="77777777" w:rsidR="00E36E7D" w:rsidRPr="000A2DE8" w:rsidRDefault="00E36E7D" w:rsidP="005B092D">
      <w:pPr>
        <w:spacing w:after="0"/>
        <w:ind w:right="1"/>
        <w:rPr>
          <w:rFonts w:ascii="Times New Roman" w:hAnsi="Times New Roman"/>
        </w:rPr>
      </w:pPr>
      <w:r w:rsidRPr="000A2DE8">
        <w:rPr>
          <w:rFonts w:ascii="Times New Roman" w:hAnsi="Times New Roman"/>
        </w:rPr>
        <w:t xml:space="preserve">3526 KV Utrecht </w:t>
      </w:r>
    </w:p>
    <w:p w14:paraId="764204A4" w14:textId="77777777" w:rsidR="00E36E7D" w:rsidRPr="000A2DE8" w:rsidRDefault="00E36E7D" w:rsidP="005B092D">
      <w:pPr>
        <w:spacing w:after="0"/>
        <w:ind w:right="1"/>
      </w:pPr>
      <w:r w:rsidRPr="000A2DE8">
        <w:rPr>
          <w:rFonts w:ascii="Times New Roman" w:hAnsi="Times New Roman"/>
        </w:rPr>
        <w:t>Nyderlandai</w:t>
      </w:r>
    </w:p>
    <w:p w14:paraId="5DB8F51F" w14:textId="77777777" w:rsidR="00CD51A4" w:rsidRPr="000A2DE8" w:rsidRDefault="00CD51A4" w:rsidP="005B092D">
      <w:pPr>
        <w:numPr>
          <w:ilvl w:val="12"/>
          <w:numId w:val="0"/>
        </w:numPr>
        <w:spacing w:after="0" w:line="240" w:lineRule="auto"/>
        <w:ind w:right="1"/>
        <w:rPr>
          <w:rFonts w:ascii="Times New Roman" w:eastAsia="Times New Roman" w:hAnsi="Times New Roman"/>
          <w:snapToGrid w:val="0"/>
          <w:lang w:eastAsia="en-US" w:bidi="ar-SA"/>
        </w:rPr>
      </w:pPr>
    </w:p>
    <w:p w14:paraId="1BA095AF" w14:textId="77777777" w:rsidR="00CD51A4" w:rsidRPr="000A2DE8" w:rsidRDefault="00CD51A4" w:rsidP="005B092D">
      <w:pPr>
        <w:widowControl w:val="0"/>
        <w:autoSpaceDE w:val="0"/>
        <w:autoSpaceDN w:val="0"/>
        <w:adjustRightInd w:val="0"/>
        <w:spacing w:after="0" w:line="240" w:lineRule="auto"/>
        <w:ind w:right="1"/>
        <w:rPr>
          <w:rFonts w:ascii="Times New Roman" w:eastAsia="Times New Roman" w:hAnsi="Times New Roman"/>
          <w:color w:val="000000"/>
          <w:u w:val="single"/>
        </w:rPr>
      </w:pPr>
      <w:r w:rsidRPr="000A2DE8">
        <w:rPr>
          <w:rFonts w:ascii="Times New Roman" w:hAnsi="Times New Roman"/>
          <w:color w:val="000000"/>
          <w:u w:val="single"/>
        </w:rPr>
        <w:t>Gamintojas</w:t>
      </w:r>
    </w:p>
    <w:p w14:paraId="28851A72" w14:textId="77777777" w:rsidR="0046279F" w:rsidRPr="000A2DE8" w:rsidRDefault="0046279F" w:rsidP="005B092D">
      <w:pPr>
        <w:numPr>
          <w:ilvl w:val="12"/>
          <w:numId w:val="0"/>
        </w:numPr>
        <w:tabs>
          <w:tab w:val="left" w:pos="567"/>
        </w:tabs>
        <w:spacing w:after="0" w:line="240" w:lineRule="auto"/>
        <w:ind w:right="1"/>
        <w:rPr>
          <w:rFonts w:ascii="Times New Roman" w:eastAsia="Times New Roman" w:hAnsi="Times New Roman"/>
          <w:color w:val="000000"/>
        </w:rPr>
      </w:pPr>
      <w:r w:rsidRPr="000A2DE8">
        <w:rPr>
          <w:rFonts w:ascii="Times New Roman" w:eastAsia="Times New Roman" w:hAnsi="Times New Roman"/>
          <w:color w:val="000000"/>
        </w:rPr>
        <w:t>Accord Healthcare Polska Sp.z o.o.,</w:t>
      </w:r>
    </w:p>
    <w:p w14:paraId="15545232" w14:textId="77777777" w:rsidR="004D14B1" w:rsidRPr="000A2DE8" w:rsidRDefault="0046279F" w:rsidP="005B092D">
      <w:pPr>
        <w:numPr>
          <w:ilvl w:val="12"/>
          <w:numId w:val="0"/>
        </w:numPr>
        <w:tabs>
          <w:tab w:val="left" w:pos="567"/>
        </w:tabs>
        <w:spacing w:after="0" w:line="240" w:lineRule="auto"/>
        <w:ind w:right="1"/>
        <w:rPr>
          <w:rFonts w:ascii="Times New Roman" w:eastAsia="Times New Roman" w:hAnsi="Times New Roman"/>
          <w:color w:val="000000"/>
        </w:rPr>
      </w:pPr>
      <w:r w:rsidRPr="000A2DE8">
        <w:rPr>
          <w:rFonts w:ascii="Times New Roman" w:eastAsia="Times New Roman" w:hAnsi="Times New Roman"/>
          <w:color w:val="000000"/>
        </w:rPr>
        <w:t>ul. Lutomierska 50</w:t>
      </w:r>
      <w:r w:rsidR="007F30DB" w:rsidRPr="000A2DE8">
        <w:rPr>
          <w:rFonts w:ascii="Times New Roman" w:eastAsia="Times New Roman" w:hAnsi="Times New Roman"/>
          <w:color w:val="000000"/>
        </w:rPr>
        <w:t xml:space="preserve"> </w:t>
      </w:r>
    </w:p>
    <w:p w14:paraId="5EE20647" w14:textId="77777777" w:rsidR="004D14B1" w:rsidRPr="000A2DE8" w:rsidRDefault="0046279F" w:rsidP="005B092D">
      <w:pPr>
        <w:numPr>
          <w:ilvl w:val="12"/>
          <w:numId w:val="0"/>
        </w:numPr>
        <w:tabs>
          <w:tab w:val="left" w:pos="567"/>
        </w:tabs>
        <w:spacing w:after="0" w:line="240" w:lineRule="auto"/>
        <w:ind w:right="1"/>
        <w:rPr>
          <w:rFonts w:ascii="Times New Roman" w:eastAsia="Times New Roman" w:hAnsi="Times New Roman"/>
          <w:color w:val="000000"/>
        </w:rPr>
      </w:pPr>
      <w:r w:rsidRPr="000A2DE8">
        <w:rPr>
          <w:rFonts w:ascii="Times New Roman" w:eastAsia="Times New Roman" w:hAnsi="Times New Roman"/>
          <w:color w:val="000000"/>
        </w:rPr>
        <w:t xml:space="preserve">95-200 Pabianice </w:t>
      </w:r>
    </w:p>
    <w:p w14:paraId="2017C1E3" w14:textId="77777777" w:rsidR="0046279F" w:rsidRPr="000A2DE8" w:rsidRDefault="0046279F" w:rsidP="005B092D">
      <w:pPr>
        <w:numPr>
          <w:ilvl w:val="12"/>
          <w:numId w:val="0"/>
        </w:numPr>
        <w:tabs>
          <w:tab w:val="left" w:pos="567"/>
        </w:tabs>
        <w:spacing w:after="0" w:line="240" w:lineRule="auto"/>
        <w:ind w:right="1"/>
        <w:rPr>
          <w:rFonts w:ascii="Times New Roman" w:eastAsia="Times New Roman" w:hAnsi="Times New Roman"/>
          <w:color w:val="000000"/>
        </w:rPr>
      </w:pPr>
      <w:r w:rsidRPr="000A2DE8">
        <w:rPr>
          <w:rFonts w:ascii="Times New Roman" w:eastAsia="Times New Roman" w:hAnsi="Times New Roman"/>
          <w:color w:val="000000"/>
        </w:rPr>
        <w:t>Lenkija</w:t>
      </w:r>
    </w:p>
    <w:p w14:paraId="4A75F11D" w14:textId="77777777" w:rsidR="0046279F" w:rsidRPr="000A2DE8" w:rsidRDefault="0046279F" w:rsidP="005B092D">
      <w:pPr>
        <w:numPr>
          <w:ilvl w:val="12"/>
          <w:numId w:val="0"/>
        </w:numPr>
        <w:tabs>
          <w:tab w:val="left" w:pos="567"/>
        </w:tabs>
        <w:spacing w:after="0" w:line="240" w:lineRule="auto"/>
        <w:ind w:right="1"/>
        <w:rPr>
          <w:rFonts w:ascii="Times New Roman" w:eastAsia="Times New Roman" w:hAnsi="Times New Roman"/>
          <w:color w:val="000000"/>
        </w:rPr>
      </w:pPr>
    </w:p>
    <w:p w14:paraId="29AFC299" w14:textId="77777777" w:rsidR="00646A64" w:rsidRPr="000A2DE8" w:rsidRDefault="00646A64" w:rsidP="005B092D">
      <w:pPr>
        <w:tabs>
          <w:tab w:val="left" w:pos="567"/>
        </w:tabs>
        <w:spacing w:after="0" w:line="260" w:lineRule="exact"/>
        <w:ind w:right="1"/>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arba</w:t>
      </w:r>
    </w:p>
    <w:p w14:paraId="56C931FC" w14:textId="77777777" w:rsidR="00646A64" w:rsidRPr="000A2DE8" w:rsidRDefault="00646A64" w:rsidP="005B092D">
      <w:pPr>
        <w:tabs>
          <w:tab w:val="left" w:pos="567"/>
        </w:tabs>
        <w:spacing w:after="0" w:line="260" w:lineRule="exact"/>
        <w:ind w:right="1"/>
        <w:rPr>
          <w:rFonts w:ascii="Times New Roman" w:eastAsia="Times New Roman" w:hAnsi="Times New Roman"/>
          <w:snapToGrid w:val="0"/>
          <w:lang w:eastAsia="en-US" w:bidi="ar-SA"/>
        </w:rPr>
      </w:pPr>
    </w:p>
    <w:p w14:paraId="7F8F788B" w14:textId="77777777" w:rsidR="00646A64" w:rsidRPr="000A2DE8" w:rsidRDefault="00646A64" w:rsidP="005B092D">
      <w:pPr>
        <w:spacing w:after="0" w:line="240" w:lineRule="auto"/>
        <w:ind w:right="1"/>
        <w:rPr>
          <w:rFonts w:ascii="Times New Roman" w:hAnsi="Times New Roman"/>
        </w:rPr>
      </w:pPr>
      <w:r w:rsidRPr="000A2DE8">
        <w:rPr>
          <w:rFonts w:ascii="Times New Roman" w:hAnsi="Times New Roman"/>
        </w:rPr>
        <w:t xml:space="preserve">Accord Healthcare B.V. </w:t>
      </w:r>
    </w:p>
    <w:p w14:paraId="3E107132" w14:textId="77777777" w:rsidR="00646A64" w:rsidRPr="000A2DE8" w:rsidRDefault="00646A64" w:rsidP="005B092D">
      <w:pPr>
        <w:spacing w:after="0"/>
        <w:ind w:right="1"/>
        <w:rPr>
          <w:rFonts w:ascii="Times New Roman" w:hAnsi="Times New Roman"/>
        </w:rPr>
      </w:pPr>
      <w:r w:rsidRPr="000A2DE8">
        <w:rPr>
          <w:rFonts w:ascii="Times New Roman" w:hAnsi="Times New Roman"/>
        </w:rPr>
        <w:t xml:space="preserve">Winthontlaan 200 </w:t>
      </w:r>
    </w:p>
    <w:p w14:paraId="17D35904" w14:textId="77777777" w:rsidR="00646A64" w:rsidRPr="000A2DE8" w:rsidRDefault="00646A64" w:rsidP="005B092D">
      <w:pPr>
        <w:spacing w:after="0"/>
        <w:ind w:right="1"/>
        <w:rPr>
          <w:rFonts w:ascii="Times New Roman" w:hAnsi="Times New Roman"/>
        </w:rPr>
      </w:pPr>
      <w:r w:rsidRPr="000A2DE8">
        <w:rPr>
          <w:rFonts w:ascii="Times New Roman" w:hAnsi="Times New Roman"/>
        </w:rPr>
        <w:t xml:space="preserve">3526 KV Utrecht </w:t>
      </w:r>
    </w:p>
    <w:p w14:paraId="220ABDBB" w14:textId="77777777" w:rsidR="00646A64" w:rsidRPr="000A2DE8" w:rsidRDefault="00646A64" w:rsidP="005B092D">
      <w:pPr>
        <w:spacing w:after="0"/>
        <w:ind w:right="1"/>
        <w:rPr>
          <w:rFonts w:ascii="Times New Roman" w:eastAsia="Times New Roman" w:hAnsi="Times New Roman"/>
          <w:snapToGrid w:val="0"/>
          <w:lang w:eastAsia="en-US" w:bidi="ar-SA"/>
        </w:rPr>
      </w:pPr>
      <w:r w:rsidRPr="000A2DE8">
        <w:rPr>
          <w:rFonts w:ascii="Times New Roman" w:hAnsi="Times New Roman"/>
        </w:rPr>
        <w:t>Nyderlandai</w:t>
      </w:r>
    </w:p>
    <w:p w14:paraId="111D6928" w14:textId="77777777" w:rsidR="00CD51A4" w:rsidRPr="000A2DE8" w:rsidRDefault="00CD51A4" w:rsidP="005B092D">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3057DC2E" w14:textId="3A0BED9A" w:rsidR="00CD51A4" w:rsidRPr="000A2DE8" w:rsidRDefault="00CD51A4" w:rsidP="005B092D">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 xml:space="preserve">Šis vaistas </w:t>
      </w:r>
      <w:r w:rsidR="004D0488" w:rsidRPr="004D0488">
        <w:rPr>
          <w:rFonts w:ascii="Times New Roman" w:eastAsia="Times New Roman" w:hAnsi="Times New Roman"/>
          <w:b/>
          <w:snapToGrid w:val="0"/>
          <w:lang w:eastAsia="en-US" w:bidi="ar-SA"/>
        </w:rPr>
        <w:t>Europos ekonominės erdvės</w:t>
      </w:r>
      <w:r w:rsidRPr="000A2DE8">
        <w:rPr>
          <w:rFonts w:ascii="Times New Roman" w:eastAsia="Times New Roman" w:hAnsi="Times New Roman"/>
          <w:b/>
          <w:snapToGrid w:val="0"/>
          <w:lang w:eastAsia="en-US" w:bidi="ar-SA"/>
        </w:rPr>
        <w:t xml:space="preserve"> valstybėse narėse </w:t>
      </w:r>
      <w:r w:rsidR="004D0488" w:rsidRPr="004D0488">
        <w:rPr>
          <w:rFonts w:ascii="Times New Roman" w:eastAsia="Times New Roman" w:hAnsi="Times New Roman"/>
          <w:b/>
          <w:snapToGrid w:val="0"/>
          <w:lang w:eastAsia="en-US" w:bidi="ar-SA"/>
        </w:rPr>
        <w:t>ir Jungtinėje Karalystėje (Šiaurės Airijoje)</w:t>
      </w:r>
      <w:r w:rsidR="004D0488">
        <w:rPr>
          <w:rFonts w:ascii="Times New Roman" w:eastAsia="Times New Roman" w:hAnsi="Times New Roman"/>
          <w:b/>
          <w:snapToGrid w:val="0"/>
          <w:lang w:eastAsia="en-US" w:bidi="ar-SA"/>
        </w:rPr>
        <w:t xml:space="preserve"> </w:t>
      </w:r>
      <w:r w:rsidRPr="000A2DE8">
        <w:rPr>
          <w:rFonts w:ascii="Times New Roman" w:eastAsia="Times New Roman" w:hAnsi="Times New Roman"/>
          <w:b/>
          <w:snapToGrid w:val="0"/>
          <w:lang w:eastAsia="en-US" w:bidi="ar-SA"/>
        </w:rPr>
        <w:t>registruotas tokiais pavadinimais</w:t>
      </w:r>
      <w:r w:rsidRPr="000A2DE8">
        <w:rPr>
          <w:rFonts w:ascii="Times New Roman" w:eastAsia="Times New Roman" w:hAnsi="Times New Roman"/>
          <w:snapToGrid w:val="0"/>
          <w:lang w:eastAsia="en-US" w:bidi="ar-SA"/>
        </w:rPr>
        <w:t>:</w:t>
      </w:r>
    </w:p>
    <w:p w14:paraId="35A6907A" w14:textId="77777777" w:rsidR="00CD51A4" w:rsidRPr="000A2DE8" w:rsidRDefault="00CD51A4" w:rsidP="00BC26B6">
      <w:pPr>
        <w:widowControl w:val="0"/>
        <w:autoSpaceDE w:val="0"/>
        <w:autoSpaceDN w:val="0"/>
        <w:adjustRightInd w:val="0"/>
        <w:spacing w:after="0" w:line="240" w:lineRule="auto"/>
        <w:ind w:right="569"/>
        <w:rPr>
          <w:rFonts w:ascii="Times New Roman" w:eastAsia="Times New Roman" w:hAnsi="Times New Roman"/>
          <w:color w:val="000000"/>
          <w:spacing w:val="-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3"/>
        <w:gridCol w:w="6237"/>
      </w:tblGrid>
      <w:tr w:rsidR="00CD51A4" w:rsidRPr="000A2DE8" w14:paraId="4A26B1CB" w14:textId="77777777" w:rsidTr="00BC26B6">
        <w:tc>
          <w:tcPr>
            <w:tcW w:w="2263" w:type="dxa"/>
          </w:tcPr>
          <w:p w14:paraId="520161E6"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b/>
                <w:bCs/>
                <w:snapToGrid w:val="0"/>
                <w:lang w:eastAsia="en-US" w:bidi="ar-SA"/>
              </w:rPr>
            </w:pPr>
            <w:r w:rsidRPr="000A2DE8">
              <w:rPr>
                <w:rFonts w:ascii="Times New Roman" w:eastAsia="Times New Roman" w:hAnsi="Times New Roman"/>
                <w:b/>
                <w:snapToGrid w:val="0"/>
                <w:lang w:eastAsia="en-US" w:bidi="ar-SA"/>
              </w:rPr>
              <w:t>Valstybės narės pavadinimas</w:t>
            </w:r>
          </w:p>
        </w:tc>
        <w:tc>
          <w:tcPr>
            <w:tcW w:w="6237" w:type="dxa"/>
          </w:tcPr>
          <w:p w14:paraId="1A159CA2"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b/>
                <w:bCs/>
                <w:snapToGrid w:val="0"/>
                <w:lang w:eastAsia="en-US" w:bidi="ar-SA"/>
              </w:rPr>
            </w:pPr>
            <w:r w:rsidRPr="000A2DE8">
              <w:rPr>
                <w:rFonts w:ascii="Times New Roman" w:eastAsia="Times New Roman" w:hAnsi="Times New Roman"/>
                <w:b/>
                <w:snapToGrid w:val="0"/>
                <w:lang w:eastAsia="en-US" w:bidi="ar-SA"/>
              </w:rPr>
              <w:t>Vaist</w:t>
            </w:r>
            <w:r w:rsidR="00723FE0" w:rsidRPr="000A2DE8">
              <w:rPr>
                <w:rFonts w:ascii="Times New Roman" w:eastAsia="Times New Roman" w:hAnsi="Times New Roman"/>
                <w:b/>
                <w:snapToGrid w:val="0"/>
                <w:lang w:eastAsia="en-US" w:bidi="ar-SA"/>
              </w:rPr>
              <w:t xml:space="preserve">o </w:t>
            </w:r>
            <w:r w:rsidRPr="000A2DE8">
              <w:rPr>
                <w:rFonts w:ascii="Times New Roman" w:eastAsia="Times New Roman" w:hAnsi="Times New Roman"/>
                <w:b/>
                <w:snapToGrid w:val="0"/>
                <w:lang w:eastAsia="en-US" w:bidi="ar-SA"/>
              </w:rPr>
              <w:t>pavadinimas</w:t>
            </w:r>
            <w:r w:rsidRPr="000A2DE8">
              <w:rPr>
                <w:rFonts w:ascii="Times New Roman" w:eastAsia="Times New Roman" w:hAnsi="Times New Roman"/>
                <w:b/>
                <w:bCs/>
                <w:snapToGrid w:val="0"/>
                <w:lang w:eastAsia="en-US" w:bidi="ar-SA"/>
              </w:rPr>
              <w:t xml:space="preserve"> </w:t>
            </w:r>
          </w:p>
        </w:tc>
      </w:tr>
      <w:tr w:rsidR="00CD51A4" w:rsidRPr="000A2DE8" w14:paraId="7AB80A43" w14:textId="77777777" w:rsidTr="00BC26B6">
        <w:tc>
          <w:tcPr>
            <w:tcW w:w="2263" w:type="dxa"/>
          </w:tcPr>
          <w:p w14:paraId="497F8266"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Austrija</w:t>
            </w:r>
          </w:p>
        </w:tc>
        <w:tc>
          <w:tcPr>
            <w:tcW w:w="6237" w:type="dxa"/>
          </w:tcPr>
          <w:p w14:paraId="3BBA7219"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 62,5/125 mg Filmtabletten</w:t>
            </w:r>
          </w:p>
        </w:tc>
      </w:tr>
      <w:tr w:rsidR="00CD51A4" w:rsidRPr="000A2DE8" w14:paraId="39C85E15" w14:textId="77777777" w:rsidTr="00BC26B6">
        <w:tc>
          <w:tcPr>
            <w:tcW w:w="2263" w:type="dxa"/>
          </w:tcPr>
          <w:p w14:paraId="016E9CBD"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Belgija</w:t>
            </w:r>
          </w:p>
        </w:tc>
        <w:tc>
          <w:tcPr>
            <w:tcW w:w="6237" w:type="dxa"/>
          </w:tcPr>
          <w:p w14:paraId="0B7F9D76"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 62.5/125 mg filmomhulde tabletten</w:t>
            </w:r>
          </w:p>
        </w:tc>
      </w:tr>
      <w:tr w:rsidR="00CD51A4" w:rsidRPr="000A2DE8" w14:paraId="7BF28E94" w14:textId="77777777" w:rsidTr="00BC26B6">
        <w:tc>
          <w:tcPr>
            <w:tcW w:w="2263" w:type="dxa"/>
          </w:tcPr>
          <w:p w14:paraId="56CE2308"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Bulgarija</w:t>
            </w:r>
          </w:p>
        </w:tc>
        <w:tc>
          <w:tcPr>
            <w:tcW w:w="6237" w:type="dxa"/>
          </w:tcPr>
          <w:p w14:paraId="3D22D282"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Акорд 62.5/125 мг филмирани таблетки</w:t>
            </w:r>
          </w:p>
        </w:tc>
      </w:tr>
      <w:tr w:rsidR="00CD51A4" w:rsidRPr="000A2DE8" w14:paraId="5FA37210" w14:textId="77777777" w:rsidTr="00BC26B6">
        <w:tc>
          <w:tcPr>
            <w:tcW w:w="2263" w:type="dxa"/>
          </w:tcPr>
          <w:p w14:paraId="2354BD4D"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Kipras</w:t>
            </w:r>
          </w:p>
        </w:tc>
        <w:tc>
          <w:tcPr>
            <w:tcW w:w="6237" w:type="dxa"/>
          </w:tcPr>
          <w:p w14:paraId="04EEFE6E"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 62.5/125 mg Film-coated Tablets</w:t>
            </w:r>
          </w:p>
        </w:tc>
      </w:tr>
      <w:tr w:rsidR="00CD51A4" w:rsidRPr="000A2DE8" w14:paraId="5F03EDA9" w14:textId="77777777" w:rsidTr="00BC26B6">
        <w:tc>
          <w:tcPr>
            <w:tcW w:w="2263" w:type="dxa"/>
          </w:tcPr>
          <w:p w14:paraId="1C5BC12E"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Čekija</w:t>
            </w:r>
          </w:p>
        </w:tc>
        <w:tc>
          <w:tcPr>
            <w:tcW w:w="6237" w:type="dxa"/>
          </w:tcPr>
          <w:p w14:paraId="070ED4BC"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 62,5/125 mg potahované tablet</w:t>
            </w:r>
          </w:p>
        </w:tc>
      </w:tr>
      <w:tr w:rsidR="00CD51A4" w:rsidRPr="000A2DE8" w14:paraId="72BEB93B" w14:textId="77777777" w:rsidTr="00BC26B6">
        <w:tc>
          <w:tcPr>
            <w:tcW w:w="2263" w:type="dxa"/>
          </w:tcPr>
          <w:p w14:paraId="34C16388"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Vokietija</w:t>
            </w:r>
          </w:p>
        </w:tc>
        <w:tc>
          <w:tcPr>
            <w:tcW w:w="6237" w:type="dxa"/>
          </w:tcPr>
          <w:p w14:paraId="7A142AE6"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 62.5/125 mg filmtabletten</w:t>
            </w:r>
          </w:p>
        </w:tc>
      </w:tr>
      <w:tr w:rsidR="00CD51A4" w:rsidRPr="000A2DE8" w14:paraId="30D91AD7" w14:textId="77777777" w:rsidTr="00BC26B6">
        <w:tc>
          <w:tcPr>
            <w:tcW w:w="2263" w:type="dxa"/>
          </w:tcPr>
          <w:p w14:paraId="19D4FA0E"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Danija</w:t>
            </w:r>
          </w:p>
        </w:tc>
        <w:tc>
          <w:tcPr>
            <w:tcW w:w="6237" w:type="dxa"/>
          </w:tcPr>
          <w:p w14:paraId="1A89BB09"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 62.5/125 mg filmovertrukne tabletter</w:t>
            </w:r>
          </w:p>
        </w:tc>
      </w:tr>
      <w:tr w:rsidR="00CD51A4" w:rsidRPr="000A2DE8" w14:paraId="1A3A627B" w14:textId="77777777" w:rsidTr="00BC26B6">
        <w:tc>
          <w:tcPr>
            <w:tcW w:w="2263" w:type="dxa"/>
          </w:tcPr>
          <w:p w14:paraId="13E78A64"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Estija</w:t>
            </w:r>
          </w:p>
        </w:tc>
        <w:tc>
          <w:tcPr>
            <w:tcW w:w="6237" w:type="dxa"/>
          </w:tcPr>
          <w:p w14:paraId="34B4E177"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w:t>
            </w:r>
          </w:p>
        </w:tc>
      </w:tr>
      <w:tr w:rsidR="00CD51A4" w:rsidRPr="000A2DE8" w14:paraId="426D4DFF" w14:textId="77777777" w:rsidTr="00BC26B6">
        <w:tc>
          <w:tcPr>
            <w:tcW w:w="2263" w:type="dxa"/>
          </w:tcPr>
          <w:p w14:paraId="4CE0D0C4"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Suomija</w:t>
            </w:r>
          </w:p>
        </w:tc>
        <w:tc>
          <w:tcPr>
            <w:tcW w:w="6237" w:type="dxa"/>
          </w:tcPr>
          <w:p w14:paraId="67B5BF00"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 62.5/125 mg tabletti, kalvopäällysteinen</w:t>
            </w:r>
          </w:p>
        </w:tc>
      </w:tr>
      <w:tr w:rsidR="00CD51A4" w:rsidRPr="000A2DE8" w14:paraId="26502262" w14:textId="77777777" w:rsidTr="00BC26B6">
        <w:tc>
          <w:tcPr>
            <w:tcW w:w="2263" w:type="dxa"/>
          </w:tcPr>
          <w:p w14:paraId="76561829"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Prancūzija</w:t>
            </w:r>
          </w:p>
        </w:tc>
        <w:tc>
          <w:tcPr>
            <w:tcW w:w="6237" w:type="dxa"/>
          </w:tcPr>
          <w:p w14:paraId="5FE9C5A5"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 62,5/125 mg comprimé pelliculé</w:t>
            </w:r>
          </w:p>
        </w:tc>
      </w:tr>
      <w:tr w:rsidR="00CD51A4" w:rsidRPr="000A2DE8" w14:paraId="24256B0A" w14:textId="77777777" w:rsidTr="00BC26B6">
        <w:tc>
          <w:tcPr>
            <w:tcW w:w="2263" w:type="dxa"/>
          </w:tcPr>
          <w:p w14:paraId="0F76C20C"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Italija</w:t>
            </w:r>
          </w:p>
        </w:tc>
        <w:tc>
          <w:tcPr>
            <w:tcW w:w="6237" w:type="dxa"/>
          </w:tcPr>
          <w:p w14:paraId="59FEEF0B"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w:t>
            </w:r>
          </w:p>
        </w:tc>
      </w:tr>
      <w:tr w:rsidR="00CD51A4" w:rsidRPr="000A2DE8" w14:paraId="2B4A3B46" w14:textId="77777777" w:rsidTr="00BC26B6">
        <w:tc>
          <w:tcPr>
            <w:tcW w:w="2263" w:type="dxa"/>
          </w:tcPr>
          <w:p w14:paraId="4A8823A4" w14:textId="01C004BB" w:rsidR="00CD51A4" w:rsidRPr="000A2DE8" w:rsidRDefault="008736B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L</w:t>
            </w:r>
            <w:r>
              <w:rPr>
                <w:rFonts w:ascii="Times New Roman" w:eastAsia="Times New Roman" w:hAnsi="Times New Roman"/>
                <w:snapToGrid w:val="0"/>
                <w:lang w:eastAsia="en-US"/>
              </w:rPr>
              <w:t>ietuva</w:t>
            </w:r>
          </w:p>
        </w:tc>
        <w:tc>
          <w:tcPr>
            <w:tcW w:w="6237" w:type="dxa"/>
          </w:tcPr>
          <w:p w14:paraId="63CC2F94" w14:textId="3E8229D0" w:rsidR="00CD51A4" w:rsidRPr="000A2DE8" w:rsidRDefault="00CD51A4" w:rsidP="00BC26B6">
            <w:pPr>
              <w:numPr>
                <w:ilvl w:val="12"/>
                <w:numId w:val="0"/>
              </w:numPr>
              <w:tabs>
                <w:tab w:val="left" w:pos="567"/>
              </w:tabs>
              <w:spacing w:after="0" w:line="260" w:lineRule="exact"/>
              <w:ind w:right="-812"/>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 62</w:t>
            </w:r>
            <w:r w:rsidR="008736B4">
              <w:rPr>
                <w:rFonts w:ascii="Times New Roman" w:eastAsia="Times New Roman" w:hAnsi="Times New Roman"/>
                <w:snapToGrid w:val="0"/>
                <w:lang w:eastAsia="en-US" w:bidi="ar-SA"/>
              </w:rPr>
              <w:t>,</w:t>
            </w:r>
            <w:r w:rsidRPr="000A2DE8">
              <w:rPr>
                <w:rFonts w:ascii="Times New Roman" w:eastAsia="Times New Roman" w:hAnsi="Times New Roman"/>
                <w:snapToGrid w:val="0"/>
                <w:lang w:eastAsia="en-US" w:bidi="ar-SA"/>
              </w:rPr>
              <w:t>5/125 mg plėvele dengtos tabletės</w:t>
            </w:r>
          </w:p>
        </w:tc>
      </w:tr>
      <w:tr w:rsidR="00CD51A4" w:rsidRPr="000A2DE8" w14:paraId="118BD4BB" w14:textId="77777777" w:rsidTr="00BC26B6">
        <w:tc>
          <w:tcPr>
            <w:tcW w:w="2263" w:type="dxa"/>
          </w:tcPr>
          <w:p w14:paraId="3B573120" w14:textId="77777777" w:rsidR="00CD51A4" w:rsidRPr="000A2DE8" w:rsidRDefault="008F201D"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Nyderlandai</w:t>
            </w:r>
          </w:p>
        </w:tc>
        <w:tc>
          <w:tcPr>
            <w:tcW w:w="6237" w:type="dxa"/>
          </w:tcPr>
          <w:p w14:paraId="1B045DB6"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 62,5/125 mg filmomhulde tabletten</w:t>
            </w:r>
          </w:p>
        </w:tc>
      </w:tr>
      <w:tr w:rsidR="00CD51A4" w:rsidRPr="000A2DE8" w14:paraId="7F5A99A3" w14:textId="77777777" w:rsidTr="00BC26B6">
        <w:tc>
          <w:tcPr>
            <w:tcW w:w="2263" w:type="dxa"/>
          </w:tcPr>
          <w:p w14:paraId="3C6CB398"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Norvegija</w:t>
            </w:r>
          </w:p>
        </w:tc>
        <w:tc>
          <w:tcPr>
            <w:tcW w:w="6237" w:type="dxa"/>
          </w:tcPr>
          <w:p w14:paraId="3132A7C2"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w:t>
            </w:r>
          </w:p>
        </w:tc>
      </w:tr>
      <w:tr w:rsidR="00CD51A4" w:rsidRPr="000A2DE8" w14:paraId="032D0E58" w14:textId="77777777" w:rsidTr="00BC26B6">
        <w:tc>
          <w:tcPr>
            <w:tcW w:w="2263" w:type="dxa"/>
          </w:tcPr>
          <w:p w14:paraId="51C4EC16"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Portugalija</w:t>
            </w:r>
          </w:p>
        </w:tc>
        <w:tc>
          <w:tcPr>
            <w:tcW w:w="6237" w:type="dxa"/>
          </w:tcPr>
          <w:p w14:paraId="0AA1FB29"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w:t>
            </w:r>
          </w:p>
        </w:tc>
      </w:tr>
      <w:tr w:rsidR="00CD51A4" w:rsidRPr="000A2DE8" w14:paraId="4DD6D264" w14:textId="77777777" w:rsidTr="00BC26B6">
        <w:tc>
          <w:tcPr>
            <w:tcW w:w="2263" w:type="dxa"/>
          </w:tcPr>
          <w:p w14:paraId="728BED27"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Švedija</w:t>
            </w:r>
          </w:p>
        </w:tc>
        <w:tc>
          <w:tcPr>
            <w:tcW w:w="6237" w:type="dxa"/>
          </w:tcPr>
          <w:p w14:paraId="7D15F14B"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 62.5/125 mg filmdragerad tablet</w:t>
            </w:r>
          </w:p>
        </w:tc>
      </w:tr>
      <w:tr w:rsidR="00CD51A4" w:rsidRPr="000A2DE8" w14:paraId="3631A73B" w14:textId="77777777" w:rsidTr="00BC26B6">
        <w:tc>
          <w:tcPr>
            <w:tcW w:w="2263" w:type="dxa"/>
          </w:tcPr>
          <w:p w14:paraId="455221D1"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rPr>
              <w:t>Slovakija</w:t>
            </w:r>
          </w:p>
        </w:tc>
        <w:tc>
          <w:tcPr>
            <w:tcW w:w="6237" w:type="dxa"/>
          </w:tcPr>
          <w:p w14:paraId="7AE82072"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Bosentan Accord 62.5/125 mg filmom obalené tablety</w:t>
            </w:r>
          </w:p>
        </w:tc>
      </w:tr>
      <w:tr w:rsidR="00BC26B6" w:rsidRPr="000A2DE8" w14:paraId="1EAFD314" w14:textId="77777777" w:rsidTr="00BC26B6">
        <w:tc>
          <w:tcPr>
            <w:tcW w:w="2263" w:type="dxa"/>
          </w:tcPr>
          <w:p w14:paraId="4C317819" w14:textId="194602BA" w:rsidR="004D0488" w:rsidRPr="000A2DE8" w:rsidRDefault="004D0488" w:rsidP="00BC26B6">
            <w:pPr>
              <w:numPr>
                <w:ilvl w:val="12"/>
                <w:numId w:val="0"/>
              </w:numPr>
              <w:tabs>
                <w:tab w:val="left" w:pos="567"/>
              </w:tabs>
              <w:spacing w:after="0" w:line="260" w:lineRule="exact"/>
              <w:ind w:right="569"/>
              <w:rPr>
                <w:rFonts w:ascii="Times New Roman" w:eastAsia="Times New Roman" w:hAnsi="Times New Roman"/>
                <w:snapToGrid w:val="0"/>
                <w:lang w:eastAsia="en-US"/>
              </w:rPr>
            </w:pPr>
            <w:r w:rsidRPr="004D0488">
              <w:rPr>
                <w:rFonts w:ascii="Times New Roman" w:eastAsia="Times New Roman" w:hAnsi="Times New Roman"/>
                <w:snapToGrid w:val="0"/>
                <w:lang w:eastAsia="en-US"/>
              </w:rPr>
              <w:lastRenderedPageBreak/>
              <w:t>Jungtinė Karalystė (Šiaurės Airija)</w:t>
            </w:r>
          </w:p>
        </w:tc>
        <w:tc>
          <w:tcPr>
            <w:tcW w:w="6237" w:type="dxa"/>
            <w:vAlign w:val="center"/>
          </w:tcPr>
          <w:p w14:paraId="20D92888" w14:textId="3F2EA32D" w:rsidR="004D0488" w:rsidRPr="000A2DE8" w:rsidRDefault="004D0488"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Pr>
                <w:rFonts w:ascii="Times New Roman" w:hAnsi="Times New Roman"/>
              </w:rPr>
              <w:t>Bosentan Accord 62.5/125 mg Film-coated Tablets</w:t>
            </w:r>
          </w:p>
        </w:tc>
      </w:tr>
    </w:tbl>
    <w:p w14:paraId="29E958FA" w14:textId="77777777" w:rsidR="00CD51A4" w:rsidRPr="000A2DE8" w:rsidRDefault="00CD51A4" w:rsidP="00BC26B6">
      <w:pPr>
        <w:numPr>
          <w:ilvl w:val="12"/>
          <w:numId w:val="0"/>
        </w:numPr>
        <w:tabs>
          <w:tab w:val="left" w:pos="567"/>
        </w:tabs>
        <w:spacing w:after="0" w:line="260" w:lineRule="exact"/>
        <w:ind w:right="569"/>
        <w:rPr>
          <w:rFonts w:ascii="Times New Roman" w:eastAsia="Times New Roman" w:hAnsi="Times New Roman"/>
          <w:snapToGrid w:val="0"/>
          <w:lang w:eastAsia="en-US" w:bidi="ar-SA"/>
        </w:rPr>
      </w:pPr>
    </w:p>
    <w:p w14:paraId="780740CA" w14:textId="77777777" w:rsidR="00891DC0" w:rsidRPr="000A2DE8" w:rsidRDefault="00891DC0" w:rsidP="00BC26B6">
      <w:pPr>
        <w:numPr>
          <w:ilvl w:val="12"/>
          <w:numId w:val="0"/>
        </w:numPr>
        <w:spacing w:after="0" w:line="240" w:lineRule="auto"/>
        <w:ind w:right="569"/>
        <w:rPr>
          <w:rFonts w:ascii="Times New Roman" w:eastAsia="Times New Roman" w:hAnsi="Times New Roman"/>
          <w:b/>
          <w:snapToGrid w:val="0"/>
          <w:lang w:eastAsia="en-US" w:bidi="ar-SA"/>
        </w:rPr>
      </w:pPr>
    </w:p>
    <w:p w14:paraId="494D7AA5" w14:textId="3CCDA841" w:rsidR="00CD51A4" w:rsidRPr="000A2DE8" w:rsidRDefault="00CD51A4" w:rsidP="00BC26B6">
      <w:pPr>
        <w:numPr>
          <w:ilvl w:val="12"/>
          <w:numId w:val="0"/>
        </w:numPr>
        <w:spacing w:after="0" w:line="240" w:lineRule="auto"/>
        <w:ind w:right="569"/>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Šis pakuotės lapelis paskutinį kartą peržiūrėtas</w:t>
      </w:r>
      <w:r w:rsidR="009171FB">
        <w:rPr>
          <w:rFonts w:ascii="Times New Roman" w:eastAsia="Times New Roman" w:hAnsi="Times New Roman"/>
          <w:b/>
          <w:snapToGrid w:val="0"/>
          <w:lang w:eastAsia="en-US" w:bidi="ar-SA"/>
        </w:rPr>
        <w:t xml:space="preserve"> 2022-12-01</w:t>
      </w:r>
      <w:r w:rsidR="008736B4" w:rsidRPr="008736B4">
        <w:rPr>
          <w:rFonts w:ascii="Times New Roman" w:hAnsi="Times New Roman"/>
          <w:b/>
        </w:rPr>
        <w:t>.</w:t>
      </w:r>
    </w:p>
    <w:p w14:paraId="3C66F01F" w14:textId="77777777" w:rsidR="00CD51A4" w:rsidRPr="000A2DE8" w:rsidRDefault="00CD51A4" w:rsidP="00BC26B6">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14:paraId="5416A97B" w14:textId="77777777" w:rsidR="00217219" w:rsidRPr="000A2DE8" w:rsidRDefault="00CD51A4" w:rsidP="00BC26B6">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r w:rsidRPr="000A2DE8">
        <w:rPr>
          <w:rFonts w:ascii="Times New Roman" w:eastAsia="Times New Roman" w:hAnsi="Times New Roman"/>
          <w:snapToGrid w:val="0"/>
          <w:lang w:eastAsia="en-US" w:bidi="ar-SA"/>
        </w:rPr>
        <w:t>Išsami informacija apie šį vaistą pateikiama Valstybinės vaistų kontrolės tarnybos prie Lietuvos Respublikos sveikatos apsaugos ministerijos tinklalapyje</w:t>
      </w:r>
      <w:r w:rsidR="003D1D1E" w:rsidRPr="000A2DE8">
        <w:rPr>
          <w:rFonts w:ascii="Times New Roman" w:eastAsia="Times New Roman" w:hAnsi="Times New Roman"/>
          <w:snapToGrid w:val="0"/>
          <w:lang w:eastAsia="en-US" w:bidi="ar-SA"/>
        </w:rPr>
        <w:t xml:space="preserve"> </w:t>
      </w:r>
      <w:hyperlink r:id="rId12" w:history="1">
        <w:r w:rsidRPr="000A2DE8">
          <w:rPr>
            <w:rFonts w:ascii="Times New Roman" w:eastAsia="SimSun" w:hAnsi="Times New Roman"/>
            <w:snapToGrid w:val="0"/>
            <w:color w:val="0000FF"/>
            <w:u w:val="single"/>
            <w:lang w:eastAsia="en-US" w:bidi="ar-SA"/>
          </w:rPr>
          <w:t>http://www.vvkt.lt/</w:t>
        </w:r>
      </w:hyperlink>
      <w:r w:rsidR="00217219" w:rsidRPr="000A2DE8">
        <w:rPr>
          <w:rFonts w:ascii="Times New Roman" w:eastAsia="SimSun" w:hAnsi="Times New Roman"/>
          <w:snapToGrid w:val="0"/>
          <w:color w:val="0000FF"/>
          <w:u w:val="single"/>
          <w:lang w:eastAsia="en-US" w:bidi="ar-SA"/>
        </w:rPr>
        <w:t>.</w:t>
      </w:r>
    </w:p>
    <w:p w14:paraId="0470B3D2" w14:textId="77777777" w:rsidR="00805B91" w:rsidRPr="000A2DE8" w:rsidRDefault="00805B91" w:rsidP="00BC26B6">
      <w:pPr>
        <w:ind w:right="569"/>
      </w:pPr>
    </w:p>
    <w:sectPr w:rsidR="00805B91" w:rsidRPr="000A2DE8" w:rsidSect="005B092D">
      <w:pgSz w:w="11909" w:h="16834"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BF0F27" w14:textId="77777777" w:rsidR="00332635" w:rsidRDefault="00332635" w:rsidP="009B514A">
      <w:pPr>
        <w:spacing w:after="0" w:line="240" w:lineRule="auto"/>
      </w:pPr>
      <w:r>
        <w:separator/>
      </w:r>
    </w:p>
  </w:endnote>
  <w:endnote w:type="continuationSeparator" w:id="0">
    <w:p w14:paraId="4ED8E342" w14:textId="77777777" w:rsidR="00332635" w:rsidRDefault="00332635" w:rsidP="009B514A">
      <w:pPr>
        <w:spacing w:after="0" w:line="240" w:lineRule="auto"/>
      </w:pPr>
      <w:r>
        <w:continuationSeparator/>
      </w:r>
    </w:p>
  </w:endnote>
  <w:endnote w:type="continuationNotice" w:id="1">
    <w:p w14:paraId="37BCE355" w14:textId="77777777" w:rsidR="00332635" w:rsidRDefault="003326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Vrinda">
    <w:altName w:val="Courier New"/>
    <w:panose1 w:val="00000400000000000000"/>
    <w:charset w:val="00"/>
    <w:family w:val="swiss"/>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9CF206" w14:textId="77777777" w:rsidR="00A4683A" w:rsidRDefault="00A4683A">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6DA053" w14:textId="77777777" w:rsidR="00C7550F" w:rsidRPr="00D16144" w:rsidRDefault="00C7550F">
    <w:pPr>
      <w:pStyle w:val="Porat"/>
      <w:jc w:val="center"/>
      <w:rPr>
        <w:rFonts w:ascii="Times New Roman" w:hAnsi="Times New Roman"/>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E44AF3" w14:textId="77777777" w:rsidR="00332635" w:rsidRDefault="00332635" w:rsidP="009B514A">
      <w:pPr>
        <w:spacing w:after="0" w:line="240" w:lineRule="auto"/>
      </w:pPr>
      <w:r>
        <w:separator/>
      </w:r>
    </w:p>
  </w:footnote>
  <w:footnote w:type="continuationSeparator" w:id="0">
    <w:p w14:paraId="434223F3" w14:textId="77777777" w:rsidR="00332635" w:rsidRDefault="00332635" w:rsidP="009B514A">
      <w:pPr>
        <w:spacing w:after="0" w:line="240" w:lineRule="auto"/>
      </w:pPr>
      <w:r>
        <w:continuationSeparator/>
      </w:r>
    </w:p>
  </w:footnote>
  <w:footnote w:type="continuationNotice" w:id="1">
    <w:p w14:paraId="0C7D17F2" w14:textId="77777777" w:rsidR="00332635" w:rsidRDefault="0033263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6D260A" w14:textId="77777777" w:rsidR="00A4683A" w:rsidRDefault="00A4683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AF347C" w14:textId="77777777" w:rsidR="00C7550F" w:rsidRDefault="00C7550F">
    <w:pPr>
      <w:widowControl w:val="0"/>
      <w:autoSpaceDE w:val="0"/>
      <w:autoSpaceDN w:val="0"/>
      <w:adjustRightInd w:val="0"/>
      <w:spacing w:after="0" w:line="240" w:lineRule="auto"/>
      <w:rPr>
        <w:rFonts w:ascii="Times New Roman" w:hAnsi="Times New Roman"/>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85137"/>
    <w:multiLevelType w:val="hybridMultilevel"/>
    <w:tmpl w:val="AF9EDED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2CB63F8"/>
    <w:multiLevelType w:val="hybridMultilevel"/>
    <w:tmpl w:val="F2844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4502D"/>
    <w:multiLevelType w:val="hybridMultilevel"/>
    <w:tmpl w:val="D38C3440"/>
    <w:lvl w:ilvl="0" w:tplc="3F424020">
      <w:start w:val="1"/>
      <w:numFmt w:val="decimal"/>
      <w:lvlText w:val="%1."/>
      <w:lvlJc w:val="left"/>
      <w:pPr>
        <w:ind w:left="2115" w:hanging="675"/>
      </w:pPr>
      <w:rPr>
        <w:rFonts w:cs="Times New Roman" w:hint="default"/>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 w15:restartNumberingAfterBreak="0">
    <w:nsid w:val="0C315E27"/>
    <w:multiLevelType w:val="hybridMultilevel"/>
    <w:tmpl w:val="79205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B44E7B"/>
    <w:multiLevelType w:val="hybridMultilevel"/>
    <w:tmpl w:val="AAB0D36A"/>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cs="Wingdings" w:hint="default"/>
      </w:rPr>
    </w:lvl>
    <w:lvl w:ilvl="3" w:tplc="04270001">
      <w:start w:val="1"/>
      <w:numFmt w:val="bullet"/>
      <w:lvlText w:val=""/>
      <w:lvlJc w:val="left"/>
      <w:pPr>
        <w:ind w:left="2520" w:hanging="360"/>
      </w:pPr>
      <w:rPr>
        <w:rFonts w:ascii="Symbol" w:hAnsi="Symbol" w:cs="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cs="Wingdings" w:hint="default"/>
      </w:rPr>
    </w:lvl>
    <w:lvl w:ilvl="6" w:tplc="04270001">
      <w:start w:val="1"/>
      <w:numFmt w:val="bullet"/>
      <w:lvlText w:val=""/>
      <w:lvlJc w:val="left"/>
      <w:pPr>
        <w:ind w:left="4680" w:hanging="360"/>
      </w:pPr>
      <w:rPr>
        <w:rFonts w:ascii="Symbol" w:hAnsi="Symbol" w:cs="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cs="Wingdings" w:hint="default"/>
      </w:rPr>
    </w:lvl>
  </w:abstractNum>
  <w:abstractNum w:abstractNumId="5" w15:restartNumberingAfterBreak="0">
    <w:nsid w:val="182C0E08"/>
    <w:multiLevelType w:val="hybridMultilevel"/>
    <w:tmpl w:val="FBB25EEE"/>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2EE540C8"/>
    <w:multiLevelType w:val="hybridMultilevel"/>
    <w:tmpl w:val="D758D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CC3DF0"/>
    <w:multiLevelType w:val="hybridMultilevel"/>
    <w:tmpl w:val="DB306B30"/>
    <w:lvl w:ilvl="0" w:tplc="DBA27272">
      <w:start w:val="4"/>
      <w:numFmt w:val="bullet"/>
      <w:lvlText w:val=""/>
      <w:lvlJc w:val="left"/>
      <w:pPr>
        <w:tabs>
          <w:tab w:val="num" w:pos="567"/>
        </w:tabs>
        <w:ind w:left="567" w:hanging="567"/>
      </w:pPr>
      <w:rPr>
        <w:rFonts w:ascii="Symbol" w:hAnsi="Symbol" w:cs="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33B84FE5"/>
    <w:multiLevelType w:val="hybridMultilevel"/>
    <w:tmpl w:val="B7C47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9F7C24"/>
    <w:multiLevelType w:val="hybridMultilevel"/>
    <w:tmpl w:val="C78E0586"/>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3E7019FD"/>
    <w:multiLevelType w:val="hybridMultilevel"/>
    <w:tmpl w:val="5C8006C0"/>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4253F0"/>
    <w:multiLevelType w:val="hybridMultilevel"/>
    <w:tmpl w:val="B9EAD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A5393E"/>
    <w:multiLevelType w:val="hybridMultilevel"/>
    <w:tmpl w:val="6E4A8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6D4F3D"/>
    <w:multiLevelType w:val="hybridMultilevel"/>
    <w:tmpl w:val="BB647E42"/>
    <w:lvl w:ilvl="0" w:tplc="3D7C3D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518A6502"/>
    <w:multiLevelType w:val="hybridMultilevel"/>
    <w:tmpl w:val="7C3EFA14"/>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066F91"/>
    <w:multiLevelType w:val="hybridMultilevel"/>
    <w:tmpl w:val="A434EE94"/>
    <w:lvl w:ilvl="0" w:tplc="EA58B0D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AAD4C97"/>
    <w:multiLevelType w:val="hybridMultilevel"/>
    <w:tmpl w:val="B9F8037A"/>
    <w:lvl w:ilvl="0" w:tplc="A1CCAC98">
      <w:start w:val="1"/>
      <w:numFmt w:val="bullet"/>
      <w:lvlText w:val=""/>
      <w:lvlJc w:val="left"/>
      <w:pPr>
        <w:tabs>
          <w:tab w:val="num" w:pos="567"/>
        </w:tabs>
        <w:ind w:firstLine="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0D5432"/>
    <w:multiLevelType w:val="hybridMultilevel"/>
    <w:tmpl w:val="B134A9A0"/>
    <w:lvl w:ilvl="0" w:tplc="BD8C5C40">
      <w:start w:val="1"/>
      <w:numFmt w:val="bullet"/>
      <w:lvlText w:val=""/>
      <w:lvlJc w:val="left"/>
      <w:pPr>
        <w:tabs>
          <w:tab w:val="num" w:pos="567"/>
        </w:tabs>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D80D2A"/>
    <w:multiLevelType w:val="hybridMultilevel"/>
    <w:tmpl w:val="15EA018C"/>
    <w:lvl w:ilvl="0" w:tplc="BD8C5C40">
      <w:start w:val="1"/>
      <w:numFmt w:val="bullet"/>
      <w:lvlText w:val=""/>
      <w:lvlJc w:val="left"/>
      <w:pPr>
        <w:tabs>
          <w:tab w:val="num" w:pos="567"/>
        </w:tabs>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17"/>
  </w:num>
  <w:num w:numId="4">
    <w:abstractNumId w:val="7"/>
  </w:num>
  <w:num w:numId="5">
    <w:abstractNumId w:val="22"/>
  </w:num>
  <w:num w:numId="6">
    <w:abstractNumId w:val="21"/>
  </w:num>
  <w:num w:numId="7">
    <w:abstractNumId w:val="11"/>
  </w:num>
  <w:num w:numId="8">
    <w:abstractNumId w:val="13"/>
  </w:num>
  <w:num w:numId="9">
    <w:abstractNumId w:val="5"/>
  </w:num>
  <w:num w:numId="10">
    <w:abstractNumId w:val="19"/>
  </w:num>
  <w:num w:numId="11">
    <w:abstractNumId w:val="18"/>
  </w:num>
  <w:num w:numId="12">
    <w:abstractNumId w:val="12"/>
  </w:num>
  <w:num w:numId="13">
    <w:abstractNumId w:val="16"/>
  </w:num>
  <w:num w:numId="14">
    <w:abstractNumId w:val="2"/>
  </w:num>
  <w:num w:numId="15">
    <w:abstractNumId w:val="20"/>
  </w:num>
  <w:num w:numId="16">
    <w:abstractNumId w:val="10"/>
  </w:num>
  <w:num w:numId="17">
    <w:abstractNumId w:val="3"/>
  </w:num>
  <w:num w:numId="18">
    <w:abstractNumId w:val="15"/>
  </w:num>
  <w:num w:numId="19">
    <w:abstractNumId w:val="14"/>
  </w:num>
  <w:num w:numId="20">
    <w:abstractNumId w:val="0"/>
  </w:num>
  <w:num w:numId="21">
    <w:abstractNumId w:val="4"/>
  </w:num>
  <w:num w:numId="22">
    <w:abstractNumId w:val="9"/>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1A4"/>
    <w:rsid w:val="00025176"/>
    <w:rsid w:val="00061DB5"/>
    <w:rsid w:val="00082208"/>
    <w:rsid w:val="000A2DE8"/>
    <w:rsid w:val="000C64E7"/>
    <w:rsid w:val="000C70ED"/>
    <w:rsid w:val="000C7C01"/>
    <w:rsid w:val="000D1630"/>
    <w:rsid w:val="000F30E2"/>
    <w:rsid w:val="000F4775"/>
    <w:rsid w:val="0012579B"/>
    <w:rsid w:val="0014378A"/>
    <w:rsid w:val="00146605"/>
    <w:rsid w:val="001477E6"/>
    <w:rsid w:val="00157F15"/>
    <w:rsid w:val="001A730D"/>
    <w:rsid w:val="001B0082"/>
    <w:rsid w:val="001F61CE"/>
    <w:rsid w:val="00203D9E"/>
    <w:rsid w:val="002075BB"/>
    <w:rsid w:val="00217219"/>
    <w:rsid w:val="002315D1"/>
    <w:rsid w:val="00243784"/>
    <w:rsid w:val="002470B8"/>
    <w:rsid w:val="002579F6"/>
    <w:rsid w:val="00271E8C"/>
    <w:rsid w:val="002746A3"/>
    <w:rsid w:val="002900D1"/>
    <w:rsid w:val="002C1FFA"/>
    <w:rsid w:val="00320501"/>
    <w:rsid w:val="00332635"/>
    <w:rsid w:val="00357CD2"/>
    <w:rsid w:val="00364D11"/>
    <w:rsid w:val="00390432"/>
    <w:rsid w:val="00392459"/>
    <w:rsid w:val="003935D0"/>
    <w:rsid w:val="003A5CD1"/>
    <w:rsid w:val="003B13C6"/>
    <w:rsid w:val="003C333D"/>
    <w:rsid w:val="003D1D1E"/>
    <w:rsid w:val="003E2580"/>
    <w:rsid w:val="00413E60"/>
    <w:rsid w:val="004234CD"/>
    <w:rsid w:val="0045663E"/>
    <w:rsid w:val="00461021"/>
    <w:rsid w:val="0046279F"/>
    <w:rsid w:val="00485EE1"/>
    <w:rsid w:val="0048604C"/>
    <w:rsid w:val="00486C05"/>
    <w:rsid w:val="00491161"/>
    <w:rsid w:val="00497D51"/>
    <w:rsid w:val="004C18EE"/>
    <w:rsid w:val="004C4109"/>
    <w:rsid w:val="004D0488"/>
    <w:rsid w:val="004D14B1"/>
    <w:rsid w:val="004E25EF"/>
    <w:rsid w:val="004E7C91"/>
    <w:rsid w:val="00512F9C"/>
    <w:rsid w:val="00531425"/>
    <w:rsid w:val="00543D60"/>
    <w:rsid w:val="00581226"/>
    <w:rsid w:val="005A0AE8"/>
    <w:rsid w:val="005B092D"/>
    <w:rsid w:val="005C1B51"/>
    <w:rsid w:val="005D4408"/>
    <w:rsid w:val="00604C97"/>
    <w:rsid w:val="00646A64"/>
    <w:rsid w:val="006514FF"/>
    <w:rsid w:val="00680FF0"/>
    <w:rsid w:val="006A0AFD"/>
    <w:rsid w:val="006C1CC2"/>
    <w:rsid w:val="006E39D9"/>
    <w:rsid w:val="0071369B"/>
    <w:rsid w:val="00723FE0"/>
    <w:rsid w:val="00735694"/>
    <w:rsid w:val="0077716F"/>
    <w:rsid w:val="0078013E"/>
    <w:rsid w:val="007B0BC5"/>
    <w:rsid w:val="007B3BE0"/>
    <w:rsid w:val="007F2350"/>
    <w:rsid w:val="007F30DB"/>
    <w:rsid w:val="00803FD8"/>
    <w:rsid w:val="00805B91"/>
    <w:rsid w:val="00830DCA"/>
    <w:rsid w:val="00834F2B"/>
    <w:rsid w:val="0086528C"/>
    <w:rsid w:val="008736B4"/>
    <w:rsid w:val="0089071F"/>
    <w:rsid w:val="00891DC0"/>
    <w:rsid w:val="00894967"/>
    <w:rsid w:val="008D263C"/>
    <w:rsid w:val="008E45C3"/>
    <w:rsid w:val="008F201D"/>
    <w:rsid w:val="009128B9"/>
    <w:rsid w:val="009171FB"/>
    <w:rsid w:val="009244D9"/>
    <w:rsid w:val="00925288"/>
    <w:rsid w:val="00964A87"/>
    <w:rsid w:val="00977A2B"/>
    <w:rsid w:val="009B514A"/>
    <w:rsid w:val="009D384A"/>
    <w:rsid w:val="009E126E"/>
    <w:rsid w:val="009E5E98"/>
    <w:rsid w:val="00A01100"/>
    <w:rsid w:val="00A01F95"/>
    <w:rsid w:val="00A20B4F"/>
    <w:rsid w:val="00A21F92"/>
    <w:rsid w:val="00A26D2B"/>
    <w:rsid w:val="00A4683A"/>
    <w:rsid w:val="00A543A0"/>
    <w:rsid w:val="00A5565D"/>
    <w:rsid w:val="00A72142"/>
    <w:rsid w:val="00A940D8"/>
    <w:rsid w:val="00AB6DE1"/>
    <w:rsid w:val="00B05A99"/>
    <w:rsid w:val="00B233C4"/>
    <w:rsid w:val="00B278D2"/>
    <w:rsid w:val="00B310EC"/>
    <w:rsid w:val="00B37894"/>
    <w:rsid w:val="00B551CB"/>
    <w:rsid w:val="00B6109B"/>
    <w:rsid w:val="00B7775C"/>
    <w:rsid w:val="00B91CB4"/>
    <w:rsid w:val="00BA4A36"/>
    <w:rsid w:val="00BA54ED"/>
    <w:rsid w:val="00BA7AE2"/>
    <w:rsid w:val="00BC26B6"/>
    <w:rsid w:val="00BD77FA"/>
    <w:rsid w:val="00BF0089"/>
    <w:rsid w:val="00C11C5E"/>
    <w:rsid w:val="00C2714A"/>
    <w:rsid w:val="00C65040"/>
    <w:rsid w:val="00C7550F"/>
    <w:rsid w:val="00CB6BDD"/>
    <w:rsid w:val="00CB7D54"/>
    <w:rsid w:val="00CD4881"/>
    <w:rsid w:val="00CD51A4"/>
    <w:rsid w:val="00CE6812"/>
    <w:rsid w:val="00CE6B06"/>
    <w:rsid w:val="00D21279"/>
    <w:rsid w:val="00D266D5"/>
    <w:rsid w:val="00D32C04"/>
    <w:rsid w:val="00D37324"/>
    <w:rsid w:val="00D50D12"/>
    <w:rsid w:val="00D901CC"/>
    <w:rsid w:val="00D9311A"/>
    <w:rsid w:val="00DA5F8D"/>
    <w:rsid w:val="00DC703F"/>
    <w:rsid w:val="00DE66A3"/>
    <w:rsid w:val="00DF01CB"/>
    <w:rsid w:val="00DF33B4"/>
    <w:rsid w:val="00E2130F"/>
    <w:rsid w:val="00E231D1"/>
    <w:rsid w:val="00E36E7D"/>
    <w:rsid w:val="00E73C81"/>
    <w:rsid w:val="00E82663"/>
    <w:rsid w:val="00EB1248"/>
    <w:rsid w:val="00EB62A0"/>
    <w:rsid w:val="00EC6D81"/>
    <w:rsid w:val="00EF0E14"/>
    <w:rsid w:val="00EF3480"/>
    <w:rsid w:val="00F162CB"/>
    <w:rsid w:val="00F51CBA"/>
    <w:rsid w:val="00F57EE3"/>
    <w:rsid w:val="00F72447"/>
    <w:rsid w:val="00F92AE5"/>
    <w:rsid w:val="00FA68D8"/>
    <w:rsid w:val="00FD48F7"/>
    <w:rsid w:val="00FF2183"/>
    <w:rsid w:val="00FF22A2"/>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E01C3"/>
  <w15:docId w15:val="{A262B8CA-2D4C-4268-B69B-DFE009B56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B3BE0"/>
    <w:rPr>
      <w:rFonts w:ascii="Calibri" w:eastAsia="Calibri" w:hAnsi="Calibri" w:cs="Times New Roman"/>
      <w:lang w:val="lt-LT" w:eastAsia="lt-LT" w:bidi="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CD51A4"/>
    <w:pPr>
      <w:tabs>
        <w:tab w:val="center" w:pos="4680"/>
        <w:tab w:val="right" w:pos="9360"/>
      </w:tabs>
    </w:pPr>
    <w:rPr>
      <w:rFonts w:eastAsia="Times New Roman"/>
      <w:sz w:val="20"/>
      <w:szCs w:val="20"/>
    </w:rPr>
  </w:style>
  <w:style w:type="character" w:customStyle="1" w:styleId="AntratsDiagrama">
    <w:name w:val="Antraštės Diagrama"/>
    <w:basedOn w:val="Numatytasispastraiposriftas"/>
    <w:link w:val="Antrats"/>
    <w:uiPriority w:val="99"/>
    <w:rsid w:val="00CD51A4"/>
    <w:rPr>
      <w:rFonts w:ascii="Calibri" w:eastAsia="Times New Roman" w:hAnsi="Calibri" w:cs="Times New Roman"/>
      <w:sz w:val="20"/>
      <w:szCs w:val="20"/>
      <w:lang w:val="lt-LT" w:eastAsia="lt-LT" w:bidi="lt-LT"/>
    </w:rPr>
  </w:style>
  <w:style w:type="paragraph" w:styleId="Porat">
    <w:name w:val="footer"/>
    <w:basedOn w:val="prastasis"/>
    <w:link w:val="PoratDiagrama"/>
    <w:uiPriority w:val="99"/>
    <w:unhideWhenUsed/>
    <w:rsid w:val="00CD51A4"/>
    <w:pPr>
      <w:tabs>
        <w:tab w:val="center" w:pos="4680"/>
        <w:tab w:val="right" w:pos="9360"/>
      </w:tabs>
    </w:pPr>
    <w:rPr>
      <w:rFonts w:eastAsia="Times New Roman"/>
      <w:sz w:val="20"/>
      <w:szCs w:val="20"/>
    </w:rPr>
  </w:style>
  <w:style w:type="character" w:customStyle="1" w:styleId="PoratDiagrama">
    <w:name w:val="Poraštė Diagrama"/>
    <w:basedOn w:val="Numatytasispastraiposriftas"/>
    <w:link w:val="Porat"/>
    <w:uiPriority w:val="99"/>
    <w:rsid w:val="00CD51A4"/>
    <w:rPr>
      <w:rFonts w:ascii="Calibri" w:eastAsia="Times New Roman" w:hAnsi="Calibri" w:cs="Times New Roman"/>
      <w:sz w:val="20"/>
      <w:szCs w:val="20"/>
      <w:lang w:val="lt-LT" w:eastAsia="lt-LT" w:bidi="lt-LT"/>
    </w:rPr>
  </w:style>
  <w:style w:type="paragraph" w:customStyle="1" w:styleId="Default">
    <w:name w:val="Default"/>
    <w:rsid w:val="00CD51A4"/>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bidi="lt-LT"/>
    </w:rPr>
  </w:style>
  <w:style w:type="paragraph" w:styleId="Sraopastraipa">
    <w:name w:val="List Paragraph"/>
    <w:basedOn w:val="prastasis"/>
    <w:uiPriority w:val="34"/>
    <w:qFormat/>
    <w:rsid w:val="00CD51A4"/>
    <w:pPr>
      <w:ind w:left="720"/>
    </w:pPr>
    <w:rPr>
      <w:rFonts w:eastAsia="Times New Roman"/>
    </w:rPr>
  </w:style>
  <w:style w:type="paragraph" w:styleId="Pagrindinistekstas2">
    <w:name w:val="Body Text 2"/>
    <w:basedOn w:val="prastasis"/>
    <w:link w:val="Pagrindinistekstas2Diagrama"/>
    <w:rsid w:val="00CD51A4"/>
    <w:pPr>
      <w:spacing w:after="0" w:line="240" w:lineRule="auto"/>
      <w:jc w:val="both"/>
    </w:pPr>
    <w:rPr>
      <w:rFonts w:ascii="Times New Roman" w:eastAsia="Times New Roman" w:hAnsi="Times New Roman"/>
      <w:sz w:val="24"/>
      <w:szCs w:val="20"/>
    </w:rPr>
  </w:style>
  <w:style w:type="character" w:customStyle="1" w:styleId="Pagrindinistekstas2Diagrama">
    <w:name w:val="Pagrindinis tekstas 2 Diagrama"/>
    <w:basedOn w:val="Numatytasispastraiposriftas"/>
    <w:link w:val="Pagrindinistekstas2"/>
    <w:rsid w:val="00CD51A4"/>
    <w:rPr>
      <w:rFonts w:ascii="Times New Roman" w:eastAsia="Times New Roman" w:hAnsi="Times New Roman" w:cs="Times New Roman"/>
      <w:sz w:val="24"/>
      <w:szCs w:val="20"/>
      <w:lang w:val="lt-LT" w:eastAsia="lt-LT" w:bidi="lt-LT"/>
    </w:rPr>
  </w:style>
  <w:style w:type="paragraph" w:styleId="Debesliotekstas">
    <w:name w:val="Balloon Text"/>
    <w:basedOn w:val="prastasis"/>
    <w:link w:val="DebesliotekstasDiagrama"/>
    <w:uiPriority w:val="99"/>
    <w:semiHidden/>
    <w:unhideWhenUsed/>
    <w:rsid w:val="00CD51A4"/>
    <w:pPr>
      <w:spacing w:after="0" w:line="240" w:lineRule="auto"/>
    </w:pPr>
    <w:rPr>
      <w:rFonts w:ascii="Tahoma" w:eastAsia="Times New Roman" w:hAnsi="Tahoma"/>
      <w:sz w:val="16"/>
      <w:szCs w:val="16"/>
    </w:rPr>
  </w:style>
  <w:style w:type="character" w:customStyle="1" w:styleId="DebesliotekstasDiagrama">
    <w:name w:val="Debesėlio tekstas Diagrama"/>
    <w:basedOn w:val="Numatytasispastraiposriftas"/>
    <w:link w:val="Debesliotekstas"/>
    <w:uiPriority w:val="99"/>
    <w:semiHidden/>
    <w:rsid w:val="00CD51A4"/>
    <w:rPr>
      <w:rFonts w:ascii="Tahoma" w:eastAsia="Times New Roman" w:hAnsi="Tahoma" w:cs="Times New Roman"/>
      <w:sz w:val="16"/>
      <w:szCs w:val="16"/>
      <w:lang w:val="lt-LT" w:eastAsia="lt-LT" w:bidi="lt-LT"/>
    </w:rPr>
  </w:style>
  <w:style w:type="character" w:styleId="Komentaronuoroda">
    <w:name w:val="annotation reference"/>
    <w:uiPriority w:val="99"/>
    <w:semiHidden/>
    <w:unhideWhenUsed/>
    <w:rsid w:val="00CD51A4"/>
    <w:rPr>
      <w:sz w:val="16"/>
      <w:szCs w:val="16"/>
    </w:rPr>
  </w:style>
  <w:style w:type="paragraph" w:styleId="Komentarotekstas">
    <w:name w:val="annotation text"/>
    <w:basedOn w:val="prastasis"/>
    <w:link w:val="KomentarotekstasDiagrama"/>
    <w:uiPriority w:val="99"/>
    <w:semiHidden/>
    <w:unhideWhenUsed/>
    <w:rsid w:val="00CD51A4"/>
    <w:rPr>
      <w:rFonts w:eastAsia="Times New Roman"/>
      <w:sz w:val="20"/>
      <w:szCs w:val="20"/>
    </w:rPr>
  </w:style>
  <w:style w:type="character" w:customStyle="1" w:styleId="KomentarotekstasDiagrama">
    <w:name w:val="Komentaro tekstas Diagrama"/>
    <w:basedOn w:val="Numatytasispastraiposriftas"/>
    <w:link w:val="Komentarotekstas"/>
    <w:uiPriority w:val="99"/>
    <w:semiHidden/>
    <w:rsid w:val="00CD51A4"/>
    <w:rPr>
      <w:rFonts w:ascii="Calibri" w:eastAsia="Times New Roman" w:hAnsi="Calibri" w:cs="Times New Roman"/>
      <w:sz w:val="20"/>
      <w:szCs w:val="20"/>
      <w:lang w:val="lt-LT" w:eastAsia="lt-LT" w:bidi="lt-LT"/>
    </w:rPr>
  </w:style>
  <w:style w:type="paragraph" w:styleId="Komentarotema">
    <w:name w:val="annotation subject"/>
    <w:basedOn w:val="Komentarotekstas"/>
    <w:next w:val="Komentarotekstas"/>
    <w:link w:val="KomentarotemaDiagrama"/>
    <w:uiPriority w:val="99"/>
    <w:semiHidden/>
    <w:unhideWhenUsed/>
    <w:rsid w:val="00CD51A4"/>
    <w:rPr>
      <w:b/>
      <w:bCs/>
    </w:rPr>
  </w:style>
  <w:style w:type="character" w:customStyle="1" w:styleId="KomentarotemaDiagrama">
    <w:name w:val="Komentaro tema Diagrama"/>
    <w:basedOn w:val="KomentarotekstasDiagrama"/>
    <w:link w:val="Komentarotema"/>
    <w:uiPriority w:val="99"/>
    <w:semiHidden/>
    <w:rsid w:val="00CD51A4"/>
    <w:rPr>
      <w:rFonts w:ascii="Calibri" w:eastAsia="Times New Roman" w:hAnsi="Calibri" w:cs="Times New Roman"/>
      <w:b/>
      <w:bCs/>
      <w:sz w:val="20"/>
      <w:szCs w:val="20"/>
      <w:lang w:val="lt-LT" w:eastAsia="lt-LT" w:bidi="lt-LT"/>
    </w:rPr>
  </w:style>
  <w:style w:type="paragraph" w:styleId="Pataisymai">
    <w:name w:val="Revision"/>
    <w:hidden/>
    <w:uiPriority w:val="99"/>
    <w:semiHidden/>
    <w:rsid w:val="00CD51A4"/>
    <w:pPr>
      <w:spacing w:after="0" w:line="240" w:lineRule="auto"/>
    </w:pPr>
    <w:rPr>
      <w:rFonts w:ascii="Calibri" w:eastAsia="Times New Roman" w:hAnsi="Calibri" w:cs="Times New Roman"/>
      <w:lang w:val="lt-LT" w:eastAsia="lt-LT" w:bidi="lt-LT"/>
    </w:rPr>
  </w:style>
  <w:style w:type="numbering" w:customStyle="1" w:styleId="NoList1">
    <w:name w:val="No List1"/>
    <w:next w:val="Sraonra"/>
    <w:uiPriority w:val="99"/>
    <w:semiHidden/>
    <w:unhideWhenUsed/>
    <w:rsid w:val="00CD51A4"/>
  </w:style>
  <w:style w:type="table" w:styleId="Lentelstinklelis">
    <w:name w:val="Table Grid"/>
    <w:basedOn w:val="prastojilentel"/>
    <w:uiPriority w:val="59"/>
    <w:rsid w:val="00CD51A4"/>
    <w:pPr>
      <w:spacing w:after="0" w:line="240" w:lineRule="auto"/>
    </w:pPr>
    <w:rPr>
      <w:rFonts w:ascii="Times New Roman" w:eastAsia="Calibri" w:hAnsi="Times New Roman"/>
      <w:lang w:val="lt-LT"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CD51A4"/>
    <w:rPr>
      <w:color w:val="0000FF" w:themeColor="hyperlink"/>
      <w:u w:val="single"/>
    </w:rPr>
  </w:style>
  <w:style w:type="paragraph" w:styleId="prastasiniatinklio">
    <w:name w:val="Normal (Web)"/>
    <w:basedOn w:val="prastasis"/>
    <w:uiPriority w:val="99"/>
    <w:semiHidden/>
    <w:unhideWhenUsed/>
    <w:rsid w:val="00CD51A4"/>
    <w:pPr>
      <w:spacing w:before="100" w:beforeAutospacing="1" w:after="100" w:afterAutospacing="1" w:line="240" w:lineRule="auto"/>
    </w:pPr>
    <w:rPr>
      <w:rFonts w:ascii="Times New Roman" w:eastAsia="Times New Roman" w:hAnsi="Times New Roman"/>
      <w:sz w:val="24"/>
      <w:szCs w:val="24"/>
      <w:lang w:val="en-GB"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ma.europa.e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36E927-1175-4963-B852-66FE2FEE7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64185</Words>
  <Characters>36587</Characters>
  <Application>Microsoft Office Word</Application>
  <DocSecurity>4</DocSecurity>
  <Lines>304</Lines>
  <Paragraphs>201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100571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eu_artwork</dc:creator>
  <cp:keywords/>
  <dc:description/>
  <cp:lastModifiedBy>Albina Burkauskaitė</cp:lastModifiedBy>
  <cp:revision>2</cp:revision>
  <dcterms:created xsi:type="dcterms:W3CDTF">2022-12-14T11:42:00Z</dcterms:created>
  <dcterms:modified xsi:type="dcterms:W3CDTF">2022-12-14T11:42:00Z</dcterms:modified>
</cp:coreProperties>
</file>