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jc w:val="center"/>
        <w:rPr>
          <w:rFonts w:ascii="Times New Roman" w:hAnsi="Times New Roman" w:cs="Times New Roman"/>
          <w:b/>
          <w:lang w:val="lt-LT"/>
        </w:rPr>
      </w:pPr>
      <w:bookmarkStart w:id="0" w:name="_Toc129243221"/>
      <w:bookmarkStart w:id="1" w:name="_Toc129243096"/>
      <w:r>
        <w:rPr>
          <w:rFonts w:ascii="Times New Roman" w:hAnsi="Times New Roman" w:cs="Times New Roman"/>
          <w:b/>
          <w:lang w:val="lt-LT"/>
        </w:rPr>
        <w:t>I PRIEDAS</w:t>
      </w:r>
      <w:bookmarkEnd w:id="0"/>
      <w:bookmarkEnd w:id="1"/>
    </w:p>
    <w:p w:rsidR="00634910" w:rsidRDefault="00634910" w:rsidP="00634910">
      <w:pPr>
        <w:spacing w:after="0" w:line="240" w:lineRule="auto"/>
        <w:jc w:val="center"/>
        <w:rPr>
          <w:rFonts w:ascii="Times New Roman" w:hAnsi="Times New Roman" w:cs="Times New Roman"/>
          <w:b/>
          <w:lang w:val="lt-LT"/>
        </w:rPr>
      </w:pPr>
    </w:p>
    <w:p w:rsidR="00634910" w:rsidRDefault="00634910" w:rsidP="00634910">
      <w:pPr>
        <w:spacing w:after="0" w:line="240" w:lineRule="auto"/>
        <w:jc w:val="center"/>
        <w:rPr>
          <w:rFonts w:ascii="Times New Roman" w:hAnsi="Times New Roman" w:cs="Times New Roman"/>
          <w:b/>
          <w:lang w:val="lt-LT"/>
        </w:rPr>
      </w:pPr>
      <w:bookmarkStart w:id="2" w:name="_Toc129243222"/>
      <w:bookmarkStart w:id="3" w:name="_Toc129243097"/>
      <w:r>
        <w:rPr>
          <w:rFonts w:ascii="Times New Roman" w:hAnsi="Times New Roman" w:cs="Times New Roman"/>
          <w:b/>
          <w:lang w:val="lt-LT"/>
        </w:rPr>
        <w:t>PREPARATO CHARAKTERISTIKŲ SANTRAUKA</w:t>
      </w:r>
      <w:bookmarkEnd w:id="2"/>
      <w:bookmarkEnd w:id="3"/>
    </w:p>
    <w:p w:rsidR="00634910" w:rsidRDefault="00634910" w:rsidP="00634910">
      <w:pPr>
        <w:spacing w:after="0" w:line="240" w:lineRule="auto"/>
        <w:ind w:left="540" w:hanging="540"/>
        <w:rPr>
          <w:rFonts w:ascii="Times New Roman" w:hAnsi="Times New Roman" w:cs="Times New Roman"/>
          <w:b/>
          <w:bCs/>
          <w:lang w:val="lt-LT"/>
        </w:rPr>
      </w:pPr>
      <w:r>
        <w:rPr>
          <w:rFonts w:ascii="Times New Roman" w:hAnsi="Times New Roman" w:cs="Times New Roman"/>
          <w:bCs/>
          <w:iCs/>
          <w:lang w:val="lt-LT"/>
        </w:rPr>
        <w:br w:type="page"/>
      </w:r>
      <w:r>
        <w:rPr>
          <w:rFonts w:ascii="Times New Roman" w:hAnsi="Times New Roman" w:cs="Times New Roman"/>
          <w:b/>
          <w:bCs/>
          <w:lang w:val="lt-LT"/>
        </w:rPr>
        <w:lastRenderedPageBreak/>
        <w:t>1.</w:t>
      </w:r>
      <w:r>
        <w:rPr>
          <w:rFonts w:ascii="Times New Roman" w:hAnsi="Times New Roman" w:cs="Times New Roman"/>
          <w:b/>
          <w:bCs/>
          <w:lang w:val="lt-LT"/>
        </w:rPr>
        <w:tab/>
        <w:t>VAISTINIO PREPARATO PAVADINIMAS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roofErr w:type="spellStart"/>
      <w:r>
        <w:rPr>
          <w:rFonts w:ascii="Times New Roman" w:hAnsi="Times New Roman" w:cs="Times New Roman"/>
          <w:lang w:val="lt-LT"/>
        </w:rPr>
        <w:t>Imatinib</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Ranbaxy</w:t>
      </w:r>
      <w:proofErr w:type="spellEnd"/>
      <w:r>
        <w:rPr>
          <w:rFonts w:ascii="Times New Roman" w:hAnsi="Times New Roman" w:cs="Times New Roman"/>
          <w:lang w:val="lt-LT"/>
        </w:rPr>
        <w:t xml:space="preserve"> 100 mg plėvele dengtos tabletės</w:t>
      </w:r>
    </w:p>
    <w:p w:rsidR="00634910" w:rsidRDefault="00634910" w:rsidP="00634910">
      <w:pPr>
        <w:spacing w:after="0" w:line="240" w:lineRule="auto"/>
        <w:rPr>
          <w:rFonts w:ascii="Times New Roman" w:hAnsi="Times New Roman" w:cs="Times New Roman"/>
          <w:highlight w:val="lightGray"/>
          <w:lang w:val="lt-LT"/>
        </w:rPr>
      </w:pPr>
      <w:proofErr w:type="spellStart"/>
      <w:r>
        <w:rPr>
          <w:rFonts w:ascii="Times New Roman" w:hAnsi="Times New Roman" w:cs="Times New Roman"/>
          <w:highlight w:val="lightGray"/>
          <w:lang w:val="lt-LT" w:eastAsia="en-US"/>
        </w:rPr>
        <w:t>Imatinib</w:t>
      </w:r>
      <w:proofErr w:type="spellEnd"/>
      <w:r>
        <w:rPr>
          <w:rFonts w:ascii="Times New Roman" w:hAnsi="Times New Roman" w:cs="Times New Roman"/>
          <w:highlight w:val="lightGray"/>
          <w:lang w:val="lt-LT" w:eastAsia="en-US"/>
        </w:rPr>
        <w:t xml:space="preserve"> </w:t>
      </w:r>
      <w:proofErr w:type="spellStart"/>
      <w:r>
        <w:rPr>
          <w:rFonts w:ascii="Times New Roman" w:hAnsi="Times New Roman" w:cs="Times New Roman"/>
          <w:highlight w:val="lightGray"/>
          <w:lang w:val="lt-LT" w:eastAsia="en-US"/>
        </w:rPr>
        <w:t>Ranbaxy</w:t>
      </w:r>
      <w:proofErr w:type="spellEnd"/>
      <w:r>
        <w:rPr>
          <w:rFonts w:ascii="Times New Roman" w:hAnsi="Times New Roman" w:cs="Times New Roman"/>
          <w:highlight w:val="lightGray"/>
          <w:lang w:val="lt-LT"/>
        </w:rPr>
        <w:t xml:space="preserve"> 400 mg plėvele dengtos tabletės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bCs/>
          <w:lang w:val="lt-LT"/>
        </w:rPr>
      </w:pPr>
      <w:r>
        <w:rPr>
          <w:rFonts w:ascii="Times New Roman" w:hAnsi="Times New Roman" w:cs="Times New Roman"/>
          <w:b/>
          <w:bCs/>
          <w:lang w:val="lt-LT"/>
        </w:rPr>
        <w:t>2.</w:t>
      </w:r>
      <w:r>
        <w:rPr>
          <w:rFonts w:ascii="Times New Roman" w:hAnsi="Times New Roman" w:cs="Times New Roman"/>
          <w:b/>
          <w:bCs/>
          <w:lang w:val="lt-LT"/>
        </w:rPr>
        <w:tab/>
        <w:t>KOKYBINĖ IR KIEKYBINĖ SUDĖTIS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Kiekvienoje plėvele dengtoje tabletėje yra 100 mg </w:t>
      </w: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mesilato</w:t>
      </w:r>
      <w:proofErr w:type="spellEnd"/>
      <w:r>
        <w:rPr>
          <w:rFonts w:ascii="Times New Roman" w:hAnsi="Times New Roman" w:cs="Times New Roman"/>
          <w:lang w:val="lt-LT"/>
        </w:rPr>
        <w:t xml:space="preserve"> pavidalu).</w:t>
      </w:r>
    </w:p>
    <w:p w:rsidR="00634910" w:rsidRDefault="00634910" w:rsidP="00634910">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 xml:space="preserve">Kiekvienoje plėvele dengtoje tabletėje yra 400 mg </w:t>
      </w:r>
      <w:proofErr w:type="spellStart"/>
      <w:r>
        <w:rPr>
          <w:rFonts w:ascii="Times New Roman" w:hAnsi="Times New Roman" w:cs="Times New Roman"/>
          <w:highlight w:val="lightGray"/>
          <w:lang w:val="lt-LT"/>
        </w:rPr>
        <w:t>imatinibo</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mesilato</w:t>
      </w:r>
      <w:proofErr w:type="spellEnd"/>
      <w:r>
        <w:rPr>
          <w:rFonts w:ascii="Times New Roman" w:hAnsi="Times New Roman" w:cs="Times New Roman"/>
          <w:highlight w:val="lightGray"/>
          <w:lang w:val="lt-LT"/>
        </w:rPr>
        <w:t xml:space="preserve"> pavidalu).</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Visos pagalbinės medžiagos išvardytos 6.1 skyriuje.</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bCs/>
          <w:lang w:val="lt-LT"/>
        </w:rPr>
      </w:pPr>
      <w:r>
        <w:rPr>
          <w:rFonts w:ascii="Times New Roman" w:hAnsi="Times New Roman" w:cs="Times New Roman"/>
          <w:b/>
          <w:bCs/>
          <w:lang w:val="lt-LT"/>
        </w:rPr>
        <w:t>3.</w:t>
      </w:r>
      <w:r>
        <w:rPr>
          <w:rFonts w:ascii="Times New Roman" w:hAnsi="Times New Roman" w:cs="Times New Roman"/>
          <w:b/>
          <w:bCs/>
          <w:lang w:val="lt-LT"/>
        </w:rPr>
        <w:tab/>
        <w:t>FARMACINĖ FORMA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Plėvele dengta tabletė.</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Tamsiai geltonos – rusvai oranžinės spalvos, plėvele dengtos, apvalios formos tabletės su užrašais „I“ ir „1“ abipus laužimo linijos vienoje pusėje ir lygios kitoje pusėje. Apvalių tablečių skersmuo yra 7,65 mm </w:t>
      </w:r>
      <w:r w:rsidRPr="009A7209">
        <w:rPr>
          <w:rFonts w:ascii="Times New Roman" w:hAnsi="Times New Roman" w:cs="Times New Roman"/>
          <w:lang w:val="lt-LT"/>
        </w:rPr>
        <w:t>±</w:t>
      </w:r>
      <w:r>
        <w:rPr>
          <w:rFonts w:ascii="Times New Roman" w:hAnsi="Times New Roman" w:cs="Times New Roman"/>
          <w:lang w:val="lt-LT"/>
        </w:rPr>
        <w:t xml:space="preserve"> 0,20 mm.</w:t>
      </w:r>
    </w:p>
    <w:p w:rsidR="00634910" w:rsidRDefault="00634910" w:rsidP="00634910">
      <w:pPr>
        <w:spacing w:after="0" w:line="240" w:lineRule="auto"/>
        <w:rPr>
          <w:rFonts w:ascii="Times New Roman" w:hAnsi="Times New Roman" w:cs="Times New Roman"/>
          <w:lang w:val="lt-LT"/>
        </w:rPr>
      </w:pPr>
    </w:p>
    <w:p w:rsidR="00634910" w:rsidRPr="00AA32F0" w:rsidRDefault="00634910" w:rsidP="00634910">
      <w:pPr>
        <w:spacing w:after="0" w:line="240" w:lineRule="auto"/>
        <w:rPr>
          <w:rFonts w:ascii="Times New Roman" w:hAnsi="Times New Roman" w:cs="Times New Roman"/>
          <w:highlight w:val="lightGray"/>
          <w:lang w:val="lt-LT"/>
        </w:rPr>
      </w:pPr>
      <w:r w:rsidRPr="00AA32F0">
        <w:rPr>
          <w:rFonts w:ascii="Times New Roman" w:hAnsi="Times New Roman" w:cs="Times New Roman"/>
          <w:highlight w:val="lightGray"/>
          <w:lang w:val="lt-LT"/>
        </w:rPr>
        <w:t>Tamsiai geltonos – rusvai oranžinės spalvos</w:t>
      </w:r>
      <w:r>
        <w:rPr>
          <w:rFonts w:ascii="Times New Roman" w:hAnsi="Times New Roman" w:cs="Times New Roman"/>
          <w:highlight w:val="lightGray"/>
          <w:lang w:val="lt-LT"/>
        </w:rPr>
        <w:t>,</w:t>
      </w:r>
      <w:r w:rsidRPr="00AA32F0">
        <w:rPr>
          <w:rFonts w:ascii="Times New Roman" w:hAnsi="Times New Roman" w:cs="Times New Roman"/>
          <w:highlight w:val="lightGray"/>
          <w:lang w:val="lt-LT"/>
        </w:rPr>
        <w:t xml:space="preserve"> plėvele dengtos</w:t>
      </w:r>
      <w:r>
        <w:rPr>
          <w:rFonts w:ascii="Times New Roman" w:hAnsi="Times New Roman" w:cs="Times New Roman"/>
          <w:highlight w:val="lightGray"/>
          <w:lang w:val="lt-LT"/>
        </w:rPr>
        <w:t>,</w:t>
      </w:r>
      <w:r w:rsidRPr="00AA32F0">
        <w:rPr>
          <w:rFonts w:ascii="Times New Roman" w:hAnsi="Times New Roman" w:cs="Times New Roman"/>
          <w:highlight w:val="lightGray"/>
          <w:lang w:val="lt-LT"/>
        </w:rPr>
        <w:t xml:space="preserve"> </w:t>
      </w:r>
      <w:r>
        <w:rPr>
          <w:rFonts w:ascii="Times New Roman" w:hAnsi="Times New Roman" w:cs="Times New Roman"/>
          <w:highlight w:val="lightGray"/>
          <w:lang w:val="lt-LT"/>
        </w:rPr>
        <w:t>ovalios</w:t>
      </w:r>
      <w:r w:rsidRPr="00AA32F0">
        <w:rPr>
          <w:rFonts w:ascii="Times New Roman" w:hAnsi="Times New Roman" w:cs="Times New Roman"/>
          <w:highlight w:val="lightGray"/>
          <w:lang w:val="lt-LT"/>
        </w:rPr>
        <w:t xml:space="preserve"> formos tabletės su užrašais „I“ ir „2“ abipus laužimo linijos vienoje pusėje ir lygios kitoje pusėje. Ovalių tablečių ilgis yra 15,15</w:t>
      </w:r>
      <w:r>
        <w:rPr>
          <w:rFonts w:ascii="Times New Roman" w:hAnsi="Times New Roman" w:cs="Times New Roman"/>
          <w:highlight w:val="lightGray"/>
          <w:lang w:val="lt-LT"/>
        </w:rPr>
        <w:t> </w:t>
      </w:r>
      <w:r w:rsidRPr="00AA32F0">
        <w:rPr>
          <w:rFonts w:ascii="Times New Roman" w:hAnsi="Times New Roman" w:cs="Times New Roman"/>
          <w:highlight w:val="lightGray"/>
          <w:lang w:val="lt-LT"/>
        </w:rPr>
        <w:t>mm  ± 0,20 mm, o plotis 8,15 mm ± 0,20 mm.</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Tabletę galima padalyti į lygias dozes.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bCs/>
          <w:lang w:val="lt-LT"/>
        </w:rPr>
      </w:pPr>
      <w:r>
        <w:rPr>
          <w:rFonts w:ascii="Times New Roman" w:hAnsi="Times New Roman" w:cs="Times New Roman"/>
          <w:b/>
          <w:bCs/>
          <w:lang w:val="lt-LT"/>
        </w:rPr>
        <w:t>4.</w:t>
      </w:r>
      <w:r>
        <w:rPr>
          <w:rFonts w:ascii="Times New Roman" w:hAnsi="Times New Roman" w:cs="Times New Roman"/>
          <w:b/>
          <w:bCs/>
          <w:lang w:val="lt-LT"/>
        </w:rPr>
        <w:tab/>
        <w:t>KLINIKINĖ INFORMACIJA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bCs/>
          <w:lang w:val="lt-LT"/>
        </w:rPr>
      </w:pPr>
      <w:r>
        <w:rPr>
          <w:rFonts w:ascii="Times New Roman" w:hAnsi="Times New Roman" w:cs="Times New Roman"/>
          <w:b/>
          <w:bCs/>
          <w:lang w:val="lt-LT"/>
        </w:rPr>
        <w:t>4.1</w:t>
      </w:r>
      <w:r>
        <w:rPr>
          <w:rFonts w:ascii="Times New Roman" w:hAnsi="Times New Roman" w:cs="Times New Roman"/>
          <w:b/>
          <w:bCs/>
          <w:lang w:val="lt-LT"/>
        </w:rPr>
        <w:tab/>
        <w:t>Terapinės indikacijos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roofErr w:type="spellStart"/>
      <w:r>
        <w:rPr>
          <w:rFonts w:ascii="Times New Roman" w:hAnsi="Times New Roman" w:cs="Times New Roman"/>
          <w:lang w:val="lt-LT"/>
        </w:rPr>
        <w:t>Imatinibas</w:t>
      </w:r>
      <w:proofErr w:type="spellEnd"/>
      <w:r>
        <w:rPr>
          <w:rFonts w:ascii="Times New Roman" w:hAnsi="Times New Roman" w:cs="Times New Roman"/>
          <w:lang w:val="lt-LT"/>
        </w:rPr>
        <w:t xml:space="preserve"> yra skirtas gydyti:</w:t>
      </w:r>
    </w:p>
    <w:p w:rsidR="00634910" w:rsidRDefault="00634910" w:rsidP="00634910">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vaikus, kuriems naujai diagnozuota </w:t>
      </w:r>
      <w:r w:rsidRPr="00072B5D">
        <w:rPr>
          <w:rFonts w:ascii="Times New Roman" w:hAnsi="Times New Roman" w:cs="Times New Roman"/>
          <w:lang w:val="lt-LT"/>
        </w:rPr>
        <w:t>Filadelfijos (</w:t>
      </w:r>
      <w:proofErr w:type="spellStart"/>
      <w:r w:rsidRPr="00072B5D">
        <w:rPr>
          <w:rFonts w:ascii="Times New Roman" w:hAnsi="Times New Roman" w:cs="Times New Roman"/>
          <w:i/>
          <w:lang w:val="lt-LT"/>
        </w:rPr>
        <w:t>Philadelphia</w:t>
      </w:r>
      <w:proofErr w:type="spellEnd"/>
      <w:r w:rsidRPr="00072B5D">
        <w:rPr>
          <w:rFonts w:ascii="Times New Roman" w:hAnsi="Times New Roman" w:cs="Times New Roman"/>
          <w:lang w:val="lt-LT"/>
        </w:rPr>
        <w:t>) chromosomai (</w:t>
      </w:r>
      <w:proofErr w:type="spellStart"/>
      <w:r w:rsidRPr="00072B5D">
        <w:rPr>
          <w:rFonts w:ascii="Times New Roman" w:hAnsi="Times New Roman" w:cs="Times New Roman"/>
          <w:lang w:val="lt-LT"/>
        </w:rPr>
        <w:t>bcr-abl</w:t>
      </w:r>
      <w:proofErr w:type="spellEnd"/>
      <w:r w:rsidRPr="00072B5D">
        <w:rPr>
          <w:rFonts w:ascii="Times New Roman" w:hAnsi="Times New Roman" w:cs="Times New Roman"/>
          <w:lang w:val="lt-LT"/>
        </w:rPr>
        <w:t>) teigiama (</w:t>
      </w:r>
      <w:proofErr w:type="spellStart"/>
      <w:r w:rsidRPr="00072B5D">
        <w:rPr>
          <w:rFonts w:ascii="Times New Roman" w:hAnsi="Times New Roman" w:cs="Times New Roman"/>
          <w:lang w:val="lt-LT"/>
        </w:rPr>
        <w:t>Ph</w:t>
      </w:r>
      <w:proofErr w:type="spellEnd"/>
      <w:r w:rsidRPr="00072B5D">
        <w:rPr>
          <w:rFonts w:ascii="Times New Roman" w:hAnsi="Times New Roman" w:cs="Times New Roman"/>
          <w:lang w:val="lt-LT"/>
        </w:rPr>
        <w:t>+)</w:t>
      </w:r>
      <w:r>
        <w:rPr>
          <w:rFonts w:ascii="Times New Roman" w:hAnsi="Times New Roman" w:cs="Times New Roman"/>
          <w:lang w:val="lt-LT"/>
        </w:rPr>
        <w:t xml:space="preserve"> lėtinė </w:t>
      </w:r>
      <w:proofErr w:type="spellStart"/>
      <w:r>
        <w:rPr>
          <w:rFonts w:ascii="Times New Roman" w:hAnsi="Times New Roman" w:cs="Times New Roman"/>
          <w:lang w:val="lt-LT"/>
        </w:rPr>
        <w:t>mieloidinė</w:t>
      </w:r>
      <w:proofErr w:type="spellEnd"/>
      <w:r>
        <w:rPr>
          <w:rFonts w:ascii="Times New Roman" w:hAnsi="Times New Roman" w:cs="Times New Roman"/>
          <w:lang w:val="lt-LT"/>
        </w:rPr>
        <w:t xml:space="preserve"> leukemija (LML), nusprendus, kad šiems pacientams kaulų čiulpų persodinimas nėra pirmo pasirinkimo gydymas;</w:t>
      </w:r>
    </w:p>
    <w:p w:rsidR="00634910" w:rsidRDefault="00634910" w:rsidP="00634910">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vaikus, kuriems nustatyta </w:t>
      </w:r>
      <w:proofErr w:type="spellStart"/>
      <w:r>
        <w:rPr>
          <w:rFonts w:ascii="Times New Roman" w:hAnsi="Times New Roman" w:cs="Times New Roman"/>
          <w:i/>
          <w:iCs/>
          <w:lang w:val="lt-LT"/>
        </w:rPr>
        <w:t>Ph</w:t>
      </w:r>
      <w:proofErr w:type="spellEnd"/>
      <w:r>
        <w:rPr>
          <w:rFonts w:ascii="Times New Roman" w:hAnsi="Times New Roman" w:cs="Times New Roman"/>
          <w:i/>
          <w:iCs/>
          <w:lang w:val="lt-LT"/>
        </w:rPr>
        <w:t>+</w:t>
      </w:r>
      <w:r>
        <w:rPr>
          <w:rFonts w:ascii="Times New Roman" w:hAnsi="Times New Roman" w:cs="Times New Roman"/>
          <w:lang w:val="lt-LT"/>
        </w:rPr>
        <w:t xml:space="preserve"> LML lėtinė fazė po to, kai buvo neveiksmingas gydymas interferonu alfa arba pasireiškia akceleracijos fazė ar </w:t>
      </w:r>
      <w:proofErr w:type="spellStart"/>
      <w:r>
        <w:rPr>
          <w:rFonts w:ascii="Times New Roman" w:hAnsi="Times New Roman" w:cs="Times New Roman"/>
          <w:lang w:val="lt-LT"/>
        </w:rPr>
        <w:t>blastinė</w:t>
      </w:r>
      <w:proofErr w:type="spellEnd"/>
      <w:r>
        <w:rPr>
          <w:rFonts w:ascii="Times New Roman" w:hAnsi="Times New Roman" w:cs="Times New Roman"/>
          <w:lang w:val="lt-LT"/>
        </w:rPr>
        <w:t xml:space="preserve"> krizė;</w:t>
      </w:r>
    </w:p>
    <w:p w:rsidR="00634910" w:rsidRDefault="00634910" w:rsidP="00634910">
      <w:pPr>
        <w:numPr>
          <w:ilvl w:val="0"/>
          <w:numId w:val="1"/>
        </w:numPr>
        <w:spacing w:after="0" w:line="240" w:lineRule="auto"/>
        <w:ind w:left="510" w:hanging="510"/>
        <w:rPr>
          <w:rFonts w:ascii="Times New Roman" w:hAnsi="Times New Roman" w:cs="Times New Roman"/>
          <w:lang w:val="lt-LT"/>
        </w:rPr>
      </w:pPr>
      <w:r>
        <w:rPr>
          <w:rFonts w:ascii="Times New Roman" w:hAnsi="Times New Roman" w:cs="Times New Roman"/>
          <w:lang w:val="lt-LT"/>
        </w:rPr>
        <w:t xml:space="preserve">suaugusiuosius, kuriems nustatyta </w:t>
      </w:r>
      <w:proofErr w:type="spellStart"/>
      <w:r>
        <w:rPr>
          <w:rFonts w:ascii="Times New Roman" w:hAnsi="Times New Roman" w:cs="Times New Roman"/>
          <w:i/>
          <w:iCs/>
          <w:lang w:val="lt-LT"/>
        </w:rPr>
        <w:t>Ph+</w:t>
      </w:r>
      <w:r>
        <w:rPr>
          <w:rFonts w:ascii="Times New Roman" w:hAnsi="Times New Roman" w:cs="Times New Roman"/>
          <w:lang w:val="lt-LT"/>
        </w:rPr>
        <w:t>LML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blastinė</w:t>
      </w:r>
      <w:proofErr w:type="spellEnd"/>
      <w:r>
        <w:rPr>
          <w:rFonts w:ascii="Times New Roman" w:hAnsi="Times New Roman" w:cs="Times New Roman"/>
          <w:lang w:val="lt-LT"/>
        </w:rPr>
        <w:t xml:space="preserve"> krizė;</w:t>
      </w:r>
    </w:p>
    <w:p w:rsidR="00634910" w:rsidRDefault="00634910" w:rsidP="00634910">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suaugusiuosius, kuriems naujai diagnozuota </w:t>
      </w:r>
      <w:proofErr w:type="spellStart"/>
      <w:r>
        <w:rPr>
          <w:rFonts w:ascii="Times New Roman" w:hAnsi="Times New Roman" w:cs="Times New Roman"/>
          <w:i/>
          <w:lang w:val="lt-LT"/>
        </w:rPr>
        <w:t>Philadelphia</w:t>
      </w:r>
      <w:proofErr w:type="spellEnd"/>
      <w:r>
        <w:rPr>
          <w:rFonts w:ascii="Times New Roman" w:hAnsi="Times New Roman" w:cs="Times New Roman"/>
          <w:lang w:val="lt-LT"/>
        </w:rPr>
        <w:t xml:space="preserve"> chromosomai </w:t>
      </w:r>
      <w:r w:rsidRPr="00AC3918">
        <w:rPr>
          <w:rFonts w:ascii="Times New Roman" w:hAnsi="Times New Roman" w:cs="Times New Roman"/>
          <w:lang w:val="lt-LT"/>
        </w:rPr>
        <w:t>teigiam</w:t>
      </w:r>
      <w:r>
        <w:rPr>
          <w:rFonts w:ascii="Times New Roman" w:hAnsi="Times New Roman" w:cs="Times New Roman"/>
          <w:lang w:val="lt-LT"/>
        </w:rPr>
        <w:t>a</w:t>
      </w:r>
      <w:r w:rsidRPr="00AC3918">
        <w:rPr>
          <w:rFonts w:ascii="Times New Roman" w:hAnsi="Times New Roman" w:cs="Times New Roman"/>
          <w:lang w:val="lt-LT"/>
        </w:rPr>
        <w:t xml:space="preserve"> ūminė </w:t>
      </w:r>
      <w:proofErr w:type="spellStart"/>
      <w:r w:rsidRPr="00AC3918">
        <w:rPr>
          <w:rFonts w:ascii="Times New Roman" w:hAnsi="Times New Roman" w:cs="Times New Roman"/>
          <w:lang w:val="lt-LT"/>
        </w:rPr>
        <w:t>limfoblastinė</w:t>
      </w:r>
      <w:proofErr w:type="spellEnd"/>
      <w:r w:rsidRPr="00AC3918">
        <w:rPr>
          <w:rFonts w:ascii="Times New Roman" w:hAnsi="Times New Roman" w:cs="Times New Roman"/>
          <w:lang w:val="lt-LT"/>
        </w:rPr>
        <w:t xml:space="preserve"> leukemij</w:t>
      </w:r>
      <w:r>
        <w:rPr>
          <w:rFonts w:ascii="Times New Roman" w:hAnsi="Times New Roman" w:cs="Times New Roman"/>
          <w:lang w:val="lt-LT"/>
        </w:rPr>
        <w:t>a</w:t>
      </w:r>
      <w:r w:rsidRPr="00AC3918">
        <w:rPr>
          <w:rFonts w:ascii="Times New Roman" w:hAnsi="Times New Roman" w:cs="Times New Roman"/>
          <w:lang w:val="lt-LT"/>
        </w:rPr>
        <w:t xml:space="preserve"> (</w:t>
      </w:r>
      <w:proofErr w:type="spellStart"/>
      <w:r w:rsidRPr="00AC3918">
        <w:rPr>
          <w:rFonts w:ascii="Times New Roman" w:hAnsi="Times New Roman" w:cs="Times New Roman"/>
          <w:lang w:val="lt-LT"/>
        </w:rPr>
        <w:t>Ph</w:t>
      </w:r>
      <w:proofErr w:type="spellEnd"/>
      <w:r w:rsidRPr="00AC3918">
        <w:rPr>
          <w:rFonts w:ascii="Times New Roman" w:hAnsi="Times New Roman" w:cs="Times New Roman"/>
          <w:lang w:val="lt-LT"/>
        </w:rPr>
        <w:t>+ ŪLL)</w:t>
      </w:r>
      <w:r>
        <w:rPr>
          <w:rFonts w:ascii="Times New Roman" w:hAnsi="Times New Roman" w:cs="Times New Roman"/>
          <w:lang w:val="lt-LT"/>
        </w:rPr>
        <w:t>,</w:t>
      </w:r>
      <w:r w:rsidRPr="00AC3918">
        <w:rPr>
          <w:rFonts w:ascii="Times New Roman" w:hAnsi="Times New Roman" w:cs="Times New Roman"/>
          <w:lang w:val="lt-LT"/>
        </w:rPr>
        <w:t xml:space="preserve"> kartu </w:t>
      </w:r>
      <w:r w:rsidRPr="000826AB">
        <w:rPr>
          <w:rFonts w:ascii="Times New Roman" w:hAnsi="Times New Roman" w:cs="Times New Roman"/>
          <w:lang w:val="lt-LT"/>
        </w:rPr>
        <w:t>skiriant ir kitą chemoterapiją</w:t>
      </w:r>
      <w:r>
        <w:rPr>
          <w:rFonts w:ascii="Times New Roman" w:hAnsi="Times New Roman" w:cs="Times New Roman"/>
          <w:lang w:val="lt-LT"/>
        </w:rPr>
        <w:t>;</w:t>
      </w:r>
    </w:p>
    <w:p w:rsidR="00634910" w:rsidRDefault="00634910" w:rsidP="00634910">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suaugusiųjų </w:t>
      </w:r>
      <w:proofErr w:type="spellStart"/>
      <w:r>
        <w:rPr>
          <w:rFonts w:ascii="Times New Roman" w:hAnsi="Times New Roman" w:cs="Times New Roman"/>
          <w:lang w:val="lt-LT"/>
        </w:rPr>
        <w:t>recidyvavusią</w:t>
      </w:r>
      <w:proofErr w:type="spellEnd"/>
      <w:r>
        <w:rPr>
          <w:rFonts w:ascii="Times New Roman" w:hAnsi="Times New Roman" w:cs="Times New Roman"/>
          <w:lang w:val="lt-LT"/>
        </w:rPr>
        <w:t xml:space="preserve"> ar </w:t>
      </w:r>
      <w:proofErr w:type="spellStart"/>
      <w:r>
        <w:rPr>
          <w:rFonts w:ascii="Times New Roman" w:hAnsi="Times New Roman" w:cs="Times New Roman"/>
          <w:lang w:val="lt-LT"/>
        </w:rPr>
        <w:t>refrakterinę</w:t>
      </w:r>
      <w:proofErr w:type="spellEnd"/>
      <w:r>
        <w:rPr>
          <w:rFonts w:ascii="Times New Roman" w:hAnsi="Times New Roman" w:cs="Times New Roman"/>
          <w:lang w:val="lt-LT"/>
        </w:rPr>
        <w:t xml:space="preserve"> </w:t>
      </w:r>
      <w:proofErr w:type="spellStart"/>
      <w:r w:rsidRPr="000826AB">
        <w:rPr>
          <w:rFonts w:ascii="Times New Roman" w:hAnsi="Times New Roman" w:cs="Times New Roman"/>
          <w:lang w:val="lt-LT"/>
        </w:rPr>
        <w:t>Ph</w:t>
      </w:r>
      <w:proofErr w:type="spellEnd"/>
      <w:r>
        <w:rPr>
          <w:rFonts w:ascii="Times New Roman" w:hAnsi="Times New Roman" w:cs="Times New Roman"/>
          <w:lang w:val="lt-LT"/>
        </w:rPr>
        <w:t>+ ŪLL (</w:t>
      </w:r>
      <w:proofErr w:type="spellStart"/>
      <w:r>
        <w:rPr>
          <w:rFonts w:ascii="Times New Roman" w:hAnsi="Times New Roman" w:cs="Times New Roman"/>
          <w:lang w:val="lt-LT"/>
        </w:rPr>
        <w:t>monoterapija</w:t>
      </w:r>
      <w:proofErr w:type="spellEnd"/>
      <w:r>
        <w:rPr>
          <w:rFonts w:ascii="Times New Roman" w:hAnsi="Times New Roman" w:cs="Times New Roman"/>
          <w:lang w:val="lt-LT"/>
        </w:rPr>
        <w:t>);</w:t>
      </w:r>
    </w:p>
    <w:p w:rsidR="00634910" w:rsidRDefault="00634910" w:rsidP="00634910">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suaugusiųjų </w:t>
      </w:r>
      <w:proofErr w:type="spellStart"/>
      <w:r>
        <w:rPr>
          <w:rFonts w:ascii="Times New Roman" w:hAnsi="Times New Roman" w:cs="Times New Roman"/>
          <w:lang w:val="lt-LT"/>
        </w:rPr>
        <w:t>mielodisplazinį</w:t>
      </w:r>
      <w:proofErr w:type="spellEnd"/>
      <w:r>
        <w:rPr>
          <w:rFonts w:ascii="Times New Roman" w:hAnsi="Times New Roman" w:cs="Times New Roman"/>
          <w:lang w:val="lt-LT"/>
        </w:rPr>
        <w:t xml:space="preserve"> sindromą ar </w:t>
      </w:r>
      <w:proofErr w:type="spellStart"/>
      <w:r>
        <w:rPr>
          <w:rFonts w:ascii="Times New Roman" w:hAnsi="Times New Roman" w:cs="Times New Roman"/>
          <w:lang w:val="lt-LT"/>
        </w:rPr>
        <w:t>mieloproliferacines</w:t>
      </w:r>
      <w:proofErr w:type="spellEnd"/>
      <w:r>
        <w:rPr>
          <w:rFonts w:ascii="Times New Roman" w:hAnsi="Times New Roman" w:cs="Times New Roman"/>
          <w:lang w:val="lt-LT"/>
        </w:rPr>
        <w:t xml:space="preserve"> ligas (MDS/MPL), susijusias su trombocitų kilmės augimo faktoriaus receptoriaus (</w:t>
      </w:r>
      <w:proofErr w:type="spellStart"/>
      <w:r>
        <w:rPr>
          <w:rFonts w:ascii="Times New Roman" w:hAnsi="Times New Roman" w:cs="Times New Roman"/>
          <w:lang w:val="lt-LT"/>
        </w:rPr>
        <w:t>ang</w:t>
      </w:r>
      <w:proofErr w:type="spellEnd"/>
      <w:r>
        <w:rPr>
          <w:rFonts w:ascii="Times New Roman" w:hAnsi="Times New Roman" w:cs="Times New Roman"/>
          <w:lang w:val="lt-LT"/>
        </w:rPr>
        <w:t xml:space="preserve">. </w:t>
      </w:r>
      <w:proofErr w:type="spellStart"/>
      <w:r>
        <w:rPr>
          <w:rFonts w:ascii="Times New Roman" w:hAnsi="Times New Roman" w:cs="Times New Roman"/>
          <w:i/>
          <w:lang w:val="lt-LT"/>
        </w:rPr>
        <w:t>platelet-derived</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growth</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factor</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receptor</w:t>
      </w:r>
      <w:proofErr w:type="spellEnd"/>
      <w:r>
        <w:rPr>
          <w:rFonts w:ascii="Times New Roman" w:hAnsi="Times New Roman" w:cs="Times New Roman"/>
          <w:lang w:val="lt-LT"/>
        </w:rPr>
        <w:t>, PDGFR) genų pakitimais;</w:t>
      </w:r>
    </w:p>
    <w:p w:rsidR="00634910" w:rsidRDefault="00634910" w:rsidP="00634910">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suaugusiųjų progresavusį </w:t>
      </w:r>
      <w:proofErr w:type="spellStart"/>
      <w:r>
        <w:rPr>
          <w:rFonts w:ascii="Times New Roman" w:hAnsi="Times New Roman" w:cs="Times New Roman"/>
          <w:lang w:val="lt-LT"/>
        </w:rPr>
        <w:t>hipereozinofilijos</w:t>
      </w:r>
      <w:proofErr w:type="spellEnd"/>
      <w:r>
        <w:rPr>
          <w:rFonts w:ascii="Times New Roman" w:hAnsi="Times New Roman" w:cs="Times New Roman"/>
          <w:lang w:val="lt-LT"/>
        </w:rPr>
        <w:t xml:space="preserve"> sindromą (HES) ir (arba) lėtinę </w:t>
      </w:r>
      <w:proofErr w:type="spellStart"/>
      <w:r>
        <w:rPr>
          <w:rFonts w:ascii="Times New Roman" w:hAnsi="Times New Roman" w:cs="Times New Roman"/>
          <w:lang w:val="lt-LT"/>
        </w:rPr>
        <w:t>eozinofilinę</w:t>
      </w:r>
      <w:proofErr w:type="spellEnd"/>
      <w:r>
        <w:rPr>
          <w:rFonts w:ascii="Times New Roman" w:hAnsi="Times New Roman" w:cs="Times New Roman"/>
          <w:lang w:val="lt-LT"/>
        </w:rPr>
        <w:t xml:space="preserve"> leukemiją (LEL) su FIP1L1-PDGFRα pokyčiu.</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poveikis kaulų čiulpų </w:t>
      </w:r>
      <w:r w:rsidRPr="00FD06A4">
        <w:rPr>
          <w:rFonts w:ascii="Times New Roman" w:hAnsi="Times New Roman" w:cs="Times New Roman"/>
          <w:lang w:val="lt-LT"/>
        </w:rPr>
        <w:t>transplantacijos rezultatams</w:t>
      </w:r>
      <w:r>
        <w:rPr>
          <w:rFonts w:ascii="Times New Roman" w:hAnsi="Times New Roman" w:cs="Times New Roman"/>
          <w:lang w:val="lt-LT"/>
        </w:rPr>
        <w:t xml:space="preserve"> nebuvo nustatytas.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roofErr w:type="spellStart"/>
      <w:r>
        <w:rPr>
          <w:rFonts w:ascii="Times New Roman" w:hAnsi="Times New Roman" w:cs="Times New Roman"/>
          <w:lang w:val="lt-LT"/>
        </w:rPr>
        <w:t>Imatinibas</w:t>
      </w:r>
      <w:proofErr w:type="spellEnd"/>
      <w:r>
        <w:rPr>
          <w:rFonts w:ascii="Times New Roman" w:hAnsi="Times New Roman" w:cs="Times New Roman"/>
          <w:lang w:val="lt-LT"/>
        </w:rPr>
        <w:t xml:space="preserve"> skirtas: </w:t>
      </w:r>
    </w:p>
    <w:p w:rsidR="00634910" w:rsidRDefault="00634910" w:rsidP="00634910">
      <w:pPr>
        <w:numPr>
          <w:ilvl w:val="0"/>
          <w:numId w:val="2"/>
        </w:numPr>
        <w:spacing w:after="0" w:line="240" w:lineRule="auto"/>
        <w:ind w:left="426" w:hanging="426"/>
        <w:rPr>
          <w:rFonts w:ascii="Times New Roman" w:hAnsi="Times New Roman" w:cs="Times New Roman"/>
          <w:lang w:val="lt-LT"/>
        </w:rPr>
      </w:pPr>
      <w:r>
        <w:rPr>
          <w:rFonts w:ascii="Times New Roman" w:hAnsi="Times New Roman" w:cs="Times New Roman"/>
          <w:lang w:val="lt-LT"/>
        </w:rPr>
        <w:lastRenderedPageBreak/>
        <w:t xml:space="preserve">suaugusiesiems, kuriems yra </w:t>
      </w:r>
      <w:proofErr w:type="spellStart"/>
      <w:r>
        <w:rPr>
          <w:rFonts w:ascii="Times New Roman" w:hAnsi="Times New Roman" w:cs="Times New Roman"/>
          <w:lang w:val="lt-LT"/>
        </w:rPr>
        <w:t>Kit</w:t>
      </w:r>
      <w:proofErr w:type="spellEnd"/>
      <w:r>
        <w:rPr>
          <w:rFonts w:ascii="Times New Roman" w:hAnsi="Times New Roman" w:cs="Times New Roman"/>
          <w:lang w:val="lt-LT"/>
        </w:rPr>
        <w:t xml:space="preserve"> (CD 117) teigiamas </w:t>
      </w:r>
      <w:proofErr w:type="spellStart"/>
      <w:r>
        <w:rPr>
          <w:rFonts w:ascii="Times New Roman" w:hAnsi="Times New Roman" w:cs="Times New Roman"/>
          <w:lang w:val="lt-LT"/>
        </w:rPr>
        <w:t>nerezekuotinas</w:t>
      </w:r>
      <w:proofErr w:type="spellEnd"/>
      <w:r>
        <w:rPr>
          <w:rFonts w:ascii="Times New Roman" w:hAnsi="Times New Roman" w:cs="Times New Roman"/>
          <w:lang w:val="lt-LT"/>
        </w:rPr>
        <w:t xml:space="preserve"> ir (ar) </w:t>
      </w:r>
      <w:proofErr w:type="spellStart"/>
      <w:r>
        <w:rPr>
          <w:rFonts w:ascii="Times New Roman" w:hAnsi="Times New Roman" w:cs="Times New Roman"/>
          <w:lang w:val="lt-LT"/>
        </w:rPr>
        <w:t>metastazinis</w:t>
      </w:r>
      <w:proofErr w:type="spellEnd"/>
      <w:r>
        <w:rPr>
          <w:rFonts w:ascii="Times New Roman" w:hAnsi="Times New Roman" w:cs="Times New Roman"/>
          <w:lang w:val="lt-LT"/>
        </w:rPr>
        <w:t xml:space="preserve"> </w:t>
      </w:r>
    </w:p>
    <w:p w:rsidR="00634910" w:rsidRDefault="00634910" w:rsidP="00634910">
      <w:pPr>
        <w:spacing w:after="0" w:line="240" w:lineRule="auto"/>
        <w:ind w:left="426"/>
        <w:rPr>
          <w:rFonts w:ascii="Times New Roman" w:hAnsi="Times New Roman" w:cs="Times New Roman"/>
          <w:lang w:val="lt-LT"/>
        </w:rPr>
      </w:pPr>
      <w:r>
        <w:rPr>
          <w:rFonts w:ascii="Times New Roman" w:hAnsi="Times New Roman" w:cs="Times New Roman"/>
          <w:lang w:val="lt-LT"/>
        </w:rPr>
        <w:t xml:space="preserve">piktybinis virškinimo trakto </w:t>
      </w:r>
      <w:proofErr w:type="spellStart"/>
      <w:r>
        <w:rPr>
          <w:rFonts w:ascii="Times New Roman" w:hAnsi="Times New Roman" w:cs="Times New Roman"/>
          <w:lang w:val="lt-LT"/>
        </w:rPr>
        <w:t>stromos</w:t>
      </w:r>
      <w:proofErr w:type="spellEnd"/>
      <w:r>
        <w:rPr>
          <w:rFonts w:ascii="Times New Roman" w:hAnsi="Times New Roman" w:cs="Times New Roman"/>
          <w:lang w:val="lt-LT"/>
        </w:rPr>
        <w:t xml:space="preserve"> navikas (</w:t>
      </w:r>
      <w:proofErr w:type="spellStart"/>
      <w:r>
        <w:rPr>
          <w:rFonts w:ascii="Times New Roman" w:hAnsi="Times New Roman" w:cs="Times New Roman"/>
          <w:iCs/>
          <w:snapToGrid w:val="0"/>
          <w:lang w:val="lt-LT" w:eastAsia="en-US"/>
        </w:rPr>
        <w:t>ang</w:t>
      </w:r>
      <w:proofErr w:type="spellEnd"/>
      <w:r w:rsidRPr="00B87045">
        <w:rPr>
          <w:rFonts w:ascii="Times New Roman" w:hAnsi="Times New Roman" w:cs="Times New Roman"/>
          <w:iCs/>
          <w:snapToGrid w:val="0"/>
          <w:lang w:val="lt-LT" w:eastAsia="en-US"/>
        </w:rPr>
        <w:t>.</w:t>
      </w:r>
      <w:r w:rsidRPr="00B87045" w:rsidDel="0020661A">
        <w:rPr>
          <w:rFonts w:ascii="Times New Roman" w:hAnsi="Times New Roman" w:cs="Times New Roman"/>
          <w:snapToGrid w:val="0"/>
          <w:lang w:val="lt-LT" w:eastAsia="en-US"/>
        </w:rPr>
        <w:t xml:space="preserve"> </w:t>
      </w:r>
      <w:proofErr w:type="spellStart"/>
      <w:r w:rsidRPr="00B87045">
        <w:rPr>
          <w:rFonts w:ascii="Times New Roman" w:hAnsi="Times New Roman" w:cs="Times New Roman"/>
          <w:bCs/>
          <w:i/>
          <w:snapToGrid w:val="0"/>
          <w:lang w:val="lt-LT" w:eastAsia="en-US"/>
        </w:rPr>
        <w:t>gastrointestinal</w:t>
      </w:r>
      <w:proofErr w:type="spellEnd"/>
      <w:r w:rsidRPr="00B87045">
        <w:rPr>
          <w:rFonts w:ascii="Times New Roman" w:hAnsi="Times New Roman" w:cs="Times New Roman"/>
          <w:bCs/>
          <w:i/>
          <w:snapToGrid w:val="0"/>
          <w:lang w:val="lt-LT" w:eastAsia="en-US"/>
        </w:rPr>
        <w:t xml:space="preserve"> </w:t>
      </w:r>
      <w:proofErr w:type="spellStart"/>
      <w:r w:rsidRPr="00B87045">
        <w:rPr>
          <w:rFonts w:ascii="Times New Roman" w:hAnsi="Times New Roman" w:cs="Times New Roman"/>
          <w:bCs/>
          <w:i/>
          <w:snapToGrid w:val="0"/>
          <w:lang w:val="lt-LT" w:eastAsia="en-US"/>
        </w:rPr>
        <w:t>stromal</w:t>
      </w:r>
      <w:proofErr w:type="spellEnd"/>
      <w:r w:rsidRPr="00B87045">
        <w:rPr>
          <w:rFonts w:ascii="Times New Roman" w:hAnsi="Times New Roman" w:cs="Times New Roman"/>
          <w:bCs/>
          <w:i/>
          <w:snapToGrid w:val="0"/>
          <w:lang w:val="lt-LT" w:eastAsia="en-US"/>
        </w:rPr>
        <w:t xml:space="preserve"> </w:t>
      </w:r>
      <w:proofErr w:type="spellStart"/>
      <w:r w:rsidRPr="00B87045">
        <w:rPr>
          <w:rFonts w:ascii="Times New Roman" w:hAnsi="Times New Roman" w:cs="Times New Roman"/>
          <w:bCs/>
          <w:i/>
          <w:snapToGrid w:val="0"/>
          <w:lang w:val="lt-LT" w:eastAsia="en-US"/>
        </w:rPr>
        <w:t>tumor</w:t>
      </w:r>
      <w:proofErr w:type="spellEnd"/>
      <w:r w:rsidRPr="00B87045">
        <w:rPr>
          <w:rFonts w:ascii="Times New Roman" w:hAnsi="Times New Roman" w:cs="Times New Roman"/>
          <w:bCs/>
          <w:i/>
          <w:snapToGrid w:val="0"/>
          <w:lang w:val="lt-LT" w:eastAsia="en-US"/>
        </w:rPr>
        <w:t xml:space="preserve">, </w:t>
      </w:r>
      <w:r w:rsidRPr="00B87045">
        <w:rPr>
          <w:rFonts w:ascii="Times New Roman" w:hAnsi="Times New Roman" w:cs="Times New Roman"/>
          <w:snapToGrid w:val="0"/>
          <w:lang w:val="lt-LT" w:eastAsia="en-US"/>
        </w:rPr>
        <w:t>GIST</w:t>
      </w:r>
      <w:r>
        <w:rPr>
          <w:rFonts w:ascii="Times New Roman" w:hAnsi="Times New Roman" w:cs="Times New Roman"/>
          <w:lang w:val="lt-LT"/>
        </w:rPr>
        <w:t xml:space="preserve">), gydyti; </w:t>
      </w:r>
    </w:p>
    <w:p w:rsidR="00634910" w:rsidRDefault="00634910" w:rsidP="00634910">
      <w:pPr>
        <w:numPr>
          <w:ilvl w:val="0"/>
          <w:numId w:val="2"/>
        </w:numPr>
        <w:spacing w:after="0" w:line="240" w:lineRule="auto"/>
        <w:ind w:left="426" w:hanging="426"/>
        <w:rPr>
          <w:rFonts w:ascii="Times New Roman" w:hAnsi="Times New Roman" w:cs="Times New Roman"/>
          <w:lang w:val="lt-LT"/>
        </w:rPr>
      </w:pPr>
      <w:proofErr w:type="spellStart"/>
      <w:r>
        <w:rPr>
          <w:rFonts w:ascii="Times New Roman" w:hAnsi="Times New Roman" w:cs="Times New Roman"/>
          <w:lang w:val="lt-LT"/>
        </w:rPr>
        <w:t>adjuvantiniam</w:t>
      </w:r>
      <w:proofErr w:type="spellEnd"/>
      <w:r>
        <w:rPr>
          <w:rFonts w:ascii="Times New Roman" w:hAnsi="Times New Roman" w:cs="Times New Roman"/>
          <w:lang w:val="lt-LT"/>
        </w:rPr>
        <w:t xml:space="preserve"> suaugusiųjų, kuriems po atliktos </w:t>
      </w:r>
      <w:proofErr w:type="spellStart"/>
      <w:r>
        <w:rPr>
          <w:rFonts w:ascii="Times New Roman" w:hAnsi="Times New Roman" w:cs="Times New Roman"/>
          <w:lang w:val="lt-LT"/>
        </w:rPr>
        <w:t>Kit</w:t>
      </w:r>
      <w:proofErr w:type="spellEnd"/>
      <w:r>
        <w:rPr>
          <w:rFonts w:ascii="Times New Roman" w:hAnsi="Times New Roman" w:cs="Times New Roman"/>
          <w:lang w:val="lt-LT"/>
        </w:rPr>
        <w:t xml:space="preserve"> (CD 117) teigiamo GIST </w:t>
      </w:r>
      <w:proofErr w:type="spellStart"/>
      <w:r>
        <w:rPr>
          <w:rFonts w:ascii="Times New Roman" w:hAnsi="Times New Roman" w:cs="Times New Roman"/>
          <w:lang w:val="lt-LT"/>
        </w:rPr>
        <w:t>rezekcijos</w:t>
      </w:r>
      <w:proofErr w:type="spellEnd"/>
      <w:r>
        <w:rPr>
          <w:rFonts w:ascii="Times New Roman" w:hAnsi="Times New Roman" w:cs="Times New Roman"/>
          <w:lang w:val="lt-LT"/>
        </w:rPr>
        <w:t xml:space="preserve"> yra </w:t>
      </w:r>
    </w:p>
    <w:p w:rsidR="00634910" w:rsidRDefault="00634910" w:rsidP="00634910">
      <w:pPr>
        <w:spacing w:after="0" w:line="240" w:lineRule="auto"/>
        <w:ind w:left="426"/>
        <w:rPr>
          <w:rFonts w:ascii="Times New Roman" w:hAnsi="Times New Roman" w:cs="Times New Roman"/>
          <w:lang w:val="lt-LT"/>
        </w:rPr>
      </w:pPr>
      <w:r>
        <w:rPr>
          <w:rFonts w:ascii="Times New Roman" w:hAnsi="Times New Roman" w:cs="Times New Roman"/>
          <w:lang w:val="lt-LT"/>
        </w:rPr>
        <w:t xml:space="preserve">reikšmingai padidėjusi recidyvo rizika, gydymui. Pacientams, kuriems yra maža ar labai maža recidyvo rizika, </w:t>
      </w:r>
      <w:r w:rsidRPr="006902F7">
        <w:rPr>
          <w:rFonts w:ascii="Times New Roman" w:hAnsi="Times New Roman" w:cs="Times New Roman"/>
          <w:snapToGrid w:val="0"/>
          <w:lang w:val="lt-LT" w:eastAsia="en-US"/>
        </w:rPr>
        <w:t xml:space="preserve">neturi būti skiriamas </w:t>
      </w:r>
      <w:proofErr w:type="spellStart"/>
      <w:r w:rsidRPr="006902F7">
        <w:rPr>
          <w:rFonts w:ascii="Times New Roman" w:hAnsi="Times New Roman" w:cs="Times New Roman"/>
          <w:snapToGrid w:val="0"/>
          <w:lang w:val="lt-LT" w:eastAsia="en-US"/>
        </w:rPr>
        <w:t>adjuvantinis</w:t>
      </w:r>
      <w:proofErr w:type="spellEnd"/>
      <w:r w:rsidRPr="006902F7">
        <w:rPr>
          <w:rFonts w:ascii="Times New Roman" w:hAnsi="Times New Roman" w:cs="Times New Roman"/>
          <w:snapToGrid w:val="0"/>
          <w:lang w:val="lt-LT" w:eastAsia="en-US"/>
        </w:rPr>
        <w:t xml:space="preserve"> gydymas</w:t>
      </w:r>
      <w:r>
        <w:rPr>
          <w:rFonts w:ascii="Times New Roman" w:hAnsi="Times New Roman" w:cs="Times New Roman"/>
          <w:snapToGrid w:val="0"/>
          <w:lang w:val="lt-LT" w:eastAsia="en-US"/>
        </w:rPr>
        <w:t xml:space="preserve">; </w:t>
      </w:r>
      <w:r>
        <w:rPr>
          <w:rFonts w:ascii="Times New Roman" w:hAnsi="Times New Roman" w:cs="Times New Roman"/>
          <w:lang w:val="lt-LT"/>
        </w:rPr>
        <w:t xml:space="preserve"> </w:t>
      </w:r>
    </w:p>
    <w:p w:rsidR="00634910" w:rsidRDefault="00634910" w:rsidP="00634910">
      <w:pPr>
        <w:numPr>
          <w:ilvl w:val="0"/>
          <w:numId w:val="2"/>
        </w:numPr>
        <w:spacing w:after="0" w:line="240" w:lineRule="auto"/>
        <w:ind w:left="426" w:hanging="426"/>
        <w:rPr>
          <w:rFonts w:ascii="Times New Roman" w:hAnsi="Times New Roman" w:cs="Times New Roman"/>
          <w:lang w:val="lt-LT"/>
        </w:rPr>
      </w:pPr>
      <w:r>
        <w:rPr>
          <w:rFonts w:ascii="Times New Roman" w:hAnsi="Times New Roman" w:cs="Times New Roman"/>
          <w:lang w:val="lt-LT"/>
        </w:rPr>
        <w:t xml:space="preserve">suaugusiesiems, kuriems yra </w:t>
      </w:r>
      <w:proofErr w:type="spellStart"/>
      <w:r>
        <w:rPr>
          <w:rFonts w:ascii="Times New Roman" w:hAnsi="Times New Roman" w:cs="Times New Roman"/>
          <w:lang w:val="lt-LT"/>
        </w:rPr>
        <w:t>nerezekuotina</w:t>
      </w:r>
      <w:proofErr w:type="spellEnd"/>
      <w:r>
        <w:rPr>
          <w:rFonts w:ascii="Times New Roman" w:hAnsi="Times New Roman" w:cs="Times New Roman"/>
          <w:lang w:val="lt-LT"/>
        </w:rPr>
        <w:t xml:space="preserve"> iškilioji </w:t>
      </w:r>
      <w:proofErr w:type="spellStart"/>
      <w:r>
        <w:rPr>
          <w:rFonts w:ascii="Times New Roman" w:hAnsi="Times New Roman" w:cs="Times New Roman"/>
          <w:lang w:val="lt-LT"/>
        </w:rPr>
        <w:t>dermatofibrosarkoma</w:t>
      </w:r>
      <w:proofErr w:type="spellEnd"/>
      <w:r>
        <w:rPr>
          <w:rFonts w:ascii="Times New Roman" w:hAnsi="Times New Roman" w:cs="Times New Roman"/>
          <w:lang w:val="lt-LT"/>
        </w:rPr>
        <w:t xml:space="preserve"> </w:t>
      </w:r>
    </w:p>
    <w:p w:rsidR="00634910" w:rsidRDefault="00634910" w:rsidP="00634910">
      <w:pPr>
        <w:spacing w:after="0" w:line="240" w:lineRule="auto"/>
        <w:ind w:left="426"/>
        <w:rPr>
          <w:rFonts w:ascii="Times New Roman" w:hAnsi="Times New Roman" w:cs="Times New Roman"/>
          <w:lang w:val="lt-LT"/>
        </w:rPr>
      </w:pPr>
      <w:r>
        <w:rPr>
          <w:rFonts w:ascii="Times New Roman" w:hAnsi="Times New Roman" w:cs="Times New Roman"/>
          <w:lang w:val="lt-LT"/>
        </w:rPr>
        <w:t>(</w:t>
      </w:r>
      <w:proofErr w:type="spellStart"/>
      <w:r>
        <w:rPr>
          <w:rFonts w:ascii="Times New Roman" w:hAnsi="Times New Roman" w:cs="Times New Roman"/>
          <w:i/>
          <w:lang w:val="lt-LT"/>
        </w:rPr>
        <w:t>dermatofibrosarcoma</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protuberans</w:t>
      </w:r>
      <w:proofErr w:type="spellEnd"/>
      <w:r>
        <w:rPr>
          <w:rFonts w:ascii="Times New Roman" w:hAnsi="Times New Roman" w:cs="Times New Roman"/>
          <w:lang w:val="lt-LT"/>
        </w:rPr>
        <w:t xml:space="preserve"> - DFSP) ar, kuriems yra pasikartojanti ir (ar) </w:t>
      </w:r>
      <w:proofErr w:type="spellStart"/>
      <w:r>
        <w:rPr>
          <w:rFonts w:ascii="Times New Roman" w:hAnsi="Times New Roman" w:cs="Times New Roman"/>
          <w:lang w:val="lt-LT"/>
        </w:rPr>
        <w:t>metastazinė</w:t>
      </w:r>
      <w:proofErr w:type="spellEnd"/>
      <w:r>
        <w:rPr>
          <w:rFonts w:ascii="Times New Roman" w:hAnsi="Times New Roman" w:cs="Times New Roman"/>
          <w:lang w:val="lt-LT"/>
        </w:rPr>
        <w:t xml:space="preserve"> DFSP ir kurių negalima operuoti.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veiksmingumas vaikams, paaugliams ir suaugusiems pacientams pagrįstas bendruoju hematologinio ir citogenetinio atsako dažniu ir </w:t>
      </w:r>
      <w:r w:rsidRPr="00CB232C">
        <w:rPr>
          <w:rFonts w:ascii="Times New Roman" w:hAnsi="Times New Roman" w:cs="Times New Roman"/>
          <w:snapToGrid w:val="0"/>
          <w:lang w:val="lt-LT" w:eastAsia="en-US"/>
        </w:rPr>
        <w:t>gyven</w:t>
      </w:r>
      <w:r>
        <w:rPr>
          <w:rFonts w:ascii="Times New Roman" w:hAnsi="Times New Roman" w:cs="Times New Roman"/>
          <w:snapToGrid w:val="0"/>
          <w:lang w:val="lt-LT" w:eastAsia="en-US"/>
        </w:rPr>
        <w:t>imo</w:t>
      </w:r>
      <w:r w:rsidRPr="00CB232C">
        <w:rPr>
          <w:rFonts w:ascii="Times New Roman" w:hAnsi="Times New Roman" w:cs="Times New Roman"/>
          <w:snapToGrid w:val="0"/>
          <w:lang w:val="lt-LT" w:eastAsia="en-US"/>
        </w:rPr>
        <w:t xml:space="preserve"> trukme </w:t>
      </w:r>
      <w:r>
        <w:rPr>
          <w:rFonts w:ascii="Times New Roman" w:hAnsi="Times New Roman" w:cs="Times New Roman"/>
          <w:snapToGrid w:val="0"/>
          <w:lang w:val="lt-LT" w:eastAsia="en-US"/>
        </w:rPr>
        <w:t>ligai</w:t>
      </w:r>
      <w:r w:rsidRPr="00CB232C">
        <w:rPr>
          <w:rFonts w:ascii="Times New Roman" w:hAnsi="Times New Roman" w:cs="Times New Roman"/>
          <w:snapToGrid w:val="0"/>
          <w:lang w:val="lt-LT" w:eastAsia="en-US"/>
        </w:rPr>
        <w:t xml:space="preserve"> neprogresuojant</w:t>
      </w:r>
      <w:r>
        <w:rPr>
          <w:rFonts w:ascii="Times New Roman" w:hAnsi="Times New Roman" w:cs="Times New Roman"/>
          <w:snapToGrid w:val="0"/>
          <w:lang w:val="lt-LT" w:eastAsia="en-US"/>
        </w:rPr>
        <w:t xml:space="preserve">, </w:t>
      </w:r>
      <w:r>
        <w:rPr>
          <w:rFonts w:ascii="Times New Roman" w:hAnsi="Times New Roman" w:cs="Times New Roman"/>
          <w:lang w:val="lt-LT"/>
        </w:rPr>
        <w:t xml:space="preserve">sergant LML, hematologinio ir citogenetinio atsako dažniu, sergant </w:t>
      </w:r>
      <w:proofErr w:type="spellStart"/>
      <w:r w:rsidRPr="00132FED">
        <w:rPr>
          <w:rFonts w:ascii="Times New Roman" w:hAnsi="Times New Roman" w:cs="Times New Roman"/>
          <w:i/>
          <w:lang w:val="lt-LT"/>
        </w:rPr>
        <w:t>Ph</w:t>
      </w:r>
      <w:proofErr w:type="spellEnd"/>
      <w:r w:rsidRPr="00132FED">
        <w:rPr>
          <w:rFonts w:ascii="Times New Roman" w:hAnsi="Times New Roman" w:cs="Times New Roman"/>
          <w:i/>
          <w:lang w:val="lt-LT"/>
        </w:rPr>
        <w:t>+</w:t>
      </w:r>
      <w:r>
        <w:rPr>
          <w:rFonts w:ascii="Times New Roman" w:hAnsi="Times New Roman" w:cs="Times New Roman"/>
          <w:lang w:val="lt-LT"/>
        </w:rPr>
        <w:t xml:space="preserve"> ŪLL, MDS/MPL, hematologinio atsako dažniu, sergant HES/LEL, o taip pat </w:t>
      </w:r>
      <w:r w:rsidRPr="00CB232C">
        <w:rPr>
          <w:rFonts w:ascii="Times New Roman" w:hAnsi="Times New Roman" w:cs="Times New Roman"/>
          <w:snapToGrid w:val="0"/>
          <w:lang w:val="lt-LT" w:eastAsia="en-US"/>
        </w:rPr>
        <w:t>suaugusių</w:t>
      </w:r>
      <w:r>
        <w:rPr>
          <w:rFonts w:ascii="Times New Roman" w:hAnsi="Times New Roman" w:cs="Times New Roman"/>
          <w:snapToGrid w:val="0"/>
          <w:lang w:val="lt-LT" w:eastAsia="en-US"/>
        </w:rPr>
        <w:t xml:space="preserve"> pacientų</w:t>
      </w:r>
      <w:r w:rsidRPr="00CB232C">
        <w:rPr>
          <w:rFonts w:ascii="Times New Roman" w:hAnsi="Times New Roman" w:cs="Times New Roman"/>
          <w:snapToGrid w:val="0"/>
          <w:lang w:val="lt-LT" w:eastAsia="en-US"/>
        </w:rPr>
        <w:t>,</w:t>
      </w:r>
      <w:r>
        <w:rPr>
          <w:rFonts w:ascii="Times New Roman" w:hAnsi="Times New Roman" w:cs="Times New Roman"/>
          <w:snapToGrid w:val="0"/>
          <w:lang w:val="lt-LT" w:eastAsia="en-US"/>
        </w:rPr>
        <w:t xml:space="preserve"> sergančių </w:t>
      </w:r>
      <w:proofErr w:type="spellStart"/>
      <w:r>
        <w:rPr>
          <w:rFonts w:ascii="Times New Roman" w:hAnsi="Times New Roman" w:cs="Times New Roman"/>
          <w:snapToGrid w:val="0"/>
          <w:lang w:val="lt-LT" w:eastAsia="en-US"/>
        </w:rPr>
        <w:t>nerezekuotinu</w:t>
      </w:r>
      <w:proofErr w:type="spellEnd"/>
      <w:r>
        <w:rPr>
          <w:rFonts w:ascii="Times New Roman" w:hAnsi="Times New Roman" w:cs="Times New Roman"/>
          <w:snapToGrid w:val="0"/>
          <w:lang w:val="lt-LT" w:eastAsia="en-US"/>
        </w:rPr>
        <w:t xml:space="preserve"> ir (ar</w:t>
      </w:r>
      <w:r w:rsidRPr="00CB232C">
        <w:rPr>
          <w:rFonts w:ascii="Times New Roman" w:hAnsi="Times New Roman" w:cs="Times New Roman"/>
          <w:snapToGrid w:val="0"/>
          <w:lang w:val="lt-LT" w:eastAsia="en-US"/>
        </w:rPr>
        <w:t xml:space="preserve">) </w:t>
      </w:r>
      <w:proofErr w:type="spellStart"/>
      <w:r w:rsidRPr="00CB232C">
        <w:rPr>
          <w:rFonts w:ascii="Times New Roman" w:hAnsi="Times New Roman" w:cs="Times New Roman"/>
          <w:snapToGrid w:val="0"/>
          <w:lang w:val="lt-LT" w:eastAsia="en-US"/>
        </w:rPr>
        <w:t>metastaziniu</w:t>
      </w:r>
      <w:proofErr w:type="spellEnd"/>
      <w:r w:rsidRPr="00CB232C">
        <w:rPr>
          <w:rFonts w:ascii="Times New Roman" w:hAnsi="Times New Roman" w:cs="Times New Roman"/>
          <w:snapToGrid w:val="0"/>
          <w:lang w:val="lt-LT" w:eastAsia="en-US"/>
        </w:rPr>
        <w:t xml:space="preserve"> GIST bei DFSP</w:t>
      </w:r>
      <w:r>
        <w:rPr>
          <w:rFonts w:ascii="Times New Roman" w:hAnsi="Times New Roman" w:cs="Times New Roman"/>
          <w:snapToGrid w:val="0"/>
          <w:lang w:val="lt-LT" w:eastAsia="en-US"/>
        </w:rPr>
        <w:t>,</w:t>
      </w:r>
      <w:r w:rsidRPr="00CB232C">
        <w:rPr>
          <w:rFonts w:ascii="Times New Roman" w:hAnsi="Times New Roman" w:cs="Times New Roman"/>
          <w:snapToGrid w:val="0"/>
          <w:lang w:val="lt-LT" w:eastAsia="en-US"/>
        </w:rPr>
        <w:t xml:space="preserve"> objektyviu atsako dažniu, taip pat remiantis </w:t>
      </w:r>
      <w:r>
        <w:rPr>
          <w:rFonts w:ascii="Times New Roman" w:hAnsi="Times New Roman" w:cs="Times New Roman"/>
          <w:snapToGrid w:val="0"/>
          <w:lang w:val="lt-LT" w:eastAsia="en-US"/>
        </w:rPr>
        <w:t>g</w:t>
      </w:r>
      <w:r w:rsidRPr="00CB232C">
        <w:rPr>
          <w:rFonts w:ascii="Times New Roman" w:hAnsi="Times New Roman" w:cs="Times New Roman"/>
          <w:snapToGrid w:val="0"/>
          <w:lang w:val="lt-LT" w:eastAsia="en-US"/>
        </w:rPr>
        <w:t>yven</w:t>
      </w:r>
      <w:r>
        <w:rPr>
          <w:rFonts w:ascii="Times New Roman" w:hAnsi="Times New Roman" w:cs="Times New Roman"/>
          <w:snapToGrid w:val="0"/>
          <w:lang w:val="lt-LT" w:eastAsia="en-US"/>
        </w:rPr>
        <w:t>imo</w:t>
      </w:r>
      <w:r w:rsidRPr="00CB232C">
        <w:rPr>
          <w:rFonts w:ascii="Times New Roman" w:hAnsi="Times New Roman" w:cs="Times New Roman"/>
          <w:snapToGrid w:val="0"/>
          <w:lang w:val="lt-LT" w:eastAsia="en-US"/>
        </w:rPr>
        <w:t xml:space="preserve"> be ligos </w:t>
      </w:r>
      <w:r>
        <w:rPr>
          <w:rFonts w:ascii="Times New Roman" w:hAnsi="Times New Roman" w:cs="Times New Roman"/>
          <w:snapToGrid w:val="0"/>
          <w:lang w:val="lt-LT" w:eastAsia="en-US"/>
        </w:rPr>
        <w:t>recidyvo trukme</w:t>
      </w:r>
      <w:r w:rsidRPr="00CB232C">
        <w:rPr>
          <w:rFonts w:ascii="Times New Roman" w:hAnsi="Times New Roman" w:cs="Times New Roman"/>
          <w:snapToGrid w:val="0"/>
          <w:lang w:val="lt-LT" w:eastAsia="en-US"/>
        </w:rPr>
        <w:t xml:space="preserve">, taikant </w:t>
      </w:r>
      <w:proofErr w:type="spellStart"/>
      <w:r w:rsidRPr="00CB232C">
        <w:rPr>
          <w:rFonts w:ascii="Times New Roman" w:hAnsi="Times New Roman" w:cs="Times New Roman"/>
          <w:snapToGrid w:val="0"/>
          <w:lang w:val="lt-LT" w:eastAsia="en-US"/>
        </w:rPr>
        <w:t>adjuvantinį</w:t>
      </w:r>
      <w:proofErr w:type="spellEnd"/>
      <w:r w:rsidRPr="00CB232C">
        <w:rPr>
          <w:rFonts w:ascii="Times New Roman" w:hAnsi="Times New Roman" w:cs="Times New Roman"/>
          <w:snapToGrid w:val="0"/>
          <w:lang w:val="lt-LT" w:eastAsia="en-US"/>
        </w:rPr>
        <w:t xml:space="preserve"> GIST gydymą. Pacientų, sergančių MDS ar MPL, susijusių su PDGFR geno pakitimais, gydymo </w:t>
      </w:r>
      <w:proofErr w:type="spellStart"/>
      <w:r w:rsidRPr="00CB232C">
        <w:rPr>
          <w:rFonts w:ascii="Times New Roman" w:hAnsi="Times New Roman" w:cs="Times New Roman"/>
          <w:snapToGrid w:val="0"/>
          <w:lang w:val="lt-LT" w:eastAsia="en-US"/>
        </w:rPr>
        <w:t>imatinibu</w:t>
      </w:r>
      <w:proofErr w:type="spellEnd"/>
      <w:r w:rsidRPr="00CB232C">
        <w:rPr>
          <w:rFonts w:ascii="Times New Roman" w:hAnsi="Times New Roman" w:cs="Times New Roman"/>
          <w:snapToGrid w:val="0"/>
          <w:lang w:val="lt-LT" w:eastAsia="en-US"/>
        </w:rPr>
        <w:t xml:space="preserve"> patirtis yra labai maža (žr. 5.1 skyrių).</w:t>
      </w:r>
      <w:r>
        <w:rPr>
          <w:rFonts w:ascii="Times New Roman" w:hAnsi="Times New Roman" w:cs="Times New Roman"/>
          <w:snapToGrid w:val="0"/>
          <w:lang w:val="lt-LT" w:eastAsia="en-US"/>
        </w:rPr>
        <w:t xml:space="preserve"> </w:t>
      </w:r>
      <w:r>
        <w:rPr>
          <w:rFonts w:ascii="Times New Roman" w:hAnsi="Times New Roman" w:cs="Times New Roman"/>
          <w:lang w:val="lt-LT"/>
        </w:rPr>
        <w:t xml:space="preserve">Kontroliuojamų tyrimų, kurie rodytų klinikinę naudą arba </w:t>
      </w:r>
      <w:r w:rsidRPr="00E319A1">
        <w:rPr>
          <w:rFonts w:ascii="Times New Roman" w:hAnsi="Times New Roman" w:cs="Times New Roman"/>
          <w:lang w:val="lt-LT"/>
        </w:rPr>
        <w:t>pailgėjusią gyvenimo trukmę</w:t>
      </w:r>
      <w:r>
        <w:rPr>
          <w:rFonts w:ascii="Times New Roman" w:hAnsi="Times New Roman" w:cs="Times New Roman"/>
          <w:lang w:val="lt-LT"/>
        </w:rPr>
        <w:t xml:space="preserve"> sergant šiomis ligomis, nėra.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bCs/>
          <w:lang w:val="lt-LT"/>
        </w:rPr>
      </w:pPr>
      <w:r>
        <w:rPr>
          <w:rFonts w:ascii="Times New Roman" w:hAnsi="Times New Roman" w:cs="Times New Roman"/>
          <w:b/>
          <w:bCs/>
          <w:lang w:val="lt-LT"/>
        </w:rPr>
        <w:t>4.2</w:t>
      </w:r>
      <w:r>
        <w:rPr>
          <w:rFonts w:ascii="Times New Roman" w:hAnsi="Times New Roman" w:cs="Times New Roman"/>
          <w:b/>
          <w:bCs/>
          <w:lang w:val="lt-LT"/>
        </w:rPr>
        <w:tab/>
        <w:t>Dozavimas ir vartojimo metodas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Dozavimas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Gydymą pradėti gali tik gydytojas, turintis pacientų, sergančių atitinkamai piktybinėmis kraujo ligomis ar piktybinėmis sarkomomis, gydymo patirties.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eastAsia="en-US"/>
        </w:rPr>
      </w:pPr>
      <w:r>
        <w:rPr>
          <w:rFonts w:ascii="Times New Roman" w:hAnsi="Times New Roman" w:cs="Times New Roman"/>
          <w:lang w:val="lt-LT" w:eastAsia="en-US"/>
        </w:rPr>
        <w:t>Skiriant 400 mg ar didesnes dozes (žr. toliau esančias dozavimo rekomendacijas), tiekiamos 400 mg tabletės (tabletė gali būti dalijama).</w:t>
      </w:r>
    </w:p>
    <w:p w:rsidR="00634910" w:rsidRDefault="00634910" w:rsidP="00634910">
      <w:pPr>
        <w:spacing w:after="0" w:line="240" w:lineRule="auto"/>
        <w:rPr>
          <w:rFonts w:ascii="Times New Roman" w:hAnsi="Times New Roman" w:cs="Times New Roman"/>
          <w:lang w:val="lt-LT" w:eastAsia="en-US"/>
        </w:rPr>
      </w:pPr>
      <w:r w:rsidRPr="00AC7429">
        <w:rPr>
          <w:rFonts w:ascii="Times New Roman" w:hAnsi="Times New Roman" w:cs="Times New Roman"/>
          <w:lang w:val="lt-LT" w:eastAsia="en-US"/>
        </w:rPr>
        <w:t>Kitokias kaip 400 mg ir 800 mg dozes (žr. toliau esančias dozavimo rekomendacijas) galima skirti tiekiamomis 100 mg tabletėmis (tabletes galima dalinti).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Dozavimas suaugusiems pacientams, kuriems diagnozuota LML</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Rekomenduojama </w:t>
      </w: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dozė suaugusiems pacientams, kuriems pasireiškia </w:t>
      </w:r>
      <w:proofErr w:type="spellStart"/>
      <w:r>
        <w:rPr>
          <w:rFonts w:ascii="Times New Roman" w:hAnsi="Times New Roman" w:cs="Times New Roman"/>
          <w:lang w:val="lt-LT"/>
        </w:rPr>
        <w:t>blastinė</w:t>
      </w:r>
      <w:proofErr w:type="spellEnd"/>
      <w:r>
        <w:rPr>
          <w:rFonts w:ascii="Times New Roman" w:hAnsi="Times New Roman" w:cs="Times New Roman"/>
          <w:lang w:val="lt-LT"/>
        </w:rPr>
        <w:t xml:space="preserve"> krizė, yra 600 mg per parą. Blatinė krizė yra diagnozuojama, kai </w:t>
      </w:r>
      <w:proofErr w:type="spellStart"/>
      <w:r>
        <w:rPr>
          <w:rFonts w:ascii="Times New Roman" w:hAnsi="Times New Roman" w:cs="Times New Roman"/>
          <w:lang w:val="lt-LT"/>
        </w:rPr>
        <w:t>blastų</w:t>
      </w:r>
      <w:proofErr w:type="spellEnd"/>
      <w:r>
        <w:rPr>
          <w:rFonts w:ascii="Times New Roman" w:hAnsi="Times New Roman" w:cs="Times New Roman"/>
          <w:lang w:val="lt-LT"/>
        </w:rPr>
        <w:t xml:space="preserve"> kiekis kraujyje ar kaulų čiulpuose yra ≥ 30 % arba pacientas serga kitokia nei </w:t>
      </w:r>
      <w:proofErr w:type="spellStart"/>
      <w:r>
        <w:rPr>
          <w:rFonts w:ascii="Times New Roman" w:hAnsi="Times New Roman" w:cs="Times New Roman"/>
          <w:lang w:val="lt-LT"/>
        </w:rPr>
        <w:t>hepatosplenomegalija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ekstrameduline</w:t>
      </w:r>
      <w:proofErr w:type="spellEnd"/>
      <w:r>
        <w:rPr>
          <w:rFonts w:ascii="Times New Roman" w:hAnsi="Times New Roman" w:cs="Times New Roman"/>
          <w:lang w:val="lt-LT"/>
        </w:rPr>
        <w:t xml:space="preserve"> liga.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Gydymo trukmė: Klinikinių tyrimų duomenimis, </w:t>
      </w: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vartojimas buvo tęstas tol, kol liga pradėjo progresuoti. Poveikis nutraukus gydymą po to, kai buvo pasiektas visiškas citogenetinis atsakas, netirtas.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Pacientams dozę galima apgalvotai padidinti nuo 600 mg iki didžiausios 800 mg dozės (skiriant vartoti po 400 mg du kartus per parą), kai yra </w:t>
      </w:r>
      <w:proofErr w:type="spellStart"/>
      <w:r>
        <w:rPr>
          <w:rFonts w:ascii="Times New Roman" w:hAnsi="Times New Roman" w:cs="Times New Roman"/>
          <w:lang w:val="lt-LT"/>
        </w:rPr>
        <w:t>blastinė</w:t>
      </w:r>
      <w:proofErr w:type="spellEnd"/>
      <w:r>
        <w:rPr>
          <w:rFonts w:ascii="Times New Roman" w:hAnsi="Times New Roman" w:cs="Times New Roman"/>
          <w:lang w:val="lt-LT"/>
        </w:rPr>
        <w:t xml:space="preserve"> krizė ir nėra sunkių nepageidaujamų vaisto reakcijų ar sunkios su leukemija susijusios </w:t>
      </w:r>
      <w:proofErr w:type="spellStart"/>
      <w:r>
        <w:rPr>
          <w:rFonts w:ascii="Times New Roman" w:hAnsi="Times New Roman" w:cs="Times New Roman"/>
          <w:lang w:val="lt-LT"/>
        </w:rPr>
        <w:t>neutropenijos</w:t>
      </w:r>
      <w:proofErr w:type="spellEnd"/>
      <w:r>
        <w:rPr>
          <w:rFonts w:ascii="Times New Roman" w:hAnsi="Times New Roman" w:cs="Times New Roman"/>
          <w:lang w:val="lt-LT"/>
        </w:rPr>
        <w:t xml:space="preserve"> ar </w:t>
      </w:r>
      <w:proofErr w:type="spellStart"/>
      <w:r>
        <w:rPr>
          <w:rFonts w:ascii="Times New Roman" w:hAnsi="Times New Roman" w:cs="Times New Roman"/>
          <w:lang w:val="lt-LT"/>
        </w:rPr>
        <w:t>trombocitopenijos</w:t>
      </w:r>
      <w:proofErr w:type="spellEnd"/>
      <w:r>
        <w:rPr>
          <w:rFonts w:ascii="Times New Roman" w:hAnsi="Times New Roman" w:cs="Times New Roman"/>
          <w:lang w:val="lt-LT"/>
        </w:rPr>
        <w:t xml:space="preserve">, kai yra tokių aplinkybių: liga progresuoja (bet kuriuo laiku), nepasiekus reikiamo hematologinio atsako per ne trumpesnį kaip 3 mėnesių gydymo laikotarpį, </w:t>
      </w:r>
      <w:r>
        <w:rPr>
          <w:rFonts w:ascii="Times New Roman" w:hAnsi="Times New Roman" w:cs="Times New Roman"/>
          <w:lang w:val="lt-LT"/>
        </w:rPr>
        <w:lastRenderedPageBreak/>
        <w:t>nepasiekus citogenetinio atsako po 12 mėnesių gydymo arba išnykus buvusiam hematologiniam ir (arba) citogenetiniam atsakui. Padidinus dozę, pacientus reikia atidžiai stebėti dėl galimų nepageidaujamų reakcijų vartojant didesnes dozes.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Dozavimas vaikams, kuriems diagnozuota LML</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Dozę vaikams reikia apskaičiuoti pagal kūno paviršiaus plotą (mg/m</w:t>
      </w:r>
      <w:r>
        <w:rPr>
          <w:rFonts w:ascii="Times New Roman" w:hAnsi="Times New Roman" w:cs="Times New Roman"/>
          <w:vertAlign w:val="superscript"/>
          <w:lang w:val="lt-LT"/>
        </w:rPr>
        <w:t>2</w:t>
      </w:r>
      <w:r>
        <w:rPr>
          <w:rFonts w:ascii="Times New Roman" w:hAnsi="Times New Roman" w:cs="Times New Roman"/>
          <w:lang w:val="lt-LT"/>
        </w:rPr>
        <w:t>). Vaikams, kuriems yra diagnozuota LML lėtinė fazė arba progresavusi LML, rekomenduojama vartoti 340 mg/m</w:t>
      </w:r>
      <w:r>
        <w:rPr>
          <w:rFonts w:ascii="Times New Roman" w:hAnsi="Times New Roman" w:cs="Times New Roman"/>
          <w:vertAlign w:val="superscript"/>
          <w:lang w:val="lt-LT"/>
        </w:rPr>
        <w:t>2</w:t>
      </w:r>
      <w:r>
        <w:rPr>
          <w:rFonts w:ascii="Times New Roman" w:hAnsi="Times New Roman" w:cs="Times New Roman"/>
          <w:lang w:val="lt-LT"/>
        </w:rPr>
        <w:t xml:space="preserve"> dozę per parą (negalima vartoti didesnės kaip 800 mg bendros dozės). Galima skirti vienkartinę vaistinio preparato paros dozę arba paros dozę galima dalyti į dvi dalis ir vieną dozę išgerti ryte, kitą – vakare. Dabartinės dozavimo rekomendacijos pagrįstos nedidelio skaičiaus vaikų gydymo patirtimi (žr. 5.1 ir 5.2 skyrius).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Jaunesnių kaip 2 metų kūdikių gydymo patirties nėra.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Vaikams, kuriems neatsiranda sunkios reakcijos į vaistinį preparatą arba sunkių su leukemija nesusijusių </w:t>
      </w:r>
      <w:proofErr w:type="spellStart"/>
      <w:r>
        <w:rPr>
          <w:rFonts w:ascii="Times New Roman" w:hAnsi="Times New Roman" w:cs="Times New Roman"/>
          <w:lang w:val="lt-LT"/>
        </w:rPr>
        <w:t>neutropenijos</w:t>
      </w:r>
      <w:proofErr w:type="spellEnd"/>
      <w:r>
        <w:rPr>
          <w:rFonts w:ascii="Times New Roman" w:hAnsi="Times New Roman" w:cs="Times New Roman"/>
          <w:lang w:val="lt-LT"/>
        </w:rPr>
        <w:t xml:space="preserve"> ar </w:t>
      </w:r>
      <w:proofErr w:type="spellStart"/>
      <w:r>
        <w:rPr>
          <w:rFonts w:ascii="Times New Roman" w:hAnsi="Times New Roman" w:cs="Times New Roman"/>
          <w:lang w:val="lt-LT"/>
        </w:rPr>
        <w:t>trombocitopenijos</w:t>
      </w:r>
      <w:proofErr w:type="spellEnd"/>
      <w:r>
        <w:rPr>
          <w:rFonts w:ascii="Times New Roman" w:hAnsi="Times New Roman" w:cs="Times New Roman"/>
          <w:lang w:val="lt-LT"/>
        </w:rPr>
        <w:t>, dozę galima padidinti nuo 340 mg/m</w:t>
      </w:r>
      <w:r>
        <w:rPr>
          <w:rFonts w:ascii="Times New Roman" w:hAnsi="Times New Roman" w:cs="Times New Roman"/>
          <w:vertAlign w:val="superscript"/>
          <w:lang w:val="lt-LT"/>
        </w:rPr>
        <w:t>2</w:t>
      </w:r>
      <w:r>
        <w:rPr>
          <w:rFonts w:ascii="Times New Roman" w:hAnsi="Times New Roman" w:cs="Times New Roman"/>
          <w:lang w:val="lt-LT"/>
        </w:rPr>
        <w:t xml:space="preserve"> iki 570 mg/m</w:t>
      </w:r>
      <w:r>
        <w:rPr>
          <w:rFonts w:ascii="Times New Roman" w:hAnsi="Times New Roman" w:cs="Times New Roman"/>
          <w:vertAlign w:val="superscript"/>
          <w:lang w:val="lt-LT"/>
        </w:rPr>
        <w:t>2</w:t>
      </w:r>
      <w:r>
        <w:rPr>
          <w:rFonts w:ascii="Times New Roman" w:hAnsi="Times New Roman" w:cs="Times New Roman"/>
          <w:lang w:val="lt-LT"/>
        </w:rPr>
        <w:t xml:space="preserve"> per parą (negalima vartoti didesnės kaip 800 mg bendros dozės), kai yra tokių aplinkybių: liga progresuoja (bet kuriuo laiku), nepasiekus reikiamo hematologinio atsako per ne trumpesnį kaip 3 mėnesių gydymo laikotarpį, nepasiekus citogenetinio atsako po 12 mėnesių gydymo arba išnykus buvusiam hematologiniam ir (arba) citogenetiniam atsakui. Padidinus dozę, pacientus reikia atidžiai stebėti dėl galimų nepageidaujamų reakcijų vartojant didesnes dozes.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Dozavimas, kai yra suaugusiųjų </w:t>
      </w:r>
      <w:proofErr w:type="spellStart"/>
      <w:r w:rsidRPr="00132FED">
        <w:rPr>
          <w:rFonts w:ascii="Times New Roman" w:hAnsi="Times New Roman" w:cs="Times New Roman"/>
          <w:i/>
          <w:u w:val="single"/>
          <w:lang w:val="lt-LT"/>
        </w:rPr>
        <w:t>Ph</w:t>
      </w:r>
      <w:proofErr w:type="spellEnd"/>
      <w:r>
        <w:rPr>
          <w:rFonts w:ascii="Times New Roman" w:hAnsi="Times New Roman" w:cs="Times New Roman"/>
          <w:u w:val="single"/>
          <w:lang w:val="lt-LT"/>
        </w:rPr>
        <w:t xml:space="preserve">+ ŪLL </w:t>
      </w:r>
    </w:p>
    <w:p w:rsidR="00634910" w:rsidRDefault="00634910" w:rsidP="00634910">
      <w:pPr>
        <w:spacing w:after="0" w:line="240" w:lineRule="auto"/>
        <w:rPr>
          <w:rFonts w:ascii="Times New Roman" w:hAnsi="Times New Roman" w:cs="Times New Roman"/>
          <w:lang w:val="lt-LT"/>
        </w:rPr>
      </w:pPr>
      <w:proofErr w:type="spellStart"/>
      <w:r w:rsidRPr="00132FED">
        <w:rPr>
          <w:rFonts w:ascii="Times New Roman" w:hAnsi="Times New Roman" w:cs="Times New Roman"/>
          <w:i/>
          <w:lang w:val="lt-LT"/>
        </w:rPr>
        <w:t>Ph</w:t>
      </w:r>
      <w:proofErr w:type="spellEnd"/>
      <w:r>
        <w:rPr>
          <w:rFonts w:ascii="Times New Roman" w:hAnsi="Times New Roman" w:cs="Times New Roman"/>
          <w:lang w:val="lt-LT"/>
        </w:rPr>
        <w:t xml:space="preserve">+ ŪLL sergantiems suaugusiesiems pacientams rekomenduojama </w:t>
      </w:r>
      <w:proofErr w:type="spellStart"/>
      <w:r>
        <w:rPr>
          <w:rFonts w:ascii="Times New Roman" w:hAnsi="Times New Roman" w:cs="Times New Roman"/>
          <w:lang w:val="lt-LT"/>
        </w:rPr>
        <w:t>Imatinib</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Ranbaxy</w:t>
      </w:r>
      <w:proofErr w:type="spellEnd"/>
      <w:r>
        <w:rPr>
          <w:rFonts w:ascii="Times New Roman" w:hAnsi="Times New Roman" w:cs="Times New Roman"/>
          <w:lang w:val="lt-LT"/>
        </w:rPr>
        <w:t xml:space="preserve"> dozė yra 600 mg per parą. Visų fazių metu gydymui turi vadovauti hematologai, turintys šios ligos gydymo patirties.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Gydymo planas. Pagal turimus duomenis, </w:t>
      </w:r>
      <w:proofErr w:type="spellStart"/>
      <w:r>
        <w:rPr>
          <w:rFonts w:ascii="Times New Roman" w:hAnsi="Times New Roman" w:cs="Times New Roman"/>
          <w:lang w:val="lt-LT"/>
        </w:rPr>
        <w:t>Imatinib</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Ranbaxy</w:t>
      </w:r>
      <w:proofErr w:type="spellEnd"/>
      <w:r>
        <w:rPr>
          <w:rFonts w:ascii="Times New Roman" w:hAnsi="Times New Roman" w:cs="Times New Roman"/>
          <w:lang w:val="lt-LT"/>
        </w:rPr>
        <w:t xml:space="preserve"> 600 mg per parą dozė buvo efektyvi ir saugi kartu su chemoterapiniais preparatais pradinės (indukcinės), dozės didinimo ir palaikomosios chemoterapijos fazės metu (žr. 5.1 skyrių) suaugusiems pacientams, kuriems pirmą kartą diagnozuota </w:t>
      </w:r>
      <w:proofErr w:type="spellStart"/>
      <w:r w:rsidRPr="00132FED">
        <w:rPr>
          <w:rFonts w:ascii="Times New Roman" w:hAnsi="Times New Roman" w:cs="Times New Roman"/>
          <w:i/>
          <w:lang w:val="lt-LT"/>
        </w:rPr>
        <w:t>Ph</w:t>
      </w:r>
      <w:proofErr w:type="spellEnd"/>
      <w:r>
        <w:rPr>
          <w:rFonts w:ascii="Times New Roman" w:hAnsi="Times New Roman" w:cs="Times New Roman"/>
          <w:lang w:val="lt-LT"/>
        </w:rPr>
        <w:t xml:space="preserve">+ ŪLL. Gydymo </w:t>
      </w:r>
      <w:proofErr w:type="spellStart"/>
      <w:r>
        <w:rPr>
          <w:rFonts w:ascii="Times New Roman" w:hAnsi="Times New Roman" w:cs="Times New Roman"/>
          <w:lang w:val="lt-LT"/>
        </w:rPr>
        <w:t>Imatinib</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Ranbaxy</w:t>
      </w:r>
      <w:proofErr w:type="spellEnd"/>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trukmė gali priklausyti nuo pasirinktos gydymo programos, bet dažniausiai ilgiau vartojant </w:t>
      </w:r>
      <w:proofErr w:type="spellStart"/>
      <w:r>
        <w:rPr>
          <w:rFonts w:ascii="Times New Roman" w:hAnsi="Times New Roman" w:cs="Times New Roman"/>
          <w:lang w:val="lt-LT"/>
        </w:rPr>
        <w:t>Imatinib</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Ranbaxy</w:t>
      </w:r>
      <w:proofErr w:type="spellEnd"/>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rezultatai buvo geresni.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Suaugusiesiems pacientams, kuriems yra recidyvas ar gydymui atspari </w:t>
      </w:r>
      <w:proofErr w:type="spellStart"/>
      <w:r w:rsidRPr="00132FED">
        <w:rPr>
          <w:rFonts w:ascii="Times New Roman" w:hAnsi="Times New Roman" w:cs="Times New Roman"/>
          <w:i/>
          <w:lang w:val="lt-LT"/>
        </w:rPr>
        <w:t>Ph</w:t>
      </w:r>
      <w:proofErr w:type="spellEnd"/>
      <w:r>
        <w:rPr>
          <w:rFonts w:ascii="Times New Roman" w:hAnsi="Times New Roman" w:cs="Times New Roman"/>
          <w:lang w:val="lt-LT"/>
        </w:rPr>
        <w:t xml:space="preserve">+ ŪLL, gydymas vien tik </w:t>
      </w:r>
      <w:proofErr w:type="spellStart"/>
      <w:r>
        <w:rPr>
          <w:rFonts w:ascii="Times New Roman" w:hAnsi="Times New Roman" w:cs="Times New Roman"/>
          <w:lang w:val="lt-LT"/>
        </w:rPr>
        <w:t>Imatinib</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Ranbaxy</w:t>
      </w:r>
      <w:proofErr w:type="spellEnd"/>
      <w:r>
        <w:rPr>
          <w:rFonts w:ascii="Times New Roman" w:hAnsi="Times New Roman" w:cs="Times New Roman"/>
          <w:lang w:val="lt-LT"/>
        </w:rPr>
        <w:t xml:space="preserve"> po 600 mg per parą yra saugus, efektyvus ir gali būti skiriamas, kol liga pradės progresuoti.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u w:val="single"/>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Dozavimas, kai yra MDS/MPL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MDS ar MPL sergantiems suaugusiesiems pacientams rekomenduojama </w:t>
      </w: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dozė yra 400 mg per parą.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Gydymo trukmė: Klinikinio tyrimo, tęsiamo iki šiol, metu gydymas </w:t>
      </w:r>
      <w:proofErr w:type="spellStart"/>
      <w:r>
        <w:rPr>
          <w:rFonts w:ascii="Times New Roman" w:hAnsi="Times New Roman" w:cs="Times New Roman"/>
          <w:lang w:val="lt-LT"/>
        </w:rPr>
        <w:t>imatinibu</w:t>
      </w:r>
      <w:proofErr w:type="spellEnd"/>
      <w:r>
        <w:rPr>
          <w:rFonts w:ascii="Times New Roman" w:hAnsi="Times New Roman" w:cs="Times New Roman"/>
          <w:lang w:val="lt-LT"/>
        </w:rPr>
        <w:t xml:space="preserve"> buvo tęsiamas iki ligos progresavimo (žr. 5.1 skyrių). Tyrimo metu gydymo vidutinė trukmė buvo 47 mėnesiai (24 dienos – 60 mėnesių).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Dozavimas, kai yra HES/LEL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Rekomenduojama </w:t>
      </w: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dozė suaugusiesiems pacientams, sergantiems HES/LEL, yra 100 mg per parą.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Galima didinti dozę nuo 100 mg iki 400 mg, jei nėra nepageidaujamų reakcijų ir jeigu įvertinimas rodo nepakankamą atsaką į gydymą.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Gydymą reikia tęsti tol, kol pacientui stebimas teigiamas poveikis.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Dozavimas pacientams, kuriems yra GIST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Rekomenduojama </w:t>
      </w: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dozė suaugusiesiems pacientams, kuriems yra </w:t>
      </w:r>
      <w:proofErr w:type="spellStart"/>
      <w:r>
        <w:rPr>
          <w:rFonts w:ascii="Times New Roman" w:hAnsi="Times New Roman" w:cs="Times New Roman"/>
          <w:lang w:val="lt-LT"/>
        </w:rPr>
        <w:t>nerezekuotinas</w:t>
      </w:r>
      <w:proofErr w:type="spellEnd"/>
      <w:r>
        <w:rPr>
          <w:rFonts w:ascii="Times New Roman" w:hAnsi="Times New Roman" w:cs="Times New Roman"/>
          <w:lang w:val="lt-LT"/>
        </w:rPr>
        <w:t xml:space="preserve"> ir (ar) </w:t>
      </w:r>
      <w:proofErr w:type="spellStart"/>
      <w:r>
        <w:rPr>
          <w:rFonts w:ascii="Times New Roman" w:hAnsi="Times New Roman" w:cs="Times New Roman"/>
          <w:lang w:val="lt-LT"/>
        </w:rPr>
        <w:t>metastazavęs</w:t>
      </w:r>
      <w:proofErr w:type="spellEnd"/>
      <w:r>
        <w:rPr>
          <w:rFonts w:ascii="Times New Roman" w:hAnsi="Times New Roman" w:cs="Times New Roman"/>
          <w:lang w:val="lt-LT"/>
        </w:rPr>
        <w:t xml:space="preserve"> piktybinis GIST, yra 400 mg per parą.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Dar mažai duomenų apie nuo 400 mg iki 600 mg ar 800 mg padidintos dozės poveikį pacientams, kuriems liga progresavo vartojant mažesnę dozę (žr. 5.1 skyrių).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Gydymo trukmė. Klinikinių tyrimų metu GIST sergantys pacientai </w:t>
      </w:r>
      <w:proofErr w:type="spellStart"/>
      <w:r>
        <w:rPr>
          <w:rFonts w:ascii="Times New Roman" w:hAnsi="Times New Roman" w:cs="Times New Roman"/>
          <w:lang w:val="lt-LT"/>
        </w:rPr>
        <w:t>imatinibu</w:t>
      </w:r>
      <w:proofErr w:type="spellEnd"/>
      <w:r>
        <w:rPr>
          <w:rFonts w:ascii="Times New Roman" w:hAnsi="Times New Roman" w:cs="Times New Roman"/>
          <w:lang w:val="lt-LT"/>
        </w:rPr>
        <w:t xml:space="preserve"> buvo gydomi iki ligos progresavimo. Analizės metu nustatyta, kad vidutinė gydymo trukmė buvo 7 mėnesiai (nuo 7 dienų iki 13 mėnesių). Gydymo nutraukimo poveikis po gauto atsako netirtas.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Rekomenduojama </w:t>
      </w: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dozė </w:t>
      </w:r>
      <w:proofErr w:type="spellStart"/>
      <w:r>
        <w:rPr>
          <w:rFonts w:ascii="Times New Roman" w:hAnsi="Times New Roman" w:cs="Times New Roman"/>
          <w:lang w:val="lt-LT"/>
        </w:rPr>
        <w:t>adjuvantiniam</w:t>
      </w:r>
      <w:proofErr w:type="spellEnd"/>
      <w:r>
        <w:rPr>
          <w:rFonts w:ascii="Times New Roman" w:hAnsi="Times New Roman" w:cs="Times New Roman"/>
          <w:lang w:val="lt-LT"/>
        </w:rPr>
        <w:t xml:space="preserve"> suaugusiųjų, kuriems atlikta GIST </w:t>
      </w:r>
      <w:proofErr w:type="spellStart"/>
      <w:r>
        <w:rPr>
          <w:rFonts w:ascii="Times New Roman" w:hAnsi="Times New Roman" w:cs="Times New Roman"/>
          <w:lang w:val="lt-LT"/>
        </w:rPr>
        <w:t>rezekcija</w:t>
      </w:r>
      <w:proofErr w:type="spellEnd"/>
      <w:r>
        <w:rPr>
          <w:rFonts w:ascii="Times New Roman" w:hAnsi="Times New Roman" w:cs="Times New Roman"/>
          <w:lang w:val="lt-LT"/>
        </w:rPr>
        <w:t xml:space="preserve">, gydymui yra 400 mg per parą. Optimali gydymo trukmė kol kas nenustatyta. Klinikinių tyrimų duomenimis gydymo trukmė šiai indikacijai truko 36 mėnesius (žr. 5.1 skyrių).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Dozavimas, kai yra DFSP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DFSP sergantiems suaugusiesiems pacientams rekomenduojama </w:t>
      </w:r>
      <w:proofErr w:type="spellStart"/>
      <w:r>
        <w:rPr>
          <w:rFonts w:ascii="Times New Roman" w:hAnsi="Times New Roman" w:cs="Times New Roman"/>
          <w:lang w:val="lt-LT"/>
        </w:rPr>
        <w:t>Imatinib</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Ranbaxy</w:t>
      </w:r>
      <w:proofErr w:type="spellEnd"/>
      <w:r>
        <w:rPr>
          <w:rFonts w:ascii="Times New Roman" w:hAnsi="Times New Roman" w:cs="Times New Roman"/>
          <w:lang w:val="lt-LT"/>
        </w:rPr>
        <w:t xml:space="preserve"> dozė yra 800 mg per parą.</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Dozės keitimas pasireiškus nepageidaujamoms reakcijoms</w:t>
      </w:r>
    </w:p>
    <w:p w:rsidR="00634910" w:rsidRDefault="00634910" w:rsidP="00634910">
      <w:pPr>
        <w:spacing w:after="0" w:line="240" w:lineRule="auto"/>
        <w:rPr>
          <w:rFonts w:ascii="Times New Roman" w:hAnsi="Times New Roman" w:cs="Times New Roman"/>
          <w:i/>
          <w:iCs/>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i/>
          <w:iCs/>
          <w:lang w:val="lt-LT"/>
        </w:rPr>
        <w:t>Nehematologinės nepageidaujamos reakcijos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Jeigu vartojant </w:t>
      </w:r>
      <w:proofErr w:type="spellStart"/>
      <w:r>
        <w:rPr>
          <w:rFonts w:ascii="Times New Roman" w:hAnsi="Times New Roman" w:cs="Times New Roman"/>
          <w:lang w:val="lt-LT"/>
        </w:rPr>
        <w:t>imatinibą</w:t>
      </w:r>
      <w:proofErr w:type="spellEnd"/>
      <w:r>
        <w:rPr>
          <w:rFonts w:ascii="Times New Roman" w:hAnsi="Times New Roman" w:cs="Times New Roman"/>
          <w:lang w:val="lt-LT"/>
        </w:rPr>
        <w:t xml:space="preserve"> pasireiškia sunki nehematologinė nepageidaujama reakcija, reikia susilaikyti nuo gydymo tol, kol šie reiškiniai išnyksta. Vėliau gydymą galima tinkamai atnaujinti, atsižvelgiant į pradinį nepageidaujamų reiškinių sunkumą.</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Jei </w:t>
      </w:r>
      <w:proofErr w:type="spellStart"/>
      <w:r>
        <w:rPr>
          <w:rFonts w:ascii="Times New Roman" w:hAnsi="Times New Roman" w:cs="Times New Roman"/>
          <w:lang w:val="lt-LT"/>
        </w:rPr>
        <w:t>bilirubino</w:t>
      </w:r>
      <w:proofErr w:type="spellEnd"/>
      <w:r>
        <w:rPr>
          <w:rFonts w:ascii="Times New Roman" w:hAnsi="Times New Roman" w:cs="Times New Roman"/>
          <w:lang w:val="lt-LT"/>
        </w:rPr>
        <w:t xml:space="preserve"> koncentracijos padidėjimas &gt; 3 kartų viršiją viršutinę normos ribą (VNR) arba kepenų </w:t>
      </w:r>
      <w:proofErr w:type="spellStart"/>
      <w:r>
        <w:rPr>
          <w:rFonts w:ascii="Times New Roman" w:hAnsi="Times New Roman" w:cs="Times New Roman"/>
          <w:lang w:val="lt-LT"/>
        </w:rPr>
        <w:t>transaminazių</w:t>
      </w:r>
      <w:proofErr w:type="spellEnd"/>
      <w:r>
        <w:rPr>
          <w:rFonts w:ascii="Times New Roman" w:hAnsi="Times New Roman" w:cs="Times New Roman"/>
          <w:lang w:val="lt-LT"/>
        </w:rPr>
        <w:t xml:space="preserve"> suaktyvėjimas &gt; 5 kartų viršiją VNR, reikia susilaikyti nuo </w:t>
      </w:r>
      <w:proofErr w:type="spellStart"/>
      <w:r>
        <w:rPr>
          <w:rFonts w:ascii="Times New Roman" w:hAnsi="Times New Roman" w:cs="Times New Roman"/>
          <w:lang w:val="lt-LT"/>
        </w:rPr>
        <w:t>imatinibo</w:t>
      </w:r>
      <w:proofErr w:type="spellEnd"/>
      <w:r>
        <w:rPr>
          <w:rFonts w:ascii="Times New Roman" w:hAnsi="Times New Roman" w:cs="Times New Roman"/>
          <w:lang w:val="lt-LT"/>
        </w:rPr>
        <w:t xml:space="preserve"> vartojimo tol, kol </w:t>
      </w:r>
      <w:proofErr w:type="spellStart"/>
      <w:r>
        <w:rPr>
          <w:rFonts w:ascii="Times New Roman" w:hAnsi="Times New Roman" w:cs="Times New Roman"/>
          <w:lang w:val="lt-LT"/>
        </w:rPr>
        <w:t>bilirubino</w:t>
      </w:r>
      <w:proofErr w:type="spellEnd"/>
      <w:r>
        <w:rPr>
          <w:rFonts w:ascii="Times New Roman" w:hAnsi="Times New Roman" w:cs="Times New Roman"/>
          <w:lang w:val="lt-LT"/>
        </w:rPr>
        <w:t xml:space="preserve"> koncentracijos vėl tampa &lt; 1,5 x VNR ar </w:t>
      </w:r>
      <w:proofErr w:type="spellStart"/>
      <w:r>
        <w:rPr>
          <w:rFonts w:ascii="Times New Roman" w:hAnsi="Times New Roman" w:cs="Times New Roman"/>
          <w:lang w:val="lt-LT"/>
        </w:rPr>
        <w:t>transaminazių</w:t>
      </w:r>
      <w:proofErr w:type="spellEnd"/>
      <w:r>
        <w:rPr>
          <w:rFonts w:ascii="Times New Roman" w:hAnsi="Times New Roman" w:cs="Times New Roman"/>
          <w:lang w:val="lt-LT"/>
        </w:rPr>
        <w:t xml:space="preserve"> aktyvumas &lt; 2,5 VNR. Vėliau gydymą </w:t>
      </w:r>
      <w:proofErr w:type="spellStart"/>
      <w:r>
        <w:rPr>
          <w:rFonts w:ascii="Times New Roman" w:hAnsi="Times New Roman" w:cs="Times New Roman"/>
          <w:lang w:val="lt-LT"/>
        </w:rPr>
        <w:t>imatinibu</w:t>
      </w:r>
      <w:proofErr w:type="spellEnd"/>
      <w:r>
        <w:rPr>
          <w:rFonts w:ascii="Times New Roman" w:hAnsi="Times New Roman" w:cs="Times New Roman"/>
          <w:lang w:val="lt-LT"/>
        </w:rPr>
        <w:t xml:space="preserve"> galima atnaujinti, vartojant mažesnę paros dozę. Suaugusiesiems dozę reikia sumažinti nuo 400 mg iki 300 mg arba nuo 600 mg iki 400 mg, arba nuo 800 mg iki 600 mg, o vaikams – nuo 340 mg/m</w:t>
      </w:r>
      <w:r>
        <w:rPr>
          <w:rFonts w:ascii="Times New Roman" w:hAnsi="Times New Roman" w:cs="Times New Roman"/>
          <w:vertAlign w:val="superscript"/>
          <w:lang w:val="lt-LT"/>
        </w:rPr>
        <w:t>2</w:t>
      </w:r>
      <w:r>
        <w:rPr>
          <w:rFonts w:ascii="Times New Roman" w:hAnsi="Times New Roman" w:cs="Times New Roman"/>
          <w:lang w:val="lt-LT"/>
        </w:rPr>
        <w:t xml:space="preserve"> per parą iki 260 mg/m</w:t>
      </w:r>
      <w:r>
        <w:rPr>
          <w:rFonts w:ascii="Times New Roman" w:hAnsi="Times New Roman" w:cs="Times New Roman"/>
          <w:vertAlign w:val="superscript"/>
          <w:lang w:val="lt-LT"/>
        </w:rPr>
        <w:t>2</w:t>
      </w:r>
      <w:r>
        <w:rPr>
          <w:rFonts w:ascii="Times New Roman" w:hAnsi="Times New Roman" w:cs="Times New Roman"/>
          <w:lang w:val="lt-LT"/>
        </w:rPr>
        <w:t xml:space="preserve"> per parą.</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i/>
          <w:iCs/>
          <w:lang w:val="lt-LT"/>
        </w:rPr>
        <w:t>Hematologinės nepageidaujamos reakcijos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Dozės mažinimo ir gydymo pertraukimo pasireiškus sunkiai </w:t>
      </w:r>
      <w:proofErr w:type="spellStart"/>
      <w:r>
        <w:rPr>
          <w:rFonts w:ascii="Times New Roman" w:hAnsi="Times New Roman" w:cs="Times New Roman"/>
          <w:lang w:val="lt-LT"/>
        </w:rPr>
        <w:t>neutropenijai</w:t>
      </w:r>
      <w:proofErr w:type="spellEnd"/>
      <w:r>
        <w:rPr>
          <w:rFonts w:ascii="Times New Roman" w:hAnsi="Times New Roman" w:cs="Times New Roman"/>
          <w:lang w:val="lt-LT"/>
        </w:rPr>
        <w:t xml:space="preserve"> arba </w:t>
      </w:r>
      <w:proofErr w:type="spellStart"/>
      <w:r>
        <w:rPr>
          <w:rFonts w:ascii="Times New Roman" w:hAnsi="Times New Roman" w:cs="Times New Roman"/>
          <w:lang w:val="lt-LT"/>
        </w:rPr>
        <w:t>trombocitopenijai</w:t>
      </w:r>
      <w:proofErr w:type="spellEnd"/>
      <w:r>
        <w:rPr>
          <w:rFonts w:ascii="Times New Roman" w:hAnsi="Times New Roman" w:cs="Times New Roman"/>
          <w:lang w:val="lt-LT"/>
        </w:rPr>
        <w:t xml:space="preserve"> rekomendacijos pateiktos toliau esančioje lentelėje.</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Dozės keitimas dėl </w:t>
      </w:r>
      <w:proofErr w:type="spellStart"/>
      <w:r>
        <w:rPr>
          <w:rFonts w:ascii="Times New Roman" w:hAnsi="Times New Roman" w:cs="Times New Roman"/>
          <w:lang w:val="lt-LT"/>
        </w:rPr>
        <w:t>neutropenijos</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trombocitopenijos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7"/>
        <w:gridCol w:w="2967"/>
        <w:gridCol w:w="2967"/>
      </w:tblGrid>
      <w:tr w:rsidR="00634910" w:rsidRPr="00F82138" w:rsidTr="00E16918">
        <w:trPr>
          <w:trHeight w:val="1173"/>
        </w:trPr>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HES/LEL (pradinė dozė - 100 mg)</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ANS &lt; 1,0 x 10</w:t>
            </w:r>
            <w:r>
              <w:rPr>
                <w:position w:val="-4"/>
                <w:sz w:val="22"/>
                <w:szCs w:val="22"/>
              </w:rPr>
              <w:object w:dxaOrig="13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5" o:title=""/>
                </v:shape>
                <o:OLEObject Type="Embed" ProgID="Equation.3" ShapeID="_x0000_i1025" DrawAspect="Content" ObjectID="_1537358539" r:id="rId6"/>
              </w:object>
            </w:r>
            <w:r>
              <w:rPr>
                <w:sz w:val="22"/>
                <w:szCs w:val="22"/>
              </w:rPr>
              <w:t>/l ir (ar) trombocitų &lt; 50 x 10</w:t>
            </w:r>
            <w:r>
              <w:rPr>
                <w:position w:val="-4"/>
                <w:sz w:val="22"/>
                <w:szCs w:val="22"/>
              </w:rPr>
              <w:object w:dxaOrig="135" w:dyaOrig="300">
                <v:shape id="_x0000_i1026" type="#_x0000_t75" style="width:7.5pt;height:14.25pt" o:ole="">
                  <v:imagedata r:id="rId7" o:title=""/>
                </v:shape>
                <o:OLEObject Type="Embed" ProgID="Equation.3" ShapeID="_x0000_i1026" DrawAspect="Content" ObjectID="_1537358540" r:id="rId8"/>
              </w:object>
            </w:r>
            <w:r>
              <w:rPr>
                <w:sz w:val="22"/>
                <w:szCs w:val="22"/>
              </w:rPr>
              <w:t>/l</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1. Imatinibo vartojimą nutraukti, kol ANS bus ≥ 1,5 x 10</w:t>
            </w:r>
            <w:r>
              <w:rPr>
                <w:position w:val="-4"/>
                <w:sz w:val="22"/>
                <w:szCs w:val="22"/>
              </w:rPr>
              <w:object w:dxaOrig="135" w:dyaOrig="300">
                <v:shape id="_x0000_i1027" type="#_x0000_t75" style="width:7.5pt;height:14.25pt" o:ole="">
                  <v:imagedata r:id="rId7" o:title=""/>
                </v:shape>
                <o:OLEObject Type="Embed" ProgID="Equation.3" ShapeID="_x0000_i1027" DrawAspect="Content" ObjectID="_1537358541" r:id="rId9"/>
              </w:object>
            </w:r>
            <w:r>
              <w:rPr>
                <w:sz w:val="22"/>
                <w:szCs w:val="22"/>
              </w:rPr>
              <w:t>/l ir trombocitų ≥ 75 x 10</w:t>
            </w:r>
            <w:r>
              <w:rPr>
                <w:position w:val="-4"/>
                <w:sz w:val="22"/>
                <w:szCs w:val="22"/>
              </w:rPr>
              <w:object w:dxaOrig="135" w:dyaOrig="300">
                <v:shape id="_x0000_i1028" type="#_x0000_t75" style="width:7.5pt;height:14.25pt" o:ole="">
                  <v:imagedata r:id="rId7" o:title=""/>
                </v:shape>
                <o:OLEObject Type="Embed" ProgID="Equation.3" ShapeID="_x0000_i1028" DrawAspect="Content" ObjectID="_1537358542" r:id="rId10"/>
              </w:object>
            </w:r>
            <w:r>
              <w:rPr>
                <w:sz w:val="22"/>
                <w:szCs w:val="22"/>
              </w:rPr>
              <w:t xml:space="preserve">/l. </w:t>
            </w:r>
          </w:p>
          <w:p w:rsidR="00634910" w:rsidRDefault="00634910" w:rsidP="00E16918">
            <w:pPr>
              <w:pStyle w:val="Default"/>
              <w:widowControl w:val="0"/>
              <w:rPr>
                <w:sz w:val="22"/>
                <w:szCs w:val="22"/>
              </w:rPr>
            </w:pPr>
            <w:r>
              <w:rPr>
                <w:sz w:val="22"/>
                <w:szCs w:val="22"/>
              </w:rPr>
              <w:t>2. Gydymą imatinibu atnaujinti anksčiau vartota doze (t.y. ta, kuri buvo vartota prieš pasireiškiant stipriai nepageidaujamai reakcijai).</w:t>
            </w:r>
          </w:p>
        </w:tc>
      </w:tr>
      <w:tr w:rsidR="00634910" w:rsidRPr="00F82138" w:rsidTr="00E16918">
        <w:trPr>
          <w:trHeight w:val="1173"/>
        </w:trPr>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lastRenderedPageBreak/>
              <w:t>MDS/ MPL ir GIST (pradinė dozė – 400 mg) HES/LEL (400 mg dozė)</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ANS &lt; 1,0 x 10</w:t>
            </w:r>
            <w:r>
              <w:rPr>
                <w:sz w:val="22"/>
                <w:szCs w:val="22"/>
                <w:vertAlign w:val="superscript"/>
              </w:rPr>
              <w:t>9</w:t>
            </w:r>
            <w:r>
              <w:rPr>
                <w:sz w:val="22"/>
                <w:szCs w:val="22"/>
              </w:rPr>
              <w:t>/l ir (arba) trombocitų kiekis &lt; 50 x 10</w:t>
            </w:r>
            <w:r>
              <w:rPr>
                <w:sz w:val="22"/>
                <w:szCs w:val="22"/>
                <w:vertAlign w:val="superscript"/>
              </w:rPr>
              <w:t>9</w:t>
            </w:r>
            <w:r>
              <w:rPr>
                <w:sz w:val="22"/>
                <w:szCs w:val="22"/>
              </w:rPr>
              <w:t>/l</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1. Nutraukti imatinibo vartojimą, kol ANS taps ≥ 1,5 x 10</w:t>
            </w:r>
            <w:r>
              <w:rPr>
                <w:sz w:val="22"/>
                <w:szCs w:val="22"/>
                <w:vertAlign w:val="superscript"/>
              </w:rPr>
              <w:t>9</w:t>
            </w:r>
            <w:r>
              <w:rPr>
                <w:sz w:val="22"/>
                <w:szCs w:val="22"/>
              </w:rPr>
              <w:t>/l ir trombocitų kiekis taps ≥ 75 x 10</w:t>
            </w:r>
            <w:r>
              <w:rPr>
                <w:sz w:val="22"/>
                <w:szCs w:val="22"/>
                <w:vertAlign w:val="superscript"/>
              </w:rPr>
              <w:t>9</w:t>
            </w:r>
            <w:r>
              <w:rPr>
                <w:sz w:val="22"/>
                <w:szCs w:val="22"/>
              </w:rPr>
              <w:t>/l.</w:t>
            </w:r>
          </w:p>
          <w:p w:rsidR="00634910" w:rsidRDefault="00634910" w:rsidP="00E16918">
            <w:pPr>
              <w:pStyle w:val="Default"/>
              <w:widowControl w:val="0"/>
              <w:rPr>
                <w:sz w:val="22"/>
                <w:szCs w:val="22"/>
              </w:rPr>
            </w:pPr>
            <w:r>
              <w:rPr>
                <w:sz w:val="22"/>
                <w:szCs w:val="22"/>
              </w:rPr>
              <w:t>2. Atnaujinti gydymą anksčiau vartota imatinibo doze (t. y. doze, kuri buvo vartota prieš pasireiškiant sunkiai nepageidaujamai reakcijai).</w:t>
            </w:r>
          </w:p>
          <w:p w:rsidR="00634910" w:rsidRDefault="00634910" w:rsidP="00E16918">
            <w:pPr>
              <w:pStyle w:val="Default"/>
              <w:widowControl w:val="0"/>
              <w:rPr>
                <w:sz w:val="22"/>
                <w:szCs w:val="22"/>
              </w:rPr>
            </w:pPr>
            <w:r>
              <w:rPr>
                <w:sz w:val="22"/>
                <w:szCs w:val="22"/>
              </w:rPr>
              <w:t>3. Jeigu ANS pakartotinai sumažėja &lt; 1,0 x 10</w:t>
            </w:r>
            <w:r>
              <w:rPr>
                <w:sz w:val="22"/>
                <w:szCs w:val="22"/>
                <w:vertAlign w:val="superscript"/>
              </w:rPr>
              <w:t>9</w:t>
            </w:r>
            <w:r>
              <w:rPr>
                <w:sz w:val="22"/>
                <w:szCs w:val="22"/>
              </w:rPr>
              <w:t>/l ir (arba) trombocitų kiekis sumažėja &lt; 50 x 10</w:t>
            </w:r>
            <w:r>
              <w:rPr>
                <w:sz w:val="22"/>
                <w:szCs w:val="22"/>
                <w:vertAlign w:val="superscript"/>
              </w:rPr>
              <w:t>9</w:t>
            </w:r>
            <w:r>
              <w:rPr>
                <w:sz w:val="22"/>
                <w:szCs w:val="22"/>
              </w:rPr>
              <w:t>/l, kartoti 1 veiksmą, o atnaujinant gydymą, skirti mažesnę 300 mg imatinibo dozę.</w:t>
            </w:r>
          </w:p>
        </w:tc>
      </w:tr>
      <w:tr w:rsidR="00634910" w:rsidRPr="00F82138" w:rsidTr="00E16918">
        <w:trPr>
          <w:trHeight w:val="1173"/>
        </w:trPr>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Vaikų lėtinė LML fazė (340 mg/m</w:t>
            </w:r>
            <w:r>
              <w:rPr>
                <w:sz w:val="22"/>
                <w:szCs w:val="22"/>
                <w:vertAlign w:val="superscript"/>
              </w:rPr>
              <w:t xml:space="preserve">2 </w:t>
            </w:r>
            <w:r>
              <w:rPr>
                <w:sz w:val="22"/>
                <w:szCs w:val="22"/>
              </w:rPr>
              <w:t xml:space="preserve"> dozė)</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ANS &lt; 1,0 x 10</w:t>
            </w:r>
            <w:r>
              <w:rPr>
                <w:sz w:val="22"/>
                <w:szCs w:val="22"/>
                <w:vertAlign w:val="superscript"/>
              </w:rPr>
              <w:t>9</w:t>
            </w:r>
            <w:r>
              <w:rPr>
                <w:sz w:val="22"/>
                <w:szCs w:val="22"/>
              </w:rPr>
              <w:t>/l ir (ar) trombocitų &lt; 50 x 10</w:t>
            </w:r>
            <w:r>
              <w:rPr>
                <w:sz w:val="22"/>
                <w:szCs w:val="22"/>
                <w:vertAlign w:val="superscript"/>
              </w:rPr>
              <w:t>9</w:t>
            </w:r>
            <w:r>
              <w:rPr>
                <w:sz w:val="22"/>
                <w:szCs w:val="22"/>
              </w:rPr>
              <w:t>/l</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1. Imatinibo vartojimą nutraukti, kol ANS bus ≥1,5 x 10</w:t>
            </w:r>
            <w:r>
              <w:rPr>
                <w:sz w:val="22"/>
                <w:szCs w:val="22"/>
                <w:vertAlign w:val="superscript"/>
              </w:rPr>
              <w:t>9</w:t>
            </w:r>
            <w:r>
              <w:rPr>
                <w:sz w:val="22"/>
                <w:szCs w:val="22"/>
              </w:rPr>
              <w:t>/l ir trombocitų ≥75 x 10</w:t>
            </w:r>
            <w:r>
              <w:rPr>
                <w:sz w:val="22"/>
                <w:szCs w:val="22"/>
                <w:vertAlign w:val="superscript"/>
              </w:rPr>
              <w:t>9</w:t>
            </w:r>
            <w:r>
              <w:rPr>
                <w:sz w:val="22"/>
                <w:szCs w:val="22"/>
              </w:rPr>
              <w:t xml:space="preserve">/l. </w:t>
            </w:r>
          </w:p>
          <w:p w:rsidR="00634910" w:rsidRDefault="00634910" w:rsidP="00E16918">
            <w:pPr>
              <w:pStyle w:val="Default"/>
              <w:widowControl w:val="0"/>
              <w:rPr>
                <w:sz w:val="22"/>
                <w:szCs w:val="22"/>
              </w:rPr>
            </w:pPr>
            <w:r>
              <w:rPr>
                <w:sz w:val="22"/>
                <w:szCs w:val="22"/>
              </w:rPr>
              <w:t xml:space="preserve">2. Gydymą imatinibu atnaujinti anksčiau vartota doze (t.y. ta, kuri buvo vartota prieš pasireiškiant stipriai nepageidaujamai reakcijai). </w:t>
            </w:r>
          </w:p>
          <w:p w:rsidR="00634910" w:rsidRDefault="00634910" w:rsidP="00E16918">
            <w:pPr>
              <w:pStyle w:val="Default"/>
              <w:widowControl w:val="0"/>
              <w:rPr>
                <w:sz w:val="22"/>
                <w:szCs w:val="22"/>
              </w:rPr>
            </w:pPr>
            <w:r>
              <w:rPr>
                <w:sz w:val="22"/>
                <w:szCs w:val="22"/>
              </w:rPr>
              <w:t>3. Kartotinai sumažėjus ANS &lt; 1,0 x 10</w:t>
            </w:r>
            <w:r>
              <w:rPr>
                <w:sz w:val="22"/>
                <w:szCs w:val="22"/>
                <w:vertAlign w:val="superscript"/>
              </w:rPr>
              <w:t>9</w:t>
            </w:r>
            <w:r>
              <w:rPr>
                <w:sz w:val="22"/>
                <w:szCs w:val="22"/>
              </w:rPr>
              <w:t>/l ir trombocitų &lt; 50 x 10</w:t>
            </w:r>
            <w:r>
              <w:rPr>
                <w:sz w:val="22"/>
                <w:szCs w:val="22"/>
                <w:vertAlign w:val="superscript"/>
              </w:rPr>
              <w:t>9</w:t>
            </w:r>
            <w:r>
              <w:rPr>
                <w:sz w:val="22"/>
                <w:szCs w:val="22"/>
              </w:rPr>
              <w:t>/l, kartoti nuo 1-ojo punkto ir gydymą imatinibu atnaujinti sumažinta 260 mg/ m</w:t>
            </w:r>
            <w:r>
              <w:rPr>
                <w:sz w:val="22"/>
                <w:szCs w:val="22"/>
                <w:vertAlign w:val="superscript"/>
              </w:rPr>
              <w:t>2</w:t>
            </w:r>
            <w:r>
              <w:rPr>
                <w:sz w:val="22"/>
                <w:szCs w:val="22"/>
              </w:rPr>
              <w:t xml:space="preserve"> doze.</w:t>
            </w:r>
          </w:p>
        </w:tc>
      </w:tr>
      <w:tr w:rsidR="00634910" w:rsidRPr="00F82138" w:rsidTr="00E16918">
        <w:trPr>
          <w:trHeight w:val="1173"/>
        </w:trPr>
        <w:tc>
          <w:tcPr>
            <w:tcW w:w="2967" w:type="dxa"/>
            <w:tcBorders>
              <w:top w:val="single" w:sz="4" w:space="0" w:color="auto"/>
              <w:left w:val="single" w:sz="4" w:space="0" w:color="auto"/>
              <w:bottom w:val="single" w:sz="4" w:space="0" w:color="auto"/>
              <w:right w:val="single" w:sz="4" w:space="0" w:color="auto"/>
            </w:tcBorders>
          </w:tcPr>
          <w:p w:rsidR="00634910" w:rsidRDefault="00634910" w:rsidP="00E16918">
            <w:pPr>
              <w:pStyle w:val="Default"/>
              <w:widowControl w:val="0"/>
              <w:rPr>
                <w:sz w:val="22"/>
                <w:szCs w:val="22"/>
              </w:rPr>
            </w:pPr>
            <w:r>
              <w:rPr>
                <w:sz w:val="22"/>
                <w:szCs w:val="22"/>
              </w:rPr>
              <w:t>LML blastinė krizė ir Ph+ALL (pradinė dozė 600 mg)</w:t>
            </w:r>
          </w:p>
          <w:p w:rsidR="00634910" w:rsidRDefault="00634910" w:rsidP="00E16918">
            <w:pPr>
              <w:pStyle w:val="Default"/>
              <w:widowControl w:val="0"/>
              <w:rPr>
                <w:sz w:val="22"/>
                <w:szCs w:val="22"/>
              </w:rPr>
            </w:pP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position w:val="-4"/>
                <w:sz w:val="22"/>
                <w:szCs w:val="22"/>
              </w:rPr>
              <w:object w:dxaOrig="165" w:dyaOrig="300">
                <v:shape id="_x0000_i1029" type="#_x0000_t75" style="width:7.5pt;height:14.25pt" o:ole="">
                  <v:imagedata r:id="rId11" o:title=""/>
                </v:shape>
                <o:OLEObject Type="Embed" ProgID="Equation.3" ShapeID="_x0000_i1029" DrawAspect="Content" ObjectID="_1537358543" r:id="rId12"/>
              </w:object>
            </w:r>
            <w:r>
              <w:rPr>
                <w:sz w:val="22"/>
                <w:szCs w:val="22"/>
              </w:rPr>
              <w:t>ANS &lt; 0,5 x 10</w:t>
            </w:r>
            <w:r>
              <w:rPr>
                <w:sz w:val="22"/>
                <w:szCs w:val="22"/>
                <w:vertAlign w:val="superscript"/>
              </w:rPr>
              <w:t>9</w:t>
            </w:r>
            <w:r>
              <w:rPr>
                <w:sz w:val="22"/>
                <w:szCs w:val="22"/>
              </w:rPr>
              <w:t>/l ir (arba) trombocitų kiekis &lt; 10 x 10</w:t>
            </w:r>
            <w:r>
              <w:rPr>
                <w:sz w:val="22"/>
                <w:szCs w:val="22"/>
                <w:vertAlign w:val="superscript"/>
              </w:rPr>
              <w:t>9</w:t>
            </w:r>
            <w:r>
              <w:rPr>
                <w:sz w:val="22"/>
                <w:szCs w:val="22"/>
              </w:rPr>
              <w:t xml:space="preserve">/l </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1. Patikrinti, ar citopenija nesusijusi su leukemija (kaulų čiulpų aspirantas ar biopsija).</w:t>
            </w:r>
          </w:p>
          <w:p w:rsidR="00634910" w:rsidRDefault="00634910" w:rsidP="00E16918">
            <w:pPr>
              <w:pStyle w:val="Default"/>
              <w:widowControl w:val="0"/>
              <w:rPr>
                <w:sz w:val="22"/>
                <w:szCs w:val="22"/>
              </w:rPr>
            </w:pPr>
            <w:r>
              <w:rPr>
                <w:sz w:val="22"/>
                <w:szCs w:val="22"/>
              </w:rPr>
              <w:t>2. Jeigu citopenija nesusijusi su leukemija, imatinibo dozę sumažinti iki 400 mg.</w:t>
            </w:r>
          </w:p>
          <w:p w:rsidR="00634910" w:rsidRDefault="00634910" w:rsidP="00E16918">
            <w:pPr>
              <w:pStyle w:val="Default"/>
              <w:widowControl w:val="0"/>
              <w:rPr>
                <w:sz w:val="22"/>
                <w:szCs w:val="22"/>
              </w:rPr>
            </w:pPr>
            <w:r>
              <w:rPr>
                <w:sz w:val="22"/>
                <w:szCs w:val="22"/>
              </w:rPr>
              <w:t>3. Jeigu citopenija išsilaiko 2 savaites, dozę dar sumažinti iki300 mg.</w:t>
            </w:r>
          </w:p>
          <w:p w:rsidR="00634910" w:rsidRDefault="00634910" w:rsidP="00E16918">
            <w:pPr>
              <w:pStyle w:val="Default"/>
              <w:widowControl w:val="0"/>
              <w:rPr>
                <w:sz w:val="22"/>
                <w:szCs w:val="22"/>
              </w:rPr>
            </w:pPr>
            <w:r>
              <w:rPr>
                <w:sz w:val="22"/>
                <w:szCs w:val="22"/>
              </w:rPr>
              <w:t>4. Jeigu citopenija išsilaiko 4 savaites ir vis dar yra nesusijusi su leukemija, nutraukti imatinibo vartojimą, kol ANS taps ≥ 1 x 10</w:t>
            </w:r>
            <w:r>
              <w:rPr>
                <w:sz w:val="22"/>
                <w:szCs w:val="22"/>
                <w:vertAlign w:val="superscript"/>
              </w:rPr>
              <w:t>9</w:t>
            </w:r>
            <w:r>
              <w:rPr>
                <w:sz w:val="22"/>
                <w:szCs w:val="22"/>
              </w:rPr>
              <w:t>/l ir trombocitų kiekis taps ≥ 20 x 10</w:t>
            </w:r>
            <w:r>
              <w:rPr>
                <w:sz w:val="22"/>
                <w:szCs w:val="22"/>
                <w:vertAlign w:val="superscript"/>
              </w:rPr>
              <w:t>9</w:t>
            </w:r>
            <w:r>
              <w:rPr>
                <w:sz w:val="22"/>
                <w:szCs w:val="22"/>
              </w:rPr>
              <w:t>/l, tada gydymą atnaujinti, skiriant vartoti 300 mg.</w:t>
            </w:r>
          </w:p>
        </w:tc>
      </w:tr>
      <w:tr w:rsidR="00634910" w:rsidRPr="00F82138" w:rsidTr="00E16918">
        <w:trPr>
          <w:trHeight w:val="1433"/>
        </w:trPr>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 xml:space="preserve">LML akceleracijos fazė ir blastinė krizė (pradinė dozė 340 mg) </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position w:val="-4"/>
                <w:sz w:val="22"/>
                <w:szCs w:val="22"/>
              </w:rPr>
              <w:object w:dxaOrig="165" w:dyaOrig="300">
                <v:shape id="_x0000_i1030" type="#_x0000_t75" style="width:7.5pt;height:14.25pt" o:ole="">
                  <v:imagedata r:id="rId11" o:title=""/>
                </v:shape>
                <o:OLEObject Type="Embed" ProgID="Equation.3" ShapeID="_x0000_i1030" DrawAspect="Content" ObjectID="_1537358544" r:id="rId13"/>
              </w:object>
            </w:r>
            <w:r>
              <w:rPr>
                <w:sz w:val="22"/>
                <w:szCs w:val="22"/>
              </w:rPr>
              <w:t>ANS &lt; 0,5 x 10</w:t>
            </w:r>
            <w:r>
              <w:rPr>
                <w:sz w:val="22"/>
                <w:szCs w:val="22"/>
                <w:vertAlign w:val="superscript"/>
              </w:rPr>
              <w:t>9</w:t>
            </w:r>
            <w:r>
              <w:rPr>
                <w:sz w:val="22"/>
                <w:szCs w:val="22"/>
              </w:rPr>
              <w:t>/l ir (arba) trombocitų kiekis &lt; 10 x 10</w:t>
            </w:r>
            <w:r>
              <w:rPr>
                <w:sz w:val="22"/>
                <w:szCs w:val="22"/>
                <w:vertAlign w:val="superscript"/>
              </w:rPr>
              <w:t>9</w:t>
            </w:r>
            <w:r>
              <w:rPr>
                <w:sz w:val="22"/>
                <w:szCs w:val="22"/>
              </w:rPr>
              <w:t xml:space="preserve">/l </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1. Patikrinti, ar citopenija nesusijusi su leukemija (kaulų čiulpų aspirantas ar biopsija).</w:t>
            </w:r>
          </w:p>
          <w:p w:rsidR="00634910" w:rsidRDefault="00634910" w:rsidP="00E16918">
            <w:pPr>
              <w:pStyle w:val="Default"/>
              <w:widowControl w:val="0"/>
              <w:rPr>
                <w:sz w:val="22"/>
                <w:szCs w:val="22"/>
              </w:rPr>
            </w:pPr>
            <w:r>
              <w:rPr>
                <w:sz w:val="22"/>
                <w:szCs w:val="22"/>
              </w:rPr>
              <w:t>2. Jeigu citopenija nesusijusi su leukemija, imatinibo dozę sumažinti iki 260 mg/ m</w:t>
            </w:r>
            <w:r>
              <w:rPr>
                <w:sz w:val="22"/>
                <w:szCs w:val="22"/>
                <w:vertAlign w:val="superscript"/>
              </w:rPr>
              <w:t>2</w:t>
            </w:r>
            <w:r>
              <w:rPr>
                <w:sz w:val="22"/>
                <w:szCs w:val="22"/>
              </w:rPr>
              <w:t>.</w:t>
            </w:r>
          </w:p>
          <w:p w:rsidR="00634910" w:rsidRDefault="00634910" w:rsidP="00E16918">
            <w:pPr>
              <w:pStyle w:val="Default"/>
              <w:widowControl w:val="0"/>
              <w:rPr>
                <w:sz w:val="22"/>
                <w:szCs w:val="22"/>
              </w:rPr>
            </w:pPr>
            <w:r>
              <w:rPr>
                <w:sz w:val="22"/>
                <w:szCs w:val="22"/>
              </w:rPr>
              <w:t>3. Jeigu citopenija išsilaiko 2 savaites, dozę dar sumažinti iki 200 mg.</w:t>
            </w:r>
          </w:p>
          <w:p w:rsidR="00634910" w:rsidRDefault="00634910" w:rsidP="00E16918">
            <w:pPr>
              <w:pStyle w:val="Default"/>
              <w:widowControl w:val="0"/>
              <w:rPr>
                <w:sz w:val="22"/>
                <w:szCs w:val="22"/>
              </w:rPr>
            </w:pPr>
            <w:r>
              <w:rPr>
                <w:sz w:val="22"/>
                <w:szCs w:val="22"/>
              </w:rPr>
              <w:t xml:space="preserve">4. Jeigu citopenija išsilaiko 4 savaites ir vis dar yra nesusijusi su leukemija, </w:t>
            </w:r>
            <w:r>
              <w:rPr>
                <w:sz w:val="22"/>
                <w:szCs w:val="22"/>
              </w:rPr>
              <w:lastRenderedPageBreak/>
              <w:t>nutraukti imatinibo vartojimą, kol ANS taps ≥ 1 x 10</w:t>
            </w:r>
            <w:r>
              <w:rPr>
                <w:sz w:val="22"/>
                <w:szCs w:val="22"/>
                <w:vertAlign w:val="superscript"/>
              </w:rPr>
              <w:t>9</w:t>
            </w:r>
            <w:r>
              <w:rPr>
                <w:sz w:val="22"/>
                <w:szCs w:val="22"/>
              </w:rPr>
              <w:t>/l ir trombocitų kiekis taps ≥ 20 x 10</w:t>
            </w:r>
            <w:r>
              <w:rPr>
                <w:sz w:val="22"/>
                <w:szCs w:val="22"/>
                <w:vertAlign w:val="superscript"/>
              </w:rPr>
              <w:t>9</w:t>
            </w:r>
            <w:r>
              <w:rPr>
                <w:sz w:val="22"/>
                <w:szCs w:val="22"/>
              </w:rPr>
              <w:t>/l, tada gydymą atnaujinti, vartojant 200 mg/ m</w:t>
            </w:r>
            <w:r>
              <w:rPr>
                <w:sz w:val="22"/>
                <w:szCs w:val="22"/>
                <w:vertAlign w:val="superscript"/>
              </w:rPr>
              <w:t>2</w:t>
            </w:r>
            <w:r>
              <w:rPr>
                <w:sz w:val="22"/>
                <w:szCs w:val="22"/>
              </w:rPr>
              <w:t xml:space="preserve">. </w:t>
            </w:r>
          </w:p>
        </w:tc>
      </w:tr>
      <w:tr w:rsidR="00634910" w:rsidRPr="00F82138" w:rsidTr="00E16918">
        <w:trPr>
          <w:trHeight w:val="1433"/>
        </w:trPr>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lastRenderedPageBreak/>
              <w:t>DFSP (kai dozė - 800 mg)</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ANS &lt; 1,0 x 10</w:t>
            </w:r>
            <w:r>
              <w:rPr>
                <w:sz w:val="22"/>
                <w:szCs w:val="22"/>
                <w:vertAlign w:val="superscript"/>
              </w:rPr>
              <w:t>9</w:t>
            </w:r>
            <w:r>
              <w:rPr>
                <w:sz w:val="22"/>
                <w:szCs w:val="22"/>
              </w:rPr>
              <w:t xml:space="preserve"> /l ir (ar) trombocitų &lt; 50 x 10</w:t>
            </w:r>
            <w:r>
              <w:rPr>
                <w:sz w:val="22"/>
                <w:szCs w:val="22"/>
                <w:vertAlign w:val="superscript"/>
              </w:rPr>
              <w:t>9</w:t>
            </w:r>
            <w:r>
              <w:rPr>
                <w:sz w:val="22"/>
                <w:szCs w:val="22"/>
              </w:rPr>
              <w:t xml:space="preserve"> /l</w:t>
            </w:r>
          </w:p>
        </w:tc>
        <w:tc>
          <w:tcPr>
            <w:tcW w:w="2967"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1. Imatinibo vartojimą nutraukti, kol ANS bus &gt;1,5 x 10</w:t>
            </w:r>
            <w:r>
              <w:rPr>
                <w:sz w:val="22"/>
                <w:szCs w:val="22"/>
                <w:vertAlign w:val="superscript"/>
              </w:rPr>
              <w:t>9</w:t>
            </w:r>
            <w:r>
              <w:rPr>
                <w:sz w:val="22"/>
                <w:szCs w:val="22"/>
              </w:rPr>
              <w:t>/l ir trombocitų &gt; 75 x 10</w:t>
            </w:r>
            <w:r>
              <w:rPr>
                <w:sz w:val="22"/>
                <w:szCs w:val="22"/>
                <w:vertAlign w:val="superscript"/>
              </w:rPr>
              <w:t>9</w:t>
            </w:r>
            <w:r>
              <w:rPr>
                <w:sz w:val="22"/>
                <w:szCs w:val="22"/>
              </w:rPr>
              <w:t xml:space="preserve">/l. </w:t>
            </w:r>
          </w:p>
          <w:p w:rsidR="00634910" w:rsidRDefault="00634910" w:rsidP="00E16918">
            <w:pPr>
              <w:pStyle w:val="Default"/>
              <w:widowControl w:val="0"/>
              <w:rPr>
                <w:sz w:val="22"/>
                <w:szCs w:val="22"/>
              </w:rPr>
            </w:pPr>
            <w:r>
              <w:rPr>
                <w:sz w:val="22"/>
                <w:szCs w:val="22"/>
              </w:rPr>
              <w:t xml:space="preserve">2. Gydymą imatinibu atnaujinti 600 mg doze. </w:t>
            </w:r>
          </w:p>
          <w:p w:rsidR="00634910" w:rsidRDefault="00634910" w:rsidP="00E16918">
            <w:pPr>
              <w:pStyle w:val="Default"/>
              <w:widowControl w:val="0"/>
              <w:rPr>
                <w:sz w:val="22"/>
                <w:szCs w:val="22"/>
              </w:rPr>
            </w:pPr>
            <w:r>
              <w:rPr>
                <w:sz w:val="22"/>
                <w:szCs w:val="22"/>
              </w:rPr>
              <w:t>3. Kartotinai sumažėjus ANS &lt; 1,0 x 10</w:t>
            </w:r>
            <w:r>
              <w:rPr>
                <w:sz w:val="22"/>
                <w:szCs w:val="22"/>
                <w:vertAlign w:val="superscript"/>
              </w:rPr>
              <w:t>9</w:t>
            </w:r>
            <w:r>
              <w:rPr>
                <w:sz w:val="22"/>
                <w:szCs w:val="22"/>
              </w:rPr>
              <w:t>/l ir (ar) trombocitų &lt; 50 x 10</w:t>
            </w:r>
            <w:r>
              <w:rPr>
                <w:sz w:val="22"/>
                <w:szCs w:val="22"/>
                <w:vertAlign w:val="superscript"/>
              </w:rPr>
              <w:t>9</w:t>
            </w:r>
            <w:r>
              <w:rPr>
                <w:sz w:val="22"/>
                <w:szCs w:val="22"/>
              </w:rPr>
              <w:t>/l, kartoti nuo 1-ojo punkto ir gydymą imatinibu atnaujinti sumažinta 400 mg doze.</w:t>
            </w:r>
          </w:p>
        </w:tc>
      </w:tr>
      <w:tr w:rsidR="00634910" w:rsidTr="00E16918">
        <w:trPr>
          <w:trHeight w:val="638"/>
        </w:trPr>
        <w:tc>
          <w:tcPr>
            <w:tcW w:w="8901" w:type="dxa"/>
            <w:gridSpan w:val="3"/>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7325"/>
            </w:tblGrid>
            <w:tr w:rsidR="00634910" w:rsidTr="00E16918">
              <w:trPr>
                <w:trHeight w:val="103"/>
              </w:trPr>
              <w:tc>
                <w:tcPr>
                  <w:tcW w:w="7325" w:type="dxa"/>
                  <w:hideMark/>
                </w:tcPr>
                <w:p w:rsidR="00634910" w:rsidRDefault="00634910" w:rsidP="00E16918">
                  <w:pPr>
                    <w:pStyle w:val="Default"/>
                    <w:widowControl w:val="0"/>
                    <w:rPr>
                      <w:sz w:val="22"/>
                      <w:szCs w:val="22"/>
                    </w:rPr>
                  </w:pPr>
                  <w:r>
                    <w:rPr>
                      <w:sz w:val="22"/>
                      <w:szCs w:val="22"/>
                    </w:rPr>
                    <w:t>ANK = absoliutus neutrofilų kiekis.</w:t>
                  </w:r>
                </w:p>
              </w:tc>
            </w:tr>
            <w:tr w:rsidR="00634910" w:rsidTr="00E16918">
              <w:trPr>
                <w:trHeight w:val="126"/>
              </w:trPr>
              <w:tc>
                <w:tcPr>
                  <w:tcW w:w="7325" w:type="dxa"/>
                  <w:hideMark/>
                </w:tcPr>
                <w:p w:rsidR="00634910" w:rsidRDefault="00634910" w:rsidP="00E16918">
                  <w:pPr>
                    <w:pStyle w:val="Default"/>
                    <w:widowControl w:val="0"/>
                    <w:rPr>
                      <w:sz w:val="22"/>
                      <w:szCs w:val="22"/>
                    </w:rPr>
                  </w:pPr>
                  <w:r>
                    <w:rPr>
                      <w:position w:val="-4"/>
                      <w:sz w:val="22"/>
                      <w:szCs w:val="22"/>
                    </w:rPr>
                    <w:object w:dxaOrig="165" w:dyaOrig="300">
                      <v:shape id="_x0000_i1031" type="#_x0000_t75" style="width:7.5pt;height:14.25pt" o:ole="">
                        <v:imagedata r:id="rId11" o:title=""/>
                      </v:shape>
                      <o:OLEObject Type="Embed" ProgID="Equation.3" ShapeID="_x0000_i1031" DrawAspect="Content" ObjectID="_1537358545" r:id="rId14"/>
                    </w:object>
                  </w:r>
                  <w:r>
                    <w:rPr>
                      <w:sz w:val="22"/>
                      <w:szCs w:val="22"/>
                    </w:rPr>
                    <w:t xml:space="preserve"> pasireiškia praėjus ne anksčiau kaip po 1 gydymo mėnesio.</w:t>
                  </w:r>
                </w:p>
              </w:tc>
            </w:tr>
          </w:tbl>
          <w:p w:rsidR="00634910" w:rsidRDefault="00634910" w:rsidP="00E16918">
            <w:pPr>
              <w:pStyle w:val="Default"/>
              <w:widowControl w:val="0"/>
              <w:rPr>
                <w:sz w:val="22"/>
                <w:szCs w:val="22"/>
              </w:rPr>
            </w:pPr>
          </w:p>
        </w:tc>
      </w:tr>
    </w:tbl>
    <w:p w:rsidR="00634910" w:rsidRDefault="00634910" w:rsidP="00634910">
      <w:pPr>
        <w:pStyle w:val="Default"/>
        <w:widowControl w:val="0"/>
        <w:rPr>
          <w:sz w:val="22"/>
          <w:szCs w:val="22"/>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Specialios populiacijos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sidRPr="00CA0D9C">
        <w:rPr>
          <w:rFonts w:ascii="Times New Roman" w:hAnsi="Times New Roman" w:cs="Times New Roman"/>
          <w:i/>
          <w:lang w:val="lt-LT"/>
        </w:rPr>
        <w:t>Vaik</w:t>
      </w:r>
      <w:r>
        <w:rPr>
          <w:rFonts w:ascii="Times New Roman" w:hAnsi="Times New Roman" w:cs="Times New Roman"/>
          <w:i/>
          <w:lang w:val="lt-LT"/>
        </w:rPr>
        <w:t>ų populiacija</w:t>
      </w:r>
      <w:r w:rsidRPr="00CA0D9C">
        <w:rPr>
          <w:rFonts w:ascii="Times New Roman" w:hAnsi="Times New Roman" w:cs="Times New Roman"/>
          <w:i/>
          <w:lang w:val="lt-LT"/>
        </w:rPr>
        <w:t>:</w:t>
      </w:r>
      <w:r>
        <w:rPr>
          <w:rFonts w:ascii="Times New Roman" w:hAnsi="Times New Roman" w:cs="Times New Roman"/>
          <w:lang w:val="lt-LT"/>
        </w:rPr>
        <w:t xml:space="preserve"> Vartojimo vaikams, jaunesniems kaip 2 metų ir sergantiems LML bei jaunesniems kaip 1 metų ir sergantiems </w:t>
      </w:r>
      <w:r w:rsidRPr="00132FED">
        <w:rPr>
          <w:rFonts w:ascii="Times New Roman" w:hAnsi="Times New Roman" w:cs="Times New Roman"/>
          <w:i/>
          <w:lang w:val="lt-LT"/>
        </w:rPr>
        <w:t>Ph</w:t>
      </w:r>
      <w:r>
        <w:rPr>
          <w:rFonts w:ascii="Times New Roman" w:hAnsi="Times New Roman" w:cs="Times New Roman"/>
          <w:lang w:val="lt-LT"/>
        </w:rPr>
        <w:t>+ ŪLL, patirties nėra (žr. 5.1 skyrių). Vartojimo patirtis vaikams, sergantiems MDS/MPL, DFSP, GIST ir HES/LEL, labai ribota.</w:t>
      </w:r>
    </w:p>
    <w:p w:rsidR="00634910" w:rsidRDefault="00634910" w:rsidP="00634910">
      <w:pPr>
        <w:spacing w:after="0" w:line="240" w:lineRule="auto"/>
        <w:rPr>
          <w:rFonts w:ascii="Times New Roman" w:hAnsi="Times New Roman" w:cs="Times New Roman"/>
          <w:lang w:val="lt-LT"/>
        </w:rPr>
      </w:pPr>
    </w:p>
    <w:p w:rsidR="00634910" w:rsidRDefault="00634910" w:rsidP="00634910">
      <w:pPr>
        <w:pStyle w:val="Default"/>
        <w:widowControl w:val="0"/>
        <w:rPr>
          <w:sz w:val="22"/>
          <w:szCs w:val="22"/>
        </w:rPr>
      </w:pPr>
      <w:r>
        <w:rPr>
          <w:sz w:val="22"/>
          <w:szCs w:val="22"/>
        </w:rPr>
        <w:t>Klinikinių tyrimų metu imatinibo saugumas ir veiksmingumas jaunesniems kaip 18 metų vaikams, sergantiems MDS/MPL, DFSP, GIST ir HES/LEL, neištirti. Turimi literatūros duomenys apibendrinti 5.1 skyriuje, tačiau dozavimo rekomendacijų pateikti negalima.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i/>
          <w:lang w:val="lt-LT"/>
        </w:rPr>
        <w:t xml:space="preserve">Kepenų nepakankamumas: </w:t>
      </w:r>
      <w:r>
        <w:rPr>
          <w:rFonts w:ascii="Times New Roman" w:hAnsi="Times New Roman" w:cs="Times New Roman"/>
          <w:lang w:val="lt-LT"/>
        </w:rPr>
        <w:t>Didžiausia dalis imatinibo metabolizuojama kepenyse. Pacientams, kuriems yra lengvas, vidutinio sunkumo ar sunkus kepenų funkcijos sutrikimas, mažiausia rekomenduojama dozė yra 400 mg per parą. Jeigu pacientas netoleruoja šios dozės, dozę galima sumažinti (žr. 4.4, 4.8 ir 5.2 skyrių).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Kepenų funkcijos sutrikimo klasifikacija</w:t>
      </w:r>
    </w:p>
    <w:p w:rsidR="00634910" w:rsidRDefault="00634910" w:rsidP="00634910">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6095"/>
      </w:tblGrid>
      <w:tr w:rsidR="00634910" w:rsidTr="00E16918">
        <w:tc>
          <w:tcPr>
            <w:tcW w:w="2802" w:type="dxa"/>
            <w:tcBorders>
              <w:top w:val="single" w:sz="4" w:space="0" w:color="auto"/>
              <w:left w:val="single" w:sz="4" w:space="0" w:color="auto"/>
              <w:bottom w:val="single" w:sz="4" w:space="0" w:color="auto"/>
              <w:right w:val="single" w:sz="4" w:space="0" w:color="auto"/>
            </w:tcBorders>
            <w:hideMark/>
          </w:tcPr>
          <w:p w:rsidR="00634910" w:rsidRDefault="00634910" w:rsidP="00E16918">
            <w:pPr>
              <w:widowControl w:val="0"/>
              <w:spacing w:after="0" w:line="240" w:lineRule="auto"/>
              <w:rPr>
                <w:rFonts w:ascii="Times New Roman" w:hAnsi="Times New Roman" w:cs="Times New Roman"/>
                <w:iCs/>
                <w:u w:val="single"/>
                <w:lang w:val="lt-LT" w:eastAsia="en-US"/>
              </w:rPr>
            </w:pPr>
            <w:r>
              <w:rPr>
                <w:rFonts w:ascii="Times New Roman" w:hAnsi="Times New Roman" w:cs="Times New Roman"/>
                <w:lang w:val="lt-LT"/>
              </w:rPr>
              <w:t>Kepenų funkcijos sutrikimas</w:t>
            </w:r>
          </w:p>
        </w:tc>
        <w:tc>
          <w:tcPr>
            <w:tcW w:w="6095" w:type="dxa"/>
            <w:tcBorders>
              <w:top w:val="single" w:sz="4" w:space="0" w:color="auto"/>
              <w:left w:val="single" w:sz="4" w:space="0" w:color="auto"/>
              <w:bottom w:val="single" w:sz="4" w:space="0" w:color="auto"/>
              <w:right w:val="single" w:sz="4" w:space="0" w:color="auto"/>
            </w:tcBorders>
            <w:hideMark/>
          </w:tcPr>
          <w:p w:rsidR="00634910" w:rsidRDefault="00634910" w:rsidP="00E16918">
            <w:pPr>
              <w:widowControl w:val="0"/>
              <w:spacing w:after="0" w:line="240" w:lineRule="auto"/>
              <w:rPr>
                <w:rFonts w:ascii="Times New Roman" w:hAnsi="Times New Roman" w:cs="Times New Roman"/>
                <w:iCs/>
                <w:u w:val="single"/>
                <w:lang w:val="lt-LT" w:eastAsia="en-US"/>
              </w:rPr>
            </w:pPr>
            <w:r>
              <w:rPr>
                <w:rFonts w:ascii="Times New Roman" w:hAnsi="Times New Roman" w:cs="Times New Roman"/>
                <w:lang w:val="lt-LT"/>
              </w:rPr>
              <w:t>Kepenų funkcijos tyrimai</w:t>
            </w:r>
          </w:p>
        </w:tc>
      </w:tr>
      <w:tr w:rsidR="00634910" w:rsidTr="00E16918">
        <w:tc>
          <w:tcPr>
            <w:tcW w:w="2802" w:type="dxa"/>
            <w:tcBorders>
              <w:top w:val="single" w:sz="4" w:space="0" w:color="auto"/>
              <w:left w:val="single" w:sz="4" w:space="0" w:color="auto"/>
              <w:bottom w:val="single" w:sz="4" w:space="0" w:color="auto"/>
              <w:right w:val="single" w:sz="4" w:space="0" w:color="auto"/>
            </w:tcBorders>
            <w:hideMark/>
          </w:tcPr>
          <w:p w:rsidR="00634910" w:rsidRDefault="00634910" w:rsidP="00E16918">
            <w:pPr>
              <w:widowControl w:val="0"/>
              <w:spacing w:after="0" w:line="240" w:lineRule="auto"/>
              <w:rPr>
                <w:rFonts w:ascii="Times New Roman" w:hAnsi="Times New Roman" w:cs="Times New Roman"/>
                <w:iCs/>
                <w:u w:val="single"/>
                <w:lang w:val="lt-LT" w:eastAsia="en-US"/>
              </w:rPr>
            </w:pPr>
            <w:r>
              <w:rPr>
                <w:rFonts w:ascii="Times New Roman" w:hAnsi="Times New Roman" w:cs="Times New Roman"/>
                <w:lang w:val="lt-LT"/>
              </w:rPr>
              <w:t>Lengvas</w:t>
            </w:r>
          </w:p>
        </w:tc>
        <w:tc>
          <w:tcPr>
            <w:tcW w:w="6095"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Bendro bilirubino koncentracija: = 1,5 VNR</w:t>
            </w:r>
          </w:p>
          <w:p w:rsidR="00634910" w:rsidRDefault="00634910" w:rsidP="00E16918">
            <w:pPr>
              <w:widowControl w:val="0"/>
              <w:spacing w:after="0" w:line="240" w:lineRule="auto"/>
              <w:rPr>
                <w:rFonts w:ascii="Times New Roman" w:hAnsi="Times New Roman" w:cs="Times New Roman"/>
                <w:iCs/>
                <w:u w:val="single"/>
                <w:lang w:val="lt-LT" w:eastAsia="en-US"/>
              </w:rPr>
            </w:pPr>
            <w:r>
              <w:rPr>
                <w:rFonts w:ascii="Times New Roman" w:hAnsi="Times New Roman" w:cs="Times New Roman"/>
                <w:lang w:val="lt-LT"/>
              </w:rPr>
              <w:t>AST: &gt; VNR (gali būti normalus arba &lt; VNR, jeigu bendro bilirubino koncentracija yra &gt; VNR)</w:t>
            </w:r>
          </w:p>
        </w:tc>
      </w:tr>
      <w:tr w:rsidR="00634910" w:rsidTr="00E16918">
        <w:tc>
          <w:tcPr>
            <w:tcW w:w="2802" w:type="dxa"/>
            <w:tcBorders>
              <w:top w:val="single" w:sz="4" w:space="0" w:color="auto"/>
              <w:left w:val="single" w:sz="4" w:space="0" w:color="auto"/>
              <w:bottom w:val="single" w:sz="4" w:space="0" w:color="auto"/>
              <w:right w:val="single" w:sz="4" w:space="0" w:color="auto"/>
            </w:tcBorders>
            <w:hideMark/>
          </w:tcPr>
          <w:p w:rsidR="00634910" w:rsidRDefault="00634910" w:rsidP="00E16918">
            <w:pPr>
              <w:widowControl w:val="0"/>
              <w:spacing w:after="0" w:line="240" w:lineRule="auto"/>
              <w:rPr>
                <w:rFonts w:ascii="Times New Roman" w:hAnsi="Times New Roman" w:cs="Times New Roman"/>
                <w:iCs/>
                <w:u w:val="single"/>
                <w:lang w:val="lt-LT" w:eastAsia="en-US"/>
              </w:rPr>
            </w:pPr>
            <w:r>
              <w:rPr>
                <w:rFonts w:ascii="Times New Roman" w:hAnsi="Times New Roman" w:cs="Times New Roman"/>
                <w:lang w:val="lt-LT"/>
              </w:rPr>
              <w:t>Vidutinio sunkumo</w:t>
            </w:r>
          </w:p>
        </w:tc>
        <w:tc>
          <w:tcPr>
            <w:tcW w:w="6095"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Bendro bilirubino koncentracija: &gt; 1,5</w:t>
            </w:r>
            <w:r>
              <w:rPr>
                <w:sz w:val="22"/>
                <w:szCs w:val="22"/>
              </w:rPr>
              <w:noBreakHyphen/>
              <w:t>3,0 VNR</w:t>
            </w:r>
          </w:p>
          <w:p w:rsidR="00634910" w:rsidRDefault="00634910" w:rsidP="00E16918">
            <w:pPr>
              <w:widowControl w:val="0"/>
              <w:spacing w:after="0" w:line="240" w:lineRule="auto"/>
              <w:rPr>
                <w:rFonts w:ascii="Times New Roman" w:hAnsi="Times New Roman" w:cs="Times New Roman"/>
                <w:iCs/>
                <w:u w:val="single"/>
                <w:lang w:val="lt-LT" w:eastAsia="en-US"/>
              </w:rPr>
            </w:pPr>
            <w:r>
              <w:rPr>
                <w:rFonts w:ascii="Times New Roman" w:hAnsi="Times New Roman" w:cs="Times New Roman"/>
                <w:lang w:val="lt-LT"/>
              </w:rPr>
              <w:t>AST: bet koks aktyvumas</w:t>
            </w:r>
          </w:p>
        </w:tc>
      </w:tr>
      <w:tr w:rsidR="00634910" w:rsidTr="00E16918">
        <w:tc>
          <w:tcPr>
            <w:tcW w:w="2802" w:type="dxa"/>
            <w:tcBorders>
              <w:top w:val="single" w:sz="4" w:space="0" w:color="auto"/>
              <w:left w:val="single" w:sz="4" w:space="0" w:color="auto"/>
              <w:bottom w:val="single" w:sz="4" w:space="0" w:color="auto"/>
              <w:right w:val="single" w:sz="4" w:space="0" w:color="auto"/>
            </w:tcBorders>
            <w:hideMark/>
          </w:tcPr>
          <w:p w:rsidR="00634910" w:rsidRDefault="00634910" w:rsidP="00E16918">
            <w:pPr>
              <w:widowControl w:val="0"/>
              <w:spacing w:after="0" w:line="240" w:lineRule="auto"/>
              <w:rPr>
                <w:rFonts w:ascii="Times New Roman" w:hAnsi="Times New Roman" w:cs="Times New Roman"/>
                <w:iCs/>
                <w:u w:val="single"/>
                <w:lang w:val="lt-LT" w:eastAsia="en-US"/>
              </w:rPr>
            </w:pPr>
            <w:r>
              <w:rPr>
                <w:rFonts w:ascii="Times New Roman" w:hAnsi="Times New Roman" w:cs="Times New Roman"/>
                <w:lang w:val="lt-LT"/>
              </w:rPr>
              <w:t>Sunkus</w:t>
            </w:r>
          </w:p>
        </w:tc>
        <w:tc>
          <w:tcPr>
            <w:tcW w:w="6095"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rPr>
                <w:sz w:val="22"/>
                <w:szCs w:val="22"/>
              </w:rPr>
            </w:pPr>
            <w:r>
              <w:rPr>
                <w:sz w:val="22"/>
                <w:szCs w:val="22"/>
              </w:rPr>
              <w:t>Bendro bilirubino koncentracija: &gt; 3–10 VNR</w:t>
            </w:r>
          </w:p>
          <w:p w:rsidR="00634910" w:rsidRDefault="00634910" w:rsidP="00E16918">
            <w:pPr>
              <w:widowControl w:val="0"/>
              <w:spacing w:after="0" w:line="240" w:lineRule="auto"/>
              <w:rPr>
                <w:rFonts w:ascii="Times New Roman" w:hAnsi="Times New Roman" w:cs="Times New Roman"/>
                <w:iCs/>
                <w:u w:val="single"/>
                <w:lang w:val="lt-LT" w:eastAsia="en-US"/>
              </w:rPr>
            </w:pPr>
            <w:r>
              <w:rPr>
                <w:rFonts w:ascii="Times New Roman" w:hAnsi="Times New Roman" w:cs="Times New Roman"/>
                <w:lang w:val="lt-LT"/>
              </w:rPr>
              <w:t>AST: bet koks aktyvumas</w:t>
            </w:r>
          </w:p>
        </w:tc>
      </w:tr>
    </w:tbl>
    <w:p w:rsidR="00634910" w:rsidRDefault="00634910" w:rsidP="00634910">
      <w:pPr>
        <w:pStyle w:val="Default"/>
        <w:widowControl w:val="0"/>
        <w:rPr>
          <w:sz w:val="22"/>
          <w:szCs w:val="22"/>
        </w:rPr>
      </w:pPr>
      <w:r>
        <w:rPr>
          <w:sz w:val="22"/>
          <w:szCs w:val="22"/>
        </w:rPr>
        <w:t>VNR = viršutinė normos riba institucijoje.</w:t>
      </w:r>
    </w:p>
    <w:p w:rsidR="00634910" w:rsidRDefault="00634910" w:rsidP="00634910">
      <w:pPr>
        <w:pStyle w:val="Default"/>
        <w:widowControl w:val="0"/>
        <w:rPr>
          <w:iCs/>
          <w:sz w:val="22"/>
          <w:szCs w:val="22"/>
          <w:u w:val="single"/>
          <w:lang w:eastAsia="en-US"/>
        </w:rPr>
      </w:pPr>
      <w:r>
        <w:rPr>
          <w:sz w:val="22"/>
          <w:szCs w:val="22"/>
        </w:rPr>
        <w:t>AST = aspartataminotransferazė.</w:t>
      </w:r>
    </w:p>
    <w:p w:rsidR="00634910" w:rsidRPr="00CA0D9C" w:rsidRDefault="00634910" w:rsidP="00634910">
      <w:pPr>
        <w:widowControl w:val="0"/>
        <w:spacing w:after="0" w:line="240" w:lineRule="auto"/>
        <w:rPr>
          <w:rFonts w:ascii="Times New Roman" w:hAnsi="Times New Roman" w:cs="Times New Roman"/>
          <w:i/>
          <w:iCs/>
          <w:lang w:val="lt-LT" w:eastAsia="en-US"/>
        </w:rPr>
      </w:pPr>
    </w:p>
    <w:p w:rsidR="00634910" w:rsidRPr="00CA0D9C" w:rsidRDefault="00634910" w:rsidP="00634910">
      <w:pPr>
        <w:widowControl w:val="0"/>
        <w:spacing w:after="0" w:line="240" w:lineRule="auto"/>
        <w:rPr>
          <w:rFonts w:ascii="Times New Roman" w:hAnsi="Times New Roman" w:cs="Times New Roman"/>
          <w:i/>
          <w:iCs/>
          <w:lang w:val="lt-LT" w:eastAsia="en-US"/>
        </w:rPr>
      </w:pPr>
      <w:r w:rsidRPr="00CA0D9C">
        <w:rPr>
          <w:rFonts w:ascii="Times New Roman" w:hAnsi="Times New Roman" w:cs="Times New Roman"/>
          <w:i/>
          <w:iCs/>
          <w:lang w:val="lt-LT" w:eastAsia="en-US"/>
        </w:rPr>
        <w:t>Inkstų nepakankamumas</w:t>
      </w:r>
      <w:r>
        <w:rPr>
          <w:rFonts w:ascii="Times New Roman" w:hAnsi="Times New Roman" w:cs="Times New Roman"/>
          <w:i/>
          <w:iCs/>
          <w:lang w:val="lt-LT" w:eastAsia="en-US"/>
        </w:rPr>
        <w:t xml:space="preserve">: </w:t>
      </w:r>
      <w:r>
        <w:rPr>
          <w:rFonts w:ascii="Times New Roman" w:hAnsi="Times New Roman" w:cs="Times New Roman"/>
          <w:iCs/>
          <w:lang w:val="lt-LT" w:eastAsia="en-US"/>
        </w:rPr>
        <w:t>Pacientams, kuriems yra inkstų funkcijos sutrikimas ar atliekamos dializės, iš pradžių turi būti skiriama mažiausia rekomenduojama 400 mg paros dozė. Tačiau rekomenduojama imtis atsargumo priemonių. Netoleruojamą dozę galima mažinti, Jei dozė yra neveiksminga – didinti (žr. 4.4 ir 5.2 skyrius).</w:t>
      </w:r>
    </w:p>
    <w:p w:rsidR="00634910" w:rsidRDefault="00634910" w:rsidP="00634910">
      <w:pPr>
        <w:spacing w:after="0" w:line="240" w:lineRule="auto"/>
        <w:rPr>
          <w:rFonts w:ascii="Times New Roman" w:hAnsi="Times New Roman" w:cs="Times New Roman"/>
          <w:u w:val="single"/>
          <w:lang w:val="lt-LT"/>
        </w:rPr>
      </w:pPr>
    </w:p>
    <w:p w:rsidR="00634910" w:rsidRPr="002F72A3" w:rsidRDefault="00634910" w:rsidP="00634910">
      <w:pPr>
        <w:spacing w:after="0" w:line="240" w:lineRule="auto"/>
        <w:rPr>
          <w:rFonts w:ascii="Times New Roman" w:hAnsi="Times New Roman"/>
          <w:lang w:val="lt-LT"/>
        </w:rPr>
      </w:pPr>
      <w:r>
        <w:rPr>
          <w:rFonts w:ascii="Times New Roman" w:hAnsi="Times New Roman" w:cs="Times New Roman"/>
          <w:i/>
          <w:lang w:val="lt-LT"/>
        </w:rPr>
        <w:lastRenderedPageBreak/>
        <w:t xml:space="preserve">Senyvi pacientai: </w:t>
      </w:r>
      <w:r>
        <w:rPr>
          <w:rFonts w:ascii="Times New Roman" w:hAnsi="Times New Roman" w:cs="Times New Roman"/>
          <w:lang w:val="lt-LT"/>
        </w:rPr>
        <w:t>Imatinibo farmakokinetika senyvų pacientų organizme specialiai nebuvo tirta. Reikšmingų, nuo amžiaus priklausomų farmakokinetikos skirtumų suaugusių žmonių organizme klinikinių tyrimų, kuriuose dalyvavo daugiau kaip 20 % 65 metų ir vyresnių pacientų, metu nepastebėta. Senyviems pacientams specialios dozavimo rekomendacijos nebūtinos.</w:t>
      </w:r>
    </w:p>
    <w:p w:rsidR="00634910" w:rsidRDefault="00634910" w:rsidP="00634910">
      <w:pPr>
        <w:spacing w:after="0" w:line="240" w:lineRule="auto"/>
        <w:rPr>
          <w:rFonts w:ascii="Times New Roman" w:hAnsi="Times New Roman" w:cs="Times New Roman"/>
          <w:lang w:val="lt-LT"/>
        </w:rPr>
      </w:pPr>
    </w:p>
    <w:p w:rsidR="00634910" w:rsidRPr="003A5591" w:rsidRDefault="00634910" w:rsidP="00634910">
      <w:pPr>
        <w:spacing w:after="0" w:line="240" w:lineRule="auto"/>
        <w:rPr>
          <w:rFonts w:ascii="Times New Roman" w:hAnsi="Times New Roman" w:cs="Times New Roman"/>
          <w:u w:val="single"/>
          <w:lang w:val="lt-LT"/>
        </w:rPr>
      </w:pPr>
      <w:r w:rsidRPr="003A5591">
        <w:rPr>
          <w:rFonts w:ascii="Times New Roman" w:hAnsi="Times New Roman" w:cs="Times New Roman"/>
          <w:u w:val="single"/>
          <w:lang w:val="lt-LT"/>
        </w:rPr>
        <w:t>Vartojimo metodas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Paskirtąją dozę reikia išgerti valgant, užsigeriant dideliu kiekiu vandens, kad būtų mažesnė virškinimo trakto dirginimo rizika. 400 mg ar 600 mg dozes reikia vartoti vieną kartą per parą, o 800 mg paros dozė turi būti suvartota per du kartus, po 400 mg ryte ir vakare.</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Pacientams, kurie negali nuryti plėvele dengtų tablečių, tabletes galima ištirpinti stiklinėje negazuoto mineralinio vandens ar obuolių sulčių. Reikiamą tablečių skaičių reikia įmesti į atitinkamą gėrimo kiekį (100 mg tabletę – maždaug į 50 ml ir 400 mg tabletę – į 200 ml) ir išmaišyti šaukštu. Kai tik tabletė (-ės) suyra, suspensiją reikia nedelsiant išgerti.</w:t>
      </w:r>
    </w:p>
    <w:p w:rsidR="00634910" w:rsidRPr="00CA0D9C" w:rsidRDefault="00634910" w:rsidP="00634910">
      <w:pPr>
        <w:spacing w:after="0" w:line="240" w:lineRule="auto"/>
        <w:rPr>
          <w:rFonts w:ascii="Times New Roman" w:hAnsi="Times New Roman" w:cs="Times New Roman"/>
          <w:i/>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4" w:name="_Toc129243229"/>
      <w:bookmarkStart w:id="5" w:name="_Toc129243104"/>
      <w:r>
        <w:rPr>
          <w:rFonts w:ascii="Times New Roman" w:hAnsi="Times New Roman" w:cs="Times New Roman"/>
          <w:b/>
          <w:lang w:val="lt-LT"/>
        </w:rPr>
        <w:t>4.3</w:t>
      </w:r>
      <w:r>
        <w:rPr>
          <w:rFonts w:ascii="Times New Roman" w:hAnsi="Times New Roman" w:cs="Times New Roman"/>
          <w:b/>
          <w:lang w:val="lt-LT"/>
        </w:rPr>
        <w:tab/>
        <w:t>Kontraindikacijos</w:t>
      </w:r>
      <w:bookmarkEnd w:id="4"/>
      <w:bookmarkEnd w:id="5"/>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Padidėjęs jautrumas veikliajai arba bet kuriai 6.1 skyriuje nurodytai pagalbinei medžiagai.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6" w:name="_Toc129243230"/>
      <w:bookmarkStart w:id="7" w:name="_Toc129243105"/>
      <w:r>
        <w:rPr>
          <w:rFonts w:ascii="Times New Roman" w:hAnsi="Times New Roman" w:cs="Times New Roman"/>
          <w:b/>
          <w:lang w:val="lt-LT"/>
        </w:rPr>
        <w:t>4.4</w:t>
      </w:r>
      <w:r>
        <w:rPr>
          <w:rFonts w:ascii="Times New Roman" w:hAnsi="Times New Roman" w:cs="Times New Roman"/>
          <w:b/>
          <w:lang w:val="lt-LT"/>
        </w:rPr>
        <w:tab/>
        <w:t>Specialūs įspėjimai ir atsargumo priemonės</w:t>
      </w:r>
      <w:bookmarkEnd w:id="6"/>
      <w:bookmarkEnd w:id="7"/>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Imatinibą vartojant kartu su kitais vaistiniais preparatais, atsiranda vaistinių preparatų sąveikos galimybė. Būtina laikytis atsargumo priemonių, kai imatinibo vartojama kartu su proteazės inhibitoriais, priešgrybeliniais azolo dariniais, tam tikrais makrolidais (žr. 4.2 skyrių), CYP3A4 substratais, kurių yra siaura terapinė platuma (pvz., ciklosporinu, pimozidu, takrolimuzu, sirolimuzu, ergotaminu, diergotaminu, fentaniliu, alfentaniliu, terfenadinu, bortezomibu, docetakseliu, chinidinu) ar varfarinu ir kitais kumarino junginiais (žr. 4.5 skyrių).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Imatinibą vartojant kartu su vaistiniais preparatais, kurie sužadina CYP3A4 (pvz.: deksametazonu, fenitoinu, karbamazepinu, rifampicinu, fenobarbitaliu ar jonažolės [</w:t>
      </w:r>
      <w:r>
        <w:rPr>
          <w:rFonts w:ascii="Times New Roman" w:hAnsi="Times New Roman" w:cs="Times New Roman"/>
          <w:i/>
          <w:iCs/>
          <w:lang w:val="lt-LT"/>
        </w:rPr>
        <w:t>Hypericum perforatum</w:t>
      </w:r>
      <w:r>
        <w:rPr>
          <w:rFonts w:ascii="Times New Roman" w:hAnsi="Times New Roman" w:cs="Times New Roman"/>
          <w:lang w:val="lt-LT"/>
        </w:rPr>
        <w:t>] preparatais), gali reikšmingai sumažėti imatinibo ekspozicija ir gali padidėti gydymo neveiksmingumo rizika. Todėl reikia vengti imatinibą vartoti kartu su stipriais CYP3A4 induktoriais ( (žr. 4.5 skyrių).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Hipotiroidizmas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Buvo pranešta apie klinikinius hipotirozės atvejus pacientams, kuriems pašalinta skydliaukė ir kuriems gydymo imatinibu metu buvo taikytas pakeičiamasis gydymas levotiroksinu (žr. 4.5 skyrių). Reikia atidžiai matuoti tokių pacientų skydliaukės veiklą skatinančio hormono (TSH) koncentracijas.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Toksinis poveikis kepenims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Didžiausia dalis imatinibo metabolizuojama kepenyse ir tik 13 % jo šalinama per inkstus. Pacientams, kuriems yra kepenų funkcijos sutrikimas (lengvas, vidutinio sunkumo ar sunkus), reikia atidžiai stebėti ląstelių kiekį periferiniame kraujyje ir kepenų fer</w:t>
      </w:r>
      <w:r>
        <w:rPr>
          <w:rFonts w:ascii="Times New Roman" w:hAnsi="Times New Roman" w:cs="Times New Roman"/>
          <w:lang w:val="lt-LT"/>
        </w:rPr>
        <w:lastRenderedPageBreak/>
        <w:t>mentų aktyvumą (žr. 4.2, 4.8 ir 5.2 skyrius). Reikia pažymėti, kad pacientams, kuriems diagnozuotas GIST, gali būti metastazių kepenyse, kurios gali sukelti kepenų funkcijos sutrikimą.</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Vartojant imatinibą, buvo stebėti kepenų pažeidimo atvejai, įskaitant kepenų funkcijos nepakankamumą ir kepenų nekrozę. Imatinibą skiriant kartu su didelėmis chemoterapinių vaistinių preparatų dozėmis, buvo nustatyta daugiau sunkių kepenų reakcijų. Imatinibą skiriant kartu su chemoterapiniais vaistiniais preparatais, kurie susiję su kepenų funkcijos sutrikimu, reikia atidžiai stebėti kepenų funkciją (žr. 4.5 ir 4.8 skyrius).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Skysčių susilaikymas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Maždaug 2,5 % imatinibą vartojančių pacientų, kuriems pirmą kartą buvo diagnozuota LML, pasireiškė sunkus skysčių susilaikymas (skystis pleuros ertmėje, edema, plaučių edema, ascitas, paviršinė edema). Todėl privalu pacientus reguliariai sverti. Kiekvienu atveju, kai kūno masė netikėtai greitai didėja, pacientus reikia atidžiai ištirti ir, prireikus, skirti atitinkamą palaikomąjį gydymą ir gydomąsias priemones. Klinikinių tyrimų duomenimis, šių reiškinių dažniau atsirado senyviems pacientams ir tiems, kuriems anksčiau buvo diagnozuota širdies liga. Todėl pacientus, kurių širdies funkcija yra sutrikusi, gydyti reikia atsargiai.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Pacientai, sergantys širdies ligomis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Pacientus, kurie serga širdies ligomis, turi širdies nepakankamumo rizikos veiksnių, ar buvo sirgę inkstų nepakankamumu, reikia atidžiai stebėti, o visus pacientus, kuriems atsiranda širdies nepakankamumo požymių ar simptomų, reikia ištirti ir gydyti.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Hipereozinofiliniu sindromu (HES) su slapta HES ląstelių infiltracija miokarde sergantiems pacientams registruoti pavieniai kardiogeninio šoko ar kairiojo skilvelio disfunkcijos atvejai, kurie buvo susiję su HES ląstelių degranuliacija po gydymo imatinibu pradžios.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HES/LEL, turi būti atidžiai įvertintas gydymo imatinibu naudos ir rizikos santykis.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Sergant mielodisplazinėmis ar mieloproliferacinėmis ligomis su PDGFR genų pakitimais gali būti padidėjęs eozinofilų kiekis. Prieš skiriant imatinibą pacientams, sergantiems HES ar LEL ir pacientams, sergantiems MDS/MDL,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Kraujavimas iš virškinimo trakto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Atlikto klinikinio tyrimo duomenimis, jame dalyvavusiems pacientams, kuriems buvo nerezekuotinas ir (ar) metastazavęs GIST, pasitaikė ir virškinimo trakto bei vidunavikinių kraujavimų (žr. 4.8 skyrių). Turimi duomenys neatskleidė predisponuojančių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sidRPr="00B7165B">
        <w:rPr>
          <w:rFonts w:ascii="Times New Roman" w:hAnsi="Times New Roman" w:cs="Times New Roman"/>
          <w:lang w:val="lt-LT"/>
        </w:rPr>
        <w:lastRenderedPageBreak/>
        <w:t>Be to, vaistiniam preparatui patekus į rinką gauta pranešimų apie skrandžio prievarčio kraujagyslių išsiplėtimą(angl. gastric antral vascular ectasia, GAVE), t. y. retą kraujavimo iš virškinimo trakto priežastį, - pacientams, sergantiems LML, ŪLL ir kitomis ligomis (žr. 4.8 skyrių). Jei reikia, turi būti apsvarstytas gydymo imatinibu nutraukimas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Naviko irimo sindromas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Gali pasireikšti naviko irimo sindromas (NIS), todėl prieš pradedant vartoti imatinibą, rekomenduojama koreguoti kliniškai reikšmingą dehidrataciją ir gydyti dideles šlapimo rūgšties koncentracijas (žr. 4.8 skyrių).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Laboratoriniai tyrimai</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Gydymo imatinibu metu reikia reguliariai skaičiuoti visų kraujo ląstelių kiekius. LML sergančių pacientų gydymas imatinibu buvo susijęs su neutropenija ar trombocitopenija. Vis dėlto šių citopenijų atsiradimas gali būti susijęs su gydomos ligos stadija ir dažniau pasireikšti pacientams, kuriems yra LML akceleracijos fazė ar blastinė krizė, palyginti su tais, kuriems yra lėtinė LML fazė. Gydymas imatinibu gali būti pertrauktas arba gali būti sumažinta vaistinio preparato dozė taip, kaip rekomenduojama 4.2 skyriuje.</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Reikia reguliariai stebėti imatinibą vartojančių pacientų kepenų funkciją (transaminazių aktyvumą, bilirubino koncentraciją, šarminės fosfatazės aktyvumą).</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Atrodo, kad imatinibo ekspozicija pacientų, kurių inkstų funkcija yra sutrikusi, plazmoje yra didesnė nei pacientų, kurių inkstų funkcija normali. Tai greičiausiai susiję su didesnėmis imatinibą surišančio baltymo rūgščiojo alfa glikoproteino (AGP) koncentracijomis tokių pacientų plazmoje. Pacientus, kuriems yra inkstų funkcijos sutrikimas, gydyti reikia atsargiai. Jeigu gydymas netoleruojamas, dozę galima sumažinti (žr. 4.2 ir 5.2 skyrius).</w:t>
      </w:r>
    </w:p>
    <w:p w:rsidR="00634910" w:rsidRDefault="00634910" w:rsidP="00634910">
      <w:pPr>
        <w:spacing w:after="0" w:line="240" w:lineRule="auto"/>
        <w:rPr>
          <w:rFonts w:ascii="Times New Roman" w:hAnsi="Times New Roman" w:cs="Times New Roman"/>
          <w:lang w:val="lt-LT"/>
        </w:rPr>
      </w:pPr>
    </w:p>
    <w:p w:rsidR="00634910" w:rsidRDefault="00634910" w:rsidP="00634910">
      <w:pPr>
        <w:pStyle w:val="Porat"/>
        <w:rPr>
          <w:sz w:val="22"/>
          <w:szCs w:val="22"/>
        </w:rPr>
      </w:pPr>
      <w:r>
        <w:rPr>
          <w:sz w:val="22"/>
          <w:szCs w:val="22"/>
        </w:rPr>
        <w:t xml:space="preserve">Ilgalaikis gydymas imatinibu gali sukelti kliniškai reikšmingą inkstų funkcijos pablogėjimą. Dėl to prieš gydymo imatinibu pradžią turi būti ištirta inkstų funkcija ir toliau tiriama gydymo metu, ypač atkreipiant dėmesį į pacientus, kuriems yra inkstų funkcijos sutrikimo atsiradimo rizikos veiksnių. Jei nustatytas inkstų funkcijos sutrikimas, remiantis standartinėmis gydymo gairėmis turėtų būti paskirtas tinkamas gydymas.  </w:t>
      </w:r>
    </w:p>
    <w:p w:rsidR="00634910" w:rsidRDefault="00634910" w:rsidP="00634910">
      <w:pPr>
        <w:spacing w:after="0" w:line="240" w:lineRule="auto"/>
        <w:rPr>
          <w:rFonts w:ascii="Times New Roman" w:hAnsi="Times New Roman" w:cs="Times New Roman"/>
          <w:lang w:val="lt-LT"/>
        </w:rPr>
      </w:pPr>
    </w:p>
    <w:p w:rsidR="00634910" w:rsidRDefault="00634910" w:rsidP="00634910">
      <w:pPr>
        <w:keepNext/>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Vaikų populiacija</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Gauta pranešimų apie imatinibą vartojančių vaikų ir vaikų prieš paauglystę augimo sulėtėjimo atvejus. Ilgalaikio gydymo imatinibu sukeltas ilgalaikis poveikis vaikų augimui nežinomas. Todėl gydymo imatinibu metu rekomenduojama atidžiai stebėti vaikų augimą (žr. 4.8 skyrių).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8" w:name="_Toc129243231"/>
      <w:bookmarkStart w:id="9" w:name="_Toc129243106"/>
      <w:r>
        <w:rPr>
          <w:rFonts w:ascii="Times New Roman" w:hAnsi="Times New Roman" w:cs="Times New Roman"/>
          <w:b/>
          <w:lang w:val="lt-LT"/>
        </w:rPr>
        <w:t>4.5</w:t>
      </w:r>
      <w:r>
        <w:rPr>
          <w:rFonts w:ascii="Times New Roman" w:hAnsi="Times New Roman" w:cs="Times New Roman"/>
          <w:b/>
          <w:lang w:val="lt-LT"/>
        </w:rPr>
        <w:tab/>
        <w:t>Sąveika su kitais vaistiniais preparatais ir kitokia sąveika</w:t>
      </w:r>
      <w:bookmarkEnd w:id="8"/>
      <w:bookmarkEnd w:id="9"/>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Veikliosios medžiagos, kurios gali </w:t>
      </w:r>
      <w:r>
        <w:rPr>
          <w:rFonts w:ascii="Times New Roman" w:hAnsi="Times New Roman" w:cs="Times New Roman"/>
          <w:b/>
          <w:bCs/>
          <w:u w:val="single"/>
          <w:lang w:val="lt-LT"/>
        </w:rPr>
        <w:t>didinti</w:t>
      </w:r>
      <w:r>
        <w:rPr>
          <w:rFonts w:ascii="Times New Roman" w:hAnsi="Times New Roman" w:cs="Times New Roman"/>
          <w:u w:val="single"/>
          <w:lang w:val="lt-LT"/>
        </w:rPr>
        <w:t xml:space="preserve"> imatinibo koncentracijas plazmoje:</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Medžiagos, kurios slopina citochromo P450 CYP3A4 izofermentų aktyvumą (pvz., proteazės inhibitoriai, tokie kaip indinaviras, lopinaviras/ritonaviras, ritonaviras, sakvinaviras, telapreviras, nelfinaviras, bocepreviras; priešgrybeliniai azolo dariniai, įskaitant ketokonazolą, itrakonazolą, pozakonazolą, vorikonazolą; tam tikri makrolidai, tokie kaip eritromicinas, klaritromicinas ir telitromicinas), gali slopinti imatinibo metabolizmą ir didinti imatinibo koncentracijas. Reikšmingai padidėjo imatinibo ekspozicija (vidutinės imatinibo C</w:t>
      </w:r>
      <w:r>
        <w:rPr>
          <w:rFonts w:ascii="Times New Roman" w:hAnsi="Times New Roman" w:cs="Times New Roman"/>
          <w:vertAlign w:val="subscript"/>
          <w:lang w:val="lt-LT"/>
        </w:rPr>
        <w:t>max</w:t>
      </w:r>
      <w:r>
        <w:rPr>
          <w:rFonts w:ascii="Times New Roman" w:hAnsi="Times New Roman" w:cs="Times New Roman"/>
          <w:lang w:val="lt-LT"/>
        </w:rPr>
        <w:t xml:space="preserve"> ir </w:t>
      </w:r>
      <w:r>
        <w:rPr>
          <w:rFonts w:ascii="Times New Roman" w:hAnsi="Times New Roman" w:cs="Times New Roman"/>
          <w:i/>
          <w:iCs/>
          <w:lang w:val="lt-LT"/>
        </w:rPr>
        <w:t>AUC</w:t>
      </w:r>
      <w:r>
        <w:rPr>
          <w:rFonts w:ascii="Times New Roman" w:hAnsi="Times New Roman" w:cs="Times New Roman"/>
          <w:lang w:val="lt-LT"/>
        </w:rPr>
        <w:t xml:space="preserve"> padidėjo atitinkamai 26 % ir 40 %) sveikų savanorių, </w:t>
      </w:r>
      <w:r>
        <w:rPr>
          <w:rFonts w:ascii="Times New Roman" w:hAnsi="Times New Roman" w:cs="Times New Roman"/>
          <w:lang w:val="lt-LT"/>
        </w:rPr>
        <w:lastRenderedPageBreak/>
        <w:t>kurie kartu pavartojo vienkartinę ketokonazolo (CYP3A4 inhibitoriaus) dozę, organizme. Imatinibą skiriant kartu su CYP3A4 izofermentų inhibitoriais, gydyti reikia atsargiai.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Veikliosios medžiagos, kurios gali </w:t>
      </w:r>
      <w:r>
        <w:rPr>
          <w:rFonts w:ascii="Times New Roman" w:hAnsi="Times New Roman" w:cs="Times New Roman"/>
          <w:b/>
          <w:bCs/>
          <w:u w:val="single"/>
          <w:lang w:val="lt-LT"/>
        </w:rPr>
        <w:t>mažinti</w:t>
      </w:r>
      <w:r>
        <w:rPr>
          <w:rFonts w:ascii="Times New Roman" w:hAnsi="Times New Roman" w:cs="Times New Roman"/>
          <w:u w:val="single"/>
          <w:lang w:val="lt-LT"/>
        </w:rPr>
        <w:t xml:space="preserve"> imatinibo koncentracijas plazmoje</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Medžiagos, kurios sužadina CYP3A4 aktyvumą (pvz.: deksametazonas, fenitoinas, karbamazepinas, rifampicinas, fenobarbitalis, fosfenitoinas, primidonas arba jonažolės [</w:t>
      </w:r>
      <w:r>
        <w:rPr>
          <w:rFonts w:ascii="Times New Roman" w:hAnsi="Times New Roman" w:cs="Times New Roman"/>
          <w:i/>
          <w:iCs/>
          <w:lang w:val="lt-LT"/>
        </w:rPr>
        <w:t>Hypericum perforatum</w:t>
      </w:r>
      <w:r>
        <w:rPr>
          <w:rFonts w:ascii="Times New Roman" w:hAnsi="Times New Roman" w:cs="Times New Roman"/>
          <w:lang w:val="lt-LT"/>
        </w:rPr>
        <w:t>] preparatai), gali reikšmingai sumažinti imatinibo ekspoziciją ir didinti riziką, kad gydymas bus neveiksmingas. Pavartojus vienkartinę 400 mg imatinibo dozę po iš pradžių skirto gydymo kartotinėmis 600 mg rifampicino dozėmis, imatinibo C</w:t>
      </w:r>
      <w:r>
        <w:rPr>
          <w:rFonts w:ascii="Times New Roman" w:hAnsi="Times New Roman" w:cs="Times New Roman"/>
          <w:vertAlign w:val="subscript"/>
          <w:lang w:val="lt-LT"/>
        </w:rPr>
        <w:t>max</w:t>
      </w:r>
      <w:r>
        <w:rPr>
          <w:rFonts w:ascii="Times New Roman" w:hAnsi="Times New Roman" w:cs="Times New Roman"/>
          <w:lang w:val="lt-LT"/>
        </w:rPr>
        <w:t xml:space="preserve"> ir </w:t>
      </w:r>
      <w:r>
        <w:rPr>
          <w:rFonts w:ascii="Times New Roman" w:hAnsi="Times New Roman" w:cs="Times New Roman"/>
          <w:i/>
          <w:iCs/>
          <w:lang w:val="lt-LT"/>
        </w:rPr>
        <w:t>AUC</w:t>
      </w:r>
      <w:r>
        <w:rPr>
          <w:rFonts w:ascii="Times New Roman" w:hAnsi="Times New Roman" w:cs="Times New Roman"/>
          <w:vertAlign w:val="subscript"/>
          <w:lang w:val="lt-LT"/>
        </w:rPr>
        <w:t>(0-∞)</w:t>
      </w:r>
      <w:r>
        <w:rPr>
          <w:rFonts w:ascii="Times New Roman" w:hAnsi="Times New Roman" w:cs="Times New Roman"/>
          <w:lang w:val="lt-LT"/>
        </w:rPr>
        <w:t xml:space="preserve"> sumažėjo atitinkamai bent 54 % ir 74 %, palyginti su atitinkamais rodmenimis nevartojant rifampicino. Panašūs rezultatai buvo stebėti ir gydant imatinibu piktybines gliomas pacientams, kurie vartojo fermentus sužadinančių antiepilepsinių vaistinių preparatų (AEV), pavyzdžiui: karbamazepiną, okskarbazepiną ir fenitoiną. Imatinibo </w:t>
      </w:r>
      <w:r>
        <w:rPr>
          <w:rFonts w:ascii="Times New Roman" w:hAnsi="Times New Roman" w:cs="Times New Roman"/>
          <w:i/>
          <w:iCs/>
          <w:lang w:val="lt-LT"/>
        </w:rPr>
        <w:t>AUC</w:t>
      </w:r>
      <w:r>
        <w:rPr>
          <w:rFonts w:ascii="Times New Roman" w:hAnsi="Times New Roman" w:cs="Times New Roman"/>
          <w:lang w:val="lt-LT"/>
        </w:rPr>
        <w:t xml:space="preserve"> plazmoje sumažėjo 73 %, palyginti su pacientų, kurie nevartojo AEV. Reikia vengti imatinibą vartoti kartu su rifampicinu arba kitais stipraus poveikio CYP3A4 sužadinančiais vaistiniais preparatais.</w:t>
      </w:r>
    </w:p>
    <w:p w:rsidR="00634910" w:rsidRDefault="00634910" w:rsidP="00634910">
      <w:pPr>
        <w:spacing w:after="0" w:line="240" w:lineRule="auto"/>
        <w:rPr>
          <w:rFonts w:ascii="Times New Roman" w:hAnsi="Times New Roman" w:cs="Times New Roman"/>
          <w:lang w:val="lt-LT"/>
        </w:rPr>
      </w:pPr>
    </w:p>
    <w:p w:rsidR="00634910" w:rsidRPr="00154BAC" w:rsidRDefault="00634910" w:rsidP="00634910">
      <w:pPr>
        <w:spacing w:after="0" w:line="240" w:lineRule="auto"/>
        <w:rPr>
          <w:rFonts w:ascii="Times New Roman" w:hAnsi="Times New Roman" w:cs="Times New Roman"/>
          <w:bCs/>
          <w:u w:val="single"/>
          <w:lang w:val="lt-LT"/>
        </w:rPr>
      </w:pPr>
      <w:r w:rsidRPr="00154BAC">
        <w:rPr>
          <w:rFonts w:ascii="Times New Roman" w:hAnsi="Times New Roman" w:cs="Times New Roman"/>
          <w:bCs/>
          <w:u w:val="single"/>
          <w:lang w:val="lt-LT"/>
        </w:rPr>
        <w:t>Veikliosios medžiagos, kurių koncentracija plazmoje vartojant imatinibą gali keistis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Imatinibas padidina simvastatino (CYP3A4 substrato) C</w:t>
      </w:r>
      <w:r>
        <w:rPr>
          <w:rFonts w:ascii="Times New Roman" w:hAnsi="Times New Roman" w:cs="Times New Roman"/>
          <w:vertAlign w:val="subscript"/>
          <w:lang w:val="lt-LT"/>
        </w:rPr>
        <w:t>max</w:t>
      </w:r>
      <w:r>
        <w:rPr>
          <w:rFonts w:ascii="Times New Roman" w:hAnsi="Times New Roman" w:cs="Times New Roman"/>
          <w:lang w:val="lt-LT"/>
        </w:rPr>
        <w:t xml:space="preserve"> ir </w:t>
      </w:r>
      <w:r>
        <w:rPr>
          <w:rFonts w:ascii="Times New Roman" w:hAnsi="Times New Roman" w:cs="Times New Roman"/>
          <w:i/>
          <w:iCs/>
          <w:lang w:val="lt-LT"/>
        </w:rPr>
        <w:t>AUC</w:t>
      </w:r>
      <w:r>
        <w:rPr>
          <w:rFonts w:ascii="Times New Roman" w:hAnsi="Times New Roman" w:cs="Times New Roman"/>
          <w:lang w:val="lt-LT"/>
        </w:rPr>
        <w:t xml:space="preserve"> atitinkamai 2 ir 3,5 karto. Tai rodo, kad imatinibas slopina CYP3A4. Todėl rekomenduojama imtis atsargumo priemonių, imatinibą skiriant vartoti kartu su CYP3A4 substratais, kurie turi siaurą terapinį langą (pvz., ciklosporinu, pimozidu, takrolimuzu, sirolimuzu, ergotaminu, diergotaminu, fentaniliu, alfentaniliu, terfenadinu, bortezomibu, docetakseliu ir chinidinu). Imatinibas gali didinti kitų CYP3A4 metabolizuojamų vaistinių preparatų (pvz.: triazolų grupės benzodiazepinų, dihidropiridinų grupės kalcio kanalų blokatorių, kai kurių HMG-KoA reduktazės inhibitorių, t. y. statinų, ir kt.) koncentraciją plazmoje.</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Dėl žinomos su imatinibo vartojimu susijusios padidėjusios kraujavimo (pvz., hemoragijos) rizikos pacientams, kuriuos reikia gydyti antikoaguliantais, vietoj kumarino darinių, tokių kaip varfarinas, reikia skirti mažos molekulinės masės arba įprastus heparino preparatus.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Imatinibas slopina citochromo P450 CYP2D6 izofermento aktyvumą </w:t>
      </w:r>
      <w:r>
        <w:rPr>
          <w:rFonts w:ascii="Times New Roman" w:hAnsi="Times New Roman" w:cs="Times New Roman"/>
          <w:i/>
          <w:iCs/>
          <w:lang w:val="lt-LT"/>
        </w:rPr>
        <w:t>in vitro</w:t>
      </w:r>
      <w:r>
        <w:rPr>
          <w:rFonts w:ascii="Times New Roman" w:hAnsi="Times New Roman" w:cs="Times New Roman"/>
          <w:lang w:val="lt-LT"/>
        </w:rPr>
        <w:t>, kai jo koncentracijos yra panašios į tas, kurios veikia CYP3A4 aktyvumą. Vartojant 400 mg imatinibo dozę du kartus per parą, slopinamas CYP2D6 veikiamas metoprololio metabolizmas ir metoprololio C</w:t>
      </w:r>
      <w:r>
        <w:rPr>
          <w:rFonts w:ascii="Times New Roman" w:hAnsi="Times New Roman" w:cs="Times New Roman"/>
          <w:vertAlign w:val="subscript"/>
          <w:lang w:val="lt-LT"/>
        </w:rPr>
        <w:t>max</w:t>
      </w:r>
      <w:r>
        <w:rPr>
          <w:rFonts w:ascii="Times New Roman" w:hAnsi="Times New Roman" w:cs="Times New Roman"/>
          <w:lang w:val="lt-LT"/>
        </w:rPr>
        <w:t xml:space="preserve"> ir </w:t>
      </w:r>
      <w:r>
        <w:rPr>
          <w:rFonts w:ascii="Times New Roman" w:hAnsi="Times New Roman" w:cs="Times New Roman"/>
          <w:i/>
          <w:iCs/>
          <w:lang w:val="lt-LT"/>
        </w:rPr>
        <w:t>AUC</w:t>
      </w:r>
      <w:r>
        <w:rPr>
          <w:rFonts w:ascii="Times New Roman" w:hAnsi="Times New Roman" w:cs="Times New Roman"/>
          <w:lang w:val="lt-LT"/>
        </w:rPr>
        <w:t xml:space="preserve"> padidėja maždaug 23 % (90 % PI [1,16</w:t>
      </w:r>
      <w:r>
        <w:rPr>
          <w:rFonts w:ascii="Times New Roman" w:hAnsi="Times New Roman" w:cs="Times New Roman"/>
          <w:lang w:val="lt-LT"/>
        </w:rPr>
        <w:noBreakHyphen/>
        <w:t>1,30]). Atrodo, kad imatinibą vartojant kartu su CYP2D6 substratais, dozės keisti nebūtina, tačiau vartojant kartu CYP2D6 substratus, kurie turi siaurą terapinį langą (pvz., metoprololį), gydyti reikia atsargiai. Reikia apgalvotai stebėti metoprololiu gydomų pacientų klinikinę būklę.</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Imatinibas slopina paracetamolio O-gliukuronizaciją</w:t>
      </w:r>
      <w:r>
        <w:rPr>
          <w:rFonts w:ascii="Times New Roman" w:hAnsi="Times New Roman" w:cs="Times New Roman"/>
          <w:i/>
          <w:iCs/>
          <w:lang w:val="lt-LT"/>
        </w:rPr>
        <w:t xml:space="preserve"> in vitro</w:t>
      </w:r>
      <w:r>
        <w:rPr>
          <w:rFonts w:ascii="Times New Roman" w:hAnsi="Times New Roman" w:cs="Times New Roman"/>
          <w:lang w:val="lt-LT"/>
        </w:rPr>
        <w:t xml:space="preserve"> (Ki vertė yra 58,5 mikromolių/l). Pavartojus 400 mg imatinibo ir 1000 mg paracetamolio dozes, tokio slopinimo </w:t>
      </w:r>
      <w:r>
        <w:rPr>
          <w:rFonts w:ascii="Times New Roman" w:hAnsi="Times New Roman" w:cs="Times New Roman"/>
          <w:i/>
          <w:iCs/>
          <w:lang w:val="lt-LT"/>
        </w:rPr>
        <w:t>in vivo</w:t>
      </w:r>
      <w:r>
        <w:rPr>
          <w:rFonts w:ascii="Times New Roman" w:hAnsi="Times New Roman" w:cs="Times New Roman"/>
          <w:lang w:val="lt-LT"/>
        </w:rPr>
        <w:t xml:space="preserve"> nepastebėta. Didesnės imatinibo ir paracetamolio dozės netirtos.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Todėl dideles imatinibo dozes vartojant kartu su paracetamoliu, gydyti reikia atsargiai.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Levotiroksinu po skydliaukės pašalinimo operacijos gydytiems pacientams kartu pavartojus imatinibo, gali sumažėti levotiroksino ekspozicija plazmoje (žr. 4.4 skyrių). Todėl gydyti rekomenduojama atsargiai. Vis dėlto stebėtos sąveikos mechanizmas iki šiol nežinomas.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Yra klinikinės patirties kartu vartojant imatinibą ir chemoterapiją pacientų, sergančiųjų </w:t>
      </w:r>
      <w:r w:rsidRPr="00132FED">
        <w:rPr>
          <w:rFonts w:ascii="Times New Roman" w:hAnsi="Times New Roman" w:cs="Times New Roman"/>
          <w:i/>
          <w:lang w:val="lt-LT"/>
        </w:rPr>
        <w:t>Ph</w:t>
      </w:r>
      <w:r>
        <w:rPr>
          <w:rFonts w:ascii="Times New Roman" w:hAnsi="Times New Roman" w:cs="Times New Roman"/>
          <w:lang w:val="lt-LT"/>
        </w:rPr>
        <w:t>+ ŪLL, tarpe (žr. 5.1 skyrių), bet vaisto-vaisto sąveikos tarp imatinibo ir chemoterapijos kontrolės nėra gerai aprašytos. Imatinibo sukeliamų nepageidaujamų reiškinių, pvz., hepatotoksiškumo, kaulų čiulpų supresijos arba kitų, gali daugėti ir pranešta, kad kartu vartojant L-asparaginazės, gali padidėti hepatotoksiškumas (žr. 4.8 skyrių). Todėl, kartu su Imatinib Ranbaxy vartojant kitų vaistų, reikia specialių atsargumo priemonių.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10" w:name="_Toc129243232"/>
      <w:bookmarkStart w:id="11" w:name="_Toc129243107"/>
      <w:r>
        <w:rPr>
          <w:rFonts w:ascii="Times New Roman" w:hAnsi="Times New Roman" w:cs="Times New Roman"/>
          <w:b/>
          <w:lang w:val="lt-LT"/>
        </w:rPr>
        <w:t>4.6</w:t>
      </w:r>
      <w:r>
        <w:rPr>
          <w:rFonts w:ascii="Times New Roman" w:hAnsi="Times New Roman" w:cs="Times New Roman"/>
          <w:b/>
          <w:lang w:val="lt-LT"/>
        </w:rPr>
        <w:tab/>
        <w:t>Vaisingumas, nėštumo ir žindymo laikotarpis</w:t>
      </w:r>
      <w:bookmarkEnd w:id="10"/>
      <w:bookmarkEnd w:id="11"/>
    </w:p>
    <w:p w:rsidR="00634910" w:rsidRDefault="00634910" w:rsidP="00634910">
      <w:pPr>
        <w:spacing w:after="0" w:line="240" w:lineRule="auto"/>
        <w:rPr>
          <w:rFonts w:ascii="Times New Roman" w:hAnsi="Times New Roman" w:cs="Times New Roman"/>
          <w:lang w:val="lt-LT"/>
        </w:rPr>
      </w:pPr>
    </w:p>
    <w:p w:rsidR="00634910" w:rsidRPr="00154BAC" w:rsidRDefault="00634910" w:rsidP="00634910">
      <w:pPr>
        <w:spacing w:after="0" w:line="240" w:lineRule="auto"/>
        <w:rPr>
          <w:rFonts w:ascii="Times New Roman" w:hAnsi="Times New Roman" w:cs="Times New Roman"/>
          <w:u w:val="single"/>
          <w:lang w:val="lt-LT"/>
        </w:rPr>
      </w:pPr>
      <w:r w:rsidRPr="00154BAC">
        <w:rPr>
          <w:rFonts w:ascii="Times New Roman" w:hAnsi="Times New Roman" w:cs="Times New Roman"/>
          <w:u w:val="single"/>
          <w:lang w:val="lt-LT"/>
        </w:rPr>
        <w:t>Vaisingo amžiaus moterys</w:t>
      </w:r>
    </w:p>
    <w:p w:rsidR="00634910" w:rsidRPr="00154BAC"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Vaisingo amžiaus moterims reikia patarti, kad gydymo metu naudotų veiksmingą kontracepcijos metodą.</w:t>
      </w:r>
    </w:p>
    <w:p w:rsidR="00634910" w:rsidRDefault="00634910" w:rsidP="00634910">
      <w:pPr>
        <w:spacing w:after="0" w:line="240" w:lineRule="auto"/>
        <w:rPr>
          <w:rFonts w:ascii="Times New Roman" w:hAnsi="Times New Roman" w:cs="Times New Roman"/>
          <w:u w:val="single"/>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Nėštumas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Reikiamų duomenų apie imatinibo vartojimą moterims nėštumo metu nepakanka. Vis dėlto su gyvūnais atlikti tyrimai parodė toksinį poveikį reprodukcijai (žr. 5.3 skyrių), o galimas pavojus vaisiui nežinomas. Imatinibo nėštumo metu vartoti negalima, išskyrus neabejotinai būtinus atvejus. Jeigu imatinibas skiriamas vartoti nėštumo metu, pacientei reikia pasakyti apie galimą riziką vaisiui.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Žindymas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Duomenys apie imatinibo išsiskyrimą į motinos pieną yra riboti. Du tyrimai su žindyvėmis parodė, kad imatinibas ir jo veiklusis metabolitas gali išsiskirti į motinos pieną. Buvo nustatytas imatinibo ir jo metabolito koncentracijų piene ir plazmoje santykis vienai pacientei: atitinkamai 0,5 ir 0,9. Tai rodo, kad metabolito į pieną išsiskiria daugiau. Atsižvelgiant į suminę imatinibo ir jo metabolito koncentraciją bei didžiausią per parą kūdikio suvartojamą pieno kiekį, tikėtina, kad bendroji ekspozicija galėtų būti nedidelė (~10 % gydomosios dozės). Vis dėlto poveikis kūdikiui, susijęs su nedidelės imatinibo dozės ekspozicija, nežinomas, todėl imatinibą vartojančioms moterims žindyti negalima.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Vaisingumas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Ikiklinikinių tyrimų metu, žiurkių patinų ir patelių vaisingumas nepakito (žr. 5.3 skyrių). Nebuvo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atlikta tyrimų, imatinibo skiriant pacientams, taigi vaisto poveikis vaisingumui ir gametogenezei nebuvo neištirtas. Dėl gydymo imatinibu poveikio vaisingumui, pacientams reikėtų pasitarti su gydytoju.</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12" w:name="_Toc129243233"/>
      <w:bookmarkStart w:id="13" w:name="_Toc129243108"/>
      <w:r>
        <w:rPr>
          <w:rFonts w:ascii="Times New Roman" w:hAnsi="Times New Roman" w:cs="Times New Roman"/>
          <w:b/>
          <w:lang w:val="lt-LT"/>
        </w:rPr>
        <w:t>4.7</w:t>
      </w:r>
      <w:r>
        <w:rPr>
          <w:rFonts w:ascii="Times New Roman" w:hAnsi="Times New Roman" w:cs="Times New Roman"/>
          <w:b/>
          <w:lang w:val="lt-LT"/>
        </w:rPr>
        <w:tab/>
        <w:t>Poveikis gebėjimui vairuoti ir valdyti mechanizmus</w:t>
      </w:r>
      <w:bookmarkEnd w:id="12"/>
      <w:bookmarkEnd w:id="13"/>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Pacientams reikia paaiškinti, kad gydymo imatinibu metu gali pasireikšti nepageidaujamas poveikis, pavyzdžiui: galvos svaigimas, miglotas matymas ar mieguistumas. Todėl rekomenduojama būti atsargiems vairuojant automobilį ar valdant mechanizmus.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14" w:name="_Toc129243234"/>
      <w:bookmarkStart w:id="15" w:name="_Toc129243109"/>
      <w:r>
        <w:rPr>
          <w:rFonts w:ascii="Times New Roman" w:hAnsi="Times New Roman" w:cs="Times New Roman"/>
          <w:b/>
          <w:lang w:val="lt-LT"/>
        </w:rPr>
        <w:t>4.8</w:t>
      </w:r>
      <w:r>
        <w:rPr>
          <w:rFonts w:ascii="Times New Roman" w:hAnsi="Times New Roman" w:cs="Times New Roman"/>
          <w:b/>
          <w:lang w:val="lt-LT"/>
        </w:rPr>
        <w:tab/>
        <w:t>Nepageidaujamas poveikis</w:t>
      </w:r>
      <w:bookmarkEnd w:id="14"/>
      <w:bookmarkEnd w:id="15"/>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Pacientams, kuriems yra diagnozuotas vėlesnių stadijų piktybinis navikas, gali būti daug įtaką darančių medicininių aplinkybių, dėl kurių būna sunku įvertinti nepageidaujamų reakcijų priežastis dėl simptomų, susijusių su pagrindine liga, jos progresavimu ir kartu vartojamais įvairiais vaisiniais preparatais, įvairovės.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lastRenderedPageBreak/>
        <w:t>Klinikinių LML tyrimų duomenimis, vaistinio preparato vartojimą dėl nepageidaujamų reakcijų, susijusių su vaistiniu preparatu, nutraukė 2,4 % pacientų, kuriems liga buvo diagnozuota pirmą kartą, 4 % pacientų, kuriems buvo diagnozuota vėlyva lėtinė fazė po neveiksmingo gydymo interferonu, 4 % pacientų, kuriems buvo diagnozuota akceleracijos fazė po neveiksmingo gydymo interferonu, ir 5 % pacientų, kuriems buvo diagnozuota blastinė krizė po neveiksmingo gydymo interferonu. GIST tyrimų metu dėl vaisto sukeltų nepageidaujamų reakcijų vaistą teko nutraukti 4 % pacientų.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Nepageidaujamos reakcijos buvo panašios vartojant vaistinį preparatą pagal visas indikacijas, išskyrus du atvejus. LML sergantiems pacientams pasireiškė stipresnis kaulų čiulpų funkcijos slopinimas nei pacientams, kuriems buvo diagnozuotas GIST (greičiausiai dėl pagrindinės ligos). Klinikinio tyrimo duomenimis, iš jame dalyvavusių pacientų, kuriems buvo nerezekuotinas ir (ar) metastazavęs GIST, 7 (5 %) pacientams buvo: CTC 3/4 laipsnio kraujavimas iš virškinimo trakto (3 pacientams), vidunavikinis kraujavimas (3 pacientams) ar abu požymiai (1 pacientui). Virškinimo trakte gali kraujuoti iš naviko (žr. 4.4 skyrių). Retkarčiais kraujavimas iš virškinimo trakto ar naviko gali būti mirtinas. Dažniausi (≥ 10 %) su vaistu susiję nepageidaujami reiškiniai abiem ligomis sergantiems pacientams buvo nestiprus pykinimas, vėmimas, viduriavimas, pilvo skausmas, nuovargis, mialgija, raumenų mėšlungis ir išbėrimas. Paviršinės edemos buvo dažnas reiškinys visuose tyrimuose ir visų pirma buvo aprašytos kaip periorbitalinė ar apatinių galūnių edemos. Vis dėlto šios edemos labai retais atvejais buvo sunkios ir gali būti gydomos diuretikais, kitomis pagalbinėmis priemonėmis arba sumažinant imatinibo dozę.</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sidRPr="00132FED">
        <w:rPr>
          <w:rFonts w:ascii="Times New Roman" w:hAnsi="Times New Roman" w:cs="Times New Roman"/>
          <w:i/>
          <w:lang w:val="lt-LT"/>
        </w:rPr>
        <w:t>Ph</w:t>
      </w:r>
      <w:r>
        <w:rPr>
          <w:rFonts w:ascii="Times New Roman" w:hAnsi="Times New Roman" w:cs="Times New Roman"/>
          <w:lang w:val="lt-LT"/>
        </w:rPr>
        <w:t xml:space="preserve">+ ŪLL sergantiems pacientams, vartojusiems imatinibą kartu su didelėmis chemoterapinių preparatų dozėmis, stebėtas laikinas toksinis poveikis kepenims, pasireiškęs transaminazių aktyvumo padidėjimu ir hiperbilirubinemija. Atsižvelgiant į ribotus turimus saugumo duomenis, vaikams pasireiškusių nepageidaujamų reiškinių, apie kuriuos pranešta, pobūdis atitinka žinomus saugumo savybių duomenis </w:t>
      </w:r>
      <w:r w:rsidRPr="00132FED">
        <w:rPr>
          <w:rFonts w:ascii="Times New Roman" w:hAnsi="Times New Roman" w:cs="Times New Roman"/>
          <w:i/>
          <w:lang w:val="lt-LT"/>
        </w:rPr>
        <w:t>Ph</w:t>
      </w:r>
      <w:r>
        <w:rPr>
          <w:rFonts w:ascii="Times New Roman" w:hAnsi="Times New Roman" w:cs="Times New Roman"/>
          <w:lang w:val="lt-LT"/>
        </w:rPr>
        <w:t xml:space="preserve">+ ŪLL sergantiems suaugusiesiems. Turimi duomenys apie saugumo savybes </w:t>
      </w:r>
      <w:r w:rsidRPr="00132FED">
        <w:rPr>
          <w:rFonts w:ascii="Times New Roman" w:hAnsi="Times New Roman" w:cs="Times New Roman"/>
          <w:i/>
          <w:lang w:val="lt-LT"/>
        </w:rPr>
        <w:t>Ph</w:t>
      </w:r>
      <w:r>
        <w:rPr>
          <w:rFonts w:ascii="Times New Roman" w:hAnsi="Times New Roman" w:cs="Times New Roman"/>
          <w:lang w:val="lt-LT"/>
        </w:rPr>
        <w:t>+ ŪLL sergantiems vaikams yra labai riboti, tačiau naujų nerimą keliančių saugumo duomenų nustatyta nebuvo.</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b/>
          <w:bCs/>
          <w:lang w:val="lt-LT" w:eastAsia="en-US"/>
        </w:rPr>
      </w:pPr>
      <w:r>
        <w:rPr>
          <w:rFonts w:ascii="Times New Roman" w:hAnsi="Times New Roman" w:cs="Times New Roman"/>
          <w:lang w:val="lt-LT"/>
        </w:rPr>
        <w:t>Įvairios nepageidaujamos reakcijos, pavyzdžiui, skysčių kaupimasis pleuros ertmėje, ascitas, plaučių edema ir greitas kūno masės didėjimas, gali būti apibūdintos bendrai kaip ,,skysčių susilaikymas“. Šias reakcijas paprastai galima gydyti laikinai pertraukiant gydymą imatinibu ir skiriant diuretikų ar kitas tinkamas palaikomojo gydymo priemones. Vis dėlto kai kurios iš šių reakcijų gali būti sunkios ar pavojingos gyvybei ir keletas pacientų, kuriems pasireiškė blastinė krizė ir turėjo sudėtingą klinikinę istoriją, kuri apėmė skysčių susikaupimą pleuros ertmėje, stazinį širdies nepakankamumą ir inkstų funkcijos nepakankamumą, mirė. Specialių saugumo duomenų, gautų klinikinių tyrimų su vaikais metu, nėra.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b/>
          <w:bCs/>
          <w:lang w:val="lt-LT"/>
        </w:rPr>
      </w:pPr>
      <w:r>
        <w:rPr>
          <w:rFonts w:ascii="Times New Roman" w:hAnsi="Times New Roman" w:cs="Times New Roman"/>
          <w:b/>
          <w:bCs/>
          <w:lang w:val="lt-LT"/>
        </w:rPr>
        <w:t>Nepageidaujamos reakcijos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Nepageidaujamos reakcijos, apie kurias buvo pranešta dažniau nei pavieniais atvejais, išvardytos toliau pagal organų sistemų klases ir dažnį. Nepageidaujamų reiškinių dažnis nurodomas naudojant tokius dažnių apibūdinimus: labai dažni (≥1/10), dažni (nuo ≥1/100 iki &lt;1/10), nedažni (nuo ≥1/1 000 iki &lt;1/100), reti (nuo ≥1/10 000 iki &lt;1/1 000), labai reti (&lt;1/10 000), dažnis nežinomas (negali būti įvertintas pagal turimus duomenis).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Kiekvienoje dažnio grupėje nepageidaujamas poveikis pateikiamas mažėjančio sunkumo tvarka.</w:t>
      </w:r>
    </w:p>
    <w:p w:rsidR="00634910" w:rsidRDefault="00634910" w:rsidP="00634910">
      <w:pPr>
        <w:spacing w:after="0" w:line="240" w:lineRule="auto"/>
        <w:rPr>
          <w:rFonts w:ascii="Times New Roman" w:hAnsi="Times New Roman" w:cs="Times New Roman"/>
          <w:lang w:val="lt-LT"/>
        </w:rPr>
      </w:pPr>
    </w:p>
    <w:p w:rsidR="00634910" w:rsidRPr="002F72A3" w:rsidRDefault="00634910" w:rsidP="00634910">
      <w:pPr>
        <w:spacing w:after="0" w:line="240" w:lineRule="auto"/>
        <w:rPr>
          <w:rFonts w:ascii="Times New Roman" w:hAnsi="Times New Roman"/>
          <w:b/>
          <w:lang w:val="lt-LT"/>
        </w:rPr>
      </w:pPr>
      <w:r>
        <w:rPr>
          <w:rFonts w:ascii="Times New Roman" w:hAnsi="Times New Roman" w:cs="Times New Roman"/>
          <w:lang w:val="lt-LT"/>
        </w:rPr>
        <w:t>Nepageidaujamos reakcijos ir jų dažniai, nurodyti lentelėje Nr. 1.</w:t>
      </w:r>
    </w:p>
    <w:p w:rsidR="00634910" w:rsidRDefault="00634910" w:rsidP="00634910">
      <w:pPr>
        <w:spacing w:after="0" w:line="240" w:lineRule="auto"/>
        <w:rPr>
          <w:rFonts w:ascii="Times New Roman" w:hAnsi="Times New Roman" w:cs="Times New Roman"/>
          <w:b/>
          <w:bCs/>
          <w:lang w:val="lt-LT"/>
        </w:rPr>
      </w:pPr>
    </w:p>
    <w:p w:rsidR="00634910" w:rsidRDefault="00634910" w:rsidP="00634910">
      <w:pPr>
        <w:spacing w:after="0" w:line="240" w:lineRule="auto"/>
        <w:rPr>
          <w:rFonts w:ascii="Times New Roman" w:hAnsi="Times New Roman" w:cs="Times New Roman"/>
          <w:b/>
          <w:bCs/>
          <w:lang w:val="lt-LT"/>
        </w:rPr>
      </w:pPr>
      <w:r>
        <w:rPr>
          <w:rFonts w:ascii="Times New Roman" w:hAnsi="Times New Roman" w:cs="Times New Roman"/>
          <w:b/>
          <w:bCs/>
          <w:lang w:val="lt-LT"/>
        </w:rPr>
        <w:t xml:space="preserve">Lentelė Nr. 1. </w:t>
      </w:r>
      <w:r w:rsidRPr="009D3657">
        <w:rPr>
          <w:rFonts w:ascii="Times New Roman" w:hAnsi="Times New Roman" w:cs="Times New Roman"/>
          <w:b/>
          <w:bCs/>
          <w:lang w:val="lt-LT"/>
        </w:rPr>
        <w:t>Nepageidaujamų reakcijų santrauka</w:t>
      </w:r>
    </w:p>
    <w:p w:rsidR="00634910" w:rsidRDefault="00634910" w:rsidP="00634910">
      <w:pPr>
        <w:spacing w:after="0" w:line="240" w:lineRule="auto"/>
        <w:rPr>
          <w:rFonts w:ascii="Times New Roman" w:hAnsi="Times New Roman" w:cs="Times New Roman"/>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378"/>
      </w:tblGrid>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bCs/>
                <w:lang w:val="lt-LT"/>
              </w:rPr>
              <w:t>Infekcijos ir infestacijos</w:t>
            </w:r>
          </w:p>
        </w:tc>
      </w:tr>
      <w:tr w:rsidR="00634910" w:rsidRPr="00F82138" w:rsidTr="00E16918">
        <w:trPr>
          <w:trHeight w:val="381"/>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Juosiančioji pūslelinė (</w:t>
            </w:r>
            <w:r>
              <w:rPr>
                <w:rFonts w:ascii="Times New Roman" w:hAnsi="Times New Roman" w:cs="Times New Roman"/>
                <w:i/>
                <w:iCs/>
                <w:lang w:val="lt-LT"/>
              </w:rPr>
              <w:t>herpes zoster</w:t>
            </w:r>
            <w:r>
              <w:rPr>
                <w:rFonts w:ascii="Times New Roman" w:hAnsi="Times New Roman" w:cs="Times New Roman"/>
                <w:lang w:val="lt-LT"/>
              </w:rPr>
              <w:t>), paprastoji pūslelinė (</w:t>
            </w:r>
            <w:r>
              <w:rPr>
                <w:rFonts w:ascii="Times New Roman" w:hAnsi="Times New Roman" w:cs="Times New Roman"/>
                <w:i/>
                <w:iCs/>
                <w:lang w:val="lt-LT"/>
              </w:rPr>
              <w:t>herpes simplex</w:t>
            </w:r>
            <w:r>
              <w:rPr>
                <w:rFonts w:ascii="Times New Roman" w:hAnsi="Times New Roman" w:cs="Times New Roman"/>
                <w:lang w:val="lt-LT"/>
              </w:rPr>
              <w:t xml:space="preserve">), nazofaringitas, pneumonija </w:t>
            </w:r>
            <w:r>
              <w:rPr>
                <w:rFonts w:ascii="Times New Roman" w:hAnsi="Times New Roman" w:cs="Times New Roman"/>
                <w:vertAlign w:val="superscript"/>
                <w:lang w:val="lt-LT"/>
              </w:rPr>
              <w:t>1</w:t>
            </w:r>
            <w:r>
              <w:rPr>
                <w:rFonts w:ascii="Times New Roman" w:hAnsi="Times New Roman" w:cs="Times New Roman"/>
                <w:lang w:val="lt-LT"/>
              </w:rPr>
              <w:t>, sinusitas, celiulitas, viršutinių kvėpavimo takų infekcinė liga, gripas, šlapimo takų infekcinė liga, gastroenteritas, sepsis.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Grybelių sukelta infekcinė liga.</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Gerybiniai, piktybiniai ir nepatikslinti navikai (tarp jų cistos ir polipai)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Naviko irimo sindromas.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Naviko kraujosruva/naviko nekrozė*</w:t>
            </w:r>
          </w:p>
        </w:tc>
      </w:tr>
      <w:tr w:rsidR="00634910" w:rsidTr="00E16918">
        <w:trPr>
          <w:trHeight w:val="100"/>
        </w:trPr>
        <w:tc>
          <w:tcPr>
            <w:tcW w:w="9620" w:type="dxa"/>
            <w:gridSpan w:val="2"/>
            <w:tcBorders>
              <w:top w:val="single" w:sz="4" w:space="0" w:color="auto"/>
              <w:left w:val="single" w:sz="4" w:space="0" w:color="auto"/>
              <w:bottom w:val="single" w:sz="4" w:space="0" w:color="auto"/>
              <w:right w:val="single" w:sz="4" w:space="0" w:color="auto"/>
            </w:tcBorders>
          </w:tcPr>
          <w:p w:rsidR="00634910" w:rsidRPr="002F72A3" w:rsidRDefault="00634910" w:rsidP="00E16918">
            <w:pPr>
              <w:spacing w:after="0" w:line="240" w:lineRule="auto"/>
              <w:rPr>
                <w:rFonts w:ascii="Times New Roman" w:hAnsi="Times New Roman"/>
                <w:b/>
                <w:lang w:val="lt-LT"/>
              </w:rPr>
            </w:pPr>
            <w:r w:rsidRPr="003A5591">
              <w:rPr>
                <w:rFonts w:ascii="Times New Roman" w:hAnsi="Times New Roman" w:cs="Times New Roman"/>
                <w:b/>
                <w:lang w:val="lt-LT"/>
              </w:rPr>
              <w:t>Imuninės sistemos sutrikimai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Pr="009D3657"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Anafilaksinis šokas*</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Kraujo ir limfinės sistemos sutrikimai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Labai 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Neutropenija, trombocitopenija, anemija.</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Pancitopenija, febrili neutropenija.</w:t>
            </w:r>
          </w:p>
        </w:tc>
      </w:tr>
      <w:tr w:rsidR="00634910" w:rsidRPr="00F82138"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Trombocitemija, limfopenija, kaulų čiulpų funkcijos slopinimas, eozinofilija, limfadenopatija.</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Hemolizinė anemija.</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Metabolizmo ir mitybos sutrikimai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Anoreksija.</w:t>
            </w:r>
          </w:p>
        </w:tc>
      </w:tr>
      <w:tr w:rsidR="00634910" w:rsidRPr="00F82138" w:rsidTr="00E16918">
        <w:trPr>
          <w:trHeight w:val="359"/>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Hipokalemija, apetito padidėjimas, hipofosfatemija, apetito sumažėjimas, dehidratacija, podagra, hiperurikemija, hiperkalcemija, hiperglikemija, hiponatremija.</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Hiperkalemija, hipomagnezemija.</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Psichikos sutrikimai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Nemiga.</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Depresija, lytinio potraukio sumažėjimas, nerimas.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Sumišimo būklė.</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Nervų sistemos sutrikimai</w:t>
            </w:r>
          </w:p>
        </w:tc>
      </w:tr>
      <w:tr w:rsidR="00634910" w:rsidTr="00E16918">
        <w:trPr>
          <w:trHeight w:val="122"/>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Labai 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Galvos skausmas </w:t>
            </w:r>
            <w:r>
              <w:rPr>
                <w:rFonts w:ascii="Times New Roman" w:hAnsi="Times New Roman" w:cs="Times New Roman"/>
                <w:vertAlign w:val="superscript"/>
                <w:lang w:val="lt-LT"/>
              </w:rPr>
              <w:t>2</w:t>
            </w:r>
            <w:r>
              <w:rPr>
                <w:rFonts w:ascii="Times New Roman" w:hAnsi="Times New Roman" w:cs="Times New Roman"/>
                <w:lang w:val="lt-LT"/>
              </w:rPr>
              <w:t>.</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Svaigulys, parestezija, skonio pojūčio sutrikimas, hipestezija.</w:t>
            </w:r>
          </w:p>
        </w:tc>
      </w:tr>
      <w:tr w:rsidR="00634910" w:rsidRPr="00F82138"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Migrena, somnolencija, apalpimas, periferinė neuropatija, atminties sutrikimas, sėdmens nervo skausmas, neramių kojų sindromas, drebulys, kraujavimas į galvos smegenis.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Galvospūdžio padidėjimas, traukuliai, regos nervo neuritas.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Smegenų edema*</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Akių sutrikimai</w:t>
            </w:r>
          </w:p>
        </w:tc>
      </w:tr>
      <w:tr w:rsidR="00634910" w:rsidRPr="00F82138"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Akių vokų edema, ašarojimo sustiprėjimas, junginės kraujosruvos, akių sausmė, miglotas matymas.</w:t>
            </w:r>
          </w:p>
        </w:tc>
      </w:tr>
      <w:tr w:rsidR="00634910" w:rsidRPr="00F82138"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 xml:space="preserve">Nedažni: </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Akies dirginimas, akies skausmas, akiduobės edema, odenos kraujosruva, tinklainės kraujosruva, blefaritas, geltonosios dėmės edema.</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 xml:space="preserve">Reti: </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Katarakta, glaukoma, regos nervo spenelio edema (papiloedema).</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Stiklakūnio kraujosruva*</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Ausų ir labirintų sutrikimai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Galvos svaigimas (</w:t>
            </w:r>
            <w:r w:rsidRPr="00132FED">
              <w:rPr>
                <w:rFonts w:ascii="Times New Roman" w:hAnsi="Times New Roman" w:cs="Times New Roman"/>
                <w:i/>
                <w:lang w:val="lt-LT"/>
              </w:rPr>
              <w:t>tinnitus</w:t>
            </w:r>
            <w:r>
              <w:rPr>
                <w:rFonts w:ascii="Times New Roman" w:hAnsi="Times New Roman" w:cs="Times New Roman"/>
                <w:lang w:val="lt-LT"/>
              </w:rPr>
              <w:t>), ūžesys, prikurtimas.</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Širdies sutrikimai</w:t>
            </w:r>
          </w:p>
        </w:tc>
      </w:tr>
      <w:tr w:rsidR="00634910" w:rsidTr="00E16918">
        <w:trPr>
          <w:trHeight w:val="122"/>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Palpitacijos, tachikardija, stazinis širdies nepakankamumas </w:t>
            </w:r>
            <w:r>
              <w:rPr>
                <w:rFonts w:ascii="Times New Roman" w:hAnsi="Times New Roman" w:cs="Times New Roman"/>
                <w:vertAlign w:val="superscript"/>
                <w:lang w:val="lt-LT"/>
              </w:rPr>
              <w:t>3</w:t>
            </w:r>
            <w:r>
              <w:rPr>
                <w:rFonts w:ascii="Times New Roman" w:hAnsi="Times New Roman" w:cs="Times New Roman"/>
                <w:lang w:val="lt-LT"/>
              </w:rPr>
              <w:t>, plaučių edema.</w:t>
            </w:r>
          </w:p>
        </w:tc>
      </w:tr>
      <w:tr w:rsidR="00634910" w:rsidRPr="00F82138"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Aritmija, prieširdžių virpėjimas, širdies sustojimas, miokardo infarktas, krūtinės angina, skysčio susikaupimas perikarde.</w:t>
            </w:r>
          </w:p>
        </w:tc>
      </w:tr>
      <w:tr w:rsidR="00634910" w:rsidRPr="00B8001E" w:rsidTr="00E16918">
        <w:trPr>
          <w:trHeight w:val="23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Perikarditas*, širdies tamponada*</w:t>
            </w:r>
          </w:p>
        </w:tc>
      </w:tr>
      <w:tr w:rsidR="00634910" w:rsidTr="00E16918">
        <w:trPr>
          <w:trHeight w:val="121"/>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lastRenderedPageBreak/>
              <w:t xml:space="preserve">Kraujagyslių sutrikimai </w:t>
            </w:r>
            <w:r>
              <w:rPr>
                <w:rFonts w:ascii="Times New Roman" w:hAnsi="Times New Roman" w:cs="Times New Roman"/>
                <w:b/>
                <w:bCs/>
                <w:vertAlign w:val="superscript"/>
                <w:lang w:val="lt-LT"/>
              </w:rPr>
              <w:t>4</w:t>
            </w:r>
            <w:r>
              <w:rPr>
                <w:rFonts w:ascii="Times New Roman" w:hAnsi="Times New Roman" w:cs="Times New Roman"/>
                <w:b/>
                <w:bCs/>
                <w:lang w:val="lt-LT"/>
              </w:rPr>
              <w:t xml:space="preserve"> </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Veido ir kaklo paraudimas, kraujavimas.</w:t>
            </w:r>
          </w:p>
        </w:tc>
      </w:tr>
      <w:tr w:rsidR="00634910"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Hipertenzija, hematoma, subdurinė hematoma, galūnių šaltumas, hipotenzija, Reino (</w:t>
            </w:r>
            <w:r w:rsidRPr="00132FED">
              <w:rPr>
                <w:rFonts w:ascii="Times New Roman" w:hAnsi="Times New Roman" w:cs="Times New Roman"/>
                <w:i/>
                <w:lang w:val="lt-LT"/>
              </w:rPr>
              <w:t>Raynaud</w:t>
            </w:r>
            <w:r>
              <w:rPr>
                <w:rFonts w:ascii="Times New Roman" w:hAnsi="Times New Roman" w:cs="Times New Roman"/>
                <w:lang w:val="lt-LT"/>
              </w:rPr>
              <w:t>) sindromas.</w:t>
            </w:r>
          </w:p>
        </w:tc>
      </w:tr>
      <w:tr w:rsidR="00634910" w:rsidTr="00E16918">
        <w:trPr>
          <w:trHeight w:val="23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Trombozė/embolija*</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Kvėpavimo sistemos, krūtinės ląstos ir tarpuplaučio sutrikimai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Dusulys, kraujavimas iš nosies, kosulys.</w:t>
            </w:r>
          </w:p>
        </w:tc>
      </w:tr>
      <w:tr w:rsidR="00634910" w:rsidTr="00E16918">
        <w:trPr>
          <w:trHeight w:val="122"/>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Skysčio susikaupimas pleuros ertmėje </w:t>
            </w:r>
            <w:r>
              <w:rPr>
                <w:rFonts w:ascii="Times New Roman" w:hAnsi="Times New Roman" w:cs="Times New Roman"/>
                <w:vertAlign w:val="superscript"/>
                <w:lang w:val="lt-LT"/>
              </w:rPr>
              <w:t>5</w:t>
            </w:r>
            <w:r>
              <w:rPr>
                <w:rFonts w:ascii="Times New Roman" w:hAnsi="Times New Roman" w:cs="Times New Roman"/>
                <w:lang w:val="lt-LT"/>
              </w:rPr>
              <w:t>, ryklės ir gerklų skausmas, faringitas.</w:t>
            </w:r>
          </w:p>
        </w:tc>
      </w:tr>
      <w:tr w:rsidR="00634910" w:rsidRPr="00F82138"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Pleuritinis skausmas, plaučių fibrozė, plautinė hipertenzija, kraujavimas iš plaučių.</w:t>
            </w:r>
          </w:p>
        </w:tc>
      </w:tr>
      <w:tr w:rsidR="00634910" w:rsidRPr="00B8001E" w:rsidTr="00E16918">
        <w:trPr>
          <w:trHeight w:val="23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Ūminis kvėpavimo nepakankamumas</w:t>
            </w:r>
            <w:r w:rsidRPr="003A5591">
              <w:rPr>
                <w:rFonts w:ascii="Times New Roman" w:hAnsi="Times New Roman" w:cs="Times New Roman"/>
                <w:vertAlign w:val="superscript"/>
                <w:lang w:val="lt-LT"/>
              </w:rPr>
              <w:t>10</w:t>
            </w:r>
            <w:r w:rsidRPr="009D3657">
              <w:rPr>
                <w:rFonts w:ascii="Times New Roman" w:hAnsi="Times New Roman" w:cs="Times New Roman"/>
                <w:lang w:val="lt-LT"/>
              </w:rPr>
              <w:t>*, intersticinė plaučių liga*</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Virškinimo trakto sutrikimai</w:t>
            </w:r>
          </w:p>
        </w:tc>
      </w:tr>
      <w:tr w:rsidR="00634910" w:rsidTr="00E16918">
        <w:trPr>
          <w:trHeight w:val="122"/>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Labai 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Pykinimas, viduriavimas, vėmimas, dispepsija, pilvo skausmas </w:t>
            </w:r>
            <w:r>
              <w:rPr>
                <w:rFonts w:ascii="Times New Roman" w:hAnsi="Times New Roman" w:cs="Times New Roman"/>
                <w:vertAlign w:val="superscript"/>
                <w:lang w:val="lt-LT"/>
              </w:rPr>
              <w:t>6</w:t>
            </w:r>
            <w:r>
              <w:rPr>
                <w:rFonts w:ascii="Times New Roman" w:hAnsi="Times New Roman" w:cs="Times New Roman"/>
                <w:lang w:val="lt-LT"/>
              </w:rPr>
              <w:t>.</w:t>
            </w:r>
          </w:p>
        </w:tc>
      </w:tr>
      <w:tr w:rsidR="00634910"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Dujų kaupimasis virškinimo trakte, pilvo pūtimas, gastroezofaginis refliuksas, vidurių užkietėjimas, burnos džiūvimas, gastritas.</w:t>
            </w:r>
          </w:p>
        </w:tc>
      </w:tr>
      <w:tr w:rsidR="00634910" w:rsidRPr="00F82138" w:rsidTr="00E16918">
        <w:trPr>
          <w:trHeight w:val="252"/>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Stomatitas, burnos išopėjimas, kraujavimas iš virškinimo trakto </w:t>
            </w:r>
            <w:r>
              <w:rPr>
                <w:rFonts w:ascii="Times New Roman" w:hAnsi="Times New Roman" w:cs="Times New Roman"/>
                <w:vertAlign w:val="superscript"/>
                <w:lang w:val="lt-LT"/>
              </w:rPr>
              <w:t>7</w:t>
            </w:r>
            <w:r>
              <w:rPr>
                <w:rFonts w:ascii="Times New Roman" w:hAnsi="Times New Roman" w:cs="Times New Roman"/>
                <w:lang w:val="lt-LT"/>
              </w:rPr>
              <w:t>, atsirūgimas, melena, ezofagitas, ascitas, skrandžio opa, vėmimas krauju, cheilitas, disfagija, pankreatitas.</w:t>
            </w:r>
          </w:p>
        </w:tc>
      </w:tr>
      <w:tr w:rsidR="00634910" w:rsidRPr="00F82138"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Kolitas, žarnų nepraeinamumas, uždegiminė žarnų liga.</w:t>
            </w:r>
          </w:p>
        </w:tc>
      </w:tr>
      <w:tr w:rsidR="00634910" w:rsidRPr="00F82138" w:rsidTr="00E16918">
        <w:trPr>
          <w:trHeight w:val="10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Žarnų nepraeinamumas/žarnų obstrukcija*, virškinimo trakto perforacija*, divertikulitas*, prievarčio kraujagyslių išsiplėtimas (GAVE)*</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Kepenų, tulžies pūslės ir latakų sutrikimai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Kepenų fermentų suaktyvėjimas.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Hiperbilirubinemija, hepatitas, gelta.</w:t>
            </w:r>
          </w:p>
        </w:tc>
      </w:tr>
      <w:tr w:rsidR="00634910" w:rsidTr="00E16918">
        <w:trPr>
          <w:trHeight w:val="122"/>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Kepenų funkcijos nepakankamumas </w:t>
            </w:r>
            <w:r>
              <w:rPr>
                <w:rFonts w:ascii="Times New Roman" w:hAnsi="Times New Roman" w:cs="Times New Roman"/>
                <w:vertAlign w:val="superscript"/>
                <w:lang w:val="lt-LT"/>
              </w:rPr>
              <w:t>8</w:t>
            </w:r>
            <w:r>
              <w:rPr>
                <w:rFonts w:ascii="Times New Roman" w:hAnsi="Times New Roman" w:cs="Times New Roman"/>
                <w:lang w:val="lt-LT"/>
              </w:rPr>
              <w:t>, kepenų nekrozė.</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Odos ir poodinio audinio sutrikimai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Labai 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Periorbitalinė edema, dermatitas / egzema / išbėrimas.</w:t>
            </w:r>
          </w:p>
        </w:tc>
      </w:tr>
      <w:tr w:rsidR="00634910" w:rsidRPr="00F82138"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Niežulys, veido edema, odos sausmė, paraudimas, alopecija, naktinis prakaitavimas, padidėjusio jautrumo saulės šviesai reakcija.</w:t>
            </w:r>
          </w:p>
        </w:tc>
      </w:tr>
      <w:tr w:rsidR="00634910" w:rsidRPr="00F82138" w:rsidTr="00E16918">
        <w:trPr>
          <w:trHeight w:val="489"/>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Pustulinis išbėrimas, sumušimas, sustiprėjęs prakaitavimas, dilgėlinė, dėminės kraujosruvos, polinkio mėlynėms atsirasti padidėjimas, plaukuotumo sumažėjimas, odos pigmentacijos sumažėjimas, eksfoliacinis dermatitas, nagų lūžinėjimas, folikulitas, petechijos, žvynelinė, purpura, odos pigmentacijos padidėjimas, pūslinis išbėrimas.</w:t>
            </w:r>
          </w:p>
        </w:tc>
      </w:tr>
      <w:tr w:rsidR="00634910" w:rsidRPr="00F82138" w:rsidTr="00E16918">
        <w:trPr>
          <w:trHeight w:val="489"/>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Ūminė febrilioji neutrofilinė dermatozė (</w:t>
            </w:r>
            <w:r w:rsidRPr="00132FED">
              <w:rPr>
                <w:rFonts w:ascii="Times New Roman" w:hAnsi="Times New Roman" w:cs="Times New Roman"/>
                <w:i/>
                <w:lang w:val="lt-LT"/>
              </w:rPr>
              <w:t>Sweet</w:t>
            </w:r>
            <w:r>
              <w:rPr>
                <w:rFonts w:ascii="Times New Roman" w:hAnsi="Times New Roman" w:cs="Times New Roman"/>
                <w:lang w:val="lt-LT"/>
              </w:rPr>
              <w:t xml:space="preserve"> sindromas), nagų spalvos pokytis, angioneurozinė edema, vezikulinis išbėrimas, daugiaformė eritema, leukocitoklastinis vaskulitas, Stivenso-Džonsono (</w:t>
            </w:r>
            <w:r w:rsidRPr="00132FED">
              <w:rPr>
                <w:rFonts w:ascii="Times New Roman" w:hAnsi="Times New Roman" w:cs="Times New Roman"/>
                <w:i/>
                <w:lang w:val="lt-LT"/>
              </w:rPr>
              <w:t>Stevens-Johnson</w:t>
            </w:r>
            <w:r>
              <w:rPr>
                <w:rFonts w:ascii="Times New Roman" w:hAnsi="Times New Roman" w:cs="Times New Roman"/>
                <w:lang w:val="lt-LT"/>
              </w:rPr>
              <w:t>) sindromas, ūminė generalizuota egzanteminė pustuliozė (ŪGEP).</w:t>
            </w:r>
          </w:p>
        </w:tc>
      </w:tr>
      <w:tr w:rsidR="00634910" w:rsidRPr="00F82138" w:rsidTr="00E16918">
        <w:trPr>
          <w:trHeight w:val="489"/>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Delnų ir padų eritrodizestezijos sindromas*, lichenoidinė keratozė*, plokščioji kerpligė*, toksinė epidermio nekrolizė*, medikamentinis išbėrimas su eozinofilija ir sisteminiais simptomais (DRESS)*</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Skeleto, raumenų ir jungiamojo audinio sutrikimai</w:t>
            </w:r>
          </w:p>
        </w:tc>
      </w:tr>
      <w:tr w:rsidR="00634910" w:rsidRPr="00F82138"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Labai 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Raumenų spazmas ir mėšlungis, kaulų ir raumenų skausmas, įskaitant mialgiją, artralgiją, kaulų skausmą </w:t>
            </w:r>
            <w:r>
              <w:rPr>
                <w:rFonts w:ascii="Times New Roman" w:hAnsi="Times New Roman" w:cs="Times New Roman"/>
                <w:vertAlign w:val="superscript"/>
                <w:lang w:val="lt-LT"/>
              </w:rPr>
              <w:t>9</w:t>
            </w:r>
            <w:r>
              <w:rPr>
                <w:rFonts w:ascii="Times New Roman" w:hAnsi="Times New Roman" w:cs="Times New Roman"/>
                <w:lang w:val="lt-LT"/>
              </w:rPr>
              <w:t>.</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Sąnarių patinimas.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Sąnarių ir raumenų sąstingis.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Raumenų silpnumas, artritas, rabdomiolizė / miopatija.</w:t>
            </w:r>
          </w:p>
        </w:tc>
      </w:tr>
      <w:tr w:rsidR="00634910" w:rsidRPr="00F82138" w:rsidTr="00E16918">
        <w:trPr>
          <w:trHeight w:val="10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Nevaskulinė nekrozė/šlaunikaulio galvutės nekrozė*, vaikų augimo sulėtėjimas*</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Inkstų ir šlapimo takų sutrikimai</w:t>
            </w:r>
          </w:p>
        </w:tc>
      </w:tr>
      <w:tr w:rsidR="00634910" w:rsidRPr="00F82138"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Inkstų skausmas, hematurija, ūminis inkstų funkcijos nepakankamumas, šlapinimosi padažnėjimas.</w:t>
            </w:r>
          </w:p>
        </w:tc>
      </w:tr>
      <w:tr w:rsidR="00634910" w:rsidRPr="00B8001E" w:rsidTr="00E16918">
        <w:trPr>
          <w:trHeight w:val="100"/>
        </w:trPr>
        <w:tc>
          <w:tcPr>
            <w:tcW w:w="1242"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w:t>
            </w:r>
          </w:p>
        </w:tc>
        <w:tc>
          <w:tcPr>
            <w:tcW w:w="8378" w:type="dxa"/>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lang w:val="lt-LT"/>
              </w:rPr>
            </w:pPr>
            <w:r w:rsidRPr="009D3657">
              <w:rPr>
                <w:rFonts w:ascii="Times New Roman" w:hAnsi="Times New Roman" w:cs="Times New Roman"/>
                <w:lang w:val="lt-LT"/>
              </w:rPr>
              <w:t>Lėtinis inkstų nepakankamumas</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Lytinės sistemos ir krūties sutrikimai</w:t>
            </w:r>
          </w:p>
        </w:tc>
      </w:tr>
      <w:tr w:rsidR="00634910" w:rsidRPr="00F82138" w:rsidTr="00E16918">
        <w:trPr>
          <w:trHeight w:val="23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Ginekomastija, erekcijos funkcijos sutrikimas, menoragija, nereguliarios menstruacijos, lytinės funkcijos sutrikimas, spenelių skausmas, krūtų padidėjimas, kapšelio edema.</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Hemoraginis geltonkūnis / hemoraginė kiaušidžių cista.</w:t>
            </w:r>
          </w:p>
        </w:tc>
      </w:tr>
      <w:tr w:rsidR="00634910" w:rsidTr="00E16918">
        <w:trPr>
          <w:trHeight w:val="98"/>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lastRenderedPageBreak/>
              <w:t>Bendrieji sutrikimai ir vartojimo vietos pažeidimai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Labai 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Skysčių susikaupimas ir edema, nuovargis.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Silpnumas, karščiavimas, generalizuota edema, šaltkrėtis, sustigimas.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Krūtinės skausmas, negalavimas.</w:t>
            </w:r>
          </w:p>
        </w:tc>
      </w:tr>
      <w:tr w:rsidR="00634910" w:rsidTr="00E16918">
        <w:trPr>
          <w:trHeight w:val="256"/>
        </w:trPr>
        <w:tc>
          <w:tcPr>
            <w:tcW w:w="9620"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b/>
                <w:lang w:val="lt-LT"/>
              </w:rPr>
              <w:t>Tyrimai</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Labai 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Kūno masės padidėjimas.</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Kūno masės sumažėjimas.</w:t>
            </w:r>
          </w:p>
        </w:tc>
      </w:tr>
      <w:tr w:rsidR="00634910" w:rsidRPr="00F82138"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i/>
                <w:iCs/>
                <w:lang w:val="lt-LT"/>
              </w:rPr>
              <w:t>Nedažni: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Kreatinino koncentracijos kraujyje padidėjimas, kreatinfosfokinazės suaktyvėjimas kraujyje, laktatdehidrogenazės suaktyvėjimas kraujyje, šarminės fosfatazės suaktyvėjimas kraujyje.</w:t>
            </w:r>
          </w:p>
        </w:tc>
      </w:tr>
      <w:tr w:rsidR="00634910" w:rsidTr="00E16918">
        <w:trPr>
          <w:trHeight w:val="100"/>
        </w:trPr>
        <w:tc>
          <w:tcPr>
            <w:tcW w:w="12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i/>
                <w:iCs/>
                <w:lang w:val="lt-LT"/>
              </w:rPr>
            </w:pPr>
            <w:r>
              <w:rPr>
                <w:rFonts w:ascii="Times New Roman" w:hAnsi="Times New Roman" w:cs="Times New Roman"/>
                <w:i/>
                <w:iCs/>
                <w:lang w:val="lt-LT"/>
              </w:rPr>
              <w:t>Reti:</w:t>
            </w:r>
          </w:p>
        </w:tc>
        <w:tc>
          <w:tcPr>
            <w:tcW w:w="837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Amilazės suaktyvėjimas kraujyje.</w:t>
            </w:r>
          </w:p>
        </w:tc>
      </w:tr>
    </w:tbl>
    <w:p w:rsidR="00634910" w:rsidRPr="003A5591" w:rsidRDefault="00634910" w:rsidP="00634910">
      <w:pPr>
        <w:spacing w:after="0" w:line="240" w:lineRule="auto"/>
        <w:rPr>
          <w:rFonts w:ascii="Times New Roman" w:hAnsi="Times New Roman" w:cs="Times New Roman"/>
          <w:lang w:val="lt-LT"/>
        </w:rPr>
      </w:pPr>
      <w:r w:rsidRPr="003A5591">
        <w:rPr>
          <w:rFonts w:ascii="Times New Roman" w:hAnsi="Times New Roman" w:cs="Times New Roman"/>
          <w:lang w:val="lt-LT"/>
        </w:rPr>
        <w:t>*</w:t>
      </w:r>
      <w:r>
        <w:rPr>
          <w:rFonts w:ascii="Times New Roman" w:hAnsi="Times New Roman" w:cs="Times New Roman"/>
          <w:lang w:val="lt-LT"/>
        </w:rPr>
        <w:t xml:space="preserve"> </w:t>
      </w:r>
      <w:r w:rsidRPr="003A5591">
        <w:rPr>
          <w:rFonts w:ascii="Times New Roman" w:hAnsi="Times New Roman" w:cs="Times New Roman"/>
          <w:lang w:val="lt-LT"/>
        </w:rPr>
        <w:t>Šių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t>
      </w:r>
    </w:p>
    <w:p w:rsidR="00634910" w:rsidRDefault="00634910" w:rsidP="00634910">
      <w:pPr>
        <w:spacing w:after="0" w:line="240" w:lineRule="auto"/>
        <w:rPr>
          <w:rFonts w:ascii="Times New Roman" w:hAnsi="Times New Roman" w:cs="Times New Roman"/>
          <w:vertAlign w:val="superscript"/>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vertAlign w:val="superscript"/>
          <w:lang w:val="lt-LT"/>
        </w:rPr>
        <w:t>1</w:t>
      </w:r>
      <w:r>
        <w:rPr>
          <w:rFonts w:ascii="Times New Roman" w:hAnsi="Times New Roman" w:cs="Times New Roman"/>
          <w:lang w:val="lt-LT"/>
        </w:rPr>
        <w:t xml:space="preserve"> Buvo dažnai pranešta apie pneumoniją pacientams, kuriems buvo diagnozuota transformuota LML arba GIST.</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vertAlign w:val="superscript"/>
          <w:lang w:val="lt-LT"/>
        </w:rPr>
        <w:t>2</w:t>
      </w:r>
      <w:r>
        <w:rPr>
          <w:rFonts w:ascii="Times New Roman" w:hAnsi="Times New Roman" w:cs="Times New Roman"/>
          <w:lang w:val="lt-LT"/>
        </w:rPr>
        <w:t xml:space="preserve"> Galvos skausmas dažniausiai pasireiškė pacientams, kuriems buvo diagnozuotas GIST.</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vertAlign w:val="superscript"/>
          <w:lang w:val="lt-LT"/>
        </w:rPr>
        <w:t>3</w:t>
      </w:r>
      <w:r>
        <w:rPr>
          <w:rFonts w:ascii="Times New Roman" w:hAnsi="Times New Roman" w:cs="Times New Roman"/>
          <w:lang w:val="lt-LT"/>
        </w:rPr>
        <w:t xml:space="preserve"> Atsižvelgiant į pacientų amžių, širdies reiškiniai, įskaitant stazinį širdies nepakankamumą, dažniau pasireiškė pacientams, kuriems buvo diagnozuota transformuota LML, nei pacientams, kuriems buvo diagnozuota lėtinė LML.</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vertAlign w:val="superscript"/>
          <w:lang w:val="lt-LT"/>
        </w:rPr>
        <w:t>4</w:t>
      </w:r>
      <w:r>
        <w:rPr>
          <w:rFonts w:ascii="Times New Roman" w:hAnsi="Times New Roman" w:cs="Times New Roman"/>
          <w:lang w:val="lt-LT"/>
        </w:rPr>
        <w:t xml:space="preserve"> Veido ir kaklo paraudimas dažniau pasireiškė pacientams, kuriems buvo diagnozuota GIST, o kraujavimas (hematoma, kraujavimas) dažniau pasireiškė pacientams, kuriems buvo diagnozuoti GIST ir transformuota LML (LML-AP ir LML-BC).</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vertAlign w:val="superscript"/>
          <w:lang w:val="lt-LT"/>
        </w:rPr>
        <w:t>5</w:t>
      </w:r>
      <w:r>
        <w:rPr>
          <w:rFonts w:ascii="Times New Roman" w:hAnsi="Times New Roman" w:cs="Times New Roman"/>
          <w:lang w:val="lt-LT"/>
        </w:rPr>
        <w:t xml:space="preserve"> Buvo pranešta, kad skysčiai pleuros ertmėje dažniau kaupėsi pacientams, kuriems buvo diagnozuotas GIST, ir pacientams, kuriems buvo diagnozuota transformuota LML (LML-AP ir LML-BC), nei pacientams, sergantiems lėtine LML.</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vertAlign w:val="superscript"/>
          <w:lang w:val="lt-LT"/>
        </w:rPr>
        <w:t>6+7</w:t>
      </w:r>
      <w:r>
        <w:rPr>
          <w:rFonts w:ascii="Times New Roman" w:hAnsi="Times New Roman" w:cs="Times New Roman"/>
          <w:lang w:val="lt-LT"/>
        </w:rPr>
        <w:t xml:space="preserve"> Pilvo skausmas ir kraujavimas iš virškinimo trakto dažniausiai pasireiškė pacientams, kuriems buvo diagnozuota GIST.</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vertAlign w:val="superscript"/>
          <w:lang w:val="lt-LT"/>
        </w:rPr>
        <w:t>8</w:t>
      </w:r>
      <w:r>
        <w:rPr>
          <w:rFonts w:ascii="Times New Roman" w:hAnsi="Times New Roman" w:cs="Times New Roman"/>
          <w:lang w:val="lt-LT"/>
        </w:rPr>
        <w:t xml:space="preserve"> Buvo pranešta apie keletą mirtinų kepenų funkcijos nepakankamumo ir kepenų nekrozės atvejų.</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vertAlign w:val="superscript"/>
          <w:lang w:val="lt-LT"/>
        </w:rPr>
        <w:t>9</w:t>
      </w:r>
      <w:r>
        <w:rPr>
          <w:rFonts w:ascii="Times New Roman" w:hAnsi="Times New Roman" w:cs="Times New Roman"/>
          <w:lang w:val="lt-LT"/>
        </w:rPr>
        <w:t xml:space="preserve"> Raumenų ir kaulų skausmas bei susiję reiškiniai dažniau pasireiškė pacientams, kuriems buvo diagnozuota LML, nei pacientams, kuriems buvo diagnozuotas GIST.</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Buvo pranešta apie mirtinus atvejus pacientams, kurie sirgo progresavusia liga, sunkiomis infekcinėmis ligomis, kuriems buvo sunki neutropenija arba kitų sunkių gretutinių būklių.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keepNext/>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Nenormalūs laboratorinių tyrimų rodmenys</w:t>
      </w:r>
    </w:p>
    <w:p w:rsidR="00634910" w:rsidRDefault="00634910" w:rsidP="00634910">
      <w:pPr>
        <w:keepNext/>
        <w:tabs>
          <w:tab w:val="left" w:pos="567"/>
        </w:tabs>
        <w:spacing w:after="0" w:line="240" w:lineRule="auto"/>
        <w:rPr>
          <w:rFonts w:ascii="Times New Roman" w:hAnsi="Times New Roman" w:cs="Times New Roman"/>
          <w:i/>
          <w:iCs/>
          <w:lang w:val="lt-LT"/>
        </w:rPr>
      </w:pPr>
    </w:p>
    <w:p w:rsidR="00634910" w:rsidRDefault="00634910" w:rsidP="00634910">
      <w:pPr>
        <w:keepNext/>
        <w:tabs>
          <w:tab w:val="left" w:pos="567"/>
        </w:tabs>
        <w:spacing w:after="0" w:line="240" w:lineRule="auto"/>
        <w:rPr>
          <w:rFonts w:ascii="Times New Roman" w:hAnsi="Times New Roman" w:cs="Times New Roman"/>
          <w:i/>
          <w:iCs/>
          <w:lang w:val="lt-LT"/>
        </w:rPr>
      </w:pPr>
      <w:r>
        <w:rPr>
          <w:rFonts w:ascii="Times New Roman" w:hAnsi="Times New Roman" w:cs="Times New Roman"/>
          <w:i/>
          <w:iCs/>
          <w:lang w:val="lt-LT"/>
        </w:rPr>
        <w:t>Kraujo tyrimų rodmenys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LML tyrimų duomenimis, citopenijos, ypač neutropenija ir trombocitopenija, buvo nuolat diagnozuojamos visuose tyrimuose, ir buvo dažnesnės vartojant dideles (≥ 750 mg) dozes (I fazės tyrimuose). Vis dėlto citopenijų atsiradimas aiškiai priklausė nuo ligos stadijos: 3 ar 4 laipsnio neutropenijos (ANK &lt; 1,0 x 10</w:t>
      </w:r>
      <w:r>
        <w:rPr>
          <w:rFonts w:ascii="Times New Roman" w:hAnsi="Times New Roman" w:cs="Times New Roman"/>
          <w:vertAlign w:val="superscript"/>
          <w:lang w:val="lt-LT"/>
        </w:rPr>
        <w:t>9</w:t>
      </w:r>
      <w:r>
        <w:rPr>
          <w:rFonts w:ascii="Times New Roman" w:hAnsi="Times New Roman" w:cs="Times New Roman"/>
          <w:lang w:val="lt-LT"/>
        </w:rPr>
        <w:t>/l) ir trombocitopenijos (trombocitų kiekis &lt; 50 x 10</w:t>
      </w:r>
      <w:r>
        <w:rPr>
          <w:rFonts w:ascii="Times New Roman" w:hAnsi="Times New Roman" w:cs="Times New Roman"/>
          <w:vertAlign w:val="superscript"/>
          <w:lang w:val="lt-LT"/>
        </w:rPr>
        <w:t>9</w:t>
      </w:r>
      <w:r>
        <w:rPr>
          <w:rFonts w:ascii="Times New Roman" w:hAnsi="Times New Roman" w:cs="Times New Roman"/>
          <w:lang w:val="lt-LT"/>
        </w:rPr>
        <w:t xml:space="preserve">/l) buvo diagnozuotos nuo 4 iki 6 kartų dažniau blastinės krizės ir akceleracijos fazėje (neutropenija ir trombocitopenija – atitinkamai 59–64 % ir 44–63 %), palyginti su pacientais, kuriems pirmą kartą diagnozuota lėtinė </w:t>
      </w:r>
      <w:r>
        <w:rPr>
          <w:rFonts w:ascii="Times New Roman" w:hAnsi="Times New Roman" w:cs="Times New Roman"/>
          <w:lang w:val="lt-LT"/>
        </w:rPr>
        <w:lastRenderedPageBreak/>
        <w:t>LML fazė (neutropenija – 16,7 % ir trombocitopenija – 8,9 %). Pirmą kartą diagnozavus lėtinę LML fazę, 4 laipsnio neutropenija (ANK &lt; 0,5 x 10</w:t>
      </w:r>
      <w:r>
        <w:rPr>
          <w:rFonts w:ascii="Times New Roman" w:hAnsi="Times New Roman" w:cs="Times New Roman"/>
          <w:vertAlign w:val="superscript"/>
          <w:lang w:val="lt-LT"/>
        </w:rPr>
        <w:t>9</w:t>
      </w:r>
      <w:r>
        <w:rPr>
          <w:rFonts w:ascii="Times New Roman" w:hAnsi="Times New Roman" w:cs="Times New Roman"/>
          <w:lang w:val="lt-LT"/>
        </w:rPr>
        <w:t>/l) ir trombocitopenija (trombocitų kiekis &lt; 10 x 10</w:t>
      </w:r>
      <w:r>
        <w:rPr>
          <w:rFonts w:ascii="Times New Roman" w:hAnsi="Times New Roman" w:cs="Times New Roman"/>
          <w:vertAlign w:val="superscript"/>
          <w:lang w:val="lt-LT"/>
        </w:rPr>
        <w:t>9</w:t>
      </w:r>
      <w:r>
        <w:rPr>
          <w:rFonts w:ascii="Times New Roman" w:hAnsi="Times New Roman" w:cs="Times New Roman"/>
          <w:lang w:val="lt-LT"/>
        </w:rPr>
        <w:t>/l) buvo diagnozuotos atitinkamai 3,6 % ir &lt; 1 % pacientų. Neutropenijos ar trombocitopenijos epizodų vidutinė trukmė paprastai buvo atitinkamai nuo 2 iki 3 savaičių ir nuo 3 iki 4 savaičių. Gydant tokius reiškinius, paprastai buvo arba sumažinama imatinibo dozė, arba pertraukiamas gydymas imatinibu, bet retais atvejais gydymą gali tekti nutraukti visam laikui. Dažniausiai stebėtas toksinis poveikis LML sergantiems vaikams buvo 3 ar 4 laipsnio citopenijos, įskaitant neutropeniją, trombocitopeniją ir anemiją. Jos dažniausiai pasireiškė per pirmuosius kelis gydymo mėnesius.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Atlikto klinikinio tyrimo duomenimis, jame dalyvavusiems pacientams, kuriems buvo nerezekuotinas ir (ar) metastazavęs GIST, III–IV laipsnio anemija pasitaikė atitinkamai 5,4 % ir 0,7 %. Ji gali būti susijusi su virškinimo trakto ir vidunavikiniu kraujavimu, bent jau kai kuriems pacientams. III–IV laipsnio neutropenija stebėta atitinkamai 7,5 % ir 2,7 % pacientų, o III laipsnio trombocitopenija –0,7 % pacientų. Nė vienam pacientui nepasireiškė IV laipsnio trombocitopenija. Leukocitų (baltųjų kraujo kūnelių, BKK) ir neutrofilų daugiausia sumažėjo per pirmąsias šešias gydymo savaites, paskui jų kiekis santykinai nekito.</w:t>
      </w:r>
    </w:p>
    <w:p w:rsidR="00634910" w:rsidRDefault="00634910" w:rsidP="00634910">
      <w:pPr>
        <w:spacing w:after="0" w:line="240" w:lineRule="auto"/>
        <w:rPr>
          <w:rFonts w:ascii="Times New Roman" w:hAnsi="Times New Roman" w:cs="Times New Roman"/>
          <w:i/>
          <w:iCs/>
          <w:lang w:val="lt-LT"/>
        </w:rPr>
      </w:pPr>
    </w:p>
    <w:p w:rsidR="00634910" w:rsidRDefault="00634910" w:rsidP="00634910">
      <w:pPr>
        <w:spacing w:after="0" w:line="240" w:lineRule="auto"/>
        <w:rPr>
          <w:rFonts w:ascii="Times New Roman" w:hAnsi="Times New Roman" w:cs="Times New Roman"/>
          <w:i/>
          <w:iCs/>
          <w:lang w:val="lt-LT"/>
        </w:rPr>
      </w:pPr>
      <w:r>
        <w:rPr>
          <w:rFonts w:ascii="Times New Roman" w:hAnsi="Times New Roman" w:cs="Times New Roman"/>
          <w:i/>
          <w:iCs/>
          <w:lang w:val="lt-LT"/>
        </w:rPr>
        <w:t>Biocheminių tyrimų rodmenys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LML sergantiems pacientams pasireiškė sunkus transaminazių suaktyvėjimas (&lt; 5 %) ar bilirubino koncentracijos padidėjimas (&lt; 1 %), kuriuos gydant, paprastai buvo sumažinama dozė arba gydymas imatinibu pertraukiamas (tokie epizodai truko vidutiniškai maždaug vieną savaitę). Gydymas dėl nenormalių kepenų funkcijos tyrimų rodmenų buvo nutrauktas visam laikui mažiau kaip 1 % LML sergančių pacientų. 6,8 % GIST sergančių pacientų (tyrimas B2222) buvo stebėtas 3 ar 4 laipsnio ALT (alanino aminotransferazių) koncentracijos padidėjimas ir 4,8 % - 3 ar 4 laipsnio AST (aspartataminotransferazių) padidėjimas. Bilirubino koncentracija didėjo mažiau kaip 3 %.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eastAsia="en-US"/>
        </w:rPr>
      </w:pPr>
      <w:r>
        <w:rPr>
          <w:rFonts w:ascii="Times New Roman" w:hAnsi="Times New Roman" w:cs="Times New Roman"/>
          <w:lang w:val="lt-LT"/>
        </w:rPr>
        <w:t>Buvo citolizinio ar cholestazinio hepatito ir kepenų funkcijos nepakankamumo atvejų. Kai kurie iš jų baigėsi paciento mirtimi, įskaitant pacientus, kurie vartojo didelę paracetamolio dozę.</w:t>
      </w:r>
    </w:p>
    <w:p w:rsidR="00634910" w:rsidRDefault="00634910" w:rsidP="00634910">
      <w:pPr>
        <w:spacing w:after="0" w:line="240" w:lineRule="auto"/>
        <w:rPr>
          <w:rFonts w:ascii="Times New Roman" w:hAnsi="Times New Roman" w:cs="Times New Roman"/>
          <w:lang w:val="lt-LT" w:eastAsia="en-US"/>
        </w:rPr>
      </w:pPr>
    </w:p>
    <w:p w:rsidR="00634910" w:rsidRPr="00491388" w:rsidRDefault="00634910" w:rsidP="00634910">
      <w:pPr>
        <w:autoSpaceDE w:val="0"/>
        <w:autoSpaceDN w:val="0"/>
        <w:adjustRightInd w:val="0"/>
        <w:spacing w:after="0" w:line="240" w:lineRule="auto"/>
        <w:jc w:val="both"/>
        <w:rPr>
          <w:rFonts w:ascii="Times New Roman" w:hAnsi="Times New Roman" w:cs="Times New Roman"/>
          <w:noProof/>
          <w:u w:val="single"/>
          <w:lang w:val="lt-LT"/>
        </w:rPr>
      </w:pPr>
      <w:r w:rsidRPr="00491388">
        <w:rPr>
          <w:rFonts w:ascii="Times New Roman" w:hAnsi="Times New Roman" w:cs="Times New Roman"/>
          <w:noProof/>
          <w:u w:val="single"/>
          <w:lang w:val="lt-LT"/>
        </w:rPr>
        <w:t>Pranešimas apie įtariamas nepageidaujamas reakcijas</w:t>
      </w:r>
    </w:p>
    <w:p w:rsidR="00634910" w:rsidRPr="00FC604D" w:rsidRDefault="00634910" w:rsidP="00634910">
      <w:pPr>
        <w:spacing w:after="0" w:line="240" w:lineRule="auto"/>
        <w:rPr>
          <w:rFonts w:ascii="Times New Roman" w:hAnsi="Times New Roman" w:cs="Times New Roman"/>
          <w:lang w:val="lt-LT"/>
        </w:rPr>
      </w:pPr>
      <w:r w:rsidRPr="00885111">
        <w:rPr>
          <w:rFonts w:ascii="Times New Roman" w:hAnsi="Times New Roman"/>
          <w:lang w:val="lt-LT"/>
        </w:rPr>
        <w:t xml:space="preserve">Svarbu pranešti apie įtariamas nepageidaujamas reakcijas, pastebėtas po vaistinio preparato </w:t>
      </w:r>
      <w:r w:rsidRPr="00885111">
        <w:rPr>
          <w:rFonts w:ascii="Times New Roman" w:hAnsi="Times New Roman" w:cs="Times New Roman"/>
          <w:noProof/>
          <w:lang w:val="lt-LT"/>
        </w:rPr>
        <w:t>registracijos</w:t>
      </w:r>
      <w:r w:rsidRPr="00885111">
        <w:rPr>
          <w:rFonts w:ascii="Times New Roman" w:hAnsi="Times New Roman"/>
          <w:lang w:val="lt-LT"/>
        </w:rPr>
        <w:t>, nes tai leidžia nuolat stebėti vaistinio preparato naudos ir rizikos santykį. Sveikatos priežiūros specialistai turi pranešti apie bet kokias įtariamas nepageidaujamas reakcijas, užpildę interneto svetainėje http</w:t>
      </w:r>
      <w:r w:rsidRPr="00885111">
        <w:rPr>
          <w:rFonts w:ascii="Times New Roman" w:hAnsi="Times New Roman" w:cs="Times New Roman"/>
          <w:noProof/>
          <w:lang w:val="lt-LT"/>
        </w:rPr>
        <w:t>://www.vvkt.lt/</w:t>
      </w:r>
      <w:r w:rsidRPr="00885111">
        <w:rPr>
          <w:rFonts w:ascii="Times New Roman" w:hAnsi="Times New Roman"/>
          <w:lang w:val="lt-LT"/>
        </w:rPr>
        <w:t xml:space="preserve"> esančią formą, ir </w:t>
      </w:r>
      <w:r w:rsidRPr="00885111">
        <w:rPr>
          <w:rFonts w:ascii="Times New Roman" w:hAnsi="Times New Roman" w:cs="Times New Roman"/>
          <w:noProof/>
          <w:lang w:val="lt-LT"/>
        </w:rPr>
        <w:t>pateikti</w:t>
      </w:r>
      <w:r w:rsidRPr="00885111">
        <w:rPr>
          <w:rFonts w:ascii="Times New Roman" w:hAnsi="Times New Roman"/>
          <w:lang w:val="lt-LT"/>
        </w:rPr>
        <w:t xml:space="preserve"> ją Valstybinei vaistų kontrolės tarnybai prie Lietuvos Respublikos sveikatos apsaugos ministerijos</w:t>
      </w:r>
      <w:r w:rsidRPr="00885111">
        <w:rPr>
          <w:rFonts w:ascii="Times New Roman" w:hAnsi="Times New Roman" w:cs="Times New Roman"/>
          <w:noProof/>
          <w:lang w:val="lt-LT"/>
        </w:rPr>
        <w:t xml:space="preserve"> vienu iš šių būdų: raštu (adresu</w:t>
      </w:r>
      <w:r w:rsidRPr="00885111">
        <w:rPr>
          <w:rFonts w:ascii="Times New Roman" w:hAnsi="Times New Roman"/>
          <w:lang w:val="lt-LT"/>
        </w:rPr>
        <w:t xml:space="preserve"> Žirmūnų g. 139A, LT 09120 Vilnius</w:t>
      </w:r>
      <w:r w:rsidRPr="00885111">
        <w:rPr>
          <w:rFonts w:ascii="Times New Roman" w:hAnsi="Times New Roman" w:cs="Times New Roman"/>
          <w:noProof/>
          <w:lang w:val="lt-LT"/>
        </w:rPr>
        <w:t>),</w:t>
      </w:r>
      <w:r w:rsidRPr="00885111">
        <w:rPr>
          <w:rFonts w:ascii="Times New Roman" w:hAnsi="Times New Roman"/>
          <w:lang w:val="lt-LT"/>
        </w:rPr>
        <w:t xml:space="preserve"> faksu </w:t>
      </w:r>
      <w:r w:rsidRPr="00885111">
        <w:rPr>
          <w:rFonts w:ascii="Times New Roman" w:hAnsi="Times New Roman" w:cs="Times New Roman"/>
          <w:noProof/>
          <w:lang w:val="lt-LT"/>
        </w:rPr>
        <w:t>(nemokamu fakso numeriu (</w:t>
      </w:r>
      <w:r w:rsidRPr="00885111">
        <w:rPr>
          <w:rFonts w:ascii="Times New Roman" w:hAnsi="Times New Roman"/>
          <w:lang w:val="lt-LT"/>
        </w:rPr>
        <w:t>8 800</w:t>
      </w:r>
      <w:r w:rsidRPr="00885111">
        <w:rPr>
          <w:rFonts w:ascii="Times New Roman" w:hAnsi="Times New Roman" w:cs="Times New Roman"/>
          <w:noProof/>
          <w:lang w:val="lt-LT"/>
        </w:rPr>
        <w:t>) 20 131), elektroniniu paštu (adresu NepageidaujamaR@vvkt.lt), per interneto svetainę (adresu http://www.vvkt.lt).</w:t>
      </w:r>
    </w:p>
    <w:p w:rsidR="00634910" w:rsidRPr="002F72A3" w:rsidRDefault="00634910" w:rsidP="00634910">
      <w:pPr>
        <w:spacing w:after="0" w:line="240" w:lineRule="auto"/>
        <w:ind w:left="540" w:hanging="540"/>
        <w:rPr>
          <w:rFonts w:ascii="Times New Roman" w:hAnsi="Times New Roman"/>
          <w:b/>
          <w:lang w:val="lt-LT"/>
        </w:rPr>
      </w:pPr>
      <w:bookmarkStart w:id="16" w:name="_Toc129243235"/>
      <w:bookmarkStart w:id="17" w:name="_Toc129243110"/>
      <w:bookmarkStart w:id="18" w:name="OLE_LINK1"/>
    </w:p>
    <w:p w:rsidR="00634910" w:rsidRDefault="00634910" w:rsidP="00634910">
      <w:pPr>
        <w:spacing w:after="0" w:line="240" w:lineRule="auto"/>
        <w:ind w:left="540" w:hanging="540"/>
        <w:rPr>
          <w:rFonts w:ascii="Times New Roman" w:hAnsi="Times New Roman" w:cs="Times New Roman"/>
          <w:b/>
          <w:lang w:val="lt-LT"/>
        </w:rPr>
      </w:pPr>
      <w:r>
        <w:rPr>
          <w:rFonts w:ascii="Times New Roman" w:hAnsi="Times New Roman" w:cs="Times New Roman"/>
          <w:b/>
          <w:lang w:val="lt-LT"/>
        </w:rPr>
        <w:t>4.9</w:t>
      </w:r>
      <w:r>
        <w:rPr>
          <w:rFonts w:ascii="Times New Roman" w:hAnsi="Times New Roman" w:cs="Times New Roman"/>
          <w:b/>
          <w:lang w:val="lt-LT"/>
        </w:rPr>
        <w:tab/>
        <w:t>Perdozavimas</w:t>
      </w:r>
      <w:bookmarkEnd w:id="16"/>
      <w:bookmarkEnd w:id="17"/>
    </w:p>
    <w:bookmarkEnd w:id="18"/>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Didesnių už rekomenduojamas dozių vartojimo patirtis yra ribota. Literatūroje yra duomenų apie pavienius imatinibo perdozavimo atvejus. Perdozavimo atveju pacientą reikia stebėti ir jam taikyti atitinkamą simptominį gydymą. Dažniausiai buvo pranešta, kad perdozavimo atveju paciento ,,būklė pagerėjo“ arba pacientas ,,atsigavo“. Buvo pranešta apie nurodytų skirtingų dozių perdozavimą.</w:t>
      </w:r>
    </w:p>
    <w:p w:rsidR="00634910" w:rsidRDefault="00634910" w:rsidP="00634910">
      <w:pPr>
        <w:spacing w:after="0" w:line="240" w:lineRule="auto"/>
        <w:rPr>
          <w:rFonts w:ascii="Times New Roman" w:hAnsi="Times New Roman" w:cs="Times New Roman"/>
          <w:lang w:val="lt-LT"/>
        </w:rPr>
      </w:pPr>
    </w:p>
    <w:p w:rsidR="00634910" w:rsidRPr="00132FED" w:rsidRDefault="00634910" w:rsidP="00634910">
      <w:pPr>
        <w:spacing w:after="0" w:line="240" w:lineRule="auto"/>
        <w:rPr>
          <w:rFonts w:ascii="Times New Roman" w:hAnsi="Times New Roman" w:cs="Times New Roman"/>
          <w:iCs/>
          <w:u w:val="single"/>
          <w:lang w:val="lt-LT"/>
        </w:rPr>
      </w:pPr>
      <w:r w:rsidRPr="00132FED">
        <w:rPr>
          <w:rFonts w:ascii="Times New Roman" w:hAnsi="Times New Roman" w:cs="Times New Roman"/>
          <w:iCs/>
          <w:u w:val="single"/>
          <w:lang w:val="lt-LT"/>
        </w:rPr>
        <w:lastRenderedPageBreak/>
        <w:t>Suaugusiųjų populiacija</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1200</w:t>
      </w:r>
      <w:r>
        <w:rPr>
          <w:rFonts w:ascii="Times New Roman" w:hAnsi="Times New Roman" w:cs="Times New Roman"/>
          <w:lang w:val="lt-LT"/>
        </w:rPr>
        <w:noBreakHyphen/>
        <w:t>1600 mg (vartojimo trukmė nuo 1 iki 10 parų). Pykinimas, vėmimas, viduriavimas, išbėrimas, eritema, edema, patinimas, nuovargis, raumenų spazmai, trombocitopenija, pancitopenija, pilvo skausmas, galvos skausmas, apetito sumažėjimas.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1800</w:t>
      </w:r>
      <w:r>
        <w:rPr>
          <w:rFonts w:ascii="Times New Roman" w:hAnsi="Times New Roman" w:cs="Times New Roman"/>
          <w:lang w:val="lt-LT"/>
        </w:rPr>
        <w:noBreakHyphen/>
        <w:t>3200 mg (taip pat 3200 mg paros dozės 6 paras). Silpnumas, mialgija, kreatinfosfokinazės suaktyvėjimas, bilirubino koncentracijos padidėjimas, pilvo skausmas.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6400 mg (vienkartinė dozė). Literatūroje aprašytu vienu atveju pacientui pasireiškė pykinimas, vėmimas, pilvo skausmas, karščiavimas, veido patinimas, neutrofilų kiekio sumažėjimas, transaminazių suaktyvėjimas.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8</w:t>
      </w:r>
      <w:r>
        <w:rPr>
          <w:rFonts w:ascii="Times New Roman" w:hAnsi="Times New Roman" w:cs="Times New Roman"/>
          <w:lang w:val="lt-LT"/>
        </w:rPr>
        <w:noBreakHyphen/>
        <w:t>10 g (vienkartinė dozė). Buvo pranešta apie vėmimą ir pilvo skausmą.</w:t>
      </w:r>
    </w:p>
    <w:p w:rsidR="00634910" w:rsidRDefault="00634910" w:rsidP="00634910">
      <w:pPr>
        <w:spacing w:after="0" w:line="240" w:lineRule="auto"/>
        <w:rPr>
          <w:rFonts w:ascii="Times New Roman" w:hAnsi="Times New Roman" w:cs="Times New Roman"/>
          <w:lang w:val="lt-LT"/>
        </w:rPr>
      </w:pPr>
    </w:p>
    <w:p w:rsidR="00634910" w:rsidRPr="00132FED" w:rsidRDefault="00634910" w:rsidP="00634910">
      <w:pPr>
        <w:spacing w:after="0" w:line="240" w:lineRule="auto"/>
        <w:rPr>
          <w:rFonts w:ascii="Times New Roman" w:hAnsi="Times New Roman" w:cs="Times New Roman"/>
          <w:iCs/>
          <w:u w:val="single"/>
          <w:lang w:val="lt-LT"/>
        </w:rPr>
      </w:pPr>
      <w:r w:rsidRPr="00132FED">
        <w:rPr>
          <w:rFonts w:ascii="Times New Roman" w:hAnsi="Times New Roman" w:cs="Times New Roman"/>
          <w:iCs/>
          <w:u w:val="single"/>
          <w:lang w:val="lt-LT"/>
        </w:rPr>
        <w:t>Vaikų populiacija</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Vienam 3 metų berniukui, išgėrusiam vienkartinę 400 mg dozę, pasireiškė vėmimas, viduriavimas ir anoreksija, o kitam 3 metų berniukui, išgėrusiam vienkartinę 980 mg dozę, pasireiškė baltųjų kraujo ląstelių kiekio sumažėjimas ir viduriavimas.</w:t>
      </w:r>
    </w:p>
    <w:p w:rsidR="00634910" w:rsidRDefault="00634910" w:rsidP="00634910">
      <w:pPr>
        <w:spacing w:after="0" w:line="240" w:lineRule="auto"/>
        <w:rPr>
          <w:rFonts w:ascii="Times New Roman" w:hAnsi="Times New Roman" w:cs="Times New Roman"/>
          <w:i/>
          <w:iCs/>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Perdozavimo atveju pacientą reikia stebėti ir skirti atitinkamą palaikomąjį gydymą.</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keepNext/>
        <w:tabs>
          <w:tab w:val="left" w:pos="567"/>
        </w:tabs>
        <w:spacing w:after="0" w:line="240" w:lineRule="auto"/>
        <w:rPr>
          <w:rFonts w:ascii="Times New Roman" w:hAnsi="Times New Roman" w:cs="Times New Roman"/>
          <w:b/>
          <w:lang w:val="lt-LT"/>
        </w:rPr>
      </w:pPr>
      <w:bookmarkStart w:id="19" w:name="_Toc129243236"/>
      <w:bookmarkStart w:id="20" w:name="_Toc129243111"/>
      <w:r>
        <w:rPr>
          <w:rFonts w:ascii="Times New Roman" w:hAnsi="Times New Roman" w:cs="Times New Roman"/>
          <w:b/>
          <w:lang w:val="lt-LT"/>
        </w:rPr>
        <w:t>5.</w:t>
      </w:r>
      <w:r>
        <w:rPr>
          <w:rFonts w:ascii="Times New Roman" w:hAnsi="Times New Roman" w:cs="Times New Roman"/>
          <w:b/>
          <w:lang w:val="lt-LT"/>
        </w:rPr>
        <w:tab/>
        <w:t>FARMAKOLOGINĖS SAVYBĖS</w:t>
      </w:r>
      <w:bookmarkEnd w:id="19"/>
      <w:bookmarkEnd w:id="20"/>
    </w:p>
    <w:p w:rsidR="00634910" w:rsidRDefault="00634910" w:rsidP="00634910">
      <w:pPr>
        <w:keepNext/>
        <w:tabs>
          <w:tab w:val="left" w:pos="567"/>
        </w:tabs>
        <w:spacing w:after="0" w:line="240" w:lineRule="auto"/>
        <w:rPr>
          <w:rFonts w:ascii="Times New Roman" w:hAnsi="Times New Roman" w:cs="Times New Roman"/>
          <w:lang w:val="lt-LT"/>
        </w:rPr>
      </w:pPr>
    </w:p>
    <w:p w:rsidR="00634910" w:rsidRDefault="00634910" w:rsidP="00634910">
      <w:pPr>
        <w:keepNext/>
        <w:tabs>
          <w:tab w:val="left" w:pos="567"/>
        </w:tabs>
        <w:spacing w:after="0" w:line="240" w:lineRule="auto"/>
        <w:rPr>
          <w:rFonts w:ascii="Times New Roman" w:hAnsi="Times New Roman" w:cs="Times New Roman"/>
          <w:b/>
          <w:lang w:val="lt-LT"/>
        </w:rPr>
      </w:pPr>
      <w:bookmarkStart w:id="21" w:name="_Toc129243237"/>
      <w:bookmarkStart w:id="22" w:name="_Toc129243112"/>
      <w:r>
        <w:rPr>
          <w:rFonts w:ascii="Times New Roman" w:hAnsi="Times New Roman" w:cs="Times New Roman"/>
          <w:b/>
          <w:lang w:val="lt-LT"/>
        </w:rPr>
        <w:t>5.1</w:t>
      </w:r>
      <w:r>
        <w:rPr>
          <w:rFonts w:ascii="Times New Roman" w:hAnsi="Times New Roman" w:cs="Times New Roman"/>
          <w:b/>
          <w:lang w:val="lt-LT"/>
        </w:rPr>
        <w:tab/>
        <w:t>Farmakodinaminės savybės</w:t>
      </w:r>
      <w:bookmarkEnd w:id="21"/>
      <w:bookmarkEnd w:id="22"/>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Farmakoterapinė grupė baltymo tirozinkinazės inhibitorius, ATC kodas – </w:t>
      </w:r>
      <w:r>
        <w:rPr>
          <w:rFonts w:ascii="Times New Roman" w:hAnsi="Times New Roman" w:cs="Times New Roman"/>
          <w:lang w:val="lt-LT" w:eastAsia="en-US"/>
        </w:rPr>
        <w:t>L01XE01.</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Veikimo mechanizmas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Imatinibas yra nedidelė baltymo tirozino kinazės inhibitoriaus molekulė, kuri stipriai slopina </w:t>
      </w:r>
      <w:r>
        <w:rPr>
          <w:rFonts w:ascii="Times New Roman" w:hAnsi="Times New Roman" w:cs="Times New Roman"/>
          <w:i/>
          <w:lang w:val="lt-LT"/>
        </w:rPr>
        <w:t>b</w:t>
      </w:r>
      <w:r w:rsidRPr="00AB69C2">
        <w:rPr>
          <w:rFonts w:ascii="Times New Roman" w:hAnsi="Times New Roman" w:cs="Times New Roman"/>
          <w:i/>
          <w:lang w:val="lt-LT"/>
        </w:rPr>
        <w:t>cr-abl</w:t>
      </w:r>
      <w:r>
        <w:rPr>
          <w:rFonts w:ascii="Times New Roman" w:hAnsi="Times New Roman" w:cs="Times New Roman"/>
          <w:lang w:val="lt-LT"/>
        </w:rPr>
        <w:t xml:space="preserve"> tirozino kinazės (TK) aktyvumą, taip pat keleto TK receptorių aktyvumą: Kit, c-Kit proto-onkogeną koduojančio kamieninių ląstelių faktoriaus (angl. </w:t>
      </w:r>
      <w:r w:rsidRPr="00132FED">
        <w:rPr>
          <w:rFonts w:ascii="Times New Roman" w:hAnsi="Times New Roman" w:cs="Times New Roman"/>
          <w:i/>
          <w:lang w:val="lt-LT"/>
        </w:rPr>
        <w:t>stem cell factor</w:t>
      </w:r>
      <w:r>
        <w:rPr>
          <w:rFonts w:ascii="Times New Roman" w:hAnsi="Times New Roman" w:cs="Times New Roman"/>
          <w:lang w:val="lt-LT"/>
        </w:rPr>
        <w:t xml:space="preserve"> – SCF) receptorių, diskoidino domeno receptorius (DDR1 ir DDR2), kolonijas stimuliuojančio faktoriaus receptorių (angl. colony stimulating factor receptor – CSF-1R) bei trombocituose esančius augimo faktoriaus receptorius alfa ir beta (angl. platelet-derived growth factor receptors – PDGFR-alpha, PDGFR-beta). Imatinibas taip pat gali slopinti ląstelių procesus, kuriuos skatina šių receptorių kinazių aktyvinimas.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Farmakodinaminis poveikis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Imatinibas yra baltymo tirozino kinazės inhibitorius, kuris stipriai slopina </w:t>
      </w:r>
      <w:r>
        <w:rPr>
          <w:rFonts w:ascii="Times New Roman" w:hAnsi="Times New Roman" w:cs="Times New Roman"/>
          <w:i/>
          <w:iCs/>
          <w:lang w:val="lt-LT"/>
        </w:rPr>
        <w:t>bcr-abl</w:t>
      </w:r>
      <w:r>
        <w:rPr>
          <w:rFonts w:ascii="Times New Roman" w:hAnsi="Times New Roman" w:cs="Times New Roman"/>
          <w:lang w:val="lt-LT"/>
        </w:rPr>
        <w:t xml:space="preserve"> tirozino kinazę </w:t>
      </w:r>
      <w:r>
        <w:rPr>
          <w:rFonts w:ascii="Times New Roman" w:hAnsi="Times New Roman" w:cs="Times New Roman"/>
          <w:i/>
          <w:iCs/>
          <w:lang w:val="lt-LT"/>
        </w:rPr>
        <w:t>in vitro</w:t>
      </w:r>
      <w:r>
        <w:rPr>
          <w:rFonts w:ascii="Times New Roman" w:hAnsi="Times New Roman" w:cs="Times New Roman"/>
          <w:lang w:val="lt-LT"/>
        </w:rPr>
        <w:t xml:space="preserve">, ląstelėse ir </w:t>
      </w:r>
      <w:r>
        <w:rPr>
          <w:rFonts w:ascii="Times New Roman" w:hAnsi="Times New Roman" w:cs="Times New Roman"/>
          <w:i/>
          <w:iCs/>
          <w:lang w:val="lt-LT"/>
        </w:rPr>
        <w:t>in vivo</w:t>
      </w:r>
      <w:r>
        <w:rPr>
          <w:rFonts w:ascii="Times New Roman" w:hAnsi="Times New Roman" w:cs="Times New Roman"/>
          <w:lang w:val="lt-LT"/>
        </w:rPr>
        <w:t xml:space="preserve">. Šis junginys selektyviai slopina proliferaciją ir sužadina </w:t>
      </w:r>
      <w:r>
        <w:rPr>
          <w:rFonts w:ascii="Times New Roman" w:hAnsi="Times New Roman" w:cs="Times New Roman"/>
          <w:i/>
          <w:iCs/>
          <w:lang w:val="lt-LT"/>
        </w:rPr>
        <w:t>bcr-abl</w:t>
      </w:r>
      <w:r>
        <w:rPr>
          <w:rFonts w:ascii="Times New Roman" w:hAnsi="Times New Roman" w:cs="Times New Roman"/>
          <w:lang w:val="lt-LT"/>
        </w:rPr>
        <w:t xml:space="preserve"> teigiamų ląstelių linijos, o taip pat naujų leukeminių ląstelių, išskirtų iš LML su teigiama </w:t>
      </w:r>
      <w:r>
        <w:rPr>
          <w:rFonts w:ascii="Times New Roman" w:hAnsi="Times New Roman" w:cs="Times New Roman"/>
          <w:i/>
          <w:iCs/>
          <w:lang w:val="lt-LT"/>
        </w:rPr>
        <w:t>Philadelphia</w:t>
      </w:r>
      <w:r>
        <w:rPr>
          <w:rFonts w:ascii="Times New Roman" w:hAnsi="Times New Roman" w:cs="Times New Roman"/>
          <w:lang w:val="lt-LT"/>
        </w:rPr>
        <w:t xml:space="preserve"> chromosoma ir ūmine limfoblastine leukemija (ŪLL) sergančių pacientų, apoptozę.</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Medžiaga parodė antinavikinį aktyvumą </w:t>
      </w:r>
      <w:r>
        <w:rPr>
          <w:rFonts w:ascii="Times New Roman" w:hAnsi="Times New Roman" w:cs="Times New Roman"/>
          <w:i/>
          <w:iCs/>
          <w:lang w:val="lt-LT"/>
        </w:rPr>
        <w:t>in vivo</w:t>
      </w:r>
      <w:r>
        <w:rPr>
          <w:rFonts w:ascii="Times New Roman" w:hAnsi="Times New Roman" w:cs="Times New Roman"/>
          <w:lang w:val="lt-LT"/>
        </w:rPr>
        <w:t xml:space="preserve"> gyvūnų modeliuose su </w:t>
      </w:r>
      <w:r>
        <w:rPr>
          <w:rFonts w:ascii="Times New Roman" w:hAnsi="Times New Roman" w:cs="Times New Roman"/>
          <w:i/>
          <w:iCs/>
          <w:lang w:val="lt-LT"/>
        </w:rPr>
        <w:t>bcr-abl</w:t>
      </w:r>
      <w:r>
        <w:rPr>
          <w:rFonts w:ascii="Times New Roman" w:hAnsi="Times New Roman" w:cs="Times New Roman"/>
          <w:lang w:val="lt-LT"/>
        </w:rPr>
        <w:t xml:space="preserve"> teigiamomis naviko ląstelėmis.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Be to, imatinibas yra iš trombocitų išskirto augimo faktoriaus (angl., </w:t>
      </w:r>
      <w:r>
        <w:rPr>
          <w:rFonts w:ascii="Times New Roman" w:hAnsi="Times New Roman" w:cs="Times New Roman"/>
          <w:i/>
          <w:iCs/>
          <w:lang w:val="lt-LT"/>
        </w:rPr>
        <w:t>platelet-derived growth factor [PDGF]</w:t>
      </w:r>
      <w:r>
        <w:rPr>
          <w:rFonts w:ascii="Times New Roman" w:hAnsi="Times New Roman" w:cs="Times New Roman"/>
          <w:lang w:val="lt-LT"/>
        </w:rPr>
        <w:t xml:space="preserve">) </w:t>
      </w:r>
      <w:r>
        <w:rPr>
          <w:rFonts w:ascii="Times New Roman" w:hAnsi="Times New Roman" w:cs="Times New Roman"/>
          <w:i/>
          <w:iCs/>
          <w:lang w:val="lt-LT"/>
        </w:rPr>
        <w:t>PDGF-R</w:t>
      </w:r>
      <w:r>
        <w:rPr>
          <w:rFonts w:ascii="Times New Roman" w:hAnsi="Times New Roman" w:cs="Times New Roman"/>
          <w:lang w:val="lt-LT"/>
        </w:rPr>
        <w:t xml:space="preserve"> ir kamieninių ląstelių faktoriaus (angl., </w:t>
      </w:r>
      <w:r>
        <w:rPr>
          <w:rFonts w:ascii="Times New Roman" w:hAnsi="Times New Roman" w:cs="Times New Roman"/>
          <w:i/>
          <w:iCs/>
          <w:lang w:val="lt-LT"/>
        </w:rPr>
        <w:t>stem cell factor [SCF]</w:t>
      </w:r>
      <w:r>
        <w:rPr>
          <w:rFonts w:ascii="Times New Roman" w:hAnsi="Times New Roman" w:cs="Times New Roman"/>
          <w:lang w:val="lt-LT"/>
        </w:rPr>
        <w:t xml:space="preserve">) </w:t>
      </w:r>
      <w:r>
        <w:rPr>
          <w:rFonts w:ascii="Times New Roman" w:hAnsi="Times New Roman" w:cs="Times New Roman"/>
          <w:i/>
          <w:iCs/>
          <w:lang w:val="lt-LT"/>
        </w:rPr>
        <w:t>c-kit</w:t>
      </w:r>
      <w:r>
        <w:rPr>
          <w:rFonts w:ascii="Times New Roman" w:hAnsi="Times New Roman" w:cs="Times New Roman"/>
          <w:lang w:val="lt-LT"/>
        </w:rPr>
        <w:t xml:space="preserve"> tirozino kinazių receptorių inhibitorius bei slopina </w:t>
      </w:r>
      <w:r>
        <w:rPr>
          <w:rFonts w:ascii="Times New Roman" w:hAnsi="Times New Roman" w:cs="Times New Roman"/>
          <w:i/>
          <w:iCs/>
          <w:lang w:val="lt-LT"/>
        </w:rPr>
        <w:t>PDGF</w:t>
      </w:r>
      <w:r>
        <w:rPr>
          <w:rFonts w:ascii="Times New Roman" w:hAnsi="Times New Roman" w:cs="Times New Roman"/>
          <w:lang w:val="lt-LT"/>
        </w:rPr>
        <w:t xml:space="preserve"> ir </w:t>
      </w:r>
      <w:r>
        <w:rPr>
          <w:rFonts w:ascii="Times New Roman" w:hAnsi="Times New Roman" w:cs="Times New Roman"/>
          <w:i/>
          <w:iCs/>
          <w:lang w:val="lt-LT"/>
        </w:rPr>
        <w:t>SCF</w:t>
      </w:r>
      <w:r>
        <w:rPr>
          <w:rFonts w:ascii="Times New Roman" w:hAnsi="Times New Roman" w:cs="Times New Roman"/>
          <w:lang w:val="lt-LT"/>
        </w:rPr>
        <w:t xml:space="preserve"> veikiamus procesus ląstelėse. Imatinibas slopina proliferaciją </w:t>
      </w:r>
      <w:r>
        <w:rPr>
          <w:rFonts w:ascii="Times New Roman" w:hAnsi="Times New Roman" w:cs="Times New Roman"/>
          <w:i/>
          <w:iCs/>
          <w:lang w:val="lt-LT"/>
        </w:rPr>
        <w:t>in vitro</w:t>
      </w:r>
      <w:r>
        <w:rPr>
          <w:rFonts w:ascii="Times New Roman" w:hAnsi="Times New Roman" w:cs="Times New Roman"/>
          <w:lang w:val="lt-LT"/>
        </w:rPr>
        <w:t xml:space="preserve"> ir sukelia virškinimo trakto stromos naviko (GIST) ląstelių, kurios ekspresuoja aktyvintą </w:t>
      </w:r>
      <w:r>
        <w:rPr>
          <w:rFonts w:ascii="Times New Roman" w:hAnsi="Times New Roman" w:cs="Times New Roman"/>
          <w:i/>
          <w:iCs/>
          <w:lang w:val="lt-LT"/>
        </w:rPr>
        <w:t>kit</w:t>
      </w:r>
      <w:r>
        <w:rPr>
          <w:rFonts w:ascii="Times New Roman" w:hAnsi="Times New Roman" w:cs="Times New Roman"/>
          <w:lang w:val="lt-LT"/>
        </w:rPr>
        <w:t xml:space="preserve"> mutaciją, apoptozę. MDS/MPS, HES/LEL ir DFSP patogenezė yra susijusi su esminiu </w:t>
      </w:r>
      <w:r>
        <w:rPr>
          <w:rFonts w:ascii="Times New Roman" w:hAnsi="Times New Roman" w:cs="Times New Roman"/>
          <w:i/>
          <w:iCs/>
          <w:lang w:val="lt-LT"/>
        </w:rPr>
        <w:t xml:space="preserve">PDGF </w:t>
      </w:r>
      <w:r>
        <w:rPr>
          <w:rFonts w:ascii="Times New Roman" w:hAnsi="Times New Roman" w:cs="Times New Roman"/>
          <w:lang w:val="lt-LT"/>
        </w:rPr>
        <w:t xml:space="preserve">receptorių ar </w:t>
      </w:r>
      <w:r>
        <w:rPr>
          <w:rFonts w:ascii="Times New Roman" w:hAnsi="Times New Roman" w:cs="Times New Roman"/>
          <w:i/>
          <w:iCs/>
          <w:lang w:val="lt-LT"/>
        </w:rPr>
        <w:t>abl</w:t>
      </w:r>
      <w:r>
        <w:rPr>
          <w:rFonts w:ascii="Times New Roman" w:hAnsi="Times New Roman" w:cs="Times New Roman"/>
          <w:lang w:val="lt-LT"/>
        </w:rPr>
        <w:t xml:space="preserve"> baltymo tirozino kinazės sužadinimu dėl įvairių susijusių baltymų ar </w:t>
      </w:r>
      <w:r>
        <w:rPr>
          <w:rFonts w:ascii="Times New Roman" w:hAnsi="Times New Roman" w:cs="Times New Roman"/>
          <w:lang w:val="lt-LT"/>
        </w:rPr>
        <w:lastRenderedPageBreak/>
        <w:t xml:space="preserve">esminės </w:t>
      </w:r>
      <w:r>
        <w:rPr>
          <w:rFonts w:ascii="Times New Roman" w:hAnsi="Times New Roman" w:cs="Times New Roman"/>
          <w:i/>
          <w:iCs/>
          <w:lang w:val="lt-LT"/>
        </w:rPr>
        <w:t>PDGF</w:t>
      </w:r>
      <w:r>
        <w:rPr>
          <w:rFonts w:ascii="Times New Roman" w:hAnsi="Times New Roman" w:cs="Times New Roman"/>
          <w:lang w:val="lt-LT"/>
        </w:rPr>
        <w:t xml:space="preserve"> sintezės. Imatinibas slopina signalų perdavimą ir ląstelių, atsiradusių dėl sutrikusios </w:t>
      </w:r>
      <w:r>
        <w:rPr>
          <w:rFonts w:ascii="Times New Roman" w:hAnsi="Times New Roman" w:cs="Times New Roman"/>
          <w:i/>
          <w:iCs/>
          <w:lang w:val="lt-LT"/>
        </w:rPr>
        <w:t>PDGF-R</w:t>
      </w:r>
      <w:r>
        <w:rPr>
          <w:rFonts w:ascii="Times New Roman" w:hAnsi="Times New Roman" w:cs="Times New Roman"/>
          <w:lang w:val="lt-LT"/>
        </w:rPr>
        <w:t xml:space="preserve"> ir abl kinazės aktyvumo reguliacijos, proliferaciją.</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Klinikiniai lėtinės mieloidinės leukemijos tyrimai</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Imatinibo veiksmingumas buvo įrodytas bendra hematologinio ir citogenetinio atsako dalimi ir išgyvenimu be ligos progresavimo. Kontroliuojamųjų klinikinių tyrimų, kurie rodytų klinikinę naudą, pavyzdžiui, su liga susijusių simptomų išnykimą ar išgyvenimo pailgėjimą, nėra.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Atliktas didelis tarptautinis atviras nekontroliuojamas II fazės tyrimas su pacientais, kuriems buvo diagnozuota LML su teigiama </w:t>
      </w:r>
      <w:r>
        <w:rPr>
          <w:rFonts w:ascii="Times New Roman" w:hAnsi="Times New Roman" w:cs="Times New Roman"/>
          <w:i/>
          <w:iCs/>
          <w:lang w:val="lt-LT"/>
        </w:rPr>
        <w:t>Philadelphia</w:t>
      </w:r>
      <w:r>
        <w:rPr>
          <w:rFonts w:ascii="Times New Roman" w:hAnsi="Times New Roman" w:cs="Times New Roman"/>
          <w:lang w:val="lt-LT"/>
        </w:rPr>
        <w:t xml:space="preserve"> chromosoma (</w:t>
      </w:r>
      <w:r>
        <w:rPr>
          <w:rFonts w:ascii="Times New Roman" w:hAnsi="Times New Roman" w:cs="Times New Roman"/>
          <w:i/>
          <w:iCs/>
          <w:lang w:val="lt-LT"/>
        </w:rPr>
        <w:t>Ph+</w:t>
      </w:r>
      <w:r>
        <w:rPr>
          <w:rFonts w:ascii="Times New Roman" w:hAnsi="Times New Roman" w:cs="Times New Roman"/>
          <w:lang w:val="lt-LT"/>
        </w:rPr>
        <w:t>) blastinės krizės fazė. Be to, dviejų I fazės tyrimų ir vieno II fazės tyrimo metu buvo gydomi vaikai.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38 % klinikiniame tyrime dalyvavusių pacientų amžius buvo ≥ 60 metų 12 % pacientų – ≥ 70 metų.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i/>
          <w:iCs/>
          <w:lang w:val="lt-LT"/>
        </w:rPr>
        <w:t>Mieloblastinė krizė</w:t>
      </w:r>
      <w:r>
        <w:rPr>
          <w:rFonts w:ascii="Times New Roman" w:hAnsi="Times New Roman" w:cs="Times New Roman"/>
          <w:lang w:val="lt-LT"/>
        </w:rPr>
        <w:t>. Tyrime dalyvavo 260 pacientų, kuriems buvo diagnozuota mieloblastinė krizė. 95 (37 %) pacientams pirmiau buvo taikyta chemoterapija arba dėl akceleracijos fazės, arba dėl blastinės krizės (,,anksčiau gydyti pacientai”) ir 165 (63 %) nebuvo gydyti (,,negydyti pacientai”). Pirmieji 37 pacientai pradėti gydyti 400 mg doze, vėliau protokolas buvo papildytas, kad būtų galima skirti didesnę dozę, todėl kiti 223 pacientai buvo pradėti gydyti 600 mg doze.</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Svarbiausiasis veiksmingumo kintamasis buvo hematologinio atsako, apibūdinamo arba visišku hematologiniu atsaku, išnykusiais leukemijos požymiais, arba grįžimu į lėtinę LML fazę, dažnis. Šio tyrimo duomenimis, hematologinis atsakas buvo pasiektas 31 % pacientų (36 % anksčiau negydytų pacientų ir 22 % anksčiau gydytų pacientų). Atsako dažnis taip pat buvo didesnis pacientams, gydytiems 600 mg doze (33 %), palyginti su gydytais 400 mg doze (16 %, p = 0,0220). Nustatyta vidutinė anksčiau negydytų ir anksčiau gydytų pacientų išgyvenimo trukmė buvo atitinkamai 7,7 mėn. ir 4,7 mėn.</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i/>
          <w:iCs/>
          <w:lang w:val="lt-LT"/>
        </w:rPr>
        <w:t>Limfoblastinė krizė</w:t>
      </w:r>
      <w:r>
        <w:rPr>
          <w:rFonts w:ascii="Times New Roman" w:hAnsi="Times New Roman" w:cs="Times New Roman"/>
          <w:lang w:val="lt-LT"/>
        </w:rPr>
        <w:t>. Į I fazės tyrimą buvo įtrauktas ribotas skaičius pacientų (n = 10). Hematologinio atsako dažnis buvo 70 %, jo trukmė – 2–3 mėnesiai.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b/>
          <w:bCs/>
          <w:lang w:val="lt-LT"/>
        </w:rPr>
      </w:pPr>
      <w:r>
        <w:rPr>
          <w:rFonts w:ascii="Times New Roman" w:hAnsi="Times New Roman" w:cs="Times New Roman"/>
          <w:b/>
          <w:bCs/>
          <w:lang w:val="lt-LT"/>
        </w:rPr>
        <w:t>Lentelė Nr. 2. LML tyrimo suaugusiųjų tarpe atsakas esant blastinei krizei.</w:t>
      </w:r>
    </w:p>
    <w:tbl>
      <w:tblPr>
        <w:tblW w:w="0" w:type="auto"/>
        <w:tblLook w:val="04A0" w:firstRow="1" w:lastRow="0" w:firstColumn="1" w:lastColumn="0" w:noHBand="0" w:noVBand="1"/>
      </w:tblPr>
      <w:tblGrid>
        <w:gridCol w:w="9041"/>
      </w:tblGrid>
      <w:tr w:rsidR="00634910" w:rsidRPr="00F82138" w:rsidTr="00E16918">
        <w:trPr>
          <w:trHeight w:val="92"/>
        </w:trPr>
        <w:tc>
          <w:tcPr>
            <w:tcW w:w="8472" w:type="dxa"/>
          </w:tcPr>
          <w:p w:rsidR="00634910" w:rsidRDefault="00634910" w:rsidP="00E16918">
            <w:pPr>
              <w:pStyle w:val="Default"/>
              <w:widowControl w:val="0"/>
              <w:rPr>
                <w:b/>
                <w:bCs/>
                <w:sz w:val="22"/>
                <w:szCs w:val="22"/>
              </w:rPr>
            </w:pPr>
          </w:p>
          <w:tbl>
            <w:tblPr>
              <w:tblW w:w="8815" w:type="dxa"/>
              <w:tblLook w:val="04A0" w:firstRow="1" w:lastRow="0" w:firstColumn="1" w:lastColumn="0" w:noHBand="0" w:noVBand="1"/>
            </w:tblPr>
            <w:tblGrid>
              <w:gridCol w:w="5182"/>
              <w:gridCol w:w="317"/>
              <w:gridCol w:w="317"/>
              <w:gridCol w:w="2999"/>
            </w:tblGrid>
            <w:tr w:rsidR="00634910" w:rsidTr="00E16918">
              <w:trPr>
                <w:trHeight w:val="1162"/>
              </w:trPr>
              <w:tc>
                <w:tcPr>
                  <w:tcW w:w="0" w:type="auto"/>
                  <w:tcBorders>
                    <w:top w:val="single" w:sz="4" w:space="0" w:color="auto"/>
                    <w:left w:val="single" w:sz="4" w:space="0" w:color="auto"/>
                    <w:bottom w:val="single" w:sz="4" w:space="0" w:color="auto"/>
                    <w:right w:val="single" w:sz="4" w:space="0" w:color="auto"/>
                  </w:tcBorders>
                </w:tcPr>
                <w:p w:rsidR="00634910" w:rsidRDefault="00634910" w:rsidP="00E16918">
                  <w:pPr>
                    <w:pStyle w:val="Default"/>
                    <w:widowControl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634910" w:rsidRDefault="00634910" w:rsidP="00E16918">
                  <w:pPr>
                    <w:pStyle w:val="Default"/>
                    <w:widowControl w:val="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634910" w:rsidRDefault="00634910" w:rsidP="00E16918">
                  <w:pPr>
                    <w:pStyle w:val="Default"/>
                    <w:widowControl w:val="0"/>
                    <w:ind w:firstLine="720"/>
                    <w:jc w:val="center"/>
                    <w:rPr>
                      <w:sz w:val="22"/>
                      <w:szCs w:val="22"/>
                    </w:rPr>
                  </w:pPr>
                </w:p>
              </w:tc>
              <w:tc>
                <w:tcPr>
                  <w:tcW w:w="2102" w:type="dxa"/>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jc w:val="center"/>
                    <w:rPr>
                      <w:sz w:val="22"/>
                      <w:szCs w:val="22"/>
                    </w:rPr>
                  </w:pPr>
                  <w:r>
                    <w:rPr>
                      <w:sz w:val="22"/>
                      <w:szCs w:val="22"/>
                    </w:rPr>
                    <w:t>Tyrimas 0102</w:t>
                  </w:r>
                </w:p>
                <w:p w:rsidR="00634910" w:rsidRDefault="00634910" w:rsidP="00E16918">
                  <w:pPr>
                    <w:pStyle w:val="Default"/>
                    <w:widowControl w:val="0"/>
                    <w:jc w:val="center"/>
                    <w:rPr>
                      <w:sz w:val="22"/>
                      <w:szCs w:val="22"/>
                    </w:rPr>
                  </w:pPr>
                  <w:r>
                    <w:rPr>
                      <w:sz w:val="22"/>
                      <w:szCs w:val="22"/>
                    </w:rPr>
                    <w:t>38 mėn. duomenys</w:t>
                  </w:r>
                </w:p>
                <w:p w:rsidR="00634910" w:rsidRDefault="00634910" w:rsidP="00E16918">
                  <w:pPr>
                    <w:pStyle w:val="Default"/>
                    <w:widowControl w:val="0"/>
                    <w:jc w:val="center"/>
                    <w:rPr>
                      <w:sz w:val="22"/>
                      <w:szCs w:val="22"/>
                    </w:rPr>
                  </w:pPr>
                  <w:r>
                    <w:rPr>
                      <w:sz w:val="22"/>
                      <w:szCs w:val="22"/>
                    </w:rPr>
                    <w:t>Mieloblastinė krizė</w:t>
                  </w:r>
                </w:p>
                <w:p w:rsidR="00634910" w:rsidRDefault="00634910" w:rsidP="00E16918">
                  <w:pPr>
                    <w:pStyle w:val="Default"/>
                    <w:widowControl w:val="0"/>
                    <w:jc w:val="center"/>
                    <w:rPr>
                      <w:sz w:val="22"/>
                      <w:szCs w:val="22"/>
                    </w:rPr>
                  </w:pPr>
                  <w:r>
                    <w:rPr>
                      <w:sz w:val="22"/>
                      <w:szCs w:val="22"/>
                    </w:rPr>
                    <w:t>(n = 260)</w:t>
                  </w:r>
                </w:p>
              </w:tc>
            </w:tr>
            <w:tr w:rsidR="00634910" w:rsidTr="00E16918">
              <w:trPr>
                <w:trHeight w:val="107"/>
              </w:trPr>
              <w:tc>
                <w:tcPr>
                  <w:tcW w:w="8815" w:type="dxa"/>
                  <w:gridSpan w:val="4"/>
                  <w:tcBorders>
                    <w:top w:val="single" w:sz="4" w:space="0" w:color="auto"/>
                    <w:left w:val="single" w:sz="4" w:space="0" w:color="auto"/>
                    <w:bottom w:val="single" w:sz="4" w:space="0" w:color="auto"/>
                    <w:right w:val="single" w:sz="4" w:space="0" w:color="auto"/>
                  </w:tcBorders>
                  <w:hideMark/>
                </w:tcPr>
                <w:p w:rsidR="00634910" w:rsidRDefault="00634910" w:rsidP="00E16918">
                  <w:pPr>
                    <w:pStyle w:val="Default"/>
                    <w:widowControl w:val="0"/>
                    <w:jc w:val="center"/>
                    <w:rPr>
                      <w:sz w:val="22"/>
                      <w:szCs w:val="22"/>
                    </w:rPr>
                  </w:pPr>
                  <w:r>
                    <w:rPr>
                      <w:sz w:val="22"/>
                      <w:szCs w:val="22"/>
                    </w:rPr>
                    <w:t xml:space="preserve"> % pacientų (PI 95 %)</w:t>
                  </w:r>
                </w:p>
              </w:tc>
            </w:tr>
            <w:tr w:rsidR="00634910" w:rsidTr="00E16918">
              <w:trPr>
                <w:trHeight w:val="1184"/>
              </w:trPr>
              <w:tc>
                <w:tcPr>
                  <w:tcW w:w="0" w:type="auto"/>
                  <w:tcBorders>
                    <w:top w:val="single" w:sz="4" w:space="0" w:color="auto"/>
                    <w:left w:val="single" w:sz="4" w:space="0" w:color="auto"/>
                    <w:bottom w:val="nil"/>
                    <w:right w:val="single" w:sz="4" w:space="0" w:color="auto"/>
                  </w:tcBorders>
                </w:tcPr>
                <w:p w:rsidR="00634910" w:rsidRDefault="00634910" w:rsidP="00E16918">
                  <w:pPr>
                    <w:pStyle w:val="Default"/>
                    <w:widowControl w:val="0"/>
                    <w:rPr>
                      <w:sz w:val="22"/>
                      <w:szCs w:val="22"/>
                      <w:vertAlign w:val="superscript"/>
                    </w:rPr>
                  </w:pPr>
                  <w:r>
                    <w:rPr>
                      <w:sz w:val="22"/>
                      <w:szCs w:val="22"/>
                    </w:rPr>
                    <w:t xml:space="preserve">Hematologinis atsakas </w:t>
                  </w:r>
                  <w:r>
                    <w:rPr>
                      <w:sz w:val="22"/>
                      <w:szCs w:val="22"/>
                      <w:vertAlign w:val="superscript"/>
                    </w:rPr>
                    <w:t>1</w:t>
                  </w:r>
                </w:p>
                <w:p w:rsidR="00634910" w:rsidRDefault="00634910" w:rsidP="00E16918">
                  <w:pPr>
                    <w:pStyle w:val="Default"/>
                    <w:widowControl w:val="0"/>
                    <w:rPr>
                      <w:sz w:val="22"/>
                      <w:szCs w:val="22"/>
                    </w:rPr>
                  </w:pPr>
                  <w:r>
                    <w:rPr>
                      <w:sz w:val="22"/>
                      <w:szCs w:val="22"/>
                    </w:rPr>
                    <w:t>Visiškas hematologinis atsakas (VHA)</w:t>
                  </w:r>
                </w:p>
                <w:p w:rsidR="00634910" w:rsidRDefault="00634910" w:rsidP="00E16918">
                  <w:pPr>
                    <w:pStyle w:val="Default"/>
                    <w:widowControl w:val="0"/>
                    <w:rPr>
                      <w:sz w:val="22"/>
                      <w:szCs w:val="22"/>
                    </w:rPr>
                  </w:pPr>
                </w:p>
                <w:p w:rsidR="00634910" w:rsidRDefault="00634910" w:rsidP="00E16918">
                  <w:pPr>
                    <w:pStyle w:val="Default"/>
                    <w:widowControl w:val="0"/>
                    <w:rPr>
                      <w:sz w:val="22"/>
                      <w:szCs w:val="22"/>
                    </w:rPr>
                  </w:pPr>
                  <w:r>
                    <w:rPr>
                      <w:sz w:val="22"/>
                      <w:szCs w:val="22"/>
                    </w:rPr>
                    <w:t>Išnykę leukemijos požymiai (ILP)</w:t>
                  </w:r>
                </w:p>
                <w:p w:rsidR="00634910" w:rsidRDefault="00634910" w:rsidP="00E16918">
                  <w:pPr>
                    <w:pStyle w:val="Default"/>
                    <w:widowControl w:val="0"/>
                    <w:rPr>
                      <w:sz w:val="22"/>
                      <w:szCs w:val="22"/>
                    </w:rPr>
                  </w:pPr>
                </w:p>
                <w:p w:rsidR="00634910" w:rsidRDefault="00634910" w:rsidP="00E16918">
                  <w:pPr>
                    <w:pStyle w:val="Default"/>
                    <w:widowControl w:val="0"/>
                    <w:rPr>
                      <w:sz w:val="22"/>
                      <w:szCs w:val="22"/>
                    </w:rPr>
                  </w:pPr>
                  <w:r>
                    <w:rPr>
                      <w:sz w:val="22"/>
                      <w:szCs w:val="22"/>
                    </w:rPr>
                    <w:t xml:space="preserve">Grįžimas į lėtinę fazę (GLF) </w:t>
                  </w:r>
                </w:p>
              </w:tc>
              <w:tc>
                <w:tcPr>
                  <w:tcW w:w="0" w:type="auto"/>
                  <w:tcBorders>
                    <w:top w:val="single" w:sz="4" w:space="0" w:color="auto"/>
                    <w:left w:val="single" w:sz="4" w:space="0" w:color="auto"/>
                    <w:bottom w:val="nil"/>
                    <w:right w:val="single" w:sz="4" w:space="0" w:color="auto"/>
                  </w:tcBorders>
                </w:tcPr>
                <w:p w:rsidR="00634910" w:rsidRDefault="00634910" w:rsidP="00E16918">
                  <w:pPr>
                    <w:pStyle w:val="Default"/>
                    <w:widowControl w:val="0"/>
                    <w:jc w:val="center"/>
                    <w:rPr>
                      <w:sz w:val="22"/>
                      <w:szCs w:val="22"/>
                    </w:rPr>
                  </w:pPr>
                </w:p>
              </w:tc>
              <w:tc>
                <w:tcPr>
                  <w:tcW w:w="0" w:type="auto"/>
                  <w:tcBorders>
                    <w:top w:val="single" w:sz="4" w:space="0" w:color="auto"/>
                    <w:left w:val="single" w:sz="4" w:space="0" w:color="auto"/>
                    <w:bottom w:val="nil"/>
                    <w:right w:val="single" w:sz="4" w:space="0" w:color="auto"/>
                  </w:tcBorders>
                </w:tcPr>
                <w:p w:rsidR="00634910" w:rsidRDefault="00634910" w:rsidP="00E16918">
                  <w:pPr>
                    <w:pStyle w:val="Default"/>
                    <w:widowControl w:val="0"/>
                    <w:jc w:val="center"/>
                    <w:rPr>
                      <w:sz w:val="22"/>
                      <w:szCs w:val="22"/>
                    </w:rPr>
                  </w:pPr>
                </w:p>
              </w:tc>
              <w:tc>
                <w:tcPr>
                  <w:tcW w:w="2102" w:type="dxa"/>
                  <w:tcBorders>
                    <w:top w:val="single" w:sz="4" w:space="0" w:color="auto"/>
                    <w:left w:val="single" w:sz="4" w:space="0" w:color="auto"/>
                    <w:bottom w:val="single" w:sz="4" w:space="0" w:color="auto"/>
                    <w:right w:val="single" w:sz="4" w:space="0" w:color="auto"/>
                  </w:tcBorders>
                </w:tcPr>
                <w:p w:rsidR="00634910" w:rsidRDefault="00634910" w:rsidP="00E16918">
                  <w:pPr>
                    <w:pStyle w:val="Default"/>
                    <w:widowControl w:val="0"/>
                    <w:jc w:val="center"/>
                    <w:rPr>
                      <w:sz w:val="22"/>
                      <w:szCs w:val="22"/>
                    </w:rPr>
                  </w:pPr>
                  <w:r>
                    <w:rPr>
                      <w:sz w:val="22"/>
                      <w:szCs w:val="22"/>
                    </w:rPr>
                    <w:t>31 % (25,2–36,8)</w:t>
                  </w:r>
                </w:p>
                <w:p w:rsidR="00634910" w:rsidRDefault="00634910" w:rsidP="00E16918">
                  <w:pPr>
                    <w:pStyle w:val="Default"/>
                    <w:widowControl w:val="0"/>
                    <w:jc w:val="center"/>
                    <w:rPr>
                      <w:sz w:val="22"/>
                      <w:szCs w:val="22"/>
                    </w:rPr>
                  </w:pPr>
                  <w:r>
                    <w:rPr>
                      <w:sz w:val="22"/>
                      <w:szCs w:val="22"/>
                    </w:rPr>
                    <w:t>8 %</w:t>
                  </w:r>
                </w:p>
                <w:p w:rsidR="00634910" w:rsidRDefault="00634910" w:rsidP="00E16918">
                  <w:pPr>
                    <w:pStyle w:val="Default"/>
                    <w:widowControl w:val="0"/>
                    <w:jc w:val="center"/>
                    <w:rPr>
                      <w:sz w:val="22"/>
                      <w:szCs w:val="22"/>
                    </w:rPr>
                  </w:pPr>
                </w:p>
                <w:p w:rsidR="00634910" w:rsidRDefault="00634910" w:rsidP="00E16918">
                  <w:pPr>
                    <w:pStyle w:val="Default"/>
                    <w:widowControl w:val="0"/>
                    <w:jc w:val="center"/>
                    <w:rPr>
                      <w:sz w:val="22"/>
                      <w:szCs w:val="22"/>
                    </w:rPr>
                  </w:pPr>
                </w:p>
                <w:p w:rsidR="00634910" w:rsidRDefault="00634910" w:rsidP="00E16918">
                  <w:pPr>
                    <w:pStyle w:val="Default"/>
                    <w:widowControl w:val="0"/>
                    <w:jc w:val="center"/>
                    <w:rPr>
                      <w:sz w:val="22"/>
                      <w:szCs w:val="22"/>
                    </w:rPr>
                  </w:pPr>
                  <w:r>
                    <w:rPr>
                      <w:sz w:val="22"/>
                      <w:szCs w:val="22"/>
                    </w:rPr>
                    <w:t>5 %</w:t>
                  </w:r>
                </w:p>
                <w:p w:rsidR="00634910" w:rsidRDefault="00634910" w:rsidP="00E16918">
                  <w:pPr>
                    <w:pStyle w:val="Default"/>
                    <w:widowControl w:val="0"/>
                    <w:jc w:val="center"/>
                    <w:rPr>
                      <w:sz w:val="22"/>
                      <w:szCs w:val="22"/>
                    </w:rPr>
                  </w:pPr>
                </w:p>
                <w:p w:rsidR="00634910" w:rsidRDefault="00634910" w:rsidP="00E16918">
                  <w:pPr>
                    <w:pStyle w:val="Default"/>
                    <w:widowControl w:val="0"/>
                    <w:jc w:val="center"/>
                    <w:rPr>
                      <w:sz w:val="22"/>
                      <w:szCs w:val="22"/>
                    </w:rPr>
                  </w:pPr>
                </w:p>
                <w:p w:rsidR="00634910" w:rsidRDefault="00634910" w:rsidP="00E16918">
                  <w:pPr>
                    <w:pStyle w:val="Default"/>
                    <w:widowControl w:val="0"/>
                    <w:jc w:val="center"/>
                    <w:rPr>
                      <w:sz w:val="22"/>
                      <w:szCs w:val="22"/>
                    </w:rPr>
                  </w:pPr>
                  <w:r>
                    <w:rPr>
                      <w:sz w:val="22"/>
                      <w:szCs w:val="22"/>
                    </w:rPr>
                    <w:t>18 %</w:t>
                  </w:r>
                </w:p>
              </w:tc>
            </w:tr>
            <w:tr w:rsidR="00634910" w:rsidTr="00E16918">
              <w:trPr>
                <w:trHeight w:val="988"/>
              </w:trPr>
              <w:tc>
                <w:tcPr>
                  <w:tcW w:w="0" w:type="auto"/>
                  <w:tcBorders>
                    <w:top w:val="single" w:sz="4" w:space="0" w:color="auto"/>
                    <w:left w:val="single" w:sz="4" w:space="0" w:color="auto"/>
                    <w:bottom w:val="nil"/>
                    <w:right w:val="single" w:sz="4" w:space="0" w:color="auto"/>
                  </w:tcBorders>
                  <w:hideMark/>
                </w:tcPr>
                <w:p w:rsidR="00634910" w:rsidRDefault="00634910" w:rsidP="00E16918">
                  <w:pPr>
                    <w:pStyle w:val="Default"/>
                    <w:widowControl w:val="0"/>
                    <w:rPr>
                      <w:sz w:val="22"/>
                      <w:szCs w:val="22"/>
                    </w:rPr>
                  </w:pPr>
                  <w:r>
                    <w:rPr>
                      <w:sz w:val="22"/>
                      <w:szCs w:val="22"/>
                    </w:rPr>
                    <w:lastRenderedPageBreak/>
                    <w:t xml:space="preserve">Didysis citogenetinis atsakas </w:t>
                  </w:r>
                  <w:r>
                    <w:rPr>
                      <w:sz w:val="22"/>
                      <w:szCs w:val="22"/>
                      <w:vertAlign w:val="superscript"/>
                    </w:rPr>
                    <w:t>2</w:t>
                  </w:r>
                </w:p>
                <w:p w:rsidR="00634910" w:rsidRDefault="00634910" w:rsidP="00E16918">
                  <w:pPr>
                    <w:pStyle w:val="Default"/>
                    <w:widowControl w:val="0"/>
                    <w:rPr>
                      <w:sz w:val="22"/>
                      <w:szCs w:val="22"/>
                    </w:rPr>
                  </w:pPr>
                  <w:r>
                    <w:rPr>
                      <w:sz w:val="22"/>
                      <w:szCs w:val="22"/>
                    </w:rPr>
                    <w:t>Visiškas</w:t>
                  </w:r>
                </w:p>
                <w:p w:rsidR="00634910" w:rsidRDefault="00634910" w:rsidP="00E16918">
                  <w:pPr>
                    <w:pStyle w:val="Default"/>
                    <w:widowControl w:val="0"/>
                    <w:rPr>
                      <w:sz w:val="22"/>
                      <w:szCs w:val="22"/>
                    </w:rPr>
                  </w:pPr>
                  <w:r>
                    <w:rPr>
                      <w:sz w:val="22"/>
                      <w:szCs w:val="22"/>
                    </w:rPr>
                    <w:t xml:space="preserve">(Patvirtintas </w:t>
                  </w:r>
                  <w:r>
                    <w:rPr>
                      <w:sz w:val="22"/>
                      <w:szCs w:val="22"/>
                      <w:vertAlign w:val="superscript"/>
                    </w:rPr>
                    <w:t>3</w:t>
                  </w:r>
                  <w:r>
                    <w:rPr>
                      <w:sz w:val="22"/>
                      <w:szCs w:val="22"/>
                    </w:rPr>
                    <w:t>) [95 % PI]</w:t>
                  </w:r>
                </w:p>
                <w:p w:rsidR="00634910" w:rsidRDefault="00634910" w:rsidP="00E16918">
                  <w:pPr>
                    <w:pStyle w:val="Default"/>
                    <w:widowControl w:val="0"/>
                    <w:rPr>
                      <w:sz w:val="22"/>
                      <w:szCs w:val="22"/>
                    </w:rPr>
                  </w:pPr>
                  <w:r>
                    <w:rPr>
                      <w:sz w:val="22"/>
                      <w:szCs w:val="22"/>
                    </w:rPr>
                    <w:t>Dalinis</w:t>
                  </w:r>
                </w:p>
              </w:tc>
              <w:tc>
                <w:tcPr>
                  <w:tcW w:w="0" w:type="auto"/>
                  <w:tcBorders>
                    <w:top w:val="single" w:sz="4" w:space="0" w:color="auto"/>
                    <w:left w:val="single" w:sz="4" w:space="0" w:color="auto"/>
                    <w:bottom w:val="nil"/>
                    <w:right w:val="single" w:sz="4" w:space="0" w:color="auto"/>
                  </w:tcBorders>
                </w:tcPr>
                <w:p w:rsidR="00634910" w:rsidRDefault="00634910" w:rsidP="00E16918">
                  <w:pPr>
                    <w:pStyle w:val="Default"/>
                    <w:widowControl w:val="0"/>
                    <w:jc w:val="center"/>
                    <w:rPr>
                      <w:sz w:val="22"/>
                      <w:szCs w:val="22"/>
                    </w:rPr>
                  </w:pPr>
                </w:p>
              </w:tc>
              <w:tc>
                <w:tcPr>
                  <w:tcW w:w="0" w:type="auto"/>
                  <w:tcBorders>
                    <w:top w:val="single" w:sz="4" w:space="0" w:color="auto"/>
                    <w:left w:val="single" w:sz="4" w:space="0" w:color="auto"/>
                    <w:bottom w:val="nil"/>
                    <w:right w:val="single" w:sz="4" w:space="0" w:color="auto"/>
                  </w:tcBorders>
                </w:tcPr>
                <w:p w:rsidR="00634910" w:rsidRDefault="00634910" w:rsidP="00E16918">
                  <w:pPr>
                    <w:pStyle w:val="Default"/>
                    <w:widowControl w:val="0"/>
                    <w:jc w:val="center"/>
                    <w:rPr>
                      <w:sz w:val="22"/>
                      <w:szCs w:val="22"/>
                    </w:rPr>
                  </w:pPr>
                </w:p>
              </w:tc>
              <w:tc>
                <w:tcPr>
                  <w:tcW w:w="2102" w:type="dxa"/>
                  <w:tcBorders>
                    <w:top w:val="single" w:sz="4" w:space="0" w:color="auto"/>
                    <w:left w:val="single" w:sz="4" w:space="0" w:color="auto"/>
                    <w:bottom w:val="nil"/>
                    <w:right w:val="single" w:sz="4" w:space="0" w:color="auto"/>
                  </w:tcBorders>
                </w:tcPr>
                <w:p w:rsidR="00634910" w:rsidRDefault="00634910" w:rsidP="00E16918">
                  <w:pPr>
                    <w:pStyle w:val="Default"/>
                    <w:widowControl w:val="0"/>
                    <w:jc w:val="center"/>
                    <w:rPr>
                      <w:sz w:val="22"/>
                      <w:szCs w:val="22"/>
                    </w:rPr>
                  </w:pPr>
                  <w:r>
                    <w:rPr>
                      <w:sz w:val="22"/>
                      <w:szCs w:val="22"/>
                    </w:rPr>
                    <w:t>15 % (11,2–20,4)</w:t>
                  </w:r>
                </w:p>
                <w:p w:rsidR="00634910" w:rsidRDefault="00634910" w:rsidP="00E16918">
                  <w:pPr>
                    <w:pStyle w:val="Default"/>
                    <w:widowControl w:val="0"/>
                    <w:jc w:val="center"/>
                    <w:rPr>
                      <w:sz w:val="22"/>
                      <w:szCs w:val="22"/>
                    </w:rPr>
                  </w:pPr>
                </w:p>
                <w:p w:rsidR="00634910" w:rsidRDefault="00634910" w:rsidP="00E16918">
                  <w:pPr>
                    <w:pStyle w:val="Default"/>
                    <w:widowControl w:val="0"/>
                    <w:jc w:val="center"/>
                    <w:rPr>
                      <w:sz w:val="22"/>
                      <w:szCs w:val="22"/>
                    </w:rPr>
                  </w:pPr>
                  <w:r>
                    <w:rPr>
                      <w:sz w:val="22"/>
                      <w:szCs w:val="22"/>
                    </w:rPr>
                    <w:t>7 %</w:t>
                  </w:r>
                </w:p>
                <w:p w:rsidR="00634910" w:rsidRDefault="00634910" w:rsidP="00E16918">
                  <w:pPr>
                    <w:pStyle w:val="Default"/>
                    <w:widowControl w:val="0"/>
                    <w:jc w:val="center"/>
                    <w:rPr>
                      <w:sz w:val="22"/>
                      <w:szCs w:val="22"/>
                    </w:rPr>
                  </w:pPr>
                  <w:r>
                    <w:rPr>
                      <w:sz w:val="22"/>
                      <w:szCs w:val="22"/>
                    </w:rPr>
                    <w:t>(2 %) [0,6–4,4]</w:t>
                  </w:r>
                </w:p>
                <w:p w:rsidR="00634910" w:rsidRDefault="00634910" w:rsidP="00E16918">
                  <w:pPr>
                    <w:pStyle w:val="Default"/>
                    <w:widowControl w:val="0"/>
                    <w:jc w:val="center"/>
                    <w:rPr>
                      <w:sz w:val="22"/>
                      <w:szCs w:val="22"/>
                    </w:rPr>
                  </w:pPr>
                  <w:r>
                    <w:rPr>
                      <w:sz w:val="22"/>
                      <w:szCs w:val="22"/>
                    </w:rPr>
                    <w:t>8 %</w:t>
                  </w:r>
                </w:p>
              </w:tc>
            </w:tr>
            <w:tr w:rsidR="00634910" w:rsidRPr="00F82138" w:rsidTr="00E16918">
              <w:trPr>
                <w:trHeight w:val="638"/>
              </w:trPr>
              <w:tc>
                <w:tcPr>
                  <w:tcW w:w="8815" w:type="dxa"/>
                  <w:gridSpan w:val="4"/>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bCs/>
                      <w:lang w:val="lt-LT"/>
                    </w:rPr>
                  </w:pPr>
                  <w:r>
                    <w:rPr>
                      <w:rFonts w:ascii="Times New Roman" w:hAnsi="Times New Roman" w:cs="Times New Roman"/>
                      <w:b/>
                      <w:bCs/>
                      <w:vertAlign w:val="superscript"/>
                      <w:lang w:val="lt-LT"/>
                    </w:rPr>
                    <w:t>1</w:t>
                  </w:r>
                  <w:r>
                    <w:rPr>
                      <w:rFonts w:ascii="Times New Roman" w:hAnsi="Times New Roman" w:cs="Times New Roman"/>
                      <w:b/>
                      <w:bCs/>
                      <w:lang w:val="lt-LT"/>
                    </w:rPr>
                    <w:t xml:space="preserve"> Hematologinio atsako kriterijai</w:t>
                  </w:r>
                  <w:r>
                    <w:rPr>
                      <w:rFonts w:ascii="Times New Roman" w:hAnsi="Times New Roman" w:cs="Times New Roman"/>
                      <w:lang w:val="lt-LT"/>
                    </w:rPr>
                    <w:t xml:space="preserve"> </w:t>
                  </w:r>
                  <w:r>
                    <w:rPr>
                      <w:rFonts w:ascii="Times New Roman" w:hAnsi="Times New Roman" w:cs="Times New Roman"/>
                      <w:b/>
                      <w:bCs/>
                      <w:lang w:val="lt-LT"/>
                    </w:rPr>
                    <w:t>(bet koks atsakas turi būti patvirtintas po ≥ 4 savaičių)</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VHA. Tyrimo 0102 [ANS ≥ 1,5 x 10</w:t>
                  </w:r>
                  <w:r>
                    <w:rPr>
                      <w:rFonts w:ascii="Times New Roman" w:hAnsi="Times New Roman" w:cs="Times New Roman"/>
                      <w:vertAlign w:val="superscript"/>
                      <w:lang w:val="lt-LT"/>
                    </w:rPr>
                    <w:t>9</w:t>
                  </w:r>
                  <w:r>
                    <w:rPr>
                      <w:rFonts w:ascii="Times New Roman" w:hAnsi="Times New Roman" w:cs="Times New Roman"/>
                      <w:lang w:val="lt-LT"/>
                    </w:rPr>
                    <w:t>/l, trombocitų ≥ 100 x 10</w:t>
                  </w:r>
                  <w:r>
                    <w:rPr>
                      <w:rFonts w:ascii="Times New Roman" w:hAnsi="Times New Roman" w:cs="Times New Roman"/>
                      <w:vertAlign w:val="superscript"/>
                      <w:lang w:val="lt-LT"/>
                    </w:rPr>
                    <w:t>9</w:t>
                  </w:r>
                  <w:r>
                    <w:rPr>
                      <w:rFonts w:ascii="Times New Roman" w:hAnsi="Times New Roman" w:cs="Times New Roman"/>
                      <w:lang w:val="lt-LT"/>
                    </w:rPr>
                    <w:t>/l, kraujyje nėra blastų, kaulų čiulpuose blastų &lt; 5 % ir nėra ekstramedulinių židinių] duomenimis.</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NEL. Tokie pat kriterijai kaip VHA, bet ANS ≥ 1 x 10</w:t>
                  </w:r>
                  <w:r>
                    <w:rPr>
                      <w:rFonts w:ascii="Times New Roman" w:hAnsi="Times New Roman" w:cs="Times New Roman"/>
                      <w:vertAlign w:val="superscript"/>
                      <w:lang w:val="lt-LT"/>
                    </w:rPr>
                    <w:t>9</w:t>
                  </w:r>
                  <w:r>
                    <w:rPr>
                      <w:rFonts w:ascii="Times New Roman" w:hAnsi="Times New Roman" w:cs="Times New Roman"/>
                      <w:lang w:val="lt-LT"/>
                    </w:rPr>
                    <w:t>/l ir trombocitų ≥ 20 x 10</w:t>
                  </w:r>
                  <w:r>
                    <w:rPr>
                      <w:rFonts w:ascii="Times New Roman" w:hAnsi="Times New Roman" w:cs="Times New Roman"/>
                      <w:vertAlign w:val="superscript"/>
                      <w:lang w:val="lt-LT"/>
                    </w:rPr>
                    <w:t>9</w:t>
                  </w:r>
                  <w:r>
                    <w:rPr>
                      <w:rFonts w:ascii="Times New Roman" w:hAnsi="Times New Roman" w:cs="Times New Roman"/>
                      <w:lang w:val="lt-LT"/>
                    </w:rPr>
                    <w:t>/l.</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GLF &lt; 15 % blastų KČ ir PK, &lt; 30 % blastų + promielocitų KČ ir PK, &lt; 20 % bazofilų PK, nėra kitos ekstramedulinės ligos, išskyrus blužnies ir kepenų ligas.</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KČ = kaulų čiulpai, PK = periferinis kraujas.</w:t>
                  </w:r>
                </w:p>
                <w:p w:rsidR="00634910" w:rsidRDefault="00634910" w:rsidP="00E16918">
                  <w:pPr>
                    <w:spacing w:after="0" w:line="240" w:lineRule="auto"/>
                    <w:rPr>
                      <w:rFonts w:ascii="Times New Roman" w:hAnsi="Times New Roman" w:cs="Times New Roman"/>
                      <w:b/>
                      <w:bCs/>
                      <w:lang w:val="lt-LT"/>
                    </w:rPr>
                  </w:pPr>
                  <w:r>
                    <w:rPr>
                      <w:rFonts w:ascii="Times New Roman" w:hAnsi="Times New Roman" w:cs="Times New Roman"/>
                      <w:b/>
                      <w:bCs/>
                      <w:vertAlign w:val="superscript"/>
                      <w:lang w:val="lt-LT"/>
                    </w:rPr>
                    <w:t>2</w:t>
                  </w:r>
                  <w:r>
                    <w:rPr>
                      <w:rFonts w:ascii="Times New Roman" w:hAnsi="Times New Roman" w:cs="Times New Roman"/>
                      <w:b/>
                      <w:bCs/>
                      <w:lang w:val="lt-LT"/>
                    </w:rPr>
                    <w:t xml:space="preserve"> Citogenetinio atsako kriterijai</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Didįjį atsaką sudaro visiškas ir dalinis atsakas: visiškas (0 % </w:t>
                  </w:r>
                  <w:r>
                    <w:rPr>
                      <w:rFonts w:ascii="Times New Roman" w:hAnsi="Times New Roman" w:cs="Times New Roman"/>
                      <w:i/>
                      <w:iCs/>
                      <w:lang w:val="lt-LT"/>
                    </w:rPr>
                    <w:t>Ph+</w:t>
                  </w:r>
                  <w:r>
                    <w:rPr>
                      <w:rFonts w:ascii="Times New Roman" w:hAnsi="Times New Roman" w:cs="Times New Roman"/>
                      <w:lang w:val="lt-LT"/>
                    </w:rPr>
                    <w:t xml:space="preserve"> metafazių), dalinis (1–35 %).</w:t>
                  </w:r>
                </w:p>
                <w:p w:rsidR="00634910" w:rsidRDefault="00634910" w:rsidP="00E16918">
                  <w:pPr>
                    <w:pStyle w:val="Default"/>
                    <w:widowControl w:val="0"/>
                    <w:rPr>
                      <w:sz w:val="22"/>
                      <w:szCs w:val="22"/>
                    </w:rPr>
                  </w:pPr>
                  <w:r>
                    <w:rPr>
                      <w:sz w:val="22"/>
                      <w:szCs w:val="22"/>
                      <w:vertAlign w:val="superscript"/>
                    </w:rPr>
                    <w:t>3</w:t>
                  </w:r>
                  <w:r>
                    <w:rPr>
                      <w:sz w:val="22"/>
                      <w:szCs w:val="22"/>
                    </w:rPr>
                    <w:t xml:space="preserve"> Visiškas citogenetinis atsakas patvirtinamas antru citogenetiniu kaulų čiulpų tyrimu praėjus ne mažiau kaip vienam mėnesiui po pirminio kaulų čiulpų tyrimo.</w:t>
                  </w:r>
                </w:p>
              </w:tc>
            </w:tr>
          </w:tbl>
          <w:p w:rsidR="00634910" w:rsidRDefault="00634910" w:rsidP="00E16918">
            <w:pPr>
              <w:pStyle w:val="Default"/>
              <w:widowControl w:val="0"/>
              <w:rPr>
                <w:sz w:val="22"/>
                <w:szCs w:val="22"/>
              </w:rPr>
            </w:pPr>
          </w:p>
        </w:tc>
      </w:tr>
    </w:tbl>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i/>
          <w:iCs/>
          <w:lang w:val="lt-LT"/>
        </w:rPr>
        <w:t>Vaikai ir paaugliai</w:t>
      </w:r>
      <w:r>
        <w:rPr>
          <w:rFonts w:ascii="Times New Roman" w:hAnsi="Times New Roman" w:cs="Times New Roman"/>
          <w:lang w:val="lt-LT"/>
        </w:rPr>
        <w:t xml:space="preserve">. Į I fazės dozės didinimo tyrimą buvo priimta iš viso 26 jaunesni kaip 18 metų vaikai ir paaugliai, kuriems buvo diagnozuota lėtinė LML fazė (n = 11) arba LML blastinė krizė, arba ūminė leukemiija su </w:t>
      </w:r>
      <w:r>
        <w:rPr>
          <w:rFonts w:ascii="Times New Roman" w:hAnsi="Times New Roman" w:cs="Times New Roman"/>
          <w:i/>
          <w:iCs/>
          <w:lang w:val="lt-LT"/>
        </w:rPr>
        <w:t>Ph+</w:t>
      </w:r>
      <w:r>
        <w:rPr>
          <w:rFonts w:ascii="Times New Roman" w:hAnsi="Times New Roman" w:cs="Times New Roman"/>
          <w:lang w:val="lt-LT"/>
        </w:rPr>
        <w:t xml:space="preserve"> (n = 15). Šios populiacijos pacientai buvo intensyviai gydyti: 46 % pirmiau buvo persodinti kaulų čiulpai, 73 % pirmiau buvo taikyta chemoterapija keliais vaistiniais preparatais. Pacientai buvo gydyti tokiomis imatinibo paros dozėmis: 260 mg/m</w:t>
      </w:r>
      <w:r>
        <w:rPr>
          <w:rFonts w:ascii="Times New Roman" w:hAnsi="Times New Roman" w:cs="Times New Roman"/>
          <w:vertAlign w:val="superscript"/>
          <w:lang w:val="lt-LT"/>
        </w:rPr>
        <w:t>2</w:t>
      </w:r>
      <w:r>
        <w:rPr>
          <w:rFonts w:ascii="Times New Roman" w:hAnsi="Times New Roman" w:cs="Times New Roman"/>
          <w:lang w:val="lt-LT"/>
        </w:rPr>
        <w:t xml:space="preserve"> (n = 5), 340 mg/m</w:t>
      </w:r>
      <w:r>
        <w:rPr>
          <w:rFonts w:ascii="Times New Roman" w:hAnsi="Times New Roman" w:cs="Times New Roman"/>
          <w:vertAlign w:val="superscript"/>
          <w:lang w:val="lt-LT"/>
        </w:rPr>
        <w:t>2</w:t>
      </w:r>
      <w:r>
        <w:rPr>
          <w:rFonts w:ascii="Times New Roman" w:hAnsi="Times New Roman" w:cs="Times New Roman"/>
          <w:lang w:val="lt-LT"/>
        </w:rPr>
        <w:t xml:space="preserve"> (n = 9), 440 mg/m</w:t>
      </w:r>
      <w:r>
        <w:rPr>
          <w:rFonts w:ascii="Times New Roman" w:hAnsi="Times New Roman" w:cs="Times New Roman"/>
          <w:vertAlign w:val="superscript"/>
          <w:lang w:val="lt-LT"/>
        </w:rPr>
        <w:t>2</w:t>
      </w:r>
      <w:r>
        <w:rPr>
          <w:rFonts w:ascii="Times New Roman" w:hAnsi="Times New Roman" w:cs="Times New Roman"/>
          <w:lang w:val="lt-LT"/>
        </w:rPr>
        <w:t xml:space="preserve"> (n = 7) ir 570 mg/m</w:t>
      </w:r>
      <w:r>
        <w:rPr>
          <w:rFonts w:ascii="Times New Roman" w:hAnsi="Times New Roman" w:cs="Times New Roman"/>
          <w:vertAlign w:val="superscript"/>
          <w:lang w:val="lt-LT"/>
        </w:rPr>
        <w:t>2</w:t>
      </w:r>
      <w:r>
        <w:rPr>
          <w:rFonts w:ascii="Times New Roman" w:hAnsi="Times New Roman" w:cs="Times New Roman"/>
          <w:lang w:val="lt-LT"/>
        </w:rPr>
        <w:t xml:space="preserve"> (n = 5). Iš 9 pacientų, kuriems buvo diagnozuota lėtinė LML fazė ir yra citogenetiniai rodmenys, 4 (44 %) ir 3 (33 %) buvo pasiektas atitinkamai visiškas ir dalinis citogenetinis atsakas (</w:t>
      </w:r>
      <w:r>
        <w:rPr>
          <w:rFonts w:ascii="Times New Roman" w:hAnsi="Times New Roman" w:cs="Times New Roman"/>
          <w:i/>
          <w:iCs/>
          <w:lang w:val="lt-LT"/>
        </w:rPr>
        <w:t>MCyR</w:t>
      </w:r>
      <w:r>
        <w:rPr>
          <w:rFonts w:ascii="Times New Roman" w:hAnsi="Times New Roman" w:cs="Times New Roman"/>
          <w:lang w:val="lt-LT"/>
        </w:rPr>
        <w:t xml:space="preserve"> dažnis – 77 %).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Keliuose centruose atliktame II fazės atvirame vienos grupės tyrime dalyvavo 51 vaikas, kuriems buvo pirmą kartą diagnozuota ir negydyta lėtinė LML fazė. Pacientai buvo gydyti 340 mg/m</w:t>
      </w:r>
      <w:r>
        <w:rPr>
          <w:rFonts w:ascii="Times New Roman" w:hAnsi="Times New Roman" w:cs="Times New Roman"/>
          <w:vertAlign w:val="superscript"/>
          <w:lang w:val="lt-LT"/>
        </w:rPr>
        <w:t>2</w:t>
      </w:r>
      <w:r>
        <w:rPr>
          <w:rFonts w:ascii="Times New Roman" w:hAnsi="Times New Roman" w:cs="Times New Roman"/>
          <w:lang w:val="lt-LT"/>
        </w:rPr>
        <w:t xml:space="preserve"> imatinibo paros doze be pertraukų, nes nebuvo dozę ribojančio nepageidaujamo poveikio. Gydymas imatinibu sukėlė greitą atsaką vaikams, kuriems buvo pirmą kartą diagnozuota LML, VHA po 8 gydymo savaičių pasireiškė 78 % tiriamųjų. Didelis VHA dažnis buvo susijęs su visišku citogenetiniu atsaku (</w:t>
      </w:r>
      <w:r>
        <w:rPr>
          <w:rFonts w:ascii="Times New Roman" w:hAnsi="Times New Roman" w:cs="Times New Roman"/>
          <w:i/>
          <w:iCs/>
          <w:lang w:val="lt-LT"/>
        </w:rPr>
        <w:t>CCyR</w:t>
      </w:r>
      <w:r>
        <w:rPr>
          <w:rFonts w:ascii="Times New Roman" w:hAnsi="Times New Roman" w:cs="Times New Roman"/>
          <w:lang w:val="lt-LT"/>
        </w:rPr>
        <w:t>) 65 % tiriamųjų. Šie rezultatai atitinka suaugusiųjų duomenis. Be to, 16 % tiriamųjų buvo stebėtas dalinis citogenetinis atsakas (</w:t>
      </w:r>
      <w:r>
        <w:rPr>
          <w:rFonts w:ascii="Times New Roman" w:hAnsi="Times New Roman" w:cs="Times New Roman"/>
          <w:i/>
          <w:iCs/>
          <w:lang w:val="lt-LT"/>
        </w:rPr>
        <w:t>PCyR</w:t>
      </w:r>
      <w:r>
        <w:rPr>
          <w:rFonts w:ascii="Times New Roman" w:hAnsi="Times New Roman" w:cs="Times New Roman"/>
          <w:lang w:val="lt-LT"/>
        </w:rPr>
        <w:t xml:space="preserve">), o </w:t>
      </w:r>
      <w:r>
        <w:rPr>
          <w:rFonts w:ascii="Times New Roman" w:hAnsi="Times New Roman" w:cs="Times New Roman"/>
          <w:i/>
          <w:iCs/>
          <w:lang w:val="lt-LT"/>
        </w:rPr>
        <w:t>MCyR</w:t>
      </w:r>
      <w:r>
        <w:rPr>
          <w:rFonts w:ascii="Times New Roman" w:hAnsi="Times New Roman" w:cs="Times New Roman"/>
          <w:lang w:val="lt-LT"/>
        </w:rPr>
        <w:t xml:space="preserve"> pasireiškė 81 % tiriamųjų. Daugumai pacientų, kuriems buvo pasiektas </w:t>
      </w:r>
      <w:r>
        <w:rPr>
          <w:rFonts w:ascii="Times New Roman" w:hAnsi="Times New Roman" w:cs="Times New Roman"/>
          <w:i/>
          <w:iCs/>
          <w:lang w:val="lt-LT"/>
        </w:rPr>
        <w:t>CCyR</w:t>
      </w:r>
      <w:r>
        <w:rPr>
          <w:rFonts w:ascii="Times New Roman" w:hAnsi="Times New Roman" w:cs="Times New Roman"/>
          <w:lang w:val="lt-LT"/>
        </w:rPr>
        <w:t xml:space="preserve">, </w:t>
      </w:r>
      <w:r>
        <w:rPr>
          <w:rFonts w:ascii="Times New Roman" w:hAnsi="Times New Roman" w:cs="Times New Roman"/>
          <w:i/>
          <w:iCs/>
          <w:lang w:val="lt-LT"/>
        </w:rPr>
        <w:t>CCyR</w:t>
      </w:r>
      <w:r>
        <w:rPr>
          <w:rFonts w:ascii="Times New Roman" w:hAnsi="Times New Roman" w:cs="Times New Roman"/>
          <w:lang w:val="lt-LT"/>
        </w:rPr>
        <w:t xml:space="preserve"> pasireiškė per laikotarpį nuo 3 iki 10 mėnesių, laikotarpio, per kurį pasireiškė atsakas, mediana remiantis Kaplan-Meier kriterijumi buvo 5,6 mėn.</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Klinikiniai </w:t>
      </w:r>
      <w:r w:rsidRPr="00132FED">
        <w:rPr>
          <w:rFonts w:ascii="Times New Roman" w:hAnsi="Times New Roman" w:cs="Times New Roman"/>
          <w:i/>
          <w:u w:val="single"/>
          <w:lang w:val="lt-LT"/>
        </w:rPr>
        <w:t>Ph</w:t>
      </w:r>
      <w:r>
        <w:rPr>
          <w:rFonts w:ascii="Times New Roman" w:hAnsi="Times New Roman" w:cs="Times New Roman"/>
          <w:u w:val="single"/>
          <w:lang w:val="lt-LT"/>
        </w:rPr>
        <w:t xml:space="preserve">+ ŪLL tyrimai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Pirmą kartą diagnozuota </w:t>
      </w:r>
      <w:r w:rsidRPr="00132FED">
        <w:rPr>
          <w:rFonts w:ascii="Times New Roman" w:hAnsi="Times New Roman" w:cs="Times New Roman"/>
          <w:i/>
          <w:lang w:val="lt-LT"/>
        </w:rPr>
        <w:t>Ph</w:t>
      </w:r>
      <w:r>
        <w:rPr>
          <w:rFonts w:ascii="Times New Roman" w:hAnsi="Times New Roman" w:cs="Times New Roman"/>
          <w:lang w:val="lt-LT"/>
        </w:rPr>
        <w:t xml:space="preserve">+ ŪLL: Kontroliuojamo (ADE10) tyrimo metu, kuriame imatinibas buvo lygintas su indukcine chemoterapija penkiasdešimt penkiems 55 metų ir vyresniems pacientams, kuriems diagnozė nustatyta pirmą kartą, vartojant vieną imatinibą buvo gautas reikšmingai didesnis pilno hematologinio atsako dažnis lyginant su chemoterapiją gavusiaisias (96,3 % lyginant su 50 %; p=0,0001). Kai pacientams, kuriems nebuvo gautas atsakas ar gautas silpnas atsakas, buvo paskirtas pagalbinis gydymas imatinibu, pilnas hematologinis atsakas buvo gautas 9 pacientams (81,8 %) iš 11. Šis klinikinis efektas buvo susijęs su didesniu </w:t>
      </w:r>
      <w:r w:rsidRPr="00132FED">
        <w:rPr>
          <w:rFonts w:ascii="Times New Roman" w:hAnsi="Times New Roman" w:cs="Times New Roman"/>
          <w:i/>
          <w:lang w:val="lt-LT"/>
        </w:rPr>
        <w:t>bcr-abl</w:t>
      </w:r>
      <w:r>
        <w:rPr>
          <w:rFonts w:ascii="Times New Roman" w:hAnsi="Times New Roman" w:cs="Times New Roman"/>
          <w:lang w:val="lt-LT"/>
        </w:rPr>
        <w:t xml:space="preserve"> transkriptų sumažėjimu po 2 gydymo savaičių imatinibą vartojusių pacientų grupėje (p=0,02) lyginant su chemoterapiją gavusiaisias. Po indukcinio gydymo visi pacientai gavo imatinibą bei konsolidacinę chemoterapiją (žr. 3 lentelę), po 8 savaičių </w:t>
      </w:r>
      <w:r w:rsidRPr="00132FED">
        <w:rPr>
          <w:rFonts w:ascii="Times New Roman" w:hAnsi="Times New Roman" w:cs="Times New Roman"/>
          <w:i/>
          <w:lang w:val="lt-LT"/>
        </w:rPr>
        <w:t>bcr-abl</w:t>
      </w:r>
      <w:r>
        <w:rPr>
          <w:rFonts w:ascii="Times New Roman" w:hAnsi="Times New Roman" w:cs="Times New Roman"/>
          <w:lang w:val="lt-LT"/>
        </w:rPr>
        <w:t xml:space="preserve">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Keturių nekontroliuojamų tyrimų (AAU02, ADE04, AJP01 ir AUS01), kuriuose dalyvavo 211 pacientų, kuriems pirmą kartą diagnozuota </w:t>
      </w:r>
      <w:r w:rsidRPr="00132FED">
        <w:rPr>
          <w:rFonts w:ascii="Times New Roman" w:hAnsi="Times New Roman" w:cs="Times New Roman"/>
          <w:i/>
          <w:lang w:val="lt-LT"/>
        </w:rPr>
        <w:t>Ph</w:t>
      </w:r>
      <w:r>
        <w:rPr>
          <w:rFonts w:ascii="Times New Roman" w:hAnsi="Times New Roman" w:cs="Times New Roman"/>
          <w:lang w:val="lt-LT"/>
        </w:rPr>
        <w:t>+ ŪLL, rezultatai atitinka aukščiau paminėto tyrimo rezultatus. Skiriant imatinibą kartu su indukcine chemoterapija (žr. 3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dviejuose tyrimuose (AJP01 ir AUS01).</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b/>
          <w:lang w:val="lt-LT"/>
        </w:rPr>
      </w:pPr>
      <w:r>
        <w:rPr>
          <w:rFonts w:ascii="Times New Roman" w:hAnsi="Times New Roman" w:cs="Times New Roman"/>
          <w:b/>
          <w:lang w:val="lt-LT"/>
        </w:rPr>
        <w:t>3 lentelė Chemoterapijos gydymas, taikomas kartu su imatinibu</w:t>
      </w:r>
    </w:p>
    <w:p w:rsidR="00634910" w:rsidRDefault="00634910" w:rsidP="00634910">
      <w:pPr>
        <w:spacing w:after="0" w:line="240" w:lineRule="auto"/>
        <w:rPr>
          <w:rFonts w:ascii="Times New Roman" w:hAnsi="Times New Roman" w:cs="Times New Roman"/>
          <w:lang w:val="lt-LT"/>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3794"/>
        <w:gridCol w:w="5492"/>
      </w:tblGrid>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ADE10 tyrimas</w:t>
            </w:r>
          </w:p>
        </w:tc>
        <w:tc>
          <w:tcPr>
            <w:tcW w:w="5492" w:type="dxa"/>
            <w:tcBorders>
              <w:top w:val="single" w:sz="4" w:space="0" w:color="auto"/>
              <w:left w:val="nil"/>
              <w:bottom w:val="single" w:sz="4" w:space="0" w:color="auto"/>
              <w:right w:val="nil"/>
            </w:tcBorders>
          </w:tcPr>
          <w:p w:rsidR="00634910" w:rsidRDefault="00634910" w:rsidP="00E16918">
            <w:pPr>
              <w:spacing w:after="0" w:line="240" w:lineRule="auto"/>
              <w:rPr>
                <w:rFonts w:ascii="Times New Roman" w:hAnsi="Times New Roman" w:cs="Times New Roman"/>
                <w:lang w:val="lt-LT"/>
              </w:rPr>
            </w:pP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Prefazė</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Gerti DEX 10 mg/ m</w:t>
            </w:r>
            <w:r>
              <w:rPr>
                <w:rFonts w:ascii="Times New Roman" w:hAnsi="Times New Roman" w:cs="Times New Roman"/>
                <w:vertAlign w:val="superscript"/>
                <w:lang w:val="lt-LT"/>
              </w:rPr>
              <w:t>2</w:t>
            </w:r>
            <w:r>
              <w:rPr>
                <w:rFonts w:ascii="Times New Roman" w:hAnsi="Times New Roman" w:cs="Times New Roman"/>
                <w:lang w:val="lt-LT"/>
              </w:rPr>
              <w:t>,1-5 dienas; CP 200 mg/ m</w:t>
            </w:r>
            <w:r>
              <w:rPr>
                <w:rFonts w:ascii="Times New Roman" w:hAnsi="Times New Roman" w:cs="Times New Roman"/>
                <w:vertAlign w:val="superscript"/>
                <w:lang w:val="lt-LT"/>
              </w:rPr>
              <w:t>2</w:t>
            </w:r>
            <w:r>
              <w:rPr>
                <w:rFonts w:ascii="Times New Roman" w:hAnsi="Times New Roman" w:cs="Times New Roman"/>
                <w:lang w:val="lt-LT"/>
              </w:rPr>
              <w:t xml:space="preserve">  i.v., 3, 4, 5 dieną; MTX 12 mg intratekaliai, 1 dieną</w:t>
            </w:r>
          </w:p>
        </w:tc>
      </w:tr>
      <w:tr w:rsidR="00634910" w:rsidRPr="00F82138"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Remisijos sukėlimas</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Gerti DEX 10 mg/m, 6-7 dieną, 13-16 dieną; VCR 1 mg i.v., 7, 14 dieną; IDA 8 mg/ m</w:t>
            </w:r>
            <w:r>
              <w:rPr>
                <w:rFonts w:ascii="Times New Roman" w:hAnsi="Times New Roman" w:cs="Times New Roman"/>
                <w:vertAlign w:val="superscript"/>
                <w:lang w:val="lt-LT"/>
              </w:rPr>
              <w:t>2</w:t>
            </w:r>
            <w:r>
              <w:rPr>
                <w:rFonts w:ascii="Times New Roman" w:hAnsi="Times New Roman" w:cs="Times New Roman"/>
                <w:lang w:val="lt-LT"/>
              </w:rPr>
              <w:t xml:space="preserve"> i.v. (0,5 valandos), 7, 8, 14, 15 dieną; CP 500 mg/ m</w:t>
            </w:r>
            <w:r>
              <w:rPr>
                <w:rFonts w:ascii="Times New Roman" w:hAnsi="Times New Roman" w:cs="Times New Roman"/>
                <w:vertAlign w:val="superscript"/>
                <w:lang w:val="lt-LT"/>
              </w:rPr>
              <w:t>2</w:t>
            </w:r>
            <w:r>
              <w:rPr>
                <w:rFonts w:ascii="Times New Roman" w:hAnsi="Times New Roman" w:cs="Times New Roman"/>
                <w:lang w:val="lt-LT"/>
              </w:rPr>
              <w:t xml:space="preserve"> i.v.(1 valanda) 1 dieną; Ara-C 60 mg/ m</w:t>
            </w:r>
            <w:r>
              <w:rPr>
                <w:rFonts w:ascii="Times New Roman" w:hAnsi="Times New Roman" w:cs="Times New Roman"/>
                <w:vertAlign w:val="superscript"/>
                <w:lang w:val="lt-LT"/>
              </w:rPr>
              <w:t>2</w:t>
            </w:r>
            <w:r>
              <w:rPr>
                <w:rFonts w:ascii="Times New Roman" w:hAnsi="Times New Roman" w:cs="Times New Roman"/>
                <w:lang w:val="lt-LT"/>
              </w:rPr>
              <w:t xml:space="preserve"> i.v., 22-25, 29-32 dienas</w:t>
            </w: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Konsoliduojantis gydymas I, III, V</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MTX 500 mg/m</w:t>
            </w:r>
            <w:r>
              <w:rPr>
                <w:rFonts w:ascii="Times New Roman" w:hAnsi="Times New Roman" w:cs="Times New Roman"/>
                <w:vertAlign w:val="superscript"/>
                <w:lang w:val="lt-LT"/>
              </w:rPr>
              <w:t xml:space="preserve">2 </w:t>
            </w:r>
            <w:r>
              <w:rPr>
                <w:rFonts w:ascii="Times New Roman" w:hAnsi="Times New Roman" w:cs="Times New Roman"/>
                <w:lang w:val="lt-LT"/>
              </w:rPr>
              <w:t>i.v. (24 valandos), 1, 15 dieną; gerti 6-MP 25 mg/ m</w:t>
            </w:r>
            <w:r>
              <w:rPr>
                <w:rFonts w:ascii="Times New Roman" w:hAnsi="Times New Roman" w:cs="Times New Roman"/>
                <w:vertAlign w:val="superscript"/>
                <w:lang w:val="lt-LT"/>
              </w:rPr>
              <w:t>2</w:t>
            </w:r>
            <w:r>
              <w:rPr>
                <w:rFonts w:ascii="Times New Roman" w:hAnsi="Times New Roman" w:cs="Times New Roman"/>
                <w:lang w:val="lt-LT"/>
              </w:rPr>
              <w:t>, 1-20 dieną</w:t>
            </w: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Konsoliduojantis gydymas II, IV</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Ara-C 75 mg/ m</w:t>
            </w:r>
            <w:r>
              <w:rPr>
                <w:rFonts w:ascii="Times New Roman" w:hAnsi="Times New Roman" w:cs="Times New Roman"/>
                <w:vertAlign w:val="superscript"/>
                <w:lang w:val="lt-LT"/>
              </w:rPr>
              <w:t>2</w:t>
            </w:r>
            <w:r>
              <w:rPr>
                <w:rFonts w:ascii="Times New Roman" w:hAnsi="Times New Roman" w:cs="Times New Roman"/>
                <w:lang w:val="lt-LT"/>
              </w:rPr>
              <w:t xml:space="preserve"> i.v. (1 valanda), 1-5 dienas; VM26 60 mg/ m</w:t>
            </w:r>
            <w:r>
              <w:rPr>
                <w:rFonts w:ascii="Times New Roman" w:hAnsi="Times New Roman" w:cs="Times New Roman"/>
                <w:vertAlign w:val="superscript"/>
                <w:lang w:val="lt-LT"/>
              </w:rPr>
              <w:t xml:space="preserve">2 </w:t>
            </w:r>
            <w:r>
              <w:rPr>
                <w:rFonts w:ascii="Times New Roman" w:hAnsi="Times New Roman" w:cs="Times New Roman"/>
                <w:lang w:val="lt-LT"/>
              </w:rPr>
              <w:t>i.v. (1 valanda), 1-5 dienas</w:t>
            </w: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AAU02 tyrimas</w:t>
            </w:r>
          </w:p>
        </w:tc>
        <w:tc>
          <w:tcPr>
            <w:tcW w:w="5492" w:type="dxa"/>
            <w:tcBorders>
              <w:top w:val="single" w:sz="4" w:space="0" w:color="auto"/>
              <w:left w:val="nil"/>
              <w:bottom w:val="single" w:sz="4" w:space="0" w:color="auto"/>
              <w:right w:val="nil"/>
            </w:tcBorders>
          </w:tcPr>
          <w:p w:rsidR="00634910" w:rsidRDefault="00634910" w:rsidP="00E16918">
            <w:pPr>
              <w:spacing w:after="0" w:line="240" w:lineRule="auto"/>
              <w:rPr>
                <w:rFonts w:ascii="Times New Roman" w:hAnsi="Times New Roman" w:cs="Times New Roman"/>
                <w:lang w:val="lt-LT"/>
              </w:rPr>
            </w:pPr>
          </w:p>
        </w:tc>
      </w:tr>
      <w:tr w:rsidR="00634910" w:rsidRPr="00F82138"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Pradinis (indukcinis) gydymas (</w:t>
            </w:r>
            <w:r>
              <w:rPr>
                <w:rFonts w:ascii="Times New Roman" w:hAnsi="Times New Roman" w:cs="Times New Roman"/>
                <w:i/>
                <w:lang w:val="lt-LT"/>
              </w:rPr>
              <w:t>de novo</w:t>
            </w:r>
            <w:r>
              <w:rPr>
                <w:rFonts w:ascii="Times New Roman" w:hAnsi="Times New Roman" w:cs="Times New Roman"/>
                <w:lang w:val="lt-LT"/>
              </w:rPr>
              <w:t xml:space="preserve"> </w:t>
            </w:r>
            <w:r w:rsidRPr="00132FED">
              <w:rPr>
                <w:rFonts w:ascii="Times New Roman" w:hAnsi="Times New Roman" w:cs="Times New Roman"/>
                <w:i/>
                <w:lang w:val="lt-LT"/>
              </w:rPr>
              <w:t>Ph</w:t>
            </w:r>
            <w:r>
              <w:rPr>
                <w:rFonts w:ascii="Times New Roman" w:hAnsi="Times New Roman" w:cs="Times New Roman"/>
                <w:lang w:val="lt-LT"/>
              </w:rPr>
              <w:t>+ ALL)</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Daunorubicinas 30 mg/ m</w:t>
            </w:r>
            <w:r>
              <w:rPr>
                <w:rFonts w:ascii="Times New Roman" w:hAnsi="Times New Roman" w:cs="Times New Roman"/>
                <w:vertAlign w:val="superscript"/>
                <w:lang w:val="lt-LT"/>
              </w:rPr>
              <w:t>2</w:t>
            </w:r>
            <w:r>
              <w:rPr>
                <w:rFonts w:ascii="Times New Roman" w:hAnsi="Times New Roman" w:cs="Times New Roman"/>
                <w:lang w:val="lt-LT"/>
              </w:rPr>
              <w:t xml:space="preserve"> i.v., 1-3 dienas, 15-16 dienas; VCR bendra dozė 2 mg i.v., 1, 8, 15, 22 dieną; CP 750 mg/ m</w:t>
            </w:r>
            <w:r>
              <w:rPr>
                <w:rFonts w:ascii="Times New Roman" w:hAnsi="Times New Roman" w:cs="Times New Roman"/>
                <w:vertAlign w:val="superscript"/>
                <w:lang w:val="lt-LT"/>
              </w:rPr>
              <w:t>2</w:t>
            </w:r>
            <w:r>
              <w:rPr>
                <w:rFonts w:ascii="Times New Roman" w:hAnsi="Times New Roman" w:cs="Times New Roman"/>
                <w:lang w:val="lt-LT"/>
              </w:rPr>
              <w:t xml:space="preserve"> i.v., 1, 8 dieną; gerti prednizoloną 60 mg/ m</w:t>
            </w:r>
            <w:r>
              <w:rPr>
                <w:rFonts w:ascii="Times New Roman" w:hAnsi="Times New Roman" w:cs="Times New Roman"/>
                <w:vertAlign w:val="superscript"/>
                <w:lang w:val="lt-LT"/>
              </w:rPr>
              <w:t>2</w:t>
            </w:r>
            <w:r>
              <w:rPr>
                <w:rFonts w:ascii="Times New Roman" w:hAnsi="Times New Roman" w:cs="Times New Roman"/>
                <w:lang w:val="lt-LT"/>
              </w:rPr>
              <w:t>, 1-7, 15-21 dienas; gerti IDA 9 mg/ m</w:t>
            </w:r>
            <w:r>
              <w:rPr>
                <w:rFonts w:ascii="Times New Roman" w:hAnsi="Times New Roman" w:cs="Times New Roman"/>
                <w:vertAlign w:val="superscript"/>
                <w:lang w:val="lt-LT"/>
              </w:rPr>
              <w:t>2</w:t>
            </w:r>
            <w:r>
              <w:rPr>
                <w:rFonts w:ascii="Times New Roman" w:hAnsi="Times New Roman" w:cs="Times New Roman"/>
                <w:lang w:val="lt-LT"/>
              </w:rPr>
              <w:t>, 1-28 dienas; MTX 15 mg intratekaliai, 1, 8, 15, 22 dieną; Ara-C 40 mg intratekaliai, 1, 8, 15, 22 dieną; metilprednizolonas 40 mg intratekaliai, 1, 8, 15, 22 dieną</w:t>
            </w:r>
          </w:p>
        </w:tc>
      </w:tr>
      <w:tr w:rsidR="00634910" w:rsidRPr="00F82138"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Konsoliduojantis gydymas (</w:t>
            </w:r>
            <w:r w:rsidRPr="00132FED">
              <w:rPr>
                <w:rFonts w:ascii="Times New Roman" w:hAnsi="Times New Roman" w:cs="Times New Roman"/>
                <w:i/>
                <w:lang w:val="lt-LT"/>
              </w:rPr>
              <w:t>de</w:t>
            </w:r>
            <w:r>
              <w:rPr>
                <w:rFonts w:ascii="Times New Roman" w:hAnsi="Times New Roman" w:cs="Times New Roman"/>
                <w:lang w:val="lt-LT"/>
              </w:rPr>
              <w:t xml:space="preserve"> </w:t>
            </w:r>
            <w:r w:rsidRPr="00132FED">
              <w:rPr>
                <w:rFonts w:ascii="Times New Roman" w:hAnsi="Times New Roman" w:cs="Times New Roman"/>
                <w:i/>
                <w:lang w:val="lt-LT"/>
              </w:rPr>
              <w:t>novo Ph</w:t>
            </w:r>
            <w:r>
              <w:rPr>
                <w:rFonts w:ascii="Times New Roman" w:hAnsi="Times New Roman" w:cs="Times New Roman"/>
                <w:lang w:val="lt-LT"/>
              </w:rPr>
              <w:t>+ ALL)</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Ara-C 1 000 mg/ m</w:t>
            </w:r>
            <w:r>
              <w:rPr>
                <w:rFonts w:ascii="Times New Roman" w:hAnsi="Times New Roman" w:cs="Times New Roman"/>
                <w:vertAlign w:val="superscript"/>
                <w:lang w:val="lt-LT"/>
              </w:rPr>
              <w:t>2</w:t>
            </w:r>
            <w:r>
              <w:rPr>
                <w:rFonts w:ascii="Times New Roman" w:hAnsi="Times New Roman" w:cs="Times New Roman"/>
                <w:lang w:val="lt-LT"/>
              </w:rPr>
              <w:t xml:space="preserve"> /12 h i.v.(3 valandos), 1-4 dienas; mitoksantronas 10 mg/ m</w:t>
            </w:r>
            <w:r>
              <w:rPr>
                <w:rFonts w:ascii="Times New Roman" w:hAnsi="Times New Roman" w:cs="Times New Roman"/>
                <w:vertAlign w:val="superscript"/>
                <w:lang w:val="lt-LT"/>
              </w:rPr>
              <w:t>2</w:t>
            </w:r>
            <w:r>
              <w:rPr>
                <w:rFonts w:ascii="Times New Roman" w:hAnsi="Times New Roman" w:cs="Times New Roman"/>
                <w:lang w:val="lt-LT"/>
              </w:rPr>
              <w:t xml:space="preserve"> i.v. 3-5 dienas; MTX 15 mg intratekaliai, 1 dieną; metilprednizolonas 40 mg intratekaliai, 1 dieną</w:t>
            </w: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ADE04 tyrimas</w:t>
            </w:r>
          </w:p>
        </w:tc>
        <w:tc>
          <w:tcPr>
            <w:tcW w:w="5492" w:type="dxa"/>
            <w:tcBorders>
              <w:top w:val="single" w:sz="4" w:space="0" w:color="auto"/>
              <w:left w:val="nil"/>
              <w:bottom w:val="single" w:sz="4" w:space="0" w:color="auto"/>
              <w:right w:val="nil"/>
            </w:tcBorders>
          </w:tcPr>
          <w:p w:rsidR="00634910" w:rsidRDefault="00634910" w:rsidP="00E16918">
            <w:pPr>
              <w:spacing w:after="0" w:line="240" w:lineRule="auto"/>
              <w:rPr>
                <w:rFonts w:ascii="Times New Roman" w:hAnsi="Times New Roman" w:cs="Times New Roman"/>
                <w:lang w:val="lt-LT"/>
              </w:rPr>
            </w:pP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Prefazė</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Gerti DEX 10 mg/ m</w:t>
            </w:r>
            <w:r>
              <w:rPr>
                <w:rFonts w:ascii="Times New Roman" w:hAnsi="Times New Roman" w:cs="Times New Roman"/>
                <w:vertAlign w:val="superscript"/>
                <w:lang w:val="lt-LT"/>
              </w:rPr>
              <w:t>2</w:t>
            </w:r>
            <w:r>
              <w:rPr>
                <w:rFonts w:ascii="Times New Roman" w:hAnsi="Times New Roman" w:cs="Times New Roman"/>
                <w:lang w:val="lt-LT"/>
              </w:rPr>
              <w:t>, 1-5 dienas; CP 200 mg/ m</w:t>
            </w:r>
            <w:r>
              <w:rPr>
                <w:rFonts w:ascii="Times New Roman" w:hAnsi="Times New Roman" w:cs="Times New Roman"/>
                <w:vertAlign w:val="superscript"/>
                <w:lang w:val="lt-LT"/>
              </w:rPr>
              <w:t>2</w:t>
            </w:r>
            <w:r>
              <w:rPr>
                <w:rFonts w:ascii="Times New Roman" w:hAnsi="Times New Roman" w:cs="Times New Roman"/>
                <w:lang w:val="lt-LT"/>
              </w:rPr>
              <w:t xml:space="preserve"> i.v., 3-5 dienas; MTX 15 mg intratekaliai, 1 dieną</w:t>
            </w:r>
          </w:p>
        </w:tc>
      </w:tr>
      <w:tr w:rsidR="00634910" w:rsidRPr="00F82138"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Pradinis (indukcinis) gydymas I</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Gerti DEX 10 mg/ m</w:t>
            </w:r>
            <w:r>
              <w:rPr>
                <w:rFonts w:ascii="Times New Roman" w:hAnsi="Times New Roman" w:cs="Times New Roman"/>
                <w:vertAlign w:val="superscript"/>
                <w:lang w:val="lt-LT"/>
              </w:rPr>
              <w:t>2</w:t>
            </w:r>
            <w:r>
              <w:rPr>
                <w:rFonts w:ascii="Times New Roman" w:hAnsi="Times New Roman" w:cs="Times New Roman"/>
                <w:lang w:val="lt-LT"/>
              </w:rPr>
              <w:t>, 1-5 dienas; VCR 2 mg i.v., 6, 13, 20 dieną; daunorubicinas 45 mg/ m</w:t>
            </w:r>
            <w:r>
              <w:rPr>
                <w:rFonts w:ascii="Times New Roman" w:hAnsi="Times New Roman" w:cs="Times New Roman"/>
                <w:vertAlign w:val="superscript"/>
                <w:lang w:val="lt-LT"/>
              </w:rPr>
              <w:t>2</w:t>
            </w:r>
            <w:r>
              <w:rPr>
                <w:rFonts w:ascii="Times New Roman" w:hAnsi="Times New Roman" w:cs="Times New Roman"/>
                <w:lang w:val="lt-LT"/>
              </w:rPr>
              <w:t xml:space="preserve"> i.v., 6-7, 13-14 dieną</w:t>
            </w: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Pradinis (indukcinis) gydymas II</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CP 1 g/ m</w:t>
            </w:r>
            <w:r>
              <w:rPr>
                <w:rFonts w:ascii="Times New Roman" w:hAnsi="Times New Roman" w:cs="Times New Roman"/>
                <w:vertAlign w:val="superscript"/>
                <w:lang w:val="lt-LT"/>
              </w:rPr>
              <w:t>2</w:t>
            </w:r>
            <w:r>
              <w:rPr>
                <w:rFonts w:ascii="Times New Roman" w:hAnsi="Times New Roman" w:cs="Times New Roman"/>
                <w:lang w:val="lt-LT"/>
              </w:rPr>
              <w:t xml:space="preserve"> i.v. (1 valanda), 26, 46 dieną; Ara-C 75 mg/ m</w:t>
            </w:r>
            <w:r>
              <w:rPr>
                <w:rFonts w:ascii="Times New Roman" w:hAnsi="Times New Roman" w:cs="Times New Roman"/>
                <w:vertAlign w:val="superscript"/>
                <w:lang w:val="lt-LT"/>
              </w:rPr>
              <w:t>2</w:t>
            </w:r>
            <w:r>
              <w:rPr>
                <w:rFonts w:ascii="Times New Roman" w:hAnsi="Times New Roman" w:cs="Times New Roman"/>
                <w:lang w:val="lt-LT"/>
              </w:rPr>
              <w:t xml:space="preserve"> i.v. (1 valanda), 28-31, 35-38, 42-45 dienas; gerti 6-MP 60 mg/ m</w:t>
            </w:r>
            <w:r>
              <w:rPr>
                <w:rFonts w:ascii="Times New Roman" w:hAnsi="Times New Roman" w:cs="Times New Roman"/>
                <w:vertAlign w:val="superscript"/>
                <w:lang w:val="lt-LT"/>
              </w:rPr>
              <w:t>2</w:t>
            </w:r>
            <w:r>
              <w:rPr>
                <w:rFonts w:ascii="Times New Roman" w:hAnsi="Times New Roman" w:cs="Times New Roman"/>
                <w:lang w:val="lt-LT"/>
              </w:rPr>
              <w:t>, 26-46 dienas</w:t>
            </w:r>
          </w:p>
        </w:tc>
      </w:tr>
      <w:tr w:rsidR="00634910" w:rsidRPr="00F82138"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Konsoliduojantis gydymas</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Gerti DEX 10 mg/ m</w:t>
            </w:r>
            <w:r>
              <w:rPr>
                <w:rFonts w:ascii="Times New Roman" w:hAnsi="Times New Roman" w:cs="Times New Roman"/>
                <w:vertAlign w:val="superscript"/>
                <w:lang w:val="lt-LT"/>
              </w:rPr>
              <w:t>2</w:t>
            </w:r>
            <w:r>
              <w:rPr>
                <w:rFonts w:ascii="Times New Roman" w:hAnsi="Times New Roman" w:cs="Times New Roman"/>
                <w:lang w:val="lt-LT"/>
              </w:rPr>
              <w:t>, 1-5 dienas; vindezinas 3 mg/ m</w:t>
            </w:r>
            <w:r>
              <w:rPr>
                <w:rFonts w:ascii="Times New Roman" w:hAnsi="Times New Roman" w:cs="Times New Roman"/>
                <w:vertAlign w:val="superscript"/>
                <w:lang w:val="lt-LT"/>
              </w:rPr>
              <w:t>2</w:t>
            </w:r>
            <w:r>
              <w:rPr>
                <w:rFonts w:ascii="Times New Roman" w:hAnsi="Times New Roman" w:cs="Times New Roman"/>
                <w:lang w:val="lt-LT"/>
              </w:rPr>
              <w:t xml:space="preserve"> i.v., 1 dieną; MTX 1,5 g/ m</w:t>
            </w:r>
            <w:r>
              <w:rPr>
                <w:rFonts w:ascii="Times New Roman" w:hAnsi="Times New Roman" w:cs="Times New Roman"/>
                <w:vertAlign w:val="superscript"/>
                <w:lang w:val="lt-LT"/>
              </w:rPr>
              <w:t>2</w:t>
            </w:r>
            <w:r>
              <w:rPr>
                <w:rFonts w:ascii="Times New Roman" w:hAnsi="Times New Roman" w:cs="Times New Roman"/>
                <w:lang w:val="lt-LT"/>
              </w:rPr>
              <w:t xml:space="preserve"> i.v. (24 valandos), 1 dieną; etopozidas 250 mg/m 2  i.v. (1 valanda) 4-5 dienas; Ara-C 2x 2 g/ m</w:t>
            </w:r>
            <w:r>
              <w:rPr>
                <w:rFonts w:ascii="Times New Roman" w:hAnsi="Times New Roman" w:cs="Times New Roman"/>
                <w:vertAlign w:val="superscript"/>
                <w:lang w:val="lt-LT"/>
              </w:rPr>
              <w:t>2</w:t>
            </w:r>
            <w:r>
              <w:rPr>
                <w:rFonts w:ascii="Times New Roman" w:hAnsi="Times New Roman" w:cs="Times New Roman"/>
                <w:lang w:val="lt-LT"/>
              </w:rPr>
              <w:t xml:space="preserve"> i.v. (3 valandos, 12 valandų), 5 dieną</w:t>
            </w: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AJP01 tyrimas</w:t>
            </w:r>
          </w:p>
        </w:tc>
        <w:tc>
          <w:tcPr>
            <w:tcW w:w="5492" w:type="dxa"/>
            <w:tcBorders>
              <w:top w:val="single" w:sz="4" w:space="0" w:color="auto"/>
              <w:left w:val="nil"/>
              <w:bottom w:val="single" w:sz="4" w:space="0" w:color="auto"/>
              <w:right w:val="nil"/>
            </w:tcBorders>
          </w:tcPr>
          <w:p w:rsidR="00634910" w:rsidRDefault="00634910" w:rsidP="00E16918">
            <w:pPr>
              <w:spacing w:after="0" w:line="240" w:lineRule="auto"/>
              <w:rPr>
                <w:rFonts w:ascii="Times New Roman" w:hAnsi="Times New Roman" w:cs="Times New Roman"/>
                <w:lang w:val="lt-LT"/>
              </w:rPr>
            </w:pPr>
          </w:p>
        </w:tc>
      </w:tr>
      <w:tr w:rsidR="00634910" w:rsidRPr="00F82138"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Pradinis (indukcinis) gydymas</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CP 1,2 g/ m</w:t>
            </w:r>
            <w:r>
              <w:rPr>
                <w:rFonts w:ascii="Times New Roman" w:hAnsi="Times New Roman" w:cs="Times New Roman"/>
                <w:vertAlign w:val="superscript"/>
                <w:lang w:val="lt-LT"/>
              </w:rPr>
              <w:t>2</w:t>
            </w:r>
            <w:r>
              <w:rPr>
                <w:rFonts w:ascii="Times New Roman" w:hAnsi="Times New Roman" w:cs="Times New Roman"/>
                <w:lang w:val="lt-LT"/>
              </w:rPr>
              <w:t xml:space="preserve"> i.v. (3 valandos), 1 dieną; daunorubicinas 60 mg/ m</w:t>
            </w:r>
            <w:r>
              <w:rPr>
                <w:rFonts w:ascii="Times New Roman" w:hAnsi="Times New Roman" w:cs="Times New Roman"/>
                <w:vertAlign w:val="superscript"/>
                <w:lang w:val="lt-LT"/>
              </w:rPr>
              <w:t>2</w:t>
            </w:r>
            <w:r>
              <w:rPr>
                <w:rFonts w:ascii="Times New Roman" w:hAnsi="Times New Roman" w:cs="Times New Roman"/>
                <w:lang w:val="lt-LT"/>
              </w:rPr>
              <w:t xml:space="preserve"> i.v. (1 valanda), 1-3 dienas; vinkristinas 1,3 mg/ m</w:t>
            </w:r>
            <w:r>
              <w:rPr>
                <w:rFonts w:ascii="Times New Roman" w:hAnsi="Times New Roman" w:cs="Times New Roman"/>
                <w:vertAlign w:val="superscript"/>
                <w:lang w:val="lt-LT"/>
              </w:rPr>
              <w:t>2</w:t>
            </w:r>
            <w:r>
              <w:rPr>
                <w:rFonts w:ascii="Times New Roman" w:hAnsi="Times New Roman" w:cs="Times New Roman"/>
                <w:lang w:val="lt-LT"/>
              </w:rPr>
              <w:t xml:space="preserve"> i.v., 1, 8, 15, 21 dieną; gerti prednizoloną 60 mg/m 2 /per parą</w:t>
            </w:r>
          </w:p>
        </w:tc>
      </w:tr>
      <w:tr w:rsidR="00634910" w:rsidRPr="00F82138"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Konsoliduojantis gydymas</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Pakaitinis chemoterapijos kursas: aukštos dozės chemoterapija su MTX 1 g/ m</w:t>
            </w:r>
            <w:r>
              <w:rPr>
                <w:rFonts w:ascii="Times New Roman" w:hAnsi="Times New Roman" w:cs="Times New Roman"/>
                <w:vertAlign w:val="superscript"/>
                <w:lang w:val="lt-LT"/>
              </w:rPr>
              <w:t>2</w:t>
            </w:r>
            <w:r>
              <w:rPr>
                <w:rFonts w:ascii="Times New Roman" w:hAnsi="Times New Roman" w:cs="Times New Roman"/>
                <w:lang w:val="lt-LT"/>
              </w:rPr>
              <w:t xml:space="preserve"> i.v. (24 valandos), 1 </w:t>
            </w:r>
            <w:r>
              <w:rPr>
                <w:rFonts w:ascii="Times New Roman" w:hAnsi="Times New Roman" w:cs="Times New Roman"/>
                <w:lang w:val="lt-LT"/>
              </w:rPr>
              <w:lastRenderedPageBreak/>
              <w:t>dieną, ir Ara-C 2 g/ m</w:t>
            </w:r>
            <w:r>
              <w:rPr>
                <w:rFonts w:ascii="Times New Roman" w:hAnsi="Times New Roman" w:cs="Times New Roman"/>
                <w:vertAlign w:val="superscript"/>
                <w:lang w:val="lt-LT"/>
              </w:rPr>
              <w:t>2</w:t>
            </w:r>
            <w:r>
              <w:rPr>
                <w:rFonts w:ascii="Times New Roman" w:hAnsi="Times New Roman" w:cs="Times New Roman"/>
                <w:lang w:val="lt-LT"/>
              </w:rPr>
              <w:t xml:space="preserve"> i.v. (12 valandų), 2-3 dieną, 4 kursus</w:t>
            </w: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lastRenderedPageBreak/>
              <w:t>Palaikomasis gydymas</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VCR 1,3 g/ m</w:t>
            </w:r>
            <w:r>
              <w:rPr>
                <w:rFonts w:ascii="Times New Roman" w:hAnsi="Times New Roman" w:cs="Times New Roman"/>
                <w:vertAlign w:val="superscript"/>
                <w:lang w:val="lt-LT"/>
              </w:rPr>
              <w:t>2</w:t>
            </w:r>
            <w:r>
              <w:rPr>
                <w:rFonts w:ascii="Times New Roman" w:hAnsi="Times New Roman" w:cs="Times New Roman"/>
                <w:lang w:val="lt-LT"/>
              </w:rPr>
              <w:t xml:space="preserve"> i.v., 1 dieną; gerti prednizoloną 60 mg/ m</w:t>
            </w:r>
            <w:r>
              <w:rPr>
                <w:rFonts w:ascii="Times New Roman" w:hAnsi="Times New Roman" w:cs="Times New Roman"/>
                <w:vertAlign w:val="superscript"/>
                <w:lang w:val="lt-LT"/>
              </w:rPr>
              <w:t>2</w:t>
            </w:r>
            <w:r>
              <w:rPr>
                <w:rFonts w:ascii="Times New Roman" w:hAnsi="Times New Roman" w:cs="Times New Roman"/>
                <w:lang w:val="lt-LT"/>
              </w:rPr>
              <w:t>, 1-5 dienas</w:t>
            </w: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AUS01 tyrimas</w:t>
            </w:r>
          </w:p>
        </w:tc>
        <w:tc>
          <w:tcPr>
            <w:tcW w:w="5492" w:type="dxa"/>
            <w:tcBorders>
              <w:top w:val="single" w:sz="4" w:space="0" w:color="auto"/>
              <w:left w:val="nil"/>
              <w:bottom w:val="single" w:sz="4" w:space="0" w:color="auto"/>
              <w:right w:val="nil"/>
            </w:tcBorders>
          </w:tcPr>
          <w:p w:rsidR="00634910" w:rsidRDefault="00634910" w:rsidP="00E16918">
            <w:pPr>
              <w:spacing w:after="0" w:line="240" w:lineRule="auto"/>
              <w:rPr>
                <w:rFonts w:ascii="Times New Roman" w:hAnsi="Times New Roman" w:cs="Times New Roman"/>
                <w:lang w:val="lt-LT"/>
              </w:rPr>
            </w:pPr>
          </w:p>
        </w:tc>
      </w:tr>
      <w:tr w:rsidR="00634910"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Pradinis- </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 xml:space="preserve">konsoliduojantis </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gydymas</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Hiper-CVAD gydymas: CP 300 mg/ m</w:t>
            </w:r>
            <w:r>
              <w:rPr>
                <w:rFonts w:ascii="Times New Roman" w:hAnsi="Times New Roman" w:cs="Times New Roman"/>
                <w:vertAlign w:val="superscript"/>
                <w:lang w:val="lt-LT"/>
              </w:rPr>
              <w:t>2</w:t>
            </w:r>
            <w:r>
              <w:rPr>
                <w:rFonts w:ascii="Times New Roman" w:hAnsi="Times New Roman" w:cs="Times New Roman"/>
                <w:lang w:val="lt-LT"/>
              </w:rPr>
              <w:t xml:space="preserve"> i.v. (3 valandos, 12 valandų), 1-3 dienas; vinkristinas 2 mg i.v., 4, 11 dieną; doksorubicinas 50 mg/ m</w:t>
            </w:r>
            <w:r>
              <w:rPr>
                <w:rFonts w:ascii="Times New Roman" w:hAnsi="Times New Roman" w:cs="Times New Roman"/>
                <w:vertAlign w:val="superscript"/>
                <w:lang w:val="lt-LT"/>
              </w:rPr>
              <w:t>2</w:t>
            </w:r>
            <w:r>
              <w:rPr>
                <w:rFonts w:ascii="Times New Roman" w:hAnsi="Times New Roman" w:cs="Times New Roman"/>
                <w:lang w:val="lt-LT"/>
              </w:rPr>
              <w:t xml:space="preserve"> i.v. (24 valandos), 4 dieną; DEX 40 mg/per parą 1-4 dienas ir 11-14 dienas, keičiamas MTX 1 g/ m</w:t>
            </w:r>
            <w:r>
              <w:rPr>
                <w:rFonts w:ascii="Times New Roman" w:hAnsi="Times New Roman" w:cs="Times New Roman"/>
                <w:vertAlign w:val="superscript"/>
                <w:lang w:val="lt-LT"/>
              </w:rPr>
              <w:t>2</w:t>
            </w:r>
            <w:r>
              <w:rPr>
                <w:rFonts w:ascii="Times New Roman" w:hAnsi="Times New Roman" w:cs="Times New Roman"/>
                <w:lang w:val="lt-LT"/>
              </w:rPr>
              <w:t xml:space="preserve"> i.v. (24 valandos), 1 dieną, Ara-C 1 g/ m</w:t>
            </w:r>
            <w:r>
              <w:rPr>
                <w:rFonts w:ascii="Times New Roman" w:hAnsi="Times New Roman" w:cs="Times New Roman"/>
                <w:vertAlign w:val="superscript"/>
                <w:lang w:val="lt-LT"/>
              </w:rPr>
              <w:t>2</w:t>
            </w:r>
            <w:r>
              <w:rPr>
                <w:rFonts w:ascii="Times New Roman" w:hAnsi="Times New Roman" w:cs="Times New Roman"/>
                <w:lang w:val="lt-LT"/>
              </w:rPr>
              <w:t xml:space="preserve"> i.v. </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 valandos, 12 valandų), 2-3 dieną (iš viso 8 kursai)</w:t>
            </w:r>
          </w:p>
        </w:tc>
      </w:tr>
      <w:tr w:rsidR="00634910" w:rsidRPr="00F82138" w:rsidTr="00E16918">
        <w:tc>
          <w:tcPr>
            <w:tcW w:w="3794"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Palaikomasis gydymas</w:t>
            </w:r>
          </w:p>
        </w:tc>
        <w:tc>
          <w:tcPr>
            <w:tcW w:w="5492"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VCR 2 mg i.v. kas mėnesį 13 mėnesių; gerti prednizoloną po 200 mg, 5 dienas per mėnesį 13 mėnesių</w:t>
            </w:r>
          </w:p>
        </w:tc>
      </w:tr>
      <w:tr w:rsidR="00634910" w:rsidTr="00E16918">
        <w:tc>
          <w:tcPr>
            <w:tcW w:w="9286" w:type="dxa"/>
            <w:gridSpan w:val="2"/>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Visi gydymo režimai taikomi vartojant steroidų CNS ligų profilaktikai.</w:t>
            </w:r>
          </w:p>
        </w:tc>
      </w:tr>
      <w:tr w:rsidR="00634910" w:rsidTr="00E16918">
        <w:tc>
          <w:tcPr>
            <w:tcW w:w="9286" w:type="dxa"/>
            <w:gridSpan w:val="2"/>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Ara-C: citozino arabinozidas; CP: ciklofosfamidas; DEX: deksametazonas; MTX: metotreksatas; 6-MP: 6-merkaptopurinas; VM26: tenipozidas; VCR: vinkristinas; IDA: idarubicinas; i.v.: vartoti į veną</w:t>
            </w:r>
          </w:p>
        </w:tc>
      </w:tr>
    </w:tbl>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i/>
          <w:lang w:val="lt-LT"/>
        </w:rPr>
        <w:t>Recidyvavusi ar refrakterinė</w:t>
      </w:r>
      <w:r>
        <w:rPr>
          <w:rFonts w:ascii="Times New Roman" w:hAnsi="Times New Roman" w:cs="Times New Roman"/>
          <w:lang w:val="lt-LT"/>
        </w:rPr>
        <w:t xml:space="preserve"> </w:t>
      </w:r>
      <w:r>
        <w:rPr>
          <w:rFonts w:ascii="Times New Roman" w:hAnsi="Times New Roman" w:cs="Times New Roman"/>
          <w:i/>
          <w:lang w:val="lt-LT"/>
        </w:rPr>
        <w:t>Ph+ ŪLL</w:t>
      </w:r>
      <w:r>
        <w:rPr>
          <w:rFonts w:ascii="Times New Roman" w:hAnsi="Times New Roman" w:cs="Times New Roman"/>
          <w:lang w:val="lt-LT"/>
        </w:rPr>
        <w:t xml:space="preserve">: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 </w:t>
      </w:r>
    </w:p>
    <w:p w:rsidR="00634910" w:rsidRDefault="00634910" w:rsidP="00634910">
      <w:pPr>
        <w:spacing w:after="0" w:line="240" w:lineRule="auto"/>
        <w:rPr>
          <w:rFonts w:ascii="Times New Roman" w:hAnsi="Times New Roman" w:cs="Times New Roman"/>
          <w:highlight w:val="yellow"/>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Klinikiniai MDS ir MPL tyrimai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Šių ligų gydymo imatinibu 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imatinibo efektyvumas įvairioms pacientų, sergančių gyvybei pavojingomis ligomis, susijusiomis su Abl, Kit ar PDGFR baltymų tirozinkinazėmis, grupėms. Tyrime dalyvavo 7 pacientai, sergantys MDS/MPL, kurie buvo gydomi imatinibu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Be to, kiti 24 pacientai, sergantys MDS/MPL, buvo aprašyti 13 straipsnių. 21 pacientas buvo gydomas imatinibo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imatinibo 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w:t>
      </w:r>
      <w:r>
        <w:rPr>
          <w:rFonts w:ascii="Times New Roman" w:hAnsi="Times New Roman" w:cs="Times New Roman"/>
          <w:lang w:val="lt-LT"/>
        </w:rPr>
        <w:lastRenderedPageBreak/>
        <w:t xml:space="preserve">mėnesius (ribos 19-60) ir 47 mėnesius (ribos 16-59). Patvirtinus diagnozę, bendras išgyvenamumas yra 65 mėnesiai (ribos 25-234). Imatinibo paskyrimas pacientams be genetinių translokacijų bendrai pagerėjimo nesukėlė. </w:t>
      </w:r>
    </w:p>
    <w:p w:rsidR="00634910" w:rsidRDefault="00634910" w:rsidP="00634910">
      <w:pPr>
        <w:spacing w:after="0" w:line="240" w:lineRule="auto"/>
        <w:rPr>
          <w:rFonts w:ascii="Times New Roman" w:hAnsi="Times New Roman" w:cs="Times New Roman"/>
          <w:lang w:val="lt-LT"/>
        </w:rPr>
      </w:pPr>
    </w:p>
    <w:p w:rsidR="00634910" w:rsidRDefault="00634910" w:rsidP="00634910">
      <w:pPr>
        <w:pStyle w:val="Default"/>
        <w:widowControl w:val="0"/>
        <w:rPr>
          <w:sz w:val="22"/>
          <w:szCs w:val="22"/>
        </w:rPr>
      </w:pPr>
      <w:r>
        <w:rPr>
          <w:sz w:val="22"/>
          <w:szCs w:val="22"/>
        </w:rPr>
        <w:t>Kontroliuojamųjų klinikinių tyrimų su MDS ir MPL sergančiais vaikais neatlikta. 4 paskelbtuose straipsniuose aprašyti penki (5) pacientai, sirgę su PDGFR genų pakitimais susijusiomis MDS/MPL. Šių pacientų amžius svyravo nuo 3 mėnesių iki 4 metų, jiems buvo skiriama 50 mg imatinibo paros dozė arba 92,5</w:t>
      </w:r>
      <w:r>
        <w:rPr>
          <w:sz w:val="22"/>
          <w:szCs w:val="22"/>
        </w:rPr>
        <w:noBreakHyphen/>
        <w:t>340 mg/m</w:t>
      </w:r>
      <w:r>
        <w:rPr>
          <w:sz w:val="22"/>
          <w:szCs w:val="22"/>
          <w:vertAlign w:val="superscript"/>
        </w:rPr>
        <w:t>2</w:t>
      </w:r>
      <w:r>
        <w:rPr>
          <w:sz w:val="22"/>
          <w:szCs w:val="22"/>
        </w:rPr>
        <w:t xml:space="preserve"> kūno paviršiaus ploto paros dozė. Visiems pacientams pasireiškė visiškas hematologinis atsakas, citogenetinis atsakas ir (arba) klinikinis atsakas.</w:t>
      </w:r>
    </w:p>
    <w:p w:rsidR="00634910" w:rsidRDefault="00634910" w:rsidP="00634910">
      <w:pPr>
        <w:spacing w:after="0" w:line="240" w:lineRule="auto"/>
        <w:rPr>
          <w:rFonts w:ascii="Times New Roman" w:hAnsi="Times New Roman" w:cs="Times New Roman"/>
          <w:u w:val="single"/>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Klinikiniai HES/LEL tyrimai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Viename atvirame, daugiacentriame, II fazės klinikiniame tyrime (tyrimas B2225) buvo tiriamas imatinibo efektyvumas įvairioms pacientų, sergančių gyvybei pavojingomis ligomis, susijusiomis su Abl, Kit ar PDGFR baltymų tirozinkinazėmis, grupėms. Šio tyrimo metu 14 pacientų, sergantys HES/LEL, buvo gydomi imatinibu 100 mg – 1 000 mg dozėmis per parą. Kiti 162 pacientai, sergantys HES/LEL, aprašyti 35 atvejų pranešimuose ir atvejų serijose gavo 75 mg – 800 mg imatinibo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 </w:t>
      </w:r>
    </w:p>
    <w:p w:rsidR="00634910" w:rsidRDefault="00634910" w:rsidP="00634910">
      <w:pPr>
        <w:spacing w:after="0" w:line="240" w:lineRule="auto"/>
        <w:rPr>
          <w:rFonts w:ascii="Times New Roman" w:hAnsi="Times New Roman" w:cs="Times New Roman"/>
          <w:highlight w:val="yellow"/>
          <w:lang w:val="lt-LT"/>
        </w:rPr>
      </w:pPr>
    </w:p>
    <w:p w:rsidR="00634910" w:rsidRDefault="00634910" w:rsidP="00634910">
      <w:pPr>
        <w:pStyle w:val="Default"/>
        <w:widowControl w:val="0"/>
        <w:rPr>
          <w:sz w:val="22"/>
          <w:szCs w:val="22"/>
        </w:rPr>
      </w:pPr>
      <w:r>
        <w:rPr>
          <w:sz w:val="22"/>
          <w:szCs w:val="22"/>
        </w:rPr>
        <w:t>Kontroliuojamųjų klinikinių tyrimų su HES/LEL sergančiais vaikais neatlikta. 3 paskelbtuose straipsniuose aprašyti trys (3) pacientai, sirgę su PDGFR genų pakitimais susijusiais HES ir LEL. Šių pacientų amžius svyravo nuo 2 metų iki 16 metų, jiems buvo skiriama 300 mg/m</w:t>
      </w:r>
      <w:r>
        <w:rPr>
          <w:sz w:val="22"/>
          <w:szCs w:val="22"/>
          <w:vertAlign w:val="superscript"/>
        </w:rPr>
        <w:t>2</w:t>
      </w:r>
      <w:r>
        <w:rPr>
          <w:sz w:val="22"/>
          <w:szCs w:val="22"/>
        </w:rPr>
        <w:t xml:space="preserve"> kūno paviršiaus ploto imatinibo paros dozė arba 200</w:t>
      </w:r>
      <w:r>
        <w:rPr>
          <w:sz w:val="22"/>
          <w:szCs w:val="22"/>
        </w:rPr>
        <w:noBreakHyphen/>
        <w:t>400 mg paros dozė. Visiems pacientams pasireiškė visiškas hematologinis atsakas, visiškas citogenetinis atsakas ir (arba) visiškas molekulinis atsakas.</w:t>
      </w:r>
    </w:p>
    <w:p w:rsidR="00634910" w:rsidRDefault="00634910" w:rsidP="00634910">
      <w:pPr>
        <w:spacing w:after="0" w:line="240" w:lineRule="auto"/>
        <w:rPr>
          <w:rFonts w:ascii="Times New Roman" w:hAnsi="Times New Roman" w:cs="Times New Roman"/>
          <w:lang w:val="lt-LT"/>
        </w:rPr>
      </w:pPr>
    </w:p>
    <w:p w:rsidR="00634910" w:rsidRPr="00C4014D" w:rsidRDefault="00634910" w:rsidP="00634910">
      <w:pPr>
        <w:spacing w:after="0" w:line="240" w:lineRule="auto"/>
        <w:rPr>
          <w:rFonts w:ascii="Times New Roman" w:hAnsi="Times New Roman" w:cs="Times New Roman"/>
          <w:u w:val="single"/>
          <w:lang w:val="lt-LT"/>
        </w:rPr>
      </w:pPr>
      <w:r w:rsidRPr="00C4014D">
        <w:rPr>
          <w:rFonts w:ascii="Times New Roman" w:hAnsi="Times New Roman" w:cs="Times New Roman"/>
          <w:u w:val="single"/>
          <w:lang w:val="lt-LT"/>
        </w:rPr>
        <w:t xml:space="preserve">Klinikiniai pacientų, kuriems buvo nerezekuotinas ir (ar) metastazavęs </w:t>
      </w:r>
      <w:r>
        <w:rPr>
          <w:rFonts w:ascii="Times New Roman" w:hAnsi="Times New Roman" w:cs="Times New Roman"/>
          <w:u w:val="single"/>
          <w:lang w:val="lt-LT"/>
        </w:rPr>
        <w:t>GIST</w:t>
      </w:r>
      <w:r w:rsidRPr="00C4014D">
        <w:rPr>
          <w:rFonts w:ascii="Times New Roman" w:hAnsi="Times New Roman" w:cs="Times New Roman"/>
          <w:u w:val="single"/>
          <w:lang w:val="lt-LT"/>
        </w:rPr>
        <w:t xml:space="preserve">, tyrimai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Vienas II fazės atviras, randomizuotas, nekontroliuojamas tarptautinis tyrimas buvo atliktas su pacientais, kuriems buvo nerezekuotinas ar metastazavęs piktybinis virškinimo trakto stromos navikas (GIST). Šiame tyrime dalyvavo 147 pacientai, kurie buvo atsitiktinai suskirstyti gerti po 400 mg arba po 600 mg vieną kartą per parą iki 36 mėn. Šių pacientų amžius buvo nuo 18 iki 83 metų, jiems buvo nustatyta patologinė Kiti+ piktybinio GIST,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 </w:t>
      </w:r>
    </w:p>
    <w:p w:rsidR="00634910" w:rsidRDefault="00634910" w:rsidP="00634910">
      <w:pPr>
        <w:spacing w:after="0" w:line="240" w:lineRule="auto"/>
        <w:rPr>
          <w:rFonts w:ascii="Times New Roman" w:hAnsi="Times New Roman" w:cs="Times New Roman"/>
          <w:highlight w:val="yellow"/>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Svarbiausias veiksmingumo įrodymas – objektyvus atsako dažnis. Buvo reikalaujama naviką išmatuoti bent vienoje vietoje. Atsakas apibūdintas pagal </w:t>
      </w:r>
      <w:r w:rsidRPr="00132FED">
        <w:rPr>
          <w:rFonts w:ascii="Times New Roman" w:hAnsi="Times New Roman" w:cs="Times New Roman"/>
          <w:i/>
          <w:lang w:val="lt-LT"/>
        </w:rPr>
        <w:t>Southwestern Oncology Group</w:t>
      </w:r>
      <w:r>
        <w:rPr>
          <w:rFonts w:ascii="Times New Roman" w:hAnsi="Times New Roman" w:cs="Times New Roman"/>
          <w:lang w:val="lt-LT"/>
        </w:rPr>
        <w:t xml:space="preserve"> (SWOG) kriterijus. Duomenys pateikti 4 lentelėje.</w:t>
      </w:r>
    </w:p>
    <w:p w:rsidR="00634910" w:rsidRDefault="00634910" w:rsidP="00634910">
      <w:pPr>
        <w:spacing w:after="0" w:line="240" w:lineRule="auto"/>
        <w:rPr>
          <w:rFonts w:ascii="Times New Roman" w:hAnsi="Times New Roman" w:cs="Times New Roman"/>
          <w:b/>
          <w:lang w:val="lt-LT"/>
        </w:rPr>
      </w:pPr>
    </w:p>
    <w:p w:rsidR="00634910" w:rsidRDefault="00634910" w:rsidP="00634910">
      <w:pPr>
        <w:spacing w:after="0" w:line="240" w:lineRule="auto"/>
        <w:rPr>
          <w:rFonts w:ascii="Times New Roman" w:hAnsi="Times New Roman" w:cs="Times New Roman"/>
          <w:b/>
          <w:lang w:val="lt-LT"/>
        </w:rPr>
      </w:pPr>
      <w:r>
        <w:rPr>
          <w:rFonts w:ascii="Times New Roman" w:hAnsi="Times New Roman" w:cs="Times New Roman"/>
          <w:b/>
          <w:lang w:val="lt-LT"/>
        </w:rPr>
        <w:t>4 lentelė Geriausias naviko atsakas STIB2222 (GIST) tyrimo metu</w:t>
      </w:r>
    </w:p>
    <w:p w:rsidR="00634910" w:rsidRDefault="00634910" w:rsidP="00634910">
      <w:pPr>
        <w:spacing w:after="0" w:line="240" w:lineRule="auto"/>
        <w:rPr>
          <w:rFonts w:ascii="Times New Roman" w:hAnsi="Times New Roman" w:cs="Times New Roman"/>
          <w:b/>
          <w:lang w:val="lt-LT"/>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4643"/>
        <w:gridCol w:w="4643"/>
      </w:tblGrid>
      <w:tr w:rsidR="00634910" w:rsidTr="00E16918">
        <w:tc>
          <w:tcPr>
            <w:tcW w:w="4643" w:type="dxa"/>
            <w:tcBorders>
              <w:top w:val="single" w:sz="4" w:space="0" w:color="auto"/>
              <w:left w:val="nil"/>
              <w:bottom w:val="single" w:sz="4" w:space="0" w:color="auto"/>
              <w:right w:val="nil"/>
            </w:tcBorders>
          </w:tcPr>
          <w:p w:rsidR="00634910" w:rsidRDefault="00634910" w:rsidP="00E16918">
            <w:pPr>
              <w:spacing w:after="0" w:line="240" w:lineRule="auto"/>
              <w:rPr>
                <w:rFonts w:ascii="Times New Roman" w:hAnsi="Times New Roman" w:cs="Times New Roman"/>
                <w:lang w:val="lt-LT"/>
              </w:rPr>
            </w:pPr>
          </w:p>
          <w:p w:rsidR="00634910" w:rsidRDefault="00634910" w:rsidP="00E16918">
            <w:pPr>
              <w:spacing w:after="0" w:line="240" w:lineRule="auto"/>
              <w:rPr>
                <w:rFonts w:ascii="Times New Roman" w:hAnsi="Times New Roman" w:cs="Times New Roman"/>
                <w:lang w:val="lt-LT"/>
              </w:rPr>
            </w:pPr>
          </w:p>
          <w:p w:rsidR="00634910" w:rsidRDefault="00634910" w:rsidP="00E16918">
            <w:pPr>
              <w:spacing w:after="0" w:line="240" w:lineRule="auto"/>
              <w:rPr>
                <w:rFonts w:ascii="Times New Roman" w:hAnsi="Times New Roman" w:cs="Times New Roman"/>
                <w:lang w:val="lt-LT"/>
              </w:rPr>
            </w:pP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Geriausias atsakas</w:t>
            </w:r>
          </w:p>
        </w:tc>
        <w:tc>
          <w:tcPr>
            <w:tcW w:w="4643" w:type="dxa"/>
            <w:tcBorders>
              <w:top w:val="single" w:sz="4" w:space="0" w:color="auto"/>
              <w:left w:val="nil"/>
              <w:bottom w:val="single" w:sz="4" w:space="0" w:color="auto"/>
              <w:right w:val="nil"/>
            </w:tcBorders>
            <w:hideMark/>
          </w:tcPr>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Visos dozės (n=147)</w:t>
            </w:r>
          </w:p>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400 mg (n=73)</w:t>
            </w:r>
          </w:p>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600 mg (n=74)</w:t>
            </w:r>
          </w:p>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n (%)</w:t>
            </w:r>
          </w:p>
        </w:tc>
      </w:tr>
      <w:tr w:rsidR="00634910" w:rsidTr="00E16918">
        <w:tc>
          <w:tcPr>
            <w:tcW w:w="4643" w:type="dxa"/>
            <w:tcBorders>
              <w:top w:val="single" w:sz="4" w:space="0" w:color="auto"/>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Visiškas atsakas</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Dalinis atsakas</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Stabili liga</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Progresuojanti liga</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Neįvertinama</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Nežinoma</w:t>
            </w:r>
          </w:p>
        </w:tc>
        <w:tc>
          <w:tcPr>
            <w:tcW w:w="4643" w:type="dxa"/>
            <w:tcBorders>
              <w:top w:val="single" w:sz="4" w:space="0" w:color="auto"/>
              <w:left w:val="nil"/>
              <w:bottom w:val="single" w:sz="4" w:space="0" w:color="auto"/>
              <w:right w:val="nil"/>
            </w:tcBorders>
            <w:hideMark/>
          </w:tcPr>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1 (0,7)</w:t>
            </w:r>
          </w:p>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98 (66,7)</w:t>
            </w:r>
          </w:p>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23 (15,6)</w:t>
            </w:r>
          </w:p>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18 (12,2)</w:t>
            </w:r>
          </w:p>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5 (3,4)</w:t>
            </w:r>
          </w:p>
          <w:p w:rsidR="00634910" w:rsidRDefault="00634910" w:rsidP="00E16918">
            <w:pPr>
              <w:spacing w:after="0" w:line="240" w:lineRule="auto"/>
              <w:jc w:val="center"/>
              <w:rPr>
                <w:rFonts w:ascii="Times New Roman" w:hAnsi="Times New Roman" w:cs="Times New Roman"/>
                <w:lang w:val="lt-LT"/>
              </w:rPr>
            </w:pPr>
            <w:r>
              <w:rPr>
                <w:rFonts w:ascii="Times New Roman" w:hAnsi="Times New Roman" w:cs="Times New Roman"/>
                <w:lang w:val="lt-LT"/>
              </w:rPr>
              <w:t>2 (1,4)</w:t>
            </w:r>
          </w:p>
        </w:tc>
      </w:tr>
    </w:tbl>
    <w:p w:rsidR="00634910" w:rsidRDefault="00634910" w:rsidP="00634910">
      <w:pPr>
        <w:spacing w:after="0" w:line="240" w:lineRule="auto"/>
        <w:rPr>
          <w:rFonts w:ascii="Times New Roman" w:hAnsi="Times New Roman" w:cs="Times New Roman"/>
          <w:lang w:val="lt-LT"/>
        </w:rPr>
      </w:pPr>
    </w:p>
    <w:p w:rsidR="00634910" w:rsidRPr="00C4014D"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nesėkmės pacientams, kuriems buvo gautas atsakas, mediana buvo 122 savaitės (95 % PI 106–147), o bendroje tyrimo populiacijoje ji buvo 84 savaitės (95 % PI 71–109). Bendrojo išgyvenamumo mediana nebuvo gauta. </w:t>
      </w:r>
      <w:r w:rsidRPr="00132FED">
        <w:rPr>
          <w:rFonts w:ascii="Times New Roman" w:hAnsi="Times New Roman" w:cs="Times New Roman"/>
          <w:i/>
          <w:lang w:val="lt-LT"/>
        </w:rPr>
        <w:t>Kaplan-Meier</w:t>
      </w:r>
      <w:r>
        <w:rPr>
          <w:rFonts w:ascii="Times New Roman" w:hAnsi="Times New Roman" w:cs="Times New Roman"/>
          <w:lang w:val="lt-LT"/>
        </w:rPr>
        <w:t xml:space="preserve"> išgyvenamumo po 36 mėnesių stebėjimo periodo rodiklis buvo 68 %.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Dviejų klinikinių tyrimų metu (tyrimas B2222 ir tarpgrupinis tyrimas S0033) imatinibo paros dozė buvo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imatinibo saugumo rodiklių, atrodo nepaveikė.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Klinikiniai adjuvantinio GIST gydymo tyrimai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Adjuvantiniam GIST gydymui naudojamas imatinibas buvo tirtas daugiacentrio, dvigubai aklo, ilgalaikio gydymo, placebu kontroliuojamo III fazės klinikinio tyrimo (Z9001), kuriame dalyvavo 773 pacientai, metu. Šie pacientai buvo 18–91 metų amžiaus. Į tyrimą buvo įtraukti pacientai, kuriems histologiškai buvo patvirtinta pirminio GIST su imunocheminiu būdu nustatyta Kit baltymo ekspresija diagnozė ir kurių naviko didžiausias matmuo buvo ≥ 3 cm bei kuriems prieš 14-70 dienų iki įtraukimo į tyrimą buvo atlikta radikali pirminio GIST rezekcija.</w:t>
      </w:r>
    </w:p>
    <w:p w:rsidR="00634910" w:rsidRPr="00C4014D"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Po pirminio GIST rezekcijos pacientai atsitiktiniu būdu buvo suskirstyti į dvi gydymo grupes: imatinibo 400 mg per parą arba placebo grupes (gydymas buvo skiriamas vienerius metus). </w:t>
      </w:r>
    </w:p>
    <w:p w:rsidR="00634910" w:rsidRPr="00C4014D"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Pirminė vertinamoji klinikinio tyrimo baigtis buvo išgyvenamumas be ligos recidyvo (angl. recurrence-free survival – RFS), nustatomas kaip laikas nuo randomizacijos dienos iki recidyvo pasireiškimo dienos arba mirties dėl bet kokios priežasties.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Imatinibas 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imatinibo grupėje buvo reikšmingai geresnis lyginant su placebo grupe (atitinkamai 97,7 % ir 82,3 %; p&lt;0,0001). Taigi, ligos recidyvo atsiradimo rizika buvo sumažinta apytiksliai 89 %, lyginant su placebu (rizikos santykis = 0,113 [0,049-0,264]).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Pacientams po pirminio GIST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w:t>
      </w:r>
      <w:r>
        <w:rPr>
          <w:rFonts w:ascii="Times New Roman" w:hAnsi="Times New Roman" w:cs="Times New Roman"/>
          <w:lang w:val="lt-LT"/>
        </w:rPr>
        <w:lastRenderedPageBreak/>
        <w:t>Remiantis Jungtinių valstijų sveikatos nacionalinio instituto (United States National Institutes of Health - NIH) ir Ginkluotųjų pajėgų patologijos instituto (Armed Forces Institute of Pathology – AFIP) sudaryta rizikos klasifikacija, pacientų pogrupių analizės rezultatai pateikti 5 lentelėje. Žemos ir labai žemos rizikos grupėje vaistinio preparato naudos nepastebėta. Bendram išgyvenamumui naudos nepastebėta.</w:t>
      </w:r>
    </w:p>
    <w:p w:rsidR="00634910" w:rsidRDefault="00634910" w:rsidP="00634910">
      <w:pPr>
        <w:spacing w:after="0" w:line="240" w:lineRule="auto"/>
        <w:rPr>
          <w:rFonts w:ascii="Times New Roman" w:hAnsi="Times New Roman" w:cs="Times New Roman"/>
          <w:highlight w:val="yellow"/>
          <w:lang w:val="lt-LT"/>
        </w:rPr>
      </w:pPr>
    </w:p>
    <w:p w:rsidR="00634910" w:rsidRDefault="00634910" w:rsidP="00634910">
      <w:pPr>
        <w:spacing w:after="0" w:line="240" w:lineRule="auto"/>
        <w:rPr>
          <w:rFonts w:ascii="Times New Roman" w:hAnsi="Times New Roman" w:cs="Times New Roman"/>
          <w:b/>
          <w:lang w:val="lt-LT"/>
        </w:rPr>
      </w:pPr>
      <w:r>
        <w:rPr>
          <w:rFonts w:ascii="Times New Roman" w:hAnsi="Times New Roman" w:cs="Times New Roman"/>
          <w:b/>
          <w:lang w:val="lt-LT"/>
        </w:rPr>
        <w:t xml:space="preserve">5 lentelė  Z9001 klinikinio tyrimo RFS analizės pagal NIH ir AFIP rizikos klasifikacijas </w:t>
      </w:r>
    </w:p>
    <w:p w:rsidR="00634910" w:rsidRDefault="00634910" w:rsidP="00634910">
      <w:pPr>
        <w:spacing w:after="0" w:line="240" w:lineRule="auto"/>
        <w:rPr>
          <w:rFonts w:ascii="Times New Roman" w:hAnsi="Times New Roman" w:cs="Times New Roman"/>
          <w:b/>
          <w:lang w:val="lt-LT"/>
        </w:rPr>
      </w:pPr>
      <w:r>
        <w:rPr>
          <w:rFonts w:ascii="Times New Roman" w:hAnsi="Times New Roman" w:cs="Times New Roman"/>
          <w:b/>
          <w:lang w:val="lt-LT"/>
        </w:rPr>
        <w:t>Santrauka</w:t>
      </w:r>
    </w:p>
    <w:p w:rsidR="00634910" w:rsidRDefault="00634910" w:rsidP="00634910">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418"/>
        <w:gridCol w:w="850"/>
        <w:gridCol w:w="1701"/>
        <w:gridCol w:w="1942"/>
        <w:gridCol w:w="1231"/>
        <w:gridCol w:w="1327"/>
      </w:tblGrid>
      <w:tr w:rsidR="00634910" w:rsidTr="00E16918">
        <w:trPr>
          <w:trHeight w:val="160"/>
        </w:trPr>
        <w:tc>
          <w:tcPr>
            <w:tcW w:w="817" w:type="dxa"/>
            <w:vMerge w:val="restart"/>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Rizikos kriterijai</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Rizikos lygis</w:t>
            </w:r>
          </w:p>
        </w:tc>
        <w:tc>
          <w:tcPr>
            <w:tcW w:w="850" w:type="dxa"/>
            <w:vMerge w:val="restart"/>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Pacientų skaičius</w:t>
            </w:r>
            <w:r>
              <w:rPr>
                <w:rFonts w:ascii="Times New Roman" w:hAnsi="Times New Roman" w:cs="Times New Roman"/>
                <w:lang w:val="lt-LT"/>
              </w:rPr>
              <w:t xml:space="preserve"> </w:t>
            </w:r>
            <w:r>
              <w:rPr>
                <w:rFonts w:ascii="Times New Roman" w:hAnsi="Times New Roman" w:cs="Times New Roman"/>
                <w:b/>
                <w:lang w:val="lt-LT"/>
              </w:rPr>
              <w:t>%</w:t>
            </w:r>
          </w:p>
        </w:tc>
        <w:tc>
          <w:tcPr>
            <w:tcW w:w="1701" w:type="dxa"/>
            <w:vMerge w:val="restart"/>
            <w:tcBorders>
              <w:top w:val="single" w:sz="4" w:space="0" w:color="auto"/>
              <w:left w:val="single" w:sz="4" w:space="0" w:color="auto"/>
              <w:bottom w:val="single" w:sz="4" w:space="0" w:color="auto"/>
              <w:right w:val="single" w:sz="4" w:space="0" w:color="auto"/>
            </w:tcBorders>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 xml:space="preserve">Atvejų skaičius/ </w:t>
            </w:r>
          </w:p>
          <w:p w:rsidR="00634910" w:rsidRDefault="00634910" w:rsidP="00E16918">
            <w:pPr>
              <w:spacing w:after="0" w:line="240" w:lineRule="auto"/>
              <w:rPr>
                <w:rFonts w:ascii="Times New Roman" w:hAnsi="Times New Roman" w:cs="Times New Roman"/>
                <w:b/>
                <w:lang w:val="lt-LT"/>
              </w:rPr>
            </w:pPr>
          </w:p>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Pacientų skaičius</w:t>
            </w:r>
          </w:p>
        </w:tc>
        <w:tc>
          <w:tcPr>
            <w:tcW w:w="1942" w:type="dxa"/>
            <w:vMerge w:val="restart"/>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Bendrasis rizikos santykis (95 % PI)</w:t>
            </w:r>
            <w:r>
              <w:rPr>
                <w:rFonts w:ascii="Times New Roman" w:hAnsi="Times New Roman" w:cs="Times New Roman"/>
                <w:lang w:val="lt-LT"/>
              </w:rPr>
              <w:t xml:space="preserve"> </w:t>
            </w:r>
            <w:r>
              <w:rPr>
                <w:rFonts w:ascii="Times New Roman" w:hAnsi="Times New Roman" w:cs="Times New Roman"/>
                <w:b/>
                <w:lang w:val="lt-LT"/>
              </w:rPr>
              <w:t>*</w:t>
            </w:r>
          </w:p>
        </w:tc>
        <w:tc>
          <w:tcPr>
            <w:tcW w:w="2558" w:type="dxa"/>
            <w:gridSpan w:val="2"/>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RFS dažnis (%)</w:t>
            </w:r>
          </w:p>
        </w:tc>
      </w:tr>
      <w:tr w:rsidR="00634910" w:rsidTr="00E16918">
        <w:trPr>
          <w:trHeight w:val="47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34910" w:rsidRDefault="00634910" w:rsidP="00E16918">
            <w:pPr>
              <w:spacing w:after="0" w:line="240" w:lineRule="auto"/>
              <w:rPr>
                <w:rFonts w:ascii="Times New Roman" w:hAnsi="Times New Roman" w:cs="Times New Roman"/>
                <w:b/>
                <w:lang w:val="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4910" w:rsidRDefault="00634910" w:rsidP="00E16918">
            <w:pPr>
              <w:spacing w:after="0" w:line="240" w:lineRule="auto"/>
              <w:rPr>
                <w:rFonts w:ascii="Times New Roman" w:hAnsi="Times New Roman" w:cs="Times New Roman"/>
                <w:b/>
                <w:lang w:val="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4910" w:rsidRDefault="00634910" w:rsidP="00E16918">
            <w:pPr>
              <w:spacing w:after="0" w:line="240" w:lineRule="auto"/>
              <w:rPr>
                <w:rFonts w:ascii="Times New Roman" w:hAnsi="Times New Roman" w:cs="Times New Roman"/>
                <w:b/>
                <w:lang w:val="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910" w:rsidRDefault="00634910" w:rsidP="00E16918">
            <w:pPr>
              <w:spacing w:after="0" w:line="240" w:lineRule="auto"/>
              <w:rPr>
                <w:rFonts w:ascii="Times New Roman" w:hAnsi="Times New Roman" w:cs="Times New Roman"/>
                <w:b/>
                <w:lang w:val="lt-LT"/>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rsidR="00634910" w:rsidRDefault="00634910" w:rsidP="00E16918">
            <w:pPr>
              <w:spacing w:after="0" w:line="240" w:lineRule="auto"/>
              <w:rPr>
                <w:rFonts w:ascii="Times New Roman" w:hAnsi="Times New Roman" w:cs="Times New Roman"/>
                <w:b/>
                <w:lang w:val="lt-LT"/>
              </w:rPr>
            </w:pPr>
          </w:p>
        </w:tc>
        <w:tc>
          <w:tcPr>
            <w:tcW w:w="1231"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12 mėn.</w:t>
            </w:r>
          </w:p>
        </w:tc>
        <w:tc>
          <w:tcPr>
            <w:tcW w:w="1327"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24 mėn.</w:t>
            </w:r>
          </w:p>
        </w:tc>
      </w:tr>
      <w:tr w:rsidR="00634910" w:rsidTr="00E16918">
        <w:trPr>
          <w:trHeight w:val="20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34910" w:rsidRDefault="00634910" w:rsidP="00E16918">
            <w:pPr>
              <w:spacing w:after="0" w:line="240" w:lineRule="auto"/>
              <w:rPr>
                <w:rFonts w:ascii="Times New Roman" w:hAnsi="Times New Roman" w:cs="Times New Roman"/>
                <w:b/>
                <w:lang w:val="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4910" w:rsidRDefault="00634910" w:rsidP="00E16918">
            <w:pPr>
              <w:spacing w:after="0" w:line="240" w:lineRule="auto"/>
              <w:rPr>
                <w:rFonts w:ascii="Times New Roman" w:hAnsi="Times New Roman" w:cs="Times New Roman"/>
                <w:b/>
                <w:lang w:val="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4910" w:rsidRDefault="00634910" w:rsidP="00E16918">
            <w:pPr>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Imatinibas lyginant su placebu</w:t>
            </w:r>
          </w:p>
        </w:tc>
        <w:tc>
          <w:tcPr>
            <w:tcW w:w="1942" w:type="dxa"/>
            <w:vMerge/>
            <w:tcBorders>
              <w:top w:val="single" w:sz="4" w:space="0" w:color="auto"/>
              <w:left w:val="single" w:sz="4" w:space="0" w:color="auto"/>
              <w:bottom w:val="single" w:sz="4" w:space="0" w:color="auto"/>
              <w:right w:val="single" w:sz="4" w:space="0" w:color="auto"/>
            </w:tcBorders>
            <w:vAlign w:val="center"/>
            <w:hideMark/>
          </w:tcPr>
          <w:p w:rsidR="00634910" w:rsidRDefault="00634910" w:rsidP="00E16918">
            <w:pPr>
              <w:spacing w:after="0" w:line="240" w:lineRule="auto"/>
              <w:rPr>
                <w:rFonts w:ascii="Times New Roman" w:hAnsi="Times New Roman" w:cs="Times New Roman"/>
                <w:b/>
                <w:lang w:val="lt-LT"/>
              </w:rPr>
            </w:pPr>
          </w:p>
        </w:tc>
        <w:tc>
          <w:tcPr>
            <w:tcW w:w="1231"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Imatinibas lyginant su placebu</w:t>
            </w:r>
          </w:p>
        </w:tc>
        <w:tc>
          <w:tcPr>
            <w:tcW w:w="1327"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Imatinibas lyginant su placebu</w:t>
            </w:r>
          </w:p>
        </w:tc>
      </w:tr>
      <w:tr w:rsidR="00634910" w:rsidTr="00E16918">
        <w:tc>
          <w:tcPr>
            <w:tcW w:w="817"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NIH</w:t>
            </w:r>
          </w:p>
        </w:tc>
        <w:tc>
          <w:tcPr>
            <w:tcW w:w="141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Maža</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Vidutinė</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Didelė</w:t>
            </w:r>
          </w:p>
        </w:tc>
        <w:tc>
          <w:tcPr>
            <w:tcW w:w="850"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29,5</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25,7</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44,8</w:t>
            </w:r>
          </w:p>
        </w:tc>
        <w:tc>
          <w:tcPr>
            <w:tcW w:w="1701"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0/86 ir 2/90</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4/75 ir 6/78</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21/140 ir 51/127</w:t>
            </w:r>
          </w:p>
        </w:tc>
        <w:tc>
          <w:tcPr>
            <w:tcW w:w="19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N.R.</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0,59 (0,17; 2,10)</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0,29 (0,18; 0,49)</w:t>
            </w:r>
          </w:p>
        </w:tc>
        <w:tc>
          <w:tcPr>
            <w:tcW w:w="1231"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100 ir 98,7</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100 ir 94,8</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94,8 ir 64,0</w:t>
            </w:r>
          </w:p>
        </w:tc>
        <w:tc>
          <w:tcPr>
            <w:tcW w:w="1327"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100 ir 95,5</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97,8 ir 89,5</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80,7 ir 46,6</w:t>
            </w:r>
          </w:p>
        </w:tc>
      </w:tr>
      <w:tr w:rsidR="00634910" w:rsidTr="00E16918">
        <w:tc>
          <w:tcPr>
            <w:tcW w:w="817"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AFIP</w:t>
            </w:r>
          </w:p>
        </w:tc>
        <w:tc>
          <w:tcPr>
            <w:tcW w:w="1418"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Labai maža</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Maža</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Vidutinė</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Didelė</w:t>
            </w:r>
          </w:p>
        </w:tc>
        <w:tc>
          <w:tcPr>
            <w:tcW w:w="850"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20,7</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25,0</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24,6</w:t>
            </w:r>
          </w:p>
        </w:tc>
        <w:tc>
          <w:tcPr>
            <w:tcW w:w="1701"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0/52 ir 2/63</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2/70 ir 0/69</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2/70 ir 11/67</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16/84 ir 39/81</w:t>
            </w:r>
          </w:p>
        </w:tc>
        <w:tc>
          <w:tcPr>
            <w:tcW w:w="1942"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N.R.</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N.R.</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0,16 (0,03; 0,70)</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0,27 (0,15; 0,48)</w:t>
            </w:r>
          </w:p>
        </w:tc>
        <w:tc>
          <w:tcPr>
            <w:tcW w:w="1231"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100 ir 98,1</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100 ir 100</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97,9 ir 90,8</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98,7 ir 56,1</w:t>
            </w:r>
          </w:p>
        </w:tc>
        <w:tc>
          <w:tcPr>
            <w:tcW w:w="1327" w:type="dxa"/>
            <w:tcBorders>
              <w:top w:val="single" w:sz="4" w:space="0" w:color="auto"/>
              <w:left w:val="single" w:sz="4" w:space="0" w:color="auto"/>
              <w:bottom w:val="single" w:sz="4" w:space="0" w:color="auto"/>
              <w:right w:val="single" w:sz="4" w:space="0" w:color="auto"/>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100 ir 93,0</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97,8 ir 100</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97,9 ir 73,3</w:t>
            </w:r>
          </w:p>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79,9 ir 41,5</w:t>
            </w:r>
          </w:p>
        </w:tc>
      </w:tr>
    </w:tbl>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*Visas stebėjimo laikotarpis; NR – Nenustatytas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Atlikto antrojo daugiacentrio atvirojo III fazės tyrimo (SSG XVIII/AIO) metu buvo lyginamas GIST sergančių pacientų po chirurginės naviko rezekcijos 12 mėnesių trukmės gydymas su 36 mėnesių trukmės gydymu 400 mg imatinibo 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Pirminė tyrimo vertinamoji baigtis buvo išgyvenamumas be ligos recidyvo (angl. recurrence-free survival – RFS), nustatomas kaip laikas nuo randomizacijos dienos iki recidyvo pasireiškimo dienos arba mirties dėl bet kokios priežasties.</w:t>
      </w:r>
    </w:p>
    <w:p w:rsidR="00634910" w:rsidRPr="00C4014D"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Trisdešimt šešių (36) mėnesių trukmės gydymas imatinibu reikšmingai pailgino RFS rodiklį, lyginant su 12 mėnesių trukmės gydymu imatinibu (bendrasis rizikos santykis (RS) lygus 0,46 [0,32, 0,65], p&lt;0,0001) (žr. 6 lentelę, 1 pav.).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Be to, trisdešimt šešių (36) mėnesių trukmės gydymas imatinibu reikšmingai pailgino bendrojo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išgyvenamumo rodiklį, lyginant su 12 mėnesių trukmės gydymu imatinibu (RS = 0,45 [0,22, 0,89],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p=0,0187) (žr. 6 lentelę, 2 pav.).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Ilgesnė gydymo trukmė (&gt; 36 mėnesių) gali atitolinti kitų recidyvų pasireiškimo pradžią; tačiau šių duomenų reikšmė bendrajam išgyvenamumui iki šiol nežinoma.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12 mėnesių trukmės ir 36 mėnesių trukmės gydymo grupėse bendrasis mirčių atvejų skaičius buvo, atitinkamai, 25 ir 12.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w:t>
      </w:r>
    </w:p>
    <w:p w:rsidR="00634910" w:rsidRDefault="00634910" w:rsidP="00634910">
      <w:pPr>
        <w:spacing w:after="0" w:line="240" w:lineRule="auto"/>
        <w:rPr>
          <w:rFonts w:ascii="Times New Roman" w:hAnsi="Times New Roman" w:cs="Times New Roman"/>
          <w:highlight w:val="yellow"/>
          <w:lang w:val="lt-LT"/>
        </w:rPr>
      </w:pPr>
    </w:p>
    <w:p w:rsidR="00634910" w:rsidRDefault="00634910" w:rsidP="00634910">
      <w:pPr>
        <w:spacing w:after="0" w:line="240" w:lineRule="auto"/>
        <w:rPr>
          <w:rFonts w:ascii="Times New Roman" w:hAnsi="Times New Roman" w:cs="Times New Roman"/>
          <w:b/>
          <w:lang w:val="lt-LT"/>
        </w:rPr>
      </w:pPr>
      <w:r>
        <w:rPr>
          <w:rFonts w:ascii="Times New Roman" w:hAnsi="Times New Roman" w:cs="Times New Roman"/>
          <w:b/>
          <w:lang w:val="lt-LT"/>
        </w:rPr>
        <w:t xml:space="preserve">6 lentelė  12 mėnesių ir 36 mėnesių trukmės gydymas imatinibu (SSGXVIII/AIO klinikinis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b/>
          <w:lang w:val="lt-LT"/>
        </w:rPr>
        <w:t>tyrimas)</w:t>
      </w:r>
    </w:p>
    <w:p w:rsidR="00634910" w:rsidRDefault="00634910" w:rsidP="00634910">
      <w:pPr>
        <w:spacing w:after="0" w:line="240" w:lineRule="auto"/>
        <w:rPr>
          <w:rFonts w:ascii="Times New Roman" w:hAnsi="Times New Roman" w:cs="Times New Roman"/>
          <w:lang w:val="lt-LT"/>
        </w:rPr>
      </w:pPr>
    </w:p>
    <w:tbl>
      <w:tblPr>
        <w:tblW w:w="0" w:type="auto"/>
        <w:tblBorders>
          <w:top w:val="single" w:sz="4" w:space="0" w:color="auto"/>
          <w:bottom w:val="single" w:sz="4" w:space="0" w:color="auto"/>
        </w:tblBorders>
        <w:tblLook w:val="00A0" w:firstRow="1" w:lastRow="0" w:firstColumn="1" w:lastColumn="0" w:noHBand="0" w:noVBand="0"/>
      </w:tblPr>
      <w:tblGrid>
        <w:gridCol w:w="3095"/>
        <w:gridCol w:w="3095"/>
        <w:gridCol w:w="3096"/>
      </w:tblGrid>
      <w:tr w:rsidR="00634910" w:rsidTr="00E16918">
        <w:tc>
          <w:tcPr>
            <w:tcW w:w="3095" w:type="dxa"/>
            <w:tcBorders>
              <w:top w:val="single" w:sz="4" w:space="0" w:color="auto"/>
              <w:left w:val="nil"/>
              <w:bottom w:val="nil"/>
              <w:right w:val="nil"/>
            </w:tcBorders>
          </w:tcPr>
          <w:p w:rsidR="00634910" w:rsidRDefault="00634910" w:rsidP="00E16918">
            <w:pPr>
              <w:spacing w:after="0" w:line="240" w:lineRule="auto"/>
              <w:rPr>
                <w:rFonts w:ascii="Times New Roman" w:hAnsi="Times New Roman" w:cs="Times New Roman"/>
                <w:lang w:val="lt-LT"/>
              </w:rPr>
            </w:pPr>
          </w:p>
        </w:tc>
        <w:tc>
          <w:tcPr>
            <w:tcW w:w="3095" w:type="dxa"/>
            <w:tcBorders>
              <w:top w:val="single" w:sz="4" w:space="0" w:color="auto"/>
              <w:left w:val="nil"/>
              <w:bottom w:val="nil"/>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 xml:space="preserve">12 mėnesių trukmės gydymo </w:t>
            </w:r>
          </w:p>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grupė</w:t>
            </w:r>
          </w:p>
        </w:tc>
        <w:tc>
          <w:tcPr>
            <w:tcW w:w="3096" w:type="dxa"/>
            <w:tcBorders>
              <w:top w:val="single" w:sz="4" w:space="0" w:color="auto"/>
              <w:left w:val="nil"/>
              <w:bottom w:val="nil"/>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 xml:space="preserve">36 mėnesių trukmės gydymo </w:t>
            </w:r>
          </w:p>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grupė</w:t>
            </w:r>
          </w:p>
        </w:tc>
      </w:tr>
      <w:tr w:rsidR="00634910" w:rsidTr="00E16918">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RFS rodiklis</w:t>
            </w:r>
          </w:p>
        </w:tc>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%(PI)</w:t>
            </w:r>
          </w:p>
        </w:tc>
        <w:tc>
          <w:tcPr>
            <w:tcW w:w="3096"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%(PI)</w:t>
            </w:r>
          </w:p>
        </w:tc>
      </w:tr>
      <w:tr w:rsidR="00634910" w:rsidTr="00E16918">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12 mėnesių</w:t>
            </w:r>
          </w:p>
        </w:tc>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93,7 (89,2-96,4)</w:t>
            </w:r>
          </w:p>
        </w:tc>
        <w:tc>
          <w:tcPr>
            <w:tcW w:w="3096"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95,9 (91,9-97,9)</w:t>
            </w:r>
          </w:p>
        </w:tc>
      </w:tr>
      <w:tr w:rsidR="00634910" w:rsidTr="00E16918">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24 mėnesiai</w:t>
            </w:r>
          </w:p>
        </w:tc>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75,4 (68,6-81,0)</w:t>
            </w:r>
          </w:p>
        </w:tc>
        <w:tc>
          <w:tcPr>
            <w:tcW w:w="3096"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90,7 (85,6-94,0)</w:t>
            </w:r>
          </w:p>
        </w:tc>
      </w:tr>
      <w:tr w:rsidR="00634910" w:rsidTr="00E16918">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36 mėnesiai</w:t>
            </w:r>
          </w:p>
        </w:tc>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60,1 (52,5-66,9)</w:t>
            </w:r>
          </w:p>
        </w:tc>
        <w:tc>
          <w:tcPr>
            <w:tcW w:w="3096"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86,6 (80,8-90,8)</w:t>
            </w:r>
          </w:p>
        </w:tc>
      </w:tr>
      <w:tr w:rsidR="00634910" w:rsidTr="00E16918">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48 mėnesiai</w:t>
            </w:r>
          </w:p>
        </w:tc>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52,3 (44,0-59,8)</w:t>
            </w:r>
          </w:p>
        </w:tc>
        <w:tc>
          <w:tcPr>
            <w:tcW w:w="3096"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78,3 (70,8-84,1)</w:t>
            </w:r>
          </w:p>
        </w:tc>
      </w:tr>
      <w:tr w:rsidR="00634910" w:rsidTr="00E16918">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60 mėnesių</w:t>
            </w:r>
          </w:p>
        </w:tc>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47,9 (39,0-56,3)</w:t>
            </w:r>
          </w:p>
        </w:tc>
        <w:tc>
          <w:tcPr>
            <w:tcW w:w="3096"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65,6 (56,1-73,4)</w:t>
            </w:r>
          </w:p>
        </w:tc>
      </w:tr>
      <w:tr w:rsidR="00634910" w:rsidTr="00E16918">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b/>
                <w:lang w:val="lt-LT"/>
              </w:rPr>
            </w:pPr>
            <w:r>
              <w:rPr>
                <w:rFonts w:ascii="Times New Roman" w:hAnsi="Times New Roman" w:cs="Times New Roman"/>
                <w:b/>
                <w:lang w:val="lt-LT"/>
              </w:rPr>
              <w:t>Išgyvenamumas</w:t>
            </w:r>
          </w:p>
        </w:tc>
        <w:tc>
          <w:tcPr>
            <w:tcW w:w="3095" w:type="dxa"/>
            <w:tcBorders>
              <w:top w:val="nil"/>
              <w:left w:val="nil"/>
              <w:bottom w:val="nil"/>
              <w:right w:val="nil"/>
            </w:tcBorders>
          </w:tcPr>
          <w:p w:rsidR="00634910" w:rsidRDefault="00634910" w:rsidP="00E16918">
            <w:pPr>
              <w:spacing w:after="0" w:line="240" w:lineRule="auto"/>
              <w:rPr>
                <w:rFonts w:ascii="Times New Roman" w:hAnsi="Times New Roman" w:cs="Times New Roman"/>
                <w:lang w:val="lt-LT"/>
              </w:rPr>
            </w:pPr>
          </w:p>
        </w:tc>
        <w:tc>
          <w:tcPr>
            <w:tcW w:w="3096" w:type="dxa"/>
            <w:tcBorders>
              <w:top w:val="nil"/>
              <w:left w:val="nil"/>
              <w:bottom w:val="nil"/>
              <w:right w:val="nil"/>
            </w:tcBorders>
          </w:tcPr>
          <w:p w:rsidR="00634910" w:rsidRDefault="00634910" w:rsidP="00E16918">
            <w:pPr>
              <w:spacing w:after="0" w:line="240" w:lineRule="auto"/>
              <w:rPr>
                <w:rFonts w:ascii="Times New Roman" w:hAnsi="Times New Roman" w:cs="Times New Roman"/>
                <w:lang w:val="lt-LT"/>
              </w:rPr>
            </w:pPr>
          </w:p>
        </w:tc>
      </w:tr>
      <w:tr w:rsidR="00634910" w:rsidTr="00E16918">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36 mėnesiai</w:t>
            </w:r>
          </w:p>
        </w:tc>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94,0 (89,5-96,7)</w:t>
            </w:r>
          </w:p>
        </w:tc>
        <w:tc>
          <w:tcPr>
            <w:tcW w:w="3096"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96,3 (92,4-98,2)</w:t>
            </w:r>
          </w:p>
        </w:tc>
      </w:tr>
      <w:tr w:rsidR="00634910" w:rsidTr="00E16918">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48 mėnesiai</w:t>
            </w:r>
          </w:p>
        </w:tc>
        <w:tc>
          <w:tcPr>
            <w:tcW w:w="3095"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87,9 (81,1-92,3)</w:t>
            </w:r>
          </w:p>
        </w:tc>
        <w:tc>
          <w:tcPr>
            <w:tcW w:w="3096" w:type="dxa"/>
            <w:tcBorders>
              <w:top w:val="nil"/>
              <w:left w:val="nil"/>
              <w:bottom w:val="nil"/>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95,6 (91,2-97,8)</w:t>
            </w:r>
          </w:p>
        </w:tc>
      </w:tr>
      <w:tr w:rsidR="00634910" w:rsidTr="00E16918">
        <w:tc>
          <w:tcPr>
            <w:tcW w:w="3095" w:type="dxa"/>
            <w:tcBorders>
              <w:top w:val="nil"/>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60 mėnesiai</w:t>
            </w:r>
          </w:p>
        </w:tc>
        <w:tc>
          <w:tcPr>
            <w:tcW w:w="3095" w:type="dxa"/>
            <w:tcBorders>
              <w:top w:val="nil"/>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81,7 (73,0-87,8)</w:t>
            </w:r>
          </w:p>
        </w:tc>
        <w:tc>
          <w:tcPr>
            <w:tcW w:w="3096" w:type="dxa"/>
            <w:tcBorders>
              <w:top w:val="nil"/>
              <w:left w:val="nil"/>
              <w:bottom w:val="single" w:sz="4" w:space="0" w:color="auto"/>
              <w:right w:val="nil"/>
            </w:tcBorders>
            <w:hideMark/>
          </w:tcPr>
          <w:p w:rsidR="00634910" w:rsidRDefault="00634910" w:rsidP="00E16918">
            <w:pPr>
              <w:spacing w:after="0" w:line="240" w:lineRule="auto"/>
              <w:rPr>
                <w:rFonts w:ascii="Times New Roman" w:hAnsi="Times New Roman" w:cs="Times New Roman"/>
                <w:lang w:val="lt-LT"/>
              </w:rPr>
            </w:pPr>
            <w:r>
              <w:rPr>
                <w:rFonts w:ascii="Times New Roman" w:hAnsi="Times New Roman" w:cs="Times New Roman"/>
                <w:lang w:val="lt-LT"/>
              </w:rPr>
              <w:t>92,0 (85,3-95,7)</w:t>
            </w:r>
          </w:p>
        </w:tc>
      </w:tr>
    </w:tbl>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b/>
          <w:lang w:val="lt-LT"/>
        </w:rPr>
      </w:pPr>
      <w:r>
        <w:rPr>
          <w:rFonts w:ascii="Times New Roman" w:hAnsi="Times New Roman" w:cs="Times New Roman"/>
          <w:b/>
          <w:lang w:val="lt-LT"/>
        </w:rPr>
        <w:t xml:space="preserve">1 pav.  Pirminės vertinamosios baigties išgyvenamumo be ligos recidyvo duomenys,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b/>
          <w:lang w:val="lt-LT"/>
        </w:rPr>
        <w:t>Kaplan-Meier kreivė (ITT populiacija)</w:t>
      </w:r>
    </w:p>
    <w:p w:rsidR="00634910" w:rsidRDefault="00634910" w:rsidP="00634910">
      <w:pPr>
        <w:spacing w:after="0" w:line="240" w:lineRule="auto"/>
        <w:rPr>
          <w:rFonts w:ascii="Times New Roman" w:hAnsi="Times New Roman" w:cs="Times New Roman"/>
          <w:b/>
          <w:lang w:val="lt-LT"/>
        </w:rPr>
      </w:pPr>
      <w:r>
        <w:rPr>
          <w:rFonts w:ascii="Times New Roman" w:hAnsi="Times New Roman" w:cs="Times New Roman"/>
          <w:b/>
          <w:noProof/>
          <w:lang w:val="lt-LT" w:eastAsia="lt-LT" w:bidi="ar-SA"/>
        </w:rPr>
        <w:drawing>
          <wp:inline distT="0" distB="0" distL="0" distR="0" wp14:anchorId="7CFF1CDC" wp14:editId="62031E21">
            <wp:extent cx="5753100"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800350"/>
                    </a:xfrm>
                    <a:prstGeom prst="rect">
                      <a:avLst/>
                    </a:prstGeom>
                    <a:noFill/>
                    <a:ln>
                      <a:noFill/>
                    </a:ln>
                  </pic:spPr>
                </pic:pic>
              </a:graphicData>
            </a:graphic>
          </wp:inline>
        </w:drawing>
      </w:r>
    </w:p>
    <w:p w:rsidR="00634910" w:rsidRDefault="00634910" w:rsidP="00634910">
      <w:pPr>
        <w:spacing w:after="0" w:line="240" w:lineRule="auto"/>
        <w:rPr>
          <w:rFonts w:ascii="Times New Roman" w:hAnsi="Times New Roman" w:cs="Times New Roman"/>
          <w:b/>
          <w:lang w:val="lt-LT"/>
        </w:rPr>
      </w:pPr>
      <w:r>
        <w:rPr>
          <w:rFonts w:ascii="Times New Roman" w:hAnsi="Times New Roman" w:cs="Times New Roman"/>
          <w:b/>
          <w:noProof/>
          <w:lang w:val="lt-LT" w:eastAsia="lt-LT" w:bidi="ar-SA"/>
        </w:rPr>
        <w:drawing>
          <wp:inline distT="0" distB="0" distL="0" distR="0" wp14:anchorId="2CA7BBB8" wp14:editId="39D9529E">
            <wp:extent cx="56864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634910" w:rsidRDefault="00634910" w:rsidP="00634910">
      <w:pPr>
        <w:spacing w:after="0" w:line="240" w:lineRule="auto"/>
        <w:rPr>
          <w:rFonts w:ascii="Times New Roman" w:hAnsi="Times New Roman" w:cs="Times New Roman"/>
          <w:b/>
          <w:lang w:val="lt-LT"/>
        </w:rPr>
      </w:pPr>
    </w:p>
    <w:p w:rsidR="00634910" w:rsidRDefault="00634910" w:rsidP="00634910">
      <w:pPr>
        <w:spacing w:after="0" w:line="240" w:lineRule="auto"/>
        <w:rPr>
          <w:rFonts w:ascii="Times New Roman" w:hAnsi="Times New Roman" w:cs="Times New Roman"/>
          <w:b/>
          <w:lang w:val="lt-LT"/>
        </w:rPr>
      </w:pPr>
    </w:p>
    <w:p w:rsidR="00634910" w:rsidRDefault="00634910" w:rsidP="00634910">
      <w:pPr>
        <w:spacing w:after="0" w:line="240" w:lineRule="auto"/>
        <w:rPr>
          <w:rFonts w:ascii="Times New Roman" w:hAnsi="Times New Roman" w:cs="Times New Roman"/>
          <w:b/>
          <w:lang w:val="lt-LT"/>
        </w:rPr>
      </w:pPr>
    </w:p>
    <w:p w:rsidR="00634910" w:rsidRDefault="00634910" w:rsidP="00634910">
      <w:pPr>
        <w:spacing w:after="0" w:line="240" w:lineRule="auto"/>
        <w:rPr>
          <w:rFonts w:ascii="Times New Roman" w:hAnsi="Times New Roman" w:cs="Times New Roman"/>
          <w:b/>
          <w:lang w:val="lt-LT"/>
        </w:rPr>
      </w:pPr>
      <w:r>
        <w:rPr>
          <w:rFonts w:ascii="Times New Roman" w:hAnsi="Times New Roman" w:cs="Times New Roman"/>
          <w:b/>
          <w:lang w:val="lt-LT"/>
        </w:rPr>
        <w:lastRenderedPageBreak/>
        <w:t>2 pav.  Bendrojo išgyvenamumo duomenys, Kaplan-Meier kreivė (ITT populiacija)</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noProof/>
          <w:lang w:val="lt-LT" w:eastAsia="lt-LT" w:bidi="ar-SA"/>
        </w:rPr>
        <w:drawing>
          <wp:inline distT="0" distB="0" distL="0" distR="0" wp14:anchorId="614349E5" wp14:editId="6D76AF81">
            <wp:extent cx="5686425" cy="2638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6425" cy="2638425"/>
                    </a:xfrm>
                    <a:prstGeom prst="rect">
                      <a:avLst/>
                    </a:prstGeom>
                    <a:noFill/>
                    <a:ln>
                      <a:noFill/>
                    </a:ln>
                  </pic:spPr>
                </pic:pic>
              </a:graphicData>
            </a:graphic>
          </wp:inline>
        </w:drawing>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noProof/>
          <w:lang w:val="lt-LT" w:eastAsia="lt-LT" w:bidi="ar-SA"/>
        </w:rPr>
        <w:drawing>
          <wp:inline distT="0" distB="0" distL="0" distR="0" wp14:anchorId="7D37D57B" wp14:editId="6205C5FE">
            <wp:extent cx="57245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447675"/>
                    </a:xfrm>
                    <a:prstGeom prst="rect">
                      <a:avLst/>
                    </a:prstGeom>
                    <a:noFill/>
                    <a:ln>
                      <a:noFill/>
                    </a:ln>
                  </pic:spPr>
                </pic:pic>
              </a:graphicData>
            </a:graphic>
          </wp:inline>
        </w:drawing>
      </w:r>
    </w:p>
    <w:p w:rsidR="00634910" w:rsidRDefault="00634910" w:rsidP="00634910">
      <w:pPr>
        <w:spacing w:after="0" w:line="240" w:lineRule="auto"/>
        <w:rPr>
          <w:rFonts w:ascii="Times New Roman" w:hAnsi="Times New Roman" w:cs="Times New Roman"/>
          <w:lang w:val="lt-LT"/>
        </w:rPr>
      </w:pPr>
    </w:p>
    <w:p w:rsidR="00634910" w:rsidRDefault="00634910" w:rsidP="00634910">
      <w:pPr>
        <w:pStyle w:val="Default"/>
        <w:widowControl w:val="0"/>
        <w:rPr>
          <w:sz w:val="22"/>
          <w:szCs w:val="22"/>
        </w:rPr>
      </w:pPr>
      <w:r>
        <w:rPr>
          <w:sz w:val="22"/>
          <w:szCs w:val="22"/>
        </w:rPr>
        <w:t>Kontroliuojamųjų klinikinių tyrimų su c-Kit teigiamais GIST sergančiais vaikais neatlikta. 7 paskelbtuose straipsniuose aprašyta septyniolika (17) pacientų, sirgusių GIST (su nustatytomis Kit ir PDGFR genų mutacijomis arba be jų). Šių pacientų amžius svyravo nuo 8 metų iki 18 metų, jiems buvo skiriama 300</w:t>
      </w:r>
      <w:r>
        <w:rPr>
          <w:sz w:val="22"/>
          <w:szCs w:val="22"/>
        </w:rPr>
        <w:noBreakHyphen/>
        <w:t>800 g imatinibo paros dozė (adjuvantinio arba metastazinės ligos gydymo metu). Daugeliui vaikų, kurie buvo gydomi nuo GIST, trūko duomenų apie nustatytas c-Kit arba PDGFR genų mutacijas, todėl tai galėjo lemti nevienalytes klinikines baigtis.</w:t>
      </w:r>
    </w:p>
    <w:p w:rsidR="00634910" w:rsidRDefault="00634910" w:rsidP="00634910">
      <w:pPr>
        <w:pStyle w:val="Default"/>
        <w:widowControl w:val="0"/>
        <w:rPr>
          <w:sz w:val="22"/>
          <w:szCs w:val="22"/>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DFSP klinikiniai tyrimai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Viename II fazės, atvirame, daugiacentriniame, klinikiniame tyrime (tyrimas B2225) dalyvavo 12 DFSP sergančių pacientų, vartojusių 800 mg imatinibo 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imatinibo per parą. 5 pacientams buvo gautas atsakas, 3 – pilnas, o 2 - dalinis. Literatūroje skelbtų atvejų gydymo trukmės mediana buvo nuo 4 savaičių iki daugiau kaip 20 mėnesių. Translokacija t(17:22)[(q22:q13)] arba jos genų produktas buvo beveik visuose atsakuose į imatinibo terapiją.</w:t>
      </w:r>
    </w:p>
    <w:p w:rsidR="00634910" w:rsidRDefault="00634910" w:rsidP="00634910">
      <w:pPr>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iCs/>
          <w:lang w:val="lt-LT" w:eastAsia="en-US"/>
        </w:rPr>
      </w:pPr>
      <w:bookmarkStart w:id="23" w:name="_Toc129243238"/>
      <w:bookmarkStart w:id="24" w:name="_Toc129243113"/>
      <w:r>
        <w:rPr>
          <w:rFonts w:ascii="Times New Roman" w:hAnsi="Times New Roman" w:cs="Times New Roman"/>
          <w:iCs/>
          <w:lang w:val="lt-LT" w:eastAsia="en-US"/>
        </w:rPr>
        <w:t>Kontroliuojamųjų klinikinių tyrimų su DFSP sergančiais vaikais neatlikta. 3 paskelbtuose straipsniuose aprašyti penki (5) pacientai, kurie sirgo DFSP ir kuriems buvo nustatyta PDGFR genų pakitimų. Šių pacientų amžius svyravo nuo naujagimio iki 14 metų, jiems buvo skiriama 50 mg imatinibo paros dozė arba 400</w:t>
      </w:r>
      <w:r>
        <w:rPr>
          <w:rFonts w:ascii="Times New Roman" w:hAnsi="Times New Roman" w:cs="Times New Roman"/>
          <w:iCs/>
          <w:lang w:val="lt-LT" w:eastAsia="en-US"/>
        </w:rPr>
        <w:noBreakHyphen/>
        <w:t>520 mg/m</w:t>
      </w:r>
      <w:r>
        <w:rPr>
          <w:rFonts w:ascii="Times New Roman" w:hAnsi="Times New Roman" w:cs="Times New Roman"/>
          <w:iCs/>
          <w:vertAlign w:val="superscript"/>
          <w:lang w:val="lt-LT" w:eastAsia="en-US"/>
        </w:rPr>
        <w:t>2</w:t>
      </w:r>
      <w:r>
        <w:rPr>
          <w:rFonts w:ascii="Times New Roman" w:hAnsi="Times New Roman" w:cs="Times New Roman"/>
          <w:iCs/>
          <w:lang w:val="lt-LT" w:eastAsia="en-US"/>
        </w:rPr>
        <w:t xml:space="preserve"> kūno paviršiaus ploto paros dozė. Visiems pacientams pasireiškė dalinis ir (arba) visiškas atsakas.</w:t>
      </w:r>
    </w:p>
    <w:p w:rsidR="00634910" w:rsidRDefault="00634910" w:rsidP="00634910">
      <w:pPr>
        <w:widowControl w:val="0"/>
        <w:spacing w:after="0" w:line="240" w:lineRule="auto"/>
        <w:rPr>
          <w:rFonts w:ascii="Times New Roman" w:hAnsi="Times New Roman" w:cs="Times New Roman"/>
          <w:iCs/>
          <w:lang w:val="lt-LT" w:eastAsia="en-US"/>
        </w:rPr>
      </w:pPr>
    </w:p>
    <w:p w:rsidR="00634910" w:rsidRDefault="00634910" w:rsidP="00634910">
      <w:pPr>
        <w:spacing w:after="0" w:line="240" w:lineRule="auto"/>
        <w:ind w:left="540" w:hanging="540"/>
        <w:rPr>
          <w:rFonts w:ascii="Times New Roman" w:hAnsi="Times New Roman" w:cs="Times New Roman"/>
          <w:b/>
          <w:lang w:val="lt-LT"/>
        </w:rPr>
      </w:pPr>
      <w:r>
        <w:rPr>
          <w:rFonts w:ascii="Times New Roman" w:hAnsi="Times New Roman" w:cs="Times New Roman"/>
          <w:b/>
          <w:lang w:val="lt-LT"/>
        </w:rPr>
        <w:lastRenderedPageBreak/>
        <w:t>5.2</w:t>
      </w:r>
      <w:r>
        <w:rPr>
          <w:rFonts w:ascii="Times New Roman" w:hAnsi="Times New Roman" w:cs="Times New Roman"/>
          <w:b/>
          <w:lang w:val="lt-LT"/>
        </w:rPr>
        <w:tab/>
        <w:t>Farmakokinetinės savybės</w:t>
      </w:r>
      <w:bookmarkEnd w:id="23"/>
      <w:bookmarkEnd w:id="24"/>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Imatinibo farmakokinetinės savybės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Imatinibo farmakokinetinės savybės buvo tirtos 25 mg iki 1 000 mg dozių ribose. Farmakokinetinės savybės plazmoje buvo įvertintos 1-ą parą ir arba 7-ą, arba 28-ą parą, kai plazmoje pasiekiamos pusiausvyros apykaitos koncentracijos.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Absorbcija</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Vidutinis absoliutus imatinibo biologinis prieinamumas yra 98 %. Išgėrus imatinibo dozę, skirtingų pacientų plazmoje buvo nustatytas didelis imatinibo </w:t>
      </w:r>
      <w:r>
        <w:rPr>
          <w:rFonts w:ascii="Times New Roman" w:hAnsi="Times New Roman" w:cs="Times New Roman"/>
          <w:i/>
          <w:iCs/>
          <w:lang w:val="lt-LT"/>
        </w:rPr>
        <w:t>AUC</w:t>
      </w:r>
      <w:r>
        <w:rPr>
          <w:rFonts w:ascii="Times New Roman" w:hAnsi="Times New Roman" w:cs="Times New Roman"/>
          <w:lang w:val="lt-LT"/>
        </w:rPr>
        <w:t xml:space="preserve"> kintamumas. Pavartojus vaistinį preparatą kartu su riebiu maistu, imatinibo absorbcijos greičio sumažėjimas buvo minimalus (C</w:t>
      </w:r>
      <w:r>
        <w:rPr>
          <w:rFonts w:ascii="Times New Roman" w:hAnsi="Times New Roman" w:cs="Times New Roman"/>
          <w:vertAlign w:val="subscript"/>
          <w:lang w:val="lt-LT"/>
        </w:rPr>
        <w:t>max</w:t>
      </w:r>
      <w:r>
        <w:rPr>
          <w:rFonts w:ascii="Times New Roman" w:hAnsi="Times New Roman" w:cs="Times New Roman"/>
          <w:lang w:val="lt-LT"/>
        </w:rPr>
        <w:t xml:space="preserve"> sumažėjo 11 %, o t</w:t>
      </w:r>
      <w:r>
        <w:rPr>
          <w:rFonts w:ascii="Times New Roman" w:hAnsi="Times New Roman" w:cs="Times New Roman"/>
          <w:vertAlign w:val="subscript"/>
          <w:lang w:val="lt-LT"/>
        </w:rPr>
        <w:t>max</w:t>
      </w:r>
      <w:r>
        <w:rPr>
          <w:rFonts w:ascii="Times New Roman" w:hAnsi="Times New Roman" w:cs="Times New Roman"/>
          <w:lang w:val="lt-LT"/>
        </w:rPr>
        <w:t xml:space="preserve"> pailgėjo 1,5 val.), nedaug sumažėjo </w:t>
      </w:r>
      <w:r>
        <w:rPr>
          <w:rFonts w:ascii="Times New Roman" w:hAnsi="Times New Roman" w:cs="Times New Roman"/>
          <w:i/>
          <w:iCs/>
          <w:lang w:val="lt-LT"/>
        </w:rPr>
        <w:t>AUC</w:t>
      </w:r>
      <w:r>
        <w:rPr>
          <w:rFonts w:ascii="Times New Roman" w:hAnsi="Times New Roman" w:cs="Times New Roman"/>
          <w:lang w:val="lt-LT"/>
        </w:rPr>
        <w:t xml:space="preserve"> (7,4 %), palyginti su vaistinio preparato vartojimu nevalgius. Pirmiau atliktos virškinimo trakto operacijos įtaka vaistinio preparato absorbcijai nebuvo tirta.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Pasiskirstymas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Kai imatinibo koncentracija yra kliniškai reikšminga, remiantis tyrimų </w:t>
      </w:r>
      <w:r>
        <w:rPr>
          <w:rFonts w:ascii="Times New Roman" w:hAnsi="Times New Roman" w:cs="Times New Roman"/>
          <w:i/>
          <w:iCs/>
          <w:lang w:val="lt-LT"/>
        </w:rPr>
        <w:t>in vitro</w:t>
      </w:r>
      <w:r>
        <w:rPr>
          <w:rFonts w:ascii="Times New Roman" w:hAnsi="Times New Roman" w:cs="Times New Roman"/>
          <w:lang w:val="lt-LT"/>
        </w:rPr>
        <w:t xml:space="preserve"> duomenimis, maždaug 95 % vaistinio preparato būna susijungę su plazmos baltymais, daugiausia albuminu ir rūgščiuoju alfa glikoproteinu, labai mažas kiekis su lipoproteinu.</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Biotransformacija</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Pagrindinis žmogaus kraujyje esantis metabolitas yra N-demetilintas piperazino darinys, kurio potencija </w:t>
      </w:r>
      <w:r>
        <w:rPr>
          <w:rFonts w:ascii="Times New Roman" w:hAnsi="Times New Roman" w:cs="Times New Roman"/>
          <w:i/>
          <w:iCs/>
          <w:lang w:val="lt-LT"/>
        </w:rPr>
        <w:t>in vitro</w:t>
      </w:r>
      <w:r>
        <w:rPr>
          <w:rFonts w:ascii="Times New Roman" w:hAnsi="Times New Roman" w:cs="Times New Roman"/>
          <w:lang w:val="lt-LT"/>
        </w:rPr>
        <w:t xml:space="preserve"> yra taip pat, kaip ir nepakitusios veikliosios medžiagos. Šio metabolito </w:t>
      </w:r>
      <w:r>
        <w:rPr>
          <w:rFonts w:ascii="Times New Roman" w:hAnsi="Times New Roman" w:cs="Times New Roman"/>
          <w:i/>
          <w:iCs/>
          <w:lang w:val="lt-LT"/>
        </w:rPr>
        <w:t>AUC</w:t>
      </w:r>
      <w:r>
        <w:rPr>
          <w:rFonts w:ascii="Times New Roman" w:hAnsi="Times New Roman" w:cs="Times New Roman"/>
          <w:lang w:val="lt-LT"/>
        </w:rPr>
        <w:t xml:space="preserve"> plazmoje sudaro tik 16 % imatinibo </w:t>
      </w:r>
      <w:r>
        <w:rPr>
          <w:rFonts w:ascii="Times New Roman" w:hAnsi="Times New Roman" w:cs="Times New Roman"/>
          <w:i/>
          <w:iCs/>
          <w:lang w:val="lt-LT"/>
        </w:rPr>
        <w:t>AUC</w:t>
      </w:r>
      <w:r>
        <w:rPr>
          <w:rFonts w:ascii="Times New Roman" w:hAnsi="Times New Roman" w:cs="Times New Roman"/>
          <w:lang w:val="lt-LT"/>
        </w:rPr>
        <w:t>. N-demetilintas metabolitas jungiasi su plazmos baltymais panašiai kaip nepakitusi veiklioji medžiaga.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Imatinibas ir N-demetilintas metabolitas kartu lėmė maždaug 65 % radioaktyvumo kraujyje (AUC</w:t>
      </w:r>
      <w:r>
        <w:rPr>
          <w:rFonts w:ascii="Times New Roman" w:hAnsi="Times New Roman" w:cs="Times New Roman"/>
          <w:vertAlign w:val="subscript"/>
          <w:lang w:val="lt-LT"/>
        </w:rPr>
        <w:t>0</w:t>
      </w:r>
      <w:r>
        <w:rPr>
          <w:rFonts w:ascii="Times New Roman" w:hAnsi="Times New Roman" w:cs="Times New Roman"/>
          <w:vertAlign w:val="subscript"/>
          <w:lang w:val="lt-LT"/>
        </w:rPr>
        <w:noBreakHyphen/>
        <w:t>48 val.</w:t>
      </w:r>
      <w:r>
        <w:rPr>
          <w:rFonts w:ascii="Times New Roman" w:hAnsi="Times New Roman" w:cs="Times New Roman"/>
          <w:lang w:val="lt-LT"/>
        </w:rPr>
        <w:t>). Kitas radioaktyvumas kraujyje priklausė nuo kelių metabolitų, kurie sudaro mažą dalį.</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Tyrimų </w:t>
      </w:r>
      <w:r>
        <w:rPr>
          <w:rFonts w:ascii="Times New Roman" w:hAnsi="Times New Roman" w:cs="Times New Roman"/>
          <w:i/>
          <w:iCs/>
          <w:lang w:val="lt-LT"/>
        </w:rPr>
        <w:t>in vitro</w:t>
      </w:r>
      <w:r>
        <w:rPr>
          <w:rFonts w:ascii="Times New Roman" w:hAnsi="Times New Roman" w:cs="Times New Roman"/>
          <w:lang w:val="lt-LT"/>
        </w:rPr>
        <w:t xml:space="preserve"> duomenys parodė, kad CYP3A4 yra pagrindinis žmogaus P450 fermentas, kuris veikia imatinibo biotransformaciją. Iš daugelio vaistinių preparatų, kurie gali būti vartojami kartu (acetaminofenas, acikloviras, alopurinolis, amfotericinas, citarabinas, eritromicinas, flukonazolas, hidrokarbamidas, norfloksacinas, penicilinas V), imatinibo metabolizmą kliniškai reikšmingai slopinti gali tik eritromicinas (IC</w:t>
      </w:r>
      <w:r>
        <w:rPr>
          <w:rFonts w:ascii="Times New Roman" w:hAnsi="Times New Roman" w:cs="Times New Roman"/>
          <w:vertAlign w:val="subscript"/>
          <w:lang w:val="lt-LT"/>
        </w:rPr>
        <w:t>50</w:t>
      </w:r>
      <w:r>
        <w:rPr>
          <w:rFonts w:ascii="Times New Roman" w:hAnsi="Times New Roman" w:cs="Times New Roman"/>
          <w:lang w:val="lt-LT"/>
        </w:rPr>
        <w:t xml:space="preserve"> 50 μmol) ir flukonazolas (IC</w:t>
      </w:r>
      <w:r>
        <w:rPr>
          <w:rFonts w:ascii="Times New Roman" w:hAnsi="Times New Roman" w:cs="Times New Roman"/>
          <w:vertAlign w:val="subscript"/>
          <w:lang w:val="lt-LT"/>
        </w:rPr>
        <w:t>50</w:t>
      </w:r>
      <w:r>
        <w:rPr>
          <w:rFonts w:ascii="Times New Roman" w:hAnsi="Times New Roman" w:cs="Times New Roman"/>
          <w:lang w:val="lt-LT"/>
        </w:rPr>
        <w:t xml:space="preserve"> 118 μmol).</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Tyrimai </w:t>
      </w:r>
      <w:r>
        <w:rPr>
          <w:rFonts w:ascii="Times New Roman" w:hAnsi="Times New Roman" w:cs="Times New Roman"/>
          <w:i/>
          <w:iCs/>
          <w:lang w:val="lt-LT"/>
        </w:rPr>
        <w:t>in vitro</w:t>
      </w:r>
      <w:r>
        <w:rPr>
          <w:rFonts w:ascii="Times New Roman" w:hAnsi="Times New Roman" w:cs="Times New Roman"/>
          <w:lang w:val="lt-LT"/>
        </w:rPr>
        <w:t xml:space="preserve"> parodė, kad imatinibas yra konkurencinis būdingų CYP2C9, CYP2D6 ir CYP3A4/5 substratų inhibitorius. K</w:t>
      </w:r>
      <w:r>
        <w:rPr>
          <w:rFonts w:ascii="Times New Roman" w:hAnsi="Times New Roman" w:cs="Times New Roman"/>
          <w:vertAlign w:val="subscript"/>
          <w:lang w:val="lt-LT"/>
        </w:rPr>
        <w:t>i</w:t>
      </w:r>
      <w:r>
        <w:rPr>
          <w:rFonts w:ascii="Times New Roman" w:hAnsi="Times New Roman" w:cs="Times New Roman"/>
          <w:lang w:val="lt-LT"/>
        </w:rPr>
        <w:t xml:space="preserve"> rodmuo žmogaus kepenų mikrosomose buvo atitinkamai 27, 7,5 ir 7,9 µmol/l. Didžiausia imatinibo koncentracija pacientų plazmoje yra 2–4 µmol/l, taigi galimas CYP2D6 ir (arba) CYP3A4/5 veikiamas kartu vartojamų vaistinių preparatų metabolizmo slopinimas. Imatinibas neveikė 5-fluorouracilo biotransformacijos, bet slopino paklitakselio metabolizmą dėl konkurencinio CYP2C8 slopinimo (K</w:t>
      </w:r>
      <w:r>
        <w:rPr>
          <w:rFonts w:ascii="Times New Roman" w:hAnsi="Times New Roman" w:cs="Times New Roman"/>
          <w:vertAlign w:val="subscript"/>
          <w:lang w:val="lt-LT"/>
        </w:rPr>
        <w:t>i</w:t>
      </w:r>
      <w:r>
        <w:rPr>
          <w:rFonts w:ascii="Times New Roman" w:hAnsi="Times New Roman" w:cs="Times New Roman"/>
          <w:lang w:val="lt-LT"/>
        </w:rPr>
        <w:t> = 34,7 µmol). Šis K</w:t>
      </w:r>
      <w:r>
        <w:rPr>
          <w:rFonts w:ascii="Times New Roman" w:hAnsi="Times New Roman" w:cs="Times New Roman"/>
          <w:vertAlign w:val="subscript"/>
          <w:lang w:val="lt-LT"/>
        </w:rPr>
        <w:t>i</w:t>
      </w:r>
      <w:r>
        <w:rPr>
          <w:rFonts w:ascii="Times New Roman" w:hAnsi="Times New Roman" w:cs="Times New Roman"/>
          <w:lang w:val="lt-LT"/>
        </w:rPr>
        <w:t xml:space="preserve"> rodmuo yra daug didesnis nei tikėtinos imatinibo koncentracijos pacientų plazmoje, todėl nesitikima, kad pasireikštų sąveika, imatinibą vartojant kartu su 5</w:t>
      </w:r>
      <w:r>
        <w:rPr>
          <w:rFonts w:ascii="Times New Roman" w:hAnsi="Times New Roman" w:cs="Times New Roman"/>
          <w:lang w:val="lt-LT"/>
        </w:rPr>
        <w:noBreakHyphen/>
        <w:t>fluorouracilu ar paklitakseliu.</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Eliminacija</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Remiantis junginio (-ių) išsiskyrimo po išgertos </w:t>
      </w:r>
      <w:r>
        <w:rPr>
          <w:rFonts w:ascii="Times New Roman" w:hAnsi="Times New Roman" w:cs="Times New Roman"/>
          <w:vertAlign w:val="superscript"/>
          <w:lang w:val="lt-LT"/>
        </w:rPr>
        <w:t>14</w:t>
      </w:r>
      <w:r>
        <w:rPr>
          <w:rFonts w:ascii="Times New Roman" w:hAnsi="Times New Roman" w:cs="Times New Roman"/>
          <w:lang w:val="lt-LT"/>
        </w:rPr>
        <w:t>C -žymėtojo imatinibo dozės duomenimis, maždaug 81 % dozės per 7 paras pašalinama su išmatomis (68 % dozės) ir šlapimu (13 % dozės). Nepakitęs imatinibas sudaro 25 % dozės (5 % šlapime, 20 % išmatose), kita dalis – metabolitų pavidalu.</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lastRenderedPageBreak/>
        <w:t>Farmakokinetinės savybės plazmoje</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Sveikiems savanoriams išgėrus vaistinio preparato, t</w:t>
      </w:r>
      <w:r>
        <w:rPr>
          <w:rFonts w:ascii="Times New Roman" w:hAnsi="Times New Roman" w:cs="Times New Roman"/>
          <w:vertAlign w:val="subscript"/>
          <w:lang w:val="lt-LT"/>
        </w:rPr>
        <w:t>½</w:t>
      </w:r>
      <w:r>
        <w:rPr>
          <w:rFonts w:ascii="Times New Roman" w:hAnsi="Times New Roman" w:cs="Times New Roman"/>
          <w:lang w:val="lt-LT"/>
        </w:rPr>
        <w:t xml:space="preserve"> truko maždaug 18 val. Tai rodo, kad vaistinio preparato dozę galima vartoti vieną kartą per parą. Geriant 25</w:t>
      </w:r>
      <w:r>
        <w:rPr>
          <w:rFonts w:ascii="Times New Roman" w:hAnsi="Times New Roman" w:cs="Times New Roman"/>
          <w:lang w:val="lt-LT"/>
        </w:rPr>
        <w:noBreakHyphen/>
        <w:t xml:space="preserve">1 000 mg imatinibo dozes, didėjant dozei, vidutinio </w:t>
      </w:r>
      <w:r>
        <w:rPr>
          <w:rFonts w:ascii="Times New Roman" w:hAnsi="Times New Roman" w:cs="Times New Roman"/>
          <w:i/>
          <w:iCs/>
          <w:lang w:val="lt-LT"/>
        </w:rPr>
        <w:t>AUC</w:t>
      </w:r>
      <w:r>
        <w:rPr>
          <w:rFonts w:ascii="Times New Roman" w:hAnsi="Times New Roman" w:cs="Times New Roman"/>
          <w:lang w:val="lt-LT"/>
        </w:rPr>
        <w:t xml:space="preserve"> didėjimas buvo tiesinis ir proporcingas dozei. Vartojant kartotines imatinibo dozes, imatinibo kinetika nepakito, o kaupimasis vartojant vieną kartą per parą pusiausvyros apykaitos sąlygomis buvo 1,5–2,5 karto didesnis.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GIST pacientų farmakokinetika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GIST sergančių pacientų ekspozicija, kai koncentracija pastovi, buvo 1,5 karto didesnė negu LML sergančių pacientų, vartojančių tą pačią dozę (400 mg per parą). Preliminari GIST sergančių pacientų populiacijos farmakokinetikos analizė parodė, kad trys kintamieji (albuminas, BKK ir bilirubinas) turi 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nepakankamumą ir susilpnėjusį metabolizmą.</w:t>
      </w:r>
    </w:p>
    <w:p w:rsidR="00634910" w:rsidRDefault="00634910" w:rsidP="00634910">
      <w:pPr>
        <w:spacing w:after="0" w:line="240" w:lineRule="auto"/>
        <w:rPr>
          <w:rFonts w:ascii="Times New Roman" w:hAnsi="Times New Roman" w:cs="Times New Roman"/>
          <w:u w:val="single"/>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Populiacijos farmakokinetinės savybės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Remiantis farmakokinetikos LML pacientų populiacijoje duomenimis, amžiaus įtaka pasiskirstymo tūriui buvo nedidelė (12 % padidėjimas vyresnių kaip 65 metų pacientų organizme). Manoma, kad toks pokytis yra kliniškai nereikšmingas. Kūno masės įtaka imatinibo klirensui yra tokia, kad vidutinis klirensas iš pacientų, kurių kūno masė yra 50 kg, organizmo gali būti 8,5 l/val., o iš pacientų, kurių kūno masė yra 100 kg, organizmo klirensas gali padidėti iki 11,8 l/val. Manoma, kad dėl tokių pokyčių dozės pagal kūno masę koreguoti nereikia. Lytis imatinibo kinetikos neveikia.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Farmakokinetinės savybės vaikų organizme</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Abiejų I ir II fazės tyrimų duomenimis, vaikų, kaip ir suaugusiųjų, organizme išgertas imatinibas greitai absorbuojamas. Vaikams vartojant 260 mg/m</w:t>
      </w:r>
      <w:r>
        <w:rPr>
          <w:rFonts w:ascii="Times New Roman" w:hAnsi="Times New Roman" w:cs="Times New Roman"/>
          <w:vertAlign w:val="superscript"/>
          <w:lang w:val="lt-LT"/>
        </w:rPr>
        <w:t>2</w:t>
      </w:r>
      <w:r>
        <w:rPr>
          <w:rFonts w:ascii="Times New Roman" w:hAnsi="Times New Roman" w:cs="Times New Roman"/>
          <w:lang w:val="lt-LT"/>
        </w:rPr>
        <w:t xml:space="preserve"> ir 340 mg/m</w:t>
      </w:r>
      <w:r>
        <w:rPr>
          <w:rFonts w:ascii="Times New Roman" w:hAnsi="Times New Roman" w:cs="Times New Roman"/>
          <w:vertAlign w:val="superscript"/>
          <w:lang w:val="lt-LT"/>
        </w:rPr>
        <w:t>2</w:t>
      </w:r>
      <w:r>
        <w:rPr>
          <w:rFonts w:ascii="Times New Roman" w:hAnsi="Times New Roman" w:cs="Times New Roman"/>
          <w:lang w:val="lt-LT"/>
        </w:rPr>
        <w:t xml:space="preserve"> dozes per parą, buvo pasiekta atitinkamai tokia pat ekspozicija, kaip ir suaugusių pacientų, vartojusių 400 mg ir 600 mg dozes, organizme. </w:t>
      </w:r>
      <w:r>
        <w:rPr>
          <w:rFonts w:ascii="Times New Roman" w:hAnsi="Times New Roman" w:cs="Times New Roman"/>
          <w:i/>
          <w:iCs/>
          <w:lang w:val="lt-LT"/>
        </w:rPr>
        <w:t>AUC</w:t>
      </w:r>
      <w:r>
        <w:rPr>
          <w:rFonts w:ascii="Times New Roman" w:hAnsi="Times New Roman" w:cs="Times New Roman"/>
          <w:vertAlign w:val="subscript"/>
          <w:lang w:val="lt-LT"/>
        </w:rPr>
        <w:t>(0-24)</w:t>
      </w:r>
      <w:r>
        <w:rPr>
          <w:rFonts w:ascii="Times New Roman" w:hAnsi="Times New Roman" w:cs="Times New Roman"/>
          <w:lang w:val="lt-LT"/>
        </w:rPr>
        <w:t xml:space="preserve"> 8-ą ir 1-ą paromis parodė, kad vartojant kartotines 340 mg/m</w:t>
      </w:r>
      <w:r>
        <w:rPr>
          <w:rFonts w:ascii="Times New Roman" w:hAnsi="Times New Roman" w:cs="Times New Roman"/>
          <w:vertAlign w:val="superscript"/>
          <w:lang w:val="lt-LT"/>
        </w:rPr>
        <w:t>2</w:t>
      </w:r>
      <w:r>
        <w:rPr>
          <w:rFonts w:ascii="Times New Roman" w:hAnsi="Times New Roman" w:cs="Times New Roman"/>
          <w:lang w:val="lt-LT"/>
        </w:rPr>
        <w:t xml:space="preserve"> paros dozes vieną kartą per parą, kaupimasis būna 1,7 karto didesnis.</w:t>
      </w:r>
    </w:p>
    <w:p w:rsidR="00634910" w:rsidRDefault="00634910" w:rsidP="00634910">
      <w:pPr>
        <w:spacing w:after="0" w:line="240" w:lineRule="auto"/>
        <w:rPr>
          <w:rFonts w:ascii="Times New Roman" w:hAnsi="Times New Roman" w:cs="Times New Roman"/>
          <w:lang w:val="lt-LT"/>
        </w:rPr>
      </w:pPr>
    </w:p>
    <w:p w:rsidR="00634910" w:rsidRDefault="00634910" w:rsidP="00634910">
      <w:pPr>
        <w:pStyle w:val="prastasiniatinklio"/>
        <w:spacing w:before="0" w:beforeAutospacing="0" w:after="0" w:afterAutospacing="0"/>
        <w:rPr>
          <w:sz w:val="22"/>
          <w:szCs w:val="22"/>
          <w:lang w:val="lt-LT"/>
        </w:rPr>
      </w:pPr>
      <w:r>
        <w:rPr>
          <w:sz w:val="22"/>
          <w:szCs w:val="22"/>
          <w:lang w:val="lt-LT"/>
        </w:rPr>
        <w:t xml:space="preserve">Remiantis apibendrinta hematologinėmis ligomis (LML, </w:t>
      </w:r>
      <w:r w:rsidRPr="00132FED">
        <w:rPr>
          <w:i/>
          <w:sz w:val="22"/>
          <w:szCs w:val="22"/>
          <w:lang w:val="lt-LT"/>
        </w:rPr>
        <w:t>Ph</w:t>
      </w:r>
      <w:r>
        <w:rPr>
          <w:sz w:val="22"/>
          <w:szCs w:val="22"/>
          <w:lang w:val="lt-LT"/>
        </w:rPr>
        <w:t>+ ŪLL ar kitomis imatinibu gydomomis hematologinėmis ligomis) sergančių vaikų populiacijos farmakokinetikos duomenų analize, imatinibo klirensas didėja didėjant kūno paviršiaus plotui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Pr>
          <w:sz w:val="22"/>
          <w:szCs w:val="22"/>
          <w:vertAlign w:val="superscript"/>
          <w:lang w:val="lt-LT"/>
        </w:rPr>
        <w:t>2</w:t>
      </w:r>
      <w:r>
        <w:rPr>
          <w:sz w:val="22"/>
          <w:szCs w:val="22"/>
          <w:lang w:val="lt-LT"/>
        </w:rPr>
        <w:t xml:space="preserve"> dozę kartą per parą (neviršijant 400 mg dozės kartą per parą) arba po 340 mg/m</w:t>
      </w:r>
      <w:r>
        <w:rPr>
          <w:sz w:val="22"/>
          <w:szCs w:val="22"/>
          <w:vertAlign w:val="superscript"/>
          <w:lang w:val="lt-LT"/>
        </w:rPr>
        <w:t>2</w:t>
      </w:r>
      <w:r>
        <w:rPr>
          <w:sz w:val="22"/>
          <w:szCs w:val="22"/>
          <w:lang w:val="lt-LT"/>
        </w:rPr>
        <w:t xml:space="preserve"> dozę kartą per parą (neviršijant 600 mg dozės kartą per parą), buvo panaši į ekspoziciją, būnančią kartą per parą 400 mg arba 600 mg imatinibo dozę vartojančių suaugusiųjų organizme.</w:t>
      </w:r>
    </w:p>
    <w:p w:rsidR="00634910" w:rsidRDefault="00634910" w:rsidP="00634910">
      <w:pPr>
        <w:spacing w:after="0" w:line="240" w:lineRule="auto"/>
        <w:rPr>
          <w:rFonts w:ascii="Times New Roman" w:hAnsi="Times New Roman" w:cs="Times New Roman"/>
          <w:u w:val="single"/>
          <w:lang w:val="lt-LT"/>
        </w:rPr>
      </w:pPr>
    </w:p>
    <w:p w:rsidR="00634910" w:rsidRDefault="00634910" w:rsidP="00634910">
      <w:pPr>
        <w:spacing w:after="0" w:line="240" w:lineRule="auto"/>
        <w:rPr>
          <w:rFonts w:ascii="Times New Roman" w:hAnsi="Times New Roman" w:cs="Times New Roman"/>
          <w:u w:val="single"/>
          <w:lang w:val="lt-LT"/>
        </w:rPr>
      </w:pPr>
      <w:r>
        <w:rPr>
          <w:rFonts w:ascii="Times New Roman" w:hAnsi="Times New Roman" w:cs="Times New Roman"/>
          <w:u w:val="single"/>
          <w:lang w:val="lt-LT"/>
        </w:rPr>
        <w:t>Organų funkcijos sutrikimas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Per inkstus išsiskiria nežymus imatinibo ir jo metabolitų kiekis. Nustatyta, kad pacientų, kuriems yra lengvas ir vidutinio sunkumo inkstų funkcijos sutrikimas, plazmoje būna didesnė ekspozicija nei pacientų, kurių inkstų funkcija yra normali. Ekspozicija padidėja maždaug 1,5</w:t>
      </w:r>
      <w:r>
        <w:rPr>
          <w:rFonts w:ascii="Times New Roman" w:hAnsi="Times New Roman" w:cs="Times New Roman"/>
          <w:lang w:val="lt-LT"/>
        </w:rPr>
        <w:noBreakHyphen/>
        <w:t>2 kartus, o tai atitinka maždaug 1,5 karto didesnį AGP, kuri stipriai prisijungia prie imatinibo, kiekį plazmoje. Laisvo imatinibo klirensas iš pa</w:t>
      </w:r>
      <w:r>
        <w:rPr>
          <w:rFonts w:ascii="Times New Roman" w:hAnsi="Times New Roman" w:cs="Times New Roman"/>
          <w:lang w:val="lt-LT"/>
        </w:rPr>
        <w:lastRenderedPageBreak/>
        <w:t>cientų, kurių inkstų funkcija yra sutrikusi, ir pacientų, kurių inkstų funkcija yra normali, organizmo greičiausiai būna panašus, nes per inkstus šalinama tik nedidelė imatinibo dalis (žr. 4.2 ir 4.4 skyrius).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Nors farmakokinetinių savybių analizės duomenys parodė, kad galimas ryškus kintamumas skirtingų asmenų organizme, vidutinė imatinibo ekspozicija pacientų, kuriems yra įvairaus laipsnio kepenų funkcijos nepakankamumas, organizme nepadidėja, palyginti su pacientais, kurių kepenų funkcija yra normali (žr. 4.2, 4.4 ir 4.8 skyrius).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25" w:name="_Toc129243239"/>
      <w:bookmarkStart w:id="26" w:name="_Toc129243114"/>
      <w:r>
        <w:rPr>
          <w:rFonts w:ascii="Times New Roman" w:hAnsi="Times New Roman" w:cs="Times New Roman"/>
          <w:b/>
          <w:lang w:val="lt-LT"/>
        </w:rPr>
        <w:t>5.3</w:t>
      </w:r>
      <w:r>
        <w:rPr>
          <w:rFonts w:ascii="Times New Roman" w:hAnsi="Times New Roman" w:cs="Times New Roman"/>
          <w:b/>
          <w:lang w:val="lt-LT"/>
        </w:rPr>
        <w:tab/>
        <w:t>Ikiklinikinių saugumo tyrimų duomenys</w:t>
      </w:r>
      <w:bookmarkEnd w:id="25"/>
      <w:bookmarkEnd w:id="26"/>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Ikiklinikiniai imatinibo saugumo tyrimai buvo atlikti su žiurkėmis, šunimis, beždžionėmis ir triušiais.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Kartotinių dozių toksiškumo tyrimai parodė nesunkius ar vidutinio sunkumo hematologinius pokyčius žiurkėms, šunims ir beždžionėms bei kaulų čiulpų pokyčius žiurkėms ir šunims.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Kepenys buvo organas taikinys žiurkių ir šunų organizme. Abiejų rūšių gyvūnų organizme buvo stebėtas nedidelis arba vidutinis transaminazių suaktyvėjimas ir nedidelis cholesterolio, trigliceridų, bendrojo baltymo ir albumino koncentracijų sumažėjimas. Histopatologinių kepenų pokyčių žiurkėms nenustatyta. Dvi savaites gydytiems šunims buvo stebėtas sunkus toksinis poveikis kepenims, kuris pasireiškė kepenų fermentų suaktyvėjimu, kepenų ląstelių ir tulžies latakų nekroze bei tulžies latakų hiperplazija.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Dvi savaites gydytoms beždžionėms buvo stebėtas toksinis poveikis inkstams, kuris pasireiškė inkstų kanalėlių židinine mineralizacija ir dilatacija bei tubuline nefroze. Daugeliui šių gyvūnų buvo išmatuotos padidėjusios kraujo šlapalo azoto ir kreatinino koncentracijos kraujyje. 13 savaičių tyrimo duomenimis, žiurkėms vartojant ≥ 6 mg/kg dozes, buvo stebėta inkstų spenelių ir šlapimo pūslės pereinamojo epitelio hiperplazija be serumo ar šlapimo rodmenų pokyčių. Imatinibu gydant ilgą laiką, gyvūnams padažnėjo oportunistinių mikroorganizmų sukeltos infekcijos.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39 savaičių tyrimo su beždžionėmis duomenimis, vartojant mažiausią 15 mg/kg dozę (maždaug vieną trečdalį didžiausios 800 mg žmogaus dozės pagal kūno paviršiaus plotą), nepageidaujamo poveikio nesukeliančios koncentracijos (angl., </w:t>
      </w:r>
      <w:r>
        <w:rPr>
          <w:rFonts w:ascii="Times New Roman" w:hAnsi="Times New Roman" w:cs="Times New Roman"/>
          <w:i/>
          <w:iCs/>
          <w:lang w:val="lt-LT"/>
        </w:rPr>
        <w:t>no observed effects levels</w:t>
      </w:r>
      <w:r>
        <w:rPr>
          <w:rFonts w:ascii="Times New Roman" w:hAnsi="Times New Roman" w:cs="Times New Roman"/>
          <w:lang w:val="lt-LT"/>
        </w:rPr>
        <w:t xml:space="preserve"> </w:t>
      </w:r>
      <w:r>
        <w:rPr>
          <w:rFonts w:ascii="Times New Roman" w:hAnsi="Times New Roman" w:cs="Times New Roman"/>
          <w:i/>
          <w:iCs/>
          <w:lang w:val="lt-LT"/>
        </w:rPr>
        <w:t>[NOEL]</w:t>
      </w:r>
      <w:r>
        <w:rPr>
          <w:rFonts w:ascii="Times New Roman" w:hAnsi="Times New Roman" w:cs="Times New Roman"/>
          <w:lang w:val="lt-LT"/>
        </w:rPr>
        <w:t>) nebuvo nustatytos. Gydymas šiems gyvūnams sunkino normaliai slopinamą maliarijos infekciją.</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Remiantis tyrimų </w:t>
      </w:r>
      <w:r>
        <w:rPr>
          <w:rFonts w:ascii="Times New Roman" w:hAnsi="Times New Roman" w:cs="Times New Roman"/>
          <w:i/>
          <w:iCs/>
          <w:lang w:val="lt-LT"/>
        </w:rPr>
        <w:t>in vitro</w:t>
      </w:r>
      <w:r>
        <w:rPr>
          <w:rFonts w:ascii="Times New Roman" w:hAnsi="Times New Roman" w:cs="Times New Roman"/>
          <w:lang w:val="lt-LT"/>
        </w:rPr>
        <w:t xml:space="preserve"> su bakterijų ląstelėmis (</w:t>
      </w:r>
      <w:r>
        <w:rPr>
          <w:rFonts w:ascii="Times New Roman" w:hAnsi="Times New Roman" w:cs="Times New Roman"/>
          <w:i/>
          <w:iCs/>
          <w:lang w:val="lt-LT"/>
        </w:rPr>
        <w:t>Ames</w:t>
      </w:r>
      <w:r>
        <w:rPr>
          <w:rFonts w:ascii="Times New Roman" w:hAnsi="Times New Roman" w:cs="Times New Roman"/>
          <w:lang w:val="lt-LT"/>
        </w:rPr>
        <w:t xml:space="preserve"> testas), žinduolių ląstelėmis </w:t>
      </w:r>
      <w:r>
        <w:rPr>
          <w:rFonts w:ascii="Times New Roman" w:hAnsi="Times New Roman" w:cs="Times New Roman"/>
          <w:i/>
          <w:iCs/>
          <w:lang w:val="lt-LT"/>
        </w:rPr>
        <w:t>in vitro</w:t>
      </w:r>
      <w:r>
        <w:rPr>
          <w:rFonts w:ascii="Times New Roman" w:hAnsi="Times New Roman" w:cs="Times New Roman"/>
          <w:lang w:val="lt-LT"/>
        </w:rPr>
        <w:t xml:space="preserve"> (pelių limfomos) ir žiurkių mikrobranduoliais</w:t>
      </w:r>
      <w:r>
        <w:rPr>
          <w:rFonts w:ascii="Times New Roman" w:hAnsi="Times New Roman" w:cs="Times New Roman"/>
          <w:i/>
          <w:iCs/>
          <w:lang w:val="lt-LT"/>
        </w:rPr>
        <w:t xml:space="preserve"> in vivo</w:t>
      </w:r>
      <w:r>
        <w:rPr>
          <w:rFonts w:ascii="Times New Roman" w:hAnsi="Times New Roman" w:cs="Times New Roman"/>
          <w:lang w:val="lt-LT"/>
        </w:rPr>
        <w:t xml:space="preserve"> duomenimis, manoma, kad imatinibas nesukelia genotoksinio poveikio. Metabolinio aktyvinimo sąlygomis klastogeniškumo tyrimuose su žinduolių (kinų žiurkėnų kiaušidžių) ląstelių mėginiais </w:t>
      </w:r>
      <w:r>
        <w:rPr>
          <w:rFonts w:ascii="Times New Roman" w:hAnsi="Times New Roman" w:cs="Times New Roman"/>
          <w:i/>
          <w:iCs/>
          <w:lang w:val="lt-LT"/>
        </w:rPr>
        <w:t>in vitro</w:t>
      </w:r>
      <w:r>
        <w:rPr>
          <w:rFonts w:ascii="Times New Roman" w:hAnsi="Times New Roman" w:cs="Times New Roman"/>
          <w:lang w:val="lt-LT"/>
        </w:rPr>
        <w:t xml:space="preserve"> (chromosomų aberacijoms nustatyti) buvo nustatytas teigiamas imatinibo genotoksinis poveikis. </w:t>
      </w:r>
      <w:r>
        <w:rPr>
          <w:rFonts w:ascii="Times New Roman" w:hAnsi="Times New Roman" w:cs="Times New Roman"/>
          <w:i/>
          <w:iCs/>
          <w:lang w:val="lt-LT"/>
        </w:rPr>
        <w:t xml:space="preserve">Ames </w:t>
      </w:r>
      <w:r>
        <w:rPr>
          <w:rFonts w:ascii="Times New Roman" w:hAnsi="Times New Roman" w:cs="Times New Roman"/>
          <w:lang w:val="lt-LT"/>
        </w:rPr>
        <w:t>mėginiais buvo nustatytas teigiamas dviejų gamybos proceso tarpinių produktų, kurių yra ir galutiniame vaistiniame preparate, mutageninis poveikis. Be to, vienas šių tarpinių produktų buvo teigiamas pelių limfomos mėginiuose.</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Vaisingumo tyrimų duomenimis, žiurkių patinams vartojant vaistinį preparatą 70 parų prieš poravimąsi, sumažėjo sėklidžių ir sėklidžių prielipo masė bei judrių spermatozoidų procentinė dalis vartojant 60 mg/kg dozę, kuri atitinka didžiausią gydomąją </w:t>
      </w:r>
      <w:r>
        <w:rPr>
          <w:rFonts w:ascii="Times New Roman" w:hAnsi="Times New Roman" w:cs="Times New Roman"/>
          <w:lang w:val="lt-LT"/>
        </w:rPr>
        <w:lastRenderedPageBreak/>
        <w:t>800 mg per parą dozę, apskaičiuotą pagal kūno paviršiaus plotą. Tokio poveikio nepastebėta vartojant ≤ 20 mg/kg dozę. Nežymiai ir vidutiniškai sumažėjusi spermatogenezė taip pat stebėta šunims, kuriems buvo girdytos ≥ 30 mg/kg. Vartojant vaistinį preparatą 14 dienų prieš poravimąsi ir iki 6-osios veisimosi dienos žiurkių patelėms, poveikio poravimuisi ir apvaisintų patelių skaičiui nenustatyta. Vartojant 60 mg/kg dozę, patelės prarado daugiau vaisių po implantacijos ir sumažėjo gyvų vaisių skaičius. Tokio poveikio nepastebėta vartojant ≤ 20 mg/kg dozę.</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Geriamojo vaistinio preparato poveikio prenataliniam ir ponataliniam vystymuisi tyrimų su žiurkėmis duomenimis, vartojant 45 mg/kg paros dozę, 14-ą ar 15-ą veisimosi parą buvo pastebėta raudonų išskyrų iš makšties. Vartojant tą pačią dozę, buvo atsivesta daugiau negyvų žiurkiukų bei daugiau jų žuvo 0 ir 4 paromis po atsivedimo. F</w:t>
      </w:r>
      <w:r>
        <w:rPr>
          <w:rFonts w:ascii="Times New Roman" w:hAnsi="Times New Roman" w:cs="Times New Roman"/>
          <w:vertAlign w:val="subscript"/>
          <w:lang w:val="lt-LT"/>
        </w:rPr>
        <w:t>1</w:t>
      </w:r>
      <w:r>
        <w:rPr>
          <w:rFonts w:ascii="Times New Roman" w:hAnsi="Times New Roman" w:cs="Times New Roman"/>
          <w:lang w:val="lt-LT"/>
        </w:rPr>
        <w:t xml:space="preserve"> kartos palikuonims vartojant tą pačią dozę, vidutinė kūno masė buvo mažesnė nuo gimimo iki žuvimo ir šiek tiek mažiau jauniklių pasiekė apyvarpės atsiskyrimo kriterijų. Vartojant 45 mg/kg dozę per parą, F</w:t>
      </w:r>
      <w:r>
        <w:rPr>
          <w:rFonts w:ascii="Times New Roman" w:hAnsi="Times New Roman" w:cs="Times New Roman"/>
          <w:vertAlign w:val="subscript"/>
          <w:lang w:val="lt-LT"/>
        </w:rPr>
        <w:t>1</w:t>
      </w:r>
      <w:r>
        <w:rPr>
          <w:rFonts w:ascii="Times New Roman" w:hAnsi="Times New Roman" w:cs="Times New Roman"/>
          <w:lang w:val="lt-LT"/>
        </w:rPr>
        <w:t xml:space="preserve"> kartos vaisingumas nebuvo paveiktas, bet padidėjo rezorbcijų skaičius bei sumažėjo gyvybingų vaisių skaičius. Nepageidaujamo poveikio nesukeliančios koncentracijos (</w:t>
      </w:r>
      <w:r>
        <w:rPr>
          <w:rFonts w:ascii="Times New Roman" w:hAnsi="Times New Roman" w:cs="Times New Roman"/>
          <w:i/>
          <w:iCs/>
          <w:lang w:val="lt-LT"/>
        </w:rPr>
        <w:t>NOEL</w:t>
      </w:r>
      <w:r>
        <w:rPr>
          <w:rFonts w:ascii="Times New Roman" w:hAnsi="Times New Roman" w:cs="Times New Roman"/>
          <w:lang w:val="lt-LT"/>
        </w:rPr>
        <w:t>) motininėms patelėms ir F</w:t>
      </w:r>
      <w:r>
        <w:rPr>
          <w:rFonts w:ascii="Times New Roman" w:hAnsi="Times New Roman" w:cs="Times New Roman"/>
          <w:vertAlign w:val="subscript"/>
          <w:lang w:val="lt-LT"/>
        </w:rPr>
        <w:t>1</w:t>
      </w:r>
      <w:r>
        <w:rPr>
          <w:rFonts w:ascii="Times New Roman" w:hAnsi="Times New Roman" w:cs="Times New Roman"/>
          <w:lang w:val="lt-LT"/>
        </w:rPr>
        <w:t xml:space="preserve"> kartos gyvūnams buvo 15 mg/kg per parą (sudarė vieną ketvirtį didžiausios 800 mg dozės žmogui).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Imatinibas sukėlė teratogeninį poveikį žiurkėms, kurioms organogenezės laikotarpiu buvo vartotos ≥ 100 mg/kg dozės (maždaug atitinka didžiausią gydomąją 800 mg paros dozę, apskaičiuotą pagal kūno paviršiaus plotą). Teratogeninis poveikis pasireiškė eksencefalija ar encefalocele, kaktikaulio nebuvimu ar sumažėjimu ir momenkaulio nebuvimu. Tokio poveikio nebuvo vartojant ≤ 30 mg/kg dozes.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Dvejus metus trukusių kancerogeniškumo tyrimų su žiurkėmis, kurioms buvo vartotos 15 mg/kg, 30 mg/kg ir 60 mg/kg imatinibo paros dozės, metu statistiškai reikšmingai sumažėjo patinų, kuriems buvo vartota 60 mg/kg dozė per parą, ir patelių, kurioms buvo vartota ≥ 30 mg/kg dozė per parą, gyvenimo trukmė. Kritusių gyvūnų histopatologiniai tyrimai parodė, kad pagrindinės gyvūnų žūties ar jų užmigdymo priežastys buvo: kardiomiopatija (abiems lytims), lėtinė progresuojanti nefropatija (patelėms) ir apyvarpės liaukų papiloma. Neoplazinių pokyčių organai taikiniai buvo inkstai, šlapimo pūslė, šlaplė, apyvarpė ir varputės liaukos, plonoji žarna, prieskydinės liaukos, antinksčiai ir ne liaukinė skrandžio dalis.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Apyvarpės ar varputės liaukų papilomos ar karcinomos stebėtos žiurkėms, kurioms buvo vartotos nuo 30 mg/kg ir didesnės paros dozės, kurias vartojant ekspozicija būna maždaug 0,5 arba 0,3 kartus didesnė (atsižvelgiant į </w:t>
      </w:r>
      <w:r>
        <w:rPr>
          <w:rFonts w:ascii="Times New Roman" w:hAnsi="Times New Roman" w:cs="Times New Roman"/>
          <w:i/>
          <w:iCs/>
          <w:lang w:val="lt-LT"/>
        </w:rPr>
        <w:t>AUC</w:t>
      </w:r>
      <w:r>
        <w:rPr>
          <w:rFonts w:ascii="Times New Roman" w:hAnsi="Times New Roman" w:cs="Times New Roman"/>
          <w:lang w:val="lt-LT"/>
        </w:rPr>
        <w:t xml:space="preserve">) už esančią žmogaus, vartojančio atitinkamai 400 mg arba 800 mg dozes per parą, organizme ir 0,4 karto didesnė už ekspozicija vaikų (atsižvelgiant į </w:t>
      </w:r>
      <w:r>
        <w:rPr>
          <w:rFonts w:ascii="Times New Roman" w:hAnsi="Times New Roman" w:cs="Times New Roman"/>
          <w:i/>
          <w:iCs/>
          <w:lang w:val="lt-LT"/>
        </w:rPr>
        <w:t>AUC</w:t>
      </w:r>
      <w:r>
        <w:rPr>
          <w:rFonts w:ascii="Times New Roman" w:hAnsi="Times New Roman" w:cs="Times New Roman"/>
          <w:lang w:val="lt-LT"/>
        </w:rPr>
        <w:t>), vartojančių 340 mg/m² dozę per parą, organizme. Nepageidaujamo poveikio nesukeliančios koncentracijos (</w:t>
      </w:r>
      <w:r>
        <w:rPr>
          <w:rFonts w:ascii="Times New Roman" w:hAnsi="Times New Roman" w:cs="Times New Roman"/>
          <w:i/>
          <w:iCs/>
          <w:lang w:val="lt-LT"/>
        </w:rPr>
        <w:t>NOEL</w:t>
      </w:r>
      <w:r>
        <w:rPr>
          <w:rFonts w:ascii="Times New Roman" w:hAnsi="Times New Roman" w:cs="Times New Roman"/>
          <w:lang w:val="lt-LT"/>
        </w:rPr>
        <w:t xml:space="preserve">) buvo vartojant 15 mg/kg per parą. Inkstų adenoma ar karcinoma, šlapimo pūslės ir šlaplės papiloma, plonosios žarnos adenokarcinoma, prieskydinių liaukų adenoma, gerybiniai ir piktybiniai antinksčių šerdinės dalies navikai bei ne liaukinės skrandžio dalies papiloma ar karcinoma stebėtos, vartojant 60 mg/kg dozę per parą, kurią vartojant, ekspozicija būna maždaug 1,7 arba 1 kartą didesnė (atsižvelgiant į </w:t>
      </w:r>
      <w:r>
        <w:rPr>
          <w:rFonts w:ascii="Times New Roman" w:hAnsi="Times New Roman" w:cs="Times New Roman"/>
          <w:i/>
          <w:iCs/>
          <w:lang w:val="lt-LT"/>
        </w:rPr>
        <w:t>AUC</w:t>
      </w:r>
      <w:r>
        <w:rPr>
          <w:rFonts w:ascii="Times New Roman" w:hAnsi="Times New Roman" w:cs="Times New Roman"/>
          <w:lang w:val="lt-LT"/>
        </w:rPr>
        <w:t xml:space="preserve">) nei žmogaus, vartojančio atitinkamai 400 mg arba 800 mg per parą, organizme ir 1,2 karto didesnė nei ekspozicija vaikų (atsižvelgiant į </w:t>
      </w:r>
      <w:r>
        <w:rPr>
          <w:rFonts w:ascii="Times New Roman" w:hAnsi="Times New Roman" w:cs="Times New Roman"/>
          <w:i/>
          <w:iCs/>
          <w:lang w:val="lt-LT"/>
        </w:rPr>
        <w:t>AUC</w:t>
      </w:r>
      <w:r>
        <w:rPr>
          <w:rFonts w:ascii="Times New Roman" w:hAnsi="Times New Roman" w:cs="Times New Roman"/>
          <w:lang w:val="lt-LT"/>
        </w:rPr>
        <w:t>), vartojančių 340 mg/m² dozę per parą, organizme. Nepageidaujamo poveikio nesukeliančios koncentracijos (</w:t>
      </w:r>
      <w:r>
        <w:rPr>
          <w:rFonts w:ascii="Times New Roman" w:hAnsi="Times New Roman" w:cs="Times New Roman"/>
          <w:i/>
          <w:iCs/>
          <w:lang w:val="lt-LT"/>
        </w:rPr>
        <w:t>NOEL</w:t>
      </w:r>
      <w:r>
        <w:rPr>
          <w:rFonts w:ascii="Times New Roman" w:hAnsi="Times New Roman" w:cs="Times New Roman"/>
          <w:lang w:val="lt-LT"/>
        </w:rPr>
        <w:t>) buvo vartojant 30 mg/kg dozę per parą.</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lastRenderedPageBreak/>
        <w:t>Šių žiurkių kancerogeniškumo tyrimų radinių reikšmė ir mechanizmas žmonėms dar neaiškus.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Ne neoplaziniai pažeidimai, kurie buvo nustatyti ankstesniuose ikiklinikiniuose tyrimuose, buvo kardiovaskulinės sistemos, kasos, endokrininių liaukų ir dantų pažeidimai. Svarbiausi pokyčiai buvo širdies hipertrofija ir išsiplėtimas, dėl ko kai kuriems gyvūnams atsirado širdies nepakankamumo požymių.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Nustatyta, kad veiklioji medžiaga imatinibas kelia pavojų nuosėdose aptinkamiems organizmams.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27" w:name="_Toc129243240"/>
      <w:bookmarkStart w:id="28" w:name="_Toc129243115"/>
      <w:r>
        <w:rPr>
          <w:rFonts w:ascii="Times New Roman" w:hAnsi="Times New Roman" w:cs="Times New Roman"/>
          <w:b/>
          <w:lang w:val="lt-LT"/>
        </w:rPr>
        <w:t>6.</w:t>
      </w:r>
      <w:r>
        <w:rPr>
          <w:rFonts w:ascii="Times New Roman" w:hAnsi="Times New Roman" w:cs="Times New Roman"/>
          <w:b/>
          <w:lang w:val="lt-LT"/>
        </w:rPr>
        <w:tab/>
        <w:t>FARMACINĖ INFORMACIJA</w:t>
      </w:r>
      <w:bookmarkEnd w:id="27"/>
      <w:bookmarkEnd w:id="28"/>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29" w:name="_Toc129243241"/>
      <w:bookmarkStart w:id="30" w:name="_Toc129243116"/>
      <w:r>
        <w:rPr>
          <w:rFonts w:ascii="Times New Roman" w:hAnsi="Times New Roman" w:cs="Times New Roman"/>
          <w:b/>
          <w:lang w:val="lt-LT"/>
        </w:rPr>
        <w:t>6.1</w:t>
      </w:r>
      <w:r>
        <w:rPr>
          <w:rFonts w:ascii="Times New Roman" w:hAnsi="Times New Roman" w:cs="Times New Roman"/>
          <w:b/>
          <w:lang w:val="lt-LT"/>
        </w:rPr>
        <w:tab/>
        <w:t>Pagalbinių medžiagų sąrašas</w:t>
      </w:r>
      <w:bookmarkEnd w:id="29"/>
      <w:bookmarkEnd w:id="30"/>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i/>
          <w:iCs/>
          <w:lang w:val="lt-LT"/>
        </w:rPr>
      </w:pPr>
      <w:r>
        <w:rPr>
          <w:rFonts w:ascii="Times New Roman" w:hAnsi="Times New Roman" w:cs="Times New Roman"/>
          <w:i/>
          <w:iCs/>
          <w:lang w:val="lt-LT"/>
        </w:rPr>
        <w:t>Tablečių branduolys</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Magnio stearatas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i/>
          <w:iCs/>
          <w:lang w:val="lt-LT"/>
        </w:rPr>
      </w:pPr>
      <w:r>
        <w:rPr>
          <w:rFonts w:ascii="Times New Roman" w:hAnsi="Times New Roman" w:cs="Times New Roman"/>
          <w:i/>
          <w:iCs/>
          <w:lang w:val="lt-LT"/>
        </w:rPr>
        <w:t>Tablečių plėvelė</w:t>
      </w:r>
      <w:r w:rsidRPr="00D042FF">
        <w:t xml:space="preserve"> </w:t>
      </w:r>
      <w:r>
        <w:t>(</w:t>
      </w:r>
      <w:r w:rsidRPr="00D042FF">
        <w:rPr>
          <w:rFonts w:ascii="Times New Roman" w:hAnsi="Times New Roman" w:cs="Times New Roman"/>
          <w:i/>
          <w:iCs/>
          <w:lang w:val="lt-LT"/>
        </w:rPr>
        <w:t>rudasis Opadry 03F565018</w:t>
      </w:r>
      <w:r>
        <w:rPr>
          <w:rFonts w:ascii="Times New Roman" w:hAnsi="Times New Roman" w:cs="Times New Roman"/>
          <w:i/>
          <w:iCs/>
          <w:lang w:val="lt-LT"/>
        </w:rPr>
        <w:t>)</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Hipromliozė 6cP</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Geltonasis geležies oksidas (E172)</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Raudonasis geležies oksidas (E172)</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Makrogolis/ PEG 6000</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Talkas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31" w:name="_Toc129243242"/>
      <w:bookmarkStart w:id="32" w:name="_Toc129243117"/>
      <w:r>
        <w:rPr>
          <w:rFonts w:ascii="Times New Roman" w:hAnsi="Times New Roman" w:cs="Times New Roman"/>
          <w:b/>
          <w:lang w:val="lt-LT"/>
        </w:rPr>
        <w:t>6.2</w:t>
      </w:r>
      <w:r>
        <w:rPr>
          <w:rFonts w:ascii="Times New Roman" w:hAnsi="Times New Roman" w:cs="Times New Roman"/>
          <w:b/>
          <w:lang w:val="lt-LT"/>
        </w:rPr>
        <w:tab/>
        <w:t>Nesuderinamumas</w:t>
      </w:r>
      <w:bookmarkEnd w:id="31"/>
      <w:bookmarkEnd w:id="32"/>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Duomenys nebūtini.</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33" w:name="_Toc129243243"/>
      <w:bookmarkStart w:id="34" w:name="_Toc129243118"/>
      <w:r>
        <w:rPr>
          <w:rFonts w:ascii="Times New Roman" w:hAnsi="Times New Roman" w:cs="Times New Roman"/>
          <w:b/>
          <w:lang w:val="lt-LT"/>
        </w:rPr>
        <w:t>6.3</w:t>
      </w:r>
      <w:r>
        <w:rPr>
          <w:rFonts w:ascii="Times New Roman" w:hAnsi="Times New Roman" w:cs="Times New Roman"/>
          <w:b/>
          <w:lang w:val="lt-LT"/>
        </w:rPr>
        <w:tab/>
        <w:t>Tinkamumo laikas</w:t>
      </w:r>
      <w:bookmarkEnd w:id="33"/>
      <w:bookmarkEnd w:id="34"/>
    </w:p>
    <w:p w:rsidR="00634910" w:rsidRDefault="00634910" w:rsidP="00634910">
      <w:pPr>
        <w:spacing w:after="0" w:line="240" w:lineRule="auto"/>
        <w:rPr>
          <w:rFonts w:ascii="Times New Roman" w:hAnsi="Times New Roman" w:cs="Times New Roman"/>
          <w:lang w:val="lt-LT"/>
        </w:rPr>
      </w:pPr>
    </w:p>
    <w:p w:rsidR="00634910" w:rsidRDefault="007C2257" w:rsidP="00634910">
      <w:pPr>
        <w:spacing w:after="0" w:line="240" w:lineRule="auto"/>
        <w:rPr>
          <w:rFonts w:ascii="Times New Roman" w:hAnsi="Times New Roman" w:cs="Times New Roman"/>
          <w:lang w:val="lt-LT"/>
        </w:rPr>
      </w:pPr>
      <w:r>
        <w:rPr>
          <w:rFonts w:ascii="Times New Roman" w:hAnsi="Times New Roman" w:cs="Times New Roman"/>
          <w:lang w:val="lt-LT"/>
        </w:rPr>
        <w:t>3</w:t>
      </w:r>
      <w:r w:rsidR="00634910">
        <w:rPr>
          <w:rFonts w:ascii="Times New Roman" w:hAnsi="Times New Roman" w:cs="Times New Roman"/>
          <w:lang w:val="lt-LT"/>
        </w:rPr>
        <w:t> metai.</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Pirmą kartą atidarius buteliuką: 100 dienų.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35" w:name="_Toc129243244"/>
      <w:bookmarkStart w:id="36" w:name="_Toc129243119"/>
      <w:r>
        <w:rPr>
          <w:rFonts w:ascii="Times New Roman" w:hAnsi="Times New Roman" w:cs="Times New Roman"/>
          <w:b/>
          <w:lang w:val="lt-LT"/>
        </w:rPr>
        <w:t>6.4</w:t>
      </w:r>
      <w:r>
        <w:rPr>
          <w:rFonts w:ascii="Times New Roman" w:hAnsi="Times New Roman" w:cs="Times New Roman"/>
          <w:b/>
          <w:lang w:val="lt-LT"/>
        </w:rPr>
        <w:tab/>
        <w:t>Specialios laikymo sąlygos</w:t>
      </w:r>
      <w:bookmarkEnd w:id="35"/>
      <w:bookmarkEnd w:id="36"/>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Šiam vaistiniam preparatui specialių laikymo sąlygų nereikia.</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Pirmą kartą atidarius buteliuką: Šiam vaistiniam preparatui specialių laikymo sąlygų nereikia.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37" w:name="_Toc129243245"/>
      <w:bookmarkStart w:id="38" w:name="_Toc129243120"/>
      <w:r>
        <w:rPr>
          <w:rFonts w:ascii="Times New Roman" w:hAnsi="Times New Roman" w:cs="Times New Roman"/>
          <w:b/>
          <w:lang w:val="lt-LT"/>
        </w:rPr>
        <w:t>6.5</w:t>
      </w:r>
      <w:r>
        <w:rPr>
          <w:rFonts w:ascii="Times New Roman" w:hAnsi="Times New Roman" w:cs="Times New Roman"/>
          <w:b/>
          <w:lang w:val="lt-LT"/>
        </w:rPr>
        <w:tab/>
        <w:t>Talpyklės pobūdis ir jos turinys</w:t>
      </w:r>
      <w:bookmarkEnd w:id="37"/>
      <w:bookmarkEnd w:id="38"/>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Pakuotės po 30, 60, 90 arba 120 plėvele dengtų tablečių.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eastAsia="en-US"/>
        </w:rPr>
      </w:pPr>
      <w:r>
        <w:rPr>
          <w:rFonts w:ascii="Times New Roman" w:hAnsi="Times New Roman" w:cs="Times New Roman"/>
          <w:lang w:val="lt-LT"/>
        </w:rPr>
        <w:t xml:space="preserve">Šaltu būdu formuotų lizdinių plokštelių pakuotės: </w:t>
      </w:r>
      <w:r>
        <w:rPr>
          <w:rFonts w:ascii="Times New Roman" w:hAnsi="Times New Roman" w:cs="Times New Roman"/>
          <w:lang w:val="lt-LT" w:eastAsia="en-US"/>
        </w:rPr>
        <w:t>OPA/Al/PVC/Al.</w:t>
      </w: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r>
        <w:rPr>
          <w:rFonts w:ascii="Times New Roman" w:hAnsi="Times New Roman" w:cs="Times New Roman"/>
          <w:lang w:val="lt-LT"/>
        </w:rPr>
        <w:t xml:space="preserve">Šaltu būdu formuotų lizdinių plokštelių pakuotės su įterptu sausikliu: </w:t>
      </w:r>
      <w:r>
        <w:rPr>
          <w:rFonts w:ascii="Times New Roman" w:hAnsi="Times New Roman" w:cs="Times New Roman"/>
          <w:lang w:val="lt-LT" w:eastAsia="en-US"/>
        </w:rPr>
        <w:t>OPA/Al/PE+sausiklis/DTPE/Al.</w:t>
      </w: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r>
        <w:rPr>
          <w:rFonts w:ascii="Times New Roman" w:hAnsi="Times New Roman" w:cs="Times New Roman"/>
          <w:lang w:val="lt-LT" w:eastAsia="en-US"/>
        </w:rPr>
        <w:t xml:space="preserve">DTPE buteliuko pakuotė: DTPE buteliukas su vaikų sunkiai atidaromu uždoriu ir nuplėšiama apsaugine plomba, kuriame yra aktyvinto silikagelio paketėlis. Paketėlio su sausikliu vartoti negalima. </w:t>
      </w:r>
    </w:p>
    <w:p w:rsidR="00634910" w:rsidRDefault="00634910" w:rsidP="00634910">
      <w:pPr>
        <w:spacing w:after="0" w:line="240" w:lineRule="auto"/>
        <w:rPr>
          <w:rFonts w:ascii="Times New Roman" w:hAnsi="Times New Roman" w:cs="Times New Roman"/>
          <w:lang w:val="lt-LT" w:eastAsia="en-US"/>
        </w:rPr>
      </w:pPr>
      <w:r>
        <w:rPr>
          <w:rFonts w:ascii="Times New Roman" w:hAnsi="Times New Roman" w:cs="Times New Roman"/>
          <w:lang w:val="lt-LT" w:eastAsia="en-US"/>
        </w:rPr>
        <w:lastRenderedPageBreak/>
        <w:t xml:space="preserve">Pakuotėje yra 100 plėvele dengtų tablečių. </w:t>
      </w: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Gali būti tiekiamos ne visų dydžių pakuotės.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39" w:name="_Toc129243246"/>
      <w:bookmarkStart w:id="40" w:name="_Toc129243121"/>
      <w:r>
        <w:rPr>
          <w:rFonts w:ascii="Times New Roman" w:hAnsi="Times New Roman" w:cs="Times New Roman"/>
          <w:b/>
          <w:lang w:val="lt-LT"/>
        </w:rPr>
        <w:t>6.6</w:t>
      </w:r>
      <w:r>
        <w:rPr>
          <w:rFonts w:ascii="Times New Roman" w:hAnsi="Times New Roman" w:cs="Times New Roman"/>
          <w:b/>
          <w:lang w:val="lt-LT"/>
        </w:rPr>
        <w:tab/>
        <w:t>Specialūs reikalavimai atliekoms tvarkyti</w:t>
      </w:r>
      <w:bookmarkEnd w:id="39"/>
      <w:bookmarkEnd w:id="40"/>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Nesuvartotą vaistinį preparatą ar atliekas reikia tvarkyti laikantis vietinių reikalavimų.</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41" w:name="_Toc129243247"/>
      <w:bookmarkStart w:id="42" w:name="_Toc129243122"/>
      <w:r>
        <w:rPr>
          <w:rFonts w:ascii="Times New Roman" w:hAnsi="Times New Roman" w:cs="Times New Roman"/>
          <w:b/>
          <w:lang w:val="lt-LT"/>
        </w:rPr>
        <w:t>7.</w:t>
      </w:r>
      <w:r>
        <w:rPr>
          <w:rFonts w:ascii="Times New Roman" w:hAnsi="Times New Roman" w:cs="Times New Roman"/>
          <w:b/>
          <w:lang w:val="lt-LT"/>
        </w:rPr>
        <w:tab/>
      </w:r>
      <w:bookmarkEnd w:id="41"/>
      <w:bookmarkEnd w:id="42"/>
      <w:r>
        <w:rPr>
          <w:rFonts w:ascii="Times New Roman" w:hAnsi="Times New Roman" w:cs="Times New Roman"/>
          <w:b/>
          <w:lang w:val="lt-LT"/>
        </w:rPr>
        <w:t>REGISTRUOTOJAS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 xml:space="preserve">Ranbaxy </w:t>
      </w:r>
      <w:r>
        <w:rPr>
          <w:rFonts w:ascii="Times New Roman" w:hAnsi="Times New Roman" w:cs="Times New Roman"/>
          <w:lang w:val="lt-LT"/>
        </w:rPr>
        <w:t>(</w:t>
      </w:r>
      <w:r w:rsidRPr="00AB478E">
        <w:rPr>
          <w:rFonts w:ascii="Times New Roman" w:hAnsi="Times New Roman" w:cs="Times New Roman"/>
          <w:lang w:val="lt-LT"/>
        </w:rPr>
        <w:t>UK</w:t>
      </w:r>
      <w:r>
        <w:rPr>
          <w:rFonts w:ascii="Times New Roman" w:hAnsi="Times New Roman" w:cs="Times New Roman"/>
          <w:lang w:val="lt-LT"/>
        </w:rPr>
        <w:t>)</w:t>
      </w:r>
      <w:r w:rsidRPr="00AB478E">
        <w:rPr>
          <w:rFonts w:ascii="Times New Roman" w:hAnsi="Times New Roman" w:cs="Times New Roman"/>
          <w:lang w:val="lt-LT"/>
        </w:rPr>
        <w:t xml:space="preserve"> Ltd.</w:t>
      </w:r>
    </w:p>
    <w:p w:rsidR="00634910" w:rsidRPr="00AB478E"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Building 4, Chiswick Park</w:t>
      </w: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566 Chiswick High Road</w:t>
      </w:r>
    </w:p>
    <w:p w:rsidR="00634910" w:rsidRPr="00AB478E"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London, W4 5YE</w:t>
      </w: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Jungtinė Karalystė</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43" w:name="_Toc129243248"/>
      <w:bookmarkStart w:id="44" w:name="_Toc129243123"/>
      <w:r>
        <w:rPr>
          <w:rFonts w:ascii="Times New Roman" w:hAnsi="Times New Roman" w:cs="Times New Roman"/>
          <w:b/>
          <w:lang w:val="lt-LT"/>
        </w:rPr>
        <w:t xml:space="preserve">8. </w:t>
      </w:r>
      <w:r w:rsidRPr="00505EC3">
        <w:rPr>
          <w:rFonts w:ascii="Times New Roman" w:hAnsi="Times New Roman" w:cs="Times New Roman"/>
          <w:b/>
          <w:lang w:val="lt-LT"/>
        </w:rPr>
        <w:t xml:space="preserve">REGISTRACIJOS </w:t>
      </w:r>
      <w:r>
        <w:rPr>
          <w:rFonts w:ascii="Times New Roman" w:hAnsi="Times New Roman" w:cs="Times New Roman"/>
          <w:b/>
          <w:lang w:val="lt-LT"/>
        </w:rPr>
        <w:t>PAŽYMĖJIMO NUMERIS</w:t>
      </w:r>
      <w:bookmarkEnd w:id="43"/>
      <w:bookmarkEnd w:id="44"/>
      <w:r>
        <w:rPr>
          <w:rFonts w:ascii="Times New Roman" w:hAnsi="Times New Roman" w:cs="Times New Roman"/>
          <w:b/>
          <w:lang w:val="lt-LT"/>
        </w:rPr>
        <w:t xml:space="preserve"> (-IAI)</w:t>
      </w:r>
    </w:p>
    <w:p w:rsidR="00634910" w:rsidRDefault="00634910" w:rsidP="00634910">
      <w:pPr>
        <w:spacing w:after="0" w:line="240" w:lineRule="auto"/>
        <w:rPr>
          <w:rFonts w:ascii="Times New Roman" w:hAnsi="Times New Roman" w:cs="Times New Roman"/>
          <w:lang w:val="lt-LT"/>
        </w:rPr>
      </w:pPr>
    </w:p>
    <w:tbl>
      <w:tblPr>
        <w:tblW w:w="0" w:type="auto"/>
        <w:tblLook w:val="04A0" w:firstRow="1" w:lastRow="0" w:firstColumn="1" w:lastColumn="0" w:noHBand="0" w:noVBand="1"/>
      </w:tblPr>
      <w:tblGrid>
        <w:gridCol w:w="4702"/>
        <w:gridCol w:w="4702"/>
      </w:tblGrid>
      <w:tr w:rsidR="00634910" w:rsidTr="00E16918">
        <w:tc>
          <w:tcPr>
            <w:tcW w:w="4810" w:type="dxa"/>
          </w:tcPr>
          <w:p w:rsidR="00634910" w:rsidRPr="00B8001E" w:rsidRDefault="00634910" w:rsidP="00E16918">
            <w:pPr>
              <w:rPr>
                <w:rFonts w:ascii="Times New Roman" w:hAnsi="Times New Roman" w:cs="Times New Roman"/>
                <w:u w:val="single"/>
                <w:lang w:val="lt-LT"/>
              </w:rPr>
            </w:pPr>
            <w:r w:rsidRPr="00B8001E">
              <w:rPr>
                <w:rFonts w:ascii="Times New Roman" w:hAnsi="Times New Roman" w:cs="Times New Roman"/>
                <w:u w:val="single"/>
                <w:lang w:val="lt-LT"/>
              </w:rPr>
              <w:t>Imatinib Ranbaxy 100 mg plėvele dengtos tabletės</w:t>
            </w:r>
          </w:p>
          <w:p w:rsidR="00634910" w:rsidRPr="00B8001E" w:rsidRDefault="00634910" w:rsidP="00E16918">
            <w:pPr>
              <w:rPr>
                <w:rFonts w:ascii="Times New Roman" w:hAnsi="Times New Roman" w:cs="Times New Roman"/>
                <w:bCs/>
                <w:lang w:val="lt-LT"/>
              </w:rPr>
            </w:pPr>
            <w:r w:rsidRPr="00B8001E">
              <w:rPr>
                <w:rFonts w:ascii="Times New Roman" w:hAnsi="Times New Roman" w:cs="Times New Roman"/>
                <w:bCs/>
                <w:lang w:val="lt-LT"/>
              </w:rPr>
              <w:t>LT/1/15/3693/001 – lizdinė plokštelė, N30</w:t>
            </w:r>
          </w:p>
          <w:p w:rsidR="00634910" w:rsidRPr="00B8001E" w:rsidRDefault="00634910" w:rsidP="00E16918">
            <w:pPr>
              <w:rPr>
                <w:rFonts w:ascii="Times New Roman" w:hAnsi="Times New Roman" w:cs="Times New Roman"/>
                <w:bCs/>
                <w:lang w:val="lt-LT"/>
              </w:rPr>
            </w:pPr>
            <w:r w:rsidRPr="00B8001E">
              <w:rPr>
                <w:rFonts w:ascii="Times New Roman" w:hAnsi="Times New Roman" w:cs="Times New Roman"/>
                <w:bCs/>
                <w:lang w:val="lt-LT"/>
              </w:rPr>
              <w:t>LT/1/15/3693/002 – lizdinė plokštelė, N60</w:t>
            </w:r>
          </w:p>
          <w:p w:rsidR="00634910" w:rsidRPr="00B8001E" w:rsidRDefault="00634910" w:rsidP="00E16918">
            <w:pPr>
              <w:rPr>
                <w:rFonts w:ascii="Times New Roman" w:hAnsi="Times New Roman" w:cs="Times New Roman"/>
                <w:bCs/>
                <w:lang w:val="lt-LT"/>
              </w:rPr>
            </w:pPr>
            <w:r w:rsidRPr="00B8001E">
              <w:rPr>
                <w:rFonts w:ascii="Times New Roman" w:hAnsi="Times New Roman" w:cs="Times New Roman"/>
                <w:bCs/>
                <w:lang w:val="lt-LT"/>
              </w:rPr>
              <w:t>LT/1/15/3693/003 – lizdinė plokštelė, N90</w:t>
            </w:r>
          </w:p>
          <w:p w:rsidR="00634910" w:rsidRPr="00B8001E" w:rsidRDefault="00634910" w:rsidP="00E16918">
            <w:pPr>
              <w:rPr>
                <w:rFonts w:ascii="Times New Roman" w:hAnsi="Times New Roman" w:cs="Times New Roman"/>
                <w:bCs/>
                <w:lang w:val="lt-LT"/>
              </w:rPr>
            </w:pPr>
            <w:r w:rsidRPr="00B8001E">
              <w:rPr>
                <w:rFonts w:ascii="Times New Roman" w:hAnsi="Times New Roman" w:cs="Times New Roman"/>
                <w:bCs/>
                <w:lang w:val="lt-LT"/>
              </w:rPr>
              <w:t>LT/1/15/3693/004 – lizdinė plokštelė, N120</w:t>
            </w:r>
          </w:p>
          <w:p w:rsidR="00634910" w:rsidRDefault="00634910" w:rsidP="00E16918">
            <w:pPr>
              <w:rPr>
                <w:rFonts w:ascii="Times New Roman" w:hAnsi="Times New Roman" w:cs="Times New Roman"/>
                <w:lang w:val="lt-LT"/>
              </w:rPr>
            </w:pPr>
            <w:r w:rsidRPr="00B8001E">
              <w:rPr>
                <w:rFonts w:ascii="Times New Roman" w:hAnsi="Times New Roman" w:cs="Times New Roman"/>
                <w:bCs/>
                <w:lang w:val="lt-LT"/>
              </w:rPr>
              <w:t>LT/1/15/3693/005 – buteliukas, N100</w:t>
            </w:r>
          </w:p>
        </w:tc>
        <w:tc>
          <w:tcPr>
            <w:tcW w:w="4810" w:type="dxa"/>
          </w:tcPr>
          <w:p w:rsidR="00634910" w:rsidRPr="00B8001E" w:rsidRDefault="00634910" w:rsidP="00E16918">
            <w:pPr>
              <w:rPr>
                <w:rFonts w:ascii="Times New Roman" w:hAnsi="Times New Roman" w:cs="Times New Roman"/>
                <w:bCs/>
                <w:u w:val="single"/>
                <w:lang w:val="lt-LT"/>
              </w:rPr>
            </w:pPr>
            <w:r w:rsidRPr="00B8001E">
              <w:rPr>
                <w:rFonts w:ascii="Times New Roman" w:hAnsi="Times New Roman" w:cs="Times New Roman"/>
                <w:highlight w:val="lightGray"/>
                <w:u w:val="single"/>
                <w:lang w:val="lt-LT" w:eastAsia="en-US"/>
              </w:rPr>
              <w:t>Imatinib Ranbaxy</w:t>
            </w:r>
            <w:r w:rsidRPr="00B8001E">
              <w:rPr>
                <w:rFonts w:ascii="Times New Roman" w:hAnsi="Times New Roman" w:cs="Times New Roman"/>
                <w:highlight w:val="lightGray"/>
                <w:u w:val="single"/>
                <w:lang w:val="lt-LT"/>
              </w:rPr>
              <w:t xml:space="preserve"> 400 mg plėvele dengtos tabletės</w:t>
            </w:r>
            <w:r w:rsidRPr="00B8001E">
              <w:rPr>
                <w:rFonts w:ascii="Times New Roman" w:hAnsi="Times New Roman" w:cs="Times New Roman"/>
                <w:bCs/>
                <w:u w:val="single"/>
                <w:lang w:val="lt-LT"/>
              </w:rPr>
              <w:t xml:space="preserve"> </w:t>
            </w:r>
          </w:p>
          <w:p w:rsidR="00634910" w:rsidRPr="00B8001E" w:rsidRDefault="00634910" w:rsidP="00E16918">
            <w:pPr>
              <w:rPr>
                <w:rFonts w:ascii="Times New Roman" w:hAnsi="Times New Roman" w:cs="Times New Roman"/>
                <w:bCs/>
                <w:lang w:val="lt-LT"/>
              </w:rPr>
            </w:pPr>
            <w:r w:rsidRPr="00B8001E">
              <w:rPr>
                <w:rFonts w:ascii="Times New Roman" w:hAnsi="Times New Roman" w:cs="Times New Roman"/>
                <w:bCs/>
                <w:lang w:val="lt-LT"/>
              </w:rPr>
              <w:t>LT/1/15/3693/006 – lizdinė plokštelė, N30</w:t>
            </w:r>
          </w:p>
          <w:p w:rsidR="00634910" w:rsidRPr="00B8001E" w:rsidRDefault="00634910" w:rsidP="00E16918">
            <w:pPr>
              <w:rPr>
                <w:rFonts w:ascii="Times New Roman" w:hAnsi="Times New Roman" w:cs="Times New Roman"/>
                <w:bCs/>
                <w:lang w:val="lt-LT"/>
              </w:rPr>
            </w:pPr>
            <w:r w:rsidRPr="00B8001E">
              <w:rPr>
                <w:rFonts w:ascii="Times New Roman" w:hAnsi="Times New Roman" w:cs="Times New Roman"/>
                <w:bCs/>
                <w:lang w:val="lt-LT"/>
              </w:rPr>
              <w:t>LT/1/15/3693/007 – lizdinė plokštelė, N60</w:t>
            </w:r>
          </w:p>
          <w:p w:rsidR="00634910" w:rsidRPr="00B8001E" w:rsidRDefault="00634910" w:rsidP="00E16918">
            <w:pPr>
              <w:rPr>
                <w:rFonts w:ascii="Times New Roman" w:hAnsi="Times New Roman" w:cs="Times New Roman"/>
                <w:bCs/>
                <w:lang w:val="lt-LT"/>
              </w:rPr>
            </w:pPr>
            <w:r w:rsidRPr="00B8001E">
              <w:rPr>
                <w:rFonts w:ascii="Times New Roman" w:hAnsi="Times New Roman" w:cs="Times New Roman"/>
                <w:bCs/>
                <w:lang w:val="lt-LT"/>
              </w:rPr>
              <w:t>LT/1/15/3693/008 – lizdinė plokštelė, N90</w:t>
            </w:r>
          </w:p>
          <w:p w:rsidR="00634910" w:rsidRPr="00B8001E" w:rsidRDefault="00634910" w:rsidP="00E16918">
            <w:pPr>
              <w:rPr>
                <w:rFonts w:ascii="Times New Roman" w:hAnsi="Times New Roman" w:cs="Times New Roman"/>
                <w:bCs/>
                <w:lang w:val="lt-LT"/>
              </w:rPr>
            </w:pPr>
            <w:r w:rsidRPr="00B8001E">
              <w:rPr>
                <w:rFonts w:ascii="Times New Roman" w:hAnsi="Times New Roman" w:cs="Times New Roman"/>
                <w:bCs/>
                <w:lang w:val="lt-LT"/>
              </w:rPr>
              <w:t>LT/1/15/3693/009 – lizdinė plokštelė, N120</w:t>
            </w:r>
          </w:p>
          <w:p w:rsidR="00634910" w:rsidRDefault="00634910" w:rsidP="00E16918">
            <w:pPr>
              <w:rPr>
                <w:rFonts w:ascii="Times New Roman" w:hAnsi="Times New Roman" w:cs="Times New Roman"/>
                <w:lang w:val="lt-LT"/>
              </w:rPr>
            </w:pPr>
            <w:r w:rsidRPr="00B8001E">
              <w:rPr>
                <w:rFonts w:ascii="Times New Roman" w:hAnsi="Times New Roman" w:cs="Times New Roman"/>
                <w:bCs/>
                <w:lang w:val="lt-LT"/>
              </w:rPr>
              <w:t>LT/1/15/</w:t>
            </w:r>
            <w:r>
              <w:rPr>
                <w:rFonts w:ascii="Times New Roman" w:hAnsi="Times New Roman" w:cs="Times New Roman"/>
                <w:bCs/>
                <w:lang w:val="lt-LT"/>
              </w:rPr>
              <w:t>3693/010</w:t>
            </w:r>
            <w:r w:rsidRPr="00B8001E">
              <w:rPr>
                <w:rFonts w:ascii="Times New Roman" w:hAnsi="Times New Roman" w:cs="Times New Roman"/>
                <w:bCs/>
                <w:lang w:val="lt-LT"/>
              </w:rPr>
              <w:t xml:space="preserve"> – buteliukas, N100</w:t>
            </w:r>
          </w:p>
        </w:tc>
      </w:tr>
    </w:tbl>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45" w:name="_Toc129243249"/>
      <w:bookmarkStart w:id="46" w:name="_Toc129243124"/>
      <w:r>
        <w:rPr>
          <w:rFonts w:ascii="Times New Roman" w:hAnsi="Times New Roman" w:cs="Times New Roman"/>
          <w:b/>
          <w:lang w:val="lt-LT"/>
        </w:rPr>
        <w:t>9.</w:t>
      </w:r>
      <w:r>
        <w:rPr>
          <w:rFonts w:ascii="Times New Roman" w:hAnsi="Times New Roman" w:cs="Times New Roman"/>
          <w:b/>
          <w:lang w:val="lt-LT"/>
        </w:rPr>
        <w:tab/>
      </w:r>
      <w:r w:rsidRPr="00505EC3">
        <w:rPr>
          <w:rFonts w:ascii="Times New Roman" w:hAnsi="Times New Roman" w:cs="Times New Roman"/>
          <w:b/>
          <w:lang w:val="lt-LT"/>
        </w:rPr>
        <w:t xml:space="preserve">REGISTRAVIMO / PERREGISTRAVIMO </w:t>
      </w:r>
      <w:r>
        <w:rPr>
          <w:rFonts w:ascii="Times New Roman" w:hAnsi="Times New Roman" w:cs="Times New Roman"/>
          <w:b/>
          <w:lang w:val="lt-LT"/>
        </w:rPr>
        <w:t>DATA</w:t>
      </w:r>
      <w:bookmarkEnd w:id="45"/>
      <w:bookmarkEnd w:id="46"/>
    </w:p>
    <w:p w:rsidR="00634910" w:rsidRDefault="00634910" w:rsidP="00634910">
      <w:pPr>
        <w:spacing w:after="0" w:line="240" w:lineRule="auto"/>
        <w:rPr>
          <w:rFonts w:ascii="Times New Roman" w:hAnsi="Times New Roman" w:cs="Times New Roman"/>
          <w:lang w:val="lt-LT"/>
        </w:rPr>
      </w:pPr>
    </w:p>
    <w:p w:rsidR="00634910" w:rsidRPr="00D042FF" w:rsidRDefault="00634910" w:rsidP="00634910">
      <w:pPr>
        <w:tabs>
          <w:tab w:val="left" w:pos="5954"/>
          <w:tab w:val="left" w:pos="6237"/>
          <w:tab w:val="left" w:pos="6663"/>
          <w:tab w:val="left" w:pos="6946"/>
        </w:tabs>
        <w:spacing w:after="0" w:line="240" w:lineRule="auto"/>
        <w:rPr>
          <w:rFonts w:ascii="Times New Roman" w:eastAsia="Times New Roman" w:hAnsi="Times New Roman" w:cs="Times New Roman"/>
          <w:snapToGrid w:val="0"/>
          <w:szCs w:val="24"/>
          <w:lang w:val="lt-LT" w:eastAsia="en-US" w:bidi="ar-SA"/>
        </w:rPr>
      </w:pPr>
      <w:r w:rsidRPr="00DE7903">
        <w:rPr>
          <w:rFonts w:ascii="Times New Roman" w:eastAsia="Times New Roman" w:hAnsi="Times New Roman" w:cs="Times New Roman"/>
          <w:noProof/>
          <w:snapToGrid w:val="0"/>
          <w:szCs w:val="24"/>
          <w:lang w:val="lt-LT" w:eastAsia="en-US" w:bidi="ar-SA"/>
        </w:rPr>
        <w:t xml:space="preserve">Registravimo data </w:t>
      </w:r>
      <w:r w:rsidRPr="00B8001E">
        <w:rPr>
          <w:rFonts w:ascii="Times New Roman" w:hAnsi="Times New Roman" w:cs="Times New Roman"/>
          <w:lang w:val="lt-LT" w:eastAsia="lt-LT"/>
        </w:rPr>
        <w:t>2015 m. kovo</w:t>
      </w:r>
      <w:r>
        <w:rPr>
          <w:rFonts w:ascii="Times New Roman" w:hAnsi="Times New Roman" w:cs="Times New Roman"/>
          <w:lang w:val="lt-LT" w:eastAsia="lt-LT"/>
        </w:rPr>
        <w:t xml:space="preserve"> mėn.</w:t>
      </w:r>
      <w:r w:rsidRPr="00B8001E">
        <w:rPr>
          <w:rFonts w:ascii="Times New Roman" w:hAnsi="Times New Roman" w:cs="Times New Roman"/>
          <w:lang w:val="lt-LT" w:eastAsia="lt-LT"/>
        </w:rPr>
        <w:t xml:space="preserve"> 23</w:t>
      </w:r>
      <w:r w:rsidRPr="00B8001E">
        <w:rPr>
          <w:rFonts w:ascii="Times New Roman" w:eastAsia="Times New Roman" w:hAnsi="Times New Roman" w:cs="Times New Roman"/>
          <w:noProof/>
          <w:snapToGrid w:val="0"/>
          <w:szCs w:val="24"/>
          <w:lang w:val="lt-LT" w:eastAsia="en-US" w:bidi="ar-SA"/>
        </w:rPr>
        <w:t> d.</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540" w:hanging="540"/>
        <w:rPr>
          <w:rFonts w:ascii="Times New Roman" w:hAnsi="Times New Roman" w:cs="Times New Roman"/>
          <w:b/>
          <w:lang w:val="lt-LT"/>
        </w:rPr>
      </w:pPr>
      <w:bookmarkStart w:id="47" w:name="_Toc129243250"/>
      <w:bookmarkStart w:id="48" w:name="_Toc129243125"/>
      <w:r>
        <w:rPr>
          <w:rFonts w:ascii="Times New Roman" w:hAnsi="Times New Roman" w:cs="Times New Roman"/>
          <w:b/>
          <w:lang w:val="lt-LT"/>
        </w:rPr>
        <w:t>10.</w:t>
      </w:r>
      <w:r>
        <w:rPr>
          <w:rFonts w:ascii="Times New Roman" w:hAnsi="Times New Roman" w:cs="Times New Roman"/>
          <w:b/>
          <w:lang w:val="lt-LT"/>
        </w:rPr>
        <w:tab/>
        <w:t>TEKSTO PERŽIŪROS DATA</w:t>
      </w:r>
      <w:bookmarkEnd w:id="47"/>
      <w:bookmarkEnd w:id="48"/>
    </w:p>
    <w:p w:rsidR="00634910" w:rsidRDefault="00634910" w:rsidP="00634910">
      <w:pPr>
        <w:spacing w:after="0" w:line="240" w:lineRule="auto"/>
        <w:rPr>
          <w:rFonts w:ascii="Times New Roman" w:hAnsi="Times New Roman" w:cs="Times New Roman"/>
          <w:lang w:val="lt-LT"/>
        </w:rPr>
      </w:pPr>
    </w:p>
    <w:p w:rsidR="00F610A6" w:rsidRDefault="00F610A6" w:rsidP="00634910">
      <w:pPr>
        <w:spacing w:after="0" w:line="240" w:lineRule="auto"/>
        <w:rPr>
          <w:rFonts w:ascii="Times New Roman" w:hAnsi="Times New Roman" w:cs="Times New Roman"/>
          <w:lang w:val="lt-LT"/>
        </w:rPr>
      </w:pPr>
      <w:r>
        <w:rPr>
          <w:rFonts w:ascii="Times New Roman" w:hAnsi="Times New Roman" w:cs="Times New Roman"/>
          <w:lang w:val="lt-LT"/>
        </w:rPr>
        <w:t>2016 m. spalio 7 d.</w:t>
      </w:r>
    </w:p>
    <w:p w:rsidR="00F610A6" w:rsidRDefault="00F610A6"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color w:val="0000FF"/>
          <w:lang w:val="lt-LT"/>
        </w:rPr>
      </w:pPr>
      <w:r>
        <w:rPr>
          <w:rFonts w:ascii="Times New Roma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hAnsi="Times New Roman" w:cs="Times New Roman"/>
          <w:i/>
          <w:noProof/>
          <w:lang w:val="lt-LT"/>
        </w:rPr>
        <w:t xml:space="preserve"> </w:t>
      </w:r>
      <w:hyperlink r:id="rId19" w:history="1">
        <w:r>
          <w:rPr>
            <w:rStyle w:val="Hipersaitas"/>
            <w:lang w:val="lt-LT"/>
          </w:rPr>
          <w:t>http://www.vvkt.lt/</w:t>
        </w:r>
      </w:hyperlink>
    </w:p>
    <w:p w:rsidR="00634910" w:rsidRDefault="00634910" w:rsidP="00634910">
      <w:pPr>
        <w:spacing w:after="0" w:line="240" w:lineRule="auto"/>
        <w:rPr>
          <w:rFonts w:ascii="Times New Roman" w:hAnsi="Times New Roman" w:cs="Times New Roman"/>
          <w:lang w:val="lt-LT"/>
        </w:rPr>
      </w:pPr>
    </w:p>
    <w:p w:rsidR="00634910" w:rsidRDefault="00634910" w:rsidP="00634910">
      <w:pPr>
        <w:pStyle w:val="Antrat2"/>
        <w:spacing w:before="0" w:after="0" w:line="240" w:lineRule="auto"/>
        <w:rPr>
          <w:rFonts w:ascii="Times New Roman" w:eastAsia="SimSun" w:hAnsi="Times New Roman"/>
          <w:i w:val="0"/>
          <w:iCs/>
          <w:sz w:val="22"/>
          <w:szCs w:val="22"/>
          <w:lang w:val="lt-LT"/>
        </w:rPr>
      </w:pPr>
      <w:r>
        <w:rPr>
          <w:rFonts w:ascii="Times New Roman" w:hAnsi="Times New Roman"/>
          <w:b w:val="0"/>
          <w:iCs/>
          <w:lang w:val="lt-LT"/>
        </w:rPr>
        <w:br w:type="page"/>
      </w: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eastAsia="en-US"/>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r>
        <w:rPr>
          <w:rFonts w:ascii="Times New Roman" w:eastAsia="SimSun" w:hAnsi="Times New Roman"/>
          <w:i w:val="0"/>
          <w:iCs/>
          <w:sz w:val="22"/>
          <w:szCs w:val="22"/>
          <w:lang w:val="lt-LT"/>
        </w:rPr>
        <w:t>II PRIEDAS</w:t>
      </w:r>
    </w:p>
    <w:p w:rsidR="00634910" w:rsidRDefault="00634910" w:rsidP="00634910">
      <w:pPr>
        <w:spacing w:after="0" w:line="240" w:lineRule="auto"/>
        <w:rPr>
          <w:rFonts w:ascii="Times New Roman" w:hAnsi="Times New Roman" w:cs="Times New Roman"/>
          <w:b/>
          <w:i/>
          <w:lang w:val="lt-LT"/>
        </w:rPr>
      </w:pPr>
    </w:p>
    <w:p w:rsidR="00634910" w:rsidRDefault="00634910" w:rsidP="00634910">
      <w:pPr>
        <w:spacing w:after="0" w:line="240" w:lineRule="auto"/>
        <w:jc w:val="center"/>
        <w:rPr>
          <w:rFonts w:ascii="Times New Roman" w:hAnsi="Times New Roman" w:cs="Times New Roman"/>
          <w:i/>
          <w:lang w:val="lt-LT"/>
        </w:rPr>
      </w:pPr>
      <w:r>
        <w:rPr>
          <w:rFonts w:ascii="Times New Roman" w:hAnsi="Times New Roman" w:cs="Times New Roman"/>
          <w:b/>
          <w:lang w:val="lt-LT" w:eastAsia="en-US"/>
        </w:rPr>
        <w:t>REGISTRACIJOS SĄLYGOS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ind w:left="1701" w:right="1416" w:hanging="708"/>
        <w:rPr>
          <w:rFonts w:ascii="Times New Roman" w:hAnsi="Times New Roman" w:cs="Times New Roman"/>
          <w:b/>
          <w:lang w:val="lt-LT"/>
        </w:rPr>
      </w:pPr>
      <w:r>
        <w:rPr>
          <w:rFonts w:ascii="Times New Roman" w:hAnsi="Times New Roman" w:cs="Times New Roman"/>
          <w:b/>
          <w:lang w:val="lt-LT"/>
        </w:rPr>
        <w:t>A.</w:t>
      </w:r>
      <w:r>
        <w:rPr>
          <w:rFonts w:ascii="Times New Roman" w:hAnsi="Times New Roman" w:cs="Times New Roman"/>
          <w:b/>
          <w:lang w:val="lt-LT"/>
        </w:rPr>
        <w:tab/>
        <w:t>GAMINTOJAS , ATSAKINGAS  UŽ SERIJŲ IŠLEIDIMĄ</w:t>
      </w:r>
    </w:p>
    <w:p w:rsidR="00634910" w:rsidRDefault="00634910" w:rsidP="00634910">
      <w:pPr>
        <w:spacing w:after="0" w:line="240" w:lineRule="auto"/>
        <w:rPr>
          <w:rFonts w:ascii="Times New Roman" w:hAnsi="Times New Roman" w:cs="Times New Roman"/>
          <w:lang w:val="lt-LT"/>
        </w:rPr>
      </w:pPr>
    </w:p>
    <w:p w:rsidR="00634910" w:rsidRDefault="00634910" w:rsidP="00634910">
      <w:pPr>
        <w:suppressLineNumbers/>
        <w:spacing w:after="0" w:line="240" w:lineRule="auto"/>
        <w:ind w:left="1701" w:right="1416" w:hanging="708"/>
        <w:rPr>
          <w:rFonts w:ascii="Times New Roman" w:hAnsi="Times New Roman" w:cs="Times New Roman"/>
          <w:lang w:val="lt-LT"/>
        </w:rPr>
      </w:pPr>
      <w:r>
        <w:rPr>
          <w:rFonts w:ascii="Times New Roman" w:hAnsi="Times New Roman" w:cs="Times New Roman"/>
          <w:b/>
          <w:lang w:val="lt-LT"/>
        </w:rPr>
        <w:t>B.</w:t>
      </w:r>
      <w:r>
        <w:rPr>
          <w:rFonts w:ascii="Times New Roman" w:hAnsi="Times New Roman" w:cs="Times New Roman"/>
          <w:b/>
          <w:lang w:val="lt-LT"/>
        </w:rPr>
        <w:tab/>
        <w:t>TIEKIMO IR VARTOJIMO SĄLYGOS AR APRIBOJIMAI</w:t>
      </w:r>
    </w:p>
    <w:p w:rsidR="00634910" w:rsidRDefault="00634910" w:rsidP="00634910">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br w:type="page"/>
      </w:r>
      <w:r>
        <w:rPr>
          <w:rFonts w:ascii="Times New Roman" w:hAnsi="Times New Roman" w:cs="Times New Roman"/>
          <w:b/>
          <w:lang w:val="lt-LT"/>
        </w:rPr>
        <w:lastRenderedPageBreak/>
        <w:t>A.</w:t>
      </w:r>
      <w:r>
        <w:rPr>
          <w:rFonts w:ascii="Times New Roman" w:hAnsi="Times New Roman" w:cs="Times New Roman"/>
          <w:b/>
          <w:lang w:val="lt-LT"/>
        </w:rPr>
        <w:tab/>
        <w:t>GAMINTOJAS (-AI), ATSAKINGAS (-I) UŽ SERIJŲ IŠLEIDIMĄ</w:t>
      </w:r>
    </w:p>
    <w:p w:rsidR="00634910" w:rsidRDefault="00634910" w:rsidP="00634910">
      <w:pPr>
        <w:spacing w:after="0" w:line="240" w:lineRule="auto"/>
        <w:jc w:val="both"/>
        <w:rPr>
          <w:rFonts w:ascii="Times New Roman" w:hAnsi="Times New Roman" w:cs="Times New Roman"/>
          <w:u w:val="single"/>
          <w:lang w:val="lt-LT"/>
        </w:rPr>
      </w:pPr>
    </w:p>
    <w:p w:rsidR="00634910" w:rsidRDefault="00634910" w:rsidP="00634910">
      <w:pPr>
        <w:spacing w:after="0" w:line="240" w:lineRule="auto"/>
        <w:jc w:val="both"/>
        <w:rPr>
          <w:rFonts w:ascii="Times New Roman" w:hAnsi="Times New Roman" w:cs="Times New Roman"/>
          <w:lang w:val="lt-LT"/>
        </w:rPr>
      </w:pPr>
      <w:r>
        <w:rPr>
          <w:rFonts w:ascii="Times New Roman" w:hAnsi="Times New Roman" w:cs="Times New Roman"/>
          <w:u w:val="single"/>
          <w:lang w:val="lt-LT"/>
        </w:rPr>
        <w:t>Gamintojo (-ų), atsakingo (-ų) už serijų išleidimą, pavadinimas (-ai) ir adresas (-ai)</w:t>
      </w:r>
    </w:p>
    <w:p w:rsidR="00634910" w:rsidRDefault="00634910" w:rsidP="00634910">
      <w:pPr>
        <w:spacing w:after="0" w:line="240" w:lineRule="auto"/>
        <w:rPr>
          <w:rFonts w:ascii="Times New Roman" w:hAnsi="Times New Roman" w:cs="Times New Roman"/>
          <w:lang w:val="lt-LT"/>
        </w:rPr>
      </w:pPr>
    </w:p>
    <w:p w:rsidR="00634910" w:rsidRPr="005828AF" w:rsidRDefault="00634910" w:rsidP="00634910">
      <w:pPr>
        <w:spacing w:after="0" w:line="240" w:lineRule="auto"/>
        <w:rPr>
          <w:rFonts w:ascii="Times New Roman" w:hAnsi="Times New Roman" w:cs="Times New Roman"/>
          <w:lang w:val="lt-LT"/>
        </w:rPr>
      </w:pPr>
    </w:p>
    <w:p w:rsidR="00634910" w:rsidRPr="005828AF" w:rsidRDefault="00634910" w:rsidP="00634910">
      <w:pPr>
        <w:spacing w:after="0" w:line="240" w:lineRule="auto"/>
        <w:rPr>
          <w:rFonts w:ascii="Times New Roman" w:hAnsi="Times New Roman" w:cs="Times New Roman"/>
          <w:lang w:val="lt-LT"/>
        </w:rPr>
      </w:pPr>
      <w:r w:rsidRPr="005828AF">
        <w:rPr>
          <w:rFonts w:ascii="Times New Roman" w:hAnsi="Times New Roman" w:cs="Times New Roman"/>
          <w:lang w:val="lt-LT"/>
        </w:rPr>
        <w:t>S.C. Terapia S.A</w:t>
      </w:r>
      <w:r>
        <w:rPr>
          <w:rFonts w:ascii="Times New Roman" w:hAnsi="Times New Roman" w:cs="Times New Roman"/>
          <w:lang w:val="lt-LT"/>
        </w:rPr>
        <w:t>.</w:t>
      </w:r>
    </w:p>
    <w:p w:rsidR="00634910" w:rsidRDefault="00634910" w:rsidP="00634910">
      <w:pPr>
        <w:spacing w:after="0" w:line="240" w:lineRule="auto"/>
        <w:rPr>
          <w:rFonts w:ascii="Times New Roman" w:hAnsi="Times New Roman" w:cs="Times New Roman"/>
          <w:lang w:val="lt-LT"/>
        </w:rPr>
      </w:pPr>
      <w:r w:rsidRPr="005828AF">
        <w:rPr>
          <w:rFonts w:ascii="Times New Roman" w:hAnsi="Times New Roman" w:cs="Times New Roman"/>
          <w:lang w:val="lt-LT"/>
        </w:rPr>
        <w:t>Str. Fabricii nr. 124</w:t>
      </w:r>
    </w:p>
    <w:p w:rsidR="00634910" w:rsidRPr="005828AF" w:rsidRDefault="00634910" w:rsidP="00634910">
      <w:pPr>
        <w:spacing w:after="0" w:line="240" w:lineRule="auto"/>
        <w:rPr>
          <w:rFonts w:ascii="Times New Roman" w:hAnsi="Times New Roman" w:cs="Times New Roman"/>
          <w:lang w:val="lt-LT"/>
        </w:rPr>
      </w:pPr>
      <w:r w:rsidRPr="005828AF">
        <w:rPr>
          <w:rFonts w:ascii="Times New Roman" w:hAnsi="Times New Roman" w:cs="Times New Roman"/>
          <w:lang w:val="lt-LT"/>
        </w:rPr>
        <w:t>Cluj Napoca</w:t>
      </w:r>
      <w:r>
        <w:rPr>
          <w:rFonts w:ascii="Times New Roman" w:hAnsi="Times New Roman" w:cs="Times New Roman"/>
          <w:lang w:val="lt-LT"/>
        </w:rPr>
        <w:t xml:space="preserve"> </w:t>
      </w:r>
      <w:r w:rsidRPr="005828AF">
        <w:rPr>
          <w:rFonts w:ascii="Times New Roman" w:hAnsi="Times New Roman" w:cs="Times New Roman"/>
          <w:lang w:val="lt-LT"/>
        </w:rPr>
        <w:t>400 632</w:t>
      </w:r>
    </w:p>
    <w:p w:rsidR="00634910" w:rsidRPr="005828AF"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Rumunija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arba</w:t>
      </w:r>
    </w:p>
    <w:p w:rsidR="00634910" w:rsidRPr="005828AF"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sidRPr="00EA121B">
        <w:rPr>
          <w:rFonts w:ascii="Times New Roman" w:hAnsi="Times New Roman" w:cs="Times New Roman"/>
          <w:lang w:val="lt-LT"/>
        </w:rPr>
        <w:t xml:space="preserve">Sun Pharmaceutical Industries Europe B.V. </w:t>
      </w:r>
    </w:p>
    <w:p w:rsidR="00634910" w:rsidRPr="00EA121B" w:rsidRDefault="00634910" w:rsidP="00634910">
      <w:pPr>
        <w:spacing w:after="0" w:line="240" w:lineRule="auto"/>
        <w:rPr>
          <w:rFonts w:ascii="Times New Roman" w:hAnsi="Times New Roman" w:cs="Times New Roman"/>
          <w:lang w:val="lt-LT"/>
        </w:rPr>
      </w:pPr>
      <w:r w:rsidRPr="00EA121B">
        <w:rPr>
          <w:rFonts w:ascii="Times New Roman" w:hAnsi="Times New Roman" w:cs="Times New Roman"/>
          <w:lang w:val="lt-LT"/>
        </w:rPr>
        <w:t>Polarisavenue 87</w:t>
      </w:r>
    </w:p>
    <w:p w:rsidR="00634910" w:rsidRDefault="00634910" w:rsidP="00634910">
      <w:pPr>
        <w:spacing w:after="0" w:line="240" w:lineRule="auto"/>
        <w:rPr>
          <w:rFonts w:ascii="Times New Roman" w:hAnsi="Times New Roman" w:cs="Times New Roman"/>
          <w:lang w:val="lt-LT"/>
        </w:rPr>
      </w:pPr>
      <w:r w:rsidRPr="00EA121B">
        <w:rPr>
          <w:rFonts w:ascii="Times New Roman" w:hAnsi="Times New Roman" w:cs="Times New Roman"/>
          <w:lang w:val="lt-LT"/>
        </w:rPr>
        <w:t>2132JH, Hoofddorp</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Olandija</w:t>
      </w:r>
    </w:p>
    <w:p w:rsidR="00634910" w:rsidRDefault="00634910" w:rsidP="00634910">
      <w:pPr>
        <w:spacing w:after="0" w:line="240" w:lineRule="auto"/>
        <w:rPr>
          <w:rFonts w:ascii="Times New Roman" w:hAnsi="Times New Roman" w:cs="Times New Roman"/>
          <w:lang w:val="lt-LT"/>
        </w:rPr>
      </w:pPr>
    </w:p>
    <w:p w:rsidR="00634910" w:rsidRDefault="00634910" w:rsidP="00634910">
      <w:pPr>
        <w:tabs>
          <w:tab w:val="left" w:pos="567"/>
        </w:tabs>
        <w:spacing w:after="0" w:line="240" w:lineRule="auto"/>
        <w:rPr>
          <w:rFonts w:ascii="Times New Roman" w:eastAsia="Times New Roman" w:hAnsi="Times New Roman" w:cs="Times New Roman"/>
          <w:noProof/>
          <w:snapToGrid w:val="0"/>
          <w:szCs w:val="24"/>
          <w:lang w:val="lt-LT" w:eastAsia="en-US" w:bidi="ar-SA"/>
        </w:rPr>
      </w:pPr>
      <w:r w:rsidRPr="00887141">
        <w:rPr>
          <w:rFonts w:ascii="Times New Roman" w:eastAsia="Times New Roman" w:hAnsi="Times New Roman" w:cs="Times New Roman"/>
          <w:noProof/>
          <w:snapToGrid w:val="0"/>
          <w:szCs w:val="24"/>
          <w:lang w:val="lt-LT" w:eastAsia="en-US" w:bidi="ar-SA"/>
        </w:rPr>
        <w:t>Su pakuote pateikiamame lapelyje nurodomas gamintojo, atsakingo už konkrečios serijos išleidimą, pavadinimas ir adresas.</w:t>
      </w:r>
    </w:p>
    <w:p w:rsidR="00634910" w:rsidRPr="00887141" w:rsidRDefault="00634910" w:rsidP="00634910">
      <w:pPr>
        <w:tabs>
          <w:tab w:val="left" w:pos="567"/>
        </w:tabs>
        <w:spacing w:after="0" w:line="240" w:lineRule="auto"/>
        <w:jc w:val="both"/>
        <w:rPr>
          <w:rFonts w:ascii="Times New Roman" w:eastAsia="Times New Roman" w:hAnsi="Times New Roman" w:cs="Times New Roman"/>
          <w:snapToGrid w:val="0"/>
          <w:szCs w:val="24"/>
          <w:lang w:val="lt-LT" w:eastAsia="en-US" w:bidi="ar-SA"/>
        </w:rPr>
      </w:pPr>
    </w:p>
    <w:p w:rsidR="00634910" w:rsidRDefault="00634910" w:rsidP="00634910">
      <w:pPr>
        <w:widowControl w:val="0"/>
        <w:spacing w:after="0" w:line="240" w:lineRule="auto"/>
        <w:rPr>
          <w:rFonts w:ascii="Times New Roman" w:hAnsi="Times New Roman" w:cs="Times New Roman"/>
          <w:lang w:val="lt-LT"/>
        </w:rPr>
      </w:pP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b/>
          <w:lang w:val="lt-LT"/>
        </w:rPr>
        <w:t>B.</w:t>
      </w:r>
      <w:r>
        <w:rPr>
          <w:rFonts w:ascii="Times New Roman" w:hAnsi="Times New Roman" w:cs="Times New Roman"/>
          <w:b/>
          <w:lang w:val="lt-LT"/>
        </w:rPr>
        <w:tab/>
        <w:t>TIEKIMO IR VARTOJIMO SĄLYGOS AR APRIBOJIMAI</w:t>
      </w:r>
      <w:r>
        <w:rPr>
          <w:rFonts w:ascii="Times New Roman" w:hAnsi="Times New Roman" w:cs="Times New Roman"/>
          <w:lang w:val="lt-LT"/>
        </w:rPr>
        <w:t xml:space="preserve"> </w:t>
      </w:r>
    </w:p>
    <w:p w:rsidR="00634910" w:rsidRDefault="00634910" w:rsidP="00634910">
      <w:pPr>
        <w:widowControl w:val="0"/>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lang w:val="lt-LT"/>
        </w:rPr>
      </w:pPr>
      <w:r>
        <w:rPr>
          <w:rFonts w:ascii="Times New Roman" w:hAnsi="Times New Roman" w:cs="Times New Roman"/>
          <w:lang w:val="lt-LT"/>
        </w:rPr>
        <w:t xml:space="preserve">Receptinis vaistinis preparatas. </w:t>
      </w:r>
    </w:p>
    <w:p w:rsidR="00634910" w:rsidRDefault="00634910" w:rsidP="00634910">
      <w:pPr>
        <w:pStyle w:val="Antrat2"/>
        <w:spacing w:before="0" w:after="0" w:line="240" w:lineRule="auto"/>
        <w:jc w:val="center"/>
        <w:rPr>
          <w:rFonts w:ascii="Times New Roman" w:hAnsi="Times New Roman"/>
          <w:b w:val="0"/>
          <w:iCs/>
          <w:lang w:val="lt-LT"/>
        </w:rPr>
      </w:pPr>
    </w:p>
    <w:p w:rsidR="00634910" w:rsidRDefault="00634910" w:rsidP="00634910">
      <w:pPr>
        <w:pStyle w:val="Antrat2"/>
        <w:spacing w:before="0" w:after="0" w:line="240" w:lineRule="auto"/>
        <w:jc w:val="center"/>
        <w:rPr>
          <w:rFonts w:ascii="Times New Roman" w:hAnsi="Times New Roman"/>
          <w:b w:val="0"/>
          <w:iCs/>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r>
        <w:rPr>
          <w:rFonts w:ascii="Times New Roman" w:hAnsi="Times New Roman"/>
          <w:b w:val="0"/>
          <w:iCs/>
          <w:lang w:val="lt-LT"/>
        </w:rPr>
        <w:br w:type="page"/>
      </w: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r>
        <w:rPr>
          <w:rFonts w:ascii="Times New Roman" w:eastAsia="SimSun" w:hAnsi="Times New Roman"/>
          <w:i w:val="0"/>
          <w:iCs/>
          <w:sz w:val="22"/>
          <w:szCs w:val="22"/>
          <w:lang w:val="lt-LT"/>
        </w:rPr>
        <w:t>III PRIEDAS</w:t>
      </w:r>
    </w:p>
    <w:p w:rsidR="00634910" w:rsidRDefault="00634910" w:rsidP="00634910">
      <w:pPr>
        <w:spacing w:after="0" w:line="240" w:lineRule="auto"/>
        <w:rPr>
          <w:rFonts w:ascii="Times New Roman" w:hAnsi="Times New Roman" w:cs="Times New Roman"/>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r>
        <w:rPr>
          <w:rFonts w:ascii="Times New Roman" w:eastAsia="SimSun" w:hAnsi="Times New Roman"/>
          <w:i w:val="0"/>
          <w:iCs/>
          <w:sz w:val="22"/>
          <w:szCs w:val="22"/>
          <w:lang w:val="lt-LT"/>
        </w:rPr>
        <w:t>ŽENKLINIMAS IR PAKUOTĖS LAPELIS</w:t>
      </w:r>
    </w:p>
    <w:p w:rsidR="00634910" w:rsidRDefault="00634910" w:rsidP="00634910">
      <w:pPr>
        <w:widowControl w:val="0"/>
        <w:spacing w:after="0" w:line="240" w:lineRule="auto"/>
        <w:rPr>
          <w:rFonts w:ascii="Times New Roman" w:hAnsi="Times New Roman" w:cs="Times New Roman"/>
          <w:lang w:val="lt-LT" w:eastAsia="en-US"/>
        </w:rPr>
      </w:pPr>
      <w:r>
        <w:rPr>
          <w:rFonts w:ascii="Times New Roman" w:hAnsi="Times New Roman" w:cs="Times New Roman"/>
          <w:lang w:val="lt-LT"/>
        </w:rPr>
        <w:br w:type="page"/>
      </w: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spacing w:after="0" w:line="240" w:lineRule="auto"/>
        <w:jc w:val="center"/>
        <w:rPr>
          <w:rFonts w:ascii="Times New Roman" w:hAnsi="Times New Roman" w:cs="Times New Roman"/>
          <w:b/>
          <w:lang w:val="lt-LT"/>
        </w:rPr>
      </w:pPr>
      <w:bookmarkStart w:id="49" w:name="_Toc129243261"/>
      <w:bookmarkStart w:id="50" w:name="_Toc129243136"/>
    </w:p>
    <w:p w:rsidR="00634910" w:rsidRDefault="00634910" w:rsidP="00634910">
      <w:pPr>
        <w:spacing w:after="0" w:line="240" w:lineRule="auto"/>
        <w:jc w:val="center"/>
        <w:rPr>
          <w:rFonts w:ascii="Times New Roman" w:hAnsi="Times New Roman" w:cs="Times New Roman"/>
          <w:b/>
          <w:lang w:val="lt-LT"/>
        </w:rPr>
      </w:pPr>
      <w:r>
        <w:rPr>
          <w:rFonts w:ascii="Times New Roman" w:hAnsi="Times New Roman" w:cs="Times New Roman"/>
          <w:b/>
          <w:lang w:val="lt-LT"/>
        </w:rPr>
        <w:t>A. ŽENKLINIMAS</w:t>
      </w:r>
      <w:bookmarkEnd w:id="49"/>
      <w:bookmarkEnd w:id="50"/>
    </w:p>
    <w:p w:rsidR="00634910" w:rsidRDefault="00634910" w:rsidP="006349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eastAsia="en-US"/>
        </w:rPr>
        <w:br w:type="page"/>
      </w:r>
      <w:r>
        <w:rPr>
          <w:rFonts w:ascii="Times New Roman" w:hAnsi="Times New Roman" w:cs="Times New Roman"/>
          <w:b/>
          <w:lang w:val="lt-LT"/>
        </w:rPr>
        <w:lastRenderedPageBreak/>
        <w:t>INFORMACIJA ANT IŠORINĖS PAKUOTĖS</w:t>
      </w:r>
    </w:p>
    <w:p w:rsidR="00634910" w:rsidRDefault="00634910" w:rsidP="006349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rsidR="00634910" w:rsidRDefault="00634910" w:rsidP="0063491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en-US"/>
        </w:rPr>
      </w:pPr>
      <w:r>
        <w:rPr>
          <w:rFonts w:ascii="Times New Roman" w:hAnsi="Times New Roman" w:cs="Times New Roman"/>
          <w:b/>
          <w:lang w:val="lt-LT" w:eastAsia="en-US"/>
        </w:rPr>
        <w:t>KARTONO DĖŽUTĖ (lizdinių plokštelių pakuotės)</w:t>
      </w:r>
    </w:p>
    <w:p w:rsidR="00634910" w:rsidRDefault="00634910" w:rsidP="00634910">
      <w:pPr>
        <w:widowControl w:val="0"/>
        <w:spacing w:after="0" w:line="240" w:lineRule="auto"/>
        <w:rPr>
          <w:rFonts w:ascii="Times New Roman" w:hAnsi="Times New Roman" w:cs="Times New Roman"/>
          <w:b/>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w:t>
      </w:r>
      <w:r>
        <w:rPr>
          <w:rFonts w:ascii="Times New Roman" w:hAnsi="Times New Roman" w:cs="Times New Roman"/>
          <w:b/>
          <w:lang w:val="lt-LT" w:eastAsia="en-US"/>
        </w:rPr>
        <w:tab/>
      </w:r>
      <w:r>
        <w:rPr>
          <w:rFonts w:ascii="Times New Roman" w:hAnsi="Times New Roman" w:cs="Times New Roman"/>
          <w:b/>
          <w:lang w:val="lt-LT"/>
        </w:rPr>
        <w:t>VAISTINIO PREPARATO PAVADINIMAS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Imatinib Ranbaxy 100 mg plėvele dengtos tabletės</w:t>
      </w:r>
    </w:p>
    <w:p w:rsidR="00634910" w:rsidRDefault="00634910" w:rsidP="00634910">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eastAsia="en-US"/>
        </w:rPr>
        <w:t>Imatinib Ranbaxy</w:t>
      </w:r>
      <w:r>
        <w:rPr>
          <w:rFonts w:ascii="Times New Roman" w:hAnsi="Times New Roman" w:cs="Times New Roman"/>
          <w:highlight w:val="lightGray"/>
          <w:lang w:val="lt-LT"/>
        </w:rPr>
        <w:t xml:space="preserve"> 400 mg plėvele dengtos tabletės</w:t>
      </w:r>
    </w:p>
    <w:p w:rsidR="00634910" w:rsidRDefault="00634910" w:rsidP="00634910">
      <w:pPr>
        <w:widowControl w:val="0"/>
        <w:spacing w:after="0" w:line="240" w:lineRule="auto"/>
        <w:rPr>
          <w:rFonts w:ascii="Times New Roman" w:hAnsi="Times New Roman" w:cs="Times New Roman"/>
          <w:lang w:val="lt-LT" w:eastAsia="en-US"/>
        </w:rPr>
      </w:pPr>
    </w:p>
    <w:p w:rsidR="00634910" w:rsidRPr="0075480D" w:rsidRDefault="00634910" w:rsidP="00634910">
      <w:pPr>
        <w:widowControl w:val="0"/>
        <w:spacing w:after="0" w:line="240" w:lineRule="auto"/>
        <w:rPr>
          <w:rFonts w:ascii="Times New Roman" w:hAnsi="Times New Roman" w:cs="Times New Roman"/>
          <w:i/>
          <w:lang w:val="lt-LT" w:eastAsia="en-US"/>
        </w:rPr>
      </w:pPr>
      <w:r>
        <w:rPr>
          <w:rFonts w:ascii="Times New Roman" w:hAnsi="Times New Roman" w:cs="Times New Roman"/>
          <w:i/>
          <w:lang w:val="lt-LT" w:eastAsia="en-US"/>
        </w:rPr>
        <w:t>Imatinibum</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eastAsia="en-US"/>
        </w:rPr>
      </w:pPr>
      <w:r>
        <w:rPr>
          <w:rFonts w:ascii="Times New Roman" w:hAnsi="Times New Roman" w:cs="Times New Roman"/>
          <w:b/>
          <w:lang w:val="lt-LT" w:eastAsia="en-US"/>
        </w:rPr>
        <w:t>2.</w:t>
      </w:r>
      <w:r>
        <w:rPr>
          <w:rFonts w:ascii="Times New Roman" w:hAnsi="Times New Roman" w:cs="Times New Roman"/>
          <w:b/>
          <w:lang w:val="lt-LT" w:eastAsia="en-US"/>
        </w:rPr>
        <w:tab/>
      </w:r>
      <w:r>
        <w:rPr>
          <w:rFonts w:ascii="Times New Roman" w:hAnsi="Times New Roman" w:cs="Times New Roman"/>
          <w:b/>
          <w:lang w:val="lt-LT"/>
        </w:rPr>
        <w:t>VEIKLIOJI (-IOS) MEDŽIAGA (-OS) IR JOS (-Ų) KIEKIS (-IAI)</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autoSpaceDE w:val="0"/>
        <w:autoSpaceDN w:val="0"/>
        <w:adjustRightInd w:val="0"/>
        <w:spacing w:after="0" w:line="240" w:lineRule="auto"/>
        <w:jc w:val="both"/>
        <w:rPr>
          <w:rFonts w:ascii="Times New Roman" w:hAnsi="Times New Roman" w:cs="Times New Roman"/>
          <w:lang w:val="lt-LT" w:eastAsia="en-US"/>
        </w:rPr>
      </w:pPr>
      <w:r>
        <w:rPr>
          <w:rFonts w:ascii="Times New Roman" w:hAnsi="Times New Roman" w:cs="Times New Roman"/>
          <w:lang w:val="lt-LT" w:eastAsia="en-US"/>
        </w:rPr>
        <w:t>Kiekvienoje plėvele dengtoje tabletėje yra 100 mg imatinibo (mesilato pavidalu).</w:t>
      </w:r>
    </w:p>
    <w:p w:rsidR="00634910" w:rsidRDefault="00634910" w:rsidP="00634910">
      <w:pPr>
        <w:widowControl w:val="0"/>
        <w:autoSpaceDE w:val="0"/>
        <w:autoSpaceDN w:val="0"/>
        <w:adjustRightInd w:val="0"/>
        <w:spacing w:after="0" w:line="240" w:lineRule="auto"/>
        <w:jc w:val="both"/>
        <w:rPr>
          <w:rFonts w:ascii="Times New Roman" w:hAnsi="Times New Roman" w:cs="Times New Roman"/>
          <w:lang w:val="lt-LT" w:eastAsia="en-US"/>
        </w:rPr>
      </w:pPr>
      <w:r>
        <w:rPr>
          <w:rFonts w:ascii="Times New Roman" w:hAnsi="Times New Roman" w:cs="Times New Roman"/>
          <w:highlight w:val="lightGray"/>
          <w:lang w:val="lt-LT"/>
        </w:rPr>
        <w:t>Kiekvienoje plėvele dengtoje tabletėje yra 400 mg imatinibo (mesilato pavidalu).</w:t>
      </w:r>
    </w:p>
    <w:p w:rsidR="00634910" w:rsidRDefault="00634910" w:rsidP="00634910">
      <w:pPr>
        <w:widowControl w:val="0"/>
        <w:spacing w:after="0" w:line="240" w:lineRule="auto"/>
        <w:rPr>
          <w:rFonts w:ascii="Times New Roman" w:hAnsi="Times New Roman" w:cs="Times New Roman"/>
          <w:iCs/>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3.</w:t>
      </w:r>
      <w:r>
        <w:rPr>
          <w:rFonts w:ascii="Times New Roman" w:hAnsi="Times New Roman" w:cs="Times New Roman"/>
          <w:b/>
          <w:lang w:val="lt-LT" w:eastAsia="en-US"/>
        </w:rPr>
        <w:tab/>
      </w:r>
      <w:r>
        <w:rPr>
          <w:rFonts w:ascii="Times New Roman" w:hAnsi="Times New Roman" w:cs="Times New Roman"/>
          <w:b/>
          <w:lang w:val="lt-LT"/>
        </w:rPr>
        <w:t>PAGALBINIŲ MEDŽIAGŲ SĄRAŠAS</w:t>
      </w:r>
    </w:p>
    <w:p w:rsidR="00634910" w:rsidRDefault="00634910" w:rsidP="00634910">
      <w:pPr>
        <w:widowControl w:val="0"/>
        <w:spacing w:after="0" w:line="240" w:lineRule="auto"/>
        <w:rPr>
          <w:rFonts w:ascii="Times New Roman" w:hAnsi="Times New Roman" w:cs="Times New Roman"/>
          <w:i/>
          <w:iCs/>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4.</w:t>
      </w:r>
      <w:r>
        <w:rPr>
          <w:rFonts w:ascii="Times New Roman" w:hAnsi="Times New Roman" w:cs="Times New Roman"/>
          <w:b/>
          <w:lang w:val="lt-LT" w:eastAsia="en-US"/>
        </w:rPr>
        <w:tab/>
      </w:r>
      <w:r>
        <w:rPr>
          <w:rFonts w:ascii="Times New Roman" w:hAnsi="Times New Roman" w:cs="Times New Roman"/>
          <w:b/>
          <w:lang w:val="lt-LT"/>
        </w:rPr>
        <w:t>FARMACINĖ FORMA IR KIEKIS PAKUOTĖJE</w:t>
      </w:r>
    </w:p>
    <w:p w:rsidR="00634910" w:rsidRDefault="00634910" w:rsidP="00634910">
      <w:pPr>
        <w:widowControl w:val="0"/>
        <w:spacing w:after="0" w:line="240" w:lineRule="auto"/>
        <w:rPr>
          <w:rFonts w:ascii="Times New Roman" w:hAnsi="Times New Roman" w:cs="Times New Roman"/>
          <w:lang w:val="lt-LT" w:eastAsia="en-US"/>
        </w:rPr>
      </w:pPr>
    </w:p>
    <w:p w:rsidR="00634910" w:rsidRPr="00BE33ED" w:rsidRDefault="00634910" w:rsidP="00634910">
      <w:pPr>
        <w:spacing w:after="0" w:line="240" w:lineRule="auto"/>
        <w:rPr>
          <w:rFonts w:ascii="Times New Roman" w:hAnsi="Times New Roman" w:cs="Times New Roman"/>
          <w:lang w:val="lt-LT" w:eastAsia="en-US"/>
        </w:rPr>
      </w:pPr>
      <w:r w:rsidRPr="00BE33ED">
        <w:rPr>
          <w:rFonts w:ascii="Times New Roman" w:hAnsi="Times New Roman" w:cs="Times New Roman"/>
          <w:lang w:val="lt-LT" w:eastAsia="en-US"/>
        </w:rPr>
        <w:t>Plėvele dengta tabletė</w:t>
      </w:r>
      <w:r>
        <w:rPr>
          <w:rFonts w:ascii="Times New Roman" w:hAnsi="Times New Roman" w:cs="Times New Roman"/>
          <w:lang w:val="lt-LT" w:eastAsia="en-US"/>
        </w:rPr>
        <w:t>.</w:t>
      </w:r>
    </w:p>
    <w:p w:rsidR="00634910" w:rsidRDefault="00634910" w:rsidP="00634910">
      <w:pPr>
        <w:spacing w:after="0" w:line="240" w:lineRule="auto"/>
        <w:rPr>
          <w:rFonts w:ascii="Times New Roman" w:hAnsi="Times New Roman" w:cs="Times New Roman"/>
          <w:highlight w:val="lightGray"/>
          <w:lang w:val="lt-LT"/>
        </w:rPr>
      </w:pPr>
    </w:p>
    <w:p w:rsidR="00634910" w:rsidRDefault="00634910" w:rsidP="00634910">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30 tablečių</w:t>
      </w:r>
    </w:p>
    <w:p w:rsidR="00634910" w:rsidRDefault="00634910" w:rsidP="00634910">
      <w:pPr>
        <w:autoSpaceDE w:val="0"/>
        <w:autoSpaceDN w:val="0"/>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6</w:t>
      </w:r>
      <w:r w:rsidRPr="006B3B0C">
        <w:rPr>
          <w:rFonts w:ascii="Times New Roman" w:hAnsi="Times New Roman" w:cs="Times New Roman"/>
          <w:highlight w:val="lightGray"/>
          <w:lang w:val="lt-LT"/>
        </w:rPr>
        <w:t>0 tablečių</w:t>
      </w:r>
    </w:p>
    <w:p w:rsidR="00634910" w:rsidRDefault="00634910" w:rsidP="00634910">
      <w:pPr>
        <w:autoSpaceDE w:val="0"/>
        <w:autoSpaceDN w:val="0"/>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9</w:t>
      </w:r>
      <w:r w:rsidRPr="006B3B0C">
        <w:rPr>
          <w:rFonts w:ascii="Times New Roman" w:hAnsi="Times New Roman" w:cs="Times New Roman"/>
          <w:highlight w:val="lightGray"/>
          <w:lang w:val="lt-LT"/>
        </w:rPr>
        <w:t>0 tablečių</w:t>
      </w:r>
    </w:p>
    <w:p w:rsidR="00634910" w:rsidRDefault="00634910" w:rsidP="00634910">
      <w:pPr>
        <w:autoSpaceDE w:val="0"/>
        <w:autoSpaceDN w:val="0"/>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12</w:t>
      </w:r>
      <w:r w:rsidRPr="006B3B0C">
        <w:rPr>
          <w:rFonts w:ascii="Times New Roman" w:hAnsi="Times New Roman" w:cs="Times New Roman"/>
          <w:highlight w:val="lightGray"/>
          <w:lang w:val="lt-LT"/>
        </w:rPr>
        <w:t>0 tablečių</w:t>
      </w:r>
    </w:p>
    <w:p w:rsidR="00634910" w:rsidRDefault="00634910" w:rsidP="00634910">
      <w:pPr>
        <w:autoSpaceDE w:val="0"/>
        <w:autoSpaceDN w:val="0"/>
        <w:spacing w:after="0" w:line="240" w:lineRule="auto"/>
        <w:rPr>
          <w:rFonts w:ascii="Times New Roman" w:hAnsi="Times New Roman" w:cs="Times New Roman"/>
          <w:highlight w:val="lightGray"/>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5.</w:t>
      </w:r>
      <w:r>
        <w:rPr>
          <w:rFonts w:ascii="Times New Roman" w:hAnsi="Times New Roman" w:cs="Times New Roman"/>
          <w:b/>
          <w:lang w:val="lt-LT" w:eastAsia="en-US"/>
        </w:rPr>
        <w:tab/>
      </w:r>
      <w:r>
        <w:rPr>
          <w:rFonts w:ascii="Times New Roman" w:hAnsi="Times New Roman" w:cs="Times New Roman"/>
          <w:b/>
          <w:lang w:val="lt-LT"/>
        </w:rPr>
        <w:t>VARTOJIMO METODAS IR BŪDAS (-AI)</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Vartoti per burną.</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rsidR="00634910" w:rsidRDefault="00634910" w:rsidP="00634910">
      <w:pPr>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val="lt-LT" w:eastAsia="en-US"/>
        </w:rPr>
      </w:pPr>
      <w:r>
        <w:rPr>
          <w:rFonts w:ascii="Times New Roman" w:hAnsi="Times New Roman" w:cs="Times New Roman"/>
          <w:b/>
          <w:lang w:val="lt-LT" w:eastAsia="en-US"/>
        </w:rPr>
        <w:t>6.</w:t>
      </w:r>
      <w:r>
        <w:rPr>
          <w:rFonts w:ascii="Times New Roman" w:hAnsi="Times New Roman" w:cs="Times New Roman"/>
          <w:b/>
          <w:lang w:val="lt-LT" w:eastAsia="en-US"/>
        </w:rPr>
        <w:tab/>
      </w:r>
      <w:r>
        <w:rPr>
          <w:rFonts w:ascii="Times New Roman" w:hAnsi="Times New Roman" w:cs="Times New Roman"/>
          <w:b/>
          <w:lang w:val="lt-LT"/>
        </w:rPr>
        <w:t>SPECIALUS ĮSPĖJIMAS, KAD VAISTINĮ PREPARATĄ BŪTINA LAIKYTI VAIKAMS NEPASTEBIMOJE IR NEPASIEKIAMOJE VIETOJE</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Laikyti vaikams nepastebimoje ir nepasiekiamoje vietoje.</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7.</w:t>
      </w:r>
      <w:r>
        <w:rPr>
          <w:rFonts w:ascii="Times New Roman" w:hAnsi="Times New Roman" w:cs="Times New Roman"/>
          <w:b/>
          <w:lang w:val="lt-LT" w:eastAsia="en-US"/>
        </w:rPr>
        <w:tab/>
      </w:r>
      <w:r>
        <w:rPr>
          <w:rFonts w:ascii="Times New Roman" w:hAnsi="Times New Roman" w:cs="Times New Roman"/>
          <w:b/>
          <w:lang w:val="lt-LT"/>
        </w:rPr>
        <w:t>KITAS (-I) SPECIALUS (-ŪS) ĮSPĖJIMAS (-AI) (JEI REIKIA)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r>
        <w:rPr>
          <w:rFonts w:ascii="Times New Roman" w:hAnsi="Times New Roman" w:cs="Times New Roman"/>
          <w:lang w:val="lt-LT" w:eastAsia="en-US"/>
        </w:rPr>
        <w:t>Vartoti laikantis gydytojo nurodymo.</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8.</w:t>
      </w:r>
      <w:r>
        <w:rPr>
          <w:rFonts w:ascii="Times New Roman" w:hAnsi="Times New Roman" w:cs="Times New Roman"/>
          <w:b/>
          <w:lang w:val="lt-LT" w:eastAsia="en-US"/>
        </w:rPr>
        <w:tab/>
      </w:r>
      <w:r>
        <w:rPr>
          <w:rFonts w:ascii="Times New Roman" w:hAnsi="Times New Roman" w:cs="Times New Roman"/>
          <w:b/>
          <w:lang w:val="lt-LT"/>
        </w:rPr>
        <w:t>TINKAMUMO LAIKAS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Tinka iki &lt;mm/MMMM&gt;</w:t>
      </w:r>
    </w:p>
    <w:p w:rsidR="00634910" w:rsidRDefault="00634910" w:rsidP="00634910">
      <w:pPr>
        <w:widowControl w:val="0"/>
        <w:spacing w:after="0" w:line="240" w:lineRule="auto"/>
        <w:rPr>
          <w:rFonts w:ascii="Times New Roman" w:hAnsi="Times New Roman" w:cs="Times New Roman"/>
          <w:iCs/>
          <w:highlight w:val="cyan"/>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9.</w:t>
      </w:r>
      <w:r>
        <w:rPr>
          <w:rFonts w:ascii="Times New Roman" w:hAnsi="Times New Roman" w:cs="Times New Roman"/>
          <w:b/>
          <w:lang w:val="lt-LT" w:eastAsia="en-US"/>
        </w:rPr>
        <w:tab/>
      </w:r>
      <w:r>
        <w:rPr>
          <w:rFonts w:ascii="Times New Roman" w:hAnsi="Times New Roman" w:cs="Times New Roman"/>
          <w:b/>
          <w:lang w:val="lt-LT"/>
        </w:rPr>
        <w:t>SPECIALIOS LAIKYMO SĄLYGOS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Pr="00C33EFD"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lang w:val="lt-LT" w:eastAsia="en-US"/>
        </w:rPr>
      </w:pPr>
      <w:r>
        <w:rPr>
          <w:rFonts w:ascii="Times New Roman" w:hAnsi="Times New Roman" w:cs="Times New Roman"/>
          <w:b/>
          <w:lang w:val="lt-LT" w:eastAsia="en-US"/>
        </w:rPr>
        <w:t>10.</w:t>
      </w:r>
      <w:r>
        <w:rPr>
          <w:rFonts w:ascii="Times New Roman" w:hAnsi="Times New Roman" w:cs="Times New Roman"/>
          <w:b/>
          <w:lang w:val="lt-LT" w:eastAsia="en-US"/>
        </w:rPr>
        <w:tab/>
      </w:r>
      <w:r>
        <w:rPr>
          <w:rFonts w:ascii="Times New Roman" w:hAnsi="Times New Roman" w:cs="Times New Roman"/>
          <w:b/>
          <w:lang w:val="lt-LT"/>
        </w:rPr>
        <w:t>SPECIALIOS ATSARGUMO PRIEMONĖS DĖL NESUVARTOTO VAISTINIO PREPARATO AR JO ATLIEKŲ TVARKYMO (JEI REIKIA)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eastAsia="en-US"/>
        </w:rPr>
      </w:pPr>
      <w:r>
        <w:rPr>
          <w:rFonts w:ascii="Times New Roman" w:hAnsi="Times New Roman" w:cs="Times New Roman"/>
          <w:b/>
          <w:lang w:val="lt-LT" w:eastAsia="en-US"/>
        </w:rPr>
        <w:t>11.</w:t>
      </w:r>
      <w:r>
        <w:rPr>
          <w:rFonts w:ascii="Times New Roman" w:hAnsi="Times New Roman" w:cs="Times New Roman"/>
          <w:b/>
          <w:lang w:val="lt-LT" w:eastAsia="en-US"/>
        </w:rPr>
        <w:tab/>
      </w:r>
      <w:r w:rsidRPr="00741D3D">
        <w:rPr>
          <w:rFonts w:ascii="Times New Roman" w:hAnsi="Times New Roman" w:cs="Times New Roman"/>
          <w:b/>
          <w:caps/>
          <w:lang w:val="lt-LT"/>
        </w:rPr>
        <w:t xml:space="preserve">REGISTRUOTOJO </w:t>
      </w:r>
      <w:r>
        <w:rPr>
          <w:rFonts w:ascii="Times New Roman" w:hAnsi="Times New Roman" w:cs="Times New Roman"/>
          <w:b/>
          <w:caps/>
          <w:lang w:val="lt-LT"/>
        </w:rPr>
        <w:t>PAVADINIMAS IR ADRESAS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 xml:space="preserve">Ranbaxy </w:t>
      </w:r>
      <w:r>
        <w:rPr>
          <w:rFonts w:ascii="Times New Roman" w:hAnsi="Times New Roman" w:cs="Times New Roman"/>
          <w:lang w:val="lt-LT"/>
        </w:rPr>
        <w:t>(</w:t>
      </w:r>
      <w:r w:rsidRPr="00AB478E">
        <w:rPr>
          <w:rFonts w:ascii="Times New Roman" w:hAnsi="Times New Roman" w:cs="Times New Roman"/>
          <w:lang w:val="lt-LT"/>
        </w:rPr>
        <w:t>UK</w:t>
      </w:r>
      <w:r>
        <w:rPr>
          <w:rFonts w:ascii="Times New Roman" w:hAnsi="Times New Roman" w:cs="Times New Roman"/>
          <w:lang w:val="lt-LT"/>
        </w:rPr>
        <w:t>)</w:t>
      </w:r>
      <w:r w:rsidRPr="00AB478E">
        <w:rPr>
          <w:rFonts w:ascii="Times New Roman" w:hAnsi="Times New Roman" w:cs="Times New Roman"/>
          <w:lang w:val="lt-LT"/>
        </w:rPr>
        <w:t xml:space="preserve"> Ltd.</w:t>
      </w:r>
    </w:p>
    <w:p w:rsidR="00634910" w:rsidRPr="00AB478E"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Building 4, Chiswick Park</w:t>
      </w: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566 Chiswick High Road</w:t>
      </w:r>
    </w:p>
    <w:p w:rsidR="00634910" w:rsidRPr="00AB478E"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London, W4 5YE</w:t>
      </w: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Jungtinė Karalystė</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eastAsia="en-US"/>
        </w:rPr>
      </w:pPr>
      <w:r>
        <w:rPr>
          <w:rFonts w:ascii="Times New Roman" w:hAnsi="Times New Roman" w:cs="Times New Roman"/>
          <w:b/>
          <w:lang w:val="lt-LT" w:eastAsia="en-US"/>
        </w:rPr>
        <w:t>12.</w:t>
      </w:r>
      <w:r>
        <w:rPr>
          <w:rFonts w:ascii="Times New Roman" w:hAnsi="Times New Roman" w:cs="Times New Roman"/>
          <w:b/>
          <w:lang w:val="lt-LT" w:eastAsia="en-US"/>
        </w:rPr>
        <w:tab/>
      </w:r>
      <w:r w:rsidRPr="00741D3D">
        <w:rPr>
          <w:rFonts w:ascii="Times New Roman" w:hAnsi="Times New Roman" w:cs="Times New Roman"/>
          <w:b/>
          <w:lang w:val="lt-LT"/>
        </w:rPr>
        <w:t xml:space="preserve">REGISTRACIJOS </w:t>
      </w:r>
      <w:r>
        <w:rPr>
          <w:rFonts w:ascii="Times New Roman" w:hAnsi="Times New Roman" w:cs="Times New Roman"/>
          <w:b/>
          <w:lang w:val="lt-LT"/>
        </w:rPr>
        <w:t>PAŽYMĖJIMO NUMERIS (-IAI)</w:t>
      </w:r>
    </w:p>
    <w:p w:rsidR="00634910" w:rsidRDefault="00634910" w:rsidP="00634910">
      <w:pPr>
        <w:widowControl w:val="0"/>
        <w:spacing w:after="0" w:line="240" w:lineRule="auto"/>
        <w:outlineLvl w:val="0"/>
        <w:rPr>
          <w:rFonts w:ascii="Times New Roman" w:hAnsi="Times New Roman" w:cs="Times New Roman"/>
          <w:lang w:val="lt-LT" w:eastAsia="en-US"/>
        </w:rPr>
      </w:pPr>
    </w:p>
    <w:p w:rsidR="00634910" w:rsidRPr="00AA32F0" w:rsidRDefault="00634910" w:rsidP="00634910">
      <w:pPr>
        <w:autoSpaceDE w:val="0"/>
        <w:autoSpaceDN w:val="0"/>
        <w:spacing w:after="0" w:line="240" w:lineRule="auto"/>
        <w:rPr>
          <w:rFonts w:ascii="Times New Roman" w:hAnsi="Times New Roman" w:cs="Times New Roman"/>
          <w:highlight w:val="lightGray"/>
          <w:lang w:val="lt-LT"/>
        </w:rPr>
      </w:pPr>
      <w:r w:rsidRPr="00AA32F0">
        <w:rPr>
          <w:rFonts w:ascii="Times New Roman" w:hAnsi="Times New Roman" w:cs="Times New Roman"/>
          <w:highlight w:val="lightGray"/>
          <w:lang w:val="lt-LT"/>
        </w:rPr>
        <w:t xml:space="preserve">Imatinib Ranbaxy 100 mg </w:t>
      </w:r>
    </w:p>
    <w:p w:rsidR="00634910" w:rsidRPr="00B8001E" w:rsidRDefault="00634910" w:rsidP="00634910">
      <w:pPr>
        <w:spacing w:after="0" w:line="240" w:lineRule="auto"/>
        <w:rPr>
          <w:rFonts w:ascii="Times New Roman" w:hAnsi="Times New Roman" w:cs="Times New Roman"/>
          <w:bCs/>
          <w:highlight w:val="lightGray"/>
          <w:lang w:val="lt-LT"/>
        </w:rPr>
      </w:pPr>
      <w:r w:rsidRPr="00B8001E">
        <w:rPr>
          <w:rFonts w:ascii="Times New Roman" w:hAnsi="Times New Roman" w:cs="Times New Roman"/>
          <w:bCs/>
          <w:highlight w:val="lightGray"/>
          <w:lang w:val="lt-LT"/>
        </w:rPr>
        <w:t>LT/1/15/3693/001 – lizdinė plokštelė, N30</w:t>
      </w:r>
    </w:p>
    <w:p w:rsidR="00634910" w:rsidRPr="00B8001E" w:rsidRDefault="00634910" w:rsidP="00634910">
      <w:pPr>
        <w:spacing w:after="0" w:line="240" w:lineRule="auto"/>
        <w:rPr>
          <w:rFonts w:ascii="Times New Roman" w:hAnsi="Times New Roman" w:cs="Times New Roman"/>
          <w:bCs/>
          <w:highlight w:val="lightGray"/>
          <w:lang w:val="lt-LT"/>
        </w:rPr>
      </w:pPr>
      <w:r w:rsidRPr="00B8001E">
        <w:rPr>
          <w:rFonts w:ascii="Times New Roman" w:hAnsi="Times New Roman" w:cs="Times New Roman"/>
          <w:bCs/>
          <w:highlight w:val="lightGray"/>
          <w:lang w:val="lt-LT"/>
        </w:rPr>
        <w:t>LT/1/15/3693/002 – lizdinė plokštelė, N60</w:t>
      </w:r>
    </w:p>
    <w:p w:rsidR="00634910" w:rsidRPr="00B8001E" w:rsidRDefault="00634910" w:rsidP="00634910">
      <w:pPr>
        <w:spacing w:after="0" w:line="240" w:lineRule="auto"/>
        <w:rPr>
          <w:rFonts w:ascii="Times New Roman" w:hAnsi="Times New Roman" w:cs="Times New Roman"/>
          <w:bCs/>
          <w:highlight w:val="lightGray"/>
          <w:lang w:val="lt-LT"/>
        </w:rPr>
      </w:pPr>
      <w:r w:rsidRPr="00B8001E">
        <w:rPr>
          <w:rFonts w:ascii="Times New Roman" w:hAnsi="Times New Roman" w:cs="Times New Roman"/>
          <w:bCs/>
          <w:highlight w:val="lightGray"/>
          <w:lang w:val="lt-LT"/>
        </w:rPr>
        <w:t>LT/1/15/3693/003 – lizdinė plokštelė, N90</w:t>
      </w:r>
    </w:p>
    <w:p w:rsidR="00634910" w:rsidRPr="00B8001E" w:rsidRDefault="00634910" w:rsidP="00634910">
      <w:pPr>
        <w:spacing w:after="0" w:line="240" w:lineRule="auto"/>
        <w:rPr>
          <w:rFonts w:ascii="Times New Roman" w:hAnsi="Times New Roman" w:cs="Times New Roman"/>
          <w:bCs/>
          <w:highlight w:val="lightGray"/>
          <w:lang w:val="lt-LT"/>
        </w:rPr>
      </w:pPr>
      <w:r w:rsidRPr="00B8001E">
        <w:rPr>
          <w:rFonts w:ascii="Times New Roman" w:hAnsi="Times New Roman" w:cs="Times New Roman"/>
          <w:bCs/>
          <w:highlight w:val="lightGray"/>
          <w:lang w:val="lt-LT"/>
        </w:rPr>
        <w:t>LT/1/15/3693/004 – lizdinė plokštelė, N120</w:t>
      </w:r>
    </w:p>
    <w:p w:rsidR="00634910" w:rsidRDefault="00634910" w:rsidP="00634910">
      <w:pPr>
        <w:autoSpaceDE w:val="0"/>
        <w:autoSpaceDN w:val="0"/>
        <w:spacing w:after="0" w:line="240" w:lineRule="auto"/>
        <w:rPr>
          <w:rFonts w:ascii="Times New Roman" w:hAnsi="Times New Roman" w:cs="Times New Roman"/>
          <w:highlight w:val="lightGray"/>
          <w:lang w:val="lt-LT"/>
        </w:rPr>
      </w:pPr>
    </w:p>
    <w:p w:rsidR="00634910" w:rsidRPr="00AA32F0" w:rsidRDefault="00634910" w:rsidP="00634910">
      <w:pPr>
        <w:autoSpaceDE w:val="0"/>
        <w:autoSpaceDN w:val="0"/>
        <w:spacing w:after="0" w:line="240" w:lineRule="auto"/>
        <w:rPr>
          <w:rFonts w:ascii="Times New Roman" w:hAnsi="Times New Roman" w:cs="Times New Roman"/>
          <w:highlight w:val="lightGray"/>
          <w:lang w:val="lt-LT"/>
        </w:rPr>
      </w:pPr>
      <w:r w:rsidRPr="00AA32F0">
        <w:rPr>
          <w:rFonts w:ascii="Times New Roman" w:hAnsi="Times New Roman" w:cs="Times New Roman"/>
          <w:highlight w:val="lightGray"/>
          <w:lang w:val="lt-LT"/>
        </w:rPr>
        <w:t xml:space="preserve">Imatinib Ranbaxy 400 mg </w:t>
      </w:r>
    </w:p>
    <w:p w:rsidR="00634910" w:rsidRPr="00B8001E" w:rsidRDefault="00634910" w:rsidP="00634910">
      <w:pPr>
        <w:spacing w:after="0" w:line="240" w:lineRule="auto"/>
        <w:rPr>
          <w:rFonts w:ascii="Times New Roman" w:hAnsi="Times New Roman" w:cs="Times New Roman"/>
          <w:bCs/>
          <w:highlight w:val="lightGray"/>
          <w:lang w:val="lt-LT"/>
        </w:rPr>
      </w:pPr>
      <w:r w:rsidRPr="00B8001E">
        <w:rPr>
          <w:rFonts w:ascii="Times New Roman" w:hAnsi="Times New Roman" w:cs="Times New Roman"/>
          <w:bCs/>
          <w:highlight w:val="lightGray"/>
          <w:lang w:val="lt-LT"/>
        </w:rPr>
        <w:t>LT/1/15/3693/006 – lizdinė plokštelė, N30</w:t>
      </w:r>
    </w:p>
    <w:p w:rsidR="00634910" w:rsidRPr="00B8001E" w:rsidRDefault="00634910" w:rsidP="00634910">
      <w:pPr>
        <w:spacing w:after="0" w:line="240" w:lineRule="auto"/>
        <w:rPr>
          <w:rFonts w:ascii="Times New Roman" w:hAnsi="Times New Roman" w:cs="Times New Roman"/>
          <w:bCs/>
          <w:highlight w:val="lightGray"/>
          <w:lang w:val="lt-LT"/>
        </w:rPr>
      </w:pPr>
      <w:r w:rsidRPr="00B8001E">
        <w:rPr>
          <w:rFonts w:ascii="Times New Roman" w:hAnsi="Times New Roman" w:cs="Times New Roman"/>
          <w:bCs/>
          <w:highlight w:val="lightGray"/>
          <w:lang w:val="lt-LT"/>
        </w:rPr>
        <w:t>LT/1/15/3693/007 – lizdinė plokštelė, N60</w:t>
      </w:r>
    </w:p>
    <w:p w:rsidR="00634910" w:rsidRPr="00B8001E" w:rsidRDefault="00634910" w:rsidP="00634910">
      <w:pPr>
        <w:spacing w:after="0" w:line="240" w:lineRule="auto"/>
        <w:rPr>
          <w:rFonts w:ascii="Times New Roman" w:hAnsi="Times New Roman" w:cs="Times New Roman"/>
          <w:bCs/>
          <w:highlight w:val="lightGray"/>
          <w:lang w:val="lt-LT"/>
        </w:rPr>
      </w:pPr>
      <w:r w:rsidRPr="00B8001E">
        <w:rPr>
          <w:rFonts w:ascii="Times New Roman" w:hAnsi="Times New Roman" w:cs="Times New Roman"/>
          <w:bCs/>
          <w:highlight w:val="lightGray"/>
          <w:lang w:val="lt-LT"/>
        </w:rPr>
        <w:t>LT/1/15/3693/008 – lizdinė plokštelė, N90</w:t>
      </w:r>
    </w:p>
    <w:p w:rsidR="00634910" w:rsidRPr="00B8001E" w:rsidRDefault="00634910" w:rsidP="00634910">
      <w:pPr>
        <w:spacing w:after="0" w:line="240" w:lineRule="auto"/>
        <w:rPr>
          <w:rFonts w:ascii="Times New Roman" w:hAnsi="Times New Roman" w:cs="Times New Roman"/>
          <w:bCs/>
          <w:highlight w:val="lightGray"/>
          <w:lang w:val="lt-LT"/>
        </w:rPr>
      </w:pPr>
      <w:r w:rsidRPr="00B8001E">
        <w:rPr>
          <w:rFonts w:ascii="Times New Roman" w:hAnsi="Times New Roman" w:cs="Times New Roman"/>
          <w:bCs/>
          <w:highlight w:val="lightGray"/>
          <w:lang w:val="lt-LT"/>
        </w:rPr>
        <w:t>LT/1/15/3693/009 – lizdinė plokštelė, N120</w:t>
      </w:r>
    </w:p>
    <w:p w:rsidR="00634910" w:rsidRDefault="00634910" w:rsidP="00634910">
      <w:pPr>
        <w:widowControl w:val="0"/>
        <w:spacing w:after="0" w:line="240" w:lineRule="auto"/>
        <w:outlineLvl w:val="0"/>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13.</w:t>
      </w:r>
      <w:r>
        <w:rPr>
          <w:rFonts w:ascii="Times New Roman" w:hAnsi="Times New Roman" w:cs="Times New Roman"/>
          <w:b/>
          <w:lang w:val="lt-LT" w:eastAsia="en-US"/>
        </w:rPr>
        <w:tab/>
      </w:r>
      <w:r>
        <w:rPr>
          <w:rFonts w:ascii="Times New Roman" w:hAnsi="Times New Roman" w:cs="Times New Roman"/>
          <w:b/>
          <w:lang w:val="lt-LT"/>
        </w:rPr>
        <w:t>SERIJOS NUMERIS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Serija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14.</w:t>
      </w:r>
      <w:r>
        <w:rPr>
          <w:rFonts w:ascii="Times New Roman" w:hAnsi="Times New Roman" w:cs="Times New Roman"/>
          <w:b/>
          <w:lang w:val="lt-LT" w:eastAsia="en-US"/>
        </w:rPr>
        <w:tab/>
      </w:r>
      <w:r>
        <w:rPr>
          <w:rFonts w:ascii="Times New Roman" w:hAnsi="Times New Roman" w:cs="Times New Roman"/>
          <w:b/>
          <w:lang w:val="lt-LT"/>
        </w:rPr>
        <w:t>PARDAVIMO (IŠDAVIMO) TVARKA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r>
        <w:rPr>
          <w:rFonts w:ascii="Times New Roman" w:hAnsi="Times New Roman" w:cs="Times New Roman"/>
          <w:lang w:val="lt-LT"/>
        </w:rPr>
        <w:t>Receptinis vaistinis preparatas</w:t>
      </w:r>
      <w:r>
        <w:rPr>
          <w:rFonts w:ascii="Times New Roman" w:hAnsi="Times New Roman" w:cs="Times New Roman"/>
          <w:lang w:val="lt-LT" w:eastAsia="en-US"/>
        </w:rPr>
        <w:t>.</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15.</w:t>
      </w:r>
      <w:r>
        <w:rPr>
          <w:rFonts w:ascii="Times New Roman" w:hAnsi="Times New Roman" w:cs="Times New Roman"/>
          <w:b/>
          <w:lang w:val="lt-LT" w:eastAsia="en-US"/>
        </w:rPr>
        <w:tab/>
      </w:r>
      <w:r>
        <w:rPr>
          <w:rFonts w:ascii="Times New Roman" w:hAnsi="Times New Roman" w:cs="Times New Roman"/>
          <w:b/>
          <w:lang w:val="lt-LT"/>
        </w:rPr>
        <w:t>VARTOJIMO INSTRUKCIJA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16.</w:t>
      </w:r>
      <w:r>
        <w:rPr>
          <w:rFonts w:ascii="Times New Roman" w:hAnsi="Times New Roman" w:cs="Times New Roman"/>
          <w:b/>
          <w:lang w:val="lt-LT" w:eastAsia="en-US"/>
        </w:rPr>
        <w:tab/>
      </w:r>
      <w:r>
        <w:rPr>
          <w:rFonts w:ascii="Times New Roman" w:hAnsi="Times New Roman" w:cs="Times New Roman"/>
          <w:b/>
          <w:lang w:val="lt-LT"/>
        </w:rPr>
        <w:t>INFORMACIJA BRAILIO RAŠTU</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Imatinib Ranbaxy 100 mg</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highlight w:val="lightGray"/>
          <w:lang w:val="lt-LT" w:eastAsia="en-US"/>
        </w:rPr>
        <w:t>Imatinib Ranbaxy</w:t>
      </w:r>
      <w:r>
        <w:rPr>
          <w:rFonts w:ascii="Times New Roman" w:hAnsi="Times New Roman" w:cs="Times New Roman"/>
          <w:highlight w:val="lightGray"/>
          <w:lang w:val="lt-LT"/>
        </w:rPr>
        <w:t> 400 mg</w:t>
      </w:r>
      <w:r>
        <w:rPr>
          <w:rFonts w:ascii="Times New Roman" w:hAnsi="Times New Roman" w:cs="Times New Roman"/>
          <w:lang w:val="lt-LT"/>
        </w:rPr>
        <w:br w:type="page"/>
      </w:r>
    </w:p>
    <w:p w:rsidR="00634910" w:rsidRDefault="00634910" w:rsidP="0063491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highlight w:val="cyan"/>
          <w:lang w:val="lt-LT" w:eastAsia="en-US"/>
        </w:rPr>
      </w:pPr>
      <w:r w:rsidRPr="00D042FF">
        <w:rPr>
          <w:rFonts w:ascii="Times New Roman" w:eastAsia="Times New Roman" w:hAnsi="Times New Roman" w:cs="Times New Roman"/>
          <w:b/>
          <w:noProof/>
          <w:snapToGrid w:val="0"/>
          <w:szCs w:val="24"/>
          <w:lang w:val="lt-LT" w:eastAsia="en-US" w:bidi="ar-SA"/>
        </w:rPr>
        <w:lastRenderedPageBreak/>
        <w:t>MINIMALI INFORMACIJA ANT LIZDINIŲ PLOKŠTELIŲ ARBA DVISLUOKSNIŲ JUOSTELIŲ</w:t>
      </w:r>
    </w:p>
    <w:p w:rsidR="00634910" w:rsidRDefault="00634910" w:rsidP="0063491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highlight w:val="cy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en-US"/>
        </w:rPr>
      </w:pPr>
      <w:r>
        <w:rPr>
          <w:rFonts w:ascii="Times New Roman" w:hAnsi="Times New Roman" w:cs="Times New Roman"/>
          <w:b/>
          <w:lang w:val="lt-LT" w:eastAsia="en-US"/>
        </w:rPr>
        <w:t xml:space="preserve">LIZDINĖS PLOKŠTELĖS </w:t>
      </w:r>
    </w:p>
    <w:p w:rsidR="00634910" w:rsidRDefault="00634910" w:rsidP="00634910">
      <w:pPr>
        <w:widowControl w:val="0"/>
        <w:spacing w:after="0" w:line="240" w:lineRule="auto"/>
        <w:rPr>
          <w:rFonts w:ascii="Times New Roman" w:hAnsi="Times New Roman" w:cs="Times New Roman"/>
          <w:b/>
          <w:lang w:val="lt-LT" w:eastAsia="en-US"/>
        </w:rPr>
      </w:pPr>
    </w:p>
    <w:p w:rsidR="00634910" w:rsidRDefault="00634910" w:rsidP="00634910">
      <w:pPr>
        <w:widowControl w:val="0"/>
        <w:spacing w:after="0" w:line="240" w:lineRule="auto"/>
        <w:rPr>
          <w:rFonts w:ascii="Times New Roman" w:hAnsi="Times New Roman" w:cs="Times New Roman"/>
          <w:b/>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lang w:val="lt-LT" w:eastAsia="en-US"/>
        </w:rPr>
      </w:pPr>
      <w:r>
        <w:rPr>
          <w:rFonts w:ascii="Times New Roman" w:hAnsi="Times New Roman" w:cs="Times New Roman"/>
          <w:b/>
          <w:lang w:val="lt-LT" w:eastAsia="en-US"/>
        </w:rPr>
        <w:t>1.</w:t>
      </w:r>
      <w:r>
        <w:rPr>
          <w:rFonts w:ascii="Times New Roman" w:hAnsi="Times New Roman" w:cs="Times New Roman"/>
          <w:b/>
          <w:lang w:val="lt-LT" w:eastAsia="en-US"/>
        </w:rPr>
        <w:tab/>
      </w:r>
      <w:r>
        <w:rPr>
          <w:rFonts w:ascii="Times New Roman" w:hAnsi="Times New Roman" w:cs="Times New Roman"/>
          <w:b/>
          <w:caps/>
          <w:lang w:val="lt-LT"/>
        </w:rPr>
        <w:t>VAISTINIO</w:t>
      </w:r>
      <w:r>
        <w:rPr>
          <w:rFonts w:ascii="Times New Roman" w:hAnsi="Times New Roman" w:cs="Times New Roman"/>
          <w:b/>
          <w:lang w:val="lt-LT"/>
        </w:rPr>
        <w:t xml:space="preserve"> PREPARATO PAVADINIMAS</w:t>
      </w:r>
    </w:p>
    <w:p w:rsidR="00634910" w:rsidRDefault="00634910" w:rsidP="00634910">
      <w:pPr>
        <w:widowControl w:val="0"/>
        <w:spacing w:after="0" w:line="240" w:lineRule="auto"/>
        <w:rPr>
          <w:rFonts w:ascii="Times New Roman" w:hAnsi="Times New Roman" w:cs="Times New Roman"/>
          <w:highlight w:val="cy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Imatinib Ranbaxy 100 mg plėvele dengtos tabletės</w:t>
      </w:r>
    </w:p>
    <w:p w:rsidR="00634910" w:rsidRDefault="00634910" w:rsidP="00634910">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eastAsia="en-US"/>
        </w:rPr>
        <w:t>Imatinib Ranbaxy</w:t>
      </w:r>
      <w:r>
        <w:rPr>
          <w:rFonts w:ascii="Times New Roman" w:hAnsi="Times New Roman" w:cs="Times New Roman"/>
          <w:highlight w:val="lightGray"/>
          <w:lang w:val="lt-LT"/>
        </w:rPr>
        <w:t xml:space="preserve"> 400 mg plėvele dengtos tabletės</w:t>
      </w:r>
    </w:p>
    <w:p w:rsidR="00634910" w:rsidRDefault="00634910" w:rsidP="00634910">
      <w:pPr>
        <w:widowControl w:val="0"/>
        <w:spacing w:after="0" w:line="240" w:lineRule="auto"/>
        <w:rPr>
          <w:rFonts w:ascii="Times New Roman" w:hAnsi="Times New Roman" w:cs="Times New Roman"/>
          <w:lang w:val="lt-LT" w:eastAsia="en-US"/>
        </w:rPr>
      </w:pPr>
    </w:p>
    <w:p w:rsidR="00634910" w:rsidRPr="00C717B1" w:rsidRDefault="00634910" w:rsidP="00634910">
      <w:pPr>
        <w:widowControl w:val="0"/>
        <w:spacing w:after="0" w:line="240" w:lineRule="auto"/>
        <w:rPr>
          <w:rFonts w:ascii="Times New Roman" w:hAnsi="Times New Roman" w:cs="Times New Roman"/>
          <w:i/>
          <w:lang w:val="lt-LT" w:eastAsia="en-US"/>
        </w:rPr>
      </w:pPr>
      <w:r w:rsidRPr="00C717B1">
        <w:rPr>
          <w:rFonts w:ascii="Times New Roman" w:hAnsi="Times New Roman" w:cs="Times New Roman"/>
          <w:i/>
          <w:lang w:val="lt-LT" w:eastAsia="en-US"/>
        </w:rPr>
        <w:t>Imatinib</w:t>
      </w:r>
      <w:r>
        <w:rPr>
          <w:rFonts w:ascii="Times New Roman" w:hAnsi="Times New Roman" w:cs="Times New Roman"/>
          <w:i/>
          <w:lang w:val="lt-LT" w:eastAsia="en-US"/>
        </w:rPr>
        <w:t>um</w:t>
      </w:r>
    </w:p>
    <w:p w:rsidR="00634910" w:rsidRDefault="00634910" w:rsidP="00634910">
      <w:pPr>
        <w:widowControl w:val="0"/>
        <w:spacing w:after="0" w:line="240" w:lineRule="auto"/>
        <w:rPr>
          <w:rFonts w:ascii="Times New Roman" w:hAnsi="Times New Roman" w:cs="Times New Roman"/>
          <w:b/>
          <w:lang w:val="lt-LT" w:eastAsia="en-US"/>
        </w:rPr>
      </w:pPr>
    </w:p>
    <w:p w:rsidR="00634910" w:rsidRDefault="00634910" w:rsidP="00634910">
      <w:pPr>
        <w:widowControl w:val="0"/>
        <w:spacing w:after="0" w:line="240" w:lineRule="auto"/>
        <w:rPr>
          <w:rFonts w:ascii="Times New Roman" w:hAnsi="Times New Roman" w:cs="Times New Roman"/>
          <w:b/>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lang w:val="lt-LT" w:eastAsia="en-US"/>
        </w:rPr>
      </w:pPr>
      <w:r>
        <w:rPr>
          <w:rFonts w:ascii="Times New Roman" w:hAnsi="Times New Roman" w:cs="Times New Roman"/>
          <w:b/>
          <w:lang w:val="lt-LT" w:eastAsia="en-US"/>
        </w:rPr>
        <w:t>2.</w:t>
      </w:r>
      <w:r>
        <w:rPr>
          <w:rFonts w:ascii="Times New Roman" w:hAnsi="Times New Roman" w:cs="Times New Roman"/>
          <w:b/>
          <w:lang w:val="lt-LT" w:eastAsia="en-US"/>
        </w:rPr>
        <w:tab/>
      </w:r>
      <w:r w:rsidRPr="00741D3D">
        <w:rPr>
          <w:rFonts w:ascii="Times New Roman" w:hAnsi="Times New Roman" w:cs="Times New Roman"/>
          <w:b/>
          <w:caps/>
          <w:lang w:val="lt-LT"/>
        </w:rPr>
        <w:t>REGISTRUOTOJO</w:t>
      </w:r>
      <w:r>
        <w:rPr>
          <w:rFonts w:ascii="Times New Roman" w:hAnsi="Times New Roman" w:cs="Times New Roman"/>
          <w:b/>
          <w:caps/>
          <w:lang w:val="lt-LT"/>
        </w:rPr>
        <w:t xml:space="preserve"> pavadinimas</w:t>
      </w:r>
    </w:p>
    <w:p w:rsidR="00634910" w:rsidRDefault="00634910" w:rsidP="00634910">
      <w:pPr>
        <w:widowControl w:val="0"/>
        <w:tabs>
          <w:tab w:val="left" w:pos="567"/>
        </w:tabs>
        <w:spacing w:after="0" w:line="240" w:lineRule="auto"/>
        <w:rPr>
          <w:rFonts w:ascii="Times New Roman" w:hAnsi="Times New Roman" w:cs="Times New Roman"/>
          <w:highlight w:val="yellow"/>
          <w:lang w:val="lt-LT" w:eastAsia="en-US"/>
        </w:rPr>
      </w:pP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Ranb</w:t>
      </w:r>
      <w:r>
        <w:rPr>
          <w:rFonts w:ascii="Times New Roman" w:hAnsi="Times New Roman" w:cs="Times New Roman"/>
          <w:lang w:val="lt-LT"/>
        </w:rPr>
        <w:t>axy (UK) Ltd.</w:t>
      </w:r>
    </w:p>
    <w:p w:rsidR="00634910" w:rsidRDefault="00634910" w:rsidP="00634910">
      <w:pPr>
        <w:widowControl w:val="0"/>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b/>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lang w:val="lt-LT" w:eastAsia="en-US"/>
        </w:rPr>
      </w:pPr>
      <w:r>
        <w:rPr>
          <w:rFonts w:ascii="Times New Roman" w:hAnsi="Times New Roman" w:cs="Times New Roman"/>
          <w:b/>
          <w:lang w:val="lt-LT" w:eastAsia="en-US"/>
        </w:rPr>
        <w:t>3.</w:t>
      </w:r>
      <w:r>
        <w:rPr>
          <w:rFonts w:ascii="Times New Roman" w:hAnsi="Times New Roman" w:cs="Times New Roman"/>
          <w:b/>
          <w:lang w:val="lt-LT" w:eastAsia="en-US"/>
        </w:rPr>
        <w:tab/>
      </w:r>
      <w:r>
        <w:rPr>
          <w:rFonts w:ascii="Times New Roman" w:hAnsi="Times New Roman" w:cs="Times New Roman"/>
          <w:b/>
          <w:lang w:val="lt-LT"/>
        </w:rPr>
        <w:t>TINKAMUMO LAIKAS</w:t>
      </w:r>
    </w:p>
    <w:p w:rsidR="00634910" w:rsidRDefault="00634910" w:rsidP="00634910">
      <w:pPr>
        <w:widowControl w:val="0"/>
        <w:tabs>
          <w:tab w:val="left" w:pos="567"/>
        </w:tabs>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EXP &lt;mm/MMMM&gt;</w:t>
      </w:r>
    </w:p>
    <w:p w:rsidR="00634910" w:rsidRDefault="00634910" w:rsidP="00634910">
      <w:pPr>
        <w:widowControl w:val="0"/>
        <w:spacing w:after="0" w:line="240" w:lineRule="auto"/>
        <w:rPr>
          <w:rFonts w:ascii="Times New Roman" w:hAnsi="Times New Roman" w:cs="Times New Roman"/>
          <w:b/>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right="113"/>
        <w:rPr>
          <w:rFonts w:ascii="Times New Roman" w:hAnsi="Times New Roman" w:cs="Times New Roman"/>
          <w:lang w:val="lt-LT" w:eastAsia="en-US"/>
        </w:rPr>
      </w:pPr>
      <w:r>
        <w:rPr>
          <w:rFonts w:ascii="Times New Roman" w:hAnsi="Times New Roman" w:cs="Times New Roman"/>
          <w:b/>
          <w:lang w:val="lt-LT" w:eastAsia="en-US"/>
        </w:rPr>
        <w:t>4.</w:t>
      </w:r>
      <w:r>
        <w:rPr>
          <w:rFonts w:ascii="Times New Roman" w:hAnsi="Times New Roman" w:cs="Times New Roman"/>
          <w:b/>
          <w:lang w:val="lt-LT" w:eastAsia="en-US"/>
        </w:rPr>
        <w:tab/>
      </w:r>
      <w:r>
        <w:rPr>
          <w:rFonts w:ascii="Times New Roman" w:hAnsi="Times New Roman" w:cs="Times New Roman"/>
          <w:b/>
          <w:lang w:val="lt-LT"/>
        </w:rPr>
        <w:t>SERIJOS NUMERIS</w:t>
      </w:r>
    </w:p>
    <w:p w:rsidR="00634910" w:rsidRDefault="00634910" w:rsidP="00634910">
      <w:pPr>
        <w:widowControl w:val="0"/>
        <w:tabs>
          <w:tab w:val="left" w:pos="567"/>
        </w:tabs>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Lot</w:t>
      </w:r>
    </w:p>
    <w:p w:rsidR="00634910" w:rsidRDefault="00634910" w:rsidP="00634910">
      <w:pPr>
        <w:widowControl w:val="0"/>
        <w:spacing w:after="0" w:line="240" w:lineRule="auto"/>
        <w:ind w:right="113"/>
        <w:rPr>
          <w:rFonts w:ascii="Times New Roman" w:hAnsi="Times New Roman" w:cs="Times New Roman"/>
          <w:lang w:val="lt-LT" w:eastAsia="en-US"/>
        </w:rPr>
      </w:pPr>
    </w:p>
    <w:p w:rsidR="00634910" w:rsidRDefault="00634910" w:rsidP="00634910">
      <w:pPr>
        <w:widowControl w:val="0"/>
        <w:spacing w:after="0" w:line="240" w:lineRule="auto"/>
        <w:ind w:right="113"/>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right="113"/>
        <w:rPr>
          <w:rFonts w:ascii="Times New Roman" w:hAnsi="Times New Roman" w:cs="Times New Roman"/>
          <w:lang w:val="lt-LT" w:eastAsia="en-US"/>
        </w:rPr>
      </w:pPr>
      <w:r>
        <w:rPr>
          <w:rFonts w:ascii="Times New Roman" w:hAnsi="Times New Roman" w:cs="Times New Roman"/>
          <w:b/>
          <w:lang w:val="lt-LT" w:eastAsia="en-US"/>
        </w:rPr>
        <w:t>5.</w:t>
      </w:r>
      <w:r>
        <w:rPr>
          <w:rFonts w:ascii="Times New Roman" w:hAnsi="Times New Roman" w:cs="Times New Roman"/>
          <w:b/>
          <w:lang w:val="lt-LT" w:eastAsia="en-US"/>
        </w:rPr>
        <w:tab/>
        <w:t>KITA</w:t>
      </w:r>
    </w:p>
    <w:p w:rsidR="00634910" w:rsidRDefault="00634910" w:rsidP="00634910">
      <w:pPr>
        <w:widowControl w:val="0"/>
        <w:spacing w:after="0" w:line="240" w:lineRule="auto"/>
        <w:rPr>
          <w:rFonts w:ascii="Times New Roman" w:hAnsi="Times New Roman" w:cs="Times New Roman"/>
          <w:iCs/>
          <w:highlight w:val="red"/>
          <w:lang w:val="lt-LT"/>
        </w:rPr>
      </w:pPr>
    </w:p>
    <w:p w:rsidR="00634910" w:rsidRDefault="00634910" w:rsidP="00634910">
      <w:pPr>
        <w:rPr>
          <w:rFonts w:ascii="Times New Roman" w:hAnsi="Times New Roman" w:cs="Times New Roman"/>
          <w:i/>
          <w:iCs/>
          <w:color w:val="008000"/>
          <w:lang w:val="lt-LT"/>
        </w:rPr>
      </w:pPr>
      <w:r>
        <w:rPr>
          <w:rFonts w:ascii="Times New Roman" w:hAnsi="Times New Roman" w:cs="Times New Roman"/>
          <w:i/>
          <w:iCs/>
          <w:color w:val="008000"/>
          <w:lang w:val="lt-LT"/>
        </w:rPr>
        <w:br w:type="page"/>
      </w:r>
    </w:p>
    <w:p w:rsidR="00634910" w:rsidRDefault="00634910" w:rsidP="00634910">
      <w:pPr>
        <w:spacing w:after="0" w:line="240" w:lineRule="auto"/>
        <w:rPr>
          <w:rFonts w:ascii="Times New Roman" w:hAnsi="Times New Roman" w:cs="Times New Roman"/>
          <w:lang w:val="lt-LT"/>
        </w:rPr>
      </w:pPr>
    </w:p>
    <w:p w:rsidR="00634910" w:rsidRDefault="00634910" w:rsidP="006349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INFORMACIJA ANT IŠORINĖS PAKUOTĖS</w:t>
      </w:r>
    </w:p>
    <w:p w:rsidR="00634910" w:rsidRDefault="00634910" w:rsidP="006349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rsidR="00634910" w:rsidRDefault="00634910" w:rsidP="0063491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en-US"/>
        </w:rPr>
      </w:pPr>
      <w:r>
        <w:rPr>
          <w:rFonts w:ascii="Times New Roman" w:hAnsi="Times New Roman" w:cs="Times New Roman"/>
          <w:b/>
          <w:lang w:val="lt-LT" w:eastAsia="en-US"/>
        </w:rPr>
        <w:t>KARTONO DĖŽUTĖ (buteliuko pakuotė)</w:t>
      </w:r>
    </w:p>
    <w:p w:rsidR="00634910" w:rsidRDefault="00634910" w:rsidP="00634910">
      <w:pPr>
        <w:widowControl w:val="0"/>
        <w:spacing w:after="0" w:line="240" w:lineRule="auto"/>
        <w:rPr>
          <w:rFonts w:ascii="Times New Roman" w:hAnsi="Times New Roman" w:cs="Times New Roman"/>
          <w:b/>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w:t>
      </w:r>
      <w:r>
        <w:rPr>
          <w:rFonts w:ascii="Times New Roman" w:hAnsi="Times New Roman" w:cs="Times New Roman"/>
          <w:b/>
          <w:lang w:val="lt-LT" w:eastAsia="en-US"/>
        </w:rPr>
        <w:tab/>
      </w:r>
      <w:r>
        <w:rPr>
          <w:rFonts w:ascii="Times New Roman" w:hAnsi="Times New Roman" w:cs="Times New Roman"/>
          <w:b/>
          <w:lang w:val="lt-LT"/>
        </w:rPr>
        <w:t>VAISTINIO PREPARATO PAVADINIMAS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Imatinib Ranbaxy 100 mg plėvele dengtos tabletės</w:t>
      </w:r>
    </w:p>
    <w:p w:rsidR="00634910" w:rsidRDefault="00634910" w:rsidP="00634910">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eastAsia="en-US"/>
        </w:rPr>
        <w:t>Imatinib Ranbaxy</w:t>
      </w:r>
      <w:r>
        <w:rPr>
          <w:rFonts w:ascii="Times New Roman" w:hAnsi="Times New Roman" w:cs="Times New Roman"/>
          <w:highlight w:val="lightGray"/>
          <w:lang w:val="lt-LT"/>
        </w:rPr>
        <w:t xml:space="preserve"> 400 mg plėvele dengtos tabletės</w:t>
      </w:r>
    </w:p>
    <w:p w:rsidR="00634910" w:rsidRDefault="00634910" w:rsidP="00634910">
      <w:pPr>
        <w:widowControl w:val="0"/>
        <w:spacing w:after="0" w:line="240" w:lineRule="auto"/>
        <w:rPr>
          <w:rFonts w:ascii="Times New Roman" w:hAnsi="Times New Roman" w:cs="Times New Roman"/>
          <w:lang w:val="lt-LT" w:eastAsia="en-US"/>
        </w:rPr>
      </w:pPr>
    </w:p>
    <w:p w:rsidR="00634910" w:rsidRPr="0075480D" w:rsidRDefault="00634910" w:rsidP="00634910">
      <w:pPr>
        <w:widowControl w:val="0"/>
        <w:spacing w:after="0" w:line="240" w:lineRule="auto"/>
        <w:rPr>
          <w:rFonts w:ascii="Times New Roman" w:hAnsi="Times New Roman" w:cs="Times New Roman"/>
          <w:i/>
          <w:lang w:val="lt-LT" w:eastAsia="en-US"/>
        </w:rPr>
      </w:pPr>
      <w:r>
        <w:rPr>
          <w:rFonts w:ascii="Times New Roman" w:hAnsi="Times New Roman" w:cs="Times New Roman"/>
          <w:i/>
          <w:lang w:val="lt-LT" w:eastAsia="en-US"/>
        </w:rPr>
        <w:t>Imatinibum</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eastAsia="en-US"/>
        </w:rPr>
      </w:pPr>
      <w:r>
        <w:rPr>
          <w:rFonts w:ascii="Times New Roman" w:hAnsi="Times New Roman" w:cs="Times New Roman"/>
          <w:b/>
          <w:lang w:val="lt-LT" w:eastAsia="en-US"/>
        </w:rPr>
        <w:t>2.</w:t>
      </w:r>
      <w:r>
        <w:rPr>
          <w:rFonts w:ascii="Times New Roman" w:hAnsi="Times New Roman" w:cs="Times New Roman"/>
          <w:b/>
          <w:lang w:val="lt-LT" w:eastAsia="en-US"/>
        </w:rPr>
        <w:tab/>
      </w:r>
      <w:r>
        <w:rPr>
          <w:rFonts w:ascii="Times New Roman" w:hAnsi="Times New Roman" w:cs="Times New Roman"/>
          <w:b/>
          <w:lang w:val="lt-LT"/>
        </w:rPr>
        <w:t>VEIKLIOJI (-IOS) MEDŽIAGA (-OS) IR JOS (-Ų) KIEKIS (-IAI)</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autoSpaceDE w:val="0"/>
        <w:autoSpaceDN w:val="0"/>
        <w:adjustRightInd w:val="0"/>
        <w:spacing w:after="0" w:line="240" w:lineRule="auto"/>
        <w:jc w:val="both"/>
        <w:rPr>
          <w:rFonts w:ascii="Times New Roman" w:hAnsi="Times New Roman" w:cs="Times New Roman"/>
          <w:lang w:val="lt-LT" w:eastAsia="en-US"/>
        </w:rPr>
      </w:pPr>
      <w:r>
        <w:rPr>
          <w:rFonts w:ascii="Times New Roman" w:hAnsi="Times New Roman" w:cs="Times New Roman"/>
          <w:lang w:val="lt-LT" w:eastAsia="en-US"/>
        </w:rPr>
        <w:t>Kiekvienoje plėvele dengtoje tabletėje yra 100 mg imatinibo (mesilato pavidalu).</w:t>
      </w:r>
    </w:p>
    <w:p w:rsidR="00634910" w:rsidRDefault="00634910" w:rsidP="00634910">
      <w:pPr>
        <w:widowControl w:val="0"/>
        <w:autoSpaceDE w:val="0"/>
        <w:autoSpaceDN w:val="0"/>
        <w:adjustRightInd w:val="0"/>
        <w:spacing w:after="0" w:line="240" w:lineRule="auto"/>
        <w:jc w:val="both"/>
        <w:rPr>
          <w:rFonts w:ascii="Times New Roman" w:hAnsi="Times New Roman" w:cs="Times New Roman"/>
          <w:lang w:val="lt-LT" w:eastAsia="en-US"/>
        </w:rPr>
      </w:pPr>
      <w:r>
        <w:rPr>
          <w:rFonts w:ascii="Times New Roman" w:hAnsi="Times New Roman" w:cs="Times New Roman"/>
          <w:highlight w:val="lightGray"/>
          <w:lang w:val="lt-LT"/>
        </w:rPr>
        <w:t>Kiekvienoje plėvele dengtoje tabletėje yra 400 mg imatinibo (mesilato pavidalu).</w:t>
      </w:r>
    </w:p>
    <w:p w:rsidR="00634910" w:rsidRDefault="00634910" w:rsidP="00634910">
      <w:pPr>
        <w:widowControl w:val="0"/>
        <w:spacing w:after="0" w:line="240" w:lineRule="auto"/>
        <w:rPr>
          <w:rFonts w:ascii="Times New Roman" w:hAnsi="Times New Roman" w:cs="Times New Roman"/>
          <w:iCs/>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3.</w:t>
      </w:r>
      <w:r>
        <w:rPr>
          <w:rFonts w:ascii="Times New Roman" w:hAnsi="Times New Roman" w:cs="Times New Roman"/>
          <w:b/>
          <w:lang w:val="lt-LT" w:eastAsia="en-US"/>
        </w:rPr>
        <w:tab/>
      </w:r>
      <w:r>
        <w:rPr>
          <w:rFonts w:ascii="Times New Roman" w:hAnsi="Times New Roman" w:cs="Times New Roman"/>
          <w:b/>
          <w:lang w:val="lt-LT"/>
        </w:rPr>
        <w:t>PAGALBINIŲ MEDŽIAGŲ SĄRAŠAS</w:t>
      </w:r>
    </w:p>
    <w:p w:rsidR="00634910" w:rsidRDefault="00634910" w:rsidP="00634910">
      <w:pPr>
        <w:widowControl w:val="0"/>
        <w:spacing w:after="0" w:line="240" w:lineRule="auto"/>
        <w:rPr>
          <w:rFonts w:ascii="Times New Roman" w:hAnsi="Times New Roman" w:cs="Times New Roman"/>
          <w:i/>
          <w:iCs/>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4.</w:t>
      </w:r>
      <w:r>
        <w:rPr>
          <w:rFonts w:ascii="Times New Roman" w:hAnsi="Times New Roman" w:cs="Times New Roman"/>
          <w:b/>
          <w:lang w:val="lt-LT" w:eastAsia="en-US"/>
        </w:rPr>
        <w:tab/>
      </w:r>
      <w:r>
        <w:rPr>
          <w:rFonts w:ascii="Times New Roman" w:hAnsi="Times New Roman" w:cs="Times New Roman"/>
          <w:b/>
          <w:lang w:val="lt-LT"/>
        </w:rPr>
        <w:t>FARMACINĖ FORMA IR KIEKIS PAKUOTĖJE</w:t>
      </w:r>
    </w:p>
    <w:p w:rsidR="00634910" w:rsidRDefault="00634910" w:rsidP="00634910">
      <w:pPr>
        <w:widowControl w:val="0"/>
        <w:spacing w:after="0" w:line="240" w:lineRule="auto"/>
        <w:rPr>
          <w:rFonts w:ascii="Times New Roman" w:hAnsi="Times New Roman" w:cs="Times New Roman"/>
          <w:lang w:val="lt-LT" w:eastAsia="en-US"/>
        </w:rPr>
      </w:pPr>
    </w:p>
    <w:p w:rsidR="00634910" w:rsidRPr="00BE33ED" w:rsidRDefault="00634910" w:rsidP="00634910">
      <w:pPr>
        <w:spacing w:after="0" w:line="240" w:lineRule="auto"/>
        <w:rPr>
          <w:rFonts w:ascii="Times New Roman" w:hAnsi="Times New Roman" w:cs="Times New Roman"/>
          <w:lang w:val="lt-LT" w:eastAsia="en-US"/>
        </w:rPr>
      </w:pPr>
      <w:r w:rsidRPr="00BE33ED">
        <w:rPr>
          <w:rFonts w:ascii="Times New Roman" w:hAnsi="Times New Roman" w:cs="Times New Roman"/>
          <w:lang w:val="lt-LT" w:eastAsia="en-US"/>
        </w:rPr>
        <w:t>Plėvele dengta tabletė</w:t>
      </w:r>
      <w:r>
        <w:rPr>
          <w:rFonts w:ascii="Times New Roman" w:hAnsi="Times New Roman" w:cs="Times New Roman"/>
          <w:lang w:val="lt-LT" w:eastAsia="en-US"/>
        </w:rPr>
        <w:t>.</w:t>
      </w:r>
    </w:p>
    <w:p w:rsidR="00634910" w:rsidRDefault="00634910" w:rsidP="00634910">
      <w:pPr>
        <w:spacing w:after="0" w:line="240" w:lineRule="auto"/>
        <w:rPr>
          <w:rFonts w:ascii="Times New Roman" w:hAnsi="Times New Roman" w:cs="Times New Roman"/>
          <w:highlight w:val="lightGray"/>
          <w:lang w:val="lt-LT"/>
        </w:rPr>
      </w:pPr>
    </w:p>
    <w:p w:rsidR="00634910" w:rsidRDefault="00634910" w:rsidP="00634910">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100 tablečių</w:t>
      </w:r>
    </w:p>
    <w:p w:rsidR="00634910" w:rsidRDefault="00634910" w:rsidP="00634910">
      <w:pPr>
        <w:autoSpaceDE w:val="0"/>
        <w:autoSpaceDN w:val="0"/>
        <w:spacing w:after="0" w:line="240" w:lineRule="auto"/>
        <w:rPr>
          <w:rFonts w:ascii="Times New Roman" w:hAnsi="Times New Roman" w:cs="Times New Roman"/>
          <w:highlight w:val="lightGray"/>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5.</w:t>
      </w:r>
      <w:r>
        <w:rPr>
          <w:rFonts w:ascii="Times New Roman" w:hAnsi="Times New Roman" w:cs="Times New Roman"/>
          <w:b/>
          <w:lang w:val="lt-LT" w:eastAsia="en-US"/>
        </w:rPr>
        <w:tab/>
      </w:r>
      <w:r>
        <w:rPr>
          <w:rFonts w:ascii="Times New Roman" w:hAnsi="Times New Roman" w:cs="Times New Roman"/>
          <w:b/>
          <w:lang w:val="lt-LT"/>
        </w:rPr>
        <w:t>VARTOJIMO METODAS IR BŪDAS (-AI)</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Vartoti per burną.</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rsidR="00634910" w:rsidRDefault="00634910" w:rsidP="00634910">
      <w:pPr>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val="lt-LT" w:eastAsia="en-US"/>
        </w:rPr>
      </w:pPr>
      <w:r>
        <w:rPr>
          <w:rFonts w:ascii="Times New Roman" w:hAnsi="Times New Roman" w:cs="Times New Roman"/>
          <w:b/>
          <w:lang w:val="lt-LT" w:eastAsia="en-US"/>
        </w:rPr>
        <w:t>6.</w:t>
      </w:r>
      <w:r>
        <w:rPr>
          <w:rFonts w:ascii="Times New Roman" w:hAnsi="Times New Roman" w:cs="Times New Roman"/>
          <w:b/>
          <w:lang w:val="lt-LT" w:eastAsia="en-US"/>
        </w:rPr>
        <w:tab/>
      </w:r>
      <w:r>
        <w:rPr>
          <w:rFonts w:ascii="Times New Roman" w:hAnsi="Times New Roman" w:cs="Times New Roman"/>
          <w:b/>
          <w:lang w:val="lt-LT"/>
        </w:rPr>
        <w:t>SPECIALUS ĮSPĖJIMAS, KAD VAISTINĮ PREPARATĄ BŪTINA LAIKYTI VAIKAMS NEPASTEBIMOJE IR NEPASIEKIAMOJE VIETOJE</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Laikyti vaikams nepastebimoje ir nepasiekiamoje vietoje.</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7.</w:t>
      </w:r>
      <w:r>
        <w:rPr>
          <w:rFonts w:ascii="Times New Roman" w:hAnsi="Times New Roman" w:cs="Times New Roman"/>
          <w:b/>
          <w:lang w:val="lt-LT" w:eastAsia="en-US"/>
        </w:rPr>
        <w:tab/>
      </w:r>
      <w:r>
        <w:rPr>
          <w:rFonts w:ascii="Times New Roman" w:hAnsi="Times New Roman" w:cs="Times New Roman"/>
          <w:b/>
          <w:lang w:val="lt-LT"/>
        </w:rPr>
        <w:t>KITAS (-I) SPECIALUS (-ŪS) ĮSPĖJIMAS (-AI) (JEI REIKIA)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r>
        <w:rPr>
          <w:rFonts w:ascii="Times New Roman" w:hAnsi="Times New Roman" w:cs="Times New Roman"/>
          <w:lang w:val="lt-LT" w:eastAsia="en-US"/>
        </w:rPr>
        <w:t>Vartoti laikantis gydytojo nurodymo.</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8.</w:t>
      </w:r>
      <w:r>
        <w:rPr>
          <w:rFonts w:ascii="Times New Roman" w:hAnsi="Times New Roman" w:cs="Times New Roman"/>
          <w:b/>
          <w:lang w:val="lt-LT" w:eastAsia="en-US"/>
        </w:rPr>
        <w:tab/>
      </w:r>
      <w:r>
        <w:rPr>
          <w:rFonts w:ascii="Times New Roman" w:hAnsi="Times New Roman" w:cs="Times New Roman"/>
          <w:b/>
          <w:lang w:val="lt-LT"/>
        </w:rPr>
        <w:t>TINKAMUMO LAIKAS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Tinka iki &lt;mm/MMMM&gt;</w:t>
      </w: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lastRenderedPageBreak/>
        <w:t>Pirmą kartą atidarius suvartoti per 100 dienų.</w:t>
      </w:r>
    </w:p>
    <w:p w:rsidR="00634910" w:rsidRDefault="00634910" w:rsidP="00634910">
      <w:pPr>
        <w:widowControl w:val="0"/>
        <w:spacing w:after="0" w:line="240" w:lineRule="auto"/>
        <w:rPr>
          <w:rFonts w:ascii="Times New Roman" w:hAnsi="Times New Roman" w:cs="Times New Roman"/>
          <w:iCs/>
          <w:highlight w:val="cyan"/>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9.</w:t>
      </w:r>
      <w:r>
        <w:rPr>
          <w:rFonts w:ascii="Times New Roman" w:hAnsi="Times New Roman" w:cs="Times New Roman"/>
          <w:b/>
          <w:lang w:val="lt-LT" w:eastAsia="en-US"/>
        </w:rPr>
        <w:tab/>
      </w:r>
      <w:r>
        <w:rPr>
          <w:rFonts w:ascii="Times New Roman" w:hAnsi="Times New Roman" w:cs="Times New Roman"/>
          <w:b/>
          <w:lang w:val="lt-LT"/>
        </w:rPr>
        <w:t>SPECIALIOS LAIKYMO SĄLYGOS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Pr="00C33EFD"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lang w:val="lt-LT" w:eastAsia="en-US"/>
        </w:rPr>
      </w:pPr>
      <w:r>
        <w:rPr>
          <w:rFonts w:ascii="Times New Roman" w:hAnsi="Times New Roman" w:cs="Times New Roman"/>
          <w:b/>
          <w:lang w:val="lt-LT" w:eastAsia="en-US"/>
        </w:rPr>
        <w:t>10.</w:t>
      </w:r>
      <w:r>
        <w:rPr>
          <w:rFonts w:ascii="Times New Roman" w:hAnsi="Times New Roman" w:cs="Times New Roman"/>
          <w:b/>
          <w:lang w:val="lt-LT" w:eastAsia="en-US"/>
        </w:rPr>
        <w:tab/>
      </w:r>
      <w:r>
        <w:rPr>
          <w:rFonts w:ascii="Times New Roman" w:hAnsi="Times New Roman" w:cs="Times New Roman"/>
          <w:b/>
          <w:lang w:val="lt-LT"/>
        </w:rPr>
        <w:t>SPECIALIOS ATSARGUMO PRIEMONĖS DĖL NESUVARTOTO VAISTINIO PREPARATO AR JO ATLIEKŲ TVARKYMO (JEI REIKIA)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eastAsia="en-US"/>
        </w:rPr>
      </w:pPr>
      <w:r>
        <w:rPr>
          <w:rFonts w:ascii="Times New Roman" w:hAnsi="Times New Roman" w:cs="Times New Roman"/>
          <w:b/>
          <w:lang w:val="lt-LT" w:eastAsia="en-US"/>
        </w:rPr>
        <w:t>11.</w:t>
      </w:r>
      <w:r>
        <w:rPr>
          <w:rFonts w:ascii="Times New Roman" w:hAnsi="Times New Roman" w:cs="Times New Roman"/>
          <w:b/>
          <w:lang w:val="lt-LT" w:eastAsia="en-US"/>
        </w:rPr>
        <w:tab/>
      </w:r>
      <w:r w:rsidRPr="00B13108">
        <w:rPr>
          <w:rFonts w:ascii="Times New Roman" w:hAnsi="Times New Roman" w:cs="Times New Roman"/>
          <w:b/>
          <w:caps/>
          <w:lang w:val="lt-LT"/>
        </w:rPr>
        <w:t xml:space="preserve">REGISTRUOTOJO </w:t>
      </w:r>
      <w:r>
        <w:rPr>
          <w:rFonts w:ascii="Times New Roman" w:hAnsi="Times New Roman" w:cs="Times New Roman"/>
          <w:b/>
          <w:caps/>
          <w:lang w:val="lt-LT"/>
        </w:rPr>
        <w:t>PAVADINIMAS IR ADRESAS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 xml:space="preserve">Ranbaxy </w:t>
      </w:r>
      <w:r>
        <w:rPr>
          <w:rFonts w:ascii="Times New Roman" w:hAnsi="Times New Roman" w:cs="Times New Roman"/>
          <w:lang w:val="lt-LT"/>
        </w:rPr>
        <w:t>(</w:t>
      </w:r>
      <w:r w:rsidRPr="00AB478E">
        <w:rPr>
          <w:rFonts w:ascii="Times New Roman" w:hAnsi="Times New Roman" w:cs="Times New Roman"/>
          <w:lang w:val="lt-LT"/>
        </w:rPr>
        <w:t>UK</w:t>
      </w:r>
      <w:r>
        <w:rPr>
          <w:rFonts w:ascii="Times New Roman" w:hAnsi="Times New Roman" w:cs="Times New Roman"/>
          <w:lang w:val="lt-LT"/>
        </w:rPr>
        <w:t>)</w:t>
      </w:r>
      <w:r w:rsidRPr="00AB478E">
        <w:rPr>
          <w:rFonts w:ascii="Times New Roman" w:hAnsi="Times New Roman" w:cs="Times New Roman"/>
          <w:lang w:val="lt-LT"/>
        </w:rPr>
        <w:t xml:space="preserve"> Ltd.</w:t>
      </w:r>
    </w:p>
    <w:p w:rsidR="00634910" w:rsidRPr="00AB478E"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Building 4, Chiswick Park</w:t>
      </w: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566 Chiswick High Road</w:t>
      </w:r>
    </w:p>
    <w:p w:rsidR="00634910" w:rsidRPr="00AB478E"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London, W4 5YE</w:t>
      </w: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Jungtinė Karalystė</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eastAsia="en-US"/>
        </w:rPr>
      </w:pPr>
      <w:r>
        <w:rPr>
          <w:rFonts w:ascii="Times New Roman" w:hAnsi="Times New Roman" w:cs="Times New Roman"/>
          <w:b/>
          <w:lang w:val="lt-LT" w:eastAsia="en-US"/>
        </w:rPr>
        <w:t>12.</w:t>
      </w:r>
      <w:r>
        <w:rPr>
          <w:rFonts w:ascii="Times New Roman" w:hAnsi="Times New Roman" w:cs="Times New Roman"/>
          <w:b/>
          <w:lang w:val="lt-LT" w:eastAsia="en-US"/>
        </w:rPr>
        <w:tab/>
      </w:r>
      <w:r w:rsidRPr="00B13108">
        <w:rPr>
          <w:rFonts w:ascii="Times New Roman" w:hAnsi="Times New Roman" w:cs="Times New Roman"/>
          <w:b/>
          <w:lang w:val="lt-LT"/>
        </w:rPr>
        <w:t xml:space="preserve">REGISTRACIJOS </w:t>
      </w:r>
      <w:r>
        <w:rPr>
          <w:rFonts w:ascii="Times New Roman" w:hAnsi="Times New Roman" w:cs="Times New Roman"/>
          <w:b/>
          <w:lang w:val="lt-LT"/>
        </w:rPr>
        <w:t>PAŽYMĖJIMO NUMERIS (-IAI)</w:t>
      </w:r>
    </w:p>
    <w:p w:rsidR="00634910" w:rsidRDefault="00634910" w:rsidP="00634910">
      <w:pPr>
        <w:widowControl w:val="0"/>
        <w:spacing w:after="0" w:line="240" w:lineRule="auto"/>
        <w:outlineLvl w:val="0"/>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Imatinib Ranbaxy 100 mg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N100 – </w:t>
      </w:r>
      <w:r w:rsidRPr="00B8001E">
        <w:rPr>
          <w:rFonts w:ascii="Times New Roman" w:hAnsi="Times New Roman" w:cs="Times New Roman"/>
          <w:bCs/>
          <w:lang w:val="lt-LT"/>
        </w:rPr>
        <w:t>LT/1/15/</w:t>
      </w:r>
      <w:r>
        <w:rPr>
          <w:rFonts w:ascii="Times New Roman" w:hAnsi="Times New Roman" w:cs="Times New Roman"/>
          <w:bCs/>
          <w:lang w:val="lt-LT"/>
        </w:rPr>
        <w:t>3693/005</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Imatinib Ranbaxy 400 mg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N100 – </w:t>
      </w:r>
      <w:r w:rsidRPr="00B8001E">
        <w:rPr>
          <w:rFonts w:ascii="Times New Roman" w:hAnsi="Times New Roman" w:cs="Times New Roman"/>
          <w:bCs/>
          <w:lang w:val="lt-LT"/>
        </w:rPr>
        <w:t>LT/1/15/</w:t>
      </w:r>
      <w:r>
        <w:rPr>
          <w:rFonts w:ascii="Times New Roman" w:hAnsi="Times New Roman" w:cs="Times New Roman"/>
          <w:bCs/>
          <w:lang w:val="lt-LT"/>
        </w:rPr>
        <w:t>3693/010</w:t>
      </w:r>
    </w:p>
    <w:p w:rsidR="00634910" w:rsidRDefault="00634910" w:rsidP="00634910">
      <w:pPr>
        <w:widowControl w:val="0"/>
        <w:spacing w:after="0" w:line="240" w:lineRule="auto"/>
        <w:outlineLvl w:val="0"/>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13.</w:t>
      </w:r>
      <w:r>
        <w:rPr>
          <w:rFonts w:ascii="Times New Roman" w:hAnsi="Times New Roman" w:cs="Times New Roman"/>
          <w:b/>
          <w:lang w:val="lt-LT" w:eastAsia="en-US"/>
        </w:rPr>
        <w:tab/>
      </w:r>
      <w:r>
        <w:rPr>
          <w:rFonts w:ascii="Times New Roman" w:hAnsi="Times New Roman" w:cs="Times New Roman"/>
          <w:b/>
          <w:lang w:val="lt-LT"/>
        </w:rPr>
        <w:t>SERIJOS NUMERIS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Serija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14.</w:t>
      </w:r>
      <w:r>
        <w:rPr>
          <w:rFonts w:ascii="Times New Roman" w:hAnsi="Times New Roman" w:cs="Times New Roman"/>
          <w:b/>
          <w:lang w:val="lt-LT" w:eastAsia="en-US"/>
        </w:rPr>
        <w:tab/>
      </w:r>
      <w:r>
        <w:rPr>
          <w:rFonts w:ascii="Times New Roman" w:hAnsi="Times New Roman" w:cs="Times New Roman"/>
          <w:b/>
          <w:lang w:val="lt-LT"/>
        </w:rPr>
        <w:t>PARDAVIMO (IŠDAVIMO) TVARKA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r>
        <w:rPr>
          <w:rFonts w:ascii="Times New Roman" w:hAnsi="Times New Roman" w:cs="Times New Roman"/>
          <w:lang w:val="lt-LT"/>
        </w:rPr>
        <w:t>Receptinis vaistinis preparatas</w:t>
      </w:r>
      <w:r>
        <w:rPr>
          <w:rFonts w:ascii="Times New Roman" w:hAnsi="Times New Roman" w:cs="Times New Roman"/>
          <w:lang w:val="lt-LT" w:eastAsia="en-US"/>
        </w:rPr>
        <w:t>.</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15.</w:t>
      </w:r>
      <w:r>
        <w:rPr>
          <w:rFonts w:ascii="Times New Roman" w:hAnsi="Times New Roman" w:cs="Times New Roman"/>
          <w:b/>
          <w:lang w:val="lt-LT" w:eastAsia="en-US"/>
        </w:rPr>
        <w:tab/>
      </w:r>
      <w:r>
        <w:rPr>
          <w:rFonts w:ascii="Times New Roman" w:hAnsi="Times New Roman" w:cs="Times New Roman"/>
          <w:b/>
          <w:lang w:val="lt-LT"/>
        </w:rPr>
        <w:t>VARTOJIMO INSTRUKCIJA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16.</w:t>
      </w:r>
      <w:r>
        <w:rPr>
          <w:rFonts w:ascii="Times New Roman" w:hAnsi="Times New Roman" w:cs="Times New Roman"/>
          <w:b/>
          <w:lang w:val="lt-LT" w:eastAsia="en-US"/>
        </w:rPr>
        <w:tab/>
      </w:r>
      <w:r>
        <w:rPr>
          <w:rFonts w:ascii="Times New Roman" w:hAnsi="Times New Roman" w:cs="Times New Roman"/>
          <w:b/>
          <w:lang w:val="lt-LT"/>
        </w:rPr>
        <w:t>INFORMACIJA BRAILIO RAŠTU</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Imatinib Ranbaxy 100 mg</w:t>
      </w:r>
    </w:p>
    <w:p w:rsidR="00634910" w:rsidRPr="00C33EFD" w:rsidRDefault="00634910" w:rsidP="00634910">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eastAsia="en-US"/>
        </w:rPr>
        <w:t>Imatinib Ranbaxy</w:t>
      </w:r>
      <w:r>
        <w:rPr>
          <w:rFonts w:ascii="Times New Roman" w:hAnsi="Times New Roman" w:cs="Times New Roman"/>
          <w:highlight w:val="lightGray"/>
          <w:lang w:val="lt-LT"/>
        </w:rPr>
        <w:t> 400 mg</w:t>
      </w:r>
      <w:r>
        <w:rPr>
          <w:rFonts w:ascii="Times New Roman" w:hAnsi="Times New Roman" w:cs="Times New Roman"/>
          <w:lang w:val="lt-LT" w:eastAsia="en-US"/>
        </w:rPr>
        <w:br w:type="page"/>
      </w:r>
    </w:p>
    <w:p w:rsidR="00634910" w:rsidRDefault="00634910" w:rsidP="0063491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highlight w:val="cyan"/>
          <w:lang w:val="lt-LT" w:eastAsia="en-US"/>
        </w:rPr>
      </w:pPr>
      <w:r>
        <w:rPr>
          <w:rFonts w:ascii="Times New Roman" w:hAnsi="Times New Roman" w:cs="Times New Roman"/>
          <w:b/>
          <w:lang w:val="lt-LT"/>
        </w:rPr>
        <w:lastRenderedPageBreak/>
        <w:t>INFORMACIJA VIDINĖS PAKUOTĖS</w:t>
      </w:r>
    </w:p>
    <w:p w:rsidR="00634910" w:rsidRDefault="00634910" w:rsidP="006349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rsidR="00634910" w:rsidRDefault="00634910" w:rsidP="006349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BUTELIUKO ETIKETĖ</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w:t>
      </w:r>
      <w:r>
        <w:rPr>
          <w:rFonts w:ascii="Times New Roman" w:hAnsi="Times New Roman" w:cs="Times New Roman"/>
          <w:b/>
          <w:lang w:val="lt-LT" w:eastAsia="en-US"/>
        </w:rPr>
        <w:tab/>
      </w:r>
      <w:r>
        <w:rPr>
          <w:rFonts w:ascii="Times New Roman" w:hAnsi="Times New Roman" w:cs="Times New Roman"/>
          <w:b/>
          <w:lang w:val="lt-LT"/>
        </w:rPr>
        <w:t>VAISTINIO PREPARATO PAVADINIMAS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Imatinib Ranbaxy 100 mg plėvele dengtos tabletės</w:t>
      </w:r>
    </w:p>
    <w:p w:rsidR="00634910" w:rsidRDefault="00634910" w:rsidP="00634910">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eastAsia="en-US"/>
        </w:rPr>
        <w:t>Imatinib Ranbaxy</w:t>
      </w:r>
      <w:r>
        <w:rPr>
          <w:rFonts w:ascii="Times New Roman" w:hAnsi="Times New Roman" w:cs="Times New Roman"/>
          <w:highlight w:val="lightGray"/>
          <w:lang w:val="lt-LT"/>
        </w:rPr>
        <w:t xml:space="preserve"> 400 mg plėvele dengtos tabletės</w:t>
      </w:r>
    </w:p>
    <w:p w:rsidR="00634910" w:rsidRDefault="00634910" w:rsidP="00634910">
      <w:pPr>
        <w:widowControl w:val="0"/>
        <w:spacing w:after="0" w:line="240" w:lineRule="auto"/>
        <w:rPr>
          <w:rFonts w:ascii="Times New Roman" w:hAnsi="Times New Roman" w:cs="Times New Roman"/>
          <w:lang w:val="lt-LT" w:eastAsia="en-US"/>
        </w:rPr>
      </w:pPr>
    </w:p>
    <w:p w:rsidR="00634910" w:rsidRPr="0075480D" w:rsidRDefault="00634910" w:rsidP="00634910">
      <w:pPr>
        <w:widowControl w:val="0"/>
        <w:spacing w:after="0" w:line="240" w:lineRule="auto"/>
        <w:rPr>
          <w:rFonts w:ascii="Times New Roman" w:hAnsi="Times New Roman" w:cs="Times New Roman"/>
          <w:i/>
          <w:lang w:val="lt-LT" w:eastAsia="en-US"/>
        </w:rPr>
      </w:pPr>
      <w:r>
        <w:rPr>
          <w:rFonts w:ascii="Times New Roman" w:hAnsi="Times New Roman" w:cs="Times New Roman"/>
          <w:i/>
          <w:lang w:val="lt-LT" w:eastAsia="en-US"/>
        </w:rPr>
        <w:t>Imatinibum</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eastAsia="en-US"/>
        </w:rPr>
      </w:pPr>
      <w:r>
        <w:rPr>
          <w:rFonts w:ascii="Times New Roman" w:hAnsi="Times New Roman" w:cs="Times New Roman"/>
          <w:b/>
          <w:lang w:val="lt-LT" w:eastAsia="en-US"/>
        </w:rPr>
        <w:t>2.</w:t>
      </w:r>
      <w:r>
        <w:rPr>
          <w:rFonts w:ascii="Times New Roman" w:hAnsi="Times New Roman" w:cs="Times New Roman"/>
          <w:b/>
          <w:lang w:val="lt-LT" w:eastAsia="en-US"/>
        </w:rPr>
        <w:tab/>
      </w:r>
      <w:r>
        <w:rPr>
          <w:rFonts w:ascii="Times New Roman" w:hAnsi="Times New Roman" w:cs="Times New Roman"/>
          <w:b/>
          <w:lang w:val="lt-LT"/>
        </w:rPr>
        <w:t>VEIKLIOJI (-IOS) MEDŽIAGA (-OS) IR JOS (-Ų) KIEKIS (-IAI)</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autoSpaceDE w:val="0"/>
        <w:autoSpaceDN w:val="0"/>
        <w:adjustRightInd w:val="0"/>
        <w:spacing w:after="0" w:line="240" w:lineRule="auto"/>
        <w:jc w:val="both"/>
        <w:rPr>
          <w:rFonts w:ascii="Times New Roman" w:hAnsi="Times New Roman" w:cs="Times New Roman"/>
          <w:lang w:val="lt-LT" w:eastAsia="en-US"/>
        </w:rPr>
      </w:pPr>
      <w:r>
        <w:rPr>
          <w:rFonts w:ascii="Times New Roman" w:hAnsi="Times New Roman" w:cs="Times New Roman"/>
          <w:lang w:val="lt-LT" w:eastAsia="en-US"/>
        </w:rPr>
        <w:t>Kiekvienoje plėvele dengtoje tabletėje yra 100 mg imatinibo (mesilato pavidalu).</w:t>
      </w:r>
    </w:p>
    <w:p w:rsidR="00634910" w:rsidRDefault="00634910" w:rsidP="00634910">
      <w:pPr>
        <w:widowControl w:val="0"/>
        <w:autoSpaceDE w:val="0"/>
        <w:autoSpaceDN w:val="0"/>
        <w:adjustRightInd w:val="0"/>
        <w:spacing w:after="0" w:line="240" w:lineRule="auto"/>
        <w:jc w:val="both"/>
        <w:rPr>
          <w:rFonts w:ascii="Times New Roman" w:hAnsi="Times New Roman" w:cs="Times New Roman"/>
          <w:lang w:val="lt-LT" w:eastAsia="en-US"/>
        </w:rPr>
      </w:pPr>
      <w:r>
        <w:rPr>
          <w:rFonts w:ascii="Times New Roman" w:hAnsi="Times New Roman" w:cs="Times New Roman"/>
          <w:highlight w:val="lightGray"/>
          <w:lang w:val="lt-LT"/>
        </w:rPr>
        <w:t>Kiekvienoje plėvele dengtoje tabletėje yra 400 mg imatinibo (mesilato pavidalu).</w:t>
      </w:r>
    </w:p>
    <w:p w:rsidR="00634910" w:rsidRDefault="00634910" w:rsidP="00634910">
      <w:pPr>
        <w:widowControl w:val="0"/>
        <w:spacing w:after="0" w:line="240" w:lineRule="auto"/>
        <w:rPr>
          <w:rFonts w:ascii="Times New Roman" w:hAnsi="Times New Roman" w:cs="Times New Roman"/>
          <w:iCs/>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3.</w:t>
      </w:r>
      <w:r>
        <w:rPr>
          <w:rFonts w:ascii="Times New Roman" w:hAnsi="Times New Roman" w:cs="Times New Roman"/>
          <w:b/>
          <w:lang w:val="lt-LT" w:eastAsia="en-US"/>
        </w:rPr>
        <w:tab/>
      </w:r>
      <w:r>
        <w:rPr>
          <w:rFonts w:ascii="Times New Roman" w:hAnsi="Times New Roman" w:cs="Times New Roman"/>
          <w:b/>
          <w:lang w:val="lt-LT"/>
        </w:rPr>
        <w:t>PAGALBINIŲ MEDŽIAGŲ SĄRAŠAS</w:t>
      </w:r>
    </w:p>
    <w:p w:rsidR="00634910" w:rsidRDefault="00634910" w:rsidP="00634910">
      <w:pPr>
        <w:widowControl w:val="0"/>
        <w:spacing w:after="0" w:line="240" w:lineRule="auto"/>
        <w:rPr>
          <w:rFonts w:ascii="Times New Roman" w:hAnsi="Times New Roman" w:cs="Times New Roman"/>
          <w:i/>
          <w:iCs/>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4.</w:t>
      </w:r>
      <w:r>
        <w:rPr>
          <w:rFonts w:ascii="Times New Roman" w:hAnsi="Times New Roman" w:cs="Times New Roman"/>
          <w:b/>
          <w:lang w:val="lt-LT" w:eastAsia="en-US"/>
        </w:rPr>
        <w:tab/>
      </w:r>
      <w:r>
        <w:rPr>
          <w:rFonts w:ascii="Times New Roman" w:hAnsi="Times New Roman" w:cs="Times New Roman"/>
          <w:b/>
          <w:lang w:val="lt-LT"/>
        </w:rPr>
        <w:t>FARMACINĖ FORMA IR KIEKIS PAKUOTĖJE</w:t>
      </w:r>
    </w:p>
    <w:p w:rsidR="00634910" w:rsidRDefault="00634910" w:rsidP="00634910">
      <w:pPr>
        <w:widowControl w:val="0"/>
        <w:spacing w:after="0" w:line="240" w:lineRule="auto"/>
        <w:rPr>
          <w:rFonts w:ascii="Times New Roman" w:hAnsi="Times New Roman" w:cs="Times New Roman"/>
          <w:lang w:val="lt-LT" w:eastAsia="en-US"/>
        </w:rPr>
      </w:pPr>
    </w:p>
    <w:p w:rsidR="00634910" w:rsidRPr="00BE33ED" w:rsidRDefault="00634910" w:rsidP="00634910">
      <w:pPr>
        <w:spacing w:after="0" w:line="240" w:lineRule="auto"/>
        <w:rPr>
          <w:rFonts w:ascii="Times New Roman" w:hAnsi="Times New Roman" w:cs="Times New Roman"/>
          <w:lang w:val="lt-LT" w:eastAsia="en-US"/>
        </w:rPr>
      </w:pPr>
      <w:r w:rsidRPr="00BE33ED">
        <w:rPr>
          <w:rFonts w:ascii="Times New Roman" w:hAnsi="Times New Roman" w:cs="Times New Roman"/>
          <w:lang w:val="lt-LT" w:eastAsia="en-US"/>
        </w:rPr>
        <w:t>Plėvele dengta tabletė</w:t>
      </w:r>
      <w:r>
        <w:rPr>
          <w:rFonts w:ascii="Times New Roman" w:hAnsi="Times New Roman" w:cs="Times New Roman"/>
          <w:lang w:val="lt-LT" w:eastAsia="en-US"/>
        </w:rPr>
        <w:t>.</w:t>
      </w:r>
    </w:p>
    <w:p w:rsidR="00634910" w:rsidRDefault="00634910" w:rsidP="00634910">
      <w:pPr>
        <w:spacing w:after="0" w:line="240" w:lineRule="auto"/>
        <w:rPr>
          <w:rFonts w:ascii="Times New Roman" w:hAnsi="Times New Roman" w:cs="Times New Roman"/>
          <w:highlight w:val="lightGray"/>
          <w:lang w:val="lt-LT"/>
        </w:rPr>
      </w:pPr>
    </w:p>
    <w:p w:rsidR="00634910" w:rsidRDefault="00634910" w:rsidP="00634910">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100 tablečių</w:t>
      </w:r>
    </w:p>
    <w:p w:rsidR="00634910" w:rsidRDefault="00634910" w:rsidP="00634910">
      <w:pPr>
        <w:autoSpaceDE w:val="0"/>
        <w:autoSpaceDN w:val="0"/>
        <w:spacing w:after="0" w:line="240" w:lineRule="auto"/>
        <w:rPr>
          <w:rFonts w:ascii="Times New Roman" w:hAnsi="Times New Roman" w:cs="Times New Roman"/>
          <w:highlight w:val="lightGray"/>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5.</w:t>
      </w:r>
      <w:r>
        <w:rPr>
          <w:rFonts w:ascii="Times New Roman" w:hAnsi="Times New Roman" w:cs="Times New Roman"/>
          <w:b/>
          <w:lang w:val="lt-LT" w:eastAsia="en-US"/>
        </w:rPr>
        <w:tab/>
      </w:r>
      <w:r>
        <w:rPr>
          <w:rFonts w:ascii="Times New Roman" w:hAnsi="Times New Roman" w:cs="Times New Roman"/>
          <w:b/>
          <w:lang w:val="lt-LT"/>
        </w:rPr>
        <w:t>VARTOJIMO METODAS IR BŪDAS (-AI)</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Vartoti per burną.</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rsidR="00634910" w:rsidRDefault="00634910" w:rsidP="00634910">
      <w:pPr>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val="lt-LT" w:eastAsia="en-US"/>
        </w:rPr>
      </w:pPr>
      <w:r>
        <w:rPr>
          <w:rFonts w:ascii="Times New Roman" w:hAnsi="Times New Roman" w:cs="Times New Roman"/>
          <w:b/>
          <w:lang w:val="lt-LT" w:eastAsia="en-US"/>
        </w:rPr>
        <w:t>6.</w:t>
      </w:r>
      <w:r>
        <w:rPr>
          <w:rFonts w:ascii="Times New Roman" w:hAnsi="Times New Roman" w:cs="Times New Roman"/>
          <w:b/>
          <w:lang w:val="lt-LT" w:eastAsia="en-US"/>
        </w:rPr>
        <w:tab/>
      </w:r>
      <w:r>
        <w:rPr>
          <w:rFonts w:ascii="Times New Roman" w:hAnsi="Times New Roman" w:cs="Times New Roman"/>
          <w:b/>
          <w:lang w:val="lt-LT"/>
        </w:rPr>
        <w:t>SPECIALUS ĮSPĖJIMAS, KAD VAISTINĮ PREPARATĄ BŪTINA LAIKYTI VAIKAMS NEPASTEBIMOJE IR NEPASIEKIAMOJE VIETOJE</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Laikyti vaikams nepastebimoje ir nepasiekiamoje vietoje.</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7.</w:t>
      </w:r>
      <w:r>
        <w:rPr>
          <w:rFonts w:ascii="Times New Roman" w:hAnsi="Times New Roman" w:cs="Times New Roman"/>
          <w:b/>
          <w:lang w:val="lt-LT" w:eastAsia="en-US"/>
        </w:rPr>
        <w:tab/>
      </w:r>
      <w:r>
        <w:rPr>
          <w:rFonts w:ascii="Times New Roman" w:hAnsi="Times New Roman" w:cs="Times New Roman"/>
          <w:b/>
          <w:lang w:val="lt-LT"/>
        </w:rPr>
        <w:t>KITAS (-I) SPECIALUS (-ŪS) ĮSPĖJIMAS (-AI) (JEI REIKIA)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r>
        <w:rPr>
          <w:rFonts w:ascii="Times New Roman" w:hAnsi="Times New Roman" w:cs="Times New Roman"/>
          <w:lang w:val="lt-LT" w:eastAsia="en-US"/>
        </w:rPr>
        <w:t>Vartoti laikantis gydytojo nurodymo.</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highlight w:val="lightGray"/>
          <w:lang w:val="lt-LT"/>
        </w:rPr>
      </w:pPr>
      <w:r>
        <w:rPr>
          <w:rFonts w:ascii="Times New Roman" w:hAnsi="Times New Roman" w:cs="Times New Roman"/>
          <w:b/>
          <w:lang w:val="lt-LT" w:eastAsia="en-US"/>
        </w:rPr>
        <w:t>8.</w:t>
      </w:r>
      <w:r>
        <w:rPr>
          <w:rFonts w:ascii="Times New Roman" w:hAnsi="Times New Roman" w:cs="Times New Roman"/>
          <w:b/>
          <w:lang w:val="lt-LT" w:eastAsia="en-US"/>
        </w:rPr>
        <w:tab/>
      </w:r>
      <w:r>
        <w:rPr>
          <w:rFonts w:ascii="Times New Roman" w:hAnsi="Times New Roman" w:cs="Times New Roman"/>
          <w:b/>
          <w:lang w:val="lt-LT"/>
        </w:rPr>
        <w:t>TINKAMUMO LAIKAS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Tinka iki &lt;mm/MMMM&gt;</w:t>
      </w: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Pirmą kartą atidarius suvartoti per 100 dienų.</w:t>
      </w:r>
    </w:p>
    <w:p w:rsidR="00634910" w:rsidRDefault="00634910" w:rsidP="00634910">
      <w:pPr>
        <w:widowControl w:val="0"/>
        <w:spacing w:after="0" w:line="240" w:lineRule="auto"/>
        <w:rPr>
          <w:rFonts w:ascii="Times New Roman" w:hAnsi="Times New Roman" w:cs="Times New Roman"/>
          <w:iCs/>
          <w:highlight w:val="cyan"/>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9.</w:t>
      </w:r>
      <w:r>
        <w:rPr>
          <w:rFonts w:ascii="Times New Roman" w:hAnsi="Times New Roman" w:cs="Times New Roman"/>
          <w:b/>
          <w:lang w:val="lt-LT" w:eastAsia="en-US"/>
        </w:rPr>
        <w:tab/>
      </w:r>
      <w:r>
        <w:rPr>
          <w:rFonts w:ascii="Times New Roman" w:hAnsi="Times New Roman" w:cs="Times New Roman"/>
          <w:b/>
          <w:lang w:val="lt-LT"/>
        </w:rPr>
        <w:t>SPECIALIOS LAIKYMO SĄLYGOS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Pr="00C33EFD"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lang w:val="lt-LT" w:eastAsia="en-US"/>
        </w:rPr>
      </w:pPr>
      <w:r>
        <w:rPr>
          <w:rFonts w:ascii="Times New Roman" w:hAnsi="Times New Roman" w:cs="Times New Roman"/>
          <w:b/>
          <w:lang w:val="lt-LT" w:eastAsia="en-US"/>
        </w:rPr>
        <w:t>10.</w:t>
      </w:r>
      <w:r>
        <w:rPr>
          <w:rFonts w:ascii="Times New Roman" w:hAnsi="Times New Roman" w:cs="Times New Roman"/>
          <w:b/>
          <w:lang w:val="lt-LT" w:eastAsia="en-US"/>
        </w:rPr>
        <w:tab/>
      </w:r>
      <w:r>
        <w:rPr>
          <w:rFonts w:ascii="Times New Roman" w:hAnsi="Times New Roman" w:cs="Times New Roman"/>
          <w:b/>
          <w:lang w:val="lt-LT"/>
        </w:rPr>
        <w:t>SPECIALIOS ATSARGUMO PRIEMONĖS DĖL NESUVARTOTO VAISTINIO PREPARATO AR JO ATLIEKŲ TVARKYMO (JEI REIKIA)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eastAsia="en-US"/>
        </w:rPr>
      </w:pPr>
      <w:r>
        <w:rPr>
          <w:rFonts w:ascii="Times New Roman" w:hAnsi="Times New Roman" w:cs="Times New Roman"/>
          <w:b/>
          <w:lang w:val="lt-LT" w:eastAsia="en-US"/>
        </w:rPr>
        <w:t>11.</w:t>
      </w:r>
      <w:r>
        <w:rPr>
          <w:rFonts w:ascii="Times New Roman" w:hAnsi="Times New Roman" w:cs="Times New Roman"/>
          <w:b/>
          <w:lang w:val="lt-LT" w:eastAsia="en-US"/>
        </w:rPr>
        <w:tab/>
      </w:r>
      <w:r w:rsidRPr="00B13108">
        <w:rPr>
          <w:rFonts w:ascii="Times New Roman" w:hAnsi="Times New Roman" w:cs="Times New Roman"/>
          <w:b/>
          <w:caps/>
          <w:lang w:val="lt-LT"/>
        </w:rPr>
        <w:t xml:space="preserve">REGISTRUOTOJO </w:t>
      </w:r>
      <w:r>
        <w:rPr>
          <w:rFonts w:ascii="Times New Roman" w:hAnsi="Times New Roman" w:cs="Times New Roman"/>
          <w:b/>
          <w:caps/>
          <w:lang w:val="lt-LT"/>
        </w:rPr>
        <w:t>PAVADINIMAS IR ADRESAS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Ranb</w:t>
      </w:r>
      <w:r>
        <w:rPr>
          <w:rFonts w:ascii="Times New Roman" w:hAnsi="Times New Roman" w:cs="Times New Roman"/>
          <w:lang w:val="lt-LT"/>
        </w:rPr>
        <w:t>axy (UK) Ltd.</w:t>
      </w:r>
    </w:p>
    <w:p w:rsidR="00634910" w:rsidRDefault="00634910" w:rsidP="00634910">
      <w:pPr>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eastAsia="en-US"/>
        </w:rPr>
      </w:pPr>
      <w:r>
        <w:rPr>
          <w:rFonts w:ascii="Times New Roman" w:hAnsi="Times New Roman" w:cs="Times New Roman"/>
          <w:b/>
          <w:lang w:val="lt-LT" w:eastAsia="en-US"/>
        </w:rPr>
        <w:t>12.</w:t>
      </w:r>
      <w:r>
        <w:rPr>
          <w:rFonts w:ascii="Times New Roman" w:hAnsi="Times New Roman" w:cs="Times New Roman"/>
          <w:b/>
          <w:lang w:val="lt-LT" w:eastAsia="en-US"/>
        </w:rPr>
        <w:tab/>
      </w:r>
      <w:r w:rsidRPr="00B13108">
        <w:rPr>
          <w:rFonts w:ascii="Times New Roman" w:hAnsi="Times New Roman" w:cs="Times New Roman"/>
          <w:b/>
          <w:lang w:val="lt-LT"/>
        </w:rPr>
        <w:t xml:space="preserve">REGISTRACIJOS </w:t>
      </w:r>
      <w:r>
        <w:rPr>
          <w:rFonts w:ascii="Times New Roman" w:hAnsi="Times New Roman" w:cs="Times New Roman"/>
          <w:b/>
          <w:lang w:val="lt-LT"/>
        </w:rPr>
        <w:t>PAŽYMĖJIMO NUMERIS (-IAI)</w:t>
      </w:r>
    </w:p>
    <w:p w:rsidR="00634910" w:rsidRDefault="00634910" w:rsidP="00634910">
      <w:pPr>
        <w:widowControl w:val="0"/>
        <w:spacing w:after="0" w:line="240" w:lineRule="auto"/>
        <w:outlineLvl w:val="0"/>
        <w:rPr>
          <w:rFonts w:ascii="Times New Roman" w:hAnsi="Times New Roman" w:cs="Times New Roman"/>
          <w:lang w:val="lt-LT" w:eastAsia="en-US"/>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Imatinib Ranbaxy 100 mg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N100 – </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Imatinib Ranbaxy 400 mg </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N100 – </w:t>
      </w:r>
    </w:p>
    <w:p w:rsidR="00634910" w:rsidRDefault="00634910" w:rsidP="00634910">
      <w:pPr>
        <w:widowControl w:val="0"/>
        <w:spacing w:after="0" w:line="240" w:lineRule="auto"/>
        <w:outlineLvl w:val="0"/>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13.</w:t>
      </w:r>
      <w:r>
        <w:rPr>
          <w:rFonts w:ascii="Times New Roman" w:hAnsi="Times New Roman" w:cs="Times New Roman"/>
          <w:b/>
          <w:lang w:val="lt-LT" w:eastAsia="en-US"/>
        </w:rPr>
        <w:tab/>
      </w:r>
      <w:r>
        <w:rPr>
          <w:rFonts w:ascii="Times New Roman" w:hAnsi="Times New Roman" w:cs="Times New Roman"/>
          <w:b/>
          <w:lang w:val="lt-LT"/>
        </w:rPr>
        <w:t>SERIJOS NUMERIS</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eastAsia="en-US"/>
        </w:rPr>
        <w:t>Serija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14.</w:t>
      </w:r>
      <w:r>
        <w:rPr>
          <w:rFonts w:ascii="Times New Roman" w:hAnsi="Times New Roman" w:cs="Times New Roman"/>
          <w:b/>
          <w:lang w:val="lt-LT" w:eastAsia="en-US"/>
        </w:rPr>
        <w:tab/>
      </w:r>
      <w:r>
        <w:rPr>
          <w:rFonts w:ascii="Times New Roman" w:hAnsi="Times New Roman" w:cs="Times New Roman"/>
          <w:b/>
          <w:lang w:val="lt-LT"/>
        </w:rPr>
        <w:t>PARDAVIMO (IŠDAVIMO) TVARKA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r>
        <w:rPr>
          <w:rFonts w:ascii="Times New Roman" w:hAnsi="Times New Roman" w:cs="Times New Roman"/>
          <w:lang w:val="lt-LT"/>
        </w:rPr>
        <w:t>Receptinis vaistinis preparatas</w:t>
      </w:r>
      <w:r>
        <w:rPr>
          <w:rFonts w:ascii="Times New Roman" w:hAnsi="Times New Roman" w:cs="Times New Roman"/>
          <w:lang w:val="lt-LT" w:eastAsia="en-US"/>
        </w:rPr>
        <w:t>.</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15.</w:t>
      </w:r>
      <w:r>
        <w:rPr>
          <w:rFonts w:ascii="Times New Roman" w:hAnsi="Times New Roman" w:cs="Times New Roman"/>
          <w:b/>
          <w:lang w:val="lt-LT" w:eastAsia="en-US"/>
        </w:rPr>
        <w:tab/>
      </w:r>
      <w:r>
        <w:rPr>
          <w:rFonts w:ascii="Times New Roman" w:hAnsi="Times New Roman" w:cs="Times New Roman"/>
          <w:b/>
          <w:lang w:val="lt-LT"/>
        </w:rPr>
        <w:t>VARTOJIMO INSTRUKCIJA</w:t>
      </w: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spacing w:after="0" w:line="240" w:lineRule="auto"/>
        <w:rPr>
          <w:rFonts w:ascii="Times New Roman" w:hAnsi="Times New Roman" w:cs="Times New Roman"/>
          <w:lang w:val="lt-LT" w:eastAsia="en-US"/>
        </w:rPr>
      </w:pPr>
    </w:p>
    <w:p w:rsidR="00634910" w:rsidRDefault="00634910" w:rsidP="006349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eastAsia="en-US"/>
        </w:rPr>
      </w:pPr>
      <w:r>
        <w:rPr>
          <w:rFonts w:ascii="Times New Roman" w:hAnsi="Times New Roman" w:cs="Times New Roman"/>
          <w:b/>
          <w:lang w:val="lt-LT" w:eastAsia="en-US"/>
        </w:rPr>
        <w:t>16.</w:t>
      </w:r>
      <w:r>
        <w:rPr>
          <w:rFonts w:ascii="Times New Roman" w:hAnsi="Times New Roman" w:cs="Times New Roman"/>
          <w:b/>
          <w:lang w:val="lt-LT" w:eastAsia="en-US"/>
        </w:rPr>
        <w:tab/>
      </w:r>
      <w:r>
        <w:rPr>
          <w:rFonts w:ascii="Times New Roman" w:hAnsi="Times New Roman" w:cs="Times New Roman"/>
          <w:b/>
          <w:lang w:val="lt-LT"/>
        </w:rPr>
        <w:t>INFORMACIJA BRAILIO RAŠTU</w:t>
      </w:r>
    </w:p>
    <w:p w:rsidR="00634910" w:rsidRDefault="00634910" w:rsidP="00634910">
      <w:pPr>
        <w:widowControl w:val="0"/>
        <w:spacing w:after="0" w:line="240" w:lineRule="auto"/>
        <w:rPr>
          <w:rFonts w:ascii="Times New Roman" w:hAnsi="Times New Roman" w:cs="Times New Roman"/>
          <w:lang w:val="lt-LT" w:eastAsia="en-US"/>
        </w:rPr>
      </w:pPr>
    </w:p>
    <w:p w:rsidR="00634910" w:rsidRPr="00C717B1" w:rsidRDefault="00634910" w:rsidP="00634910">
      <w:pPr>
        <w:spacing w:after="0" w:line="240" w:lineRule="auto"/>
        <w:rPr>
          <w:rFonts w:ascii="Times New Roman" w:hAnsi="Times New Roman" w:cs="Times New Roman"/>
          <w:highlight w:val="lightGray"/>
          <w:lang w:val="lt-LT"/>
        </w:rPr>
      </w:pPr>
      <w:r>
        <w:rPr>
          <w:rFonts w:ascii="Times New Roman" w:hAnsi="Times New Roman" w:cs="Times New Roman"/>
          <w:i/>
          <w:iCs/>
          <w:color w:val="008000"/>
          <w:lang w:val="lt-LT"/>
        </w:rPr>
        <w:br w:type="page"/>
      </w: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p>
    <w:p w:rsidR="00634910" w:rsidRDefault="00634910" w:rsidP="00634910">
      <w:pPr>
        <w:pStyle w:val="Antrat2"/>
        <w:spacing w:before="0" w:after="0" w:line="240" w:lineRule="auto"/>
        <w:jc w:val="center"/>
        <w:rPr>
          <w:rFonts w:ascii="Times New Roman" w:eastAsia="SimSun" w:hAnsi="Times New Roman"/>
          <w:i w:val="0"/>
          <w:iCs/>
          <w:sz w:val="22"/>
          <w:szCs w:val="22"/>
          <w:lang w:val="lt-LT"/>
        </w:rPr>
      </w:pPr>
      <w:r>
        <w:rPr>
          <w:rFonts w:ascii="Times New Roman" w:eastAsia="SimSun" w:hAnsi="Times New Roman"/>
          <w:i w:val="0"/>
          <w:iCs/>
          <w:sz w:val="22"/>
          <w:szCs w:val="22"/>
          <w:lang w:val="lt-LT"/>
        </w:rPr>
        <w:t>B. PAKUOTĖS LAPELIS</w:t>
      </w:r>
    </w:p>
    <w:p w:rsidR="00634910" w:rsidRDefault="00634910" w:rsidP="00634910">
      <w:pPr>
        <w:widowControl w:val="0"/>
        <w:spacing w:after="0" w:line="240" w:lineRule="auto"/>
        <w:jc w:val="center"/>
        <w:outlineLvl w:val="0"/>
        <w:rPr>
          <w:rFonts w:ascii="Times New Roman" w:hAnsi="Times New Roman" w:cs="Times New Roman"/>
          <w:b/>
          <w:bCs/>
          <w:lang w:val="lt-LT" w:eastAsia="en-US"/>
        </w:rPr>
      </w:pPr>
      <w:r>
        <w:rPr>
          <w:rFonts w:ascii="Times New Roman" w:hAnsi="Times New Roman" w:cs="Times New Roman"/>
          <w:b/>
          <w:lang w:val="lt-LT" w:eastAsia="en-US"/>
        </w:rPr>
        <w:br w:type="page"/>
      </w:r>
      <w:r>
        <w:rPr>
          <w:rFonts w:ascii="Times New Roman" w:hAnsi="Times New Roman" w:cs="Times New Roman"/>
          <w:b/>
          <w:bCs/>
          <w:lang w:val="lt-LT"/>
        </w:rPr>
        <w:lastRenderedPageBreak/>
        <w:t>Pakuotės lapelis: informacija vartotojui</w:t>
      </w:r>
    </w:p>
    <w:p w:rsidR="00634910" w:rsidRDefault="00634910" w:rsidP="00634910">
      <w:pPr>
        <w:widowControl w:val="0"/>
        <w:spacing w:after="0" w:line="240" w:lineRule="auto"/>
        <w:jc w:val="center"/>
        <w:outlineLvl w:val="0"/>
        <w:rPr>
          <w:rFonts w:ascii="Times New Roman" w:hAnsi="Times New Roman" w:cs="Times New Roman"/>
          <w:b/>
          <w:lang w:val="lt-LT" w:eastAsia="en-US"/>
        </w:rPr>
      </w:pPr>
    </w:p>
    <w:p w:rsidR="00634910" w:rsidRDefault="00634910" w:rsidP="00634910">
      <w:pPr>
        <w:widowControl w:val="0"/>
        <w:spacing w:after="0" w:line="240" w:lineRule="auto"/>
        <w:jc w:val="center"/>
        <w:rPr>
          <w:rFonts w:ascii="Times New Roman" w:hAnsi="Times New Roman" w:cs="Times New Roman"/>
          <w:b/>
          <w:lang w:val="lt-LT" w:eastAsia="en-US"/>
        </w:rPr>
      </w:pPr>
      <w:r>
        <w:rPr>
          <w:rFonts w:ascii="Times New Roman" w:hAnsi="Times New Roman" w:cs="Times New Roman"/>
          <w:b/>
          <w:lang w:val="lt-LT" w:eastAsia="en-US"/>
        </w:rPr>
        <w:t>Imatinib Ranbaxy 100 mg plėvele dengtos tabletės</w:t>
      </w:r>
    </w:p>
    <w:p w:rsidR="00634910" w:rsidRDefault="00634910" w:rsidP="00634910">
      <w:pPr>
        <w:spacing w:after="0" w:line="240" w:lineRule="auto"/>
        <w:jc w:val="center"/>
        <w:rPr>
          <w:rFonts w:ascii="Times New Roman" w:hAnsi="Times New Roman" w:cs="Times New Roman"/>
          <w:b/>
          <w:highlight w:val="lightGray"/>
          <w:lang w:val="lt-LT"/>
        </w:rPr>
      </w:pPr>
      <w:r>
        <w:rPr>
          <w:rFonts w:ascii="Times New Roman" w:hAnsi="Times New Roman" w:cs="Times New Roman"/>
          <w:b/>
          <w:bCs/>
          <w:highlight w:val="lightGray"/>
          <w:lang w:val="lt-LT" w:eastAsia="en-US"/>
        </w:rPr>
        <w:t>Imatinib Ranbaxy</w:t>
      </w:r>
      <w:r>
        <w:rPr>
          <w:rFonts w:ascii="Times New Roman" w:hAnsi="Times New Roman" w:cs="Times New Roman"/>
          <w:b/>
          <w:highlight w:val="lightGray"/>
          <w:lang w:val="lt-LT"/>
        </w:rPr>
        <w:t xml:space="preserve"> 400 mg plėvele dengtos tabletės</w:t>
      </w:r>
    </w:p>
    <w:p w:rsidR="00634910" w:rsidRDefault="00634910" w:rsidP="00634910">
      <w:pPr>
        <w:widowControl w:val="0"/>
        <w:spacing w:after="0" w:line="240" w:lineRule="auto"/>
        <w:jc w:val="center"/>
        <w:rPr>
          <w:rFonts w:ascii="Times New Roman" w:hAnsi="Times New Roman" w:cs="Times New Roman"/>
          <w:lang w:val="lt-LT" w:eastAsia="en-US"/>
        </w:rPr>
      </w:pPr>
      <w:r>
        <w:rPr>
          <w:rFonts w:ascii="Times New Roman" w:hAnsi="Times New Roman" w:cs="Times New Roman"/>
          <w:lang w:val="lt-LT" w:eastAsia="en-US"/>
        </w:rPr>
        <w:t>Imatinibas</w:t>
      </w:r>
    </w:p>
    <w:p w:rsidR="00634910" w:rsidRDefault="00634910" w:rsidP="00634910">
      <w:pPr>
        <w:widowControl w:val="0"/>
        <w:spacing w:after="0" w:line="240" w:lineRule="auto"/>
        <w:jc w:val="center"/>
        <w:rPr>
          <w:rFonts w:ascii="Times New Roman" w:hAnsi="Times New Roman" w:cs="Times New Roman"/>
          <w:lang w:val="lt-LT" w:eastAsia="en-US"/>
        </w:rPr>
      </w:pPr>
    </w:p>
    <w:p w:rsidR="00634910" w:rsidRDefault="00634910" w:rsidP="00634910">
      <w:pPr>
        <w:suppressAutoHyphens/>
        <w:spacing w:after="0" w:line="240" w:lineRule="auto"/>
        <w:rPr>
          <w:rFonts w:ascii="Times New Roman" w:hAnsi="Times New Roman" w:cs="Times New Roman"/>
          <w:lang w:val="lt-LT"/>
        </w:rPr>
      </w:pPr>
      <w:r>
        <w:rPr>
          <w:rFonts w:ascii="Times New Roman" w:hAnsi="Times New Roman" w:cs="Times New Roman"/>
          <w:b/>
          <w:lang w:val="lt-LT"/>
        </w:rPr>
        <w:t>Atidžiai perskaitykite visą šį lapelį, prieš pradėdami vartoti vaistą, nes jame pateikiama Jums svarbi informacija.</w:t>
      </w:r>
    </w:p>
    <w:p w:rsidR="00634910" w:rsidRDefault="00634910" w:rsidP="00634910">
      <w:pPr>
        <w:numPr>
          <w:ilvl w:val="0"/>
          <w:numId w:val="4"/>
        </w:numPr>
        <w:spacing w:after="0" w:line="240" w:lineRule="auto"/>
        <w:ind w:left="567" w:right="-2" w:hanging="567"/>
        <w:rPr>
          <w:rFonts w:ascii="Times New Roman" w:hAnsi="Times New Roman" w:cs="Times New Roman"/>
          <w:lang w:val="lt-LT"/>
        </w:rPr>
      </w:pPr>
      <w:r>
        <w:rPr>
          <w:rFonts w:ascii="Times New Roman" w:hAnsi="Times New Roman" w:cs="Times New Roman"/>
          <w:lang w:val="lt-LT"/>
        </w:rPr>
        <w:t xml:space="preserve">Neišmeskite šio lapelio, nes vėl gali prireikti jį perskaityti. </w:t>
      </w:r>
    </w:p>
    <w:p w:rsidR="00634910" w:rsidRDefault="00634910" w:rsidP="00634910">
      <w:pPr>
        <w:numPr>
          <w:ilvl w:val="0"/>
          <w:numId w:val="4"/>
        </w:numPr>
        <w:spacing w:after="0" w:line="240" w:lineRule="auto"/>
        <w:ind w:left="567" w:right="-2" w:hanging="567"/>
        <w:rPr>
          <w:rFonts w:ascii="Times New Roman" w:hAnsi="Times New Roman" w:cs="Times New Roman"/>
          <w:lang w:val="lt-LT"/>
        </w:rPr>
      </w:pPr>
      <w:r>
        <w:rPr>
          <w:rFonts w:ascii="Times New Roman" w:hAnsi="Times New Roman" w:cs="Times New Roman"/>
          <w:lang w:val="lt-LT"/>
        </w:rPr>
        <w:t>Jeigu kiltų daugiau klausimų, kreipkitės į gydytoją, vaistininką arba slaugytoją.</w:t>
      </w:r>
    </w:p>
    <w:p w:rsidR="00634910" w:rsidRDefault="00634910" w:rsidP="00634910">
      <w:pPr>
        <w:spacing w:after="0" w:line="240" w:lineRule="auto"/>
        <w:ind w:left="567" w:right="-2"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Šis vaistas skirtas tik Jums, todėl kitiems žmonėms jo duoti negalima. Vaistas gali jiems pakenkti (net tiems, kurių ligos požymiai yra tokie patys kaip Jūsų).</w:t>
      </w:r>
    </w:p>
    <w:p w:rsidR="00634910" w:rsidRDefault="00634910" w:rsidP="00634910">
      <w:pPr>
        <w:numPr>
          <w:ilvl w:val="0"/>
          <w:numId w:val="4"/>
        </w:numPr>
        <w:tabs>
          <w:tab w:val="left" w:pos="567"/>
        </w:tabs>
        <w:spacing w:after="0" w:line="240" w:lineRule="auto"/>
        <w:ind w:left="540" w:hanging="540"/>
        <w:rPr>
          <w:rFonts w:ascii="Times New Roman" w:hAnsi="Times New Roman" w:cs="Times New Roman"/>
          <w:lang w:val="lt-LT"/>
        </w:rPr>
      </w:pPr>
      <w:r>
        <w:rPr>
          <w:rFonts w:ascii="Times New Roman" w:hAnsi="Times New Roman" w:cs="Times New Roman"/>
          <w:lang w:val="lt-LT"/>
        </w:rPr>
        <w:t>Jeigu pasireiškė šalutinis poveikis (net jeigu jis šiame lapelyje nenurodytas), kreipkitės į gydytoją, vaistininką arba slaugytoją. Žr. 4 skyrių.</w:t>
      </w:r>
    </w:p>
    <w:p w:rsidR="00634910" w:rsidRDefault="00634910" w:rsidP="00634910">
      <w:pPr>
        <w:spacing w:after="0" w:line="240" w:lineRule="auto"/>
        <w:ind w:right="-2"/>
        <w:rPr>
          <w:rFonts w:ascii="Times New Roman" w:hAnsi="Times New Roman" w:cs="Times New Roman"/>
          <w:lang w:val="lt-LT"/>
        </w:rPr>
      </w:pPr>
    </w:p>
    <w:p w:rsidR="00634910" w:rsidRDefault="00634910" w:rsidP="00634910">
      <w:pPr>
        <w:widowControl w:val="0"/>
        <w:numPr>
          <w:ilvl w:val="12"/>
          <w:numId w:val="0"/>
        </w:numPr>
        <w:spacing w:after="0" w:line="240" w:lineRule="auto"/>
        <w:ind w:right="-2"/>
        <w:outlineLvl w:val="0"/>
        <w:rPr>
          <w:rFonts w:ascii="Times New Roman" w:hAnsi="Times New Roman" w:cs="Times New Roman"/>
          <w:b/>
          <w:bCs/>
          <w:lang w:val="lt-LT" w:eastAsia="en-US"/>
        </w:rPr>
      </w:pPr>
      <w:r>
        <w:rPr>
          <w:rFonts w:ascii="Times New Roman" w:hAnsi="Times New Roman" w:cs="Times New Roman"/>
          <w:b/>
          <w:bCs/>
          <w:lang w:val="lt-LT"/>
        </w:rPr>
        <w:t>Apie ką rašoma šiame lapelyje?</w:t>
      </w:r>
    </w:p>
    <w:p w:rsidR="00634910" w:rsidRDefault="00634910" w:rsidP="00634910">
      <w:pPr>
        <w:widowControl w:val="0"/>
        <w:numPr>
          <w:ilvl w:val="12"/>
          <w:numId w:val="0"/>
        </w:numPr>
        <w:spacing w:after="0" w:line="240" w:lineRule="auto"/>
        <w:ind w:right="-2"/>
        <w:outlineLvl w:val="0"/>
        <w:rPr>
          <w:rFonts w:ascii="Times New Roman" w:hAnsi="Times New Roman" w:cs="Times New Roman"/>
          <w:lang w:val="lt-LT" w:eastAsia="en-US"/>
        </w:rPr>
      </w:pPr>
    </w:p>
    <w:p w:rsidR="00634910" w:rsidRDefault="00634910" w:rsidP="00634910">
      <w:pPr>
        <w:widowControl w:val="0"/>
        <w:tabs>
          <w:tab w:val="left" w:pos="567"/>
        </w:tabs>
        <w:spacing w:after="0" w:line="240" w:lineRule="auto"/>
        <w:ind w:right="-2"/>
        <w:outlineLvl w:val="0"/>
        <w:rPr>
          <w:rFonts w:ascii="Times New Roman" w:hAnsi="Times New Roman" w:cs="Times New Roman"/>
          <w:lang w:val="lt-LT" w:eastAsia="en-US"/>
        </w:rPr>
      </w:pPr>
      <w:r>
        <w:rPr>
          <w:rFonts w:ascii="Times New Roman" w:hAnsi="Times New Roman" w:cs="Times New Roman"/>
          <w:lang w:val="lt-LT" w:eastAsia="en-US"/>
        </w:rPr>
        <w:t>1.</w:t>
      </w:r>
      <w:r>
        <w:rPr>
          <w:rFonts w:ascii="Times New Roman" w:hAnsi="Times New Roman" w:cs="Times New Roman"/>
          <w:lang w:val="lt-LT" w:eastAsia="en-US"/>
        </w:rPr>
        <w:tab/>
      </w:r>
      <w:r>
        <w:rPr>
          <w:rFonts w:ascii="Times New Roman" w:hAnsi="Times New Roman" w:cs="Times New Roman"/>
          <w:lang w:val="lt-LT"/>
        </w:rPr>
        <w:t>Kas yra</w:t>
      </w:r>
      <w:r>
        <w:rPr>
          <w:rFonts w:ascii="Times New Roman" w:hAnsi="Times New Roman" w:cs="Times New Roman"/>
          <w:lang w:val="lt-LT" w:eastAsia="en-US"/>
        </w:rPr>
        <w:t xml:space="preserve"> Imatinib Ranbaxy </w:t>
      </w:r>
      <w:r>
        <w:rPr>
          <w:rFonts w:ascii="Times New Roman" w:hAnsi="Times New Roman" w:cs="Times New Roman"/>
          <w:lang w:val="lt-LT"/>
        </w:rPr>
        <w:t>ir kam jis vartojamas</w:t>
      </w:r>
    </w:p>
    <w:p w:rsidR="00634910" w:rsidRDefault="00634910" w:rsidP="00634910">
      <w:pPr>
        <w:widowControl w:val="0"/>
        <w:tabs>
          <w:tab w:val="left" w:pos="567"/>
        </w:tabs>
        <w:spacing w:after="0" w:line="240" w:lineRule="auto"/>
        <w:ind w:right="-29"/>
        <w:rPr>
          <w:rFonts w:ascii="Times New Roman" w:hAnsi="Times New Roman" w:cs="Times New Roman"/>
          <w:lang w:val="lt-LT" w:eastAsia="en-US"/>
        </w:rPr>
      </w:pPr>
      <w:r>
        <w:rPr>
          <w:rFonts w:ascii="Times New Roman" w:hAnsi="Times New Roman" w:cs="Times New Roman"/>
          <w:lang w:val="lt-LT" w:eastAsia="en-US"/>
        </w:rPr>
        <w:t>2.</w:t>
      </w:r>
      <w:r>
        <w:rPr>
          <w:rFonts w:ascii="Times New Roman" w:hAnsi="Times New Roman" w:cs="Times New Roman"/>
          <w:lang w:val="lt-LT" w:eastAsia="en-US"/>
        </w:rPr>
        <w:tab/>
      </w:r>
      <w:r>
        <w:rPr>
          <w:rFonts w:ascii="Times New Roman" w:hAnsi="Times New Roman" w:cs="Times New Roman"/>
          <w:lang w:val="lt-LT"/>
        </w:rPr>
        <w:t xml:space="preserve">Kas žinotina prieš vartojant </w:t>
      </w:r>
      <w:r>
        <w:rPr>
          <w:rFonts w:ascii="Times New Roman" w:hAnsi="Times New Roman" w:cs="Times New Roman"/>
          <w:lang w:val="lt-LT" w:eastAsia="en-US"/>
        </w:rPr>
        <w:t>Imatinib Ranbaxy</w:t>
      </w:r>
    </w:p>
    <w:p w:rsidR="00634910" w:rsidRDefault="00634910" w:rsidP="00634910">
      <w:pPr>
        <w:widowControl w:val="0"/>
        <w:tabs>
          <w:tab w:val="left" w:pos="567"/>
        </w:tabs>
        <w:spacing w:after="0" w:line="240" w:lineRule="auto"/>
        <w:ind w:right="-29"/>
        <w:rPr>
          <w:rFonts w:ascii="Times New Roman" w:hAnsi="Times New Roman" w:cs="Times New Roman"/>
          <w:lang w:val="lt-LT" w:eastAsia="en-US"/>
        </w:rPr>
      </w:pPr>
      <w:r>
        <w:rPr>
          <w:rFonts w:ascii="Times New Roman" w:hAnsi="Times New Roman" w:cs="Times New Roman"/>
          <w:lang w:val="lt-LT" w:eastAsia="en-US"/>
        </w:rPr>
        <w:t>3.</w:t>
      </w:r>
      <w:r>
        <w:rPr>
          <w:rFonts w:ascii="Times New Roman" w:hAnsi="Times New Roman" w:cs="Times New Roman"/>
          <w:lang w:val="lt-LT" w:eastAsia="en-US"/>
        </w:rPr>
        <w:tab/>
      </w:r>
      <w:r>
        <w:rPr>
          <w:rFonts w:ascii="Times New Roman" w:hAnsi="Times New Roman" w:cs="Times New Roman"/>
          <w:lang w:val="lt-LT"/>
        </w:rPr>
        <w:t xml:space="preserve">Kaip vartoti </w:t>
      </w:r>
      <w:r>
        <w:rPr>
          <w:rFonts w:ascii="Times New Roman" w:hAnsi="Times New Roman" w:cs="Times New Roman"/>
          <w:lang w:val="lt-LT" w:eastAsia="en-US"/>
        </w:rPr>
        <w:t>Imatinib Ranbaxy</w:t>
      </w:r>
    </w:p>
    <w:p w:rsidR="00634910" w:rsidRDefault="00634910" w:rsidP="00634910">
      <w:pPr>
        <w:widowControl w:val="0"/>
        <w:tabs>
          <w:tab w:val="left" w:pos="567"/>
        </w:tabs>
        <w:spacing w:after="0" w:line="240" w:lineRule="auto"/>
        <w:ind w:right="-29"/>
        <w:rPr>
          <w:rFonts w:ascii="Times New Roman" w:hAnsi="Times New Roman" w:cs="Times New Roman"/>
          <w:lang w:val="lt-LT" w:eastAsia="en-US"/>
        </w:rPr>
      </w:pPr>
      <w:r>
        <w:rPr>
          <w:rFonts w:ascii="Times New Roman" w:hAnsi="Times New Roman" w:cs="Times New Roman"/>
          <w:lang w:val="lt-LT" w:eastAsia="en-US"/>
        </w:rPr>
        <w:t>4.</w:t>
      </w:r>
      <w:r>
        <w:rPr>
          <w:rFonts w:ascii="Times New Roman" w:hAnsi="Times New Roman" w:cs="Times New Roman"/>
          <w:lang w:val="lt-LT" w:eastAsia="en-US"/>
        </w:rPr>
        <w:tab/>
      </w:r>
      <w:r>
        <w:rPr>
          <w:rFonts w:ascii="Times New Roman" w:hAnsi="Times New Roman" w:cs="Times New Roman"/>
          <w:lang w:val="lt-LT"/>
        </w:rPr>
        <w:t>Galimas šalutinis poveikis</w:t>
      </w:r>
    </w:p>
    <w:p w:rsidR="00634910" w:rsidRDefault="00634910" w:rsidP="00634910">
      <w:pPr>
        <w:widowControl w:val="0"/>
        <w:tabs>
          <w:tab w:val="left" w:pos="567"/>
        </w:tabs>
        <w:spacing w:after="0" w:line="240" w:lineRule="auto"/>
        <w:ind w:right="-29"/>
        <w:rPr>
          <w:rFonts w:ascii="Times New Roman" w:hAnsi="Times New Roman" w:cs="Times New Roman"/>
          <w:lang w:val="lt-LT" w:eastAsia="en-US"/>
        </w:rPr>
      </w:pPr>
      <w:r>
        <w:rPr>
          <w:rFonts w:ascii="Times New Roman" w:hAnsi="Times New Roman" w:cs="Times New Roman"/>
          <w:lang w:val="lt-LT" w:eastAsia="en-US"/>
        </w:rPr>
        <w:t>5.</w:t>
      </w:r>
      <w:r>
        <w:rPr>
          <w:rFonts w:ascii="Times New Roman" w:hAnsi="Times New Roman" w:cs="Times New Roman"/>
          <w:lang w:val="lt-LT" w:eastAsia="en-US"/>
        </w:rPr>
        <w:tab/>
      </w:r>
      <w:r>
        <w:rPr>
          <w:rFonts w:ascii="Times New Roman" w:hAnsi="Times New Roman" w:cs="Times New Roman"/>
          <w:lang w:val="lt-LT"/>
        </w:rPr>
        <w:t xml:space="preserve">Kaip laikyti </w:t>
      </w:r>
      <w:r>
        <w:rPr>
          <w:rFonts w:ascii="Times New Roman" w:hAnsi="Times New Roman" w:cs="Times New Roman"/>
          <w:lang w:val="lt-LT" w:eastAsia="en-US"/>
        </w:rPr>
        <w:t>Imatinib Ranbaxy</w:t>
      </w:r>
    </w:p>
    <w:p w:rsidR="00634910" w:rsidRDefault="00634910" w:rsidP="00634910">
      <w:pPr>
        <w:widowControl w:val="0"/>
        <w:tabs>
          <w:tab w:val="left" w:pos="567"/>
        </w:tabs>
        <w:spacing w:after="0" w:line="240" w:lineRule="auto"/>
        <w:ind w:right="-29"/>
        <w:rPr>
          <w:rFonts w:ascii="Times New Roman" w:hAnsi="Times New Roman" w:cs="Times New Roman"/>
          <w:lang w:val="lt-LT" w:eastAsia="en-US"/>
        </w:rPr>
      </w:pPr>
      <w:r>
        <w:rPr>
          <w:rFonts w:ascii="Times New Roman" w:hAnsi="Times New Roman" w:cs="Times New Roman"/>
          <w:lang w:val="lt-LT" w:eastAsia="en-US"/>
        </w:rPr>
        <w:t>6.</w:t>
      </w:r>
      <w:r>
        <w:rPr>
          <w:rFonts w:ascii="Times New Roman" w:hAnsi="Times New Roman" w:cs="Times New Roman"/>
          <w:lang w:val="lt-LT" w:eastAsia="en-US"/>
        </w:rPr>
        <w:tab/>
      </w:r>
      <w:r>
        <w:rPr>
          <w:rFonts w:ascii="Times New Roman" w:hAnsi="Times New Roman" w:cs="Times New Roman"/>
          <w:lang w:val="lt-LT"/>
        </w:rPr>
        <w:t>Pakuotės turinys ir kita informacija</w:t>
      </w:r>
    </w:p>
    <w:p w:rsidR="00634910" w:rsidRDefault="00634910" w:rsidP="00634910">
      <w:pPr>
        <w:widowControl w:val="0"/>
        <w:numPr>
          <w:ilvl w:val="12"/>
          <w:numId w:val="0"/>
        </w:numPr>
        <w:spacing w:after="0" w:line="240" w:lineRule="auto"/>
        <w:rPr>
          <w:rFonts w:ascii="Times New Roman" w:hAnsi="Times New Roman" w:cs="Times New Roman"/>
          <w:lang w:val="lt-LT" w:eastAsia="en-US"/>
        </w:rPr>
      </w:pPr>
    </w:p>
    <w:p w:rsidR="00634910" w:rsidRDefault="00634910" w:rsidP="00634910">
      <w:pPr>
        <w:widowControl w:val="0"/>
        <w:numPr>
          <w:ilvl w:val="12"/>
          <w:numId w:val="0"/>
        </w:numPr>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b/>
          <w:lang w:val="lt-LT" w:eastAsia="en-US"/>
        </w:rPr>
      </w:pPr>
      <w:r>
        <w:rPr>
          <w:rFonts w:ascii="Times New Roman" w:hAnsi="Times New Roman" w:cs="Times New Roman"/>
          <w:b/>
          <w:lang w:val="lt-LT" w:eastAsia="en-US"/>
        </w:rPr>
        <w:t>1.</w:t>
      </w:r>
      <w:r>
        <w:rPr>
          <w:rFonts w:ascii="Times New Roman" w:hAnsi="Times New Roman" w:cs="Times New Roman"/>
          <w:b/>
          <w:lang w:val="lt-LT" w:eastAsia="en-US"/>
        </w:rPr>
        <w:tab/>
        <w:t>Kas yra Imatinib Ranbaxy ir kam jis vartojamas</w:t>
      </w:r>
    </w:p>
    <w:p w:rsidR="00634910" w:rsidRDefault="00634910" w:rsidP="00634910">
      <w:pPr>
        <w:widowControl w:val="0"/>
        <w:numPr>
          <w:ilvl w:val="12"/>
          <w:numId w:val="0"/>
        </w:numPr>
        <w:spacing w:after="0" w:line="240" w:lineRule="auto"/>
        <w:rPr>
          <w:rFonts w:ascii="Times New Roman" w:hAnsi="Times New Roman" w:cs="Times New Roman"/>
          <w:lang w:val="lt-LT" w:eastAsia="en-US"/>
        </w:rPr>
      </w:pPr>
    </w:p>
    <w:p w:rsidR="00634910" w:rsidRDefault="00634910" w:rsidP="00634910">
      <w:pPr>
        <w:pStyle w:val="Default"/>
        <w:widowControl w:val="0"/>
        <w:rPr>
          <w:sz w:val="22"/>
          <w:szCs w:val="22"/>
        </w:rPr>
      </w:pPr>
      <w:r>
        <w:rPr>
          <w:sz w:val="22"/>
          <w:szCs w:val="22"/>
        </w:rPr>
        <w:t>Imatinib Ranbaxy yra vaistas, kurio sudėtyje yra veikliosios medžiagos, vadinamos imatinibu. Šis vaistas veikia slopindamas nenormalių ląstelių augimą sergant toliau išvardytomis ligomis, tarp jų ir kai kurių rūšių vėžiu.</w:t>
      </w:r>
    </w:p>
    <w:p w:rsidR="00634910" w:rsidRDefault="00634910" w:rsidP="00634910">
      <w:pPr>
        <w:pStyle w:val="Default"/>
        <w:widowControl w:val="0"/>
        <w:rPr>
          <w:b/>
          <w:bCs/>
          <w:sz w:val="22"/>
          <w:szCs w:val="22"/>
        </w:rPr>
      </w:pPr>
    </w:p>
    <w:p w:rsidR="00634910" w:rsidRDefault="00634910" w:rsidP="00634910">
      <w:pPr>
        <w:pStyle w:val="Default"/>
        <w:widowControl w:val="0"/>
        <w:rPr>
          <w:b/>
          <w:bCs/>
          <w:sz w:val="22"/>
          <w:szCs w:val="22"/>
        </w:rPr>
      </w:pPr>
      <w:r>
        <w:rPr>
          <w:b/>
          <w:bCs/>
          <w:sz w:val="22"/>
          <w:szCs w:val="22"/>
        </w:rPr>
        <w:t>Imatinib Ranbaxy vartojamas gydyti suaugusiųjų ir vaikų:</w:t>
      </w:r>
    </w:p>
    <w:p w:rsidR="00634910" w:rsidRDefault="00634910" w:rsidP="00634910">
      <w:pPr>
        <w:pStyle w:val="Default"/>
        <w:widowControl w:val="0"/>
        <w:rPr>
          <w:sz w:val="22"/>
          <w:szCs w:val="22"/>
        </w:rPr>
      </w:pPr>
    </w:p>
    <w:p w:rsidR="00634910" w:rsidRDefault="00634910" w:rsidP="00634910">
      <w:pPr>
        <w:pStyle w:val="Default"/>
        <w:widowControl w:val="0"/>
        <w:ind w:left="709" w:hanging="425"/>
        <w:rPr>
          <w:sz w:val="22"/>
          <w:szCs w:val="22"/>
        </w:rPr>
      </w:pPr>
      <w:r>
        <w:rPr>
          <w:b/>
          <w:bCs/>
          <w:sz w:val="22"/>
          <w:szCs w:val="22"/>
        </w:rPr>
        <w:t>-</w:t>
      </w:r>
      <w:r>
        <w:rPr>
          <w:b/>
          <w:bCs/>
          <w:sz w:val="22"/>
          <w:szCs w:val="22"/>
        </w:rPr>
        <w:tab/>
        <w:t xml:space="preserve">lėtine mieloidinę leukemiją (LML). </w:t>
      </w:r>
      <w:r>
        <w:rPr>
          <w:sz w:val="22"/>
          <w:szCs w:val="22"/>
        </w:rPr>
        <w:t>Leukemija yra baltųjų kraujo ląstelių vėžys. Šios baltosios kraujo ląstelės padeda organizmui gintis nuo infekcijų. Lėtinė mieloidinė leukemija yra tokia leukemijos forma, kuria sergant, pradeda nekontroliuojamai daugintis tam tikros nenormalios baltosios ląstelės (vadinamos mieloidinėmis ląstelėmis).</w:t>
      </w:r>
    </w:p>
    <w:p w:rsidR="00634910" w:rsidRPr="00511829" w:rsidRDefault="00634910" w:rsidP="00634910">
      <w:pPr>
        <w:widowControl w:val="0"/>
        <w:autoSpaceDE w:val="0"/>
        <w:autoSpaceDN w:val="0"/>
        <w:adjustRightInd w:val="0"/>
        <w:spacing w:after="0" w:line="240" w:lineRule="auto"/>
        <w:ind w:left="720"/>
        <w:rPr>
          <w:rFonts w:ascii="Times New Roman" w:hAnsi="Times New Roman" w:cs="Times New Roman"/>
          <w:lang w:val="lt-LT"/>
        </w:rPr>
      </w:pPr>
      <w:r>
        <w:rPr>
          <w:rFonts w:ascii="Times New Roman" w:hAnsi="Times New Roman" w:cs="Times New Roman"/>
          <w:color w:val="000000"/>
          <w:lang w:val="lt-LT"/>
        </w:rPr>
        <w:t xml:space="preserve">Suaugusiesiems pacientams </w:t>
      </w:r>
      <w:r>
        <w:rPr>
          <w:rFonts w:ascii="Times New Roman" w:hAnsi="Times New Roman" w:cs="Times New Roman"/>
          <w:bCs/>
          <w:lang w:val="lt-LT"/>
        </w:rPr>
        <w:t>Imatinib Ranbaxy</w:t>
      </w:r>
      <w:r>
        <w:rPr>
          <w:rFonts w:ascii="Times New Roman" w:hAnsi="Times New Roman" w:cs="Times New Roman"/>
          <w:lang w:val="lt-LT"/>
        </w:rPr>
        <w:t xml:space="preserve"> </w:t>
      </w:r>
      <w:r>
        <w:rPr>
          <w:rFonts w:ascii="Times New Roman" w:hAnsi="Times New Roman" w:cs="Times New Roman"/>
          <w:color w:val="000000"/>
          <w:lang w:val="lt-LT"/>
        </w:rPr>
        <w:t>skiriama vartoti vėlyvajai</w:t>
      </w:r>
      <w:r>
        <w:rPr>
          <w:rFonts w:ascii="Times New Roman" w:hAnsi="Times New Roman" w:cs="Times New Roman"/>
          <w:lang w:val="lt-LT"/>
        </w:rPr>
        <w:t xml:space="preserve"> lėtinės mieloidinės leukemijos fazei, kuri vadinama blastine krize, gydyti. Vaikams ir paaugliams šio vaisto galima skirti vartoti bet kuriai ligos fazei gydyti.</w:t>
      </w:r>
    </w:p>
    <w:p w:rsidR="00634910" w:rsidRDefault="00634910" w:rsidP="00634910">
      <w:pPr>
        <w:pStyle w:val="Default"/>
        <w:widowControl w:val="0"/>
        <w:rPr>
          <w:sz w:val="22"/>
          <w:szCs w:val="22"/>
        </w:rPr>
      </w:pPr>
    </w:p>
    <w:p w:rsidR="00634910" w:rsidRDefault="00634910" w:rsidP="00634910">
      <w:pPr>
        <w:pStyle w:val="Default"/>
        <w:widowControl w:val="0"/>
        <w:rPr>
          <w:b/>
          <w:bCs/>
          <w:sz w:val="22"/>
          <w:szCs w:val="22"/>
        </w:rPr>
      </w:pPr>
      <w:r>
        <w:rPr>
          <w:b/>
          <w:bCs/>
          <w:sz w:val="22"/>
          <w:szCs w:val="22"/>
        </w:rPr>
        <w:t xml:space="preserve">Imatinib Ranbaxy taip pat vartojama gydyti suaugusiųjų: </w:t>
      </w:r>
    </w:p>
    <w:p w:rsidR="00634910" w:rsidRDefault="00634910" w:rsidP="00634910">
      <w:pPr>
        <w:pStyle w:val="Default"/>
        <w:widowControl w:val="0"/>
        <w:rPr>
          <w:sz w:val="22"/>
          <w:szCs w:val="22"/>
        </w:rPr>
      </w:pPr>
    </w:p>
    <w:p w:rsidR="00634910" w:rsidRDefault="00634910" w:rsidP="00634910">
      <w:pPr>
        <w:pStyle w:val="Default"/>
        <w:widowControl w:val="0"/>
        <w:numPr>
          <w:ilvl w:val="0"/>
          <w:numId w:val="5"/>
        </w:numPr>
        <w:rPr>
          <w:b/>
          <w:sz w:val="22"/>
          <w:szCs w:val="22"/>
        </w:rPr>
      </w:pPr>
      <w:r>
        <w:rPr>
          <w:b/>
          <w:i/>
          <w:sz w:val="22"/>
          <w:szCs w:val="22"/>
        </w:rPr>
        <w:t>Philadelphia</w:t>
      </w:r>
      <w:r>
        <w:rPr>
          <w:b/>
          <w:sz w:val="22"/>
          <w:szCs w:val="22"/>
        </w:rPr>
        <w:t xml:space="preserve"> chromosomai teigiama ūmine limfoidinė leukemija (</w:t>
      </w:r>
      <w:r w:rsidRPr="00132FED">
        <w:rPr>
          <w:b/>
          <w:i/>
          <w:sz w:val="22"/>
          <w:szCs w:val="22"/>
        </w:rPr>
        <w:t>Ph</w:t>
      </w:r>
      <w:r>
        <w:rPr>
          <w:b/>
          <w:sz w:val="22"/>
          <w:szCs w:val="22"/>
        </w:rPr>
        <w:t xml:space="preserve"> teigiama ŪLL). </w:t>
      </w:r>
    </w:p>
    <w:p w:rsidR="00634910" w:rsidRDefault="00634910" w:rsidP="00634910">
      <w:pPr>
        <w:pStyle w:val="Default"/>
        <w:widowControl w:val="0"/>
        <w:ind w:left="720"/>
        <w:rPr>
          <w:sz w:val="22"/>
          <w:szCs w:val="22"/>
        </w:rPr>
      </w:pPr>
      <w:r>
        <w:rPr>
          <w:sz w:val="22"/>
          <w:szCs w:val="22"/>
        </w:rPr>
        <w:t xml:space="preserve">Leukemija – tai baltųjų kraujo kūnelių vėžys. Paprastai šios baltosios ląstelės padeda organizmui kovoti su infekcija. Ūminė limfoidinė leukemija yra tokia leukemijos forma, kai tam tikros nenormalios ląstelės (vadinamos limfoblastais) pradeda nekontroliuojamai augti. </w:t>
      </w:r>
      <w:r>
        <w:rPr>
          <w:b/>
          <w:sz w:val="22"/>
          <w:szCs w:val="22"/>
        </w:rPr>
        <w:t>Imatinib Ranbaxy</w:t>
      </w:r>
      <w:r>
        <w:rPr>
          <w:sz w:val="22"/>
          <w:szCs w:val="22"/>
        </w:rPr>
        <w:t xml:space="preserve"> slopina šių ląstelių augimą. </w:t>
      </w:r>
    </w:p>
    <w:p w:rsidR="00634910" w:rsidRDefault="00634910" w:rsidP="00634910">
      <w:pPr>
        <w:pStyle w:val="Default"/>
        <w:widowControl w:val="0"/>
        <w:numPr>
          <w:ilvl w:val="0"/>
          <w:numId w:val="5"/>
        </w:numPr>
        <w:rPr>
          <w:sz w:val="22"/>
          <w:szCs w:val="22"/>
        </w:rPr>
      </w:pPr>
      <w:r>
        <w:rPr>
          <w:b/>
          <w:sz w:val="22"/>
          <w:szCs w:val="22"/>
        </w:rPr>
        <w:t>mielodisplazinėms ar mieloproliferacinėms ligoms (MDS/MPL) gydyti.</w:t>
      </w:r>
      <w:r>
        <w:rPr>
          <w:sz w:val="22"/>
          <w:szCs w:val="22"/>
        </w:rPr>
        <w:t xml:space="preserve"> Tai kraujo ligos, </w:t>
      </w:r>
    </w:p>
    <w:p w:rsidR="00634910" w:rsidRDefault="00634910" w:rsidP="00634910">
      <w:pPr>
        <w:pStyle w:val="Default"/>
        <w:widowControl w:val="0"/>
        <w:ind w:left="720"/>
        <w:rPr>
          <w:sz w:val="22"/>
          <w:szCs w:val="22"/>
        </w:rPr>
      </w:pPr>
      <w:r>
        <w:rPr>
          <w:sz w:val="22"/>
          <w:szCs w:val="22"/>
        </w:rPr>
        <w:lastRenderedPageBreak/>
        <w:t xml:space="preserve">kurių metu kai kurios kraujo ląstelės pradeda daugintis nekontroliuojamos. </w:t>
      </w:r>
      <w:r>
        <w:rPr>
          <w:b/>
          <w:sz w:val="22"/>
          <w:szCs w:val="22"/>
        </w:rPr>
        <w:t>Imatinib Ranbaxy</w:t>
      </w:r>
      <w:r>
        <w:rPr>
          <w:sz w:val="22"/>
          <w:szCs w:val="22"/>
        </w:rPr>
        <w:t xml:space="preserve"> slopina šių ląstelių augimą, sergant tam tikrais šių ligų potipiais. </w:t>
      </w:r>
    </w:p>
    <w:p w:rsidR="00634910" w:rsidRDefault="00634910" w:rsidP="00634910">
      <w:pPr>
        <w:pStyle w:val="Default"/>
        <w:widowControl w:val="0"/>
        <w:numPr>
          <w:ilvl w:val="0"/>
          <w:numId w:val="5"/>
        </w:numPr>
        <w:rPr>
          <w:b/>
          <w:sz w:val="22"/>
          <w:szCs w:val="22"/>
        </w:rPr>
      </w:pPr>
      <w:r>
        <w:rPr>
          <w:b/>
          <w:sz w:val="22"/>
          <w:szCs w:val="22"/>
        </w:rPr>
        <w:t xml:space="preserve">hipereozinofilijos sindromui (HES) ir (arba) lėtinei eozinofilinei leukemijai (LEL) gydyti. </w:t>
      </w:r>
      <w:r>
        <w:rPr>
          <w:sz w:val="22"/>
          <w:szCs w:val="22"/>
        </w:rPr>
        <w:t xml:space="preserve">Tai yra kraujo ligos, kurių metu kai kurios kraujo ląstelės (vadinamos eozinofilais) pradeda daugintis nekontroliuojamos. </w:t>
      </w:r>
      <w:r>
        <w:rPr>
          <w:b/>
          <w:sz w:val="22"/>
          <w:szCs w:val="22"/>
        </w:rPr>
        <w:t>Imatinib Ranbaxy</w:t>
      </w:r>
      <w:r>
        <w:rPr>
          <w:sz w:val="22"/>
          <w:szCs w:val="22"/>
        </w:rPr>
        <w:t xml:space="preserve"> slopina šių ląstelių augimą, sergant tam tikrais šių ligų potipiais. </w:t>
      </w:r>
    </w:p>
    <w:p w:rsidR="00634910" w:rsidRDefault="00634910" w:rsidP="00634910">
      <w:pPr>
        <w:pStyle w:val="Default"/>
        <w:widowControl w:val="0"/>
        <w:numPr>
          <w:ilvl w:val="0"/>
          <w:numId w:val="5"/>
        </w:numPr>
        <w:rPr>
          <w:sz w:val="22"/>
          <w:szCs w:val="22"/>
        </w:rPr>
      </w:pPr>
      <w:r>
        <w:rPr>
          <w:b/>
          <w:sz w:val="22"/>
          <w:szCs w:val="22"/>
        </w:rPr>
        <w:t xml:space="preserve">virškinimo trakto stromos naviką (VTSN). </w:t>
      </w:r>
      <w:r>
        <w:rPr>
          <w:sz w:val="22"/>
          <w:szCs w:val="22"/>
        </w:rPr>
        <w:t>VTSN – tai skrandžio ir žarnyno vėžys. Jis atsiranda dėl nekontroliuojamo šių organų pagalbinio audinio ląstelių augimo.</w:t>
      </w:r>
    </w:p>
    <w:p w:rsidR="00634910" w:rsidRDefault="00634910" w:rsidP="00634910">
      <w:pPr>
        <w:pStyle w:val="Default"/>
        <w:widowControl w:val="0"/>
        <w:numPr>
          <w:ilvl w:val="0"/>
          <w:numId w:val="6"/>
        </w:numPr>
        <w:rPr>
          <w:sz w:val="22"/>
          <w:szCs w:val="22"/>
        </w:rPr>
      </w:pPr>
      <w:r>
        <w:rPr>
          <w:b/>
          <w:sz w:val="22"/>
          <w:szCs w:val="22"/>
        </w:rPr>
        <w:t>iškiliajai dermatofibrosarkomai (</w:t>
      </w:r>
      <w:r w:rsidRPr="00132FED">
        <w:rPr>
          <w:b/>
          <w:i/>
          <w:sz w:val="22"/>
          <w:szCs w:val="22"/>
        </w:rPr>
        <w:t>dermatofibrosarcoma protuberan</w:t>
      </w:r>
      <w:r>
        <w:rPr>
          <w:b/>
          <w:sz w:val="22"/>
          <w:szCs w:val="22"/>
        </w:rPr>
        <w:t>s - DFSP) gydyti.</w:t>
      </w:r>
      <w:r>
        <w:rPr>
          <w:sz w:val="22"/>
          <w:szCs w:val="22"/>
        </w:rPr>
        <w:t xml:space="preserve"> DFSP - tai po oda esančio audinio vėžys, kurio metu kai kurios ląstelės pradeda nekontroliuojamai augti. </w:t>
      </w:r>
      <w:r>
        <w:rPr>
          <w:b/>
          <w:sz w:val="22"/>
          <w:szCs w:val="22"/>
        </w:rPr>
        <w:t>Imatinib Ranbaxy</w:t>
      </w:r>
      <w:r>
        <w:rPr>
          <w:sz w:val="22"/>
          <w:szCs w:val="22"/>
        </w:rPr>
        <w:t xml:space="preserve"> slopina šių ląstelių augimą.</w:t>
      </w:r>
    </w:p>
    <w:p w:rsidR="00634910" w:rsidRDefault="00634910" w:rsidP="00634910">
      <w:pPr>
        <w:pStyle w:val="Default"/>
        <w:widowControl w:val="0"/>
        <w:rPr>
          <w:sz w:val="22"/>
          <w:szCs w:val="22"/>
        </w:rPr>
      </w:pPr>
    </w:p>
    <w:p w:rsidR="00634910" w:rsidRDefault="00634910" w:rsidP="00634910">
      <w:pPr>
        <w:pStyle w:val="Default"/>
        <w:widowControl w:val="0"/>
        <w:rPr>
          <w:sz w:val="22"/>
          <w:szCs w:val="22"/>
        </w:rPr>
      </w:pPr>
      <w:r>
        <w:rPr>
          <w:sz w:val="22"/>
          <w:szCs w:val="22"/>
        </w:rPr>
        <w:t>Kitoje šio pakuotės lapelio dalyje pasakodami apie šias ligas naudosime jų santrumpas.</w:t>
      </w:r>
    </w:p>
    <w:p w:rsidR="00634910" w:rsidRDefault="00634910" w:rsidP="00634910">
      <w:pPr>
        <w:pStyle w:val="Default"/>
        <w:widowControl w:val="0"/>
        <w:rPr>
          <w:sz w:val="22"/>
          <w:szCs w:val="22"/>
        </w:rPr>
      </w:pPr>
    </w:p>
    <w:p w:rsidR="00634910" w:rsidRDefault="00634910" w:rsidP="00634910">
      <w:pPr>
        <w:widowControl w:val="0"/>
        <w:numPr>
          <w:ilvl w:val="12"/>
          <w:numId w:val="0"/>
        </w:numPr>
        <w:spacing w:after="0" w:line="240" w:lineRule="auto"/>
        <w:rPr>
          <w:rFonts w:ascii="Times New Roman" w:hAnsi="Times New Roman" w:cs="Times New Roman"/>
          <w:lang w:val="lt-LT" w:eastAsia="en-US"/>
        </w:rPr>
      </w:pPr>
      <w:r>
        <w:rPr>
          <w:rFonts w:ascii="Times New Roman" w:hAnsi="Times New Roman" w:cs="Times New Roman"/>
          <w:lang w:val="lt-LT"/>
        </w:rPr>
        <w:t>Jeigu kiltų daugiau klausimų dėl Imatinib Ranbaxy vartojimo arba kodėl šis vaistas buvo skirtas Jums, kreipkitės į savo gydytoją.</w:t>
      </w:r>
    </w:p>
    <w:p w:rsidR="00634910" w:rsidRDefault="00634910" w:rsidP="00634910">
      <w:pPr>
        <w:widowControl w:val="0"/>
        <w:numPr>
          <w:ilvl w:val="12"/>
          <w:numId w:val="0"/>
        </w:numPr>
        <w:spacing w:after="0" w:line="240" w:lineRule="auto"/>
        <w:rPr>
          <w:rFonts w:ascii="Times New Roman" w:hAnsi="Times New Roman" w:cs="Times New Roman"/>
          <w:lang w:val="lt-LT" w:eastAsia="en-US"/>
        </w:rPr>
      </w:pPr>
    </w:p>
    <w:p w:rsidR="00634910" w:rsidRDefault="00634910" w:rsidP="00634910">
      <w:pPr>
        <w:widowControl w:val="0"/>
        <w:numPr>
          <w:ilvl w:val="12"/>
          <w:numId w:val="0"/>
        </w:numPr>
        <w:spacing w:after="0" w:line="240" w:lineRule="auto"/>
        <w:rPr>
          <w:rFonts w:ascii="Times New Roman" w:hAnsi="Times New Roman" w:cs="Times New Roman"/>
          <w:lang w:val="lt-LT" w:eastAsia="en-US"/>
        </w:rPr>
      </w:pPr>
    </w:p>
    <w:p w:rsidR="00634910" w:rsidRDefault="00634910" w:rsidP="00634910">
      <w:pPr>
        <w:widowControl w:val="0"/>
        <w:tabs>
          <w:tab w:val="left" w:pos="567"/>
        </w:tabs>
        <w:spacing w:after="0" w:line="240" w:lineRule="auto"/>
        <w:rPr>
          <w:rFonts w:ascii="Times New Roman" w:hAnsi="Times New Roman" w:cs="Times New Roman"/>
          <w:b/>
          <w:lang w:val="lt-LT" w:eastAsia="en-US"/>
        </w:rPr>
      </w:pPr>
      <w:r>
        <w:rPr>
          <w:rFonts w:ascii="Times New Roman" w:hAnsi="Times New Roman" w:cs="Times New Roman"/>
          <w:b/>
          <w:lang w:val="lt-LT" w:eastAsia="en-US"/>
        </w:rPr>
        <w:t>2.</w:t>
      </w:r>
      <w:r>
        <w:rPr>
          <w:rFonts w:ascii="Times New Roman" w:hAnsi="Times New Roman" w:cs="Times New Roman"/>
          <w:b/>
          <w:lang w:val="lt-LT" w:eastAsia="en-US"/>
        </w:rPr>
        <w:tab/>
      </w:r>
      <w:r>
        <w:rPr>
          <w:rFonts w:ascii="Times New Roman" w:hAnsi="Times New Roman" w:cs="Times New Roman"/>
          <w:b/>
          <w:bCs/>
          <w:lang w:val="lt-LT"/>
        </w:rPr>
        <w:t>Kas žinotina prieš vartojant</w:t>
      </w:r>
      <w:r>
        <w:rPr>
          <w:rFonts w:ascii="Times New Roman" w:hAnsi="Times New Roman" w:cs="Times New Roman"/>
          <w:lang w:val="lt-LT"/>
        </w:rPr>
        <w:t xml:space="preserve"> </w:t>
      </w:r>
      <w:r>
        <w:rPr>
          <w:rFonts w:ascii="Times New Roman" w:hAnsi="Times New Roman" w:cs="Times New Roman"/>
          <w:b/>
          <w:lang w:val="lt-LT" w:eastAsia="en-US"/>
        </w:rPr>
        <w:t>Imatinib Ranbaxy</w:t>
      </w: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p>
    <w:p w:rsidR="00634910" w:rsidRDefault="00634910" w:rsidP="00634910">
      <w:pPr>
        <w:pStyle w:val="Default"/>
        <w:widowControl w:val="0"/>
        <w:rPr>
          <w:sz w:val="22"/>
          <w:szCs w:val="22"/>
        </w:rPr>
      </w:pPr>
      <w:r>
        <w:rPr>
          <w:sz w:val="22"/>
          <w:szCs w:val="22"/>
        </w:rPr>
        <w:t>Imatinib Ranbaxy gali skirti tik gydytojas, turintis kraujo vėžio ar solidinių navikų gydymo vaistais patirties.</w:t>
      </w:r>
    </w:p>
    <w:p w:rsidR="00634910" w:rsidRDefault="00634910" w:rsidP="00634910">
      <w:pPr>
        <w:pStyle w:val="Default"/>
        <w:widowControl w:val="0"/>
        <w:rPr>
          <w:sz w:val="22"/>
          <w:szCs w:val="22"/>
        </w:rPr>
      </w:pPr>
    </w:p>
    <w:p w:rsidR="00634910" w:rsidRDefault="00634910" w:rsidP="00634910">
      <w:pPr>
        <w:pStyle w:val="Default"/>
        <w:widowControl w:val="0"/>
        <w:rPr>
          <w:sz w:val="22"/>
          <w:szCs w:val="22"/>
        </w:rPr>
      </w:pPr>
      <w:r>
        <w:rPr>
          <w:sz w:val="22"/>
          <w:szCs w:val="22"/>
        </w:rPr>
        <w:t>Atidžiai vykdykite visus savo gydytojo nurodymus, net jeigu jie skiriasi nuo šiame lapelyje esančios bendros informacijos.</w:t>
      </w: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p>
    <w:p w:rsidR="00634910" w:rsidRDefault="00634910" w:rsidP="00634910">
      <w:pPr>
        <w:widowControl w:val="0"/>
        <w:numPr>
          <w:ilvl w:val="12"/>
          <w:numId w:val="0"/>
        </w:numPr>
        <w:tabs>
          <w:tab w:val="left" w:pos="567"/>
        </w:tabs>
        <w:spacing w:after="0" w:line="240" w:lineRule="auto"/>
        <w:outlineLvl w:val="0"/>
        <w:rPr>
          <w:rFonts w:ascii="Times New Roman" w:hAnsi="Times New Roman" w:cs="Times New Roman"/>
          <w:b/>
          <w:bCs/>
          <w:lang w:val="lt-LT" w:eastAsia="en-US"/>
        </w:rPr>
      </w:pPr>
      <w:r>
        <w:rPr>
          <w:rFonts w:ascii="Times New Roman" w:hAnsi="Times New Roman" w:cs="Times New Roman"/>
          <w:b/>
          <w:lang w:val="lt-LT" w:eastAsia="en-US"/>
        </w:rPr>
        <w:t>Imatinib Ranbaxy</w:t>
      </w:r>
      <w:r>
        <w:rPr>
          <w:rFonts w:ascii="Times New Roman" w:hAnsi="Times New Roman" w:cs="Times New Roman"/>
          <w:lang w:val="lt-LT"/>
        </w:rPr>
        <w:t xml:space="preserve"> </w:t>
      </w:r>
      <w:r>
        <w:rPr>
          <w:rFonts w:ascii="Times New Roman" w:hAnsi="Times New Roman" w:cs="Times New Roman"/>
          <w:b/>
          <w:bCs/>
          <w:lang w:val="lt-LT"/>
        </w:rPr>
        <w:t>vartoti negalima</w:t>
      </w:r>
    </w:p>
    <w:p w:rsidR="00634910" w:rsidRDefault="00634910" w:rsidP="00634910">
      <w:pPr>
        <w:widowControl w:val="0"/>
        <w:numPr>
          <w:ilvl w:val="0"/>
          <w:numId w:val="7"/>
        </w:numPr>
        <w:tabs>
          <w:tab w:val="left" w:pos="567"/>
        </w:tabs>
        <w:spacing w:after="0" w:line="240" w:lineRule="auto"/>
        <w:ind w:left="567" w:hanging="567"/>
        <w:rPr>
          <w:rFonts w:ascii="Times New Roman" w:hAnsi="Times New Roman" w:cs="Times New Roman"/>
          <w:lang w:val="lt-LT" w:eastAsia="en-US"/>
        </w:rPr>
      </w:pPr>
      <w:r>
        <w:rPr>
          <w:rFonts w:ascii="Times New Roman" w:hAnsi="Times New Roman" w:cs="Times New Roman"/>
          <w:lang w:val="lt-LT"/>
        </w:rPr>
        <w:t>jeigu yra alergija imatinibui arba bet kuriai pagalbinei šio vaisto medžiagai (jos išvardytos 6 skyriuje).</w:t>
      </w:r>
    </w:p>
    <w:p w:rsidR="00634910" w:rsidRDefault="00634910" w:rsidP="00634910">
      <w:pPr>
        <w:pStyle w:val="Default"/>
        <w:widowControl w:val="0"/>
        <w:rPr>
          <w:b/>
          <w:bCs/>
          <w:sz w:val="22"/>
          <w:szCs w:val="22"/>
        </w:rPr>
      </w:pPr>
      <w:r>
        <w:rPr>
          <w:sz w:val="22"/>
          <w:szCs w:val="22"/>
        </w:rPr>
        <w:t xml:space="preserve">Jeigu yra tokių aplinkybių, </w:t>
      </w:r>
      <w:r>
        <w:rPr>
          <w:b/>
          <w:bCs/>
          <w:sz w:val="22"/>
          <w:szCs w:val="22"/>
        </w:rPr>
        <w:t>pasakykite savo gydytojui, o Imatinib Ranbaxy nevartokite.</w:t>
      </w:r>
    </w:p>
    <w:p w:rsidR="00634910" w:rsidRDefault="00634910" w:rsidP="00634910">
      <w:pPr>
        <w:pStyle w:val="Porat"/>
        <w:widowControl w:val="0"/>
        <w:rPr>
          <w:sz w:val="22"/>
          <w:szCs w:val="22"/>
        </w:rPr>
      </w:pPr>
    </w:p>
    <w:p w:rsidR="00634910" w:rsidRDefault="00634910" w:rsidP="00634910">
      <w:pPr>
        <w:pStyle w:val="Porat"/>
        <w:widowControl w:val="0"/>
        <w:rPr>
          <w:sz w:val="22"/>
          <w:szCs w:val="22"/>
          <w:lang w:eastAsia="en-US"/>
        </w:rPr>
      </w:pPr>
      <w:r>
        <w:rPr>
          <w:sz w:val="22"/>
          <w:szCs w:val="22"/>
        </w:rPr>
        <w:t>Jeigu galvojate, kad galite būti alergiški, bet dėl to nesate tikri, klauskite gydytojo.</w:t>
      </w: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p>
    <w:p w:rsidR="00634910" w:rsidRDefault="00634910" w:rsidP="00634910">
      <w:pPr>
        <w:widowControl w:val="0"/>
        <w:numPr>
          <w:ilvl w:val="12"/>
          <w:numId w:val="0"/>
        </w:numPr>
        <w:tabs>
          <w:tab w:val="left" w:pos="567"/>
        </w:tabs>
        <w:spacing w:after="0" w:line="240" w:lineRule="auto"/>
        <w:rPr>
          <w:rFonts w:ascii="Times New Roman" w:hAnsi="Times New Roman" w:cs="Times New Roman"/>
          <w:b/>
          <w:bCs/>
          <w:lang w:val="lt-LT" w:eastAsia="en-US"/>
        </w:rPr>
      </w:pPr>
      <w:r>
        <w:rPr>
          <w:rFonts w:ascii="Times New Roman" w:hAnsi="Times New Roman" w:cs="Times New Roman"/>
          <w:b/>
          <w:bCs/>
          <w:lang w:val="lt-LT"/>
        </w:rPr>
        <w:t>Įspėjimai ir atsargumo priemonės</w:t>
      </w:r>
    </w:p>
    <w:p w:rsidR="00634910" w:rsidRDefault="00634910" w:rsidP="00634910">
      <w:pPr>
        <w:widowControl w:val="0"/>
        <w:numPr>
          <w:ilvl w:val="12"/>
          <w:numId w:val="0"/>
        </w:numPr>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rPr>
        <w:t xml:space="preserve">Pasitarkite su gydytoju arba vaistininku prieš pradėdami vartoti </w:t>
      </w:r>
      <w:r>
        <w:rPr>
          <w:rFonts w:ascii="Times New Roman" w:hAnsi="Times New Roman" w:cs="Times New Roman"/>
          <w:lang w:val="lt-LT" w:eastAsia="en-US"/>
        </w:rPr>
        <w:t>Imatinib Ranbaxy.</w:t>
      </w:r>
    </w:p>
    <w:p w:rsidR="00634910" w:rsidRDefault="00634910" w:rsidP="00634910">
      <w:pPr>
        <w:pStyle w:val="Default"/>
        <w:widowControl w:val="0"/>
        <w:tabs>
          <w:tab w:val="left" w:pos="567"/>
        </w:tabs>
        <w:rPr>
          <w:sz w:val="22"/>
          <w:szCs w:val="22"/>
        </w:rPr>
      </w:pPr>
      <w:r>
        <w:rPr>
          <w:sz w:val="22"/>
          <w:szCs w:val="22"/>
        </w:rPr>
        <w:t>-</w:t>
      </w:r>
      <w:r>
        <w:rPr>
          <w:sz w:val="22"/>
          <w:szCs w:val="22"/>
        </w:rPr>
        <w:tab/>
        <w:t>jeigu yra arba kada nors buvo sutrikusi kepenų, inkstų ar širdies veikla.</w:t>
      </w:r>
    </w:p>
    <w:p w:rsidR="00634910" w:rsidRDefault="00634910" w:rsidP="00634910">
      <w:pPr>
        <w:pStyle w:val="Default"/>
        <w:widowControl w:val="0"/>
        <w:tabs>
          <w:tab w:val="left" w:pos="567"/>
        </w:tabs>
        <w:rPr>
          <w:sz w:val="22"/>
          <w:szCs w:val="22"/>
        </w:rPr>
      </w:pPr>
      <w:r>
        <w:rPr>
          <w:sz w:val="22"/>
          <w:szCs w:val="22"/>
        </w:rPr>
        <w:t>-</w:t>
      </w:r>
      <w:r>
        <w:rPr>
          <w:sz w:val="22"/>
          <w:szCs w:val="22"/>
        </w:rPr>
        <w:tab/>
        <w:t>jeigu vartojate vaistą levotiroksiną, nes yra pašalinta Jūsų skydliaukė.</w:t>
      </w:r>
    </w:p>
    <w:p w:rsidR="00634910" w:rsidRDefault="00634910" w:rsidP="00634910">
      <w:pPr>
        <w:pStyle w:val="Default"/>
        <w:widowControl w:val="0"/>
        <w:rPr>
          <w:sz w:val="22"/>
          <w:szCs w:val="22"/>
        </w:rPr>
      </w:pPr>
    </w:p>
    <w:p w:rsidR="00634910" w:rsidRDefault="00634910" w:rsidP="00634910">
      <w:pPr>
        <w:pStyle w:val="Default"/>
        <w:widowControl w:val="0"/>
        <w:rPr>
          <w:b/>
          <w:bCs/>
          <w:sz w:val="22"/>
          <w:szCs w:val="22"/>
        </w:rPr>
      </w:pPr>
      <w:r>
        <w:rPr>
          <w:sz w:val="22"/>
          <w:szCs w:val="22"/>
        </w:rPr>
        <w:t xml:space="preserve">Jeigu yra kuri nors iš šių aplinkybių, </w:t>
      </w:r>
      <w:r>
        <w:rPr>
          <w:b/>
          <w:bCs/>
          <w:sz w:val="22"/>
          <w:szCs w:val="22"/>
        </w:rPr>
        <w:t>pasakykite savo gydytojui prieš vartodami Imatinib Ranbaxy.</w:t>
      </w:r>
    </w:p>
    <w:p w:rsidR="00634910" w:rsidRDefault="00634910" w:rsidP="00634910">
      <w:pPr>
        <w:pStyle w:val="Default"/>
        <w:widowControl w:val="0"/>
        <w:rPr>
          <w:b/>
          <w:bCs/>
          <w:sz w:val="22"/>
          <w:szCs w:val="22"/>
        </w:rPr>
      </w:pPr>
    </w:p>
    <w:p w:rsidR="00634910" w:rsidRDefault="00634910" w:rsidP="00634910">
      <w:pPr>
        <w:pStyle w:val="Default"/>
        <w:widowControl w:val="0"/>
        <w:rPr>
          <w:sz w:val="22"/>
          <w:szCs w:val="22"/>
        </w:rPr>
      </w:pPr>
      <w:r>
        <w:rPr>
          <w:b/>
          <w:bCs/>
          <w:sz w:val="22"/>
          <w:szCs w:val="22"/>
        </w:rPr>
        <w:t>Gydymo Imatinib Ranbaxy metu iš karto pasakykite gydytojui</w:t>
      </w:r>
      <w:r>
        <w:rPr>
          <w:sz w:val="22"/>
          <w:szCs w:val="22"/>
        </w:rPr>
        <w:t>, jeigu pernelyg greitai didėja kūno masė. Imatinib Ranbaxy gali skatinti vandens kaupimąsi organizme (sunkus skysčių kaupimasis).</w:t>
      </w:r>
    </w:p>
    <w:p w:rsidR="00634910" w:rsidRDefault="00634910" w:rsidP="00634910">
      <w:pPr>
        <w:pStyle w:val="Default"/>
        <w:widowControl w:val="0"/>
        <w:rPr>
          <w:sz w:val="22"/>
          <w:szCs w:val="22"/>
        </w:rPr>
      </w:pPr>
    </w:p>
    <w:p w:rsidR="00634910" w:rsidRDefault="00634910" w:rsidP="00634910">
      <w:pPr>
        <w:pStyle w:val="Default"/>
        <w:widowControl w:val="0"/>
        <w:rPr>
          <w:sz w:val="22"/>
          <w:szCs w:val="22"/>
        </w:rPr>
      </w:pPr>
      <w:r>
        <w:rPr>
          <w:sz w:val="22"/>
          <w:szCs w:val="22"/>
        </w:rPr>
        <w:t>Vartojant Imatinib Ranbaxy, Jūsų gydytojas reguliariai tikrins, ar vaistas veikia. Be to, bus tiriamas Jūsų kraujas ir turėsite reguliariai svertis.</w:t>
      </w:r>
    </w:p>
    <w:p w:rsidR="00634910" w:rsidRDefault="00634910" w:rsidP="00634910">
      <w:pPr>
        <w:widowControl w:val="0"/>
        <w:numPr>
          <w:ilvl w:val="12"/>
          <w:numId w:val="0"/>
        </w:numPr>
        <w:tabs>
          <w:tab w:val="left" w:pos="567"/>
        </w:tabs>
        <w:spacing w:after="0" w:line="240" w:lineRule="auto"/>
        <w:rPr>
          <w:rFonts w:ascii="Times New Roman" w:hAnsi="Times New Roman" w:cs="Times New Roman"/>
          <w:lang w:val="lt-LT" w:eastAsia="en-US"/>
        </w:rPr>
      </w:pPr>
    </w:p>
    <w:p w:rsidR="00634910" w:rsidRDefault="00634910" w:rsidP="00634910">
      <w:pPr>
        <w:widowControl w:val="0"/>
        <w:numPr>
          <w:ilvl w:val="12"/>
          <w:numId w:val="0"/>
        </w:numPr>
        <w:spacing w:after="0" w:line="240" w:lineRule="auto"/>
        <w:rPr>
          <w:rFonts w:ascii="Times New Roman" w:hAnsi="Times New Roman" w:cs="Times New Roman"/>
          <w:b/>
          <w:bCs/>
          <w:lang w:val="lt-LT" w:eastAsia="en-US"/>
        </w:rPr>
      </w:pPr>
      <w:r>
        <w:rPr>
          <w:rFonts w:ascii="Times New Roman" w:hAnsi="Times New Roman" w:cs="Times New Roman"/>
          <w:b/>
          <w:bCs/>
          <w:lang w:val="lt-LT" w:eastAsia="en-US"/>
        </w:rPr>
        <w:t>Vaikams ir paaugliams</w:t>
      </w:r>
    </w:p>
    <w:p w:rsidR="00634910" w:rsidRDefault="00634910" w:rsidP="00634910">
      <w:pPr>
        <w:pStyle w:val="Default"/>
        <w:widowControl w:val="0"/>
        <w:rPr>
          <w:sz w:val="22"/>
          <w:szCs w:val="22"/>
        </w:rPr>
      </w:pPr>
      <w:r>
        <w:rPr>
          <w:sz w:val="22"/>
          <w:szCs w:val="22"/>
        </w:rPr>
        <w:t xml:space="preserve">Be to, Imatinib Ranbaxy gydomi vaikai, kurie serga LML. Jaunesnių kaip 2 metų kūdikių, sergančių LML, gydymo patirties nėra. Vartojimo patirties vaikams, sergantiems </w:t>
      </w:r>
      <w:r w:rsidRPr="00132FED">
        <w:rPr>
          <w:i/>
          <w:sz w:val="22"/>
          <w:szCs w:val="22"/>
        </w:rPr>
        <w:t>Ph</w:t>
      </w:r>
      <w:r>
        <w:rPr>
          <w:sz w:val="22"/>
          <w:szCs w:val="22"/>
        </w:rPr>
        <w:t xml:space="preserve"> teigiama ŪLL, yra nedaug, o vartojimo patirties vaikams, sergantiems MDS/MPL, DFSP, VTSN ir HES/LEL, yra labai nedaug.</w:t>
      </w:r>
    </w:p>
    <w:p w:rsidR="00634910" w:rsidRDefault="00634910" w:rsidP="00634910">
      <w:pPr>
        <w:widowControl w:val="0"/>
        <w:numPr>
          <w:ilvl w:val="12"/>
          <w:numId w:val="0"/>
        </w:numPr>
        <w:tabs>
          <w:tab w:val="left" w:pos="567"/>
        </w:tabs>
        <w:spacing w:after="0" w:line="240" w:lineRule="auto"/>
        <w:rPr>
          <w:rFonts w:ascii="Times New Roman" w:hAnsi="Times New Roman" w:cs="Times New Roman"/>
          <w:lang w:val="lt-LT"/>
        </w:rPr>
      </w:pPr>
    </w:p>
    <w:p w:rsidR="00634910" w:rsidRDefault="00634910" w:rsidP="00634910">
      <w:pPr>
        <w:widowControl w:val="0"/>
        <w:numPr>
          <w:ilvl w:val="12"/>
          <w:numId w:val="0"/>
        </w:numPr>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rPr>
        <w:t>Sulėtėjo kai kurių Imatinib Ranbaxy vartojančių vaikų ir paauglių augimas. Gydytojas turės stebėti augimą reguliarių apsilankymų metu.</w:t>
      </w:r>
    </w:p>
    <w:p w:rsidR="00634910" w:rsidRDefault="00634910" w:rsidP="00634910">
      <w:pPr>
        <w:widowControl w:val="0"/>
        <w:numPr>
          <w:ilvl w:val="12"/>
          <w:numId w:val="0"/>
        </w:numPr>
        <w:spacing w:after="0" w:line="240" w:lineRule="auto"/>
        <w:rPr>
          <w:rFonts w:ascii="Times New Roman" w:hAnsi="Times New Roman" w:cs="Times New Roman"/>
          <w:lang w:val="lt-LT" w:eastAsia="en-US"/>
        </w:rPr>
      </w:pPr>
    </w:p>
    <w:p w:rsidR="00634910" w:rsidRDefault="00634910" w:rsidP="00634910">
      <w:pPr>
        <w:widowControl w:val="0"/>
        <w:numPr>
          <w:ilvl w:val="12"/>
          <w:numId w:val="0"/>
        </w:numPr>
        <w:spacing w:after="0" w:line="240" w:lineRule="auto"/>
        <w:ind w:right="-2"/>
        <w:outlineLvl w:val="0"/>
        <w:rPr>
          <w:rFonts w:ascii="Times New Roman" w:hAnsi="Times New Roman" w:cs="Times New Roman"/>
          <w:b/>
          <w:lang w:val="lt-LT" w:eastAsia="en-US"/>
        </w:rPr>
      </w:pPr>
      <w:r>
        <w:rPr>
          <w:rFonts w:ascii="Times New Roman" w:hAnsi="Times New Roman" w:cs="Times New Roman"/>
          <w:b/>
          <w:lang w:val="lt-LT" w:eastAsia="en-US"/>
        </w:rPr>
        <w:t>Kiti vaistai ir Imatinib Ranbaxy</w:t>
      </w:r>
    </w:p>
    <w:p w:rsidR="00634910" w:rsidRDefault="00634910" w:rsidP="00634910">
      <w:pPr>
        <w:widowControl w:val="0"/>
        <w:numPr>
          <w:ilvl w:val="12"/>
          <w:numId w:val="0"/>
        </w:numPr>
        <w:spacing w:after="0" w:line="240" w:lineRule="auto"/>
        <w:ind w:right="-2"/>
        <w:outlineLvl w:val="0"/>
        <w:rPr>
          <w:rFonts w:ascii="Times New Roman" w:hAnsi="Times New Roman" w:cs="Times New Roman"/>
          <w:lang w:val="lt-LT"/>
        </w:rPr>
      </w:pPr>
      <w:r>
        <w:rPr>
          <w:rFonts w:ascii="Times New Roman" w:hAnsi="Times New Roman" w:cs="Times New Roman"/>
          <w:lang w:val="lt-LT"/>
        </w:rPr>
        <w:t>Jeigu vartojate ar neseniai vartojote kitų vaistų arba dėl to nesate tikri, įskaitant be recepto įsigytus vaistus (pvz., paracetamolį) ir vaistažolių (pvz., jonažolės) preparatus, apie tai pasakykite gydytojui arba vaistininkui</w:t>
      </w:r>
      <w:r>
        <w:rPr>
          <w:rFonts w:ascii="Times New Roman" w:hAnsi="Times New Roman" w:cs="Times New Roman"/>
          <w:lang w:val="lt-LT" w:eastAsia="en-US"/>
        </w:rPr>
        <w:t xml:space="preserve">. </w:t>
      </w:r>
      <w:r>
        <w:rPr>
          <w:rFonts w:ascii="Times New Roman" w:hAnsi="Times New Roman" w:cs="Times New Roman"/>
          <w:lang w:val="lt-LT"/>
        </w:rPr>
        <w:t>Kai kurie kartu vartojami vaistai gali sąveikauti su Imatinib Ranbaxy. Jie gali sustiprinti arba sumažinti Imatinib Ranbaxy poveikį, arba sustiprinti šalutinį poveikį, arba mažinti Imatinib Ranbaxy veiksmingumą. Imatinib Ranbaxy tokį pat poveikį gali daryti kitiems vaistams.</w:t>
      </w:r>
    </w:p>
    <w:p w:rsidR="00634910" w:rsidRDefault="00634910" w:rsidP="00634910">
      <w:pPr>
        <w:widowControl w:val="0"/>
        <w:numPr>
          <w:ilvl w:val="12"/>
          <w:numId w:val="0"/>
        </w:numPr>
        <w:spacing w:after="0" w:line="240" w:lineRule="auto"/>
        <w:ind w:right="-2"/>
        <w:outlineLvl w:val="0"/>
        <w:rPr>
          <w:rFonts w:ascii="Times New Roman" w:hAnsi="Times New Roman" w:cs="Times New Roman"/>
          <w:highlight w:val="yellow"/>
          <w:lang w:val="lt-LT" w:eastAsia="en-US"/>
        </w:rPr>
      </w:pPr>
    </w:p>
    <w:p w:rsidR="00634910" w:rsidRDefault="00634910" w:rsidP="00634910">
      <w:pPr>
        <w:widowControl w:val="0"/>
        <w:numPr>
          <w:ilvl w:val="12"/>
          <w:numId w:val="0"/>
        </w:numPr>
        <w:spacing w:after="0" w:line="240" w:lineRule="auto"/>
        <w:ind w:right="-2"/>
        <w:outlineLvl w:val="0"/>
        <w:rPr>
          <w:rFonts w:ascii="Times New Roman" w:hAnsi="Times New Roman" w:cs="Times New Roman"/>
          <w:lang w:val="lt-LT"/>
        </w:rPr>
      </w:pPr>
      <w:r>
        <w:rPr>
          <w:rFonts w:ascii="Times New Roman" w:hAnsi="Times New Roman" w:cs="Times New Roman"/>
          <w:lang w:val="lt-LT"/>
        </w:rPr>
        <w:t>Pasakykite gydytojui, jei vartojate vaistų, kurie apsaugo nuo kraujo krešulių susidarymo.</w:t>
      </w:r>
    </w:p>
    <w:p w:rsidR="00634910" w:rsidRDefault="00634910" w:rsidP="00634910">
      <w:pPr>
        <w:widowControl w:val="0"/>
        <w:numPr>
          <w:ilvl w:val="12"/>
          <w:numId w:val="0"/>
        </w:numPr>
        <w:spacing w:after="0" w:line="240" w:lineRule="auto"/>
        <w:ind w:right="-2"/>
        <w:outlineLvl w:val="0"/>
        <w:rPr>
          <w:rFonts w:ascii="Times New Roman" w:hAnsi="Times New Roman" w:cs="Times New Roman"/>
          <w:b/>
          <w:bCs/>
          <w:lang w:val="lt-LT"/>
        </w:rPr>
      </w:pPr>
    </w:p>
    <w:p w:rsidR="00634910" w:rsidRDefault="00634910" w:rsidP="00634910">
      <w:pPr>
        <w:widowControl w:val="0"/>
        <w:numPr>
          <w:ilvl w:val="12"/>
          <w:numId w:val="0"/>
        </w:numPr>
        <w:spacing w:after="0" w:line="240" w:lineRule="auto"/>
        <w:ind w:right="-2"/>
        <w:outlineLvl w:val="0"/>
        <w:rPr>
          <w:rFonts w:ascii="Times New Roman" w:hAnsi="Times New Roman" w:cs="Times New Roman"/>
          <w:b/>
          <w:bCs/>
          <w:lang w:val="lt-LT"/>
        </w:rPr>
      </w:pPr>
      <w:r>
        <w:rPr>
          <w:rFonts w:ascii="Times New Roman" w:hAnsi="Times New Roman" w:cs="Times New Roman"/>
          <w:b/>
          <w:bCs/>
          <w:lang w:val="lt-LT"/>
        </w:rPr>
        <w:t>Nėštumas, žindymo laikotarpis ir vaisingumas</w:t>
      </w:r>
    </w:p>
    <w:p w:rsidR="00634910" w:rsidRDefault="00634910" w:rsidP="00634910">
      <w:pPr>
        <w:widowControl w:val="0"/>
        <w:numPr>
          <w:ilvl w:val="12"/>
          <w:numId w:val="0"/>
        </w:numPr>
        <w:spacing w:after="0" w:line="240" w:lineRule="auto"/>
        <w:ind w:right="-2"/>
        <w:outlineLvl w:val="0"/>
        <w:rPr>
          <w:rFonts w:ascii="Times New Roman" w:hAnsi="Times New Roman" w:cs="Times New Roman"/>
          <w:lang w:val="lt-LT" w:eastAsia="en-US"/>
        </w:rPr>
      </w:pPr>
    </w:p>
    <w:p w:rsidR="00634910" w:rsidRPr="00910037" w:rsidRDefault="00634910" w:rsidP="00634910">
      <w:pPr>
        <w:pStyle w:val="Sraopastraipa"/>
        <w:widowControl w:val="0"/>
        <w:numPr>
          <w:ilvl w:val="0"/>
          <w:numId w:val="7"/>
        </w:numPr>
        <w:spacing w:after="0" w:line="240" w:lineRule="auto"/>
        <w:ind w:left="567" w:right="-2" w:hanging="567"/>
        <w:outlineLvl w:val="0"/>
        <w:rPr>
          <w:rFonts w:ascii="Times New Roman" w:hAnsi="Times New Roman" w:cs="Times New Roman"/>
          <w:lang w:val="lt-LT" w:eastAsia="en-US"/>
        </w:rPr>
      </w:pPr>
      <w:r w:rsidRPr="00910037">
        <w:rPr>
          <w:rFonts w:ascii="Times New Roman" w:hAnsi="Times New Roman" w:cs="Times New Roman"/>
          <w:lang w:val="lt-LT"/>
        </w:rPr>
        <w:t>Jeigu esate nėščia, žindote kūdikį, manote, kad galbūt esate nėščia arba planuojate pastoti, tai prieš vartodama šį vaistą pasitarkite su gydytoju</w:t>
      </w:r>
      <w:r w:rsidRPr="00910037">
        <w:rPr>
          <w:rFonts w:ascii="Times New Roman" w:hAnsi="Times New Roman" w:cs="Times New Roman"/>
          <w:lang w:val="lt-LT" w:eastAsia="en-US"/>
        </w:rPr>
        <w:t>.</w:t>
      </w:r>
    </w:p>
    <w:p w:rsidR="00634910" w:rsidRDefault="00634910" w:rsidP="00634910">
      <w:pPr>
        <w:pStyle w:val="Default"/>
        <w:widowControl w:val="0"/>
        <w:numPr>
          <w:ilvl w:val="0"/>
          <w:numId w:val="7"/>
        </w:numPr>
        <w:ind w:left="567" w:hanging="567"/>
        <w:rPr>
          <w:sz w:val="22"/>
          <w:szCs w:val="22"/>
        </w:rPr>
      </w:pPr>
      <w:r>
        <w:rPr>
          <w:sz w:val="22"/>
          <w:szCs w:val="22"/>
        </w:rPr>
        <w:t>Imatinib Ranbaxy nerekomenduojama vartoti nėštumo metu, išskyrus atvejus, kai tai neabejotinai būtina, nes tai gali pakenkti Jūsų kūdikiui. Gydytojas aptars su Jumis galimą riziką, susijusią su Imatinib Ranbaxy vartojimu nėštumo metu.</w:t>
      </w:r>
    </w:p>
    <w:p w:rsidR="00634910" w:rsidRDefault="00634910" w:rsidP="00634910">
      <w:pPr>
        <w:pStyle w:val="Default"/>
        <w:widowControl w:val="0"/>
        <w:numPr>
          <w:ilvl w:val="0"/>
          <w:numId w:val="7"/>
        </w:numPr>
        <w:ind w:left="567" w:hanging="567"/>
        <w:rPr>
          <w:sz w:val="22"/>
          <w:szCs w:val="22"/>
        </w:rPr>
      </w:pPr>
      <w:r>
        <w:rPr>
          <w:sz w:val="22"/>
          <w:szCs w:val="22"/>
        </w:rPr>
        <w:t>Galinčioms pastoti moterims gydymo metu rekomenduojama naudoti veiksmingą kontracepciją.</w:t>
      </w:r>
    </w:p>
    <w:p w:rsidR="00634910" w:rsidRDefault="00634910" w:rsidP="00634910">
      <w:pPr>
        <w:pStyle w:val="Default"/>
        <w:widowControl w:val="0"/>
        <w:numPr>
          <w:ilvl w:val="0"/>
          <w:numId w:val="7"/>
        </w:numPr>
        <w:ind w:left="567" w:hanging="567"/>
        <w:rPr>
          <w:sz w:val="22"/>
          <w:szCs w:val="22"/>
        </w:rPr>
      </w:pPr>
      <w:r>
        <w:rPr>
          <w:sz w:val="22"/>
          <w:szCs w:val="22"/>
        </w:rPr>
        <w:t>Gydymo Imatinib Ranbaxy metu negalima žindyti.</w:t>
      </w:r>
    </w:p>
    <w:p w:rsidR="00634910" w:rsidRDefault="00634910" w:rsidP="00634910">
      <w:pPr>
        <w:pStyle w:val="Default"/>
        <w:widowControl w:val="0"/>
        <w:numPr>
          <w:ilvl w:val="0"/>
          <w:numId w:val="7"/>
        </w:numPr>
        <w:ind w:left="567" w:hanging="567"/>
        <w:rPr>
          <w:sz w:val="22"/>
          <w:szCs w:val="22"/>
        </w:rPr>
      </w:pPr>
      <w:r>
        <w:rPr>
          <w:sz w:val="22"/>
          <w:szCs w:val="22"/>
        </w:rPr>
        <w:t>Pacientai Imatinib Ranbaxy vartojimo laikotarpiu dėl savo vaisingumo turi konsultuotis su gydytoju.</w:t>
      </w:r>
    </w:p>
    <w:p w:rsidR="00634910" w:rsidRDefault="00634910" w:rsidP="00634910">
      <w:pPr>
        <w:widowControl w:val="0"/>
        <w:spacing w:after="0" w:line="240" w:lineRule="auto"/>
        <w:ind w:right="-2"/>
        <w:outlineLvl w:val="0"/>
        <w:rPr>
          <w:rFonts w:ascii="Times New Roman" w:hAnsi="Times New Roman" w:cs="Times New Roman"/>
          <w:highlight w:val="yellow"/>
          <w:lang w:val="lt-LT" w:eastAsia="en-US"/>
        </w:rPr>
      </w:pPr>
    </w:p>
    <w:p w:rsidR="00634910" w:rsidRDefault="00634910" w:rsidP="00634910">
      <w:pPr>
        <w:widowControl w:val="0"/>
        <w:numPr>
          <w:ilvl w:val="12"/>
          <w:numId w:val="0"/>
        </w:numPr>
        <w:spacing w:after="0" w:line="240" w:lineRule="auto"/>
        <w:ind w:right="-2"/>
        <w:outlineLvl w:val="0"/>
        <w:rPr>
          <w:rFonts w:ascii="Times New Roman" w:hAnsi="Times New Roman" w:cs="Times New Roman"/>
          <w:b/>
          <w:bCs/>
          <w:lang w:val="lt-LT" w:eastAsia="en-US"/>
        </w:rPr>
      </w:pPr>
      <w:r>
        <w:rPr>
          <w:rFonts w:ascii="Times New Roman" w:hAnsi="Times New Roman" w:cs="Times New Roman"/>
          <w:b/>
          <w:bCs/>
          <w:lang w:val="lt-LT"/>
        </w:rPr>
        <w:t>Vairavimas ir mechanizmų valdymas</w:t>
      </w:r>
    </w:p>
    <w:p w:rsidR="00634910" w:rsidRDefault="00634910" w:rsidP="00634910">
      <w:pPr>
        <w:widowControl w:val="0"/>
        <w:numPr>
          <w:ilvl w:val="12"/>
          <w:numId w:val="0"/>
        </w:numPr>
        <w:spacing w:after="0" w:line="240" w:lineRule="auto"/>
        <w:ind w:right="-2"/>
        <w:outlineLvl w:val="0"/>
        <w:rPr>
          <w:rFonts w:ascii="Times New Roman" w:hAnsi="Times New Roman" w:cs="Times New Roman"/>
          <w:b/>
          <w:lang w:val="lt-LT" w:eastAsia="en-US"/>
        </w:rPr>
      </w:pPr>
      <w:r>
        <w:rPr>
          <w:rFonts w:ascii="Times New Roman" w:hAnsi="Times New Roman" w:cs="Times New Roman"/>
          <w:lang w:val="lt-LT"/>
        </w:rPr>
        <w:t>Vartodami šį vaistą, galite justi galvos svaigimą ar mieguistumą arba matyti lyg per miglą. Jeigu pasireiškia toks poveikis, vairuoti ir mechanizmų valdyti negalima tol, kol vėl nepradėsite gerai jaustis.</w:t>
      </w:r>
    </w:p>
    <w:p w:rsidR="00634910" w:rsidRDefault="00634910" w:rsidP="00634910">
      <w:pPr>
        <w:widowControl w:val="0"/>
        <w:numPr>
          <w:ilvl w:val="12"/>
          <w:numId w:val="0"/>
        </w:numPr>
        <w:spacing w:after="0" w:line="240" w:lineRule="auto"/>
        <w:rPr>
          <w:rFonts w:ascii="Times New Roman" w:hAnsi="Times New Roman" w:cs="Times New Roman"/>
          <w:lang w:val="lt-LT" w:eastAsia="en-US"/>
        </w:rPr>
      </w:pP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p>
    <w:p w:rsidR="00634910" w:rsidRDefault="00634910" w:rsidP="00634910">
      <w:pPr>
        <w:keepNext/>
        <w:tabs>
          <w:tab w:val="left" w:pos="567"/>
        </w:tabs>
        <w:spacing w:after="0" w:line="240" w:lineRule="auto"/>
        <w:rPr>
          <w:rFonts w:ascii="Times New Roman" w:hAnsi="Times New Roman" w:cs="Times New Roman"/>
          <w:b/>
          <w:lang w:val="lt-LT" w:eastAsia="en-US"/>
        </w:rPr>
      </w:pPr>
      <w:r>
        <w:rPr>
          <w:rFonts w:ascii="Times New Roman" w:hAnsi="Times New Roman" w:cs="Times New Roman"/>
          <w:b/>
          <w:lang w:val="lt-LT" w:eastAsia="en-US"/>
        </w:rPr>
        <w:t>3.</w:t>
      </w:r>
      <w:r>
        <w:rPr>
          <w:rFonts w:ascii="Times New Roman" w:hAnsi="Times New Roman" w:cs="Times New Roman"/>
          <w:b/>
          <w:lang w:val="lt-LT" w:eastAsia="en-US"/>
        </w:rPr>
        <w:tab/>
        <w:t>Kaip vartoti Imatinib Ranbaxy</w:t>
      </w:r>
    </w:p>
    <w:p w:rsidR="00634910" w:rsidRDefault="00634910" w:rsidP="00634910">
      <w:pPr>
        <w:widowControl w:val="0"/>
        <w:numPr>
          <w:ilvl w:val="12"/>
          <w:numId w:val="0"/>
        </w:numPr>
        <w:spacing w:after="0" w:line="240" w:lineRule="auto"/>
        <w:ind w:right="-2"/>
        <w:rPr>
          <w:rFonts w:ascii="Times New Roman" w:hAnsi="Times New Roman" w:cs="Times New Roman"/>
          <w:lang w:val="lt-LT"/>
        </w:rPr>
      </w:pPr>
    </w:p>
    <w:p w:rsidR="00634910" w:rsidRDefault="00634910" w:rsidP="00634910">
      <w:pPr>
        <w:widowControl w:val="0"/>
        <w:numPr>
          <w:ilvl w:val="12"/>
          <w:numId w:val="0"/>
        </w:numPr>
        <w:spacing w:after="0" w:line="240" w:lineRule="auto"/>
        <w:ind w:right="-2"/>
        <w:rPr>
          <w:rFonts w:ascii="Times New Roman" w:hAnsi="Times New Roman" w:cs="Times New Roman"/>
          <w:lang w:val="lt-LT"/>
        </w:rPr>
      </w:pPr>
      <w:r>
        <w:rPr>
          <w:rFonts w:ascii="Times New Roman" w:hAnsi="Times New Roman" w:cs="Times New Roman"/>
          <w:lang w:val="lt-LT"/>
        </w:rPr>
        <w:t xml:space="preserve">Jūsų gydytojas Jums paskyrė Imatinib Ranbaxy, kadangi sergate sunkia liga. Imatinib Ranbaxy gali Jums padėti kovojant su šia būkle. </w:t>
      </w:r>
    </w:p>
    <w:p w:rsidR="00634910" w:rsidRDefault="00634910" w:rsidP="00634910">
      <w:pPr>
        <w:widowControl w:val="0"/>
        <w:numPr>
          <w:ilvl w:val="12"/>
          <w:numId w:val="0"/>
        </w:numPr>
        <w:spacing w:after="0" w:line="240" w:lineRule="auto"/>
        <w:ind w:right="-2"/>
        <w:rPr>
          <w:rFonts w:ascii="Times New Roman" w:hAnsi="Times New Roman" w:cs="Times New Roman"/>
          <w:lang w:val="lt-LT"/>
        </w:rPr>
      </w:pPr>
      <w:r>
        <w:rPr>
          <w:rFonts w:ascii="Times New Roman" w:hAnsi="Times New Roman" w:cs="Times New Roman"/>
          <w:lang w:val="lt-LT"/>
        </w:rPr>
        <w:t xml:space="preserve"> </w:t>
      </w:r>
    </w:p>
    <w:p w:rsidR="00634910" w:rsidRDefault="00634910" w:rsidP="00634910">
      <w:pPr>
        <w:numPr>
          <w:ilvl w:val="12"/>
          <w:numId w:val="0"/>
        </w:numPr>
        <w:spacing w:line="240" w:lineRule="auto"/>
        <w:ind w:right="-2"/>
        <w:rPr>
          <w:rFonts w:ascii="Times New Roman" w:hAnsi="Times New Roman" w:cs="Times New Roman"/>
          <w:lang w:val="lt-LT"/>
        </w:rPr>
      </w:pPr>
      <w:r>
        <w:rPr>
          <w:rFonts w:ascii="Times New Roman" w:hAnsi="Times New Roman" w:cs="Times New Roman"/>
          <w:lang w:val="lt-LT"/>
        </w:rPr>
        <w:t xml:space="preserve">Visada vartokite šį vaistą tiksliai, kaip nurodė gydytojas arba vaistininkas. </w:t>
      </w:r>
      <w:r>
        <w:rPr>
          <w:rFonts w:ascii="Times New Roman" w:hAnsi="Times New Roman" w:cs="Times New Roman"/>
          <w:noProof/>
          <w:lang w:val="lt-LT"/>
        </w:rPr>
        <w:t xml:space="preserve">Jeigu abejojate, kreipkitės į gydytoją arba vaistininką. </w:t>
      </w:r>
      <w:r>
        <w:rPr>
          <w:rFonts w:ascii="Times New Roman" w:hAnsi="Times New Roman" w:cs="Times New Roman"/>
          <w:lang w:val="lt-LT"/>
        </w:rPr>
        <w:t>Svarbu, kad vaisto vartotumėte tiek laiko, kiek nurodė Jūsų gydytojas arba vaistininkas. Jeigu abejojate, kreipkitės į gydytoją arba vaistininką.</w:t>
      </w:r>
    </w:p>
    <w:p w:rsidR="00634910" w:rsidRDefault="00634910" w:rsidP="00634910">
      <w:pPr>
        <w:widowControl w:val="0"/>
        <w:numPr>
          <w:ilvl w:val="12"/>
          <w:numId w:val="0"/>
        </w:numPr>
        <w:spacing w:after="0" w:line="240" w:lineRule="auto"/>
        <w:ind w:right="-2"/>
        <w:rPr>
          <w:rFonts w:ascii="Times New Roman" w:hAnsi="Times New Roman" w:cs="Times New Roman"/>
          <w:lang w:val="lt-LT"/>
        </w:rPr>
      </w:pPr>
      <w:r>
        <w:rPr>
          <w:rFonts w:ascii="Times New Roman" w:hAnsi="Times New Roman" w:cs="Times New Roman"/>
          <w:lang w:val="lt-LT"/>
        </w:rPr>
        <w:t xml:space="preserve">Nenustokite vartoti Imatinib Ranbaxy, nebent taip nurodytų Jūsų gydytojas. </w:t>
      </w:r>
    </w:p>
    <w:p w:rsidR="00634910" w:rsidRDefault="00634910" w:rsidP="00634910">
      <w:pPr>
        <w:widowControl w:val="0"/>
        <w:numPr>
          <w:ilvl w:val="12"/>
          <w:numId w:val="0"/>
        </w:numPr>
        <w:spacing w:after="0" w:line="240" w:lineRule="auto"/>
        <w:ind w:right="-2"/>
        <w:rPr>
          <w:rFonts w:ascii="Times New Roman" w:hAnsi="Times New Roman" w:cs="Times New Roman"/>
          <w:lang w:val="lt-LT"/>
        </w:rPr>
      </w:pPr>
    </w:p>
    <w:p w:rsidR="00634910" w:rsidRPr="00910037" w:rsidRDefault="00634910" w:rsidP="00634910">
      <w:pPr>
        <w:widowControl w:val="0"/>
        <w:numPr>
          <w:ilvl w:val="12"/>
          <w:numId w:val="0"/>
        </w:numPr>
        <w:spacing w:after="0" w:line="240" w:lineRule="auto"/>
        <w:ind w:right="-2"/>
        <w:rPr>
          <w:rFonts w:ascii="Times New Roman" w:hAnsi="Times New Roman" w:cs="Times New Roman"/>
          <w:lang w:val="lt-LT" w:eastAsia="en-US"/>
        </w:rPr>
      </w:pPr>
      <w:r w:rsidRPr="00910037">
        <w:rPr>
          <w:rFonts w:ascii="Times New Roman" w:hAnsi="Times New Roman" w:cs="Times New Roman"/>
          <w:lang w:val="lt-LT"/>
        </w:rPr>
        <w:lastRenderedPageBreak/>
        <w:t>Nedelsdami kreipkitės į gydytoją, jeigu negalite vartoti vaisto taip, kaip paskyrė gydytojas, arba jaučiate, kad šio vaisto Jums daugiau nereikia.</w:t>
      </w:r>
    </w:p>
    <w:p w:rsidR="00634910" w:rsidRDefault="00634910" w:rsidP="00634910">
      <w:pPr>
        <w:pStyle w:val="Default"/>
        <w:widowControl w:val="0"/>
        <w:rPr>
          <w:sz w:val="22"/>
          <w:szCs w:val="22"/>
        </w:rPr>
      </w:pPr>
    </w:p>
    <w:p w:rsidR="00634910" w:rsidRPr="006E315C" w:rsidRDefault="00634910" w:rsidP="00634910">
      <w:pPr>
        <w:pStyle w:val="Default"/>
        <w:widowControl w:val="0"/>
        <w:rPr>
          <w:i/>
          <w:iCs/>
          <w:sz w:val="22"/>
          <w:szCs w:val="22"/>
        </w:rPr>
      </w:pPr>
      <w:r w:rsidRPr="006E315C">
        <w:rPr>
          <w:i/>
          <w:iCs/>
          <w:sz w:val="22"/>
          <w:szCs w:val="22"/>
        </w:rPr>
        <w:t>Kiek Imatinib Ranbaxy vartoti</w:t>
      </w:r>
    </w:p>
    <w:p w:rsidR="00634910" w:rsidRPr="006E315C" w:rsidRDefault="00634910" w:rsidP="00634910">
      <w:pPr>
        <w:pStyle w:val="Default"/>
        <w:widowControl w:val="0"/>
        <w:rPr>
          <w:bCs/>
          <w:i/>
          <w:sz w:val="22"/>
          <w:szCs w:val="22"/>
        </w:rPr>
      </w:pPr>
    </w:p>
    <w:p w:rsidR="00634910" w:rsidRPr="006E315C" w:rsidRDefault="00634910" w:rsidP="00634910">
      <w:pPr>
        <w:pStyle w:val="Default"/>
        <w:widowControl w:val="0"/>
        <w:rPr>
          <w:bCs/>
          <w:i/>
          <w:iCs/>
          <w:sz w:val="22"/>
          <w:szCs w:val="22"/>
        </w:rPr>
      </w:pPr>
      <w:r w:rsidRPr="006E315C">
        <w:rPr>
          <w:bCs/>
          <w:i/>
          <w:iCs/>
          <w:sz w:val="22"/>
          <w:szCs w:val="22"/>
        </w:rPr>
        <w:t>Vartojimas suaugusiesiems</w:t>
      </w:r>
    </w:p>
    <w:p w:rsidR="00634910" w:rsidRDefault="00634910" w:rsidP="00634910">
      <w:pPr>
        <w:pStyle w:val="Default"/>
        <w:widowControl w:val="0"/>
        <w:rPr>
          <w:sz w:val="22"/>
          <w:szCs w:val="22"/>
        </w:rPr>
      </w:pPr>
      <w:r>
        <w:rPr>
          <w:sz w:val="22"/>
          <w:szCs w:val="22"/>
        </w:rPr>
        <w:t>Jūsų gydytojas pasakys, kiek Imatinib Ranbaxy tablečių turite išgerti.</w:t>
      </w:r>
    </w:p>
    <w:p w:rsidR="00634910" w:rsidRDefault="00634910" w:rsidP="00634910">
      <w:pPr>
        <w:pStyle w:val="Default"/>
        <w:widowControl w:val="0"/>
        <w:rPr>
          <w:sz w:val="22"/>
          <w:szCs w:val="22"/>
        </w:rPr>
      </w:pPr>
    </w:p>
    <w:p w:rsidR="00634910" w:rsidRPr="00910037" w:rsidRDefault="00634910" w:rsidP="00634910">
      <w:pPr>
        <w:pStyle w:val="Default"/>
        <w:widowControl w:val="0"/>
        <w:numPr>
          <w:ilvl w:val="0"/>
          <w:numId w:val="7"/>
        </w:numPr>
        <w:rPr>
          <w:b/>
          <w:bCs/>
          <w:iCs/>
          <w:sz w:val="22"/>
          <w:szCs w:val="22"/>
        </w:rPr>
      </w:pPr>
      <w:r w:rsidRPr="00910037">
        <w:rPr>
          <w:b/>
          <w:bCs/>
          <w:iCs/>
          <w:sz w:val="22"/>
          <w:szCs w:val="22"/>
        </w:rPr>
        <w:t>Jeigu gydoma LML</w:t>
      </w:r>
    </w:p>
    <w:p w:rsidR="00634910" w:rsidRDefault="00634910" w:rsidP="00634910">
      <w:pPr>
        <w:pStyle w:val="Default"/>
        <w:widowControl w:val="0"/>
        <w:rPr>
          <w:sz w:val="22"/>
          <w:szCs w:val="22"/>
        </w:rPr>
      </w:pPr>
      <w:r>
        <w:rPr>
          <w:sz w:val="22"/>
          <w:szCs w:val="22"/>
        </w:rPr>
        <w:t>Priklausomai nuo Jūsų būklės, skiriama įprasta pradinė 600 mg dozė:</w:t>
      </w:r>
    </w:p>
    <w:p w:rsidR="00634910" w:rsidRPr="00910037" w:rsidRDefault="00634910" w:rsidP="00634910">
      <w:pPr>
        <w:spacing w:after="0" w:line="240" w:lineRule="auto"/>
        <w:ind w:left="540" w:hanging="540"/>
        <w:rPr>
          <w:rFonts w:ascii="Times New Roman" w:hAnsi="Times New Roman" w:cs="Times New Roman"/>
          <w:bCs/>
          <w:color w:val="000000"/>
          <w:lang w:val="lt-LT" w:eastAsia="lt-LT" w:bidi="ar-SA"/>
        </w:rPr>
      </w:pPr>
      <w:r w:rsidRPr="00910037">
        <w:rPr>
          <w:rFonts w:ascii="Times New Roman" w:hAnsi="Times New Roman" w:cs="Times New Roman"/>
          <w:bCs/>
          <w:color w:val="000000"/>
          <w:lang w:val="lt-LT" w:eastAsia="lt-LT" w:bidi="ar-SA"/>
        </w:rPr>
        <w:t>-</w:t>
      </w:r>
      <w:r w:rsidRPr="00910037">
        <w:rPr>
          <w:rFonts w:ascii="Times New Roman" w:hAnsi="Times New Roman" w:cs="Times New Roman"/>
          <w:bCs/>
          <w:color w:val="000000"/>
          <w:lang w:val="lt-LT" w:eastAsia="lt-LT" w:bidi="ar-SA"/>
        </w:rPr>
        <w:tab/>
        <w:t>vartojant 600 mg dozę, reikia išgerti vieną 400 mg tabletę ir dar dvi 100 mg tabletes vieną kartą</w:t>
      </w:r>
      <w:r>
        <w:rPr>
          <w:rFonts w:ascii="Times New Roman" w:hAnsi="Times New Roman" w:cs="Times New Roman"/>
          <w:bCs/>
          <w:color w:val="000000"/>
          <w:lang w:val="lt-LT" w:eastAsia="lt-LT" w:bidi="ar-SA"/>
        </w:rPr>
        <w:t xml:space="preserve"> per parą arba</w:t>
      </w:r>
      <w:r w:rsidRPr="00910037">
        <w:rPr>
          <w:rFonts w:ascii="Times New Roman" w:hAnsi="Times New Roman" w:cs="Times New Roman"/>
          <w:bCs/>
          <w:color w:val="000000"/>
          <w:lang w:val="lt-LT" w:eastAsia="lt-LT" w:bidi="ar-SA"/>
        </w:rPr>
        <w:t xml:space="preserve"> 6 tabletes vieną kartą per parą</w:t>
      </w:r>
      <w:r>
        <w:rPr>
          <w:rFonts w:ascii="Times New Roman" w:hAnsi="Times New Roman" w:cs="Times New Roman"/>
          <w:bCs/>
          <w:color w:val="000000"/>
          <w:lang w:val="lt-LT" w:eastAsia="lt-LT" w:bidi="ar-SA"/>
        </w:rPr>
        <w:t>.</w:t>
      </w:r>
    </w:p>
    <w:p w:rsidR="00634910" w:rsidRDefault="00634910" w:rsidP="00634910">
      <w:pPr>
        <w:spacing w:after="0" w:line="240" w:lineRule="auto"/>
        <w:ind w:left="540" w:hanging="540"/>
        <w:rPr>
          <w:rFonts w:ascii="Times New Roman" w:hAnsi="Times New Roman" w:cs="Times New Roman"/>
          <w:lang w:val="lt-LT" w:eastAsia="en-US"/>
        </w:rPr>
      </w:pPr>
    </w:p>
    <w:p w:rsidR="00634910" w:rsidRPr="00910037" w:rsidRDefault="00634910" w:rsidP="00634910">
      <w:pPr>
        <w:pStyle w:val="Sraopastraipa"/>
        <w:numPr>
          <w:ilvl w:val="0"/>
          <w:numId w:val="7"/>
        </w:numPr>
        <w:spacing w:after="0" w:line="240" w:lineRule="auto"/>
        <w:rPr>
          <w:rFonts w:ascii="Times New Roman" w:hAnsi="Times New Roman" w:cs="Times New Roman"/>
          <w:b/>
          <w:bCs/>
          <w:iCs/>
          <w:lang w:val="lt-LT" w:eastAsia="en-US"/>
        </w:rPr>
      </w:pPr>
      <w:r w:rsidRPr="00910037">
        <w:rPr>
          <w:rFonts w:ascii="Times New Roman" w:hAnsi="Times New Roman" w:cs="Times New Roman"/>
          <w:b/>
          <w:bCs/>
          <w:iCs/>
          <w:lang w:val="lt-LT" w:eastAsia="en-US"/>
        </w:rPr>
        <w:t xml:space="preserve">Jei gydoma VTSN </w:t>
      </w:r>
    </w:p>
    <w:p w:rsidR="00634910" w:rsidRPr="00134947" w:rsidRDefault="00634910" w:rsidP="00634910">
      <w:pPr>
        <w:spacing w:after="0" w:line="240" w:lineRule="auto"/>
        <w:rPr>
          <w:rFonts w:ascii="Times New Roman" w:hAnsi="Times New Roman" w:cs="Times New Roman"/>
          <w:highlight w:val="lightGray"/>
          <w:lang w:val="lt-LT"/>
        </w:rPr>
      </w:pPr>
      <w:r w:rsidRPr="00134947">
        <w:rPr>
          <w:rFonts w:ascii="Times New Roman" w:hAnsi="Times New Roman" w:cs="Times New Roman"/>
          <w:lang w:val="lt-LT" w:eastAsia="en-US"/>
        </w:rPr>
        <w:t xml:space="preserve">Pradinė dozė yra 400 mg, vartojant po vieną 400 mg tabletę kartą per parą arba vartojant 100 mg tabletes - 4 tabletės </w:t>
      </w:r>
      <w:r w:rsidRPr="002F72A3">
        <w:rPr>
          <w:rFonts w:ascii="Times New Roman" w:hAnsi="Times New Roman"/>
          <w:b/>
          <w:lang w:val="lt-LT"/>
        </w:rPr>
        <w:t>kartą per parą</w:t>
      </w:r>
      <w:r w:rsidRPr="00134947">
        <w:rPr>
          <w:rFonts w:ascii="Times New Roman" w:hAnsi="Times New Roman" w:cs="Times New Roman"/>
          <w:lang w:val="lt-LT" w:eastAsia="en-US"/>
        </w:rPr>
        <w:t>.</w:t>
      </w:r>
    </w:p>
    <w:p w:rsidR="00634910" w:rsidRDefault="00634910" w:rsidP="00634910">
      <w:pPr>
        <w:pStyle w:val="Default"/>
        <w:widowControl w:val="0"/>
        <w:rPr>
          <w:sz w:val="22"/>
          <w:szCs w:val="22"/>
        </w:rPr>
      </w:pPr>
    </w:p>
    <w:p w:rsidR="00634910" w:rsidRDefault="00634910" w:rsidP="00634910">
      <w:pPr>
        <w:pStyle w:val="Default"/>
        <w:widowControl w:val="0"/>
        <w:rPr>
          <w:sz w:val="22"/>
          <w:szCs w:val="22"/>
        </w:rPr>
      </w:pPr>
      <w:r>
        <w:rPr>
          <w:sz w:val="22"/>
          <w:szCs w:val="22"/>
        </w:rPr>
        <w:t>Gydant LML ar VTSN, Jūsų gydytojas skirs didesnę arba mažesnę dozę, atsižvelgdamas į tai, kaip Jūsų organizmas reaguoja į gydymą. Jeigu Jums skirta 800 mg paros dozė (dvi 400 mg tabletės arba aštuonios 100 mg tabletės), reikia išgerti vieną 400 mg arba keturias 100 mg tabletes ryte ir vieną 400 mg arba keturias 100 mg tabletes vakare.</w:t>
      </w:r>
    </w:p>
    <w:p w:rsidR="00634910" w:rsidRDefault="00634910" w:rsidP="00634910">
      <w:pPr>
        <w:widowControl w:val="0"/>
        <w:numPr>
          <w:ilvl w:val="12"/>
          <w:numId w:val="0"/>
        </w:numPr>
        <w:tabs>
          <w:tab w:val="left" w:pos="567"/>
        </w:tabs>
        <w:spacing w:after="0" w:line="240" w:lineRule="auto"/>
        <w:ind w:right="-2"/>
        <w:rPr>
          <w:rFonts w:ascii="Times New Roman" w:hAnsi="Times New Roman" w:cs="Times New Roman"/>
          <w:b/>
          <w:bCs/>
          <w:highlight w:val="yellow"/>
          <w:lang w:val="lt-LT" w:eastAsia="en-US"/>
        </w:rPr>
      </w:pPr>
    </w:p>
    <w:p w:rsidR="00634910" w:rsidRDefault="00634910" w:rsidP="00634910">
      <w:pPr>
        <w:widowControl w:val="0"/>
        <w:numPr>
          <w:ilvl w:val="0"/>
          <w:numId w:val="7"/>
        </w:numPr>
        <w:tabs>
          <w:tab w:val="left" w:pos="567"/>
        </w:tabs>
        <w:spacing w:after="0" w:line="240" w:lineRule="auto"/>
        <w:ind w:right="-2"/>
        <w:rPr>
          <w:rFonts w:ascii="Times New Roman" w:hAnsi="Times New Roman" w:cs="Times New Roman"/>
          <w:b/>
          <w:bCs/>
          <w:lang w:val="lt-LT" w:eastAsia="en-US"/>
        </w:rPr>
      </w:pPr>
      <w:r>
        <w:rPr>
          <w:rFonts w:ascii="Times New Roman" w:hAnsi="Times New Roman" w:cs="Times New Roman"/>
          <w:b/>
          <w:bCs/>
          <w:lang w:val="lt-LT" w:eastAsia="en-US"/>
        </w:rPr>
        <w:t xml:space="preserve">Jeigu gydoma </w:t>
      </w:r>
      <w:r w:rsidRPr="00132FED">
        <w:rPr>
          <w:rFonts w:ascii="Times New Roman" w:hAnsi="Times New Roman" w:cs="Times New Roman"/>
          <w:b/>
          <w:bCs/>
          <w:i/>
          <w:lang w:val="lt-LT" w:eastAsia="en-US"/>
        </w:rPr>
        <w:t>Ph</w:t>
      </w:r>
      <w:r>
        <w:rPr>
          <w:rFonts w:ascii="Times New Roman" w:hAnsi="Times New Roman" w:cs="Times New Roman"/>
          <w:b/>
          <w:bCs/>
          <w:lang w:val="lt-LT" w:eastAsia="en-US"/>
        </w:rPr>
        <w:t xml:space="preserve"> teigiama ŪLL: </w:t>
      </w:r>
    </w:p>
    <w:p w:rsidR="00634910" w:rsidRPr="006E315C" w:rsidRDefault="00634910" w:rsidP="00634910">
      <w:pPr>
        <w:widowControl w:val="0"/>
        <w:tabs>
          <w:tab w:val="left" w:pos="567"/>
        </w:tabs>
        <w:spacing w:after="0" w:line="240" w:lineRule="auto"/>
        <w:ind w:left="360" w:right="-2"/>
        <w:rPr>
          <w:rFonts w:ascii="Times New Roman" w:hAnsi="Times New Roman" w:cs="Times New Roman"/>
          <w:bCs/>
          <w:lang w:val="lt-LT" w:eastAsia="en-US"/>
        </w:rPr>
      </w:pPr>
      <w:r>
        <w:rPr>
          <w:rFonts w:ascii="Times New Roman" w:hAnsi="Times New Roman" w:cs="Times New Roman"/>
          <w:bCs/>
          <w:lang w:val="lt-LT" w:eastAsia="en-US"/>
        </w:rPr>
        <w:t xml:space="preserve">Pradinė dozė yra 600 mg, vartojant </w:t>
      </w:r>
      <w:r w:rsidRPr="006E315C">
        <w:rPr>
          <w:rFonts w:ascii="Times New Roman" w:hAnsi="Times New Roman" w:cs="Times New Roman"/>
          <w:bCs/>
          <w:lang w:val="lt-LT" w:eastAsia="en-US"/>
        </w:rPr>
        <w:t xml:space="preserve">po vieną 400 mg tabletę ir dvi 100 mg tabletes arba </w:t>
      </w:r>
      <w:r>
        <w:rPr>
          <w:rFonts w:ascii="Times New Roman" w:hAnsi="Times New Roman" w:cs="Times New Roman"/>
          <w:bCs/>
          <w:lang w:val="lt-LT" w:eastAsia="en-US"/>
        </w:rPr>
        <w:t>po šešias 100 mg tabletes</w:t>
      </w:r>
      <w:r w:rsidRPr="006E315C">
        <w:rPr>
          <w:rFonts w:ascii="Times New Roman" w:hAnsi="Times New Roman" w:cs="Times New Roman"/>
          <w:bCs/>
          <w:lang w:val="lt-LT" w:eastAsia="en-US"/>
        </w:rPr>
        <w:t xml:space="preserve"> kartą </w:t>
      </w:r>
      <w:r>
        <w:rPr>
          <w:rFonts w:ascii="Times New Roman" w:hAnsi="Times New Roman" w:cs="Times New Roman"/>
          <w:bCs/>
          <w:lang w:val="lt-LT" w:eastAsia="en-US"/>
        </w:rPr>
        <w:t>per parą.</w:t>
      </w:r>
      <w:r w:rsidRPr="006E315C">
        <w:rPr>
          <w:rFonts w:ascii="Times New Roman" w:hAnsi="Times New Roman" w:cs="Times New Roman"/>
          <w:bCs/>
          <w:lang w:val="lt-LT" w:eastAsia="en-US"/>
        </w:rPr>
        <w:t xml:space="preserve"> </w:t>
      </w:r>
    </w:p>
    <w:p w:rsidR="00634910" w:rsidRDefault="00634910" w:rsidP="00634910">
      <w:pPr>
        <w:widowControl w:val="0"/>
        <w:tabs>
          <w:tab w:val="left" w:pos="567"/>
        </w:tabs>
        <w:spacing w:after="0" w:line="240" w:lineRule="auto"/>
        <w:ind w:left="360" w:right="-2"/>
        <w:rPr>
          <w:rFonts w:ascii="Times New Roman" w:hAnsi="Times New Roman" w:cs="Times New Roman"/>
          <w:b/>
          <w:bCs/>
          <w:lang w:val="lt-LT" w:eastAsia="en-US"/>
        </w:rPr>
      </w:pPr>
    </w:p>
    <w:p w:rsidR="00634910" w:rsidRPr="006E315C" w:rsidRDefault="00634910" w:rsidP="00634910">
      <w:pPr>
        <w:widowControl w:val="0"/>
        <w:numPr>
          <w:ilvl w:val="0"/>
          <w:numId w:val="7"/>
        </w:numPr>
        <w:tabs>
          <w:tab w:val="left" w:pos="567"/>
        </w:tabs>
        <w:spacing w:after="0" w:line="240" w:lineRule="auto"/>
        <w:ind w:right="-2"/>
        <w:rPr>
          <w:rFonts w:ascii="Times New Roman" w:hAnsi="Times New Roman" w:cs="Times New Roman"/>
          <w:b/>
          <w:iCs/>
          <w:lang w:val="lt-LT" w:eastAsia="en-US"/>
        </w:rPr>
      </w:pPr>
      <w:r w:rsidRPr="006E315C">
        <w:rPr>
          <w:rFonts w:ascii="Times New Roman" w:hAnsi="Times New Roman" w:cs="Times New Roman"/>
          <w:b/>
          <w:iCs/>
          <w:lang w:val="lt-LT" w:eastAsia="en-US"/>
        </w:rPr>
        <w:t xml:space="preserve">Jeigu gydoma MDS/MPL: </w:t>
      </w:r>
    </w:p>
    <w:p w:rsidR="00634910" w:rsidRDefault="00634910" w:rsidP="00634910">
      <w:pPr>
        <w:widowControl w:val="0"/>
        <w:tabs>
          <w:tab w:val="left" w:pos="567"/>
        </w:tabs>
        <w:spacing w:after="0" w:line="240" w:lineRule="auto"/>
        <w:ind w:left="360" w:right="-2"/>
        <w:rPr>
          <w:rFonts w:ascii="Times New Roman" w:hAnsi="Times New Roman" w:cs="Times New Roman"/>
          <w:bCs/>
          <w:lang w:val="lt-LT" w:eastAsia="en-US"/>
        </w:rPr>
      </w:pPr>
      <w:r>
        <w:rPr>
          <w:rFonts w:ascii="Times New Roman" w:hAnsi="Times New Roman" w:cs="Times New Roman"/>
          <w:bCs/>
          <w:lang w:val="lt-LT" w:eastAsia="en-US"/>
        </w:rPr>
        <w:t xml:space="preserve">Pradinė dozė yra 400 mg, vartojant </w:t>
      </w:r>
      <w:r w:rsidRPr="006E315C">
        <w:rPr>
          <w:rFonts w:ascii="Times New Roman" w:hAnsi="Times New Roman" w:cs="Times New Roman"/>
          <w:bCs/>
          <w:lang w:val="lt-LT" w:eastAsia="en-US"/>
        </w:rPr>
        <w:t>po vieną 400 mg tabletę arba</w:t>
      </w:r>
      <w:r>
        <w:rPr>
          <w:rFonts w:ascii="Times New Roman" w:hAnsi="Times New Roman" w:cs="Times New Roman"/>
          <w:lang w:val="lt-LT"/>
        </w:rPr>
        <w:t xml:space="preserve"> </w:t>
      </w:r>
      <w:r>
        <w:rPr>
          <w:rFonts w:ascii="Times New Roman" w:hAnsi="Times New Roman" w:cs="Times New Roman"/>
          <w:bCs/>
          <w:lang w:val="lt-LT" w:eastAsia="en-US"/>
        </w:rPr>
        <w:t xml:space="preserve">po keturias 100 mg tabletes </w:t>
      </w:r>
      <w:r>
        <w:rPr>
          <w:rFonts w:ascii="Times New Roman" w:hAnsi="Times New Roman" w:cs="Times New Roman"/>
          <w:b/>
          <w:bCs/>
          <w:lang w:val="lt-LT" w:eastAsia="en-US"/>
        </w:rPr>
        <w:t>kartą</w:t>
      </w:r>
      <w:r>
        <w:rPr>
          <w:rFonts w:ascii="Times New Roman" w:hAnsi="Times New Roman" w:cs="Times New Roman"/>
          <w:bCs/>
          <w:lang w:val="lt-LT" w:eastAsia="en-US"/>
        </w:rPr>
        <w:t xml:space="preserve"> per parą.</w:t>
      </w:r>
    </w:p>
    <w:p w:rsidR="00634910" w:rsidRDefault="00634910" w:rsidP="00634910">
      <w:pPr>
        <w:widowControl w:val="0"/>
        <w:tabs>
          <w:tab w:val="left" w:pos="567"/>
        </w:tabs>
        <w:spacing w:after="0" w:line="240" w:lineRule="auto"/>
        <w:ind w:left="360" w:right="-2"/>
        <w:rPr>
          <w:rFonts w:ascii="Times New Roman" w:hAnsi="Times New Roman" w:cs="Times New Roman"/>
          <w:i/>
          <w:iCs/>
          <w:lang w:val="lt-LT" w:eastAsia="en-US"/>
        </w:rPr>
      </w:pPr>
    </w:p>
    <w:p w:rsidR="00634910" w:rsidRPr="006E315C" w:rsidRDefault="00634910" w:rsidP="00634910">
      <w:pPr>
        <w:widowControl w:val="0"/>
        <w:numPr>
          <w:ilvl w:val="0"/>
          <w:numId w:val="7"/>
        </w:numPr>
        <w:tabs>
          <w:tab w:val="left" w:pos="567"/>
        </w:tabs>
        <w:spacing w:after="0" w:line="240" w:lineRule="auto"/>
        <w:ind w:right="-2"/>
        <w:rPr>
          <w:rFonts w:ascii="Times New Roman" w:hAnsi="Times New Roman" w:cs="Times New Roman"/>
          <w:b/>
          <w:iCs/>
          <w:lang w:val="lt-LT" w:eastAsia="en-US"/>
        </w:rPr>
      </w:pPr>
      <w:r w:rsidRPr="006E315C">
        <w:rPr>
          <w:rFonts w:ascii="Times New Roman" w:hAnsi="Times New Roman" w:cs="Times New Roman"/>
          <w:b/>
          <w:iCs/>
          <w:lang w:val="lt-LT" w:eastAsia="en-US"/>
        </w:rPr>
        <w:t xml:space="preserve">Jeigu gydoma HES/LEL: </w:t>
      </w:r>
    </w:p>
    <w:p w:rsidR="00634910" w:rsidRDefault="00634910" w:rsidP="00634910">
      <w:pPr>
        <w:widowControl w:val="0"/>
        <w:tabs>
          <w:tab w:val="left" w:pos="567"/>
        </w:tabs>
        <w:spacing w:after="0" w:line="240" w:lineRule="auto"/>
        <w:ind w:left="360" w:right="-2"/>
        <w:rPr>
          <w:rFonts w:ascii="Times New Roman" w:hAnsi="Times New Roman" w:cs="Times New Roman"/>
          <w:bCs/>
          <w:lang w:val="lt-LT" w:eastAsia="en-US"/>
        </w:rPr>
      </w:pPr>
      <w:r>
        <w:rPr>
          <w:rFonts w:ascii="Times New Roman" w:hAnsi="Times New Roman" w:cs="Times New Roman"/>
          <w:bCs/>
          <w:lang w:val="lt-LT" w:eastAsia="en-US"/>
        </w:rPr>
        <w:t xml:space="preserve">Pradinė dozė yra 100 mg, vartojant vieną 100 mg </w:t>
      </w:r>
      <w:r w:rsidRPr="006E315C">
        <w:rPr>
          <w:rFonts w:ascii="Times New Roman" w:hAnsi="Times New Roman" w:cs="Times New Roman"/>
          <w:bCs/>
          <w:lang w:val="lt-LT" w:eastAsia="en-US"/>
        </w:rPr>
        <w:t>tabletę kartą per</w:t>
      </w:r>
      <w:r>
        <w:rPr>
          <w:rFonts w:ascii="Times New Roman" w:hAnsi="Times New Roman" w:cs="Times New Roman"/>
          <w:bCs/>
          <w:lang w:val="lt-LT" w:eastAsia="en-US"/>
        </w:rPr>
        <w:t xml:space="preserve"> parą. Priklausomai nuo Jūsų atsako į gydymą, Jūsų gydytojas gali nuspręsti padidinti dozę iki 400 mg, vartojant po vieną 400 mg tabletę per parą arba po keturias 100 mg tabletes</w:t>
      </w:r>
      <w:r w:rsidRPr="006E315C">
        <w:rPr>
          <w:rFonts w:ascii="Times New Roman" w:hAnsi="Times New Roman" w:cs="Times New Roman"/>
          <w:bCs/>
          <w:lang w:val="lt-LT" w:eastAsia="en-US"/>
        </w:rPr>
        <w:t xml:space="preserve"> kartą</w:t>
      </w:r>
      <w:r>
        <w:rPr>
          <w:rFonts w:ascii="Times New Roman" w:hAnsi="Times New Roman" w:cs="Times New Roman"/>
          <w:bCs/>
          <w:lang w:val="lt-LT" w:eastAsia="en-US"/>
        </w:rPr>
        <w:t xml:space="preserve"> per parą.</w:t>
      </w:r>
    </w:p>
    <w:p w:rsidR="00634910" w:rsidRDefault="00634910" w:rsidP="00634910">
      <w:pPr>
        <w:widowControl w:val="0"/>
        <w:tabs>
          <w:tab w:val="left" w:pos="567"/>
        </w:tabs>
        <w:spacing w:after="0" w:line="240" w:lineRule="auto"/>
        <w:ind w:left="360" w:right="-2"/>
        <w:rPr>
          <w:rFonts w:ascii="Times New Roman" w:hAnsi="Times New Roman" w:cs="Times New Roman"/>
          <w:bCs/>
          <w:lang w:val="lt-LT" w:eastAsia="en-US"/>
        </w:rPr>
      </w:pPr>
    </w:p>
    <w:p w:rsidR="00634910" w:rsidRPr="005559D0" w:rsidRDefault="00634910" w:rsidP="00634910">
      <w:pPr>
        <w:widowControl w:val="0"/>
        <w:numPr>
          <w:ilvl w:val="0"/>
          <w:numId w:val="7"/>
        </w:numPr>
        <w:tabs>
          <w:tab w:val="left" w:pos="567"/>
        </w:tabs>
        <w:spacing w:after="0" w:line="240" w:lineRule="auto"/>
        <w:ind w:right="-2"/>
        <w:rPr>
          <w:rFonts w:ascii="Times New Roman" w:hAnsi="Times New Roman" w:cs="Times New Roman"/>
          <w:b/>
          <w:iCs/>
          <w:lang w:val="lt-LT" w:eastAsia="en-US"/>
        </w:rPr>
      </w:pPr>
      <w:r w:rsidRPr="005559D0">
        <w:rPr>
          <w:rFonts w:ascii="Times New Roman" w:hAnsi="Times New Roman" w:cs="Times New Roman"/>
          <w:b/>
          <w:iCs/>
          <w:lang w:val="lt-LT" w:eastAsia="en-US"/>
        </w:rPr>
        <w:t xml:space="preserve">Jeigu gydoma DFSP: </w:t>
      </w:r>
    </w:p>
    <w:p w:rsidR="00634910" w:rsidRDefault="00634910" w:rsidP="00634910">
      <w:pPr>
        <w:widowControl w:val="0"/>
        <w:tabs>
          <w:tab w:val="left" w:pos="567"/>
        </w:tabs>
        <w:spacing w:after="0" w:line="240" w:lineRule="auto"/>
        <w:ind w:left="360" w:right="-2"/>
        <w:rPr>
          <w:rFonts w:ascii="Times New Roman" w:hAnsi="Times New Roman" w:cs="Times New Roman"/>
          <w:bCs/>
          <w:lang w:val="lt-LT" w:eastAsia="en-US"/>
        </w:rPr>
      </w:pPr>
      <w:r>
        <w:rPr>
          <w:rFonts w:ascii="Times New Roman" w:hAnsi="Times New Roman" w:cs="Times New Roman"/>
          <w:bCs/>
          <w:lang w:val="lt-LT" w:eastAsia="en-US"/>
        </w:rPr>
        <w:t xml:space="preserve">Dozė yra 800 mg per parą (dvi 400 mg tabletės arba aštuonios 100 mg tabletės), vartojant po </w:t>
      </w:r>
      <w:r w:rsidRPr="005559D0">
        <w:rPr>
          <w:rFonts w:ascii="Times New Roman" w:hAnsi="Times New Roman" w:cs="Times New Roman"/>
          <w:bCs/>
          <w:lang w:val="lt-LT" w:eastAsia="en-US"/>
        </w:rPr>
        <w:t>vieną 400 mg tabletę arba keturias 100 mg tabletes ryte</w:t>
      </w:r>
      <w:r>
        <w:rPr>
          <w:rFonts w:ascii="Times New Roman" w:hAnsi="Times New Roman" w:cs="Times New Roman"/>
          <w:bCs/>
          <w:lang w:val="lt-LT" w:eastAsia="en-US"/>
        </w:rPr>
        <w:t xml:space="preserve"> ir viena 400 mg tabletė arba keturias 100 mg tabletes vakare.</w:t>
      </w:r>
    </w:p>
    <w:p w:rsidR="00634910" w:rsidRDefault="00634910" w:rsidP="00634910">
      <w:pPr>
        <w:widowControl w:val="0"/>
        <w:tabs>
          <w:tab w:val="left" w:pos="567"/>
        </w:tabs>
        <w:spacing w:after="0" w:line="240" w:lineRule="auto"/>
        <w:ind w:left="360" w:right="-2"/>
        <w:rPr>
          <w:rFonts w:ascii="Times New Roman" w:hAnsi="Times New Roman" w:cs="Times New Roman"/>
          <w:bCs/>
          <w:lang w:val="lt-LT" w:eastAsia="en-US"/>
        </w:rPr>
      </w:pPr>
    </w:p>
    <w:p w:rsidR="00634910" w:rsidRDefault="00634910" w:rsidP="00634910">
      <w:pPr>
        <w:widowControl w:val="0"/>
        <w:numPr>
          <w:ilvl w:val="12"/>
          <w:numId w:val="0"/>
        </w:numPr>
        <w:tabs>
          <w:tab w:val="left" w:pos="567"/>
        </w:tabs>
        <w:spacing w:after="0" w:line="240" w:lineRule="auto"/>
        <w:ind w:right="-2"/>
        <w:rPr>
          <w:rFonts w:ascii="Times New Roman" w:hAnsi="Times New Roman" w:cs="Times New Roman"/>
          <w:b/>
          <w:bCs/>
          <w:lang w:val="lt-LT" w:eastAsia="en-US"/>
        </w:rPr>
      </w:pPr>
      <w:r>
        <w:rPr>
          <w:rFonts w:ascii="Times New Roman" w:hAnsi="Times New Roman" w:cs="Times New Roman"/>
          <w:b/>
          <w:bCs/>
          <w:lang w:val="lt-LT"/>
        </w:rPr>
        <w:t>Vartojimas vaikams ir paaugliams</w:t>
      </w:r>
    </w:p>
    <w:p w:rsidR="00634910" w:rsidRDefault="00634910" w:rsidP="00634910">
      <w:pPr>
        <w:widowControl w:val="0"/>
        <w:numPr>
          <w:ilvl w:val="12"/>
          <w:numId w:val="0"/>
        </w:numPr>
        <w:tabs>
          <w:tab w:val="left" w:pos="567"/>
        </w:tabs>
        <w:spacing w:after="0" w:line="240" w:lineRule="auto"/>
        <w:ind w:right="-2"/>
        <w:rPr>
          <w:rFonts w:ascii="Times New Roman" w:hAnsi="Times New Roman" w:cs="Times New Roman"/>
          <w:lang w:val="lt-LT"/>
        </w:rPr>
      </w:pPr>
      <w:r>
        <w:rPr>
          <w:rFonts w:ascii="Times New Roman" w:hAnsi="Times New Roman" w:cs="Times New Roman"/>
          <w:lang w:val="lt-LT"/>
        </w:rPr>
        <w:t xml:space="preserve">Gydytojas pasakys, kiek Imatinib Ranbaxy tablečių reikia sugirdyti Jūsų vaikui. Skiriama Imatinib Ranbaxy dozė priklauso nuo Jūsų vaiko būklės, kūno masės ir ūgio. Gydant </w:t>
      </w:r>
      <w:r w:rsidRPr="006970B7">
        <w:rPr>
          <w:rFonts w:ascii="Times New Roman" w:hAnsi="Times New Roman" w:cs="Times New Roman"/>
          <w:lang w:val="lt-LT"/>
        </w:rPr>
        <w:t xml:space="preserve">LML </w:t>
      </w:r>
      <w:r>
        <w:rPr>
          <w:rFonts w:ascii="Times New Roman" w:hAnsi="Times New Roman" w:cs="Times New Roman"/>
          <w:lang w:val="lt-LT"/>
        </w:rPr>
        <w:t>visa paros dozė vaikui negali būti didesnė kaip 800 mg. Galima sugirdyti iš karto visą paros dozę arba paros dozę padalyti į dvi dalis ir suvartoti per du kartus (vieną pusę dozės ryte, kitą – vakare).</w:t>
      </w:r>
    </w:p>
    <w:p w:rsidR="00634910" w:rsidRDefault="00634910" w:rsidP="00634910">
      <w:pPr>
        <w:widowControl w:val="0"/>
        <w:numPr>
          <w:ilvl w:val="12"/>
          <w:numId w:val="0"/>
        </w:numPr>
        <w:tabs>
          <w:tab w:val="left" w:pos="567"/>
        </w:tabs>
        <w:spacing w:after="0" w:line="240" w:lineRule="auto"/>
        <w:ind w:right="-2"/>
        <w:rPr>
          <w:rFonts w:ascii="Times New Roman" w:hAnsi="Times New Roman" w:cs="Times New Roman"/>
          <w:lang w:val="lt-LT"/>
        </w:rPr>
      </w:pPr>
    </w:p>
    <w:p w:rsidR="00634910" w:rsidRPr="003A5591" w:rsidRDefault="00634910" w:rsidP="00634910">
      <w:pPr>
        <w:pStyle w:val="Default"/>
        <w:widowControl w:val="0"/>
        <w:rPr>
          <w:bCs/>
          <w:i/>
          <w:sz w:val="22"/>
          <w:szCs w:val="22"/>
        </w:rPr>
      </w:pPr>
      <w:r w:rsidRPr="003A5591">
        <w:rPr>
          <w:bCs/>
          <w:i/>
          <w:sz w:val="22"/>
          <w:szCs w:val="22"/>
        </w:rPr>
        <w:t>Vartojimo būdas</w:t>
      </w:r>
    </w:p>
    <w:p w:rsidR="00634910" w:rsidRDefault="00634910" w:rsidP="00634910">
      <w:pPr>
        <w:pStyle w:val="Default"/>
        <w:widowControl w:val="0"/>
        <w:rPr>
          <w:b/>
          <w:bCs/>
          <w:sz w:val="22"/>
          <w:szCs w:val="22"/>
        </w:rPr>
      </w:pPr>
      <w:r>
        <w:rPr>
          <w:b/>
          <w:bCs/>
          <w:sz w:val="22"/>
          <w:szCs w:val="22"/>
        </w:rPr>
        <w:t>Kada ir kaip vartoti Imatinib Ranbaxy?</w:t>
      </w:r>
    </w:p>
    <w:p w:rsidR="00634910" w:rsidRDefault="00634910" w:rsidP="00634910">
      <w:pPr>
        <w:pStyle w:val="Default"/>
        <w:widowControl w:val="0"/>
        <w:numPr>
          <w:ilvl w:val="0"/>
          <w:numId w:val="8"/>
        </w:numPr>
        <w:rPr>
          <w:sz w:val="22"/>
          <w:szCs w:val="22"/>
        </w:rPr>
      </w:pPr>
      <w:r>
        <w:rPr>
          <w:b/>
          <w:bCs/>
          <w:sz w:val="22"/>
          <w:szCs w:val="22"/>
        </w:rPr>
        <w:t xml:space="preserve">Imatinib Ranbaxy vartokite valgydami. </w:t>
      </w:r>
      <w:r>
        <w:rPr>
          <w:sz w:val="22"/>
          <w:szCs w:val="22"/>
        </w:rPr>
        <w:t>Tai padės išvengti skrandžio sutrikimų vartojant Imatinib Ranbaxy.</w:t>
      </w:r>
    </w:p>
    <w:p w:rsidR="00634910" w:rsidRDefault="00634910" w:rsidP="00634910">
      <w:pPr>
        <w:pStyle w:val="Default"/>
        <w:widowControl w:val="0"/>
        <w:numPr>
          <w:ilvl w:val="0"/>
          <w:numId w:val="8"/>
        </w:numPr>
        <w:rPr>
          <w:b/>
          <w:bCs/>
          <w:sz w:val="22"/>
          <w:szCs w:val="22"/>
        </w:rPr>
      </w:pPr>
      <w:r>
        <w:rPr>
          <w:b/>
          <w:bCs/>
          <w:sz w:val="22"/>
          <w:szCs w:val="22"/>
        </w:rPr>
        <w:lastRenderedPageBreak/>
        <w:t>Nurykite visą tabletę užsigerdami didele stikline vandens.</w:t>
      </w:r>
    </w:p>
    <w:p w:rsidR="00634910" w:rsidRDefault="00634910" w:rsidP="00634910">
      <w:pPr>
        <w:pStyle w:val="Default"/>
        <w:widowControl w:val="0"/>
        <w:rPr>
          <w:b/>
          <w:bCs/>
          <w:sz w:val="22"/>
          <w:szCs w:val="22"/>
        </w:rPr>
      </w:pPr>
      <w:r>
        <w:rPr>
          <w:b/>
          <w:bCs/>
          <w:sz w:val="22"/>
          <w:szCs w:val="22"/>
        </w:rPr>
        <w:t>Tabletę galima padalyti į dvi lygias dozes.</w:t>
      </w:r>
    </w:p>
    <w:p w:rsidR="00634910" w:rsidRDefault="00634910" w:rsidP="00634910">
      <w:pPr>
        <w:pStyle w:val="Default"/>
        <w:widowControl w:val="0"/>
        <w:rPr>
          <w:b/>
          <w:bCs/>
          <w:sz w:val="22"/>
          <w:szCs w:val="22"/>
        </w:rPr>
      </w:pPr>
    </w:p>
    <w:p w:rsidR="00634910" w:rsidRDefault="00634910" w:rsidP="00634910">
      <w:pPr>
        <w:pStyle w:val="Default"/>
        <w:widowControl w:val="0"/>
        <w:rPr>
          <w:sz w:val="22"/>
          <w:szCs w:val="22"/>
        </w:rPr>
      </w:pPr>
      <w:r>
        <w:rPr>
          <w:sz w:val="22"/>
          <w:szCs w:val="22"/>
        </w:rPr>
        <w:t>Jeigu negalite nuryti tablečių, jas galima disperguoti stiklinėje paprasto vandens arba obuolių sulčių:</w:t>
      </w:r>
    </w:p>
    <w:p w:rsidR="00634910" w:rsidRDefault="00634910" w:rsidP="00634910">
      <w:pPr>
        <w:pStyle w:val="Default"/>
        <w:widowControl w:val="0"/>
        <w:numPr>
          <w:ilvl w:val="0"/>
          <w:numId w:val="9"/>
        </w:numPr>
        <w:rPr>
          <w:sz w:val="22"/>
          <w:szCs w:val="22"/>
        </w:rPr>
      </w:pPr>
      <w:r w:rsidRPr="005559D0">
        <w:rPr>
          <w:sz w:val="22"/>
          <w:szCs w:val="22"/>
        </w:rPr>
        <w:t>Kiekvieną 400 mg tabletę reikia disperguoti maždaug 200 ml</w:t>
      </w:r>
      <w:r>
        <w:rPr>
          <w:sz w:val="22"/>
          <w:szCs w:val="22"/>
        </w:rPr>
        <w:t>, o 100 mg tabletę maždaug 50 ml.</w:t>
      </w:r>
    </w:p>
    <w:p w:rsidR="00634910" w:rsidRDefault="00634910" w:rsidP="00634910">
      <w:pPr>
        <w:pStyle w:val="Default"/>
        <w:widowControl w:val="0"/>
        <w:numPr>
          <w:ilvl w:val="0"/>
          <w:numId w:val="9"/>
        </w:numPr>
        <w:rPr>
          <w:sz w:val="22"/>
          <w:szCs w:val="22"/>
        </w:rPr>
      </w:pPr>
      <w:r w:rsidRPr="005559D0">
        <w:rPr>
          <w:sz w:val="22"/>
          <w:szCs w:val="22"/>
        </w:rPr>
        <w:t>Maišyti šaukštu, kol tabletė visiškai suyra.</w:t>
      </w:r>
    </w:p>
    <w:p w:rsidR="00634910" w:rsidRPr="005559D0" w:rsidRDefault="00634910" w:rsidP="00634910">
      <w:pPr>
        <w:pStyle w:val="Default"/>
        <w:widowControl w:val="0"/>
        <w:numPr>
          <w:ilvl w:val="0"/>
          <w:numId w:val="9"/>
        </w:numPr>
        <w:rPr>
          <w:sz w:val="22"/>
          <w:szCs w:val="22"/>
        </w:rPr>
      </w:pPr>
      <w:r w:rsidRPr="005559D0">
        <w:rPr>
          <w:sz w:val="22"/>
          <w:szCs w:val="22"/>
        </w:rPr>
        <w:t>Kai tik tabletė suyra, visą stiklinės turinį reikia nedelsiant išgerti. Ant stiklinės gali likti suirusios tabletės likučių.</w:t>
      </w:r>
    </w:p>
    <w:p w:rsidR="00634910" w:rsidRDefault="00634910" w:rsidP="00634910">
      <w:pPr>
        <w:pStyle w:val="Default"/>
        <w:widowControl w:val="0"/>
        <w:rPr>
          <w:sz w:val="22"/>
          <w:szCs w:val="22"/>
        </w:rPr>
      </w:pPr>
    </w:p>
    <w:p w:rsidR="00634910" w:rsidRDefault="00634910" w:rsidP="00634910">
      <w:pPr>
        <w:pStyle w:val="Default"/>
        <w:widowControl w:val="0"/>
        <w:rPr>
          <w:b/>
          <w:bCs/>
          <w:sz w:val="22"/>
          <w:szCs w:val="22"/>
        </w:rPr>
      </w:pPr>
      <w:r>
        <w:rPr>
          <w:b/>
          <w:bCs/>
          <w:sz w:val="22"/>
          <w:szCs w:val="22"/>
        </w:rPr>
        <w:t>Kiek laiko vartoti Imatinib Ranbaxy?</w:t>
      </w:r>
    </w:p>
    <w:p w:rsidR="00634910" w:rsidRDefault="00634910" w:rsidP="00634910">
      <w:pPr>
        <w:widowControl w:val="0"/>
        <w:numPr>
          <w:ilvl w:val="12"/>
          <w:numId w:val="0"/>
        </w:numPr>
        <w:tabs>
          <w:tab w:val="left" w:pos="567"/>
        </w:tabs>
        <w:spacing w:after="0" w:line="240" w:lineRule="auto"/>
        <w:ind w:right="-2"/>
        <w:rPr>
          <w:rFonts w:ascii="Times New Roman" w:hAnsi="Times New Roman" w:cs="Times New Roman"/>
          <w:b/>
          <w:bCs/>
          <w:lang w:val="lt-LT" w:eastAsia="en-US"/>
        </w:rPr>
      </w:pPr>
      <w:r>
        <w:rPr>
          <w:rFonts w:ascii="Times New Roman" w:hAnsi="Times New Roman" w:cs="Times New Roman"/>
          <w:lang w:val="lt-LT"/>
        </w:rPr>
        <w:t>Vartokite Imatinib Ranbaxy kiekvieną dieną, kol gydytojas nurodys baigti gydymą.</w:t>
      </w:r>
    </w:p>
    <w:p w:rsidR="00634910" w:rsidRDefault="00634910" w:rsidP="00634910">
      <w:pPr>
        <w:widowControl w:val="0"/>
        <w:numPr>
          <w:ilvl w:val="12"/>
          <w:numId w:val="0"/>
        </w:numPr>
        <w:spacing w:after="0" w:line="240" w:lineRule="auto"/>
        <w:rPr>
          <w:rFonts w:ascii="Times New Roman" w:hAnsi="Times New Roman" w:cs="Times New Roman"/>
          <w:b/>
          <w:lang w:val="lt-LT" w:eastAsia="en-US"/>
        </w:rPr>
      </w:pPr>
    </w:p>
    <w:p w:rsidR="00634910" w:rsidRDefault="00634910" w:rsidP="00634910">
      <w:pPr>
        <w:widowControl w:val="0"/>
        <w:numPr>
          <w:ilvl w:val="12"/>
          <w:numId w:val="0"/>
        </w:numPr>
        <w:tabs>
          <w:tab w:val="left" w:pos="567"/>
        </w:tabs>
        <w:spacing w:after="0" w:line="240" w:lineRule="auto"/>
        <w:ind w:right="-2"/>
        <w:outlineLvl w:val="0"/>
        <w:rPr>
          <w:rFonts w:ascii="Times New Roman" w:hAnsi="Times New Roman" w:cs="Times New Roman"/>
          <w:b/>
          <w:lang w:val="lt-LT" w:eastAsia="en-US"/>
        </w:rPr>
      </w:pPr>
      <w:r>
        <w:rPr>
          <w:rFonts w:ascii="Times New Roman" w:hAnsi="Times New Roman" w:cs="Times New Roman"/>
          <w:b/>
          <w:lang w:val="lt-LT" w:eastAsia="en-US"/>
        </w:rPr>
        <w:t>Ką daryti pavartojus per didelę Imatinib Ranbaxy dozę?</w:t>
      </w:r>
    </w:p>
    <w:p w:rsidR="00634910" w:rsidRDefault="00634910" w:rsidP="00634910">
      <w:pPr>
        <w:widowControl w:val="0"/>
        <w:numPr>
          <w:ilvl w:val="12"/>
          <w:numId w:val="0"/>
        </w:numPr>
        <w:tabs>
          <w:tab w:val="left" w:pos="567"/>
        </w:tabs>
        <w:spacing w:after="0" w:line="240" w:lineRule="auto"/>
        <w:ind w:right="-2"/>
        <w:outlineLvl w:val="0"/>
        <w:rPr>
          <w:rFonts w:ascii="Times New Roman" w:hAnsi="Times New Roman" w:cs="Times New Roman"/>
          <w:b/>
          <w:lang w:val="lt-LT" w:eastAsia="en-US"/>
        </w:rPr>
      </w:pPr>
      <w:r>
        <w:rPr>
          <w:rFonts w:ascii="Times New Roman" w:hAnsi="Times New Roman" w:cs="Times New Roman"/>
          <w:lang w:val="lt-LT"/>
        </w:rPr>
        <w:t>Atsitiktinai nurijus per daug tablečių</w:t>
      </w:r>
      <w:r w:rsidRPr="00283B9C">
        <w:rPr>
          <w:rFonts w:ascii="Times New Roman" w:hAnsi="Times New Roman" w:cs="Times New Roman"/>
          <w:lang w:val="lt-LT"/>
        </w:rPr>
        <w:t xml:space="preserve">, </w:t>
      </w:r>
      <w:r w:rsidRPr="002F72A3">
        <w:rPr>
          <w:rFonts w:ascii="Times New Roman" w:hAnsi="Times New Roman"/>
          <w:b/>
          <w:lang w:val="lt-LT"/>
        </w:rPr>
        <w:t>iš karto</w:t>
      </w:r>
      <w:r>
        <w:rPr>
          <w:rFonts w:ascii="Times New Roman" w:hAnsi="Times New Roman" w:cs="Times New Roman"/>
          <w:lang w:val="lt-LT"/>
        </w:rPr>
        <w:t xml:space="preserve"> kreipkitės į gydytoją. Jums gali prireikti medicininės pagalbos. Su savimi pasiimkite vaisto pakuotę.</w:t>
      </w:r>
    </w:p>
    <w:p w:rsidR="00634910" w:rsidRDefault="00634910" w:rsidP="00634910">
      <w:pPr>
        <w:widowControl w:val="0"/>
        <w:numPr>
          <w:ilvl w:val="12"/>
          <w:numId w:val="0"/>
        </w:numPr>
        <w:tabs>
          <w:tab w:val="left" w:pos="567"/>
        </w:tabs>
        <w:spacing w:after="0" w:line="240" w:lineRule="auto"/>
        <w:rPr>
          <w:rFonts w:ascii="Times New Roman" w:hAnsi="Times New Roman" w:cs="Times New Roman"/>
          <w:lang w:val="lt-LT" w:eastAsia="en-US"/>
        </w:rPr>
      </w:pPr>
    </w:p>
    <w:p w:rsidR="00634910" w:rsidRDefault="00634910" w:rsidP="00634910">
      <w:pPr>
        <w:widowControl w:val="0"/>
        <w:numPr>
          <w:ilvl w:val="12"/>
          <w:numId w:val="0"/>
        </w:numPr>
        <w:tabs>
          <w:tab w:val="left" w:pos="567"/>
        </w:tabs>
        <w:spacing w:after="0" w:line="240" w:lineRule="auto"/>
        <w:ind w:right="-2"/>
        <w:outlineLvl w:val="0"/>
        <w:rPr>
          <w:rFonts w:ascii="Times New Roman" w:hAnsi="Times New Roman" w:cs="Times New Roman"/>
          <w:b/>
          <w:lang w:val="lt-LT" w:eastAsia="en-US"/>
        </w:rPr>
      </w:pPr>
      <w:r>
        <w:rPr>
          <w:rFonts w:ascii="Times New Roman" w:hAnsi="Times New Roman" w:cs="Times New Roman"/>
          <w:b/>
          <w:lang w:val="lt-LT" w:eastAsia="en-US"/>
        </w:rPr>
        <w:t>Pamiršus pavartoti Imatinib Ranbaxy</w:t>
      </w:r>
    </w:p>
    <w:p w:rsidR="00634910" w:rsidRDefault="00634910" w:rsidP="00634910">
      <w:pPr>
        <w:pStyle w:val="Default"/>
        <w:widowControl w:val="0"/>
        <w:numPr>
          <w:ilvl w:val="0"/>
          <w:numId w:val="11"/>
        </w:numPr>
        <w:rPr>
          <w:sz w:val="22"/>
          <w:szCs w:val="22"/>
        </w:rPr>
      </w:pPr>
      <w:r>
        <w:rPr>
          <w:sz w:val="22"/>
          <w:szCs w:val="22"/>
        </w:rPr>
        <w:t xml:space="preserve">Jeigu pamiršote išgerti dozę, padarykite tai iš karto prisiminę. Vis dėlto jeigu jau arti kitos dozės vartojimo laikas, pamirštąją dozę praleiskite. </w:t>
      </w:r>
    </w:p>
    <w:p w:rsidR="00634910" w:rsidRDefault="00634910" w:rsidP="00634910">
      <w:pPr>
        <w:pStyle w:val="Default"/>
        <w:widowControl w:val="0"/>
        <w:numPr>
          <w:ilvl w:val="0"/>
          <w:numId w:val="11"/>
        </w:numPr>
        <w:rPr>
          <w:sz w:val="22"/>
          <w:szCs w:val="22"/>
        </w:rPr>
      </w:pPr>
      <w:r>
        <w:rPr>
          <w:sz w:val="22"/>
          <w:szCs w:val="22"/>
        </w:rPr>
        <w:t>Toliau vaistą vartokite įprasta tvarka.</w:t>
      </w:r>
    </w:p>
    <w:p w:rsidR="00634910" w:rsidRPr="00EF40D1" w:rsidRDefault="00634910" w:rsidP="00634910">
      <w:pPr>
        <w:pStyle w:val="Default"/>
        <w:widowControl w:val="0"/>
        <w:numPr>
          <w:ilvl w:val="0"/>
          <w:numId w:val="11"/>
        </w:numPr>
        <w:rPr>
          <w:sz w:val="22"/>
          <w:szCs w:val="22"/>
        </w:rPr>
      </w:pPr>
      <w:r w:rsidRPr="00EF40D1">
        <w:rPr>
          <w:sz w:val="22"/>
          <w:szCs w:val="22"/>
        </w:rPr>
        <w:t>Negalima vartoti dvigubos dozės norint kompensuoti praleistą dozę.</w:t>
      </w:r>
    </w:p>
    <w:p w:rsidR="00634910" w:rsidRDefault="00634910" w:rsidP="00634910">
      <w:pPr>
        <w:widowControl w:val="0"/>
        <w:numPr>
          <w:ilvl w:val="12"/>
          <w:numId w:val="0"/>
        </w:numPr>
        <w:tabs>
          <w:tab w:val="left" w:pos="567"/>
        </w:tabs>
        <w:spacing w:after="0" w:line="240" w:lineRule="auto"/>
        <w:ind w:right="-2"/>
        <w:rPr>
          <w:rFonts w:ascii="Times New Roman" w:hAnsi="Times New Roman" w:cs="Times New Roman"/>
          <w:lang w:val="lt-LT"/>
        </w:rPr>
      </w:pPr>
    </w:p>
    <w:p w:rsidR="00634910" w:rsidRDefault="00634910" w:rsidP="00634910">
      <w:pPr>
        <w:widowControl w:val="0"/>
        <w:numPr>
          <w:ilvl w:val="12"/>
          <w:numId w:val="0"/>
        </w:numPr>
        <w:tabs>
          <w:tab w:val="left" w:pos="567"/>
        </w:tabs>
        <w:spacing w:after="0" w:line="240" w:lineRule="auto"/>
        <w:ind w:right="-2"/>
        <w:rPr>
          <w:rFonts w:ascii="Times New Roman" w:hAnsi="Times New Roman" w:cs="Times New Roman"/>
          <w:lang w:val="lt-LT" w:eastAsia="en-US"/>
        </w:rPr>
      </w:pPr>
      <w:r>
        <w:rPr>
          <w:rFonts w:ascii="Times New Roman" w:hAnsi="Times New Roman" w:cs="Times New Roman"/>
          <w:lang w:val="lt-LT"/>
        </w:rPr>
        <w:t>Jeigu kiltų daugiau klausimų dėl šio vaisto vartojimo, kreipkitės į gydytoją, vaistininką arba slaugytoją</w:t>
      </w:r>
      <w:r>
        <w:rPr>
          <w:rFonts w:ascii="Times New Roman" w:hAnsi="Times New Roman" w:cs="Times New Roman"/>
          <w:lang w:val="lt-LT" w:eastAsia="en-US"/>
        </w:rPr>
        <w:t>.</w:t>
      </w: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p>
    <w:p w:rsidR="00634910" w:rsidRDefault="00634910" w:rsidP="00634910">
      <w:pPr>
        <w:widowControl w:val="0"/>
        <w:numPr>
          <w:ilvl w:val="12"/>
          <w:numId w:val="0"/>
        </w:numPr>
        <w:tabs>
          <w:tab w:val="left" w:pos="567"/>
        </w:tabs>
        <w:spacing w:after="0" w:line="240" w:lineRule="auto"/>
        <w:rPr>
          <w:rFonts w:ascii="Times New Roman" w:hAnsi="Times New Roman" w:cs="Times New Roman"/>
          <w:b/>
          <w:bCs/>
          <w:lang w:val="lt-LT" w:eastAsia="en-US"/>
        </w:rPr>
      </w:pPr>
      <w:r>
        <w:rPr>
          <w:rFonts w:ascii="Times New Roman" w:hAnsi="Times New Roman" w:cs="Times New Roman"/>
          <w:b/>
          <w:lang w:val="lt-LT" w:eastAsia="en-US"/>
        </w:rPr>
        <w:t>4.</w:t>
      </w:r>
      <w:r>
        <w:rPr>
          <w:rFonts w:ascii="Times New Roman" w:hAnsi="Times New Roman" w:cs="Times New Roman"/>
          <w:b/>
          <w:lang w:val="lt-LT" w:eastAsia="en-US"/>
        </w:rPr>
        <w:tab/>
      </w:r>
      <w:r>
        <w:rPr>
          <w:rFonts w:ascii="Times New Roman" w:hAnsi="Times New Roman" w:cs="Times New Roman"/>
          <w:b/>
          <w:bCs/>
          <w:lang w:val="lt-LT"/>
        </w:rPr>
        <w:t>Galimas šalutinis poveikis</w:t>
      </w: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p>
    <w:p w:rsidR="00634910" w:rsidRDefault="00634910" w:rsidP="00634910">
      <w:pPr>
        <w:widowControl w:val="0"/>
        <w:numPr>
          <w:ilvl w:val="12"/>
          <w:numId w:val="0"/>
        </w:numPr>
        <w:spacing w:after="0" w:line="240" w:lineRule="auto"/>
        <w:ind w:right="-29"/>
        <w:rPr>
          <w:rFonts w:ascii="Times New Roman" w:hAnsi="Times New Roman" w:cs="Times New Roman"/>
          <w:lang w:val="lt-LT"/>
        </w:rPr>
      </w:pPr>
      <w:r>
        <w:rPr>
          <w:rFonts w:ascii="Times New Roman" w:hAnsi="Times New Roman" w:cs="Times New Roman"/>
          <w:lang w:val="lt-LT"/>
        </w:rPr>
        <w:t>Šis vaistas, kaip ir visi kiti, gali sukelti šalutinį poveikį, nors jis pasireiškia ne visiems žmonėms</w:t>
      </w:r>
      <w:r>
        <w:rPr>
          <w:rFonts w:ascii="Times New Roman" w:hAnsi="Times New Roman" w:cs="Times New Roman"/>
          <w:lang w:val="lt-LT" w:eastAsia="en-US"/>
        </w:rPr>
        <w:t xml:space="preserve">. </w:t>
      </w:r>
      <w:r>
        <w:rPr>
          <w:rFonts w:ascii="Times New Roman" w:hAnsi="Times New Roman" w:cs="Times New Roman"/>
          <w:lang w:val="lt-LT"/>
        </w:rPr>
        <w:t>Toks poveikis dažniausiai būna lengvas arba vidutinio sunkumo.</w:t>
      </w:r>
    </w:p>
    <w:p w:rsidR="00634910" w:rsidRDefault="00634910" w:rsidP="00634910">
      <w:pPr>
        <w:widowControl w:val="0"/>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b/>
          <w:bCs/>
          <w:lang w:val="lt-LT"/>
        </w:rPr>
      </w:pPr>
      <w:r>
        <w:rPr>
          <w:rFonts w:ascii="Times New Roman" w:hAnsi="Times New Roman" w:cs="Times New Roman"/>
          <w:b/>
          <w:bCs/>
          <w:lang w:val="lt-LT"/>
        </w:rPr>
        <w:t>Kai kuris šalutinis poveikis gali būti sunkus. Iš karto pasakykite gydytojui, jeigu pasireiškia kuris nors iš išvardytų reiškinių.</w:t>
      </w:r>
    </w:p>
    <w:p w:rsidR="00634910" w:rsidRDefault="00634910" w:rsidP="00634910">
      <w:pPr>
        <w:widowControl w:val="0"/>
        <w:spacing w:after="0" w:line="240" w:lineRule="auto"/>
        <w:rPr>
          <w:rFonts w:ascii="Times New Roman" w:hAnsi="Times New Roman" w:cs="Times New Roman"/>
          <w:lang w:val="lt-LT"/>
        </w:rPr>
      </w:pPr>
    </w:p>
    <w:p w:rsidR="00634910" w:rsidRPr="00EF40D1" w:rsidRDefault="00634910" w:rsidP="00634910">
      <w:pPr>
        <w:widowControl w:val="0"/>
        <w:spacing w:after="0" w:line="240" w:lineRule="auto"/>
        <w:rPr>
          <w:rFonts w:ascii="Times New Roman" w:hAnsi="Times New Roman" w:cs="Times New Roman"/>
          <w:iCs/>
          <w:lang w:val="lt-LT"/>
        </w:rPr>
      </w:pPr>
      <w:r w:rsidRPr="00EF40D1">
        <w:rPr>
          <w:rFonts w:ascii="Times New Roman" w:hAnsi="Times New Roman" w:cs="Times New Roman"/>
          <w:b/>
          <w:iCs/>
          <w:lang w:val="lt-LT"/>
        </w:rPr>
        <w:t>Labai dažnas ar dažnas šalutinis poveikis</w:t>
      </w:r>
      <w:r w:rsidRPr="00EF40D1">
        <w:rPr>
          <w:rFonts w:ascii="Times New Roman" w:hAnsi="Times New Roman" w:cs="Times New Roman"/>
          <w:iCs/>
          <w:lang w:val="lt-LT"/>
        </w:rPr>
        <w:t xml:space="preserve"> (gali pasireikšti dažniau kaip 1 iš 10 žmonių arba ne dažniau kaip 1 iš 10 žmonių)</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Greitas kūno masės didėjimas. Imatinib Ranbaxy gali skatinti vandens kaupimąsi organizme (sunkų skysčių kaupimąsi).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Infekcinės ligos požymiai, pavyzdžiui: karščiavimas, sunkus šaltkrėtis, gerklės skausmas ar burnos opos. Imatinib Ranbaxy gali mažinti baltųjų kraujo ląstelių kiekį, todėl galite greičiau užsikrėsti infekcinėmis ligomis.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Netikėtas kraujavimas arba mėlynių atsiradimas (neužsigavus).</w:t>
      </w:r>
    </w:p>
    <w:p w:rsidR="00634910" w:rsidRDefault="00634910" w:rsidP="00634910">
      <w:pPr>
        <w:widowControl w:val="0"/>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i/>
          <w:iCs/>
          <w:lang w:val="lt-LT"/>
        </w:rPr>
      </w:pPr>
      <w:r w:rsidRPr="00EF40D1">
        <w:rPr>
          <w:rFonts w:ascii="Times New Roman" w:hAnsi="Times New Roman" w:cs="Times New Roman"/>
          <w:b/>
          <w:iCs/>
          <w:lang w:val="lt-LT"/>
        </w:rPr>
        <w:t>Nedažnas ar retas šalutinis poveikis</w:t>
      </w:r>
      <w:r w:rsidRPr="00EF40D1">
        <w:rPr>
          <w:rFonts w:ascii="Times New Roman" w:hAnsi="Times New Roman" w:cs="Times New Roman"/>
          <w:iCs/>
          <w:lang w:val="lt-LT"/>
        </w:rPr>
        <w:t xml:space="preserve"> (gali pasireikšti ne dažniau kaip 1 iš 100 žmonių arba ne dažniau kaip 1 iš 1 000 žmonių)</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Krūtinės skausmas, neritmiškas širdies plakimas (širdies sutrikimų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Kosulys, kvėpavimo pasunkėjimas arba skausmingas kvėpavimas (plaučių sutrikimo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Apsvaigimo pojūtis, svaigulys arba alpimas (sumažėjusio kraujospūdžio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lastRenderedPageBreak/>
        <w:t>-</w:t>
      </w:r>
      <w:r>
        <w:rPr>
          <w:rFonts w:ascii="Times New Roman" w:hAnsi="Times New Roman" w:cs="Times New Roman"/>
          <w:lang w:val="lt-LT"/>
        </w:rPr>
        <w:tab/>
        <w:t>Šleikštulys (pykinimas) su apetito sumažėjimu, tamsios spalvos šlapimo išsiskyrimu, geltona odos ir akių spalva (kepenų veiklos sutrikimo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Išbėrimas, raudona oda su pūslėmis ant lūpų, akių, odos ar burnoje, odos lupimasis, karščiavimas, iškilūs raudoni arba purpuriniai odos lopai, niežulys, deginimo pojūtis, pūslinis išbėrimas (odos sutrikimų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Stiprus pilvo skausmas, vėmimas su krauju, kraujas išmatose ar šlapime, juodos spalvos išmatos (virškinimo trakto sutrikimų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Labai sumažėjęs šlapimo išskyrimas, troškulio jutimas (inkstų veiklos sutrikimų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Šleikštulys (pykinimas) su viduriavimu ir vėmimu, pilvo skausmu ar karščiavimu (žarnyno veiklos sutrikimų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Sunkus galvos skausmas, galūnių arba veido silpnumas arba paralyžius, sunkumas kalbant, staigus sąmonės netekimas (nervų sistemos sutrikimų, pavyzdžiui, kraujavimo kaukolės ertmėje ar galvos smegenų patinimo,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Odos blyškumas, nuovargio jutimas ir dusulys bei tamsios spalvos šlapimo išsiskyrimas (mažo raudonųjų kraujo ląstelių kiekio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Akies skausmas ar regėjimo pablogėjimas, akių kraujavimas.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Klubo skausmas arba vaikščiojimo sunkumai.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Kojų ir rankų pirštų nutirpimas arba šalimas (Reino [</w:t>
      </w:r>
      <w:r w:rsidRPr="00132FED">
        <w:rPr>
          <w:rFonts w:ascii="Times New Roman" w:hAnsi="Times New Roman" w:cs="Times New Roman"/>
          <w:i/>
          <w:lang w:val="lt-LT"/>
        </w:rPr>
        <w:t>Raynaud</w:t>
      </w:r>
      <w:r>
        <w:rPr>
          <w:rFonts w:ascii="Times New Roman" w:hAnsi="Times New Roman" w:cs="Times New Roman"/>
          <w:lang w:val="lt-LT"/>
        </w:rPr>
        <w:t>] sindromo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Staigus odos patinimas ir paraudimas (infekcinės odos ligos, vadinamos celiulitu,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Klausos pablogėjimas.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Raumenų silpnumas ir spazmai su nenormaliu širdies plakimu (kalio koncentracijos kraujyje pokyčio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Kraujosruvos.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Pilvo skausmas su šleikštuliu (pykinimu).</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Raumenų spazmai su karščiavimu, raudonai rudos spalvos šlapimo išsiskyrimu, raumenų skausmu ar silpnumu (raumenų sutrikimų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Dubens skausmas, kartais pasireiškiantis su pykinimu ir vėmimu, netikėtu kraujavimu iš makšties, svaigulio jutimu arba alpimu dėl pernelyg sumažėjusio kraujospūdžio (kiaušidžių arba gimdos sutrikimų požymiai).</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Pykinimas, dusulys, neritmiškas širdies plakimas, drumsto šlapimo išsiskyrimas, nuovargis ir (arba) sąnarių diskomfortas, susijęs su nenormaliais laboratorinių tyrimų rodmenimis (pvz., didelės kalio, šlapimo rūgšties ir fosforo koncentracijos bei maža kalcio koncentracija kraujyje).</w:t>
      </w:r>
    </w:p>
    <w:p w:rsidR="00634910" w:rsidRDefault="00634910" w:rsidP="00634910">
      <w:pPr>
        <w:widowControl w:val="0"/>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iCs/>
          <w:lang w:val="lt-LT"/>
        </w:rPr>
      </w:pPr>
      <w:r w:rsidRPr="00EF40D1">
        <w:rPr>
          <w:rFonts w:ascii="Times New Roman" w:hAnsi="Times New Roman" w:cs="Times New Roman"/>
          <w:b/>
          <w:iCs/>
          <w:lang w:val="lt-LT"/>
        </w:rPr>
        <w:t>Kitas šalutinis poveikis</w:t>
      </w:r>
      <w:r w:rsidRPr="00EF40D1">
        <w:rPr>
          <w:rFonts w:ascii="Times New Roman" w:hAnsi="Times New Roman" w:cs="Times New Roman"/>
          <w:iCs/>
          <w:lang w:val="lt-LT"/>
        </w:rPr>
        <w:t xml:space="preserve"> (dažnis negali būti įvertintas pagal turimus duomenis)</w:t>
      </w:r>
    </w:p>
    <w:p w:rsidR="00634910" w:rsidRPr="003A5591" w:rsidRDefault="00634910" w:rsidP="00634910">
      <w:pPr>
        <w:pStyle w:val="Sraopastraipa"/>
        <w:widowControl w:val="0"/>
        <w:numPr>
          <w:ilvl w:val="0"/>
          <w:numId w:val="12"/>
        </w:numPr>
        <w:spacing w:after="0" w:line="240" w:lineRule="auto"/>
        <w:rPr>
          <w:rFonts w:ascii="Times New Roman" w:hAnsi="Times New Roman" w:cs="Times New Roman"/>
          <w:iCs/>
          <w:lang w:val="lt-LT"/>
        </w:rPr>
      </w:pPr>
      <w:r w:rsidRPr="003A5591">
        <w:rPr>
          <w:rFonts w:ascii="Times New Roman" w:hAnsi="Times New Roman" w:cs="Times New Roman"/>
          <w:iCs/>
          <w:lang w:val="lt-LT"/>
        </w:rPr>
        <w:t>Išplitusio sunkaus išbėrimo, pykinimo, karščiavimo, tam tikrų baltųjų kraujo kūnelių kiekio padidėjimo arba odos ar akių pageltimo (geltos požymiai) derinys su dusuliu, krūtinės skausmu ar diskomfortu, labai sumažėjusiu šlapimo išsiskyrimu bei padidėjusiu troškulio jausmu ir kt. (su gydymu susijusios alergijos požymiai).</w:t>
      </w:r>
    </w:p>
    <w:p w:rsidR="00634910" w:rsidRDefault="00634910" w:rsidP="00634910">
      <w:pPr>
        <w:pStyle w:val="Sraopastraipa"/>
        <w:rPr>
          <w:i/>
          <w:lang w:val="lt-LT"/>
        </w:rPr>
      </w:pPr>
      <w:r w:rsidRPr="003A5591">
        <w:rPr>
          <w:rFonts w:ascii="Times New Roman" w:hAnsi="Times New Roman" w:cs="Times New Roman"/>
          <w:iCs/>
          <w:lang w:val="lt-LT"/>
        </w:rPr>
        <w:t>Lėtinis inkstų nepakankamumas.</w:t>
      </w:r>
    </w:p>
    <w:p w:rsidR="00634910" w:rsidRDefault="00634910" w:rsidP="00634910">
      <w:pPr>
        <w:widowControl w:val="0"/>
        <w:spacing w:after="0" w:line="240" w:lineRule="auto"/>
        <w:rPr>
          <w:rFonts w:ascii="Times New Roman" w:hAnsi="Times New Roman" w:cs="Times New Roman"/>
          <w:lang w:val="lt-LT"/>
        </w:rPr>
      </w:pPr>
      <w:r>
        <w:rPr>
          <w:rFonts w:ascii="Times New Roman" w:hAnsi="Times New Roman" w:cs="Times New Roman"/>
          <w:lang w:val="lt-LT"/>
        </w:rPr>
        <w:t xml:space="preserve">Jeigu yra kuris nors iš pirmiau nurodytų aplinkybių, </w:t>
      </w:r>
      <w:r>
        <w:rPr>
          <w:rFonts w:ascii="Times New Roman" w:hAnsi="Times New Roman" w:cs="Times New Roman"/>
          <w:b/>
          <w:bCs/>
          <w:lang w:val="lt-LT"/>
        </w:rPr>
        <w:t>iš karto pasakykite savo gydytojui</w:t>
      </w:r>
      <w:r>
        <w:rPr>
          <w:rFonts w:ascii="Times New Roman" w:hAnsi="Times New Roman" w:cs="Times New Roman"/>
          <w:lang w:val="lt-LT"/>
        </w:rPr>
        <w:t>.</w:t>
      </w:r>
    </w:p>
    <w:p w:rsidR="00634910" w:rsidRDefault="00634910" w:rsidP="00634910">
      <w:pPr>
        <w:widowControl w:val="0"/>
        <w:spacing w:after="0" w:line="240" w:lineRule="auto"/>
        <w:rPr>
          <w:rFonts w:ascii="Times New Roman" w:hAnsi="Times New Roman" w:cs="Times New Roman"/>
          <w:b/>
          <w:bCs/>
          <w:lang w:val="lt-LT"/>
        </w:rPr>
      </w:pPr>
    </w:p>
    <w:p w:rsidR="00634910" w:rsidRPr="00DA656F" w:rsidRDefault="00634910" w:rsidP="00634910">
      <w:pPr>
        <w:widowControl w:val="0"/>
        <w:spacing w:after="0" w:line="240" w:lineRule="auto"/>
        <w:rPr>
          <w:rFonts w:ascii="Times New Roman" w:hAnsi="Times New Roman" w:cs="Times New Roman"/>
          <w:iCs/>
          <w:lang w:val="lt-LT"/>
        </w:rPr>
      </w:pPr>
      <w:r w:rsidRPr="00DA656F">
        <w:rPr>
          <w:rFonts w:ascii="Times New Roman" w:hAnsi="Times New Roman" w:cs="Times New Roman"/>
          <w:b/>
          <w:iCs/>
          <w:lang w:val="lt-LT"/>
        </w:rPr>
        <w:t>Labai dažnas šalutinis poveikis</w:t>
      </w:r>
      <w:r w:rsidRPr="00DA656F">
        <w:rPr>
          <w:rFonts w:ascii="Times New Roman" w:hAnsi="Times New Roman" w:cs="Times New Roman"/>
          <w:iCs/>
          <w:lang w:val="lt-LT"/>
        </w:rPr>
        <w:t xml:space="preserve"> (gali pasireikšti dažniau kaip 1 iš 10 žmonių)</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Galvos skausmas ar nuovargio jutimas.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Šleikštulys (pykinimas ar vėmimas), viduriavimas arba nevirškinimas.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Išbėrimas.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Mėšlungis arba sąnarių, raumenų ar kaulų skausmas.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lastRenderedPageBreak/>
        <w:t>-</w:t>
      </w:r>
      <w:r>
        <w:rPr>
          <w:rFonts w:ascii="Times New Roman" w:hAnsi="Times New Roman" w:cs="Times New Roman"/>
          <w:lang w:val="lt-LT"/>
        </w:rPr>
        <w:tab/>
        <w:t>Patinimas, pavyzdžiui: aplink kulkšnis arba pabrinkimas apie akis.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Kūno masės didėjimas.</w:t>
      </w:r>
    </w:p>
    <w:p w:rsidR="00634910" w:rsidRDefault="00634910" w:rsidP="00634910">
      <w:pPr>
        <w:widowControl w:val="0"/>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lang w:val="lt-LT"/>
        </w:rPr>
      </w:pPr>
      <w:r>
        <w:rPr>
          <w:rFonts w:ascii="Times New Roman" w:hAnsi="Times New Roman" w:cs="Times New Roman"/>
          <w:lang w:val="lt-LT"/>
        </w:rPr>
        <w:t xml:space="preserve">Jeigu kuris nors šis poveikis yra sunkus, </w:t>
      </w:r>
      <w:r>
        <w:rPr>
          <w:rFonts w:ascii="Times New Roman" w:hAnsi="Times New Roman" w:cs="Times New Roman"/>
          <w:b/>
          <w:bCs/>
          <w:lang w:val="lt-LT"/>
        </w:rPr>
        <w:t>pasakykite savo gydytojui</w:t>
      </w:r>
      <w:r>
        <w:rPr>
          <w:rFonts w:ascii="Times New Roman" w:hAnsi="Times New Roman" w:cs="Times New Roman"/>
          <w:lang w:val="lt-LT"/>
        </w:rPr>
        <w:t>.</w:t>
      </w:r>
    </w:p>
    <w:p w:rsidR="00634910" w:rsidRDefault="00634910" w:rsidP="00634910">
      <w:pPr>
        <w:widowControl w:val="0"/>
        <w:spacing w:after="0" w:line="240" w:lineRule="auto"/>
        <w:rPr>
          <w:rFonts w:ascii="Times New Roman" w:hAnsi="Times New Roman" w:cs="Times New Roman"/>
          <w:lang w:val="lt-LT"/>
        </w:rPr>
      </w:pPr>
    </w:p>
    <w:p w:rsidR="00634910" w:rsidRPr="00DA656F" w:rsidRDefault="00634910" w:rsidP="00634910">
      <w:pPr>
        <w:widowControl w:val="0"/>
        <w:spacing w:after="0" w:line="240" w:lineRule="auto"/>
        <w:rPr>
          <w:rFonts w:ascii="Times New Roman" w:hAnsi="Times New Roman" w:cs="Times New Roman"/>
          <w:iCs/>
          <w:lang w:val="lt-LT"/>
        </w:rPr>
      </w:pPr>
      <w:r w:rsidRPr="00DA656F">
        <w:rPr>
          <w:rFonts w:ascii="Times New Roman" w:hAnsi="Times New Roman" w:cs="Times New Roman"/>
          <w:b/>
          <w:iCs/>
          <w:lang w:val="lt-LT"/>
        </w:rPr>
        <w:t>Dažnas šalutinis poveikis</w:t>
      </w:r>
      <w:r w:rsidRPr="00DA656F">
        <w:rPr>
          <w:rFonts w:ascii="Times New Roman" w:hAnsi="Times New Roman" w:cs="Times New Roman"/>
          <w:iCs/>
          <w:lang w:val="lt-LT"/>
        </w:rPr>
        <w:t xml:space="preserve"> (ne dažniau kaip 1 iš 10 žmonių)</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Anoreksija, kūno masės mažėjimas arba skonio pojūčio sutrikimas.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Apsvaigimo arba silpnumo pojūtis.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Negalėjimas miegoti (nemiga).</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Išskyros iš akių su niežuliu, paraudimu ir patinimu (konjunktyvitas), akių ašarojimas arba miglotas matymas.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Kraujavimas iš nosies.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Pilvo skausmas arba patinimas, dujų kaupimasis virškinimo trakte, rėmuo arba vidurių užkietėjimas.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Niežulys.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Neįprastas plaukų slinkimas arba retėjimas.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Rankų ar kojų nutirpimas.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Burnos opos.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Sąnario skausmas su patinimu.</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Burnos džiūvimas, odos sausumas arba akių sausmė.</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Odos jautrumo sumažėjimas arba padidėjimas.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Veido ir kaklo paraudimas, šaltkrėtis arba naktinis prakaitavimas.</w:t>
      </w:r>
    </w:p>
    <w:p w:rsidR="00634910" w:rsidRDefault="00634910" w:rsidP="00634910">
      <w:pPr>
        <w:widowControl w:val="0"/>
        <w:spacing w:after="0" w:line="240" w:lineRule="auto"/>
        <w:rPr>
          <w:rFonts w:ascii="Times New Roman" w:hAnsi="Times New Roman" w:cs="Times New Roman"/>
          <w:lang w:val="lt-LT"/>
        </w:rPr>
      </w:pPr>
      <w:r>
        <w:rPr>
          <w:rFonts w:ascii="Times New Roman" w:hAnsi="Times New Roman" w:cs="Times New Roman"/>
          <w:lang w:val="lt-LT"/>
        </w:rPr>
        <w:t xml:space="preserve">Jeigu kuris nors šis poveikis yra sunkus, </w:t>
      </w:r>
      <w:r>
        <w:rPr>
          <w:rFonts w:ascii="Times New Roman" w:hAnsi="Times New Roman" w:cs="Times New Roman"/>
          <w:b/>
          <w:bCs/>
          <w:lang w:val="lt-LT"/>
        </w:rPr>
        <w:t>pasakykite savo gydytojui</w:t>
      </w:r>
      <w:r>
        <w:rPr>
          <w:rFonts w:ascii="Times New Roman" w:hAnsi="Times New Roman" w:cs="Times New Roman"/>
          <w:lang w:val="lt-LT"/>
        </w:rPr>
        <w:t>.</w:t>
      </w:r>
    </w:p>
    <w:p w:rsidR="00634910" w:rsidRDefault="00634910" w:rsidP="00634910">
      <w:pPr>
        <w:widowControl w:val="0"/>
        <w:spacing w:after="0" w:line="240" w:lineRule="auto"/>
        <w:rPr>
          <w:rFonts w:ascii="Times New Roman" w:hAnsi="Times New Roman" w:cs="Times New Roman"/>
          <w:lang w:val="lt-LT"/>
        </w:rPr>
      </w:pPr>
    </w:p>
    <w:p w:rsidR="00634910" w:rsidRPr="00DA656F" w:rsidRDefault="00634910" w:rsidP="00634910">
      <w:pPr>
        <w:widowControl w:val="0"/>
        <w:spacing w:after="0" w:line="240" w:lineRule="auto"/>
        <w:rPr>
          <w:rFonts w:ascii="Times New Roman" w:hAnsi="Times New Roman" w:cs="Times New Roman"/>
          <w:iCs/>
          <w:lang w:val="lt-LT"/>
        </w:rPr>
      </w:pPr>
      <w:r w:rsidRPr="00DA656F">
        <w:rPr>
          <w:rFonts w:ascii="Times New Roman" w:hAnsi="Times New Roman" w:cs="Times New Roman"/>
          <w:b/>
          <w:iCs/>
          <w:lang w:val="lt-LT"/>
        </w:rPr>
        <w:t>Dažnis nežinomas</w:t>
      </w:r>
      <w:r w:rsidRPr="00DA656F">
        <w:rPr>
          <w:rFonts w:ascii="Times New Roman" w:hAnsi="Times New Roman" w:cs="Times New Roman"/>
          <w:iCs/>
          <w:lang w:val="lt-LT"/>
        </w:rPr>
        <w:t xml:space="preserve"> (dažnis negali būti įvertintas pagal turimus duomenis)</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Rankų delnų ir kojų padų paraudimas ir (arba) patinimas, kuris gali būti susijęs su dilgčiojimo ir deginančio skausmo jutimu.</w:t>
      </w:r>
    </w:p>
    <w:p w:rsidR="00634910" w:rsidRDefault="00634910" w:rsidP="00634910">
      <w:pPr>
        <w:widowControl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Vaikų ir paauglių augimo sulėtėjimas.</w:t>
      </w:r>
    </w:p>
    <w:p w:rsidR="00634910" w:rsidRDefault="00634910" w:rsidP="00634910">
      <w:pPr>
        <w:widowControl w:val="0"/>
        <w:spacing w:after="0" w:line="240" w:lineRule="auto"/>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lang w:val="lt-LT"/>
        </w:rPr>
      </w:pPr>
      <w:r>
        <w:rPr>
          <w:rFonts w:ascii="Times New Roman" w:hAnsi="Times New Roman" w:cs="Times New Roman"/>
          <w:lang w:val="lt-LT"/>
        </w:rPr>
        <w:t xml:space="preserve">Jeigu kuri nors šis poveikis yra sunkus, </w:t>
      </w:r>
      <w:r>
        <w:rPr>
          <w:rFonts w:ascii="Times New Roman" w:hAnsi="Times New Roman" w:cs="Times New Roman"/>
          <w:b/>
          <w:bCs/>
          <w:lang w:val="lt-LT"/>
        </w:rPr>
        <w:t>pasakykite savo gydytojui</w:t>
      </w:r>
      <w:r>
        <w:rPr>
          <w:rFonts w:ascii="Times New Roman" w:hAnsi="Times New Roman" w:cs="Times New Roman"/>
          <w:lang w:val="lt-LT"/>
        </w:rPr>
        <w:t>.</w:t>
      </w:r>
    </w:p>
    <w:p w:rsidR="00634910" w:rsidRDefault="00634910" w:rsidP="00634910">
      <w:pPr>
        <w:widowControl w:val="0"/>
        <w:spacing w:after="0" w:line="240" w:lineRule="auto"/>
        <w:ind w:right="57"/>
        <w:rPr>
          <w:rFonts w:ascii="Times New Roman" w:hAnsi="Times New Roman" w:cs="Times New Roman"/>
          <w:lang w:val="lt-LT"/>
        </w:rPr>
      </w:pPr>
    </w:p>
    <w:p w:rsidR="00634910" w:rsidRDefault="00634910" w:rsidP="00634910">
      <w:pPr>
        <w:spacing w:after="0" w:line="240" w:lineRule="auto"/>
        <w:ind w:right="57"/>
        <w:rPr>
          <w:rFonts w:ascii="Times New Roman" w:hAnsi="Times New Roman" w:cs="Times New Roman"/>
          <w:b/>
          <w:lang w:val="lt-LT"/>
        </w:rPr>
      </w:pPr>
      <w:r>
        <w:rPr>
          <w:rFonts w:ascii="Times New Roman" w:hAnsi="Times New Roman" w:cs="Times New Roman"/>
          <w:b/>
          <w:noProof/>
          <w:lang w:val="lt-LT"/>
        </w:rPr>
        <w:t>Pranešimas apie šalutinį poveikį</w:t>
      </w:r>
    </w:p>
    <w:p w:rsidR="00634910" w:rsidRDefault="00634910" w:rsidP="00634910">
      <w:pPr>
        <w:widowControl w:val="0"/>
        <w:spacing w:after="0" w:line="240" w:lineRule="auto"/>
        <w:ind w:right="57"/>
        <w:rPr>
          <w:rFonts w:ascii="Times New Roman" w:hAnsi="Times New Roman" w:cs="Times New Roman"/>
          <w:lang w:val="lt-LT"/>
        </w:rPr>
      </w:pPr>
    </w:p>
    <w:p w:rsidR="00634910" w:rsidRDefault="00634910" w:rsidP="00634910">
      <w:pPr>
        <w:widowControl w:val="0"/>
        <w:spacing w:after="0" w:line="240" w:lineRule="auto"/>
        <w:rPr>
          <w:rFonts w:ascii="Times New Roman" w:hAnsi="Times New Roman" w:cs="Times New Roman"/>
          <w:lang w:val="lt-LT"/>
        </w:rPr>
      </w:pPr>
      <w:r w:rsidRPr="005279AF">
        <w:rPr>
          <w:rFonts w:ascii="Times New Roman" w:hAnsi="Times New Roman" w:cs="Times New Roman"/>
          <w:lang w:val="lt-LT"/>
        </w:rPr>
        <w:t>Jeigu pasireiškė šalutinis poveikis, įskaitant šiame l</w:t>
      </w:r>
      <w:r>
        <w:rPr>
          <w:rFonts w:ascii="Times New Roman" w:hAnsi="Times New Roman" w:cs="Times New Roman"/>
          <w:lang w:val="lt-LT"/>
        </w:rPr>
        <w:t>apelyje nenurodytą, pasakykite gydytojui</w:t>
      </w:r>
      <w:r w:rsidRPr="005279AF">
        <w:rPr>
          <w:rFonts w:ascii="Times New Roman" w:hAnsi="Times New Roman" w:cs="Times New Roman"/>
          <w:lang w:val="lt-LT"/>
        </w:rPr>
        <w:t>,</w:t>
      </w:r>
      <w:r>
        <w:rPr>
          <w:rFonts w:ascii="Times New Roman" w:hAnsi="Times New Roman" w:cs="Times New Roman"/>
          <w:lang w:val="lt-LT"/>
        </w:rPr>
        <w:t xml:space="preserve"> </w:t>
      </w:r>
      <w:r w:rsidRPr="005279AF">
        <w:rPr>
          <w:rFonts w:ascii="Times New Roman" w:hAnsi="Times New Roman" w:cs="Times New Roman"/>
          <w:lang w:val="lt-LT"/>
        </w:rPr>
        <w:t>vaistininkui</w:t>
      </w:r>
      <w:r>
        <w:rPr>
          <w:rFonts w:ascii="Times New Roman" w:hAnsi="Times New Roman" w:cs="Times New Roman"/>
          <w:lang w:val="lt-LT"/>
        </w:rPr>
        <w:t xml:space="preserve">  arba slaugytojui</w:t>
      </w:r>
      <w:r w:rsidRPr="005279AF">
        <w:rPr>
          <w:rFonts w:ascii="Times New Roman" w:hAnsi="Times New Roman" w:cs="Times New Roman"/>
          <w:lang w:val="lt-LT"/>
        </w:rPr>
        <w:t>.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34910" w:rsidRDefault="00634910" w:rsidP="00634910">
      <w:pPr>
        <w:widowControl w:val="0"/>
        <w:spacing w:after="0" w:line="240" w:lineRule="auto"/>
        <w:rPr>
          <w:rFonts w:ascii="Times New Roman" w:hAnsi="Times New Roman" w:cs="Times New Roman"/>
          <w:lang w:val="lt-LT"/>
        </w:rPr>
      </w:pPr>
    </w:p>
    <w:p w:rsidR="00634910" w:rsidRDefault="00634910" w:rsidP="00634910">
      <w:pPr>
        <w:widowControl w:val="0"/>
        <w:numPr>
          <w:ilvl w:val="12"/>
          <w:numId w:val="0"/>
        </w:numPr>
        <w:tabs>
          <w:tab w:val="left" w:pos="567"/>
        </w:tabs>
        <w:spacing w:after="0" w:line="240" w:lineRule="auto"/>
        <w:rPr>
          <w:rFonts w:ascii="Times New Roman" w:hAnsi="Times New Roman" w:cs="Times New Roman"/>
          <w:lang w:val="lt-LT" w:eastAsia="en-US"/>
        </w:rPr>
      </w:pPr>
      <w:r>
        <w:rPr>
          <w:rFonts w:ascii="Times New Roman" w:hAnsi="Times New Roman" w:cs="Times New Roman"/>
          <w:b/>
          <w:lang w:val="lt-LT" w:eastAsia="en-US"/>
        </w:rPr>
        <w:t>5.</w:t>
      </w:r>
      <w:r>
        <w:rPr>
          <w:rFonts w:ascii="Times New Roman" w:hAnsi="Times New Roman" w:cs="Times New Roman"/>
          <w:b/>
          <w:lang w:val="lt-LT" w:eastAsia="en-US"/>
        </w:rPr>
        <w:tab/>
        <w:t>Kaip laikyti Imatinib Ranbaxy</w:t>
      </w:r>
    </w:p>
    <w:p w:rsidR="00634910" w:rsidRDefault="00634910" w:rsidP="00634910">
      <w:pPr>
        <w:widowControl w:val="0"/>
        <w:tabs>
          <w:tab w:val="left" w:pos="567"/>
        </w:tabs>
        <w:spacing w:after="0" w:line="240" w:lineRule="auto"/>
        <w:rPr>
          <w:rFonts w:ascii="Times New Roman" w:hAnsi="Times New Roman" w:cs="Times New Roman"/>
          <w:lang w:val="lt-LT" w:eastAsia="en-US"/>
        </w:rPr>
      </w:pPr>
    </w:p>
    <w:p w:rsidR="00634910" w:rsidRDefault="00634910" w:rsidP="00634910">
      <w:pPr>
        <w:pStyle w:val="Sraopastraipa"/>
        <w:widowControl w:val="0"/>
        <w:numPr>
          <w:ilvl w:val="0"/>
          <w:numId w:val="11"/>
        </w:numPr>
        <w:tabs>
          <w:tab w:val="left" w:pos="567"/>
        </w:tabs>
        <w:spacing w:after="0" w:line="240" w:lineRule="auto"/>
        <w:rPr>
          <w:rFonts w:ascii="Times New Roman" w:hAnsi="Times New Roman" w:cs="Times New Roman"/>
          <w:lang w:val="lt-LT" w:eastAsia="en-US"/>
        </w:rPr>
      </w:pPr>
      <w:r w:rsidRPr="00DA656F">
        <w:rPr>
          <w:rFonts w:ascii="Times New Roman" w:hAnsi="Times New Roman" w:cs="Times New Roman"/>
          <w:lang w:val="lt-LT" w:eastAsia="en-US"/>
        </w:rPr>
        <w:t>Šį vaistą laikykite vaikams nepastebimoje ir nepasiekiamoje vietoje.</w:t>
      </w:r>
    </w:p>
    <w:p w:rsidR="00634910" w:rsidRDefault="00634910" w:rsidP="00634910">
      <w:pPr>
        <w:pStyle w:val="Sraopastraipa"/>
        <w:widowControl w:val="0"/>
        <w:numPr>
          <w:ilvl w:val="0"/>
          <w:numId w:val="11"/>
        </w:numPr>
        <w:tabs>
          <w:tab w:val="left" w:pos="567"/>
        </w:tabs>
        <w:spacing w:after="0" w:line="240" w:lineRule="auto"/>
        <w:rPr>
          <w:rFonts w:ascii="Times New Roman" w:hAnsi="Times New Roman" w:cs="Times New Roman"/>
          <w:lang w:val="lt-LT" w:eastAsia="en-US"/>
        </w:rPr>
      </w:pPr>
      <w:r w:rsidRPr="00DA656F">
        <w:rPr>
          <w:rFonts w:ascii="Times New Roman" w:hAnsi="Times New Roman" w:cs="Times New Roman"/>
          <w:lang w:val="lt-LT" w:eastAsia="en-US"/>
        </w:rPr>
        <w:t>Ant kartono dėžutės</w:t>
      </w:r>
      <w:r>
        <w:rPr>
          <w:rFonts w:ascii="Times New Roman" w:hAnsi="Times New Roman" w:cs="Times New Roman"/>
          <w:lang w:val="lt-LT" w:eastAsia="en-US"/>
        </w:rPr>
        <w:t>, buteliuko</w:t>
      </w:r>
      <w:r w:rsidRPr="00DA656F">
        <w:rPr>
          <w:rFonts w:ascii="Times New Roman" w:hAnsi="Times New Roman" w:cs="Times New Roman"/>
          <w:lang w:val="lt-LT" w:eastAsia="en-US"/>
        </w:rPr>
        <w:t xml:space="preserve"> ir lizdinės plokštelės po ,,Tinka iki“ arba ,,EXP“ nurodytam tinkamumo laikui pasibaigus, šio vaisto vartoti negalima. Vaistas tinkamas vartoti iki paskutinės nurodyto mėnesio dienos.</w:t>
      </w:r>
    </w:p>
    <w:p w:rsidR="00634910" w:rsidRDefault="00634910" w:rsidP="00634910">
      <w:pPr>
        <w:pStyle w:val="Sraopastraipa"/>
        <w:widowControl w:val="0"/>
        <w:numPr>
          <w:ilvl w:val="0"/>
          <w:numId w:val="11"/>
        </w:numPr>
        <w:tabs>
          <w:tab w:val="left" w:pos="567"/>
        </w:tabs>
        <w:spacing w:after="0" w:line="240" w:lineRule="auto"/>
        <w:rPr>
          <w:rFonts w:ascii="Times New Roman" w:hAnsi="Times New Roman" w:cs="Times New Roman"/>
          <w:lang w:val="lt-LT" w:eastAsia="en-US"/>
        </w:rPr>
      </w:pPr>
      <w:r w:rsidRPr="00DA656F">
        <w:rPr>
          <w:rFonts w:ascii="Times New Roman" w:hAnsi="Times New Roman" w:cs="Times New Roman"/>
          <w:lang w:val="lt-LT"/>
        </w:rPr>
        <w:t>Šiam vaistui specialių laikymo sąlygų nereikia.</w:t>
      </w:r>
    </w:p>
    <w:p w:rsidR="00634910" w:rsidRDefault="00634910" w:rsidP="00634910">
      <w:pPr>
        <w:pStyle w:val="Sraopastraipa"/>
        <w:widowControl w:val="0"/>
        <w:numPr>
          <w:ilvl w:val="0"/>
          <w:numId w:val="11"/>
        </w:numPr>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rPr>
        <w:t>Nevartokite vaisto, jei pakuotė yra sugadinta arba pažeista.</w:t>
      </w:r>
    </w:p>
    <w:p w:rsidR="00634910" w:rsidRDefault="00634910" w:rsidP="00634910">
      <w:pPr>
        <w:pStyle w:val="Sraopastraipa"/>
        <w:widowControl w:val="0"/>
        <w:numPr>
          <w:ilvl w:val="0"/>
          <w:numId w:val="11"/>
        </w:numPr>
        <w:tabs>
          <w:tab w:val="left" w:pos="567"/>
        </w:tabs>
        <w:spacing w:after="0" w:line="240" w:lineRule="auto"/>
        <w:rPr>
          <w:rFonts w:ascii="Times New Roman" w:hAnsi="Times New Roman" w:cs="Times New Roman"/>
          <w:lang w:val="lt-LT" w:eastAsia="en-US"/>
        </w:rPr>
      </w:pPr>
      <w:r>
        <w:rPr>
          <w:rFonts w:ascii="Times New Roman" w:hAnsi="Times New Roman" w:cs="Times New Roman"/>
          <w:lang w:val="lt-LT"/>
        </w:rPr>
        <w:lastRenderedPageBreak/>
        <w:t>Pirmą kartą atidarius DTPE buteliuką, vaistą reikia suvartoti per 100 dienų.</w:t>
      </w:r>
    </w:p>
    <w:p w:rsidR="00634910" w:rsidRDefault="00634910" w:rsidP="00634910">
      <w:pPr>
        <w:widowControl w:val="0"/>
        <w:tabs>
          <w:tab w:val="left" w:pos="567"/>
        </w:tabs>
        <w:spacing w:after="0" w:line="240" w:lineRule="auto"/>
        <w:rPr>
          <w:rFonts w:ascii="Times New Roman" w:hAnsi="Times New Roman" w:cs="Times New Roman"/>
          <w:lang w:val="lt-LT" w:eastAsia="en-US"/>
        </w:rPr>
      </w:pPr>
    </w:p>
    <w:p w:rsidR="00634910" w:rsidRPr="003A5591" w:rsidRDefault="00634910" w:rsidP="00634910">
      <w:pPr>
        <w:widowControl w:val="0"/>
        <w:tabs>
          <w:tab w:val="left" w:pos="567"/>
        </w:tabs>
        <w:spacing w:after="0" w:line="240" w:lineRule="auto"/>
        <w:rPr>
          <w:rFonts w:ascii="Times New Roman" w:hAnsi="Times New Roman" w:cs="Times New Roman"/>
          <w:lang w:val="lt-LT" w:eastAsia="en-US"/>
        </w:rPr>
      </w:pPr>
      <w:r w:rsidRPr="00EA5AF2">
        <w:rPr>
          <w:rFonts w:ascii="Times New Roman" w:hAnsi="Times New Roman" w:cs="Times New Roman"/>
          <w:lang w:val="lt-LT" w:eastAsia="en-US"/>
        </w:rPr>
        <w:t>Vaistų n</w:t>
      </w:r>
      <w:r>
        <w:rPr>
          <w:rFonts w:ascii="Times New Roman" w:hAnsi="Times New Roman" w:cs="Times New Roman"/>
          <w:lang w:val="lt-LT" w:eastAsia="en-US"/>
        </w:rPr>
        <w:t>egalima išmesti į kanalizaciją arba su buitinėmis atliekomis</w:t>
      </w:r>
      <w:r w:rsidRPr="00EA5AF2">
        <w:rPr>
          <w:rFonts w:ascii="Times New Roman" w:hAnsi="Times New Roman" w:cs="Times New Roman"/>
          <w:lang w:val="lt-LT" w:eastAsia="en-US"/>
        </w:rPr>
        <w:t>. Kaip išmesti nereikalingus vaistus, klauskite vaistininko. Šios priemonės padės apsaugoti aplinką</w:t>
      </w:r>
    </w:p>
    <w:p w:rsidR="00634910" w:rsidRDefault="00634910" w:rsidP="00634910">
      <w:pPr>
        <w:spacing w:after="0" w:line="240" w:lineRule="auto"/>
        <w:rPr>
          <w:rFonts w:ascii="Times New Roman" w:hAnsi="Times New Roman" w:cs="Times New Roman"/>
          <w:lang w:val="lt-LT"/>
        </w:rPr>
      </w:pP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p>
    <w:p w:rsidR="00634910" w:rsidRDefault="00634910" w:rsidP="00634910">
      <w:pPr>
        <w:widowControl w:val="0"/>
        <w:numPr>
          <w:ilvl w:val="12"/>
          <w:numId w:val="0"/>
        </w:numPr>
        <w:tabs>
          <w:tab w:val="left" w:pos="567"/>
        </w:tabs>
        <w:spacing w:after="0" w:line="240" w:lineRule="auto"/>
        <w:rPr>
          <w:rFonts w:ascii="Times New Roman" w:hAnsi="Times New Roman" w:cs="Times New Roman"/>
          <w:b/>
          <w:bCs/>
          <w:lang w:val="lt-LT" w:eastAsia="en-US"/>
        </w:rPr>
      </w:pPr>
      <w:r>
        <w:rPr>
          <w:rFonts w:ascii="Times New Roman" w:hAnsi="Times New Roman" w:cs="Times New Roman"/>
          <w:b/>
          <w:lang w:val="lt-LT" w:eastAsia="en-US"/>
        </w:rPr>
        <w:t>6.</w:t>
      </w:r>
      <w:r>
        <w:rPr>
          <w:rFonts w:ascii="Times New Roman" w:hAnsi="Times New Roman" w:cs="Times New Roman"/>
          <w:b/>
          <w:lang w:val="lt-LT" w:eastAsia="en-US"/>
        </w:rPr>
        <w:tab/>
      </w:r>
      <w:r>
        <w:rPr>
          <w:rFonts w:ascii="Times New Roman" w:hAnsi="Times New Roman" w:cs="Times New Roman"/>
          <w:b/>
          <w:bCs/>
          <w:lang w:val="lt-LT"/>
        </w:rPr>
        <w:t>Pakuotės turinys ir kita informacija</w:t>
      </w: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p>
    <w:p w:rsidR="00634910" w:rsidRPr="00F05413" w:rsidRDefault="00634910" w:rsidP="00634910">
      <w:pPr>
        <w:widowControl w:val="0"/>
        <w:numPr>
          <w:ilvl w:val="12"/>
          <w:numId w:val="0"/>
        </w:numPr>
        <w:spacing w:after="0" w:line="240" w:lineRule="auto"/>
        <w:ind w:right="-2"/>
        <w:rPr>
          <w:rFonts w:ascii="Times New Roman" w:hAnsi="Times New Roman" w:cs="Times New Roman"/>
          <w:b/>
          <w:bCs/>
          <w:lang w:val="lt-LT" w:eastAsia="en-US"/>
        </w:rPr>
      </w:pPr>
      <w:r w:rsidRPr="00F05413">
        <w:rPr>
          <w:rFonts w:ascii="Times New Roman" w:hAnsi="Times New Roman" w:cs="Times New Roman"/>
          <w:b/>
          <w:bCs/>
          <w:lang w:val="lt-LT" w:eastAsia="en-US"/>
        </w:rPr>
        <w:t>Imatinib Ranbaxy sudėtis</w:t>
      </w:r>
    </w:p>
    <w:p w:rsidR="00634910" w:rsidRDefault="00634910" w:rsidP="00634910">
      <w:pPr>
        <w:widowControl w:val="0"/>
        <w:numPr>
          <w:ilvl w:val="0"/>
          <w:numId w:val="7"/>
        </w:numPr>
        <w:tabs>
          <w:tab w:val="left" w:pos="567"/>
        </w:tabs>
        <w:autoSpaceDE w:val="0"/>
        <w:autoSpaceDN w:val="0"/>
        <w:adjustRightInd w:val="0"/>
        <w:spacing w:after="0" w:line="240" w:lineRule="auto"/>
        <w:rPr>
          <w:rFonts w:ascii="Times New Roman" w:hAnsi="Times New Roman" w:cs="Times New Roman"/>
          <w:lang w:val="lt-LT" w:eastAsia="en-US"/>
        </w:rPr>
      </w:pPr>
      <w:r>
        <w:rPr>
          <w:rFonts w:ascii="Times New Roman" w:hAnsi="Times New Roman" w:cs="Times New Roman"/>
          <w:lang w:val="lt-LT" w:eastAsia="en-US"/>
        </w:rPr>
        <w:t xml:space="preserve">Veiklioji medžiaga yra imatinibo mesilatas. </w:t>
      </w:r>
      <w:r w:rsidRPr="002D30EB">
        <w:rPr>
          <w:rFonts w:ascii="Times New Roman" w:hAnsi="Times New Roman" w:cs="Times New Roman"/>
          <w:lang w:val="lt-LT" w:eastAsia="en-US"/>
        </w:rPr>
        <w:t>Kiekvienoje</w:t>
      </w:r>
      <w:r>
        <w:rPr>
          <w:rFonts w:ascii="Times New Roman" w:hAnsi="Times New Roman" w:cs="Times New Roman"/>
          <w:lang w:val="lt-LT" w:eastAsia="en-US"/>
        </w:rPr>
        <w:t xml:space="preserve"> </w:t>
      </w:r>
      <w:r w:rsidRPr="002D30EB">
        <w:rPr>
          <w:rFonts w:ascii="Times New Roman" w:hAnsi="Times New Roman" w:cs="Times New Roman"/>
          <w:lang w:val="lt-LT" w:eastAsia="en-US"/>
        </w:rPr>
        <w:t xml:space="preserve">Imatinib Ranbaxy tabletėje yra 100 mg </w:t>
      </w:r>
      <w:r w:rsidRPr="002D30EB">
        <w:rPr>
          <w:rFonts w:ascii="Times New Roman" w:hAnsi="Times New Roman" w:cs="Times New Roman"/>
          <w:highlight w:val="lightGray"/>
          <w:lang w:val="lt-LT"/>
        </w:rPr>
        <w:t>arba 400 mg</w:t>
      </w:r>
      <w:r>
        <w:rPr>
          <w:rFonts w:ascii="Times New Roman" w:hAnsi="Times New Roman" w:cs="Times New Roman"/>
          <w:lang w:val="lt-LT" w:eastAsia="en-US"/>
        </w:rPr>
        <w:t xml:space="preserve"> </w:t>
      </w:r>
      <w:r w:rsidRPr="002D30EB">
        <w:rPr>
          <w:rFonts w:ascii="Times New Roman" w:hAnsi="Times New Roman" w:cs="Times New Roman"/>
          <w:lang w:val="lt-LT" w:eastAsia="en-US"/>
        </w:rPr>
        <w:t>imatinibo (</w:t>
      </w:r>
      <w:r w:rsidRPr="002D30EB">
        <w:rPr>
          <w:rFonts w:ascii="Times New Roman" w:hAnsi="Times New Roman" w:cs="Times New Roman"/>
          <w:lang w:val="lt-LT"/>
        </w:rPr>
        <w:t>mesilato pavidalu</w:t>
      </w:r>
      <w:r w:rsidRPr="002D30EB">
        <w:rPr>
          <w:rFonts w:ascii="Times New Roman" w:hAnsi="Times New Roman" w:cs="Times New Roman"/>
          <w:lang w:val="lt-LT" w:eastAsia="en-US"/>
        </w:rPr>
        <w:t>).</w:t>
      </w:r>
    </w:p>
    <w:p w:rsidR="00634910" w:rsidRDefault="00634910" w:rsidP="00634910">
      <w:pPr>
        <w:widowControl w:val="0"/>
        <w:numPr>
          <w:ilvl w:val="0"/>
          <w:numId w:val="7"/>
        </w:numPr>
        <w:tabs>
          <w:tab w:val="left" w:pos="567"/>
        </w:tabs>
        <w:autoSpaceDE w:val="0"/>
        <w:autoSpaceDN w:val="0"/>
        <w:adjustRightInd w:val="0"/>
        <w:spacing w:after="0" w:line="240" w:lineRule="auto"/>
        <w:rPr>
          <w:rFonts w:ascii="Times New Roman" w:hAnsi="Times New Roman" w:cs="Times New Roman"/>
          <w:lang w:val="lt-LT" w:eastAsia="en-US"/>
        </w:rPr>
      </w:pPr>
      <w:r>
        <w:rPr>
          <w:rFonts w:ascii="Times New Roman" w:hAnsi="Times New Roman" w:cs="Times New Roman"/>
          <w:lang w:val="lt-LT" w:eastAsia="en-US"/>
        </w:rPr>
        <w:t>Pagalbinė medžiaga yra magnio stearatas.</w:t>
      </w:r>
    </w:p>
    <w:p w:rsidR="00634910" w:rsidRPr="002279C3" w:rsidRDefault="00634910" w:rsidP="00634910">
      <w:pPr>
        <w:widowControl w:val="0"/>
        <w:numPr>
          <w:ilvl w:val="0"/>
          <w:numId w:val="7"/>
        </w:numPr>
        <w:tabs>
          <w:tab w:val="left" w:pos="567"/>
        </w:tabs>
        <w:autoSpaceDE w:val="0"/>
        <w:autoSpaceDN w:val="0"/>
        <w:adjustRightInd w:val="0"/>
        <w:spacing w:after="0" w:line="240" w:lineRule="auto"/>
        <w:rPr>
          <w:rFonts w:ascii="Times New Roman" w:hAnsi="Times New Roman" w:cs="Times New Roman"/>
          <w:lang w:val="lt-LT" w:eastAsia="en-US"/>
        </w:rPr>
      </w:pPr>
      <w:r>
        <w:rPr>
          <w:rFonts w:ascii="Times New Roman" w:hAnsi="Times New Roman" w:cs="Times New Roman"/>
          <w:lang w:val="lt-LT" w:eastAsia="en-US"/>
        </w:rPr>
        <w:t>Tabletės plėvelės sudėtis - raudonasis geležies oksidas</w:t>
      </w:r>
      <w:r>
        <w:rPr>
          <w:rFonts w:ascii="Times New Roman" w:hAnsi="Times New Roman" w:cs="Times New Roman"/>
          <w:lang w:val="lt-LT"/>
        </w:rPr>
        <w:t xml:space="preserve"> (E172), geltonasis </w:t>
      </w:r>
      <w:r>
        <w:rPr>
          <w:rFonts w:ascii="Times New Roman" w:hAnsi="Times New Roman" w:cs="Times New Roman"/>
          <w:lang w:val="lt-LT" w:eastAsia="en-US"/>
        </w:rPr>
        <w:t>geležies oksidas</w:t>
      </w:r>
      <w:r>
        <w:rPr>
          <w:rFonts w:ascii="Times New Roman" w:hAnsi="Times New Roman" w:cs="Times New Roman"/>
          <w:lang w:val="lt-LT"/>
        </w:rPr>
        <w:t xml:space="preserve"> (E172), makrogolis, talkas, h</w:t>
      </w:r>
      <w:r w:rsidRPr="002279C3">
        <w:rPr>
          <w:rFonts w:ascii="Times New Roman" w:hAnsi="Times New Roman" w:cs="Times New Roman"/>
          <w:lang w:val="lt-LT"/>
        </w:rPr>
        <w:t>iprom</w:t>
      </w:r>
      <w:r>
        <w:rPr>
          <w:rFonts w:ascii="Times New Roman" w:hAnsi="Times New Roman" w:cs="Times New Roman"/>
          <w:lang w:val="lt-LT"/>
        </w:rPr>
        <w:t>e</w:t>
      </w:r>
      <w:r w:rsidRPr="002279C3">
        <w:rPr>
          <w:rFonts w:ascii="Times New Roman" w:hAnsi="Times New Roman" w:cs="Times New Roman"/>
          <w:lang w:val="lt-LT"/>
        </w:rPr>
        <w:t xml:space="preserve">liozė </w:t>
      </w:r>
      <w:r>
        <w:rPr>
          <w:rFonts w:ascii="Times New Roman" w:hAnsi="Times New Roman" w:cs="Times New Roman"/>
          <w:lang w:val="lt-LT"/>
        </w:rPr>
        <w:t>(6 cp).</w:t>
      </w:r>
    </w:p>
    <w:p w:rsidR="00634910" w:rsidRDefault="00634910" w:rsidP="00634910">
      <w:pPr>
        <w:widowControl w:val="0"/>
        <w:spacing w:after="0" w:line="240" w:lineRule="auto"/>
        <w:ind w:right="-2"/>
        <w:rPr>
          <w:rFonts w:ascii="Times New Roman" w:hAnsi="Times New Roman" w:cs="Times New Roman"/>
          <w:lang w:val="lt-LT" w:eastAsia="en-US"/>
        </w:rPr>
      </w:pPr>
    </w:p>
    <w:p w:rsidR="00634910" w:rsidRDefault="00634910" w:rsidP="00634910">
      <w:pPr>
        <w:widowControl w:val="0"/>
        <w:numPr>
          <w:ilvl w:val="12"/>
          <w:numId w:val="0"/>
        </w:numPr>
        <w:spacing w:after="0" w:line="240" w:lineRule="auto"/>
        <w:ind w:right="-2"/>
        <w:rPr>
          <w:rFonts w:ascii="Times New Roman" w:hAnsi="Times New Roman" w:cs="Times New Roman"/>
          <w:b/>
          <w:bCs/>
          <w:lang w:val="lt-LT"/>
        </w:rPr>
      </w:pPr>
      <w:r>
        <w:rPr>
          <w:rFonts w:ascii="Times New Roman" w:hAnsi="Times New Roman" w:cs="Times New Roman"/>
          <w:b/>
          <w:bCs/>
          <w:lang w:val="lt-LT" w:eastAsia="en-US"/>
        </w:rPr>
        <w:t xml:space="preserve">Imatinib Ranbaxy </w:t>
      </w:r>
      <w:r>
        <w:rPr>
          <w:rFonts w:ascii="Times New Roman" w:hAnsi="Times New Roman" w:cs="Times New Roman"/>
          <w:b/>
          <w:bCs/>
          <w:lang w:val="lt-LT"/>
        </w:rPr>
        <w:t>išvaizda ir kiekis pakuotėje</w:t>
      </w:r>
    </w:p>
    <w:p w:rsidR="00634910" w:rsidRDefault="00634910" w:rsidP="00634910">
      <w:pPr>
        <w:widowControl w:val="0"/>
        <w:numPr>
          <w:ilvl w:val="12"/>
          <w:numId w:val="0"/>
        </w:numPr>
        <w:spacing w:after="0" w:line="240" w:lineRule="auto"/>
        <w:ind w:right="-2"/>
        <w:rPr>
          <w:rFonts w:ascii="Times New Roman" w:hAnsi="Times New Roman" w:cs="Times New Roman"/>
          <w:b/>
          <w:bCs/>
          <w:lang w:val="lt-LT"/>
        </w:rPr>
      </w:pPr>
    </w:p>
    <w:p w:rsidR="00634910" w:rsidRDefault="00634910" w:rsidP="00634910">
      <w:pPr>
        <w:widowControl w:val="0"/>
        <w:numPr>
          <w:ilvl w:val="12"/>
          <w:numId w:val="0"/>
        </w:numPr>
        <w:spacing w:after="0" w:line="240" w:lineRule="auto"/>
        <w:ind w:right="-2"/>
        <w:rPr>
          <w:rFonts w:ascii="Times New Roman" w:hAnsi="Times New Roman" w:cs="Times New Roman"/>
          <w:b/>
          <w:bCs/>
          <w:lang w:val="lt-LT"/>
        </w:rPr>
      </w:pPr>
      <w:r>
        <w:rPr>
          <w:rFonts w:ascii="Times New Roman" w:hAnsi="Times New Roman" w:cs="Times New Roman"/>
          <w:b/>
          <w:bCs/>
          <w:lang w:val="lt-LT"/>
        </w:rPr>
        <w:t>100 mg</w:t>
      </w:r>
    </w:p>
    <w:p w:rsidR="00634910" w:rsidRPr="00C33A17"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 xml:space="preserve">Tamsiai geltonos – rusvai oranžinės spalvos, plėvele dengtos, apvalios formos tabletės su užrašais „I“ ir „1“ abipus laužimo linijos vienoje pusėje ir lygios kitoje pusėje. Apvalių tablečių skersmuo yra 7,65 mm </w:t>
      </w:r>
      <w:r w:rsidRPr="009A7209">
        <w:rPr>
          <w:rFonts w:ascii="Times New Roman" w:hAnsi="Times New Roman" w:cs="Times New Roman"/>
          <w:lang w:val="lt-LT"/>
        </w:rPr>
        <w:t>±</w:t>
      </w:r>
      <w:r>
        <w:rPr>
          <w:rFonts w:ascii="Times New Roman" w:hAnsi="Times New Roman" w:cs="Times New Roman"/>
          <w:lang w:val="lt-LT"/>
        </w:rPr>
        <w:t xml:space="preserve"> 0,20 mm.</w:t>
      </w:r>
    </w:p>
    <w:p w:rsidR="00634910" w:rsidRDefault="00634910" w:rsidP="00634910">
      <w:pPr>
        <w:widowControl w:val="0"/>
        <w:numPr>
          <w:ilvl w:val="12"/>
          <w:numId w:val="0"/>
        </w:numPr>
        <w:spacing w:after="0" w:line="240" w:lineRule="auto"/>
        <w:ind w:right="-2"/>
        <w:rPr>
          <w:rFonts w:ascii="Times New Roman" w:hAnsi="Times New Roman" w:cs="Times New Roman"/>
          <w:b/>
          <w:bCs/>
          <w:lang w:val="lt-LT"/>
        </w:rPr>
      </w:pPr>
    </w:p>
    <w:p w:rsidR="00634910" w:rsidRPr="00C33A17" w:rsidRDefault="00634910" w:rsidP="00634910">
      <w:pPr>
        <w:widowControl w:val="0"/>
        <w:numPr>
          <w:ilvl w:val="12"/>
          <w:numId w:val="0"/>
        </w:numPr>
        <w:spacing w:after="0" w:line="240" w:lineRule="auto"/>
        <w:ind w:right="-2"/>
        <w:rPr>
          <w:rFonts w:ascii="Times New Roman" w:hAnsi="Times New Roman" w:cs="Times New Roman"/>
          <w:b/>
          <w:highlight w:val="lightGray"/>
          <w:lang w:val="lt-LT"/>
        </w:rPr>
      </w:pPr>
      <w:r w:rsidRPr="00C33A17">
        <w:rPr>
          <w:rFonts w:ascii="Times New Roman" w:hAnsi="Times New Roman" w:cs="Times New Roman"/>
          <w:b/>
          <w:highlight w:val="lightGray"/>
          <w:lang w:val="lt-LT"/>
        </w:rPr>
        <w:t>400 mg</w:t>
      </w:r>
    </w:p>
    <w:p w:rsidR="00634910" w:rsidRPr="00C33A17" w:rsidRDefault="00634910" w:rsidP="00634910">
      <w:pPr>
        <w:spacing w:after="0" w:line="240" w:lineRule="auto"/>
        <w:rPr>
          <w:rFonts w:ascii="Times New Roman" w:hAnsi="Times New Roman" w:cs="Times New Roman"/>
          <w:highlight w:val="lightGray"/>
          <w:lang w:val="lt-LT"/>
        </w:rPr>
      </w:pPr>
      <w:r w:rsidRPr="00C33A17">
        <w:rPr>
          <w:rFonts w:ascii="Times New Roman" w:hAnsi="Times New Roman" w:cs="Times New Roman"/>
          <w:highlight w:val="lightGray"/>
          <w:lang w:val="lt-LT"/>
        </w:rPr>
        <w:t>Tamsiai geltonos – rusvai oranžinės spalvos</w:t>
      </w:r>
      <w:r>
        <w:rPr>
          <w:rFonts w:ascii="Times New Roman" w:hAnsi="Times New Roman" w:cs="Times New Roman"/>
          <w:highlight w:val="lightGray"/>
          <w:lang w:val="lt-LT"/>
        </w:rPr>
        <w:t>,</w:t>
      </w:r>
      <w:r w:rsidRPr="00C33A17">
        <w:rPr>
          <w:rFonts w:ascii="Times New Roman" w:hAnsi="Times New Roman" w:cs="Times New Roman"/>
          <w:highlight w:val="lightGray"/>
          <w:lang w:val="lt-LT"/>
        </w:rPr>
        <w:t xml:space="preserve"> plėvele dengtos</w:t>
      </w:r>
      <w:r>
        <w:rPr>
          <w:rFonts w:ascii="Times New Roman" w:hAnsi="Times New Roman" w:cs="Times New Roman"/>
          <w:highlight w:val="lightGray"/>
          <w:lang w:val="lt-LT"/>
        </w:rPr>
        <w:t>,</w:t>
      </w:r>
      <w:r w:rsidRPr="00C33A17">
        <w:rPr>
          <w:rFonts w:ascii="Times New Roman" w:hAnsi="Times New Roman" w:cs="Times New Roman"/>
          <w:highlight w:val="lightGray"/>
          <w:lang w:val="lt-LT"/>
        </w:rPr>
        <w:t xml:space="preserve"> </w:t>
      </w:r>
      <w:r>
        <w:rPr>
          <w:rFonts w:ascii="Times New Roman" w:hAnsi="Times New Roman" w:cs="Times New Roman"/>
          <w:highlight w:val="lightGray"/>
          <w:lang w:val="lt-LT"/>
        </w:rPr>
        <w:t>ovalios</w:t>
      </w:r>
      <w:r w:rsidRPr="00C33A17">
        <w:rPr>
          <w:rFonts w:ascii="Times New Roman" w:hAnsi="Times New Roman" w:cs="Times New Roman"/>
          <w:highlight w:val="lightGray"/>
          <w:lang w:val="lt-LT"/>
        </w:rPr>
        <w:t xml:space="preserve"> formos tabletės su užrašais „I“ ir „2“ abipus laužimo linijos vienoje pusėje ir lygios kitoje pusėje. Ovalių tablečių ilgis yra 15,15</w:t>
      </w:r>
      <w:r>
        <w:rPr>
          <w:rFonts w:ascii="Times New Roman" w:hAnsi="Times New Roman" w:cs="Times New Roman"/>
          <w:highlight w:val="lightGray"/>
          <w:lang w:val="lt-LT"/>
        </w:rPr>
        <w:t> </w:t>
      </w:r>
      <w:r w:rsidRPr="00C33A17">
        <w:rPr>
          <w:rFonts w:ascii="Times New Roman" w:hAnsi="Times New Roman" w:cs="Times New Roman"/>
          <w:highlight w:val="lightGray"/>
          <w:lang w:val="lt-LT"/>
        </w:rPr>
        <w:t>mm  ± 0,20 mm, o plotis 8,15 mm ± 0,20 mm.</w:t>
      </w:r>
    </w:p>
    <w:p w:rsidR="00634910" w:rsidRDefault="00634910" w:rsidP="00634910">
      <w:pPr>
        <w:spacing w:after="0" w:line="240" w:lineRule="auto"/>
        <w:rPr>
          <w:rFonts w:ascii="Times New Roman" w:hAnsi="Times New Roman" w:cs="Times New Roman"/>
          <w:lang w:val="lt-LT"/>
        </w:rPr>
      </w:pPr>
    </w:p>
    <w:p w:rsidR="00634910" w:rsidRDefault="00634910" w:rsidP="00634910">
      <w:pPr>
        <w:widowControl w:val="0"/>
        <w:numPr>
          <w:ilvl w:val="12"/>
          <w:numId w:val="0"/>
        </w:numPr>
        <w:spacing w:after="0" w:line="240" w:lineRule="auto"/>
        <w:ind w:right="-2"/>
        <w:rPr>
          <w:rFonts w:ascii="Times New Roman" w:hAnsi="Times New Roman" w:cs="Times New Roman"/>
          <w:lang w:val="lt-LT"/>
        </w:rPr>
      </w:pPr>
      <w:r>
        <w:rPr>
          <w:rFonts w:ascii="Times New Roman" w:hAnsi="Times New Roman" w:cs="Times New Roman"/>
          <w:lang w:val="lt-LT"/>
        </w:rPr>
        <w:t xml:space="preserve">Imatinib Ranbaxy 100 mg </w:t>
      </w:r>
      <w:r w:rsidRPr="00132FED">
        <w:rPr>
          <w:rFonts w:ascii="Times New Roman" w:hAnsi="Times New Roman" w:cs="Times New Roman"/>
          <w:highlight w:val="lightGray"/>
          <w:lang w:val="lt-LT"/>
        </w:rPr>
        <w:t>ir 400 mg</w:t>
      </w:r>
      <w:r>
        <w:rPr>
          <w:rFonts w:ascii="Times New Roman" w:hAnsi="Times New Roman" w:cs="Times New Roman"/>
          <w:lang w:val="lt-LT"/>
        </w:rPr>
        <w:t xml:space="preserve"> tabletės yra tiekiamos: </w:t>
      </w:r>
    </w:p>
    <w:p w:rsidR="00634910" w:rsidRPr="00C33A17" w:rsidRDefault="00634910" w:rsidP="00634910">
      <w:pPr>
        <w:widowControl w:val="0"/>
        <w:numPr>
          <w:ilvl w:val="12"/>
          <w:numId w:val="0"/>
        </w:numPr>
        <w:spacing w:after="0" w:line="240" w:lineRule="auto"/>
        <w:ind w:right="-2"/>
        <w:rPr>
          <w:rFonts w:ascii="Times New Roman" w:hAnsi="Times New Roman" w:cs="Times New Roman"/>
          <w:bCs/>
          <w:lang w:val="lt-LT"/>
        </w:rPr>
      </w:pPr>
      <w:r w:rsidRPr="00C33A17">
        <w:rPr>
          <w:rFonts w:ascii="Times New Roman" w:hAnsi="Times New Roman" w:cs="Times New Roman"/>
          <w:bCs/>
          <w:lang w:val="lt-LT"/>
        </w:rPr>
        <w:t>Šaltu būdu formuotų lizdinių plokštelių pakuo</w:t>
      </w:r>
      <w:r>
        <w:rPr>
          <w:rFonts w:ascii="Times New Roman" w:hAnsi="Times New Roman" w:cs="Times New Roman"/>
          <w:bCs/>
          <w:lang w:val="lt-LT"/>
        </w:rPr>
        <w:t>tėse: OPA/Al/PVC/Al.</w:t>
      </w:r>
    </w:p>
    <w:p w:rsidR="00634910" w:rsidRDefault="00634910" w:rsidP="00634910">
      <w:pPr>
        <w:widowControl w:val="0"/>
        <w:numPr>
          <w:ilvl w:val="12"/>
          <w:numId w:val="0"/>
        </w:numPr>
        <w:spacing w:after="0" w:line="240" w:lineRule="auto"/>
        <w:ind w:right="-2"/>
        <w:rPr>
          <w:rFonts w:ascii="Times New Roman" w:hAnsi="Times New Roman" w:cs="Times New Roman"/>
          <w:bCs/>
          <w:lang w:val="lt-LT"/>
        </w:rPr>
      </w:pPr>
      <w:r w:rsidRPr="00C33A17">
        <w:rPr>
          <w:rFonts w:ascii="Times New Roman" w:hAnsi="Times New Roman" w:cs="Times New Roman"/>
          <w:bCs/>
          <w:lang w:val="lt-LT"/>
        </w:rPr>
        <w:t>Šaltu būdu formuotų lizdinių plokštelių pakuotės</w:t>
      </w:r>
      <w:r>
        <w:rPr>
          <w:rFonts w:ascii="Times New Roman" w:hAnsi="Times New Roman" w:cs="Times New Roman"/>
          <w:bCs/>
          <w:lang w:val="lt-LT"/>
        </w:rPr>
        <w:t>e</w:t>
      </w:r>
      <w:r w:rsidRPr="00C33A17">
        <w:rPr>
          <w:rFonts w:ascii="Times New Roman" w:hAnsi="Times New Roman" w:cs="Times New Roman"/>
          <w:bCs/>
          <w:lang w:val="lt-LT"/>
        </w:rPr>
        <w:t xml:space="preserve"> su įterptu sausikliu: </w:t>
      </w:r>
      <w:r>
        <w:rPr>
          <w:rFonts w:ascii="Times New Roman" w:hAnsi="Times New Roman" w:cs="Times New Roman"/>
          <w:bCs/>
          <w:lang w:val="lt-LT"/>
        </w:rPr>
        <w:t>OPA/Al/PE+sausiklis/DTPE/Al.</w:t>
      </w:r>
    </w:p>
    <w:p w:rsidR="00634910" w:rsidRDefault="00634910" w:rsidP="00634910">
      <w:pPr>
        <w:widowControl w:val="0"/>
        <w:numPr>
          <w:ilvl w:val="12"/>
          <w:numId w:val="0"/>
        </w:numPr>
        <w:spacing w:after="0" w:line="240" w:lineRule="auto"/>
        <w:ind w:right="-2"/>
        <w:rPr>
          <w:rFonts w:ascii="Times New Roman" w:hAnsi="Times New Roman" w:cs="Times New Roman"/>
          <w:bCs/>
          <w:lang w:val="lt-LT"/>
        </w:rPr>
      </w:pPr>
      <w:r>
        <w:rPr>
          <w:rFonts w:ascii="Times New Roman" w:hAnsi="Times New Roman" w:cs="Times New Roman"/>
          <w:bCs/>
          <w:lang w:val="lt-LT"/>
        </w:rPr>
        <w:t>Pakuotės po 30, 60, 90 arba 120 plėvele dengtų tablečių.</w:t>
      </w:r>
    </w:p>
    <w:p w:rsidR="00634910" w:rsidRPr="00C33A17" w:rsidRDefault="00634910" w:rsidP="00634910">
      <w:pPr>
        <w:widowControl w:val="0"/>
        <w:numPr>
          <w:ilvl w:val="12"/>
          <w:numId w:val="0"/>
        </w:numPr>
        <w:spacing w:after="0" w:line="240" w:lineRule="auto"/>
        <w:ind w:right="-2"/>
        <w:rPr>
          <w:rFonts w:ascii="Times New Roman" w:hAnsi="Times New Roman" w:cs="Times New Roman"/>
          <w:bCs/>
          <w:lang w:val="lt-LT"/>
        </w:rPr>
      </w:pPr>
    </w:p>
    <w:p w:rsidR="00634910" w:rsidRDefault="00634910" w:rsidP="00634910">
      <w:pPr>
        <w:widowControl w:val="0"/>
        <w:numPr>
          <w:ilvl w:val="12"/>
          <w:numId w:val="0"/>
        </w:numPr>
        <w:spacing w:after="0" w:line="240" w:lineRule="auto"/>
        <w:ind w:right="-2"/>
        <w:rPr>
          <w:rFonts w:ascii="Times New Roman" w:hAnsi="Times New Roman" w:cs="Times New Roman"/>
          <w:bCs/>
          <w:lang w:val="lt-LT"/>
        </w:rPr>
      </w:pPr>
      <w:r w:rsidRPr="00C33A17">
        <w:rPr>
          <w:rFonts w:ascii="Times New Roman" w:hAnsi="Times New Roman" w:cs="Times New Roman"/>
          <w:bCs/>
          <w:lang w:val="lt-LT"/>
        </w:rPr>
        <w:t>DTPE buteliuko pakuotė</w:t>
      </w:r>
      <w:r>
        <w:rPr>
          <w:rFonts w:ascii="Times New Roman" w:hAnsi="Times New Roman" w:cs="Times New Roman"/>
          <w:bCs/>
          <w:lang w:val="lt-LT"/>
        </w:rPr>
        <w:t>:</w:t>
      </w:r>
      <w:r w:rsidRPr="00C33A17">
        <w:rPr>
          <w:rFonts w:ascii="Times New Roman" w:hAnsi="Times New Roman" w:cs="Times New Roman"/>
          <w:bCs/>
          <w:lang w:val="lt-LT"/>
        </w:rPr>
        <w:t xml:space="preserve"> DTPE buteliuk</w:t>
      </w:r>
      <w:r>
        <w:rPr>
          <w:rFonts w:ascii="Times New Roman" w:hAnsi="Times New Roman" w:cs="Times New Roman"/>
          <w:bCs/>
          <w:lang w:val="lt-LT"/>
        </w:rPr>
        <w:t>as</w:t>
      </w:r>
      <w:r w:rsidRPr="00C33A17">
        <w:rPr>
          <w:rFonts w:ascii="Times New Roman" w:hAnsi="Times New Roman" w:cs="Times New Roman"/>
          <w:bCs/>
          <w:lang w:val="lt-LT"/>
        </w:rPr>
        <w:t xml:space="preserve"> su vaikų </w:t>
      </w:r>
      <w:r>
        <w:rPr>
          <w:rFonts w:ascii="Times New Roman" w:hAnsi="Times New Roman" w:cs="Times New Roman"/>
          <w:bCs/>
          <w:lang w:val="lt-LT"/>
        </w:rPr>
        <w:t xml:space="preserve">sunkiai </w:t>
      </w:r>
      <w:r w:rsidRPr="00C33A17">
        <w:rPr>
          <w:rFonts w:ascii="Times New Roman" w:hAnsi="Times New Roman" w:cs="Times New Roman"/>
          <w:bCs/>
          <w:lang w:val="lt-LT"/>
        </w:rPr>
        <w:t>atidaromu uždoriu ir nuplėšiama apsaugine plomba, kuri</w:t>
      </w:r>
      <w:r>
        <w:rPr>
          <w:rFonts w:ascii="Times New Roman" w:hAnsi="Times New Roman" w:cs="Times New Roman"/>
          <w:bCs/>
          <w:lang w:val="lt-LT"/>
        </w:rPr>
        <w:t>ame</w:t>
      </w:r>
      <w:r w:rsidRPr="00C33A17">
        <w:rPr>
          <w:rFonts w:ascii="Times New Roman" w:hAnsi="Times New Roman" w:cs="Times New Roman"/>
          <w:bCs/>
          <w:lang w:val="lt-LT"/>
        </w:rPr>
        <w:t xml:space="preserve"> yra aktyvinto silikagelio paketėlis. Paketėlio su sausikliu vartoti negalima. </w:t>
      </w:r>
    </w:p>
    <w:p w:rsidR="00634910" w:rsidRDefault="00634910" w:rsidP="00634910">
      <w:pPr>
        <w:widowControl w:val="0"/>
        <w:numPr>
          <w:ilvl w:val="12"/>
          <w:numId w:val="0"/>
        </w:numPr>
        <w:spacing w:after="0" w:line="240" w:lineRule="auto"/>
        <w:ind w:right="-2"/>
        <w:rPr>
          <w:rFonts w:ascii="Times New Roman" w:hAnsi="Times New Roman" w:cs="Times New Roman"/>
          <w:bCs/>
          <w:lang w:val="lt-LT"/>
        </w:rPr>
      </w:pPr>
      <w:r w:rsidRPr="00C33A17">
        <w:rPr>
          <w:rFonts w:ascii="Times New Roman" w:hAnsi="Times New Roman" w:cs="Times New Roman"/>
          <w:bCs/>
          <w:lang w:val="lt-LT"/>
        </w:rPr>
        <w:t>Pakuotėje yra 100 plėvele dengtų tablečių.</w:t>
      </w:r>
    </w:p>
    <w:p w:rsidR="00634910" w:rsidRDefault="00634910" w:rsidP="00634910">
      <w:pPr>
        <w:widowControl w:val="0"/>
        <w:numPr>
          <w:ilvl w:val="12"/>
          <w:numId w:val="0"/>
        </w:numPr>
        <w:spacing w:after="0" w:line="240" w:lineRule="auto"/>
        <w:ind w:right="-2"/>
        <w:rPr>
          <w:rFonts w:ascii="Times New Roman" w:hAnsi="Times New Roman" w:cs="Times New Roman"/>
          <w:highlight w:val="yellow"/>
          <w:lang w:val="lt-LT" w:eastAsia="en-US"/>
        </w:rPr>
      </w:pPr>
    </w:p>
    <w:p w:rsidR="00634910" w:rsidRDefault="00634910" w:rsidP="00634910">
      <w:pPr>
        <w:widowControl w:val="0"/>
        <w:numPr>
          <w:ilvl w:val="12"/>
          <w:numId w:val="0"/>
        </w:numPr>
        <w:spacing w:after="0" w:line="240" w:lineRule="auto"/>
        <w:ind w:right="-2"/>
        <w:rPr>
          <w:rFonts w:ascii="Times New Roman" w:hAnsi="Times New Roman" w:cs="Times New Roman"/>
          <w:lang w:val="lt-LT" w:eastAsia="en-US"/>
        </w:rPr>
      </w:pPr>
      <w:r>
        <w:rPr>
          <w:rFonts w:ascii="Times New Roman" w:hAnsi="Times New Roman" w:cs="Times New Roman"/>
          <w:lang w:val="lt-LT" w:eastAsia="en-US"/>
        </w:rPr>
        <w:t>Gali būti tiekiamos ne visų dydžių pakuotės.</w:t>
      </w:r>
    </w:p>
    <w:p w:rsidR="00634910" w:rsidRDefault="00634910" w:rsidP="00634910">
      <w:pPr>
        <w:widowControl w:val="0"/>
        <w:numPr>
          <w:ilvl w:val="12"/>
          <w:numId w:val="0"/>
        </w:numPr>
        <w:spacing w:after="0" w:line="240" w:lineRule="auto"/>
        <w:ind w:right="-2"/>
        <w:rPr>
          <w:rFonts w:ascii="Times New Roman" w:hAnsi="Times New Roman" w:cs="Times New Roman"/>
          <w:b/>
          <w:bCs/>
          <w:lang w:val="lt-LT" w:eastAsia="en-US"/>
        </w:rPr>
      </w:pPr>
    </w:p>
    <w:p w:rsidR="00634910" w:rsidRDefault="00634910" w:rsidP="00634910">
      <w:pPr>
        <w:widowControl w:val="0"/>
        <w:numPr>
          <w:ilvl w:val="12"/>
          <w:numId w:val="0"/>
        </w:numPr>
        <w:spacing w:after="0" w:line="240" w:lineRule="auto"/>
        <w:ind w:right="-2"/>
        <w:rPr>
          <w:rFonts w:ascii="Times New Roman" w:hAnsi="Times New Roman" w:cs="Times New Roman"/>
          <w:b/>
          <w:bCs/>
          <w:lang w:val="lt-LT" w:eastAsia="en-US"/>
        </w:rPr>
      </w:pPr>
      <w:r>
        <w:rPr>
          <w:rFonts w:ascii="Times New Roman" w:hAnsi="Times New Roman" w:cs="Times New Roman"/>
          <w:b/>
          <w:bCs/>
          <w:lang w:val="lt-LT"/>
        </w:rPr>
        <w:t>Registruotojas ir gamintojas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i/>
          <w:iCs/>
          <w:lang w:val="lt-LT"/>
        </w:rPr>
      </w:pPr>
      <w:r>
        <w:rPr>
          <w:rFonts w:ascii="Times New Roman" w:hAnsi="Times New Roman" w:cs="Times New Roman"/>
          <w:i/>
          <w:iCs/>
          <w:lang w:val="lt-LT"/>
        </w:rPr>
        <w:t>Registruotojas</w:t>
      </w: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 xml:space="preserve">Ranbaxy </w:t>
      </w:r>
      <w:r>
        <w:rPr>
          <w:rFonts w:ascii="Times New Roman" w:hAnsi="Times New Roman" w:cs="Times New Roman"/>
          <w:lang w:val="lt-LT"/>
        </w:rPr>
        <w:t>(</w:t>
      </w:r>
      <w:r w:rsidRPr="00AB478E">
        <w:rPr>
          <w:rFonts w:ascii="Times New Roman" w:hAnsi="Times New Roman" w:cs="Times New Roman"/>
          <w:lang w:val="lt-LT"/>
        </w:rPr>
        <w:t>UK</w:t>
      </w:r>
      <w:r>
        <w:rPr>
          <w:rFonts w:ascii="Times New Roman" w:hAnsi="Times New Roman" w:cs="Times New Roman"/>
          <w:lang w:val="lt-LT"/>
        </w:rPr>
        <w:t>)</w:t>
      </w:r>
      <w:r w:rsidRPr="00AB478E">
        <w:rPr>
          <w:rFonts w:ascii="Times New Roman" w:hAnsi="Times New Roman" w:cs="Times New Roman"/>
          <w:lang w:val="lt-LT"/>
        </w:rPr>
        <w:t xml:space="preserve"> Ltd.</w:t>
      </w:r>
    </w:p>
    <w:p w:rsidR="00634910" w:rsidRPr="00AB478E"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Building 4, Chiswick Park</w:t>
      </w: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566 Chiswick High Road</w:t>
      </w:r>
    </w:p>
    <w:p w:rsidR="00634910" w:rsidRPr="00AB478E"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London, W4 5YE</w:t>
      </w:r>
    </w:p>
    <w:p w:rsidR="00634910" w:rsidRDefault="00634910" w:rsidP="00634910">
      <w:pPr>
        <w:spacing w:after="0" w:line="240" w:lineRule="auto"/>
        <w:rPr>
          <w:rFonts w:ascii="Times New Roman" w:hAnsi="Times New Roman" w:cs="Times New Roman"/>
          <w:lang w:val="lt-LT"/>
        </w:rPr>
      </w:pPr>
      <w:r w:rsidRPr="00AB478E">
        <w:rPr>
          <w:rFonts w:ascii="Times New Roman" w:hAnsi="Times New Roman" w:cs="Times New Roman"/>
          <w:lang w:val="lt-LT"/>
        </w:rPr>
        <w:t>Jungtinė Karalystė</w:t>
      </w:r>
    </w:p>
    <w:p w:rsidR="00634910" w:rsidRDefault="00634910" w:rsidP="00634910">
      <w:pPr>
        <w:spacing w:after="0" w:line="240" w:lineRule="auto"/>
        <w:rPr>
          <w:rFonts w:ascii="Times New Roman" w:hAnsi="Times New Roman" w:cs="Times New Roman"/>
          <w:lang w:val="lt-LT"/>
        </w:rPr>
      </w:pPr>
    </w:p>
    <w:p w:rsidR="00634910" w:rsidRDefault="00634910" w:rsidP="00634910">
      <w:pPr>
        <w:widowControl w:val="0"/>
        <w:tabs>
          <w:tab w:val="left" w:pos="567"/>
        </w:tabs>
        <w:spacing w:after="0" w:line="240" w:lineRule="auto"/>
        <w:rPr>
          <w:rFonts w:ascii="Times New Roman" w:hAnsi="Times New Roman" w:cs="Times New Roman"/>
          <w:i/>
          <w:iCs/>
          <w:lang w:val="lt-LT" w:eastAsia="en-US"/>
        </w:rPr>
      </w:pPr>
      <w:r>
        <w:rPr>
          <w:rFonts w:ascii="Times New Roman" w:hAnsi="Times New Roman" w:cs="Times New Roman"/>
          <w:i/>
          <w:iCs/>
          <w:lang w:val="lt-LT"/>
        </w:rPr>
        <w:t>Gamintojas</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S.C. Terapia S.A.</w:t>
      </w:r>
    </w:p>
    <w:p w:rsidR="00634910" w:rsidRDefault="00634910" w:rsidP="00634910">
      <w:pPr>
        <w:spacing w:after="0" w:line="240" w:lineRule="auto"/>
        <w:rPr>
          <w:rFonts w:ascii="Times New Roman" w:hAnsi="Times New Roman" w:cs="Times New Roman"/>
          <w:lang w:val="lt-LT"/>
        </w:rPr>
      </w:pPr>
      <w:r w:rsidRPr="005828AF">
        <w:rPr>
          <w:rFonts w:ascii="Times New Roman" w:hAnsi="Times New Roman" w:cs="Times New Roman"/>
          <w:lang w:val="lt-LT"/>
        </w:rPr>
        <w:t>Str</w:t>
      </w:r>
      <w:r>
        <w:rPr>
          <w:rFonts w:ascii="Times New Roman" w:hAnsi="Times New Roman" w:cs="Times New Roman"/>
          <w:lang w:val="lt-LT"/>
        </w:rPr>
        <w:t>. Fabricii nr. 124</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lastRenderedPageBreak/>
        <w:t>Cluj Napoca, 400 632</w:t>
      </w:r>
    </w:p>
    <w:p w:rsidR="00634910" w:rsidRPr="005828AF"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Rumunija</w:t>
      </w:r>
    </w:p>
    <w:p w:rsidR="00634910" w:rsidRDefault="00634910" w:rsidP="00634910">
      <w:pPr>
        <w:spacing w:after="0" w:line="240" w:lineRule="auto"/>
        <w:rPr>
          <w:rFonts w:ascii="Times New Roman" w:hAnsi="Times New Roman" w:cs="Times New Roman"/>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arba</w:t>
      </w:r>
    </w:p>
    <w:p w:rsidR="00634910" w:rsidRDefault="00634910" w:rsidP="00634910">
      <w:pPr>
        <w:spacing w:after="0" w:line="240" w:lineRule="auto"/>
        <w:rPr>
          <w:rFonts w:ascii="Times New Roman" w:hAnsi="Times New Roman" w:cs="Times New Roman"/>
          <w:lang w:val="lt-LT"/>
        </w:rPr>
      </w:pPr>
    </w:p>
    <w:p w:rsidR="00634910" w:rsidRPr="00EA121B" w:rsidRDefault="00634910" w:rsidP="00634910">
      <w:pPr>
        <w:spacing w:after="0" w:line="240" w:lineRule="auto"/>
        <w:rPr>
          <w:rFonts w:ascii="Times New Roman" w:hAnsi="Times New Roman" w:cs="Times New Roman"/>
          <w:lang w:val="lt-LT"/>
        </w:rPr>
      </w:pPr>
      <w:r w:rsidRPr="00EA121B">
        <w:rPr>
          <w:rFonts w:ascii="Times New Roman" w:hAnsi="Times New Roman" w:cs="Times New Roman"/>
          <w:lang w:val="lt-LT"/>
        </w:rPr>
        <w:t>Sun Pharmaceutical Industries Europe B.V</w:t>
      </w:r>
      <w:r>
        <w:rPr>
          <w:rFonts w:ascii="Times New Roman" w:hAnsi="Times New Roman" w:cs="Times New Roman"/>
          <w:lang w:val="lt-LT"/>
        </w:rPr>
        <w:t>.</w:t>
      </w:r>
    </w:p>
    <w:p w:rsidR="00634910" w:rsidRPr="00EA121B" w:rsidRDefault="00634910" w:rsidP="00634910">
      <w:pPr>
        <w:spacing w:after="0" w:line="240" w:lineRule="auto"/>
        <w:rPr>
          <w:rFonts w:ascii="Times New Roman" w:hAnsi="Times New Roman" w:cs="Times New Roman"/>
          <w:lang w:val="lt-LT"/>
        </w:rPr>
      </w:pPr>
      <w:r w:rsidRPr="00EA121B">
        <w:rPr>
          <w:rFonts w:ascii="Times New Roman" w:hAnsi="Times New Roman" w:cs="Times New Roman"/>
          <w:lang w:val="lt-LT"/>
        </w:rPr>
        <w:t>Polarisavenue 87</w:t>
      </w:r>
    </w:p>
    <w:p w:rsidR="00634910" w:rsidRDefault="00634910" w:rsidP="00634910">
      <w:pPr>
        <w:spacing w:after="0" w:line="240" w:lineRule="auto"/>
        <w:rPr>
          <w:rFonts w:ascii="Times New Roman" w:hAnsi="Times New Roman" w:cs="Times New Roman"/>
          <w:lang w:val="lt-LT"/>
        </w:rPr>
      </w:pPr>
      <w:r w:rsidRPr="00EA121B">
        <w:rPr>
          <w:rFonts w:ascii="Times New Roman" w:hAnsi="Times New Roman" w:cs="Times New Roman"/>
          <w:lang w:val="lt-LT"/>
        </w:rPr>
        <w:t>2132JH, Hoofddorp</w:t>
      </w: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Olandija</w:t>
      </w:r>
    </w:p>
    <w:p w:rsidR="00634910" w:rsidRPr="00C33A17" w:rsidRDefault="00634910" w:rsidP="00634910">
      <w:pPr>
        <w:spacing w:after="0" w:line="240" w:lineRule="auto"/>
        <w:rPr>
          <w:rFonts w:ascii="Times New Roman" w:hAnsi="Times New Roman" w:cs="Times New Roman"/>
          <w:lang w:val="lt-LT"/>
        </w:rPr>
      </w:pPr>
    </w:p>
    <w:p w:rsidR="00634910" w:rsidRDefault="00634910" w:rsidP="00634910">
      <w:pPr>
        <w:widowControl w:val="0"/>
        <w:autoSpaceDE w:val="0"/>
        <w:autoSpaceDN w:val="0"/>
        <w:adjustRightInd w:val="0"/>
        <w:spacing w:after="0" w:line="240" w:lineRule="auto"/>
        <w:rPr>
          <w:rFonts w:ascii="Times New Roman" w:hAnsi="Times New Roman" w:cs="Times New Roman"/>
          <w:b/>
          <w:bCs/>
          <w:lang w:val="lt-LT"/>
        </w:rPr>
      </w:pPr>
    </w:p>
    <w:p w:rsidR="00634910" w:rsidRPr="00887141" w:rsidRDefault="00634910" w:rsidP="00634910">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eastAsia="en-US" w:bidi="ar-SA"/>
        </w:rPr>
      </w:pPr>
      <w:r w:rsidRPr="00887141">
        <w:rPr>
          <w:rFonts w:ascii="Times New Roman" w:eastAsia="Times New Roman" w:hAnsi="Times New Roman" w:cs="Times New Roman"/>
          <w:noProof/>
          <w:snapToGrid w:val="0"/>
          <w:szCs w:val="24"/>
          <w:lang w:val="lt-LT" w:eastAsia="en-US" w:bidi="ar-SA"/>
        </w:rPr>
        <w:t xml:space="preserve">Jeigu apie šį vaistą norite sužinoti daugiau, kreipkitės į vietinį </w:t>
      </w:r>
      <w:r>
        <w:rPr>
          <w:rFonts w:ascii="Times New Roman" w:eastAsia="Times New Roman" w:hAnsi="Times New Roman" w:cs="Times New Roman"/>
          <w:noProof/>
          <w:snapToGrid w:val="0"/>
          <w:szCs w:val="24"/>
          <w:lang w:val="lt-LT" w:eastAsia="en-US" w:bidi="ar-SA"/>
        </w:rPr>
        <w:t>registruotojo</w:t>
      </w:r>
      <w:r w:rsidRPr="00887141">
        <w:rPr>
          <w:rFonts w:ascii="Times New Roman" w:eastAsia="Times New Roman" w:hAnsi="Times New Roman" w:cs="Times New Roman"/>
          <w:noProof/>
          <w:snapToGrid w:val="0"/>
          <w:szCs w:val="24"/>
          <w:lang w:val="lt-LT" w:eastAsia="en-US" w:bidi="ar-SA"/>
        </w:rPr>
        <w:t xml:space="preserve"> atstovą:</w:t>
      </w:r>
    </w:p>
    <w:p w:rsidR="00634910" w:rsidRPr="00887141" w:rsidRDefault="00634910" w:rsidP="00634910">
      <w:pPr>
        <w:tabs>
          <w:tab w:val="left" w:pos="567"/>
        </w:tabs>
        <w:spacing w:after="0" w:line="240" w:lineRule="auto"/>
        <w:rPr>
          <w:rFonts w:ascii="Times New Roman" w:eastAsia="Times New Roman" w:hAnsi="Times New Roman" w:cs="Times New Roman"/>
          <w:noProof/>
          <w:snapToGrid w:val="0"/>
          <w:szCs w:val="24"/>
          <w:lang w:val="lt-LT" w:eastAsia="en-US" w:bidi="ar-SA"/>
        </w:rPr>
      </w:pPr>
    </w:p>
    <w:p w:rsidR="00634910" w:rsidRPr="00132FED" w:rsidRDefault="00634910" w:rsidP="00634910">
      <w:pPr>
        <w:tabs>
          <w:tab w:val="left" w:pos="567"/>
        </w:tabs>
        <w:spacing w:after="0" w:line="240" w:lineRule="auto"/>
        <w:rPr>
          <w:rFonts w:ascii="Times New Roman" w:eastAsia="Times New Roman" w:hAnsi="Times New Roman" w:cs="Times New Roman"/>
          <w:snapToGrid w:val="0"/>
          <w:szCs w:val="24"/>
          <w:lang w:val="lt-LT" w:eastAsia="en-US" w:bidi="ar-SA"/>
        </w:rPr>
      </w:pPr>
      <w:r w:rsidRPr="00132FED">
        <w:rPr>
          <w:rFonts w:ascii="Times New Roman" w:eastAsia="Times New Roman" w:hAnsi="Times New Roman" w:cs="Times New Roman"/>
          <w:snapToGrid w:val="0"/>
          <w:szCs w:val="24"/>
          <w:lang w:val="lt-LT" w:eastAsia="en-US" w:bidi="ar-SA"/>
        </w:rPr>
        <w:t>Ranbaxy LL atstovybė Lietuvoje</w:t>
      </w:r>
    </w:p>
    <w:p w:rsidR="00634910" w:rsidRPr="00132FED" w:rsidRDefault="00634910" w:rsidP="00634910">
      <w:pPr>
        <w:tabs>
          <w:tab w:val="left" w:pos="567"/>
        </w:tabs>
        <w:spacing w:after="0" w:line="240" w:lineRule="auto"/>
        <w:rPr>
          <w:rFonts w:ascii="Times New Roman" w:eastAsia="Times New Roman" w:hAnsi="Times New Roman" w:cs="Times New Roman"/>
          <w:snapToGrid w:val="0"/>
          <w:szCs w:val="24"/>
          <w:lang w:val="lt-LT" w:eastAsia="en-US" w:bidi="ar-SA"/>
        </w:rPr>
      </w:pPr>
      <w:r w:rsidRPr="00132FED">
        <w:rPr>
          <w:rFonts w:ascii="Times New Roman" w:eastAsia="Times New Roman" w:hAnsi="Times New Roman" w:cs="Times New Roman"/>
          <w:snapToGrid w:val="0"/>
          <w:szCs w:val="24"/>
          <w:lang w:val="lt-LT" w:eastAsia="en-US" w:bidi="ar-SA"/>
        </w:rPr>
        <w:t>Taikos pr. 88A</w:t>
      </w:r>
    </w:p>
    <w:p w:rsidR="00634910" w:rsidRPr="00132FED" w:rsidRDefault="00634910" w:rsidP="00634910">
      <w:pPr>
        <w:tabs>
          <w:tab w:val="left" w:pos="567"/>
        </w:tabs>
        <w:spacing w:after="0" w:line="240" w:lineRule="auto"/>
        <w:rPr>
          <w:rFonts w:ascii="Times New Roman" w:eastAsia="Times New Roman" w:hAnsi="Times New Roman" w:cs="Times New Roman"/>
          <w:snapToGrid w:val="0"/>
          <w:szCs w:val="24"/>
          <w:lang w:val="lt-LT" w:eastAsia="en-US" w:bidi="ar-SA"/>
        </w:rPr>
      </w:pPr>
      <w:r w:rsidRPr="00132FED">
        <w:rPr>
          <w:rFonts w:ascii="Times New Roman" w:eastAsia="Times New Roman" w:hAnsi="Times New Roman" w:cs="Times New Roman"/>
          <w:snapToGrid w:val="0"/>
          <w:szCs w:val="24"/>
          <w:lang w:val="lt-LT" w:eastAsia="en-US" w:bidi="ar-SA"/>
        </w:rPr>
        <w:t>LT-49456 Kaunas</w:t>
      </w:r>
    </w:p>
    <w:p w:rsidR="00634910" w:rsidRDefault="00634910" w:rsidP="00634910">
      <w:pPr>
        <w:numPr>
          <w:ilvl w:val="12"/>
          <w:numId w:val="0"/>
        </w:numPr>
        <w:tabs>
          <w:tab w:val="left" w:pos="567"/>
        </w:tabs>
        <w:spacing w:after="0" w:line="260" w:lineRule="exact"/>
        <w:ind w:right="-2"/>
        <w:rPr>
          <w:rFonts w:ascii="Times New Roman" w:eastAsia="Times New Roman" w:hAnsi="Times New Roman" w:cs="Times New Roman"/>
          <w:snapToGrid w:val="0"/>
          <w:szCs w:val="24"/>
          <w:lang w:val="lt-LT" w:eastAsia="en-US" w:bidi="ar-SA"/>
        </w:rPr>
      </w:pPr>
      <w:r w:rsidRPr="00132FED">
        <w:rPr>
          <w:rFonts w:ascii="Times New Roman" w:eastAsia="Times New Roman" w:hAnsi="Times New Roman" w:cs="Times New Roman"/>
          <w:snapToGrid w:val="0"/>
          <w:szCs w:val="24"/>
          <w:lang w:val="lt-LT" w:eastAsia="en-US" w:bidi="ar-SA"/>
        </w:rPr>
        <w:t>Tel. +370 37 311843</w:t>
      </w:r>
    </w:p>
    <w:p w:rsidR="00634910" w:rsidRPr="00887141" w:rsidRDefault="00634910" w:rsidP="00634910">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eastAsia="en-US" w:bidi="ar-SA"/>
        </w:rPr>
      </w:pPr>
    </w:p>
    <w:p w:rsidR="00634910" w:rsidRPr="00887141" w:rsidRDefault="00634910" w:rsidP="00634910">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eastAsia="en-US" w:bidi="ar-SA"/>
        </w:rPr>
      </w:pPr>
      <w:r w:rsidRPr="00DE7903">
        <w:rPr>
          <w:rFonts w:ascii="Times New Roman" w:eastAsia="Times New Roman" w:hAnsi="Times New Roman" w:cs="Times New Roman"/>
          <w:b/>
          <w:snapToGrid w:val="0"/>
          <w:szCs w:val="20"/>
          <w:lang w:val="lt-LT" w:eastAsia="en-US" w:bidi="ar-SA"/>
        </w:rPr>
        <w:t>Šis vaistas EEE valstybėse narėse registruotas tokiais pavadinimais</w:t>
      </w:r>
      <w:r w:rsidRPr="002F72A3">
        <w:rPr>
          <w:rFonts w:ascii="Times New Roman" w:hAnsi="Times New Roman"/>
          <w:b/>
          <w:lang w:val="lt-LT"/>
        </w:rPr>
        <w:t>:</w:t>
      </w:r>
    </w:p>
    <w:p w:rsidR="00634910" w:rsidRDefault="00634910" w:rsidP="00634910">
      <w:pPr>
        <w:widowControl w:val="0"/>
        <w:autoSpaceDE w:val="0"/>
        <w:autoSpaceDN w:val="0"/>
        <w:adjustRightInd w:val="0"/>
        <w:spacing w:after="0" w:line="240" w:lineRule="auto"/>
        <w:rPr>
          <w:rFonts w:ascii="Times New Roman" w:hAnsi="Times New Roman" w:cs="Times New Roman"/>
          <w:bCs/>
          <w:lang w:val="lt-LT"/>
        </w:rPr>
      </w:pPr>
      <w:r>
        <w:rPr>
          <w:rFonts w:ascii="Times New Roman" w:hAnsi="Times New Roman" w:cs="Times New Roman"/>
          <w:bCs/>
          <w:lang w:val="lt-LT"/>
        </w:rPr>
        <w:t xml:space="preserve">Estija: </w:t>
      </w:r>
      <w:r w:rsidRPr="00CF1502">
        <w:rPr>
          <w:rFonts w:ascii="Times New Roman" w:hAnsi="Times New Roman" w:cs="Times New Roman"/>
          <w:bCs/>
          <w:lang w:val="lt-LT"/>
        </w:rPr>
        <w:t>Imatinib Ranbaxy 100 mg &amp; Imatinib Ranbaxy 400</w:t>
      </w:r>
      <w:r>
        <w:rPr>
          <w:rFonts w:ascii="Times New Roman" w:hAnsi="Times New Roman" w:cs="Times New Roman"/>
          <w:bCs/>
          <w:lang w:val="lt-LT"/>
        </w:rPr>
        <w:t xml:space="preserve"> </w:t>
      </w:r>
      <w:r w:rsidRPr="00CF1502">
        <w:rPr>
          <w:rFonts w:ascii="Times New Roman" w:hAnsi="Times New Roman" w:cs="Times New Roman"/>
          <w:bCs/>
          <w:lang w:val="lt-LT"/>
        </w:rPr>
        <w:t>mg</w:t>
      </w:r>
    </w:p>
    <w:p w:rsidR="00634910" w:rsidRPr="00D868EF" w:rsidRDefault="00634910" w:rsidP="00634910">
      <w:pPr>
        <w:widowControl w:val="0"/>
        <w:autoSpaceDE w:val="0"/>
        <w:autoSpaceDN w:val="0"/>
        <w:adjustRightInd w:val="0"/>
        <w:spacing w:after="0" w:line="240" w:lineRule="auto"/>
        <w:rPr>
          <w:rFonts w:ascii="Times New Roman" w:hAnsi="Times New Roman" w:cs="Times New Roman"/>
          <w:bCs/>
          <w:lang w:val="lt-LT"/>
        </w:rPr>
      </w:pPr>
      <w:r>
        <w:rPr>
          <w:rFonts w:ascii="Times New Roman" w:hAnsi="Times New Roman" w:cs="Times New Roman"/>
          <w:bCs/>
          <w:lang w:val="lt-LT"/>
        </w:rPr>
        <w:t xml:space="preserve">Ispanija: </w:t>
      </w:r>
      <w:r w:rsidRPr="00CF1502">
        <w:rPr>
          <w:rFonts w:ascii="Times New Roman" w:hAnsi="Times New Roman" w:cs="Times New Roman"/>
          <w:bCs/>
          <w:lang w:val="lt-LT"/>
        </w:rPr>
        <w:t>Imatinib Ranbaxy 100 mg &amp; 400 mg comprimidos</w:t>
      </w:r>
      <w:r>
        <w:rPr>
          <w:rFonts w:ascii="Times New Roman" w:hAnsi="Times New Roman" w:cs="Times New Roman"/>
          <w:bCs/>
          <w:lang w:val="lt-LT"/>
        </w:rPr>
        <w:t xml:space="preserve"> </w:t>
      </w:r>
      <w:r w:rsidRPr="00CF1502">
        <w:rPr>
          <w:rFonts w:ascii="Times New Roman" w:hAnsi="Times New Roman" w:cs="Times New Roman"/>
          <w:bCs/>
          <w:lang w:val="lt-LT"/>
        </w:rPr>
        <w:t>recubiertos con película EFG</w:t>
      </w:r>
    </w:p>
    <w:p w:rsidR="00634910" w:rsidRPr="00726728" w:rsidRDefault="00634910" w:rsidP="00634910">
      <w:pPr>
        <w:widowControl w:val="0"/>
        <w:autoSpaceDE w:val="0"/>
        <w:autoSpaceDN w:val="0"/>
        <w:adjustRightInd w:val="0"/>
        <w:spacing w:after="0" w:line="240" w:lineRule="auto"/>
        <w:rPr>
          <w:rFonts w:ascii="Times New Roman" w:hAnsi="Times New Roman" w:cs="Times New Roman"/>
          <w:bCs/>
          <w:lang w:val="lt-LT"/>
        </w:rPr>
      </w:pPr>
      <w:r w:rsidRPr="00726728">
        <w:rPr>
          <w:rFonts w:ascii="Times New Roman" w:hAnsi="Times New Roman" w:cs="Times New Roman"/>
          <w:bCs/>
          <w:lang w:val="lt-LT"/>
        </w:rPr>
        <w:t xml:space="preserve">Italija: </w:t>
      </w:r>
      <w:r>
        <w:rPr>
          <w:rFonts w:ascii="Times New Roman" w:eastAsiaTheme="minorHAnsi" w:hAnsi="Times New Roman" w:cs="Times New Roman"/>
          <w:sz w:val="21"/>
          <w:szCs w:val="21"/>
          <w:lang w:val="lt-LT" w:eastAsia="en-US" w:bidi="ar-SA"/>
        </w:rPr>
        <w:t>Imatinib Ranbaxy</w:t>
      </w:r>
    </w:p>
    <w:p w:rsidR="00634910" w:rsidRDefault="00634910" w:rsidP="00634910">
      <w:pPr>
        <w:widowControl w:val="0"/>
        <w:autoSpaceDE w:val="0"/>
        <w:autoSpaceDN w:val="0"/>
        <w:adjustRightInd w:val="0"/>
        <w:spacing w:after="0" w:line="240" w:lineRule="auto"/>
        <w:rPr>
          <w:rFonts w:ascii="Times New Roman" w:hAnsi="Times New Roman" w:cs="Times New Roman"/>
          <w:bCs/>
          <w:lang w:val="lt-LT"/>
        </w:rPr>
      </w:pPr>
      <w:r>
        <w:rPr>
          <w:rFonts w:ascii="Times New Roman" w:hAnsi="Times New Roman" w:cs="Times New Roman"/>
          <w:bCs/>
          <w:lang w:val="lt-LT"/>
        </w:rPr>
        <w:t xml:space="preserve">Latvija: </w:t>
      </w:r>
      <w:r w:rsidRPr="00CF1502">
        <w:rPr>
          <w:rFonts w:ascii="Times New Roman" w:hAnsi="Times New Roman" w:cs="Times New Roman"/>
          <w:bCs/>
          <w:lang w:val="lt-LT"/>
        </w:rPr>
        <w:t>Imatinib Ranbaxy 100 mg &amp; 400 mg</w:t>
      </w:r>
      <w:r>
        <w:rPr>
          <w:rFonts w:ascii="Times New Roman" w:hAnsi="Times New Roman" w:cs="Times New Roman"/>
          <w:bCs/>
          <w:lang w:val="lt-LT"/>
        </w:rPr>
        <w:t xml:space="preserve"> </w:t>
      </w:r>
      <w:r w:rsidRPr="00CF1502">
        <w:rPr>
          <w:rFonts w:ascii="Times New Roman" w:hAnsi="Times New Roman" w:cs="Times New Roman"/>
          <w:bCs/>
          <w:lang w:val="lt-LT"/>
        </w:rPr>
        <w:t>apvalkotās tabletes</w:t>
      </w:r>
    </w:p>
    <w:p w:rsidR="00634910" w:rsidRDefault="00634910" w:rsidP="00634910">
      <w:pPr>
        <w:widowControl w:val="0"/>
        <w:autoSpaceDE w:val="0"/>
        <w:autoSpaceDN w:val="0"/>
        <w:adjustRightInd w:val="0"/>
        <w:spacing w:after="0" w:line="240" w:lineRule="auto"/>
        <w:rPr>
          <w:rFonts w:ascii="Times New Roman" w:hAnsi="Times New Roman" w:cs="Times New Roman"/>
          <w:bCs/>
          <w:lang w:val="lt-LT"/>
        </w:rPr>
      </w:pPr>
      <w:r>
        <w:rPr>
          <w:rFonts w:ascii="Times New Roman" w:hAnsi="Times New Roman" w:cs="Times New Roman"/>
          <w:bCs/>
          <w:lang w:val="lt-LT"/>
        </w:rPr>
        <w:t xml:space="preserve">Prancūzija: </w:t>
      </w:r>
      <w:r w:rsidRPr="00CF1502">
        <w:rPr>
          <w:rFonts w:ascii="Times New Roman" w:hAnsi="Times New Roman" w:cs="Times New Roman"/>
          <w:bCs/>
          <w:lang w:val="lt-LT"/>
        </w:rPr>
        <w:t>IM</w:t>
      </w:r>
      <w:r>
        <w:rPr>
          <w:rFonts w:ascii="Times New Roman" w:hAnsi="Times New Roman" w:cs="Times New Roman"/>
          <w:bCs/>
          <w:lang w:val="lt-LT"/>
        </w:rPr>
        <w:t xml:space="preserve">ATINIB RANBAXY 100 mg &amp; 400 mg, </w:t>
      </w:r>
      <w:r w:rsidRPr="00CF1502">
        <w:rPr>
          <w:rFonts w:ascii="Times New Roman" w:hAnsi="Times New Roman" w:cs="Times New Roman"/>
          <w:bCs/>
          <w:lang w:val="lt-LT"/>
        </w:rPr>
        <w:t>comprimé pelliculé sécable</w:t>
      </w:r>
      <w:r>
        <w:rPr>
          <w:rFonts w:ascii="Times New Roman" w:hAnsi="Times New Roman" w:cs="Times New Roman"/>
          <w:bCs/>
          <w:lang w:val="lt-LT"/>
        </w:rPr>
        <w:t xml:space="preserve"> Rumunija: Imatinib Terapia 100 mg &amp; 400 m </w:t>
      </w:r>
      <w:r w:rsidRPr="00CF1502">
        <w:rPr>
          <w:rFonts w:ascii="Times New Roman" w:hAnsi="Times New Roman" w:cs="Times New Roman"/>
          <w:bCs/>
          <w:lang w:val="lt-LT"/>
        </w:rPr>
        <w:t>comprimate filmate</w:t>
      </w:r>
    </w:p>
    <w:p w:rsidR="00634910" w:rsidRDefault="00634910" w:rsidP="00634910">
      <w:pPr>
        <w:widowControl w:val="0"/>
        <w:autoSpaceDE w:val="0"/>
        <w:autoSpaceDN w:val="0"/>
        <w:adjustRightInd w:val="0"/>
        <w:spacing w:after="0" w:line="240" w:lineRule="auto"/>
        <w:rPr>
          <w:rFonts w:ascii="Times New Roman" w:hAnsi="Times New Roman" w:cs="Times New Roman"/>
          <w:bCs/>
          <w:lang w:val="lt-LT"/>
        </w:rPr>
      </w:pPr>
      <w:r>
        <w:rPr>
          <w:rFonts w:ascii="Times New Roman" w:hAnsi="Times New Roman" w:cs="Times New Roman"/>
          <w:bCs/>
          <w:lang w:val="lt-LT"/>
        </w:rPr>
        <w:t xml:space="preserve">Vengrija: </w:t>
      </w:r>
      <w:r w:rsidRPr="00CF1502">
        <w:rPr>
          <w:rFonts w:ascii="Times New Roman" w:hAnsi="Times New Roman" w:cs="Times New Roman"/>
          <w:bCs/>
          <w:lang w:val="lt-LT"/>
        </w:rPr>
        <w:t>GLEMINHIB 100 mg &amp; 400 mg filmtabletta</w:t>
      </w:r>
    </w:p>
    <w:p w:rsidR="00634910" w:rsidRDefault="00634910" w:rsidP="00634910">
      <w:pPr>
        <w:widowControl w:val="0"/>
        <w:autoSpaceDE w:val="0"/>
        <w:autoSpaceDN w:val="0"/>
        <w:adjustRightInd w:val="0"/>
        <w:spacing w:after="0" w:line="240" w:lineRule="auto"/>
        <w:rPr>
          <w:rFonts w:ascii="Times New Roman" w:hAnsi="Times New Roman" w:cs="Times New Roman"/>
          <w:bCs/>
          <w:lang w:val="lt-LT"/>
        </w:rPr>
      </w:pPr>
      <w:r>
        <w:rPr>
          <w:rFonts w:ascii="Times New Roman" w:hAnsi="Times New Roman" w:cs="Times New Roman"/>
          <w:bCs/>
          <w:lang w:val="lt-LT"/>
        </w:rPr>
        <w:t xml:space="preserve">Vokietija: </w:t>
      </w:r>
      <w:r w:rsidRPr="00CF1502">
        <w:rPr>
          <w:rFonts w:ascii="Times New Roman" w:hAnsi="Times New Roman" w:cs="Times New Roman"/>
          <w:bCs/>
          <w:lang w:val="lt-LT"/>
        </w:rPr>
        <w:t>IMATINIB BASICS 100 mg &amp; 400 mg Filmtabletten</w:t>
      </w:r>
    </w:p>
    <w:p w:rsidR="00634910" w:rsidRPr="00691C15" w:rsidRDefault="00634910" w:rsidP="00634910">
      <w:pPr>
        <w:widowControl w:val="0"/>
        <w:autoSpaceDE w:val="0"/>
        <w:autoSpaceDN w:val="0"/>
        <w:adjustRightInd w:val="0"/>
        <w:spacing w:after="0" w:line="240" w:lineRule="auto"/>
        <w:rPr>
          <w:rFonts w:ascii="Times New Roman" w:hAnsi="Times New Roman"/>
          <w:b/>
          <w:lang w:val="lt-LT"/>
        </w:rPr>
      </w:pPr>
    </w:p>
    <w:p w:rsidR="00634910" w:rsidRDefault="00634910" w:rsidP="00634910">
      <w:pPr>
        <w:widowControl w:val="0"/>
        <w:autoSpaceDE w:val="0"/>
        <w:autoSpaceDN w:val="0"/>
        <w:adjustRightInd w:val="0"/>
        <w:spacing w:after="0" w:line="240" w:lineRule="auto"/>
        <w:rPr>
          <w:rFonts w:ascii="Times New Roman" w:hAnsi="Times New Roman" w:cs="Times New Roman"/>
          <w:b/>
          <w:bCs/>
          <w:lang w:val="lt-LT"/>
        </w:rPr>
      </w:pPr>
    </w:p>
    <w:p w:rsidR="00634910" w:rsidRDefault="00634910" w:rsidP="00634910">
      <w:pPr>
        <w:widowControl w:val="0"/>
        <w:autoSpaceDE w:val="0"/>
        <w:autoSpaceDN w:val="0"/>
        <w:adjustRightInd w:val="0"/>
        <w:spacing w:after="0" w:line="240" w:lineRule="auto"/>
        <w:rPr>
          <w:rFonts w:ascii="Times New Roman" w:hAnsi="Times New Roman" w:cs="Times New Roman"/>
          <w:b/>
          <w:bCs/>
          <w:lang w:val="lt-LT"/>
        </w:rPr>
      </w:pPr>
      <w:r>
        <w:rPr>
          <w:rFonts w:ascii="Times New Roman" w:hAnsi="Times New Roman" w:cs="Times New Roman"/>
          <w:b/>
          <w:bCs/>
          <w:lang w:val="lt-LT"/>
        </w:rPr>
        <w:t>Šis pakuotės lapelis paskutinį kartą peržiūrėtas 2016-09-30.</w:t>
      </w:r>
    </w:p>
    <w:p w:rsidR="00634910" w:rsidRDefault="00634910" w:rsidP="00634910">
      <w:pPr>
        <w:widowControl w:val="0"/>
        <w:autoSpaceDE w:val="0"/>
        <w:autoSpaceDN w:val="0"/>
        <w:adjustRightInd w:val="0"/>
        <w:spacing w:after="0" w:line="240" w:lineRule="auto"/>
        <w:rPr>
          <w:rFonts w:ascii="Times New Roman" w:hAnsi="Times New Roman" w:cs="Times New Roman"/>
          <w:b/>
          <w:bCs/>
          <w:lang w:val="lt-LT"/>
        </w:rPr>
      </w:pPr>
    </w:p>
    <w:p w:rsidR="00634910" w:rsidRDefault="00634910" w:rsidP="00634910">
      <w:pPr>
        <w:widowControl w:val="0"/>
        <w:autoSpaceDE w:val="0"/>
        <w:autoSpaceDN w:val="0"/>
        <w:adjustRightInd w:val="0"/>
        <w:spacing w:after="0" w:line="240" w:lineRule="auto"/>
        <w:rPr>
          <w:rFonts w:ascii="Times New Roman" w:hAnsi="Times New Roman" w:cs="Times New Roman"/>
          <w:b/>
          <w:bCs/>
          <w:lang w:val="lt-LT"/>
        </w:rPr>
      </w:pPr>
    </w:p>
    <w:p w:rsidR="00634910" w:rsidRDefault="00634910" w:rsidP="00634910">
      <w:pPr>
        <w:spacing w:after="0" w:line="240" w:lineRule="auto"/>
        <w:rPr>
          <w:rFonts w:ascii="Times New Roman" w:hAnsi="Times New Roman" w:cs="Times New Roman"/>
          <w:lang w:val="lt-LT"/>
        </w:rPr>
      </w:pPr>
      <w:r>
        <w:rPr>
          <w:rFonts w:ascii="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hAnsi="Times New Roman" w:cs="Times New Roman"/>
          <w:i/>
          <w:lang w:val="lt-LT"/>
        </w:rPr>
        <w:t xml:space="preserve"> </w:t>
      </w:r>
      <w:hyperlink r:id="rId20" w:history="1">
        <w:r>
          <w:rPr>
            <w:rStyle w:val="Hipersaitas"/>
            <w:lang w:val="lt-LT"/>
          </w:rPr>
          <w:t>http://www.vvkt.lt/</w:t>
        </w:r>
      </w:hyperlink>
      <w:r>
        <w:rPr>
          <w:rFonts w:ascii="Times New Roman" w:hAnsi="Times New Roman" w:cs="Times New Roman"/>
          <w:lang w:val="lt-LT"/>
        </w:rPr>
        <w:t>.</w:t>
      </w:r>
    </w:p>
    <w:p w:rsidR="00634910" w:rsidRPr="002200BC" w:rsidRDefault="00634910" w:rsidP="00634910">
      <w:pPr>
        <w:spacing w:after="0" w:line="240" w:lineRule="auto"/>
        <w:rPr>
          <w:lang w:val="lt-LT"/>
        </w:rPr>
      </w:pPr>
      <w:bookmarkStart w:id="51" w:name="_GoBack"/>
      <w:bookmarkEnd w:id="51"/>
      <w:permStart w:id="465241959" w:edGrp="everyone"/>
      <w:permEnd w:id="465241959"/>
    </w:p>
    <w:p w:rsidR="00634910" w:rsidRPr="00572A62" w:rsidRDefault="00634910" w:rsidP="00634910">
      <w:pPr>
        <w:rPr>
          <w:lang w:val="lt-LT"/>
        </w:rPr>
      </w:pPr>
    </w:p>
    <w:p w:rsidR="006010D6" w:rsidRPr="00F82138" w:rsidRDefault="006010D6">
      <w:pPr>
        <w:rPr>
          <w:lang w:val="lt-LT"/>
        </w:rPr>
      </w:pPr>
    </w:p>
    <w:sectPr w:rsidR="006010D6" w:rsidRPr="00F82138" w:rsidSect="00B90C55">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100241"/>
    <w:multiLevelType w:val="hybridMultilevel"/>
    <w:tmpl w:val="AE520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40046F"/>
    <w:multiLevelType w:val="hybridMultilevel"/>
    <w:tmpl w:val="7E90CDD6"/>
    <w:lvl w:ilvl="0" w:tplc="D450914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52A708F"/>
    <w:multiLevelType w:val="hybridMultilevel"/>
    <w:tmpl w:val="DC147908"/>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2C5549E"/>
    <w:multiLevelType w:val="hybridMultilevel"/>
    <w:tmpl w:val="E012AD00"/>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6B515E3"/>
    <w:multiLevelType w:val="hybridMultilevel"/>
    <w:tmpl w:val="E5F0BD4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0134AD3"/>
    <w:multiLevelType w:val="hybridMultilevel"/>
    <w:tmpl w:val="972AD588"/>
    <w:lvl w:ilvl="0" w:tplc="2F2033A2">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3D760A2"/>
    <w:multiLevelType w:val="hybridMultilevel"/>
    <w:tmpl w:val="D900779A"/>
    <w:lvl w:ilvl="0" w:tplc="D450914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10"/>
  </w:num>
  <w:num w:numId="6">
    <w:abstractNumId w:val="6"/>
  </w:num>
  <w:num w:numId="7">
    <w:abstractNumId w:val="7"/>
  </w:num>
  <w:num w:numId="8">
    <w:abstractNumId w:val="9"/>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ReV77V0Q1INp5SJfPgPEVEY0iYTeWfc2brfSRRvt42Hl7iuUOD8hr2Ba69+ccV1QO96db5ITYUX3DirB0ktxw==" w:salt="Wz4/jfPh+UNgh0I6pGALv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16"/>
    <w:rsid w:val="006010D6"/>
    <w:rsid w:val="00634910"/>
    <w:rsid w:val="007C2257"/>
    <w:rsid w:val="00E37916"/>
    <w:rsid w:val="00F55298"/>
    <w:rsid w:val="00F610A6"/>
    <w:rsid w:val="00F82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A73CC6C4-AAE5-48E8-AF5A-1EE2937F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4910"/>
    <w:pPr>
      <w:spacing w:after="200" w:line="276" w:lineRule="auto"/>
    </w:pPr>
    <w:rPr>
      <w:rFonts w:ascii="Calibri" w:eastAsia="SimSun" w:hAnsi="Calibri" w:cs="DokChampa"/>
      <w:lang w:val="en-US" w:eastAsia="zh-CN" w:bidi="lo-LA"/>
    </w:rPr>
  </w:style>
  <w:style w:type="paragraph" w:styleId="Antrat2">
    <w:name w:val="heading 2"/>
    <w:basedOn w:val="prastasis"/>
    <w:next w:val="prastasis"/>
    <w:link w:val="Antrat2Diagrama"/>
    <w:semiHidden/>
    <w:unhideWhenUsed/>
    <w:qFormat/>
    <w:rsid w:val="00634910"/>
    <w:pPr>
      <w:keepNext/>
      <w:tabs>
        <w:tab w:val="left" w:pos="567"/>
      </w:tabs>
      <w:spacing w:before="240" w:after="60" w:line="260" w:lineRule="exact"/>
      <w:outlineLvl w:val="1"/>
    </w:pPr>
    <w:rPr>
      <w:rFonts w:ascii="Helvetica" w:eastAsia="Times New Roman" w:hAnsi="Helvetica" w:cs="Times New Roman"/>
      <w:b/>
      <w:i/>
      <w:sz w:val="24"/>
      <w:szCs w:val="20"/>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634910"/>
    <w:rPr>
      <w:rFonts w:ascii="Helvetica" w:eastAsia="Times New Roman" w:hAnsi="Helvetica" w:cs="Times New Roman"/>
      <w:b/>
      <w:i/>
      <w:sz w:val="24"/>
      <w:szCs w:val="20"/>
      <w:lang w:val="en-GB"/>
    </w:rPr>
  </w:style>
  <w:style w:type="character" w:styleId="Hipersaitas">
    <w:name w:val="Hyperlink"/>
    <w:basedOn w:val="Numatytasispastraiposriftas"/>
    <w:semiHidden/>
    <w:unhideWhenUsed/>
    <w:rsid w:val="00634910"/>
    <w:rPr>
      <w:rFonts w:ascii="Times New Roman" w:hAnsi="Times New Roman" w:cs="Times New Roman" w:hint="default"/>
      <w:color w:val="0000FF"/>
      <w:u w:val="single"/>
    </w:rPr>
  </w:style>
  <w:style w:type="character" w:styleId="Emfaz">
    <w:name w:val="Emphasis"/>
    <w:basedOn w:val="Numatytasispastraiposriftas"/>
    <w:qFormat/>
    <w:rsid w:val="00634910"/>
    <w:rPr>
      <w:rFonts w:ascii="Times New Roman" w:hAnsi="Times New Roman" w:cs="Times New Roman" w:hint="default"/>
      <w:i/>
      <w:iCs w:val="0"/>
    </w:rPr>
  </w:style>
  <w:style w:type="paragraph" w:styleId="prastasiniatinklio">
    <w:name w:val="Normal (Web)"/>
    <w:basedOn w:val="prastasis"/>
    <w:semiHidden/>
    <w:unhideWhenUsed/>
    <w:rsid w:val="00634910"/>
    <w:pPr>
      <w:spacing w:before="100" w:beforeAutospacing="1" w:after="100" w:afterAutospacing="1" w:line="240" w:lineRule="auto"/>
    </w:pPr>
    <w:rPr>
      <w:rFonts w:ascii="Times New Roman" w:hAnsi="Times New Roman" w:cs="Times New Roman"/>
      <w:sz w:val="24"/>
      <w:szCs w:val="24"/>
      <w:lang w:eastAsia="en-US" w:bidi="ar-SA"/>
    </w:rPr>
  </w:style>
  <w:style w:type="character" w:customStyle="1" w:styleId="PuslapioinaostekstasDiagrama">
    <w:name w:val="Puslapio išnašos tekstas Diagrama"/>
    <w:basedOn w:val="Numatytasispastraiposriftas"/>
    <w:link w:val="Puslapioinaostekstas"/>
    <w:semiHidden/>
    <w:rsid w:val="00634910"/>
    <w:rPr>
      <w:rFonts w:ascii="Times New Roman" w:eastAsia="SimSun" w:hAnsi="Times New Roman" w:cs="Times New Roman"/>
      <w:sz w:val="20"/>
      <w:szCs w:val="20"/>
      <w:lang w:eastAsia="lt-LT"/>
    </w:rPr>
  </w:style>
  <w:style w:type="paragraph" w:styleId="Puslapioinaostekstas">
    <w:name w:val="footnote text"/>
    <w:basedOn w:val="prastasis"/>
    <w:link w:val="PuslapioinaostekstasDiagrama"/>
    <w:semiHidden/>
    <w:unhideWhenUsed/>
    <w:rsid w:val="00634910"/>
    <w:pPr>
      <w:spacing w:after="0" w:line="240" w:lineRule="auto"/>
    </w:pPr>
    <w:rPr>
      <w:rFonts w:ascii="Times New Roman" w:hAnsi="Times New Roman" w:cs="Times New Roman"/>
      <w:sz w:val="20"/>
      <w:szCs w:val="20"/>
      <w:lang w:val="lt-LT" w:eastAsia="lt-LT" w:bidi="ar-SA"/>
    </w:rPr>
  </w:style>
  <w:style w:type="character" w:customStyle="1" w:styleId="PuslapioinaostekstasDiagrama1">
    <w:name w:val="Puslapio išnašos tekstas Diagrama1"/>
    <w:basedOn w:val="Numatytasispastraiposriftas"/>
    <w:uiPriority w:val="99"/>
    <w:semiHidden/>
    <w:rsid w:val="00634910"/>
    <w:rPr>
      <w:rFonts w:ascii="Calibri" w:eastAsia="SimSun" w:hAnsi="Calibri" w:cs="DokChampa"/>
      <w:sz w:val="20"/>
      <w:szCs w:val="20"/>
      <w:lang w:val="en-US" w:eastAsia="zh-CN" w:bidi="lo-LA"/>
    </w:rPr>
  </w:style>
  <w:style w:type="character" w:customStyle="1" w:styleId="FootnoteTextChar1">
    <w:name w:val="Footnote Text Char1"/>
    <w:basedOn w:val="Numatytasispastraiposriftas"/>
    <w:uiPriority w:val="99"/>
    <w:semiHidden/>
    <w:rsid w:val="00634910"/>
    <w:rPr>
      <w:rFonts w:ascii="Calibri" w:eastAsia="SimSun" w:hAnsi="Calibri" w:cs="DokChampa"/>
      <w:sz w:val="20"/>
      <w:szCs w:val="20"/>
      <w:lang w:eastAsia="zh-CN" w:bidi="lo-LA"/>
    </w:rPr>
  </w:style>
  <w:style w:type="character" w:customStyle="1" w:styleId="KomentarotekstasDiagrama">
    <w:name w:val="Komentaro tekstas Diagrama"/>
    <w:basedOn w:val="Numatytasispastraiposriftas"/>
    <w:link w:val="Komentarotekstas"/>
    <w:semiHidden/>
    <w:rsid w:val="00634910"/>
    <w:rPr>
      <w:rFonts w:ascii="Times New Roman" w:eastAsia="SimSun" w:hAnsi="Times New Roman" w:cs="Times New Roman"/>
      <w:sz w:val="20"/>
      <w:szCs w:val="20"/>
      <w:lang w:eastAsia="lt-LT"/>
    </w:rPr>
  </w:style>
  <w:style w:type="paragraph" w:styleId="Komentarotekstas">
    <w:name w:val="annotation text"/>
    <w:basedOn w:val="prastasis"/>
    <w:link w:val="KomentarotekstasDiagrama"/>
    <w:semiHidden/>
    <w:unhideWhenUsed/>
    <w:rsid w:val="00634910"/>
    <w:pPr>
      <w:spacing w:after="0" w:line="240" w:lineRule="auto"/>
    </w:pPr>
    <w:rPr>
      <w:rFonts w:ascii="Times New Roman" w:hAnsi="Times New Roman" w:cs="Times New Roman"/>
      <w:sz w:val="20"/>
      <w:szCs w:val="20"/>
      <w:lang w:val="lt-LT" w:eastAsia="lt-LT" w:bidi="ar-SA"/>
    </w:rPr>
  </w:style>
  <w:style w:type="character" w:customStyle="1" w:styleId="KomentarotekstasDiagrama1">
    <w:name w:val="Komentaro tekstas Diagrama1"/>
    <w:basedOn w:val="Numatytasispastraiposriftas"/>
    <w:uiPriority w:val="99"/>
    <w:semiHidden/>
    <w:rsid w:val="00634910"/>
    <w:rPr>
      <w:rFonts w:ascii="Calibri" w:eastAsia="SimSun" w:hAnsi="Calibri" w:cs="DokChampa"/>
      <w:sz w:val="20"/>
      <w:szCs w:val="20"/>
      <w:lang w:val="en-US" w:eastAsia="zh-CN" w:bidi="lo-LA"/>
    </w:rPr>
  </w:style>
  <w:style w:type="character" w:customStyle="1" w:styleId="CommentTextChar1">
    <w:name w:val="Comment Text Char1"/>
    <w:basedOn w:val="Numatytasispastraiposriftas"/>
    <w:uiPriority w:val="99"/>
    <w:semiHidden/>
    <w:rsid w:val="00634910"/>
    <w:rPr>
      <w:rFonts w:ascii="Calibri" w:eastAsia="SimSun" w:hAnsi="Calibri" w:cs="DokChampa"/>
      <w:sz w:val="20"/>
      <w:szCs w:val="20"/>
      <w:lang w:eastAsia="zh-CN" w:bidi="lo-LA"/>
    </w:rPr>
  </w:style>
  <w:style w:type="character" w:customStyle="1" w:styleId="AntratsDiagrama">
    <w:name w:val="Antraštės Diagrama"/>
    <w:basedOn w:val="Numatytasispastraiposriftas"/>
    <w:link w:val="Antrats"/>
    <w:rsid w:val="00634910"/>
    <w:rPr>
      <w:rFonts w:ascii="Times New Roman" w:eastAsia="SimSun" w:hAnsi="Times New Roman" w:cs="Times New Roman"/>
      <w:sz w:val="24"/>
      <w:szCs w:val="24"/>
      <w:lang w:eastAsia="lt-LT"/>
    </w:rPr>
  </w:style>
  <w:style w:type="paragraph" w:styleId="Antrats">
    <w:name w:val="header"/>
    <w:basedOn w:val="prastasis"/>
    <w:link w:val="AntratsDiagrama"/>
    <w:unhideWhenUsed/>
    <w:rsid w:val="00634910"/>
    <w:pPr>
      <w:tabs>
        <w:tab w:val="center" w:pos="4819"/>
        <w:tab w:val="right" w:pos="9638"/>
      </w:tabs>
      <w:spacing w:after="0" w:line="240" w:lineRule="auto"/>
    </w:pPr>
    <w:rPr>
      <w:rFonts w:ascii="Times New Roman" w:hAnsi="Times New Roman" w:cs="Times New Roman"/>
      <w:sz w:val="24"/>
      <w:szCs w:val="24"/>
      <w:lang w:val="lt-LT" w:eastAsia="lt-LT" w:bidi="ar-SA"/>
    </w:rPr>
  </w:style>
  <w:style w:type="character" w:customStyle="1" w:styleId="AntratsDiagrama1">
    <w:name w:val="Antraštės Diagrama1"/>
    <w:basedOn w:val="Numatytasispastraiposriftas"/>
    <w:uiPriority w:val="99"/>
    <w:semiHidden/>
    <w:rsid w:val="00634910"/>
    <w:rPr>
      <w:rFonts w:ascii="Calibri" w:eastAsia="SimSun" w:hAnsi="Calibri" w:cs="DokChampa"/>
      <w:lang w:val="en-US" w:eastAsia="zh-CN" w:bidi="lo-LA"/>
    </w:rPr>
  </w:style>
  <w:style w:type="character" w:customStyle="1" w:styleId="HeaderChar1">
    <w:name w:val="Header Char1"/>
    <w:basedOn w:val="Numatytasispastraiposriftas"/>
    <w:uiPriority w:val="99"/>
    <w:semiHidden/>
    <w:rsid w:val="00634910"/>
    <w:rPr>
      <w:rFonts w:ascii="Calibri" w:eastAsia="SimSun" w:hAnsi="Calibri" w:cs="DokChampa"/>
      <w:lang w:eastAsia="zh-CN" w:bidi="lo-LA"/>
    </w:rPr>
  </w:style>
  <w:style w:type="paragraph" w:styleId="Porat">
    <w:name w:val="footer"/>
    <w:basedOn w:val="prastasis"/>
    <w:link w:val="PoratDiagrama"/>
    <w:unhideWhenUsed/>
    <w:rsid w:val="00634910"/>
    <w:pPr>
      <w:tabs>
        <w:tab w:val="center" w:pos="4819"/>
        <w:tab w:val="right" w:pos="9638"/>
      </w:tabs>
      <w:spacing w:after="0" w:line="240" w:lineRule="auto"/>
    </w:pPr>
    <w:rPr>
      <w:rFonts w:ascii="Times New Roman" w:hAnsi="Times New Roman" w:cs="Times New Roman"/>
      <w:sz w:val="24"/>
      <w:szCs w:val="24"/>
      <w:lang w:val="lt-LT" w:eastAsia="lt-LT" w:bidi="ar-SA"/>
    </w:rPr>
  </w:style>
  <w:style w:type="character" w:customStyle="1" w:styleId="PoratDiagrama">
    <w:name w:val="Poraštė Diagrama"/>
    <w:basedOn w:val="Numatytasispastraiposriftas"/>
    <w:link w:val="Porat"/>
    <w:rsid w:val="00634910"/>
    <w:rPr>
      <w:rFonts w:ascii="Times New Roman" w:eastAsia="SimSun" w:hAnsi="Times New Roman" w:cs="Times New Roman"/>
      <w:sz w:val="24"/>
      <w:szCs w:val="24"/>
      <w:lang w:eastAsia="lt-LT"/>
    </w:rPr>
  </w:style>
  <w:style w:type="character" w:customStyle="1" w:styleId="DokumentoinaostekstasDiagrama">
    <w:name w:val="Dokumento išnašos tekstas Diagrama"/>
    <w:basedOn w:val="Numatytasispastraiposriftas"/>
    <w:link w:val="Dokumentoinaostekstas"/>
    <w:semiHidden/>
    <w:rsid w:val="00634910"/>
    <w:rPr>
      <w:rFonts w:ascii="Times New Roman" w:eastAsia="SimSun" w:hAnsi="Times New Roman" w:cs="Times New Roman"/>
      <w:sz w:val="20"/>
      <w:szCs w:val="20"/>
      <w:lang w:eastAsia="lt-LT"/>
    </w:rPr>
  </w:style>
  <w:style w:type="paragraph" w:styleId="Dokumentoinaostekstas">
    <w:name w:val="endnote text"/>
    <w:basedOn w:val="prastasis"/>
    <w:link w:val="DokumentoinaostekstasDiagrama"/>
    <w:semiHidden/>
    <w:unhideWhenUsed/>
    <w:rsid w:val="00634910"/>
    <w:pPr>
      <w:spacing w:after="0" w:line="240" w:lineRule="auto"/>
    </w:pPr>
    <w:rPr>
      <w:rFonts w:ascii="Times New Roman" w:hAnsi="Times New Roman" w:cs="Times New Roman"/>
      <w:sz w:val="20"/>
      <w:szCs w:val="20"/>
      <w:lang w:val="lt-LT" w:eastAsia="lt-LT" w:bidi="ar-SA"/>
    </w:rPr>
  </w:style>
  <w:style w:type="character" w:customStyle="1" w:styleId="DokumentoinaostekstasDiagrama1">
    <w:name w:val="Dokumento išnašos tekstas Diagrama1"/>
    <w:basedOn w:val="Numatytasispastraiposriftas"/>
    <w:uiPriority w:val="99"/>
    <w:semiHidden/>
    <w:rsid w:val="00634910"/>
    <w:rPr>
      <w:rFonts w:ascii="Calibri" w:eastAsia="SimSun" w:hAnsi="Calibri" w:cs="DokChampa"/>
      <w:sz w:val="20"/>
      <w:szCs w:val="20"/>
      <w:lang w:val="en-US" w:eastAsia="zh-CN" w:bidi="lo-LA"/>
    </w:rPr>
  </w:style>
  <w:style w:type="character" w:customStyle="1" w:styleId="EndnoteTextChar1">
    <w:name w:val="Endnote Text Char1"/>
    <w:basedOn w:val="Numatytasispastraiposriftas"/>
    <w:uiPriority w:val="99"/>
    <w:semiHidden/>
    <w:rsid w:val="00634910"/>
    <w:rPr>
      <w:rFonts w:ascii="Calibri" w:eastAsia="SimSun" w:hAnsi="Calibri" w:cs="DokChampa"/>
      <w:sz w:val="20"/>
      <w:szCs w:val="20"/>
      <w:lang w:eastAsia="zh-CN" w:bidi="lo-LA"/>
    </w:rPr>
  </w:style>
  <w:style w:type="character" w:customStyle="1" w:styleId="KomentarotemaDiagrama">
    <w:name w:val="Komentaro tema Diagrama"/>
    <w:basedOn w:val="KomentarotekstasDiagrama"/>
    <w:link w:val="Komentarotema"/>
    <w:semiHidden/>
    <w:rsid w:val="00634910"/>
    <w:rPr>
      <w:rFonts w:ascii="Times New Roman" w:eastAsia="SimSun"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unhideWhenUsed/>
    <w:rsid w:val="00634910"/>
    <w:rPr>
      <w:b/>
      <w:bCs/>
    </w:rPr>
  </w:style>
  <w:style w:type="character" w:customStyle="1" w:styleId="KomentarotemaDiagrama1">
    <w:name w:val="Komentaro tema Diagrama1"/>
    <w:basedOn w:val="KomentarotekstasDiagrama1"/>
    <w:uiPriority w:val="99"/>
    <w:semiHidden/>
    <w:rsid w:val="00634910"/>
    <w:rPr>
      <w:rFonts w:ascii="Calibri" w:eastAsia="SimSun" w:hAnsi="Calibri" w:cs="DokChampa"/>
      <w:b/>
      <w:bCs/>
      <w:sz w:val="20"/>
      <w:szCs w:val="20"/>
      <w:lang w:val="en-US" w:eastAsia="zh-CN" w:bidi="lo-LA"/>
    </w:rPr>
  </w:style>
  <w:style w:type="character" w:customStyle="1" w:styleId="CommentSubjectChar1">
    <w:name w:val="Comment Subject Char1"/>
    <w:basedOn w:val="CommentTextChar1"/>
    <w:uiPriority w:val="99"/>
    <w:semiHidden/>
    <w:rsid w:val="00634910"/>
    <w:rPr>
      <w:rFonts w:ascii="Calibri" w:eastAsia="SimSun" w:hAnsi="Calibri" w:cs="DokChampa"/>
      <w:b/>
      <w:bCs/>
      <w:sz w:val="20"/>
      <w:szCs w:val="20"/>
      <w:lang w:eastAsia="zh-CN" w:bidi="lo-LA"/>
    </w:rPr>
  </w:style>
  <w:style w:type="character" w:customStyle="1" w:styleId="DebesliotekstasDiagrama">
    <w:name w:val="Debesėlio tekstas Diagrama"/>
    <w:basedOn w:val="Numatytasispastraiposriftas"/>
    <w:link w:val="Debesliotekstas"/>
    <w:semiHidden/>
    <w:rsid w:val="00634910"/>
    <w:rPr>
      <w:rFonts w:ascii="Tahoma" w:eastAsia="SimSun" w:hAnsi="Tahoma" w:cs="Times New Roman"/>
      <w:sz w:val="16"/>
      <w:szCs w:val="16"/>
      <w:lang w:eastAsia="lt-LT"/>
    </w:rPr>
  </w:style>
  <w:style w:type="paragraph" w:styleId="Debesliotekstas">
    <w:name w:val="Balloon Text"/>
    <w:basedOn w:val="prastasis"/>
    <w:link w:val="DebesliotekstasDiagrama"/>
    <w:semiHidden/>
    <w:unhideWhenUsed/>
    <w:rsid w:val="00634910"/>
    <w:pPr>
      <w:spacing w:after="0" w:line="240" w:lineRule="auto"/>
    </w:pPr>
    <w:rPr>
      <w:rFonts w:ascii="Tahoma" w:hAnsi="Tahoma" w:cs="Times New Roman"/>
      <w:sz w:val="16"/>
      <w:szCs w:val="16"/>
      <w:lang w:val="lt-LT" w:eastAsia="lt-LT" w:bidi="ar-SA"/>
    </w:rPr>
  </w:style>
  <w:style w:type="character" w:customStyle="1" w:styleId="DebesliotekstasDiagrama1">
    <w:name w:val="Debesėlio tekstas Diagrama1"/>
    <w:basedOn w:val="Numatytasispastraiposriftas"/>
    <w:uiPriority w:val="99"/>
    <w:semiHidden/>
    <w:rsid w:val="00634910"/>
    <w:rPr>
      <w:rFonts w:ascii="Segoe UI" w:eastAsia="SimSun" w:hAnsi="Segoe UI" w:cs="Segoe UI"/>
      <w:sz w:val="18"/>
      <w:szCs w:val="18"/>
      <w:lang w:val="en-US" w:eastAsia="zh-CN" w:bidi="lo-LA"/>
    </w:rPr>
  </w:style>
  <w:style w:type="character" w:customStyle="1" w:styleId="BalloonTextChar1">
    <w:name w:val="Balloon Text Char1"/>
    <w:basedOn w:val="Numatytasispastraiposriftas"/>
    <w:uiPriority w:val="99"/>
    <w:semiHidden/>
    <w:rsid w:val="00634910"/>
    <w:rPr>
      <w:rFonts w:ascii="Tahoma" w:eastAsia="SimSun" w:hAnsi="Tahoma" w:cs="Tahoma"/>
      <w:sz w:val="16"/>
      <w:szCs w:val="16"/>
      <w:lang w:eastAsia="zh-CN" w:bidi="lo-LA"/>
    </w:rPr>
  </w:style>
  <w:style w:type="paragraph" w:customStyle="1" w:styleId="Default">
    <w:name w:val="Default"/>
    <w:rsid w:val="00634910"/>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character" w:customStyle="1" w:styleId="hps">
    <w:name w:val="hps"/>
    <w:rsid w:val="00634910"/>
  </w:style>
  <w:style w:type="character" w:customStyle="1" w:styleId="hpsalt-edited">
    <w:name w:val="hps alt-edited"/>
    <w:rsid w:val="00634910"/>
  </w:style>
  <w:style w:type="paragraph" w:styleId="Sraopastraipa">
    <w:name w:val="List Paragraph"/>
    <w:basedOn w:val="prastasis"/>
    <w:uiPriority w:val="34"/>
    <w:qFormat/>
    <w:rsid w:val="00634910"/>
    <w:pPr>
      <w:ind w:left="720"/>
      <w:contextualSpacing/>
    </w:pPr>
  </w:style>
  <w:style w:type="table" w:styleId="Lentelstinklelis">
    <w:name w:val="Table Grid"/>
    <w:basedOn w:val="prastojilentel"/>
    <w:rsid w:val="006349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634910"/>
    <w:rPr>
      <w:sz w:val="16"/>
      <w:szCs w:val="16"/>
    </w:rPr>
  </w:style>
  <w:style w:type="paragraph" w:styleId="Pataisymai">
    <w:name w:val="Revision"/>
    <w:hidden/>
    <w:uiPriority w:val="99"/>
    <w:semiHidden/>
    <w:rsid w:val="00634910"/>
    <w:pPr>
      <w:spacing w:after="0" w:line="240" w:lineRule="auto"/>
    </w:pPr>
    <w:rPr>
      <w:rFonts w:ascii="Calibri" w:eastAsia="SimSun" w:hAnsi="Calibri" w:cs="DokChampa"/>
      <w:lang w:val="en-US"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image" Target="media/image4.png"/><Relationship Id="rId10" Type="http://schemas.openxmlformats.org/officeDocument/2006/relationships/oleObject" Target="embeddings/oleObject4.bin"/><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76362</Words>
  <Characters>43527</Characters>
  <Application>Microsoft Office Word</Application>
  <DocSecurity>8</DocSecurity>
  <Lines>362</Lines>
  <Paragraphs>239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2016-10-07T12:15:00Z</dcterms:created>
  <dcterms:modified xsi:type="dcterms:W3CDTF">2016-10-07T12:16:00Z</dcterms:modified>
</cp:coreProperties>
</file>