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8C8" w:rsidRDefault="004548C8" w:rsidP="004548C8">
      <w:pPr>
        <w:widowControl w:val="0"/>
        <w:ind w:left="0" w:firstLine="0"/>
        <w:jc w:val="center"/>
        <w:outlineLvl w:val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Pakuotės lapelis: informacija pacientui</w:t>
      </w:r>
    </w:p>
    <w:p w:rsidR="004548C8" w:rsidRDefault="004548C8" w:rsidP="004548C8">
      <w:pPr>
        <w:widowControl w:val="0"/>
        <w:ind w:left="0" w:firstLine="0"/>
        <w:jc w:val="center"/>
        <w:outlineLvl w:val="0"/>
        <w:rPr>
          <w:rFonts w:ascii="Times New Roman" w:eastAsia="Calibri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jc w:val="center"/>
        <w:rPr>
          <w:rFonts w:ascii="Times New Roman" w:eastAsia="Calibri" w:hAnsi="Times New Roman" w:cs="Times New Roman"/>
          <w:b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500 mg/125 mg plėvele dengtos tabletės</w:t>
      </w:r>
    </w:p>
    <w:p w:rsidR="004548C8" w:rsidRDefault="004548C8" w:rsidP="004548C8">
      <w:pPr>
        <w:widowControl w:val="0"/>
        <w:numPr>
          <w:ilvl w:val="12"/>
          <w:numId w:val="0"/>
        </w:numPr>
        <w:jc w:val="center"/>
        <w:rPr>
          <w:rFonts w:ascii="Times New Roman" w:eastAsia="Calibri" w:hAnsi="Times New Roman" w:cs="Times New Roman"/>
          <w:b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b/>
          <w:szCs w:val="20"/>
          <w:highlight w:val="lightGray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highlight w:val="lightGray"/>
          <w:lang w:eastAsia="sl-SI"/>
        </w:rPr>
        <w:t xml:space="preserve"> 875 mg/125 mg plėvele dengtos tabletės</w:t>
      </w:r>
    </w:p>
    <w:p w:rsidR="004548C8" w:rsidRDefault="004548C8" w:rsidP="004548C8">
      <w:pPr>
        <w:widowControl w:val="0"/>
        <w:numPr>
          <w:ilvl w:val="12"/>
          <w:numId w:val="0"/>
        </w:numPr>
        <w:jc w:val="center"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amoksicilinas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ir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rūgštis</w:t>
      </w:r>
    </w:p>
    <w:p w:rsidR="004548C8" w:rsidRDefault="004548C8" w:rsidP="004548C8">
      <w:pPr>
        <w:widowControl w:val="0"/>
        <w:ind w:left="0" w:firstLine="0"/>
        <w:jc w:val="center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Atidžiai perskaitykite visą šį lapelį, prieš pradėdami vartoti vaistą, nes jame pateikiama Jums svarbi informacija.</w:t>
      </w:r>
    </w:p>
    <w:p w:rsidR="004548C8" w:rsidRDefault="004548C8" w:rsidP="004548C8">
      <w:pPr>
        <w:widowControl w:val="0"/>
        <w:numPr>
          <w:ilvl w:val="0"/>
          <w:numId w:val="1"/>
        </w:numPr>
        <w:ind w:left="567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Neišmeskite šio lapelio, nes vėl gali prireikti jį perskaityti.</w:t>
      </w:r>
    </w:p>
    <w:p w:rsidR="004548C8" w:rsidRDefault="004548C8" w:rsidP="004548C8">
      <w:pPr>
        <w:widowControl w:val="0"/>
        <w:numPr>
          <w:ilvl w:val="0"/>
          <w:numId w:val="1"/>
        </w:numPr>
        <w:ind w:left="567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kiltų daugiau klausimų, kreipkitės į gydytoją arba vaistininką.</w:t>
      </w:r>
    </w:p>
    <w:p w:rsidR="004548C8" w:rsidRDefault="004548C8" w:rsidP="004548C8">
      <w:pPr>
        <w:widowControl w:val="0"/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Šis vaistas skirtas tik Jums, todėl kitiems žmonėms jo duoti negalima. Vaistas gali jiems pakenkti (net tiems, kurių ligos požymiai yra tokie patys kaip Jūsų).</w:t>
      </w:r>
    </w:p>
    <w:p w:rsidR="004548C8" w:rsidRDefault="004548C8" w:rsidP="004548C8">
      <w:pPr>
        <w:widowControl w:val="0"/>
        <w:numPr>
          <w:ilvl w:val="0"/>
          <w:numId w:val="1"/>
        </w:numPr>
        <w:ind w:left="567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pasireiškė šalutinis poveikis (net jeigu jis šiame lapelyje nenurodytas), kreipkitės į gydytoją arba vaistininką. Žr. 4 skyrių.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Apie ką rašoma šiame lapelyje?</w:t>
      </w: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1.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 xml:space="preserve">Kas yra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ir kam jis vartojamas</w:t>
      </w: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2.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 xml:space="preserve">Kas žinotina prieš vartojant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3.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 xml:space="preserve">Kaip vartoti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4.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>Galimas šalutinis poveikis</w:t>
      </w: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5.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 xml:space="preserve">Kaip laikyti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6.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>Pakuotės turinys ir kita informacija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spacing w:line="260" w:lineRule="exact"/>
        <w:ind w:right="-2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1.</w:t>
      </w:r>
      <w:r>
        <w:rPr>
          <w:rFonts w:ascii="Times New Roman" w:eastAsia="Calibri" w:hAnsi="Times New Roman" w:cs="Times New Roman"/>
          <w:b/>
          <w:szCs w:val="20"/>
          <w:lang w:eastAsia="sl-SI"/>
        </w:rPr>
        <w:tab/>
        <w:t xml:space="preserve">Kas yra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ir kam jis vartojamas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yra antibiotikas, kuris naikina infekcines ligas sukeliančias bakterijas. Vaisto sudėtyje yra dviejų skirtingų veikliųjų medžiagų, vadinamų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amoksicilinu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ir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rūgštimi.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Amoksicilinas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priklauso vaistų, vadinamų penicilinais, grupei. Kartais šis vaistas gali neveikti (tapti neveiksmingu). Kita veiklioji medžiaga (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rūgštis) neleidžia taip atsitikti.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gydomos išvardytos suaugusiųjų ir vaikų infekcinės ligos:</w:t>
      </w:r>
    </w:p>
    <w:p w:rsidR="004548C8" w:rsidRDefault="004548C8" w:rsidP="004548C8">
      <w:pPr>
        <w:widowControl w:val="0"/>
        <w:ind w:left="540" w:hanging="54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-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>vidurinės ausies ir ančių infekcinės ligos;</w:t>
      </w:r>
    </w:p>
    <w:p w:rsidR="004548C8" w:rsidRDefault="004548C8" w:rsidP="004548C8">
      <w:pPr>
        <w:widowControl w:val="0"/>
        <w:ind w:left="540" w:hanging="54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-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>kvėpavimo takų infekcinės ligos;</w:t>
      </w:r>
    </w:p>
    <w:p w:rsidR="004548C8" w:rsidRDefault="004548C8" w:rsidP="004548C8">
      <w:pPr>
        <w:widowControl w:val="0"/>
        <w:ind w:left="540" w:hanging="54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-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>šlapimo takų infekcinės ligos;</w:t>
      </w:r>
    </w:p>
    <w:p w:rsidR="004548C8" w:rsidRDefault="004548C8" w:rsidP="004548C8">
      <w:pPr>
        <w:widowControl w:val="0"/>
        <w:ind w:left="540" w:hanging="54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-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>odos ir minkštųjų audinių infekcinės ligos, įskaitant dantų infekcines ligas;</w:t>
      </w:r>
    </w:p>
    <w:p w:rsidR="004548C8" w:rsidRDefault="004548C8" w:rsidP="004548C8">
      <w:pPr>
        <w:widowControl w:val="0"/>
        <w:ind w:left="540" w:hanging="54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-</w:t>
      </w:r>
      <w:r>
        <w:rPr>
          <w:rFonts w:ascii="Times New Roman" w:eastAsia="Calibri" w:hAnsi="Times New Roman" w:cs="Times New Roman"/>
          <w:szCs w:val="20"/>
          <w:lang w:eastAsia="sl-SI"/>
        </w:rPr>
        <w:tab/>
        <w:t>kaulų ir sąnarių infekcinės ligos.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spacing w:line="260" w:lineRule="exact"/>
        <w:ind w:right="-2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2.</w:t>
      </w:r>
      <w:r>
        <w:rPr>
          <w:rFonts w:ascii="Times New Roman" w:eastAsia="Calibri" w:hAnsi="Times New Roman" w:cs="Times New Roman"/>
          <w:b/>
          <w:szCs w:val="20"/>
          <w:lang w:eastAsia="sl-SI"/>
        </w:rPr>
        <w:tab/>
        <w:t xml:space="preserve">Kas žinotina prieš vartojant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b/>
          <w:caps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vartoti draudžiama:</w:t>
      </w:r>
    </w:p>
    <w:p w:rsidR="004548C8" w:rsidRDefault="004548C8" w:rsidP="004548C8">
      <w:pPr>
        <w:widowControl w:val="0"/>
        <w:numPr>
          <w:ilvl w:val="0"/>
          <w:numId w:val="2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jeigu yra alergija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amoksicilinui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,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rūgščiai, penicilinui arba bet kuriai pagalbinei šio vaisto medžiagai (jos išvardytos 6 skyriuje);</w:t>
      </w:r>
    </w:p>
    <w:p w:rsidR="004548C8" w:rsidRDefault="004548C8" w:rsidP="004548C8">
      <w:pPr>
        <w:widowControl w:val="0"/>
        <w:numPr>
          <w:ilvl w:val="0"/>
          <w:numId w:val="2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anksčiau buvo pasireiškusi sunki alerginė (padidėjusio jautrumo) reakcija bet kuriam kitam antibiotikui. Tokios reakcijos gali pasireikšti odos išbėrimu arba veido ar kaklo patinimu;</w:t>
      </w:r>
    </w:p>
    <w:p w:rsidR="004548C8" w:rsidRDefault="004548C8" w:rsidP="004548C8">
      <w:pPr>
        <w:widowControl w:val="0"/>
        <w:numPr>
          <w:ilvl w:val="0"/>
          <w:numId w:val="2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anksčiau antibiotikų vartojimo metu buvo pasireiškęs kepenų sutrikimas ar gelta (odos pageltimas).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Jeigu bet kuri aukščiau paminėta būklė tinka Jums arba Jūsų vaikui,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vartoti negalima</w:t>
      </w:r>
      <w:r>
        <w:rPr>
          <w:rFonts w:ascii="Times New Roman" w:eastAsia="Calibri" w:hAnsi="Times New Roman" w:cs="Times New Roman"/>
          <w:szCs w:val="20"/>
          <w:lang w:eastAsia="sl-SI"/>
        </w:rPr>
        <w:t xml:space="preserve">. Jeigu abejojate, prieš pradėdami vartoti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, kreipkitės į gydytoją arba vaistininką.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Įspėjimai ir atsargumo priemonės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Prieš pradėdami vartoti šį vaistą, pasakykite gydytojui arba vaistininkui:</w:t>
      </w:r>
    </w:p>
    <w:p w:rsidR="004548C8" w:rsidRDefault="004548C8" w:rsidP="004548C8">
      <w:pPr>
        <w:widowControl w:val="0"/>
        <w:numPr>
          <w:ilvl w:val="0"/>
          <w:numId w:val="2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sergate vadinamąja infekcine mononukleoze;</w:t>
      </w:r>
    </w:p>
    <w:p w:rsidR="004548C8" w:rsidRDefault="004548C8" w:rsidP="004548C8">
      <w:pPr>
        <w:widowControl w:val="0"/>
        <w:numPr>
          <w:ilvl w:val="0"/>
          <w:numId w:val="2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lastRenderedPageBreak/>
        <w:t>jeigu gydotės dėl kepenų ar inkstų sutrikimų;</w:t>
      </w:r>
    </w:p>
    <w:p w:rsidR="004548C8" w:rsidRDefault="004548C8" w:rsidP="004548C8">
      <w:pPr>
        <w:widowControl w:val="0"/>
        <w:numPr>
          <w:ilvl w:val="0"/>
          <w:numId w:val="2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šlapinatės nereguliariai.</w:t>
      </w:r>
    </w:p>
    <w:p w:rsidR="004548C8" w:rsidRDefault="004548C8" w:rsidP="004548C8">
      <w:pPr>
        <w:widowControl w:val="0"/>
        <w:ind w:left="54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abejojate, ar kuri nors paminėta būklė Jums tinka, prieš pradėdami vartoti šio vaisto, kreipkitės į gydytoją arba vaistininką.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Tam tikrais atvejais gydytojas gali ištirti, kokios rūšies bakterijos sukėlė Jūsų ar Jūsų vaiko infekcinę ligą. Atsižvelgdamas į tyrimo rezultatus, gydytojas Jums ar Jūsų vaikui gali skirti kitokio stiprumo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arba kitą vaistą.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Būklės, kurių turite saugotis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b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gali pasunkinti kai kurias esamas būkles arba sukelti sunkų šalutinį poveikį. Tokios būklės yra alerginės reakcijos, traukuliai (priepuoliai) ir storosios žarnos uždegimas. Turite stebėti, ar Jums arba Jūsų vaikui vartojant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neatsiranda tam tikrų simptomų, kad būtų kuo mažesnė bet kurių komplikacijų rizika. Žr. </w:t>
      </w:r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4 skyriaus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poskyrį</w:t>
      </w:r>
      <w:r>
        <w:rPr>
          <w:rFonts w:ascii="Times New Roman" w:eastAsia="Calibri" w:hAnsi="Times New Roman" w:cs="Times New Roman"/>
          <w:i/>
          <w:szCs w:val="20"/>
          <w:lang w:eastAsia="sl-SI"/>
        </w:rPr>
        <w:t>,,Būklės</w:t>
      </w:r>
      <w:proofErr w:type="spellEnd"/>
      <w:r>
        <w:rPr>
          <w:rFonts w:ascii="Times New Roman" w:eastAsia="Calibri" w:hAnsi="Times New Roman" w:cs="Times New Roman"/>
          <w:i/>
          <w:szCs w:val="20"/>
          <w:lang w:eastAsia="sl-SI"/>
        </w:rPr>
        <w:t>, kurių turite saugotis“.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Kraujo ir šlapimo tyrimai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Jeigu Jums arba Jūsų vaikui bus atliekami kraujo tyrimai (pvz., raudonųjų kraujo ląstelių kiekiui nustatyti arba kepenų funkcijai įvertinti) arba šlapimo tyrimai (gliukozei nustatyti), pasakykite gydytojui arba slaugytojui, kad vartojate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, kadangi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gali veikti šių tyrimų rodmenis.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Kiti vaistai ir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vartojate arba neseniai vartojote kitų vaistų arba dėl to nesate tikri, apie tai pasakykite gydytojui arba vaistininkui.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vartojant kartu su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alopurinoliu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(vaistu nuo podagros), padidėja alerginės odos reakcijos rizika.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Jeigu vartojate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probenecidą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(vaistą nuo podagros), gydytojas gali nuspręsti pakeisti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dozę.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Jeigu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vartojamas kartu su vaistais, kurie padeda neleisti susiformuoti kraujo krešuliams (pvz.,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varfarinu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), gali prireikti papildomų kraujo tyrimų.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gali keisti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metotreksato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(vaisto, kuriuo gydomas vėžys arba reumatinės ligos) ir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mikofenolato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mofetilio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(vaisto, kuris vartojamas apsisaugoti nuo persodinto organo atmetimo) poveikį.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ind w:left="0" w:firstLine="0"/>
        <w:jc w:val="both"/>
        <w:outlineLvl w:val="3"/>
        <w:rPr>
          <w:rFonts w:ascii="Times New Roman" w:eastAsia="Times New Roman" w:hAnsi="Times New Roman" w:cs="Times New Roman"/>
          <w:b/>
          <w:szCs w:val="20"/>
          <w:lang w:eastAsia="sl-SI"/>
        </w:rPr>
      </w:pPr>
      <w:proofErr w:type="spellStart"/>
      <w:r>
        <w:rPr>
          <w:rFonts w:ascii="Times New Roman" w:eastAsia="Times New Roman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Times New Roman" w:hAnsi="Times New Roman" w:cs="Times New Roman"/>
          <w:b/>
          <w:szCs w:val="20"/>
          <w:lang w:eastAsia="sl-SI"/>
        </w:rPr>
        <w:t xml:space="preserve"> vartojimas su maistu ir gėrimais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Times New Roman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Times New Roman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Times New Roman" w:hAnsi="Times New Roman" w:cs="Times New Roman"/>
          <w:szCs w:val="20"/>
          <w:lang w:eastAsia="sl-SI"/>
        </w:rPr>
        <w:t xml:space="preserve"> reikia vartoti valgio pradžioje arba likus šiek tiek laiko iki valgio, tabletes reikia nuryti sveikas užgeriant stikline vandens.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Times New Roman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Nėštumas, žindymo laikotarpis ir vaisingumas</w:t>
      </w:r>
    </w:p>
    <w:p w:rsidR="004548C8" w:rsidRDefault="004548C8" w:rsidP="004548C8">
      <w:pPr>
        <w:widowControl w:val="0"/>
        <w:numPr>
          <w:ilvl w:val="12"/>
          <w:numId w:val="0"/>
        </w:numPr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esate nėščia, žindote kūdikį, manote, kad galbūt esate nėščia, arba planuojate pastoti, tai prieš vartodama šį vaistą, pasitarkite su gydytoju arba vaistininku.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Vairavimas ir mechanizmų valdymas</w:t>
      </w:r>
    </w:p>
    <w:p w:rsidR="004548C8" w:rsidRDefault="004548C8" w:rsidP="004548C8">
      <w:pPr>
        <w:widowControl w:val="0"/>
        <w:tabs>
          <w:tab w:val="left" w:pos="0"/>
        </w:tabs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gali sukelti šalutinį poveikį ir simptomų, kurie gali trikdyti gebėjimą vairuoti. Vairuoti ar valdyti mechanizmus galite tik tuo atveju, jei jaučiatės gerai.</w:t>
      </w:r>
    </w:p>
    <w:p w:rsidR="004548C8" w:rsidRDefault="004548C8" w:rsidP="004548C8">
      <w:pPr>
        <w:widowControl w:val="0"/>
        <w:tabs>
          <w:tab w:val="left" w:pos="0"/>
        </w:tabs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0"/>
        </w:tabs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sudėtyje yra natrio</w:t>
      </w:r>
    </w:p>
    <w:p w:rsidR="004548C8" w:rsidRDefault="004548C8" w:rsidP="004548C8">
      <w:pPr>
        <w:widowControl w:val="0"/>
        <w:tabs>
          <w:tab w:val="left" w:pos="0"/>
        </w:tabs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Šio vaisto tabletėje yra mažiau kaip 1 </w:t>
      </w:r>
      <w:proofErr w:type="spellStart"/>
      <w:r>
        <w:rPr>
          <w:rFonts w:ascii="Times New Roman" w:hAnsi="Times New Roman" w:cs="Times New Roman"/>
        </w:rPr>
        <w:t>mmol</w:t>
      </w:r>
      <w:proofErr w:type="spellEnd"/>
      <w:r>
        <w:rPr>
          <w:rFonts w:ascii="Times New Roman" w:hAnsi="Times New Roman" w:cs="Times New Roman"/>
        </w:rPr>
        <w:t xml:space="preserve"> natrio (23 mg), t. y. jis beveik neturi reikšmės.</w:t>
      </w:r>
    </w:p>
    <w:p w:rsidR="004548C8" w:rsidRDefault="004548C8" w:rsidP="004548C8">
      <w:pPr>
        <w:widowControl w:val="0"/>
        <w:tabs>
          <w:tab w:val="left" w:pos="0"/>
        </w:tabs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left="567" w:hanging="567"/>
        <w:outlineLvl w:val="0"/>
        <w:rPr>
          <w:rFonts w:ascii="Times New Roman" w:eastAsia="Calibri" w:hAnsi="Times New Roman" w:cs="Times New Roman"/>
          <w:b/>
          <w:caps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3.</w:t>
      </w:r>
      <w:r>
        <w:rPr>
          <w:rFonts w:ascii="Times New Roman" w:eastAsia="Calibri" w:hAnsi="Times New Roman" w:cs="Times New Roman"/>
          <w:b/>
          <w:szCs w:val="20"/>
          <w:lang w:eastAsia="sl-SI"/>
        </w:rPr>
        <w:tab/>
        <w:t xml:space="preserve">Kaip vartoti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Šį vaistą visada vartokite tiksliai kaip nurodė gydytojas arba vaistininkas. Jeigu abejojate, kreipkitės į gydytoją arba vaistininką.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Suaugusieji ir vaikai, kurie sveria 40 kg ir daugiau</w:t>
      </w: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szCs w:val="20"/>
          <w:u w:val="single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>500 mg/125 mg plėvele dengtos tabletės</w:t>
      </w:r>
    </w:p>
    <w:p w:rsidR="004548C8" w:rsidRDefault="004548C8" w:rsidP="004548C8">
      <w:pPr>
        <w:widowControl w:val="0"/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contextualSpacing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Rekomenduojama dozė yra po 1 tabletę tris kartus per parą.</w:t>
      </w: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szCs w:val="20"/>
          <w:u w:val="single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>875 mg/125 mg plėvele dengtos tabletės</w:t>
      </w:r>
    </w:p>
    <w:p w:rsidR="004548C8" w:rsidRDefault="004548C8" w:rsidP="004548C8">
      <w:pPr>
        <w:widowControl w:val="0"/>
        <w:numPr>
          <w:ilvl w:val="0"/>
          <w:numId w:val="4"/>
        </w:numPr>
        <w:tabs>
          <w:tab w:val="left" w:pos="567"/>
        </w:tabs>
        <w:spacing w:line="260" w:lineRule="exact"/>
        <w:ind w:left="567" w:hanging="567"/>
        <w:contextualSpacing/>
        <w:rPr>
          <w:rFonts w:ascii="Times New Roman" w:eastAsia="Calibri" w:hAnsi="Times New Roman" w:cs="Times New Roman"/>
          <w:szCs w:val="20"/>
          <w:highlight w:val="lightGray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lastRenderedPageBreak/>
        <w:t>Rekomenduojama dozė yra po 1 tabletę du kartus per parą.</w:t>
      </w:r>
    </w:p>
    <w:p w:rsidR="004548C8" w:rsidRDefault="004548C8" w:rsidP="004548C8">
      <w:pPr>
        <w:widowControl w:val="0"/>
        <w:numPr>
          <w:ilvl w:val="0"/>
          <w:numId w:val="4"/>
        </w:numPr>
        <w:tabs>
          <w:tab w:val="left" w:pos="567"/>
        </w:tabs>
        <w:spacing w:line="260" w:lineRule="exact"/>
        <w:ind w:left="567" w:hanging="567"/>
        <w:contextualSpacing/>
        <w:rPr>
          <w:rFonts w:ascii="Times New Roman" w:eastAsia="Calibri" w:hAnsi="Times New Roman" w:cs="Times New Roman"/>
          <w:szCs w:val="20"/>
          <w:highlight w:val="lightGray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>Didesnė dozė yra po 1 tabletę tris kartus per parą.</w:t>
      </w:r>
    </w:p>
    <w:p w:rsidR="004548C8" w:rsidRDefault="004548C8" w:rsidP="004548C8">
      <w:pPr>
        <w:widowControl w:val="0"/>
        <w:tabs>
          <w:tab w:val="left" w:pos="567"/>
        </w:tabs>
        <w:ind w:left="0" w:firstLine="0"/>
        <w:jc w:val="both"/>
        <w:outlineLvl w:val="3"/>
        <w:rPr>
          <w:rFonts w:ascii="Times New Roman" w:eastAsia="Times New Roman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ind w:left="0" w:firstLine="0"/>
        <w:jc w:val="both"/>
        <w:outlineLvl w:val="3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Times New Roman" w:hAnsi="Times New Roman" w:cs="Times New Roman"/>
          <w:b/>
          <w:szCs w:val="20"/>
          <w:lang w:eastAsia="sl-SI"/>
        </w:rPr>
        <w:t>Vartojimas vaikams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Vaikai, kurie sveria mažiau kaip 40 kg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6 metų ir jaunesnius vaikus geriau gydyti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/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rūgšties geriamąja suspensija.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u w:val="single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>500 mg/125 mg plėvele dengtos tabletės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Prieš vartojant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tabletes vaikams, kurie sveria mažiau kaip 40 kg, kreipkitės patarimo į gydytoją arba vaistininką. Tabletės netinka vaikams, kurie sveria mažiau kaip 25 kg.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u w:val="single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>875 mg/125 mg plėvele dengtos tabletės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 xml:space="preserve">Prieš vartojant </w:t>
      </w:r>
      <w:proofErr w:type="spellStart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 xml:space="preserve"> tabletes vaikams, kurie sveria mažiau kaip 40 kg, kreipkitės patarimo į gydytoją arba vaistininką. Tabletės netinka vaikams, kurie sveria mažiau kaip 25 kg.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i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Pacientai, kuriems yra inkstų ir kepenų sutrikimų</w:t>
      </w:r>
    </w:p>
    <w:p w:rsidR="004548C8" w:rsidRDefault="004548C8" w:rsidP="004548C8">
      <w:pPr>
        <w:widowControl w:val="0"/>
        <w:numPr>
          <w:ilvl w:val="0"/>
          <w:numId w:val="3"/>
        </w:numPr>
        <w:spacing w:line="260" w:lineRule="exact"/>
        <w:ind w:left="567" w:hanging="567"/>
        <w:contextualSpacing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Jums arba Jūsų vaikui yra inkstų sutrikimų, gali tekti keisti dozę. Gydytojas gali skirti kitokio stiprumo arba kitą vaistą.</w:t>
      </w:r>
    </w:p>
    <w:p w:rsidR="004548C8" w:rsidRDefault="004548C8" w:rsidP="004548C8">
      <w:pPr>
        <w:widowControl w:val="0"/>
        <w:numPr>
          <w:ilvl w:val="0"/>
          <w:numId w:val="3"/>
        </w:numPr>
        <w:spacing w:line="260" w:lineRule="exact"/>
        <w:ind w:left="567" w:hanging="567"/>
        <w:contextualSpacing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Jums arba Jūsų vaikui yra kepenų sutrikimų, gali tekti dažniau tirti kraują, kad būtų galima įvertinti kepenų veiklą.</w:t>
      </w:r>
    </w:p>
    <w:p w:rsidR="004548C8" w:rsidRDefault="004548C8" w:rsidP="004548C8">
      <w:pPr>
        <w:widowControl w:val="0"/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Kaip vartoti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numPr>
          <w:ilvl w:val="0"/>
          <w:numId w:val="3"/>
        </w:numPr>
        <w:spacing w:line="260" w:lineRule="exact"/>
        <w:ind w:left="567" w:hanging="567"/>
        <w:contextualSpacing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Pradėję valgyti arba likus šiek tiek laiko iki valgio, nurykite visą tabletę užsigerdami stikline vandens.</w:t>
      </w:r>
    </w:p>
    <w:p w:rsidR="004548C8" w:rsidRDefault="004548C8" w:rsidP="004548C8">
      <w:pPr>
        <w:widowControl w:val="0"/>
        <w:numPr>
          <w:ilvl w:val="0"/>
          <w:numId w:val="3"/>
        </w:numPr>
        <w:spacing w:line="260" w:lineRule="exact"/>
        <w:ind w:left="567" w:hanging="567"/>
        <w:contextualSpacing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Paskirstykite dozes vienodais laiko tarpais per parą, tarp dozių vartojimo turi praeiti ne mažiau kaip 4 valandos. 2 dozių per 1 valandą vartoti negalima.</w:t>
      </w:r>
    </w:p>
    <w:p w:rsidR="004548C8" w:rsidRDefault="004548C8" w:rsidP="004548C8">
      <w:pPr>
        <w:widowControl w:val="0"/>
        <w:numPr>
          <w:ilvl w:val="0"/>
          <w:numId w:val="3"/>
        </w:numPr>
        <w:spacing w:line="260" w:lineRule="exact"/>
        <w:ind w:left="567" w:hanging="567"/>
        <w:contextualSpacing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vartoti ilgiau kaip 2 savaites negalima. Jeigu Jūs ar Jūsų vaikas vis dar jaučiatės blogai, dar kartą kreipkitės į gydytoją.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Ką daryti pavartojus per didelę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dozę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Jeigu išgėrėte per daug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, gali pasireikšti pilvo sutrikimų (pykinimas, vėmimas ar viduriavimas) ar traukulių. Kiek įmanoma greičiau kreipkitės į gydytoją. Pasiimkite vaisto dėžutę ar buteliuką, kad galėtumėte parodyti gydytojui.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Pamiršus pavartoti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Negalima vartoti dvigubos dozės norint kompensuoti praleistą dozę. Jeigu pamiršote suvartoti dozę, išgerkite ją kai tik prisiminsite. Kitos dozės greitai gerti negalima: ją vartoti galima tik po maždaug 4 valandų.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Nustojus vartoti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Vartokite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, kol baigsite gydymo kursą, net jeigu jaučiatės gerai. Kad įveiktumėte infekcinę ligą, turite išgerti kiekvieną dozę. Jeigu organizme lieka bakterijų, liga gali atsinaujinti.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kiltų daugiau klausimų dėl šio vaisto vartojimo, kreipkitės į gydytoją arba vaistininką.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b/>
          <w:caps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caps/>
          <w:szCs w:val="20"/>
          <w:lang w:eastAsia="sl-SI"/>
        </w:rPr>
        <w:t>4.</w:t>
      </w:r>
      <w:r>
        <w:rPr>
          <w:rFonts w:ascii="Times New Roman" w:eastAsia="Calibri" w:hAnsi="Times New Roman" w:cs="Times New Roman"/>
          <w:b/>
          <w:caps/>
          <w:szCs w:val="20"/>
          <w:lang w:eastAsia="sl-SI"/>
        </w:rPr>
        <w:tab/>
      </w:r>
      <w:r>
        <w:rPr>
          <w:rFonts w:ascii="Times New Roman" w:eastAsia="Calibri" w:hAnsi="Times New Roman" w:cs="Times New Roman"/>
          <w:b/>
          <w:szCs w:val="20"/>
          <w:lang w:eastAsia="sl-SI"/>
        </w:rPr>
        <w:t>Galimas šalutinis poveikis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Šis vaistas, kaip ir visi kiti, gali sukelti šalutinį poveikį, nors jis pasireiškia ne visiems žmonėms.</w:t>
      </w: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Būklės, kurių turite saugotis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Alerginės reakcijos:</w:t>
      </w:r>
    </w:p>
    <w:p w:rsidR="004548C8" w:rsidRDefault="004548C8" w:rsidP="004548C8">
      <w:pPr>
        <w:widowControl w:val="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strike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odos išbėrimas;</w:t>
      </w:r>
    </w:p>
    <w:p w:rsidR="004548C8" w:rsidRDefault="004548C8" w:rsidP="004548C8">
      <w:pPr>
        <w:widowControl w:val="0"/>
        <w:numPr>
          <w:ilvl w:val="0"/>
          <w:numId w:val="5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kraujagyslių uždegimas (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vaskulitas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), kuris gali pasireikšti raudonomis ar purpurinėmis iškiliomis dėmėmis odoje, bet gali paveikti ir kitas organizmo vietas;</w:t>
      </w:r>
    </w:p>
    <w:p w:rsidR="004548C8" w:rsidRDefault="004548C8" w:rsidP="004548C8">
      <w:pPr>
        <w:widowControl w:val="0"/>
        <w:numPr>
          <w:ilvl w:val="0"/>
          <w:numId w:val="5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karščiavimas, sąnarių skausmas, kaklo, pažastų ar kirkšnių limfmazgių padidėjimas;</w:t>
      </w:r>
    </w:p>
    <w:p w:rsidR="004548C8" w:rsidRDefault="004548C8" w:rsidP="004548C8">
      <w:pPr>
        <w:widowControl w:val="0"/>
        <w:numPr>
          <w:ilvl w:val="0"/>
          <w:numId w:val="5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bookmarkStart w:id="0" w:name="_DV_C187"/>
      <w:bookmarkStart w:id="1" w:name="_DV_X229"/>
      <w:bookmarkStart w:id="2" w:name="_DV_C188"/>
      <w:bookmarkEnd w:id="0"/>
      <w:r>
        <w:rPr>
          <w:rFonts w:ascii="Times New Roman" w:eastAsia="Calibri" w:hAnsi="Times New Roman" w:cs="Times New Roman"/>
          <w:szCs w:val="20"/>
          <w:lang w:eastAsia="sl-SI"/>
        </w:rPr>
        <w:lastRenderedPageBreak/>
        <w:t>patinimas, kartais veido ar burnos (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angioneurozinė</w:t>
      </w:r>
      <w:proofErr w:type="spellEnd"/>
      <w:r>
        <w:rPr>
          <w:rFonts w:ascii="Times New Roman" w:eastAsia="Calibri" w:hAnsi="Times New Roman" w:cs="Times New Roman"/>
          <w:i/>
          <w:szCs w:val="20"/>
          <w:lang w:eastAsia="sl-SI"/>
        </w:rPr>
        <w:t xml:space="preserve"> edema</w:t>
      </w:r>
      <w:r>
        <w:rPr>
          <w:rFonts w:ascii="Times New Roman" w:eastAsia="Calibri" w:hAnsi="Times New Roman" w:cs="Times New Roman"/>
          <w:szCs w:val="20"/>
          <w:lang w:eastAsia="sl-SI"/>
        </w:rPr>
        <w:t>), dėl kurio gali pasunkėti kvėpavimas;</w:t>
      </w:r>
      <w:bookmarkEnd w:id="1"/>
      <w:bookmarkEnd w:id="2"/>
    </w:p>
    <w:p w:rsidR="004548C8" w:rsidRDefault="004548C8" w:rsidP="004548C8">
      <w:pPr>
        <w:widowControl w:val="0"/>
        <w:numPr>
          <w:ilvl w:val="0"/>
          <w:numId w:val="5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bookmarkStart w:id="3" w:name="_DV_C189"/>
      <w:bookmarkStart w:id="4" w:name="_DV_X231"/>
      <w:bookmarkStart w:id="5" w:name="_DV_C190"/>
      <w:bookmarkEnd w:id="3"/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kolapsas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;</w:t>
      </w:r>
    </w:p>
    <w:p w:rsidR="004548C8" w:rsidRDefault="004548C8" w:rsidP="004548C8">
      <w:pPr>
        <w:widowControl w:val="0"/>
        <w:numPr>
          <w:ilvl w:val="0"/>
          <w:numId w:val="5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Cs w:val="20"/>
          <w:lang w:val="en-GB"/>
        </w:rPr>
        <w:t>krūtinės</w:t>
      </w:r>
      <w:proofErr w:type="spellEnd"/>
      <w:proofErr w:type="gram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skausmas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pasireiškus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alerginėms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reakcijoms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, kuris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gali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būti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alergijos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sukelto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širdies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smūgio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širdies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priepuolio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simptomas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Kounis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sindromas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>)</w:t>
      </w:r>
      <w:r>
        <w:rPr>
          <w:rFonts w:ascii="Times New Roman" w:eastAsia="Calibri" w:hAnsi="Times New Roman" w:cs="Times New Roman"/>
          <w:szCs w:val="20"/>
          <w:lang w:eastAsia="sl-SI"/>
        </w:rPr>
        <w:t>.</w:t>
      </w:r>
    </w:p>
    <w:p w:rsidR="004548C8" w:rsidRDefault="004548C8" w:rsidP="004548C8">
      <w:pPr>
        <w:widowControl w:val="0"/>
        <w:tabs>
          <w:tab w:val="num" w:pos="720"/>
          <w:tab w:val="num" w:pos="1800"/>
        </w:tabs>
        <w:ind w:left="0" w:right="-2" w:firstLine="0"/>
        <w:rPr>
          <w:rFonts w:ascii="Times New Roman" w:eastAsia="SimSun" w:hAnsi="Times New Roman" w:cs="Times New Roman"/>
          <w:szCs w:val="20"/>
          <w:lang w:eastAsia="sl-SI"/>
        </w:rPr>
      </w:pPr>
      <w:bookmarkStart w:id="6" w:name="_DV_C191"/>
      <w:bookmarkStart w:id="7" w:name="_DV_X233"/>
      <w:bookmarkStart w:id="8" w:name="_DV_C192"/>
      <w:bookmarkEnd w:id="4"/>
      <w:bookmarkEnd w:id="5"/>
      <w:bookmarkEnd w:id="6"/>
    </w:p>
    <w:p w:rsidR="004548C8" w:rsidRDefault="004548C8" w:rsidP="004548C8">
      <w:pPr>
        <w:widowControl w:val="0"/>
        <w:tabs>
          <w:tab w:val="num" w:pos="720"/>
          <w:tab w:val="num" w:pos="1800"/>
        </w:tabs>
        <w:ind w:left="0" w:right="-2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SimSun" w:hAnsi="Times New Roman" w:cs="Times New Roman"/>
          <w:szCs w:val="20"/>
          <w:lang w:eastAsia="sl-SI"/>
        </w:rPr>
        <w:t xml:space="preserve">Jeigu pasireiškė tokių simptomų, </w:t>
      </w:r>
      <w:r>
        <w:rPr>
          <w:rFonts w:ascii="Times New Roman" w:eastAsia="SimSun" w:hAnsi="Times New Roman" w:cs="Times New Roman"/>
          <w:b/>
          <w:szCs w:val="20"/>
          <w:lang w:eastAsia="sl-SI"/>
        </w:rPr>
        <w:t>nedelsdami kreipkitės į gydytoją</w:t>
      </w:r>
      <w:bookmarkEnd w:id="7"/>
      <w:bookmarkEnd w:id="8"/>
      <w:r>
        <w:rPr>
          <w:rFonts w:ascii="Times New Roman" w:eastAsia="SimSun" w:hAnsi="Times New Roman" w:cs="Times New Roman"/>
          <w:szCs w:val="20"/>
          <w:lang w:eastAsia="sl-SI"/>
        </w:rPr>
        <w:t>.</w:t>
      </w:r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Nutraukite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vartojimą.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Storosios žarnos uždegimas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Storosios žarnos uždegimas gali sukelti viduriavimą vandeningomis išmatomis su krauju ir gleivėmis, pilvo skausmą ir (arba) karščiavimą.</w:t>
      </w:r>
    </w:p>
    <w:p w:rsidR="004548C8" w:rsidRDefault="004548C8" w:rsidP="004548C8">
      <w:pPr>
        <w:widowControl w:val="0"/>
        <w:tabs>
          <w:tab w:val="left" w:pos="567"/>
          <w:tab w:val="num" w:pos="720"/>
          <w:tab w:val="num" w:pos="1800"/>
        </w:tabs>
        <w:spacing w:line="260" w:lineRule="exact"/>
        <w:ind w:left="0" w:right="-2" w:firstLine="0"/>
        <w:rPr>
          <w:rFonts w:ascii="Times New Roman" w:eastAsia="Times New Roman" w:hAnsi="Times New Roman" w:cs="Times New Roman"/>
          <w:b/>
          <w:szCs w:val="20"/>
          <w:lang w:val="en-GB"/>
        </w:rPr>
      </w:pPr>
    </w:p>
    <w:p w:rsidR="004548C8" w:rsidRDefault="004548C8" w:rsidP="004548C8">
      <w:pPr>
        <w:widowControl w:val="0"/>
        <w:tabs>
          <w:tab w:val="left" w:pos="567"/>
          <w:tab w:val="num" w:pos="720"/>
          <w:tab w:val="num" w:pos="1800"/>
        </w:tabs>
        <w:spacing w:line="260" w:lineRule="exact"/>
        <w:ind w:left="0" w:right="-2" w:firstLine="0"/>
        <w:rPr>
          <w:rFonts w:ascii="Times New Roman" w:eastAsia="Times New Roman" w:hAnsi="Times New Roman" w:cs="Times New Roman"/>
          <w:b/>
          <w:szCs w:val="20"/>
          <w:lang w:val="en-GB"/>
        </w:rPr>
      </w:pPr>
      <w:proofErr w:type="spellStart"/>
      <w:r>
        <w:rPr>
          <w:rFonts w:ascii="Times New Roman" w:eastAsia="Times New Roman" w:hAnsi="Times New Roman" w:cs="Times New Roman"/>
          <w:b/>
          <w:szCs w:val="20"/>
          <w:lang w:val="en-GB"/>
        </w:rPr>
        <w:t>Ūminis</w:t>
      </w:r>
      <w:proofErr w:type="spellEnd"/>
      <w:r>
        <w:rPr>
          <w:rFonts w:ascii="Times New Roman" w:eastAsia="Times New Roman" w:hAnsi="Times New Roman" w:cs="Times New Roman"/>
          <w:b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Cs w:val="20"/>
          <w:lang w:val="en-GB"/>
        </w:rPr>
        <w:t>kasos</w:t>
      </w:r>
      <w:proofErr w:type="spellEnd"/>
      <w:r>
        <w:rPr>
          <w:rFonts w:ascii="Times New Roman" w:eastAsia="Times New Roman" w:hAnsi="Times New Roman" w:cs="Times New Roman"/>
          <w:b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Cs w:val="20"/>
          <w:lang w:val="en-GB"/>
        </w:rPr>
        <w:t>uždegimas</w:t>
      </w:r>
      <w:proofErr w:type="spellEnd"/>
      <w:r>
        <w:rPr>
          <w:rFonts w:ascii="Times New Roman" w:eastAsia="Times New Roman" w:hAnsi="Times New Roman" w:cs="Times New Roman"/>
          <w:b/>
          <w:szCs w:val="20"/>
          <w:lang w:val="en-GB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szCs w:val="20"/>
          <w:lang w:val="en-GB"/>
        </w:rPr>
        <w:t>ūminis</w:t>
      </w:r>
      <w:proofErr w:type="spellEnd"/>
      <w:r>
        <w:rPr>
          <w:rFonts w:ascii="Times New Roman" w:eastAsia="Times New Roman" w:hAnsi="Times New Roman" w:cs="Times New Roman"/>
          <w:b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Cs w:val="20"/>
          <w:lang w:val="en-GB"/>
        </w:rPr>
        <w:t>pankreatitas</w:t>
      </w:r>
      <w:proofErr w:type="spellEnd"/>
      <w:r>
        <w:rPr>
          <w:rFonts w:ascii="Times New Roman" w:eastAsia="Times New Roman" w:hAnsi="Times New Roman" w:cs="Times New Roman"/>
          <w:b/>
          <w:szCs w:val="20"/>
          <w:lang w:val="en-GB"/>
        </w:rPr>
        <w:t>)</w:t>
      </w:r>
    </w:p>
    <w:p w:rsidR="004548C8" w:rsidRDefault="004548C8" w:rsidP="004548C8">
      <w:pPr>
        <w:widowControl w:val="0"/>
        <w:tabs>
          <w:tab w:val="left" w:pos="567"/>
          <w:tab w:val="num" w:pos="720"/>
          <w:tab w:val="num" w:pos="1800"/>
        </w:tabs>
        <w:spacing w:line="260" w:lineRule="exact"/>
        <w:ind w:left="0" w:right="-2" w:firstLine="0"/>
        <w:rPr>
          <w:rFonts w:ascii="Times New Roman" w:eastAsia="Times New Roman" w:hAnsi="Times New Roman" w:cs="Times New Roman"/>
          <w:szCs w:val="20"/>
          <w:lang w:val="en-GB"/>
        </w:rPr>
      </w:pP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Jei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pajutote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stiprų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ir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nepraeinantį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skausmą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pilvo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srityje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Cs w:val="20"/>
          <w:lang w:val="en-GB"/>
        </w:rPr>
        <w:t>tai</w:t>
      </w:r>
      <w:proofErr w:type="gram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gali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būti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ūminio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pankreatito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požymis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>.</w:t>
      </w:r>
    </w:p>
    <w:p w:rsidR="004548C8" w:rsidRDefault="004548C8" w:rsidP="004548C8">
      <w:pPr>
        <w:widowControl w:val="0"/>
        <w:tabs>
          <w:tab w:val="left" w:pos="567"/>
          <w:tab w:val="num" w:pos="720"/>
          <w:tab w:val="num" w:pos="1800"/>
        </w:tabs>
        <w:spacing w:line="260" w:lineRule="exact"/>
        <w:ind w:left="0" w:right="-2" w:firstLine="0"/>
        <w:rPr>
          <w:rFonts w:ascii="Times New Roman" w:eastAsia="Times New Roman" w:hAnsi="Times New Roman" w:cs="Times New Roman"/>
          <w:szCs w:val="20"/>
          <w:lang w:val="en-GB"/>
        </w:rPr>
      </w:pPr>
    </w:p>
    <w:p w:rsidR="004548C8" w:rsidRDefault="004548C8" w:rsidP="004548C8">
      <w:pPr>
        <w:widowControl w:val="0"/>
        <w:tabs>
          <w:tab w:val="left" w:pos="567"/>
          <w:tab w:val="num" w:pos="720"/>
          <w:tab w:val="num" w:pos="1800"/>
        </w:tabs>
        <w:spacing w:line="260" w:lineRule="exact"/>
        <w:ind w:left="0" w:right="-2" w:firstLine="0"/>
        <w:rPr>
          <w:rFonts w:ascii="Times New Roman" w:eastAsia="Times New Roman" w:hAnsi="Times New Roman" w:cs="Times New Roman"/>
          <w:szCs w:val="20"/>
          <w:u w:val="single"/>
          <w:lang w:val="en-GB"/>
        </w:rPr>
      </w:pPr>
      <w:proofErr w:type="spellStart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>Vaistinių</w:t>
      </w:r>
      <w:proofErr w:type="spellEnd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>preparatų</w:t>
      </w:r>
      <w:proofErr w:type="spellEnd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>sukelto</w:t>
      </w:r>
      <w:proofErr w:type="spellEnd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>enterokolito</w:t>
      </w:r>
      <w:proofErr w:type="spellEnd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>sindromas</w:t>
      </w:r>
      <w:proofErr w:type="spellEnd"/>
      <w:r>
        <w:rPr>
          <w:rFonts w:ascii="Times New Roman" w:eastAsia="Times New Roman" w:hAnsi="Times New Roman" w:cs="Times New Roman"/>
          <w:szCs w:val="20"/>
          <w:u w:val="single"/>
          <w:lang w:val="en-GB"/>
        </w:rPr>
        <w:t xml:space="preserve"> (VSES)</w:t>
      </w:r>
    </w:p>
    <w:p w:rsidR="004548C8" w:rsidRDefault="004548C8" w:rsidP="004548C8">
      <w:pPr>
        <w:widowControl w:val="0"/>
        <w:tabs>
          <w:tab w:val="left" w:pos="567"/>
          <w:tab w:val="num" w:pos="720"/>
          <w:tab w:val="num" w:pos="1800"/>
        </w:tabs>
        <w:spacing w:line="260" w:lineRule="exact"/>
        <w:ind w:left="0" w:right="-2" w:firstLine="0"/>
        <w:rPr>
          <w:rFonts w:ascii="Times New Roman" w:eastAsia="Times New Roman" w:hAnsi="Times New Roman" w:cs="Times New Roman"/>
          <w:szCs w:val="20"/>
          <w:lang w:val="en-GB"/>
        </w:rPr>
      </w:pP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Gauta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pranešimų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apie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VSES, kuris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daugiausiai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pasireiškė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amoksiciliną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klavulano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rūgštį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vartojantiems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vaikams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. Tai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yra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tam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tikro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tipo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alerginė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reakcija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kurios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pagrindinis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simptomas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yra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pasikartojantis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vėmimas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(1-4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valandas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vaisto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pavartojimo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Kiti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simptomai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gali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būti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pilvo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skausmas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letargija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viduriavimas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ir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kraujospūdžio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sumažėjimas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>.</w:t>
      </w:r>
    </w:p>
    <w:p w:rsidR="004548C8" w:rsidRDefault="004548C8" w:rsidP="004548C8">
      <w:pPr>
        <w:widowControl w:val="0"/>
        <w:tabs>
          <w:tab w:val="num" w:pos="720"/>
          <w:tab w:val="num" w:pos="1800"/>
        </w:tabs>
        <w:ind w:left="0" w:right="-2" w:firstLine="0"/>
        <w:rPr>
          <w:rFonts w:ascii="Times New Roman" w:eastAsia="SimSun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num" w:pos="720"/>
          <w:tab w:val="num" w:pos="1800"/>
        </w:tabs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SimSun" w:hAnsi="Times New Roman" w:cs="Times New Roman"/>
          <w:szCs w:val="20"/>
          <w:lang w:eastAsia="sl-SI"/>
        </w:rPr>
        <w:t xml:space="preserve">Jeigu pasireiškė tokių simptomų, </w:t>
      </w:r>
      <w:r>
        <w:rPr>
          <w:rFonts w:ascii="Times New Roman" w:eastAsia="SimSun" w:hAnsi="Times New Roman" w:cs="Times New Roman"/>
          <w:b/>
          <w:szCs w:val="20"/>
          <w:lang w:eastAsia="sl-SI"/>
        </w:rPr>
        <w:t>kiek įmanoma greičiau kreipkitės į gydytoją</w:t>
      </w:r>
      <w:r>
        <w:rPr>
          <w:rFonts w:ascii="Times New Roman" w:eastAsia="Calibri" w:hAnsi="Times New Roman" w:cs="Times New Roman"/>
          <w:szCs w:val="20"/>
          <w:lang w:eastAsia="sl-SI"/>
        </w:rPr>
        <w:t>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Labai dažni šalutinio poveikio reiškiniai (gali pasireikšti ne rečiau kaip 1 iš 10 asmenų):</w:t>
      </w:r>
    </w:p>
    <w:p w:rsidR="004548C8" w:rsidRDefault="004548C8" w:rsidP="004548C8">
      <w:pPr>
        <w:widowControl w:val="0"/>
        <w:numPr>
          <w:ilvl w:val="0"/>
          <w:numId w:val="5"/>
        </w:numPr>
        <w:tabs>
          <w:tab w:val="left" w:pos="567"/>
        </w:tabs>
        <w:ind w:left="567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viduriavimas (suaugusiesiems).</w:t>
      </w: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Dažni šalutinio poveikio reiškiniai (gali pasireikšti rečiau kaip 1 iš 10 asmenų):</w:t>
      </w:r>
    </w:p>
    <w:p w:rsidR="004548C8" w:rsidRDefault="004548C8" w:rsidP="004548C8">
      <w:pPr>
        <w:widowControl w:val="0"/>
        <w:numPr>
          <w:ilvl w:val="0"/>
          <w:numId w:val="6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pienligė (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kandidozė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, t. y.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mieliagrybių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sukelta makšties, burnos ar odos raukšlių infekcinė liga);</w:t>
      </w:r>
    </w:p>
    <w:p w:rsidR="004548C8" w:rsidRDefault="004548C8" w:rsidP="004548C8">
      <w:pPr>
        <w:widowControl w:val="0"/>
        <w:numPr>
          <w:ilvl w:val="0"/>
          <w:numId w:val="6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pykinimas, ypač vartojant dideles dozes. Jeigu pasireiškia toks poveikis,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vartokite prieš valgį;</w:t>
      </w:r>
    </w:p>
    <w:p w:rsidR="004548C8" w:rsidRDefault="004548C8" w:rsidP="004548C8">
      <w:pPr>
        <w:widowControl w:val="0"/>
        <w:numPr>
          <w:ilvl w:val="0"/>
          <w:numId w:val="6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vėmimas;</w:t>
      </w:r>
    </w:p>
    <w:p w:rsidR="004548C8" w:rsidRDefault="004548C8" w:rsidP="004548C8">
      <w:pPr>
        <w:widowControl w:val="0"/>
        <w:numPr>
          <w:ilvl w:val="0"/>
          <w:numId w:val="6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viduriavimas (vaikams).</w:t>
      </w: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Nedažni šalutinio poveikio reiškiniai (gali pasireikšti rečiau kaip 1 iš 100 asmenų):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odos išbėrimas, niežėjimas;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išbėrimas gumbeliais su niežėjimu (dilgėlinė);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nevirškinimas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;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svaigulys;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galvos skausmas.</w:t>
      </w: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Nedažnas šalutinis poveikis, kurį gali rodyti kraujo tyrimai: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tam tikrų medžiagų (fermentų), kurios gaminamos kepenyse, padaugėjimas.</w:t>
      </w: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Reti šalutinio poveikio reiškiniai (gali pasireikšti rečiau kaip 1 iš 1 000 asmenų):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odos išbėrimas, kuris gali pasireikšti pūslėmis ar būti panašus į mažus taikinius (viduryje tamsi dėmelė, apsupta blyškesnės srities, kurią supa tamsus žiedas – daugiaformė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eritema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).</w:t>
      </w: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pastebėjote bet kurį iš šių simptomų, nedelsdami kreipkitės į gydytoją.</w:t>
      </w: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Retas šalutinis poveikis, kurį gali rodyti kraujo tyrimai: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mažas kraujo ląstelių, kurios dalyvauja kraujo krešėjime, kiekis;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mažas baltųjų kraujo ląstelių kiekis.</w:t>
      </w: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ind w:left="0" w:firstLine="0"/>
        <w:rPr>
          <w:rFonts w:ascii="Times New Roman" w:hAnsi="Times New Roman" w:cs="Times New Roman"/>
          <w:b/>
          <w:lang w:eastAsia="sl-SI"/>
        </w:rPr>
      </w:pPr>
      <w:r>
        <w:rPr>
          <w:rFonts w:ascii="Times New Roman" w:hAnsi="Times New Roman" w:cs="Times New Roman"/>
          <w:b/>
          <w:lang w:eastAsia="sl-SI"/>
        </w:rPr>
        <w:t>Šalutinio poveikio reiškiniai, kurių dažnis nežinomas (</w:t>
      </w:r>
      <w:r>
        <w:rPr>
          <w:rFonts w:ascii="Times New Roman" w:eastAsia="Times New Roman" w:hAnsi="Times New Roman" w:cs="Times New Roman"/>
          <w:b/>
          <w:lang w:eastAsia="sl-SI"/>
        </w:rPr>
        <w:t>negali būti apskaičiuotas pagal turimus duomenis):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Alerginės reakcijos (žr. anksčiau).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lastRenderedPageBreak/>
        <w:t>Storosios žarnos uždegimas (žr. anksčiau).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Galvos ir nugaros smegenis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Calibri" w:hAnsi="Times New Roman" w:cs="Times New Roman"/>
          <w:szCs w:val="20"/>
          <w:lang w:eastAsia="sl-SI"/>
        </w:rPr>
        <w:t>gaubiančio dangalo uždegimas (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aseptinis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meningitas).</w:t>
      </w:r>
    </w:p>
    <w:p w:rsidR="004548C8" w:rsidRDefault="004548C8" w:rsidP="004548C8">
      <w:pPr>
        <w:widowControl w:val="0"/>
        <w:numPr>
          <w:ilvl w:val="0"/>
          <w:numId w:val="13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lang w:eastAsia="lt-LT"/>
        </w:rPr>
      </w:pPr>
      <w:r>
        <w:rPr>
          <w:rFonts w:ascii="Times New Roman" w:hAnsi="Times New Roman" w:cs="Times New Roman"/>
        </w:rPr>
        <w:t xml:space="preserve">Išbėrimas su pūslėmis, kurios išsidėsto ratu arba kaip perlų grandinėlės aplink centrinėje dalyje susiformavusį šašą (linijinė </w:t>
      </w:r>
      <w:proofErr w:type="spellStart"/>
      <w:r>
        <w:rPr>
          <w:rFonts w:ascii="Times New Roman" w:hAnsi="Times New Roman" w:cs="Times New Roman"/>
        </w:rPr>
        <w:t>IgA</w:t>
      </w:r>
      <w:proofErr w:type="spellEnd"/>
      <w:r>
        <w:rPr>
          <w:rFonts w:ascii="Times New Roman" w:hAnsi="Times New Roman" w:cs="Times New Roman"/>
        </w:rPr>
        <w:t xml:space="preserve"> liga).</w:t>
      </w:r>
    </w:p>
    <w:p w:rsidR="004548C8" w:rsidRDefault="004548C8" w:rsidP="004548C8">
      <w:pPr>
        <w:widowControl w:val="0"/>
        <w:numPr>
          <w:ilvl w:val="0"/>
          <w:numId w:val="7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Sunkios odos reakcijos:</w:t>
      </w:r>
    </w:p>
    <w:p w:rsidR="004548C8" w:rsidRDefault="004548C8" w:rsidP="004548C8">
      <w:pPr>
        <w:widowControl w:val="0"/>
        <w:numPr>
          <w:ilvl w:val="0"/>
          <w:numId w:val="8"/>
        </w:numPr>
        <w:ind w:left="1134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plačiai išplitęs odos išbėrimas, kuris gali pasireikšti pūslėmis ar odos lupimusi, ypač apie burną, nosį, akis ir lytinius organus (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Stivenso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-Džonsono </w:t>
      </w:r>
      <w:r>
        <w:rPr>
          <w:rFonts w:ascii="Times New Roman" w:eastAsia="Calibri" w:hAnsi="Times New Roman" w:cs="Times New Roman"/>
          <w:i/>
          <w:szCs w:val="20"/>
          <w:lang w:eastAsia="sl-SI"/>
        </w:rPr>
        <w:t>(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Stevens-Johnson</w:t>
      </w:r>
      <w:proofErr w:type="spellEnd"/>
      <w:r>
        <w:rPr>
          <w:rFonts w:ascii="Times New Roman" w:eastAsia="Calibri" w:hAnsi="Times New Roman" w:cs="Times New Roman"/>
          <w:i/>
          <w:szCs w:val="20"/>
          <w:lang w:eastAsia="sl-SI"/>
        </w:rPr>
        <w:t xml:space="preserve">)  </w:t>
      </w:r>
      <w:r>
        <w:rPr>
          <w:rFonts w:ascii="Times New Roman" w:eastAsia="Calibri" w:hAnsi="Times New Roman" w:cs="Times New Roman"/>
          <w:szCs w:val="20"/>
          <w:lang w:eastAsia="sl-SI"/>
        </w:rPr>
        <w:t xml:space="preserve">sindromas), ir sunkesnėmis formomis, dėl kurių pasireiškia masyvus odos lupimasis (daugiau kaip 30% kūno paviršiaus ploto – </w:t>
      </w:r>
      <w:r>
        <w:rPr>
          <w:rFonts w:ascii="Times New Roman" w:eastAsia="Calibri" w:hAnsi="Times New Roman" w:cs="Times New Roman"/>
          <w:i/>
          <w:szCs w:val="20"/>
          <w:lang w:eastAsia="sl-SI"/>
        </w:rPr>
        <w:t xml:space="preserve">toksinė epidermio 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nekrolizė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);</w:t>
      </w:r>
    </w:p>
    <w:p w:rsidR="004548C8" w:rsidRDefault="004548C8" w:rsidP="004548C8">
      <w:pPr>
        <w:widowControl w:val="0"/>
        <w:numPr>
          <w:ilvl w:val="0"/>
          <w:numId w:val="8"/>
        </w:numPr>
        <w:ind w:left="1134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plačiai išplitęs raudonas odos išbėrimas, pasireiškiantis mažomis pūlingomis pūslėmis (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buliozinis</w:t>
      </w:r>
      <w:proofErr w:type="spellEnd"/>
      <w:r>
        <w:rPr>
          <w:rFonts w:ascii="Times New Roman" w:eastAsia="Calibri" w:hAnsi="Times New Roman" w:cs="Times New Roman"/>
          <w:i/>
          <w:szCs w:val="20"/>
          <w:lang w:eastAsia="sl-SI"/>
        </w:rPr>
        <w:t xml:space="preserve"> (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pūslinis</w:t>
      </w:r>
      <w:proofErr w:type="spellEnd"/>
      <w:r>
        <w:rPr>
          <w:rFonts w:ascii="Times New Roman" w:eastAsia="Calibri" w:hAnsi="Times New Roman" w:cs="Times New Roman"/>
          <w:i/>
          <w:szCs w:val="20"/>
          <w:lang w:eastAsia="sl-SI"/>
        </w:rPr>
        <w:t xml:space="preserve">) 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eksfoliacinis</w:t>
      </w:r>
      <w:proofErr w:type="spellEnd"/>
      <w:r>
        <w:rPr>
          <w:rFonts w:ascii="Times New Roman" w:eastAsia="Calibri" w:hAnsi="Times New Roman" w:cs="Times New Roman"/>
          <w:i/>
          <w:szCs w:val="20"/>
          <w:lang w:eastAsia="sl-SI"/>
        </w:rPr>
        <w:t xml:space="preserve"> dermatitas</w:t>
      </w:r>
      <w:r>
        <w:rPr>
          <w:rFonts w:ascii="Times New Roman" w:eastAsia="Calibri" w:hAnsi="Times New Roman" w:cs="Times New Roman"/>
          <w:szCs w:val="20"/>
          <w:lang w:eastAsia="sl-SI"/>
        </w:rPr>
        <w:t>);</w:t>
      </w:r>
    </w:p>
    <w:p w:rsidR="004548C8" w:rsidRDefault="004548C8" w:rsidP="004548C8">
      <w:pPr>
        <w:widowControl w:val="0"/>
        <w:numPr>
          <w:ilvl w:val="0"/>
          <w:numId w:val="8"/>
        </w:numPr>
        <w:ind w:left="1134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raudonas, žvynuotas išbėrimas, pasireiškiantis gumbais po oda ir pūslėmis (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egzanteminė</w:t>
      </w:r>
      <w:proofErr w:type="spellEnd"/>
      <w:r>
        <w:rPr>
          <w:rFonts w:ascii="Times New Roman" w:eastAsia="Calibri" w:hAnsi="Times New Roman" w:cs="Times New Roman"/>
          <w:i/>
          <w:szCs w:val="20"/>
          <w:lang w:eastAsia="sl-SI"/>
        </w:rPr>
        <w:t xml:space="preserve"> </w:t>
      </w:r>
      <w:proofErr w:type="spellStart"/>
      <w:r>
        <w:rPr>
          <w:rFonts w:ascii="Times New Roman" w:eastAsia="Calibri" w:hAnsi="Times New Roman" w:cs="Times New Roman"/>
          <w:i/>
          <w:szCs w:val="20"/>
          <w:lang w:eastAsia="sl-SI"/>
        </w:rPr>
        <w:t>pustuliozė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);</w:t>
      </w:r>
    </w:p>
    <w:p w:rsidR="004548C8" w:rsidRDefault="004548C8" w:rsidP="004548C8">
      <w:pPr>
        <w:widowControl w:val="0"/>
        <w:numPr>
          <w:ilvl w:val="0"/>
          <w:numId w:val="8"/>
        </w:numPr>
        <w:ind w:left="1134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į gripą panašūs simptomai, galintys pasireikšti su išbėrimu, karščiavimu, patinusiais limfmazgiais, taip pat nuo normos nukrypę  kraujo tyrimo rezultatai (įskaitant baltųjų kraujo ląstelių kiekio padidėjimą [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eozinofiliją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] ir kepenų fermentų padidėjimą) (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rekaciją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į vaistą </w:t>
      </w:r>
      <w:proofErr w:type="spellStart"/>
      <w:r>
        <w:rPr>
          <w:rFonts w:ascii="Times New Roman" w:hAnsi="Times New Roman" w:cs="Times New Roman"/>
          <w:bCs/>
          <w:shd w:val="clear" w:color="auto" w:fill="FFFFFF"/>
        </w:rPr>
        <w:t>eozinofilija</w:t>
      </w:r>
      <w:proofErr w:type="spellEnd"/>
      <w:r>
        <w:rPr>
          <w:rFonts w:ascii="Times New Roman" w:hAnsi="Times New Roman" w:cs="Times New Roman"/>
          <w:shd w:val="clear" w:color="auto" w:fill="FFFFFF"/>
        </w:rPr>
        <w:t xml:space="preserve"> ir </w:t>
      </w:r>
      <w:r>
        <w:rPr>
          <w:rFonts w:ascii="Times New Roman" w:hAnsi="Times New Roman" w:cs="Times New Roman"/>
          <w:bCs/>
          <w:shd w:val="clear" w:color="auto" w:fill="FFFFFF"/>
        </w:rPr>
        <w:t>sisteminiais simptomais</w:t>
      </w:r>
      <w:r>
        <w:rPr>
          <w:rFonts w:ascii="Times New Roman" w:hAnsi="Times New Roman" w:cs="Times New Roman"/>
          <w:bCs/>
          <w:i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6A6A6A"/>
          <w:shd w:val="clear" w:color="auto" w:fill="FFFFFF"/>
        </w:rPr>
        <w:t>[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ang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. </w:t>
      </w:r>
      <w:r>
        <w:rPr>
          <w:rFonts w:ascii="Times New Roman" w:eastAsia="Calibri" w:hAnsi="Times New Roman" w:cs="Times New Roman"/>
          <w:i/>
          <w:szCs w:val="20"/>
          <w:lang w:eastAsia="sl-SI"/>
        </w:rPr>
        <w:t>DRESS</w:t>
      </w:r>
      <w:r>
        <w:rPr>
          <w:rFonts w:ascii="Times New Roman" w:eastAsia="Calibri" w:hAnsi="Times New Roman" w:cs="Times New Roman"/>
          <w:szCs w:val="20"/>
          <w:lang w:eastAsia="sl-SI"/>
        </w:rPr>
        <w:t>]).</w:t>
      </w:r>
    </w:p>
    <w:p w:rsidR="004548C8" w:rsidRDefault="004548C8" w:rsidP="004548C8">
      <w:pPr>
        <w:widowControl w:val="0"/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Jeigu pasireiškė bet kuris iš nurodytų simptomų, nedelsdami kreipkitės į gydytoją</w:t>
      </w:r>
      <w:r>
        <w:rPr>
          <w:rFonts w:ascii="Times New Roman" w:eastAsia="Calibri" w:hAnsi="Times New Roman" w:cs="Times New Roman"/>
          <w:szCs w:val="20"/>
          <w:lang w:eastAsia="sl-SI"/>
        </w:rPr>
        <w:t>.</w:t>
      </w:r>
    </w:p>
    <w:p w:rsidR="004548C8" w:rsidRDefault="004548C8" w:rsidP="004548C8">
      <w:pPr>
        <w:widowControl w:val="0"/>
        <w:numPr>
          <w:ilvl w:val="0"/>
          <w:numId w:val="9"/>
        </w:numPr>
        <w:tabs>
          <w:tab w:val="left" w:pos="567"/>
        </w:tabs>
        <w:ind w:left="567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Kepenų uždegimas (</w:t>
      </w:r>
      <w:r>
        <w:rPr>
          <w:rFonts w:ascii="Times New Roman" w:eastAsia="Calibri" w:hAnsi="Times New Roman" w:cs="Times New Roman"/>
          <w:i/>
          <w:szCs w:val="20"/>
          <w:lang w:eastAsia="sl-SI"/>
        </w:rPr>
        <w:t>hepatitas</w:t>
      </w:r>
      <w:r>
        <w:rPr>
          <w:rFonts w:ascii="Times New Roman" w:eastAsia="Calibri" w:hAnsi="Times New Roman" w:cs="Times New Roman"/>
          <w:szCs w:val="20"/>
          <w:lang w:eastAsia="sl-SI"/>
        </w:rPr>
        <w:t>).</w:t>
      </w:r>
    </w:p>
    <w:p w:rsidR="004548C8" w:rsidRDefault="004548C8" w:rsidP="004548C8">
      <w:pPr>
        <w:widowControl w:val="0"/>
        <w:numPr>
          <w:ilvl w:val="0"/>
          <w:numId w:val="9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Bilirubino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(kepenyse gaminamos medžiagos) padaugėjimo kraujyje sukelta liga, kuri gali pasireikšti odos ir akių baltymų pageltimu.</w:t>
      </w:r>
    </w:p>
    <w:p w:rsidR="004548C8" w:rsidRDefault="004548C8" w:rsidP="004548C8">
      <w:pPr>
        <w:widowControl w:val="0"/>
        <w:numPr>
          <w:ilvl w:val="0"/>
          <w:numId w:val="9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Inkstų kanalėlių uždegimas.</w:t>
      </w:r>
    </w:p>
    <w:p w:rsidR="004548C8" w:rsidRDefault="004548C8" w:rsidP="004548C8">
      <w:pPr>
        <w:widowControl w:val="0"/>
        <w:numPr>
          <w:ilvl w:val="0"/>
          <w:numId w:val="9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Kraujo krešėjimo laiko pailgėjimas.</w:t>
      </w:r>
    </w:p>
    <w:p w:rsidR="004548C8" w:rsidRDefault="004548C8" w:rsidP="004548C8">
      <w:pPr>
        <w:widowControl w:val="0"/>
        <w:numPr>
          <w:ilvl w:val="0"/>
          <w:numId w:val="9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Pernelyg didelis aktyvumas.</w:t>
      </w:r>
    </w:p>
    <w:p w:rsidR="004548C8" w:rsidRDefault="004548C8" w:rsidP="004548C8">
      <w:pPr>
        <w:widowControl w:val="0"/>
        <w:numPr>
          <w:ilvl w:val="0"/>
          <w:numId w:val="9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Traukuliai (dideles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/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rūgšties dozes vartojantiems ar inkstų sutrikimais sergantiems žmonėms).</w:t>
      </w:r>
    </w:p>
    <w:p w:rsidR="004548C8" w:rsidRDefault="004548C8" w:rsidP="004548C8">
      <w:pPr>
        <w:widowControl w:val="0"/>
        <w:numPr>
          <w:ilvl w:val="0"/>
          <w:numId w:val="9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Juodas liežuvis, kuris atrodo tarsi gauruotas.</w:t>
      </w: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Šalutinis poveikis, kurį gali rodyti kraujo ar šlapimo tyrimai:</w:t>
      </w:r>
    </w:p>
    <w:p w:rsidR="004548C8" w:rsidRDefault="004548C8" w:rsidP="004548C8">
      <w:pPr>
        <w:widowControl w:val="0"/>
        <w:numPr>
          <w:ilvl w:val="0"/>
          <w:numId w:val="10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sunkus baltųjų kraujo ląstelių kiekio sumažėjimas;</w:t>
      </w:r>
    </w:p>
    <w:p w:rsidR="004548C8" w:rsidRDefault="004548C8" w:rsidP="004548C8">
      <w:pPr>
        <w:widowControl w:val="0"/>
        <w:numPr>
          <w:ilvl w:val="0"/>
          <w:numId w:val="10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mažas raudonųjų kraujo ląstelių kiekis (</w:t>
      </w:r>
      <w:r>
        <w:rPr>
          <w:rFonts w:ascii="Times New Roman" w:eastAsia="Calibri" w:hAnsi="Times New Roman" w:cs="Times New Roman"/>
          <w:i/>
          <w:szCs w:val="20"/>
          <w:lang w:eastAsia="sl-SI"/>
        </w:rPr>
        <w:t>hemolizinė anemija</w:t>
      </w:r>
      <w:r>
        <w:rPr>
          <w:rFonts w:ascii="Times New Roman" w:eastAsia="Calibri" w:hAnsi="Times New Roman" w:cs="Times New Roman"/>
          <w:szCs w:val="20"/>
          <w:lang w:eastAsia="sl-SI"/>
        </w:rPr>
        <w:t>);</w:t>
      </w:r>
    </w:p>
    <w:p w:rsidR="004548C8" w:rsidRDefault="004548C8" w:rsidP="004548C8">
      <w:pPr>
        <w:widowControl w:val="0"/>
        <w:numPr>
          <w:ilvl w:val="0"/>
          <w:numId w:val="10"/>
        </w:numPr>
        <w:tabs>
          <w:tab w:val="left" w:pos="567"/>
        </w:tabs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kristalai šlapime,</w:t>
      </w:r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kurie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gali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sukelti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ūminį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inkstų</w:t>
      </w:r>
      <w:proofErr w:type="spellEnd"/>
      <w:r>
        <w:rPr>
          <w:rFonts w:ascii="Times New Roman" w:eastAsia="Times New Roman" w:hAnsi="Times New Roman" w:cs="Times New Roman"/>
          <w:szCs w:val="20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val="en-GB"/>
        </w:rPr>
        <w:t>pažeidimą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>.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Pranešimas apie šalutinį poveikį</w:t>
      </w:r>
    </w:p>
    <w:p w:rsidR="004548C8" w:rsidRDefault="004548C8" w:rsidP="004548C8">
      <w:pPr>
        <w:tabs>
          <w:tab w:val="left" w:pos="567"/>
        </w:tabs>
        <w:spacing w:line="260" w:lineRule="exact"/>
        <w:ind w:left="0" w:right="-1" w:firstLine="0"/>
        <w:rPr>
          <w:rFonts w:ascii="Times New Roman" w:eastAsia="Times New Roman" w:hAnsi="Times New Roman" w:cs="Times New Roman"/>
          <w:snapToGrid w:val="0"/>
          <w:szCs w:val="20"/>
        </w:rPr>
      </w:pPr>
      <w:r>
        <w:rPr>
          <w:rFonts w:ascii="Times New Roman" w:eastAsia="Times New Roman" w:hAnsi="Times New Roman" w:cs="Times New Roman"/>
          <w:snapToGrid w:val="0"/>
          <w:szCs w:val="20"/>
        </w:rPr>
        <w:t xml:space="preserve">Jeigu pasireiškė šalutinis poveikis, įskaitant šiame lapelyje nenurodytą, pasakykite gydytojui, vaistininkui arba slaugytojui.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>
          <w:rPr>
            <w:rFonts w:ascii="Times New Roman" w:eastAsia="Times New Roman" w:hAnsi="Times New Roman" w:cs="Times New Roman"/>
            <w:snapToGrid w:val="0"/>
            <w:color w:val="0000FF"/>
            <w:szCs w:val="20"/>
            <w:u w:val="single"/>
          </w:rPr>
          <w:t>https://vapris.vvkt.lt/vvkt-web/public/nrv</w:t>
        </w:r>
      </w:hyperlink>
      <w:r>
        <w:rPr>
          <w:rFonts w:ascii="Times New Roman" w:eastAsia="Times New Roman" w:hAnsi="Times New Roman" w:cs="Times New Roman"/>
          <w:snapToGrid w:val="0"/>
          <w:szCs w:val="20"/>
        </w:rPr>
        <w:t xml:space="preserve"> arba užpildant Paciento pranešimo apie įtariamą nepageidaujamą reakciją (ĮNR) formą, kuri skelbiama </w:t>
      </w:r>
      <w:hyperlink r:id="rId6" w:history="1">
        <w:r>
          <w:rPr>
            <w:rFonts w:ascii="Times New Roman" w:eastAsia="Times New Roman" w:hAnsi="Times New Roman" w:cs="Times New Roman"/>
            <w:snapToGrid w:val="0"/>
            <w:color w:val="0000FF"/>
            <w:szCs w:val="20"/>
            <w:u w:val="single"/>
          </w:rPr>
          <w:t>https://www.vvkt.lt/index.php?4004286486</w:t>
        </w:r>
      </w:hyperlink>
      <w:r>
        <w:rPr>
          <w:rFonts w:ascii="Times New Roman" w:eastAsia="Times New Roman" w:hAnsi="Times New Roman" w:cs="Times New Roman"/>
          <w:snapToGrid w:val="0"/>
          <w:szCs w:val="20"/>
        </w:rPr>
        <w:t xml:space="preserve">, ir atsiunčiant elektroniniu paštu (adresu </w:t>
      </w:r>
      <w:hyperlink r:id="rId7" w:history="1">
        <w:r>
          <w:rPr>
            <w:rFonts w:ascii="Times New Roman" w:eastAsia="Times New Roman" w:hAnsi="Times New Roman" w:cs="Times New Roman"/>
            <w:snapToGrid w:val="0"/>
            <w:color w:val="0000FF"/>
            <w:szCs w:val="20"/>
            <w:u w:val="single"/>
          </w:rPr>
          <w:t>NepageidaujamaR@vvkt.lt</w:t>
        </w:r>
      </w:hyperlink>
      <w:r>
        <w:rPr>
          <w:rFonts w:ascii="Times New Roman" w:eastAsia="Times New Roman" w:hAnsi="Times New Roman" w:cs="Times New Roman"/>
          <w:snapToGrid w:val="0"/>
          <w:szCs w:val="20"/>
        </w:rPr>
        <w:t>) arba nemokamu telefonu 8 800 73 568. Pranešdami apie šalutinį poveikį galite mums padėti gauti daugiau informacijos apie šio vaisto saugumą.</w:t>
      </w:r>
    </w:p>
    <w:p w:rsidR="004548C8" w:rsidRDefault="004548C8" w:rsidP="004548C8">
      <w:pPr>
        <w:widowControl w:val="0"/>
        <w:tabs>
          <w:tab w:val="left" w:pos="567"/>
        </w:tabs>
        <w:snapToGrid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snapToGrid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5.</w:t>
      </w:r>
      <w:r>
        <w:rPr>
          <w:rFonts w:ascii="Times New Roman" w:eastAsia="Calibri" w:hAnsi="Times New Roman" w:cs="Times New Roman"/>
          <w:b/>
          <w:szCs w:val="20"/>
          <w:lang w:eastAsia="sl-SI"/>
        </w:rPr>
        <w:tab/>
        <w:t xml:space="preserve">Kaip laikyti </w:t>
      </w: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</w:p>
    <w:p w:rsidR="004548C8" w:rsidRDefault="004548C8" w:rsidP="004548C8">
      <w:pPr>
        <w:widowControl w:val="0"/>
        <w:numPr>
          <w:ilvl w:val="12"/>
          <w:numId w:val="0"/>
        </w:numPr>
        <w:ind w:left="567" w:right="-2" w:hanging="567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Šį vaistą laikykite vaikams nepastebimoje ir nepasiekiamoje vietoje.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Ant pakuotės po „EXP“ nurodytam tinkamumo laikui pasibaigus, šio vaisto vartoti negalima. Vaistas tinkamas vartoti iki paskutinės nurodyto mėnesio dienos.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ind w:left="0" w:firstLine="0"/>
        <w:rPr>
          <w:rFonts w:ascii="Times New Roman" w:eastAsia="Calibri" w:hAnsi="Times New Roman" w:cs="Times New Roman"/>
          <w:szCs w:val="20"/>
          <w:u w:val="single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u w:val="single"/>
          <w:lang w:eastAsia="sl-SI"/>
        </w:rPr>
        <w:t>Dvisluoksnė</w:t>
      </w:r>
      <w:proofErr w:type="spellEnd"/>
      <w:r>
        <w:rPr>
          <w:rFonts w:ascii="Times New Roman" w:eastAsia="Calibri" w:hAnsi="Times New Roman" w:cs="Times New Roman"/>
          <w:szCs w:val="20"/>
          <w:u w:val="single"/>
          <w:lang w:eastAsia="sl-SI"/>
        </w:rPr>
        <w:t xml:space="preserve"> juostelė ir lizdinė plokštelė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hAnsi="Times New Roman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Laikyti ne aukštesnėje kaip</w:t>
      </w:r>
      <w:r>
        <w:rPr>
          <w:rFonts w:ascii="Times New Roman" w:hAnsi="Times New Roman"/>
        </w:rPr>
        <w:t xml:space="preserve"> 25 °C </w:t>
      </w:r>
      <w:r>
        <w:rPr>
          <w:rFonts w:ascii="Times New Roman" w:eastAsia="Calibri" w:hAnsi="Times New Roman" w:cs="Times New Roman"/>
          <w:szCs w:val="20"/>
          <w:lang w:eastAsia="sl-SI"/>
        </w:rPr>
        <w:t>temperatūroje</w:t>
      </w:r>
      <w:r>
        <w:rPr>
          <w:rFonts w:ascii="Times New Roman" w:hAnsi="Times New Roman"/>
        </w:rPr>
        <w:t>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Laikyti gamintojo pakuotėje, kad vaistas būtų apsaugotas nuo drėgmės.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lastRenderedPageBreak/>
        <w:t>Vaistų negalima išmesti į kanalizaciją arba su buitinėmis atliekomis. Kaip išmesti nereikalingus vaistus, klauskite vaistininko. Šios priemonės padės apsaugoti aplinką.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left="567" w:right="-2" w:hanging="567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6.</w:t>
      </w:r>
      <w:r>
        <w:rPr>
          <w:rFonts w:ascii="Times New Roman" w:eastAsia="Calibri" w:hAnsi="Times New Roman" w:cs="Times New Roman"/>
          <w:b/>
          <w:szCs w:val="20"/>
          <w:lang w:eastAsia="sl-SI"/>
        </w:rPr>
        <w:tab/>
        <w:t>Pakuotės turinys ir kita informacija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b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sudėtis</w:t>
      </w:r>
    </w:p>
    <w:p w:rsidR="004548C8" w:rsidRDefault="004548C8" w:rsidP="004548C8">
      <w:pPr>
        <w:widowControl w:val="0"/>
        <w:numPr>
          <w:ilvl w:val="0"/>
          <w:numId w:val="11"/>
        </w:numPr>
        <w:spacing w:line="260" w:lineRule="exact"/>
        <w:ind w:left="567" w:hanging="567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Veikliosios medžiagos yra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amoksicilinas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ir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rūgštis.</w:t>
      </w: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u w:val="single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 xml:space="preserve"> 500 mg/125 mg plėvele dengtos tabletės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Kiekvienoje plėvele dengtoje tabletėje yra 500 mg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amoksicilino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trihidrato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pavidalu) ir 125 mg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rūgšties (kalio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klavulanato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pavidalu).</w:t>
      </w: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u w:val="single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 xml:space="preserve"> 875 mg/125 mg plėvele dengtos tabletės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 xml:space="preserve">Kiekvienoje plėvele dengtoje tabletėje yra 875 mg </w:t>
      </w:r>
      <w:proofErr w:type="spellStart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>amoksicilino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 xml:space="preserve"> (</w:t>
      </w:r>
      <w:proofErr w:type="spellStart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>amoksicilino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 xml:space="preserve"> </w:t>
      </w:r>
      <w:proofErr w:type="spellStart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>trihidrato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 xml:space="preserve"> pavidalu) ir 125 mg </w:t>
      </w:r>
      <w:proofErr w:type="spellStart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>klavulano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 xml:space="preserve"> rūgšties (kalio </w:t>
      </w:r>
      <w:proofErr w:type="spellStart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>klavulanato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 xml:space="preserve"> pavidalu).</w:t>
      </w: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Pagalbinės medžiagos yra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mikrokristalinė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celiuliozė (E460),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karboksimetilkrakmolo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A natrio druska, bevandenis koloidinis silicio dioksidas (E551) ir magnio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stearatas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(E470b) (tabletės šerdis) bei titano dioksidas (E171),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hipromeliozė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(E464),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propilenglikolis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(E1520), talkas (E553b) ir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etilceliuliozė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(E462) (plėvelė).</w:t>
      </w:r>
    </w:p>
    <w:p w:rsidR="004548C8" w:rsidRDefault="004548C8" w:rsidP="004548C8">
      <w:pPr>
        <w:widowControl w:val="0"/>
        <w:spacing w:line="260" w:lineRule="exact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hAnsi="Times New Roman" w:cs="Times New Roman"/>
          <w:snapToGrid w:val="0"/>
        </w:rPr>
        <w:t>Žr. 2 skyrių „</w:t>
      </w:r>
      <w:proofErr w:type="spellStart"/>
      <w:r>
        <w:rPr>
          <w:rFonts w:ascii="Times New Roman" w:hAnsi="Times New Roman" w:cs="Times New Roman"/>
          <w:snapToGrid w:val="0"/>
        </w:rPr>
        <w:t>Betaklav</w:t>
      </w:r>
      <w:proofErr w:type="spellEnd"/>
      <w:r>
        <w:rPr>
          <w:rFonts w:ascii="Times New Roman" w:hAnsi="Times New Roman" w:cs="Times New Roman"/>
          <w:snapToGrid w:val="0"/>
        </w:rPr>
        <w:t xml:space="preserve"> sudėtyje yra natrio“.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highlight w:val="lightGray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b/>
          <w:szCs w:val="20"/>
          <w:lang w:eastAsia="sl-SI"/>
        </w:rPr>
      </w:pPr>
      <w:proofErr w:type="spellStart"/>
      <w:r>
        <w:rPr>
          <w:rFonts w:ascii="Times New Roman" w:eastAsia="Calibri" w:hAnsi="Times New Roman" w:cs="Times New Roman"/>
          <w:b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b/>
          <w:szCs w:val="20"/>
          <w:lang w:eastAsia="sl-SI"/>
        </w:rPr>
        <w:t xml:space="preserve"> išvaizda ir kiekis pakuotėje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u w:val="single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 xml:space="preserve"> 500 mg/125 mg plėvele dengtos tabletės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Baltos arba beveik baltos spalvos, kapsulės formos, plėvele dengtos tabletės (tabletės), vienoje pusėje įspausta „I 06“, kita pusė lygi, tabletės ilgis yra 19,40 ± 0,10 mm.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u w:val="single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highlight w:val="lightGray"/>
          <w:u w:val="single"/>
          <w:lang w:eastAsia="sl-SI"/>
        </w:rPr>
        <w:t xml:space="preserve"> 875 mg/125 mg plėvele dengtos tabletės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highlight w:val="lightGray"/>
          <w:lang w:eastAsia="sl-SI"/>
        </w:rPr>
        <w:t>Baltos arba beveik baltos spalvos, kapsulės formos, plėvele dengtos tabletės (tabletės), vienoje pusėje įspausta „I 07“, kita pusė lygi, tabletės ilgis yra 21,70 ± 0,10 mm.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highlight w:val="lightGray"/>
          <w:lang w:eastAsia="sl-SI"/>
        </w:rPr>
      </w:pP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Betaklav</w:t>
      </w:r>
      <w:proofErr w:type="spellEnd"/>
      <w:r>
        <w:rPr>
          <w:rFonts w:ascii="Times New Roman" w:eastAsia="Calibri" w:hAnsi="Times New Roman" w:cs="Times New Roman"/>
          <w:szCs w:val="20"/>
          <w:lang w:eastAsia="sl-SI"/>
        </w:rPr>
        <w:t xml:space="preserve"> tiekiamas dėžutėmis po</w:t>
      </w:r>
      <w:r>
        <w:rPr>
          <w:rFonts w:ascii="Times New Roman" w:eastAsia="Calibri" w:hAnsi="Times New Roman" w:cs="Times New Roman"/>
          <w:lang w:eastAsia="lt-LT"/>
        </w:rPr>
        <w:t>:</w:t>
      </w:r>
    </w:p>
    <w:p w:rsidR="004548C8" w:rsidRDefault="004548C8" w:rsidP="004548C8">
      <w:pPr>
        <w:widowControl w:val="0"/>
        <w:numPr>
          <w:ilvl w:val="0"/>
          <w:numId w:val="12"/>
        </w:numPr>
        <w:ind w:left="567" w:hanging="567"/>
        <w:rPr>
          <w:rFonts w:ascii="Times New Roman" w:eastAsia="Calibri" w:hAnsi="Times New Roman" w:cs="Times New Roman"/>
          <w:bCs/>
          <w:lang w:eastAsia="lt-LT"/>
        </w:rPr>
      </w:pPr>
      <w:r>
        <w:rPr>
          <w:rFonts w:ascii="Times New Roman" w:eastAsia="Calibri" w:hAnsi="Times New Roman" w:cs="Times New Roman"/>
          <w:lang w:eastAsia="lt-LT"/>
        </w:rPr>
        <w:t xml:space="preserve">10, 12, 14, 16, 20, 21, 24, 30, 100 arba 500 </w:t>
      </w:r>
      <w:r>
        <w:rPr>
          <w:rFonts w:ascii="Times New Roman" w:eastAsia="Calibri" w:hAnsi="Times New Roman" w:cs="Times New Roman"/>
        </w:rPr>
        <w:t xml:space="preserve">plėvele dengtų tablečių </w:t>
      </w:r>
      <w:proofErr w:type="spellStart"/>
      <w:r>
        <w:rPr>
          <w:rFonts w:ascii="Times New Roman" w:eastAsia="Calibri" w:hAnsi="Times New Roman" w:cs="Times New Roman"/>
        </w:rPr>
        <w:t>dvisluoksnėse</w:t>
      </w:r>
      <w:proofErr w:type="spellEnd"/>
      <w:r>
        <w:rPr>
          <w:rFonts w:ascii="Times New Roman" w:eastAsia="Calibri" w:hAnsi="Times New Roman" w:cs="Times New Roman"/>
        </w:rPr>
        <w:t xml:space="preserve"> juostelėse.</w:t>
      </w:r>
    </w:p>
    <w:p w:rsidR="004548C8" w:rsidRDefault="004548C8" w:rsidP="004548C8">
      <w:pPr>
        <w:widowControl w:val="0"/>
        <w:numPr>
          <w:ilvl w:val="0"/>
          <w:numId w:val="12"/>
        </w:numPr>
        <w:ind w:left="567" w:hanging="567"/>
        <w:contextualSpacing/>
        <w:rPr>
          <w:rFonts w:ascii="Times New Roman" w:eastAsia="Calibri" w:hAnsi="Times New Roman" w:cs="Times New Roman"/>
          <w:bCs/>
          <w:lang w:eastAsia="lt-LT"/>
        </w:rPr>
      </w:pPr>
      <w:r>
        <w:rPr>
          <w:rFonts w:ascii="Times New Roman" w:eastAsia="Calibri" w:hAnsi="Times New Roman" w:cs="Times New Roman"/>
          <w:lang w:eastAsia="lt-LT"/>
        </w:rPr>
        <w:t xml:space="preserve">10, 12, 14, 16, 20, 21, 24, 30, 100 arba 500 </w:t>
      </w:r>
      <w:r>
        <w:rPr>
          <w:rFonts w:ascii="Times New Roman" w:eastAsia="Calibri" w:hAnsi="Times New Roman" w:cs="Times New Roman"/>
        </w:rPr>
        <w:t>plėvele dengtų tablečių lizdinėse plokštelėse.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Gali būti tiekiamos ne visų dydžių pakuotės.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highlight w:val="lightGray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Registruotojas ir gamintojas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i/>
          <w:szCs w:val="20"/>
          <w:lang w:eastAsia="sl-SI"/>
        </w:rPr>
      </w:pPr>
      <w:r>
        <w:rPr>
          <w:rFonts w:ascii="Times New Roman" w:eastAsia="Calibri" w:hAnsi="Times New Roman" w:cs="Times New Roman"/>
          <w:i/>
          <w:szCs w:val="20"/>
          <w:lang w:eastAsia="sl-SI"/>
        </w:rPr>
        <w:t>Registruotojas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KRKA, </w:t>
      </w:r>
      <w:proofErr w:type="spellStart"/>
      <w:r>
        <w:rPr>
          <w:rFonts w:ascii="Times New Roman" w:eastAsia="Calibri" w:hAnsi="Times New Roman" w:cs="Times New Roman"/>
          <w:szCs w:val="20"/>
          <w:lang w:eastAsia="sl-SI"/>
        </w:rPr>
        <w:t>d.</w:t>
      </w:r>
      <w:r>
        <w:rPr>
          <w:rFonts w:ascii="Times New Roman" w:eastAsia="Times New Roman" w:hAnsi="Times New Roman" w:cs="Times New Roman"/>
          <w:szCs w:val="20"/>
          <w:lang w:eastAsia="sl-SI"/>
        </w:rPr>
        <w:t>d</w:t>
      </w:r>
      <w:proofErr w:type="spellEnd"/>
      <w:r>
        <w:rPr>
          <w:rFonts w:ascii="Times New Roman" w:eastAsia="Times New Roman" w:hAnsi="Times New Roman" w:cs="Times New Roman"/>
          <w:szCs w:val="20"/>
          <w:lang w:eastAsia="sl-SI"/>
        </w:rPr>
        <w:t>., Novo mesto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Times New Roman" w:hAnsi="Times New Roman" w:cs="Times New Roman"/>
          <w:szCs w:val="20"/>
          <w:lang w:eastAsia="sl-SI"/>
        </w:rPr>
        <w:t>Šmarješka</w:t>
      </w:r>
      <w:proofErr w:type="spellEnd"/>
      <w:r>
        <w:rPr>
          <w:rFonts w:ascii="Times New Roman" w:eastAsia="Times New Roman" w:hAnsi="Times New Roman" w:cs="Times New Roman"/>
          <w:szCs w:val="20"/>
          <w:lang w:eastAsia="sl-SI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eastAsia="sl-SI"/>
        </w:rPr>
        <w:t>cesta</w:t>
      </w:r>
      <w:proofErr w:type="spellEnd"/>
      <w:r>
        <w:rPr>
          <w:rFonts w:ascii="Times New Roman" w:eastAsia="Times New Roman" w:hAnsi="Times New Roman" w:cs="Times New Roman"/>
          <w:szCs w:val="20"/>
          <w:lang w:eastAsia="sl-SI"/>
        </w:rPr>
        <w:t xml:space="preserve"> 6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  <w:r>
        <w:rPr>
          <w:rFonts w:ascii="Times New Roman" w:eastAsia="Times New Roman" w:hAnsi="Times New Roman" w:cs="Times New Roman"/>
          <w:szCs w:val="20"/>
          <w:lang w:eastAsia="sl-SI"/>
        </w:rPr>
        <w:t>8501 Novo mesto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  <w:r>
        <w:rPr>
          <w:rFonts w:ascii="Times New Roman" w:eastAsia="Times New Roman" w:hAnsi="Times New Roman" w:cs="Times New Roman"/>
          <w:szCs w:val="20"/>
          <w:lang w:eastAsia="sl-SI"/>
        </w:rPr>
        <w:t>Slovėnija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i/>
          <w:szCs w:val="20"/>
          <w:lang w:eastAsia="sl-SI"/>
        </w:rPr>
      </w:pPr>
      <w:r>
        <w:rPr>
          <w:rFonts w:ascii="Times New Roman" w:eastAsia="Times New Roman" w:hAnsi="Times New Roman" w:cs="Times New Roman"/>
          <w:i/>
          <w:szCs w:val="20"/>
          <w:lang w:eastAsia="sl-SI"/>
        </w:rPr>
        <w:t>Gamintojai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  <w:r>
        <w:rPr>
          <w:rFonts w:ascii="Times New Roman" w:eastAsia="Times New Roman" w:hAnsi="Times New Roman" w:cs="Times New Roman"/>
          <w:szCs w:val="20"/>
          <w:lang w:eastAsia="sl-SI"/>
        </w:rPr>
        <w:t xml:space="preserve">KRKA, </w:t>
      </w:r>
      <w:proofErr w:type="spellStart"/>
      <w:r>
        <w:rPr>
          <w:rFonts w:ascii="Times New Roman" w:eastAsia="Times New Roman" w:hAnsi="Times New Roman" w:cs="Times New Roman"/>
          <w:szCs w:val="20"/>
          <w:lang w:eastAsia="sl-SI"/>
        </w:rPr>
        <w:t>d.d</w:t>
      </w:r>
      <w:proofErr w:type="spellEnd"/>
      <w:r>
        <w:rPr>
          <w:rFonts w:ascii="Times New Roman" w:eastAsia="Times New Roman" w:hAnsi="Times New Roman" w:cs="Times New Roman"/>
          <w:szCs w:val="20"/>
          <w:lang w:eastAsia="sl-SI"/>
        </w:rPr>
        <w:t>., Novo mesto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Times New Roman" w:hAnsi="Times New Roman" w:cs="Times New Roman"/>
          <w:szCs w:val="20"/>
          <w:lang w:eastAsia="sl-SI"/>
        </w:rPr>
        <w:t>Šmarješka</w:t>
      </w:r>
      <w:proofErr w:type="spellEnd"/>
      <w:r>
        <w:rPr>
          <w:rFonts w:ascii="Times New Roman" w:eastAsia="Times New Roman" w:hAnsi="Times New Roman" w:cs="Times New Roman"/>
          <w:szCs w:val="20"/>
          <w:lang w:eastAsia="sl-SI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0"/>
          <w:lang w:eastAsia="sl-SI"/>
        </w:rPr>
        <w:t>cesta</w:t>
      </w:r>
      <w:proofErr w:type="spellEnd"/>
      <w:r>
        <w:rPr>
          <w:rFonts w:ascii="Times New Roman" w:eastAsia="Times New Roman" w:hAnsi="Times New Roman" w:cs="Times New Roman"/>
          <w:szCs w:val="20"/>
          <w:lang w:eastAsia="sl-SI"/>
        </w:rPr>
        <w:t xml:space="preserve"> 6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  <w:r>
        <w:rPr>
          <w:rFonts w:ascii="Times New Roman" w:eastAsia="Times New Roman" w:hAnsi="Times New Roman" w:cs="Times New Roman"/>
          <w:szCs w:val="20"/>
          <w:lang w:eastAsia="sl-SI"/>
        </w:rPr>
        <w:t>8501 Novo mesto</w:t>
      </w:r>
    </w:p>
    <w:p w:rsidR="004548C8" w:rsidRDefault="004548C8" w:rsidP="004548C8">
      <w:pPr>
        <w:widowControl w:val="0"/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  <w:r>
        <w:rPr>
          <w:rFonts w:ascii="Times New Roman" w:eastAsia="Times New Roman" w:hAnsi="Times New Roman" w:cs="Times New Roman"/>
          <w:szCs w:val="20"/>
          <w:lang w:eastAsia="sl-SI"/>
        </w:rPr>
        <w:t>Slovėnija</w:t>
      </w:r>
    </w:p>
    <w:p w:rsidR="004548C8" w:rsidRDefault="004548C8" w:rsidP="004548C8">
      <w:pPr>
        <w:widowControl w:val="0"/>
        <w:tabs>
          <w:tab w:val="left" w:pos="567"/>
        </w:tabs>
        <w:ind w:left="0" w:firstLine="0"/>
        <w:rPr>
          <w:rFonts w:ascii="Times New Roman" w:eastAsia="Times New Roman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tabs>
          <w:tab w:val="left" w:pos="567"/>
        </w:tabs>
        <w:ind w:left="0" w:firstLine="0"/>
        <w:jc w:val="both"/>
        <w:rPr>
          <w:rFonts w:ascii="Times New Roman" w:eastAsia="Times New Roman" w:hAnsi="Times New Roman" w:cs="Times New Roman"/>
          <w:szCs w:val="20"/>
          <w:lang w:eastAsia="sl-SI"/>
        </w:rPr>
      </w:pPr>
      <w:r>
        <w:rPr>
          <w:rFonts w:ascii="Times New Roman" w:eastAsia="Times New Roman" w:hAnsi="Times New Roman" w:cs="Times New Roman"/>
          <w:szCs w:val="20"/>
          <w:lang w:eastAsia="sl-SI"/>
        </w:rPr>
        <w:t>arba</w:t>
      </w:r>
    </w:p>
    <w:p w:rsidR="004548C8" w:rsidRDefault="004548C8" w:rsidP="004548C8">
      <w:pPr>
        <w:widowControl w:val="0"/>
        <w:tabs>
          <w:tab w:val="left" w:pos="567"/>
        </w:tabs>
        <w:ind w:left="0" w:firstLine="0"/>
        <w:jc w:val="both"/>
        <w:rPr>
          <w:rFonts w:ascii="Times New Roman" w:eastAsia="Times New Roman" w:hAnsi="Times New Roman" w:cs="Times New Roman"/>
          <w:szCs w:val="20"/>
          <w:lang w:eastAsia="sl-SI"/>
        </w:rPr>
      </w:pPr>
    </w:p>
    <w:p w:rsidR="004548C8" w:rsidRDefault="004548C8" w:rsidP="004548C8">
      <w:pPr>
        <w:ind w:left="0" w:firstLine="0"/>
        <w:rPr>
          <w:rFonts w:ascii="Times New Roman" w:eastAsia="TimesNewRoman" w:hAnsi="Times New Roman" w:cs="Times New Roman"/>
          <w:szCs w:val="20"/>
          <w:lang w:eastAsia="sl-SI"/>
        </w:rPr>
      </w:pPr>
      <w:r>
        <w:rPr>
          <w:rFonts w:ascii="Times New Roman" w:eastAsia="TimesNewRoman" w:hAnsi="Times New Roman" w:cs="Times New Roman"/>
          <w:szCs w:val="20"/>
          <w:lang w:eastAsia="sl-SI"/>
        </w:rPr>
        <w:t xml:space="preserve">TAD </w:t>
      </w:r>
      <w:proofErr w:type="spellStart"/>
      <w:r>
        <w:rPr>
          <w:rFonts w:ascii="Times New Roman" w:eastAsia="TimesNewRoman" w:hAnsi="Times New Roman" w:cs="Times New Roman"/>
          <w:szCs w:val="20"/>
          <w:lang w:eastAsia="sl-SI"/>
        </w:rPr>
        <w:t>Pharma</w:t>
      </w:r>
      <w:proofErr w:type="spellEnd"/>
      <w:r>
        <w:rPr>
          <w:rFonts w:ascii="Times New Roman" w:eastAsia="TimesNewRoman" w:hAnsi="Times New Roman" w:cs="Times New Roman"/>
          <w:szCs w:val="20"/>
          <w:lang w:eastAsia="sl-SI"/>
        </w:rPr>
        <w:t xml:space="preserve"> </w:t>
      </w:r>
      <w:proofErr w:type="spellStart"/>
      <w:r>
        <w:rPr>
          <w:rFonts w:ascii="Times New Roman" w:eastAsia="TimesNewRoman" w:hAnsi="Times New Roman" w:cs="Times New Roman"/>
          <w:szCs w:val="20"/>
          <w:lang w:eastAsia="sl-SI"/>
        </w:rPr>
        <w:t>GmbH</w:t>
      </w:r>
      <w:proofErr w:type="spellEnd"/>
    </w:p>
    <w:p w:rsidR="004548C8" w:rsidRDefault="004548C8" w:rsidP="004548C8">
      <w:pPr>
        <w:ind w:left="0" w:firstLine="0"/>
        <w:rPr>
          <w:rFonts w:ascii="Times New Roman" w:eastAsia="TimesNewRoman" w:hAnsi="Times New Roman" w:cs="Times New Roman"/>
          <w:szCs w:val="20"/>
          <w:lang w:eastAsia="sl-SI"/>
        </w:rPr>
      </w:pPr>
      <w:proofErr w:type="spellStart"/>
      <w:r>
        <w:rPr>
          <w:rFonts w:ascii="Times New Roman" w:eastAsia="TimesNewRoman" w:hAnsi="Times New Roman" w:cs="Times New Roman"/>
          <w:szCs w:val="20"/>
          <w:lang w:eastAsia="sl-SI"/>
        </w:rPr>
        <w:t>Heinz-Lohmann-Straße</w:t>
      </w:r>
      <w:proofErr w:type="spellEnd"/>
      <w:r>
        <w:rPr>
          <w:rFonts w:ascii="Times New Roman" w:eastAsia="TimesNewRoman" w:hAnsi="Times New Roman" w:cs="Times New Roman"/>
          <w:szCs w:val="20"/>
          <w:lang w:eastAsia="sl-SI"/>
        </w:rPr>
        <w:t xml:space="preserve"> 5</w:t>
      </w:r>
    </w:p>
    <w:p w:rsidR="004548C8" w:rsidRDefault="004548C8" w:rsidP="004548C8">
      <w:pPr>
        <w:widowControl w:val="0"/>
        <w:tabs>
          <w:tab w:val="left" w:pos="567"/>
        </w:tabs>
        <w:ind w:left="0" w:firstLine="0"/>
        <w:jc w:val="both"/>
        <w:rPr>
          <w:rFonts w:ascii="Times New Roman" w:eastAsia="TimesNewRoman" w:hAnsi="Times New Roman" w:cs="Times New Roman"/>
          <w:szCs w:val="20"/>
          <w:lang w:eastAsia="sl-SI"/>
        </w:rPr>
      </w:pPr>
      <w:r>
        <w:rPr>
          <w:rFonts w:ascii="Times New Roman" w:eastAsia="TimesNewRoman" w:hAnsi="Times New Roman" w:cs="Times New Roman"/>
          <w:szCs w:val="20"/>
          <w:lang w:eastAsia="sl-SI"/>
        </w:rPr>
        <w:t xml:space="preserve">27472 </w:t>
      </w:r>
      <w:proofErr w:type="spellStart"/>
      <w:r>
        <w:rPr>
          <w:rFonts w:ascii="Times New Roman" w:eastAsia="TimesNewRoman" w:hAnsi="Times New Roman" w:cs="Times New Roman"/>
          <w:szCs w:val="20"/>
          <w:lang w:eastAsia="sl-SI"/>
        </w:rPr>
        <w:t>Cuxhaven</w:t>
      </w:r>
      <w:proofErr w:type="spellEnd"/>
    </w:p>
    <w:p w:rsidR="004548C8" w:rsidRDefault="004548C8" w:rsidP="004548C8">
      <w:pPr>
        <w:widowControl w:val="0"/>
        <w:tabs>
          <w:tab w:val="left" w:pos="567"/>
        </w:tabs>
        <w:ind w:left="0" w:firstLine="0"/>
        <w:jc w:val="both"/>
        <w:rPr>
          <w:rFonts w:ascii="Times New Roman" w:eastAsia="TimesNewRoman" w:hAnsi="Times New Roman" w:cs="Times New Roman"/>
          <w:szCs w:val="20"/>
          <w:lang w:eastAsia="sl-SI"/>
        </w:rPr>
      </w:pPr>
      <w:r>
        <w:rPr>
          <w:rFonts w:ascii="Times New Roman" w:eastAsia="TimesNewRoman" w:hAnsi="Times New Roman" w:cs="Times New Roman"/>
          <w:szCs w:val="20"/>
          <w:lang w:eastAsia="sl-SI"/>
        </w:rPr>
        <w:t>Vokietija</w:t>
      </w:r>
    </w:p>
    <w:p w:rsidR="004548C8" w:rsidRDefault="004548C8" w:rsidP="004548C8">
      <w:pPr>
        <w:widowControl w:val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>Jeigu apie šį vaistą norite sužinoti daugiau, kreipkitės į vietinį registruotojo atstovą.</w:t>
      </w:r>
    </w:p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tbl>
      <w:tblPr>
        <w:tblW w:w="46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680"/>
      </w:tblGrid>
      <w:tr w:rsidR="004548C8" w:rsidTr="007C655B">
        <w:tc>
          <w:tcPr>
            <w:tcW w:w="4678" w:type="dxa"/>
            <w:hideMark/>
          </w:tcPr>
          <w:p w:rsidR="004548C8" w:rsidRDefault="004548C8" w:rsidP="007C655B">
            <w:pPr>
              <w:widowControl w:val="0"/>
              <w:ind w:left="0" w:firstLine="0"/>
              <w:rPr>
                <w:rFonts w:ascii="Times New Roman" w:eastAsia="SimSun" w:hAnsi="Times New Roman" w:cs="Times New Roman"/>
                <w:szCs w:val="20"/>
                <w:lang w:val="sl-SI" w:eastAsia="sl-SI"/>
              </w:rPr>
            </w:pPr>
            <w:r>
              <w:rPr>
                <w:rFonts w:ascii="Times New Roman" w:eastAsia="SimSun" w:hAnsi="Times New Roman" w:cs="Times New Roman"/>
                <w:szCs w:val="20"/>
                <w:lang w:val="sl-SI" w:eastAsia="sl-SI"/>
              </w:rPr>
              <w:lastRenderedPageBreak/>
              <w:t>UAB KRKA Lietuva</w:t>
            </w:r>
          </w:p>
          <w:p w:rsidR="004548C8" w:rsidRDefault="004548C8" w:rsidP="007C655B">
            <w:pPr>
              <w:widowControl w:val="0"/>
              <w:ind w:left="0" w:firstLine="0"/>
              <w:rPr>
                <w:rFonts w:ascii="Times New Roman" w:eastAsia="SimSun" w:hAnsi="Times New Roman" w:cs="Times New Roman"/>
                <w:szCs w:val="20"/>
                <w:lang w:val="sl-SI" w:eastAsia="sl-SI"/>
              </w:rPr>
            </w:pPr>
            <w:r>
              <w:rPr>
                <w:rFonts w:ascii="Times New Roman" w:eastAsia="SimSun" w:hAnsi="Times New Roman" w:cs="Times New Roman"/>
                <w:szCs w:val="20"/>
                <w:lang w:val="sl-SI" w:eastAsia="sl-SI"/>
              </w:rPr>
              <w:t>Senasis Ukmergės kelias 4</w:t>
            </w:r>
          </w:p>
          <w:p w:rsidR="004548C8" w:rsidRDefault="004548C8" w:rsidP="007C655B">
            <w:pPr>
              <w:widowControl w:val="0"/>
              <w:ind w:left="0" w:firstLine="0"/>
              <w:rPr>
                <w:rFonts w:ascii="Times New Roman" w:eastAsia="SimSun" w:hAnsi="Times New Roman" w:cs="Times New Roman"/>
                <w:szCs w:val="20"/>
                <w:lang w:val="sl-SI" w:eastAsia="sl-SI"/>
              </w:rPr>
            </w:pPr>
            <w:r>
              <w:rPr>
                <w:rFonts w:ascii="Times New Roman" w:eastAsia="SimSun" w:hAnsi="Times New Roman" w:cs="Times New Roman"/>
                <w:szCs w:val="20"/>
                <w:lang w:val="sl-SI" w:eastAsia="sl-SI"/>
              </w:rPr>
              <w:t>Vilniaus raj., Užubalių k.</w:t>
            </w:r>
          </w:p>
          <w:p w:rsidR="004548C8" w:rsidRDefault="004548C8" w:rsidP="007C655B">
            <w:pPr>
              <w:widowControl w:val="0"/>
              <w:ind w:left="0" w:firstLine="0"/>
              <w:rPr>
                <w:rFonts w:ascii="Times New Roman" w:eastAsia="SimSun" w:hAnsi="Times New Roman" w:cs="Times New Roman"/>
                <w:szCs w:val="20"/>
                <w:lang w:val="sl-SI" w:eastAsia="sl-SI"/>
              </w:rPr>
            </w:pPr>
            <w:r>
              <w:rPr>
                <w:rFonts w:ascii="Times New Roman" w:eastAsia="SimSun" w:hAnsi="Times New Roman" w:cs="Times New Roman"/>
                <w:szCs w:val="20"/>
                <w:lang w:val="sl-SI" w:eastAsia="sl-SI"/>
              </w:rPr>
              <w:t>LT - 14013</w:t>
            </w:r>
          </w:p>
          <w:p w:rsidR="004548C8" w:rsidRDefault="004548C8" w:rsidP="007C655B">
            <w:pPr>
              <w:widowControl w:val="0"/>
              <w:ind w:left="0" w:firstLine="0"/>
              <w:rPr>
                <w:rFonts w:ascii="Times New Roman" w:eastAsia="SimSun" w:hAnsi="Times New Roman" w:cs="Times New Roman"/>
                <w:szCs w:val="20"/>
                <w:lang w:val="sl-SI" w:eastAsia="sl-SI"/>
              </w:rPr>
            </w:pPr>
            <w:r>
              <w:rPr>
                <w:rFonts w:ascii="Times New Roman" w:eastAsia="SimSun" w:hAnsi="Times New Roman" w:cs="Times New Roman"/>
                <w:szCs w:val="20"/>
                <w:lang w:val="sl-SI" w:eastAsia="sl-SI"/>
              </w:rPr>
              <w:t>Tel. + 370 5 236 27 40</w:t>
            </w:r>
          </w:p>
        </w:tc>
      </w:tr>
    </w:tbl>
    <w:p w:rsidR="004548C8" w:rsidRDefault="004548C8" w:rsidP="004548C8">
      <w:pPr>
        <w:widowControl w:val="0"/>
        <w:ind w:left="0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outlineLvl w:val="0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Šis vaistas Europos ekonominės erdvės valstybėse narėse registruotas tokiais pavadinimais:</w:t>
      </w: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1"/>
        <w:gridCol w:w="4559"/>
      </w:tblGrid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Čekija, Danija, Estija, Suomija, Vengrija, Kroatija, Latvija, Švedija, Slovakija, Slovėnija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Betaklav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Austrija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Amoxicillin/Clavulansäure Krka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Bulgarija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Бетаклав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Vokietija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Amoxicillin/Clavulansäure TAD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Airija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Amoxicillin/clavulanic acid Krka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Ispanija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es-ES" w:eastAsia="sl-SI"/>
              </w:rPr>
              <w:t xml:space="preserve">Amoxicilina/Ácido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val="es-ES" w:eastAsia="sl-SI"/>
              </w:rPr>
              <w:t>clavulánico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val="es-ES" w:eastAsia="sl-SI"/>
              </w:rPr>
              <w:t xml:space="preserve"> TAD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Italija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Amoxicillina e acido clavulanico Krka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Lenkija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Hiconcil combi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Portugalija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Amoxicilina+Ácido clavulânico Krka</w:t>
            </w:r>
          </w:p>
        </w:tc>
      </w:tr>
      <w:tr w:rsidR="004548C8" w:rsidTr="007C655B">
        <w:trPr>
          <w:trHeight w:val="2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  <w:t>Rumunija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C8" w:rsidRDefault="004548C8" w:rsidP="007C655B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rFonts w:ascii="Times New Roman" w:eastAsia="Times New Roman" w:hAnsi="Times New Roman" w:cs="Times New Roman"/>
                <w:szCs w:val="20"/>
                <w:lang w:val="lv-LV" w:eastAsia="sl-SI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val="en-GB" w:eastAsia="sl-SI"/>
              </w:rPr>
              <w:t>Amoxicilină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val="en-GB" w:eastAsia="sl-SI"/>
              </w:rPr>
              <w:t>/Acid clavulanic Krka</w:t>
            </w:r>
          </w:p>
        </w:tc>
      </w:tr>
    </w:tbl>
    <w:p w:rsidR="004548C8" w:rsidRDefault="004548C8" w:rsidP="004548C8">
      <w:pPr>
        <w:ind w:left="0" w:firstLine="0"/>
        <w:rPr>
          <w:rFonts w:ascii="Times New Roman" w:eastAsia="Times New Roman" w:hAnsi="Times New Roman" w:cs="Times New Roman"/>
          <w:szCs w:val="20"/>
          <w:lang w:val="lv-LV" w:eastAsia="sl-SI"/>
        </w:rPr>
      </w:pPr>
    </w:p>
    <w:p w:rsidR="004548C8" w:rsidRDefault="004548C8" w:rsidP="004548C8">
      <w:pPr>
        <w:widowControl w:val="0"/>
        <w:ind w:left="0" w:right="-2" w:firstLine="0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b/>
          <w:szCs w:val="20"/>
          <w:lang w:eastAsia="sl-SI"/>
        </w:rPr>
      </w:pPr>
      <w:r>
        <w:rPr>
          <w:rFonts w:ascii="Times New Roman" w:eastAsia="Calibri" w:hAnsi="Times New Roman" w:cs="Times New Roman"/>
          <w:b/>
          <w:szCs w:val="20"/>
          <w:lang w:eastAsia="sl-SI"/>
        </w:rPr>
        <w:t>Šis pakuotės lapelis paskutinį kartą peržiūrėtas 2025-03-24.</w:t>
      </w: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Calibri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Times New Roman" w:hAnsi="Times New Roman" w:cs="Times New Roman"/>
          <w:color w:val="0000FF"/>
          <w:szCs w:val="20"/>
          <w:u w:val="single"/>
          <w:lang w:eastAsia="sl-SI"/>
        </w:rPr>
      </w:pPr>
      <w:r>
        <w:rPr>
          <w:rFonts w:ascii="Times New Roman" w:eastAsia="Calibri" w:hAnsi="Times New Roman" w:cs="Times New Roman"/>
          <w:szCs w:val="20"/>
          <w:lang w:eastAsia="sl-SI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7761CC">
          <w:rPr>
            <w:rStyle w:val="Hipersaitas"/>
          </w:rPr>
          <w:t>http://www.vvkt.lt/</w:t>
        </w:r>
      </w:hyperlink>
    </w:p>
    <w:p w:rsidR="004548C8" w:rsidRDefault="004548C8" w:rsidP="004548C8">
      <w:pPr>
        <w:widowControl w:val="0"/>
        <w:numPr>
          <w:ilvl w:val="12"/>
          <w:numId w:val="0"/>
        </w:numPr>
        <w:ind w:right="-2"/>
        <w:rPr>
          <w:rFonts w:ascii="Times New Roman" w:eastAsia="Times New Roman" w:hAnsi="Times New Roman" w:cs="Times New Roman"/>
          <w:szCs w:val="20"/>
          <w:u w:val="single"/>
          <w:lang w:eastAsia="sl-SI"/>
        </w:rPr>
      </w:pP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b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b/>
          <w:color w:val="000000"/>
          <w:szCs w:val="20"/>
          <w:lang w:eastAsia="sl-SI"/>
        </w:rPr>
        <w:t>Patarimai ir medicininis švietimas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>Antibiotikai vartojami bakterijų sukeltoms infekcinėms ligoms gydyti. Virusų sukeltų infekcinių ligų gydymas antibiotikais yra neveiksmingas.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>Kartais bakterijų sukeltos infekcinės ligos nereaguoja į gydymą antibiotikais. Viena iš dažniausių to priežasčių yra infekcinę ligą sukėlusių bakterijų atsparumas vartojamiems antibiotikams. Tai reiškia, kad bakterijos išlieka gyvos ir net dauginasi nepaisant antibiotikų vartojimo.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>Bakterijos gali tapti atsparios antibiotikų poveikiui dėl daugelio priežasčių. Atidus antibiotikų vartojimas gali padėti sumažinti tikimybę, kad bakterija taps jiems atspari.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>Kai gydytojas skiria gydymą antibiotikais, jis būna skirtas tik Jūsų esamai ligai gydyti. Jei atkreipsite dėmesį į toliau pateikiamus patarimus, tai padės neleisti atsirasti atsparioms bakterijoms, dėl kurių antibiotikai gali tapti neveiksmingi.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</w:p>
    <w:p w:rsidR="004548C8" w:rsidRDefault="004548C8" w:rsidP="004548C8">
      <w:pPr>
        <w:widowControl w:val="0"/>
        <w:autoSpaceDE w:val="0"/>
        <w:autoSpaceDN w:val="0"/>
        <w:adjustRightInd w:val="0"/>
        <w:ind w:left="560" w:hanging="56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>1.</w:t>
      </w: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ab/>
        <w:t>Labai svarbu, kad reikiamu laiku ir reikiamą dienų skaičių vartotumėte reikiamą antibiotiko dozę. Jei abejojate, pasitarkite su gydytoju arba vaistininku.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560" w:hanging="56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>2.</w:t>
      </w: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ab/>
        <w:t>Antibiotikų vartokite tik tuo atveju, jei jų buvo skirta specifiškai Jums, ir tik nuo tos infekcinės ligos, nuo kurios jų buvo skirta.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560" w:hanging="56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>3.</w:t>
      </w: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ab/>
        <w:t>Nevartokite kitiems žmonėms skirtų antibiotikų, net jei jie serga infekcine liga, panašia į tą, kuria sergate Jūs.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560" w:hanging="560"/>
        <w:rPr>
          <w:rFonts w:ascii="Times New Roman" w:eastAsia="Times New Roman" w:hAnsi="Times New Roman" w:cs="Times New Roman"/>
          <w:color w:val="000000"/>
          <w:szCs w:val="20"/>
          <w:lang w:eastAsia="sl-SI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>4.</w:t>
      </w:r>
      <w:r>
        <w:rPr>
          <w:rFonts w:ascii="Times New Roman" w:eastAsia="Times New Roman" w:hAnsi="Times New Roman" w:cs="Times New Roman"/>
          <w:color w:val="000000"/>
          <w:szCs w:val="20"/>
          <w:lang w:eastAsia="sl-SI"/>
        </w:rPr>
        <w:tab/>
        <w:t>Neduokite Jums skirtų antibiotikų kitiems žmonėms.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560" w:hanging="560"/>
        <w:rPr>
          <w:rFonts w:ascii="Times New Roman" w:eastAsia="Times New Roman" w:hAnsi="Times New Roman" w:cs="Times New Roman"/>
          <w:szCs w:val="20"/>
          <w:lang w:eastAsia="sl-SI"/>
        </w:rPr>
      </w:pPr>
      <w:r>
        <w:rPr>
          <w:rFonts w:ascii="Times New Roman" w:eastAsia="Times New Roman" w:hAnsi="Times New Roman" w:cs="Times New Roman"/>
          <w:szCs w:val="20"/>
          <w:lang w:eastAsia="sl-SI"/>
        </w:rPr>
        <w:t>5.</w:t>
      </w:r>
      <w:r>
        <w:rPr>
          <w:rFonts w:ascii="Times New Roman" w:eastAsia="Times New Roman" w:hAnsi="Times New Roman" w:cs="Times New Roman"/>
          <w:szCs w:val="20"/>
          <w:lang w:eastAsia="sl-SI"/>
        </w:rPr>
        <w:tab/>
        <w:t>Jei baigus gydymo kursą Jums liko antibiotikų, likutį grąžinkite į vaistinę, kad jie būtų tinkamai sunaikinti.</w:t>
      </w:r>
    </w:p>
    <w:p w:rsidR="004548C8" w:rsidRDefault="004548C8" w:rsidP="004548C8">
      <w:pPr>
        <w:widowControl w:val="0"/>
        <w:autoSpaceDE w:val="0"/>
        <w:autoSpaceDN w:val="0"/>
        <w:adjustRightInd w:val="0"/>
        <w:ind w:left="560" w:hanging="560"/>
        <w:rPr>
          <w:rFonts w:ascii="Times New Roman" w:eastAsia="Times New Roman" w:hAnsi="Times New Roman" w:cs="Times New Roman"/>
          <w:szCs w:val="20"/>
          <w:lang w:eastAsia="sl-SI"/>
        </w:rPr>
      </w:pPr>
    </w:p>
    <w:p w:rsidR="004548C8" w:rsidRDefault="004548C8" w:rsidP="004548C8">
      <w:pPr>
        <w:widowControl w:val="0"/>
        <w:autoSpaceDE w:val="0"/>
        <w:autoSpaceDN w:val="0"/>
        <w:adjustRightInd w:val="0"/>
        <w:ind w:left="560" w:hanging="560"/>
        <w:rPr>
          <w:rFonts w:ascii="Times New Roman" w:eastAsia="Times New Roman" w:hAnsi="Times New Roman" w:cs="Times New Roman"/>
          <w:szCs w:val="20"/>
          <w:lang w:val="sl-SI" w:eastAsia="sl-SI"/>
        </w:rPr>
      </w:pPr>
    </w:p>
    <w:p w:rsidR="004548C8" w:rsidRDefault="004548C8" w:rsidP="004548C8">
      <w:pPr>
        <w:widowControl w:val="0"/>
        <w:ind w:left="0" w:firstLine="0"/>
        <w:jc w:val="center"/>
        <w:outlineLvl w:val="0"/>
        <w:rPr>
          <w:rFonts w:ascii="Times New Roman" w:eastAsia="Calibri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jc w:val="center"/>
        <w:outlineLvl w:val="0"/>
        <w:rPr>
          <w:rFonts w:ascii="Times New Roman" w:eastAsia="Calibri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jc w:val="center"/>
        <w:outlineLvl w:val="0"/>
        <w:rPr>
          <w:rFonts w:ascii="Times New Roman" w:eastAsia="Calibri" w:hAnsi="Times New Roman" w:cs="Times New Roman"/>
          <w:b/>
          <w:szCs w:val="20"/>
          <w:lang w:eastAsia="sl-SI"/>
        </w:rPr>
      </w:pPr>
    </w:p>
    <w:p w:rsidR="004548C8" w:rsidRDefault="004548C8" w:rsidP="004548C8">
      <w:pPr>
        <w:widowControl w:val="0"/>
        <w:ind w:left="0" w:firstLine="0"/>
        <w:jc w:val="center"/>
        <w:outlineLvl w:val="0"/>
        <w:rPr>
          <w:rFonts w:ascii="Times New Roman" w:eastAsia="Calibri" w:hAnsi="Times New Roman" w:cs="Times New Roman"/>
          <w:b/>
          <w:szCs w:val="20"/>
          <w:lang w:eastAsia="sl-SI"/>
        </w:rPr>
      </w:pPr>
      <w:bookmarkStart w:id="9" w:name="_GoBack"/>
      <w:bookmarkEnd w:id="9"/>
    </w:p>
    <w:sectPr w:rsidR="004548C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687" w:rsidRDefault="004548C8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687" w:rsidRDefault="004548C8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687" w:rsidRDefault="004548C8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687" w:rsidRDefault="004548C8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687" w:rsidRDefault="004548C8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687" w:rsidRDefault="004548C8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D4821"/>
    <w:multiLevelType w:val="hybridMultilevel"/>
    <w:tmpl w:val="B2C6F2B4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94B64"/>
    <w:multiLevelType w:val="hybridMultilevel"/>
    <w:tmpl w:val="EF10F4D8"/>
    <w:lvl w:ilvl="0" w:tplc="494A065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130ED"/>
    <w:multiLevelType w:val="hybridMultilevel"/>
    <w:tmpl w:val="854294DA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B432B"/>
    <w:multiLevelType w:val="hybridMultilevel"/>
    <w:tmpl w:val="148EDD78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617D3F"/>
    <w:multiLevelType w:val="hybridMultilevel"/>
    <w:tmpl w:val="6DC23DBE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7B2332"/>
    <w:multiLevelType w:val="hybridMultilevel"/>
    <w:tmpl w:val="C15C891A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881917"/>
    <w:multiLevelType w:val="hybridMultilevel"/>
    <w:tmpl w:val="6994B4A8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442E7"/>
    <w:multiLevelType w:val="hybridMultilevel"/>
    <w:tmpl w:val="A9165660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D9416B"/>
    <w:multiLevelType w:val="hybridMultilevel"/>
    <w:tmpl w:val="E4CCE26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4E311A"/>
    <w:multiLevelType w:val="hybridMultilevel"/>
    <w:tmpl w:val="F83CCC72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3D7862"/>
    <w:multiLevelType w:val="hybridMultilevel"/>
    <w:tmpl w:val="492225B2"/>
    <w:lvl w:ilvl="0" w:tplc="BF06C694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70AA055D"/>
    <w:multiLevelType w:val="hybridMultilevel"/>
    <w:tmpl w:val="C0F28EDA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E764F0"/>
    <w:multiLevelType w:val="hybridMultilevel"/>
    <w:tmpl w:val="2166BF96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7"/>
  </w:num>
  <w:num w:numId="5">
    <w:abstractNumId w:val="2"/>
  </w:num>
  <w:num w:numId="6">
    <w:abstractNumId w:val="9"/>
  </w:num>
  <w:num w:numId="7">
    <w:abstractNumId w:val="6"/>
  </w:num>
  <w:num w:numId="8">
    <w:abstractNumId w:val="10"/>
  </w:num>
  <w:num w:numId="9">
    <w:abstractNumId w:val="11"/>
  </w:num>
  <w:num w:numId="10">
    <w:abstractNumId w:val="5"/>
  </w:num>
  <w:num w:numId="11">
    <w:abstractNumId w:val="1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8C8"/>
    <w:rsid w:val="00072F85"/>
    <w:rsid w:val="000A5E72"/>
    <w:rsid w:val="000A7B60"/>
    <w:rsid w:val="00181364"/>
    <w:rsid w:val="002945D9"/>
    <w:rsid w:val="00305C48"/>
    <w:rsid w:val="003362C6"/>
    <w:rsid w:val="004548C8"/>
    <w:rsid w:val="00497D4D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15B68"/>
  <w15:chartTrackingRefBased/>
  <w15:docId w15:val="{7DFCA73B-88B8-4E8B-B157-512F8A5BC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548C8"/>
    <w:pPr>
      <w:spacing w:after="0" w:line="240" w:lineRule="auto"/>
      <w:ind w:left="567" w:hanging="567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4548C8"/>
    <w:rPr>
      <w:rFonts w:ascii="Times New Roman" w:hAnsi="Times New Roman" w:cs="Times New Roman" w:hint="default"/>
      <w:color w:val="auto"/>
      <w:sz w:val="24"/>
      <w:szCs w:val="24"/>
      <w:u w:val="single"/>
      <w:lang w:val="en-US"/>
    </w:rPr>
  </w:style>
  <w:style w:type="paragraph" w:styleId="Antrats">
    <w:name w:val="header"/>
    <w:basedOn w:val="prastasis"/>
    <w:link w:val="AntratsDiagrama"/>
    <w:unhideWhenUsed/>
    <w:rsid w:val="004548C8"/>
    <w:pPr>
      <w:tabs>
        <w:tab w:val="center" w:pos="4320"/>
        <w:tab w:val="right" w:pos="8640"/>
      </w:tabs>
      <w:ind w:left="0" w:firstLine="0"/>
    </w:pPr>
    <w:rPr>
      <w:rFonts w:ascii="Times New Roman" w:eastAsia="Times New Roman" w:hAnsi="Times New Roman" w:cs="Times New Roman"/>
      <w:sz w:val="24"/>
      <w:szCs w:val="20"/>
      <w:lang w:val="sl-SI" w:eastAsia="sl-SI"/>
    </w:rPr>
  </w:style>
  <w:style w:type="character" w:customStyle="1" w:styleId="AntratsDiagrama">
    <w:name w:val="Antraštės Diagrama"/>
    <w:basedOn w:val="Numatytasispastraiposriftas"/>
    <w:link w:val="Antrats"/>
    <w:rsid w:val="004548C8"/>
    <w:rPr>
      <w:rFonts w:ascii="Times New Roman" w:eastAsia="Times New Roman" w:hAnsi="Times New Roman" w:cs="Times New Roman"/>
      <w:sz w:val="24"/>
      <w:szCs w:val="20"/>
      <w:lang w:val="sl-SI" w:eastAsia="sl-SI"/>
    </w:rPr>
  </w:style>
  <w:style w:type="paragraph" w:styleId="Porat">
    <w:name w:val="footer"/>
    <w:basedOn w:val="prastasis"/>
    <w:link w:val="PoratDiagrama"/>
    <w:uiPriority w:val="99"/>
    <w:unhideWhenUsed/>
    <w:rsid w:val="004548C8"/>
    <w:pPr>
      <w:tabs>
        <w:tab w:val="center" w:pos="4320"/>
        <w:tab w:val="right" w:pos="8640"/>
      </w:tabs>
      <w:ind w:left="0" w:firstLine="0"/>
    </w:pPr>
    <w:rPr>
      <w:rFonts w:ascii="Times New Roman" w:eastAsia="Times New Roman" w:hAnsi="Times New Roman" w:cs="Times New Roman"/>
      <w:sz w:val="24"/>
      <w:szCs w:val="20"/>
      <w:lang w:val="sl-SI" w:eastAsia="sl-SI"/>
    </w:rPr>
  </w:style>
  <w:style w:type="character" w:customStyle="1" w:styleId="PoratDiagrama">
    <w:name w:val="Poraštė Diagrama"/>
    <w:basedOn w:val="Numatytasispastraiposriftas"/>
    <w:link w:val="Porat"/>
    <w:uiPriority w:val="99"/>
    <w:rsid w:val="004548C8"/>
    <w:rPr>
      <w:rFonts w:ascii="Times New Roman" w:eastAsia="Times New Roman" w:hAnsi="Times New Roman" w:cs="Times New Roman"/>
      <w:sz w:val="24"/>
      <w:szCs w:val="20"/>
      <w:lang w:val="sl-SI"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11" Type="http://schemas.openxmlformats.org/officeDocument/2006/relationships/footer" Target="footer1.xml"/><Relationship Id="rId5" Type="http://schemas.openxmlformats.org/officeDocument/2006/relationships/hyperlink" Target="https://vapris.vvkt.lt/vvkt-web/public/nrv" TargetMode="Externa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11884</Words>
  <Characters>6774</Characters>
  <Application>Microsoft Office Word</Application>
  <DocSecurity>0</DocSecurity>
  <Lines>56</Lines>
  <Paragraphs>37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2025-04-02T05:29:00Z</dcterms:created>
  <dcterms:modified xsi:type="dcterms:W3CDTF">2025-04-02T05:30:00Z</dcterms:modified>
</cp:coreProperties>
</file>